
<file path=[Content_Types].xml><?xml version="1.0" encoding="utf-8"?>
<Types xmlns="http://schemas.openxmlformats.org/package/2006/content-types">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E85" w:rsidRPr="000679A4" w:rsidRDefault="00A22E85" w:rsidP="00DD60A5">
      <w:pPr>
        <w:jc w:val="center"/>
        <w:rPr>
          <w:b/>
          <w:color w:val="FF0000"/>
          <w:sz w:val="28"/>
        </w:rPr>
      </w:pPr>
      <w:bookmarkStart w:id="0" w:name="_GoBack"/>
      <w:bookmarkEnd w:id="0"/>
    </w:p>
    <w:p w:rsidR="004A7A9B" w:rsidRDefault="004A7A9B" w:rsidP="00DD60A5">
      <w:pPr>
        <w:jc w:val="center"/>
        <w:rPr>
          <w:b/>
          <w:sz w:val="28"/>
        </w:rPr>
      </w:pPr>
    </w:p>
    <w:p w:rsidR="00A22E85" w:rsidRDefault="003C7C58" w:rsidP="006B6ABF">
      <w:pPr>
        <w:jc w:val="center"/>
        <w:rPr>
          <w:b/>
          <w:sz w:val="28"/>
        </w:rPr>
      </w:pPr>
      <w:r>
        <w:rPr>
          <w:b/>
          <w:noProof/>
          <w:sz w:val="28"/>
        </w:rPr>
        <w:drawing>
          <wp:inline distT="0" distB="0" distL="0" distR="0">
            <wp:extent cx="2028825" cy="2047875"/>
            <wp:effectExtent l="0" t="0" r="9525" b="9525"/>
            <wp:docPr id="1" name="Picture 1" descr="Description: Pennsylvania-Public-Utility-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ennsylvania-Public-Utility-Commiss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28825" cy="2047875"/>
                    </a:xfrm>
                    <a:prstGeom prst="rect">
                      <a:avLst/>
                    </a:prstGeom>
                    <a:noFill/>
                    <a:ln>
                      <a:noFill/>
                    </a:ln>
                  </pic:spPr>
                </pic:pic>
              </a:graphicData>
            </a:graphic>
          </wp:inline>
        </w:drawing>
      </w:r>
    </w:p>
    <w:p w:rsidR="00A22E85" w:rsidRDefault="00A22E85" w:rsidP="006B6ABF">
      <w:pPr>
        <w:jc w:val="center"/>
        <w:rPr>
          <w:b/>
          <w:sz w:val="28"/>
        </w:rPr>
      </w:pPr>
    </w:p>
    <w:p w:rsidR="00A22E85" w:rsidRPr="00AB436A" w:rsidRDefault="00A22E85" w:rsidP="006B6ABF">
      <w:pPr>
        <w:jc w:val="center"/>
        <w:rPr>
          <w:b/>
          <w:sz w:val="48"/>
          <w:szCs w:val="48"/>
        </w:rPr>
      </w:pPr>
      <w:r w:rsidRPr="00AB436A">
        <w:rPr>
          <w:b/>
          <w:sz w:val="48"/>
          <w:szCs w:val="48"/>
        </w:rPr>
        <w:t>Technical Reference Manual</w:t>
      </w:r>
    </w:p>
    <w:p w:rsidR="00AB436A" w:rsidRPr="00CC01E4" w:rsidRDefault="00C6302B" w:rsidP="006B6ABF">
      <w:pPr>
        <w:pStyle w:val="RevisionDate"/>
        <w:spacing w:after="0"/>
      </w:pPr>
      <w:r>
        <w:t xml:space="preserve">June </w:t>
      </w:r>
      <w:r w:rsidR="008679BD">
        <w:t>2012</w:t>
      </w:r>
    </w:p>
    <w:p w:rsidR="00CC01E4" w:rsidRDefault="00CC01E4" w:rsidP="006B6ABF">
      <w:pPr>
        <w:spacing w:after="0"/>
        <w:jc w:val="center"/>
        <w:rPr>
          <w:b/>
          <w:sz w:val="32"/>
        </w:rPr>
      </w:pPr>
    </w:p>
    <w:p w:rsidR="00CC01E4" w:rsidRDefault="00CC01E4" w:rsidP="006B6ABF">
      <w:pPr>
        <w:spacing w:after="0"/>
        <w:jc w:val="center"/>
        <w:rPr>
          <w:b/>
          <w:sz w:val="32"/>
        </w:rPr>
      </w:pPr>
    </w:p>
    <w:p w:rsidR="00CC01E4" w:rsidRDefault="00CC01E4" w:rsidP="006B6ABF">
      <w:pPr>
        <w:spacing w:after="0"/>
        <w:jc w:val="center"/>
        <w:rPr>
          <w:b/>
          <w:sz w:val="32"/>
        </w:rPr>
      </w:pPr>
    </w:p>
    <w:p w:rsidR="00CC01E4" w:rsidRDefault="00CC01E4" w:rsidP="006B6ABF">
      <w:pPr>
        <w:spacing w:after="0"/>
        <w:jc w:val="center"/>
        <w:rPr>
          <w:b/>
          <w:sz w:val="32"/>
        </w:rPr>
      </w:pPr>
      <w:r>
        <w:rPr>
          <w:b/>
          <w:sz w:val="32"/>
        </w:rPr>
        <w:t xml:space="preserve">State of </w:t>
      </w:r>
      <w:smartTag w:uri="urn:schemas-microsoft-com:office:smarttags" w:element="State">
        <w:smartTag w:uri="urn:schemas-microsoft-com:office:smarttags" w:element="place">
          <w:r w:rsidR="00A22E85">
            <w:rPr>
              <w:b/>
              <w:sz w:val="32"/>
            </w:rPr>
            <w:t>Pennsylvania</w:t>
          </w:r>
        </w:smartTag>
      </w:smartTag>
      <w:r w:rsidR="00A22E85">
        <w:rPr>
          <w:b/>
          <w:sz w:val="32"/>
        </w:rPr>
        <w:t xml:space="preserve"> </w:t>
      </w:r>
    </w:p>
    <w:p w:rsidR="00CC01E4" w:rsidRDefault="00CC01E4" w:rsidP="006B6ABF">
      <w:pPr>
        <w:spacing w:after="0"/>
        <w:jc w:val="center"/>
        <w:rPr>
          <w:b/>
          <w:sz w:val="32"/>
        </w:rPr>
      </w:pPr>
    </w:p>
    <w:p w:rsidR="00A22E85" w:rsidRPr="00CC01E4" w:rsidRDefault="00A22E85" w:rsidP="006B6ABF">
      <w:pPr>
        <w:spacing w:after="0"/>
        <w:jc w:val="center"/>
        <w:rPr>
          <w:b/>
          <w:sz w:val="36"/>
          <w:szCs w:val="36"/>
        </w:rPr>
      </w:pPr>
      <w:r w:rsidRPr="00CC01E4">
        <w:rPr>
          <w:b/>
          <w:sz w:val="36"/>
          <w:szCs w:val="36"/>
        </w:rPr>
        <w:t>Act 129</w:t>
      </w:r>
    </w:p>
    <w:p w:rsidR="00A22E85" w:rsidRPr="00CC01E4" w:rsidRDefault="00A22E85" w:rsidP="006B6ABF">
      <w:pPr>
        <w:spacing w:after="0"/>
        <w:jc w:val="center"/>
        <w:rPr>
          <w:b/>
          <w:sz w:val="28"/>
          <w:szCs w:val="28"/>
        </w:rPr>
      </w:pPr>
      <w:r w:rsidRPr="00CC01E4">
        <w:rPr>
          <w:b/>
          <w:sz w:val="28"/>
          <w:szCs w:val="28"/>
        </w:rPr>
        <w:t>Energy Efficiency and Conservation Program</w:t>
      </w:r>
    </w:p>
    <w:p w:rsidR="00A22E85" w:rsidRDefault="00CC01E4" w:rsidP="006B6ABF">
      <w:pPr>
        <w:spacing w:after="0"/>
        <w:jc w:val="center"/>
        <w:rPr>
          <w:b/>
          <w:sz w:val="32"/>
        </w:rPr>
      </w:pPr>
      <w:r>
        <w:rPr>
          <w:b/>
          <w:sz w:val="32"/>
        </w:rPr>
        <w:t>&amp;</w:t>
      </w:r>
    </w:p>
    <w:p w:rsidR="00A22E85" w:rsidRPr="00CC01E4" w:rsidRDefault="00A22E85" w:rsidP="006B6ABF">
      <w:pPr>
        <w:spacing w:after="0"/>
        <w:jc w:val="center"/>
        <w:rPr>
          <w:b/>
          <w:sz w:val="36"/>
          <w:szCs w:val="36"/>
        </w:rPr>
      </w:pPr>
      <w:r w:rsidRPr="00CC01E4">
        <w:rPr>
          <w:b/>
          <w:sz w:val="36"/>
          <w:szCs w:val="36"/>
        </w:rPr>
        <w:t>Act 213</w:t>
      </w:r>
    </w:p>
    <w:p w:rsidR="00A22E85" w:rsidRPr="00CC01E4" w:rsidRDefault="00A22E85" w:rsidP="006B6ABF">
      <w:pPr>
        <w:spacing w:after="0"/>
        <w:jc w:val="center"/>
        <w:rPr>
          <w:b/>
          <w:sz w:val="28"/>
          <w:szCs w:val="28"/>
        </w:rPr>
      </w:pPr>
      <w:r w:rsidRPr="00CC01E4">
        <w:rPr>
          <w:b/>
          <w:sz w:val="28"/>
          <w:szCs w:val="28"/>
        </w:rPr>
        <w:t>Alternative Energy Portfolio Standards</w:t>
      </w:r>
    </w:p>
    <w:p w:rsidR="00A22E85" w:rsidRDefault="00A22E85" w:rsidP="006B6ABF">
      <w:pPr>
        <w:rPr>
          <w:b/>
          <w:sz w:val="32"/>
        </w:rPr>
      </w:pPr>
    </w:p>
    <w:p w:rsidR="00A22E85" w:rsidRDefault="00A22E85" w:rsidP="006B6ABF">
      <w:pPr>
        <w:jc w:val="center"/>
        <w:rPr>
          <w:b/>
          <w:sz w:val="32"/>
        </w:rPr>
      </w:pPr>
    </w:p>
    <w:p w:rsidR="00A22E85" w:rsidRDefault="00A22E85" w:rsidP="006B6ABF">
      <w:pPr>
        <w:jc w:val="center"/>
        <w:rPr>
          <w:b/>
          <w:sz w:val="32"/>
        </w:rPr>
      </w:pPr>
    </w:p>
    <w:p w:rsidR="00A22E85" w:rsidRDefault="00A22E85" w:rsidP="006B6ABF">
      <w:pPr>
        <w:jc w:val="center"/>
        <w:rPr>
          <w:b/>
          <w:sz w:val="32"/>
        </w:rPr>
      </w:pPr>
    </w:p>
    <w:p w:rsidR="00A22E85" w:rsidRDefault="00A22E85" w:rsidP="006B6ABF">
      <w:pPr>
        <w:jc w:val="center"/>
        <w:rPr>
          <w:b/>
          <w:sz w:val="32"/>
        </w:rPr>
      </w:pPr>
    </w:p>
    <w:p w:rsidR="00A22E85" w:rsidRDefault="00A22E85" w:rsidP="006B6ABF">
      <w:pPr>
        <w:jc w:val="center"/>
        <w:rPr>
          <w:b/>
          <w:sz w:val="32"/>
        </w:rPr>
      </w:pPr>
    </w:p>
    <w:p w:rsidR="00A22E85" w:rsidRPr="000679A4" w:rsidRDefault="00A22E85" w:rsidP="006B6ABF">
      <w:pPr>
        <w:jc w:val="center"/>
        <w:rPr>
          <w:b/>
          <w:color w:val="FF0000"/>
          <w:sz w:val="28"/>
        </w:rPr>
      </w:pPr>
    </w:p>
    <w:p w:rsidR="00A22E85" w:rsidRDefault="00A22E85" w:rsidP="006B6ABF">
      <w:pPr>
        <w:jc w:val="center"/>
        <w:rPr>
          <w:b/>
          <w:sz w:val="28"/>
        </w:rPr>
      </w:pPr>
    </w:p>
    <w:p w:rsidR="00A22E85" w:rsidRDefault="00A22E85" w:rsidP="006B6ABF">
      <w:pPr>
        <w:jc w:val="center"/>
        <w:rPr>
          <w:b/>
          <w:sz w:val="28"/>
        </w:rPr>
      </w:pPr>
    </w:p>
    <w:p w:rsidR="00A22E85" w:rsidRDefault="00A22E85" w:rsidP="006B6ABF">
      <w:pPr>
        <w:jc w:val="center"/>
        <w:rPr>
          <w:b/>
          <w:sz w:val="28"/>
        </w:rPr>
      </w:pPr>
    </w:p>
    <w:p w:rsidR="00A22E85" w:rsidRDefault="00A22E85" w:rsidP="006B6ABF">
      <w:pPr>
        <w:jc w:val="center"/>
        <w:rPr>
          <w:b/>
          <w:sz w:val="28"/>
        </w:rPr>
      </w:pPr>
    </w:p>
    <w:p w:rsidR="00A22E85" w:rsidRDefault="00A22E85" w:rsidP="006B6ABF">
      <w:pPr>
        <w:jc w:val="center"/>
        <w:rPr>
          <w:b/>
          <w:sz w:val="28"/>
        </w:rPr>
      </w:pPr>
    </w:p>
    <w:p w:rsidR="0060580C" w:rsidRDefault="0060580C" w:rsidP="006B6ABF">
      <w:pPr>
        <w:jc w:val="center"/>
        <w:rPr>
          <w:b/>
          <w:sz w:val="28"/>
        </w:rPr>
      </w:pPr>
    </w:p>
    <w:p w:rsidR="0060580C" w:rsidRDefault="0060580C" w:rsidP="006B6ABF">
      <w:pPr>
        <w:jc w:val="center"/>
        <w:rPr>
          <w:b/>
          <w:sz w:val="28"/>
        </w:rPr>
      </w:pPr>
    </w:p>
    <w:p w:rsidR="0060580C" w:rsidRDefault="0060580C" w:rsidP="006B6ABF">
      <w:pPr>
        <w:jc w:val="center"/>
        <w:rPr>
          <w:b/>
          <w:sz w:val="28"/>
        </w:rPr>
      </w:pPr>
    </w:p>
    <w:p w:rsidR="00A22E85" w:rsidRPr="00D67B97" w:rsidRDefault="0038789E" w:rsidP="006B6ABF">
      <w:pPr>
        <w:jc w:val="center"/>
        <w:rPr>
          <w:i/>
        </w:rPr>
      </w:pPr>
      <w:r w:rsidRPr="00D67B97">
        <w:rPr>
          <w:i/>
        </w:rPr>
        <w:t>This Page Intentionally Left Blank</w:t>
      </w:r>
    </w:p>
    <w:p w:rsidR="00A22E85" w:rsidRDefault="00A22E85" w:rsidP="006B6ABF">
      <w:pPr>
        <w:sectPr w:rsidR="00A22E85" w:rsidSect="004762A3">
          <w:headerReference w:type="default" r:id="rId18"/>
          <w:footerReference w:type="default" r:id="rId19"/>
          <w:headerReference w:type="first" r:id="rId20"/>
          <w:type w:val="oddPage"/>
          <w:pgSz w:w="12240" w:h="15840" w:code="1"/>
          <w:pgMar w:top="1440" w:right="1800" w:bottom="1440" w:left="1800" w:header="720" w:footer="720" w:gutter="0"/>
          <w:cols w:space="720"/>
          <w:titlePg/>
          <w:docGrid w:linePitch="326"/>
        </w:sectPr>
      </w:pPr>
    </w:p>
    <w:p w:rsidR="00A22E85" w:rsidRPr="00617D88" w:rsidRDefault="00A22E85" w:rsidP="006B6ABF">
      <w:pPr>
        <w:spacing w:after="0"/>
        <w:jc w:val="center"/>
        <w:rPr>
          <w:sz w:val="32"/>
          <w:szCs w:val="32"/>
        </w:rPr>
      </w:pPr>
      <w:r w:rsidRPr="00617D88">
        <w:rPr>
          <w:sz w:val="32"/>
          <w:szCs w:val="32"/>
        </w:rPr>
        <w:lastRenderedPageBreak/>
        <w:t>Table of Contents</w:t>
      </w:r>
    </w:p>
    <w:p w:rsidR="00C0292F" w:rsidRDefault="007A1FB6">
      <w:pPr>
        <w:pStyle w:val="TOC1"/>
        <w:tabs>
          <w:tab w:val="right" w:leader="dot" w:pos="8630"/>
        </w:tabs>
        <w:rPr>
          <w:rFonts w:asciiTheme="minorHAnsi" w:eastAsiaTheme="minorEastAsia" w:hAnsiTheme="minorHAnsi" w:cstheme="minorBidi"/>
          <w:b w:val="0"/>
          <w:caps w:val="0"/>
          <w:noProof/>
          <w:sz w:val="22"/>
          <w:szCs w:val="22"/>
        </w:rPr>
      </w:pPr>
      <w:r>
        <w:rPr>
          <w:b w:val="0"/>
          <w:i/>
        </w:rPr>
        <w:fldChar w:fldCharType="begin"/>
      </w:r>
      <w:r w:rsidR="0071022C">
        <w:rPr>
          <w:b w:val="0"/>
          <w:i/>
        </w:rPr>
        <w:instrText xml:space="preserve"> TOC \o "1-2" \h \z \u </w:instrText>
      </w:r>
      <w:r>
        <w:rPr>
          <w:b w:val="0"/>
          <w:i/>
        </w:rPr>
        <w:fldChar w:fldCharType="separate"/>
      </w:r>
      <w:hyperlink w:anchor="_Toc310875380" w:history="1">
        <w:r w:rsidR="00C0292F" w:rsidRPr="00FA5842">
          <w:rPr>
            <w:rStyle w:val="Hyperlink"/>
            <w:noProof/>
          </w:rPr>
          <w:t>1</w:t>
        </w:r>
        <w:r w:rsidR="00C0292F">
          <w:rPr>
            <w:rFonts w:asciiTheme="minorHAnsi" w:eastAsiaTheme="minorEastAsia" w:hAnsiTheme="minorHAnsi" w:cstheme="minorBidi"/>
            <w:b w:val="0"/>
            <w:caps w:val="0"/>
            <w:noProof/>
            <w:sz w:val="22"/>
            <w:szCs w:val="22"/>
          </w:rPr>
          <w:tab/>
        </w:r>
        <w:r w:rsidR="00C0292F" w:rsidRPr="00FA5842">
          <w:rPr>
            <w:rStyle w:val="Hyperlink"/>
            <w:noProof/>
          </w:rPr>
          <w:t>Introduction</w:t>
        </w:r>
        <w:r w:rsidR="00C0292F">
          <w:rPr>
            <w:noProof/>
            <w:webHidden/>
          </w:rPr>
          <w:tab/>
        </w:r>
        <w:r w:rsidR="00C0292F">
          <w:rPr>
            <w:noProof/>
            <w:webHidden/>
          </w:rPr>
          <w:fldChar w:fldCharType="begin"/>
        </w:r>
        <w:r w:rsidR="00C0292F">
          <w:rPr>
            <w:noProof/>
            <w:webHidden/>
          </w:rPr>
          <w:instrText xml:space="preserve"> PAGEREF _Toc310875380 \h </w:instrText>
        </w:r>
        <w:r w:rsidR="00C0292F">
          <w:rPr>
            <w:noProof/>
            <w:webHidden/>
          </w:rPr>
        </w:r>
        <w:r w:rsidR="00C0292F">
          <w:rPr>
            <w:noProof/>
            <w:webHidden/>
          </w:rPr>
          <w:fldChar w:fldCharType="separate"/>
        </w:r>
        <w:r w:rsidR="00C0292F">
          <w:rPr>
            <w:noProof/>
            <w:webHidden/>
          </w:rPr>
          <w:t>1</w:t>
        </w:r>
        <w:r w:rsidR="00C0292F">
          <w:rPr>
            <w:noProof/>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381" w:history="1">
        <w:r w:rsidR="00C0292F" w:rsidRPr="00FA5842">
          <w:rPr>
            <w:rStyle w:val="Hyperlink"/>
          </w:rPr>
          <w:t>1.1</w:t>
        </w:r>
        <w:r w:rsidR="00C0292F">
          <w:rPr>
            <w:rFonts w:asciiTheme="minorHAnsi" w:eastAsiaTheme="minorEastAsia" w:hAnsiTheme="minorHAnsi" w:cstheme="minorBidi"/>
            <w:sz w:val="22"/>
            <w:szCs w:val="22"/>
          </w:rPr>
          <w:tab/>
        </w:r>
        <w:r w:rsidR="00C0292F" w:rsidRPr="00FA5842">
          <w:rPr>
            <w:rStyle w:val="Hyperlink"/>
          </w:rPr>
          <w:t>Purpose</w:t>
        </w:r>
        <w:r w:rsidR="00C0292F">
          <w:rPr>
            <w:webHidden/>
          </w:rPr>
          <w:tab/>
        </w:r>
        <w:r w:rsidR="00C0292F">
          <w:rPr>
            <w:webHidden/>
          </w:rPr>
          <w:fldChar w:fldCharType="begin"/>
        </w:r>
        <w:r w:rsidR="00C0292F">
          <w:rPr>
            <w:webHidden/>
          </w:rPr>
          <w:instrText xml:space="preserve"> PAGEREF _Toc310875381 \h </w:instrText>
        </w:r>
        <w:r w:rsidR="00C0292F">
          <w:rPr>
            <w:webHidden/>
          </w:rPr>
        </w:r>
        <w:r w:rsidR="00C0292F">
          <w:rPr>
            <w:webHidden/>
          </w:rPr>
          <w:fldChar w:fldCharType="separate"/>
        </w:r>
        <w:r w:rsidR="00C0292F">
          <w:rPr>
            <w:webHidden/>
          </w:rPr>
          <w:t>1</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382" w:history="1">
        <w:r w:rsidR="00C0292F" w:rsidRPr="00FA5842">
          <w:rPr>
            <w:rStyle w:val="Hyperlink"/>
          </w:rPr>
          <w:t>1.2</w:t>
        </w:r>
        <w:r w:rsidR="00C0292F">
          <w:rPr>
            <w:rFonts w:asciiTheme="minorHAnsi" w:eastAsiaTheme="minorEastAsia" w:hAnsiTheme="minorHAnsi" w:cstheme="minorBidi"/>
            <w:sz w:val="22"/>
            <w:szCs w:val="22"/>
          </w:rPr>
          <w:tab/>
        </w:r>
        <w:r w:rsidR="00C0292F" w:rsidRPr="00FA5842">
          <w:rPr>
            <w:rStyle w:val="Hyperlink"/>
          </w:rPr>
          <w:t>Definitions</w:t>
        </w:r>
        <w:r w:rsidR="00C0292F">
          <w:rPr>
            <w:webHidden/>
          </w:rPr>
          <w:tab/>
        </w:r>
        <w:r w:rsidR="00C0292F">
          <w:rPr>
            <w:webHidden/>
          </w:rPr>
          <w:fldChar w:fldCharType="begin"/>
        </w:r>
        <w:r w:rsidR="00C0292F">
          <w:rPr>
            <w:webHidden/>
          </w:rPr>
          <w:instrText xml:space="preserve"> PAGEREF _Toc310875382 \h </w:instrText>
        </w:r>
        <w:r w:rsidR="00C0292F">
          <w:rPr>
            <w:webHidden/>
          </w:rPr>
        </w:r>
        <w:r w:rsidR="00C0292F">
          <w:rPr>
            <w:webHidden/>
          </w:rPr>
          <w:fldChar w:fldCharType="separate"/>
        </w:r>
        <w:r w:rsidR="00C0292F">
          <w:rPr>
            <w:webHidden/>
          </w:rPr>
          <w:t>1</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383" w:history="1">
        <w:r w:rsidR="00C0292F" w:rsidRPr="00FA5842">
          <w:rPr>
            <w:rStyle w:val="Hyperlink"/>
          </w:rPr>
          <w:t>1.3</w:t>
        </w:r>
        <w:r w:rsidR="00C0292F">
          <w:rPr>
            <w:rFonts w:asciiTheme="minorHAnsi" w:eastAsiaTheme="minorEastAsia" w:hAnsiTheme="minorHAnsi" w:cstheme="minorBidi"/>
            <w:sz w:val="22"/>
            <w:szCs w:val="22"/>
          </w:rPr>
          <w:tab/>
        </w:r>
        <w:r w:rsidR="00C0292F" w:rsidRPr="00FA5842">
          <w:rPr>
            <w:rStyle w:val="Hyperlink"/>
          </w:rPr>
          <w:t>General Framework</w:t>
        </w:r>
        <w:r w:rsidR="00C0292F">
          <w:rPr>
            <w:webHidden/>
          </w:rPr>
          <w:tab/>
        </w:r>
        <w:r w:rsidR="00C0292F">
          <w:rPr>
            <w:webHidden/>
          </w:rPr>
          <w:fldChar w:fldCharType="begin"/>
        </w:r>
        <w:r w:rsidR="00C0292F">
          <w:rPr>
            <w:webHidden/>
          </w:rPr>
          <w:instrText xml:space="preserve"> PAGEREF _Toc310875383 \h </w:instrText>
        </w:r>
        <w:r w:rsidR="00C0292F">
          <w:rPr>
            <w:webHidden/>
          </w:rPr>
        </w:r>
        <w:r w:rsidR="00C0292F">
          <w:rPr>
            <w:webHidden/>
          </w:rPr>
          <w:fldChar w:fldCharType="separate"/>
        </w:r>
        <w:r w:rsidR="00C0292F">
          <w:rPr>
            <w:webHidden/>
          </w:rPr>
          <w:t>3</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384" w:history="1">
        <w:r w:rsidR="00C0292F" w:rsidRPr="00FA5842">
          <w:rPr>
            <w:rStyle w:val="Hyperlink"/>
          </w:rPr>
          <w:t>1.4</w:t>
        </w:r>
        <w:r w:rsidR="00C0292F">
          <w:rPr>
            <w:rFonts w:asciiTheme="minorHAnsi" w:eastAsiaTheme="minorEastAsia" w:hAnsiTheme="minorHAnsi" w:cstheme="minorBidi"/>
            <w:sz w:val="22"/>
            <w:szCs w:val="22"/>
          </w:rPr>
          <w:tab/>
        </w:r>
        <w:r w:rsidR="00C0292F" w:rsidRPr="00FA5842">
          <w:rPr>
            <w:rStyle w:val="Hyperlink"/>
          </w:rPr>
          <w:t>Algorithms</w:t>
        </w:r>
        <w:r w:rsidR="00C0292F">
          <w:rPr>
            <w:webHidden/>
          </w:rPr>
          <w:tab/>
        </w:r>
        <w:r w:rsidR="00C0292F">
          <w:rPr>
            <w:webHidden/>
          </w:rPr>
          <w:fldChar w:fldCharType="begin"/>
        </w:r>
        <w:r w:rsidR="00C0292F">
          <w:rPr>
            <w:webHidden/>
          </w:rPr>
          <w:instrText xml:space="preserve"> PAGEREF _Toc310875384 \h </w:instrText>
        </w:r>
        <w:r w:rsidR="00C0292F">
          <w:rPr>
            <w:webHidden/>
          </w:rPr>
        </w:r>
        <w:r w:rsidR="00C0292F">
          <w:rPr>
            <w:webHidden/>
          </w:rPr>
          <w:fldChar w:fldCharType="separate"/>
        </w:r>
        <w:r w:rsidR="00C0292F">
          <w:rPr>
            <w:webHidden/>
          </w:rPr>
          <w:t>3</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385" w:history="1">
        <w:r w:rsidR="00C0292F" w:rsidRPr="00FA5842">
          <w:rPr>
            <w:rStyle w:val="Hyperlink"/>
          </w:rPr>
          <w:t>1.5</w:t>
        </w:r>
        <w:r w:rsidR="00C0292F">
          <w:rPr>
            <w:rFonts w:asciiTheme="minorHAnsi" w:eastAsiaTheme="minorEastAsia" w:hAnsiTheme="minorHAnsi" w:cstheme="minorBidi"/>
            <w:sz w:val="22"/>
            <w:szCs w:val="22"/>
          </w:rPr>
          <w:tab/>
        </w:r>
        <w:r w:rsidR="00C0292F" w:rsidRPr="00FA5842">
          <w:rPr>
            <w:rStyle w:val="Hyperlink"/>
          </w:rPr>
          <w:t>Data and Input Values</w:t>
        </w:r>
        <w:r w:rsidR="00C0292F">
          <w:rPr>
            <w:webHidden/>
          </w:rPr>
          <w:tab/>
        </w:r>
        <w:r w:rsidR="00C0292F">
          <w:rPr>
            <w:webHidden/>
          </w:rPr>
          <w:fldChar w:fldCharType="begin"/>
        </w:r>
        <w:r w:rsidR="00C0292F">
          <w:rPr>
            <w:webHidden/>
          </w:rPr>
          <w:instrText xml:space="preserve"> PAGEREF _Toc310875385 \h </w:instrText>
        </w:r>
        <w:r w:rsidR="00C0292F">
          <w:rPr>
            <w:webHidden/>
          </w:rPr>
        </w:r>
        <w:r w:rsidR="00C0292F">
          <w:rPr>
            <w:webHidden/>
          </w:rPr>
          <w:fldChar w:fldCharType="separate"/>
        </w:r>
        <w:r w:rsidR="00C0292F">
          <w:rPr>
            <w:webHidden/>
          </w:rPr>
          <w:t>4</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386" w:history="1">
        <w:r w:rsidR="00C0292F" w:rsidRPr="00FA5842">
          <w:rPr>
            <w:rStyle w:val="Hyperlink"/>
          </w:rPr>
          <w:t>1.6</w:t>
        </w:r>
        <w:r w:rsidR="00C0292F">
          <w:rPr>
            <w:rFonts w:asciiTheme="minorHAnsi" w:eastAsiaTheme="minorEastAsia" w:hAnsiTheme="minorHAnsi" w:cstheme="minorBidi"/>
            <w:sz w:val="22"/>
            <w:szCs w:val="22"/>
          </w:rPr>
          <w:tab/>
        </w:r>
        <w:r w:rsidR="00C0292F" w:rsidRPr="00FA5842">
          <w:rPr>
            <w:rStyle w:val="Hyperlink"/>
          </w:rPr>
          <w:t>Baseline Estimates</w:t>
        </w:r>
        <w:r w:rsidR="00C0292F">
          <w:rPr>
            <w:webHidden/>
          </w:rPr>
          <w:tab/>
        </w:r>
        <w:r w:rsidR="00C0292F">
          <w:rPr>
            <w:webHidden/>
          </w:rPr>
          <w:fldChar w:fldCharType="begin"/>
        </w:r>
        <w:r w:rsidR="00C0292F">
          <w:rPr>
            <w:webHidden/>
          </w:rPr>
          <w:instrText xml:space="preserve"> PAGEREF _Toc310875386 \h </w:instrText>
        </w:r>
        <w:r w:rsidR="00C0292F">
          <w:rPr>
            <w:webHidden/>
          </w:rPr>
        </w:r>
        <w:r w:rsidR="00C0292F">
          <w:rPr>
            <w:webHidden/>
          </w:rPr>
          <w:fldChar w:fldCharType="separate"/>
        </w:r>
        <w:r w:rsidR="00C0292F">
          <w:rPr>
            <w:webHidden/>
          </w:rPr>
          <w:t>5</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387" w:history="1">
        <w:r w:rsidR="00C0292F" w:rsidRPr="00FA5842">
          <w:rPr>
            <w:rStyle w:val="Hyperlink"/>
          </w:rPr>
          <w:t>1.7</w:t>
        </w:r>
        <w:r w:rsidR="00C0292F">
          <w:rPr>
            <w:rFonts w:asciiTheme="minorHAnsi" w:eastAsiaTheme="minorEastAsia" w:hAnsiTheme="minorHAnsi" w:cstheme="minorBidi"/>
            <w:sz w:val="22"/>
            <w:szCs w:val="22"/>
          </w:rPr>
          <w:tab/>
        </w:r>
        <w:r w:rsidR="00C0292F" w:rsidRPr="00FA5842">
          <w:rPr>
            <w:rStyle w:val="Hyperlink"/>
          </w:rPr>
          <w:t>Resource Savings in Current and Future Program Years</w:t>
        </w:r>
        <w:r w:rsidR="00C0292F">
          <w:rPr>
            <w:webHidden/>
          </w:rPr>
          <w:tab/>
        </w:r>
        <w:r w:rsidR="00C0292F">
          <w:rPr>
            <w:webHidden/>
          </w:rPr>
          <w:fldChar w:fldCharType="begin"/>
        </w:r>
        <w:r w:rsidR="00C0292F">
          <w:rPr>
            <w:webHidden/>
          </w:rPr>
          <w:instrText xml:space="preserve"> PAGEREF _Toc310875387 \h </w:instrText>
        </w:r>
        <w:r w:rsidR="00C0292F">
          <w:rPr>
            <w:webHidden/>
          </w:rPr>
        </w:r>
        <w:r w:rsidR="00C0292F">
          <w:rPr>
            <w:webHidden/>
          </w:rPr>
          <w:fldChar w:fldCharType="separate"/>
        </w:r>
        <w:r w:rsidR="00C0292F">
          <w:rPr>
            <w:webHidden/>
          </w:rPr>
          <w:t>5</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388" w:history="1">
        <w:r w:rsidR="00C0292F" w:rsidRPr="00FA5842">
          <w:rPr>
            <w:rStyle w:val="Hyperlink"/>
          </w:rPr>
          <w:t>1.8</w:t>
        </w:r>
        <w:r w:rsidR="00C0292F">
          <w:rPr>
            <w:rFonts w:asciiTheme="minorHAnsi" w:eastAsiaTheme="minorEastAsia" w:hAnsiTheme="minorHAnsi" w:cstheme="minorBidi"/>
            <w:sz w:val="22"/>
            <w:szCs w:val="22"/>
          </w:rPr>
          <w:tab/>
        </w:r>
        <w:r w:rsidR="00C0292F" w:rsidRPr="00FA5842">
          <w:rPr>
            <w:rStyle w:val="Hyperlink"/>
          </w:rPr>
          <w:t>Prospective Application of the TRM</w:t>
        </w:r>
        <w:r w:rsidR="00C0292F">
          <w:rPr>
            <w:webHidden/>
          </w:rPr>
          <w:tab/>
        </w:r>
        <w:r w:rsidR="00C0292F">
          <w:rPr>
            <w:webHidden/>
          </w:rPr>
          <w:fldChar w:fldCharType="begin"/>
        </w:r>
        <w:r w:rsidR="00C0292F">
          <w:rPr>
            <w:webHidden/>
          </w:rPr>
          <w:instrText xml:space="preserve"> PAGEREF _Toc310875388 \h </w:instrText>
        </w:r>
        <w:r w:rsidR="00C0292F">
          <w:rPr>
            <w:webHidden/>
          </w:rPr>
        </w:r>
        <w:r w:rsidR="00C0292F">
          <w:rPr>
            <w:webHidden/>
          </w:rPr>
          <w:fldChar w:fldCharType="separate"/>
        </w:r>
        <w:r w:rsidR="00C0292F">
          <w:rPr>
            <w:webHidden/>
          </w:rPr>
          <w:t>5</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389" w:history="1">
        <w:r w:rsidR="00C0292F" w:rsidRPr="00FA5842">
          <w:rPr>
            <w:rStyle w:val="Hyperlink"/>
          </w:rPr>
          <w:t>1.9</w:t>
        </w:r>
        <w:r w:rsidR="00C0292F">
          <w:rPr>
            <w:rFonts w:asciiTheme="minorHAnsi" w:eastAsiaTheme="minorEastAsia" w:hAnsiTheme="minorHAnsi" w:cstheme="minorBidi"/>
            <w:sz w:val="22"/>
            <w:szCs w:val="22"/>
          </w:rPr>
          <w:tab/>
        </w:r>
        <w:r w:rsidR="00C0292F" w:rsidRPr="00FA5842">
          <w:rPr>
            <w:rStyle w:val="Hyperlink"/>
          </w:rPr>
          <w:t>Electric Resource Savings</w:t>
        </w:r>
        <w:r w:rsidR="00C0292F">
          <w:rPr>
            <w:webHidden/>
          </w:rPr>
          <w:tab/>
        </w:r>
        <w:r w:rsidR="00C0292F">
          <w:rPr>
            <w:webHidden/>
          </w:rPr>
          <w:fldChar w:fldCharType="begin"/>
        </w:r>
        <w:r w:rsidR="00C0292F">
          <w:rPr>
            <w:webHidden/>
          </w:rPr>
          <w:instrText xml:space="preserve"> PAGEREF _Toc310875389 \h </w:instrText>
        </w:r>
        <w:r w:rsidR="00C0292F">
          <w:rPr>
            <w:webHidden/>
          </w:rPr>
        </w:r>
        <w:r w:rsidR="00C0292F">
          <w:rPr>
            <w:webHidden/>
          </w:rPr>
          <w:fldChar w:fldCharType="separate"/>
        </w:r>
        <w:r w:rsidR="00C0292F">
          <w:rPr>
            <w:webHidden/>
          </w:rPr>
          <w:t>6</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390" w:history="1">
        <w:r w:rsidR="00C0292F" w:rsidRPr="00FA5842">
          <w:rPr>
            <w:rStyle w:val="Hyperlink"/>
          </w:rPr>
          <w:t>1.10</w:t>
        </w:r>
        <w:r w:rsidR="00C0292F">
          <w:rPr>
            <w:rFonts w:asciiTheme="minorHAnsi" w:eastAsiaTheme="minorEastAsia" w:hAnsiTheme="minorHAnsi" w:cstheme="minorBidi"/>
            <w:sz w:val="22"/>
            <w:szCs w:val="22"/>
          </w:rPr>
          <w:tab/>
        </w:r>
        <w:r w:rsidR="00C0292F" w:rsidRPr="00FA5842">
          <w:rPr>
            <w:rStyle w:val="Hyperlink"/>
          </w:rPr>
          <w:t>Post-Implementation Review</w:t>
        </w:r>
        <w:r w:rsidR="00C0292F">
          <w:rPr>
            <w:webHidden/>
          </w:rPr>
          <w:tab/>
        </w:r>
        <w:r w:rsidR="00C0292F">
          <w:rPr>
            <w:webHidden/>
          </w:rPr>
          <w:fldChar w:fldCharType="begin"/>
        </w:r>
        <w:r w:rsidR="00C0292F">
          <w:rPr>
            <w:webHidden/>
          </w:rPr>
          <w:instrText xml:space="preserve"> PAGEREF _Toc310875390 \h </w:instrText>
        </w:r>
        <w:r w:rsidR="00C0292F">
          <w:rPr>
            <w:webHidden/>
          </w:rPr>
        </w:r>
        <w:r w:rsidR="00C0292F">
          <w:rPr>
            <w:webHidden/>
          </w:rPr>
          <w:fldChar w:fldCharType="separate"/>
        </w:r>
        <w:r w:rsidR="00C0292F">
          <w:rPr>
            <w:webHidden/>
          </w:rPr>
          <w:t>6</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391" w:history="1">
        <w:r w:rsidR="00C0292F" w:rsidRPr="00FA5842">
          <w:rPr>
            <w:rStyle w:val="Hyperlink"/>
          </w:rPr>
          <w:t>1.11</w:t>
        </w:r>
        <w:r w:rsidR="00C0292F">
          <w:rPr>
            <w:rFonts w:asciiTheme="minorHAnsi" w:eastAsiaTheme="minorEastAsia" w:hAnsiTheme="minorHAnsi" w:cstheme="minorBidi"/>
            <w:sz w:val="22"/>
            <w:szCs w:val="22"/>
          </w:rPr>
          <w:tab/>
        </w:r>
        <w:r w:rsidR="00C0292F" w:rsidRPr="00FA5842">
          <w:rPr>
            <w:rStyle w:val="Hyperlink"/>
          </w:rPr>
          <w:t>Adjustments to Energy and Resource Savings</w:t>
        </w:r>
        <w:r w:rsidR="00C0292F">
          <w:rPr>
            <w:webHidden/>
          </w:rPr>
          <w:tab/>
        </w:r>
        <w:r w:rsidR="00C0292F">
          <w:rPr>
            <w:webHidden/>
          </w:rPr>
          <w:fldChar w:fldCharType="begin"/>
        </w:r>
        <w:r w:rsidR="00C0292F">
          <w:rPr>
            <w:webHidden/>
          </w:rPr>
          <w:instrText xml:space="preserve"> PAGEREF _Toc310875391 \h </w:instrText>
        </w:r>
        <w:r w:rsidR="00C0292F">
          <w:rPr>
            <w:webHidden/>
          </w:rPr>
        </w:r>
        <w:r w:rsidR="00C0292F">
          <w:rPr>
            <w:webHidden/>
          </w:rPr>
          <w:fldChar w:fldCharType="separate"/>
        </w:r>
        <w:r w:rsidR="00C0292F">
          <w:rPr>
            <w:webHidden/>
          </w:rPr>
          <w:t>7</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392" w:history="1">
        <w:r w:rsidR="00C0292F" w:rsidRPr="00FA5842">
          <w:rPr>
            <w:rStyle w:val="Hyperlink"/>
          </w:rPr>
          <w:t>1.12</w:t>
        </w:r>
        <w:r w:rsidR="00C0292F">
          <w:rPr>
            <w:rFonts w:asciiTheme="minorHAnsi" w:eastAsiaTheme="minorEastAsia" w:hAnsiTheme="minorHAnsi" w:cstheme="minorBidi"/>
            <w:sz w:val="22"/>
            <w:szCs w:val="22"/>
          </w:rPr>
          <w:tab/>
        </w:r>
        <w:r w:rsidR="00C0292F" w:rsidRPr="00FA5842">
          <w:rPr>
            <w:rStyle w:val="Hyperlink"/>
          </w:rPr>
          <w:t>Calculation of the Value of Resource Savings</w:t>
        </w:r>
        <w:r w:rsidR="00C0292F">
          <w:rPr>
            <w:webHidden/>
          </w:rPr>
          <w:tab/>
        </w:r>
        <w:r w:rsidR="00C0292F">
          <w:rPr>
            <w:webHidden/>
          </w:rPr>
          <w:fldChar w:fldCharType="begin"/>
        </w:r>
        <w:r w:rsidR="00C0292F">
          <w:rPr>
            <w:webHidden/>
          </w:rPr>
          <w:instrText xml:space="preserve"> PAGEREF _Toc310875392 \h </w:instrText>
        </w:r>
        <w:r w:rsidR="00C0292F">
          <w:rPr>
            <w:webHidden/>
          </w:rPr>
        </w:r>
        <w:r w:rsidR="00C0292F">
          <w:rPr>
            <w:webHidden/>
          </w:rPr>
          <w:fldChar w:fldCharType="separate"/>
        </w:r>
        <w:r w:rsidR="00C0292F">
          <w:rPr>
            <w:webHidden/>
          </w:rPr>
          <w:t>8</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393" w:history="1">
        <w:r w:rsidR="00C0292F" w:rsidRPr="00FA5842">
          <w:rPr>
            <w:rStyle w:val="Hyperlink"/>
          </w:rPr>
          <w:t>1.13</w:t>
        </w:r>
        <w:r w:rsidR="00C0292F">
          <w:rPr>
            <w:rFonts w:asciiTheme="minorHAnsi" w:eastAsiaTheme="minorEastAsia" w:hAnsiTheme="minorHAnsi" w:cstheme="minorBidi"/>
            <w:sz w:val="22"/>
            <w:szCs w:val="22"/>
          </w:rPr>
          <w:tab/>
        </w:r>
        <w:r w:rsidR="00C0292F" w:rsidRPr="00FA5842">
          <w:rPr>
            <w:rStyle w:val="Hyperlink"/>
          </w:rPr>
          <w:t>Transmission and Distribution System Losses</w:t>
        </w:r>
        <w:r w:rsidR="00C0292F">
          <w:rPr>
            <w:webHidden/>
          </w:rPr>
          <w:tab/>
        </w:r>
        <w:r w:rsidR="00C0292F">
          <w:rPr>
            <w:webHidden/>
          </w:rPr>
          <w:fldChar w:fldCharType="begin"/>
        </w:r>
        <w:r w:rsidR="00C0292F">
          <w:rPr>
            <w:webHidden/>
          </w:rPr>
          <w:instrText xml:space="preserve"> PAGEREF _Toc310875393 \h </w:instrText>
        </w:r>
        <w:r w:rsidR="00C0292F">
          <w:rPr>
            <w:webHidden/>
          </w:rPr>
        </w:r>
        <w:r w:rsidR="00C0292F">
          <w:rPr>
            <w:webHidden/>
          </w:rPr>
          <w:fldChar w:fldCharType="separate"/>
        </w:r>
        <w:r w:rsidR="00C0292F">
          <w:rPr>
            <w:webHidden/>
          </w:rPr>
          <w:t>8</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394" w:history="1">
        <w:r w:rsidR="00C0292F" w:rsidRPr="00FA5842">
          <w:rPr>
            <w:rStyle w:val="Hyperlink"/>
          </w:rPr>
          <w:t>1.14</w:t>
        </w:r>
        <w:r w:rsidR="00C0292F">
          <w:rPr>
            <w:rFonts w:asciiTheme="minorHAnsi" w:eastAsiaTheme="minorEastAsia" w:hAnsiTheme="minorHAnsi" w:cstheme="minorBidi"/>
            <w:sz w:val="22"/>
            <w:szCs w:val="22"/>
          </w:rPr>
          <w:tab/>
        </w:r>
        <w:r w:rsidR="00C0292F" w:rsidRPr="00FA5842">
          <w:rPr>
            <w:rStyle w:val="Hyperlink"/>
          </w:rPr>
          <w:t>Measure Lives</w:t>
        </w:r>
        <w:r w:rsidR="00C0292F">
          <w:rPr>
            <w:webHidden/>
          </w:rPr>
          <w:tab/>
        </w:r>
        <w:r w:rsidR="00C0292F">
          <w:rPr>
            <w:webHidden/>
          </w:rPr>
          <w:fldChar w:fldCharType="begin"/>
        </w:r>
        <w:r w:rsidR="00C0292F">
          <w:rPr>
            <w:webHidden/>
          </w:rPr>
          <w:instrText xml:space="preserve"> PAGEREF _Toc310875394 \h </w:instrText>
        </w:r>
        <w:r w:rsidR="00C0292F">
          <w:rPr>
            <w:webHidden/>
          </w:rPr>
        </w:r>
        <w:r w:rsidR="00C0292F">
          <w:rPr>
            <w:webHidden/>
          </w:rPr>
          <w:fldChar w:fldCharType="separate"/>
        </w:r>
        <w:r w:rsidR="00C0292F">
          <w:rPr>
            <w:webHidden/>
          </w:rPr>
          <w:t>8</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395" w:history="1">
        <w:r w:rsidR="00C0292F" w:rsidRPr="00FA5842">
          <w:rPr>
            <w:rStyle w:val="Hyperlink"/>
          </w:rPr>
          <w:t>1.15</w:t>
        </w:r>
        <w:r w:rsidR="00C0292F">
          <w:rPr>
            <w:rFonts w:asciiTheme="minorHAnsi" w:eastAsiaTheme="minorEastAsia" w:hAnsiTheme="minorHAnsi" w:cstheme="minorBidi"/>
            <w:sz w:val="22"/>
            <w:szCs w:val="22"/>
          </w:rPr>
          <w:tab/>
        </w:r>
        <w:r w:rsidR="00C0292F" w:rsidRPr="00FA5842">
          <w:rPr>
            <w:rStyle w:val="Hyperlink"/>
          </w:rPr>
          <w:t>Custom Measures</w:t>
        </w:r>
        <w:r w:rsidR="00C0292F">
          <w:rPr>
            <w:webHidden/>
          </w:rPr>
          <w:tab/>
        </w:r>
        <w:r w:rsidR="00C0292F">
          <w:rPr>
            <w:webHidden/>
          </w:rPr>
          <w:fldChar w:fldCharType="begin"/>
        </w:r>
        <w:r w:rsidR="00C0292F">
          <w:rPr>
            <w:webHidden/>
          </w:rPr>
          <w:instrText xml:space="preserve"> PAGEREF _Toc310875395 \h </w:instrText>
        </w:r>
        <w:r w:rsidR="00C0292F">
          <w:rPr>
            <w:webHidden/>
          </w:rPr>
        </w:r>
        <w:r w:rsidR="00C0292F">
          <w:rPr>
            <w:webHidden/>
          </w:rPr>
          <w:fldChar w:fldCharType="separate"/>
        </w:r>
        <w:r w:rsidR="00C0292F">
          <w:rPr>
            <w:webHidden/>
          </w:rPr>
          <w:t>9</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396" w:history="1">
        <w:r w:rsidR="00C0292F" w:rsidRPr="00FA5842">
          <w:rPr>
            <w:rStyle w:val="Hyperlink"/>
          </w:rPr>
          <w:t>1.16</w:t>
        </w:r>
        <w:r w:rsidR="00C0292F">
          <w:rPr>
            <w:rFonts w:asciiTheme="minorHAnsi" w:eastAsiaTheme="minorEastAsia" w:hAnsiTheme="minorHAnsi" w:cstheme="minorBidi"/>
            <w:sz w:val="22"/>
            <w:szCs w:val="22"/>
          </w:rPr>
          <w:tab/>
        </w:r>
        <w:r w:rsidR="00C0292F" w:rsidRPr="00FA5842">
          <w:rPr>
            <w:rStyle w:val="Hyperlink"/>
          </w:rPr>
          <w:t>Impact of Weather</w:t>
        </w:r>
        <w:r w:rsidR="00C0292F">
          <w:rPr>
            <w:webHidden/>
          </w:rPr>
          <w:tab/>
        </w:r>
        <w:r w:rsidR="00C0292F">
          <w:rPr>
            <w:webHidden/>
          </w:rPr>
          <w:fldChar w:fldCharType="begin"/>
        </w:r>
        <w:r w:rsidR="00C0292F">
          <w:rPr>
            <w:webHidden/>
          </w:rPr>
          <w:instrText xml:space="preserve"> PAGEREF _Toc310875396 \h </w:instrText>
        </w:r>
        <w:r w:rsidR="00C0292F">
          <w:rPr>
            <w:webHidden/>
          </w:rPr>
        </w:r>
        <w:r w:rsidR="00C0292F">
          <w:rPr>
            <w:webHidden/>
          </w:rPr>
          <w:fldChar w:fldCharType="separate"/>
        </w:r>
        <w:r w:rsidR="00C0292F">
          <w:rPr>
            <w:webHidden/>
          </w:rPr>
          <w:t>9</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397" w:history="1">
        <w:r w:rsidR="00C0292F" w:rsidRPr="00FA5842">
          <w:rPr>
            <w:rStyle w:val="Hyperlink"/>
          </w:rPr>
          <w:t>1.17</w:t>
        </w:r>
        <w:r w:rsidR="00C0292F">
          <w:rPr>
            <w:rFonts w:asciiTheme="minorHAnsi" w:eastAsiaTheme="minorEastAsia" w:hAnsiTheme="minorHAnsi" w:cstheme="minorBidi"/>
            <w:sz w:val="22"/>
            <w:szCs w:val="22"/>
          </w:rPr>
          <w:tab/>
        </w:r>
        <w:r w:rsidR="00C0292F" w:rsidRPr="00FA5842">
          <w:rPr>
            <w:rStyle w:val="Hyperlink"/>
          </w:rPr>
          <w:t>Measure Applicability Based on Sector</w:t>
        </w:r>
        <w:r w:rsidR="00C0292F">
          <w:rPr>
            <w:webHidden/>
          </w:rPr>
          <w:tab/>
        </w:r>
        <w:r w:rsidR="00C0292F">
          <w:rPr>
            <w:webHidden/>
          </w:rPr>
          <w:fldChar w:fldCharType="begin"/>
        </w:r>
        <w:r w:rsidR="00C0292F">
          <w:rPr>
            <w:webHidden/>
          </w:rPr>
          <w:instrText xml:space="preserve"> PAGEREF _Toc310875397 \h </w:instrText>
        </w:r>
        <w:r w:rsidR="00C0292F">
          <w:rPr>
            <w:webHidden/>
          </w:rPr>
        </w:r>
        <w:r w:rsidR="00C0292F">
          <w:rPr>
            <w:webHidden/>
          </w:rPr>
          <w:fldChar w:fldCharType="separate"/>
        </w:r>
        <w:r w:rsidR="00C0292F">
          <w:rPr>
            <w:webHidden/>
          </w:rPr>
          <w:t>10</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398" w:history="1">
        <w:r w:rsidR="00C0292F" w:rsidRPr="00FA5842">
          <w:rPr>
            <w:rStyle w:val="Hyperlink"/>
          </w:rPr>
          <w:t>1.18</w:t>
        </w:r>
        <w:r w:rsidR="00C0292F">
          <w:rPr>
            <w:rFonts w:asciiTheme="minorHAnsi" w:eastAsiaTheme="minorEastAsia" w:hAnsiTheme="minorHAnsi" w:cstheme="minorBidi"/>
            <w:sz w:val="22"/>
            <w:szCs w:val="22"/>
          </w:rPr>
          <w:tab/>
        </w:r>
        <w:r w:rsidR="00C0292F" w:rsidRPr="00FA5842">
          <w:rPr>
            <w:rStyle w:val="Hyperlink"/>
          </w:rPr>
          <w:t>Algorithms for Energy Efficient Measures</w:t>
        </w:r>
        <w:r w:rsidR="00C0292F">
          <w:rPr>
            <w:webHidden/>
          </w:rPr>
          <w:tab/>
        </w:r>
        <w:r w:rsidR="00C0292F">
          <w:rPr>
            <w:webHidden/>
          </w:rPr>
          <w:fldChar w:fldCharType="begin"/>
        </w:r>
        <w:r w:rsidR="00C0292F">
          <w:rPr>
            <w:webHidden/>
          </w:rPr>
          <w:instrText xml:space="preserve"> PAGEREF _Toc310875398 \h </w:instrText>
        </w:r>
        <w:r w:rsidR="00C0292F">
          <w:rPr>
            <w:webHidden/>
          </w:rPr>
        </w:r>
        <w:r w:rsidR="00C0292F">
          <w:rPr>
            <w:webHidden/>
          </w:rPr>
          <w:fldChar w:fldCharType="separate"/>
        </w:r>
        <w:r w:rsidR="00C0292F">
          <w:rPr>
            <w:webHidden/>
          </w:rPr>
          <w:t>10</w:t>
        </w:r>
        <w:r w:rsidR="00C0292F">
          <w:rPr>
            <w:webHidden/>
          </w:rPr>
          <w:fldChar w:fldCharType="end"/>
        </w:r>
      </w:hyperlink>
    </w:p>
    <w:p w:rsidR="00C0292F" w:rsidRDefault="00274AB1">
      <w:pPr>
        <w:pStyle w:val="TOC1"/>
        <w:tabs>
          <w:tab w:val="right" w:leader="dot" w:pos="8630"/>
        </w:tabs>
        <w:rPr>
          <w:rFonts w:asciiTheme="minorHAnsi" w:eastAsiaTheme="minorEastAsia" w:hAnsiTheme="minorHAnsi" w:cstheme="minorBidi"/>
          <w:b w:val="0"/>
          <w:caps w:val="0"/>
          <w:noProof/>
          <w:sz w:val="22"/>
          <w:szCs w:val="22"/>
        </w:rPr>
      </w:pPr>
      <w:hyperlink w:anchor="_Toc310875399" w:history="1">
        <w:r w:rsidR="00C0292F" w:rsidRPr="00FA5842">
          <w:rPr>
            <w:rStyle w:val="Hyperlink"/>
            <w:noProof/>
          </w:rPr>
          <w:t>2</w:t>
        </w:r>
        <w:r w:rsidR="00C0292F">
          <w:rPr>
            <w:rFonts w:asciiTheme="minorHAnsi" w:eastAsiaTheme="minorEastAsia" w:hAnsiTheme="minorHAnsi" w:cstheme="minorBidi"/>
            <w:b w:val="0"/>
            <w:caps w:val="0"/>
            <w:noProof/>
            <w:sz w:val="22"/>
            <w:szCs w:val="22"/>
          </w:rPr>
          <w:tab/>
        </w:r>
        <w:r w:rsidR="00C0292F" w:rsidRPr="00FA5842">
          <w:rPr>
            <w:rStyle w:val="Hyperlink"/>
            <w:noProof/>
          </w:rPr>
          <w:t>Residential Measures</w:t>
        </w:r>
        <w:r w:rsidR="00C0292F">
          <w:rPr>
            <w:noProof/>
            <w:webHidden/>
          </w:rPr>
          <w:tab/>
        </w:r>
        <w:r w:rsidR="00C0292F">
          <w:rPr>
            <w:noProof/>
            <w:webHidden/>
          </w:rPr>
          <w:fldChar w:fldCharType="begin"/>
        </w:r>
        <w:r w:rsidR="00C0292F">
          <w:rPr>
            <w:noProof/>
            <w:webHidden/>
          </w:rPr>
          <w:instrText xml:space="preserve"> PAGEREF _Toc310875399 \h </w:instrText>
        </w:r>
        <w:r w:rsidR="00C0292F">
          <w:rPr>
            <w:noProof/>
            <w:webHidden/>
          </w:rPr>
        </w:r>
        <w:r w:rsidR="00C0292F">
          <w:rPr>
            <w:noProof/>
            <w:webHidden/>
          </w:rPr>
          <w:fldChar w:fldCharType="separate"/>
        </w:r>
        <w:r w:rsidR="00C0292F">
          <w:rPr>
            <w:noProof/>
            <w:webHidden/>
          </w:rPr>
          <w:t>11</w:t>
        </w:r>
        <w:r w:rsidR="00C0292F">
          <w:rPr>
            <w:noProof/>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00" w:history="1">
        <w:r w:rsidR="00C0292F" w:rsidRPr="00FA5842">
          <w:rPr>
            <w:rStyle w:val="Hyperlink"/>
          </w:rPr>
          <w:t>2.1</w:t>
        </w:r>
        <w:r w:rsidR="00C0292F">
          <w:rPr>
            <w:rFonts w:asciiTheme="minorHAnsi" w:eastAsiaTheme="minorEastAsia" w:hAnsiTheme="minorHAnsi" w:cstheme="minorBidi"/>
            <w:sz w:val="22"/>
            <w:szCs w:val="22"/>
          </w:rPr>
          <w:tab/>
        </w:r>
        <w:r w:rsidR="00C0292F" w:rsidRPr="00FA5842">
          <w:rPr>
            <w:rStyle w:val="Hyperlink"/>
          </w:rPr>
          <w:t>Electric HVAC</w:t>
        </w:r>
        <w:r w:rsidR="00C0292F">
          <w:rPr>
            <w:webHidden/>
          </w:rPr>
          <w:tab/>
        </w:r>
        <w:r w:rsidR="00C0292F">
          <w:rPr>
            <w:webHidden/>
          </w:rPr>
          <w:fldChar w:fldCharType="begin"/>
        </w:r>
        <w:r w:rsidR="00C0292F">
          <w:rPr>
            <w:webHidden/>
          </w:rPr>
          <w:instrText xml:space="preserve"> PAGEREF _Toc310875400 \h </w:instrText>
        </w:r>
        <w:r w:rsidR="00C0292F">
          <w:rPr>
            <w:webHidden/>
          </w:rPr>
        </w:r>
        <w:r w:rsidR="00C0292F">
          <w:rPr>
            <w:webHidden/>
          </w:rPr>
          <w:fldChar w:fldCharType="separate"/>
        </w:r>
        <w:r w:rsidR="00C0292F">
          <w:rPr>
            <w:webHidden/>
          </w:rPr>
          <w:t>12</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01" w:history="1">
        <w:r w:rsidR="00C0292F" w:rsidRPr="00FA5842">
          <w:rPr>
            <w:rStyle w:val="Hyperlink"/>
          </w:rPr>
          <w:t>2.2</w:t>
        </w:r>
        <w:r w:rsidR="00C0292F">
          <w:rPr>
            <w:rFonts w:asciiTheme="minorHAnsi" w:eastAsiaTheme="minorEastAsia" w:hAnsiTheme="minorHAnsi" w:cstheme="minorBidi"/>
            <w:sz w:val="22"/>
            <w:szCs w:val="22"/>
          </w:rPr>
          <w:tab/>
        </w:r>
        <w:r w:rsidR="00C0292F" w:rsidRPr="00FA5842">
          <w:rPr>
            <w:rStyle w:val="Hyperlink"/>
          </w:rPr>
          <w:t>Electric Clothes Dryer with Moisture Sensor</w:t>
        </w:r>
        <w:r w:rsidR="00C0292F">
          <w:rPr>
            <w:webHidden/>
          </w:rPr>
          <w:tab/>
        </w:r>
        <w:r w:rsidR="00C0292F">
          <w:rPr>
            <w:webHidden/>
          </w:rPr>
          <w:fldChar w:fldCharType="begin"/>
        </w:r>
        <w:r w:rsidR="00C0292F">
          <w:rPr>
            <w:webHidden/>
          </w:rPr>
          <w:instrText xml:space="preserve"> PAGEREF _Toc310875401 \h </w:instrText>
        </w:r>
        <w:r w:rsidR="00C0292F">
          <w:rPr>
            <w:webHidden/>
          </w:rPr>
        </w:r>
        <w:r w:rsidR="00C0292F">
          <w:rPr>
            <w:webHidden/>
          </w:rPr>
          <w:fldChar w:fldCharType="separate"/>
        </w:r>
        <w:r w:rsidR="00C0292F">
          <w:rPr>
            <w:webHidden/>
          </w:rPr>
          <w:t>18</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02" w:history="1">
        <w:r w:rsidR="00C0292F" w:rsidRPr="00FA5842">
          <w:rPr>
            <w:rStyle w:val="Hyperlink"/>
          </w:rPr>
          <w:t>2.3</w:t>
        </w:r>
        <w:r w:rsidR="00C0292F">
          <w:rPr>
            <w:rFonts w:asciiTheme="minorHAnsi" w:eastAsiaTheme="minorEastAsia" w:hAnsiTheme="minorHAnsi" w:cstheme="minorBidi"/>
            <w:sz w:val="22"/>
            <w:szCs w:val="22"/>
          </w:rPr>
          <w:tab/>
        </w:r>
        <w:r w:rsidR="00C0292F" w:rsidRPr="00FA5842">
          <w:rPr>
            <w:rStyle w:val="Hyperlink"/>
          </w:rPr>
          <w:t>Efficient Electric Water Heaters</w:t>
        </w:r>
        <w:r w:rsidR="00C0292F">
          <w:rPr>
            <w:webHidden/>
          </w:rPr>
          <w:tab/>
        </w:r>
        <w:r w:rsidR="00C0292F">
          <w:rPr>
            <w:webHidden/>
          </w:rPr>
          <w:fldChar w:fldCharType="begin"/>
        </w:r>
        <w:r w:rsidR="00C0292F">
          <w:rPr>
            <w:webHidden/>
          </w:rPr>
          <w:instrText xml:space="preserve"> PAGEREF _Toc310875402 \h </w:instrText>
        </w:r>
        <w:r w:rsidR="00C0292F">
          <w:rPr>
            <w:webHidden/>
          </w:rPr>
        </w:r>
        <w:r w:rsidR="00C0292F">
          <w:rPr>
            <w:webHidden/>
          </w:rPr>
          <w:fldChar w:fldCharType="separate"/>
        </w:r>
        <w:r w:rsidR="00C0292F">
          <w:rPr>
            <w:webHidden/>
          </w:rPr>
          <w:t>20</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03" w:history="1">
        <w:r w:rsidR="00C0292F" w:rsidRPr="00FA5842">
          <w:rPr>
            <w:rStyle w:val="Hyperlink"/>
          </w:rPr>
          <w:t>2.4</w:t>
        </w:r>
        <w:r w:rsidR="00C0292F">
          <w:rPr>
            <w:rFonts w:asciiTheme="minorHAnsi" w:eastAsiaTheme="minorEastAsia" w:hAnsiTheme="minorHAnsi" w:cstheme="minorBidi"/>
            <w:sz w:val="22"/>
            <w:szCs w:val="22"/>
          </w:rPr>
          <w:tab/>
        </w:r>
        <w:r w:rsidR="00C0292F" w:rsidRPr="00FA5842">
          <w:rPr>
            <w:rStyle w:val="Hyperlink"/>
          </w:rPr>
          <w:t>Electroluminescent Nightlight</w:t>
        </w:r>
        <w:r w:rsidR="00C0292F">
          <w:rPr>
            <w:webHidden/>
          </w:rPr>
          <w:tab/>
        </w:r>
        <w:r w:rsidR="00C0292F">
          <w:rPr>
            <w:webHidden/>
          </w:rPr>
          <w:fldChar w:fldCharType="begin"/>
        </w:r>
        <w:r w:rsidR="00C0292F">
          <w:rPr>
            <w:webHidden/>
          </w:rPr>
          <w:instrText xml:space="preserve"> PAGEREF _Toc310875403 \h </w:instrText>
        </w:r>
        <w:r w:rsidR="00C0292F">
          <w:rPr>
            <w:webHidden/>
          </w:rPr>
        </w:r>
        <w:r w:rsidR="00C0292F">
          <w:rPr>
            <w:webHidden/>
          </w:rPr>
          <w:fldChar w:fldCharType="separate"/>
        </w:r>
        <w:r w:rsidR="00C0292F">
          <w:rPr>
            <w:webHidden/>
          </w:rPr>
          <w:t>24</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04" w:history="1">
        <w:r w:rsidR="00C0292F" w:rsidRPr="00FA5842">
          <w:rPr>
            <w:rStyle w:val="Hyperlink"/>
          </w:rPr>
          <w:t>2.5</w:t>
        </w:r>
        <w:r w:rsidR="00C0292F">
          <w:rPr>
            <w:rFonts w:asciiTheme="minorHAnsi" w:eastAsiaTheme="minorEastAsia" w:hAnsiTheme="minorHAnsi" w:cstheme="minorBidi"/>
            <w:sz w:val="22"/>
            <w:szCs w:val="22"/>
          </w:rPr>
          <w:tab/>
        </w:r>
        <w:r w:rsidR="00C0292F" w:rsidRPr="00FA5842">
          <w:rPr>
            <w:rStyle w:val="Hyperlink"/>
          </w:rPr>
          <w:t>Furnace Whistle</w:t>
        </w:r>
        <w:r w:rsidR="00C0292F">
          <w:rPr>
            <w:webHidden/>
          </w:rPr>
          <w:tab/>
        </w:r>
        <w:r w:rsidR="00C0292F">
          <w:rPr>
            <w:webHidden/>
          </w:rPr>
          <w:fldChar w:fldCharType="begin"/>
        </w:r>
        <w:r w:rsidR="00C0292F">
          <w:rPr>
            <w:webHidden/>
          </w:rPr>
          <w:instrText xml:space="preserve"> PAGEREF _Toc310875404 \h </w:instrText>
        </w:r>
        <w:r w:rsidR="00C0292F">
          <w:rPr>
            <w:webHidden/>
          </w:rPr>
        </w:r>
        <w:r w:rsidR="00C0292F">
          <w:rPr>
            <w:webHidden/>
          </w:rPr>
          <w:fldChar w:fldCharType="separate"/>
        </w:r>
        <w:r w:rsidR="00C0292F">
          <w:rPr>
            <w:webHidden/>
          </w:rPr>
          <w:t>26</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05" w:history="1">
        <w:r w:rsidR="00C0292F" w:rsidRPr="00FA5842">
          <w:rPr>
            <w:rStyle w:val="Hyperlink"/>
          </w:rPr>
          <w:t>2.6</w:t>
        </w:r>
        <w:r w:rsidR="00C0292F">
          <w:rPr>
            <w:rFonts w:asciiTheme="minorHAnsi" w:eastAsiaTheme="minorEastAsia" w:hAnsiTheme="minorHAnsi" w:cstheme="minorBidi"/>
            <w:sz w:val="22"/>
            <w:szCs w:val="22"/>
          </w:rPr>
          <w:tab/>
        </w:r>
        <w:r w:rsidR="00C0292F" w:rsidRPr="00FA5842">
          <w:rPr>
            <w:rStyle w:val="Hyperlink"/>
          </w:rPr>
          <w:t>Heat Pump Water Heaters</w:t>
        </w:r>
        <w:r w:rsidR="00C0292F">
          <w:rPr>
            <w:webHidden/>
          </w:rPr>
          <w:tab/>
        </w:r>
        <w:r w:rsidR="00C0292F">
          <w:rPr>
            <w:webHidden/>
          </w:rPr>
          <w:fldChar w:fldCharType="begin"/>
        </w:r>
        <w:r w:rsidR="00C0292F">
          <w:rPr>
            <w:webHidden/>
          </w:rPr>
          <w:instrText xml:space="preserve"> PAGEREF _Toc310875405 \h </w:instrText>
        </w:r>
        <w:r w:rsidR="00C0292F">
          <w:rPr>
            <w:webHidden/>
          </w:rPr>
        </w:r>
        <w:r w:rsidR="00C0292F">
          <w:rPr>
            <w:webHidden/>
          </w:rPr>
          <w:fldChar w:fldCharType="separate"/>
        </w:r>
        <w:r w:rsidR="00C0292F">
          <w:rPr>
            <w:webHidden/>
          </w:rPr>
          <w:t>30</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06" w:history="1">
        <w:r w:rsidR="00C0292F" w:rsidRPr="00FA5842">
          <w:rPr>
            <w:rStyle w:val="Hyperlink"/>
          </w:rPr>
          <w:t>2.7</w:t>
        </w:r>
        <w:r w:rsidR="00C0292F">
          <w:rPr>
            <w:rFonts w:asciiTheme="minorHAnsi" w:eastAsiaTheme="minorEastAsia" w:hAnsiTheme="minorHAnsi" w:cstheme="minorBidi"/>
            <w:sz w:val="22"/>
            <w:szCs w:val="22"/>
          </w:rPr>
          <w:tab/>
        </w:r>
        <w:r w:rsidR="00C0292F" w:rsidRPr="00FA5842">
          <w:rPr>
            <w:rStyle w:val="Hyperlink"/>
          </w:rPr>
          <w:t>Home Audit Conservation Kits</w:t>
        </w:r>
        <w:r w:rsidR="00C0292F">
          <w:rPr>
            <w:webHidden/>
          </w:rPr>
          <w:tab/>
        </w:r>
        <w:r w:rsidR="00C0292F">
          <w:rPr>
            <w:webHidden/>
          </w:rPr>
          <w:fldChar w:fldCharType="begin"/>
        </w:r>
        <w:r w:rsidR="00C0292F">
          <w:rPr>
            <w:webHidden/>
          </w:rPr>
          <w:instrText xml:space="preserve"> PAGEREF _Toc310875406 \h </w:instrText>
        </w:r>
        <w:r w:rsidR="00C0292F">
          <w:rPr>
            <w:webHidden/>
          </w:rPr>
        </w:r>
        <w:r w:rsidR="00C0292F">
          <w:rPr>
            <w:webHidden/>
          </w:rPr>
          <w:fldChar w:fldCharType="separate"/>
        </w:r>
        <w:r w:rsidR="00C0292F">
          <w:rPr>
            <w:webHidden/>
          </w:rPr>
          <w:t>35</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07" w:history="1">
        <w:r w:rsidR="00C0292F" w:rsidRPr="00FA5842">
          <w:rPr>
            <w:rStyle w:val="Hyperlink"/>
          </w:rPr>
          <w:t>2.8</w:t>
        </w:r>
        <w:r w:rsidR="00C0292F">
          <w:rPr>
            <w:rFonts w:asciiTheme="minorHAnsi" w:eastAsiaTheme="minorEastAsia" w:hAnsiTheme="minorHAnsi" w:cstheme="minorBidi"/>
            <w:sz w:val="22"/>
            <w:szCs w:val="22"/>
          </w:rPr>
          <w:tab/>
        </w:r>
        <w:r w:rsidR="00C0292F" w:rsidRPr="00FA5842">
          <w:rPr>
            <w:rStyle w:val="Hyperlink"/>
          </w:rPr>
          <w:t>LED Nightlight</w:t>
        </w:r>
        <w:r w:rsidR="00C0292F">
          <w:rPr>
            <w:webHidden/>
          </w:rPr>
          <w:tab/>
        </w:r>
        <w:r w:rsidR="00C0292F">
          <w:rPr>
            <w:webHidden/>
          </w:rPr>
          <w:fldChar w:fldCharType="begin"/>
        </w:r>
        <w:r w:rsidR="00C0292F">
          <w:rPr>
            <w:webHidden/>
          </w:rPr>
          <w:instrText xml:space="preserve"> PAGEREF _Toc310875407 \h </w:instrText>
        </w:r>
        <w:r w:rsidR="00C0292F">
          <w:rPr>
            <w:webHidden/>
          </w:rPr>
        </w:r>
        <w:r w:rsidR="00C0292F">
          <w:rPr>
            <w:webHidden/>
          </w:rPr>
          <w:fldChar w:fldCharType="separate"/>
        </w:r>
        <w:r w:rsidR="00C0292F">
          <w:rPr>
            <w:webHidden/>
          </w:rPr>
          <w:t>38</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08" w:history="1">
        <w:r w:rsidR="00C0292F" w:rsidRPr="00FA5842">
          <w:rPr>
            <w:rStyle w:val="Hyperlink"/>
          </w:rPr>
          <w:t>2.9</w:t>
        </w:r>
        <w:r w:rsidR="00C0292F">
          <w:rPr>
            <w:rFonts w:asciiTheme="minorHAnsi" w:eastAsiaTheme="minorEastAsia" w:hAnsiTheme="minorHAnsi" w:cstheme="minorBidi"/>
            <w:sz w:val="22"/>
            <w:szCs w:val="22"/>
          </w:rPr>
          <w:tab/>
        </w:r>
        <w:r w:rsidR="00C0292F" w:rsidRPr="00FA5842">
          <w:rPr>
            <w:rStyle w:val="Hyperlink"/>
          </w:rPr>
          <w:t>Low Flow Faucet Aerators</w:t>
        </w:r>
        <w:r w:rsidR="00C0292F">
          <w:rPr>
            <w:webHidden/>
          </w:rPr>
          <w:tab/>
        </w:r>
        <w:r w:rsidR="00C0292F">
          <w:rPr>
            <w:webHidden/>
          </w:rPr>
          <w:fldChar w:fldCharType="begin"/>
        </w:r>
        <w:r w:rsidR="00C0292F">
          <w:rPr>
            <w:webHidden/>
          </w:rPr>
          <w:instrText xml:space="preserve"> PAGEREF _Toc310875408 \h </w:instrText>
        </w:r>
        <w:r w:rsidR="00C0292F">
          <w:rPr>
            <w:webHidden/>
          </w:rPr>
        </w:r>
        <w:r w:rsidR="00C0292F">
          <w:rPr>
            <w:webHidden/>
          </w:rPr>
          <w:fldChar w:fldCharType="separate"/>
        </w:r>
        <w:r w:rsidR="00C0292F">
          <w:rPr>
            <w:webHidden/>
          </w:rPr>
          <w:t>40</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09" w:history="1">
        <w:r w:rsidR="00C0292F" w:rsidRPr="00FA5842">
          <w:rPr>
            <w:rStyle w:val="Hyperlink"/>
          </w:rPr>
          <w:t>2.10</w:t>
        </w:r>
        <w:r w:rsidR="00C0292F">
          <w:rPr>
            <w:rFonts w:asciiTheme="minorHAnsi" w:eastAsiaTheme="minorEastAsia" w:hAnsiTheme="minorHAnsi" w:cstheme="minorBidi"/>
            <w:sz w:val="22"/>
            <w:szCs w:val="22"/>
          </w:rPr>
          <w:tab/>
        </w:r>
        <w:r w:rsidR="00C0292F" w:rsidRPr="00FA5842">
          <w:rPr>
            <w:rStyle w:val="Hyperlink"/>
          </w:rPr>
          <w:t>Low Flow Showerheads</w:t>
        </w:r>
        <w:r w:rsidR="00C0292F">
          <w:rPr>
            <w:webHidden/>
          </w:rPr>
          <w:tab/>
        </w:r>
        <w:r w:rsidR="00C0292F">
          <w:rPr>
            <w:webHidden/>
          </w:rPr>
          <w:fldChar w:fldCharType="begin"/>
        </w:r>
        <w:r w:rsidR="00C0292F">
          <w:rPr>
            <w:webHidden/>
          </w:rPr>
          <w:instrText xml:space="preserve"> PAGEREF _Toc310875409 \h </w:instrText>
        </w:r>
        <w:r w:rsidR="00C0292F">
          <w:rPr>
            <w:webHidden/>
          </w:rPr>
        </w:r>
        <w:r w:rsidR="00C0292F">
          <w:rPr>
            <w:webHidden/>
          </w:rPr>
          <w:fldChar w:fldCharType="separate"/>
        </w:r>
        <w:r w:rsidR="00C0292F">
          <w:rPr>
            <w:webHidden/>
          </w:rPr>
          <w:t>44</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10" w:history="1">
        <w:r w:rsidR="00C0292F" w:rsidRPr="00FA5842">
          <w:rPr>
            <w:rStyle w:val="Hyperlink"/>
          </w:rPr>
          <w:t>2.11</w:t>
        </w:r>
        <w:r w:rsidR="00C0292F">
          <w:rPr>
            <w:rFonts w:asciiTheme="minorHAnsi" w:eastAsiaTheme="minorEastAsia" w:hAnsiTheme="minorHAnsi" w:cstheme="minorBidi"/>
            <w:sz w:val="22"/>
            <w:szCs w:val="22"/>
          </w:rPr>
          <w:tab/>
        </w:r>
        <w:r w:rsidR="00C0292F" w:rsidRPr="00FA5842">
          <w:rPr>
            <w:rStyle w:val="Hyperlink"/>
          </w:rPr>
          <w:t>Programmable Thermostat</w:t>
        </w:r>
        <w:r w:rsidR="00C0292F">
          <w:rPr>
            <w:webHidden/>
          </w:rPr>
          <w:tab/>
        </w:r>
        <w:r w:rsidR="00C0292F">
          <w:rPr>
            <w:webHidden/>
          </w:rPr>
          <w:fldChar w:fldCharType="begin"/>
        </w:r>
        <w:r w:rsidR="00C0292F">
          <w:rPr>
            <w:webHidden/>
          </w:rPr>
          <w:instrText xml:space="preserve"> PAGEREF _Toc310875410 \h </w:instrText>
        </w:r>
        <w:r w:rsidR="00C0292F">
          <w:rPr>
            <w:webHidden/>
          </w:rPr>
        </w:r>
        <w:r w:rsidR="00C0292F">
          <w:rPr>
            <w:webHidden/>
          </w:rPr>
          <w:fldChar w:fldCharType="separate"/>
        </w:r>
        <w:r w:rsidR="00C0292F">
          <w:rPr>
            <w:webHidden/>
          </w:rPr>
          <w:t>47</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11" w:history="1">
        <w:r w:rsidR="00C0292F" w:rsidRPr="00FA5842">
          <w:rPr>
            <w:rStyle w:val="Hyperlink"/>
          </w:rPr>
          <w:t>2.12</w:t>
        </w:r>
        <w:r w:rsidR="00C0292F">
          <w:rPr>
            <w:rFonts w:asciiTheme="minorHAnsi" w:eastAsiaTheme="minorEastAsia" w:hAnsiTheme="minorHAnsi" w:cstheme="minorBidi"/>
            <w:sz w:val="22"/>
            <w:szCs w:val="22"/>
          </w:rPr>
          <w:tab/>
        </w:r>
        <w:r w:rsidR="00C0292F" w:rsidRPr="00FA5842">
          <w:rPr>
            <w:rStyle w:val="Hyperlink"/>
          </w:rPr>
          <w:t>Room AC (RAC) Retirement</w:t>
        </w:r>
        <w:r w:rsidR="00C0292F">
          <w:rPr>
            <w:webHidden/>
          </w:rPr>
          <w:tab/>
        </w:r>
        <w:r w:rsidR="00C0292F">
          <w:rPr>
            <w:webHidden/>
          </w:rPr>
          <w:fldChar w:fldCharType="begin"/>
        </w:r>
        <w:r w:rsidR="00C0292F">
          <w:rPr>
            <w:webHidden/>
          </w:rPr>
          <w:instrText xml:space="preserve"> PAGEREF _Toc310875411 \h </w:instrText>
        </w:r>
        <w:r w:rsidR="00C0292F">
          <w:rPr>
            <w:webHidden/>
          </w:rPr>
        </w:r>
        <w:r w:rsidR="00C0292F">
          <w:rPr>
            <w:webHidden/>
          </w:rPr>
          <w:fldChar w:fldCharType="separate"/>
        </w:r>
        <w:r w:rsidR="00C0292F">
          <w:rPr>
            <w:webHidden/>
          </w:rPr>
          <w:t>50</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12" w:history="1">
        <w:r w:rsidR="00C0292F" w:rsidRPr="00FA5842">
          <w:rPr>
            <w:rStyle w:val="Hyperlink"/>
          </w:rPr>
          <w:t>2.13</w:t>
        </w:r>
        <w:r w:rsidR="00C0292F">
          <w:rPr>
            <w:rFonts w:asciiTheme="minorHAnsi" w:eastAsiaTheme="minorEastAsia" w:hAnsiTheme="minorHAnsi" w:cstheme="minorBidi"/>
            <w:sz w:val="22"/>
            <w:szCs w:val="22"/>
          </w:rPr>
          <w:tab/>
        </w:r>
        <w:r w:rsidR="00C0292F" w:rsidRPr="00FA5842">
          <w:rPr>
            <w:rStyle w:val="Hyperlink"/>
          </w:rPr>
          <w:t>Smart Strip Plug Outlets</w:t>
        </w:r>
        <w:r w:rsidR="00C0292F">
          <w:rPr>
            <w:webHidden/>
          </w:rPr>
          <w:tab/>
        </w:r>
        <w:r w:rsidR="00C0292F">
          <w:rPr>
            <w:webHidden/>
          </w:rPr>
          <w:fldChar w:fldCharType="begin"/>
        </w:r>
        <w:r w:rsidR="00C0292F">
          <w:rPr>
            <w:webHidden/>
          </w:rPr>
          <w:instrText xml:space="preserve"> PAGEREF _Toc310875412 \h </w:instrText>
        </w:r>
        <w:r w:rsidR="00C0292F">
          <w:rPr>
            <w:webHidden/>
          </w:rPr>
        </w:r>
        <w:r w:rsidR="00C0292F">
          <w:rPr>
            <w:webHidden/>
          </w:rPr>
          <w:fldChar w:fldCharType="separate"/>
        </w:r>
        <w:r w:rsidR="00C0292F">
          <w:rPr>
            <w:webHidden/>
          </w:rPr>
          <w:t>56</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13" w:history="1">
        <w:r w:rsidR="00C0292F" w:rsidRPr="00FA5842">
          <w:rPr>
            <w:rStyle w:val="Hyperlink"/>
          </w:rPr>
          <w:t>2.14</w:t>
        </w:r>
        <w:r w:rsidR="00C0292F">
          <w:rPr>
            <w:rFonts w:asciiTheme="minorHAnsi" w:eastAsiaTheme="minorEastAsia" w:hAnsiTheme="minorHAnsi" w:cstheme="minorBidi"/>
            <w:sz w:val="22"/>
            <w:szCs w:val="22"/>
          </w:rPr>
          <w:tab/>
        </w:r>
        <w:r w:rsidR="00C0292F" w:rsidRPr="00FA5842">
          <w:rPr>
            <w:rStyle w:val="Hyperlink"/>
          </w:rPr>
          <w:t>Solar Water Heaters</w:t>
        </w:r>
        <w:r w:rsidR="00C0292F">
          <w:rPr>
            <w:webHidden/>
          </w:rPr>
          <w:tab/>
        </w:r>
        <w:r w:rsidR="00C0292F">
          <w:rPr>
            <w:webHidden/>
          </w:rPr>
          <w:fldChar w:fldCharType="begin"/>
        </w:r>
        <w:r w:rsidR="00C0292F">
          <w:rPr>
            <w:webHidden/>
          </w:rPr>
          <w:instrText xml:space="preserve"> PAGEREF _Toc310875413 \h </w:instrText>
        </w:r>
        <w:r w:rsidR="00C0292F">
          <w:rPr>
            <w:webHidden/>
          </w:rPr>
        </w:r>
        <w:r w:rsidR="00C0292F">
          <w:rPr>
            <w:webHidden/>
          </w:rPr>
          <w:fldChar w:fldCharType="separate"/>
        </w:r>
        <w:r w:rsidR="00C0292F">
          <w:rPr>
            <w:webHidden/>
          </w:rPr>
          <w:t>58</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14" w:history="1">
        <w:r w:rsidR="00C0292F" w:rsidRPr="00FA5842">
          <w:rPr>
            <w:rStyle w:val="Hyperlink"/>
          </w:rPr>
          <w:t>2.15</w:t>
        </w:r>
        <w:r w:rsidR="00C0292F">
          <w:rPr>
            <w:rFonts w:asciiTheme="minorHAnsi" w:eastAsiaTheme="minorEastAsia" w:hAnsiTheme="minorHAnsi" w:cstheme="minorBidi"/>
            <w:sz w:val="22"/>
            <w:szCs w:val="22"/>
          </w:rPr>
          <w:tab/>
        </w:r>
        <w:r w:rsidR="00C0292F" w:rsidRPr="00FA5842">
          <w:rPr>
            <w:rStyle w:val="Hyperlink"/>
          </w:rPr>
          <w:t>Electric Water Heater Pipe Insulation</w:t>
        </w:r>
        <w:r w:rsidR="00C0292F">
          <w:rPr>
            <w:webHidden/>
          </w:rPr>
          <w:tab/>
        </w:r>
        <w:r w:rsidR="00C0292F">
          <w:rPr>
            <w:webHidden/>
          </w:rPr>
          <w:fldChar w:fldCharType="begin"/>
        </w:r>
        <w:r w:rsidR="00C0292F">
          <w:rPr>
            <w:webHidden/>
          </w:rPr>
          <w:instrText xml:space="preserve"> PAGEREF _Toc310875414 \h </w:instrText>
        </w:r>
        <w:r w:rsidR="00C0292F">
          <w:rPr>
            <w:webHidden/>
          </w:rPr>
        </w:r>
        <w:r w:rsidR="00C0292F">
          <w:rPr>
            <w:webHidden/>
          </w:rPr>
          <w:fldChar w:fldCharType="separate"/>
        </w:r>
        <w:r w:rsidR="00C0292F">
          <w:rPr>
            <w:webHidden/>
          </w:rPr>
          <w:t>62</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15" w:history="1">
        <w:r w:rsidR="00C0292F" w:rsidRPr="00FA5842">
          <w:rPr>
            <w:rStyle w:val="Hyperlink"/>
          </w:rPr>
          <w:t>2.16</w:t>
        </w:r>
        <w:r w:rsidR="00C0292F">
          <w:rPr>
            <w:rFonts w:asciiTheme="minorHAnsi" w:eastAsiaTheme="minorEastAsia" w:hAnsiTheme="minorHAnsi" w:cstheme="minorBidi"/>
            <w:sz w:val="22"/>
            <w:szCs w:val="22"/>
          </w:rPr>
          <w:tab/>
        </w:r>
        <w:r w:rsidR="00C0292F" w:rsidRPr="00FA5842">
          <w:rPr>
            <w:rStyle w:val="Hyperlink"/>
          </w:rPr>
          <w:t>Residential Whole House Fans</w:t>
        </w:r>
        <w:r w:rsidR="00C0292F">
          <w:rPr>
            <w:webHidden/>
          </w:rPr>
          <w:tab/>
        </w:r>
        <w:r w:rsidR="00C0292F">
          <w:rPr>
            <w:webHidden/>
          </w:rPr>
          <w:fldChar w:fldCharType="begin"/>
        </w:r>
        <w:r w:rsidR="00C0292F">
          <w:rPr>
            <w:webHidden/>
          </w:rPr>
          <w:instrText xml:space="preserve"> PAGEREF _Toc310875415 \h </w:instrText>
        </w:r>
        <w:r w:rsidR="00C0292F">
          <w:rPr>
            <w:webHidden/>
          </w:rPr>
        </w:r>
        <w:r w:rsidR="00C0292F">
          <w:rPr>
            <w:webHidden/>
          </w:rPr>
          <w:fldChar w:fldCharType="separate"/>
        </w:r>
        <w:r w:rsidR="00C0292F">
          <w:rPr>
            <w:webHidden/>
          </w:rPr>
          <w:t>65</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16" w:history="1">
        <w:r w:rsidR="00C0292F" w:rsidRPr="00FA5842">
          <w:rPr>
            <w:rStyle w:val="Hyperlink"/>
          </w:rPr>
          <w:t>2.17</w:t>
        </w:r>
        <w:r w:rsidR="00C0292F">
          <w:rPr>
            <w:rFonts w:asciiTheme="minorHAnsi" w:eastAsiaTheme="minorEastAsia" w:hAnsiTheme="minorHAnsi" w:cstheme="minorBidi"/>
            <w:sz w:val="22"/>
            <w:szCs w:val="22"/>
          </w:rPr>
          <w:tab/>
        </w:r>
        <w:r w:rsidR="00C0292F" w:rsidRPr="00FA5842">
          <w:rPr>
            <w:rStyle w:val="Hyperlink"/>
          </w:rPr>
          <w:t>Ductless Mini-Split Heat Pumps</w:t>
        </w:r>
        <w:r w:rsidR="00C0292F">
          <w:rPr>
            <w:webHidden/>
          </w:rPr>
          <w:tab/>
        </w:r>
        <w:r w:rsidR="00C0292F">
          <w:rPr>
            <w:webHidden/>
          </w:rPr>
          <w:fldChar w:fldCharType="begin"/>
        </w:r>
        <w:r w:rsidR="00C0292F">
          <w:rPr>
            <w:webHidden/>
          </w:rPr>
          <w:instrText xml:space="preserve"> PAGEREF _Toc310875416 \h </w:instrText>
        </w:r>
        <w:r w:rsidR="00C0292F">
          <w:rPr>
            <w:webHidden/>
          </w:rPr>
        </w:r>
        <w:r w:rsidR="00C0292F">
          <w:rPr>
            <w:webHidden/>
          </w:rPr>
          <w:fldChar w:fldCharType="separate"/>
        </w:r>
        <w:r w:rsidR="00C0292F">
          <w:rPr>
            <w:webHidden/>
          </w:rPr>
          <w:t>67</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17" w:history="1">
        <w:r w:rsidR="00C0292F" w:rsidRPr="00FA5842">
          <w:rPr>
            <w:rStyle w:val="Hyperlink"/>
          </w:rPr>
          <w:t>2.18</w:t>
        </w:r>
        <w:r w:rsidR="00C0292F">
          <w:rPr>
            <w:rFonts w:asciiTheme="minorHAnsi" w:eastAsiaTheme="minorEastAsia" w:hAnsiTheme="minorHAnsi" w:cstheme="minorBidi"/>
            <w:sz w:val="22"/>
            <w:szCs w:val="22"/>
          </w:rPr>
          <w:tab/>
        </w:r>
        <w:r w:rsidR="00C0292F" w:rsidRPr="00FA5842">
          <w:rPr>
            <w:rStyle w:val="Hyperlink"/>
          </w:rPr>
          <w:t>Fuel Switching: Domestic Hot Water Electric to Gas</w:t>
        </w:r>
        <w:r w:rsidR="00C0292F">
          <w:rPr>
            <w:webHidden/>
          </w:rPr>
          <w:tab/>
        </w:r>
        <w:r w:rsidR="00C0292F">
          <w:rPr>
            <w:webHidden/>
          </w:rPr>
          <w:fldChar w:fldCharType="begin"/>
        </w:r>
        <w:r w:rsidR="00C0292F">
          <w:rPr>
            <w:webHidden/>
          </w:rPr>
          <w:instrText xml:space="preserve"> PAGEREF _Toc310875417 \h </w:instrText>
        </w:r>
        <w:r w:rsidR="00C0292F">
          <w:rPr>
            <w:webHidden/>
          </w:rPr>
        </w:r>
        <w:r w:rsidR="00C0292F">
          <w:rPr>
            <w:webHidden/>
          </w:rPr>
          <w:fldChar w:fldCharType="separate"/>
        </w:r>
        <w:r w:rsidR="00C0292F">
          <w:rPr>
            <w:webHidden/>
          </w:rPr>
          <w:t>72</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18" w:history="1">
        <w:r w:rsidR="00C0292F" w:rsidRPr="00FA5842">
          <w:rPr>
            <w:rStyle w:val="Hyperlink"/>
          </w:rPr>
          <w:t>2.19</w:t>
        </w:r>
        <w:r w:rsidR="00C0292F">
          <w:rPr>
            <w:rFonts w:asciiTheme="minorHAnsi" w:eastAsiaTheme="minorEastAsia" w:hAnsiTheme="minorHAnsi" w:cstheme="minorBidi"/>
            <w:sz w:val="22"/>
            <w:szCs w:val="22"/>
          </w:rPr>
          <w:tab/>
        </w:r>
        <w:r w:rsidR="00C0292F" w:rsidRPr="00FA5842">
          <w:rPr>
            <w:rStyle w:val="Hyperlink"/>
          </w:rPr>
          <w:t>Fuel Switching: Heat Pump Water Heater to Gas Water Heater</w:t>
        </w:r>
        <w:r w:rsidR="00C0292F">
          <w:rPr>
            <w:webHidden/>
          </w:rPr>
          <w:tab/>
        </w:r>
        <w:r w:rsidR="00C0292F">
          <w:rPr>
            <w:webHidden/>
          </w:rPr>
          <w:fldChar w:fldCharType="begin"/>
        </w:r>
        <w:r w:rsidR="00C0292F">
          <w:rPr>
            <w:webHidden/>
          </w:rPr>
          <w:instrText xml:space="preserve"> PAGEREF _Toc310875418 \h </w:instrText>
        </w:r>
        <w:r w:rsidR="00C0292F">
          <w:rPr>
            <w:webHidden/>
          </w:rPr>
        </w:r>
        <w:r w:rsidR="00C0292F">
          <w:rPr>
            <w:webHidden/>
          </w:rPr>
          <w:fldChar w:fldCharType="separate"/>
        </w:r>
        <w:r w:rsidR="00C0292F">
          <w:rPr>
            <w:webHidden/>
          </w:rPr>
          <w:t>76</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19" w:history="1">
        <w:r w:rsidR="00C0292F" w:rsidRPr="00FA5842">
          <w:rPr>
            <w:rStyle w:val="Hyperlink"/>
          </w:rPr>
          <w:t>2.20</w:t>
        </w:r>
        <w:r w:rsidR="00C0292F">
          <w:rPr>
            <w:rFonts w:asciiTheme="minorHAnsi" w:eastAsiaTheme="minorEastAsia" w:hAnsiTheme="minorHAnsi" w:cstheme="minorBidi"/>
            <w:sz w:val="22"/>
            <w:szCs w:val="22"/>
          </w:rPr>
          <w:tab/>
        </w:r>
        <w:r w:rsidR="00C0292F" w:rsidRPr="00FA5842">
          <w:rPr>
            <w:rStyle w:val="Hyperlink"/>
          </w:rPr>
          <w:t>Fuel Switching: Electric Heat to Gas Heat</w:t>
        </w:r>
        <w:r w:rsidR="00C0292F">
          <w:rPr>
            <w:webHidden/>
          </w:rPr>
          <w:tab/>
        </w:r>
        <w:r w:rsidR="00C0292F">
          <w:rPr>
            <w:webHidden/>
          </w:rPr>
          <w:fldChar w:fldCharType="begin"/>
        </w:r>
        <w:r w:rsidR="00C0292F">
          <w:rPr>
            <w:webHidden/>
          </w:rPr>
          <w:instrText xml:space="preserve"> PAGEREF _Toc310875419 \h </w:instrText>
        </w:r>
        <w:r w:rsidR="00C0292F">
          <w:rPr>
            <w:webHidden/>
          </w:rPr>
        </w:r>
        <w:r w:rsidR="00C0292F">
          <w:rPr>
            <w:webHidden/>
          </w:rPr>
          <w:fldChar w:fldCharType="separate"/>
        </w:r>
        <w:r w:rsidR="00C0292F">
          <w:rPr>
            <w:webHidden/>
          </w:rPr>
          <w:t>82</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20" w:history="1">
        <w:r w:rsidR="00C0292F" w:rsidRPr="00FA5842">
          <w:rPr>
            <w:rStyle w:val="Hyperlink"/>
          </w:rPr>
          <w:t>2.21</w:t>
        </w:r>
        <w:r w:rsidR="00C0292F">
          <w:rPr>
            <w:rFonts w:asciiTheme="minorHAnsi" w:eastAsiaTheme="minorEastAsia" w:hAnsiTheme="minorHAnsi" w:cstheme="minorBidi"/>
            <w:sz w:val="22"/>
            <w:szCs w:val="22"/>
          </w:rPr>
          <w:tab/>
        </w:r>
        <w:r w:rsidR="00C0292F" w:rsidRPr="00FA5842">
          <w:rPr>
            <w:rStyle w:val="Hyperlink"/>
          </w:rPr>
          <w:t>Ceiling / Attic and Wall Insulation</w:t>
        </w:r>
        <w:r w:rsidR="00C0292F">
          <w:rPr>
            <w:webHidden/>
          </w:rPr>
          <w:tab/>
        </w:r>
        <w:r w:rsidR="00C0292F">
          <w:rPr>
            <w:webHidden/>
          </w:rPr>
          <w:fldChar w:fldCharType="begin"/>
        </w:r>
        <w:r w:rsidR="00C0292F">
          <w:rPr>
            <w:webHidden/>
          </w:rPr>
          <w:instrText xml:space="preserve"> PAGEREF _Toc310875420 \h </w:instrText>
        </w:r>
        <w:r w:rsidR="00C0292F">
          <w:rPr>
            <w:webHidden/>
          </w:rPr>
        </w:r>
        <w:r w:rsidR="00C0292F">
          <w:rPr>
            <w:webHidden/>
          </w:rPr>
          <w:fldChar w:fldCharType="separate"/>
        </w:r>
        <w:r w:rsidR="00C0292F">
          <w:rPr>
            <w:webHidden/>
          </w:rPr>
          <w:t>85</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21" w:history="1">
        <w:r w:rsidR="00C0292F" w:rsidRPr="00FA5842">
          <w:rPr>
            <w:rStyle w:val="Hyperlink"/>
          </w:rPr>
          <w:t>2.22</w:t>
        </w:r>
        <w:r w:rsidR="00C0292F">
          <w:rPr>
            <w:rFonts w:asciiTheme="minorHAnsi" w:eastAsiaTheme="minorEastAsia" w:hAnsiTheme="minorHAnsi" w:cstheme="minorBidi"/>
            <w:sz w:val="22"/>
            <w:szCs w:val="22"/>
          </w:rPr>
          <w:tab/>
        </w:r>
        <w:r w:rsidR="00C0292F" w:rsidRPr="00FA5842">
          <w:rPr>
            <w:rStyle w:val="Hyperlink"/>
          </w:rPr>
          <w:t>Refrigerator / Freezer Recycling and Replacement</w:t>
        </w:r>
        <w:r w:rsidR="00C0292F">
          <w:rPr>
            <w:webHidden/>
          </w:rPr>
          <w:tab/>
        </w:r>
        <w:r w:rsidR="00C0292F">
          <w:rPr>
            <w:webHidden/>
          </w:rPr>
          <w:fldChar w:fldCharType="begin"/>
        </w:r>
        <w:r w:rsidR="00C0292F">
          <w:rPr>
            <w:webHidden/>
          </w:rPr>
          <w:instrText xml:space="preserve"> PAGEREF _Toc310875421 \h </w:instrText>
        </w:r>
        <w:r w:rsidR="00C0292F">
          <w:rPr>
            <w:webHidden/>
          </w:rPr>
        </w:r>
        <w:r w:rsidR="00C0292F">
          <w:rPr>
            <w:webHidden/>
          </w:rPr>
          <w:fldChar w:fldCharType="separate"/>
        </w:r>
        <w:r w:rsidR="00C0292F">
          <w:rPr>
            <w:webHidden/>
          </w:rPr>
          <w:t>90</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22" w:history="1">
        <w:r w:rsidR="00C0292F" w:rsidRPr="00FA5842">
          <w:rPr>
            <w:rStyle w:val="Hyperlink"/>
          </w:rPr>
          <w:t>2.23</w:t>
        </w:r>
        <w:r w:rsidR="00C0292F">
          <w:rPr>
            <w:rFonts w:asciiTheme="minorHAnsi" w:eastAsiaTheme="minorEastAsia" w:hAnsiTheme="minorHAnsi" w:cstheme="minorBidi"/>
            <w:sz w:val="22"/>
            <w:szCs w:val="22"/>
          </w:rPr>
          <w:tab/>
        </w:r>
        <w:r w:rsidR="00C0292F" w:rsidRPr="00FA5842">
          <w:rPr>
            <w:rStyle w:val="Hyperlink"/>
          </w:rPr>
          <w:t>Refrigerator / Freezer Retirement (and Recycling)</w:t>
        </w:r>
        <w:r w:rsidR="00C0292F">
          <w:rPr>
            <w:webHidden/>
          </w:rPr>
          <w:tab/>
        </w:r>
        <w:r w:rsidR="00C0292F">
          <w:rPr>
            <w:webHidden/>
          </w:rPr>
          <w:fldChar w:fldCharType="begin"/>
        </w:r>
        <w:r w:rsidR="00C0292F">
          <w:rPr>
            <w:webHidden/>
          </w:rPr>
          <w:instrText xml:space="preserve"> PAGEREF _Toc310875422 \h </w:instrText>
        </w:r>
        <w:r w:rsidR="00C0292F">
          <w:rPr>
            <w:webHidden/>
          </w:rPr>
        </w:r>
        <w:r w:rsidR="00C0292F">
          <w:rPr>
            <w:webHidden/>
          </w:rPr>
          <w:fldChar w:fldCharType="separate"/>
        </w:r>
        <w:r w:rsidR="00C0292F">
          <w:rPr>
            <w:webHidden/>
          </w:rPr>
          <w:t>93</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23" w:history="1">
        <w:r w:rsidR="00C0292F" w:rsidRPr="00FA5842">
          <w:rPr>
            <w:rStyle w:val="Hyperlink"/>
          </w:rPr>
          <w:t>2.24</w:t>
        </w:r>
        <w:r w:rsidR="00C0292F">
          <w:rPr>
            <w:rFonts w:asciiTheme="minorHAnsi" w:eastAsiaTheme="minorEastAsia" w:hAnsiTheme="minorHAnsi" w:cstheme="minorBidi"/>
            <w:sz w:val="22"/>
            <w:szCs w:val="22"/>
          </w:rPr>
          <w:tab/>
        </w:r>
        <w:r w:rsidR="00C0292F" w:rsidRPr="00FA5842">
          <w:rPr>
            <w:rStyle w:val="Hyperlink"/>
          </w:rPr>
          <w:t>Residential New Construction</w:t>
        </w:r>
        <w:r w:rsidR="00C0292F">
          <w:rPr>
            <w:webHidden/>
          </w:rPr>
          <w:tab/>
        </w:r>
        <w:r w:rsidR="00C0292F">
          <w:rPr>
            <w:webHidden/>
          </w:rPr>
          <w:fldChar w:fldCharType="begin"/>
        </w:r>
        <w:r w:rsidR="00C0292F">
          <w:rPr>
            <w:webHidden/>
          </w:rPr>
          <w:instrText xml:space="preserve"> PAGEREF _Toc310875423 \h </w:instrText>
        </w:r>
        <w:r w:rsidR="00C0292F">
          <w:rPr>
            <w:webHidden/>
          </w:rPr>
        </w:r>
        <w:r w:rsidR="00C0292F">
          <w:rPr>
            <w:webHidden/>
          </w:rPr>
          <w:fldChar w:fldCharType="separate"/>
        </w:r>
        <w:r w:rsidR="00C0292F">
          <w:rPr>
            <w:webHidden/>
          </w:rPr>
          <w:t>95</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24" w:history="1">
        <w:r w:rsidR="00C0292F" w:rsidRPr="00FA5842">
          <w:rPr>
            <w:rStyle w:val="Hyperlink"/>
          </w:rPr>
          <w:t>2.25</w:t>
        </w:r>
        <w:r w:rsidR="00C0292F">
          <w:rPr>
            <w:rFonts w:asciiTheme="minorHAnsi" w:eastAsiaTheme="minorEastAsia" w:hAnsiTheme="minorHAnsi" w:cstheme="minorBidi"/>
            <w:sz w:val="22"/>
            <w:szCs w:val="22"/>
          </w:rPr>
          <w:tab/>
        </w:r>
        <w:r w:rsidR="00C0292F" w:rsidRPr="00FA5842">
          <w:rPr>
            <w:rStyle w:val="Hyperlink"/>
          </w:rPr>
          <w:t>ENERGY STAR Appliances</w:t>
        </w:r>
        <w:r w:rsidR="00C0292F">
          <w:rPr>
            <w:webHidden/>
          </w:rPr>
          <w:tab/>
        </w:r>
        <w:r w:rsidR="00C0292F">
          <w:rPr>
            <w:webHidden/>
          </w:rPr>
          <w:fldChar w:fldCharType="begin"/>
        </w:r>
        <w:r w:rsidR="00C0292F">
          <w:rPr>
            <w:webHidden/>
          </w:rPr>
          <w:instrText xml:space="preserve"> PAGEREF _Toc310875424 \h </w:instrText>
        </w:r>
        <w:r w:rsidR="00C0292F">
          <w:rPr>
            <w:webHidden/>
          </w:rPr>
        </w:r>
        <w:r w:rsidR="00C0292F">
          <w:rPr>
            <w:webHidden/>
          </w:rPr>
          <w:fldChar w:fldCharType="separate"/>
        </w:r>
        <w:r w:rsidR="00C0292F">
          <w:rPr>
            <w:webHidden/>
          </w:rPr>
          <w:t>99</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25" w:history="1">
        <w:r w:rsidR="00C0292F" w:rsidRPr="00FA5842">
          <w:rPr>
            <w:rStyle w:val="Hyperlink"/>
          </w:rPr>
          <w:t>2.26</w:t>
        </w:r>
        <w:r w:rsidR="00C0292F">
          <w:rPr>
            <w:rFonts w:asciiTheme="minorHAnsi" w:eastAsiaTheme="minorEastAsia" w:hAnsiTheme="minorHAnsi" w:cstheme="minorBidi"/>
            <w:sz w:val="22"/>
            <w:szCs w:val="22"/>
          </w:rPr>
          <w:tab/>
        </w:r>
        <w:r w:rsidR="00C0292F" w:rsidRPr="00FA5842">
          <w:rPr>
            <w:rStyle w:val="Hyperlink"/>
          </w:rPr>
          <w:t>ENERGY STAR Lighting</w:t>
        </w:r>
        <w:r w:rsidR="00C0292F">
          <w:rPr>
            <w:webHidden/>
          </w:rPr>
          <w:tab/>
        </w:r>
        <w:r w:rsidR="00C0292F">
          <w:rPr>
            <w:webHidden/>
          </w:rPr>
          <w:fldChar w:fldCharType="begin"/>
        </w:r>
        <w:r w:rsidR="00C0292F">
          <w:rPr>
            <w:webHidden/>
          </w:rPr>
          <w:instrText xml:space="preserve"> PAGEREF _Toc310875425 \h </w:instrText>
        </w:r>
        <w:r w:rsidR="00C0292F">
          <w:rPr>
            <w:webHidden/>
          </w:rPr>
        </w:r>
        <w:r w:rsidR="00C0292F">
          <w:rPr>
            <w:webHidden/>
          </w:rPr>
          <w:fldChar w:fldCharType="separate"/>
        </w:r>
        <w:r w:rsidR="00C0292F">
          <w:rPr>
            <w:webHidden/>
          </w:rPr>
          <w:t>105</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26" w:history="1">
        <w:r w:rsidR="00C0292F" w:rsidRPr="00FA5842">
          <w:rPr>
            <w:rStyle w:val="Hyperlink"/>
          </w:rPr>
          <w:t>2.27</w:t>
        </w:r>
        <w:r w:rsidR="00C0292F">
          <w:rPr>
            <w:rFonts w:asciiTheme="minorHAnsi" w:eastAsiaTheme="minorEastAsia" w:hAnsiTheme="minorHAnsi" w:cstheme="minorBidi"/>
            <w:sz w:val="22"/>
            <w:szCs w:val="22"/>
          </w:rPr>
          <w:tab/>
        </w:r>
        <w:r w:rsidR="00C0292F" w:rsidRPr="00FA5842">
          <w:rPr>
            <w:rStyle w:val="Hyperlink"/>
          </w:rPr>
          <w:t>ENERGY STAR Windows</w:t>
        </w:r>
        <w:r w:rsidR="00C0292F">
          <w:rPr>
            <w:webHidden/>
          </w:rPr>
          <w:tab/>
        </w:r>
        <w:r w:rsidR="00C0292F">
          <w:rPr>
            <w:webHidden/>
          </w:rPr>
          <w:fldChar w:fldCharType="begin"/>
        </w:r>
        <w:r w:rsidR="00C0292F">
          <w:rPr>
            <w:webHidden/>
          </w:rPr>
          <w:instrText xml:space="preserve"> PAGEREF _Toc310875426 \h </w:instrText>
        </w:r>
        <w:r w:rsidR="00C0292F">
          <w:rPr>
            <w:webHidden/>
          </w:rPr>
        </w:r>
        <w:r w:rsidR="00C0292F">
          <w:rPr>
            <w:webHidden/>
          </w:rPr>
          <w:fldChar w:fldCharType="separate"/>
        </w:r>
        <w:r w:rsidR="00C0292F">
          <w:rPr>
            <w:webHidden/>
          </w:rPr>
          <w:t>109</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27" w:history="1">
        <w:r w:rsidR="00C0292F" w:rsidRPr="00FA5842">
          <w:rPr>
            <w:rStyle w:val="Hyperlink"/>
          </w:rPr>
          <w:t>2.28</w:t>
        </w:r>
        <w:r w:rsidR="00C0292F">
          <w:rPr>
            <w:rFonts w:asciiTheme="minorHAnsi" w:eastAsiaTheme="minorEastAsia" w:hAnsiTheme="minorHAnsi" w:cstheme="minorBidi"/>
            <w:sz w:val="22"/>
            <w:szCs w:val="22"/>
          </w:rPr>
          <w:tab/>
        </w:r>
        <w:r w:rsidR="00C0292F" w:rsidRPr="00FA5842">
          <w:rPr>
            <w:rStyle w:val="Hyperlink"/>
          </w:rPr>
          <w:t>ENERGY STAR Audit</w:t>
        </w:r>
        <w:r w:rsidR="00C0292F">
          <w:rPr>
            <w:webHidden/>
          </w:rPr>
          <w:tab/>
        </w:r>
        <w:r w:rsidR="00C0292F">
          <w:rPr>
            <w:webHidden/>
          </w:rPr>
          <w:fldChar w:fldCharType="begin"/>
        </w:r>
        <w:r w:rsidR="00C0292F">
          <w:rPr>
            <w:webHidden/>
          </w:rPr>
          <w:instrText xml:space="preserve"> PAGEREF _Toc310875427 \h </w:instrText>
        </w:r>
        <w:r w:rsidR="00C0292F">
          <w:rPr>
            <w:webHidden/>
          </w:rPr>
        </w:r>
        <w:r w:rsidR="00C0292F">
          <w:rPr>
            <w:webHidden/>
          </w:rPr>
          <w:fldChar w:fldCharType="separate"/>
        </w:r>
        <w:r w:rsidR="00C0292F">
          <w:rPr>
            <w:webHidden/>
          </w:rPr>
          <w:t>111</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28" w:history="1">
        <w:r w:rsidR="00C0292F" w:rsidRPr="00FA5842">
          <w:rPr>
            <w:rStyle w:val="Hyperlink"/>
          </w:rPr>
          <w:t>2.29</w:t>
        </w:r>
        <w:r w:rsidR="00C0292F">
          <w:rPr>
            <w:rFonts w:asciiTheme="minorHAnsi" w:eastAsiaTheme="minorEastAsia" w:hAnsiTheme="minorHAnsi" w:cstheme="minorBidi"/>
            <w:sz w:val="22"/>
            <w:szCs w:val="22"/>
          </w:rPr>
          <w:tab/>
        </w:r>
        <w:r w:rsidR="00C0292F" w:rsidRPr="00FA5842">
          <w:rPr>
            <w:rStyle w:val="Hyperlink"/>
          </w:rPr>
          <w:t>Home Performance with ENERGY STAR</w:t>
        </w:r>
        <w:r w:rsidR="00C0292F">
          <w:rPr>
            <w:webHidden/>
          </w:rPr>
          <w:tab/>
        </w:r>
        <w:r w:rsidR="00C0292F">
          <w:rPr>
            <w:webHidden/>
          </w:rPr>
          <w:fldChar w:fldCharType="begin"/>
        </w:r>
        <w:r w:rsidR="00C0292F">
          <w:rPr>
            <w:webHidden/>
          </w:rPr>
          <w:instrText xml:space="preserve"> PAGEREF _Toc310875428 \h </w:instrText>
        </w:r>
        <w:r w:rsidR="00C0292F">
          <w:rPr>
            <w:webHidden/>
          </w:rPr>
        </w:r>
        <w:r w:rsidR="00C0292F">
          <w:rPr>
            <w:webHidden/>
          </w:rPr>
          <w:fldChar w:fldCharType="separate"/>
        </w:r>
        <w:r w:rsidR="00C0292F">
          <w:rPr>
            <w:webHidden/>
          </w:rPr>
          <w:t>112</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29" w:history="1">
        <w:r w:rsidR="00C0292F" w:rsidRPr="00FA5842">
          <w:rPr>
            <w:rStyle w:val="Hyperlink"/>
          </w:rPr>
          <w:t>2.30</w:t>
        </w:r>
        <w:r w:rsidR="00C0292F">
          <w:rPr>
            <w:rFonts w:asciiTheme="minorHAnsi" w:eastAsiaTheme="minorEastAsia" w:hAnsiTheme="minorHAnsi" w:cstheme="minorBidi"/>
            <w:sz w:val="22"/>
            <w:szCs w:val="22"/>
          </w:rPr>
          <w:tab/>
        </w:r>
        <w:r w:rsidR="00C0292F" w:rsidRPr="00FA5842">
          <w:rPr>
            <w:rStyle w:val="Hyperlink"/>
          </w:rPr>
          <w:t>ENERGY STAR Televisions (Versions 4.1 and 5.1)</w:t>
        </w:r>
        <w:r w:rsidR="00C0292F">
          <w:rPr>
            <w:webHidden/>
          </w:rPr>
          <w:tab/>
        </w:r>
        <w:r w:rsidR="00C0292F">
          <w:rPr>
            <w:webHidden/>
          </w:rPr>
          <w:fldChar w:fldCharType="begin"/>
        </w:r>
        <w:r w:rsidR="00C0292F">
          <w:rPr>
            <w:webHidden/>
          </w:rPr>
          <w:instrText xml:space="preserve"> PAGEREF _Toc310875429 \h </w:instrText>
        </w:r>
        <w:r w:rsidR="00C0292F">
          <w:rPr>
            <w:webHidden/>
          </w:rPr>
        </w:r>
        <w:r w:rsidR="00C0292F">
          <w:rPr>
            <w:webHidden/>
          </w:rPr>
          <w:fldChar w:fldCharType="separate"/>
        </w:r>
        <w:r w:rsidR="00C0292F">
          <w:rPr>
            <w:webHidden/>
          </w:rPr>
          <w:t>116</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30" w:history="1">
        <w:r w:rsidR="00C0292F" w:rsidRPr="00FA5842">
          <w:rPr>
            <w:rStyle w:val="Hyperlink"/>
          </w:rPr>
          <w:t>2.31</w:t>
        </w:r>
        <w:r w:rsidR="00C0292F">
          <w:rPr>
            <w:rFonts w:asciiTheme="minorHAnsi" w:eastAsiaTheme="minorEastAsia" w:hAnsiTheme="minorHAnsi" w:cstheme="minorBidi"/>
            <w:sz w:val="22"/>
            <w:szCs w:val="22"/>
          </w:rPr>
          <w:tab/>
        </w:r>
        <w:r w:rsidR="00C0292F" w:rsidRPr="00FA5842">
          <w:rPr>
            <w:rStyle w:val="Hyperlink"/>
          </w:rPr>
          <w:t>ENERGY STAR Office Equipment</w:t>
        </w:r>
        <w:r w:rsidR="00C0292F">
          <w:rPr>
            <w:webHidden/>
          </w:rPr>
          <w:tab/>
        </w:r>
        <w:r w:rsidR="00C0292F">
          <w:rPr>
            <w:webHidden/>
          </w:rPr>
          <w:fldChar w:fldCharType="begin"/>
        </w:r>
        <w:r w:rsidR="00C0292F">
          <w:rPr>
            <w:webHidden/>
          </w:rPr>
          <w:instrText xml:space="preserve"> PAGEREF _Toc310875430 \h </w:instrText>
        </w:r>
        <w:r w:rsidR="00C0292F">
          <w:rPr>
            <w:webHidden/>
          </w:rPr>
        </w:r>
        <w:r w:rsidR="00C0292F">
          <w:rPr>
            <w:webHidden/>
          </w:rPr>
          <w:fldChar w:fldCharType="separate"/>
        </w:r>
        <w:r w:rsidR="00C0292F">
          <w:rPr>
            <w:webHidden/>
          </w:rPr>
          <w:t>120</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31" w:history="1">
        <w:r w:rsidR="00C0292F" w:rsidRPr="00FA5842">
          <w:rPr>
            <w:rStyle w:val="Hyperlink"/>
          </w:rPr>
          <w:t>2.32</w:t>
        </w:r>
        <w:r w:rsidR="00C0292F">
          <w:rPr>
            <w:rFonts w:asciiTheme="minorHAnsi" w:eastAsiaTheme="minorEastAsia" w:hAnsiTheme="minorHAnsi" w:cstheme="minorBidi"/>
            <w:sz w:val="22"/>
            <w:szCs w:val="22"/>
          </w:rPr>
          <w:tab/>
        </w:r>
        <w:r w:rsidR="00C0292F" w:rsidRPr="00FA5842">
          <w:rPr>
            <w:rStyle w:val="Hyperlink"/>
          </w:rPr>
          <w:t>ENERGY STAR LEDs</w:t>
        </w:r>
        <w:r w:rsidR="00C0292F">
          <w:rPr>
            <w:webHidden/>
          </w:rPr>
          <w:tab/>
        </w:r>
        <w:r w:rsidR="00C0292F">
          <w:rPr>
            <w:webHidden/>
          </w:rPr>
          <w:fldChar w:fldCharType="begin"/>
        </w:r>
        <w:r w:rsidR="00C0292F">
          <w:rPr>
            <w:webHidden/>
          </w:rPr>
          <w:instrText xml:space="preserve"> PAGEREF _Toc310875431 \h </w:instrText>
        </w:r>
        <w:r w:rsidR="00C0292F">
          <w:rPr>
            <w:webHidden/>
          </w:rPr>
        </w:r>
        <w:r w:rsidR="00C0292F">
          <w:rPr>
            <w:webHidden/>
          </w:rPr>
          <w:fldChar w:fldCharType="separate"/>
        </w:r>
        <w:r w:rsidR="00C0292F">
          <w:rPr>
            <w:webHidden/>
          </w:rPr>
          <w:t>124</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32" w:history="1">
        <w:r w:rsidR="00C0292F" w:rsidRPr="00FA5842">
          <w:rPr>
            <w:rStyle w:val="Hyperlink"/>
          </w:rPr>
          <w:t>2.33</w:t>
        </w:r>
        <w:r w:rsidR="00C0292F">
          <w:rPr>
            <w:rFonts w:asciiTheme="minorHAnsi" w:eastAsiaTheme="minorEastAsia" w:hAnsiTheme="minorHAnsi" w:cstheme="minorBidi"/>
            <w:sz w:val="22"/>
            <w:szCs w:val="22"/>
          </w:rPr>
          <w:tab/>
        </w:r>
        <w:r w:rsidR="00C0292F" w:rsidRPr="00FA5842">
          <w:rPr>
            <w:rStyle w:val="Hyperlink"/>
          </w:rPr>
          <w:t>Residential Occupancy Sensors</w:t>
        </w:r>
        <w:r w:rsidR="00C0292F">
          <w:rPr>
            <w:webHidden/>
          </w:rPr>
          <w:tab/>
        </w:r>
        <w:r w:rsidR="00C0292F">
          <w:rPr>
            <w:webHidden/>
          </w:rPr>
          <w:fldChar w:fldCharType="begin"/>
        </w:r>
        <w:r w:rsidR="00C0292F">
          <w:rPr>
            <w:webHidden/>
          </w:rPr>
          <w:instrText xml:space="preserve"> PAGEREF _Toc310875432 \h </w:instrText>
        </w:r>
        <w:r w:rsidR="00C0292F">
          <w:rPr>
            <w:webHidden/>
          </w:rPr>
        </w:r>
        <w:r w:rsidR="00C0292F">
          <w:rPr>
            <w:webHidden/>
          </w:rPr>
          <w:fldChar w:fldCharType="separate"/>
        </w:r>
        <w:r w:rsidR="00C0292F">
          <w:rPr>
            <w:webHidden/>
          </w:rPr>
          <w:t>129</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33" w:history="1">
        <w:r w:rsidR="00C0292F" w:rsidRPr="00FA5842">
          <w:rPr>
            <w:rStyle w:val="Hyperlink"/>
          </w:rPr>
          <w:t>2.34</w:t>
        </w:r>
        <w:r w:rsidR="00C0292F">
          <w:rPr>
            <w:rFonts w:asciiTheme="minorHAnsi" w:eastAsiaTheme="minorEastAsia" w:hAnsiTheme="minorHAnsi" w:cstheme="minorBidi"/>
            <w:sz w:val="22"/>
            <w:szCs w:val="22"/>
          </w:rPr>
          <w:tab/>
        </w:r>
        <w:r w:rsidR="00C0292F" w:rsidRPr="00FA5842">
          <w:rPr>
            <w:rStyle w:val="Hyperlink"/>
          </w:rPr>
          <w:t>Holiday Lights</w:t>
        </w:r>
        <w:r w:rsidR="00C0292F">
          <w:rPr>
            <w:webHidden/>
          </w:rPr>
          <w:tab/>
        </w:r>
        <w:r w:rsidR="00C0292F">
          <w:rPr>
            <w:webHidden/>
          </w:rPr>
          <w:fldChar w:fldCharType="begin"/>
        </w:r>
        <w:r w:rsidR="00C0292F">
          <w:rPr>
            <w:webHidden/>
          </w:rPr>
          <w:instrText xml:space="preserve"> PAGEREF _Toc310875433 \h </w:instrText>
        </w:r>
        <w:r w:rsidR="00C0292F">
          <w:rPr>
            <w:webHidden/>
          </w:rPr>
        </w:r>
        <w:r w:rsidR="00C0292F">
          <w:rPr>
            <w:webHidden/>
          </w:rPr>
          <w:fldChar w:fldCharType="separate"/>
        </w:r>
        <w:r w:rsidR="00C0292F">
          <w:rPr>
            <w:webHidden/>
          </w:rPr>
          <w:t>130</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34" w:history="1">
        <w:r w:rsidR="00C0292F" w:rsidRPr="00FA5842">
          <w:rPr>
            <w:rStyle w:val="Hyperlink"/>
          </w:rPr>
          <w:t>2.35</w:t>
        </w:r>
        <w:r w:rsidR="00C0292F">
          <w:rPr>
            <w:rFonts w:asciiTheme="minorHAnsi" w:eastAsiaTheme="minorEastAsia" w:hAnsiTheme="minorHAnsi" w:cstheme="minorBidi"/>
            <w:sz w:val="22"/>
            <w:szCs w:val="22"/>
          </w:rPr>
          <w:tab/>
        </w:r>
        <w:r w:rsidR="00C0292F" w:rsidRPr="00FA5842">
          <w:rPr>
            <w:rStyle w:val="Hyperlink"/>
          </w:rPr>
          <w:t>Low Income Lighting (FirstEnergy)</w:t>
        </w:r>
        <w:r w:rsidR="00C0292F">
          <w:rPr>
            <w:webHidden/>
          </w:rPr>
          <w:tab/>
        </w:r>
        <w:r w:rsidR="00C0292F">
          <w:rPr>
            <w:webHidden/>
          </w:rPr>
          <w:fldChar w:fldCharType="begin"/>
        </w:r>
        <w:r w:rsidR="00C0292F">
          <w:rPr>
            <w:webHidden/>
          </w:rPr>
          <w:instrText xml:space="preserve"> PAGEREF _Toc310875434 \h </w:instrText>
        </w:r>
        <w:r w:rsidR="00C0292F">
          <w:rPr>
            <w:webHidden/>
          </w:rPr>
        </w:r>
        <w:r w:rsidR="00C0292F">
          <w:rPr>
            <w:webHidden/>
          </w:rPr>
          <w:fldChar w:fldCharType="separate"/>
        </w:r>
        <w:r w:rsidR="00C0292F">
          <w:rPr>
            <w:webHidden/>
          </w:rPr>
          <w:t>133</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35" w:history="1">
        <w:r w:rsidR="00C0292F" w:rsidRPr="00FA5842">
          <w:rPr>
            <w:rStyle w:val="Hyperlink"/>
          </w:rPr>
          <w:t>2.36</w:t>
        </w:r>
        <w:r w:rsidR="00C0292F">
          <w:rPr>
            <w:rFonts w:asciiTheme="minorHAnsi" w:eastAsiaTheme="minorEastAsia" w:hAnsiTheme="minorHAnsi" w:cstheme="minorBidi"/>
            <w:sz w:val="22"/>
            <w:szCs w:val="22"/>
          </w:rPr>
          <w:tab/>
        </w:r>
        <w:r w:rsidR="00C0292F" w:rsidRPr="00FA5842">
          <w:rPr>
            <w:rStyle w:val="Hyperlink"/>
          </w:rPr>
          <w:t>Water Heater Tank Wrap</w:t>
        </w:r>
        <w:r w:rsidR="00C0292F">
          <w:rPr>
            <w:webHidden/>
          </w:rPr>
          <w:tab/>
        </w:r>
        <w:r w:rsidR="00C0292F">
          <w:rPr>
            <w:webHidden/>
          </w:rPr>
          <w:fldChar w:fldCharType="begin"/>
        </w:r>
        <w:r w:rsidR="00C0292F">
          <w:rPr>
            <w:webHidden/>
          </w:rPr>
          <w:instrText xml:space="preserve"> PAGEREF _Toc310875435 \h </w:instrText>
        </w:r>
        <w:r w:rsidR="00C0292F">
          <w:rPr>
            <w:webHidden/>
          </w:rPr>
        </w:r>
        <w:r w:rsidR="00C0292F">
          <w:rPr>
            <w:webHidden/>
          </w:rPr>
          <w:fldChar w:fldCharType="separate"/>
        </w:r>
        <w:r w:rsidR="00C0292F">
          <w:rPr>
            <w:webHidden/>
          </w:rPr>
          <w:t>136</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36" w:history="1">
        <w:r w:rsidR="00C0292F" w:rsidRPr="00FA5842">
          <w:rPr>
            <w:rStyle w:val="Hyperlink"/>
          </w:rPr>
          <w:t>2.37</w:t>
        </w:r>
        <w:r w:rsidR="00C0292F">
          <w:rPr>
            <w:rFonts w:asciiTheme="minorHAnsi" w:eastAsiaTheme="minorEastAsia" w:hAnsiTheme="minorHAnsi" w:cstheme="minorBidi"/>
            <w:sz w:val="22"/>
            <w:szCs w:val="22"/>
          </w:rPr>
          <w:tab/>
        </w:r>
        <w:r w:rsidR="00C0292F" w:rsidRPr="00FA5842">
          <w:rPr>
            <w:rStyle w:val="Hyperlink"/>
          </w:rPr>
          <w:t>Pool Pump Load Shifting</w:t>
        </w:r>
        <w:r w:rsidR="00C0292F">
          <w:rPr>
            <w:webHidden/>
          </w:rPr>
          <w:tab/>
        </w:r>
        <w:r w:rsidR="00C0292F">
          <w:rPr>
            <w:webHidden/>
          </w:rPr>
          <w:fldChar w:fldCharType="begin"/>
        </w:r>
        <w:r w:rsidR="00C0292F">
          <w:rPr>
            <w:webHidden/>
          </w:rPr>
          <w:instrText xml:space="preserve"> PAGEREF _Toc310875436 \h </w:instrText>
        </w:r>
        <w:r w:rsidR="00C0292F">
          <w:rPr>
            <w:webHidden/>
          </w:rPr>
        </w:r>
        <w:r w:rsidR="00C0292F">
          <w:rPr>
            <w:webHidden/>
          </w:rPr>
          <w:fldChar w:fldCharType="separate"/>
        </w:r>
        <w:r w:rsidR="00C0292F">
          <w:rPr>
            <w:webHidden/>
          </w:rPr>
          <w:t>139</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37" w:history="1">
        <w:r w:rsidR="00C0292F" w:rsidRPr="00FA5842">
          <w:rPr>
            <w:rStyle w:val="Hyperlink"/>
          </w:rPr>
          <w:t>2.38</w:t>
        </w:r>
        <w:r w:rsidR="00C0292F">
          <w:rPr>
            <w:rFonts w:asciiTheme="minorHAnsi" w:eastAsiaTheme="minorEastAsia" w:hAnsiTheme="minorHAnsi" w:cstheme="minorBidi"/>
            <w:sz w:val="22"/>
            <w:szCs w:val="22"/>
          </w:rPr>
          <w:tab/>
        </w:r>
        <w:r w:rsidR="00C0292F" w:rsidRPr="00FA5842">
          <w:rPr>
            <w:rStyle w:val="Hyperlink"/>
          </w:rPr>
          <w:t>High Efficiency Two-Speed Pool Pump</w:t>
        </w:r>
        <w:r w:rsidR="00C0292F">
          <w:rPr>
            <w:webHidden/>
          </w:rPr>
          <w:tab/>
        </w:r>
        <w:r w:rsidR="00C0292F">
          <w:rPr>
            <w:webHidden/>
          </w:rPr>
          <w:fldChar w:fldCharType="begin"/>
        </w:r>
        <w:r w:rsidR="00C0292F">
          <w:rPr>
            <w:webHidden/>
          </w:rPr>
          <w:instrText xml:space="preserve"> PAGEREF _Toc310875437 \h </w:instrText>
        </w:r>
        <w:r w:rsidR="00C0292F">
          <w:rPr>
            <w:webHidden/>
          </w:rPr>
        </w:r>
        <w:r w:rsidR="00C0292F">
          <w:rPr>
            <w:webHidden/>
          </w:rPr>
          <w:fldChar w:fldCharType="separate"/>
        </w:r>
        <w:r w:rsidR="00C0292F">
          <w:rPr>
            <w:webHidden/>
          </w:rPr>
          <w:t>142</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38" w:history="1">
        <w:r w:rsidR="00C0292F" w:rsidRPr="00FA5842">
          <w:rPr>
            <w:rStyle w:val="Hyperlink"/>
          </w:rPr>
          <w:t>2.39</w:t>
        </w:r>
        <w:r w:rsidR="00C0292F">
          <w:rPr>
            <w:rFonts w:asciiTheme="minorHAnsi" w:eastAsiaTheme="minorEastAsia" w:hAnsiTheme="minorHAnsi" w:cstheme="minorBidi"/>
            <w:sz w:val="22"/>
            <w:szCs w:val="22"/>
          </w:rPr>
          <w:tab/>
        </w:r>
        <w:r w:rsidR="00C0292F" w:rsidRPr="00FA5842">
          <w:rPr>
            <w:rStyle w:val="Hyperlink"/>
          </w:rPr>
          <w:t>Variable Speed Pool Pumps (with Load Shifting Option)</w:t>
        </w:r>
        <w:r w:rsidR="00C0292F">
          <w:rPr>
            <w:webHidden/>
          </w:rPr>
          <w:tab/>
        </w:r>
        <w:r w:rsidR="00C0292F">
          <w:rPr>
            <w:webHidden/>
          </w:rPr>
          <w:fldChar w:fldCharType="begin"/>
        </w:r>
        <w:r w:rsidR="00C0292F">
          <w:rPr>
            <w:webHidden/>
          </w:rPr>
          <w:instrText xml:space="preserve"> PAGEREF _Toc310875438 \h </w:instrText>
        </w:r>
        <w:r w:rsidR="00C0292F">
          <w:rPr>
            <w:webHidden/>
          </w:rPr>
        </w:r>
        <w:r w:rsidR="00C0292F">
          <w:rPr>
            <w:webHidden/>
          </w:rPr>
          <w:fldChar w:fldCharType="separate"/>
        </w:r>
        <w:r w:rsidR="00C0292F">
          <w:rPr>
            <w:webHidden/>
          </w:rPr>
          <w:t>144</w:t>
        </w:r>
        <w:r w:rsidR="00C0292F">
          <w:rPr>
            <w:webHidden/>
          </w:rPr>
          <w:fldChar w:fldCharType="end"/>
        </w:r>
      </w:hyperlink>
    </w:p>
    <w:p w:rsidR="00C0292F" w:rsidRDefault="00274AB1">
      <w:pPr>
        <w:pStyle w:val="TOC1"/>
        <w:tabs>
          <w:tab w:val="right" w:leader="dot" w:pos="8630"/>
        </w:tabs>
        <w:rPr>
          <w:rFonts w:asciiTheme="minorHAnsi" w:eastAsiaTheme="minorEastAsia" w:hAnsiTheme="minorHAnsi" w:cstheme="minorBidi"/>
          <w:b w:val="0"/>
          <w:caps w:val="0"/>
          <w:noProof/>
          <w:sz w:val="22"/>
          <w:szCs w:val="22"/>
        </w:rPr>
      </w:pPr>
      <w:hyperlink w:anchor="_Toc310875439" w:history="1">
        <w:r w:rsidR="00C0292F" w:rsidRPr="00FA5842">
          <w:rPr>
            <w:rStyle w:val="Hyperlink"/>
            <w:rFonts w:ascii="Calibri" w:hAnsi="Calibri"/>
            <w:noProof/>
          </w:rPr>
          <w:t>3</w:t>
        </w:r>
        <w:r w:rsidR="00C0292F">
          <w:rPr>
            <w:rFonts w:asciiTheme="minorHAnsi" w:eastAsiaTheme="minorEastAsia" w:hAnsiTheme="minorHAnsi" w:cstheme="minorBidi"/>
            <w:b w:val="0"/>
            <w:caps w:val="0"/>
            <w:noProof/>
            <w:sz w:val="22"/>
            <w:szCs w:val="22"/>
          </w:rPr>
          <w:tab/>
        </w:r>
        <w:r w:rsidR="00C0292F" w:rsidRPr="00FA5842">
          <w:rPr>
            <w:rStyle w:val="Hyperlink"/>
            <w:noProof/>
          </w:rPr>
          <w:t>Commercial and Industrial Measures</w:t>
        </w:r>
        <w:r w:rsidR="00C0292F">
          <w:rPr>
            <w:noProof/>
            <w:webHidden/>
          </w:rPr>
          <w:tab/>
        </w:r>
        <w:r w:rsidR="00C0292F">
          <w:rPr>
            <w:noProof/>
            <w:webHidden/>
          </w:rPr>
          <w:fldChar w:fldCharType="begin"/>
        </w:r>
        <w:r w:rsidR="00C0292F">
          <w:rPr>
            <w:noProof/>
            <w:webHidden/>
          </w:rPr>
          <w:instrText xml:space="preserve"> PAGEREF _Toc310875439 \h </w:instrText>
        </w:r>
        <w:r w:rsidR="00C0292F">
          <w:rPr>
            <w:noProof/>
            <w:webHidden/>
          </w:rPr>
        </w:r>
        <w:r w:rsidR="00C0292F">
          <w:rPr>
            <w:noProof/>
            <w:webHidden/>
          </w:rPr>
          <w:fldChar w:fldCharType="separate"/>
        </w:r>
        <w:r w:rsidR="00C0292F">
          <w:rPr>
            <w:noProof/>
            <w:webHidden/>
          </w:rPr>
          <w:t>149</w:t>
        </w:r>
        <w:r w:rsidR="00C0292F">
          <w:rPr>
            <w:noProof/>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40" w:history="1">
        <w:r w:rsidR="00C0292F" w:rsidRPr="00FA5842">
          <w:rPr>
            <w:rStyle w:val="Hyperlink"/>
          </w:rPr>
          <w:t>3.1</w:t>
        </w:r>
        <w:r w:rsidR="00C0292F">
          <w:rPr>
            <w:rFonts w:asciiTheme="minorHAnsi" w:eastAsiaTheme="minorEastAsia" w:hAnsiTheme="minorHAnsi" w:cstheme="minorBidi"/>
            <w:sz w:val="22"/>
            <w:szCs w:val="22"/>
          </w:rPr>
          <w:tab/>
        </w:r>
        <w:r w:rsidR="00C0292F" w:rsidRPr="00FA5842">
          <w:rPr>
            <w:rStyle w:val="Hyperlink"/>
          </w:rPr>
          <w:t>Baselines and Code Changes</w:t>
        </w:r>
        <w:r w:rsidR="00C0292F">
          <w:rPr>
            <w:webHidden/>
          </w:rPr>
          <w:tab/>
        </w:r>
        <w:r w:rsidR="00C0292F">
          <w:rPr>
            <w:webHidden/>
          </w:rPr>
          <w:fldChar w:fldCharType="begin"/>
        </w:r>
        <w:r w:rsidR="00C0292F">
          <w:rPr>
            <w:webHidden/>
          </w:rPr>
          <w:instrText xml:space="preserve"> PAGEREF _Toc310875440 \h </w:instrText>
        </w:r>
        <w:r w:rsidR="00C0292F">
          <w:rPr>
            <w:webHidden/>
          </w:rPr>
        </w:r>
        <w:r w:rsidR="00C0292F">
          <w:rPr>
            <w:webHidden/>
          </w:rPr>
          <w:fldChar w:fldCharType="separate"/>
        </w:r>
        <w:r w:rsidR="00C0292F">
          <w:rPr>
            <w:webHidden/>
          </w:rPr>
          <w:t>149</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41" w:history="1">
        <w:r w:rsidR="00C0292F" w:rsidRPr="00FA5842">
          <w:rPr>
            <w:rStyle w:val="Hyperlink"/>
          </w:rPr>
          <w:t>3.2</w:t>
        </w:r>
        <w:r w:rsidR="00C0292F">
          <w:rPr>
            <w:rFonts w:asciiTheme="minorHAnsi" w:eastAsiaTheme="minorEastAsia" w:hAnsiTheme="minorHAnsi" w:cstheme="minorBidi"/>
            <w:sz w:val="22"/>
            <w:szCs w:val="22"/>
          </w:rPr>
          <w:tab/>
        </w:r>
        <w:r w:rsidR="00C0292F" w:rsidRPr="00FA5842">
          <w:rPr>
            <w:rStyle w:val="Hyperlink"/>
          </w:rPr>
          <w:t>Lighting Equipment Improvements</w:t>
        </w:r>
        <w:r w:rsidR="00C0292F">
          <w:rPr>
            <w:webHidden/>
          </w:rPr>
          <w:tab/>
        </w:r>
        <w:r w:rsidR="00C0292F">
          <w:rPr>
            <w:webHidden/>
          </w:rPr>
          <w:fldChar w:fldCharType="begin"/>
        </w:r>
        <w:r w:rsidR="00C0292F">
          <w:rPr>
            <w:webHidden/>
          </w:rPr>
          <w:instrText xml:space="preserve"> PAGEREF _Toc310875441 \h </w:instrText>
        </w:r>
        <w:r w:rsidR="00C0292F">
          <w:rPr>
            <w:webHidden/>
          </w:rPr>
        </w:r>
        <w:r w:rsidR="00C0292F">
          <w:rPr>
            <w:webHidden/>
          </w:rPr>
          <w:fldChar w:fldCharType="separate"/>
        </w:r>
        <w:r w:rsidR="00C0292F">
          <w:rPr>
            <w:webHidden/>
          </w:rPr>
          <w:t>150</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42" w:history="1">
        <w:r w:rsidR="00C0292F" w:rsidRPr="00FA5842">
          <w:rPr>
            <w:rStyle w:val="Hyperlink"/>
          </w:rPr>
          <w:t>3.3</w:t>
        </w:r>
        <w:r w:rsidR="00C0292F">
          <w:rPr>
            <w:rFonts w:asciiTheme="minorHAnsi" w:eastAsiaTheme="minorEastAsia" w:hAnsiTheme="minorHAnsi" w:cstheme="minorBidi"/>
            <w:sz w:val="22"/>
            <w:szCs w:val="22"/>
          </w:rPr>
          <w:tab/>
        </w:r>
        <w:r w:rsidR="00C0292F" w:rsidRPr="00FA5842">
          <w:rPr>
            <w:rStyle w:val="Hyperlink"/>
          </w:rPr>
          <w:t>Premium Efficiency Motors</w:t>
        </w:r>
        <w:r w:rsidR="00C0292F">
          <w:rPr>
            <w:webHidden/>
          </w:rPr>
          <w:tab/>
        </w:r>
        <w:r w:rsidR="00C0292F">
          <w:rPr>
            <w:webHidden/>
          </w:rPr>
          <w:fldChar w:fldCharType="begin"/>
        </w:r>
        <w:r w:rsidR="00C0292F">
          <w:rPr>
            <w:webHidden/>
          </w:rPr>
          <w:instrText xml:space="preserve"> PAGEREF _Toc310875442 \h </w:instrText>
        </w:r>
        <w:r w:rsidR="00C0292F">
          <w:rPr>
            <w:webHidden/>
          </w:rPr>
        </w:r>
        <w:r w:rsidR="00C0292F">
          <w:rPr>
            <w:webHidden/>
          </w:rPr>
          <w:fldChar w:fldCharType="separate"/>
        </w:r>
        <w:r w:rsidR="00C0292F">
          <w:rPr>
            <w:webHidden/>
          </w:rPr>
          <w:t>167</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43" w:history="1">
        <w:r w:rsidR="00C0292F" w:rsidRPr="00FA5842">
          <w:rPr>
            <w:rStyle w:val="Hyperlink"/>
          </w:rPr>
          <w:t>3.4</w:t>
        </w:r>
        <w:r w:rsidR="00C0292F">
          <w:rPr>
            <w:rFonts w:asciiTheme="minorHAnsi" w:eastAsiaTheme="minorEastAsia" w:hAnsiTheme="minorHAnsi" w:cstheme="minorBidi"/>
            <w:sz w:val="22"/>
            <w:szCs w:val="22"/>
          </w:rPr>
          <w:tab/>
        </w:r>
        <w:r w:rsidR="00C0292F" w:rsidRPr="00FA5842">
          <w:rPr>
            <w:rStyle w:val="Hyperlink"/>
          </w:rPr>
          <w:t>Variable Frequency Drive (VFD) Improvements</w:t>
        </w:r>
        <w:r w:rsidR="00C0292F">
          <w:rPr>
            <w:webHidden/>
          </w:rPr>
          <w:tab/>
        </w:r>
        <w:r w:rsidR="00C0292F">
          <w:rPr>
            <w:webHidden/>
          </w:rPr>
          <w:fldChar w:fldCharType="begin"/>
        </w:r>
        <w:r w:rsidR="00C0292F">
          <w:rPr>
            <w:webHidden/>
          </w:rPr>
          <w:instrText xml:space="preserve"> PAGEREF _Toc310875443 \h </w:instrText>
        </w:r>
        <w:r w:rsidR="00C0292F">
          <w:rPr>
            <w:webHidden/>
          </w:rPr>
        </w:r>
        <w:r w:rsidR="00C0292F">
          <w:rPr>
            <w:webHidden/>
          </w:rPr>
          <w:fldChar w:fldCharType="separate"/>
        </w:r>
        <w:r w:rsidR="00C0292F">
          <w:rPr>
            <w:webHidden/>
          </w:rPr>
          <w:t>174</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44" w:history="1">
        <w:r w:rsidR="00C0292F" w:rsidRPr="00FA5842">
          <w:rPr>
            <w:rStyle w:val="Hyperlink"/>
          </w:rPr>
          <w:t>3.5</w:t>
        </w:r>
        <w:r w:rsidR="00C0292F">
          <w:rPr>
            <w:rFonts w:asciiTheme="minorHAnsi" w:eastAsiaTheme="minorEastAsia" w:hAnsiTheme="minorHAnsi" w:cstheme="minorBidi"/>
            <w:sz w:val="22"/>
            <w:szCs w:val="22"/>
          </w:rPr>
          <w:tab/>
        </w:r>
        <w:r w:rsidR="00C0292F" w:rsidRPr="00FA5842">
          <w:rPr>
            <w:rStyle w:val="Hyperlink"/>
          </w:rPr>
          <w:t>Variable Frequency Drive (VFD) Improvement for Industrial Air Compressors</w:t>
        </w:r>
        <w:r w:rsidR="00C0292F">
          <w:rPr>
            <w:webHidden/>
          </w:rPr>
          <w:tab/>
        </w:r>
        <w:r w:rsidR="00C0292F">
          <w:rPr>
            <w:webHidden/>
          </w:rPr>
          <w:fldChar w:fldCharType="begin"/>
        </w:r>
        <w:r w:rsidR="00C0292F">
          <w:rPr>
            <w:webHidden/>
          </w:rPr>
          <w:instrText xml:space="preserve"> PAGEREF _Toc310875444 \h </w:instrText>
        </w:r>
        <w:r w:rsidR="00C0292F">
          <w:rPr>
            <w:webHidden/>
          </w:rPr>
        </w:r>
        <w:r w:rsidR="00C0292F">
          <w:rPr>
            <w:webHidden/>
          </w:rPr>
          <w:fldChar w:fldCharType="separate"/>
        </w:r>
        <w:r w:rsidR="00C0292F">
          <w:rPr>
            <w:webHidden/>
          </w:rPr>
          <w:t>177</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45" w:history="1">
        <w:r w:rsidR="00C0292F" w:rsidRPr="00FA5842">
          <w:rPr>
            <w:rStyle w:val="Hyperlink"/>
          </w:rPr>
          <w:t>3.6</w:t>
        </w:r>
        <w:r w:rsidR="00C0292F">
          <w:rPr>
            <w:rFonts w:asciiTheme="minorHAnsi" w:eastAsiaTheme="minorEastAsia" w:hAnsiTheme="minorHAnsi" w:cstheme="minorBidi"/>
            <w:sz w:val="22"/>
            <w:szCs w:val="22"/>
          </w:rPr>
          <w:tab/>
        </w:r>
        <w:r w:rsidR="00C0292F" w:rsidRPr="00FA5842">
          <w:rPr>
            <w:rStyle w:val="Hyperlink"/>
          </w:rPr>
          <w:t>HVAC Systems</w:t>
        </w:r>
        <w:r w:rsidR="00C0292F">
          <w:rPr>
            <w:webHidden/>
          </w:rPr>
          <w:tab/>
        </w:r>
        <w:r w:rsidR="00C0292F">
          <w:rPr>
            <w:webHidden/>
          </w:rPr>
          <w:fldChar w:fldCharType="begin"/>
        </w:r>
        <w:r w:rsidR="00C0292F">
          <w:rPr>
            <w:webHidden/>
          </w:rPr>
          <w:instrText xml:space="preserve"> PAGEREF _Toc310875445 \h </w:instrText>
        </w:r>
        <w:r w:rsidR="00C0292F">
          <w:rPr>
            <w:webHidden/>
          </w:rPr>
        </w:r>
        <w:r w:rsidR="00C0292F">
          <w:rPr>
            <w:webHidden/>
          </w:rPr>
          <w:fldChar w:fldCharType="separate"/>
        </w:r>
        <w:r w:rsidR="00C0292F">
          <w:rPr>
            <w:webHidden/>
          </w:rPr>
          <w:t>179</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46" w:history="1">
        <w:r w:rsidR="00C0292F" w:rsidRPr="00FA5842">
          <w:rPr>
            <w:rStyle w:val="Hyperlink"/>
          </w:rPr>
          <w:t>3.7</w:t>
        </w:r>
        <w:r w:rsidR="00C0292F">
          <w:rPr>
            <w:rFonts w:asciiTheme="minorHAnsi" w:eastAsiaTheme="minorEastAsia" w:hAnsiTheme="minorHAnsi" w:cstheme="minorBidi"/>
            <w:sz w:val="22"/>
            <w:szCs w:val="22"/>
          </w:rPr>
          <w:tab/>
        </w:r>
        <w:r w:rsidR="00C0292F" w:rsidRPr="00FA5842">
          <w:rPr>
            <w:rStyle w:val="Hyperlink"/>
          </w:rPr>
          <w:t>Electric Chillers</w:t>
        </w:r>
        <w:r w:rsidR="00C0292F">
          <w:rPr>
            <w:webHidden/>
          </w:rPr>
          <w:tab/>
        </w:r>
        <w:r w:rsidR="00C0292F">
          <w:rPr>
            <w:webHidden/>
          </w:rPr>
          <w:fldChar w:fldCharType="begin"/>
        </w:r>
        <w:r w:rsidR="00C0292F">
          <w:rPr>
            <w:webHidden/>
          </w:rPr>
          <w:instrText xml:space="preserve"> PAGEREF _Toc310875446 \h </w:instrText>
        </w:r>
        <w:r w:rsidR="00C0292F">
          <w:rPr>
            <w:webHidden/>
          </w:rPr>
        </w:r>
        <w:r w:rsidR="00C0292F">
          <w:rPr>
            <w:webHidden/>
          </w:rPr>
          <w:fldChar w:fldCharType="separate"/>
        </w:r>
        <w:r w:rsidR="00C0292F">
          <w:rPr>
            <w:webHidden/>
          </w:rPr>
          <w:t>185</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47" w:history="1">
        <w:r w:rsidR="00C0292F" w:rsidRPr="00FA5842">
          <w:rPr>
            <w:rStyle w:val="Hyperlink"/>
          </w:rPr>
          <w:t>3.8</w:t>
        </w:r>
        <w:r w:rsidR="00C0292F">
          <w:rPr>
            <w:rFonts w:asciiTheme="minorHAnsi" w:eastAsiaTheme="minorEastAsia" w:hAnsiTheme="minorHAnsi" w:cstheme="minorBidi"/>
            <w:sz w:val="22"/>
            <w:szCs w:val="22"/>
          </w:rPr>
          <w:tab/>
        </w:r>
        <w:r w:rsidR="00C0292F" w:rsidRPr="00FA5842">
          <w:rPr>
            <w:rStyle w:val="Hyperlink"/>
          </w:rPr>
          <w:t>Anti-Sweat Heater Controls</w:t>
        </w:r>
        <w:r w:rsidR="00C0292F">
          <w:rPr>
            <w:webHidden/>
          </w:rPr>
          <w:tab/>
        </w:r>
        <w:r w:rsidR="00C0292F">
          <w:rPr>
            <w:webHidden/>
          </w:rPr>
          <w:fldChar w:fldCharType="begin"/>
        </w:r>
        <w:r w:rsidR="00C0292F">
          <w:rPr>
            <w:webHidden/>
          </w:rPr>
          <w:instrText xml:space="preserve"> PAGEREF _Toc310875447 \h </w:instrText>
        </w:r>
        <w:r w:rsidR="00C0292F">
          <w:rPr>
            <w:webHidden/>
          </w:rPr>
        </w:r>
        <w:r w:rsidR="00C0292F">
          <w:rPr>
            <w:webHidden/>
          </w:rPr>
          <w:fldChar w:fldCharType="separate"/>
        </w:r>
        <w:r w:rsidR="00C0292F">
          <w:rPr>
            <w:webHidden/>
          </w:rPr>
          <w:t>189</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48" w:history="1">
        <w:r w:rsidR="00C0292F" w:rsidRPr="00FA5842">
          <w:rPr>
            <w:rStyle w:val="Hyperlink"/>
          </w:rPr>
          <w:t>3.9</w:t>
        </w:r>
        <w:r w:rsidR="00C0292F">
          <w:rPr>
            <w:rFonts w:asciiTheme="minorHAnsi" w:eastAsiaTheme="minorEastAsia" w:hAnsiTheme="minorHAnsi" w:cstheme="minorBidi"/>
            <w:sz w:val="22"/>
            <w:szCs w:val="22"/>
          </w:rPr>
          <w:tab/>
        </w:r>
        <w:r w:rsidR="00C0292F" w:rsidRPr="00FA5842">
          <w:rPr>
            <w:rStyle w:val="Hyperlink"/>
          </w:rPr>
          <w:t>High-Efficiency Refrigeration/Freezer Cases</w:t>
        </w:r>
        <w:r w:rsidR="00C0292F">
          <w:rPr>
            <w:webHidden/>
          </w:rPr>
          <w:tab/>
        </w:r>
        <w:r w:rsidR="00C0292F">
          <w:rPr>
            <w:webHidden/>
          </w:rPr>
          <w:fldChar w:fldCharType="begin"/>
        </w:r>
        <w:r w:rsidR="00C0292F">
          <w:rPr>
            <w:webHidden/>
          </w:rPr>
          <w:instrText xml:space="preserve"> PAGEREF _Toc310875448 \h </w:instrText>
        </w:r>
        <w:r w:rsidR="00C0292F">
          <w:rPr>
            <w:webHidden/>
          </w:rPr>
        </w:r>
        <w:r w:rsidR="00C0292F">
          <w:rPr>
            <w:webHidden/>
          </w:rPr>
          <w:fldChar w:fldCharType="separate"/>
        </w:r>
        <w:r w:rsidR="00C0292F">
          <w:rPr>
            <w:webHidden/>
          </w:rPr>
          <w:t>193</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49" w:history="1">
        <w:r w:rsidR="00C0292F" w:rsidRPr="00FA5842">
          <w:rPr>
            <w:rStyle w:val="Hyperlink"/>
          </w:rPr>
          <w:t>3.10</w:t>
        </w:r>
        <w:r w:rsidR="00C0292F">
          <w:rPr>
            <w:rFonts w:asciiTheme="minorHAnsi" w:eastAsiaTheme="minorEastAsia" w:hAnsiTheme="minorHAnsi" w:cstheme="minorBidi"/>
            <w:sz w:val="22"/>
            <w:szCs w:val="22"/>
          </w:rPr>
          <w:tab/>
        </w:r>
        <w:r w:rsidR="00C0292F" w:rsidRPr="00FA5842">
          <w:rPr>
            <w:rStyle w:val="Hyperlink"/>
          </w:rPr>
          <w:t>High-Efficiency Evaporator Fan Motors for Reach-In Refrigerated Cases</w:t>
        </w:r>
        <w:r w:rsidR="00C0292F">
          <w:rPr>
            <w:webHidden/>
          </w:rPr>
          <w:tab/>
        </w:r>
        <w:r w:rsidR="00C0292F">
          <w:rPr>
            <w:webHidden/>
          </w:rPr>
          <w:fldChar w:fldCharType="begin"/>
        </w:r>
        <w:r w:rsidR="00C0292F">
          <w:rPr>
            <w:webHidden/>
          </w:rPr>
          <w:instrText xml:space="preserve"> PAGEREF _Toc310875449 \h </w:instrText>
        </w:r>
        <w:r w:rsidR="00C0292F">
          <w:rPr>
            <w:webHidden/>
          </w:rPr>
        </w:r>
        <w:r w:rsidR="00C0292F">
          <w:rPr>
            <w:webHidden/>
          </w:rPr>
          <w:fldChar w:fldCharType="separate"/>
        </w:r>
        <w:r w:rsidR="00C0292F">
          <w:rPr>
            <w:webHidden/>
          </w:rPr>
          <w:t>196</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50" w:history="1">
        <w:r w:rsidR="00C0292F" w:rsidRPr="00FA5842">
          <w:rPr>
            <w:rStyle w:val="Hyperlink"/>
          </w:rPr>
          <w:t>3.11</w:t>
        </w:r>
        <w:r w:rsidR="00C0292F">
          <w:rPr>
            <w:rFonts w:asciiTheme="minorHAnsi" w:eastAsiaTheme="minorEastAsia" w:hAnsiTheme="minorHAnsi" w:cstheme="minorBidi"/>
            <w:sz w:val="22"/>
            <w:szCs w:val="22"/>
          </w:rPr>
          <w:tab/>
        </w:r>
        <w:r w:rsidR="00C0292F" w:rsidRPr="00FA5842">
          <w:rPr>
            <w:rStyle w:val="Hyperlink"/>
          </w:rPr>
          <w:t>High-Efficiency Evaporator Fan Motors for Walk-in Refrigerated Cases</w:t>
        </w:r>
        <w:r w:rsidR="00C0292F">
          <w:rPr>
            <w:webHidden/>
          </w:rPr>
          <w:tab/>
        </w:r>
        <w:r w:rsidR="00C0292F">
          <w:rPr>
            <w:webHidden/>
          </w:rPr>
          <w:fldChar w:fldCharType="begin"/>
        </w:r>
        <w:r w:rsidR="00C0292F">
          <w:rPr>
            <w:webHidden/>
          </w:rPr>
          <w:instrText xml:space="preserve"> PAGEREF _Toc310875450 \h </w:instrText>
        </w:r>
        <w:r w:rsidR="00C0292F">
          <w:rPr>
            <w:webHidden/>
          </w:rPr>
        </w:r>
        <w:r w:rsidR="00C0292F">
          <w:rPr>
            <w:webHidden/>
          </w:rPr>
          <w:fldChar w:fldCharType="separate"/>
        </w:r>
        <w:r w:rsidR="00C0292F">
          <w:rPr>
            <w:webHidden/>
          </w:rPr>
          <w:t>202</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51" w:history="1">
        <w:r w:rsidR="00C0292F" w:rsidRPr="00FA5842">
          <w:rPr>
            <w:rStyle w:val="Hyperlink"/>
          </w:rPr>
          <w:t>3.12</w:t>
        </w:r>
        <w:r w:rsidR="00C0292F">
          <w:rPr>
            <w:rFonts w:asciiTheme="minorHAnsi" w:eastAsiaTheme="minorEastAsia" w:hAnsiTheme="minorHAnsi" w:cstheme="minorBidi"/>
            <w:sz w:val="22"/>
            <w:szCs w:val="22"/>
          </w:rPr>
          <w:tab/>
        </w:r>
        <w:r w:rsidR="00C0292F" w:rsidRPr="00FA5842">
          <w:rPr>
            <w:rStyle w:val="Hyperlink"/>
          </w:rPr>
          <w:t>ENERGY STAR Office Equipment</w:t>
        </w:r>
        <w:r w:rsidR="00C0292F">
          <w:rPr>
            <w:webHidden/>
          </w:rPr>
          <w:tab/>
        </w:r>
        <w:r w:rsidR="00C0292F">
          <w:rPr>
            <w:webHidden/>
          </w:rPr>
          <w:fldChar w:fldCharType="begin"/>
        </w:r>
        <w:r w:rsidR="00C0292F">
          <w:rPr>
            <w:webHidden/>
          </w:rPr>
          <w:instrText xml:space="preserve"> PAGEREF _Toc310875451 \h </w:instrText>
        </w:r>
        <w:r w:rsidR="00C0292F">
          <w:rPr>
            <w:webHidden/>
          </w:rPr>
        </w:r>
        <w:r w:rsidR="00C0292F">
          <w:rPr>
            <w:webHidden/>
          </w:rPr>
          <w:fldChar w:fldCharType="separate"/>
        </w:r>
        <w:r w:rsidR="00C0292F">
          <w:rPr>
            <w:webHidden/>
          </w:rPr>
          <w:t>208</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52" w:history="1">
        <w:r w:rsidR="00C0292F" w:rsidRPr="00FA5842">
          <w:rPr>
            <w:rStyle w:val="Hyperlink"/>
          </w:rPr>
          <w:t>3.13</w:t>
        </w:r>
        <w:r w:rsidR="00C0292F">
          <w:rPr>
            <w:rFonts w:asciiTheme="minorHAnsi" w:eastAsiaTheme="minorEastAsia" w:hAnsiTheme="minorHAnsi" w:cstheme="minorBidi"/>
            <w:sz w:val="22"/>
            <w:szCs w:val="22"/>
          </w:rPr>
          <w:tab/>
        </w:r>
        <w:r w:rsidR="00C0292F" w:rsidRPr="00FA5842">
          <w:rPr>
            <w:rStyle w:val="Hyperlink"/>
          </w:rPr>
          <w:t>Smart Strip Plug Outlets</w:t>
        </w:r>
        <w:r w:rsidR="00C0292F">
          <w:rPr>
            <w:webHidden/>
          </w:rPr>
          <w:tab/>
        </w:r>
        <w:r w:rsidR="00C0292F">
          <w:rPr>
            <w:webHidden/>
          </w:rPr>
          <w:fldChar w:fldCharType="begin"/>
        </w:r>
        <w:r w:rsidR="00C0292F">
          <w:rPr>
            <w:webHidden/>
          </w:rPr>
          <w:instrText xml:space="preserve"> PAGEREF _Toc310875452 \h </w:instrText>
        </w:r>
        <w:r w:rsidR="00C0292F">
          <w:rPr>
            <w:webHidden/>
          </w:rPr>
        </w:r>
        <w:r w:rsidR="00C0292F">
          <w:rPr>
            <w:webHidden/>
          </w:rPr>
          <w:fldChar w:fldCharType="separate"/>
        </w:r>
        <w:r w:rsidR="00C0292F">
          <w:rPr>
            <w:webHidden/>
          </w:rPr>
          <w:t>213</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53" w:history="1">
        <w:r w:rsidR="00C0292F" w:rsidRPr="00FA5842">
          <w:rPr>
            <w:rStyle w:val="Hyperlink"/>
          </w:rPr>
          <w:t>3.14</w:t>
        </w:r>
        <w:r w:rsidR="00C0292F">
          <w:rPr>
            <w:rFonts w:asciiTheme="minorHAnsi" w:eastAsiaTheme="minorEastAsia" w:hAnsiTheme="minorHAnsi" w:cstheme="minorBidi"/>
            <w:sz w:val="22"/>
            <w:szCs w:val="22"/>
          </w:rPr>
          <w:tab/>
        </w:r>
        <w:r w:rsidR="00C0292F" w:rsidRPr="00FA5842">
          <w:rPr>
            <w:rStyle w:val="Hyperlink"/>
          </w:rPr>
          <w:t>Beverage Machine Controls</w:t>
        </w:r>
        <w:r w:rsidR="00C0292F">
          <w:rPr>
            <w:webHidden/>
          </w:rPr>
          <w:tab/>
        </w:r>
        <w:r w:rsidR="00C0292F">
          <w:rPr>
            <w:webHidden/>
          </w:rPr>
          <w:fldChar w:fldCharType="begin"/>
        </w:r>
        <w:r w:rsidR="00C0292F">
          <w:rPr>
            <w:webHidden/>
          </w:rPr>
          <w:instrText xml:space="preserve"> PAGEREF _Toc310875453 \h </w:instrText>
        </w:r>
        <w:r w:rsidR="00C0292F">
          <w:rPr>
            <w:webHidden/>
          </w:rPr>
        </w:r>
        <w:r w:rsidR="00C0292F">
          <w:rPr>
            <w:webHidden/>
          </w:rPr>
          <w:fldChar w:fldCharType="separate"/>
        </w:r>
        <w:r w:rsidR="00C0292F">
          <w:rPr>
            <w:webHidden/>
          </w:rPr>
          <w:t>215</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54" w:history="1">
        <w:r w:rsidR="00C0292F" w:rsidRPr="00FA5842">
          <w:rPr>
            <w:rStyle w:val="Hyperlink"/>
          </w:rPr>
          <w:t>3.15</w:t>
        </w:r>
        <w:r w:rsidR="00C0292F">
          <w:rPr>
            <w:rFonts w:asciiTheme="minorHAnsi" w:eastAsiaTheme="minorEastAsia" w:hAnsiTheme="minorHAnsi" w:cstheme="minorBidi"/>
            <w:sz w:val="22"/>
            <w:szCs w:val="22"/>
          </w:rPr>
          <w:tab/>
        </w:r>
        <w:r w:rsidR="00C0292F" w:rsidRPr="00FA5842">
          <w:rPr>
            <w:rStyle w:val="Hyperlink"/>
          </w:rPr>
          <w:t>High-Efficiency Ice Machines</w:t>
        </w:r>
        <w:r w:rsidR="00C0292F">
          <w:rPr>
            <w:webHidden/>
          </w:rPr>
          <w:tab/>
        </w:r>
        <w:r w:rsidR="00C0292F">
          <w:rPr>
            <w:webHidden/>
          </w:rPr>
          <w:fldChar w:fldCharType="begin"/>
        </w:r>
        <w:r w:rsidR="00C0292F">
          <w:rPr>
            <w:webHidden/>
          </w:rPr>
          <w:instrText xml:space="preserve"> PAGEREF _Toc310875454 \h </w:instrText>
        </w:r>
        <w:r w:rsidR="00C0292F">
          <w:rPr>
            <w:webHidden/>
          </w:rPr>
        </w:r>
        <w:r w:rsidR="00C0292F">
          <w:rPr>
            <w:webHidden/>
          </w:rPr>
          <w:fldChar w:fldCharType="separate"/>
        </w:r>
        <w:r w:rsidR="00C0292F">
          <w:rPr>
            <w:webHidden/>
          </w:rPr>
          <w:t>217</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55" w:history="1">
        <w:r w:rsidR="00C0292F" w:rsidRPr="00FA5842">
          <w:rPr>
            <w:rStyle w:val="Hyperlink"/>
          </w:rPr>
          <w:t>3.16</w:t>
        </w:r>
        <w:r w:rsidR="00C0292F">
          <w:rPr>
            <w:rFonts w:asciiTheme="minorHAnsi" w:eastAsiaTheme="minorEastAsia" w:hAnsiTheme="minorHAnsi" w:cstheme="minorBidi"/>
            <w:sz w:val="22"/>
            <w:szCs w:val="22"/>
          </w:rPr>
          <w:tab/>
        </w:r>
        <w:r w:rsidR="00C0292F" w:rsidRPr="00FA5842">
          <w:rPr>
            <w:rStyle w:val="Hyperlink"/>
          </w:rPr>
          <w:t>Wall and Ceiling Insulation</w:t>
        </w:r>
        <w:r w:rsidR="00C0292F">
          <w:rPr>
            <w:webHidden/>
          </w:rPr>
          <w:tab/>
        </w:r>
        <w:r w:rsidR="00C0292F">
          <w:rPr>
            <w:webHidden/>
          </w:rPr>
          <w:fldChar w:fldCharType="begin"/>
        </w:r>
        <w:r w:rsidR="00C0292F">
          <w:rPr>
            <w:webHidden/>
          </w:rPr>
          <w:instrText xml:space="preserve"> PAGEREF _Toc310875455 \h </w:instrText>
        </w:r>
        <w:r w:rsidR="00C0292F">
          <w:rPr>
            <w:webHidden/>
          </w:rPr>
        </w:r>
        <w:r w:rsidR="00C0292F">
          <w:rPr>
            <w:webHidden/>
          </w:rPr>
          <w:fldChar w:fldCharType="separate"/>
        </w:r>
        <w:r w:rsidR="00C0292F">
          <w:rPr>
            <w:webHidden/>
          </w:rPr>
          <w:t>220</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56" w:history="1">
        <w:r w:rsidR="00C0292F" w:rsidRPr="00FA5842">
          <w:rPr>
            <w:rStyle w:val="Hyperlink"/>
          </w:rPr>
          <w:t>3.17</w:t>
        </w:r>
        <w:r w:rsidR="00C0292F">
          <w:rPr>
            <w:rFonts w:asciiTheme="minorHAnsi" w:eastAsiaTheme="minorEastAsia" w:hAnsiTheme="minorHAnsi" w:cstheme="minorBidi"/>
            <w:sz w:val="22"/>
            <w:szCs w:val="22"/>
          </w:rPr>
          <w:tab/>
        </w:r>
        <w:r w:rsidR="00C0292F" w:rsidRPr="00FA5842">
          <w:rPr>
            <w:rStyle w:val="Hyperlink"/>
          </w:rPr>
          <w:t>Strip Curtains for Walk-In Freezers and Coolers</w:t>
        </w:r>
        <w:r w:rsidR="00C0292F">
          <w:rPr>
            <w:webHidden/>
          </w:rPr>
          <w:tab/>
        </w:r>
        <w:r w:rsidR="00C0292F">
          <w:rPr>
            <w:webHidden/>
          </w:rPr>
          <w:fldChar w:fldCharType="begin"/>
        </w:r>
        <w:r w:rsidR="00C0292F">
          <w:rPr>
            <w:webHidden/>
          </w:rPr>
          <w:instrText xml:space="preserve"> PAGEREF _Toc310875456 \h </w:instrText>
        </w:r>
        <w:r w:rsidR="00C0292F">
          <w:rPr>
            <w:webHidden/>
          </w:rPr>
        </w:r>
        <w:r w:rsidR="00C0292F">
          <w:rPr>
            <w:webHidden/>
          </w:rPr>
          <w:fldChar w:fldCharType="separate"/>
        </w:r>
        <w:r w:rsidR="00C0292F">
          <w:rPr>
            <w:webHidden/>
          </w:rPr>
          <w:t>227</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57" w:history="1">
        <w:r w:rsidR="00C0292F" w:rsidRPr="00FA5842">
          <w:rPr>
            <w:rStyle w:val="Hyperlink"/>
          </w:rPr>
          <w:t>3.18</w:t>
        </w:r>
        <w:r w:rsidR="00C0292F">
          <w:rPr>
            <w:rFonts w:asciiTheme="minorHAnsi" w:eastAsiaTheme="minorEastAsia" w:hAnsiTheme="minorHAnsi" w:cstheme="minorBidi"/>
            <w:sz w:val="22"/>
            <w:szCs w:val="22"/>
          </w:rPr>
          <w:tab/>
        </w:r>
        <w:r w:rsidR="00C0292F" w:rsidRPr="00FA5842">
          <w:rPr>
            <w:rStyle w:val="Hyperlink"/>
          </w:rPr>
          <w:t>Geothermal Heat Pumps</w:t>
        </w:r>
        <w:r w:rsidR="00C0292F">
          <w:rPr>
            <w:webHidden/>
          </w:rPr>
          <w:tab/>
        </w:r>
        <w:r w:rsidR="00C0292F">
          <w:rPr>
            <w:webHidden/>
          </w:rPr>
          <w:fldChar w:fldCharType="begin"/>
        </w:r>
        <w:r w:rsidR="00C0292F">
          <w:rPr>
            <w:webHidden/>
          </w:rPr>
          <w:instrText xml:space="preserve"> PAGEREF _Toc310875457 \h </w:instrText>
        </w:r>
        <w:r w:rsidR="00C0292F">
          <w:rPr>
            <w:webHidden/>
          </w:rPr>
        </w:r>
        <w:r w:rsidR="00C0292F">
          <w:rPr>
            <w:webHidden/>
          </w:rPr>
          <w:fldChar w:fldCharType="separate"/>
        </w:r>
        <w:r w:rsidR="00C0292F">
          <w:rPr>
            <w:webHidden/>
          </w:rPr>
          <w:t>235</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58" w:history="1">
        <w:r w:rsidR="00C0292F" w:rsidRPr="00FA5842">
          <w:rPr>
            <w:rStyle w:val="Hyperlink"/>
          </w:rPr>
          <w:t>3.19</w:t>
        </w:r>
        <w:r w:rsidR="00C0292F">
          <w:rPr>
            <w:rFonts w:asciiTheme="minorHAnsi" w:eastAsiaTheme="minorEastAsia" w:hAnsiTheme="minorHAnsi" w:cstheme="minorBidi"/>
            <w:sz w:val="22"/>
            <w:szCs w:val="22"/>
          </w:rPr>
          <w:tab/>
        </w:r>
        <w:r w:rsidR="00C0292F" w:rsidRPr="00FA5842">
          <w:rPr>
            <w:rStyle w:val="Hyperlink"/>
          </w:rPr>
          <w:t>Ductless Mini-Split Heat Pumps – Commercial &lt; 5.4 tons</w:t>
        </w:r>
        <w:r w:rsidR="00C0292F">
          <w:rPr>
            <w:webHidden/>
          </w:rPr>
          <w:tab/>
        </w:r>
        <w:r w:rsidR="00C0292F">
          <w:rPr>
            <w:webHidden/>
          </w:rPr>
          <w:fldChar w:fldCharType="begin"/>
        </w:r>
        <w:r w:rsidR="00C0292F">
          <w:rPr>
            <w:webHidden/>
          </w:rPr>
          <w:instrText xml:space="preserve"> PAGEREF _Toc310875458 \h </w:instrText>
        </w:r>
        <w:r w:rsidR="00C0292F">
          <w:rPr>
            <w:webHidden/>
          </w:rPr>
        </w:r>
        <w:r w:rsidR="00C0292F">
          <w:rPr>
            <w:webHidden/>
          </w:rPr>
          <w:fldChar w:fldCharType="separate"/>
        </w:r>
        <w:r w:rsidR="00C0292F">
          <w:rPr>
            <w:webHidden/>
          </w:rPr>
          <w:t>244</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59" w:history="1">
        <w:r w:rsidR="00C0292F" w:rsidRPr="00FA5842">
          <w:rPr>
            <w:rStyle w:val="Hyperlink"/>
          </w:rPr>
          <w:t>3.20</w:t>
        </w:r>
        <w:r w:rsidR="00C0292F">
          <w:rPr>
            <w:rFonts w:asciiTheme="minorHAnsi" w:eastAsiaTheme="minorEastAsia" w:hAnsiTheme="minorHAnsi" w:cstheme="minorBidi"/>
            <w:sz w:val="22"/>
            <w:szCs w:val="22"/>
          </w:rPr>
          <w:tab/>
        </w:r>
        <w:r w:rsidR="00C0292F" w:rsidRPr="00FA5842">
          <w:rPr>
            <w:rStyle w:val="Hyperlink"/>
          </w:rPr>
          <w:t>ENERGY STAR Electric Steam Cooker</w:t>
        </w:r>
        <w:r w:rsidR="00C0292F">
          <w:rPr>
            <w:webHidden/>
          </w:rPr>
          <w:tab/>
        </w:r>
        <w:r w:rsidR="00C0292F">
          <w:rPr>
            <w:webHidden/>
          </w:rPr>
          <w:fldChar w:fldCharType="begin"/>
        </w:r>
        <w:r w:rsidR="00C0292F">
          <w:rPr>
            <w:webHidden/>
          </w:rPr>
          <w:instrText xml:space="preserve"> PAGEREF _Toc310875459 \h </w:instrText>
        </w:r>
        <w:r w:rsidR="00C0292F">
          <w:rPr>
            <w:webHidden/>
          </w:rPr>
        </w:r>
        <w:r w:rsidR="00C0292F">
          <w:rPr>
            <w:webHidden/>
          </w:rPr>
          <w:fldChar w:fldCharType="separate"/>
        </w:r>
        <w:r w:rsidR="00C0292F">
          <w:rPr>
            <w:webHidden/>
          </w:rPr>
          <w:t>251</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60" w:history="1">
        <w:r w:rsidR="00C0292F" w:rsidRPr="00FA5842">
          <w:rPr>
            <w:rStyle w:val="Hyperlink"/>
          </w:rPr>
          <w:t>3.21</w:t>
        </w:r>
        <w:r w:rsidR="00C0292F">
          <w:rPr>
            <w:rFonts w:asciiTheme="minorHAnsi" w:eastAsiaTheme="minorEastAsia" w:hAnsiTheme="minorHAnsi" w:cstheme="minorBidi"/>
            <w:sz w:val="22"/>
            <w:szCs w:val="22"/>
          </w:rPr>
          <w:tab/>
        </w:r>
        <w:r w:rsidR="00C0292F" w:rsidRPr="00FA5842">
          <w:rPr>
            <w:rStyle w:val="Hyperlink"/>
            <w:rFonts w:cs="Arial"/>
          </w:rPr>
          <w:t xml:space="preserve">Refrigeration – </w:t>
        </w:r>
        <w:r w:rsidR="00C0292F" w:rsidRPr="00FA5842">
          <w:rPr>
            <w:rStyle w:val="Hyperlink"/>
          </w:rPr>
          <w:t>Night Covers for Display Cases</w:t>
        </w:r>
        <w:r w:rsidR="00C0292F">
          <w:rPr>
            <w:webHidden/>
          </w:rPr>
          <w:tab/>
        </w:r>
        <w:r w:rsidR="00C0292F">
          <w:rPr>
            <w:webHidden/>
          </w:rPr>
          <w:fldChar w:fldCharType="begin"/>
        </w:r>
        <w:r w:rsidR="00C0292F">
          <w:rPr>
            <w:webHidden/>
          </w:rPr>
          <w:instrText xml:space="preserve"> PAGEREF _Toc310875460 \h </w:instrText>
        </w:r>
        <w:r w:rsidR="00C0292F">
          <w:rPr>
            <w:webHidden/>
          </w:rPr>
        </w:r>
        <w:r w:rsidR="00C0292F">
          <w:rPr>
            <w:webHidden/>
          </w:rPr>
          <w:fldChar w:fldCharType="separate"/>
        </w:r>
        <w:r w:rsidR="00C0292F">
          <w:rPr>
            <w:webHidden/>
          </w:rPr>
          <w:t>255</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61" w:history="1">
        <w:r w:rsidR="00C0292F" w:rsidRPr="00FA5842">
          <w:rPr>
            <w:rStyle w:val="Hyperlink"/>
          </w:rPr>
          <w:t>3.22</w:t>
        </w:r>
        <w:r w:rsidR="00C0292F">
          <w:rPr>
            <w:rFonts w:asciiTheme="minorHAnsi" w:eastAsiaTheme="minorEastAsia" w:hAnsiTheme="minorHAnsi" w:cstheme="minorBidi"/>
            <w:sz w:val="22"/>
            <w:szCs w:val="22"/>
          </w:rPr>
          <w:tab/>
        </w:r>
        <w:r w:rsidR="00C0292F" w:rsidRPr="00FA5842">
          <w:rPr>
            <w:rStyle w:val="Hyperlink"/>
          </w:rPr>
          <w:t>Office Equipment – Network Power Management Enabling</w:t>
        </w:r>
        <w:r w:rsidR="00C0292F">
          <w:rPr>
            <w:webHidden/>
          </w:rPr>
          <w:tab/>
        </w:r>
        <w:r w:rsidR="00C0292F">
          <w:rPr>
            <w:webHidden/>
          </w:rPr>
          <w:fldChar w:fldCharType="begin"/>
        </w:r>
        <w:r w:rsidR="00C0292F">
          <w:rPr>
            <w:webHidden/>
          </w:rPr>
          <w:instrText xml:space="preserve"> PAGEREF _Toc310875461 \h </w:instrText>
        </w:r>
        <w:r w:rsidR="00C0292F">
          <w:rPr>
            <w:webHidden/>
          </w:rPr>
        </w:r>
        <w:r w:rsidR="00C0292F">
          <w:rPr>
            <w:webHidden/>
          </w:rPr>
          <w:fldChar w:fldCharType="separate"/>
        </w:r>
        <w:r w:rsidR="00C0292F">
          <w:rPr>
            <w:webHidden/>
          </w:rPr>
          <w:t>257</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62" w:history="1">
        <w:r w:rsidR="00C0292F" w:rsidRPr="00FA5842">
          <w:rPr>
            <w:rStyle w:val="Hyperlink"/>
          </w:rPr>
          <w:t>3.23</w:t>
        </w:r>
        <w:r w:rsidR="00C0292F">
          <w:rPr>
            <w:rFonts w:asciiTheme="minorHAnsi" w:eastAsiaTheme="minorEastAsia" w:hAnsiTheme="minorHAnsi" w:cstheme="minorBidi"/>
            <w:sz w:val="22"/>
            <w:szCs w:val="22"/>
          </w:rPr>
          <w:tab/>
        </w:r>
        <w:r w:rsidR="00C0292F" w:rsidRPr="00FA5842">
          <w:rPr>
            <w:rStyle w:val="Hyperlink"/>
          </w:rPr>
          <w:t>Refrigeration – Auto Closers</w:t>
        </w:r>
        <w:r w:rsidR="00C0292F">
          <w:rPr>
            <w:webHidden/>
          </w:rPr>
          <w:tab/>
        </w:r>
        <w:r w:rsidR="00C0292F">
          <w:rPr>
            <w:webHidden/>
          </w:rPr>
          <w:fldChar w:fldCharType="begin"/>
        </w:r>
        <w:r w:rsidR="00C0292F">
          <w:rPr>
            <w:webHidden/>
          </w:rPr>
          <w:instrText xml:space="preserve"> PAGEREF _Toc310875462 \h </w:instrText>
        </w:r>
        <w:r w:rsidR="00C0292F">
          <w:rPr>
            <w:webHidden/>
          </w:rPr>
        </w:r>
        <w:r w:rsidR="00C0292F">
          <w:rPr>
            <w:webHidden/>
          </w:rPr>
          <w:fldChar w:fldCharType="separate"/>
        </w:r>
        <w:r w:rsidR="00C0292F">
          <w:rPr>
            <w:webHidden/>
          </w:rPr>
          <w:t>259</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63" w:history="1">
        <w:r w:rsidR="00C0292F" w:rsidRPr="00FA5842">
          <w:rPr>
            <w:rStyle w:val="Hyperlink"/>
          </w:rPr>
          <w:t>3.24</w:t>
        </w:r>
        <w:r w:rsidR="00C0292F">
          <w:rPr>
            <w:rFonts w:asciiTheme="minorHAnsi" w:eastAsiaTheme="minorEastAsia" w:hAnsiTheme="minorHAnsi" w:cstheme="minorBidi"/>
            <w:sz w:val="22"/>
            <w:szCs w:val="22"/>
          </w:rPr>
          <w:tab/>
        </w:r>
        <w:r w:rsidR="00C0292F" w:rsidRPr="00FA5842">
          <w:rPr>
            <w:rStyle w:val="Hyperlink"/>
          </w:rPr>
          <w:t>Refrigeration – Door Gaskets for Walk-in Coolers and Freezers</w:t>
        </w:r>
        <w:r w:rsidR="00C0292F">
          <w:rPr>
            <w:webHidden/>
          </w:rPr>
          <w:tab/>
        </w:r>
        <w:r w:rsidR="00C0292F">
          <w:rPr>
            <w:webHidden/>
          </w:rPr>
          <w:fldChar w:fldCharType="begin"/>
        </w:r>
        <w:r w:rsidR="00C0292F">
          <w:rPr>
            <w:webHidden/>
          </w:rPr>
          <w:instrText xml:space="preserve"> PAGEREF _Toc310875463 \h </w:instrText>
        </w:r>
        <w:r w:rsidR="00C0292F">
          <w:rPr>
            <w:webHidden/>
          </w:rPr>
        </w:r>
        <w:r w:rsidR="00C0292F">
          <w:rPr>
            <w:webHidden/>
          </w:rPr>
          <w:fldChar w:fldCharType="separate"/>
        </w:r>
        <w:r w:rsidR="00C0292F">
          <w:rPr>
            <w:webHidden/>
          </w:rPr>
          <w:t>261</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64" w:history="1">
        <w:r w:rsidR="00C0292F" w:rsidRPr="00FA5842">
          <w:rPr>
            <w:rStyle w:val="Hyperlink"/>
          </w:rPr>
          <w:t>3.25</w:t>
        </w:r>
        <w:r w:rsidR="00C0292F">
          <w:rPr>
            <w:rFonts w:asciiTheme="minorHAnsi" w:eastAsiaTheme="minorEastAsia" w:hAnsiTheme="minorHAnsi" w:cstheme="minorBidi"/>
            <w:sz w:val="22"/>
            <w:szCs w:val="22"/>
          </w:rPr>
          <w:tab/>
        </w:r>
        <w:r w:rsidR="00C0292F" w:rsidRPr="00FA5842">
          <w:rPr>
            <w:rStyle w:val="Hyperlink"/>
          </w:rPr>
          <w:t>Refrigeration – Suction Pipes Insulation</w:t>
        </w:r>
        <w:r w:rsidR="00C0292F">
          <w:rPr>
            <w:webHidden/>
          </w:rPr>
          <w:tab/>
        </w:r>
        <w:r w:rsidR="00C0292F">
          <w:rPr>
            <w:webHidden/>
          </w:rPr>
          <w:fldChar w:fldCharType="begin"/>
        </w:r>
        <w:r w:rsidR="00C0292F">
          <w:rPr>
            <w:webHidden/>
          </w:rPr>
          <w:instrText xml:space="preserve"> PAGEREF _Toc310875464 \h </w:instrText>
        </w:r>
        <w:r w:rsidR="00C0292F">
          <w:rPr>
            <w:webHidden/>
          </w:rPr>
        </w:r>
        <w:r w:rsidR="00C0292F">
          <w:rPr>
            <w:webHidden/>
          </w:rPr>
          <w:fldChar w:fldCharType="separate"/>
        </w:r>
        <w:r w:rsidR="00C0292F">
          <w:rPr>
            <w:webHidden/>
          </w:rPr>
          <w:t>264</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65" w:history="1">
        <w:r w:rsidR="00C0292F" w:rsidRPr="00FA5842">
          <w:rPr>
            <w:rStyle w:val="Hyperlink"/>
          </w:rPr>
          <w:t>3.26</w:t>
        </w:r>
        <w:r w:rsidR="00C0292F">
          <w:rPr>
            <w:rFonts w:asciiTheme="minorHAnsi" w:eastAsiaTheme="minorEastAsia" w:hAnsiTheme="minorHAnsi" w:cstheme="minorBidi"/>
            <w:sz w:val="22"/>
            <w:szCs w:val="22"/>
          </w:rPr>
          <w:tab/>
        </w:r>
        <w:r w:rsidR="00C0292F" w:rsidRPr="00FA5842">
          <w:rPr>
            <w:rStyle w:val="Hyperlink"/>
          </w:rPr>
          <w:t>Refrigeration – Evaporator Fan Controllers</w:t>
        </w:r>
        <w:r w:rsidR="00C0292F">
          <w:rPr>
            <w:webHidden/>
          </w:rPr>
          <w:tab/>
        </w:r>
        <w:r w:rsidR="00C0292F">
          <w:rPr>
            <w:webHidden/>
          </w:rPr>
          <w:fldChar w:fldCharType="begin"/>
        </w:r>
        <w:r w:rsidR="00C0292F">
          <w:rPr>
            <w:webHidden/>
          </w:rPr>
          <w:instrText xml:space="preserve"> PAGEREF _Toc310875465 \h </w:instrText>
        </w:r>
        <w:r w:rsidR="00C0292F">
          <w:rPr>
            <w:webHidden/>
          </w:rPr>
        </w:r>
        <w:r w:rsidR="00C0292F">
          <w:rPr>
            <w:webHidden/>
          </w:rPr>
          <w:fldChar w:fldCharType="separate"/>
        </w:r>
        <w:r w:rsidR="00C0292F">
          <w:rPr>
            <w:webHidden/>
          </w:rPr>
          <w:t>266</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66" w:history="1">
        <w:r w:rsidR="00C0292F" w:rsidRPr="00FA5842">
          <w:rPr>
            <w:rStyle w:val="Hyperlink"/>
            <w:rFonts w:cs="Arial"/>
          </w:rPr>
          <w:t>3.27</w:t>
        </w:r>
        <w:r w:rsidR="00C0292F">
          <w:rPr>
            <w:rFonts w:asciiTheme="minorHAnsi" w:eastAsiaTheme="minorEastAsia" w:hAnsiTheme="minorHAnsi" w:cstheme="minorBidi"/>
            <w:sz w:val="22"/>
            <w:szCs w:val="22"/>
          </w:rPr>
          <w:tab/>
        </w:r>
        <w:r w:rsidR="00C0292F" w:rsidRPr="00FA5842">
          <w:rPr>
            <w:rStyle w:val="Hyperlink"/>
            <w:rFonts w:cs="Arial"/>
          </w:rPr>
          <w:t>ENERGY STAR Clothes Washer</w:t>
        </w:r>
        <w:r w:rsidR="00C0292F">
          <w:rPr>
            <w:webHidden/>
          </w:rPr>
          <w:tab/>
        </w:r>
        <w:r w:rsidR="00C0292F">
          <w:rPr>
            <w:webHidden/>
          </w:rPr>
          <w:fldChar w:fldCharType="begin"/>
        </w:r>
        <w:r w:rsidR="00C0292F">
          <w:rPr>
            <w:webHidden/>
          </w:rPr>
          <w:instrText xml:space="preserve"> PAGEREF _Toc310875466 \h </w:instrText>
        </w:r>
        <w:r w:rsidR="00C0292F">
          <w:rPr>
            <w:webHidden/>
          </w:rPr>
        </w:r>
        <w:r w:rsidR="00C0292F">
          <w:rPr>
            <w:webHidden/>
          </w:rPr>
          <w:fldChar w:fldCharType="separate"/>
        </w:r>
        <w:r w:rsidR="00C0292F">
          <w:rPr>
            <w:webHidden/>
          </w:rPr>
          <w:t>268</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67" w:history="1">
        <w:r w:rsidR="00C0292F" w:rsidRPr="00FA5842">
          <w:rPr>
            <w:rStyle w:val="Hyperlink"/>
            <w:rFonts w:cs="Arial"/>
          </w:rPr>
          <w:t>3.28</w:t>
        </w:r>
        <w:r w:rsidR="00C0292F">
          <w:rPr>
            <w:rFonts w:asciiTheme="minorHAnsi" w:eastAsiaTheme="minorEastAsia" w:hAnsiTheme="minorHAnsi" w:cstheme="minorBidi"/>
            <w:sz w:val="22"/>
            <w:szCs w:val="22"/>
          </w:rPr>
          <w:tab/>
        </w:r>
        <w:r w:rsidR="00C0292F" w:rsidRPr="00FA5842">
          <w:rPr>
            <w:rStyle w:val="Hyperlink"/>
            <w:rFonts w:cs="Arial"/>
          </w:rPr>
          <w:t>Electric Resistance Water Heaters</w:t>
        </w:r>
        <w:r w:rsidR="00C0292F">
          <w:rPr>
            <w:webHidden/>
          </w:rPr>
          <w:tab/>
        </w:r>
        <w:r w:rsidR="00C0292F">
          <w:rPr>
            <w:webHidden/>
          </w:rPr>
          <w:fldChar w:fldCharType="begin"/>
        </w:r>
        <w:r w:rsidR="00C0292F">
          <w:rPr>
            <w:webHidden/>
          </w:rPr>
          <w:instrText xml:space="preserve"> PAGEREF _Toc310875467 \h </w:instrText>
        </w:r>
        <w:r w:rsidR="00C0292F">
          <w:rPr>
            <w:webHidden/>
          </w:rPr>
        </w:r>
        <w:r w:rsidR="00C0292F">
          <w:rPr>
            <w:webHidden/>
          </w:rPr>
          <w:fldChar w:fldCharType="separate"/>
        </w:r>
        <w:r w:rsidR="00C0292F">
          <w:rPr>
            <w:webHidden/>
          </w:rPr>
          <w:t>272</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68" w:history="1">
        <w:r w:rsidR="00C0292F" w:rsidRPr="00FA5842">
          <w:rPr>
            <w:rStyle w:val="Hyperlink"/>
            <w:rFonts w:cs="Arial"/>
          </w:rPr>
          <w:t>3.29</w:t>
        </w:r>
        <w:r w:rsidR="00C0292F">
          <w:rPr>
            <w:rFonts w:asciiTheme="minorHAnsi" w:eastAsiaTheme="minorEastAsia" w:hAnsiTheme="minorHAnsi" w:cstheme="minorBidi"/>
            <w:sz w:val="22"/>
            <w:szCs w:val="22"/>
          </w:rPr>
          <w:tab/>
        </w:r>
        <w:r w:rsidR="00C0292F" w:rsidRPr="00FA5842">
          <w:rPr>
            <w:rStyle w:val="Hyperlink"/>
            <w:rFonts w:cs="Arial"/>
          </w:rPr>
          <w:t>Heat Pump Water Heaters</w:t>
        </w:r>
        <w:r w:rsidR="00C0292F">
          <w:rPr>
            <w:webHidden/>
          </w:rPr>
          <w:tab/>
        </w:r>
        <w:r w:rsidR="00C0292F">
          <w:rPr>
            <w:webHidden/>
          </w:rPr>
          <w:fldChar w:fldCharType="begin"/>
        </w:r>
        <w:r w:rsidR="00C0292F">
          <w:rPr>
            <w:webHidden/>
          </w:rPr>
          <w:instrText xml:space="preserve"> PAGEREF _Toc310875468 \h </w:instrText>
        </w:r>
        <w:r w:rsidR="00C0292F">
          <w:rPr>
            <w:webHidden/>
          </w:rPr>
        </w:r>
        <w:r w:rsidR="00C0292F">
          <w:rPr>
            <w:webHidden/>
          </w:rPr>
          <w:fldChar w:fldCharType="separate"/>
        </w:r>
        <w:r w:rsidR="00C0292F">
          <w:rPr>
            <w:webHidden/>
          </w:rPr>
          <w:t>277</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69" w:history="1">
        <w:r w:rsidR="00C0292F" w:rsidRPr="00FA5842">
          <w:rPr>
            <w:rStyle w:val="Hyperlink"/>
          </w:rPr>
          <w:t>3.30</w:t>
        </w:r>
        <w:r w:rsidR="00C0292F">
          <w:rPr>
            <w:rFonts w:asciiTheme="minorHAnsi" w:eastAsiaTheme="minorEastAsia" w:hAnsiTheme="minorHAnsi" w:cstheme="minorBidi"/>
            <w:sz w:val="22"/>
            <w:szCs w:val="22"/>
          </w:rPr>
          <w:tab/>
        </w:r>
        <w:r w:rsidR="00C0292F" w:rsidRPr="00FA5842">
          <w:rPr>
            <w:rStyle w:val="Hyperlink"/>
          </w:rPr>
          <w:t>LED Channel Signage</w:t>
        </w:r>
        <w:r w:rsidR="00C0292F">
          <w:rPr>
            <w:webHidden/>
          </w:rPr>
          <w:tab/>
        </w:r>
        <w:r w:rsidR="00C0292F">
          <w:rPr>
            <w:webHidden/>
          </w:rPr>
          <w:fldChar w:fldCharType="begin"/>
        </w:r>
        <w:r w:rsidR="00C0292F">
          <w:rPr>
            <w:webHidden/>
          </w:rPr>
          <w:instrText xml:space="preserve"> PAGEREF _Toc310875469 \h </w:instrText>
        </w:r>
        <w:r w:rsidR="00C0292F">
          <w:rPr>
            <w:webHidden/>
          </w:rPr>
        </w:r>
        <w:r w:rsidR="00C0292F">
          <w:rPr>
            <w:webHidden/>
          </w:rPr>
          <w:fldChar w:fldCharType="separate"/>
        </w:r>
        <w:r w:rsidR="00C0292F">
          <w:rPr>
            <w:webHidden/>
          </w:rPr>
          <w:t>284</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70" w:history="1">
        <w:r w:rsidR="00C0292F" w:rsidRPr="00FA5842">
          <w:rPr>
            <w:rStyle w:val="Hyperlink"/>
          </w:rPr>
          <w:t>3.31</w:t>
        </w:r>
        <w:r w:rsidR="00C0292F">
          <w:rPr>
            <w:rFonts w:asciiTheme="minorHAnsi" w:eastAsiaTheme="minorEastAsia" w:hAnsiTheme="minorHAnsi" w:cstheme="minorBidi"/>
            <w:sz w:val="22"/>
            <w:szCs w:val="22"/>
          </w:rPr>
          <w:tab/>
        </w:r>
        <w:r w:rsidR="00C0292F" w:rsidRPr="00FA5842">
          <w:rPr>
            <w:rStyle w:val="Hyperlink"/>
          </w:rPr>
          <w:t>Low Flow Pre-Rinse Sprayers</w:t>
        </w:r>
        <w:r w:rsidR="00C0292F">
          <w:rPr>
            <w:webHidden/>
          </w:rPr>
          <w:tab/>
        </w:r>
        <w:r w:rsidR="00C0292F">
          <w:rPr>
            <w:webHidden/>
          </w:rPr>
          <w:fldChar w:fldCharType="begin"/>
        </w:r>
        <w:r w:rsidR="00C0292F">
          <w:rPr>
            <w:webHidden/>
          </w:rPr>
          <w:instrText xml:space="preserve"> PAGEREF _Toc310875470 \h </w:instrText>
        </w:r>
        <w:r w:rsidR="00C0292F">
          <w:rPr>
            <w:webHidden/>
          </w:rPr>
        </w:r>
        <w:r w:rsidR="00C0292F">
          <w:rPr>
            <w:webHidden/>
          </w:rPr>
          <w:fldChar w:fldCharType="separate"/>
        </w:r>
        <w:r w:rsidR="00C0292F">
          <w:rPr>
            <w:webHidden/>
          </w:rPr>
          <w:t>287</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71" w:history="1">
        <w:r w:rsidR="00C0292F" w:rsidRPr="00FA5842">
          <w:rPr>
            <w:rStyle w:val="Hyperlink"/>
          </w:rPr>
          <w:t>3.32</w:t>
        </w:r>
        <w:r w:rsidR="00C0292F">
          <w:rPr>
            <w:rFonts w:asciiTheme="minorHAnsi" w:eastAsiaTheme="minorEastAsia" w:hAnsiTheme="minorHAnsi" w:cstheme="minorBidi"/>
            <w:sz w:val="22"/>
            <w:szCs w:val="22"/>
          </w:rPr>
          <w:tab/>
        </w:r>
        <w:r w:rsidR="00C0292F" w:rsidRPr="00FA5842">
          <w:rPr>
            <w:rStyle w:val="Hyperlink"/>
          </w:rPr>
          <w:t>Small C/I HVAC Refrigerant Charge Correction</w:t>
        </w:r>
        <w:r w:rsidR="00C0292F">
          <w:rPr>
            <w:webHidden/>
          </w:rPr>
          <w:tab/>
        </w:r>
        <w:r w:rsidR="00C0292F">
          <w:rPr>
            <w:webHidden/>
          </w:rPr>
          <w:fldChar w:fldCharType="begin"/>
        </w:r>
        <w:r w:rsidR="00C0292F">
          <w:rPr>
            <w:webHidden/>
          </w:rPr>
          <w:instrText xml:space="preserve"> PAGEREF _Toc310875471 \h </w:instrText>
        </w:r>
        <w:r w:rsidR="00C0292F">
          <w:rPr>
            <w:webHidden/>
          </w:rPr>
        </w:r>
        <w:r w:rsidR="00C0292F">
          <w:rPr>
            <w:webHidden/>
          </w:rPr>
          <w:fldChar w:fldCharType="separate"/>
        </w:r>
        <w:r w:rsidR="00C0292F">
          <w:rPr>
            <w:webHidden/>
          </w:rPr>
          <w:t>292</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72" w:history="1">
        <w:r w:rsidR="00C0292F" w:rsidRPr="00FA5842">
          <w:rPr>
            <w:rStyle w:val="Hyperlink"/>
          </w:rPr>
          <w:t>3.33</w:t>
        </w:r>
        <w:r w:rsidR="00C0292F">
          <w:rPr>
            <w:rFonts w:asciiTheme="minorHAnsi" w:eastAsiaTheme="minorEastAsia" w:hAnsiTheme="minorHAnsi" w:cstheme="minorBidi"/>
            <w:sz w:val="22"/>
            <w:szCs w:val="22"/>
          </w:rPr>
          <w:tab/>
        </w:r>
        <w:r w:rsidR="00C0292F" w:rsidRPr="00FA5842">
          <w:rPr>
            <w:rStyle w:val="Hyperlink"/>
          </w:rPr>
          <w:t>Refrigeration – Special Doors with Low or No Anti-Sweat Heat for Low Temp Case</w:t>
        </w:r>
        <w:r w:rsidR="00C0292F">
          <w:rPr>
            <w:webHidden/>
          </w:rPr>
          <w:tab/>
        </w:r>
        <w:r w:rsidR="00C0292F">
          <w:rPr>
            <w:webHidden/>
          </w:rPr>
          <w:fldChar w:fldCharType="begin"/>
        </w:r>
        <w:r w:rsidR="00C0292F">
          <w:rPr>
            <w:webHidden/>
          </w:rPr>
          <w:instrText xml:space="preserve"> PAGEREF _Toc310875472 \h </w:instrText>
        </w:r>
        <w:r w:rsidR="00C0292F">
          <w:rPr>
            <w:webHidden/>
          </w:rPr>
        </w:r>
        <w:r w:rsidR="00C0292F">
          <w:rPr>
            <w:webHidden/>
          </w:rPr>
          <w:fldChar w:fldCharType="separate"/>
        </w:r>
        <w:r w:rsidR="00C0292F">
          <w:rPr>
            <w:webHidden/>
          </w:rPr>
          <w:t>296</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73" w:history="1">
        <w:r w:rsidR="00C0292F" w:rsidRPr="00FA5842">
          <w:rPr>
            <w:rStyle w:val="Hyperlink"/>
          </w:rPr>
          <w:t>3.34</w:t>
        </w:r>
        <w:r w:rsidR="00C0292F">
          <w:rPr>
            <w:rFonts w:asciiTheme="minorHAnsi" w:eastAsiaTheme="minorEastAsia" w:hAnsiTheme="minorHAnsi" w:cstheme="minorBidi"/>
            <w:sz w:val="22"/>
            <w:szCs w:val="22"/>
          </w:rPr>
          <w:tab/>
        </w:r>
        <w:r w:rsidR="00C0292F" w:rsidRPr="00FA5842">
          <w:rPr>
            <w:rStyle w:val="Hyperlink"/>
          </w:rPr>
          <w:t>ENERGY STAR Room Air Conditioner</w:t>
        </w:r>
        <w:r w:rsidR="00C0292F">
          <w:rPr>
            <w:webHidden/>
          </w:rPr>
          <w:tab/>
        </w:r>
        <w:r w:rsidR="00C0292F">
          <w:rPr>
            <w:webHidden/>
          </w:rPr>
          <w:fldChar w:fldCharType="begin"/>
        </w:r>
        <w:r w:rsidR="00C0292F">
          <w:rPr>
            <w:webHidden/>
          </w:rPr>
          <w:instrText xml:space="preserve"> PAGEREF _Toc310875473 \h </w:instrText>
        </w:r>
        <w:r w:rsidR="00C0292F">
          <w:rPr>
            <w:webHidden/>
          </w:rPr>
        </w:r>
        <w:r w:rsidR="00C0292F">
          <w:rPr>
            <w:webHidden/>
          </w:rPr>
          <w:fldChar w:fldCharType="separate"/>
        </w:r>
        <w:r w:rsidR="00C0292F">
          <w:rPr>
            <w:webHidden/>
          </w:rPr>
          <w:t>299</w:t>
        </w:r>
        <w:r w:rsidR="00C0292F">
          <w:rPr>
            <w:webHidden/>
          </w:rPr>
          <w:fldChar w:fldCharType="end"/>
        </w:r>
      </w:hyperlink>
    </w:p>
    <w:p w:rsidR="00C0292F" w:rsidRDefault="00274AB1">
      <w:pPr>
        <w:pStyle w:val="TOC1"/>
        <w:tabs>
          <w:tab w:val="right" w:leader="dot" w:pos="8630"/>
        </w:tabs>
        <w:rPr>
          <w:rFonts w:asciiTheme="minorHAnsi" w:eastAsiaTheme="minorEastAsia" w:hAnsiTheme="minorHAnsi" w:cstheme="minorBidi"/>
          <w:b w:val="0"/>
          <w:caps w:val="0"/>
          <w:noProof/>
          <w:sz w:val="22"/>
          <w:szCs w:val="22"/>
        </w:rPr>
      </w:pPr>
      <w:hyperlink w:anchor="_Toc310875474" w:history="1">
        <w:r w:rsidR="00C0292F" w:rsidRPr="00FA5842">
          <w:rPr>
            <w:rStyle w:val="Hyperlink"/>
            <w:noProof/>
          </w:rPr>
          <w:t>4</w:t>
        </w:r>
        <w:r w:rsidR="00C0292F">
          <w:rPr>
            <w:rFonts w:asciiTheme="minorHAnsi" w:eastAsiaTheme="minorEastAsia" w:hAnsiTheme="minorHAnsi" w:cstheme="minorBidi"/>
            <w:b w:val="0"/>
            <w:caps w:val="0"/>
            <w:noProof/>
            <w:sz w:val="22"/>
            <w:szCs w:val="22"/>
          </w:rPr>
          <w:tab/>
        </w:r>
        <w:r w:rsidR="00C0292F" w:rsidRPr="00FA5842">
          <w:rPr>
            <w:rStyle w:val="Hyperlink"/>
            <w:noProof/>
          </w:rPr>
          <w:t>Demand Response</w:t>
        </w:r>
        <w:r w:rsidR="00C0292F">
          <w:rPr>
            <w:noProof/>
            <w:webHidden/>
          </w:rPr>
          <w:tab/>
        </w:r>
        <w:r w:rsidR="00C0292F">
          <w:rPr>
            <w:noProof/>
            <w:webHidden/>
          </w:rPr>
          <w:fldChar w:fldCharType="begin"/>
        </w:r>
        <w:r w:rsidR="00C0292F">
          <w:rPr>
            <w:noProof/>
            <w:webHidden/>
          </w:rPr>
          <w:instrText xml:space="preserve"> PAGEREF _Toc310875474 \h </w:instrText>
        </w:r>
        <w:r w:rsidR="00C0292F">
          <w:rPr>
            <w:noProof/>
            <w:webHidden/>
          </w:rPr>
        </w:r>
        <w:r w:rsidR="00C0292F">
          <w:rPr>
            <w:noProof/>
            <w:webHidden/>
          </w:rPr>
          <w:fldChar w:fldCharType="separate"/>
        </w:r>
        <w:r w:rsidR="00C0292F">
          <w:rPr>
            <w:noProof/>
            <w:webHidden/>
          </w:rPr>
          <w:t>301</w:t>
        </w:r>
        <w:r w:rsidR="00C0292F">
          <w:rPr>
            <w:noProof/>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75" w:history="1">
        <w:r w:rsidR="00C0292F" w:rsidRPr="00FA5842">
          <w:rPr>
            <w:rStyle w:val="Hyperlink"/>
          </w:rPr>
          <w:t>4.1</w:t>
        </w:r>
        <w:r w:rsidR="00C0292F">
          <w:rPr>
            <w:rFonts w:asciiTheme="minorHAnsi" w:eastAsiaTheme="minorEastAsia" w:hAnsiTheme="minorHAnsi" w:cstheme="minorBidi"/>
            <w:sz w:val="22"/>
            <w:szCs w:val="22"/>
          </w:rPr>
          <w:tab/>
        </w:r>
        <w:r w:rsidR="00C0292F" w:rsidRPr="00FA5842">
          <w:rPr>
            <w:rStyle w:val="Hyperlink"/>
          </w:rPr>
          <w:t>Determination of Act 129 Peak Load Reductions</w:t>
        </w:r>
        <w:r w:rsidR="00C0292F">
          <w:rPr>
            <w:webHidden/>
          </w:rPr>
          <w:tab/>
        </w:r>
        <w:r w:rsidR="00C0292F">
          <w:rPr>
            <w:webHidden/>
          </w:rPr>
          <w:fldChar w:fldCharType="begin"/>
        </w:r>
        <w:r w:rsidR="00C0292F">
          <w:rPr>
            <w:webHidden/>
          </w:rPr>
          <w:instrText xml:space="preserve"> PAGEREF _Toc310875475 \h </w:instrText>
        </w:r>
        <w:r w:rsidR="00C0292F">
          <w:rPr>
            <w:webHidden/>
          </w:rPr>
        </w:r>
        <w:r w:rsidR="00C0292F">
          <w:rPr>
            <w:webHidden/>
          </w:rPr>
          <w:fldChar w:fldCharType="separate"/>
        </w:r>
        <w:r w:rsidR="00C0292F">
          <w:rPr>
            <w:webHidden/>
          </w:rPr>
          <w:t>301</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76" w:history="1">
        <w:r w:rsidR="00C0292F" w:rsidRPr="00FA5842">
          <w:rPr>
            <w:rStyle w:val="Hyperlink"/>
          </w:rPr>
          <w:t>4.2</w:t>
        </w:r>
        <w:r w:rsidR="00C0292F">
          <w:rPr>
            <w:rFonts w:asciiTheme="minorHAnsi" w:eastAsiaTheme="minorEastAsia" w:hAnsiTheme="minorHAnsi" w:cstheme="minorBidi"/>
            <w:sz w:val="22"/>
            <w:szCs w:val="22"/>
          </w:rPr>
          <w:tab/>
        </w:r>
        <w:r w:rsidR="00C0292F" w:rsidRPr="00FA5842">
          <w:rPr>
            <w:rStyle w:val="Hyperlink"/>
          </w:rPr>
          <w:t>Determine the “Top 100 Hours” (100 hours of highest peak load)</w:t>
        </w:r>
        <w:r w:rsidR="00C0292F">
          <w:rPr>
            <w:webHidden/>
          </w:rPr>
          <w:tab/>
        </w:r>
        <w:r w:rsidR="00C0292F">
          <w:rPr>
            <w:webHidden/>
          </w:rPr>
          <w:fldChar w:fldCharType="begin"/>
        </w:r>
        <w:r w:rsidR="00C0292F">
          <w:rPr>
            <w:webHidden/>
          </w:rPr>
          <w:instrText xml:space="preserve"> PAGEREF _Toc310875476 \h </w:instrText>
        </w:r>
        <w:r w:rsidR="00C0292F">
          <w:rPr>
            <w:webHidden/>
          </w:rPr>
        </w:r>
        <w:r w:rsidR="00C0292F">
          <w:rPr>
            <w:webHidden/>
          </w:rPr>
          <w:fldChar w:fldCharType="separate"/>
        </w:r>
        <w:r w:rsidR="00C0292F">
          <w:rPr>
            <w:webHidden/>
          </w:rPr>
          <w:t>302</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77" w:history="1">
        <w:r w:rsidR="00C0292F" w:rsidRPr="00FA5842">
          <w:rPr>
            <w:rStyle w:val="Hyperlink"/>
          </w:rPr>
          <w:t>4.3</w:t>
        </w:r>
        <w:r w:rsidR="00C0292F">
          <w:rPr>
            <w:rFonts w:asciiTheme="minorHAnsi" w:eastAsiaTheme="minorEastAsia" w:hAnsiTheme="minorHAnsi" w:cstheme="minorBidi"/>
            <w:sz w:val="22"/>
            <w:szCs w:val="22"/>
          </w:rPr>
          <w:tab/>
        </w:r>
        <w:r w:rsidR="00C0292F" w:rsidRPr="00FA5842">
          <w:rPr>
            <w:rStyle w:val="Hyperlink"/>
          </w:rPr>
          <w:t>Determine the Act 129 Average Peak Load Reduction During the 100 Peak Hours</w:t>
        </w:r>
        <w:r w:rsidR="00C0292F">
          <w:rPr>
            <w:webHidden/>
          </w:rPr>
          <w:tab/>
        </w:r>
        <w:r w:rsidR="00C0292F">
          <w:rPr>
            <w:webHidden/>
          </w:rPr>
          <w:fldChar w:fldCharType="begin"/>
        </w:r>
        <w:r w:rsidR="00C0292F">
          <w:rPr>
            <w:webHidden/>
          </w:rPr>
          <w:instrText xml:space="preserve"> PAGEREF _Toc310875477 \h </w:instrText>
        </w:r>
        <w:r w:rsidR="00C0292F">
          <w:rPr>
            <w:webHidden/>
          </w:rPr>
        </w:r>
        <w:r w:rsidR="00C0292F">
          <w:rPr>
            <w:webHidden/>
          </w:rPr>
          <w:fldChar w:fldCharType="separate"/>
        </w:r>
        <w:r w:rsidR="00C0292F">
          <w:rPr>
            <w:webHidden/>
          </w:rPr>
          <w:t>304</w:t>
        </w:r>
        <w:r w:rsidR="00C0292F">
          <w:rPr>
            <w:webHidden/>
          </w:rPr>
          <w:fldChar w:fldCharType="end"/>
        </w:r>
      </w:hyperlink>
    </w:p>
    <w:p w:rsidR="00C0292F" w:rsidRDefault="00274AB1">
      <w:pPr>
        <w:pStyle w:val="TOC1"/>
        <w:tabs>
          <w:tab w:val="right" w:leader="dot" w:pos="8630"/>
        </w:tabs>
        <w:rPr>
          <w:rFonts w:asciiTheme="minorHAnsi" w:eastAsiaTheme="minorEastAsia" w:hAnsiTheme="minorHAnsi" w:cstheme="minorBidi"/>
          <w:b w:val="0"/>
          <w:caps w:val="0"/>
          <w:noProof/>
          <w:sz w:val="22"/>
          <w:szCs w:val="22"/>
        </w:rPr>
      </w:pPr>
      <w:hyperlink w:anchor="_Toc310875478" w:history="1">
        <w:r w:rsidR="00C0292F" w:rsidRPr="00FA5842">
          <w:rPr>
            <w:rStyle w:val="Hyperlink"/>
            <w:noProof/>
          </w:rPr>
          <w:t>5</w:t>
        </w:r>
        <w:r w:rsidR="00C0292F">
          <w:rPr>
            <w:rFonts w:asciiTheme="minorHAnsi" w:eastAsiaTheme="minorEastAsia" w:hAnsiTheme="minorHAnsi" w:cstheme="minorBidi"/>
            <w:b w:val="0"/>
            <w:caps w:val="0"/>
            <w:noProof/>
            <w:sz w:val="22"/>
            <w:szCs w:val="22"/>
          </w:rPr>
          <w:tab/>
        </w:r>
        <w:r w:rsidR="00C0292F" w:rsidRPr="00FA5842">
          <w:rPr>
            <w:rStyle w:val="Hyperlink"/>
            <w:noProof/>
          </w:rPr>
          <w:t>Appendices</w:t>
        </w:r>
        <w:r w:rsidR="00C0292F">
          <w:rPr>
            <w:noProof/>
            <w:webHidden/>
          </w:rPr>
          <w:tab/>
        </w:r>
        <w:r w:rsidR="00C0292F">
          <w:rPr>
            <w:noProof/>
            <w:webHidden/>
          </w:rPr>
          <w:fldChar w:fldCharType="begin"/>
        </w:r>
        <w:r w:rsidR="00C0292F">
          <w:rPr>
            <w:noProof/>
            <w:webHidden/>
          </w:rPr>
          <w:instrText xml:space="preserve"> PAGEREF _Toc310875478 \h </w:instrText>
        </w:r>
        <w:r w:rsidR="00C0292F">
          <w:rPr>
            <w:noProof/>
            <w:webHidden/>
          </w:rPr>
        </w:r>
        <w:r w:rsidR="00C0292F">
          <w:rPr>
            <w:noProof/>
            <w:webHidden/>
          </w:rPr>
          <w:fldChar w:fldCharType="separate"/>
        </w:r>
        <w:r w:rsidR="00C0292F">
          <w:rPr>
            <w:noProof/>
            <w:webHidden/>
          </w:rPr>
          <w:t>307</w:t>
        </w:r>
        <w:r w:rsidR="00C0292F">
          <w:rPr>
            <w:noProof/>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79" w:history="1">
        <w:r w:rsidR="00C0292F" w:rsidRPr="00FA5842">
          <w:rPr>
            <w:rStyle w:val="Hyperlink"/>
          </w:rPr>
          <w:t>5.1</w:t>
        </w:r>
        <w:r w:rsidR="00C0292F">
          <w:rPr>
            <w:rFonts w:asciiTheme="minorHAnsi" w:eastAsiaTheme="minorEastAsia" w:hAnsiTheme="minorHAnsi" w:cstheme="minorBidi"/>
            <w:sz w:val="22"/>
            <w:szCs w:val="22"/>
          </w:rPr>
          <w:tab/>
        </w:r>
        <w:r w:rsidR="00C0292F" w:rsidRPr="00FA5842">
          <w:rPr>
            <w:rStyle w:val="Hyperlink"/>
          </w:rPr>
          <w:t>Appendix A:  Measure Lives</w:t>
        </w:r>
        <w:r w:rsidR="00C0292F">
          <w:rPr>
            <w:webHidden/>
          </w:rPr>
          <w:tab/>
        </w:r>
        <w:r w:rsidR="00C0292F">
          <w:rPr>
            <w:webHidden/>
          </w:rPr>
          <w:fldChar w:fldCharType="begin"/>
        </w:r>
        <w:r w:rsidR="00C0292F">
          <w:rPr>
            <w:webHidden/>
          </w:rPr>
          <w:instrText xml:space="preserve"> PAGEREF _Toc310875479 \h </w:instrText>
        </w:r>
        <w:r w:rsidR="00C0292F">
          <w:rPr>
            <w:webHidden/>
          </w:rPr>
        </w:r>
        <w:r w:rsidR="00C0292F">
          <w:rPr>
            <w:webHidden/>
          </w:rPr>
          <w:fldChar w:fldCharType="separate"/>
        </w:r>
        <w:r w:rsidR="00C0292F">
          <w:rPr>
            <w:webHidden/>
          </w:rPr>
          <w:t>307</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80" w:history="1">
        <w:r w:rsidR="00C0292F" w:rsidRPr="00FA5842">
          <w:rPr>
            <w:rStyle w:val="Hyperlink"/>
          </w:rPr>
          <w:t>5.2</w:t>
        </w:r>
        <w:r w:rsidR="00C0292F">
          <w:rPr>
            <w:rFonts w:asciiTheme="minorHAnsi" w:eastAsiaTheme="minorEastAsia" w:hAnsiTheme="minorHAnsi" w:cstheme="minorBidi"/>
            <w:sz w:val="22"/>
            <w:szCs w:val="22"/>
          </w:rPr>
          <w:tab/>
        </w:r>
        <w:r w:rsidR="00C0292F" w:rsidRPr="00FA5842">
          <w:rPr>
            <w:rStyle w:val="Hyperlink"/>
          </w:rPr>
          <w:t>Appendix B: Relationship between Program Savings and Evaluation Savings</w:t>
        </w:r>
        <w:r w:rsidR="00C0292F">
          <w:rPr>
            <w:webHidden/>
          </w:rPr>
          <w:tab/>
        </w:r>
        <w:r w:rsidR="00C0292F">
          <w:rPr>
            <w:webHidden/>
          </w:rPr>
          <w:fldChar w:fldCharType="begin"/>
        </w:r>
        <w:r w:rsidR="00C0292F">
          <w:rPr>
            <w:webHidden/>
          </w:rPr>
          <w:instrText xml:space="preserve"> PAGEREF _Toc310875480 \h </w:instrText>
        </w:r>
        <w:r w:rsidR="00C0292F">
          <w:rPr>
            <w:webHidden/>
          </w:rPr>
        </w:r>
        <w:r w:rsidR="00C0292F">
          <w:rPr>
            <w:webHidden/>
          </w:rPr>
          <w:fldChar w:fldCharType="separate"/>
        </w:r>
        <w:r w:rsidR="00C0292F">
          <w:rPr>
            <w:webHidden/>
          </w:rPr>
          <w:t>311</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81" w:history="1">
        <w:r w:rsidR="00C0292F" w:rsidRPr="00FA5842">
          <w:rPr>
            <w:rStyle w:val="Hyperlink"/>
          </w:rPr>
          <w:t>5.3</w:t>
        </w:r>
        <w:r w:rsidR="00C0292F">
          <w:rPr>
            <w:rFonts w:asciiTheme="minorHAnsi" w:eastAsiaTheme="minorEastAsia" w:hAnsiTheme="minorHAnsi" w:cstheme="minorBidi"/>
            <w:sz w:val="22"/>
            <w:szCs w:val="22"/>
          </w:rPr>
          <w:tab/>
        </w:r>
        <w:r w:rsidR="00C0292F" w:rsidRPr="00FA5842">
          <w:rPr>
            <w:rStyle w:val="Hyperlink"/>
          </w:rPr>
          <w:t>Appendix C: Lighting Audit and Design Tool</w:t>
        </w:r>
        <w:r w:rsidR="00C0292F">
          <w:rPr>
            <w:webHidden/>
          </w:rPr>
          <w:tab/>
        </w:r>
        <w:r w:rsidR="00C0292F">
          <w:rPr>
            <w:webHidden/>
          </w:rPr>
          <w:fldChar w:fldCharType="begin"/>
        </w:r>
        <w:r w:rsidR="00C0292F">
          <w:rPr>
            <w:webHidden/>
          </w:rPr>
          <w:instrText xml:space="preserve"> PAGEREF _Toc310875481 \h </w:instrText>
        </w:r>
        <w:r w:rsidR="00C0292F">
          <w:rPr>
            <w:webHidden/>
          </w:rPr>
        </w:r>
        <w:r w:rsidR="00C0292F">
          <w:rPr>
            <w:webHidden/>
          </w:rPr>
          <w:fldChar w:fldCharType="separate"/>
        </w:r>
        <w:r w:rsidR="00C0292F">
          <w:rPr>
            <w:webHidden/>
          </w:rPr>
          <w:t>312</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82" w:history="1">
        <w:r w:rsidR="00C0292F" w:rsidRPr="00FA5842">
          <w:rPr>
            <w:rStyle w:val="Hyperlink"/>
          </w:rPr>
          <w:t>5.4</w:t>
        </w:r>
        <w:r w:rsidR="00C0292F">
          <w:rPr>
            <w:rFonts w:asciiTheme="minorHAnsi" w:eastAsiaTheme="minorEastAsia" w:hAnsiTheme="minorHAnsi" w:cstheme="minorBidi"/>
            <w:sz w:val="22"/>
            <w:szCs w:val="22"/>
          </w:rPr>
          <w:tab/>
        </w:r>
        <w:r w:rsidR="00C0292F" w:rsidRPr="00FA5842">
          <w:rPr>
            <w:rStyle w:val="Hyperlink"/>
          </w:rPr>
          <w:t>Appendix D: Motor &amp; VFD Audit and Design Tool</w:t>
        </w:r>
        <w:r w:rsidR="00C0292F">
          <w:rPr>
            <w:webHidden/>
          </w:rPr>
          <w:tab/>
        </w:r>
        <w:r w:rsidR="00C0292F">
          <w:rPr>
            <w:webHidden/>
          </w:rPr>
          <w:fldChar w:fldCharType="begin"/>
        </w:r>
        <w:r w:rsidR="00C0292F">
          <w:rPr>
            <w:webHidden/>
          </w:rPr>
          <w:instrText xml:space="preserve"> PAGEREF _Toc310875482 \h </w:instrText>
        </w:r>
        <w:r w:rsidR="00C0292F">
          <w:rPr>
            <w:webHidden/>
          </w:rPr>
        </w:r>
        <w:r w:rsidR="00C0292F">
          <w:rPr>
            <w:webHidden/>
          </w:rPr>
          <w:fldChar w:fldCharType="separate"/>
        </w:r>
        <w:r w:rsidR="00C0292F">
          <w:rPr>
            <w:webHidden/>
          </w:rPr>
          <w:t>313</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83" w:history="1">
        <w:r w:rsidR="00C0292F" w:rsidRPr="00FA5842">
          <w:rPr>
            <w:rStyle w:val="Hyperlink"/>
          </w:rPr>
          <w:t>5.5</w:t>
        </w:r>
        <w:r w:rsidR="00C0292F">
          <w:rPr>
            <w:rFonts w:asciiTheme="minorHAnsi" w:eastAsiaTheme="minorEastAsia" w:hAnsiTheme="minorHAnsi" w:cstheme="minorBidi"/>
            <w:sz w:val="22"/>
            <w:szCs w:val="22"/>
          </w:rPr>
          <w:tab/>
        </w:r>
        <w:r w:rsidR="00C0292F" w:rsidRPr="00FA5842">
          <w:rPr>
            <w:rStyle w:val="Hyperlink"/>
          </w:rPr>
          <w:t>Appendix E: Eligibility Requirements for Solid State Lighting Products in Commercial and Industrial Applications</w:t>
        </w:r>
        <w:r w:rsidR="00C0292F">
          <w:rPr>
            <w:webHidden/>
          </w:rPr>
          <w:tab/>
        </w:r>
        <w:r w:rsidR="00C0292F">
          <w:rPr>
            <w:webHidden/>
          </w:rPr>
          <w:fldChar w:fldCharType="begin"/>
        </w:r>
        <w:r w:rsidR="00C0292F">
          <w:rPr>
            <w:webHidden/>
          </w:rPr>
          <w:instrText xml:space="preserve"> PAGEREF _Toc310875483 \h </w:instrText>
        </w:r>
        <w:r w:rsidR="00C0292F">
          <w:rPr>
            <w:webHidden/>
          </w:rPr>
        </w:r>
        <w:r w:rsidR="00C0292F">
          <w:rPr>
            <w:webHidden/>
          </w:rPr>
          <w:fldChar w:fldCharType="separate"/>
        </w:r>
        <w:r w:rsidR="00C0292F">
          <w:rPr>
            <w:webHidden/>
          </w:rPr>
          <w:t>314</w:t>
        </w:r>
        <w:r w:rsidR="00C0292F">
          <w:rPr>
            <w:webHidden/>
          </w:rPr>
          <w:fldChar w:fldCharType="end"/>
        </w:r>
      </w:hyperlink>
    </w:p>
    <w:p w:rsidR="00C0292F" w:rsidRDefault="00274AB1">
      <w:pPr>
        <w:pStyle w:val="TOC2"/>
        <w:rPr>
          <w:rFonts w:asciiTheme="minorHAnsi" w:eastAsiaTheme="minorEastAsia" w:hAnsiTheme="minorHAnsi" w:cstheme="minorBidi"/>
          <w:sz w:val="22"/>
          <w:szCs w:val="22"/>
        </w:rPr>
      </w:pPr>
      <w:hyperlink w:anchor="_Toc310875484" w:history="1">
        <w:r w:rsidR="00C0292F" w:rsidRPr="00FA5842">
          <w:rPr>
            <w:rStyle w:val="Hyperlink"/>
          </w:rPr>
          <w:t>5.6</w:t>
        </w:r>
        <w:r w:rsidR="00C0292F">
          <w:rPr>
            <w:rFonts w:asciiTheme="minorHAnsi" w:eastAsiaTheme="minorEastAsia" w:hAnsiTheme="minorHAnsi" w:cstheme="minorBidi"/>
            <w:sz w:val="22"/>
            <w:szCs w:val="22"/>
          </w:rPr>
          <w:tab/>
        </w:r>
        <w:r w:rsidR="00C0292F" w:rsidRPr="00FA5842">
          <w:rPr>
            <w:rStyle w:val="Hyperlink"/>
          </w:rPr>
          <w:t>Appendix F: Zip Code Mapping</w:t>
        </w:r>
        <w:r w:rsidR="00C0292F">
          <w:rPr>
            <w:webHidden/>
          </w:rPr>
          <w:tab/>
        </w:r>
        <w:r w:rsidR="00C0292F">
          <w:rPr>
            <w:webHidden/>
          </w:rPr>
          <w:fldChar w:fldCharType="begin"/>
        </w:r>
        <w:r w:rsidR="00C0292F">
          <w:rPr>
            <w:webHidden/>
          </w:rPr>
          <w:instrText xml:space="preserve"> PAGEREF _Toc310875484 \h </w:instrText>
        </w:r>
        <w:r w:rsidR="00C0292F">
          <w:rPr>
            <w:webHidden/>
          </w:rPr>
        </w:r>
        <w:r w:rsidR="00C0292F">
          <w:rPr>
            <w:webHidden/>
          </w:rPr>
          <w:fldChar w:fldCharType="separate"/>
        </w:r>
        <w:r w:rsidR="00C0292F">
          <w:rPr>
            <w:webHidden/>
          </w:rPr>
          <w:t>317</w:t>
        </w:r>
        <w:r w:rsidR="00C0292F">
          <w:rPr>
            <w:webHidden/>
          </w:rPr>
          <w:fldChar w:fldCharType="end"/>
        </w:r>
      </w:hyperlink>
    </w:p>
    <w:p w:rsidR="00A22E85" w:rsidRDefault="007A1FB6" w:rsidP="006B6ABF">
      <w:pPr>
        <w:pStyle w:val="TOC3"/>
        <w:rPr>
          <w:b/>
          <w:i w:val="0"/>
          <w:sz w:val="26"/>
        </w:rPr>
      </w:pPr>
      <w:r>
        <w:rPr>
          <w:b/>
          <w:i w:val="0"/>
          <w:sz w:val="26"/>
        </w:rPr>
        <w:fldChar w:fldCharType="end"/>
      </w:r>
    </w:p>
    <w:p w:rsidR="00DF5EF8" w:rsidRPr="00DF5EF8" w:rsidRDefault="00B5330E" w:rsidP="006B6ABF">
      <w:pPr>
        <w:jc w:val="center"/>
        <w:rPr>
          <w:sz w:val="32"/>
          <w:szCs w:val="32"/>
        </w:rPr>
      </w:pPr>
      <w:r>
        <w:rPr>
          <w:sz w:val="32"/>
          <w:szCs w:val="32"/>
        </w:rPr>
        <w:br w:type="page"/>
      </w:r>
      <w:r w:rsidR="00DF5EF8">
        <w:rPr>
          <w:sz w:val="32"/>
          <w:szCs w:val="32"/>
        </w:rPr>
        <w:lastRenderedPageBreak/>
        <w:t>List</w:t>
      </w:r>
      <w:r w:rsidR="00DF5EF8" w:rsidRPr="00DF5EF8">
        <w:rPr>
          <w:sz w:val="32"/>
          <w:szCs w:val="32"/>
        </w:rPr>
        <w:t xml:space="preserve"> of Tables</w:t>
      </w:r>
    </w:p>
    <w:p w:rsidR="00C0292F" w:rsidRDefault="007A1FB6">
      <w:pPr>
        <w:pStyle w:val="TableofFigures"/>
        <w:tabs>
          <w:tab w:val="right" w:leader="dot" w:pos="8630"/>
        </w:tabs>
        <w:rPr>
          <w:rFonts w:asciiTheme="minorHAnsi" w:eastAsiaTheme="minorEastAsia" w:hAnsiTheme="minorHAnsi" w:cstheme="minorBidi"/>
          <w:noProof/>
          <w:sz w:val="22"/>
          <w:szCs w:val="22"/>
        </w:rPr>
      </w:pPr>
      <w:r>
        <w:fldChar w:fldCharType="begin"/>
      </w:r>
      <w:r w:rsidR="00DF5EF8">
        <w:instrText xml:space="preserve"> TOC \h \z \c "Table" </w:instrText>
      </w:r>
      <w:r>
        <w:fldChar w:fldCharType="separate"/>
      </w:r>
      <w:hyperlink w:anchor="_Toc310875485" w:history="1">
        <w:r w:rsidR="00C0292F" w:rsidRPr="003E64CF">
          <w:rPr>
            <w:rStyle w:val="Hyperlink"/>
            <w:noProof/>
          </w:rPr>
          <w:t>Table 1</w:t>
        </w:r>
        <w:r w:rsidR="00C0292F" w:rsidRPr="003E64CF">
          <w:rPr>
            <w:rStyle w:val="Hyperlink"/>
            <w:noProof/>
          </w:rPr>
          <w:noBreakHyphen/>
          <w:t>1: Periods for Energy Savings and Coincident Peak Demand Savings</w:t>
        </w:r>
        <w:r w:rsidR="00C0292F">
          <w:rPr>
            <w:noProof/>
            <w:webHidden/>
          </w:rPr>
          <w:tab/>
        </w:r>
        <w:r w:rsidR="00C0292F">
          <w:rPr>
            <w:noProof/>
            <w:webHidden/>
          </w:rPr>
          <w:fldChar w:fldCharType="begin"/>
        </w:r>
        <w:r w:rsidR="00C0292F">
          <w:rPr>
            <w:noProof/>
            <w:webHidden/>
          </w:rPr>
          <w:instrText xml:space="preserve"> PAGEREF _Toc310875485 \h </w:instrText>
        </w:r>
        <w:r w:rsidR="00C0292F">
          <w:rPr>
            <w:noProof/>
            <w:webHidden/>
          </w:rPr>
        </w:r>
        <w:r w:rsidR="00C0292F">
          <w:rPr>
            <w:noProof/>
            <w:webHidden/>
          </w:rPr>
          <w:fldChar w:fldCharType="separate"/>
        </w:r>
        <w:r w:rsidR="00C0292F">
          <w:rPr>
            <w:noProof/>
            <w:webHidden/>
          </w:rPr>
          <w:t>6</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486" w:history="1">
        <w:r w:rsidR="00C0292F" w:rsidRPr="003E64CF">
          <w:rPr>
            <w:rStyle w:val="Hyperlink"/>
            <w:noProof/>
          </w:rPr>
          <w:t>Table 1</w:t>
        </w:r>
        <w:r w:rsidR="00C0292F" w:rsidRPr="003E64CF">
          <w:rPr>
            <w:rStyle w:val="Hyperlink"/>
            <w:noProof/>
          </w:rPr>
          <w:noBreakHyphen/>
          <w:t>2: California CZ Mapping Table</w:t>
        </w:r>
        <w:r w:rsidR="00C0292F">
          <w:rPr>
            <w:noProof/>
            <w:webHidden/>
          </w:rPr>
          <w:tab/>
        </w:r>
        <w:r w:rsidR="00C0292F">
          <w:rPr>
            <w:noProof/>
            <w:webHidden/>
          </w:rPr>
          <w:fldChar w:fldCharType="begin"/>
        </w:r>
        <w:r w:rsidR="00C0292F">
          <w:rPr>
            <w:noProof/>
            <w:webHidden/>
          </w:rPr>
          <w:instrText xml:space="preserve"> PAGEREF _Toc310875486 \h </w:instrText>
        </w:r>
        <w:r w:rsidR="00C0292F">
          <w:rPr>
            <w:noProof/>
            <w:webHidden/>
          </w:rPr>
        </w:r>
        <w:r w:rsidR="00C0292F">
          <w:rPr>
            <w:noProof/>
            <w:webHidden/>
          </w:rPr>
          <w:fldChar w:fldCharType="separate"/>
        </w:r>
        <w:r w:rsidR="00C0292F">
          <w:rPr>
            <w:noProof/>
            <w:webHidden/>
          </w:rPr>
          <w:t>10</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487" w:history="1">
        <w:r w:rsidR="00C0292F" w:rsidRPr="003E64CF">
          <w:rPr>
            <w:rStyle w:val="Hyperlink"/>
            <w:noProof/>
          </w:rPr>
          <w:t>Table 2</w:t>
        </w:r>
        <w:r w:rsidR="00C0292F" w:rsidRPr="003E64CF">
          <w:rPr>
            <w:rStyle w:val="Hyperlink"/>
            <w:noProof/>
          </w:rPr>
          <w:noBreakHyphen/>
          <w:t>1: Residential Electric HVAC - References</w:t>
        </w:r>
        <w:r w:rsidR="00C0292F">
          <w:rPr>
            <w:noProof/>
            <w:webHidden/>
          </w:rPr>
          <w:tab/>
        </w:r>
        <w:r w:rsidR="00C0292F">
          <w:rPr>
            <w:noProof/>
            <w:webHidden/>
          </w:rPr>
          <w:fldChar w:fldCharType="begin"/>
        </w:r>
        <w:r w:rsidR="00C0292F">
          <w:rPr>
            <w:noProof/>
            <w:webHidden/>
          </w:rPr>
          <w:instrText xml:space="preserve"> PAGEREF _Toc310875487 \h </w:instrText>
        </w:r>
        <w:r w:rsidR="00C0292F">
          <w:rPr>
            <w:noProof/>
            <w:webHidden/>
          </w:rPr>
        </w:r>
        <w:r w:rsidR="00C0292F">
          <w:rPr>
            <w:noProof/>
            <w:webHidden/>
          </w:rPr>
          <w:fldChar w:fldCharType="separate"/>
        </w:r>
        <w:r w:rsidR="00C0292F">
          <w:rPr>
            <w:noProof/>
            <w:webHidden/>
          </w:rPr>
          <w:t>15</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488" w:history="1">
        <w:r w:rsidR="00C0292F" w:rsidRPr="003E64CF">
          <w:rPr>
            <w:rStyle w:val="Hyperlink"/>
            <w:noProof/>
          </w:rPr>
          <w:t>Table 2</w:t>
        </w:r>
        <w:r w:rsidR="00C0292F" w:rsidRPr="003E64CF">
          <w:rPr>
            <w:rStyle w:val="Hyperlink"/>
            <w:noProof/>
          </w:rPr>
          <w:noBreakHyphen/>
          <w:t>2: Efficient Electric Water Heater Calculation Assumptions</w:t>
        </w:r>
        <w:r w:rsidR="00C0292F">
          <w:rPr>
            <w:noProof/>
            <w:webHidden/>
          </w:rPr>
          <w:tab/>
        </w:r>
        <w:r w:rsidR="00C0292F">
          <w:rPr>
            <w:noProof/>
            <w:webHidden/>
          </w:rPr>
          <w:fldChar w:fldCharType="begin"/>
        </w:r>
        <w:r w:rsidR="00C0292F">
          <w:rPr>
            <w:noProof/>
            <w:webHidden/>
          </w:rPr>
          <w:instrText xml:space="preserve"> PAGEREF _Toc310875488 \h </w:instrText>
        </w:r>
        <w:r w:rsidR="00C0292F">
          <w:rPr>
            <w:noProof/>
            <w:webHidden/>
          </w:rPr>
        </w:r>
        <w:r w:rsidR="00C0292F">
          <w:rPr>
            <w:noProof/>
            <w:webHidden/>
          </w:rPr>
          <w:fldChar w:fldCharType="separate"/>
        </w:r>
        <w:r w:rsidR="00C0292F">
          <w:rPr>
            <w:noProof/>
            <w:webHidden/>
          </w:rPr>
          <w:t>22</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489" w:history="1">
        <w:r w:rsidR="00C0292F" w:rsidRPr="003E64CF">
          <w:rPr>
            <w:rStyle w:val="Hyperlink"/>
            <w:noProof/>
          </w:rPr>
          <w:t>Table 2</w:t>
        </w:r>
        <w:r w:rsidR="00C0292F" w:rsidRPr="003E64CF">
          <w:rPr>
            <w:rStyle w:val="Hyperlink"/>
            <w:noProof/>
          </w:rPr>
          <w:noBreakHyphen/>
          <w:t>3: Energy Savings and Demand Reductions</w:t>
        </w:r>
        <w:r w:rsidR="00C0292F">
          <w:rPr>
            <w:noProof/>
            <w:webHidden/>
          </w:rPr>
          <w:tab/>
        </w:r>
        <w:r w:rsidR="00C0292F">
          <w:rPr>
            <w:noProof/>
            <w:webHidden/>
          </w:rPr>
          <w:fldChar w:fldCharType="begin"/>
        </w:r>
        <w:r w:rsidR="00C0292F">
          <w:rPr>
            <w:noProof/>
            <w:webHidden/>
          </w:rPr>
          <w:instrText xml:space="preserve"> PAGEREF _Toc310875489 \h </w:instrText>
        </w:r>
        <w:r w:rsidR="00C0292F">
          <w:rPr>
            <w:noProof/>
            <w:webHidden/>
          </w:rPr>
        </w:r>
        <w:r w:rsidR="00C0292F">
          <w:rPr>
            <w:noProof/>
            <w:webHidden/>
          </w:rPr>
          <w:fldChar w:fldCharType="separate"/>
        </w:r>
        <w:r w:rsidR="00C0292F">
          <w:rPr>
            <w:noProof/>
            <w:webHidden/>
          </w:rPr>
          <w:t>22</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490" w:history="1">
        <w:r w:rsidR="00C0292F" w:rsidRPr="003E64CF">
          <w:rPr>
            <w:rStyle w:val="Hyperlink"/>
            <w:noProof/>
          </w:rPr>
          <w:t>Table 2</w:t>
        </w:r>
        <w:r w:rsidR="00C0292F" w:rsidRPr="003E64CF">
          <w:rPr>
            <w:rStyle w:val="Hyperlink"/>
            <w:noProof/>
          </w:rPr>
          <w:noBreakHyphen/>
          <w:t>4: Electroluminescent Nightlight - References</w:t>
        </w:r>
        <w:r w:rsidR="00C0292F">
          <w:rPr>
            <w:noProof/>
            <w:webHidden/>
          </w:rPr>
          <w:tab/>
        </w:r>
        <w:r w:rsidR="00C0292F">
          <w:rPr>
            <w:noProof/>
            <w:webHidden/>
          </w:rPr>
          <w:fldChar w:fldCharType="begin"/>
        </w:r>
        <w:r w:rsidR="00C0292F">
          <w:rPr>
            <w:noProof/>
            <w:webHidden/>
          </w:rPr>
          <w:instrText xml:space="preserve"> PAGEREF _Toc310875490 \h </w:instrText>
        </w:r>
        <w:r w:rsidR="00C0292F">
          <w:rPr>
            <w:noProof/>
            <w:webHidden/>
          </w:rPr>
        </w:r>
        <w:r w:rsidR="00C0292F">
          <w:rPr>
            <w:noProof/>
            <w:webHidden/>
          </w:rPr>
          <w:fldChar w:fldCharType="separate"/>
        </w:r>
        <w:r w:rsidR="00C0292F">
          <w:rPr>
            <w:noProof/>
            <w:webHidden/>
          </w:rPr>
          <w:t>25</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491" w:history="1">
        <w:r w:rsidR="00C0292F" w:rsidRPr="003E64CF">
          <w:rPr>
            <w:rStyle w:val="Hyperlink"/>
            <w:noProof/>
          </w:rPr>
          <w:t>Table 2</w:t>
        </w:r>
        <w:r w:rsidR="00C0292F" w:rsidRPr="003E64CF">
          <w:rPr>
            <w:rStyle w:val="Hyperlink"/>
            <w:noProof/>
          </w:rPr>
          <w:noBreakHyphen/>
          <w:t>5: Furnace Whistle - References</w:t>
        </w:r>
        <w:r w:rsidR="00C0292F">
          <w:rPr>
            <w:noProof/>
            <w:webHidden/>
          </w:rPr>
          <w:tab/>
        </w:r>
        <w:r w:rsidR="00C0292F">
          <w:rPr>
            <w:noProof/>
            <w:webHidden/>
          </w:rPr>
          <w:fldChar w:fldCharType="begin"/>
        </w:r>
        <w:r w:rsidR="00C0292F">
          <w:rPr>
            <w:noProof/>
            <w:webHidden/>
          </w:rPr>
          <w:instrText xml:space="preserve"> PAGEREF _Toc310875491 \h </w:instrText>
        </w:r>
        <w:r w:rsidR="00C0292F">
          <w:rPr>
            <w:noProof/>
            <w:webHidden/>
          </w:rPr>
        </w:r>
        <w:r w:rsidR="00C0292F">
          <w:rPr>
            <w:noProof/>
            <w:webHidden/>
          </w:rPr>
          <w:fldChar w:fldCharType="separate"/>
        </w:r>
        <w:r w:rsidR="00C0292F">
          <w:rPr>
            <w:noProof/>
            <w:webHidden/>
          </w:rPr>
          <w:t>26</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492" w:history="1">
        <w:r w:rsidR="00C0292F" w:rsidRPr="003E64CF">
          <w:rPr>
            <w:rStyle w:val="Hyperlink"/>
            <w:noProof/>
          </w:rPr>
          <w:t>Table 2</w:t>
        </w:r>
        <w:r w:rsidR="00C0292F" w:rsidRPr="003E64CF">
          <w:rPr>
            <w:rStyle w:val="Hyperlink"/>
            <w:noProof/>
          </w:rPr>
          <w:noBreakHyphen/>
          <w:t>6: EFLH for various cities in Pennsylvania (TRM Data)</w:t>
        </w:r>
        <w:r w:rsidR="00C0292F">
          <w:rPr>
            <w:noProof/>
            <w:webHidden/>
          </w:rPr>
          <w:tab/>
        </w:r>
        <w:r w:rsidR="00C0292F">
          <w:rPr>
            <w:noProof/>
            <w:webHidden/>
          </w:rPr>
          <w:fldChar w:fldCharType="begin"/>
        </w:r>
        <w:r w:rsidR="00C0292F">
          <w:rPr>
            <w:noProof/>
            <w:webHidden/>
          </w:rPr>
          <w:instrText xml:space="preserve"> PAGEREF _Toc310875492 \h </w:instrText>
        </w:r>
        <w:r w:rsidR="00C0292F">
          <w:rPr>
            <w:noProof/>
            <w:webHidden/>
          </w:rPr>
        </w:r>
        <w:r w:rsidR="00C0292F">
          <w:rPr>
            <w:noProof/>
            <w:webHidden/>
          </w:rPr>
          <w:fldChar w:fldCharType="separate"/>
        </w:r>
        <w:r w:rsidR="00C0292F">
          <w:rPr>
            <w:noProof/>
            <w:webHidden/>
          </w:rPr>
          <w:t>27</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493" w:history="1">
        <w:r w:rsidR="00C0292F" w:rsidRPr="003E64CF">
          <w:rPr>
            <w:rStyle w:val="Hyperlink"/>
            <w:noProof/>
          </w:rPr>
          <w:t>Table 2</w:t>
        </w:r>
        <w:r w:rsidR="00C0292F" w:rsidRPr="003E64CF">
          <w:rPr>
            <w:rStyle w:val="Hyperlink"/>
            <w:noProof/>
          </w:rPr>
          <w:noBreakHyphen/>
          <w:t>7: Assumptions and Results of Deemed Savings Calculations (Pittsburgh, PA)</w:t>
        </w:r>
        <w:r w:rsidR="00C0292F">
          <w:rPr>
            <w:noProof/>
            <w:webHidden/>
          </w:rPr>
          <w:tab/>
        </w:r>
        <w:r w:rsidR="00C0292F">
          <w:rPr>
            <w:noProof/>
            <w:webHidden/>
          </w:rPr>
          <w:fldChar w:fldCharType="begin"/>
        </w:r>
        <w:r w:rsidR="00C0292F">
          <w:rPr>
            <w:noProof/>
            <w:webHidden/>
          </w:rPr>
          <w:instrText xml:space="preserve"> PAGEREF _Toc310875493 \h </w:instrText>
        </w:r>
        <w:r w:rsidR="00C0292F">
          <w:rPr>
            <w:noProof/>
            <w:webHidden/>
          </w:rPr>
        </w:r>
        <w:r w:rsidR="00C0292F">
          <w:rPr>
            <w:noProof/>
            <w:webHidden/>
          </w:rPr>
          <w:fldChar w:fldCharType="separate"/>
        </w:r>
        <w:r w:rsidR="00C0292F">
          <w:rPr>
            <w:noProof/>
            <w:webHidden/>
          </w:rPr>
          <w:t>28</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494" w:history="1">
        <w:r w:rsidR="00C0292F" w:rsidRPr="003E64CF">
          <w:rPr>
            <w:rStyle w:val="Hyperlink"/>
            <w:noProof/>
          </w:rPr>
          <w:t>Table 2</w:t>
        </w:r>
        <w:r w:rsidR="00C0292F" w:rsidRPr="003E64CF">
          <w:rPr>
            <w:rStyle w:val="Hyperlink"/>
            <w:noProof/>
          </w:rPr>
          <w:noBreakHyphen/>
          <w:t>8: Assumptions and Results of Deemed Savings Calculations (Philadelphia, PA)</w:t>
        </w:r>
        <w:r w:rsidR="00C0292F">
          <w:rPr>
            <w:noProof/>
            <w:webHidden/>
          </w:rPr>
          <w:tab/>
        </w:r>
        <w:r w:rsidR="00C0292F">
          <w:rPr>
            <w:noProof/>
            <w:webHidden/>
          </w:rPr>
          <w:fldChar w:fldCharType="begin"/>
        </w:r>
        <w:r w:rsidR="00C0292F">
          <w:rPr>
            <w:noProof/>
            <w:webHidden/>
          </w:rPr>
          <w:instrText xml:space="preserve"> PAGEREF _Toc310875494 \h </w:instrText>
        </w:r>
        <w:r w:rsidR="00C0292F">
          <w:rPr>
            <w:noProof/>
            <w:webHidden/>
          </w:rPr>
        </w:r>
        <w:r w:rsidR="00C0292F">
          <w:rPr>
            <w:noProof/>
            <w:webHidden/>
          </w:rPr>
          <w:fldChar w:fldCharType="separate"/>
        </w:r>
        <w:r w:rsidR="00C0292F">
          <w:rPr>
            <w:noProof/>
            <w:webHidden/>
          </w:rPr>
          <w:t>28</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495" w:history="1">
        <w:r w:rsidR="00C0292F" w:rsidRPr="003E64CF">
          <w:rPr>
            <w:rStyle w:val="Hyperlink"/>
            <w:noProof/>
          </w:rPr>
          <w:t>Table 2</w:t>
        </w:r>
        <w:r w:rsidR="00C0292F" w:rsidRPr="003E64CF">
          <w:rPr>
            <w:rStyle w:val="Hyperlink"/>
            <w:noProof/>
          </w:rPr>
          <w:noBreakHyphen/>
          <w:t>9: Assumptions and Results of Deemed Savings Calculations (Harrisburg, PA)</w:t>
        </w:r>
        <w:r w:rsidR="00C0292F">
          <w:rPr>
            <w:noProof/>
            <w:webHidden/>
          </w:rPr>
          <w:tab/>
        </w:r>
        <w:r w:rsidR="00C0292F">
          <w:rPr>
            <w:noProof/>
            <w:webHidden/>
          </w:rPr>
          <w:fldChar w:fldCharType="begin"/>
        </w:r>
        <w:r w:rsidR="00C0292F">
          <w:rPr>
            <w:noProof/>
            <w:webHidden/>
          </w:rPr>
          <w:instrText xml:space="preserve"> PAGEREF _Toc310875495 \h </w:instrText>
        </w:r>
        <w:r w:rsidR="00C0292F">
          <w:rPr>
            <w:noProof/>
            <w:webHidden/>
          </w:rPr>
        </w:r>
        <w:r w:rsidR="00C0292F">
          <w:rPr>
            <w:noProof/>
            <w:webHidden/>
          </w:rPr>
          <w:fldChar w:fldCharType="separate"/>
        </w:r>
        <w:r w:rsidR="00C0292F">
          <w:rPr>
            <w:noProof/>
            <w:webHidden/>
          </w:rPr>
          <w:t>28</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496" w:history="1">
        <w:r w:rsidR="00C0292F" w:rsidRPr="003E64CF">
          <w:rPr>
            <w:rStyle w:val="Hyperlink"/>
            <w:noProof/>
          </w:rPr>
          <w:t>Table 2</w:t>
        </w:r>
        <w:r w:rsidR="00C0292F" w:rsidRPr="003E64CF">
          <w:rPr>
            <w:rStyle w:val="Hyperlink"/>
            <w:noProof/>
          </w:rPr>
          <w:noBreakHyphen/>
          <w:t>10: Assumptions and Results of Deemed Savings Calculations (Erie, PA)</w:t>
        </w:r>
        <w:r w:rsidR="00C0292F">
          <w:rPr>
            <w:noProof/>
            <w:webHidden/>
          </w:rPr>
          <w:tab/>
        </w:r>
        <w:r w:rsidR="00C0292F">
          <w:rPr>
            <w:noProof/>
            <w:webHidden/>
          </w:rPr>
          <w:fldChar w:fldCharType="begin"/>
        </w:r>
        <w:r w:rsidR="00C0292F">
          <w:rPr>
            <w:noProof/>
            <w:webHidden/>
          </w:rPr>
          <w:instrText xml:space="preserve"> PAGEREF _Toc310875496 \h </w:instrText>
        </w:r>
        <w:r w:rsidR="00C0292F">
          <w:rPr>
            <w:noProof/>
            <w:webHidden/>
          </w:rPr>
        </w:r>
        <w:r w:rsidR="00C0292F">
          <w:rPr>
            <w:noProof/>
            <w:webHidden/>
          </w:rPr>
          <w:fldChar w:fldCharType="separate"/>
        </w:r>
        <w:r w:rsidR="00C0292F">
          <w:rPr>
            <w:noProof/>
            <w:webHidden/>
          </w:rPr>
          <w:t>29</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497" w:history="1">
        <w:r w:rsidR="00C0292F" w:rsidRPr="003E64CF">
          <w:rPr>
            <w:rStyle w:val="Hyperlink"/>
            <w:noProof/>
          </w:rPr>
          <w:t>Table 2</w:t>
        </w:r>
        <w:r w:rsidR="00C0292F" w:rsidRPr="003E64CF">
          <w:rPr>
            <w:rStyle w:val="Hyperlink"/>
            <w:noProof/>
          </w:rPr>
          <w:noBreakHyphen/>
          <w:t>11: Assumptions and Results of Deemed Savings Calculations (Allentown, PA)</w:t>
        </w:r>
        <w:r w:rsidR="00C0292F">
          <w:rPr>
            <w:noProof/>
            <w:webHidden/>
          </w:rPr>
          <w:tab/>
        </w:r>
        <w:r w:rsidR="00C0292F">
          <w:rPr>
            <w:noProof/>
            <w:webHidden/>
          </w:rPr>
          <w:fldChar w:fldCharType="begin"/>
        </w:r>
        <w:r w:rsidR="00C0292F">
          <w:rPr>
            <w:noProof/>
            <w:webHidden/>
          </w:rPr>
          <w:instrText xml:space="preserve"> PAGEREF _Toc310875497 \h </w:instrText>
        </w:r>
        <w:r w:rsidR="00C0292F">
          <w:rPr>
            <w:noProof/>
            <w:webHidden/>
          </w:rPr>
        </w:r>
        <w:r w:rsidR="00C0292F">
          <w:rPr>
            <w:noProof/>
            <w:webHidden/>
          </w:rPr>
          <w:fldChar w:fldCharType="separate"/>
        </w:r>
        <w:r w:rsidR="00C0292F">
          <w:rPr>
            <w:noProof/>
            <w:webHidden/>
          </w:rPr>
          <w:t>29</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498" w:history="1">
        <w:r w:rsidR="00C0292F" w:rsidRPr="003E64CF">
          <w:rPr>
            <w:rStyle w:val="Hyperlink"/>
            <w:noProof/>
          </w:rPr>
          <w:t>Table 2</w:t>
        </w:r>
        <w:r w:rsidR="00C0292F" w:rsidRPr="003E64CF">
          <w:rPr>
            <w:rStyle w:val="Hyperlink"/>
            <w:noProof/>
          </w:rPr>
          <w:noBreakHyphen/>
          <w:t>12: Heat Pump Water Heater Calculation Assumptions</w:t>
        </w:r>
        <w:r w:rsidR="00C0292F">
          <w:rPr>
            <w:noProof/>
            <w:webHidden/>
          </w:rPr>
          <w:tab/>
        </w:r>
        <w:r w:rsidR="00C0292F">
          <w:rPr>
            <w:noProof/>
            <w:webHidden/>
          </w:rPr>
          <w:fldChar w:fldCharType="begin"/>
        </w:r>
        <w:r w:rsidR="00C0292F">
          <w:rPr>
            <w:noProof/>
            <w:webHidden/>
          </w:rPr>
          <w:instrText xml:space="preserve"> PAGEREF _Toc310875498 \h </w:instrText>
        </w:r>
        <w:r w:rsidR="00C0292F">
          <w:rPr>
            <w:noProof/>
            <w:webHidden/>
          </w:rPr>
        </w:r>
        <w:r w:rsidR="00C0292F">
          <w:rPr>
            <w:noProof/>
            <w:webHidden/>
          </w:rPr>
          <w:fldChar w:fldCharType="separate"/>
        </w:r>
        <w:r w:rsidR="00C0292F">
          <w:rPr>
            <w:noProof/>
            <w:webHidden/>
          </w:rPr>
          <w:t>32</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499" w:history="1">
        <w:r w:rsidR="00C0292F" w:rsidRPr="003E64CF">
          <w:rPr>
            <w:rStyle w:val="Hyperlink"/>
            <w:noProof/>
          </w:rPr>
          <w:t>Table 2</w:t>
        </w:r>
        <w:r w:rsidR="00C0292F" w:rsidRPr="003E64CF">
          <w:rPr>
            <w:rStyle w:val="Hyperlink"/>
            <w:noProof/>
          </w:rPr>
          <w:noBreakHyphen/>
          <w:t>13: Energy Savings and Demand Reductions</w:t>
        </w:r>
        <w:r w:rsidR="00C0292F">
          <w:rPr>
            <w:noProof/>
            <w:webHidden/>
          </w:rPr>
          <w:tab/>
        </w:r>
        <w:r w:rsidR="00C0292F">
          <w:rPr>
            <w:noProof/>
            <w:webHidden/>
          </w:rPr>
          <w:fldChar w:fldCharType="begin"/>
        </w:r>
        <w:r w:rsidR="00C0292F">
          <w:rPr>
            <w:noProof/>
            <w:webHidden/>
          </w:rPr>
          <w:instrText xml:space="preserve"> PAGEREF _Toc310875499 \h </w:instrText>
        </w:r>
        <w:r w:rsidR="00C0292F">
          <w:rPr>
            <w:noProof/>
            <w:webHidden/>
          </w:rPr>
        </w:r>
        <w:r w:rsidR="00C0292F">
          <w:rPr>
            <w:noProof/>
            <w:webHidden/>
          </w:rPr>
          <w:fldChar w:fldCharType="separate"/>
        </w:r>
        <w:r w:rsidR="00C0292F">
          <w:rPr>
            <w:noProof/>
            <w:webHidden/>
          </w:rPr>
          <w:t>34</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00" w:history="1">
        <w:r w:rsidR="00C0292F" w:rsidRPr="003E64CF">
          <w:rPr>
            <w:rStyle w:val="Hyperlink"/>
            <w:noProof/>
          </w:rPr>
          <w:t>Table 2</w:t>
        </w:r>
        <w:r w:rsidR="00C0292F" w:rsidRPr="003E64CF">
          <w:rPr>
            <w:rStyle w:val="Hyperlink"/>
            <w:noProof/>
          </w:rPr>
          <w:noBreakHyphen/>
          <w:t>14: Home Audit Conversion Kit Calculation Assumptions</w:t>
        </w:r>
        <w:r w:rsidR="00C0292F">
          <w:rPr>
            <w:noProof/>
            <w:webHidden/>
          </w:rPr>
          <w:tab/>
        </w:r>
        <w:r w:rsidR="00C0292F">
          <w:rPr>
            <w:noProof/>
            <w:webHidden/>
          </w:rPr>
          <w:fldChar w:fldCharType="begin"/>
        </w:r>
        <w:r w:rsidR="00C0292F">
          <w:rPr>
            <w:noProof/>
            <w:webHidden/>
          </w:rPr>
          <w:instrText xml:space="preserve"> PAGEREF _Toc310875500 \h </w:instrText>
        </w:r>
        <w:r w:rsidR="00C0292F">
          <w:rPr>
            <w:noProof/>
            <w:webHidden/>
          </w:rPr>
        </w:r>
        <w:r w:rsidR="00C0292F">
          <w:rPr>
            <w:noProof/>
            <w:webHidden/>
          </w:rPr>
          <w:fldChar w:fldCharType="separate"/>
        </w:r>
        <w:r w:rsidR="00C0292F">
          <w:rPr>
            <w:noProof/>
            <w:webHidden/>
          </w:rPr>
          <w:t>36</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01" w:history="1">
        <w:r w:rsidR="00C0292F" w:rsidRPr="003E64CF">
          <w:rPr>
            <w:rStyle w:val="Hyperlink"/>
            <w:noProof/>
          </w:rPr>
          <w:t>Table 2</w:t>
        </w:r>
        <w:r w:rsidR="00C0292F" w:rsidRPr="003E64CF">
          <w:rPr>
            <w:rStyle w:val="Hyperlink"/>
            <w:noProof/>
          </w:rPr>
          <w:noBreakHyphen/>
          <w:t>15: LED Nightlight - References</w:t>
        </w:r>
        <w:r w:rsidR="00C0292F">
          <w:rPr>
            <w:noProof/>
            <w:webHidden/>
          </w:rPr>
          <w:tab/>
        </w:r>
        <w:r w:rsidR="00C0292F">
          <w:rPr>
            <w:noProof/>
            <w:webHidden/>
          </w:rPr>
          <w:fldChar w:fldCharType="begin"/>
        </w:r>
        <w:r w:rsidR="00C0292F">
          <w:rPr>
            <w:noProof/>
            <w:webHidden/>
          </w:rPr>
          <w:instrText xml:space="preserve"> PAGEREF _Toc310875501 \h </w:instrText>
        </w:r>
        <w:r w:rsidR="00C0292F">
          <w:rPr>
            <w:noProof/>
            <w:webHidden/>
          </w:rPr>
        </w:r>
        <w:r w:rsidR="00C0292F">
          <w:rPr>
            <w:noProof/>
            <w:webHidden/>
          </w:rPr>
          <w:fldChar w:fldCharType="separate"/>
        </w:r>
        <w:r w:rsidR="00C0292F">
          <w:rPr>
            <w:noProof/>
            <w:webHidden/>
          </w:rPr>
          <w:t>38</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02" w:history="1">
        <w:r w:rsidR="00C0292F" w:rsidRPr="003E64CF">
          <w:rPr>
            <w:rStyle w:val="Hyperlink"/>
            <w:noProof/>
          </w:rPr>
          <w:t>Table 2</w:t>
        </w:r>
        <w:r w:rsidR="00C0292F" w:rsidRPr="003E64CF">
          <w:rPr>
            <w:rStyle w:val="Hyperlink"/>
            <w:noProof/>
          </w:rPr>
          <w:noBreakHyphen/>
          <w:t>16: Low Flow Faucet Aerator Calculation Assumptions</w:t>
        </w:r>
        <w:r w:rsidR="00C0292F">
          <w:rPr>
            <w:noProof/>
            <w:webHidden/>
          </w:rPr>
          <w:tab/>
        </w:r>
        <w:r w:rsidR="00C0292F">
          <w:rPr>
            <w:noProof/>
            <w:webHidden/>
          </w:rPr>
          <w:fldChar w:fldCharType="begin"/>
        </w:r>
        <w:r w:rsidR="00C0292F">
          <w:rPr>
            <w:noProof/>
            <w:webHidden/>
          </w:rPr>
          <w:instrText xml:space="preserve"> PAGEREF _Toc310875502 \h </w:instrText>
        </w:r>
        <w:r w:rsidR="00C0292F">
          <w:rPr>
            <w:noProof/>
            <w:webHidden/>
          </w:rPr>
        </w:r>
        <w:r w:rsidR="00C0292F">
          <w:rPr>
            <w:noProof/>
            <w:webHidden/>
          </w:rPr>
          <w:fldChar w:fldCharType="separate"/>
        </w:r>
        <w:r w:rsidR="00C0292F">
          <w:rPr>
            <w:noProof/>
            <w:webHidden/>
          </w:rPr>
          <w:t>42</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03" w:history="1">
        <w:r w:rsidR="00C0292F" w:rsidRPr="003E64CF">
          <w:rPr>
            <w:rStyle w:val="Hyperlink"/>
            <w:noProof/>
          </w:rPr>
          <w:t>Table 2</w:t>
        </w:r>
        <w:r w:rsidR="00C0292F" w:rsidRPr="003E64CF">
          <w:rPr>
            <w:rStyle w:val="Hyperlink"/>
            <w:noProof/>
          </w:rPr>
          <w:noBreakHyphen/>
          <w:t>17: Residential Electric HVAC Calculation Assumptions</w:t>
        </w:r>
        <w:r w:rsidR="00C0292F">
          <w:rPr>
            <w:noProof/>
            <w:webHidden/>
          </w:rPr>
          <w:tab/>
        </w:r>
        <w:r w:rsidR="00C0292F">
          <w:rPr>
            <w:noProof/>
            <w:webHidden/>
          </w:rPr>
          <w:fldChar w:fldCharType="begin"/>
        </w:r>
        <w:r w:rsidR="00C0292F">
          <w:rPr>
            <w:noProof/>
            <w:webHidden/>
          </w:rPr>
          <w:instrText xml:space="preserve"> PAGEREF _Toc310875503 \h </w:instrText>
        </w:r>
        <w:r w:rsidR="00C0292F">
          <w:rPr>
            <w:noProof/>
            <w:webHidden/>
          </w:rPr>
        </w:r>
        <w:r w:rsidR="00C0292F">
          <w:rPr>
            <w:noProof/>
            <w:webHidden/>
          </w:rPr>
          <w:fldChar w:fldCharType="separate"/>
        </w:r>
        <w:r w:rsidR="00C0292F">
          <w:rPr>
            <w:noProof/>
            <w:webHidden/>
          </w:rPr>
          <w:t>48</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04" w:history="1">
        <w:r w:rsidR="00C0292F" w:rsidRPr="003E64CF">
          <w:rPr>
            <w:rStyle w:val="Hyperlink"/>
            <w:noProof/>
          </w:rPr>
          <w:t>Table 2</w:t>
        </w:r>
        <w:r w:rsidR="00C0292F" w:rsidRPr="003E64CF">
          <w:rPr>
            <w:rStyle w:val="Hyperlink"/>
            <w:noProof/>
          </w:rPr>
          <w:noBreakHyphen/>
          <w:t>18: Room AC Retirement Calculation Assumptions</w:t>
        </w:r>
        <w:r w:rsidR="00C0292F">
          <w:rPr>
            <w:noProof/>
            <w:webHidden/>
          </w:rPr>
          <w:tab/>
        </w:r>
        <w:r w:rsidR="00C0292F">
          <w:rPr>
            <w:noProof/>
            <w:webHidden/>
          </w:rPr>
          <w:fldChar w:fldCharType="begin"/>
        </w:r>
        <w:r w:rsidR="00C0292F">
          <w:rPr>
            <w:noProof/>
            <w:webHidden/>
          </w:rPr>
          <w:instrText xml:space="preserve"> PAGEREF _Toc310875504 \h </w:instrText>
        </w:r>
        <w:r w:rsidR="00C0292F">
          <w:rPr>
            <w:noProof/>
            <w:webHidden/>
          </w:rPr>
        </w:r>
        <w:r w:rsidR="00C0292F">
          <w:rPr>
            <w:noProof/>
            <w:webHidden/>
          </w:rPr>
          <w:fldChar w:fldCharType="separate"/>
        </w:r>
        <w:r w:rsidR="00C0292F">
          <w:rPr>
            <w:noProof/>
            <w:webHidden/>
          </w:rPr>
          <w:t>52</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05" w:history="1">
        <w:r w:rsidR="00C0292F" w:rsidRPr="003E64CF">
          <w:rPr>
            <w:rStyle w:val="Hyperlink"/>
            <w:noProof/>
          </w:rPr>
          <w:t>Table 2</w:t>
        </w:r>
        <w:r w:rsidR="00C0292F" w:rsidRPr="003E64CF">
          <w:rPr>
            <w:rStyle w:val="Hyperlink"/>
            <w:noProof/>
          </w:rPr>
          <w:noBreakHyphen/>
          <w:t>19: RAC Retirement-Only EFLH and Energy Savings by City</w:t>
        </w:r>
        <w:r w:rsidR="00C0292F">
          <w:rPr>
            <w:noProof/>
            <w:webHidden/>
          </w:rPr>
          <w:tab/>
        </w:r>
        <w:r w:rsidR="00C0292F">
          <w:rPr>
            <w:noProof/>
            <w:webHidden/>
          </w:rPr>
          <w:fldChar w:fldCharType="begin"/>
        </w:r>
        <w:r w:rsidR="00C0292F">
          <w:rPr>
            <w:noProof/>
            <w:webHidden/>
          </w:rPr>
          <w:instrText xml:space="preserve"> PAGEREF _Toc310875505 \h </w:instrText>
        </w:r>
        <w:r w:rsidR="00C0292F">
          <w:rPr>
            <w:noProof/>
            <w:webHidden/>
          </w:rPr>
        </w:r>
        <w:r w:rsidR="00C0292F">
          <w:rPr>
            <w:noProof/>
            <w:webHidden/>
          </w:rPr>
          <w:fldChar w:fldCharType="separate"/>
        </w:r>
        <w:r w:rsidR="00C0292F">
          <w:rPr>
            <w:noProof/>
            <w:webHidden/>
          </w:rPr>
          <w:t>52</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06" w:history="1">
        <w:r w:rsidR="00C0292F" w:rsidRPr="003E64CF">
          <w:rPr>
            <w:rStyle w:val="Hyperlink"/>
            <w:noProof/>
          </w:rPr>
          <w:t>Table 2</w:t>
        </w:r>
        <w:r w:rsidR="00C0292F" w:rsidRPr="003E64CF">
          <w:rPr>
            <w:rStyle w:val="Hyperlink"/>
            <w:noProof/>
          </w:rPr>
          <w:noBreakHyphen/>
          <w:t>20: Preliminary Results from ComEd RAC Recycling Evaluation</w:t>
        </w:r>
        <w:r w:rsidR="00C0292F">
          <w:rPr>
            <w:noProof/>
            <w:webHidden/>
          </w:rPr>
          <w:tab/>
        </w:r>
        <w:r w:rsidR="00C0292F">
          <w:rPr>
            <w:noProof/>
            <w:webHidden/>
          </w:rPr>
          <w:fldChar w:fldCharType="begin"/>
        </w:r>
        <w:r w:rsidR="00C0292F">
          <w:rPr>
            <w:noProof/>
            <w:webHidden/>
          </w:rPr>
          <w:instrText xml:space="preserve"> PAGEREF _Toc310875506 \h </w:instrText>
        </w:r>
        <w:r w:rsidR="00C0292F">
          <w:rPr>
            <w:noProof/>
            <w:webHidden/>
          </w:rPr>
        </w:r>
        <w:r w:rsidR="00C0292F">
          <w:rPr>
            <w:noProof/>
            <w:webHidden/>
          </w:rPr>
          <w:fldChar w:fldCharType="separate"/>
        </w:r>
        <w:r w:rsidR="00C0292F">
          <w:rPr>
            <w:noProof/>
            <w:webHidden/>
          </w:rPr>
          <w:t>55</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07" w:history="1">
        <w:r w:rsidR="00C0292F" w:rsidRPr="003E64CF">
          <w:rPr>
            <w:rStyle w:val="Hyperlink"/>
            <w:noProof/>
          </w:rPr>
          <w:t>Table 2</w:t>
        </w:r>
        <w:r w:rsidR="00C0292F" w:rsidRPr="003E64CF">
          <w:rPr>
            <w:rStyle w:val="Hyperlink"/>
            <w:noProof/>
          </w:rPr>
          <w:noBreakHyphen/>
          <w:t>21: Smart Strip Plug Outlet Calculation Assumptions</w:t>
        </w:r>
        <w:r w:rsidR="00C0292F">
          <w:rPr>
            <w:noProof/>
            <w:webHidden/>
          </w:rPr>
          <w:tab/>
        </w:r>
        <w:r w:rsidR="00C0292F">
          <w:rPr>
            <w:noProof/>
            <w:webHidden/>
          </w:rPr>
          <w:fldChar w:fldCharType="begin"/>
        </w:r>
        <w:r w:rsidR="00C0292F">
          <w:rPr>
            <w:noProof/>
            <w:webHidden/>
          </w:rPr>
          <w:instrText xml:space="preserve"> PAGEREF _Toc310875507 \h </w:instrText>
        </w:r>
        <w:r w:rsidR="00C0292F">
          <w:rPr>
            <w:noProof/>
            <w:webHidden/>
          </w:rPr>
        </w:r>
        <w:r w:rsidR="00C0292F">
          <w:rPr>
            <w:noProof/>
            <w:webHidden/>
          </w:rPr>
          <w:fldChar w:fldCharType="separate"/>
        </w:r>
        <w:r w:rsidR="00C0292F">
          <w:rPr>
            <w:noProof/>
            <w:webHidden/>
          </w:rPr>
          <w:t>57</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08" w:history="1">
        <w:r w:rsidR="00C0292F" w:rsidRPr="003E64CF">
          <w:rPr>
            <w:rStyle w:val="Hyperlink"/>
            <w:noProof/>
          </w:rPr>
          <w:t>Table 2</w:t>
        </w:r>
        <w:r w:rsidR="00C0292F" w:rsidRPr="003E64CF">
          <w:rPr>
            <w:rStyle w:val="Hyperlink"/>
            <w:noProof/>
          </w:rPr>
          <w:noBreakHyphen/>
          <w:t>22: Solar Water Heater Calculation Assumptions</w:t>
        </w:r>
        <w:r w:rsidR="00C0292F">
          <w:rPr>
            <w:noProof/>
            <w:webHidden/>
          </w:rPr>
          <w:tab/>
        </w:r>
        <w:r w:rsidR="00C0292F">
          <w:rPr>
            <w:noProof/>
            <w:webHidden/>
          </w:rPr>
          <w:fldChar w:fldCharType="begin"/>
        </w:r>
        <w:r w:rsidR="00C0292F">
          <w:rPr>
            <w:noProof/>
            <w:webHidden/>
          </w:rPr>
          <w:instrText xml:space="preserve"> PAGEREF _Toc310875508 \h </w:instrText>
        </w:r>
        <w:r w:rsidR="00C0292F">
          <w:rPr>
            <w:noProof/>
            <w:webHidden/>
          </w:rPr>
        </w:r>
        <w:r w:rsidR="00C0292F">
          <w:rPr>
            <w:noProof/>
            <w:webHidden/>
          </w:rPr>
          <w:fldChar w:fldCharType="separate"/>
        </w:r>
        <w:r w:rsidR="00C0292F">
          <w:rPr>
            <w:noProof/>
            <w:webHidden/>
          </w:rPr>
          <w:t>60</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09" w:history="1">
        <w:r w:rsidR="00C0292F" w:rsidRPr="003E64CF">
          <w:rPr>
            <w:rStyle w:val="Hyperlink"/>
            <w:noProof/>
          </w:rPr>
          <w:t>Table 2</w:t>
        </w:r>
        <w:r w:rsidR="00C0292F" w:rsidRPr="003E64CF">
          <w:rPr>
            <w:rStyle w:val="Hyperlink"/>
            <w:noProof/>
          </w:rPr>
          <w:noBreakHyphen/>
          <w:t>23: Whole House Fan Deemed Energy Savings by PA City</w:t>
        </w:r>
        <w:r w:rsidR="00C0292F">
          <w:rPr>
            <w:noProof/>
            <w:webHidden/>
          </w:rPr>
          <w:tab/>
        </w:r>
        <w:r w:rsidR="00C0292F">
          <w:rPr>
            <w:noProof/>
            <w:webHidden/>
          </w:rPr>
          <w:fldChar w:fldCharType="begin"/>
        </w:r>
        <w:r w:rsidR="00C0292F">
          <w:rPr>
            <w:noProof/>
            <w:webHidden/>
          </w:rPr>
          <w:instrText xml:space="preserve"> PAGEREF _Toc310875509 \h </w:instrText>
        </w:r>
        <w:r w:rsidR="00C0292F">
          <w:rPr>
            <w:noProof/>
            <w:webHidden/>
          </w:rPr>
        </w:r>
        <w:r w:rsidR="00C0292F">
          <w:rPr>
            <w:noProof/>
            <w:webHidden/>
          </w:rPr>
          <w:fldChar w:fldCharType="separate"/>
        </w:r>
        <w:r w:rsidR="00C0292F">
          <w:rPr>
            <w:noProof/>
            <w:webHidden/>
          </w:rPr>
          <w:t>66</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10" w:history="1">
        <w:r w:rsidR="00C0292F" w:rsidRPr="003E64CF">
          <w:rPr>
            <w:rStyle w:val="Hyperlink"/>
            <w:noProof/>
          </w:rPr>
          <w:t>Table 2</w:t>
        </w:r>
        <w:r w:rsidR="00C0292F" w:rsidRPr="003E64CF">
          <w:rPr>
            <w:rStyle w:val="Hyperlink"/>
            <w:noProof/>
          </w:rPr>
          <w:noBreakHyphen/>
          <w:t>24: DHP – Values and References</w:t>
        </w:r>
        <w:r w:rsidR="00C0292F">
          <w:rPr>
            <w:noProof/>
            <w:webHidden/>
          </w:rPr>
          <w:tab/>
        </w:r>
        <w:r w:rsidR="00C0292F">
          <w:rPr>
            <w:noProof/>
            <w:webHidden/>
          </w:rPr>
          <w:fldChar w:fldCharType="begin"/>
        </w:r>
        <w:r w:rsidR="00C0292F">
          <w:rPr>
            <w:noProof/>
            <w:webHidden/>
          </w:rPr>
          <w:instrText xml:space="preserve"> PAGEREF _Toc310875510 \h </w:instrText>
        </w:r>
        <w:r w:rsidR="00C0292F">
          <w:rPr>
            <w:noProof/>
            <w:webHidden/>
          </w:rPr>
        </w:r>
        <w:r w:rsidR="00C0292F">
          <w:rPr>
            <w:noProof/>
            <w:webHidden/>
          </w:rPr>
          <w:fldChar w:fldCharType="separate"/>
        </w:r>
        <w:r w:rsidR="00C0292F">
          <w:rPr>
            <w:noProof/>
            <w:webHidden/>
          </w:rPr>
          <w:t>69</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11" w:history="1">
        <w:r w:rsidR="00C0292F" w:rsidRPr="003E64CF">
          <w:rPr>
            <w:rStyle w:val="Hyperlink"/>
            <w:noProof/>
          </w:rPr>
          <w:t>Table 2</w:t>
        </w:r>
        <w:r w:rsidR="00C0292F" w:rsidRPr="003E64CF">
          <w:rPr>
            <w:rStyle w:val="Hyperlink"/>
            <w:noProof/>
          </w:rPr>
          <w:noBreakHyphen/>
          <w:t>25: DHP – Heating Zones</w:t>
        </w:r>
        <w:r w:rsidR="00C0292F">
          <w:rPr>
            <w:noProof/>
            <w:webHidden/>
          </w:rPr>
          <w:tab/>
        </w:r>
        <w:r w:rsidR="00C0292F">
          <w:rPr>
            <w:noProof/>
            <w:webHidden/>
          </w:rPr>
          <w:fldChar w:fldCharType="begin"/>
        </w:r>
        <w:r w:rsidR="00C0292F">
          <w:rPr>
            <w:noProof/>
            <w:webHidden/>
          </w:rPr>
          <w:instrText xml:space="preserve"> PAGEREF _Toc310875511 \h </w:instrText>
        </w:r>
        <w:r w:rsidR="00C0292F">
          <w:rPr>
            <w:noProof/>
            <w:webHidden/>
          </w:rPr>
        </w:r>
        <w:r w:rsidR="00C0292F">
          <w:rPr>
            <w:noProof/>
            <w:webHidden/>
          </w:rPr>
          <w:fldChar w:fldCharType="separate"/>
        </w:r>
        <w:r w:rsidR="00C0292F">
          <w:rPr>
            <w:noProof/>
            <w:webHidden/>
          </w:rPr>
          <w:t>71</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12" w:history="1">
        <w:r w:rsidR="00C0292F" w:rsidRPr="003E64CF">
          <w:rPr>
            <w:rStyle w:val="Hyperlink"/>
            <w:noProof/>
          </w:rPr>
          <w:t>Table 2</w:t>
        </w:r>
        <w:r w:rsidR="00C0292F" w:rsidRPr="003E64CF">
          <w:rPr>
            <w:rStyle w:val="Hyperlink"/>
            <w:noProof/>
          </w:rPr>
          <w:noBreakHyphen/>
          <w:t>26: Calculation Assumptions for Fuel Switching, Domestic Hot Water Electric to Gas</w:t>
        </w:r>
        <w:r w:rsidR="00C0292F">
          <w:rPr>
            <w:noProof/>
            <w:webHidden/>
          </w:rPr>
          <w:tab/>
        </w:r>
        <w:r w:rsidR="00C0292F">
          <w:rPr>
            <w:noProof/>
            <w:webHidden/>
          </w:rPr>
          <w:fldChar w:fldCharType="begin"/>
        </w:r>
        <w:r w:rsidR="00C0292F">
          <w:rPr>
            <w:noProof/>
            <w:webHidden/>
          </w:rPr>
          <w:instrText xml:space="preserve"> PAGEREF _Toc310875512 \h </w:instrText>
        </w:r>
        <w:r w:rsidR="00C0292F">
          <w:rPr>
            <w:noProof/>
            <w:webHidden/>
          </w:rPr>
        </w:r>
        <w:r w:rsidR="00C0292F">
          <w:rPr>
            <w:noProof/>
            <w:webHidden/>
          </w:rPr>
          <w:fldChar w:fldCharType="separate"/>
        </w:r>
        <w:r w:rsidR="00C0292F">
          <w:rPr>
            <w:noProof/>
            <w:webHidden/>
          </w:rPr>
          <w:t>74</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13" w:history="1">
        <w:r w:rsidR="00C0292F" w:rsidRPr="003E64CF">
          <w:rPr>
            <w:rStyle w:val="Hyperlink"/>
            <w:noProof/>
          </w:rPr>
          <w:t>Table 2</w:t>
        </w:r>
        <w:r w:rsidR="00C0292F" w:rsidRPr="003E64CF">
          <w:rPr>
            <w:rStyle w:val="Hyperlink"/>
            <w:noProof/>
          </w:rPr>
          <w:noBreakHyphen/>
          <w:t>27: Energy Savings and Demand Reductions for Fuel Switching, Domestic Hot Water Electric to Gas</w:t>
        </w:r>
        <w:r w:rsidR="00C0292F">
          <w:rPr>
            <w:noProof/>
            <w:webHidden/>
          </w:rPr>
          <w:tab/>
        </w:r>
        <w:r w:rsidR="00C0292F">
          <w:rPr>
            <w:noProof/>
            <w:webHidden/>
          </w:rPr>
          <w:fldChar w:fldCharType="begin"/>
        </w:r>
        <w:r w:rsidR="00C0292F">
          <w:rPr>
            <w:noProof/>
            <w:webHidden/>
          </w:rPr>
          <w:instrText xml:space="preserve"> PAGEREF _Toc310875513 \h </w:instrText>
        </w:r>
        <w:r w:rsidR="00C0292F">
          <w:rPr>
            <w:noProof/>
            <w:webHidden/>
          </w:rPr>
        </w:r>
        <w:r w:rsidR="00C0292F">
          <w:rPr>
            <w:noProof/>
            <w:webHidden/>
          </w:rPr>
          <w:fldChar w:fldCharType="separate"/>
        </w:r>
        <w:r w:rsidR="00C0292F">
          <w:rPr>
            <w:noProof/>
            <w:webHidden/>
          </w:rPr>
          <w:t>75</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14" w:history="1">
        <w:r w:rsidR="00C0292F" w:rsidRPr="003E64CF">
          <w:rPr>
            <w:rStyle w:val="Hyperlink"/>
            <w:noProof/>
          </w:rPr>
          <w:t>Table 2</w:t>
        </w:r>
        <w:r w:rsidR="00C0292F" w:rsidRPr="003E64CF">
          <w:rPr>
            <w:rStyle w:val="Hyperlink"/>
            <w:noProof/>
          </w:rPr>
          <w:noBreakHyphen/>
          <w:t>28: Gas Consumption for Fuel Switching, Domestic Hot Water Electric to Gas</w:t>
        </w:r>
        <w:r w:rsidR="00C0292F">
          <w:rPr>
            <w:noProof/>
            <w:webHidden/>
          </w:rPr>
          <w:tab/>
        </w:r>
        <w:r w:rsidR="00C0292F">
          <w:rPr>
            <w:noProof/>
            <w:webHidden/>
          </w:rPr>
          <w:fldChar w:fldCharType="begin"/>
        </w:r>
        <w:r w:rsidR="00C0292F">
          <w:rPr>
            <w:noProof/>
            <w:webHidden/>
          </w:rPr>
          <w:instrText xml:space="preserve"> PAGEREF _Toc310875514 \h </w:instrText>
        </w:r>
        <w:r w:rsidR="00C0292F">
          <w:rPr>
            <w:noProof/>
            <w:webHidden/>
          </w:rPr>
        </w:r>
        <w:r w:rsidR="00C0292F">
          <w:rPr>
            <w:noProof/>
            <w:webHidden/>
          </w:rPr>
          <w:fldChar w:fldCharType="separate"/>
        </w:r>
        <w:r w:rsidR="00C0292F">
          <w:rPr>
            <w:noProof/>
            <w:webHidden/>
          </w:rPr>
          <w:t>75</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15" w:history="1">
        <w:r w:rsidR="00C0292F" w:rsidRPr="003E64CF">
          <w:rPr>
            <w:rStyle w:val="Hyperlink"/>
            <w:noProof/>
          </w:rPr>
          <w:t>Table 2</w:t>
        </w:r>
        <w:r w:rsidR="00C0292F" w:rsidRPr="003E64CF">
          <w:rPr>
            <w:rStyle w:val="Hyperlink"/>
            <w:noProof/>
          </w:rPr>
          <w:noBreakHyphen/>
          <w:t>29: Calculation Assumptions for Heat Pump Water Heater to Gas Water Heater</w:t>
        </w:r>
        <w:r w:rsidR="00C0292F">
          <w:rPr>
            <w:noProof/>
            <w:webHidden/>
          </w:rPr>
          <w:tab/>
        </w:r>
        <w:r w:rsidR="00C0292F">
          <w:rPr>
            <w:noProof/>
            <w:webHidden/>
          </w:rPr>
          <w:fldChar w:fldCharType="begin"/>
        </w:r>
        <w:r w:rsidR="00C0292F">
          <w:rPr>
            <w:noProof/>
            <w:webHidden/>
          </w:rPr>
          <w:instrText xml:space="preserve"> PAGEREF _Toc310875515 \h </w:instrText>
        </w:r>
        <w:r w:rsidR="00C0292F">
          <w:rPr>
            <w:noProof/>
            <w:webHidden/>
          </w:rPr>
        </w:r>
        <w:r w:rsidR="00C0292F">
          <w:rPr>
            <w:noProof/>
            <w:webHidden/>
          </w:rPr>
          <w:fldChar w:fldCharType="separate"/>
        </w:r>
        <w:r w:rsidR="00C0292F">
          <w:rPr>
            <w:noProof/>
            <w:webHidden/>
          </w:rPr>
          <w:t>78</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16" w:history="1">
        <w:r w:rsidR="00C0292F" w:rsidRPr="003E64CF">
          <w:rPr>
            <w:rStyle w:val="Hyperlink"/>
            <w:noProof/>
          </w:rPr>
          <w:t>Table 2</w:t>
        </w:r>
        <w:r w:rsidR="00C0292F" w:rsidRPr="003E64CF">
          <w:rPr>
            <w:rStyle w:val="Hyperlink"/>
            <w:noProof/>
          </w:rPr>
          <w:noBreakHyphen/>
          <w:t>30: Energy Savings and Demand Reductions for Heat Pump Water Heater to Gas Water Heater</w:t>
        </w:r>
        <w:r w:rsidR="00C0292F">
          <w:rPr>
            <w:noProof/>
            <w:webHidden/>
          </w:rPr>
          <w:tab/>
        </w:r>
        <w:r w:rsidR="00C0292F">
          <w:rPr>
            <w:noProof/>
            <w:webHidden/>
          </w:rPr>
          <w:fldChar w:fldCharType="begin"/>
        </w:r>
        <w:r w:rsidR="00C0292F">
          <w:rPr>
            <w:noProof/>
            <w:webHidden/>
          </w:rPr>
          <w:instrText xml:space="preserve"> PAGEREF _Toc310875516 \h </w:instrText>
        </w:r>
        <w:r w:rsidR="00C0292F">
          <w:rPr>
            <w:noProof/>
            <w:webHidden/>
          </w:rPr>
        </w:r>
        <w:r w:rsidR="00C0292F">
          <w:rPr>
            <w:noProof/>
            <w:webHidden/>
          </w:rPr>
          <w:fldChar w:fldCharType="separate"/>
        </w:r>
        <w:r w:rsidR="00C0292F">
          <w:rPr>
            <w:noProof/>
            <w:webHidden/>
          </w:rPr>
          <w:t>80</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17" w:history="1">
        <w:r w:rsidR="00C0292F" w:rsidRPr="003E64CF">
          <w:rPr>
            <w:rStyle w:val="Hyperlink"/>
            <w:noProof/>
          </w:rPr>
          <w:t>Table 2</w:t>
        </w:r>
        <w:r w:rsidR="00C0292F" w:rsidRPr="003E64CF">
          <w:rPr>
            <w:rStyle w:val="Hyperlink"/>
            <w:noProof/>
          </w:rPr>
          <w:noBreakHyphen/>
          <w:t>31: Gas Consumption for Heat Pump Water Heater to Gas Water Heater</w:t>
        </w:r>
        <w:r w:rsidR="00C0292F">
          <w:rPr>
            <w:noProof/>
            <w:webHidden/>
          </w:rPr>
          <w:tab/>
        </w:r>
        <w:r w:rsidR="00C0292F">
          <w:rPr>
            <w:noProof/>
            <w:webHidden/>
          </w:rPr>
          <w:fldChar w:fldCharType="begin"/>
        </w:r>
        <w:r w:rsidR="00C0292F">
          <w:rPr>
            <w:noProof/>
            <w:webHidden/>
          </w:rPr>
          <w:instrText xml:space="preserve"> PAGEREF _Toc310875517 \h </w:instrText>
        </w:r>
        <w:r w:rsidR="00C0292F">
          <w:rPr>
            <w:noProof/>
            <w:webHidden/>
          </w:rPr>
        </w:r>
        <w:r w:rsidR="00C0292F">
          <w:rPr>
            <w:noProof/>
            <w:webHidden/>
          </w:rPr>
          <w:fldChar w:fldCharType="separate"/>
        </w:r>
        <w:r w:rsidR="00C0292F">
          <w:rPr>
            <w:noProof/>
            <w:webHidden/>
          </w:rPr>
          <w:t>80</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18" w:history="1">
        <w:r w:rsidR="00C0292F" w:rsidRPr="003E64CF">
          <w:rPr>
            <w:rStyle w:val="Hyperlink"/>
            <w:noProof/>
          </w:rPr>
          <w:t>Table 2</w:t>
        </w:r>
        <w:r w:rsidR="00C0292F" w:rsidRPr="003E64CF">
          <w:rPr>
            <w:rStyle w:val="Hyperlink"/>
            <w:noProof/>
          </w:rPr>
          <w:noBreakHyphen/>
          <w:t>32: Default values for algorithm terms, Fuel Switching, Electric Heat to Gas Heat</w:t>
        </w:r>
        <w:r w:rsidR="00C0292F">
          <w:rPr>
            <w:noProof/>
            <w:webHidden/>
          </w:rPr>
          <w:tab/>
        </w:r>
        <w:r w:rsidR="00C0292F">
          <w:rPr>
            <w:noProof/>
            <w:webHidden/>
          </w:rPr>
          <w:fldChar w:fldCharType="begin"/>
        </w:r>
        <w:r w:rsidR="00C0292F">
          <w:rPr>
            <w:noProof/>
            <w:webHidden/>
          </w:rPr>
          <w:instrText xml:space="preserve"> PAGEREF _Toc310875518 \h </w:instrText>
        </w:r>
        <w:r w:rsidR="00C0292F">
          <w:rPr>
            <w:noProof/>
            <w:webHidden/>
          </w:rPr>
        </w:r>
        <w:r w:rsidR="00C0292F">
          <w:rPr>
            <w:noProof/>
            <w:webHidden/>
          </w:rPr>
          <w:fldChar w:fldCharType="separate"/>
        </w:r>
        <w:r w:rsidR="00C0292F">
          <w:rPr>
            <w:noProof/>
            <w:webHidden/>
          </w:rPr>
          <w:t>84</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19" w:history="1">
        <w:r w:rsidR="00C0292F" w:rsidRPr="003E64CF">
          <w:rPr>
            <w:rStyle w:val="Hyperlink"/>
            <w:noProof/>
          </w:rPr>
          <w:t>Table 2</w:t>
        </w:r>
        <w:r w:rsidR="00C0292F" w:rsidRPr="003E64CF">
          <w:rPr>
            <w:rStyle w:val="Hyperlink"/>
            <w:noProof/>
          </w:rPr>
          <w:noBreakHyphen/>
          <w:t>33: Default values for algorithm terms, Ceiling/Attic and Wall Insulation</w:t>
        </w:r>
        <w:r w:rsidR="00C0292F">
          <w:rPr>
            <w:noProof/>
            <w:webHidden/>
          </w:rPr>
          <w:tab/>
        </w:r>
        <w:r w:rsidR="00C0292F">
          <w:rPr>
            <w:noProof/>
            <w:webHidden/>
          </w:rPr>
          <w:fldChar w:fldCharType="begin"/>
        </w:r>
        <w:r w:rsidR="00C0292F">
          <w:rPr>
            <w:noProof/>
            <w:webHidden/>
          </w:rPr>
          <w:instrText xml:space="preserve"> PAGEREF _Toc310875519 \h </w:instrText>
        </w:r>
        <w:r w:rsidR="00C0292F">
          <w:rPr>
            <w:noProof/>
            <w:webHidden/>
          </w:rPr>
        </w:r>
        <w:r w:rsidR="00C0292F">
          <w:rPr>
            <w:noProof/>
            <w:webHidden/>
          </w:rPr>
          <w:fldChar w:fldCharType="separate"/>
        </w:r>
        <w:r w:rsidR="00C0292F">
          <w:rPr>
            <w:noProof/>
            <w:webHidden/>
          </w:rPr>
          <w:t>87</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20" w:history="1">
        <w:r w:rsidR="00C0292F" w:rsidRPr="003E64CF">
          <w:rPr>
            <w:rStyle w:val="Hyperlink"/>
            <w:noProof/>
          </w:rPr>
          <w:t>Table 2</w:t>
        </w:r>
        <w:r w:rsidR="00C0292F" w:rsidRPr="003E64CF">
          <w:rPr>
            <w:rStyle w:val="Hyperlink"/>
            <w:noProof/>
          </w:rPr>
          <w:noBreakHyphen/>
          <w:t>34: EFLH, CDD and HDD by City</w:t>
        </w:r>
        <w:r w:rsidR="00C0292F">
          <w:rPr>
            <w:noProof/>
            <w:webHidden/>
          </w:rPr>
          <w:tab/>
        </w:r>
        <w:r w:rsidR="00C0292F">
          <w:rPr>
            <w:noProof/>
            <w:webHidden/>
          </w:rPr>
          <w:fldChar w:fldCharType="begin"/>
        </w:r>
        <w:r w:rsidR="00C0292F">
          <w:rPr>
            <w:noProof/>
            <w:webHidden/>
          </w:rPr>
          <w:instrText xml:space="preserve"> PAGEREF _Toc310875520 \h </w:instrText>
        </w:r>
        <w:r w:rsidR="00C0292F">
          <w:rPr>
            <w:noProof/>
            <w:webHidden/>
          </w:rPr>
        </w:r>
        <w:r w:rsidR="00C0292F">
          <w:rPr>
            <w:noProof/>
            <w:webHidden/>
          </w:rPr>
          <w:fldChar w:fldCharType="separate"/>
        </w:r>
        <w:r w:rsidR="00C0292F">
          <w:rPr>
            <w:noProof/>
            <w:webHidden/>
          </w:rPr>
          <w:t>89</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21" w:history="1">
        <w:r w:rsidR="00C0292F" w:rsidRPr="003E64CF">
          <w:rPr>
            <w:rStyle w:val="Hyperlink"/>
            <w:noProof/>
          </w:rPr>
          <w:t>Table 2</w:t>
        </w:r>
        <w:r w:rsidR="00C0292F" w:rsidRPr="003E64CF">
          <w:rPr>
            <w:rStyle w:val="Hyperlink"/>
            <w:noProof/>
          </w:rPr>
          <w:noBreakHyphen/>
          <w:t>35: Refrigerator/Freezer Recycling and Replacement Default Savings</w:t>
        </w:r>
        <w:r w:rsidR="00C0292F">
          <w:rPr>
            <w:noProof/>
            <w:webHidden/>
          </w:rPr>
          <w:tab/>
        </w:r>
        <w:r w:rsidR="00C0292F">
          <w:rPr>
            <w:noProof/>
            <w:webHidden/>
          </w:rPr>
          <w:fldChar w:fldCharType="begin"/>
        </w:r>
        <w:r w:rsidR="00C0292F">
          <w:rPr>
            <w:noProof/>
            <w:webHidden/>
          </w:rPr>
          <w:instrText xml:space="preserve"> PAGEREF _Toc310875521 \h </w:instrText>
        </w:r>
        <w:r w:rsidR="00C0292F">
          <w:rPr>
            <w:noProof/>
            <w:webHidden/>
          </w:rPr>
        </w:r>
        <w:r w:rsidR="00C0292F">
          <w:rPr>
            <w:noProof/>
            <w:webHidden/>
          </w:rPr>
          <w:fldChar w:fldCharType="separate"/>
        </w:r>
        <w:r w:rsidR="00C0292F">
          <w:rPr>
            <w:noProof/>
            <w:webHidden/>
          </w:rPr>
          <w:t>91</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22" w:history="1">
        <w:r w:rsidR="00C0292F" w:rsidRPr="003E64CF">
          <w:rPr>
            <w:rStyle w:val="Hyperlink"/>
            <w:noProof/>
          </w:rPr>
          <w:t>Table 2</w:t>
        </w:r>
        <w:r w:rsidR="00C0292F" w:rsidRPr="003E64CF">
          <w:rPr>
            <w:rStyle w:val="Hyperlink"/>
            <w:noProof/>
          </w:rPr>
          <w:noBreakHyphen/>
          <w:t>36: Refrigerator/Freezer Retirement Energy and Demand Savings</w:t>
        </w:r>
        <w:r w:rsidR="00C0292F">
          <w:rPr>
            <w:noProof/>
            <w:webHidden/>
          </w:rPr>
          <w:tab/>
        </w:r>
        <w:r w:rsidR="00C0292F">
          <w:rPr>
            <w:noProof/>
            <w:webHidden/>
          </w:rPr>
          <w:fldChar w:fldCharType="begin"/>
        </w:r>
        <w:r w:rsidR="00C0292F">
          <w:rPr>
            <w:noProof/>
            <w:webHidden/>
          </w:rPr>
          <w:instrText xml:space="preserve"> PAGEREF _Toc310875522 \h </w:instrText>
        </w:r>
        <w:r w:rsidR="00C0292F">
          <w:rPr>
            <w:noProof/>
            <w:webHidden/>
          </w:rPr>
        </w:r>
        <w:r w:rsidR="00C0292F">
          <w:rPr>
            <w:noProof/>
            <w:webHidden/>
          </w:rPr>
          <w:fldChar w:fldCharType="separate"/>
        </w:r>
        <w:r w:rsidR="00C0292F">
          <w:rPr>
            <w:noProof/>
            <w:webHidden/>
          </w:rPr>
          <w:t>94</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23" w:history="1">
        <w:r w:rsidR="00C0292F" w:rsidRPr="003E64CF">
          <w:rPr>
            <w:rStyle w:val="Hyperlink"/>
            <w:noProof/>
          </w:rPr>
          <w:t>Table 2</w:t>
        </w:r>
        <w:r w:rsidR="00C0292F" w:rsidRPr="003E64CF">
          <w:rPr>
            <w:rStyle w:val="Hyperlink"/>
            <w:noProof/>
          </w:rPr>
          <w:noBreakHyphen/>
          <w:t>37: Residential New Construction – References</w:t>
        </w:r>
        <w:r w:rsidR="00C0292F">
          <w:rPr>
            <w:noProof/>
            <w:webHidden/>
          </w:rPr>
          <w:tab/>
        </w:r>
        <w:r w:rsidR="00C0292F">
          <w:rPr>
            <w:noProof/>
            <w:webHidden/>
          </w:rPr>
          <w:fldChar w:fldCharType="begin"/>
        </w:r>
        <w:r w:rsidR="00C0292F">
          <w:rPr>
            <w:noProof/>
            <w:webHidden/>
          </w:rPr>
          <w:instrText xml:space="preserve"> PAGEREF _Toc310875523 \h </w:instrText>
        </w:r>
        <w:r w:rsidR="00C0292F">
          <w:rPr>
            <w:noProof/>
            <w:webHidden/>
          </w:rPr>
        </w:r>
        <w:r w:rsidR="00C0292F">
          <w:rPr>
            <w:noProof/>
            <w:webHidden/>
          </w:rPr>
          <w:fldChar w:fldCharType="separate"/>
        </w:r>
        <w:r w:rsidR="00C0292F">
          <w:rPr>
            <w:noProof/>
            <w:webHidden/>
          </w:rPr>
          <w:t>96</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24" w:history="1">
        <w:r w:rsidR="00C0292F" w:rsidRPr="003E64CF">
          <w:rPr>
            <w:rStyle w:val="Hyperlink"/>
            <w:noProof/>
          </w:rPr>
          <w:t>Table 2</w:t>
        </w:r>
        <w:r w:rsidR="00C0292F" w:rsidRPr="003E64CF">
          <w:rPr>
            <w:rStyle w:val="Hyperlink"/>
            <w:noProof/>
          </w:rPr>
          <w:noBreakHyphen/>
          <w:t>38: Baseline Insulation and Fenestration Requirements by Component (Equivalent U-Factors)</w:t>
        </w:r>
        <w:r w:rsidR="00C0292F">
          <w:rPr>
            <w:noProof/>
            <w:webHidden/>
          </w:rPr>
          <w:tab/>
        </w:r>
        <w:r w:rsidR="00C0292F">
          <w:rPr>
            <w:noProof/>
            <w:webHidden/>
          </w:rPr>
          <w:fldChar w:fldCharType="begin"/>
        </w:r>
        <w:r w:rsidR="00C0292F">
          <w:rPr>
            <w:noProof/>
            <w:webHidden/>
          </w:rPr>
          <w:instrText xml:space="preserve"> PAGEREF _Toc310875524 \h </w:instrText>
        </w:r>
        <w:r w:rsidR="00C0292F">
          <w:rPr>
            <w:noProof/>
            <w:webHidden/>
          </w:rPr>
        </w:r>
        <w:r w:rsidR="00C0292F">
          <w:rPr>
            <w:noProof/>
            <w:webHidden/>
          </w:rPr>
          <w:fldChar w:fldCharType="separate"/>
        </w:r>
        <w:r w:rsidR="00C0292F">
          <w:rPr>
            <w:noProof/>
            <w:webHidden/>
          </w:rPr>
          <w:t>97</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25" w:history="1">
        <w:r w:rsidR="00C0292F" w:rsidRPr="003E64CF">
          <w:rPr>
            <w:rStyle w:val="Hyperlink"/>
            <w:noProof/>
          </w:rPr>
          <w:t>Table 2</w:t>
        </w:r>
        <w:r w:rsidR="00C0292F" w:rsidRPr="003E64CF">
          <w:rPr>
            <w:rStyle w:val="Hyperlink"/>
            <w:noProof/>
          </w:rPr>
          <w:noBreakHyphen/>
          <w:t>39: Energy Star Homes - User Defined Reference Home</w:t>
        </w:r>
        <w:r w:rsidR="00C0292F">
          <w:rPr>
            <w:noProof/>
            <w:webHidden/>
          </w:rPr>
          <w:tab/>
        </w:r>
        <w:r w:rsidR="00C0292F">
          <w:rPr>
            <w:noProof/>
            <w:webHidden/>
          </w:rPr>
          <w:fldChar w:fldCharType="begin"/>
        </w:r>
        <w:r w:rsidR="00C0292F">
          <w:rPr>
            <w:noProof/>
            <w:webHidden/>
          </w:rPr>
          <w:instrText xml:space="preserve"> PAGEREF _Toc310875525 \h </w:instrText>
        </w:r>
        <w:r w:rsidR="00C0292F">
          <w:rPr>
            <w:noProof/>
            <w:webHidden/>
          </w:rPr>
        </w:r>
        <w:r w:rsidR="00C0292F">
          <w:rPr>
            <w:noProof/>
            <w:webHidden/>
          </w:rPr>
          <w:fldChar w:fldCharType="separate"/>
        </w:r>
        <w:r w:rsidR="00C0292F">
          <w:rPr>
            <w:noProof/>
            <w:webHidden/>
          </w:rPr>
          <w:t>97</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26" w:history="1">
        <w:r w:rsidR="00C0292F" w:rsidRPr="003E64CF">
          <w:rPr>
            <w:rStyle w:val="Hyperlink"/>
            <w:noProof/>
          </w:rPr>
          <w:t>Table 2</w:t>
        </w:r>
        <w:r w:rsidR="00C0292F" w:rsidRPr="003E64CF">
          <w:rPr>
            <w:rStyle w:val="Hyperlink"/>
            <w:noProof/>
          </w:rPr>
          <w:noBreakHyphen/>
          <w:t>40: ENERGY STAR Appliances - References</w:t>
        </w:r>
        <w:r w:rsidR="00C0292F">
          <w:rPr>
            <w:noProof/>
            <w:webHidden/>
          </w:rPr>
          <w:tab/>
        </w:r>
        <w:r w:rsidR="00C0292F">
          <w:rPr>
            <w:noProof/>
            <w:webHidden/>
          </w:rPr>
          <w:fldChar w:fldCharType="begin"/>
        </w:r>
        <w:r w:rsidR="00C0292F">
          <w:rPr>
            <w:noProof/>
            <w:webHidden/>
          </w:rPr>
          <w:instrText xml:space="preserve"> PAGEREF _Toc310875526 \h </w:instrText>
        </w:r>
        <w:r w:rsidR="00C0292F">
          <w:rPr>
            <w:noProof/>
            <w:webHidden/>
          </w:rPr>
        </w:r>
        <w:r w:rsidR="00C0292F">
          <w:rPr>
            <w:noProof/>
            <w:webHidden/>
          </w:rPr>
          <w:fldChar w:fldCharType="separate"/>
        </w:r>
        <w:r w:rsidR="00C0292F">
          <w:rPr>
            <w:noProof/>
            <w:webHidden/>
          </w:rPr>
          <w:t>101</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27" w:history="1">
        <w:r w:rsidR="00C0292F" w:rsidRPr="003E64CF">
          <w:rPr>
            <w:rStyle w:val="Hyperlink"/>
            <w:noProof/>
          </w:rPr>
          <w:t>Table 2</w:t>
        </w:r>
        <w:r w:rsidR="00C0292F" w:rsidRPr="003E64CF">
          <w:rPr>
            <w:rStyle w:val="Hyperlink"/>
            <w:noProof/>
          </w:rPr>
          <w:noBreakHyphen/>
          <w:t>41: Energy Savings from ENERGY STAR</w:t>
        </w:r>
        <w:r w:rsidR="00C0292F">
          <w:rPr>
            <w:noProof/>
            <w:webHidden/>
          </w:rPr>
          <w:tab/>
        </w:r>
        <w:r w:rsidR="00C0292F">
          <w:rPr>
            <w:noProof/>
            <w:webHidden/>
          </w:rPr>
          <w:fldChar w:fldCharType="begin"/>
        </w:r>
        <w:r w:rsidR="00C0292F">
          <w:rPr>
            <w:noProof/>
            <w:webHidden/>
          </w:rPr>
          <w:instrText xml:space="preserve"> PAGEREF _Toc310875527 \h </w:instrText>
        </w:r>
        <w:r w:rsidR="00C0292F">
          <w:rPr>
            <w:noProof/>
            <w:webHidden/>
          </w:rPr>
        </w:r>
        <w:r w:rsidR="00C0292F">
          <w:rPr>
            <w:noProof/>
            <w:webHidden/>
          </w:rPr>
          <w:fldChar w:fldCharType="separate"/>
        </w:r>
        <w:r w:rsidR="00C0292F">
          <w:rPr>
            <w:noProof/>
            <w:webHidden/>
          </w:rPr>
          <w:t>102</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28" w:history="1">
        <w:r w:rsidR="00C0292F" w:rsidRPr="003E64CF">
          <w:rPr>
            <w:rStyle w:val="Hyperlink"/>
            <w:noProof/>
          </w:rPr>
          <w:t>Table 2</w:t>
        </w:r>
        <w:r w:rsidR="00C0292F" w:rsidRPr="003E64CF">
          <w:rPr>
            <w:rStyle w:val="Hyperlink"/>
            <w:noProof/>
          </w:rPr>
          <w:noBreakHyphen/>
          <w:t>42: ENERGY STAR Lighting - References</w:t>
        </w:r>
        <w:r w:rsidR="00C0292F">
          <w:rPr>
            <w:noProof/>
            <w:webHidden/>
          </w:rPr>
          <w:tab/>
        </w:r>
        <w:r w:rsidR="00C0292F">
          <w:rPr>
            <w:noProof/>
            <w:webHidden/>
          </w:rPr>
          <w:fldChar w:fldCharType="begin"/>
        </w:r>
        <w:r w:rsidR="00C0292F">
          <w:rPr>
            <w:noProof/>
            <w:webHidden/>
          </w:rPr>
          <w:instrText xml:space="preserve"> PAGEREF _Toc310875528 \h </w:instrText>
        </w:r>
        <w:r w:rsidR="00C0292F">
          <w:rPr>
            <w:noProof/>
            <w:webHidden/>
          </w:rPr>
        </w:r>
        <w:r w:rsidR="00C0292F">
          <w:rPr>
            <w:noProof/>
            <w:webHidden/>
          </w:rPr>
          <w:fldChar w:fldCharType="separate"/>
        </w:r>
        <w:r w:rsidR="00C0292F">
          <w:rPr>
            <w:noProof/>
            <w:webHidden/>
          </w:rPr>
          <w:t>107</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29" w:history="1">
        <w:r w:rsidR="00C0292F" w:rsidRPr="003E64CF">
          <w:rPr>
            <w:rStyle w:val="Hyperlink"/>
            <w:noProof/>
          </w:rPr>
          <w:t>Table 2</w:t>
        </w:r>
        <w:r w:rsidR="00C0292F" w:rsidRPr="003E64CF">
          <w:rPr>
            <w:rStyle w:val="Hyperlink"/>
            <w:noProof/>
          </w:rPr>
          <w:noBreakHyphen/>
          <w:t>43. Baseline Wattage by Lumen Output of CFL</w:t>
        </w:r>
        <w:r w:rsidR="00C0292F">
          <w:rPr>
            <w:noProof/>
            <w:webHidden/>
          </w:rPr>
          <w:tab/>
        </w:r>
        <w:r w:rsidR="00C0292F">
          <w:rPr>
            <w:noProof/>
            <w:webHidden/>
          </w:rPr>
          <w:fldChar w:fldCharType="begin"/>
        </w:r>
        <w:r w:rsidR="00C0292F">
          <w:rPr>
            <w:noProof/>
            <w:webHidden/>
          </w:rPr>
          <w:instrText xml:space="preserve"> PAGEREF _Toc310875529 \h </w:instrText>
        </w:r>
        <w:r w:rsidR="00C0292F">
          <w:rPr>
            <w:noProof/>
            <w:webHidden/>
          </w:rPr>
        </w:r>
        <w:r w:rsidR="00C0292F">
          <w:rPr>
            <w:noProof/>
            <w:webHidden/>
          </w:rPr>
          <w:fldChar w:fldCharType="separate"/>
        </w:r>
        <w:r w:rsidR="00C0292F">
          <w:rPr>
            <w:noProof/>
            <w:webHidden/>
          </w:rPr>
          <w:t>108</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30" w:history="1">
        <w:r w:rsidR="00C0292F" w:rsidRPr="003E64CF">
          <w:rPr>
            <w:rStyle w:val="Hyperlink"/>
            <w:noProof/>
          </w:rPr>
          <w:t>Table 2</w:t>
        </w:r>
        <w:r w:rsidR="00C0292F" w:rsidRPr="003E64CF">
          <w:rPr>
            <w:rStyle w:val="Hyperlink"/>
            <w:noProof/>
          </w:rPr>
          <w:noBreakHyphen/>
          <w:t>44: ENERGY STAR Windows - References</w:t>
        </w:r>
        <w:r w:rsidR="00C0292F">
          <w:rPr>
            <w:noProof/>
            <w:webHidden/>
          </w:rPr>
          <w:tab/>
        </w:r>
        <w:r w:rsidR="00C0292F">
          <w:rPr>
            <w:noProof/>
            <w:webHidden/>
          </w:rPr>
          <w:fldChar w:fldCharType="begin"/>
        </w:r>
        <w:r w:rsidR="00C0292F">
          <w:rPr>
            <w:noProof/>
            <w:webHidden/>
          </w:rPr>
          <w:instrText xml:space="preserve"> PAGEREF _Toc310875530 \h </w:instrText>
        </w:r>
        <w:r w:rsidR="00C0292F">
          <w:rPr>
            <w:noProof/>
            <w:webHidden/>
          </w:rPr>
        </w:r>
        <w:r w:rsidR="00C0292F">
          <w:rPr>
            <w:noProof/>
            <w:webHidden/>
          </w:rPr>
          <w:fldChar w:fldCharType="separate"/>
        </w:r>
        <w:r w:rsidR="00C0292F">
          <w:rPr>
            <w:noProof/>
            <w:webHidden/>
          </w:rPr>
          <w:t>110</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31" w:history="1">
        <w:r w:rsidR="00C0292F" w:rsidRPr="003E64CF">
          <w:rPr>
            <w:rStyle w:val="Hyperlink"/>
            <w:noProof/>
          </w:rPr>
          <w:t>Table 2</w:t>
        </w:r>
        <w:r w:rsidR="00C0292F" w:rsidRPr="003E64CF">
          <w:rPr>
            <w:rStyle w:val="Hyperlink"/>
            <w:noProof/>
          </w:rPr>
          <w:noBreakHyphen/>
          <w:t>45: ENERGY STAR TVs - References</w:t>
        </w:r>
        <w:r w:rsidR="00C0292F">
          <w:rPr>
            <w:noProof/>
            <w:webHidden/>
          </w:rPr>
          <w:tab/>
        </w:r>
        <w:r w:rsidR="00C0292F">
          <w:rPr>
            <w:noProof/>
            <w:webHidden/>
          </w:rPr>
          <w:fldChar w:fldCharType="begin"/>
        </w:r>
        <w:r w:rsidR="00C0292F">
          <w:rPr>
            <w:noProof/>
            <w:webHidden/>
          </w:rPr>
          <w:instrText xml:space="preserve"> PAGEREF _Toc310875531 \h </w:instrText>
        </w:r>
        <w:r w:rsidR="00C0292F">
          <w:rPr>
            <w:noProof/>
            <w:webHidden/>
          </w:rPr>
        </w:r>
        <w:r w:rsidR="00C0292F">
          <w:rPr>
            <w:noProof/>
            <w:webHidden/>
          </w:rPr>
          <w:fldChar w:fldCharType="separate"/>
        </w:r>
        <w:r w:rsidR="00C0292F">
          <w:rPr>
            <w:noProof/>
            <w:webHidden/>
          </w:rPr>
          <w:t>116</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32" w:history="1">
        <w:r w:rsidR="00C0292F" w:rsidRPr="003E64CF">
          <w:rPr>
            <w:rStyle w:val="Hyperlink"/>
            <w:noProof/>
          </w:rPr>
          <w:t>Table 2</w:t>
        </w:r>
        <w:r w:rsidR="00C0292F" w:rsidRPr="003E64CF">
          <w:rPr>
            <w:rStyle w:val="Hyperlink"/>
            <w:noProof/>
          </w:rPr>
          <w:noBreakHyphen/>
          <w:t>46: ENERGY STAR TVs Version 4.1 and 5.1 maximum power consumption</w:t>
        </w:r>
        <w:r w:rsidR="00C0292F">
          <w:rPr>
            <w:noProof/>
            <w:webHidden/>
          </w:rPr>
          <w:tab/>
        </w:r>
        <w:r w:rsidR="00C0292F">
          <w:rPr>
            <w:noProof/>
            <w:webHidden/>
          </w:rPr>
          <w:fldChar w:fldCharType="begin"/>
        </w:r>
        <w:r w:rsidR="00C0292F">
          <w:rPr>
            <w:noProof/>
            <w:webHidden/>
          </w:rPr>
          <w:instrText xml:space="preserve"> PAGEREF _Toc310875532 \h </w:instrText>
        </w:r>
        <w:r w:rsidR="00C0292F">
          <w:rPr>
            <w:noProof/>
            <w:webHidden/>
          </w:rPr>
        </w:r>
        <w:r w:rsidR="00C0292F">
          <w:rPr>
            <w:noProof/>
            <w:webHidden/>
          </w:rPr>
          <w:fldChar w:fldCharType="separate"/>
        </w:r>
        <w:r w:rsidR="00C0292F">
          <w:rPr>
            <w:noProof/>
            <w:webHidden/>
          </w:rPr>
          <w:t>117</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33" w:history="1">
        <w:r w:rsidR="00C0292F" w:rsidRPr="003E64CF">
          <w:rPr>
            <w:rStyle w:val="Hyperlink"/>
            <w:noProof/>
          </w:rPr>
          <w:t>Table 2</w:t>
        </w:r>
        <w:r w:rsidR="00C0292F" w:rsidRPr="003E64CF">
          <w:rPr>
            <w:rStyle w:val="Hyperlink"/>
            <w:noProof/>
          </w:rPr>
          <w:noBreakHyphen/>
          <w:t>47: TV power consumption</w:t>
        </w:r>
        <w:r w:rsidR="00C0292F">
          <w:rPr>
            <w:noProof/>
            <w:webHidden/>
          </w:rPr>
          <w:tab/>
        </w:r>
        <w:r w:rsidR="00C0292F">
          <w:rPr>
            <w:noProof/>
            <w:webHidden/>
          </w:rPr>
          <w:fldChar w:fldCharType="begin"/>
        </w:r>
        <w:r w:rsidR="00C0292F">
          <w:rPr>
            <w:noProof/>
            <w:webHidden/>
          </w:rPr>
          <w:instrText xml:space="preserve"> PAGEREF _Toc310875533 \h </w:instrText>
        </w:r>
        <w:r w:rsidR="00C0292F">
          <w:rPr>
            <w:noProof/>
            <w:webHidden/>
          </w:rPr>
        </w:r>
        <w:r w:rsidR="00C0292F">
          <w:rPr>
            <w:noProof/>
            <w:webHidden/>
          </w:rPr>
          <w:fldChar w:fldCharType="separate"/>
        </w:r>
        <w:r w:rsidR="00C0292F">
          <w:rPr>
            <w:noProof/>
            <w:webHidden/>
          </w:rPr>
          <w:t>118</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34" w:history="1">
        <w:r w:rsidR="00C0292F" w:rsidRPr="003E64CF">
          <w:rPr>
            <w:rStyle w:val="Hyperlink"/>
            <w:noProof/>
          </w:rPr>
          <w:t>Table 2</w:t>
        </w:r>
        <w:r w:rsidR="00C0292F" w:rsidRPr="003E64CF">
          <w:rPr>
            <w:rStyle w:val="Hyperlink"/>
            <w:noProof/>
          </w:rPr>
          <w:noBreakHyphen/>
          <w:t>48: Deemed energy savings for ENERGY STAR Version 4.1 and 5.1 TVs.</w:t>
        </w:r>
        <w:r w:rsidR="00C0292F">
          <w:rPr>
            <w:noProof/>
            <w:webHidden/>
          </w:rPr>
          <w:tab/>
        </w:r>
        <w:r w:rsidR="00C0292F">
          <w:rPr>
            <w:noProof/>
            <w:webHidden/>
          </w:rPr>
          <w:fldChar w:fldCharType="begin"/>
        </w:r>
        <w:r w:rsidR="00C0292F">
          <w:rPr>
            <w:noProof/>
            <w:webHidden/>
          </w:rPr>
          <w:instrText xml:space="preserve"> PAGEREF _Toc310875534 \h </w:instrText>
        </w:r>
        <w:r w:rsidR="00C0292F">
          <w:rPr>
            <w:noProof/>
            <w:webHidden/>
          </w:rPr>
        </w:r>
        <w:r w:rsidR="00C0292F">
          <w:rPr>
            <w:noProof/>
            <w:webHidden/>
          </w:rPr>
          <w:fldChar w:fldCharType="separate"/>
        </w:r>
        <w:r w:rsidR="00C0292F">
          <w:rPr>
            <w:noProof/>
            <w:webHidden/>
          </w:rPr>
          <w:t>118</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35" w:history="1">
        <w:r w:rsidR="00C0292F" w:rsidRPr="003E64CF">
          <w:rPr>
            <w:rStyle w:val="Hyperlink"/>
            <w:noProof/>
          </w:rPr>
          <w:t>Table 2</w:t>
        </w:r>
        <w:r w:rsidR="00C0292F" w:rsidRPr="003E64CF">
          <w:rPr>
            <w:rStyle w:val="Hyperlink"/>
            <w:noProof/>
          </w:rPr>
          <w:noBreakHyphen/>
          <w:t>49: Deemed coincident demand savings for ENERGY STAR Version 4.1 and 5.1 TVs.</w:t>
        </w:r>
        <w:r w:rsidR="00C0292F">
          <w:rPr>
            <w:noProof/>
            <w:webHidden/>
          </w:rPr>
          <w:tab/>
        </w:r>
        <w:r w:rsidR="00C0292F">
          <w:rPr>
            <w:noProof/>
            <w:webHidden/>
          </w:rPr>
          <w:fldChar w:fldCharType="begin"/>
        </w:r>
        <w:r w:rsidR="00C0292F">
          <w:rPr>
            <w:noProof/>
            <w:webHidden/>
          </w:rPr>
          <w:instrText xml:space="preserve"> PAGEREF _Toc310875535 \h </w:instrText>
        </w:r>
        <w:r w:rsidR="00C0292F">
          <w:rPr>
            <w:noProof/>
            <w:webHidden/>
          </w:rPr>
        </w:r>
        <w:r w:rsidR="00C0292F">
          <w:rPr>
            <w:noProof/>
            <w:webHidden/>
          </w:rPr>
          <w:fldChar w:fldCharType="separate"/>
        </w:r>
        <w:r w:rsidR="00C0292F">
          <w:rPr>
            <w:noProof/>
            <w:webHidden/>
          </w:rPr>
          <w:t>119</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36" w:history="1">
        <w:r w:rsidR="00C0292F" w:rsidRPr="003E64CF">
          <w:rPr>
            <w:rStyle w:val="Hyperlink"/>
            <w:noProof/>
          </w:rPr>
          <w:t>Table 2</w:t>
        </w:r>
        <w:r w:rsidR="00C0292F" w:rsidRPr="003E64CF">
          <w:rPr>
            <w:rStyle w:val="Hyperlink"/>
            <w:noProof/>
          </w:rPr>
          <w:noBreakHyphen/>
          <w:t>50: ENERGY STAR Office Equipment - References</w:t>
        </w:r>
        <w:r w:rsidR="00C0292F">
          <w:rPr>
            <w:noProof/>
            <w:webHidden/>
          </w:rPr>
          <w:tab/>
        </w:r>
        <w:r w:rsidR="00C0292F">
          <w:rPr>
            <w:noProof/>
            <w:webHidden/>
          </w:rPr>
          <w:fldChar w:fldCharType="begin"/>
        </w:r>
        <w:r w:rsidR="00C0292F">
          <w:rPr>
            <w:noProof/>
            <w:webHidden/>
          </w:rPr>
          <w:instrText xml:space="preserve"> PAGEREF _Toc310875536 \h </w:instrText>
        </w:r>
        <w:r w:rsidR="00C0292F">
          <w:rPr>
            <w:noProof/>
            <w:webHidden/>
          </w:rPr>
        </w:r>
        <w:r w:rsidR="00C0292F">
          <w:rPr>
            <w:noProof/>
            <w:webHidden/>
          </w:rPr>
          <w:fldChar w:fldCharType="separate"/>
        </w:r>
        <w:r w:rsidR="00C0292F">
          <w:rPr>
            <w:noProof/>
            <w:webHidden/>
          </w:rPr>
          <w:t>122</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37" w:history="1">
        <w:r w:rsidR="00C0292F" w:rsidRPr="003E64CF">
          <w:rPr>
            <w:rStyle w:val="Hyperlink"/>
            <w:noProof/>
          </w:rPr>
          <w:t>Table 2</w:t>
        </w:r>
        <w:r w:rsidR="00C0292F" w:rsidRPr="003E64CF">
          <w:rPr>
            <w:rStyle w:val="Hyperlink"/>
            <w:noProof/>
          </w:rPr>
          <w:noBreakHyphen/>
          <w:t>51: ENERGY STAR Office Equipment Energy and Demand Savings Values</w:t>
        </w:r>
        <w:r w:rsidR="00C0292F">
          <w:rPr>
            <w:noProof/>
            <w:webHidden/>
          </w:rPr>
          <w:tab/>
        </w:r>
        <w:r w:rsidR="00C0292F">
          <w:rPr>
            <w:noProof/>
            <w:webHidden/>
          </w:rPr>
          <w:fldChar w:fldCharType="begin"/>
        </w:r>
        <w:r w:rsidR="00C0292F">
          <w:rPr>
            <w:noProof/>
            <w:webHidden/>
          </w:rPr>
          <w:instrText xml:space="preserve"> PAGEREF _Toc310875537 \h </w:instrText>
        </w:r>
        <w:r w:rsidR="00C0292F">
          <w:rPr>
            <w:noProof/>
            <w:webHidden/>
          </w:rPr>
        </w:r>
        <w:r w:rsidR="00C0292F">
          <w:rPr>
            <w:noProof/>
            <w:webHidden/>
          </w:rPr>
          <w:fldChar w:fldCharType="separate"/>
        </w:r>
        <w:r w:rsidR="00C0292F">
          <w:rPr>
            <w:noProof/>
            <w:webHidden/>
          </w:rPr>
          <w:t>123</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38" w:history="1">
        <w:r w:rsidR="00C0292F" w:rsidRPr="003E64CF">
          <w:rPr>
            <w:rStyle w:val="Hyperlink"/>
            <w:noProof/>
          </w:rPr>
          <w:t>Table 2</w:t>
        </w:r>
        <w:r w:rsidR="00C0292F" w:rsidRPr="003E64CF">
          <w:rPr>
            <w:rStyle w:val="Hyperlink"/>
            <w:noProof/>
          </w:rPr>
          <w:noBreakHyphen/>
          <w:t>52. General Service Lamps</w:t>
        </w:r>
        <w:r w:rsidR="00C0292F">
          <w:rPr>
            <w:noProof/>
            <w:webHidden/>
          </w:rPr>
          <w:tab/>
        </w:r>
        <w:r w:rsidR="00C0292F">
          <w:rPr>
            <w:noProof/>
            <w:webHidden/>
          </w:rPr>
          <w:fldChar w:fldCharType="begin"/>
        </w:r>
        <w:r w:rsidR="00C0292F">
          <w:rPr>
            <w:noProof/>
            <w:webHidden/>
          </w:rPr>
          <w:instrText xml:space="preserve"> PAGEREF _Toc310875538 \h </w:instrText>
        </w:r>
        <w:r w:rsidR="00C0292F">
          <w:rPr>
            <w:noProof/>
            <w:webHidden/>
          </w:rPr>
        </w:r>
        <w:r w:rsidR="00C0292F">
          <w:rPr>
            <w:noProof/>
            <w:webHidden/>
          </w:rPr>
          <w:fldChar w:fldCharType="separate"/>
        </w:r>
        <w:r w:rsidR="00C0292F">
          <w:rPr>
            <w:noProof/>
            <w:webHidden/>
          </w:rPr>
          <w:t>125</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39" w:history="1">
        <w:r w:rsidR="00C0292F" w:rsidRPr="003E64CF">
          <w:rPr>
            <w:rStyle w:val="Hyperlink"/>
            <w:noProof/>
          </w:rPr>
          <w:t>Table 2</w:t>
        </w:r>
        <w:r w:rsidR="00C0292F" w:rsidRPr="003E64CF">
          <w:rPr>
            <w:rStyle w:val="Hyperlink"/>
            <w:noProof/>
          </w:rPr>
          <w:noBreakHyphen/>
          <w:t>53: Reflector Lamps</w:t>
        </w:r>
        <w:r w:rsidR="00C0292F">
          <w:rPr>
            <w:noProof/>
            <w:webHidden/>
          </w:rPr>
          <w:tab/>
        </w:r>
        <w:r w:rsidR="00C0292F">
          <w:rPr>
            <w:noProof/>
            <w:webHidden/>
          </w:rPr>
          <w:fldChar w:fldCharType="begin"/>
        </w:r>
        <w:r w:rsidR="00C0292F">
          <w:rPr>
            <w:noProof/>
            <w:webHidden/>
          </w:rPr>
          <w:instrText xml:space="preserve"> PAGEREF _Toc310875539 \h </w:instrText>
        </w:r>
        <w:r w:rsidR="00C0292F">
          <w:rPr>
            <w:noProof/>
            <w:webHidden/>
          </w:rPr>
        </w:r>
        <w:r w:rsidR="00C0292F">
          <w:rPr>
            <w:noProof/>
            <w:webHidden/>
          </w:rPr>
          <w:fldChar w:fldCharType="separate"/>
        </w:r>
        <w:r w:rsidR="00C0292F">
          <w:rPr>
            <w:noProof/>
            <w:webHidden/>
          </w:rPr>
          <w:t>126</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40" w:history="1">
        <w:r w:rsidR="00C0292F" w:rsidRPr="003E64CF">
          <w:rPr>
            <w:rStyle w:val="Hyperlink"/>
            <w:noProof/>
          </w:rPr>
          <w:t>Table 2</w:t>
        </w:r>
        <w:r w:rsidR="00C0292F" w:rsidRPr="003E64CF">
          <w:rPr>
            <w:rStyle w:val="Hyperlink"/>
            <w:noProof/>
          </w:rPr>
          <w:noBreakHyphen/>
          <w:t>54: Residential LED Variables</w:t>
        </w:r>
        <w:r w:rsidR="00C0292F">
          <w:rPr>
            <w:noProof/>
            <w:webHidden/>
          </w:rPr>
          <w:tab/>
        </w:r>
        <w:r w:rsidR="00C0292F">
          <w:rPr>
            <w:noProof/>
            <w:webHidden/>
          </w:rPr>
          <w:fldChar w:fldCharType="begin"/>
        </w:r>
        <w:r w:rsidR="00C0292F">
          <w:rPr>
            <w:noProof/>
            <w:webHidden/>
          </w:rPr>
          <w:instrText xml:space="preserve"> PAGEREF _Toc310875540 \h </w:instrText>
        </w:r>
        <w:r w:rsidR="00C0292F">
          <w:rPr>
            <w:noProof/>
            <w:webHidden/>
          </w:rPr>
        </w:r>
        <w:r w:rsidR="00C0292F">
          <w:rPr>
            <w:noProof/>
            <w:webHidden/>
          </w:rPr>
          <w:fldChar w:fldCharType="separate"/>
        </w:r>
        <w:r w:rsidR="00C0292F">
          <w:rPr>
            <w:noProof/>
            <w:webHidden/>
          </w:rPr>
          <w:t>128</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41" w:history="1">
        <w:r w:rsidR="00C0292F" w:rsidRPr="003E64CF">
          <w:rPr>
            <w:rStyle w:val="Hyperlink"/>
            <w:noProof/>
          </w:rPr>
          <w:t>Table 2</w:t>
        </w:r>
        <w:r w:rsidR="00C0292F" w:rsidRPr="003E64CF">
          <w:rPr>
            <w:rStyle w:val="Hyperlink"/>
            <w:noProof/>
          </w:rPr>
          <w:noBreakHyphen/>
          <w:t>55: Residential Occupancy Sensors Calculations Assumptions</w:t>
        </w:r>
        <w:r w:rsidR="00C0292F">
          <w:rPr>
            <w:noProof/>
            <w:webHidden/>
          </w:rPr>
          <w:tab/>
        </w:r>
        <w:r w:rsidR="00C0292F">
          <w:rPr>
            <w:noProof/>
            <w:webHidden/>
          </w:rPr>
          <w:fldChar w:fldCharType="begin"/>
        </w:r>
        <w:r w:rsidR="00C0292F">
          <w:rPr>
            <w:noProof/>
            <w:webHidden/>
          </w:rPr>
          <w:instrText xml:space="preserve"> PAGEREF _Toc310875541 \h </w:instrText>
        </w:r>
        <w:r w:rsidR="00C0292F">
          <w:rPr>
            <w:noProof/>
            <w:webHidden/>
          </w:rPr>
        </w:r>
        <w:r w:rsidR="00C0292F">
          <w:rPr>
            <w:noProof/>
            <w:webHidden/>
          </w:rPr>
          <w:fldChar w:fldCharType="separate"/>
        </w:r>
        <w:r w:rsidR="00C0292F">
          <w:rPr>
            <w:noProof/>
            <w:webHidden/>
          </w:rPr>
          <w:t>129</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42" w:history="1">
        <w:r w:rsidR="00C0292F" w:rsidRPr="003E64CF">
          <w:rPr>
            <w:rStyle w:val="Hyperlink"/>
            <w:noProof/>
          </w:rPr>
          <w:t>Table 2</w:t>
        </w:r>
        <w:r w:rsidR="00C0292F" w:rsidRPr="003E64CF">
          <w:rPr>
            <w:rStyle w:val="Hyperlink"/>
            <w:noProof/>
          </w:rPr>
          <w:noBreakHyphen/>
          <w:t>56: Holiday Lights Assumptions</w:t>
        </w:r>
        <w:r w:rsidR="00C0292F">
          <w:rPr>
            <w:noProof/>
            <w:webHidden/>
          </w:rPr>
          <w:tab/>
        </w:r>
        <w:r w:rsidR="00C0292F">
          <w:rPr>
            <w:noProof/>
            <w:webHidden/>
          </w:rPr>
          <w:fldChar w:fldCharType="begin"/>
        </w:r>
        <w:r w:rsidR="00C0292F">
          <w:rPr>
            <w:noProof/>
            <w:webHidden/>
          </w:rPr>
          <w:instrText xml:space="preserve"> PAGEREF _Toc310875542 \h </w:instrText>
        </w:r>
        <w:r w:rsidR="00C0292F">
          <w:rPr>
            <w:noProof/>
            <w:webHidden/>
          </w:rPr>
        </w:r>
        <w:r w:rsidR="00C0292F">
          <w:rPr>
            <w:noProof/>
            <w:webHidden/>
          </w:rPr>
          <w:fldChar w:fldCharType="separate"/>
        </w:r>
        <w:r w:rsidR="00C0292F">
          <w:rPr>
            <w:noProof/>
            <w:webHidden/>
          </w:rPr>
          <w:t>131</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43" w:history="1">
        <w:r w:rsidR="00C0292F" w:rsidRPr="003E64CF">
          <w:rPr>
            <w:rStyle w:val="Hyperlink"/>
            <w:noProof/>
          </w:rPr>
          <w:t>Table 2</w:t>
        </w:r>
        <w:r w:rsidR="00C0292F" w:rsidRPr="003E64CF">
          <w:rPr>
            <w:rStyle w:val="Hyperlink"/>
            <w:noProof/>
          </w:rPr>
          <w:noBreakHyphen/>
          <w:t>57: Low Income Lighting Calculations Assumptions</w:t>
        </w:r>
        <w:r w:rsidR="00C0292F">
          <w:rPr>
            <w:noProof/>
            <w:webHidden/>
          </w:rPr>
          <w:tab/>
        </w:r>
        <w:r w:rsidR="00C0292F">
          <w:rPr>
            <w:noProof/>
            <w:webHidden/>
          </w:rPr>
          <w:fldChar w:fldCharType="begin"/>
        </w:r>
        <w:r w:rsidR="00C0292F">
          <w:rPr>
            <w:noProof/>
            <w:webHidden/>
          </w:rPr>
          <w:instrText xml:space="preserve"> PAGEREF _Toc310875543 \h </w:instrText>
        </w:r>
        <w:r w:rsidR="00C0292F">
          <w:rPr>
            <w:noProof/>
            <w:webHidden/>
          </w:rPr>
        </w:r>
        <w:r w:rsidR="00C0292F">
          <w:rPr>
            <w:noProof/>
            <w:webHidden/>
          </w:rPr>
          <w:fldChar w:fldCharType="separate"/>
        </w:r>
        <w:r w:rsidR="00C0292F">
          <w:rPr>
            <w:noProof/>
            <w:webHidden/>
          </w:rPr>
          <w:t>134</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44" w:history="1">
        <w:r w:rsidR="00C0292F" w:rsidRPr="003E64CF">
          <w:rPr>
            <w:rStyle w:val="Hyperlink"/>
            <w:noProof/>
          </w:rPr>
          <w:t>Table 2</w:t>
        </w:r>
        <w:r w:rsidR="00C0292F" w:rsidRPr="003E64CF">
          <w:rPr>
            <w:rStyle w:val="Hyperlink"/>
            <w:noProof/>
          </w:rPr>
          <w:noBreakHyphen/>
          <w:t>58: Energy Savings and Demand Reductions</w:t>
        </w:r>
        <w:r w:rsidR="00C0292F">
          <w:rPr>
            <w:noProof/>
            <w:webHidden/>
          </w:rPr>
          <w:tab/>
        </w:r>
        <w:r w:rsidR="00C0292F">
          <w:rPr>
            <w:noProof/>
            <w:webHidden/>
          </w:rPr>
          <w:fldChar w:fldCharType="begin"/>
        </w:r>
        <w:r w:rsidR="00C0292F">
          <w:rPr>
            <w:noProof/>
            <w:webHidden/>
          </w:rPr>
          <w:instrText xml:space="preserve"> PAGEREF _Toc310875544 \h </w:instrText>
        </w:r>
        <w:r w:rsidR="00C0292F">
          <w:rPr>
            <w:noProof/>
            <w:webHidden/>
          </w:rPr>
        </w:r>
        <w:r w:rsidR="00C0292F">
          <w:rPr>
            <w:noProof/>
            <w:webHidden/>
          </w:rPr>
          <w:fldChar w:fldCharType="separate"/>
        </w:r>
        <w:r w:rsidR="00C0292F">
          <w:rPr>
            <w:noProof/>
            <w:webHidden/>
          </w:rPr>
          <w:t>135</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45" w:history="1">
        <w:r w:rsidR="00C0292F" w:rsidRPr="003E64CF">
          <w:rPr>
            <w:rStyle w:val="Hyperlink"/>
            <w:noProof/>
          </w:rPr>
          <w:t>Table 2</w:t>
        </w:r>
        <w:r w:rsidR="00C0292F" w:rsidRPr="003E64CF">
          <w:rPr>
            <w:rStyle w:val="Hyperlink"/>
            <w:noProof/>
          </w:rPr>
          <w:noBreakHyphen/>
          <w:t>59: Water Heater Tank Wrap – Default Values</w:t>
        </w:r>
        <w:r w:rsidR="00C0292F">
          <w:rPr>
            <w:noProof/>
            <w:webHidden/>
          </w:rPr>
          <w:tab/>
        </w:r>
        <w:r w:rsidR="00C0292F">
          <w:rPr>
            <w:noProof/>
            <w:webHidden/>
          </w:rPr>
          <w:fldChar w:fldCharType="begin"/>
        </w:r>
        <w:r w:rsidR="00C0292F">
          <w:rPr>
            <w:noProof/>
            <w:webHidden/>
          </w:rPr>
          <w:instrText xml:space="preserve"> PAGEREF _Toc310875545 \h </w:instrText>
        </w:r>
        <w:r w:rsidR="00C0292F">
          <w:rPr>
            <w:noProof/>
            <w:webHidden/>
          </w:rPr>
        </w:r>
        <w:r w:rsidR="00C0292F">
          <w:rPr>
            <w:noProof/>
            <w:webHidden/>
          </w:rPr>
          <w:fldChar w:fldCharType="separate"/>
        </w:r>
        <w:r w:rsidR="00C0292F">
          <w:rPr>
            <w:noProof/>
            <w:webHidden/>
          </w:rPr>
          <w:t>137</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46" w:history="1">
        <w:r w:rsidR="00C0292F" w:rsidRPr="003E64CF">
          <w:rPr>
            <w:rStyle w:val="Hyperlink"/>
            <w:noProof/>
          </w:rPr>
          <w:t>Table 2</w:t>
        </w:r>
        <w:r w:rsidR="00C0292F" w:rsidRPr="003E64CF">
          <w:rPr>
            <w:rStyle w:val="Hyperlink"/>
            <w:noProof/>
          </w:rPr>
          <w:noBreakHyphen/>
          <w:t>60: Deemed savings by water heater capacity.</w:t>
        </w:r>
        <w:r w:rsidR="00C0292F">
          <w:rPr>
            <w:noProof/>
            <w:webHidden/>
          </w:rPr>
          <w:tab/>
        </w:r>
        <w:r w:rsidR="00C0292F">
          <w:rPr>
            <w:noProof/>
            <w:webHidden/>
          </w:rPr>
          <w:fldChar w:fldCharType="begin"/>
        </w:r>
        <w:r w:rsidR="00C0292F">
          <w:rPr>
            <w:noProof/>
            <w:webHidden/>
          </w:rPr>
          <w:instrText xml:space="preserve"> PAGEREF _Toc310875546 \h </w:instrText>
        </w:r>
        <w:r w:rsidR="00C0292F">
          <w:rPr>
            <w:noProof/>
            <w:webHidden/>
          </w:rPr>
        </w:r>
        <w:r w:rsidR="00C0292F">
          <w:rPr>
            <w:noProof/>
            <w:webHidden/>
          </w:rPr>
          <w:fldChar w:fldCharType="separate"/>
        </w:r>
        <w:r w:rsidR="00C0292F">
          <w:rPr>
            <w:noProof/>
            <w:webHidden/>
          </w:rPr>
          <w:t>138</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47" w:history="1">
        <w:r w:rsidR="00C0292F" w:rsidRPr="003E64CF">
          <w:rPr>
            <w:rStyle w:val="Hyperlink"/>
            <w:noProof/>
          </w:rPr>
          <w:t>Table 2</w:t>
        </w:r>
        <w:r w:rsidR="00C0292F" w:rsidRPr="003E64CF">
          <w:rPr>
            <w:rStyle w:val="Hyperlink"/>
            <w:noProof/>
          </w:rPr>
          <w:noBreakHyphen/>
          <w:t>61: Pool Pump Load Shifting Assumptions</w:t>
        </w:r>
        <w:r w:rsidR="00C0292F">
          <w:rPr>
            <w:noProof/>
            <w:webHidden/>
          </w:rPr>
          <w:tab/>
        </w:r>
        <w:r w:rsidR="00C0292F">
          <w:rPr>
            <w:noProof/>
            <w:webHidden/>
          </w:rPr>
          <w:fldChar w:fldCharType="begin"/>
        </w:r>
        <w:r w:rsidR="00C0292F">
          <w:rPr>
            <w:noProof/>
            <w:webHidden/>
          </w:rPr>
          <w:instrText xml:space="preserve"> PAGEREF _Toc310875547 \h </w:instrText>
        </w:r>
        <w:r w:rsidR="00C0292F">
          <w:rPr>
            <w:noProof/>
            <w:webHidden/>
          </w:rPr>
        </w:r>
        <w:r w:rsidR="00C0292F">
          <w:rPr>
            <w:noProof/>
            <w:webHidden/>
          </w:rPr>
          <w:fldChar w:fldCharType="separate"/>
        </w:r>
        <w:r w:rsidR="00C0292F">
          <w:rPr>
            <w:noProof/>
            <w:webHidden/>
          </w:rPr>
          <w:t>140</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48" w:history="1">
        <w:r w:rsidR="00C0292F" w:rsidRPr="003E64CF">
          <w:rPr>
            <w:rStyle w:val="Hyperlink"/>
            <w:noProof/>
          </w:rPr>
          <w:t>Table 2</w:t>
        </w:r>
        <w:r w:rsidR="00C0292F" w:rsidRPr="003E64CF">
          <w:rPr>
            <w:rStyle w:val="Hyperlink"/>
            <w:noProof/>
          </w:rPr>
          <w:noBreakHyphen/>
          <w:t>62: Single Speed Pool Pump Specification</w:t>
        </w:r>
        <w:r w:rsidR="00C0292F">
          <w:rPr>
            <w:noProof/>
            <w:webHidden/>
          </w:rPr>
          <w:tab/>
        </w:r>
        <w:r w:rsidR="00C0292F">
          <w:rPr>
            <w:noProof/>
            <w:webHidden/>
          </w:rPr>
          <w:fldChar w:fldCharType="begin"/>
        </w:r>
        <w:r w:rsidR="00C0292F">
          <w:rPr>
            <w:noProof/>
            <w:webHidden/>
          </w:rPr>
          <w:instrText xml:space="preserve"> PAGEREF _Toc310875548 \h </w:instrText>
        </w:r>
        <w:r w:rsidR="00C0292F">
          <w:rPr>
            <w:noProof/>
            <w:webHidden/>
          </w:rPr>
        </w:r>
        <w:r w:rsidR="00C0292F">
          <w:rPr>
            <w:noProof/>
            <w:webHidden/>
          </w:rPr>
          <w:fldChar w:fldCharType="separate"/>
        </w:r>
        <w:r w:rsidR="00C0292F">
          <w:rPr>
            <w:noProof/>
            <w:webHidden/>
          </w:rPr>
          <w:t>141</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49" w:history="1">
        <w:r w:rsidR="00C0292F" w:rsidRPr="003E64CF">
          <w:rPr>
            <w:rStyle w:val="Hyperlink"/>
            <w:noProof/>
          </w:rPr>
          <w:t>Table 2</w:t>
        </w:r>
        <w:r w:rsidR="00C0292F" w:rsidRPr="003E64CF">
          <w:rPr>
            <w:rStyle w:val="Hyperlink"/>
            <w:noProof/>
          </w:rPr>
          <w:noBreakHyphen/>
          <w:t>63: High Efficiency Pool and Motor – Two Speed Pump Calculations Assumptions</w:t>
        </w:r>
        <w:r w:rsidR="00C0292F">
          <w:rPr>
            <w:noProof/>
            <w:webHidden/>
          </w:rPr>
          <w:tab/>
        </w:r>
        <w:r w:rsidR="00C0292F">
          <w:rPr>
            <w:noProof/>
            <w:webHidden/>
          </w:rPr>
          <w:fldChar w:fldCharType="begin"/>
        </w:r>
        <w:r w:rsidR="00C0292F">
          <w:rPr>
            <w:noProof/>
            <w:webHidden/>
          </w:rPr>
          <w:instrText xml:space="preserve"> PAGEREF _Toc310875549 \h </w:instrText>
        </w:r>
        <w:r w:rsidR="00C0292F">
          <w:rPr>
            <w:noProof/>
            <w:webHidden/>
          </w:rPr>
        </w:r>
        <w:r w:rsidR="00C0292F">
          <w:rPr>
            <w:noProof/>
            <w:webHidden/>
          </w:rPr>
          <w:fldChar w:fldCharType="separate"/>
        </w:r>
        <w:r w:rsidR="00C0292F">
          <w:rPr>
            <w:noProof/>
            <w:webHidden/>
          </w:rPr>
          <w:t>142</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50" w:history="1">
        <w:r w:rsidR="00C0292F" w:rsidRPr="003E64CF">
          <w:rPr>
            <w:rStyle w:val="Hyperlink"/>
            <w:noProof/>
          </w:rPr>
          <w:t>Table 2</w:t>
        </w:r>
        <w:r w:rsidR="00C0292F" w:rsidRPr="003E64CF">
          <w:rPr>
            <w:rStyle w:val="Hyperlink"/>
            <w:noProof/>
          </w:rPr>
          <w:noBreakHyphen/>
          <w:t>64: Two-Speed Pool Pump Deemed Savings Values</w:t>
        </w:r>
        <w:r w:rsidR="00C0292F">
          <w:rPr>
            <w:noProof/>
            <w:webHidden/>
          </w:rPr>
          <w:tab/>
        </w:r>
        <w:r w:rsidR="00C0292F">
          <w:rPr>
            <w:noProof/>
            <w:webHidden/>
          </w:rPr>
          <w:fldChar w:fldCharType="begin"/>
        </w:r>
        <w:r w:rsidR="00C0292F">
          <w:rPr>
            <w:noProof/>
            <w:webHidden/>
          </w:rPr>
          <w:instrText xml:space="preserve"> PAGEREF _Toc310875550 \h </w:instrText>
        </w:r>
        <w:r w:rsidR="00C0292F">
          <w:rPr>
            <w:noProof/>
            <w:webHidden/>
          </w:rPr>
        </w:r>
        <w:r w:rsidR="00C0292F">
          <w:rPr>
            <w:noProof/>
            <w:webHidden/>
          </w:rPr>
          <w:fldChar w:fldCharType="separate"/>
        </w:r>
        <w:r w:rsidR="00C0292F">
          <w:rPr>
            <w:noProof/>
            <w:webHidden/>
          </w:rPr>
          <w:t>143</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51" w:history="1">
        <w:r w:rsidR="00C0292F" w:rsidRPr="003E64CF">
          <w:rPr>
            <w:rStyle w:val="Hyperlink"/>
            <w:noProof/>
          </w:rPr>
          <w:t>Table 2</w:t>
        </w:r>
        <w:r w:rsidR="00C0292F" w:rsidRPr="003E64CF">
          <w:rPr>
            <w:rStyle w:val="Hyperlink"/>
            <w:noProof/>
          </w:rPr>
          <w:noBreakHyphen/>
          <w:t>65: Residential VFD Pool Pumps Calculations Assumptions</w:t>
        </w:r>
        <w:r w:rsidR="00C0292F">
          <w:rPr>
            <w:noProof/>
            <w:webHidden/>
          </w:rPr>
          <w:tab/>
        </w:r>
        <w:r w:rsidR="00C0292F">
          <w:rPr>
            <w:noProof/>
            <w:webHidden/>
          </w:rPr>
          <w:fldChar w:fldCharType="begin"/>
        </w:r>
        <w:r w:rsidR="00C0292F">
          <w:rPr>
            <w:noProof/>
            <w:webHidden/>
          </w:rPr>
          <w:instrText xml:space="preserve"> PAGEREF _Toc310875551 \h </w:instrText>
        </w:r>
        <w:r w:rsidR="00C0292F">
          <w:rPr>
            <w:noProof/>
            <w:webHidden/>
          </w:rPr>
        </w:r>
        <w:r w:rsidR="00C0292F">
          <w:rPr>
            <w:noProof/>
            <w:webHidden/>
          </w:rPr>
          <w:fldChar w:fldCharType="separate"/>
        </w:r>
        <w:r w:rsidR="00C0292F">
          <w:rPr>
            <w:noProof/>
            <w:webHidden/>
          </w:rPr>
          <w:t>145</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52" w:history="1">
        <w:r w:rsidR="00C0292F" w:rsidRPr="003E64CF">
          <w:rPr>
            <w:rStyle w:val="Hyperlink"/>
            <w:noProof/>
          </w:rPr>
          <w:t>Table 2</w:t>
        </w:r>
        <w:r w:rsidR="00C0292F" w:rsidRPr="003E64CF">
          <w:rPr>
            <w:rStyle w:val="Hyperlink"/>
            <w:noProof/>
          </w:rPr>
          <w:noBreakHyphen/>
          <w:t>66: Single Speed Pool Pump Specification</w:t>
        </w:r>
        <w:r w:rsidR="00C0292F">
          <w:rPr>
            <w:noProof/>
            <w:webHidden/>
          </w:rPr>
          <w:tab/>
        </w:r>
        <w:r w:rsidR="00C0292F">
          <w:rPr>
            <w:noProof/>
            <w:webHidden/>
          </w:rPr>
          <w:fldChar w:fldCharType="begin"/>
        </w:r>
        <w:r w:rsidR="00C0292F">
          <w:rPr>
            <w:noProof/>
            <w:webHidden/>
          </w:rPr>
          <w:instrText xml:space="preserve"> PAGEREF _Toc310875552 \h </w:instrText>
        </w:r>
        <w:r w:rsidR="00C0292F">
          <w:rPr>
            <w:noProof/>
            <w:webHidden/>
          </w:rPr>
        </w:r>
        <w:r w:rsidR="00C0292F">
          <w:rPr>
            <w:noProof/>
            <w:webHidden/>
          </w:rPr>
          <w:fldChar w:fldCharType="separate"/>
        </w:r>
        <w:r w:rsidR="00C0292F">
          <w:rPr>
            <w:noProof/>
            <w:webHidden/>
          </w:rPr>
          <w:t>146</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53" w:history="1">
        <w:r w:rsidR="00C0292F" w:rsidRPr="003E64CF">
          <w:rPr>
            <w:rStyle w:val="Hyperlink"/>
            <w:noProof/>
          </w:rPr>
          <w:t>Table 3</w:t>
        </w:r>
        <w:r w:rsidR="00C0292F" w:rsidRPr="003E64CF">
          <w:rPr>
            <w:rStyle w:val="Hyperlink"/>
            <w:noProof/>
          </w:rPr>
          <w:noBreakHyphen/>
          <w:t>1: Lighting Power Densities from ASHRAE 90.1-2007 Building Area Method</w:t>
        </w:r>
        <w:r w:rsidR="00C0292F">
          <w:rPr>
            <w:noProof/>
            <w:webHidden/>
          </w:rPr>
          <w:tab/>
        </w:r>
        <w:r w:rsidR="00C0292F">
          <w:rPr>
            <w:noProof/>
            <w:webHidden/>
          </w:rPr>
          <w:fldChar w:fldCharType="begin"/>
        </w:r>
        <w:r w:rsidR="00C0292F">
          <w:rPr>
            <w:noProof/>
            <w:webHidden/>
          </w:rPr>
          <w:instrText xml:space="preserve"> PAGEREF _Toc310875553 \h </w:instrText>
        </w:r>
        <w:r w:rsidR="00C0292F">
          <w:rPr>
            <w:noProof/>
            <w:webHidden/>
          </w:rPr>
        </w:r>
        <w:r w:rsidR="00C0292F">
          <w:rPr>
            <w:noProof/>
            <w:webHidden/>
          </w:rPr>
          <w:fldChar w:fldCharType="separate"/>
        </w:r>
        <w:r w:rsidR="00C0292F">
          <w:rPr>
            <w:noProof/>
            <w:webHidden/>
          </w:rPr>
          <w:t>154</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54" w:history="1">
        <w:r w:rsidR="00C0292F" w:rsidRPr="003E64CF">
          <w:rPr>
            <w:rStyle w:val="Hyperlink"/>
            <w:noProof/>
          </w:rPr>
          <w:t>Table 3</w:t>
        </w:r>
        <w:r w:rsidR="00C0292F" w:rsidRPr="003E64CF">
          <w:rPr>
            <w:rStyle w:val="Hyperlink"/>
            <w:noProof/>
          </w:rPr>
          <w:noBreakHyphen/>
          <w:t>2: Lighting Power Densities from ASHRAE 90.1-2007 Space-by-Space Method</w:t>
        </w:r>
        <w:r w:rsidR="00C0292F">
          <w:rPr>
            <w:noProof/>
            <w:webHidden/>
          </w:rPr>
          <w:tab/>
        </w:r>
        <w:r w:rsidR="00C0292F">
          <w:rPr>
            <w:noProof/>
            <w:webHidden/>
          </w:rPr>
          <w:fldChar w:fldCharType="begin"/>
        </w:r>
        <w:r w:rsidR="00C0292F">
          <w:rPr>
            <w:noProof/>
            <w:webHidden/>
          </w:rPr>
          <w:instrText xml:space="preserve"> PAGEREF _Toc310875554 \h </w:instrText>
        </w:r>
        <w:r w:rsidR="00C0292F">
          <w:rPr>
            <w:noProof/>
            <w:webHidden/>
          </w:rPr>
        </w:r>
        <w:r w:rsidR="00C0292F">
          <w:rPr>
            <w:noProof/>
            <w:webHidden/>
          </w:rPr>
          <w:fldChar w:fldCharType="separate"/>
        </w:r>
        <w:r w:rsidR="00C0292F">
          <w:rPr>
            <w:noProof/>
            <w:webHidden/>
          </w:rPr>
          <w:t>155</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55" w:history="1">
        <w:r w:rsidR="00C0292F" w:rsidRPr="003E64CF">
          <w:rPr>
            <w:rStyle w:val="Hyperlink"/>
            <w:noProof/>
          </w:rPr>
          <w:t>Table 3</w:t>
        </w:r>
        <w:r w:rsidR="00C0292F" w:rsidRPr="003E64CF">
          <w:rPr>
            <w:rStyle w:val="Hyperlink"/>
            <w:noProof/>
          </w:rPr>
          <w:noBreakHyphen/>
          <w:t>3: Baseline Exterior Lighting Power Densities</w:t>
        </w:r>
        <w:r w:rsidR="00C0292F">
          <w:rPr>
            <w:noProof/>
            <w:webHidden/>
          </w:rPr>
          <w:tab/>
        </w:r>
        <w:r w:rsidR="00C0292F">
          <w:rPr>
            <w:noProof/>
            <w:webHidden/>
          </w:rPr>
          <w:fldChar w:fldCharType="begin"/>
        </w:r>
        <w:r w:rsidR="00C0292F">
          <w:rPr>
            <w:noProof/>
            <w:webHidden/>
          </w:rPr>
          <w:instrText xml:space="preserve"> PAGEREF _Toc310875555 \h </w:instrText>
        </w:r>
        <w:r w:rsidR="00C0292F">
          <w:rPr>
            <w:noProof/>
            <w:webHidden/>
          </w:rPr>
        </w:r>
        <w:r w:rsidR="00C0292F">
          <w:rPr>
            <w:noProof/>
            <w:webHidden/>
          </w:rPr>
          <w:fldChar w:fldCharType="separate"/>
        </w:r>
        <w:r w:rsidR="00C0292F">
          <w:rPr>
            <w:noProof/>
            <w:webHidden/>
          </w:rPr>
          <w:t>157</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56" w:history="1">
        <w:r w:rsidR="00C0292F" w:rsidRPr="003E64CF">
          <w:rPr>
            <w:rStyle w:val="Hyperlink"/>
            <w:noProof/>
          </w:rPr>
          <w:t>Table 3</w:t>
        </w:r>
        <w:r w:rsidR="00C0292F" w:rsidRPr="003E64CF">
          <w:rPr>
            <w:rStyle w:val="Hyperlink"/>
            <w:noProof/>
          </w:rPr>
          <w:noBreakHyphen/>
          <w:t>4: Lighting HOU and CF by Building Type or Function</w:t>
        </w:r>
        <w:r w:rsidR="00C0292F">
          <w:rPr>
            <w:noProof/>
            <w:webHidden/>
          </w:rPr>
          <w:tab/>
        </w:r>
        <w:r w:rsidR="00C0292F">
          <w:rPr>
            <w:noProof/>
            <w:webHidden/>
          </w:rPr>
          <w:fldChar w:fldCharType="begin"/>
        </w:r>
        <w:r w:rsidR="00C0292F">
          <w:rPr>
            <w:noProof/>
            <w:webHidden/>
          </w:rPr>
          <w:instrText xml:space="preserve"> PAGEREF _Toc310875556 \h </w:instrText>
        </w:r>
        <w:r w:rsidR="00C0292F">
          <w:rPr>
            <w:noProof/>
            <w:webHidden/>
          </w:rPr>
        </w:r>
        <w:r w:rsidR="00C0292F">
          <w:rPr>
            <w:noProof/>
            <w:webHidden/>
          </w:rPr>
          <w:fldChar w:fldCharType="separate"/>
        </w:r>
        <w:r w:rsidR="00C0292F">
          <w:rPr>
            <w:noProof/>
            <w:webHidden/>
          </w:rPr>
          <w:t>158</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57" w:history="1">
        <w:r w:rsidR="00C0292F" w:rsidRPr="003E64CF">
          <w:rPr>
            <w:rStyle w:val="Hyperlink"/>
            <w:noProof/>
          </w:rPr>
          <w:t>Table 3</w:t>
        </w:r>
        <w:r w:rsidR="00C0292F" w:rsidRPr="003E64CF">
          <w:rPr>
            <w:rStyle w:val="Hyperlink"/>
            <w:noProof/>
          </w:rPr>
          <w:noBreakHyphen/>
          <w:t>5: Interactive Factors and Other Lighting Variables</w:t>
        </w:r>
        <w:r w:rsidR="00C0292F">
          <w:rPr>
            <w:noProof/>
            <w:webHidden/>
          </w:rPr>
          <w:tab/>
        </w:r>
        <w:r w:rsidR="00C0292F">
          <w:rPr>
            <w:noProof/>
            <w:webHidden/>
          </w:rPr>
          <w:fldChar w:fldCharType="begin"/>
        </w:r>
        <w:r w:rsidR="00C0292F">
          <w:rPr>
            <w:noProof/>
            <w:webHidden/>
          </w:rPr>
          <w:instrText xml:space="preserve"> PAGEREF _Toc310875557 \h </w:instrText>
        </w:r>
        <w:r w:rsidR="00C0292F">
          <w:rPr>
            <w:noProof/>
            <w:webHidden/>
          </w:rPr>
        </w:r>
        <w:r w:rsidR="00C0292F">
          <w:rPr>
            <w:noProof/>
            <w:webHidden/>
          </w:rPr>
          <w:fldChar w:fldCharType="separate"/>
        </w:r>
        <w:r w:rsidR="00C0292F">
          <w:rPr>
            <w:noProof/>
            <w:webHidden/>
          </w:rPr>
          <w:t>161</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58" w:history="1">
        <w:r w:rsidR="00C0292F" w:rsidRPr="003E64CF">
          <w:rPr>
            <w:rStyle w:val="Hyperlink"/>
            <w:noProof/>
          </w:rPr>
          <w:t>Table 3</w:t>
        </w:r>
        <w:r w:rsidR="00C0292F" w:rsidRPr="003E64CF">
          <w:rPr>
            <w:rStyle w:val="Hyperlink"/>
            <w:noProof/>
          </w:rPr>
          <w:noBreakHyphen/>
          <w:t>6: Lighting Controls Assumptions</w:t>
        </w:r>
        <w:r w:rsidR="00C0292F">
          <w:rPr>
            <w:noProof/>
            <w:webHidden/>
          </w:rPr>
          <w:tab/>
        </w:r>
        <w:r w:rsidR="00C0292F">
          <w:rPr>
            <w:noProof/>
            <w:webHidden/>
          </w:rPr>
          <w:fldChar w:fldCharType="begin"/>
        </w:r>
        <w:r w:rsidR="00C0292F">
          <w:rPr>
            <w:noProof/>
            <w:webHidden/>
          </w:rPr>
          <w:instrText xml:space="preserve"> PAGEREF _Toc310875558 \h </w:instrText>
        </w:r>
        <w:r w:rsidR="00C0292F">
          <w:rPr>
            <w:noProof/>
            <w:webHidden/>
          </w:rPr>
        </w:r>
        <w:r w:rsidR="00C0292F">
          <w:rPr>
            <w:noProof/>
            <w:webHidden/>
          </w:rPr>
          <w:fldChar w:fldCharType="separate"/>
        </w:r>
        <w:r w:rsidR="00C0292F">
          <w:rPr>
            <w:noProof/>
            <w:webHidden/>
          </w:rPr>
          <w:t>162</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59" w:history="1">
        <w:r w:rsidR="00C0292F" w:rsidRPr="003E64CF">
          <w:rPr>
            <w:rStyle w:val="Hyperlink"/>
            <w:noProof/>
          </w:rPr>
          <w:t>Table 3</w:t>
        </w:r>
        <w:r w:rsidR="00C0292F" w:rsidRPr="003E64CF">
          <w:rPr>
            <w:rStyle w:val="Hyperlink"/>
            <w:noProof/>
          </w:rPr>
          <w:noBreakHyphen/>
          <w:t>7: Assumptions for LED Traffic Signals</w:t>
        </w:r>
        <w:r w:rsidR="00C0292F">
          <w:rPr>
            <w:noProof/>
            <w:webHidden/>
          </w:rPr>
          <w:tab/>
        </w:r>
        <w:r w:rsidR="00C0292F">
          <w:rPr>
            <w:noProof/>
            <w:webHidden/>
          </w:rPr>
          <w:fldChar w:fldCharType="begin"/>
        </w:r>
        <w:r w:rsidR="00C0292F">
          <w:rPr>
            <w:noProof/>
            <w:webHidden/>
          </w:rPr>
          <w:instrText xml:space="preserve"> PAGEREF _Toc310875559 \h </w:instrText>
        </w:r>
        <w:r w:rsidR="00C0292F">
          <w:rPr>
            <w:noProof/>
            <w:webHidden/>
          </w:rPr>
        </w:r>
        <w:r w:rsidR="00C0292F">
          <w:rPr>
            <w:noProof/>
            <w:webHidden/>
          </w:rPr>
          <w:fldChar w:fldCharType="separate"/>
        </w:r>
        <w:r w:rsidR="00C0292F">
          <w:rPr>
            <w:noProof/>
            <w:webHidden/>
          </w:rPr>
          <w:t>163</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60" w:history="1">
        <w:r w:rsidR="00C0292F" w:rsidRPr="003E64CF">
          <w:rPr>
            <w:rStyle w:val="Hyperlink"/>
            <w:noProof/>
          </w:rPr>
          <w:t>Table 3</w:t>
        </w:r>
        <w:r w:rsidR="00C0292F" w:rsidRPr="003E64CF">
          <w:rPr>
            <w:rStyle w:val="Hyperlink"/>
            <w:noProof/>
          </w:rPr>
          <w:noBreakHyphen/>
          <w:t>8: LED Traffic Signals</w:t>
        </w:r>
        <w:r w:rsidR="00C0292F">
          <w:rPr>
            <w:noProof/>
            <w:webHidden/>
          </w:rPr>
          <w:tab/>
        </w:r>
        <w:r w:rsidR="00C0292F">
          <w:rPr>
            <w:noProof/>
            <w:webHidden/>
          </w:rPr>
          <w:fldChar w:fldCharType="begin"/>
        </w:r>
        <w:r w:rsidR="00C0292F">
          <w:rPr>
            <w:noProof/>
            <w:webHidden/>
          </w:rPr>
          <w:instrText xml:space="preserve"> PAGEREF _Toc310875560 \h </w:instrText>
        </w:r>
        <w:r w:rsidR="00C0292F">
          <w:rPr>
            <w:noProof/>
            <w:webHidden/>
          </w:rPr>
        </w:r>
        <w:r w:rsidR="00C0292F">
          <w:rPr>
            <w:noProof/>
            <w:webHidden/>
          </w:rPr>
          <w:fldChar w:fldCharType="separate"/>
        </w:r>
        <w:r w:rsidR="00C0292F">
          <w:rPr>
            <w:noProof/>
            <w:webHidden/>
          </w:rPr>
          <w:t>164</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61" w:history="1">
        <w:r w:rsidR="00C0292F" w:rsidRPr="003E64CF">
          <w:rPr>
            <w:rStyle w:val="Hyperlink"/>
            <w:noProof/>
          </w:rPr>
          <w:t>Table 3</w:t>
        </w:r>
        <w:r w:rsidR="00C0292F" w:rsidRPr="003E64CF">
          <w:rPr>
            <w:rStyle w:val="Hyperlink"/>
            <w:noProof/>
          </w:rPr>
          <w:noBreakHyphen/>
          <w:t>9: Reference Specifications for Above Traffic Signal Wattages</w:t>
        </w:r>
        <w:r w:rsidR="00C0292F">
          <w:rPr>
            <w:noProof/>
            <w:webHidden/>
          </w:rPr>
          <w:tab/>
        </w:r>
        <w:r w:rsidR="00C0292F">
          <w:rPr>
            <w:noProof/>
            <w:webHidden/>
          </w:rPr>
          <w:fldChar w:fldCharType="begin"/>
        </w:r>
        <w:r w:rsidR="00C0292F">
          <w:rPr>
            <w:noProof/>
            <w:webHidden/>
          </w:rPr>
          <w:instrText xml:space="preserve"> PAGEREF _Toc310875561 \h </w:instrText>
        </w:r>
        <w:r w:rsidR="00C0292F">
          <w:rPr>
            <w:noProof/>
            <w:webHidden/>
          </w:rPr>
        </w:r>
        <w:r w:rsidR="00C0292F">
          <w:rPr>
            <w:noProof/>
            <w:webHidden/>
          </w:rPr>
          <w:fldChar w:fldCharType="separate"/>
        </w:r>
        <w:r w:rsidR="00C0292F">
          <w:rPr>
            <w:noProof/>
            <w:webHidden/>
          </w:rPr>
          <w:t>165</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62" w:history="1">
        <w:r w:rsidR="00C0292F" w:rsidRPr="003E64CF">
          <w:rPr>
            <w:rStyle w:val="Hyperlink"/>
            <w:noProof/>
          </w:rPr>
          <w:t>Table 3</w:t>
        </w:r>
        <w:r w:rsidR="00C0292F" w:rsidRPr="003E64CF">
          <w:rPr>
            <w:rStyle w:val="Hyperlink"/>
            <w:noProof/>
          </w:rPr>
          <w:noBreakHyphen/>
          <w:t>10: LED Exit Signs</w:t>
        </w:r>
        <w:r w:rsidR="00C0292F">
          <w:rPr>
            <w:noProof/>
            <w:webHidden/>
          </w:rPr>
          <w:tab/>
        </w:r>
        <w:r w:rsidR="00C0292F">
          <w:rPr>
            <w:noProof/>
            <w:webHidden/>
          </w:rPr>
          <w:fldChar w:fldCharType="begin"/>
        </w:r>
        <w:r w:rsidR="00C0292F">
          <w:rPr>
            <w:noProof/>
            <w:webHidden/>
          </w:rPr>
          <w:instrText xml:space="preserve"> PAGEREF _Toc310875562 \h </w:instrText>
        </w:r>
        <w:r w:rsidR="00C0292F">
          <w:rPr>
            <w:noProof/>
            <w:webHidden/>
          </w:rPr>
        </w:r>
        <w:r w:rsidR="00C0292F">
          <w:rPr>
            <w:noProof/>
            <w:webHidden/>
          </w:rPr>
          <w:fldChar w:fldCharType="separate"/>
        </w:r>
        <w:r w:rsidR="00C0292F">
          <w:rPr>
            <w:noProof/>
            <w:webHidden/>
          </w:rPr>
          <w:t>166</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63" w:history="1">
        <w:r w:rsidR="00C0292F" w:rsidRPr="003E64CF">
          <w:rPr>
            <w:rStyle w:val="Hyperlink"/>
            <w:noProof/>
          </w:rPr>
          <w:t>Table 3</w:t>
        </w:r>
        <w:r w:rsidR="00C0292F" w:rsidRPr="003E64CF">
          <w:rPr>
            <w:rStyle w:val="Hyperlink"/>
            <w:noProof/>
          </w:rPr>
          <w:noBreakHyphen/>
          <w:t>11: Building Mechanical System Variables for Premium Efficiency Motor Calculations</w:t>
        </w:r>
        <w:r w:rsidR="00C0292F">
          <w:rPr>
            <w:noProof/>
            <w:webHidden/>
          </w:rPr>
          <w:tab/>
        </w:r>
        <w:r w:rsidR="00C0292F">
          <w:rPr>
            <w:noProof/>
            <w:webHidden/>
          </w:rPr>
          <w:fldChar w:fldCharType="begin"/>
        </w:r>
        <w:r w:rsidR="00C0292F">
          <w:rPr>
            <w:noProof/>
            <w:webHidden/>
          </w:rPr>
          <w:instrText xml:space="preserve"> PAGEREF _Toc310875563 \h </w:instrText>
        </w:r>
        <w:r w:rsidR="00C0292F">
          <w:rPr>
            <w:noProof/>
            <w:webHidden/>
          </w:rPr>
        </w:r>
        <w:r w:rsidR="00C0292F">
          <w:rPr>
            <w:noProof/>
            <w:webHidden/>
          </w:rPr>
          <w:fldChar w:fldCharType="separate"/>
        </w:r>
        <w:r w:rsidR="00C0292F">
          <w:rPr>
            <w:noProof/>
            <w:webHidden/>
          </w:rPr>
          <w:t>168</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64" w:history="1">
        <w:r w:rsidR="00C0292F" w:rsidRPr="003E64CF">
          <w:rPr>
            <w:rStyle w:val="Hyperlink"/>
            <w:noProof/>
          </w:rPr>
          <w:t>Table 3</w:t>
        </w:r>
        <w:r w:rsidR="00C0292F" w:rsidRPr="003E64CF">
          <w:rPr>
            <w:rStyle w:val="Hyperlink"/>
            <w:noProof/>
          </w:rPr>
          <w:noBreakHyphen/>
          <w:t>12: Baseline Motor Nominal Efficiencies for PY1 and PY2</w:t>
        </w:r>
        <w:r w:rsidR="00C0292F">
          <w:rPr>
            <w:noProof/>
            <w:webHidden/>
          </w:rPr>
          <w:tab/>
        </w:r>
        <w:r w:rsidR="00C0292F">
          <w:rPr>
            <w:noProof/>
            <w:webHidden/>
          </w:rPr>
          <w:fldChar w:fldCharType="begin"/>
        </w:r>
        <w:r w:rsidR="00C0292F">
          <w:rPr>
            <w:noProof/>
            <w:webHidden/>
          </w:rPr>
          <w:instrText xml:space="preserve"> PAGEREF _Toc310875564 \h </w:instrText>
        </w:r>
        <w:r w:rsidR="00C0292F">
          <w:rPr>
            <w:noProof/>
            <w:webHidden/>
          </w:rPr>
        </w:r>
        <w:r w:rsidR="00C0292F">
          <w:rPr>
            <w:noProof/>
            <w:webHidden/>
          </w:rPr>
          <w:fldChar w:fldCharType="separate"/>
        </w:r>
        <w:r w:rsidR="00C0292F">
          <w:rPr>
            <w:noProof/>
            <w:webHidden/>
          </w:rPr>
          <w:t>169</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65" w:history="1">
        <w:r w:rsidR="00C0292F" w:rsidRPr="003E64CF">
          <w:rPr>
            <w:rStyle w:val="Hyperlink"/>
            <w:noProof/>
          </w:rPr>
          <w:t>Table 3</w:t>
        </w:r>
        <w:r w:rsidR="00C0292F" w:rsidRPr="003E64CF">
          <w:rPr>
            <w:rStyle w:val="Hyperlink"/>
            <w:noProof/>
          </w:rPr>
          <w:noBreakHyphen/>
          <w:t>13: Baseline Motor Nominal Efficiencies for PY3 and PY4</w:t>
        </w:r>
        <w:r w:rsidR="00C0292F">
          <w:rPr>
            <w:noProof/>
            <w:webHidden/>
          </w:rPr>
          <w:tab/>
        </w:r>
        <w:r w:rsidR="00C0292F">
          <w:rPr>
            <w:noProof/>
            <w:webHidden/>
          </w:rPr>
          <w:fldChar w:fldCharType="begin"/>
        </w:r>
        <w:r w:rsidR="00C0292F">
          <w:rPr>
            <w:noProof/>
            <w:webHidden/>
          </w:rPr>
          <w:instrText xml:space="preserve"> PAGEREF _Toc310875565 \h </w:instrText>
        </w:r>
        <w:r w:rsidR="00C0292F">
          <w:rPr>
            <w:noProof/>
            <w:webHidden/>
          </w:rPr>
        </w:r>
        <w:r w:rsidR="00C0292F">
          <w:rPr>
            <w:noProof/>
            <w:webHidden/>
          </w:rPr>
          <w:fldChar w:fldCharType="separate"/>
        </w:r>
        <w:r w:rsidR="00C0292F">
          <w:rPr>
            <w:noProof/>
            <w:webHidden/>
          </w:rPr>
          <w:t>170</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66" w:history="1">
        <w:r w:rsidR="00C0292F" w:rsidRPr="003E64CF">
          <w:rPr>
            <w:rStyle w:val="Hyperlink"/>
            <w:noProof/>
          </w:rPr>
          <w:t>Table 3</w:t>
        </w:r>
        <w:r w:rsidR="00C0292F" w:rsidRPr="003E64CF">
          <w:rPr>
            <w:rStyle w:val="Hyperlink"/>
            <w:noProof/>
          </w:rPr>
          <w:noBreakHyphen/>
          <w:t>14: Stipulated Hours of Use for Motors in Commercial Buildings</w:t>
        </w:r>
        <w:r w:rsidR="00C0292F">
          <w:rPr>
            <w:noProof/>
            <w:webHidden/>
          </w:rPr>
          <w:tab/>
        </w:r>
        <w:r w:rsidR="00C0292F">
          <w:rPr>
            <w:noProof/>
            <w:webHidden/>
          </w:rPr>
          <w:fldChar w:fldCharType="begin"/>
        </w:r>
        <w:r w:rsidR="00C0292F">
          <w:rPr>
            <w:noProof/>
            <w:webHidden/>
          </w:rPr>
          <w:instrText xml:space="preserve"> PAGEREF _Toc310875566 \h </w:instrText>
        </w:r>
        <w:r w:rsidR="00C0292F">
          <w:rPr>
            <w:noProof/>
            <w:webHidden/>
          </w:rPr>
        </w:r>
        <w:r w:rsidR="00C0292F">
          <w:rPr>
            <w:noProof/>
            <w:webHidden/>
          </w:rPr>
          <w:fldChar w:fldCharType="separate"/>
        </w:r>
        <w:r w:rsidR="00C0292F">
          <w:rPr>
            <w:noProof/>
            <w:webHidden/>
          </w:rPr>
          <w:t>171</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67" w:history="1">
        <w:r w:rsidR="00C0292F" w:rsidRPr="003E64CF">
          <w:rPr>
            <w:rStyle w:val="Hyperlink"/>
            <w:noProof/>
          </w:rPr>
          <w:t>Table 3</w:t>
        </w:r>
        <w:r w:rsidR="00C0292F" w:rsidRPr="003E64CF">
          <w:rPr>
            <w:rStyle w:val="Hyperlink"/>
            <w:noProof/>
          </w:rPr>
          <w:noBreakHyphen/>
          <w:t>15: Notes for Stipulated Hours of Use Table</w:t>
        </w:r>
        <w:r w:rsidR="00C0292F">
          <w:rPr>
            <w:noProof/>
            <w:webHidden/>
          </w:rPr>
          <w:tab/>
        </w:r>
        <w:r w:rsidR="00C0292F">
          <w:rPr>
            <w:noProof/>
            <w:webHidden/>
          </w:rPr>
          <w:fldChar w:fldCharType="begin"/>
        </w:r>
        <w:r w:rsidR="00C0292F">
          <w:rPr>
            <w:noProof/>
            <w:webHidden/>
          </w:rPr>
          <w:instrText xml:space="preserve"> PAGEREF _Toc310875567 \h </w:instrText>
        </w:r>
        <w:r w:rsidR="00C0292F">
          <w:rPr>
            <w:noProof/>
            <w:webHidden/>
          </w:rPr>
        </w:r>
        <w:r w:rsidR="00C0292F">
          <w:rPr>
            <w:noProof/>
            <w:webHidden/>
          </w:rPr>
          <w:fldChar w:fldCharType="separate"/>
        </w:r>
        <w:r w:rsidR="00C0292F">
          <w:rPr>
            <w:noProof/>
            <w:webHidden/>
          </w:rPr>
          <w:t>173</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68" w:history="1">
        <w:r w:rsidR="00C0292F" w:rsidRPr="003E64CF">
          <w:rPr>
            <w:rStyle w:val="Hyperlink"/>
            <w:noProof/>
          </w:rPr>
          <w:t>Table 3</w:t>
        </w:r>
        <w:r w:rsidR="00C0292F" w:rsidRPr="003E64CF">
          <w:rPr>
            <w:rStyle w:val="Hyperlink"/>
            <w:noProof/>
          </w:rPr>
          <w:noBreakHyphen/>
          <w:t>16: Variables for VFD Calculations</w:t>
        </w:r>
        <w:r w:rsidR="00C0292F">
          <w:rPr>
            <w:noProof/>
            <w:webHidden/>
          </w:rPr>
          <w:tab/>
        </w:r>
        <w:r w:rsidR="00C0292F">
          <w:rPr>
            <w:noProof/>
            <w:webHidden/>
          </w:rPr>
          <w:fldChar w:fldCharType="begin"/>
        </w:r>
        <w:r w:rsidR="00C0292F">
          <w:rPr>
            <w:noProof/>
            <w:webHidden/>
          </w:rPr>
          <w:instrText xml:space="preserve"> PAGEREF _Toc310875568 \h </w:instrText>
        </w:r>
        <w:r w:rsidR="00C0292F">
          <w:rPr>
            <w:noProof/>
            <w:webHidden/>
          </w:rPr>
        </w:r>
        <w:r w:rsidR="00C0292F">
          <w:rPr>
            <w:noProof/>
            <w:webHidden/>
          </w:rPr>
          <w:fldChar w:fldCharType="separate"/>
        </w:r>
        <w:r w:rsidR="00C0292F">
          <w:rPr>
            <w:noProof/>
            <w:webHidden/>
          </w:rPr>
          <w:t>175</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69" w:history="1">
        <w:r w:rsidR="00C0292F" w:rsidRPr="003E64CF">
          <w:rPr>
            <w:rStyle w:val="Hyperlink"/>
            <w:noProof/>
          </w:rPr>
          <w:t>Table 3</w:t>
        </w:r>
        <w:r w:rsidR="00C0292F" w:rsidRPr="003E64CF">
          <w:rPr>
            <w:rStyle w:val="Hyperlink"/>
            <w:noProof/>
          </w:rPr>
          <w:noBreakHyphen/>
          <w:t>17: ESF and DSF for Typical Commercial VFD Installations</w:t>
        </w:r>
        <w:r w:rsidR="00C0292F">
          <w:rPr>
            <w:noProof/>
            <w:webHidden/>
          </w:rPr>
          <w:tab/>
        </w:r>
        <w:r w:rsidR="00C0292F">
          <w:rPr>
            <w:noProof/>
            <w:webHidden/>
          </w:rPr>
          <w:fldChar w:fldCharType="begin"/>
        </w:r>
        <w:r w:rsidR="00C0292F">
          <w:rPr>
            <w:noProof/>
            <w:webHidden/>
          </w:rPr>
          <w:instrText xml:space="preserve"> PAGEREF _Toc310875569 \h </w:instrText>
        </w:r>
        <w:r w:rsidR="00C0292F">
          <w:rPr>
            <w:noProof/>
            <w:webHidden/>
          </w:rPr>
        </w:r>
        <w:r w:rsidR="00C0292F">
          <w:rPr>
            <w:noProof/>
            <w:webHidden/>
          </w:rPr>
          <w:fldChar w:fldCharType="separate"/>
        </w:r>
        <w:r w:rsidR="00C0292F">
          <w:rPr>
            <w:noProof/>
            <w:webHidden/>
          </w:rPr>
          <w:t>175</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70" w:history="1">
        <w:r w:rsidR="00C0292F" w:rsidRPr="003E64CF">
          <w:rPr>
            <w:rStyle w:val="Hyperlink"/>
            <w:noProof/>
          </w:rPr>
          <w:t>Table 3</w:t>
        </w:r>
        <w:r w:rsidR="00C0292F" w:rsidRPr="003E64CF">
          <w:rPr>
            <w:rStyle w:val="Hyperlink"/>
            <w:noProof/>
          </w:rPr>
          <w:noBreakHyphen/>
          <w:t>18: Variables for Industrial Air Compressor Calculation</w:t>
        </w:r>
        <w:r w:rsidR="00C0292F">
          <w:rPr>
            <w:noProof/>
            <w:webHidden/>
          </w:rPr>
          <w:tab/>
        </w:r>
        <w:r w:rsidR="00C0292F">
          <w:rPr>
            <w:noProof/>
            <w:webHidden/>
          </w:rPr>
          <w:fldChar w:fldCharType="begin"/>
        </w:r>
        <w:r w:rsidR="00C0292F">
          <w:rPr>
            <w:noProof/>
            <w:webHidden/>
          </w:rPr>
          <w:instrText xml:space="preserve"> PAGEREF _Toc310875570 \h </w:instrText>
        </w:r>
        <w:r w:rsidR="00C0292F">
          <w:rPr>
            <w:noProof/>
            <w:webHidden/>
          </w:rPr>
        </w:r>
        <w:r w:rsidR="00C0292F">
          <w:rPr>
            <w:noProof/>
            <w:webHidden/>
          </w:rPr>
          <w:fldChar w:fldCharType="separate"/>
        </w:r>
        <w:r w:rsidR="00C0292F">
          <w:rPr>
            <w:noProof/>
            <w:webHidden/>
          </w:rPr>
          <w:t>178</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71" w:history="1">
        <w:r w:rsidR="00C0292F" w:rsidRPr="003E64CF">
          <w:rPr>
            <w:rStyle w:val="Hyperlink"/>
            <w:noProof/>
          </w:rPr>
          <w:t>Table 3</w:t>
        </w:r>
        <w:r w:rsidR="00C0292F" w:rsidRPr="003E64CF">
          <w:rPr>
            <w:rStyle w:val="Hyperlink"/>
            <w:noProof/>
          </w:rPr>
          <w:noBreakHyphen/>
          <w:t>19: Variables for HVAC Systems</w:t>
        </w:r>
        <w:r w:rsidR="00C0292F">
          <w:rPr>
            <w:noProof/>
            <w:webHidden/>
          </w:rPr>
          <w:tab/>
        </w:r>
        <w:r w:rsidR="00C0292F">
          <w:rPr>
            <w:noProof/>
            <w:webHidden/>
          </w:rPr>
          <w:fldChar w:fldCharType="begin"/>
        </w:r>
        <w:r w:rsidR="00C0292F">
          <w:rPr>
            <w:noProof/>
            <w:webHidden/>
          </w:rPr>
          <w:instrText xml:space="preserve"> PAGEREF _Toc310875571 \h </w:instrText>
        </w:r>
        <w:r w:rsidR="00C0292F">
          <w:rPr>
            <w:noProof/>
            <w:webHidden/>
          </w:rPr>
        </w:r>
        <w:r w:rsidR="00C0292F">
          <w:rPr>
            <w:noProof/>
            <w:webHidden/>
          </w:rPr>
          <w:fldChar w:fldCharType="separate"/>
        </w:r>
        <w:r w:rsidR="00C0292F">
          <w:rPr>
            <w:noProof/>
            <w:webHidden/>
          </w:rPr>
          <w:t>181</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72" w:history="1">
        <w:r w:rsidR="00C0292F" w:rsidRPr="003E64CF">
          <w:rPr>
            <w:rStyle w:val="Hyperlink"/>
            <w:noProof/>
          </w:rPr>
          <w:t>Table 3</w:t>
        </w:r>
        <w:r w:rsidR="00C0292F" w:rsidRPr="003E64CF">
          <w:rPr>
            <w:rStyle w:val="Hyperlink"/>
            <w:noProof/>
          </w:rPr>
          <w:noBreakHyphen/>
          <w:t>20: HVAC Baseline Efficiencies</w:t>
        </w:r>
        <w:r w:rsidR="00C0292F">
          <w:rPr>
            <w:noProof/>
            <w:webHidden/>
          </w:rPr>
          <w:tab/>
        </w:r>
        <w:r w:rsidR="00C0292F">
          <w:rPr>
            <w:noProof/>
            <w:webHidden/>
          </w:rPr>
          <w:fldChar w:fldCharType="begin"/>
        </w:r>
        <w:r w:rsidR="00C0292F">
          <w:rPr>
            <w:noProof/>
            <w:webHidden/>
          </w:rPr>
          <w:instrText xml:space="preserve"> PAGEREF _Toc310875572 \h </w:instrText>
        </w:r>
        <w:r w:rsidR="00C0292F">
          <w:rPr>
            <w:noProof/>
            <w:webHidden/>
          </w:rPr>
        </w:r>
        <w:r w:rsidR="00C0292F">
          <w:rPr>
            <w:noProof/>
            <w:webHidden/>
          </w:rPr>
          <w:fldChar w:fldCharType="separate"/>
        </w:r>
        <w:r w:rsidR="00C0292F">
          <w:rPr>
            <w:noProof/>
            <w:webHidden/>
          </w:rPr>
          <w:t>182</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73" w:history="1">
        <w:r w:rsidR="00C0292F" w:rsidRPr="003E64CF">
          <w:rPr>
            <w:rStyle w:val="Hyperlink"/>
            <w:noProof/>
          </w:rPr>
          <w:t>Table 3</w:t>
        </w:r>
        <w:r w:rsidR="00C0292F" w:rsidRPr="003E64CF">
          <w:rPr>
            <w:rStyle w:val="Hyperlink"/>
            <w:noProof/>
          </w:rPr>
          <w:noBreakHyphen/>
          <w:t>21: Cooling EFLH for Pennsylvania Cities</w:t>
        </w:r>
        <w:r w:rsidR="00C0292F">
          <w:rPr>
            <w:noProof/>
            <w:webHidden/>
          </w:rPr>
          <w:tab/>
        </w:r>
        <w:r w:rsidR="00C0292F">
          <w:rPr>
            <w:noProof/>
            <w:webHidden/>
          </w:rPr>
          <w:fldChar w:fldCharType="begin"/>
        </w:r>
        <w:r w:rsidR="00C0292F">
          <w:rPr>
            <w:noProof/>
            <w:webHidden/>
          </w:rPr>
          <w:instrText xml:space="preserve"> PAGEREF _Toc310875573 \h </w:instrText>
        </w:r>
        <w:r w:rsidR="00C0292F">
          <w:rPr>
            <w:noProof/>
            <w:webHidden/>
          </w:rPr>
        </w:r>
        <w:r w:rsidR="00C0292F">
          <w:rPr>
            <w:noProof/>
            <w:webHidden/>
          </w:rPr>
          <w:fldChar w:fldCharType="separate"/>
        </w:r>
        <w:r w:rsidR="00C0292F">
          <w:rPr>
            <w:noProof/>
            <w:webHidden/>
          </w:rPr>
          <w:t>183</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74" w:history="1">
        <w:r w:rsidR="00C0292F" w:rsidRPr="003E64CF">
          <w:rPr>
            <w:rStyle w:val="Hyperlink"/>
            <w:noProof/>
          </w:rPr>
          <w:t>Table 3</w:t>
        </w:r>
        <w:r w:rsidR="00C0292F" w:rsidRPr="003E64CF">
          <w:rPr>
            <w:rStyle w:val="Hyperlink"/>
            <w:noProof/>
          </w:rPr>
          <w:noBreakHyphen/>
          <w:t>22: Heating EFLH for Pennsylvania Cities</w:t>
        </w:r>
        <w:r w:rsidR="00C0292F">
          <w:rPr>
            <w:noProof/>
            <w:webHidden/>
          </w:rPr>
          <w:tab/>
        </w:r>
        <w:r w:rsidR="00C0292F">
          <w:rPr>
            <w:noProof/>
            <w:webHidden/>
          </w:rPr>
          <w:fldChar w:fldCharType="begin"/>
        </w:r>
        <w:r w:rsidR="00C0292F">
          <w:rPr>
            <w:noProof/>
            <w:webHidden/>
          </w:rPr>
          <w:instrText xml:space="preserve"> PAGEREF _Toc310875574 \h </w:instrText>
        </w:r>
        <w:r w:rsidR="00C0292F">
          <w:rPr>
            <w:noProof/>
            <w:webHidden/>
          </w:rPr>
        </w:r>
        <w:r w:rsidR="00C0292F">
          <w:rPr>
            <w:noProof/>
            <w:webHidden/>
          </w:rPr>
          <w:fldChar w:fldCharType="separate"/>
        </w:r>
        <w:r w:rsidR="00C0292F">
          <w:rPr>
            <w:noProof/>
            <w:webHidden/>
          </w:rPr>
          <w:t>184</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75" w:history="1">
        <w:r w:rsidR="00C0292F" w:rsidRPr="003E64CF">
          <w:rPr>
            <w:rStyle w:val="Hyperlink"/>
            <w:noProof/>
          </w:rPr>
          <w:t>Table 3</w:t>
        </w:r>
        <w:r w:rsidR="00C0292F" w:rsidRPr="003E64CF">
          <w:rPr>
            <w:rStyle w:val="Hyperlink"/>
            <w:noProof/>
          </w:rPr>
          <w:noBreakHyphen/>
          <w:t>23: Electric Chiller Variables</w:t>
        </w:r>
        <w:r w:rsidR="00C0292F">
          <w:rPr>
            <w:noProof/>
            <w:webHidden/>
          </w:rPr>
          <w:tab/>
        </w:r>
        <w:r w:rsidR="00C0292F">
          <w:rPr>
            <w:noProof/>
            <w:webHidden/>
          </w:rPr>
          <w:fldChar w:fldCharType="begin"/>
        </w:r>
        <w:r w:rsidR="00C0292F">
          <w:rPr>
            <w:noProof/>
            <w:webHidden/>
          </w:rPr>
          <w:instrText xml:space="preserve"> PAGEREF _Toc310875575 \h </w:instrText>
        </w:r>
        <w:r w:rsidR="00C0292F">
          <w:rPr>
            <w:noProof/>
            <w:webHidden/>
          </w:rPr>
        </w:r>
        <w:r w:rsidR="00C0292F">
          <w:rPr>
            <w:noProof/>
            <w:webHidden/>
          </w:rPr>
          <w:fldChar w:fldCharType="separate"/>
        </w:r>
        <w:r w:rsidR="00C0292F">
          <w:rPr>
            <w:noProof/>
            <w:webHidden/>
          </w:rPr>
          <w:t>186</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76" w:history="1">
        <w:r w:rsidR="00C0292F" w:rsidRPr="003E64CF">
          <w:rPr>
            <w:rStyle w:val="Hyperlink"/>
            <w:noProof/>
          </w:rPr>
          <w:t>Table 3</w:t>
        </w:r>
        <w:r w:rsidR="00C0292F" w:rsidRPr="003E64CF">
          <w:rPr>
            <w:rStyle w:val="Hyperlink"/>
            <w:noProof/>
          </w:rPr>
          <w:noBreakHyphen/>
          <w:t>24: Electric Chiller Baseline Efficiencies (IECC 2009)</w:t>
        </w:r>
        <w:r w:rsidR="00C0292F">
          <w:rPr>
            <w:noProof/>
            <w:webHidden/>
          </w:rPr>
          <w:tab/>
        </w:r>
        <w:r w:rsidR="00C0292F">
          <w:rPr>
            <w:noProof/>
            <w:webHidden/>
          </w:rPr>
          <w:fldChar w:fldCharType="begin"/>
        </w:r>
        <w:r w:rsidR="00C0292F">
          <w:rPr>
            <w:noProof/>
            <w:webHidden/>
          </w:rPr>
          <w:instrText xml:space="preserve"> PAGEREF _Toc310875576 \h </w:instrText>
        </w:r>
        <w:r w:rsidR="00C0292F">
          <w:rPr>
            <w:noProof/>
            <w:webHidden/>
          </w:rPr>
        </w:r>
        <w:r w:rsidR="00C0292F">
          <w:rPr>
            <w:noProof/>
            <w:webHidden/>
          </w:rPr>
          <w:fldChar w:fldCharType="separate"/>
        </w:r>
        <w:r w:rsidR="00C0292F">
          <w:rPr>
            <w:noProof/>
            <w:webHidden/>
          </w:rPr>
          <w:t>187</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77" w:history="1">
        <w:r w:rsidR="00C0292F" w:rsidRPr="003E64CF">
          <w:rPr>
            <w:rStyle w:val="Hyperlink"/>
            <w:noProof/>
          </w:rPr>
          <w:t>Table 3</w:t>
        </w:r>
        <w:r w:rsidR="00C0292F" w:rsidRPr="003E64CF">
          <w:rPr>
            <w:rStyle w:val="Hyperlink"/>
            <w:noProof/>
          </w:rPr>
          <w:noBreakHyphen/>
          <w:t>25: Chiller Cooling EFLH by Location</w:t>
        </w:r>
        <w:r w:rsidR="00C0292F">
          <w:rPr>
            <w:noProof/>
            <w:webHidden/>
          </w:rPr>
          <w:tab/>
        </w:r>
        <w:r w:rsidR="00C0292F">
          <w:rPr>
            <w:noProof/>
            <w:webHidden/>
          </w:rPr>
          <w:fldChar w:fldCharType="begin"/>
        </w:r>
        <w:r w:rsidR="00C0292F">
          <w:rPr>
            <w:noProof/>
            <w:webHidden/>
          </w:rPr>
          <w:instrText xml:space="preserve"> PAGEREF _Toc310875577 \h </w:instrText>
        </w:r>
        <w:r w:rsidR="00C0292F">
          <w:rPr>
            <w:noProof/>
            <w:webHidden/>
          </w:rPr>
        </w:r>
        <w:r w:rsidR="00C0292F">
          <w:rPr>
            <w:noProof/>
            <w:webHidden/>
          </w:rPr>
          <w:fldChar w:fldCharType="separate"/>
        </w:r>
        <w:r w:rsidR="00C0292F">
          <w:rPr>
            <w:noProof/>
            <w:webHidden/>
          </w:rPr>
          <w:t>188</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78" w:history="1">
        <w:r w:rsidR="00C0292F" w:rsidRPr="003E64CF">
          <w:rPr>
            <w:rStyle w:val="Hyperlink"/>
            <w:noProof/>
          </w:rPr>
          <w:t>Table 3</w:t>
        </w:r>
        <w:r w:rsidR="00C0292F" w:rsidRPr="003E64CF">
          <w:rPr>
            <w:rStyle w:val="Hyperlink"/>
            <w:noProof/>
          </w:rPr>
          <w:noBreakHyphen/>
          <w:t>26  Anti-Sweat Heater Controls – Values and References</w:t>
        </w:r>
        <w:r w:rsidR="00C0292F">
          <w:rPr>
            <w:noProof/>
            <w:webHidden/>
          </w:rPr>
          <w:tab/>
        </w:r>
        <w:r w:rsidR="00C0292F">
          <w:rPr>
            <w:noProof/>
            <w:webHidden/>
          </w:rPr>
          <w:fldChar w:fldCharType="begin"/>
        </w:r>
        <w:r w:rsidR="00C0292F">
          <w:rPr>
            <w:noProof/>
            <w:webHidden/>
          </w:rPr>
          <w:instrText xml:space="preserve"> PAGEREF _Toc310875578 \h </w:instrText>
        </w:r>
        <w:r w:rsidR="00C0292F">
          <w:rPr>
            <w:noProof/>
            <w:webHidden/>
          </w:rPr>
        </w:r>
        <w:r w:rsidR="00C0292F">
          <w:rPr>
            <w:noProof/>
            <w:webHidden/>
          </w:rPr>
          <w:fldChar w:fldCharType="separate"/>
        </w:r>
        <w:r w:rsidR="00C0292F">
          <w:rPr>
            <w:noProof/>
            <w:webHidden/>
          </w:rPr>
          <w:t>191</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79" w:history="1">
        <w:r w:rsidR="00C0292F" w:rsidRPr="003E64CF">
          <w:rPr>
            <w:rStyle w:val="Hyperlink"/>
            <w:noProof/>
          </w:rPr>
          <w:t>Table 3</w:t>
        </w:r>
        <w:r w:rsidR="00C0292F" w:rsidRPr="003E64CF">
          <w:rPr>
            <w:rStyle w:val="Hyperlink"/>
            <w:noProof/>
          </w:rPr>
          <w:noBreakHyphen/>
          <w:t>27  Recommended Fully Deemed Impact Estimates</w:t>
        </w:r>
        <w:r w:rsidR="00C0292F">
          <w:rPr>
            <w:noProof/>
            <w:webHidden/>
          </w:rPr>
          <w:tab/>
        </w:r>
        <w:r w:rsidR="00C0292F">
          <w:rPr>
            <w:noProof/>
            <w:webHidden/>
          </w:rPr>
          <w:fldChar w:fldCharType="begin"/>
        </w:r>
        <w:r w:rsidR="00C0292F">
          <w:rPr>
            <w:noProof/>
            <w:webHidden/>
          </w:rPr>
          <w:instrText xml:space="preserve"> PAGEREF _Toc310875579 \h </w:instrText>
        </w:r>
        <w:r w:rsidR="00C0292F">
          <w:rPr>
            <w:noProof/>
            <w:webHidden/>
          </w:rPr>
        </w:r>
        <w:r w:rsidR="00C0292F">
          <w:rPr>
            <w:noProof/>
            <w:webHidden/>
          </w:rPr>
          <w:fldChar w:fldCharType="separate"/>
        </w:r>
        <w:r w:rsidR="00C0292F">
          <w:rPr>
            <w:noProof/>
            <w:webHidden/>
          </w:rPr>
          <w:t>192</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80" w:history="1">
        <w:r w:rsidR="00C0292F" w:rsidRPr="003E64CF">
          <w:rPr>
            <w:rStyle w:val="Hyperlink"/>
            <w:noProof/>
          </w:rPr>
          <w:t>Table 3</w:t>
        </w:r>
        <w:r w:rsidR="00C0292F" w:rsidRPr="003E64CF">
          <w:rPr>
            <w:rStyle w:val="Hyperlink"/>
            <w:noProof/>
          </w:rPr>
          <w:noBreakHyphen/>
          <w:t>28: Refrigeration Cases - References</w:t>
        </w:r>
        <w:r w:rsidR="00C0292F">
          <w:rPr>
            <w:noProof/>
            <w:webHidden/>
          </w:rPr>
          <w:tab/>
        </w:r>
        <w:r w:rsidR="00C0292F">
          <w:rPr>
            <w:noProof/>
            <w:webHidden/>
          </w:rPr>
          <w:fldChar w:fldCharType="begin"/>
        </w:r>
        <w:r w:rsidR="00C0292F">
          <w:rPr>
            <w:noProof/>
            <w:webHidden/>
          </w:rPr>
          <w:instrText xml:space="preserve"> PAGEREF _Toc310875580 \h </w:instrText>
        </w:r>
        <w:r w:rsidR="00C0292F">
          <w:rPr>
            <w:noProof/>
            <w:webHidden/>
          </w:rPr>
        </w:r>
        <w:r w:rsidR="00C0292F">
          <w:rPr>
            <w:noProof/>
            <w:webHidden/>
          </w:rPr>
          <w:fldChar w:fldCharType="separate"/>
        </w:r>
        <w:r w:rsidR="00C0292F">
          <w:rPr>
            <w:noProof/>
            <w:webHidden/>
          </w:rPr>
          <w:t>193</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81" w:history="1">
        <w:r w:rsidR="00C0292F" w:rsidRPr="003E64CF">
          <w:rPr>
            <w:rStyle w:val="Hyperlink"/>
            <w:noProof/>
          </w:rPr>
          <w:t>Table 3</w:t>
        </w:r>
        <w:r w:rsidR="00C0292F" w:rsidRPr="003E64CF">
          <w:rPr>
            <w:rStyle w:val="Hyperlink"/>
            <w:noProof/>
          </w:rPr>
          <w:noBreakHyphen/>
          <w:t>29: Refrigeration Case Efficiencies</w:t>
        </w:r>
        <w:r w:rsidR="00C0292F">
          <w:rPr>
            <w:noProof/>
            <w:webHidden/>
          </w:rPr>
          <w:tab/>
        </w:r>
        <w:r w:rsidR="00C0292F">
          <w:rPr>
            <w:noProof/>
            <w:webHidden/>
          </w:rPr>
          <w:fldChar w:fldCharType="begin"/>
        </w:r>
        <w:r w:rsidR="00C0292F">
          <w:rPr>
            <w:noProof/>
            <w:webHidden/>
          </w:rPr>
          <w:instrText xml:space="preserve"> PAGEREF _Toc310875581 \h </w:instrText>
        </w:r>
        <w:r w:rsidR="00C0292F">
          <w:rPr>
            <w:noProof/>
            <w:webHidden/>
          </w:rPr>
        </w:r>
        <w:r w:rsidR="00C0292F">
          <w:rPr>
            <w:noProof/>
            <w:webHidden/>
          </w:rPr>
          <w:fldChar w:fldCharType="separate"/>
        </w:r>
        <w:r w:rsidR="00C0292F">
          <w:rPr>
            <w:noProof/>
            <w:webHidden/>
          </w:rPr>
          <w:t>194</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82" w:history="1">
        <w:r w:rsidR="00C0292F" w:rsidRPr="003E64CF">
          <w:rPr>
            <w:rStyle w:val="Hyperlink"/>
            <w:noProof/>
          </w:rPr>
          <w:t>Table 3</w:t>
        </w:r>
        <w:r w:rsidR="00C0292F" w:rsidRPr="003E64CF">
          <w:rPr>
            <w:rStyle w:val="Hyperlink"/>
            <w:noProof/>
          </w:rPr>
          <w:noBreakHyphen/>
          <w:t>30: Freezer Case Efficiencies</w:t>
        </w:r>
        <w:r w:rsidR="00C0292F">
          <w:rPr>
            <w:noProof/>
            <w:webHidden/>
          </w:rPr>
          <w:tab/>
        </w:r>
        <w:r w:rsidR="00C0292F">
          <w:rPr>
            <w:noProof/>
            <w:webHidden/>
          </w:rPr>
          <w:fldChar w:fldCharType="begin"/>
        </w:r>
        <w:r w:rsidR="00C0292F">
          <w:rPr>
            <w:noProof/>
            <w:webHidden/>
          </w:rPr>
          <w:instrText xml:space="preserve"> PAGEREF _Toc310875582 \h </w:instrText>
        </w:r>
        <w:r w:rsidR="00C0292F">
          <w:rPr>
            <w:noProof/>
            <w:webHidden/>
          </w:rPr>
        </w:r>
        <w:r w:rsidR="00C0292F">
          <w:rPr>
            <w:noProof/>
            <w:webHidden/>
          </w:rPr>
          <w:fldChar w:fldCharType="separate"/>
        </w:r>
        <w:r w:rsidR="00C0292F">
          <w:rPr>
            <w:noProof/>
            <w:webHidden/>
          </w:rPr>
          <w:t>194</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83" w:history="1">
        <w:r w:rsidR="00C0292F" w:rsidRPr="003E64CF">
          <w:rPr>
            <w:rStyle w:val="Hyperlink"/>
            <w:noProof/>
          </w:rPr>
          <w:t>Table 3</w:t>
        </w:r>
        <w:r w:rsidR="00C0292F" w:rsidRPr="003E64CF">
          <w:rPr>
            <w:rStyle w:val="Hyperlink"/>
            <w:noProof/>
          </w:rPr>
          <w:noBreakHyphen/>
          <w:t>31: Refrigeration Case Savings</w:t>
        </w:r>
        <w:r w:rsidR="00C0292F">
          <w:rPr>
            <w:noProof/>
            <w:webHidden/>
          </w:rPr>
          <w:tab/>
        </w:r>
        <w:r w:rsidR="00C0292F">
          <w:rPr>
            <w:noProof/>
            <w:webHidden/>
          </w:rPr>
          <w:fldChar w:fldCharType="begin"/>
        </w:r>
        <w:r w:rsidR="00C0292F">
          <w:rPr>
            <w:noProof/>
            <w:webHidden/>
          </w:rPr>
          <w:instrText xml:space="preserve"> PAGEREF _Toc310875583 \h </w:instrText>
        </w:r>
        <w:r w:rsidR="00C0292F">
          <w:rPr>
            <w:noProof/>
            <w:webHidden/>
          </w:rPr>
        </w:r>
        <w:r w:rsidR="00C0292F">
          <w:rPr>
            <w:noProof/>
            <w:webHidden/>
          </w:rPr>
          <w:fldChar w:fldCharType="separate"/>
        </w:r>
        <w:r w:rsidR="00C0292F">
          <w:rPr>
            <w:noProof/>
            <w:webHidden/>
          </w:rPr>
          <w:t>194</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84" w:history="1">
        <w:r w:rsidR="00C0292F" w:rsidRPr="003E64CF">
          <w:rPr>
            <w:rStyle w:val="Hyperlink"/>
            <w:noProof/>
          </w:rPr>
          <w:t>Table 3</w:t>
        </w:r>
        <w:r w:rsidR="00C0292F" w:rsidRPr="003E64CF">
          <w:rPr>
            <w:rStyle w:val="Hyperlink"/>
            <w:noProof/>
          </w:rPr>
          <w:noBreakHyphen/>
          <w:t>32: Freezer Case Savings</w:t>
        </w:r>
        <w:r w:rsidR="00C0292F">
          <w:rPr>
            <w:noProof/>
            <w:webHidden/>
          </w:rPr>
          <w:tab/>
        </w:r>
        <w:r w:rsidR="00C0292F">
          <w:rPr>
            <w:noProof/>
            <w:webHidden/>
          </w:rPr>
          <w:fldChar w:fldCharType="begin"/>
        </w:r>
        <w:r w:rsidR="00C0292F">
          <w:rPr>
            <w:noProof/>
            <w:webHidden/>
          </w:rPr>
          <w:instrText xml:space="preserve"> PAGEREF _Toc310875584 \h </w:instrText>
        </w:r>
        <w:r w:rsidR="00C0292F">
          <w:rPr>
            <w:noProof/>
            <w:webHidden/>
          </w:rPr>
        </w:r>
        <w:r w:rsidR="00C0292F">
          <w:rPr>
            <w:noProof/>
            <w:webHidden/>
          </w:rPr>
          <w:fldChar w:fldCharType="separate"/>
        </w:r>
        <w:r w:rsidR="00C0292F">
          <w:rPr>
            <w:noProof/>
            <w:webHidden/>
          </w:rPr>
          <w:t>195</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85" w:history="1">
        <w:r w:rsidR="00C0292F" w:rsidRPr="003E64CF">
          <w:rPr>
            <w:rStyle w:val="Hyperlink"/>
            <w:noProof/>
          </w:rPr>
          <w:t>Table 3</w:t>
        </w:r>
        <w:r w:rsidR="00C0292F" w:rsidRPr="003E64CF">
          <w:rPr>
            <w:rStyle w:val="Hyperlink"/>
            <w:noProof/>
          </w:rPr>
          <w:noBreakHyphen/>
          <w:t>33: Variables for High-Efficiency Evaporator Fan Motor</w:t>
        </w:r>
        <w:r w:rsidR="00C0292F">
          <w:rPr>
            <w:noProof/>
            <w:webHidden/>
          </w:rPr>
          <w:tab/>
        </w:r>
        <w:r w:rsidR="00C0292F">
          <w:rPr>
            <w:noProof/>
            <w:webHidden/>
          </w:rPr>
          <w:fldChar w:fldCharType="begin"/>
        </w:r>
        <w:r w:rsidR="00C0292F">
          <w:rPr>
            <w:noProof/>
            <w:webHidden/>
          </w:rPr>
          <w:instrText xml:space="preserve"> PAGEREF _Toc310875585 \h </w:instrText>
        </w:r>
        <w:r w:rsidR="00C0292F">
          <w:rPr>
            <w:noProof/>
            <w:webHidden/>
          </w:rPr>
        </w:r>
        <w:r w:rsidR="00C0292F">
          <w:rPr>
            <w:noProof/>
            <w:webHidden/>
          </w:rPr>
          <w:fldChar w:fldCharType="separate"/>
        </w:r>
        <w:r w:rsidR="00C0292F">
          <w:rPr>
            <w:noProof/>
            <w:webHidden/>
          </w:rPr>
          <w:t>197</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86" w:history="1">
        <w:r w:rsidR="00C0292F" w:rsidRPr="003E64CF">
          <w:rPr>
            <w:rStyle w:val="Hyperlink"/>
            <w:noProof/>
          </w:rPr>
          <w:t>Table 3</w:t>
        </w:r>
        <w:r w:rsidR="00C0292F" w:rsidRPr="003E64CF">
          <w:rPr>
            <w:rStyle w:val="Hyperlink"/>
            <w:noProof/>
          </w:rPr>
          <w:noBreakHyphen/>
          <w:t>34: Variables for HE Evaporator Fan Motor</w:t>
        </w:r>
        <w:r w:rsidR="00C0292F">
          <w:rPr>
            <w:noProof/>
            <w:webHidden/>
          </w:rPr>
          <w:tab/>
        </w:r>
        <w:r w:rsidR="00C0292F">
          <w:rPr>
            <w:noProof/>
            <w:webHidden/>
          </w:rPr>
          <w:fldChar w:fldCharType="begin"/>
        </w:r>
        <w:r w:rsidR="00C0292F">
          <w:rPr>
            <w:noProof/>
            <w:webHidden/>
          </w:rPr>
          <w:instrText xml:space="preserve"> PAGEREF _Toc310875586 \h </w:instrText>
        </w:r>
        <w:r w:rsidR="00C0292F">
          <w:rPr>
            <w:noProof/>
            <w:webHidden/>
          </w:rPr>
        </w:r>
        <w:r w:rsidR="00C0292F">
          <w:rPr>
            <w:noProof/>
            <w:webHidden/>
          </w:rPr>
          <w:fldChar w:fldCharType="separate"/>
        </w:r>
        <w:r w:rsidR="00C0292F">
          <w:rPr>
            <w:noProof/>
            <w:webHidden/>
          </w:rPr>
          <w:t>198</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87" w:history="1">
        <w:r w:rsidR="00C0292F" w:rsidRPr="003E64CF">
          <w:rPr>
            <w:rStyle w:val="Hyperlink"/>
            <w:noProof/>
          </w:rPr>
          <w:t>Table 3</w:t>
        </w:r>
        <w:r w:rsidR="00C0292F" w:rsidRPr="003E64CF">
          <w:rPr>
            <w:rStyle w:val="Hyperlink"/>
            <w:noProof/>
          </w:rPr>
          <w:noBreakHyphen/>
          <w:t>35: Shaded Pole to PSC Deemed Savings</w:t>
        </w:r>
        <w:r w:rsidR="00C0292F">
          <w:rPr>
            <w:noProof/>
            <w:webHidden/>
          </w:rPr>
          <w:tab/>
        </w:r>
        <w:r w:rsidR="00C0292F">
          <w:rPr>
            <w:noProof/>
            <w:webHidden/>
          </w:rPr>
          <w:fldChar w:fldCharType="begin"/>
        </w:r>
        <w:r w:rsidR="00C0292F">
          <w:rPr>
            <w:noProof/>
            <w:webHidden/>
          </w:rPr>
          <w:instrText xml:space="preserve"> PAGEREF _Toc310875587 \h </w:instrText>
        </w:r>
        <w:r w:rsidR="00C0292F">
          <w:rPr>
            <w:noProof/>
            <w:webHidden/>
          </w:rPr>
        </w:r>
        <w:r w:rsidR="00C0292F">
          <w:rPr>
            <w:noProof/>
            <w:webHidden/>
          </w:rPr>
          <w:fldChar w:fldCharType="separate"/>
        </w:r>
        <w:r w:rsidR="00C0292F">
          <w:rPr>
            <w:noProof/>
            <w:webHidden/>
          </w:rPr>
          <w:t>199</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88" w:history="1">
        <w:r w:rsidR="00C0292F" w:rsidRPr="003E64CF">
          <w:rPr>
            <w:rStyle w:val="Hyperlink"/>
            <w:noProof/>
          </w:rPr>
          <w:t>Table 3</w:t>
        </w:r>
        <w:r w:rsidR="00C0292F" w:rsidRPr="003E64CF">
          <w:rPr>
            <w:rStyle w:val="Hyperlink"/>
            <w:noProof/>
          </w:rPr>
          <w:noBreakHyphen/>
          <w:t>36: PSC to ECM Deemed Savings</w:t>
        </w:r>
        <w:r w:rsidR="00C0292F">
          <w:rPr>
            <w:noProof/>
            <w:webHidden/>
          </w:rPr>
          <w:tab/>
        </w:r>
        <w:r w:rsidR="00C0292F">
          <w:rPr>
            <w:noProof/>
            <w:webHidden/>
          </w:rPr>
          <w:fldChar w:fldCharType="begin"/>
        </w:r>
        <w:r w:rsidR="00C0292F">
          <w:rPr>
            <w:noProof/>
            <w:webHidden/>
          </w:rPr>
          <w:instrText xml:space="preserve"> PAGEREF _Toc310875588 \h </w:instrText>
        </w:r>
        <w:r w:rsidR="00C0292F">
          <w:rPr>
            <w:noProof/>
            <w:webHidden/>
          </w:rPr>
        </w:r>
        <w:r w:rsidR="00C0292F">
          <w:rPr>
            <w:noProof/>
            <w:webHidden/>
          </w:rPr>
          <w:fldChar w:fldCharType="separate"/>
        </w:r>
        <w:r w:rsidR="00C0292F">
          <w:rPr>
            <w:noProof/>
            <w:webHidden/>
          </w:rPr>
          <w:t>199</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89" w:history="1">
        <w:r w:rsidR="00C0292F" w:rsidRPr="003E64CF">
          <w:rPr>
            <w:rStyle w:val="Hyperlink"/>
            <w:noProof/>
          </w:rPr>
          <w:t>Table 3</w:t>
        </w:r>
        <w:r w:rsidR="00C0292F" w:rsidRPr="003E64CF">
          <w:rPr>
            <w:rStyle w:val="Hyperlink"/>
            <w:noProof/>
          </w:rPr>
          <w:noBreakHyphen/>
          <w:t>37: Shaded Pole to ECM Deemed Savings</w:t>
        </w:r>
        <w:r w:rsidR="00C0292F">
          <w:rPr>
            <w:noProof/>
            <w:webHidden/>
          </w:rPr>
          <w:tab/>
        </w:r>
        <w:r w:rsidR="00C0292F">
          <w:rPr>
            <w:noProof/>
            <w:webHidden/>
          </w:rPr>
          <w:fldChar w:fldCharType="begin"/>
        </w:r>
        <w:r w:rsidR="00C0292F">
          <w:rPr>
            <w:noProof/>
            <w:webHidden/>
          </w:rPr>
          <w:instrText xml:space="preserve"> PAGEREF _Toc310875589 \h </w:instrText>
        </w:r>
        <w:r w:rsidR="00C0292F">
          <w:rPr>
            <w:noProof/>
            <w:webHidden/>
          </w:rPr>
        </w:r>
        <w:r w:rsidR="00C0292F">
          <w:rPr>
            <w:noProof/>
            <w:webHidden/>
          </w:rPr>
          <w:fldChar w:fldCharType="separate"/>
        </w:r>
        <w:r w:rsidR="00C0292F">
          <w:rPr>
            <w:noProof/>
            <w:webHidden/>
          </w:rPr>
          <w:t>200</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90" w:history="1">
        <w:r w:rsidR="00C0292F" w:rsidRPr="003E64CF">
          <w:rPr>
            <w:rStyle w:val="Hyperlink"/>
            <w:noProof/>
          </w:rPr>
          <w:t>Table 3</w:t>
        </w:r>
        <w:r w:rsidR="00C0292F" w:rsidRPr="003E64CF">
          <w:rPr>
            <w:rStyle w:val="Hyperlink"/>
            <w:noProof/>
          </w:rPr>
          <w:noBreakHyphen/>
          <w:t>38: Default High-Efficiency Evaporator Fan Motor Deemed Savings</w:t>
        </w:r>
        <w:r w:rsidR="00C0292F">
          <w:rPr>
            <w:noProof/>
            <w:webHidden/>
          </w:rPr>
          <w:tab/>
        </w:r>
        <w:r w:rsidR="00C0292F">
          <w:rPr>
            <w:noProof/>
            <w:webHidden/>
          </w:rPr>
          <w:fldChar w:fldCharType="begin"/>
        </w:r>
        <w:r w:rsidR="00C0292F">
          <w:rPr>
            <w:noProof/>
            <w:webHidden/>
          </w:rPr>
          <w:instrText xml:space="preserve"> PAGEREF _Toc310875590 \h </w:instrText>
        </w:r>
        <w:r w:rsidR="00C0292F">
          <w:rPr>
            <w:noProof/>
            <w:webHidden/>
          </w:rPr>
        </w:r>
        <w:r w:rsidR="00C0292F">
          <w:rPr>
            <w:noProof/>
            <w:webHidden/>
          </w:rPr>
          <w:fldChar w:fldCharType="separate"/>
        </w:r>
        <w:r w:rsidR="00C0292F">
          <w:rPr>
            <w:noProof/>
            <w:webHidden/>
          </w:rPr>
          <w:t>200</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91" w:history="1">
        <w:r w:rsidR="00C0292F" w:rsidRPr="003E64CF">
          <w:rPr>
            <w:rStyle w:val="Hyperlink"/>
            <w:noProof/>
          </w:rPr>
          <w:t>Table 3</w:t>
        </w:r>
        <w:r w:rsidR="00C0292F" w:rsidRPr="003E64CF">
          <w:rPr>
            <w:rStyle w:val="Hyperlink"/>
            <w:noProof/>
          </w:rPr>
          <w:noBreakHyphen/>
          <w:t>39: Variables for High-Efficiency Evaporator Fan Motor</w:t>
        </w:r>
        <w:r w:rsidR="00C0292F">
          <w:rPr>
            <w:noProof/>
            <w:webHidden/>
          </w:rPr>
          <w:tab/>
        </w:r>
        <w:r w:rsidR="00C0292F">
          <w:rPr>
            <w:noProof/>
            <w:webHidden/>
          </w:rPr>
          <w:fldChar w:fldCharType="begin"/>
        </w:r>
        <w:r w:rsidR="00C0292F">
          <w:rPr>
            <w:noProof/>
            <w:webHidden/>
          </w:rPr>
          <w:instrText xml:space="preserve"> PAGEREF _Toc310875591 \h </w:instrText>
        </w:r>
        <w:r w:rsidR="00C0292F">
          <w:rPr>
            <w:noProof/>
            <w:webHidden/>
          </w:rPr>
        </w:r>
        <w:r w:rsidR="00C0292F">
          <w:rPr>
            <w:noProof/>
            <w:webHidden/>
          </w:rPr>
          <w:fldChar w:fldCharType="separate"/>
        </w:r>
        <w:r w:rsidR="00C0292F">
          <w:rPr>
            <w:noProof/>
            <w:webHidden/>
          </w:rPr>
          <w:t>203</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92" w:history="1">
        <w:r w:rsidR="00C0292F" w:rsidRPr="003E64CF">
          <w:rPr>
            <w:rStyle w:val="Hyperlink"/>
            <w:noProof/>
          </w:rPr>
          <w:t>Table 3</w:t>
        </w:r>
        <w:r w:rsidR="00C0292F" w:rsidRPr="003E64CF">
          <w:rPr>
            <w:rStyle w:val="Hyperlink"/>
            <w:noProof/>
          </w:rPr>
          <w:noBreakHyphen/>
          <w:t>40: Variables for HE Evaporator Fan Motor</w:t>
        </w:r>
        <w:r w:rsidR="00C0292F">
          <w:rPr>
            <w:noProof/>
            <w:webHidden/>
          </w:rPr>
          <w:tab/>
        </w:r>
        <w:r w:rsidR="00C0292F">
          <w:rPr>
            <w:noProof/>
            <w:webHidden/>
          </w:rPr>
          <w:fldChar w:fldCharType="begin"/>
        </w:r>
        <w:r w:rsidR="00C0292F">
          <w:rPr>
            <w:noProof/>
            <w:webHidden/>
          </w:rPr>
          <w:instrText xml:space="preserve"> PAGEREF _Toc310875592 \h </w:instrText>
        </w:r>
        <w:r w:rsidR="00C0292F">
          <w:rPr>
            <w:noProof/>
            <w:webHidden/>
          </w:rPr>
        </w:r>
        <w:r w:rsidR="00C0292F">
          <w:rPr>
            <w:noProof/>
            <w:webHidden/>
          </w:rPr>
          <w:fldChar w:fldCharType="separate"/>
        </w:r>
        <w:r w:rsidR="00C0292F">
          <w:rPr>
            <w:noProof/>
            <w:webHidden/>
          </w:rPr>
          <w:t>204</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93" w:history="1">
        <w:r w:rsidR="00C0292F" w:rsidRPr="003E64CF">
          <w:rPr>
            <w:rStyle w:val="Hyperlink"/>
            <w:noProof/>
          </w:rPr>
          <w:t>Table 3</w:t>
        </w:r>
        <w:r w:rsidR="00C0292F" w:rsidRPr="003E64CF">
          <w:rPr>
            <w:rStyle w:val="Hyperlink"/>
            <w:noProof/>
          </w:rPr>
          <w:noBreakHyphen/>
          <w:t>41: PSC to ECM Deemed Savings</w:t>
        </w:r>
        <w:r w:rsidR="00C0292F">
          <w:rPr>
            <w:noProof/>
            <w:webHidden/>
          </w:rPr>
          <w:tab/>
        </w:r>
        <w:r w:rsidR="00C0292F">
          <w:rPr>
            <w:noProof/>
            <w:webHidden/>
          </w:rPr>
          <w:fldChar w:fldCharType="begin"/>
        </w:r>
        <w:r w:rsidR="00C0292F">
          <w:rPr>
            <w:noProof/>
            <w:webHidden/>
          </w:rPr>
          <w:instrText xml:space="preserve"> PAGEREF _Toc310875593 \h </w:instrText>
        </w:r>
        <w:r w:rsidR="00C0292F">
          <w:rPr>
            <w:noProof/>
            <w:webHidden/>
          </w:rPr>
        </w:r>
        <w:r w:rsidR="00C0292F">
          <w:rPr>
            <w:noProof/>
            <w:webHidden/>
          </w:rPr>
          <w:fldChar w:fldCharType="separate"/>
        </w:r>
        <w:r w:rsidR="00C0292F">
          <w:rPr>
            <w:noProof/>
            <w:webHidden/>
          </w:rPr>
          <w:t>205</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94" w:history="1">
        <w:r w:rsidR="00C0292F" w:rsidRPr="003E64CF">
          <w:rPr>
            <w:rStyle w:val="Hyperlink"/>
            <w:noProof/>
          </w:rPr>
          <w:t>Table 3</w:t>
        </w:r>
        <w:r w:rsidR="00C0292F" w:rsidRPr="003E64CF">
          <w:rPr>
            <w:rStyle w:val="Hyperlink"/>
            <w:noProof/>
          </w:rPr>
          <w:noBreakHyphen/>
          <w:t>42: Shaded Pole to ECM Deemed Savings</w:t>
        </w:r>
        <w:r w:rsidR="00C0292F">
          <w:rPr>
            <w:noProof/>
            <w:webHidden/>
          </w:rPr>
          <w:tab/>
        </w:r>
        <w:r w:rsidR="00C0292F">
          <w:rPr>
            <w:noProof/>
            <w:webHidden/>
          </w:rPr>
          <w:fldChar w:fldCharType="begin"/>
        </w:r>
        <w:r w:rsidR="00C0292F">
          <w:rPr>
            <w:noProof/>
            <w:webHidden/>
          </w:rPr>
          <w:instrText xml:space="preserve"> PAGEREF _Toc310875594 \h </w:instrText>
        </w:r>
        <w:r w:rsidR="00C0292F">
          <w:rPr>
            <w:noProof/>
            <w:webHidden/>
          </w:rPr>
        </w:r>
        <w:r w:rsidR="00C0292F">
          <w:rPr>
            <w:noProof/>
            <w:webHidden/>
          </w:rPr>
          <w:fldChar w:fldCharType="separate"/>
        </w:r>
        <w:r w:rsidR="00C0292F">
          <w:rPr>
            <w:noProof/>
            <w:webHidden/>
          </w:rPr>
          <w:t>206</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95" w:history="1">
        <w:r w:rsidR="00C0292F" w:rsidRPr="003E64CF">
          <w:rPr>
            <w:rStyle w:val="Hyperlink"/>
            <w:noProof/>
          </w:rPr>
          <w:t>Table 3</w:t>
        </w:r>
        <w:r w:rsidR="00C0292F" w:rsidRPr="003E64CF">
          <w:rPr>
            <w:rStyle w:val="Hyperlink"/>
            <w:noProof/>
          </w:rPr>
          <w:noBreakHyphen/>
          <w:t>43: Default High-Efficiency Evaporator Fan Motor Deemed Savings</w:t>
        </w:r>
        <w:r w:rsidR="00C0292F">
          <w:rPr>
            <w:noProof/>
            <w:webHidden/>
          </w:rPr>
          <w:tab/>
        </w:r>
        <w:r w:rsidR="00C0292F">
          <w:rPr>
            <w:noProof/>
            <w:webHidden/>
          </w:rPr>
          <w:fldChar w:fldCharType="begin"/>
        </w:r>
        <w:r w:rsidR="00C0292F">
          <w:rPr>
            <w:noProof/>
            <w:webHidden/>
          </w:rPr>
          <w:instrText xml:space="preserve"> PAGEREF _Toc310875595 \h </w:instrText>
        </w:r>
        <w:r w:rsidR="00C0292F">
          <w:rPr>
            <w:noProof/>
            <w:webHidden/>
          </w:rPr>
        </w:r>
        <w:r w:rsidR="00C0292F">
          <w:rPr>
            <w:noProof/>
            <w:webHidden/>
          </w:rPr>
          <w:fldChar w:fldCharType="separate"/>
        </w:r>
        <w:r w:rsidR="00C0292F">
          <w:rPr>
            <w:noProof/>
            <w:webHidden/>
          </w:rPr>
          <w:t>206</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96" w:history="1">
        <w:r w:rsidR="00C0292F" w:rsidRPr="003E64CF">
          <w:rPr>
            <w:rStyle w:val="Hyperlink"/>
            <w:noProof/>
          </w:rPr>
          <w:t>Table 3</w:t>
        </w:r>
        <w:r w:rsidR="00C0292F" w:rsidRPr="003E64CF">
          <w:rPr>
            <w:rStyle w:val="Hyperlink"/>
            <w:noProof/>
          </w:rPr>
          <w:noBreakHyphen/>
          <w:t>44: ENERGY STAR Office Equipment - References</w:t>
        </w:r>
        <w:r w:rsidR="00C0292F">
          <w:rPr>
            <w:noProof/>
            <w:webHidden/>
          </w:rPr>
          <w:tab/>
        </w:r>
        <w:r w:rsidR="00C0292F">
          <w:rPr>
            <w:noProof/>
            <w:webHidden/>
          </w:rPr>
          <w:fldChar w:fldCharType="begin"/>
        </w:r>
        <w:r w:rsidR="00C0292F">
          <w:rPr>
            <w:noProof/>
            <w:webHidden/>
          </w:rPr>
          <w:instrText xml:space="preserve"> PAGEREF _Toc310875596 \h </w:instrText>
        </w:r>
        <w:r w:rsidR="00C0292F">
          <w:rPr>
            <w:noProof/>
            <w:webHidden/>
          </w:rPr>
        </w:r>
        <w:r w:rsidR="00C0292F">
          <w:rPr>
            <w:noProof/>
            <w:webHidden/>
          </w:rPr>
          <w:fldChar w:fldCharType="separate"/>
        </w:r>
        <w:r w:rsidR="00C0292F">
          <w:rPr>
            <w:noProof/>
            <w:webHidden/>
          </w:rPr>
          <w:t>210</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97" w:history="1">
        <w:r w:rsidR="00C0292F" w:rsidRPr="003E64CF">
          <w:rPr>
            <w:rStyle w:val="Hyperlink"/>
            <w:noProof/>
          </w:rPr>
          <w:t>Table 3</w:t>
        </w:r>
        <w:r w:rsidR="00C0292F" w:rsidRPr="003E64CF">
          <w:rPr>
            <w:rStyle w:val="Hyperlink"/>
            <w:noProof/>
          </w:rPr>
          <w:noBreakHyphen/>
          <w:t>45: ENERGY STAR Office Equipment Energy and Demand Savings Values</w:t>
        </w:r>
        <w:r w:rsidR="00C0292F">
          <w:rPr>
            <w:noProof/>
            <w:webHidden/>
          </w:rPr>
          <w:tab/>
        </w:r>
        <w:r w:rsidR="00C0292F">
          <w:rPr>
            <w:noProof/>
            <w:webHidden/>
          </w:rPr>
          <w:fldChar w:fldCharType="begin"/>
        </w:r>
        <w:r w:rsidR="00C0292F">
          <w:rPr>
            <w:noProof/>
            <w:webHidden/>
          </w:rPr>
          <w:instrText xml:space="preserve"> PAGEREF _Toc310875597 \h </w:instrText>
        </w:r>
        <w:r w:rsidR="00C0292F">
          <w:rPr>
            <w:noProof/>
            <w:webHidden/>
          </w:rPr>
        </w:r>
        <w:r w:rsidR="00C0292F">
          <w:rPr>
            <w:noProof/>
            <w:webHidden/>
          </w:rPr>
          <w:fldChar w:fldCharType="separate"/>
        </w:r>
        <w:r w:rsidR="00C0292F">
          <w:rPr>
            <w:noProof/>
            <w:webHidden/>
          </w:rPr>
          <w:t>211</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98" w:history="1">
        <w:r w:rsidR="00C0292F" w:rsidRPr="003E64CF">
          <w:rPr>
            <w:rStyle w:val="Hyperlink"/>
            <w:noProof/>
          </w:rPr>
          <w:t>Table 3</w:t>
        </w:r>
        <w:r w:rsidR="00C0292F" w:rsidRPr="003E64CF">
          <w:rPr>
            <w:rStyle w:val="Hyperlink"/>
            <w:noProof/>
          </w:rPr>
          <w:noBreakHyphen/>
          <w:t>46: ENERGY STAR Office Equipment Measure Life</w:t>
        </w:r>
        <w:r w:rsidR="00C0292F">
          <w:rPr>
            <w:noProof/>
            <w:webHidden/>
          </w:rPr>
          <w:tab/>
        </w:r>
        <w:r w:rsidR="00C0292F">
          <w:rPr>
            <w:noProof/>
            <w:webHidden/>
          </w:rPr>
          <w:fldChar w:fldCharType="begin"/>
        </w:r>
        <w:r w:rsidR="00C0292F">
          <w:rPr>
            <w:noProof/>
            <w:webHidden/>
          </w:rPr>
          <w:instrText xml:space="preserve"> PAGEREF _Toc310875598 \h </w:instrText>
        </w:r>
        <w:r w:rsidR="00C0292F">
          <w:rPr>
            <w:noProof/>
            <w:webHidden/>
          </w:rPr>
        </w:r>
        <w:r w:rsidR="00C0292F">
          <w:rPr>
            <w:noProof/>
            <w:webHidden/>
          </w:rPr>
          <w:fldChar w:fldCharType="separate"/>
        </w:r>
        <w:r w:rsidR="00C0292F">
          <w:rPr>
            <w:noProof/>
            <w:webHidden/>
          </w:rPr>
          <w:t>212</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599" w:history="1">
        <w:r w:rsidR="00C0292F" w:rsidRPr="003E64CF">
          <w:rPr>
            <w:rStyle w:val="Hyperlink"/>
            <w:noProof/>
          </w:rPr>
          <w:t>Table 3</w:t>
        </w:r>
        <w:r w:rsidR="00C0292F" w:rsidRPr="003E64CF">
          <w:rPr>
            <w:rStyle w:val="Hyperlink"/>
            <w:noProof/>
          </w:rPr>
          <w:noBreakHyphen/>
          <w:t>47: Smart Strip Calculation Assumptions</w:t>
        </w:r>
        <w:r w:rsidR="00C0292F">
          <w:rPr>
            <w:noProof/>
            <w:webHidden/>
          </w:rPr>
          <w:tab/>
        </w:r>
        <w:r w:rsidR="00C0292F">
          <w:rPr>
            <w:noProof/>
            <w:webHidden/>
          </w:rPr>
          <w:fldChar w:fldCharType="begin"/>
        </w:r>
        <w:r w:rsidR="00C0292F">
          <w:rPr>
            <w:noProof/>
            <w:webHidden/>
          </w:rPr>
          <w:instrText xml:space="preserve"> PAGEREF _Toc310875599 \h </w:instrText>
        </w:r>
        <w:r w:rsidR="00C0292F">
          <w:rPr>
            <w:noProof/>
            <w:webHidden/>
          </w:rPr>
        </w:r>
        <w:r w:rsidR="00C0292F">
          <w:rPr>
            <w:noProof/>
            <w:webHidden/>
          </w:rPr>
          <w:fldChar w:fldCharType="separate"/>
        </w:r>
        <w:r w:rsidR="00C0292F">
          <w:rPr>
            <w:noProof/>
            <w:webHidden/>
          </w:rPr>
          <w:t>213</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00" w:history="1">
        <w:r w:rsidR="00C0292F" w:rsidRPr="003E64CF">
          <w:rPr>
            <w:rStyle w:val="Hyperlink"/>
            <w:noProof/>
          </w:rPr>
          <w:t>Table 3</w:t>
        </w:r>
        <w:r w:rsidR="00C0292F" w:rsidRPr="003E64CF">
          <w:rPr>
            <w:rStyle w:val="Hyperlink"/>
            <w:noProof/>
          </w:rPr>
          <w:noBreakHyphen/>
          <w:t>48: Beverage Machine Controls Energy Savings</w:t>
        </w:r>
        <w:r w:rsidR="00C0292F">
          <w:rPr>
            <w:noProof/>
            <w:webHidden/>
          </w:rPr>
          <w:tab/>
        </w:r>
        <w:r w:rsidR="00C0292F">
          <w:rPr>
            <w:noProof/>
            <w:webHidden/>
          </w:rPr>
          <w:fldChar w:fldCharType="begin"/>
        </w:r>
        <w:r w:rsidR="00C0292F">
          <w:rPr>
            <w:noProof/>
            <w:webHidden/>
          </w:rPr>
          <w:instrText xml:space="preserve"> PAGEREF _Toc310875600 \h </w:instrText>
        </w:r>
        <w:r w:rsidR="00C0292F">
          <w:rPr>
            <w:noProof/>
            <w:webHidden/>
          </w:rPr>
        </w:r>
        <w:r w:rsidR="00C0292F">
          <w:rPr>
            <w:noProof/>
            <w:webHidden/>
          </w:rPr>
          <w:fldChar w:fldCharType="separate"/>
        </w:r>
        <w:r w:rsidR="00C0292F">
          <w:rPr>
            <w:noProof/>
            <w:webHidden/>
          </w:rPr>
          <w:t>216</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01" w:history="1">
        <w:r w:rsidR="00C0292F" w:rsidRPr="003E64CF">
          <w:rPr>
            <w:rStyle w:val="Hyperlink"/>
            <w:noProof/>
          </w:rPr>
          <w:t>Table 3</w:t>
        </w:r>
        <w:r w:rsidR="00C0292F" w:rsidRPr="003E64CF">
          <w:rPr>
            <w:rStyle w:val="Hyperlink"/>
            <w:noProof/>
          </w:rPr>
          <w:noBreakHyphen/>
          <w:t>49: Ice Machine Reference values for algorithm components</w:t>
        </w:r>
        <w:r w:rsidR="00C0292F">
          <w:rPr>
            <w:noProof/>
            <w:webHidden/>
          </w:rPr>
          <w:tab/>
        </w:r>
        <w:r w:rsidR="00C0292F">
          <w:rPr>
            <w:noProof/>
            <w:webHidden/>
          </w:rPr>
          <w:fldChar w:fldCharType="begin"/>
        </w:r>
        <w:r w:rsidR="00C0292F">
          <w:rPr>
            <w:noProof/>
            <w:webHidden/>
          </w:rPr>
          <w:instrText xml:space="preserve"> PAGEREF _Toc310875601 \h </w:instrText>
        </w:r>
        <w:r w:rsidR="00C0292F">
          <w:rPr>
            <w:noProof/>
            <w:webHidden/>
          </w:rPr>
        </w:r>
        <w:r w:rsidR="00C0292F">
          <w:rPr>
            <w:noProof/>
            <w:webHidden/>
          </w:rPr>
          <w:fldChar w:fldCharType="separate"/>
        </w:r>
        <w:r w:rsidR="00C0292F">
          <w:rPr>
            <w:noProof/>
            <w:webHidden/>
          </w:rPr>
          <w:t>218</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02" w:history="1">
        <w:r w:rsidR="00C0292F" w:rsidRPr="003E64CF">
          <w:rPr>
            <w:rStyle w:val="Hyperlink"/>
            <w:noProof/>
          </w:rPr>
          <w:t>Table 3</w:t>
        </w:r>
        <w:r w:rsidR="00C0292F" w:rsidRPr="003E64CF">
          <w:rPr>
            <w:rStyle w:val="Hyperlink"/>
            <w:noProof/>
          </w:rPr>
          <w:noBreakHyphen/>
          <w:t>50: Ice Machine Energy Usage</w:t>
        </w:r>
        <w:r w:rsidR="00C0292F">
          <w:rPr>
            <w:noProof/>
            <w:webHidden/>
          </w:rPr>
          <w:tab/>
        </w:r>
        <w:r w:rsidR="00C0292F">
          <w:rPr>
            <w:noProof/>
            <w:webHidden/>
          </w:rPr>
          <w:fldChar w:fldCharType="begin"/>
        </w:r>
        <w:r w:rsidR="00C0292F">
          <w:rPr>
            <w:noProof/>
            <w:webHidden/>
          </w:rPr>
          <w:instrText xml:space="preserve"> PAGEREF _Toc310875602 \h </w:instrText>
        </w:r>
        <w:r w:rsidR="00C0292F">
          <w:rPr>
            <w:noProof/>
            <w:webHidden/>
          </w:rPr>
        </w:r>
        <w:r w:rsidR="00C0292F">
          <w:rPr>
            <w:noProof/>
            <w:webHidden/>
          </w:rPr>
          <w:fldChar w:fldCharType="separate"/>
        </w:r>
        <w:r w:rsidR="00C0292F">
          <w:rPr>
            <w:noProof/>
            <w:webHidden/>
          </w:rPr>
          <w:t>219</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03" w:history="1">
        <w:r w:rsidR="00C0292F" w:rsidRPr="003E64CF">
          <w:rPr>
            <w:rStyle w:val="Hyperlink"/>
            <w:noProof/>
          </w:rPr>
          <w:t>Table 3</w:t>
        </w:r>
        <w:r w:rsidR="00C0292F" w:rsidRPr="003E64CF">
          <w:rPr>
            <w:rStyle w:val="Hyperlink"/>
            <w:noProof/>
          </w:rPr>
          <w:noBreakHyphen/>
          <w:t>51: Non-Residential Insulation – Values and References</w:t>
        </w:r>
        <w:r w:rsidR="00C0292F">
          <w:rPr>
            <w:noProof/>
            <w:webHidden/>
          </w:rPr>
          <w:tab/>
        </w:r>
        <w:r w:rsidR="00C0292F">
          <w:rPr>
            <w:noProof/>
            <w:webHidden/>
          </w:rPr>
          <w:fldChar w:fldCharType="begin"/>
        </w:r>
        <w:r w:rsidR="00C0292F">
          <w:rPr>
            <w:noProof/>
            <w:webHidden/>
          </w:rPr>
          <w:instrText xml:space="preserve"> PAGEREF _Toc310875603 \h </w:instrText>
        </w:r>
        <w:r w:rsidR="00C0292F">
          <w:rPr>
            <w:noProof/>
            <w:webHidden/>
          </w:rPr>
        </w:r>
        <w:r w:rsidR="00C0292F">
          <w:rPr>
            <w:noProof/>
            <w:webHidden/>
          </w:rPr>
          <w:fldChar w:fldCharType="separate"/>
        </w:r>
        <w:r w:rsidR="00C0292F">
          <w:rPr>
            <w:noProof/>
            <w:webHidden/>
          </w:rPr>
          <w:t>221</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04" w:history="1">
        <w:r w:rsidR="00C0292F" w:rsidRPr="003E64CF">
          <w:rPr>
            <w:rStyle w:val="Hyperlink"/>
            <w:noProof/>
          </w:rPr>
          <w:t>Table 3</w:t>
        </w:r>
        <w:r w:rsidR="00C0292F" w:rsidRPr="003E64CF">
          <w:rPr>
            <w:rStyle w:val="Hyperlink"/>
            <w:noProof/>
          </w:rPr>
          <w:noBreakHyphen/>
          <w:t>52: Ceiling R-Values by Building Type</w:t>
        </w:r>
        <w:r w:rsidR="00C0292F">
          <w:rPr>
            <w:noProof/>
            <w:webHidden/>
          </w:rPr>
          <w:tab/>
        </w:r>
        <w:r w:rsidR="00C0292F">
          <w:rPr>
            <w:noProof/>
            <w:webHidden/>
          </w:rPr>
          <w:fldChar w:fldCharType="begin"/>
        </w:r>
        <w:r w:rsidR="00C0292F">
          <w:rPr>
            <w:noProof/>
            <w:webHidden/>
          </w:rPr>
          <w:instrText xml:space="preserve"> PAGEREF _Toc310875604 \h </w:instrText>
        </w:r>
        <w:r w:rsidR="00C0292F">
          <w:rPr>
            <w:noProof/>
            <w:webHidden/>
          </w:rPr>
        </w:r>
        <w:r w:rsidR="00C0292F">
          <w:rPr>
            <w:noProof/>
            <w:webHidden/>
          </w:rPr>
          <w:fldChar w:fldCharType="separate"/>
        </w:r>
        <w:r w:rsidR="00C0292F">
          <w:rPr>
            <w:noProof/>
            <w:webHidden/>
          </w:rPr>
          <w:t>223</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05" w:history="1">
        <w:r w:rsidR="00C0292F" w:rsidRPr="003E64CF">
          <w:rPr>
            <w:rStyle w:val="Hyperlink"/>
            <w:noProof/>
          </w:rPr>
          <w:t>Table 3</w:t>
        </w:r>
        <w:r w:rsidR="00C0292F" w:rsidRPr="003E64CF">
          <w:rPr>
            <w:rStyle w:val="Hyperlink"/>
            <w:noProof/>
          </w:rPr>
          <w:noBreakHyphen/>
          <w:t>53: Wall R-Values by Building Type</w:t>
        </w:r>
        <w:r w:rsidR="00C0292F">
          <w:rPr>
            <w:noProof/>
            <w:webHidden/>
          </w:rPr>
          <w:tab/>
        </w:r>
        <w:r w:rsidR="00C0292F">
          <w:rPr>
            <w:noProof/>
            <w:webHidden/>
          </w:rPr>
          <w:fldChar w:fldCharType="begin"/>
        </w:r>
        <w:r w:rsidR="00C0292F">
          <w:rPr>
            <w:noProof/>
            <w:webHidden/>
          </w:rPr>
          <w:instrText xml:space="preserve"> PAGEREF _Toc310875605 \h </w:instrText>
        </w:r>
        <w:r w:rsidR="00C0292F">
          <w:rPr>
            <w:noProof/>
            <w:webHidden/>
          </w:rPr>
        </w:r>
        <w:r w:rsidR="00C0292F">
          <w:rPr>
            <w:noProof/>
            <w:webHidden/>
          </w:rPr>
          <w:fldChar w:fldCharType="separate"/>
        </w:r>
        <w:r w:rsidR="00C0292F">
          <w:rPr>
            <w:noProof/>
            <w:webHidden/>
          </w:rPr>
          <w:t>223</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06" w:history="1">
        <w:r w:rsidR="00C0292F" w:rsidRPr="003E64CF">
          <w:rPr>
            <w:rStyle w:val="Hyperlink"/>
            <w:noProof/>
          </w:rPr>
          <w:t>Table 3</w:t>
        </w:r>
        <w:r w:rsidR="00C0292F" w:rsidRPr="003E64CF">
          <w:rPr>
            <w:rStyle w:val="Hyperlink"/>
            <w:noProof/>
          </w:rPr>
          <w:noBreakHyphen/>
          <w:t>54: HVAC Baseline Efficiencies for Non-Residential Buildings</w:t>
        </w:r>
        <w:r w:rsidR="00C0292F">
          <w:rPr>
            <w:noProof/>
            <w:webHidden/>
          </w:rPr>
          <w:tab/>
        </w:r>
        <w:r w:rsidR="00C0292F">
          <w:rPr>
            <w:noProof/>
            <w:webHidden/>
          </w:rPr>
          <w:fldChar w:fldCharType="begin"/>
        </w:r>
        <w:r w:rsidR="00C0292F">
          <w:rPr>
            <w:noProof/>
            <w:webHidden/>
          </w:rPr>
          <w:instrText xml:space="preserve"> PAGEREF _Toc310875606 \h </w:instrText>
        </w:r>
        <w:r w:rsidR="00C0292F">
          <w:rPr>
            <w:noProof/>
            <w:webHidden/>
          </w:rPr>
        </w:r>
        <w:r w:rsidR="00C0292F">
          <w:rPr>
            <w:noProof/>
            <w:webHidden/>
          </w:rPr>
          <w:fldChar w:fldCharType="separate"/>
        </w:r>
        <w:r w:rsidR="00C0292F">
          <w:rPr>
            <w:noProof/>
            <w:webHidden/>
          </w:rPr>
          <w:t>224</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07" w:history="1">
        <w:r w:rsidR="00C0292F" w:rsidRPr="003E64CF">
          <w:rPr>
            <w:rStyle w:val="Hyperlink"/>
            <w:noProof/>
          </w:rPr>
          <w:t>Table 3</w:t>
        </w:r>
        <w:r w:rsidR="00C0292F" w:rsidRPr="003E64CF">
          <w:rPr>
            <w:rStyle w:val="Hyperlink"/>
            <w:noProof/>
          </w:rPr>
          <w:noBreakHyphen/>
          <w:t>55: Cooling EFLH for Key PA Cities</w:t>
        </w:r>
        <w:r w:rsidR="00C0292F">
          <w:rPr>
            <w:noProof/>
            <w:webHidden/>
          </w:rPr>
          <w:tab/>
        </w:r>
        <w:r w:rsidR="00C0292F">
          <w:rPr>
            <w:noProof/>
            <w:webHidden/>
          </w:rPr>
          <w:fldChar w:fldCharType="begin"/>
        </w:r>
        <w:r w:rsidR="00C0292F">
          <w:rPr>
            <w:noProof/>
            <w:webHidden/>
          </w:rPr>
          <w:instrText xml:space="preserve"> PAGEREF _Toc310875607 \h </w:instrText>
        </w:r>
        <w:r w:rsidR="00C0292F">
          <w:rPr>
            <w:noProof/>
            <w:webHidden/>
          </w:rPr>
        </w:r>
        <w:r w:rsidR="00C0292F">
          <w:rPr>
            <w:noProof/>
            <w:webHidden/>
          </w:rPr>
          <w:fldChar w:fldCharType="separate"/>
        </w:r>
        <w:r w:rsidR="00C0292F">
          <w:rPr>
            <w:noProof/>
            <w:webHidden/>
          </w:rPr>
          <w:t>225</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08" w:history="1">
        <w:r w:rsidR="00C0292F" w:rsidRPr="003E64CF">
          <w:rPr>
            <w:rStyle w:val="Hyperlink"/>
            <w:noProof/>
          </w:rPr>
          <w:t>Table 3</w:t>
        </w:r>
        <w:r w:rsidR="00C0292F" w:rsidRPr="003E64CF">
          <w:rPr>
            <w:rStyle w:val="Hyperlink"/>
            <w:noProof/>
          </w:rPr>
          <w:noBreakHyphen/>
          <w:t>56: Deemed Energy Savings and Demand Reductions for Strip Curtains</w:t>
        </w:r>
        <w:r w:rsidR="00C0292F">
          <w:rPr>
            <w:noProof/>
            <w:webHidden/>
          </w:rPr>
          <w:tab/>
        </w:r>
        <w:r w:rsidR="00C0292F">
          <w:rPr>
            <w:noProof/>
            <w:webHidden/>
          </w:rPr>
          <w:fldChar w:fldCharType="begin"/>
        </w:r>
        <w:r w:rsidR="00C0292F">
          <w:rPr>
            <w:noProof/>
            <w:webHidden/>
          </w:rPr>
          <w:instrText xml:space="preserve"> PAGEREF _Toc310875608 \h </w:instrText>
        </w:r>
        <w:r w:rsidR="00C0292F">
          <w:rPr>
            <w:noProof/>
            <w:webHidden/>
          </w:rPr>
        </w:r>
        <w:r w:rsidR="00C0292F">
          <w:rPr>
            <w:noProof/>
            <w:webHidden/>
          </w:rPr>
          <w:fldChar w:fldCharType="separate"/>
        </w:r>
        <w:r w:rsidR="00C0292F">
          <w:rPr>
            <w:noProof/>
            <w:webHidden/>
          </w:rPr>
          <w:t>230</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09" w:history="1">
        <w:r w:rsidR="00C0292F" w:rsidRPr="003E64CF">
          <w:rPr>
            <w:rStyle w:val="Hyperlink"/>
            <w:noProof/>
          </w:rPr>
          <w:t>Table 3</w:t>
        </w:r>
        <w:r w:rsidR="00C0292F" w:rsidRPr="003E64CF">
          <w:rPr>
            <w:rStyle w:val="Hyperlink"/>
            <w:noProof/>
          </w:rPr>
          <w:noBreakHyphen/>
          <w:t>57: Strip Curtain Calculation Assumptions for Supermarkets</w:t>
        </w:r>
        <w:r w:rsidR="00C0292F">
          <w:rPr>
            <w:noProof/>
            <w:webHidden/>
          </w:rPr>
          <w:tab/>
        </w:r>
        <w:r w:rsidR="00C0292F">
          <w:rPr>
            <w:noProof/>
            <w:webHidden/>
          </w:rPr>
          <w:fldChar w:fldCharType="begin"/>
        </w:r>
        <w:r w:rsidR="00C0292F">
          <w:rPr>
            <w:noProof/>
            <w:webHidden/>
          </w:rPr>
          <w:instrText xml:space="preserve"> PAGEREF _Toc310875609 \h </w:instrText>
        </w:r>
        <w:r w:rsidR="00C0292F">
          <w:rPr>
            <w:noProof/>
            <w:webHidden/>
          </w:rPr>
        </w:r>
        <w:r w:rsidR="00C0292F">
          <w:rPr>
            <w:noProof/>
            <w:webHidden/>
          </w:rPr>
          <w:fldChar w:fldCharType="separate"/>
        </w:r>
        <w:r w:rsidR="00C0292F">
          <w:rPr>
            <w:noProof/>
            <w:webHidden/>
          </w:rPr>
          <w:t>231</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10" w:history="1">
        <w:r w:rsidR="00C0292F" w:rsidRPr="003E64CF">
          <w:rPr>
            <w:rStyle w:val="Hyperlink"/>
            <w:noProof/>
          </w:rPr>
          <w:t>Table 3</w:t>
        </w:r>
        <w:r w:rsidR="00C0292F" w:rsidRPr="003E64CF">
          <w:rPr>
            <w:rStyle w:val="Hyperlink"/>
            <w:noProof/>
          </w:rPr>
          <w:noBreakHyphen/>
          <w:t>58: Strip Curtain Calculation Assumptions for Convenience Stores</w:t>
        </w:r>
        <w:r w:rsidR="00C0292F">
          <w:rPr>
            <w:noProof/>
            <w:webHidden/>
          </w:rPr>
          <w:tab/>
        </w:r>
        <w:r w:rsidR="00C0292F">
          <w:rPr>
            <w:noProof/>
            <w:webHidden/>
          </w:rPr>
          <w:fldChar w:fldCharType="begin"/>
        </w:r>
        <w:r w:rsidR="00C0292F">
          <w:rPr>
            <w:noProof/>
            <w:webHidden/>
          </w:rPr>
          <w:instrText xml:space="preserve"> PAGEREF _Toc310875610 \h </w:instrText>
        </w:r>
        <w:r w:rsidR="00C0292F">
          <w:rPr>
            <w:noProof/>
            <w:webHidden/>
          </w:rPr>
        </w:r>
        <w:r w:rsidR="00C0292F">
          <w:rPr>
            <w:noProof/>
            <w:webHidden/>
          </w:rPr>
          <w:fldChar w:fldCharType="separate"/>
        </w:r>
        <w:r w:rsidR="00C0292F">
          <w:rPr>
            <w:noProof/>
            <w:webHidden/>
          </w:rPr>
          <w:t>231</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11" w:history="1">
        <w:r w:rsidR="00C0292F" w:rsidRPr="003E64CF">
          <w:rPr>
            <w:rStyle w:val="Hyperlink"/>
            <w:noProof/>
          </w:rPr>
          <w:t>Table 3</w:t>
        </w:r>
        <w:r w:rsidR="00C0292F" w:rsidRPr="003E64CF">
          <w:rPr>
            <w:rStyle w:val="Hyperlink"/>
            <w:noProof/>
          </w:rPr>
          <w:noBreakHyphen/>
          <w:t>59: Strip Curtain Calculation Assumptions for Restaurant</w:t>
        </w:r>
        <w:r w:rsidR="00C0292F">
          <w:rPr>
            <w:noProof/>
            <w:webHidden/>
          </w:rPr>
          <w:tab/>
        </w:r>
        <w:r w:rsidR="00C0292F">
          <w:rPr>
            <w:noProof/>
            <w:webHidden/>
          </w:rPr>
          <w:fldChar w:fldCharType="begin"/>
        </w:r>
        <w:r w:rsidR="00C0292F">
          <w:rPr>
            <w:noProof/>
            <w:webHidden/>
          </w:rPr>
          <w:instrText xml:space="preserve"> PAGEREF _Toc310875611 \h </w:instrText>
        </w:r>
        <w:r w:rsidR="00C0292F">
          <w:rPr>
            <w:noProof/>
            <w:webHidden/>
          </w:rPr>
        </w:r>
        <w:r w:rsidR="00C0292F">
          <w:rPr>
            <w:noProof/>
            <w:webHidden/>
          </w:rPr>
          <w:fldChar w:fldCharType="separate"/>
        </w:r>
        <w:r w:rsidR="00C0292F">
          <w:rPr>
            <w:noProof/>
            <w:webHidden/>
          </w:rPr>
          <w:t>232</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12" w:history="1">
        <w:r w:rsidR="00C0292F" w:rsidRPr="003E64CF">
          <w:rPr>
            <w:rStyle w:val="Hyperlink"/>
            <w:noProof/>
          </w:rPr>
          <w:t>Table 3</w:t>
        </w:r>
        <w:r w:rsidR="00C0292F" w:rsidRPr="003E64CF">
          <w:rPr>
            <w:rStyle w:val="Hyperlink"/>
            <w:noProof/>
          </w:rPr>
          <w:noBreakHyphen/>
          <w:t>60: Strip Curtain Calculation Assumptions for Refrigerated Warehouse</w:t>
        </w:r>
        <w:r w:rsidR="00C0292F">
          <w:rPr>
            <w:noProof/>
            <w:webHidden/>
          </w:rPr>
          <w:tab/>
        </w:r>
        <w:r w:rsidR="00C0292F">
          <w:rPr>
            <w:noProof/>
            <w:webHidden/>
          </w:rPr>
          <w:fldChar w:fldCharType="begin"/>
        </w:r>
        <w:r w:rsidR="00C0292F">
          <w:rPr>
            <w:noProof/>
            <w:webHidden/>
          </w:rPr>
          <w:instrText xml:space="preserve"> PAGEREF _Toc310875612 \h </w:instrText>
        </w:r>
        <w:r w:rsidR="00C0292F">
          <w:rPr>
            <w:noProof/>
            <w:webHidden/>
          </w:rPr>
        </w:r>
        <w:r w:rsidR="00C0292F">
          <w:rPr>
            <w:noProof/>
            <w:webHidden/>
          </w:rPr>
          <w:fldChar w:fldCharType="separate"/>
        </w:r>
        <w:r w:rsidR="00C0292F">
          <w:rPr>
            <w:noProof/>
            <w:webHidden/>
          </w:rPr>
          <w:t>233</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13" w:history="1">
        <w:r w:rsidR="00C0292F" w:rsidRPr="003E64CF">
          <w:rPr>
            <w:rStyle w:val="Hyperlink"/>
            <w:noProof/>
          </w:rPr>
          <w:t>Table 3</w:t>
        </w:r>
        <w:r w:rsidR="00C0292F" w:rsidRPr="003E64CF">
          <w:rPr>
            <w:rStyle w:val="Hyperlink"/>
            <w:noProof/>
          </w:rPr>
          <w:noBreakHyphen/>
          <w:t>61: Geothermal Heat Pump Baseline Assumptions</w:t>
        </w:r>
        <w:r w:rsidR="00C0292F">
          <w:rPr>
            <w:noProof/>
            <w:webHidden/>
          </w:rPr>
          <w:tab/>
        </w:r>
        <w:r w:rsidR="00C0292F">
          <w:rPr>
            <w:noProof/>
            <w:webHidden/>
          </w:rPr>
          <w:fldChar w:fldCharType="begin"/>
        </w:r>
        <w:r w:rsidR="00C0292F">
          <w:rPr>
            <w:noProof/>
            <w:webHidden/>
          </w:rPr>
          <w:instrText xml:space="preserve"> PAGEREF _Toc310875613 \h </w:instrText>
        </w:r>
        <w:r w:rsidR="00C0292F">
          <w:rPr>
            <w:noProof/>
            <w:webHidden/>
          </w:rPr>
        </w:r>
        <w:r w:rsidR="00C0292F">
          <w:rPr>
            <w:noProof/>
            <w:webHidden/>
          </w:rPr>
          <w:fldChar w:fldCharType="separate"/>
        </w:r>
        <w:r w:rsidR="00C0292F">
          <w:rPr>
            <w:noProof/>
            <w:webHidden/>
          </w:rPr>
          <w:t>236</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14" w:history="1">
        <w:r w:rsidR="00C0292F" w:rsidRPr="003E64CF">
          <w:rPr>
            <w:rStyle w:val="Hyperlink"/>
            <w:noProof/>
          </w:rPr>
          <w:t>Table 3</w:t>
        </w:r>
        <w:r w:rsidR="00C0292F" w:rsidRPr="003E64CF">
          <w:rPr>
            <w:rStyle w:val="Hyperlink"/>
            <w:noProof/>
          </w:rPr>
          <w:noBreakHyphen/>
          <w:t>62: Geothermal Heat Pump– Values and References</w:t>
        </w:r>
        <w:r w:rsidR="00C0292F">
          <w:rPr>
            <w:noProof/>
            <w:webHidden/>
          </w:rPr>
          <w:tab/>
        </w:r>
        <w:r w:rsidR="00C0292F">
          <w:rPr>
            <w:noProof/>
            <w:webHidden/>
          </w:rPr>
          <w:fldChar w:fldCharType="begin"/>
        </w:r>
        <w:r w:rsidR="00C0292F">
          <w:rPr>
            <w:noProof/>
            <w:webHidden/>
          </w:rPr>
          <w:instrText xml:space="preserve"> PAGEREF _Toc310875614 \h </w:instrText>
        </w:r>
        <w:r w:rsidR="00C0292F">
          <w:rPr>
            <w:noProof/>
            <w:webHidden/>
          </w:rPr>
        </w:r>
        <w:r w:rsidR="00C0292F">
          <w:rPr>
            <w:noProof/>
            <w:webHidden/>
          </w:rPr>
          <w:fldChar w:fldCharType="separate"/>
        </w:r>
        <w:r w:rsidR="00C0292F">
          <w:rPr>
            <w:noProof/>
            <w:webHidden/>
          </w:rPr>
          <w:t>239</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15" w:history="1">
        <w:r w:rsidR="00C0292F" w:rsidRPr="003E64CF">
          <w:rPr>
            <w:rStyle w:val="Hyperlink"/>
            <w:noProof/>
          </w:rPr>
          <w:t>Table 3</w:t>
        </w:r>
        <w:r w:rsidR="00C0292F" w:rsidRPr="003E64CF">
          <w:rPr>
            <w:rStyle w:val="Hyperlink"/>
            <w:noProof/>
          </w:rPr>
          <w:noBreakHyphen/>
          <w:t>63:  Federal Minimum Efficiency Requirements for Motors</w:t>
        </w:r>
        <w:r w:rsidR="00C0292F">
          <w:rPr>
            <w:noProof/>
            <w:webHidden/>
          </w:rPr>
          <w:tab/>
        </w:r>
        <w:r w:rsidR="00C0292F">
          <w:rPr>
            <w:noProof/>
            <w:webHidden/>
          </w:rPr>
          <w:fldChar w:fldCharType="begin"/>
        </w:r>
        <w:r w:rsidR="00C0292F">
          <w:rPr>
            <w:noProof/>
            <w:webHidden/>
          </w:rPr>
          <w:instrText xml:space="preserve"> PAGEREF _Toc310875615 \h </w:instrText>
        </w:r>
        <w:r w:rsidR="00C0292F">
          <w:rPr>
            <w:noProof/>
            <w:webHidden/>
          </w:rPr>
        </w:r>
        <w:r w:rsidR="00C0292F">
          <w:rPr>
            <w:noProof/>
            <w:webHidden/>
          </w:rPr>
          <w:fldChar w:fldCharType="separate"/>
        </w:r>
        <w:r w:rsidR="00C0292F">
          <w:rPr>
            <w:noProof/>
            <w:webHidden/>
          </w:rPr>
          <w:t>241</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16" w:history="1">
        <w:r w:rsidR="00C0292F" w:rsidRPr="003E64CF">
          <w:rPr>
            <w:rStyle w:val="Hyperlink"/>
            <w:noProof/>
          </w:rPr>
          <w:t>Table 3</w:t>
        </w:r>
        <w:r w:rsidR="00C0292F" w:rsidRPr="003E64CF">
          <w:rPr>
            <w:rStyle w:val="Hyperlink"/>
            <w:noProof/>
          </w:rPr>
          <w:noBreakHyphen/>
          <w:t>64:  Ground Loop Pump Efficiency</w:t>
        </w:r>
        <w:r w:rsidR="00C0292F">
          <w:rPr>
            <w:noProof/>
            <w:webHidden/>
          </w:rPr>
          <w:tab/>
        </w:r>
        <w:r w:rsidR="00C0292F">
          <w:rPr>
            <w:noProof/>
            <w:webHidden/>
          </w:rPr>
          <w:fldChar w:fldCharType="begin"/>
        </w:r>
        <w:r w:rsidR="00C0292F">
          <w:rPr>
            <w:noProof/>
            <w:webHidden/>
          </w:rPr>
          <w:instrText xml:space="preserve"> PAGEREF _Toc310875616 \h </w:instrText>
        </w:r>
        <w:r w:rsidR="00C0292F">
          <w:rPr>
            <w:noProof/>
            <w:webHidden/>
          </w:rPr>
        </w:r>
        <w:r w:rsidR="00C0292F">
          <w:rPr>
            <w:noProof/>
            <w:webHidden/>
          </w:rPr>
          <w:fldChar w:fldCharType="separate"/>
        </w:r>
        <w:r w:rsidR="00C0292F">
          <w:rPr>
            <w:noProof/>
            <w:webHidden/>
          </w:rPr>
          <w:t>241</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17" w:history="1">
        <w:r w:rsidR="00C0292F" w:rsidRPr="003E64CF">
          <w:rPr>
            <w:rStyle w:val="Hyperlink"/>
            <w:noProof/>
          </w:rPr>
          <w:t>Table 3</w:t>
        </w:r>
        <w:r w:rsidR="00C0292F" w:rsidRPr="003E64CF">
          <w:rPr>
            <w:rStyle w:val="Hyperlink"/>
            <w:noProof/>
          </w:rPr>
          <w:noBreakHyphen/>
          <w:t>65: Default Baseline Equipment Efficiencies</w:t>
        </w:r>
        <w:r w:rsidR="00C0292F">
          <w:rPr>
            <w:noProof/>
            <w:webHidden/>
          </w:rPr>
          <w:tab/>
        </w:r>
        <w:r w:rsidR="00C0292F">
          <w:rPr>
            <w:noProof/>
            <w:webHidden/>
          </w:rPr>
          <w:fldChar w:fldCharType="begin"/>
        </w:r>
        <w:r w:rsidR="00C0292F">
          <w:rPr>
            <w:noProof/>
            <w:webHidden/>
          </w:rPr>
          <w:instrText xml:space="preserve"> PAGEREF _Toc310875617 \h </w:instrText>
        </w:r>
        <w:r w:rsidR="00C0292F">
          <w:rPr>
            <w:noProof/>
            <w:webHidden/>
          </w:rPr>
        </w:r>
        <w:r w:rsidR="00C0292F">
          <w:rPr>
            <w:noProof/>
            <w:webHidden/>
          </w:rPr>
          <w:fldChar w:fldCharType="separate"/>
        </w:r>
        <w:r w:rsidR="00C0292F">
          <w:rPr>
            <w:noProof/>
            <w:webHidden/>
          </w:rPr>
          <w:t>242</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18" w:history="1">
        <w:r w:rsidR="00C0292F" w:rsidRPr="003E64CF">
          <w:rPr>
            <w:rStyle w:val="Hyperlink"/>
            <w:noProof/>
          </w:rPr>
          <w:t>Table 3</w:t>
        </w:r>
        <w:r w:rsidR="00C0292F" w:rsidRPr="003E64CF">
          <w:rPr>
            <w:rStyle w:val="Hyperlink"/>
            <w:noProof/>
          </w:rPr>
          <w:noBreakHyphen/>
          <w:t>67: DHP – Values and References</w:t>
        </w:r>
        <w:r w:rsidR="00C0292F">
          <w:rPr>
            <w:noProof/>
            <w:webHidden/>
          </w:rPr>
          <w:tab/>
        </w:r>
        <w:r w:rsidR="00C0292F">
          <w:rPr>
            <w:noProof/>
            <w:webHidden/>
          </w:rPr>
          <w:fldChar w:fldCharType="begin"/>
        </w:r>
        <w:r w:rsidR="00C0292F">
          <w:rPr>
            <w:noProof/>
            <w:webHidden/>
          </w:rPr>
          <w:instrText xml:space="preserve"> PAGEREF _Toc310875618 \h </w:instrText>
        </w:r>
        <w:r w:rsidR="00C0292F">
          <w:rPr>
            <w:noProof/>
            <w:webHidden/>
          </w:rPr>
        </w:r>
        <w:r w:rsidR="00C0292F">
          <w:rPr>
            <w:noProof/>
            <w:webHidden/>
          </w:rPr>
          <w:fldChar w:fldCharType="separate"/>
        </w:r>
        <w:r w:rsidR="00C0292F">
          <w:rPr>
            <w:noProof/>
            <w:webHidden/>
          </w:rPr>
          <w:t>246</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19" w:history="1">
        <w:r w:rsidR="00C0292F" w:rsidRPr="003E64CF">
          <w:rPr>
            <w:rStyle w:val="Hyperlink"/>
            <w:noProof/>
          </w:rPr>
          <w:t>Table 3</w:t>
        </w:r>
        <w:r w:rsidR="00C0292F" w:rsidRPr="003E64CF">
          <w:rPr>
            <w:rStyle w:val="Hyperlink"/>
            <w:noProof/>
          </w:rPr>
          <w:noBreakHyphen/>
          <w:t>68: Cooling EFLH for Pennsylvania Cities</w:t>
        </w:r>
        <w:r w:rsidR="00C0292F" w:rsidRPr="003E64CF">
          <w:rPr>
            <w:rStyle w:val="Hyperlink"/>
            <w:noProof/>
            <w:vertAlign w:val="superscript"/>
          </w:rPr>
          <w:t xml:space="preserve">, , </w:t>
        </w:r>
        <w:r w:rsidR="00C0292F">
          <w:rPr>
            <w:noProof/>
            <w:webHidden/>
          </w:rPr>
          <w:tab/>
        </w:r>
        <w:r w:rsidR="00C0292F">
          <w:rPr>
            <w:noProof/>
            <w:webHidden/>
          </w:rPr>
          <w:fldChar w:fldCharType="begin"/>
        </w:r>
        <w:r w:rsidR="00C0292F">
          <w:rPr>
            <w:noProof/>
            <w:webHidden/>
          </w:rPr>
          <w:instrText xml:space="preserve"> PAGEREF _Toc310875619 \h </w:instrText>
        </w:r>
        <w:r w:rsidR="00C0292F">
          <w:rPr>
            <w:noProof/>
            <w:webHidden/>
          </w:rPr>
        </w:r>
        <w:r w:rsidR="00C0292F">
          <w:rPr>
            <w:noProof/>
            <w:webHidden/>
          </w:rPr>
          <w:fldChar w:fldCharType="separate"/>
        </w:r>
        <w:r w:rsidR="00C0292F">
          <w:rPr>
            <w:noProof/>
            <w:webHidden/>
          </w:rPr>
          <w:t>248</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20" w:history="1">
        <w:r w:rsidR="00C0292F" w:rsidRPr="003E64CF">
          <w:rPr>
            <w:rStyle w:val="Hyperlink"/>
            <w:noProof/>
          </w:rPr>
          <w:t>Table 3</w:t>
        </w:r>
        <w:r w:rsidR="00C0292F" w:rsidRPr="003E64CF">
          <w:rPr>
            <w:rStyle w:val="Hyperlink"/>
            <w:noProof/>
          </w:rPr>
          <w:noBreakHyphen/>
          <w:t>69: Heating EFLH for Pennsylvania Cities</w:t>
        </w:r>
        <w:r w:rsidR="00C0292F" w:rsidRPr="003E64CF">
          <w:rPr>
            <w:rStyle w:val="Hyperlink"/>
            <w:noProof/>
            <w:vertAlign w:val="superscript"/>
          </w:rPr>
          <w:t xml:space="preserve">, , </w:t>
        </w:r>
        <w:r w:rsidR="00C0292F">
          <w:rPr>
            <w:noProof/>
            <w:webHidden/>
          </w:rPr>
          <w:tab/>
        </w:r>
        <w:r w:rsidR="00C0292F">
          <w:rPr>
            <w:noProof/>
            <w:webHidden/>
          </w:rPr>
          <w:fldChar w:fldCharType="begin"/>
        </w:r>
        <w:r w:rsidR="00C0292F">
          <w:rPr>
            <w:noProof/>
            <w:webHidden/>
          </w:rPr>
          <w:instrText xml:space="preserve"> PAGEREF _Toc310875620 \h </w:instrText>
        </w:r>
        <w:r w:rsidR="00C0292F">
          <w:rPr>
            <w:noProof/>
            <w:webHidden/>
          </w:rPr>
        </w:r>
        <w:r w:rsidR="00C0292F">
          <w:rPr>
            <w:noProof/>
            <w:webHidden/>
          </w:rPr>
          <w:fldChar w:fldCharType="separate"/>
        </w:r>
        <w:r w:rsidR="00C0292F">
          <w:rPr>
            <w:noProof/>
            <w:webHidden/>
          </w:rPr>
          <w:t>249</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21" w:history="1">
        <w:r w:rsidR="00C0292F" w:rsidRPr="003E64CF">
          <w:rPr>
            <w:rStyle w:val="Hyperlink"/>
            <w:noProof/>
          </w:rPr>
          <w:t>Table 3</w:t>
        </w:r>
        <w:r w:rsidR="00C0292F" w:rsidRPr="003E64CF">
          <w:rPr>
            <w:rStyle w:val="Hyperlink"/>
            <w:noProof/>
          </w:rPr>
          <w:noBreakHyphen/>
          <w:t>70: Steam Cooker - Values and References</w:t>
        </w:r>
        <w:r w:rsidR="00C0292F">
          <w:rPr>
            <w:noProof/>
            <w:webHidden/>
          </w:rPr>
          <w:tab/>
        </w:r>
        <w:r w:rsidR="00C0292F">
          <w:rPr>
            <w:noProof/>
            <w:webHidden/>
          </w:rPr>
          <w:fldChar w:fldCharType="begin"/>
        </w:r>
        <w:r w:rsidR="00C0292F">
          <w:rPr>
            <w:noProof/>
            <w:webHidden/>
          </w:rPr>
          <w:instrText xml:space="preserve"> PAGEREF _Toc310875621 \h </w:instrText>
        </w:r>
        <w:r w:rsidR="00C0292F">
          <w:rPr>
            <w:noProof/>
            <w:webHidden/>
          </w:rPr>
        </w:r>
        <w:r w:rsidR="00C0292F">
          <w:rPr>
            <w:noProof/>
            <w:webHidden/>
          </w:rPr>
          <w:fldChar w:fldCharType="separate"/>
        </w:r>
        <w:r w:rsidR="00C0292F">
          <w:rPr>
            <w:noProof/>
            <w:webHidden/>
          </w:rPr>
          <w:t>252</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22" w:history="1">
        <w:r w:rsidR="00C0292F" w:rsidRPr="003E64CF">
          <w:rPr>
            <w:rStyle w:val="Hyperlink"/>
            <w:noProof/>
          </w:rPr>
          <w:t>Table 3</w:t>
        </w:r>
        <w:r w:rsidR="00C0292F" w:rsidRPr="003E64CF">
          <w:rPr>
            <w:rStyle w:val="Hyperlink"/>
            <w:noProof/>
          </w:rPr>
          <w:noBreakHyphen/>
          <w:t>71: Default Values</w:t>
        </w:r>
        <w:r w:rsidR="00C0292F" w:rsidRPr="003E64CF">
          <w:rPr>
            <w:rStyle w:val="Hyperlink"/>
            <w:rFonts w:cs="Arial"/>
            <w:noProof/>
          </w:rPr>
          <w:t xml:space="preserve"> for Electric Steam Cookers by Number of Pans</w:t>
        </w:r>
        <w:r w:rsidR="00C0292F">
          <w:rPr>
            <w:noProof/>
            <w:webHidden/>
          </w:rPr>
          <w:tab/>
        </w:r>
        <w:r w:rsidR="00C0292F">
          <w:rPr>
            <w:noProof/>
            <w:webHidden/>
          </w:rPr>
          <w:fldChar w:fldCharType="begin"/>
        </w:r>
        <w:r w:rsidR="00C0292F">
          <w:rPr>
            <w:noProof/>
            <w:webHidden/>
          </w:rPr>
          <w:instrText xml:space="preserve"> PAGEREF _Toc310875622 \h </w:instrText>
        </w:r>
        <w:r w:rsidR="00C0292F">
          <w:rPr>
            <w:noProof/>
            <w:webHidden/>
          </w:rPr>
        </w:r>
        <w:r w:rsidR="00C0292F">
          <w:rPr>
            <w:noProof/>
            <w:webHidden/>
          </w:rPr>
          <w:fldChar w:fldCharType="separate"/>
        </w:r>
        <w:r w:rsidR="00C0292F">
          <w:rPr>
            <w:noProof/>
            <w:webHidden/>
          </w:rPr>
          <w:t>253</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23" w:history="1">
        <w:r w:rsidR="00C0292F" w:rsidRPr="003E64CF">
          <w:rPr>
            <w:rStyle w:val="Hyperlink"/>
            <w:noProof/>
          </w:rPr>
          <w:t>Table 3</w:t>
        </w:r>
        <w:r w:rsidR="00C0292F" w:rsidRPr="003E64CF">
          <w:rPr>
            <w:rStyle w:val="Hyperlink"/>
            <w:noProof/>
          </w:rPr>
          <w:noBreakHyphen/>
          <w:t>72: Night Covers Calculations Assumptions</w:t>
        </w:r>
        <w:r w:rsidR="00C0292F">
          <w:rPr>
            <w:noProof/>
            <w:webHidden/>
          </w:rPr>
          <w:tab/>
        </w:r>
        <w:r w:rsidR="00C0292F">
          <w:rPr>
            <w:noProof/>
            <w:webHidden/>
          </w:rPr>
          <w:fldChar w:fldCharType="begin"/>
        </w:r>
        <w:r w:rsidR="00C0292F">
          <w:rPr>
            <w:noProof/>
            <w:webHidden/>
          </w:rPr>
          <w:instrText xml:space="preserve"> PAGEREF _Toc310875623 \h </w:instrText>
        </w:r>
        <w:r w:rsidR="00C0292F">
          <w:rPr>
            <w:noProof/>
            <w:webHidden/>
          </w:rPr>
        </w:r>
        <w:r w:rsidR="00C0292F">
          <w:rPr>
            <w:noProof/>
            <w:webHidden/>
          </w:rPr>
          <w:fldChar w:fldCharType="separate"/>
        </w:r>
        <w:r w:rsidR="00C0292F">
          <w:rPr>
            <w:noProof/>
            <w:webHidden/>
          </w:rPr>
          <w:t>256</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24" w:history="1">
        <w:r w:rsidR="00C0292F" w:rsidRPr="003E64CF">
          <w:rPr>
            <w:rStyle w:val="Hyperlink"/>
            <w:noProof/>
          </w:rPr>
          <w:t>Table 3</w:t>
        </w:r>
        <w:r w:rsidR="00C0292F" w:rsidRPr="003E64CF">
          <w:rPr>
            <w:rStyle w:val="Hyperlink"/>
            <w:noProof/>
          </w:rPr>
          <w:noBreakHyphen/>
          <w:t>73: Savings Factors</w:t>
        </w:r>
        <w:r w:rsidR="00C0292F">
          <w:rPr>
            <w:noProof/>
            <w:webHidden/>
          </w:rPr>
          <w:tab/>
        </w:r>
        <w:r w:rsidR="00C0292F">
          <w:rPr>
            <w:noProof/>
            <w:webHidden/>
          </w:rPr>
          <w:fldChar w:fldCharType="begin"/>
        </w:r>
        <w:r w:rsidR="00C0292F">
          <w:rPr>
            <w:noProof/>
            <w:webHidden/>
          </w:rPr>
          <w:instrText xml:space="preserve"> PAGEREF _Toc310875624 \h </w:instrText>
        </w:r>
        <w:r w:rsidR="00C0292F">
          <w:rPr>
            <w:noProof/>
            <w:webHidden/>
          </w:rPr>
        </w:r>
        <w:r w:rsidR="00C0292F">
          <w:rPr>
            <w:noProof/>
            <w:webHidden/>
          </w:rPr>
          <w:fldChar w:fldCharType="separate"/>
        </w:r>
        <w:r w:rsidR="00C0292F">
          <w:rPr>
            <w:noProof/>
            <w:webHidden/>
          </w:rPr>
          <w:t>256</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25" w:history="1">
        <w:r w:rsidR="00C0292F" w:rsidRPr="003E64CF">
          <w:rPr>
            <w:rStyle w:val="Hyperlink"/>
            <w:noProof/>
          </w:rPr>
          <w:t>Table 3</w:t>
        </w:r>
        <w:r w:rsidR="00C0292F" w:rsidRPr="003E64CF">
          <w:rPr>
            <w:rStyle w:val="Hyperlink"/>
            <w:noProof/>
          </w:rPr>
          <w:noBreakHyphen/>
          <w:t>74: Network Power Controls, Per Unit Summary Table</w:t>
        </w:r>
        <w:r w:rsidR="00C0292F">
          <w:rPr>
            <w:noProof/>
            <w:webHidden/>
          </w:rPr>
          <w:tab/>
        </w:r>
        <w:r w:rsidR="00C0292F">
          <w:rPr>
            <w:noProof/>
            <w:webHidden/>
          </w:rPr>
          <w:fldChar w:fldCharType="begin"/>
        </w:r>
        <w:r w:rsidR="00C0292F">
          <w:rPr>
            <w:noProof/>
            <w:webHidden/>
          </w:rPr>
          <w:instrText xml:space="preserve"> PAGEREF _Toc310875625 \h </w:instrText>
        </w:r>
        <w:r w:rsidR="00C0292F">
          <w:rPr>
            <w:noProof/>
            <w:webHidden/>
          </w:rPr>
        </w:r>
        <w:r w:rsidR="00C0292F">
          <w:rPr>
            <w:noProof/>
            <w:webHidden/>
          </w:rPr>
          <w:fldChar w:fldCharType="separate"/>
        </w:r>
        <w:r w:rsidR="00C0292F">
          <w:rPr>
            <w:noProof/>
            <w:webHidden/>
          </w:rPr>
          <w:t>257</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26" w:history="1">
        <w:r w:rsidR="00C0292F" w:rsidRPr="003E64CF">
          <w:rPr>
            <w:rStyle w:val="Hyperlink"/>
            <w:noProof/>
          </w:rPr>
          <w:t>Table 3</w:t>
        </w:r>
        <w:r w:rsidR="00C0292F" w:rsidRPr="003E64CF">
          <w:rPr>
            <w:rStyle w:val="Hyperlink"/>
            <w:noProof/>
          </w:rPr>
          <w:noBreakHyphen/>
          <w:t>75: Refrigeration Auto Closers Calculations Assumptions</w:t>
        </w:r>
        <w:r w:rsidR="00C0292F">
          <w:rPr>
            <w:noProof/>
            <w:webHidden/>
          </w:rPr>
          <w:tab/>
        </w:r>
        <w:r w:rsidR="00C0292F">
          <w:rPr>
            <w:noProof/>
            <w:webHidden/>
          </w:rPr>
          <w:fldChar w:fldCharType="begin"/>
        </w:r>
        <w:r w:rsidR="00C0292F">
          <w:rPr>
            <w:noProof/>
            <w:webHidden/>
          </w:rPr>
          <w:instrText xml:space="preserve"> PAGEREF _Toc310875626 \h </w:instrText>
        </w:r>
        <w:r w:rsidR="00C0292F">
          <w:rPr>
            <w:noProof/>
            <w:webHidden/>
          </w:rPr>
        </w:r>
        <w:r w:rsidR="00C0292F">
          <w:rPr>
            <w:noProof/>
            <w:webHidden/>
          </w:rPr>
          <w:fldChar w:fldCharType="separate"/>
        </w:r>
        <w:r w:rsidR="00C0292F">
          <w:rPr>
            <w:noProof/>
            <w:webHidden/>
          </w:rPr>
          <w:t>260</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27" w:history="1">
        <w:r w:rsidR="00C0292F" w:rsidRPr="003E64CF">
          <w:rPr>
            <w:rStyle w:val="Hyperlink"/>
            <w:noProof/>
          </w:rPr>
          <w:t>Table 3</w:t>
        </w:r>
        <w:r w:rsidR="00C0292F" w:rsidRPr="003E64CF">
          <w:rPr>
            <w:rStyle w:val="Hyperlink"/>
            <w:noProof/>
          </w:rPr>
          <w:noBreakHyphen/>
          <w:t>76: Door Gasket Assumptions</w:t>
        </w:r>
        <w:r w:rsidR="00C0292F">
          <w:rPr>
            <w:noProof/>
            <w:webHidden/>
          </w:rPr>
          <w:tab/>
        </w:r>
        <w:r w:rsidR="00C0292F">
          <w:rPr>
            <w:noProof/>
            <w:webHidden/>
          </w:rPr>
          <w:fldChar w:fldCharType="begin"/>
        </w:r>
        <w:r w:rsidR="00C0292F">
          <w:rPr>
            <w:noProof/>
            <w:webHidden/>
          </w:rPr>
          <w:instrText xml:space="preserve"> PAGEREF _Toc310875627 \h </w:instrText>
        </w:r>
        <w:r w:rsidR="00C0292F">
          <w:rPr>
            <w:noProof/>
            <w:webHidden/>
          </w:rPr>
        </w:r>
        <w:r w:rsidR="00C0292F">
          <w:rPr>
            <w:noProof/>
            <w:webHidden/>
          </w:rPr>
          <w:fldChar w:fldCharType="separate"/>
        </w:r>
        <w:r w:rsidR="00C0292F">
          <w:rPr>
            <w:noProof/>
            <w:webHidden/>
          </w:rPr>
          <w:t>261</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28" w:history="1">
        <w:r w:rsidR="00C0292F" w:rsidRPr="003E64CF">
          <w:rPr>
            <w:rStyle w:val="Hyperlink"/>
            <w:noProof/>
          </w:rPr>
          <w:t>Table 3</w:t>
        </w:r>
        <w:r w:rsidR="00C0292F" w:rsidRPr="003E64CF">
          <w:rPr>
            <w:rStyle w:val="Hyperlink"/>
            <w:noProof/>
          </w:rPr>
          <w:noBreakHyphen/>
          <w:t>77: Door Gasket Savings per Linear Foot (CZ 4 Allentown, Pittsburgh, Williamstown)</w:t>
        </w:r>
        <w:r w:rsidR="00C0292F">
          <w:rPr>
            <w:noProof/>
            <w:webHidden/>
          </w:rPr>
          <w:tab/>
        </w:r>
        <w:r w:rsidR="00C0292F">
          <w:rPr>
            <w:noProof/>
            <w:webHidden/>
          </w:rPr>
          <w:fldChar w:fldCharType="begin"/>
        </w:r>
        <w:r w:rsidR="00C0292F">
          <w:rPr>
            <w:noProof/>
            <w:webHidden/>
          </w:rPr>
          <w:instrText xml:space="preserve"> PAGEREF _Toc310875628 \h </w:instrText>
        </w:r>
        <w:r w:rsidR="00C0292F">
          <w:rPr>
            <w:noProof/>
            <w:webHidden/>
          </w:rPr>
        </w:r>
        <w:r w:rsidR="00C0292F">
          <w:rPr>
            <w:noProof/>
            <w:webHidden/>
          </w:rPr>
          <w:fldChar w:fldCharType="separate"/>
        </w:r>
        <w:r w:rsidR="00C0292F">
          <w:rPr>
            <w:noProof/>
            <w:webHidden/>
          </w:rPr>
          <w:t>262</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29" w:history="1">
        <w:r w:rsidR="00C0292F" w:rsidRPr="003E64CF">
          <w:rPr>
            <w:rStyle w:val="Hyperlink"/>
            <w:noProof/>
          </w:rPr>
          <w:t>Table 3</w:t>
        </w:r>
        <w:r w:rsidR="00C0292F" w:rsidRPr="003E64CF">
          <w:rPr>
            <w:rStyle w:val="Hyperlink"/>
            <w:noProof/>
          </w:rPr>
          <w:noBreakHyphen/>
          <w:t>78: Door Gasket Savings per Linear Foot (CZ 8 Harrisburg)</w:t>
        </w:r>
        <w:r w:rsidR="00C0292F">
          <w:rPr>
            <w:noProof/>
            <w:webHidden/>
          </w:rPr>
          <w:tab/>
        </w:r>
        <w:r w:rsidR="00C0292F">
          <w:rPr>
            <w:noProof/>
            <w:webHidden/>
          </w:rPr>
          <w:fldChar w:fldCharType="begin"/>
        </w:r>
        <w:r w:rsidR="00C0292F">
          <w:rPr>
            <w:noProof/>
            <w:webHidden/>
          </w:rPr>
          <w:instrText xml:space="preserve"> PAGEREF _Toc310875629 \h </w:instrText>
        </w:r>
        <w:r w:rsidR="00C0292F">
          <w:rPr>
            <w:noProof/>
            <w:webHidden/>
          </w:rPr>
        </w:r>
        <w:r w:rsidR="00C0292F">
          <w:rPr>
            <w:noProof/>
            <w:webHidden/>
          </w:rPr>
          <w:fldChar w:fldCharType="separate"/>
        </w:r>
        <w:r w:rsidR="00C0292F">
          <w:rPr>
            <w:noProof/>
            <w:webHidden/>
          </w:rPr>
          <w:t>262</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30" w:history="1">
        <w:r w:rsidR="00C0292F" w:rsidRPr="003E64CF">
          <w:rPr>
            <w:rStyle w:val="Hyperlink"/>
            <w:noProof/>
          </w:rPr>
          <w:t>Table 3</w:t>
        </w:r>
        <w:r w:rsidR="00C0292F" w:rsidRPr="003E64CF">
          <w:rPr>
            <w:rStyle w:val="Hyperlink"/>
            <w:noProof/>
          </w:rPr>
          <w:noBreakHyphen/>
          <w:t>79: Door Gasket Savings per Linear Foot (CZ 13 Philadelphia)</w:t>
        </w:r>
        <w:r w:rsidR="00C0292F">
          <w:rPr>
            <w:noProof/>
            <w:webHidden/>
          </w:rPr>
          <w:tab/>
        </w:r>
        <w:r w:rsidR="00C0292F">
          <w:rPr>
            <w:noProof/>
            <w:webHidden/>
          </w:rPr>
          <w:fldChar w:fldCharType="begin"/>
        </w:r>
        <w:r w:rsidR="00C0292F">
          <w:rPr>
            <w:noProof/>
            <w:webHidden/>
          </w:rPr>
          <w:instrText xml:space="preserve"> PAGEREF _Toc310875630 \h </w:instrText>
        </w:r>
        <w:r w:rsidR="00C0292F">
          <w:rPr>
            <w:noProof/>
            <w:webHidden/>
          </w:rPr>
        </w:r>
        <w:r w:rsidR="00C0292F">
          <w:rPr>
            <w:noProof/>
            <w:webHidden/>
          </w:rPr>
          <w:fldChar w:fldCharType="separate"/>
        </w:r>
        <w:r w:rsidR="00C0292F">
          <w:rPr>
            <w:noProof/>
            <w:webHidden/>
          </w:rPr>
          <w:t>262</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31" w:history="1">
        <w:r w:rsidR="00C0292F" w:rsidRPr="003E64CF">
          <w:rPr>
            <w:rStyle w:val="Hyperlink"/>
            <w:noProof/>
          </w:rPr>
          <w:t>Table 3</w:t>
        </w:r>
        <w:r w:rsidR="00C0292F" w:rsidRPr="003E64CF">
          <w:rPr>
            <w:rStyle w:val="Hyperlink"/>
            <w:noProof/>
          </w:rPr>
          <w:noBreakHyphen/>
          <w:t>80: Door Gasket Savings per Linear Foot (CZ 16 Scranton)</w:t>
        </w:r>
        <w:r w:rsidR="00C0292F">
          <w:rPr>
            <w:noProof/>
            <w:webHidden/>
          </w:rPr>
          <w:tab/>
        </w:r>
        <w:r w:rsidR="00C0292F">
          <w:rPr>
            <w:noProof/>
            <w:webHidden/>
          </w:rPr>
          <w:fldChar w:fldCharType="begin"/>
        </w:r>
        <w:r w:rsidR="00C0292F">
          <w:rPr>
            <w:noProof/>
            <w:webHidden/>
          </w:rPr>
          <w:instrText xml:space="preserve"> PAGEREF _Toc310875631 \h </w:instrText>
        </w:r>
        <w:r w:rsidR="00C0292F">
          <w:rPr>
            <w:noProof/>
            <w:webHidden/>
          </w:rPr>
        </w:r>
        <w:r w:rsidR="00C0292F">
          <w:rPr>
            <w:noProof/>
            <w:webHidden/>
          </w:rPr>
          <w:fldChar w:fldCharType="separate"/>
        </w:r>
        <w:r w:rsidR="00C0292F">
          <w:rPr>
            <w:noProof/>
            <w:webHidden/>
          </w:rPr>
          <w:t>263</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32" w:history="1">
        <w:r w:rsidR="00C0292F" w:rsidRPr="003E64CF">
          <w:rPr>
            <w:rStyle w:val="Hyperlink"/>
            <w:noProof/>
          </w:rPr>
          <w:t>Table 3</w:t>
        </w:r>
        <w:r w:rsidR="00C0292F" w:rsidRPr="003E64CF">
          <w:rPr>
            <w:rStyle w:val="Hyperlink"/>
            <w:noProof/>
          </w:rPr>
          <w:noBreakHyphen/>
          <w:t>81: Door Gasket Savings per Linear Foot (CZ 6 Erie)</w:t>
        </w:r>
        <w:r w:rsidR="00C0292F">
          <w:rPr>
            <w:noProof/>
            <w:webHidden/>
          </w:rPr>
          <w:tab/>
        </w:r>
        <w:r w:rsidR="00C0292F">
          <w:rPr>
            <w:noProof/>
            <w:webHidden/>
          </w:rPr>
          <w:fldChar w:fldCharType="begin"/>
        </w:r>
        <w:r w:rsidR="00C0292F">
          <w:rPr>
            <w:noProof/>
            <w:webHidden/>
          </w:rPr>
          <w:instrText xml:space="preserve"> PAGEREF _Toc310875632 \h </w:instrText>
        </w:r>
        <w:r w:rsidR="00C0292F">
          <w:rPr>
            <w:noProof/>
            <w:webHidden/>
          </w:rPr>
        </w:r>
        <w:r w:rsidR="00C0292F">
          <w:rPr>
            <w:noProof/>
            <w:webHidden/>
          </w:rPr>
          <w:fldChar w:fldCharType="separate"/>
        </w:r>
        <w:r w:rsidR="00C0292F">
          <w:rPr>
            <w:noProof/>
            <w:webHidden/>
          </w:rPr>
          <w:t>263</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33" w:history="1">
        <w:r w:rsidR="00C0292F" w:rsidRPr="003E64CF">
          <w:rPr>
            <w:rStyle w:val="Hyperlink"/>
            <w:noProof/>
          </w:rPr>
          <w:t>Table 3</w:t>
        </w:r>
        <w:r w:rsidR="00C0292F" w:rsidRPr="003E64CF">
          <w:rPr>
            <w:rStyle w:val="Hyperlink"/>
            <w:noProof/>
          </w:rPr>
          <w:noBreakHyphen/>
          <w:t>82: Insulate Bare Refrigeration Suction Pipes Calculations Assumptions</w:t>
        </w:r>
        <w:r w:rsidR="00C0292F">
          <w:rPr>
            <w:noProof/>
            <w:webHidden/>
          </w:rPr>
          <w:tab/>
        </w:r>
        <w:r w:rsidR="00C0292F">
          <w:rPr>
            <w:noProof/>
            <w:webHidden/>
          </w:rPr>
          <w:fldChar w:fldCharType="begin"/>
        </w:r>
        <w:r w:rsidR="00C0292F">
          <w:rPr>
            <w:noProof/>
            <w:webHidden/>
          </w:rPr>
          <w:instrText xml:space="preserve"> PAGEREF _Toc310875633 \h </w:instrText>
        </w:r>
        <w:r w:rsidR="00C0292F">
          <w:rPr>
            <w:noProof/>
            <w:webHidden/>
          </w:rPr>
        </w:r>
        <w:r w:rsidR="00C0292F">
          <w:rPr>
            <w:noProof/>
            <w:webHidden/>
          </w:rPr>
          <w:fldChar w:fldCharType="separate"/>
        </w:r>
        <w:r w:rsidR="00C0292F">
          <w:rPr>
            <w:noProof/>
            <w:webHidden/>
          </w:rPr>
          <w:t>265</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34" w:history="1">
        <w:r w:rsidR="00C0292F" w:rsidRPr="003E64CF">
          <w:rPr>
            <w:rStyle w:val="Hyperlink"/>
            <w:noProof/>
          </w:rPr>
          <w:t>Table 3</w:t>
        </w:r>
        <w:r w:rsidR="00C0292F" w:rsidRPr="003E64CF">
          <w:rPr>
            <w:rStyle w:val="Hyperlink"/>
            <w:noProof/>
          </w:rPr>
          <w:noBreakHyphen/>
          <w:t>83: Insulate Bare Refrigeration Suction Pipes Savings per Linear Foot</w:t>
        </w:r>
        <w:r w:rsidR="00C0292F">
          <w:rPr>
            <w:noProof/>
            <w:webHidden/>
          </w:rPr>
          <w:tab/>
        </w:r>
        <w:r w:rsidR="00C0292F">
          <w:rPr>
            <w:noProof/>
            <w:webHidden/>
          </w:rPr>
          <w:fldChar w:fldCharType="begin"/>
        </w:r>
        <w:r w:rsidR="00C0292F">
          <w:rPr>
            <w:noProof/>
            <w:webHidden/>
          </w:rPr>
          <w:instrText xml:space="preserve"> PAGEREF _Toc310875634 \h </w:instrText>
        </w:r>
        <w:r w:rsidR="00C0292F">
          <w:rPr>
            <w:noProof/>
            <w:webHidden/>
          </w:rPr>
        </w:r>
        <w:r w:rsidR="00C0292F">
          <w:rPr>
            <w:noProof/>
            <w:webHidden/>
          </w:rPr>
          <w:fldChar w:fldCharType="separate"/>
        </w:r>
        <w:r w:rsidR="00C0292F">
          <w:rPr>
            <w:noProof/>
            <w:webHidden/>
          </w:rPr>
          <w:t>265</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35" w:history="1">
        <w:r w:rsidR="00C0292F" w:rsidRPr="003E64CF">
          <w:rPr>
            <w:rStyle w:val="Hyperlink"/>
            <w:noProof/>
          </w:rPr>
          <w:t>Table 3</w:t>
        </w:r>
        <w:r w:rsidR="00C0292F" w:rsidRPr="003E64CF">
          <w:rPr>
            <w:rStyle w:val="Hyperlink"/>
            <w:noProof/>
          </w:rPr>
          <w:noBreakHyphen/>
          <w:t>84: Evaporator Fan Controller Calculations Assumptions</w:t>
        </w:r>
        <w:r w:rsidR="00C0292F">
          <w:rPr>
            <w:noProof/>
            <w:webHidden/>
          </w:rPr>
          <w:tab/>
        </w:r>
        <w:r w:rsidR="00C0292F">
          <w:rPr>
            <w:noProof/>
            <w:webHidden/>
          </w:rPr>
          <w:fldChar w:fldCharType="begin"/>
        </w:r>
        <w:r w:rsidR="00C0292F">
          <w:rPr>
            <w:noProof/>
            <w:webHidden/>
          </w:rPr>
          <w:instrText xml:space="preserve"> PAGEREF _Toc310875635 \h </w:instrText>
        </w:r>
        <w:r w:rsidR="00C0292F">
          <w:rPr>
            <w:noProof/>
            <w:webHidden/>
          </w:rPr>
        </w:r>
        <w:r w:rsidR="00C0292F">
          <w:rPr>
            <w:noProof/>
            <w:webHidden/>
          </w:rPr>
          <w:fldChar w:fldCharType="separate"/>
        </w:r>
        <w:r w:rsidR="00C0292F">
          <w:rPr>
            <w:noProof/>
            <w:webHidden/>
          </w:rPr>
          <w:t>267</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36" w:history="1">
        <w:r w:rsidR="00C0292F" w:rsidRPr="003E64CF">
          <w:rPr>
            <w:rStyle w:val="Hyperlink"/>
            <w:noProof/>
          </w:rPr>
          <w:t>Table 3</w:t>
        </w:r>
        <w:r w:rsidR="00C0292F" w:rsidRPr="003E64CF">
          <w:rPr>
            <w:rStyle w:val="Hyperlink"/>
            <w:noProof/>
          </w:rPr>
          <w:noBreakHyphen/>
          <w:t>85: Commercial Clothes Washer Calculation Assumptions</w:t>
        </w:r>
        <w:r w:rsidR="00C0292F">
          <w:rPr>
            <w:noProof/>
            <w:webHidden/>
          </w:rPr>
          <w:tab/>
        </w:r>
        <w:r w:rsidR="00C0292F">
          <w:rPr>
            <w:noProof/>
            <w:webHidden/>
          </w:rPr>
          <w:fldChar w:fldCharType="begin"/>
        </w:r>
        <w:r w:rsidR="00C0292F">
          <w:rPr>
            <w:noProof/>
            <w:webHidden/>
          </w:rPr>
          <w:instrText xml:space="preserve"> PAGEREF _Toc310875636 \h </w:instrText>
        </w:r>
        <w:r w:rsidR="00C0292F">
          <w:rPr>
            <w:noProof/>
            <w:webHidden/>
          </w:rPr>
        </w:r>
        <w:r w:rsidR="00C0292F">
          <w:rPr>
            <w:noProof/>
            <w:webHidden/>
          </w:rPr>
          <w:fldChar w:fldCharType="separate"/>
        </w:r>
        <w:r w:rsidR="00C0292F">
          <w:rPr>
            <w:noProof/>
            <w:webHidden/>
          </w:rPr>
          <w:t>270</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37" w:history="1">
        <w:r w:rsidR="00C0292F" w:rsidRPr="003E64CF">
          <w:rPr>
            <w:rStyle w:val="Hyperlink"/>
            <w:noProof/>
          </w:rPr>
          <w:t>Table 3</w:t>
        </w:r>
        <w:r w:rsidR="00C0292F" w:rsidRPr="003E64CF">
          <w:rPr>
            <w:rStyle w:val="Hyperlink"/>
            <w:noProof/>
          </w:rPr>
          <w:noBreakHyphen/>
          <w:t>86: Deemed Savings for ENERGY STAR Clothes Washer</w:t>
        </w:r>
        <w:r w:rsidR="00C0292F">
          <w:rPr>
            <w:noProof/>
            <w:webHidden/>
          </w:rPr>
          <w:tab/>
        </w:r>
        <w:r w:rsidR="00C0292F">
          <w:rPr>
            <w:noProof/>
            <w:webHidden/>
          </w:rPr>
          <w:fldChar w:fldCharType="begin"/>
        </w:r>
        <w:r w:rsidR="00C0292F">
          <w:rPr>
            <w:noProof/>
            <w:webHidden/>
          </w:rPr>
          <w:instrText xml:space="preserve"> PAGEREF _Toc310875637 \h </w:instrText>
        </w:r>
        <w:r w:rsidR="00C0292F">
          <w:rPr>
            <w:noProof/>
            <w:webHidden/>
          </w:rPr>
        </w:r>
        <w:r w:rsidR="00C0292F">
          <w:rPr>
            <w:noProof/>
            <w:webHidden/>
          </w:rPr>
          <w:fldChar w:fldCharType="separate"/>
        </w:r>
        <w:r w:rsidR="00C0292F">
          <w:rPr>
            <w:noProof/>
            <w:webHidden/>
          </w:rPr>
          <w:t>271</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38" w:history="1">
        <w:r w:rsidR="00C0292F" w:rsidRPr="003E64CF">
          <w:rPr>
            <w:rStyle w:val="Hyperlink"/>
            <w:noProof/>
          </w:rPr>
          <w:t>Table 3</w:t>
        </w:r>
        <w:r w:rsidR="00C0292F" w:rsidRPr="003E64CF">
          <w:rPr>
            <w:rStyle w:val="Hyperlink"/>
            <w:noProof/>
          </w:rPr>
          <w:noBreakHyphen/>
          <w:t>87: Typical water heating loads.</w:t>
        </w:r>
        <w:r w:rsidR="00C0292F">
          <w:rPr>
            <w:noProof/>
            <w:webHidden/>
          </w:rPr>
          <w:tab/>
        </w:r>
        <w:r w:rsidR="00C0292F">
          <w:rPr>
            <w:noProof/>
            <w:webHidden/>
          </w:rPr>
          <w:fldChar w:fldCharType="begin"/>
        </w:r>
        <w:r w:rsidR="00C0292F">
          <w:rPr>
            <w:noProof/>
            <w:webHidden/>
          </w:rPr>
          <w:instrText xml:space="preserve"> PAGEREF _Toc310875638 \h </w:instrText>
        </w:r>
        <w:r w:rsidR="00C0292F">
          <w:rPr>
            <w:noProof/>
            <w:webHidden/>
          </w:rPr>
        </w:r>
        <w:r w:rsidR="00C0292F">
          <w:rPr>
            <w:noProof/>
            <w:webHidden/>
          </w:rPr>
          <w:fldChar w:fldCharType="separate"/>
        </w:r>
        <w:r w:rsidR="00C0292F">
          <w:rPr>
            <w:noProof/>
            <w:webHidden/>
          </w:rPr>
          <w:t>273</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39" w:history="1">
        <w:r w:rsidR="00C0292F" w:rsidRPr="003E64CF">
          <w:rPr>
            <w:rStyle w:val="Hyperlink"/>
            <w:noProof/>
          </w:rPr>
          <w:t>Table 3</w:t>
        </w:r>
        <w:r w:rsidR="00C0292F" w:rsidRPr="003E64CF">
          <w:rPr>
            <w:rStyle w:val="Hyperlink"/>
            <w:noProof/>
          </w:rPr>
          <w:noBreakHyphen/>
          <w:t>88: Electric Resistance Water Heater Calculation Assumptions</w:t>
        </w:r>
        <w:r w:rsidR="00C0292F">
          <w:rPr>
            <w:noProof/>
            <w:webHidden/>
          </w:rPr>
          <w:tab/>
        </w:r>
        <w:r w:rsidR="00C0292F">
          <w:rPr>
            <w:noProof/>
            <w:webHidden/>
          </w:rPr>
          <w:fldChar w:fldCharType="begin"/>
        </w:r>
        <w:r w:rsidR="00C0292F">
          <w:rPr>
            <w:noProof/>
            <w:webHidden/>
          </w:rPr>
          <w:instrText xml:space="preserve"> PAGEREF _Toc310875639 \h </w:instrText>
        </w:r>
        <w:r w:rsidR="00C0292F">
          <w:rPr>
            <w:noProof/>
            <w:webHidden/>
          </w:rPr>
        </w:r>
        <w:r w:rsidR="00C0292F">
          <w:rPr>
            <w:noProof/>
            <w:webHidden/>
          </w:rPr>
          <w:fldChar w:fldCharType="separate"/>
        </w:r>
        <w:r w:rsidR="00C0292F">
          <w:rPr>
            <w:noProof/>
            <w:webHidden/>
          </w:rPr>
          <w:t>275</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40" w:history="1">
        <w:r w:rsidR="00C0292F" w:rsidRPr="003E64CF">
          <w:rPr>
            <w:rStyle w:val="Hyperlink"/>
            <w:noProof/>
          </w:rPr>
          <w:t>Table 3</w:t>
        </w:r>
        <w:r w:rsidR="00C0292F" w:rsidRPr="003E64CF">
          <w:rPr>
            <w:rStyle w:val="Hyperlink"/>
            <w:noProof/>
          </w:rPr>
          <w:noBreakHyphen/>
          <w:t>89: Energy Savings and Demand Reductions</w:t>
        </w:r>
        <w:r w:rsidR="00C0292F">
          <w:rPr>
            <w:noProof/>
            <w:webHidden/>
          </w:rPr>
          <w:tab/>
        </w:r>
        <w:r w:rsidR="00C0292F">
          <w:rPr>
            <w:noProof/>
            <w:webHidden/>
          </w:rPr>
          <w:fldChar w:fldCharType="begin"/>
        </w:r>
        <w:r w:rsidR="00C0292F">
          <w:rPr>
            <w:noProof/>
            <w:webHidden/>
          </w:rPr>
          <w:instrText xml:space="preserve"> PAGEREF _Toc310875640 \h </w:instrText>
        </w:r>
        <w:r w:rsidR="00C0292F">
          <w:rPr>
            <w:noProof/>
            <w:webHidden/>
          </w:rPr>
        </w:r>
        <w:r w:rsidR="00C0292F">
          <w:rPr>
            <w:noProof/>
            <w:webHidden/>
          </w:rPr>
          <w:fldChar w:fldCharType="separate"/>
        </w:r>
        <w:r w:rsidR="00C0292F">
          <w:rPr>
            <w:noProof/>
            <w:webHidden/>
          </w:rPr>
          <w:t>276</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41" w:history="1">
        <w:r w:rsidR="00C0292F" w:rsidRPr="003E64CF">
          <w:rPr>
            <w:rStyle w:val="Hyperlink"/>
            <w:noProof/>
          </w:rPr>
          <w:t>Table 3</w:t>
        </w:r>
        <w:r w:rsidR="00C0292F" w:rsidRPr="003E64CF">
          <w:rPr>
            <w:rStyle w:val="Hyperlink"/>
            <w:noProof/>
          </w:rPr>
          <w:noBreakHyphen/>
          <w:t>90: Typical water heating loads</w:t>
        </w:r>
        <w:r w:rsidR="00C0292F">
          <w:rPr>
            <w:noProof/>
            <w:webHidden/>
          </w:rPr>
          <w:tab/>
        </w:r>
        <w:r w:rsidR="00C0292F">
          <w:rPr>
            <w:noProof/>
            <w:webHidden/>
          </w:rPr>
          <w:fldChar w:fldCharType="begin"/>
        </w:r>
        <w:r w:rsidR="00C0292F">
          <w:rPr>
            <w:noProof/>
            <w:webHidden/>
          </w:rPr>
          <w:instrText xml:space="preserve"> PAGEREF _Toc310875641 \h </w:instrText>
        </w:r>
        <w:r w:rsidR="00C0292F">
          <w:rPr>
            <w:noProof/>
            <w:webHidden/>
          </w:rPr>
        </w:r>
        <w:r w:rsidR="00C0292F">
          <w:rPr>
            <w:noProof/>
            <w:webHidden/>
          </w:rPr>
          <w:fldChar w:fldCharType="separate"/>
        </w:r>
        <w:r w:rsidR="00C0292F">
          <w:rPr>
            <w:noProof/>
            <w:webHidden/>
          </w:rPr>
          <w:t>278</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42" w:history="1">
        <w:r w:rsidR="00C0292F" w:rsidRPr="003E64CF">
          <w:rPr>
            <w:rStyle w:val="Hyperlink"/>
            <w:noProof/>
          </w:rPr>
          <w:t>Table 3</w:t>
        </w:r>
        <w:r w:rsidR="00C0292F" w:rsidRPr="003E64CF">
          <w:rPr>
            <w:rStyle w:val="Hyperlink"/>
            <w:noProof/>
          </w:rPr>
          <w:noBreakHyphen/>
          <w:t>91: COP Adjustment Factors</w:t>
        </w:r>
        <w:r w:rsidR="00C0292F">
          <w:rPr>
            <w:noProof/>
            <w:webHidden/>
          </w:rPr>
          <w:tab/>
        </w:r>
        <w:r w:rsidR="00C0292F">
          <w:rPr>
            <w:noProof/>
            <w:webHidden/>
          </w:rPr>
          <w:fldChar w:fldCharType="begin"/>
        </w:r>
        <w:r w:rsidR="00C0292F">
          <w:rPr>
            <w:noProof/>
            <w:webHidden/>
          </w:rPr>
          <w:instrText xml:space="preserve"> PAGEREF _Toc310875642 \h </w:instrText>
        </w:r>
        <w:r w:rsidR="00C0292F">
          <w:rPr>
            <w:noProof/>
            <w:webHidden/>
          </w:rPr>
        </w:r>
        <w:r w:rsidR="00C0292F">
          <w:rPr>
            <w:noProof/>
            <w:webHidden/>
          </w:rPr>
          <w:fldChar w:fldCharType="separate"/>
        </w:r>
        <w:r w:rsidR="00C0292F">
          <w:rPr>
            <w:noProof/>
            <w:webHidden/>
          </w:rPr>
          <w:t>281</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43" w:history="1">
        <w:r w:rsidR="00C0292F" w:rsidRPr="003E64CF">
          <w:rPr>
            <w:rStyle w:val="Hyperlink"/>
            <w:noProof/>
          </w:rPr>
          <w:t>Table 3</w:t>
        </w:r>
        <w:r w:rsidR="00C0292F" w:rsidRPr="003E64CF">
          <w:rPr>
            <w:rStyle w:val="Hyperlink"/>
            <w:noProof/>
          </w:rPr>
          <w:noBreakHyphen/>
          <w:t>92: Electric Resistance Water Heater Calculation Assumptions</w:t>
        </w:r>
        <w:r w:rsidR="00C0292F">
          <w:rPr>
            <w:noProof/>
            <w:webHidden/>
          </w:rPr>
          <w:tab/>
        </w:r>
        <w:r w:rsidR="00C0292F">
          <w:rPr>
            <w:noProof/>
            <w:webHidden/>
          </w:rPr>
          <w:fldChar w:fldCharType="begin"/>
        </w:r>
        <w:r w:rsidR="00C0292F">
          <w:rPr>
            <w:noProof/>
            <w:webHidden/>
          </w:rPr>
          <w:instrText xml:space="preserve"> PAGEREF _Toc310875643 \h </w:instrText>
        </w:r>
        <w:r w:rsidR="00C0292F">
          <w:rPr>
            <w:noProof/>
            <w:webHidden/>
          </w:rPr>
        </w:r>
        <w:r w:rsidR="00C0292F">
          <w:rPr>
            <w:noProof/>
            <w:webHidden/>
          </w:rPr>
          <w:fldChar w:fldCharType="separate"/>
        </w:r>
        <w:r w:rsidR="00C0292F">
          <w:rPr>
            <w:noProof/>
            <w:webHidden/>
          </w:rPr>
          <w:t>282</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44" w:history="1">
        <w:r w:rsidR="00C0292F" w:rsidRPr="003E64CF">
          <w:rPr>
            <w:rStyle w:val="Hyperlink"/>
            <w:noProof/>
          </w:rPr>
          <w:t>Table 3</w:t>
        </w:r>
        <w:r w:rsidR="00C0292F" w:rsidRPr="003E64CF">
          <w:rPr>
            <w:rStyle w:val="Hyperlink"/>
            <w:noProof/>
          </w:rPr>
          <w:noBreakHyphen/>
          <w:t>93: Energy Savings and Demand Reductions</w:t>
        </w:r>
        <w:r w:rsidR="00C0292F">
          <w:rPr>
            <w:noProof/>
            <w:webHidden/>
          </w:rPr>
          <w:tab/>
        </w:r>
        <w:r w:rsidR="00C0292F">
          <w:rPr>
            <w:noProof/>
            <w:webHidden/>
          </w:rPr>
          <w:fldChar w:fldCharType="begin"/>
        </w:r>
        <w:r w:rsidR="00C0292F">
          <w:rPr>
            <w:noProof/>
            <w:webHidden/>
          </w:rPr>
          <w:instrText xml:space="preserve"> PAGEREF _Toc310875644 \h </w:instrText>
        </w:r>
        <w:r w:rsidR="00C0292F">
          <w:rPr>
            <w:noProof/>
            <w:webHidden/>
          </w:rPr>
        </w:r>
        <w:r w:rsidR="00C0292F">
          <w:rPr>
            <w:noProof/>
            <w:webHidden/>
          </w:rPr>
          <w:fldChar w:fldCharType="separate"/>
        </w:r>
        <w:r w:rsidR="00C0292F">
          <w:rPr>
            <w:noProof/>
            <w:webHidden/>
          </w:rPr>
          <w:t>283</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45" w:history="1">
        <w:r w:rsidR="00C0292F" w:rsidRPr="003E64CF">
          <w:rPr>
            <w:rStyle w:val="Hyperlink"/>
            <w:noProof/>
          </w:rPr>
          <w:t>Table 3</w:t>
        </w:r>
        <w:r w:rsidR="00C0292F" w:rsidRPr="003E64CF">
          <w:rPr>
            <w:rStyle w:val="Hyperlink"/>
            <w:noProof/>
          </w:rPr>
          <w:noBreakHyphen/>
          <w:t>94: LED Channel Signage Calculation Assumptions</w:t>
        </w:r>
        <w:r w:rsidR="00C0292F">
          <w:rPr>
            <w:noProof/>
            <w:webHidden/>
          </w:rPr>
          <w:tab/>
        </w:r>
        <w:r w:rsidR="00C0292F">
          <w:rPr>
            <w:noProof/>
            <w:webHidden/>
          </w:rPr>
          <w:fldChar w:fldCharType="begin"/>
        </w:r>
        <w:r w:rsidR="00C0292F">
          <w:rPr>
            <w:noProof/>
            <w:webHidden/>
          </w:rPr>
          <w:instrText xml:space="preserve"> PAGEREF _Toc310875645 \h </w:instrText>
        </w:r>
        <w:r w:rsidR="00C0292F">
          <w:rPr>
            <w:noProof/>
            <w:webHidden/>
          </w:rPr>
        </w:r>
        <w:r w:rsidR="00C0292F">
          <w:rPr>
            <w:noProof/>
            <w:webHidden/>
          </w:rPr>
          <w:fldChar w:fldCharType="separate"/>
        </w:r>
        <w:r w:rsidR="00C0292F">
          <w:rPr>
            <w:noProof/>
            <w:webHidden/>
          </w:rPr>
          <w:t>286</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46" w:history="1">
        <w:r w:rsidR="00C0292F" w:rsidRPr="003E64CF">
          <w:rPr>
            <w:rStyle w:val="Hyperlink"/>
            <w:noProof/>
          </w:rPr>
          <w:t>Table 3</w:t>
        </w:r>
        <w:r w:rsidR="00C0292F" w:rsidRPr="003E64CF">
          <w:rPr>
            <w:rStyle w:val="Hyperlink"/>
            <w:noProof/>
          </w:rPr>
          <w:noBreakHyphen/>
          <w:t>95: Low Flow Pre-Rinse Sprayer Calculations Assumptions</w:t>
        </w:r>
        <w:r w:rsidR="00C0292F">
          <w:rPr>
            <w:noProof/>
            <w:webHidden/>
          </w:rPr>
          <w:tab/>
        </w:r>
        <w:r w:rsidR="00C0292F">
          <w:rPr>
            <w:noProof/>
            <w:webHidden/>
          </w:rPr>
          <w:fldChar w:fldCharType="begin"/>
        </w:r>
        <w:r w:rsidR="00C0292F">
          <w:rPr>
            <w:noProof/>
            <w:webHidden/>
          </w:rPr>
          <w:instrText xml:space="preserve"> PAGEREF _Toc310875646 \h </w:instrText>
        </w:r>
        <w:r w:rsidR="00C0292F">
          <w:rPr>
            <w:noProof/>
            <w:webHidden/>
          </w:rPr>
        </w:r>
        <w:r w:rsidR="00C0292F">
          <w:rPr>
            <w:noProof/>
            <w:webHidden/>
          </w:rPr>
          <w:fldChar w:fldCharType="separate"/>
        </w:r>
        <w:r w:rsidR="00C0292F">
          <w:rPr>
            <w:noProof/>
            <w:webHidden/>
          </w:rPr>
          <w:t>290</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47" w:history="1">
        <w:r w:rsidR="00C0292F" w:rsidRPr="003E64CF">
          <w:rPr>
            <w:rStyle w:val="Hyperlink"/>
            <w:noProof/>
          </w:rPr>
          <w:t>Table 3</w:t>
        </w:r>
        <w:r w:rsidR="00C0292F" w:rsidRPr="003E64CF">
          <w:rPr>
            <w:rStyle w:val="Hyperlink"/>
            <w:noProof/>
          </w:rPr>
          <w:noBreakHyphen/>
          <w:t>96: Refrigerant Charge Correction Calculations Assumptions</w:t>
        </w:r>
        <w:r w:rsidR="00C0292F">
          <w:rPr>
            <w:noProof/>
            <w:webHidden/>
          </w:rPr>
          <w:tab/>
        </w:r>
        <w:r w:rsidR="00C0292F">
          <w:rPr>
            <w:noProof/>
            <w:webHidden/>
          </w:rPr>
          <w:fldChar w:fldCharType="begin"/>
        </w:r>
        <w:r w:rsidR="00C0292F">
          <w:rPr>
            <w:noProof/>
            <w:webHidden/>
          </w:rPr>
          <w:instrText xml:space="preserve"> PAGEREF _Toc310875647 \h </w:instrText>
        </w:r>
        <w:r w:rsidR="00C0292F">
          <w:rPr>
            <w:noProof/>
            <w:webHidden/>
          </w:rPr>
        </w:r>
        <w:r w:rsidR="00C0292F">
          <w:rPr>
            <w:noProof/>
            <w:webHidden/>
          </w:rPr>
          <w:fldChar w:fldCharType="separate"/>
        </w:r>
        <w:r w:rsidR="00C0292F">
          <w:rPr>
            <w:noProof/>
            <w:webHidden/>
          </w:rPr>
          <w:t>293</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48" w:history="1">
        <w:r w:rsidR="00C0292F" w:rsidRPr="003E64CF">
          <w:rPr>
            <w:rStyle w:val="Hyperlink"/>
            <w:noProof/>
          </w:rPr>
          <w:t>Table 3</w:t>
        </w:r>
        <w:r w:rsidR="00C0292F" w:rsidRPr="003E64CF">
          <w:rPr>
            <w:rStyle w:val="Hyperlink"/>
            <w:noProof/>
          </w:rPr>
          <w:noBreakHyphen/>
          <w:t>97: Refrigerant charge correction COP degradation factor (RCF) for various relative charge adjustments for both TXV metered and non-TXV units..</w:t>
        </w:r>
        <w:r w:rsidR="00C0292F">
          <w:rPr>
            <w:noProof/>
            <w:webHidden/>
          </w:rPr>
          <w:tab/>
        </w:r>
        <w:r w:rsidR="00C0292F">
          <w:rPr>
            <w:noProof/>
            <w:webHidden/>
          </w:rPr>
          <w:fldChar w:fldCharType="begin"/>
        </w:r>
        <w:r w:rsidR="00C0292F">
          <w:rPr>
            <w:noProof/>
            <w:webHidden/>
          </w:rPr>
          <w:instrText xml:space="preserve"> PAGEREF _Toc310875648 \h </w:instrText>
        </w:r>
        <w:r w:rsidR="00C0292F">
          <w:rPr>
            <w:noProof/>
            <w:webHidden/>
          </w:rPr>
        </w:r>
        <w:r w:rsidR="00C0292F">
          <w:rPr>
            <w:noProof/>
            <w:webHidden/>
          </w:rPr>
          <w:fldChar w:fldCharType="separate"/>
        </w:r>
        <w:r w:rsidR="00C0292F">
          <w:rPr>
            <w:noProof/>
            <w:webHidden/>
          </w:rPr>
          <w:t>294</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49" w:history="1">
        <w:r w:rsidR="00C0292F" w:rsidRPr="003E64CF">
          <w:rPr>
            <w:rStyle w:val="Hyperlink"/>
            <w:noProof/>
          </w:rPr>
          <w:t>Table 3</w:t>
        </w:r>
        <w:r w:rsidR="00C0292F" w:rsidRPr="003E64CF">
          <w:rPr>
            <w:rStyle w:val="Hyperlink"/>
            <w:noProof/>
          </w:rPr>
          <w:noBreakHyphen/>
          <w:t>98: Special Doors with Low or No Anti-Sweat Heat for Low Temp Case Calculations Assumptions</w:t>
        </w:r>
        <w:r w:rsidR="00C0292F">
          <w:rPr>
            <w:noProof/>
            <w:webHidden/>
          </w:rPr>
          <w:tab/>
        </w:r>
        <w:r w:rsidR="00C0292F">
          <w:rPr>
            <w:noProof/>
            <w:webHidden/>
          </w:rPr>
          <w:fldChar w:fldCharType="begin"/>
        </w:r>
        <w:r w:rsidR="00C0292F">
          <w:rPr>
            <w:noProof/>
            <w:webHidden/>
          </w:rPr>
          <w:instrText xml:space="preserve"> PAGEREF _Toc310875649 \h </w:instrText>
        </w:r>
        <w:r w:rsidR="00C0292F">
          <w:rPr>
            <w:noProof/>
            <w:webHidden/>
          </w:rPr>
        </w:r>
        <w:r w:rsidR="00C0292F">
          <w:rPr>
            <w:noProof/>
            <w:webHidden/>
          </w:rPr>
          <w:fldChar w:fldCharType="separate"/>
        </w:r>
        <w:r w:rsidR="00C0292F">
          <w:rPr>
            <w:noProof/>
            <w:webHidden/>
          </w:rPr>
          <w:t>298</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50" w:history="1">
        <w:r w:rsidR="00C0292F" w:rsidRPr="003E64CF">
          <w:rPr>
            <w:rStyle w:val="Hyperlink"/>
            <w:noProof/>
          </w:rPr>
          <w:t>Table 3</w:t>
        </w:r>
        <w:r w:rsidR="00C0292F" w:rsidRPr="003E64CF">
          <w:rPr>
            <w:rStyle w:val="Hyperlink"/>
            <w:noProof/>
          </w:rPr>
          <w:noBreakHyphen/>
          <w:t>99: Variables for HVAC Systems</w:t>
        </w:r>
        <w:r w:rsidR="00C0292F">
          <w:rPr>
            <w:noProof/>
            <w:webHidden/>
          </w:rPr>
          <w:tab/>
        </w:r>
        <w:r w:rsidR="00C0292F">
          <w:rPr>
            <w:noProof/>
            <w:webHidden/>
          </w:rPr>
          <w:fldChar w:fldCharType="begin"/>
        </w:r>
        <w:r w:rsidR="00C0292F">
          <w:rPr>
            <w:noProof/>
            <w:webHidden/>
          </w:rPr>
          <w:instrText xml:space="preserve"> PAGEREF _Toc310875650 \h </w:instrText>
        </w:r>
        <w:r w:rsidR="00C0292F">
          <w:rPr>
            <w:noProof/>
            <w:webHidden/>
          </w:rPr>
        </w:r>
        <w:r w:rsidR="00C0292F">
          <w:rPr>
            <w:noProof/>
            <w:webHidden/>
          </w:rPr>
          <w:fldChar w:fldCharType="separate"/>
        </w:r>
        <w:r w:rsidR="00C0292F">
          <w:rPr>
            <w:noProof/>
            <w:webHidden/>
          </w:rPr>
          <w:t>299</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51" w:history="1">
        <w:r w:rsidR="00C0292F" w:rsidRPr="003E64CF">
          <w:rPr>
            <w:rStyle w:val="Hyperlink"/>
            <w:noProof/>
          </w:rPr>
          <w:t>Table 3</w:t>
        </w:r>
        <w:r w:rsidR="00C0292F" w:rsidRPr="003E64CF">
          <w:rPr>
            <w:rStyle w:val="Hyperlink"/>
            <w:noProof/>
          </w:rPr>
          <w:noBreakHyphen/>
          <w:t>100: Room Air Conditioner Baseline Efficiencies</w:t>
        </w:r>
        <w:r w:rsidR="00C0292F">
          <w:rPr>
            <w:noProof/>
            <w:webHidden/>
          </w:rPr>
          <w:tab/>
        </w:r>
        <w:r w:rsidR="00C0292F">
          <w:rPr>
            <w:noProof/>
            <w:webHidden/>
          </w:rPr>
          <w:fldChar w:fldCharType="begin"/>
        </w:r>
        <w:r w:rsidR="00C0292F">
          <w:rPr>
            <w:noProof/>
            <w:webHidden/>
          </w:rPr>
          <w:instrText xml:space="preserve"> PAGEREF _Toc310875651 \h </w:instrText>
        </w:r>
        <w:r w:rsidR="00C0292F">
          <w:rPr>
            <w:noProof/>
            <w:webHidden/>
          </w:rPr>
        </w:r>
        <w:r w:rsidR="00C0292F">
          <w:rPr>
            <w:noProof/>
            <w:webHidden/>
          </w:rPr>
          <w:fldChar w:fldCharType="separate"/>
        </w:r>
        <w:r w:rsidR="00C0292F">
          <w:rPr>
            <w:noProof/>
            <w:webHidden/>
          </w:rPr>
          <w:t>300</w:t>
        </w:r>
        <w:r w:rsidR="00C0292F">
          <w:rPr>
            <w:noProof/>
            <w:webHidden/>
          </w:rPr>
          <w:fldChar w:fldCharType="end"/>
        </w:r>
      </w:hyperlink>
    </w:p>
    <w:p w:rsidR="00C0292F" w:rsidRDefault="00274AB1">
      <w:pPr>
        <w:pStyle w:val="TableofFigures"/>
        <w:tabs>
          <w:tab w:val="right" w:leader="dot" w:pos="8630"/>
        </w:tabs>
        <w:rPr>
          <w:rFonts w:asciiTheme="minorHAnsi" w:eastAsiaTheme="minorEastAsia" w:hAnsiTheme="minorHAnsi" w:cstheme="minorBidi"/>
          <w:noProof/>
          <w:sz w:val="22"/>
          <w:szCs w:val="22"/>
        </w:rPr>
      </w:pPr>
      <w:hyperlink w:anchor="_Toc310875652" w:history="1">
        <w:r w:rsidR="00C0292F" w:rsidRPr="003E64CF">
          <w:rPr>
            <w:rStyle w:val="Hyperlink"/>
            <w:noProof/>
          </w:rPr>
          <w:t>Table 3</w:t>
        </w:r>
        <w:r w:rsidR="00C0292F" w:rsidRPr="003E64CF">
          <w:rPr>
            <w:rStyle w:val="Hyperlink"/>
            <w:noProof/>
          </w:rPr>
          <w:noBreakHyphen/>
          <w:t>101: Cooling EFLH for Pennsylvania Cities</w:t>
        </w:r>
        <w:r w:rsidR="00C0292F">
          <w:rPr>
            <w:noProof/>
            <w:webHidden/>
          </w:rPr>
          <w:tab/>
        </w:r>
        <w:r w:rsidR="00C0292F">
          <w:rPr>
            <w:noProof/>
            <w:webHidden/>
          </w:rPr>
          <w:fldChar w:fldCharType="begin"/>
        </w:r>
        <w:r w:rsidR="00C0292F">
          <w:rPr>
            <w:noProof/>
            <w:webHidden/>
          </w:rPr>
          <w:instrText xml:space="preserve"> PAGEREF _Toc310875652 \h </w:instrText>
        </w:r>
        <w:r w:rsidR="00C0292F">
          <w:rPr>
            <w:noProof/>
            <w:webHidden/>
          </w:rPr>
        </w:r>
        <w:r w:rsidR="00C0292F">
          <w:rPr>
            <w:noProof/>
            <w:webHidden/>
          </w:rPr>
          <w:fldChar w:fldCharType="separate"/>
        </w:r>
        <w:r w:rsidR="00C0292F">
          <w:rPr>
            <w:noProof/>
            <w:webHidden/>
          </w:rPr>
          <w:t>300</w:t>
        </w:r>
        <w:r w:rsidR="00C0292F">
          <w:rPr>
            <w:noProof/>
            <w:webHidden/>
          </w:rPr>
          <w:fldChar w:fldCharType="end"/>
        </w:r>
      </w:hyperlink>
    </w:p>
    <w:p w:rsidR="00DF5EF8" w:rsidRDefault="007A1FB6" w:rsidP="006B6ABF">
      <w:pPr>
        <w:spacing w:after="0"/>
        <w:ind w:left="1440" w:hanging="1440"/>
        <w:contextualSpacing/>
      </w:pPr>
      <w:r>
        <w:fldChar w:fldCharType="end"/>
      </w:r>
    </w:p>
    <w:p w:rsidR="00DF5EF8" w:rsidRDefault="00DF5EF8" w:rsidP="006B6ABF"/>
    <w:p w:rsidR="00B5330E" w:rsidRDefault="00B5330E" w:rsidP="006B6ABF">
      <w:pPr>
        <w:jc w:val="center"/>
        <w:rPr>
          <w:b/>
          <w:sz w:val="32"/>
        </w:rPr>
      </w:pPr>
      <w:r>
        <w:br w:type="page"/>
      </w:r>
    </w:p>
    <w:p w:rsidR="00B5330E" w:rsidRDefault="00B5330E" w:rsidP="006B6ABF">
      <w:pPr>
        <w:jc w:val="center"/>
        <w:rPr>
          <w:b/>
          <w:sz w:val="32"/>
        </w:rPr>
      </w:pPr>
    </w:p>
    <w:p w:rsidR="00B5330E" w:rsidRPr="000679A4" w:rsidRDefault="00B5330E" w:rsidP="006B6ABF">
      <w:pPr>
        <w:jc w:val="center"/>
        <w:rPr>
          <w:b/>
          <w:color w:val="FF0000"/>
          <w:sz w:val="28"/>
        </w:rPr>
      </w:pPr>
    </w:p>
    <w:p w:rsidR="00B5330E" w:rsidRDefault="00B5330E" w:rsidP="006B6ABF">
      <w:pPr>
        <w:jc w:val="center"/>
        <w:rPr>
          <w:b/>
          <w:sz w:val="28"/>
        </w:rPr>
      </w:pPr>
    </w:p>
    <w:p w:rsidR="00B5330E" w:rsidRDefault="00B5330E" w:rsidP="006B6ABF">
      <w:pPr>
        <w:jc w:val="center"/>
        <w:rPr>
          <w:b/>
          <w:sz w:val="28"/>
        </w:rPr>
      </w:pPr>
    </w:p>
    <w:p w:rsidR="00B5330E" w:rsidRDefault="00B5330E" w:rsidP="006B6ABF">
      <w:pPr>
        <w:jc w:val="center"/>
        <w:rPr>
          <w:b/>
          <w:sz w:val="28"/>
        </w:rPr>
      </w:pPr>
    </w:p>
    <w:p w:rsidR="00B5330E" w:rsidRDefault="00B5330E" w:rsidP="006B6ABF">
      <w:pPr>
        <w:jc w:val="center"/>
        <w:rPr>
          <w:b/>
          <w:sz w:val="28"/>
        </w:rPr>
      </w:pPr>
    </w:p>
    <w:p w:rsidR="00B5330E" w:rsidRDefault="00B5330E" w:rsidP="006B6ABF">
      <w:pPr>
        <w:jc w:val="center"/>
        <w:rPr>
          <w:b/>
          <w:sz w:val="28"/>
        </w:rPr>
      </w:pPr>
    </w:p>
    <w:p w:rsidR="00B5330E" w:rsidRDefault="00B5330E" w:rsidP="006B6ABF">
      <w:pPr>
        <w:jc w:val="center"/>
        <w:rPr>
          <w:b/>
          <w:sz w:val="28"/>
        </w:rPr>
      </w:pPr>
    </w:p>
    <w:p w:rsidR="00B5330E" w:rsidRDefault="00B5330E" w:rsidP="006B6ABF">
      <w:pPr>
        <w:jc w:val="center"/>
        <w:rPr>
          <w:b/>
          <w:sz w:val="28"/>
        </w:rPr>
      </w:pPr>
    </w:p>
    <w:p w:rsidR="00B5330E" w:rsidRDefault="00B5330E" w:rsidP="006B6ABF">
      <w:pPr>
        <w:jc w:val="center"/>
        <w:rPr>
          <w:b/>
          <w:sz w:val="28"/>
        </w:rPr>
      </w:pPr>
    </w:p>
    <w:p w:rsidR="00B5330E" w:rsidRPr="00BC5194" w:rsidRDefault="00B5330E" w:rsidP="006B6ABF">
      <w:pPr>
        <w:jc w:val="center"/>
        <w:rPr>
          <w:i/>
        </w:rPr>
      </w:pPr>
      <w:r w:rsidRPr="00BC5194">
        <w:rPr>
          <w:i/>
        </w:rPr>
        <w:t>This Page Intentionally Left Blank</w:t>
      </w:r>
    </w:p>
    <w:p w:rsidR="00DF5EF8" w:rsidRPr="00DF5EF8" w:rsidRDefault="00DF5EF8" w:rsidP="00CC44C7">
      <w:pPr>
        <w:sectPr w:rsidR="00DF5EF8" w:rsidRPr="00DF5EF8" w:rsidSect="004762A3">
          <w:headerReference w:type="default" r:id="rId21"/>
          <w:footerReference w:type="default" r:id="rId22"/>
          <w:type w:val="oddPage"/>
          <w:pgSz w:w="12240" w:h="15840"/>
          <w:pgMar w:top="1440" w:right="1800" w:bottom="1440" w:left="1800" w:header="720" w:footer="576" w:gutter="0"/>
          <w:pgNumType w:fmt="lowerRoman" w:start="1"/>
          <w:cols w:space="720"/>
          <w:docGrid w:linePitch="272"/>
        </w:sectPr>
      </w:pPr>
    </w:p>
    <w:p w:rsidR="00A22E85" w:rsidRDefault="00A22E85" w:rsidP="00E568D4">
      <w:pPr>
        <w:pStyle w:val="Heading1"/>
      </w:pPr>
      <w:bookmarkStart w:id="1" w:name="_Toc310875380"/>
      <w:r>
        <w:lastRenderedPageBreak/>
        <w:t>I</w:t>
      </w:r>
      <w:r w:rsidR="004D25CF">
        <w:t>nt</w:t>
      </w:r>
      <w:r w:rsidR="00EF27A5">
        <w:t>r</w:t>
      </w:r>
      <w:r w:rsidR="004D25CF">
        <w:t>oduction</w:t>
      </w:r>
      <w:bookmarkEnd w:id="1"/>
    </w:p>
    <w:p w:rsidR="00A22E85" w:rsidRDefault="00A22E85" w:rsidP="005D7F62">
      <w:r>
        <w:t xml:space="preserve">The Technical Reference Manual (TRM) was developed to measure the resource savings from standard energy efficiency measures.  The savings’ algorithms use measured and customer data as input values in industry-accepted algorithms.  The data and input values for the algorithms come from </w:t>
      </w:r>
      <w:r w:rsidRPr="00F84A22">
        <w:rPr>
          <w:highlight w:val="lightGray"/>
        </w:rPr>
        <w:t>A</w:t>
      </w:r>
      <w:r w:rsidR="00665F36" w:rsidRPr="00F84A22">
        <w:rPr>
          <w:highlight w:val="lightGray"/>
        </w:rPr>
        <w:t xml:space="preserve">lternative </w:t>
      </w:r>
      <w:r w:rsidRPr="00F84A22">
        <w:rPr>
          <w:highlight w:val="lightGray"/>
        </w:rPr>
        <w:t>E</w:t>
      </w:r>
      <w:r w:rsidR="00665F36" w:rsidRPr="00F84A22">
        <w:rPr>
          <w:highlight w:val="lightGray"/>
        </w:rPr>
        <w:t xml:space="preserve">nergy </w:t>
      </w:r>
      <w:r w:rsidRPr="00F84A22">
        <w:rPr>
          <w:highlight w:val="lightGray"/>
        </w:rPr>
        <w:t>P</w:t>
      </w:r>
      <w:r w:rsidR="00665F36" w:rsidRPr="00F84A22">
        <w:rPr>
          <w:highlight w:val="lightGray"/>
        </w:rPr>
        <w:t xml:space="preserve">ortfolio </w:t>
      </w:r>
      <w:r w:rsidRPr="00F84A22">
        <w:rPr>
          <w:highlight w:val="lightGray"/>
        </w:rPr>
        <w:t>S</w:t>
      </w:r>
      <w:r w:rsidR="00665F36" w:rsidRPr="00F84A22">
        <w:rPr>
          <w:highlight w:val="lightGray"/>
        </w:rPr>
        <w:t>tandards (AEPS)</w:t>
      </w:r>
      <w:r w:rsidRPr="00F84A22">
        <w:rPr>
          <w:highlight w:val="lightGray"/>
        </w:rPr>
        <w:t xml:space="preserve"> application forms</w:t>
      </w:r>
      <w:r w:rsidR="008075FC">
        <w:rPr>
          <w:rStyle w:val="FootnoteReference"/>
          <w:rFonts w:cs="Arial"/>
        </w:rPr>
        <w:footnoteReference w:id="2"/>
      </w:r>
      <w:r w:rsidR="00F36A9A">
        <w:t>, EDC program application forms</w:t>
      </w:r>
      <w:r>
        <w:t xml:space="preserve">, </w:t>
      </w:r>
      <w:r w:rsidR="00F36A9A">
        <w:t xml:space="preserve">industry accepted </w:t>
      </w:r>
      <w:r>
        <w:t>standard values</w:t>
      </w:r>
      <w:r w:rsidR="00F36A9A">
        <w:t xml:space="preserve"> (e.g. </w:t>
      </w:r>
      <w:r w:rsidR="00325EF4">
        <w:t>ENERGY STAR</w:t>
      </w:r>
      <w:r>
        <w:t xml:space="preserve"> standards</w:t>
      </w:r>
      <w:r w:rsidR="00F36A9A">
        <w:t>)</w:t>
      </w:r>
      <w:r>
        <w:t>, or data gathered by Electric Distribution Companies (EDCs).  The standard input values are based on the best available measured or industry data.</w:t>
      </w:r>
    </w:p>
    <w:p w:rsidR="00A22E85" w:rsidRDefault="00A22E85" w:rsidP="005D7F62">
      <w:r>
        <w:t>Some electric input values were derived from a review of literature from various industry organizations, equipment manufacturers, and suppliers.  These input values are updated to reflect changes in code, federal standards and recent program evaluations.</w:t>
      </w:r>
    </w:p>
    <w:p w:rsidR="00A22E85" w:rsidRPr="004A7A9B" w:rsidRDefault="00A22E85" w:rsidP="00E568D4">
      <w:pPr>
        <w:pStyle w:val="Heading2"/>
      </w:pPr>
      <w:bookmarkStart w:id="2" w:name="_Toc310875381"/>
      <w:r w:rsidRPr="004A7A9B">
        <w:t>Purpose</w:t>
      </w:r>
      <w:bookmarkEnd w:id="2"/>
    </w:p>
    <w:p w:rsidR="00A22E85" w:rsidRDefault="00A22E85" w:rsidP="005D7F62">
      <w:r>
        <w:rPr>
          <w:szCs w:val="24"/>
        </w:rPr>
        <w:t>T</w:t>
      </w:r>
      <w:r>
        <w:t xml:space="preserve">he TRM was developed for the purpose of estimating annual </w:t>
      </w:r>
      <w:r w:rsidR="006A4344">
        <w:t xml:space="preserve">electric </w:t>
      </w:r>
      <w:r>
        <w:t>energy savings</w:t>
      </w:r>
      <w:r w:rsidR="00C40712">
        <w:t xml:space="preserve"> and </w:t>
      </w:r>
      <w:r w:rsidR="006A4344">
        <w:t xml:space="preserve">coincident </w:t>
      </w:r>
      <w:r w:rsidR="00C40712">
        <w:t xml:space="preserve">peak demand </w:t>
      </w:r>
      <w:r w:rsidR="009F791F">
        <w:t>savings</w:t>
      </w:r>
      <w:r>
        <w:t xml:space="preserve"> for a selection of energy efficient technologies and measures.  </w:t>
      </w:r>
      <w:r w:rsidRPr="00F84A22">
        <w:rPr>
          <w:highlight w:val="lightGray"/>
        </w:rPr>
        <w:t>The TRM provides guidance to the</w:t>
      </w:r>
      <w:r w:rsidRPr="00483F70">
        <w:t xml:space="preserve"> </w:t>
      </w:r>
      <w:r w:rsidRPr="00F84A22">
        <w:rPr>
          <w:highlight w:val="lightGray"/>
        </w:rPr>
        <w:t>Administrator responsible for awarding Alternative Energy Credits (AECs)</w:t>
      </w:r>
      <w:r w:rsidRPr="00483F70">
        <w:t xml:space="preserve">. </w:t>
      </w:r>
      <w:r>
        <w:t xml:space="preserve">The revised TRM serves a dual purpose of being used to determine compliance with the </w:t>
      </w:r>
      <w:r w:rsidRPr="003F46A5">
        <w:t>AEPS</w:t>
      </w:r>
      <w:r>
        <w:rPr>
          <w:rFonts w:ascii="Arial Black" w:hAnsi="Arial Black"/>
        </w:rPr>
        <w:t xml:space="preserve"> </w:t>
      </w:r>
      <w:r>
        <w:t>Act, 73 P.S. §§ 1648.1-1648.8, and the energy efficiency and conservation requirements of Act 129 of 2008, 66 Pa.C.S. § 2806.1.  The TRM will continue to be updated on an annual basis to reflect the addition of technologies and measures as needed to remain relevant and useful.</w:t>
      </w:r>
    </w:p>
    <w:p w:rsidR="00A22E85" w:rsidRDefault="00A22E85" w:rsidP="005D7F62">
      <w:r>
        <w:t xml:space="preserve">Resource savings to be measured include electric energy (kWh) and </w:t>
      </w:r>
      <w:r w:rsidR="006A4344">
        <w:t xml:space="preserve">electric </w:t>
      </w:r>
      <w:r>
        <w:t xml:space="preserve">capacity (kW) savings.  The algorithms in this document focus on the determination of the per unit savings for the energy efficiency and demand response measures.  </w:t>
      </w:r>
      <w:r w:rsidR="00F36A9A">
        <w:t>Th</w:t>
      </w:r>
      <w:r w:rsidR="00C40712">
        <w:t xml:space="preserve">e algorithms and methodologies set forth in this document must be used to determine </w:t>
      </w:r>
      <w:r w:rsidR="00306A98">
        <w:t xml:space="preserve">EDC </w:t>
      </w:r>
      <w:r w:rsidR="009F791F">
        <w:t>r</w:t>
      </w:r>
      <w:r w:rsidR="00306A98">
        <w:t xml:space="preserve">eported </w:t>
      </w:r>
      <w:r w:rsidR="009F791F">
        <w:t>g</w:t>
      </w:r>
      <w:r w:rsidR="00306A98">
        <w:t xml:space="preserve">ross </w:t>
      </w:r>
      <w:r w:rsidR="009F791F">
        <w:t>s</w:t>
      </w:r>
      <w:r w:rsidR="00306A98">
        <w:t xml:space="preserve">avings and </w:t>
      </w:r>
      <w:r w:rsidR="009F791F">
        <w:t>e</w:t>
      </w:r>
      <w:r w:rsidR="00B12E0B">
        <w:t xml:space="preserve">valuation </w:t>
      </w:r>
      <w:r w:rsidR="009F791F">
        <w:t>m</w:t>
      </w:r>
      <w:r w:rsidR="00B12E0B">
        <w:t xml:space="preserve">easurement and </w:t>
      </w:r>
      <w:r w:rsidR="009F791F">
        <w:t>v</w:t>
      </w:r>
      <w:r w:rsidR="00B12E0B">
        <w:t>erification (</w:t>
      </w:r>
      <w:r w:rsidR="00306A98">
        <w:t>EM&amp;V</w:t>
      </w:r>
      <w:r w:rsidR="00B12E0B">
        <w:t>)</w:t>
      </w:r>
      <w:r w:rsidR="00306A98">
        <w:t xml:space="preserve"> </w:t>
      </w:r>
      <w:r w:rsidR="009F791F">
        <w:t>v</w:t>
      </w:r>
      <w:r w:rsidR="00306A98">
        <w:t xml:space="preserve">erified </w:t>
      </w:r>
      <w:r w:rsidR="009F791F">
        <w:t>s</w:t>
      </w:r>
      <w:r w:rsidR="00306A98">
        <w:t>avings</w:t>
      </w:r>
      <w:r w:rsidR="00940A5E">
        <w:t>, unless an alternative measurement approach or custom measure protocols is submitted and approved for use.</w:t>
      </w:r>
    </w:p>
    <w:p w:rsidR="00A22E85" w:rsidRDefault="00A22E85" w:rsidP="00E568D4">
      <w:pPr>
        <w:pStyle w:val="Heading2"/>
        <w:rPr>
          <w:szCs w:val="24"/>
        </w:rPr>
      </w:pPr>
      <w:bookmarkStart w:id="3" w:name="_Toc310875382"/>
      <w:r>
        <w:t>Definitions</w:t>
      </w:r>
      <w:bookmarkEnd w:id="3"/>
    </w:p>
    <w:p w:rsidR="00A22E85" w:rsidRPr="00F84A22" w:rsidRDefault="00A22E85" w:rsidP="005D7F62">
      <w:pPr>
        <w:rPr>
          <w:szCs w:val="24"/>
          <w:highlight w:val="lightGray"/>
        </w:rPr>
      </w:pPr>
      <w:r>
        <w:rPr>
          <w:szCs w:val="24"/>
        </w:rPr>
        <w:t xml:space="preserve">The TRM is designed for use with both the AEPS Act and Act 129; however, it contains words and terms that apply only to the AEPS or only to Act 129.  </w:t>
      </w:r>
      <w:r w:rsidRPr="00F84A22">
        <w:rPr>
          <w:szCs w:val="24"/>
          <w:highlight w:val="lightGray"/>
        </w:rPr>
        <w:t>The following definitions are provided to identify words and terms that are specific for implementation of the AEPS:</w:t>
      </w:r>
    </w:p>
    <w:p w:rsidR="00A22E85" w:rsidRDefault="00A22E85" w:rsidP="00173C8E">
      <w:pPr>
        <w:numPr>
          <w:ilvl w:val="0"/>
          <w:numId w:val="4"/>
        </w:numPr>
        <w:rPr>
          <w:szCs w:val="24"/>
        </w:rPr>
      </w:pPr>
      <w:r w:rsidRPr="00F84A22">
        <w:rPr>
          <w:szCs w:val="24"/>
          <w:highlight w:val="lightGray"/>
          <w:u w:val="single"/>
        </w:rPr>
        <w:t>Administrator/Program Administrator</w:t>
      </w:r>
      <w:r w:rsidR="006D1CA8" w:rsidRPr="00F84A22">
        <w:rPr>
          <w:szCs w:val="24"/>
          <w:highlight w:val="lightGray"/>
          <w:u w:val="single"/>
        </w:rPr>
        <w:t xml:space="preserve"> (PA)</w:t>
      </w:r>
      <w:r w:rsidRPr="00F84A22">
        <w:rPr>
          <w:szCs w:val="24"/>
          <w:highlight w:val="lightGray"/>
        </w:rPr>
        <w:t xml:space="preserve"> – </w:t>
      </w:r>
      <w:r w:rsidRPr="00F84A22">
        <w:rPr>
          <w:highlight w:val="lightGray"/>
        </w:rPr>
        <w:t>The Credit Administrator of the AEPS program that receives and processes, and approves AEPS Credit applications.</w:t>
      </w:r>
      <w:r>
        <w:t xml:space="preserve"> </w:t>
      </w:r>
    </w:p>
    <w:p w:rsidR="00A22E85" w:rsidRPr="00F84A22" w:rsidRDefault="00A22E85" w:rsidP="00173C8E">
      <w:pPr>
        <w:numPr>
          <w:ilvl w:val="0"/>
          <w:numId w:val="4"/>
        </w:numPr>
        <w:rPr>
          <w:szCs w:val="24"/>
          <w:highlight w:val="lightGray"/>
        </w:rPr>
      </w:pPr>
      <w:r w:rsidRPr="00F84A22">
        <w:rPr>
          <w:szCs w:val="24"/>
          <w:highlight w:val="lightGray"/>
          <w:u w:val="single"/>
        </w:rPr>
        <w:t>AEPS application forms</w:t>
      </w:r>
      <w:r w:rsidRPr="00F84A22">
        <w:rPr>
          <w:szCs w:val="24"/>
          <w:highlight w:val="lightGray"/>
        </w:rPr>
        <w:t xml:space="preserve"> – application forms submitted to qualify and register alternative energy facilities for alternative energy credits. </w:t>
      </w:r>
    </w:p>
    <w:p w:rsidR="00A22E85" w:rsidRPr="00F84A22" w:rsidRDefault="00A22E85" w:rsidP="00173C8E">
      <w:pPr>
        <w:numPr>
          <w:ilvl w:val="0"/>
          <w:numId w:val="4"/>
        </w:numPr>
        <w:rPr>
          <w:szCs w:val="24"/>
          <w:highlight w:val="lightGray"/>
        </w:rPr>
      </w:pPr>
      <w:r w:rsidRPr="00F84A22">
        <w:rPr>
          <w:szCs w:val="24"/>
          <w:highlight w:val="lightGray"/>
          <w:u w:val="single"/>
        </w:rPr>
        <w:t xml:space="preserve">Application worksheets </w:t>
      </w:r>
      <w:r w:rsidRPr="00F84A22">
        <w:rPr>
          <w:szCs w:val="24"/>
          <w:highlight w:val="lightGray"/>
        </w:rPr>
        <w:t>– part of the AEPS application forms.</w:t>
      </w:r>
    </w:p>
    <w:p w:rsidR="00A22E85" w:rsidRPr="00F84A22" w:rsidRDefault="00A22E85" w:rsidP="00173C8E">
      <w:pPr>
        <w:numPr>
          <w:ilvl w:val="0"/>
          <w:numId w:val="4"/>
        </w:numPr>
        <w:rPr>
          <w:szCs w:val="24"/>
          <w:highlight w:val="lightGray"/>
        </w:rPr>
      </w:pPr>
      <w:r w:rsidRPr="00F84A22">
        <w:rPr>
          <w:szCs w:val="24"/>
          <w:highlight w:val="lightGray"/>
          <w:u w:val="single"/>
        </w:rPr>
        <w:lastRenderedPageBreak/>
        <w:t>Alternative Energy Credits (AECs)</w:t>
      </w:r>
      <w:r w:rsidRPr="00F84A22">
        <w:rPr>
          <w:szCs w:val="24"/>
          <w:highlight w:val="lightGray"/>
        </w:rPr>
        <w:t xml:space="preserve"> – </w:t>
      </w:r>
      <w:r w:rsidRPr="00F84A22">
        <w:rPr>
          <w:highlight w:val="lightGray"/>
        </w:rPr>
        <w:t>A tradable instrument used to establish, verify, and measure compliance with the AEPS.  One</w:t>
      </w:r>
      <w:r w:rsidRPr="00F84A22">
        <w:rPr>
          <w:szCs w:val="24"/>
          <w:highlight w:val="lightGray"/>
        </w:rPr>
        <w:t xml:space="preserve"> credit is earned for each 1000kWh of electricity generated (or saved from energy efficiency or conservation measures) at a qualified alternative energy facility.</w:t>
      </w:r>
    </w:p>
    <w:p w:rsidR="006A2E12" w:rsidRDefault="0038789E" w:rsidP="00173C8E">
      <w:pPr>
        <w:pStyle w:val="ListParagraph"/>
        <w:numPr>
          <w:ilvl w:val="0"/>
          <w:numId w:val="4"/>
        </w:numPr>
      </w:pPr>
      <w:r w:rsidRPr="0038789E">
        <w:rPr>
          <w:u w:val="single"/>
        </w:rPr>
        <w:t>EDC Estimated Savings</w:t>
      </w:r>
      <w:r w:rsidRPr="0038789E">
        <w:t xml:space="preserve"> –</w:t>
      </w:r>
      <w:r w:rsidR="006A2E12">
        <w:t xml:space="preserve"> EDC estimated savings for projects and programs of projects which are enrolled in a program, but not yet completed and/or </w:t>
      </w:r>
      <w:r w:rsidR="00D70BBC">
        <w:t>m</w:t>
      </w:r>
      <w:r w:rsidR="0040294D">
        <w:t xml:space="preserve">easured and </w:t>
      </w:r>
      <w:r w:rsidR="00D70BBC">
        <w:t>v</w:t>
      </w:r>
      <w:r w:rsidR="0040294D">
        <w:t>erified (M&amp;Ved)</w:t>
      </w:r>
      <w:r w:rsidR="006A2E12">
        <w:t xml:space="preserve">.  The savings estimates may or may not follow a TRM or CMP method. The savings calculations/estimates may or may not follow algorithms prescribed by the TRM or </w:t>
      </w:r>
      <w:r w:rsidR="00B12E0B">
        <w:t>Custom Measure Protocols (</w:t>
      </w:r>
      <w:r w:rsidR="006A2E12">
        <w:t>CMP</w:t>
      </w:r>
      <w:r w:rsidR="00B12E0B">
        <w:t>)</w:t>
      </w:r>
      <w:r w:rsidR="006A2E12">
        <w:t xml:space="preserve"> and are based on non-verified, estimated or stipulated values.  </w:t>
      </w:r>
    </w:p>
    <w:p w:rsidR="006A2E12" w:rsidRDefault="0038789E" w:rsidP="00173C8E">
      <w:pPr>
        <w:pStyle w:val="ListParagraph"/>
        <w:numPr>
          <w:ilvl w:val="0"/>
          <w:numId w:val="4"/>
        </w:numPr>
      </w:pPr>
      <w:r w:rsidRPr="0038789E">
        <w:rPr>
          <w:u w:val="single"/>
        </w:rPr>
        <w:t xml:space="preserve">EDC Reported </w:t>
      </w:r>
      <w:r w:rsidR="00C40712">
        <w:rPr>
          <w:u w:val="single"/>
        </w:rPr>
        <w:t xml:space="preserve">Gross </w:t>
      </w:r>
      <w:r w:rsidRPr="0038789E">
        <w:rPr>
          <w:u w:val="single"/>
        </w:rPr>
        <w:t>Savings</w:t>
      </w:r>
      <w:r w:rsidR="006A2E12" w:rsidRPr="006A2E12">
        <w:t xml:space="preserve"> –</w:t>
      </w:r>
      <w:r w:rsidR="006A2E12">
        <w:t> </w:t>
      </w:r>
      <w:r w:rsidR="00C40712">
        <w:t xml:space="preserve">Also known as </w:t>
      </w:r>
      <w:r w:rsidR="00306A98">
        <w:t>“</w:t>
      </w:r>
      <w:r w:rsidR="00C40712">
        <w:t>EDC Claimed Savings</w:t>
      </w:r>
      <w:r w:rsidR="00306A98">
        <w:t>”</w:t>
      </w:r>
      <w:r w:rsidR="00C40712">
        <w:t xml:space="preserve">. </w:t>
      </w:r>
      <w:r w:rsidR="006A2E12">
        <w:t xml:space="preserve">EDC estimated savings for projects and programs of projects which are completed and/or </w:t>
      </w:r>
      <w:r w:rsidR="0040294D">
        <w:t>M&amp;Ved</w:t>
      </w:r>
      <w:r w:rsidR="006A2E12">
        <w:t xml:space="preserve">. The estimates follow a TRM or CMP method.  The savings calculations/estimates follow algorithms prescribed by the TRM or CMP and are based non-verified, estimated, stipulated, EDC gathered or measured values of key variables. </w:t>
      </w:r>
    </w:p>
    <w:p w:rsidR="00B12E0B" w:rsidRDefault="00B12E0B" w:rsidP="00173C8E">
      <w:pPr>
        <w:pStyle w:val="ListParagraph"/>
        <w:numPr>
          <w:ilvl w:val="0"/>
          <w:numId w:val="4"/>
        </w:numPr>
      </w:pPr>
      <w:r w:rsidRPr="0038789E">
        <w:rPr>
          <w:u w:val="single"/>
        </w:rPr>
        <w:t>Natural Equipment Replacement Measure</w:t>
      </w:r>
      <w:r w:rsidRPr="006A2E12">
        <w:t xml:space="preserve"> –</w:t>
      </w:r>
      <w:r>
        <w:t xml:space="preserve"> The replacement of equipment that has failed or is at the end of its service life with a model that is more efficient than required by the codes and standards in effect at the time of replacement, or is more efficient than standard practice if there are no applicable codes or standards.  The baseline used for calculating energy savings for natural equipment replacement measures is the applicable code, standard or standard practice.  The incremental cost for natural equipment replacement measures is the difference between the cost of baseline and more efficient equipment.  Examples of projects which fit in this category include replacement due to existing equipment failure, as well as replacement of equipment which may still be in functional condition, but which is operationally obsolete due to industry advances and is no longer cost effective to keep.</w:t>
      </w:r>
    </w:p>
    <w:p w:rsidR="006A2E12" w:rsidRDefault="0038789E" w:rsidP="00173C8E">
      <w:pPr>
        <w:pStyle w:val="ListParagraph"/>
        <w:numPr>
          <w:ilvl w:val="0"/>
          <w:numId w:val="4"/>
        </w:numPr>
      </w:pPr>
      <w:r w:rsidRPr="0038789E">
        <w:rPr>
          <w:u w:val="single"/>
        </w:rPr>
        <w:t>New Construction Measure</w:t>
      </w:r>
      <w:r w:rsidR="006A2E12" w:rsidRPr="006A2E12">
        <w:t xml:space="preserve"> –</w:t>
      </w:r>
      <w:r w:rsidR="006A2E12">
        <w:t xml:space="preserve"> The substitution of efficient equipment for standard baseline equipment which the customer does not yet own.  The baseline used for calculating energy savings is the construction of a new building or installation of new equipment that complies with applicable code, standard and standard practice in place at the time of construction/installation.  The incremental cost for a new construction measure is the difference between the cost of the baseline and more efficient equipment.  Examples of projects which fit in this category include installation of a new production line, construction of a new building, or an addition to an existing facility.</w:t>
      </w:r>
    </w:p>
    <w:p w:rsidR="00B12E0B" w:rsidRDefault="00B12E0B" w:rsidP="00173C8E">
      <w:pPr>
        <w:pStyle w:val="ListParagraph"/>
        <w:numPr>
          <w:ilvl w:val="0"/>
          <w:numId w:val="4"/>
        </w:numPr>
      </w:pPr>
      <w:r w:rsidRPr="0038789E">
        <w:rPr>
          <w:u w:val="single"/>
        </w:rPr>
        <w:t>Realization Rate</w:t>
      </w:r>
      <w:r w:rsidRPr="006A2E12">
        <w:t xml:space="preserve"> –</w:t>
      </w:r>
      <w:r>
        <w:t xml:space="preserve"> The ratio of “Verified Savings” to “EDC Reported Gross Savings”.</w:t>
      </w:r>
    </w:p>
    <w:p w:rsidR="006A2E12" w:rsidRDefault="0038789E" w:rsidP="00173C8E">
      <w:pPr>
        <w:pStyle w:val="ListParagraph"/>
        <w:numPr>
          <w:ilvl w:val="0"/>
          <w:numId w:val="4"/>
        </w:numPr>
      </w:pPr>
      <w:r w:rsidRPr="0038789E">
        <w:rPr>
          <w:u w:val="single"/>
        </w:rPr>
        <w:t>Retrofit Measure (Early Replacement Measure)</w:t>
      </w:r>
      <w:r w:rsidR="006A2E12" w:rsidRPr="006A2E12">
        <w:t xml:space="preserve"> –</w:t>
      </w:r>
      <w:r w:rsidR="006A2E12">
        <w:t xml:space="preserve">  The replacement of existing equipment, which is functioning as intended and is not operationally obsolete, with a more efficient model primarily for purposes of increased efficiency.   Retrofit measures have a dual baseline: for the estimated remaining useful life of the existing equipment the baseline is the existing equipment; afterwards the baseline is the applicable code, standard and standard practice expected to be in place at the time the unit would have been naturally replaced.  If there are no known or expected changes to the baseline standards, the standard in effect at the time of retrofit is to be used.  The incremental cost is the full cost of equipment replacement.  In practice in order to avoid the uncertainty surrounding the determination of “remaining useful life” early replacement measure savings and costs sometimes follow natural equipment replacement baseline and incremental cost definitions.  Examples of projects which fit in this </w:t>
      </w:r>
      <w:r w:rsidR="006A2E12">
        <w:lastRenderedPageBreak/>
        <w:t xml:space="preserve">category include upgrade of an existing production line to gain efficiency, upgrade of an existing, but functional lighting or HVAC system that is not part of a renovation/remodeling project, replacement of an operational chiller, or installation of a supplemental measure such as adding a </w:t>
      </w:r>
      <w:r w:rsidR="0040294D">
        <w:t>Variable Frequency Drive (</w:t>
      </w:r>
      <w:r w:rsidR="006A2E12">
        <w:t>VFD</w:t>
      </w:r>
      <w:r w:rsidR="0040294D">
        <w:t>)</w:t>
      </w:r>
      <w:r w:rsidR="006A2E12">
        <w:t xml:space="preserve"> to an existing constant speed motor.</w:t>
      </w:r>
    </w:p>
    <w:p w:rsidR="00B12E0B" w:rsidRDefault="00B12E0B" w:rsidP="00173C8E">
      <w:pPr>
        <w:pStyle w:val="ListParagraph"/>
        <w:numPr>
          <w:ilvl w:val="0"/>
          <w:numId w:val="4"/>
        </w:numPr>
      </w:pPr>
      <w:r w:rsidRPr="0038789E">
        <w:rPr>
          <w:u w:val="single"/>
        </w:rPr>
        <w:t>Substantial Renovation Measure</w:t>
      </w:r>
      <w:r w:rsidRPr="006A2E12">
        <w:t xml:space="preserve"> –</w:t>
      </w:r>
      <w:r>
        <w:t xml:space="preserve"> The substitution of efficient equipment for standard baseline equipment during the course of a major renovation project which removes existing, but operationally functional equipment.  The baseline used for calculating energy savings is the installation of new equipment that complies with applicable code, standard and standard practice in place at the time of the substantial renovation.  The incremental cost for a substantial renovation measure is the difference between the cost of the baseline and more efficient equipment.  Examples include renovation of a plant which replaces an existing production line with a production line for a different product, substantial renovation of an existing building interior, replacement of an existing standard HVAC system with a ground source heat pump system.</w:t>
      </w:r>
    </w:p>
    <w:p w:rsidR="00C979F8" w:rsidRDefault="00C979F8" w:rsidP="00173C8E">
      <w:pPr>
        <w:pStyle w:val="ListParagraph"/>
        <w:numPr>
          <w:ilvl w:val="0"/>
          <w:numId w:val="4"/>
        </w:numPr>
      </w:pPr>
      <w:r w:rsidRPr="00C979F8">
        <w:rPr>
          <w:u w:val="single"/>
        </w:rPr>
        <w:t>Verified Savings</w:t>
      </w:r>
      <w:r w:rsidRPr="006A2E12">
        <w:t xml:space="preserve"> –</w:t>
      </w:r>
      <w:r>
        <w:t xml:space="preserve"> Evaluator estimated savings for projects and programs of projects which are completed and for which the impact evaluation and EM&amp;V activities are completed.  The estimates follow a TRM or CMP method.  The savings calculations/estimates follow algorithms prescribed by the TRM or CMP and are based on verified values of stipulated variables, EDC or evaluator gathered data, or measured key variables.</w:t>
      </w:r>
    </w:p>
    <w:p w:rsidR="00A22E85" w:rsidRDefault="00A22E85" w:rsidP="005D7F62">
      <w:pPr>
        <w:rPr>
          <w:szCs w:val="24"/>
        </w:rPr>
      </w:pPr>
      <w:r>
        <w:rPr>
          <w:szCs w:val="24"/>
        </w:rPr>
        <w:t xml:space="preserve">For the Act 129 program, EDCs may, as an alternative to using the energy savings’ values for standard measures contained in the TRM, submit </w:t>
      </w:r>
      <w:r w:rsidR="00880E1E">
        <w:rPr>
          <w:szCs w:val="24"/>
        </w:rPr>
        <w:t>a custom measure protocol with</w:t>
      </w:r>
      <w:r>
        <w:rPr>
          <w:szCs w:val="24"/>
        </w:rPr>
        <w:t xml:space="preserve"> alternative measurement methods to support different energy savings’ values.  The alternative measurement methods are subject to review and approval by the Commission to ensure their accuracy.</w:t>
      </w:r>
    </w:p>
    <w:p w:rsidR="00A22E85" w:rsidRDefault="00A22E85" w:rsidP="00E568D4">
      <w:pPr>
        <w:pStyle w:val="Heading2"/>
      </w:pPr>
      <w:bookmarkStart w:id="4" w:name="_Toc310875383"/>
      <w:r>
        <w:t>General Framework</w:t>
      </w:r>
      <w:bookmarkEnd w:id="4"/>
    </w:p>
    <w:p w:rsidR="00A22E85" w:rsidRDefault="00A22E85" w:rsidP="005D7F62">
      <w:r>
        <w:t xml:space="preserve">In general, energy and demand savings will be </w:t>
      </w:r>
      <w:r w:rsidR="00634D7D">
        <w:t xml:space="preserve">estimated </w:t>
      </w:r>
      <w:r>
        <w:t xml:space="preserve">using </w:t>
      </w:r>
      <w:r w:rsidR="00881633">
        <w:t xml:space="preserve">TRM stipulated values, </w:t>
      </w:r>
      <w:r>
        <w:t xml:space="preserve">measured </w:t>
      </w:r>
      <w:r w:rsidR="00881633">
        <w:t>values,</w:t>
      </w:r>
      <w:r w:rsidR="004D1E13">
        <w:t xml:space="preserve"> </w:t>
      </w:r>
      <w:r>
        <w:t xml:space="preserve">customer data </w:t>
      </w:r>
      <w:r w:rsidRPr="00F84A22">
        <w:rPr>
          <w:highlight w:val="lightGray"/>
        </w:rPr>
        <w:t>and information from the</w:t>
      </w:r>
      <w:r>
        <w:t xml:space="preserve"> </w:t>
      </w:r>
      <w:r w:rsidRPr="00F84A22">
        <w:rPr>
          <w:highlight w:val="lightGray"/>
        </w:rPr>
        <w:t>AEPS application forms</w:t>
      </w:r>
      <w:r>
        <w:t xml:space="preserve">, </w:t>
      </w:r>
      <w:r w:rsidRPr="00F84A22">
        <w:rPr>
          <w:highlight w:val="lightGray"/>
        </w:rPr>
        <w:t>worksheets and field tools.</w:t>
      </w:r>
    </w:p>
    <w:p w:rsidR="00A22E85" w:rsidRDefault="00A22E85" w:rsidP="00741321">
      <w:r>
        <w:t>Three systems will work together to ensure accurate data on a given measure:</w:t>
      </w:r>
    </w:p>
    <w:p w:rsidR="00A22E85" w:rsidRPr="00741321" w:rsidRDefault="00A22E85" w:rsidP="00100EDF">
      <w:pPr>
        <w:pStyle w:val="source1"/>
        <w:rPr>
          <w:highlight w:val="lightGray"/>
        </w:rPr>
      </w:pPr>
      <w:r w:rsidRPr="00741321">
        <w:rPr>
          <w:highlight w:val="lightGray"/>
        </w:rPr>
        <w:t>The application form that the customer or customer’s agent submits with basic information.</w:t>
      </w:r>
    </w:p>
    <w:p w:rsidR="00A22E85" w:rsidRPr="00741321" w:rsidRDefault="00A22E85" w:rsidP="00100EDF">
      <w:pPr>
        <w:pStyle w:val="source1"/>
        <w:rPr>
          <w:highlight w:val="lightGray"/>
        </w:rPr>
      </w:pPr>
      <w:r w:rsidRPr="00741321">
        <w:rPr>
          <w:highlight w:val="lightGray"/>
        </w:rPr>
        <w:t>Application worksheets and field tools with more detailed, site-specific data, input values and calculations.</w:t>
      </w:r>
    </w:p>
    <w:p w:rsidR="00A22E85" w:rsidRPr="00741321" w:rsidRDefault="00A22E85" w:rsidP="00100EDF">
      <w:pPr>
        <w:pStyle w:val="source1"/>
      </w:pPr>
      <w:r w:rsidRPr="00741321">
        <w:t>Algorithms that rely on standard or site-specific input values based on measured data.  Parts or all of the algorithms may ultimately be implemented within the tracking system, application forms and worksheets and field tools.</w:t>
      </w:r>
    </w:p>
    <w:p w:rsidR="00A22E85" w:rsidRDefault="00A22E85" w:rsidP="00E568D4">
      <w:pPr>
        <w:pStyle w:val="Heading2"/>
      </w:pPr>
      <w:bookmarkStart w:id="5" w:name="_Toc310875384"/>
      <w:r>
        <w:t>Algorithms</w:t>
      </w:r>
      <w:bookmarkEnd w:id="5"/>
    </w:p>
    <w:p w:rsidR="00A22E85" w:rsidRDefault="00A22E85" w:rsidP="005D7F62">
      <w:r>
        <w:t xml:space="preserve">The algorithms that have been developed to calculate the energy and or demand savings are </w:t>
      </w:r>
      <w:r w:rsidR="00634D7D">
        <w:t xml:space="preserve">typically </w:t>
      </w:r>
      <w:r>
        <w:t xml:space="preserve">driven by a change in efficiency level </w:t>
      </w:r>
      <w:r w:rsidR="006A4344">
        <w:t xml:space="preserve">between </w:t>
      </w:r>
      <w:r>
        <w:t xml:space="preserve">the </w:t>
      </w:r>
      <w:r w:rsidR="006A4344">
        <w:t xml:space="preserve">energy efficient </w:t>
      </w:r>
      <w:r>
        <w:t xml:space="preserve">measure </w:t>
      </w:r>
      <w:r w:rsidR="006A4344">
        <w:t>and the</w:t>
      </w:r>
      <w:r>
        <w:t xml:space="preserve"> baseline level of efficiency.  The following are the basic algorithms.</w:t>
      </w:r>
    </w:p>
    <w:p w:rsidR="00A22E85" w:rsidRPr="00AA2C40" w:rsidRDefault="00181A87" w:rsidP="008075FC">
      <w:pPr>
        <w:pStyle w:val="Equation"/>
        <w:keepNext/>
      </w:pPr>
      <w:r w:rsidRPr="00AA2C40">
        <w:lastRenderedPageBreak/>
        <w:sym w:font="Symbol" w:char="F044"/>
      </w:r>
      <w:r w:rsidRPr="00AA2C40">
        <w:t xml:space="preserve">kW </w:t>
      </w:r>
      <w:r w:rsidRPr="00AA2C40">
        <w:tab/>
      </w:r>
      <w:r w:rsidR="001E6208">
        <w:tab/>
      </w:r>
      <w:r w:rsidR="00A22E85" w:rsidRPr="00AA2C40">
        <w:t>= kW</w:t>
      </w:r>
      <w:r w:rsidR="00A22E85" w:rsidRPr="00F11594">
        <w:rPr>
          <w:vertAlign w:val="subscript"/>
        </w:rPr>
        <w:t>base</w:t>
      </w:r>
      <w:r w:rsidR="00A22E85" w:rsidRPr="00AA2C40">
        <w:t xml:space="preserve"> - kW</w:t>
      </w:r>
      <w:r w:rsidR="00A22E85" w:rsidRPr="00F11594">
        <w:rPr>
          <w:vertAlign w:val="subscript"/>
        </w:rPr>
        <w:t>ee</w:t>
      </w:r>
      <w:r w:rsidRPr="00F11594">
        <w:rPr>
          <w:vertAlign w:val="subscript"/>
        </w:rPr>
        <w:tab/>
      </w:r>
    </w:p>
    <w:p w:rsidR="00634D7D" w:rsidRPr="00AA2C40" w:rsidRDefault="00181A87" w:rsidP="009E7A34">
      <w:pPr>
        <w:pStyle w:val="Equation"/>
      </w:pPr>
      <w:r w:rsidRPr="00AA2C40">
        <w:sym w:font="Symbol" w:char="F044"/>
      </w:r>
      <w:r w:rsidRPr="00AA2C40">
        <w:t>kW</w:t>
      </w:r>
      <w:r w:rsidRPr="00AA2C40">
        <w:rPr>
          <w:vertAlign w:val="subscript"/>
        </w:rPr>
        <w:t>peak</w:t>
      </w:r>
      <w:r w:rsidRPr="00AA2C40">
        <w:t xml:space="preserve"> </w:t>
      </w:r>
      <w:r w:rsidR="001E6208">
        <w:tab/>
      </w:r>
      <w:r w:rsidR="006A4344" w:rsidRPr="00AA2C40">
        <w:t xml:space="preserve">= </w:t>
      </w:r>
      <w:r w:rsidR="00634D7D" w:rsidRPr="00AA2C40">
        <w:sym w:font="Symbol" w:char="F044"/>
      </w:r>
      <w:r w:rsidR="00634D7D" w:rsidRPr="00AA2C40">
        <w:t>kW X C</w:t>
      </w:r>
      <w:r w:rsidR="006A4344" w:rsidRPr="00AA2C40">
        <w:t>F</w:t>
      </w:r>
      <w:r w:rsidRPr="00AA2C40">
        <w:tab/>
      </w:r>
    </w:p>
    <w:p w:rsidR="00A22E85" w:rsidRDefault="00181A87" w:rsidP="009E7A34">
      <w:pPr>
        <w:pStyle w:val="Equation"/>
      </w:pPr>
      <w:r w:rsidRPr="00AA2C40">
        <w:sym w:font="Symbol" w:char="F044"/>
      </w:r>
      <w:r w:rsidRPr="00AA2C40">
        <w:t>kWh</w:t>
      </w:r>
      <w:r w:rsidRPr="00AA2C40">
        <w:tab/>
      </w:r>
      <w:r w:rsidR="001E6208">
        <w:tab/>
      </w:r>
      <w:r w:rsidRPr="00AA2C40">
        <w:t xml:space="preserve">= </w:t>
      </w:r>
      <w:r w:rsidRPr="00AA2C40">
        <w:sym w:font="Symbol" w:char="F044"/>
      </w:r>
      <w:r w:rsidRPr="00AA2C40">
        <w:t xml:space="preserve">kW X EFLH </w:t>
      </w:r>
      <w:r w:rsidRPr="00AA2C40">
        <w:tab/>
      </w:r>
    </w:p>
    <w:p w:rsidR="00A22E85" w:rsidRPr="009E7A34" w:rsidRDefault="00A22E85" w:rsidP="00100EDF">
      <w:pPr>
        <w:rPr>
          <w:b/>
        </w:rPr>
      </w:pPr>
      <w:r w:rsidRPr="009E7A34">
        <w:rPr>
          <w:b/>
        </w:rPr>
        <w:t>Where:</w:t>
      </w:r>
    </w:p>
    <w:p w:rsidR="001E6208" w:rsidRPr="009E7A34" w:rsidRDefault="001E6208" w:rsidP="009E7A34">
      <w:pPr>
        <w:pStyle w:val="Equation"/>
      </w:pPr>
      <w:r w:rsidRPr="009E7A34">
        <w:tab/>
      </w:r>
      <w:r w:rsidRPr="009E7A34">
        <w:sym w:font="Symbol" w:char="F044"/>
      </w:r>
      <w:r w:rsidRPr="009E7A34">
        <w:t xml:space="preserve">kW </w:t>
      </w:r>
      <w:r w:rsidRPr="009E7A34">
        <w:tab/>
        <w:t>= Demand Savings</w:t>
      </w:r>
    </w:p>
    <w:p w:rsidR="001E6208" w:rsidRPr="009E7A34" w:rsidRDefault="001E6208" w:rsidP="009E7A34">
      <w:pPr>
        <w:pStyle w:val="Equation"/>
      </w:pPr>
      <w:r w:rsidRPr="009E7A34">
        <w:tab/>
      </w:r>
      <w:r w:rsidRPr="009E7A34">
        <w:sym w:font="Symbol" w:char="F044"/>
      </w:r>
      <w:r w:rsidRPr="009E7A34">
        <w:t>kW</w:t>
      </w:r>
      <w:r w:rsidRPr="009E7A34">
        <w:rPr>
          <w:vertAlign w:val="subscript"/>
        </w:rPr>
        <w:t>peak</w:t>
      </w:r>
      <w:r w:rsidRPr="009E7A34">
        <w:t xml:space="preserve"> </w:t>
      </w:r>
      <w:r w:rsidRPr="009E7A34">
        <w:tab/>
        <w:t>= Coincident Peak Demand Savings</w:t>
      </w:r>
    </w:p>
    <w:p w:rsidR="001E6208" w:rsidRPr="009E7A34" w:rsidRDefault="001E6208" w:rsidP="009E7A34">
      <w:pPr>
        <w:pStyle w:val="Equation"/>
      </w:pPr>
      <w:r w:rsidRPr="009E7A34">
        <w:tab/>
      </w:r>
      <w:r w:rsidRPr="009E7A34">
        <w:sym w:font="Symbol" w:char="F044"/>
      </w:r>
      <w:r w:rsidRPr="009E7A34">
        <w:t>kWh</w:t>
      </w:r>
      <w:r w:rsidRPr="009E7A34">
        <w:tab/>
        <w:t xml:space="preserve">= Annual Energy Savings </w:t>
      </w:r>
    </w:p>
    <w:p w:rsidR="00A22E85" w:rsidRPr="009E7A34" w:rsidRDefault="006E1B95" w:rsidP="009E7A34">
      <w:pPr>
        <w:pStyle w:val="Equation"/>
      </w:pPr>
      <w:r w:rsidRPr="009E7A34">
        <w:tab/>
      </w:r>
      <w:r w:rsidR="00A22E85" w:rsidRPr="009E7A34">
        <w:t>kW</w:t>
      </w:r>
      <w:r w:rsidR="00A22E85" w:rsidRPr="009E7A34">
        <w:rPr>
          <w:vertAlign w:val="subscript"/>
        </w:rPr>
        <w:t>base</w:t>
      </w:r>
      <w:r w:rsidRPr="009E7A34">
        <w:tab/>
      </w:r>
      <w:r w:rsidR="00A22E85" w:rsidRPr="009E7A34">
        <w:t xml:space="preserve"> = </w:t>
      </w:r>
      <w:r w:rsidR="006A4344" w:rsidRPr="009E7A34">
        <w:t xml:space="preserve">Connected load </w:t>
      </w:r>
      <w:r w:rsidR="00A22E85" w:rsidRPr="009E7A34">
        <w:t>kW of baseline case.</w:t>
      </w:r>
    </w:p>
    <w:p w:rsidR="00A22E85" w:rsidRPr="009E7A34" w:rsidRDefault="006E1B95" w:rsidP="009E7A34">
      <w:pPr>
        <w:pStyle w:val="Equation"/>
      </w:pPr>
      <w:r w:rsidRPr="009E7A34">
        <w:tab/>
      </w:r>
      <w:r w:rsidR="00A22E85" w:rsidRPr="009E7A34">
        <w:t>kW</w:t>
      </w:r>
      <w:r w:rsidR="00A22E85" w:rsidRPr="009E7A34">
        <w:rPr>
          <w:vertAlign w:val="subscript"/>
        </w:rPr>
        <w:t>ee</w:t>
      </w:r>
      <w:r w:rsidR="00A22E85" w:rsidRPr="009E7A34">
        <w:t xml:space="preserve"> </w:t>
      </w:r>
      <w:r w:rsidRPr="009E7A34">
        <w:tab/>
      </w:r>
      <w:r w:rsidR="00A22E85" w:rsidRPr="009E7A34">
        <w:t xml:space="preserve">= </w:t>
      </w:r>
      <w:r w:rsidR="006A4344" w:rsidRPr="009E7A34">
        <w:t xml:space="preserve">Connected load </w:t>
      </w:r>
      <w:r w:rsidR="00A22E85" w:rsidRPr="009E7A34">
        <w:t>kW of energy efficient case.</w:t>
      </w:r>
      <w:r w:rsidR="00A22E85" w:rsidRPr="009E7A34">
        <w:tab/>
      </w:r>
    </w:p>
    <w:p w:rsidR="00A22E85" w:rsidRPr="009E7A34" w:rsidRDefault="006E1B95" w:rsidP="009E7A34">
      <w:pPr>
        <w:pStyle w:val="Equation"/>
      </w:pPr>
      <w:r w:rsidRPr="009E7A34">
        <w:tab/>
      </w:r>
      <w:r w:rsidR="00A22E85" w:rsidRPr="009E7A34">
        <w:t xml:space="preserve">EFLH </w:t>
      </w:r>
      <w:r w:rsidRPr="009E7A34">
        <w:tab/>
      </w:r>
      <w:r w:rsidR="00A22E85" w:rsidRPr="009E7A34">
        <w:t>= Equivalent Full Load Hours of operation for the installed measure.</w:t>
      </w:r>
    </w:p>
    <w:p w:rsidR="00A22E85" w:rsidRPr="009E7A34" w:rsidRDefault="006E1B95" w:rsidP="009E7A34">
      <w:pPr>
        <w:pStyle w:val="Equation"/>
      </w:pPr>
      <w:r w:rsidRPr="009E7A34">
        <w:tab/>
      </w:r>
      <w:r w:rsidR="00A22E85" w:rsidRPr="009E7A34">
        <w:t>CF</w:t>
      </w:r>
      <w:r w:rsidRPr="009E7A34">
        <w:tab/>
      </w:r>
      <w:r w:rsidR="00A22E85" w:rsidRPr="009E7A34">
        <w:t xml:space="preserve"> = Demand Coincidence Factor,</w:t>
      </w:r>
      <w:r w:rsidR="00A311A0" w:rsidRPr="00A311A0">
        <w:t xml:space="preserve">defined as the fraction of the </w:t>
      </w:r>
      <w:r w:rsidR="00BA29AE">
        <w:t xml:space="preserve">total </w:t>
      </w:r>
      <w:r w:rsidR="00A311A0" w:rsidRPr="00A311A0">
        <w:t xml:space="preserve">technology demand that is coincident with the utility </w:t>
      </w:r>
      <w:r w:rsidR="00BA29AE">
        <w:t xml:space="preserve">system </w:t>
      </w:r>
      <w:r w:rsidR="00205E45">
        <w:t xml:space="preserve">summer </w:t>
      </w:r>
      <w:r w:rsidR="00A311A0" w:rsidRPr="00A311A0">
        <w:t>peak</w:t>
      </w:r>
      <w:r w:rsidR="00BA29AE">
        <w:t>, as defined by Act 129</w:t>
      </w:r>
      <w:r w:rsidR="00470E4A" w:rsidRPr="009E7A34">
        <w:t>.</w:t>
      </w:r>
    </w:p>
    <w:p w:rsidR="00A22E85" w:rsidRDefault="00A22E85" w:rsidP="005D7F62">
      <w:r>
        <w:t>Other resource savings will be calculated as appropriate.</w:t>
      </w:r>
    </w:p>
    <w:p w:rsidR="00A22E85" w:rsidRDefault="00A22E85" w:rsidP="005D7F62">
      <w:r>
        <w:t>Specific algorithms for each of the measures may incorporate additional factors to reflect specific conditions associated with a measure.  This may include factors to account for coincidence of multiple installations or interaction between different measures.</w:t>
      </w:r>
    </w:p>
    <w:p w:rsidR="00A22E85" w:rsidRDefault="00A22E85" w:rsidP="00E568D4">
      <w:pPr>
        <w:pStyle w:val="Heading2"/>
      </w:pPr>
      <w:bookmarkStart w:id="6" w:name="_Toc310875385"/>
      <w:r>
        <w:t>Data and Input Values</w:t>
      </w:r>
      <w:bookmarkEnd w:id="6"/>
    </w:p>
    <w:p w:rsidR="00A22E85" w:rsidRDefault="00A22E85" w:rsidP="005D7F62">
      <w:r>
        <w:t xml:space="preserve">The input values and algorithms are based on the best available and applicable data.  The input values for the algorithms come from the </w:t>
      </w:r>
      <w:r w:rsidRPr="00F84A22">
        <w:rPr>
          <w:highlight w:val="lightGray"/>
        </w:rPr>
        <w:t>AEPS application forms</w:t>
      </w:r>
      <w:r>
        <w:t xml:space="preserve">, EDC data gathering, or from standard values based on measured or industry data.  </w:t>
      </w:r>
    </w:p>
    <w:p w:rsidR="00A22E85" w:rsidRDefault="00A22E85" w:rsidP="005D7F62">
      <w:r>
        <w:t xml:space="preserve">Many input values, including site-specific data, come directly from the </w:t>
      </w:r>
      <w:r w:rsidRPr="00F84A22">
        <w:rPr>
          <w:highlight w:val="lightGray"/>
        </w:rPr>
        <w:t>AEPS application forms</w:t>
      </w:r>
      <w:r>
        <w:t xml:space="preserve">, EDC data gathering, worksheets and field tools.  Site-specific data on the </w:t>
      </w:r>
      <w:r w:rsidRPr="00F84A22">
        <w:rPr>
          <w:highlight w:val="lightGray"/>
        </w:rPr>
        <w:t>AEPS application forms</w:t>
      </w:r>
      <w:r>
        <w:t xml:space="preserve"> and EDC data gathering are used for measures with important variations in one or more input values (e.g., delta watts, efficiency level, capacity, etc.).</w:t>
      </w:r>
    </w:p>
    <w:p w:rsidR="00A22E85" w:rsidRDefault="00A22E85" w:rsidP="005D7F62">
      <w:r>
        <w:t xml:space="preserve">Standard input values are based on the best available measured or industry data, including metered data, measured data from other state evaluations (applied prospectively), field data, and standards from industry associations.  The standard values for most commercial and industrial measures are supported by end-use metering for key parameters for a sample of facilities and </w:t>
      </w:r>
      <w:r>
        <w:lastRenderedPageBreak/>
        <w:t>circuits.  These standard values are based on five years of metered data for most measures</w:t>
      </w:r>
      <w:r>
        <w:rPr>
          <w:rStyle w:val="FootnoteReference"/>
        </w:rPr>
        <w:footnoteReference w:id="3"/>
      </w:r>
      <w:r>
        <w:t xml:space="preserve">.  Data that were metered over that time period are from measures that were installed over an eight-year period.  </w:t>
      </w:r>
      <w:r w:rsidR="006A4344">
        <w:t>The original TRM included m</w:t>
      </w:r>
      <w:r>
        <w:t xml:space="preserve">any input values based on program evaluations of New Jersey’s Clean Energy Programs </w:t>
      </w:r>
      <w:r w:rsidR="006A4344">
        <w:t xml:space="preserve">and other </w:t>
      </w:r>
      <w:r>
        <w:t>similar programs in the northeast region.</w:t>
      </w:r>
    </w:p>
    <w:p w:rsidR="00A22E85" w:rsidRDefault="00A22E85" w:rsidP="005D7F62">
      <w:r>
        <w:t xml:space="preserve">For the standard input assumptions for which metered or measured data were not available, the input values (e.g., delta watts, delta efficiency, equipment capacity, operating hours, coincidence factors) were </w:t>
      </w:r>
      <w:r w:rsidR="006A4344">
        <w:t xml:space="preserve">assumed </w:t>
      </w:r>
      <w:r>
        <w:t>based on best available industry data or standards.  These input values were based on a review of literature from various industry organizations, equipment manufacturers and suppliers.</w:t>
      </w:r>
    </w:p>
    <w:p w:rsidR="00A22E85" w:rsidRDefault="00A22E85" w:rsidP="00E568D4">
      <w:pPr>
        <w:pStyle w:val="Heading2"/>
      </w:pPr>
      <w:bookmarkStart w:id="7" w:name="_Toc310875386"/>
      <w:r>
        <w:t>Baseline Estimates</w:t>
      </w:r>
      <w:bookmarkEnd w:id="7"/>
    </w:p>
    <w:p w:rsidR="00A22E85" w:rsidRDefault="00A22E85" w:rsidP="005D7F62">
      <w:r>
        <w:t xml:space="preserve">For all new construction and replacement of non-working equipment, the </w:t>
      </w:r>
      <w:r>
        <w:rPr>
          <w:szCs w:val="24"/>
        </w:rPr>
        <w:sym w:font="Symbol" w:char="F044"/>
      </w:r>
      <w:r>
        <w:t xml:space="preserve">kW and </w:t>
      </w:r>
      <w:r>
        <w:rPr>
          <w:szCs w:val="24"/>
        </w:rPr>
        <w:sym w:font="Symbol" w:char="F044"/>
      </w:r>
      <w:r>
        <w:t xml:space="preserve">kWh values are based on </w:t>
      </w:r>
      <w:r w:rsidR="004675C9">
        <w:t>standard efficiency equipment</w:t>
      </w:r>
      <w:r>
        <w:t xml:space="preserve"> versus new high-efficiency </w:t>
      </w:r>
      <w:r w:rsidR="004675C9">
        <w:t>equipment</w:t>
      </w:r>
      <w:r>
        <w:t xml:space="preserve">.  </w:t>
      </w:r>
      <w:r w:rsidR="004675C9">
        <w:t>F</w:t>
      </w:r>
      <w:r>
        <w:t xml:space="preserve">or </w:t>
      </w:r>
      <w:r w:rsidR="004675C9">
        <w:t xml:space="preserve">early </w:t>
      </w:r>
      <w:r>
        <w:t>replacement measures</w:t>
      </w:r>
      <w:r w:rsidR="004675C9">
        <w:t>,</w:t>
      </w:r>
      <w:r w:rsidR="004675C9" w:rsidRPr="004675C9">
        <w:t xml:space="preserve"> </w:t>
      </w:r>
      <w:r w:rsidR="004675C9">
        <w:t xml:space="preserve">the </w:t>
      </w:r>
      <w:r w:rsidR="004675C9">
        <w:rPr>
          <w:szCs w:val="24"/>
        </w:rPr>
        <w:sym w:font="Symbol" w:char="F044"/>
      </w:r>
      <w:r w:rsidR="004675C9">
        <w:t xml:space="preserve">kW and </w:t>
      </w:r>
      <w:r w:rsidR="004675C9">
        <w:rPr>
          <w:szCs w:val="24"/>
        </w:rPr>
        <w:sym w:font="Symbol" w:char="F044"/>
      </w:r>
      <w:r w:rsidR="004675C9">
        <w:t>kWh values are based on existing equipment versus new high-efficiency equipment. This approach</w:t>
      </w:r>
      <w:r>
        <w:t xml:space="preserve"> encourages residential and business consumers to replace working inefficient equipment and appliances with new high-efficiency products rather than taking no action to upgrade or only replacing them with new standard-efficiency products.  The baseline estimates used in the TRM are documented in baseline studies or other market information.  Baselines will be updated to reflect changing codes, practices and market transformation effects.</w:t>
      </w:r>
    </w:p>
    <w:p w:rsidR="00A22E85" w:rsidRDefault="00A22E85" w:rsidP="00E568D4">
      <w:pPr>
        <w:pStyle w:val="Heading2"/>
      </w:pPr>
      <w:bookmarkStart w:id="8" w:name="_Toc275857132"/>
      <w:bookmarkStart w:id="9" w:name="_Toc275864150"/>
      <w:bookmarkStart w:id="10" w:name="_Toc275867017"/>
      <w:bookmarkStart w:id="11" w:name="_Toc275867512"/>
      <w:bookmarkStart w:id="12" w:name="_Toc275878759"/>
      <w:bookmarkStart w:id="13" w:name="_Toc275902898"/>
      <w:bookmarkStart w:id="14" w:name="_Toc275942672"/>
      <w:bookmarkStart w:id="15" w:name="_Toc275942955"/>
      <w:bookmarkStart w:id="16" w:name="_Toc275943338"/>
      <w:bookmarkStart w:id="17" w:name="_Toc276630860"/>
      <w:bookmarkStart w:id="18" w:name="_Toc276631079"/>
      <w:bookmarkStart w:id="19" w:name="_Toc276631303"/>
      <w:bookmarkStart w:id="20" w:name="_Toc276631522"/>
      <w:bookmarkStart w:id="21" w:name="_Toc283146670"/>
      <w:bookmarkStart w:id="22" w:name="_Toc283154153"/>
      <w:bookmarkStart w:id="23" w:name="_Toc283715902"/>
      <w:bookmarkStart w:id="24" w:name="_Toc283719037"/>
      <w:bookmarkStart w:id="25" w:name="_Toc283719213"/>
      <w:bookmarkStart w:id="26" w:name="_Toc283719389"/>
      <w:bookmarkStart w:id="27" w:name="_Toc283738860"/>
      <w:bookmarkStart w:id="28" w:name="_Toc283739212"/>
      <w:bookmarkStart w:id="29" w:name="_Toc283739563"/>
      <w:bookmarkStart w:id="30" w:name="_Toc283739914"/>
      <w:bookmarkStart w:id="31" w:name="_Toc283740258"/>
      <w:bookmarkStart w:id="32" w:name="_Toc283740597"/>
      <w:bookmarkStart w:id="33" w:name="_Toc283740929"/>
      <w:bookmarkStart w:id="34" w:name="_Toc283741258"/>
      <w:bookmarkStart w:id="35" w:name="_Toc283741581"/>
      <w:bookmarkStart w:id="36" w:name="_Toc283741892"/>
      <w:bookmarkStart w:id="37" w:name="_Toc283742429"/>
      <w:bookmarkStart w:id="38" w:name="_Toc283742694"/>
      <w:bookmarkStart w:id="39" w:name="_Toc283742955"/>
      <w:bookmarkStart w:id="40" w:name="_Toc283743133"/>
      <w:bookmarkStart w:id="41" w:name="_Toc283743309"/>
      <w:bookmarkStart w:id="42" w:name="_Toc283743486"/>
      <w:bookmarkStart w:id="43" w:name="_Toc283743662"/>
      <w:bookmarkStart w:id="44" w:name="_Toc31087538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t>Resource Savings in Current and Future Program Years</w:t>
      </w:r>
      <w:bookmarkEnd w:id="44"/>
    </w:p>
    <w:p w:rsidR="00A22E85" w:rsidRDefault="00A22E85" w:rsidP="005D7F62">
      <w:r w:rsidRPr="00F84A22">
        <w:rPr>
          <w:highlight w:val="lightGray"/>
        </w:rPr>
        <w:t>AECs</w:t>
      </w:r>
      <w:r w:rsidRPr="00554E23">
        <w:t xml:space="preserve"> </w:t>
      </w:r>
      <w:r>
        <w:t xml:space="preserve">and energy efficiency and demand response reduction savings </w:t>
      </w:r>
      <w:r w:rsidRPr="00554E23">
        <w:t>will apply in equal annual a</w:t>
      </w:r>
      <w:r>
        <w:t xml:space="preserve">mounts corresponding to either </w:t>
      </w:r>
      <w:r w:rsidRPr="00554E23">
        <w:t xml:space="preserve">PJM planning years or calendar years beginning with the year </w:t>
      </w:r>
      <w:r w:rsidRPr="00F84A22">
        <w:rPr>
          <w:highlight w:val="lightGray"/>
        </w:rPr>
        <w:t>deemed appropriate by the Administrator, and lasting for the approved life of the measure for AEPS Credits.</w:t>
      </w:r>
      <w:r>
        <w:t xml:space="preserve">  Energy efficiency and demand response savings associated with Act 129 can claim savings for up to fifteen years.</w:t>
      </w:r>
      <w:r w:rsidR="00CE04E0">
        <w:t xml:space="preserve"> </w:t>
      </w:r>
      <w:r w:rsidR="00CE04E0" w:rsidRPr="00CE04E0">
        <w:rPr>
          <w:iCs/>
        </w:rPr>
        <w:t>For Act 129 requirements, annual savings may be claimed starting in the month of the in-service date for the measure.</w:t>
      </w:r>
    </w:p>
    <w:p w:rsidR="00A22E85" w:rsidRDefault="00A22E85" w:rsidP="00E568D4">
      <w:pPr>
        <w:pStyle w:val="Heading2"/>
      </w:pPr>
      <w:bookmarkStart w:id="45" w:name="_Toc310875388"/>
      <w:r>
        <w:t>Prospective Application of the TRM</w:t>
      </w:r>
      <w:bookmarkEnd w:id="45"/>
    </w:p>
    <w:p w:rsidR="00A22E85" w:rsidRPr="00672244" w:rsidRDefault="00A22E85" w:rsidP="004D1E13">
      <w:pPr>
        <w:overflowPunct/>
        <w:textAlignment w:val="auto"/>
        <w:rPr>
          <w:rFonts w:ascii="PalatinoLinotype" w:hAnsi="PalatinoLinotype" w:cs="PalatinoLinotype"/>
        </w:rPr>
      </w:pPr>
      <w:r>
        <w:t xml:space="preserve">The TRM will be applied prospectively.  The input values are from the </w:t>
      </w:r>
      <w:r w:rsidRPr="00F84A22">
        <w:rPr>
          <w:highlight w:val="lightGray"/>
        </w:rPr>
        <w:t>AEPS application forms</w:t>
      </w:r>
      <w:r w:rsidR="00CB6106">
        <w:t xml:space="preserve">, EDC program application forms, </w:t>
      </w:r>
      <w:r>
        <w:t>EDC data gathering and standard input values (based on measured data including metered data and evaluation results).  The TRM will be updated annually based on new information and available data and then applied prospectively for future program years.</w:t>
      </w:r>
      <w:r w:rsidRPr="0004512F">
        <w:t xml:space="preserve"> </w:t>
      </w:r>
      <w:r>
        <w:t>U</w:t>
      </w:r>
      <w:r w:rsidRPr="00483F70">
        <w:t xml:space="preserve">pdates will not alter the number of </w:t>
      </w:r>
      <w:r w:rsidRPr="00F84A22">
        <w:rPr>
          <w:highlight w:val="lightGray"/>
        </w:rPr>
        <w:t>AEPS Credits, once awarded, by the Administrator</w:t>
      </w:r>
      <w:r>
        <w:t>, nor will it alter any energy savings or demand reductions already in service and within measure life.</w:t>
      </w:r>
      <w:r w:rsidR="00881633" w:rsidRPr="00881633">
        <w:rPr>
          <w:rFonts w:ascii="PalatinoLinotype" w:hAnsi="PalatinoLinotype" w:cs="PalatinoLinotype"/>
        </w:rPr>
        <w:t xml:space="preserve"> </w:t>
      </w:r>
      <w:r w:rsidR="00881633">
        <w:rPr>
          <w:rFonts w:ascii="PalatinoLinotype" w:hAnsi="PalatinoLinotype" w:cs="PalatinoLinotype"/>
        </w:rPr>
        <w:t>Any newly approved measure, whether in the TRM or approved as an interim protocol, may be applied retrospectively</w:t>
      </w:r>
      <w:r w:rsidR="00CE04E0">
        <w:rPr>
          <w:rFonts w:ascii="PalatinoLinotype" w:hAnsi="PalatinoLinotype" w:cs="PalatinoLinotype"/>
        </w:rPr>
        <w:t xml:space="preserve"> consistent with the EDC’s approved plan</w:t>
      </w:r>
      <w:r w:rsidR="00881633">
        <w:rPr>
          <w:rFonts w:ascii="PalatinoLinotype" w:hAnsi="PalatinoLinotype" w:cs="PalatinoLinotype"/>
        </w:rPr>
        <w:t>.</w:t>
      </w:r>
      <w:r w:rsidR="00CE04E0">
        <w:rPr>
          <w:rFonts w:ascii="PalatinoLinotype" w:hAnsi="PalatinoLinotype" w:cs="PalatinoLinotype"/>
        </w:rPr>
        <w:t xml:space="preserve"> </w:t>
      </w:r>
      <w:r w:rsidR="00CE04E0" w:rsidRPr="00CE04E0">
        <w:rPr>
          <w:rFonts w:ascii="PalatinoLinotype" w:hAnsi="PalatinoLinotype" w:cs="PalatinoLinotype"/>
          <w:iCs/>
        </w:rPr>
        <w:t>If any errors are discovered in the TRM or clarifications are required, those corrections or clarifications should be applied to the associated measure calculations for the current program year, if applicable.</w:t>
      </w:r>
    </w:p>
    <w:p w:rsidR="00A22E85" w:rsidRDefault="00A22E85" w:rsidP="00E568D4">
      <w:pPr>
        <w:pStyle w:val="Heading2"/>
      </w:pPr>
      <w:bookmarkStart w:id="46" w:name="_Toc310875389"/>
      <w:r>
        <w:lastRenderedPageBreak/>
        <w:t>Electric Resource Savings</w:t>
      </w:r>
      <w:bookmarkEnd w:id="46"/>
    </w:p>
    <w:p w:rsidR="00A22E85" w:rsidRPr="001900AE" w:rsidRDefault="001900AE" w:rsidP="005D7F62">
      <w:r w:rsidRPr="001900AE">
        <w:t>Algorithms have been developed to determine the annual electric energy and electric coincident</w:t>
      </w:r>
      <w:r w:rsidR="00C979F8">
        <w:t xml:space="preserve"> </w:t>
      </w:r>
      <w:r w:rsidRPr="001900AE">
        <w:t>peak demand savings.</w:t>
      </w:r>
    </w:p>
    <w:p w:rsidR="00A22E85" w:rsidRDefault="00A22E85" w:rsidP="005D7F62">
      <w:r>
        <w:t>Annual electric energy savings are calculated and then allocated separately by season (summer and winter) and time of day (on-peak and off-peak).  Summer coincident peak demand savings are calculated using a demand savings algorithm for each measure that includes a coincidence factor.  Application of this coincidence factor converts the demand savings of the measure, which may not occur at time of system peak</w:t>
      </w:r>
      <w:r w:rsidR="004D1E13">
        <w:t xml:space="preserve"> window</w:t>
      </w:r>
      <w:r>
        <w:t xml:space="preserve">, to demand savings that is expected to occur during the </w:t>
      </w:r>
      <w:r w:rsidR="00783E78">
        <w:t>top 100 hours</w:t>
      </w:r>
      <w:r>
        <w:t xml:space="preserve">.  </w:t>
      </w:r>
      <w:r w:rsidR="00BF6D1C">
        <w:t>This coincidence factor applies to the top 100 hours as defined in the Implementation Order as long as the EE&amp;C measure class is operable during the summer peak hours.</w:t>
      </w:r>
    </w:p>
    <w:p w:rsidR="00D00E58" w:rsidRDefault="00D00E58" w:rsidP="00100EDF">
      <w:pPr>
        <w:pStyle w:val="Caption"/>
      </w:pPr>
      <w:bookmarkStart w:id="47" w:name="_Ref303246004"/>
      <w:bookmarkStart w:id="48" w:name="_Ref274653019"/>
      <w:bookmarkStart w:id="49" w:name="_Toc310875485"/>
      <w:r>
        <w:t xml:space="preserve">Table </w:t>
      </w:r>
      <w:r w:rsidR="00274AB1">
        <w:fldChar w:fldCharType="begin"/>
      </w:r>
      <w:r w:rsidR="00274AB1">
        <w:instrText xml:space="preserve"> STYLEREF 1 \s </w:instrText>
      </w:r>
      <w:r w:rsidR="00274AB1">
        <w:fldChar w:fldCharType="separate"/>
      </w:r>
      <w:r w:rsidR="00C0292F">
        <w:rPr>
          <w:noProof/>
        </w:rPr>
        <w:t>1</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1</w:t>
      </w:r>
      <w:r w:rsidR="00274AB1">
        <w:rPr>
          <w:noProof/>
        </w:rPr>
        <w:fldChar w:fldCharType="end"/>
      </w:r>
      <w:bookmarkEnd w:id="47"/>
      <w:bookmarkEnd w:id="48"/>
      <w:r>
        <w:t xml:space="preserve">: Periods </w:t>
      </w:r>
      <w:r w:rsidR="00F11594">
        <w:t>for</w:t>
      </w:r>
      <w:r>
        <w:t xml:space="preserve"> Energy Savings and Coincident Peak Demand Savings</w:t>
      </w:r>
      <w:bookmarkEnd w:id="4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9"/>
        <w:gridCol w:w="3420"/>
        <w:gridCol w:w="3257"/>
      </w:tblGrid>
      <w:tr w:rsidR="00D00E58" w:rsidRPr="006E1B95" w:rsidTr="00983B90">
        <w:trPr>
          <w:trHeight w:val="317"/>
          <w:jc w:val="center"/>
        </w:trPr>
        <w:tc>
          <w:tcPr>
            <w:tcW w:w="1230" w:type="pct"/>
            <w:shd w:val="clear" w:color="auto" w:fill="BFBFBF"/>
            <w:vAlign w:val="center"/>
          </w:tcPr>
          <w:p w:rsidR="00D00E58" w:rsidRPr="001D6512" w:rsidRDefault="00D00E58" w:rsidP="00CA4BE3">
            <w:pPr>
              <w:pStyle w:val="TableCell"/>
              <w:spacing w:before="60" w:after="60"/>
              <w:rPr>
                <w:b/>
              </w:rPr>
            </w:pPr>
            <w:r w:rsidRPr="001D6512">
              <w:rPr>
                <w:b/>
              </w:rPr>
              <w:t>Period</w:t>
            </w:r>
          </w:p>
        </w:tc>
        <w:tc>
          <w:tcPr>
            <w:tcW w:w="1931" w:type="pct"/>
            <w:shd w:val="clear" w:color="auto" w:fill="BFBFBF"/>
            <w:vAlign w:val="center"/>
          </w:tcPr>
          <w:p w:rsidR="00D00E58" w:rsidRPr="001D6512" w:rsidRDefault="00D00E58" w:rsidP="00CA4BE3">
            <w:pPr>
              <w:pStyle w:val="TableCell"/>
              <w:spacing w:before="60" w:after="60"/>
              <w:rPr>
                <w:b/>
              </w:rPr>
            </w:pPr>
            <w:r w:rsidRPr="001D6512">
              <w:rPr>
                <w:b/>
              </w:rPr>
              <w:t>Energy Savings</w:t>
            </w:r>
          </w:p>
        </w:tc>
        <w:tc>
          <w:tcPr>
            <w:tcW w:w="1839" w:type="pct"/>
            <w:shd w:val="clear" w:color="auto" w:fill="BFBFBF"/>
            <w:vAlign w:val="center"/>
          </w:tcPr>
          <w:p w:rsidR="00D00E58" w:rsidRPr="001D6512" w:rsidRDefault="00D00E58" w:rsidP="00CA4BE3">
            <w:pPr>
              <w:pStyle w:val="TableCell"/>
              <w:spacing w:before="60" w:after="60"/>
              <w:rPr>
                <w:b/>
              </w:rPr>
            </w:pPr>
            <w:r w:rsidRPr="001D6512">
              <w:rPr>
                <w:b/>
              </w:rPr>
              <w:t>Coincident Peak Demand Savings</w:t>
            </w:r>
          </w:p>
        </w:tc>
      </w:tr>
      <w:tr w:rsidR="00D00E58" w:rsidTr="00983B90">
        <w:trPr>
          <w:trHeight w:val="317"/>
          <w:jc w:val="center"/>
        </w:trPr>
        <w:tc>
          <w:tcPr>
            <w:tcW w:w="1230" w:type="pct"/>
            <w:vAlign w:val="center"/>
          </w:tcPr>
          <w:p w:rsidR="00D00E58" w:rsidRPr="001D6512" w:rsidRDefault="00D00E58" w:rsidP="00CA4BE3">
            <w:pPr>
              <w:pStyle w:val="TableCell"/>
              <w:spacing w:before="60" w:after="60"/>
            </w:pPr>
            <w:r w:rsidRPr="001D6512">
              <w:t>Summer</w:t>
            </w:r>
          </w:p>
        </w:tc>
        <w:tc>
          <w:tcPr>
            <w:tcW w:w="1931" w:type="pct"/>
            <w:vAlign w:val="center"/>
          </w:tcPr>
          <w:p w:rsidR="00D00E58" w:rsidRPr="001D6512" w:rsidRDefault="00D00E58" w:rsidP="00CA4BE3">
            <w:pPr>
              <w:pStyle w:val="TableCell"/>
              <w:spacing w:before="60" w:after="60"/>
            </w:pPr>
            <w:r w:rsidRPr="001D6512">
              <w:t>May through September</w:t>
            </w:r>
          </w:p>
        </w:tc>
        <w:tc>
          <w:tcPr>
            <w:tcW w:w="1839" w:type="pct"/>
            <w:vAlign w:val="center"/>
          </w:tcPr>
          <w:p w:rsidR="00D00E58" w:rsidRPr="001D6512" w:rsidRDefault="00D00E58" w:rsidP="00CA4BE3">
            <w:pPr>
              <w:pStyle w:val="TableCell"/>
              <w:spacing w:before="60" w:after="60"/>
            </w:pPr>
            <w:r w:rsidRPr="001D6512">
              <w:t>June through September</w:t>
            </w:r>
          </w:p>
        </w:tc>
      </w:tr>
      <w:tr w:rsidR="00D00E58" w:rsidTr="00983B90">
        <w:trPr>
          <w:trHeight w:val="317"/>
          <w:jc w:val="center"/>
        </w:trPr>
        <w:tc>
          <w:tcPr>
            <w:tcW w:w="1230" w:type="pct"/>
            <w:vAlign w:val="center"/>
          </w:tcPr>
          <w:p w:rsidR="00D00E58" w:rsidRPr="001D6512" w:rsidRDefault="00D00E58" w:rsidP="00CA4BE3">
            <w:pPr>
              <w:pStyle w:val="TableCell"/>
              <w:spacing w:before="60" w:after="60"/>
            </w:pPr>
            <w:r w:rsidRPr="001D6512">
              <w:t>Winter</w:t>
            </w:r>
          </w:p>
        </w:tc>
        <w:tc>
          <w:tcPr>
            <w:tcW w:w="1931" w:type="pct"/>
            <w:vAlign w:val="center"/>
          </w:tcPr>
          <w:p w:rsidR="00D00E58" w:rsidRPr="001D6512" w:rsidRDefault="00D00E58" w:rsidP="00CA4BE3">
            <w:pPr>
              <w:pStyle w:val="TableCell"/>
              <w:spacing w:before="60" w:after="60"/>
            </w:pPr>
            <w:r w:rsidRPr="001D6512">
              <w:t>October through April</w:t>
            </w:r>
          </w:p>
        </w:tc>
        <w:tc>
          <w:tcPr>
            <w:tcW w:w="1839" w:type="pct"/>
            <w:vAlign w:val="center"/>
          </w:tcPr>
          <w:p w:rsidR="00D00E58" w:rsidRPr="001D6512" w:rsidRDefault="00D00E58" w:rsidP="00CA4BE3">
            <w:pPr>
              <w:pStyle w:val="TableCell"/>
              <w:spacing w:before="60" w:after="60"/>
            </w:pPr>
            <w:r w:rsidRPr="001D6512">
              <w:t>N/A</w:t>
            </w:r>
          </w:p>
        </w:tc>
      </w:tr>
      <w:tr w:rsidR="00D00E58" w:rsidTr="00983B90">
        <w:trPr>
          <w:trHeight w:val="317"/>
          <w:jc w:val="center"/>
        </w:trPr>
        <w:tc>
          <w:tcPr>
            <w:tcW w:w="1230" w:type="pct"/>
            <w:vAlign w:val="center"/>
          </w:tcPr>
          <w:p w:rsidR="00D00E58" w:rsidRPr="001D6512" w:rsidRDefault="00D00E58" w:rsidP="00D61A5A">
            <w:pPr>
              <w:pStyle w:val="TableCell"/>
              <w:spacing w:before="60" w:after="60"/>
            </w:pPr>
            <w:r w:rsidRPr="001D6512">
              <w:t>Peak</w:t>
            </w:r>
          </w:p>
        </w:tc>
        <w:tc>
          <w:tcPr>
            <w:tcW w:w="1931" w:type="pct"/>
            <w:vAlign w:val="center"/>
          </w:tcPr>
          <w:p w:rsidR="00D00E58" w:rsidRPr="001D6512" w:rsidRDefault="00D00E58" w:rsidP="00CA4BE3">
            <w:pPr>
              <w:pStyle w:val="TableCell"/>
              <w:spacing w:before="60" w:after="60"/>
            </w:pPr>
            <w:r w:rsidRPr="001D6512">
              <w:t>8:00 a.m. to 8:00 p.m.</w:t>
            </w:r>
            <w:r w:rsidR="001900AE" w:rsidRPr="001D6512">
              <w:t xml:space="preserve"> Mon.-Fri.</w:t>
            </w:r>
          </w:p>
        </w:tc>
        <w:tc>
          <w:tcPr>
            <w:tcW w:w="1839" w:type="pct"/>
            <w:vAlign w:val="center"/>
          </w:tcPr>
          <w:p w:rsidR="00D00E58" w:rsidRPr="001D6512" w:rsidRDefault="00D00E58" w:rsidP="00CA4BE3">
            <w:pPr>
              <w:pStyle w:val="TableCell"/>
              <w:spacing w:before="60" w:after="60"/>
            </w:pPr>
            <w:r w:rsidRPr="001D6512">
              <w:t>12:00 p.m. to 8:00 p.m.</w:t>
            </w:r>
          </w:p>
        </w:tc>
      </w:tr>
      <w:tr w:rsidR="00D00E58" w:rsidTr="00983B90">
        <w:trPr>
          <w:trHeight w:val="317"/>
          <w:jc w:val="center"/>
        </w:trPr>
        <w:tc>
          <w:tcPr>
            <w:tcW w:w="1230" w:type="pct"/>
            <w:vAlign w:val="center"/>
          </w:tcPr>
          <w:p w:rsidR="00D00E58" w:rsidRPr="001D6512" w:rsidRDefault="00D00E58" w:rsidP="00D61A5A">
            <w:pPr>
              <w:pStyle w:val="TableCell"/>
              <w:spacing w:before="60" w:after="60"/>
            </w:pPr>
            <w:r w:rsidRPr="001D6512">
              <w:t>Off-Peak</w:t>
            </w:r>
          </w:p>
        </w:tc>
        <w:tc>
          <w:tcPr>
            <w:tcW w:w="1931" w:type="pct"/>
            <w:vAlign w:val="center"/>
          </w:tcPr>
          <w:p w:rsidR="00D00E58" w:rsidRPr="001D6512" w:rsidRDefault="00D00E58" w:rsidP="00CA4BE3">
            <w:pPr>
              <w:pStyle w:val="TableCell"/>
              <w:spacing w:before="60" w:after="60"/>
            </w:pPr>
            <w:r w:rsidRPr="001D6512">
              <w:t>8:00 p.m. to 8:00 a.m.</w:t>
            </w:r>
            <w:r w:rsidR="001900AE" w:rsidRPr="001D6512">
              <w:t xml:space="preserve"> Mon.-Fri.,</w:t>
            </w:r>
          </w:p>
          <w:p w:rsidR="001900AE" w:rsidRPr="001D6512" w:rsidRDefault="001900AE" w:rsidP="00CA4BE3">
            <w:pPr>
              <w:pStyle w:val="TableCell"/>
              <w:spacing w:before="60" w:after="60"/>
            </w:pPr>
            <w:r w:rsidRPr="001D6512">
              <w:t>12 a.m. to 12p.m. Sat/Sun &amp; holidays</w:t>
            </w:r>
          </w:p>
        </w:tc>
        <w:tc>
          <w:tcPr>
            <w:tcW w:w="1839" w:type="pct"/>
            <w:vAlign w:val="center"/>
          </w:tcPr>
          <w:p w:rsidR="00D00E58" w:rsidRPr="001D6512" w:rsidRDefault="00D00E58" w:rsidP="00CA4BE3">
            <w:pPr>
              <w:pStyle w:val="TableCell"/>
              <w:spacing w:before="60" w:after="60"/>
            </w:pPr>
            <w:r w:rsidRPr="001D6512">
              <w:t>N/A</w:t>
            </w:r>
          </w:p>
        </w:tc>
      </w:tr>
    </w:tbl>
    <w:p w:rsidR="00A22E85" w:rsidRDefault="00A22E85" w:rsidP="005D7F62"/>
    <w:p w:rsidR="00A22E85" w:rsidRDefault="00A22E85" w:rsidP="005D7F62">
      <w:r>
        <w:t xml:space="preserve">The time periods for energy savings and coincident peak demand savings were chosen to best fit the Act 129 requirement, which reflects the seasonal avoided cost patterns for electric energy and capacity that were used for the energy efficiency program cost effectiveness purposes.  For energy, the summer period May through September was selected based on the pattern of avoided costs for energy at the PJM level.  In order to keep the complexity of the process for calculating energy savings’ benefits to a reasonable level by using two time periods, the knee periods for spring and fall were split approximately evenly between the summer and winter periods.  </w:t>
      </w:r>
    </w:p>
    <w:p w:rsidR="00A22E85" w:rsidRDefault="00A22E85" w:rsidP="005D7F62">
      <w:r>
        <w:t xml:space="preserve">For capacity, the summer period June through September was selected to match the period of time required to measure the 100 highest hours of demand.  This period also correlates with the highest avoided costs’ time period for capacity.  The experience in PJM has been that nearly all of the 100 highest hours of an EDC’s peak demand occur during these four months.  Coincidence factors are used to determine the impact of energy efficiency measures on peak demand.  </w:t>
      </w:r>
    </w:p>
    <w:p w:rsidR="00A22E85" w:rsidRDefault="00A22E85" w:rsidP="00E568D4">
      <w:pPr>
        <w:pStyle w:val="Heading2"/>
      </w:pPr>
      <w:bookmarkStart w:id="50" w:name="_Toc310875390"/>
      <w:r>
        <w:t>Post-Implementation Review</w:t>
      </w:r>
      <w:bookmarkEnd w:id="50"/>
    </w:p>
    <w:p w:rsidR="00A22E85" w:rsidRDefault="00A22E85" w:rsidP="005D7F62">
      <w:r w:rsidRPr="00F84A22">
        <w:rPr>
          <w:highlight w:val="lightGray"/>
        </w:rPr>
        <w:t xml:space="preserve">The Administrator will review AEPS application forms and tracking systems for all measures and conduct field inspections on a sample of installations.  For some programs and </w:t>
      </w:r>
      <w:r w:rsidR="001900AE" w:rsidRPr="00F84A22">
        <w:rPr>
          <w:highlight w:val="lightGray"/>
        </w:rPr>
        <w:t xml:space="preserve">projects </w:t>
      </w:r>
      <w:r w:rsidRPr="00F84A22">
        <w:rPr>
          <w:highlight w:val="lightGray"/>
        </w:rPr>
        <w:t>(e.g., custom, large process, large and complex comprehensive design), post-installation review and on-site verification of a sample of AEPS application forms and installations will be used to ensure the reliability of site-specific savings’ estimates.</w:t>
      </w:r>
    </w:p>
    <w:p w:rsidR="00A22E85" w:rsidRDefault="00A22E85" w:rsidP="00E568D4">
      <w:pPr>
        <w:pStyle w:val="Heading2"/>
      </w:pPr>
      <w:bookmarkStart w:id="51" w:name="_Toc310875391"/>
      <w:r>
        <w:lastRenderedPageBreak/>
        <w:t>Adjustments to Energy and Resource Savings</w:t>
      </w:r>
      <w:bookmarkEnd w:id="51"/>
    </w:p>
    <w:p w:rsidR="00A22E85" w:rsidRDefault="00A22E85" w:rsidP="00871FA2">
      <w:pPr>
        <w:pStyle w:val="Heading3"/>
      </w:pPr>
      <w:r w:rsidRPr="007A0424">
        <w:t>Coincidence</w:t>
      </w:r>
      <w:r>
        <w:t xml:space="preserve"> with Electric System Peak</w:t>
      </w:r>
    </w:p>
    <w:p w:rsidR="00A22E85" w:rsidRDefault="00A22E85" w:rsidP="005D7F62">
      <w:r>
        <w:t xml:space="preserve">Coincidence factors are used to reflect the portion of the connected load savings or generation that is coincident with the </w:t>
      </w:r>
      <w:r w:rsidR="00F36A9A">
        <w:t>top 100 hours</w:t>
      </w:r>
      <w:r>
        <w:t>.</w:t>
      </w:r>
    </w:p>
    <w:p w:rsidR="00A22E85" w:rsidRDefault="00A22E85" w:rsidP="00871FA2">
      <w:pPr>
        <w:pStyle w:val="Heading3"/>
      </w:pPr>
      <w:r>
        <w:t>Measure Retention and Persistence of Savings</w:t>
      </w:r>
    </w:p>
    <w:p w:rsidR="00A22E85" w:rsidRDefault="00A22E85" w:rsidP="005D7F62">
      <w:r>
        <w:t>The combined effect of measure retention and persistence is the ability of installed measures to maintain the initial level of energy savings or generation over the measure life.  Measure retention and persistence effects were accounted for in the metered data that were based on C&amp;I installations over an eight-year period.  As a result, some algorithms incorporate retention and persistence effects in the other input values.  For other measures, if the measure is subject to a reduction in savings or generation over time, the reduction in retention or persistence is accounted for using factors in the calculation of resource savings (e.g., in-service rates for residential lighting measures).</w:t>
      </w:r>
    </w:p>
    <w:p w:rsidR="001900AE" w:rsidRDefault="001900AE" w:rsidP="00871FA2">
      <w:pPr>
        <w:pStyle w:val="Heading3"/>
      </w:pPr>
      <w:r w:rsidRPr="001900AE">
        <w:t>Interactive Measure Energy Savings</w:t>
      </w:r>
    </w:p>
    <w:p w:rsidR="00A22E85" w:rsidRDefault="001900AE" w:rsidP="005D7F62">
      <w:r w:rsidRPr="001900AE">
        <w:t>Interaction of energy savings is accounted for specific measures as appropriate</w:t>
      </w:r>
      <w:r w:rsidR="00A22E85">
        <w:t>.  For all other measures, interaction of energy savings is zero.</w:t>
      </w:r>
    </w:p>
    <w:p w:rsidR="00A22E85" w:rsidRDefault="00A22E85" w:rsidP="005D7F62">
      <w:r>
        <w:t>For Residential New Construction, the interaction of energy savings is accounted for in the home energy rating tool that compares the efficient building to the baseline or reference building and calculates savings.</w:t>
      </w:r>
    </w:p>
    <w:p w:rsidR="00A22E85" w:rsidRDefault="00A22E85" w:rsidP="005D7F62">
      <w:r>
        <w:t>For Commercial and Industrial</w:t>
      </w:r>
      <w:r w:rsidR="00C979F8">
        <w:t xml:space="preserve"> (C&amp;I) lighting</w:t>
      </w:r>
      <w:r>
        <w:t xml:space="preserve">, the energy savings is increased by an amount specified in the algorithm to account for HVAC interaction. </w:t>
      </w:r>
    </w:p>
    <w:p w:rsidR="00A22E85" w:rsidRDefault="00A22E85" w:rsidP="005D7F62">
      <w:r>
        <w:t xml:space="preserve">For </w:t>
      </w:r>
      <w:r w:rsidR="00C979F8">
        <w:t>C&amp;I</w:t>
      </w:r>
      <w:r w:rsidR="004D1E13">
        <w:t xml:space="preserve"> </w:t>
      </w:r>
      <w:r>
        <w:t>custom measures, interaction is accounted for in the site-specific analysis</w:t>
      </w:r>
      <w:r w:rsidR="004D1E13">
        <w:t xml:space="preserve"> where relevant</w:t>
      </w:r>
      <w:r>
        <w:t>.</w:t>
      </w:r>
    </w:p>
    <w:p w:rsidR="00BB186F" w:rsidRDefault="00BB186F" w:rsidP="00BB186F">
      <w:pPr>
        <w:pStyle w:val="Heading3"/>
      </w:pPr>
      <w:r>
        <w:t>Verified Gross Adjustments</w:t>
      </w:r>
    </w:p>
    <w:p w:rsidR="00DA1036" w:rsidRDefault="00BB186F" w:rsidP="00BB186F">
      <w:r>
        <w:t xml:space="preserve">Evaluation activities at a basic level consist of verification of the installation and operation of measures. In many cases, the number of widgets found on-site may differ from the number stated on the application, which represents the number of widgets paid for by the program. </w:t>
      </w:r>
      <w:r w:rsidR="007E1A11">
        <w:t>When the number of widgets found on-site is less than what is stated on the application, the savings will be adjusted by a realization rate. For example, if an application states 100 widgets but an on-site inspection only finds 85, the realization rate applied</w:t>
      </w:r>
      <w:r w:rsidR="00DA1036">
        <w:t xml:space="preserve"> </w:t>
      </w:r>
      <w:r w:rsidR="007E1A11">
        <w:t>is 85%</w:t>
      </w:r>
      <w:r w:rsidR="00DA1036">
        <w:t xml:space="preserve"> (assuming no other discrepancies)</w:t>
      </w:r>
      <w:r w:rsidR="007E1A11">
        <w:t xml:space="preserve">. </w:t>
      </w:r>
      <w:r w:rsidR="00DA1036">
        <w:t xml:space="preserve">On-site widget counts within 5% of the application numbers can be considered </w:t>
      </w:r>
      <w:r w:rsidR="00E17950">
        <w:t>to be within reasonable error without requiring realization rate adjustment.</w:t>
      </w:r>
    </w:p>
    <w:p w:rsidR="00BB186F" w:rsidRDefault="007E1A11" w:rsidP="00BB186F">
      <w:r>
        <w:t xml:space="preserve">On the other hand, if the number of widgets found on-site is more than what is stated on the application, the </w:t>
      </w:r>
      <w:r w:rsidR="00DA1036">
        <w:t>savings will be capped at the application findings. For example, if an application states 100 widgets but an on-site inspection finds 120, the realization rate applied is 100% (assuming no other discrepancies).</w:t>
      </w:r>
    </w:p>
    <w:p w:rsidR="00A22E85" w:rsidRDefault="00A22E85" w:rsidP="00E568D4">
      <w:pPr>
        <w:pStyle w:val="Heading2"/>
      </w:pPr>
      <w:bookmarkStart w:id="52" w:name="_Toc303339033"/>
      <w:bookmarkStart w:id="53" w:name="_Toc303347530"/>
      <w:bookmarkStart w:id="54" w:name="_Toc303352468"/>
      <w:bookmarkStart w:id="55" w:name="_Toc310868398"/>
      <w:bookmarkStart w:id="56" w:name="_Toc310875392"/>
      <w:bookmarkEnd w:id="52"/>
      <w:bookmarkEnd w:id="53"/>
      <w:bookmarkEnd w:id="54"/>
      <w:bookmarkEnd w:id="55"/>
      <w:r>
        <w:lastRenderedPageBreak/>
        <w:t>Calculation of the Value of Resource Savings</w:t>
      </w:r>
      <w:bookmarkEnd w:id="56"/>
    </w:p>
    <w:p w:rsidR="00A22E85" w:rsidRDefault="00A22E85" w:rsidP="005D7F62">
      <w:r>
        <w:t>The calculation of the value of the resources saved is not part of the TRM.  The TRM is limited to the determination of the per unit resource savings in physical terms</w:t>
      </w:r>
      <w:r w:rsidR="00783E78">
        <w:t xml:space="preserve"> at the customer meter</w:t>
      </w:r>
      <w:r>
        <w:t>.</w:t>
      </w:r>
    </w:p>
    <w:p w:rsidR="00A22E85" w:rsidRDefault="00A22E85" w:rsidP="0095622C">
      <w:r>
        <w:t>In order to calculate the value of the energy savings for reporting</w:t>
      </w:r>
      <w:r w:rsidR="00783E78">
        <w:t xml:space="preserve"> cost-benefit analyses</w:t>
      </w:r>
      <w:r>
        <w:t xml:space="preserve"> and other purposes, the energy savings are determined at the customer level and then increased by the amount of the transmission and distribution losses to reflect the energy savings at the system level.  The energy savings at the system level are then multiplied by the appropriate avoided costs to calculate the value of the benefits.</w:t>
      </w:r>
    </w:p>
    <w:p w:rsidR="00A22E85" w:rsidRPr="00AA2C40" w:rsidRDefault="00A22E85" w:rsidP="00F7332F">
      <w:pPr>
        <w:pStyle w:val="Equation"/>
        <w:rPr>
          <w:rFonts w:cs="Arial"/>
          <w:szCs w:val="20"/>
        </w:rPr>
      </w:pPr>
      <w:r w:rsidRPr="00AA2C40">
        <w:rPr>
          <w:rFonts w:cs="Arial"/>
          <w:szCs w:val="20"/>
        </w:rPr>
        <w:t xml:space="preserve">System Savings </w:t>
      </w:r>
      <w:r w:rsidR="006E1B95" w:rsidRPr="00AA2C40">
        <w:rPr>
          <w:rFonts w:cs="Arial"/>
          <w:szCs w:val="20"/>
        </w:rPr>
        <w:tab/>
      </w:r>
      <w:r w:rsidRPr="00AA2C40">
        <w:rPr>
          <w:rFonts w:cs="Arial"/>
          <w:szCs w:val="20"/>
        </w:rPr>
        <w:t>= (Savings at Customer) X (T&amp;D Loss Factor)</w:t>
      </w:r>
    </w:p>
    <w:p w:rsidR="00A22E85" w:rsidRPr="00AA2C40" w:rsidRDefault="00A22E85" w:rsidP="00F7332F">
      <w:pPr>
        <w:pStyle w:val="Equation"/>
        <w:rPr>
          <w:rFonts w:cs="Arial"/>
          <w:szCs w:val="20"/>
        </w:rPr>
      </w:pPr>
      <w:r w:rsidRPr="00AA2C40">
        <w:rPr>
          <w:rFonts w:cs="Arial"/>
          <w:szCs w:val="20"/>
        </w:rPr>
        <w:t>Value of Resource Savings</w:t>
      </w:r>
      <w:r w:rsidR="006E1B95" w:rsidRPr="00AA2C40">
        <w:rPr>
          <w:rFonts w:cs="Arial"/>
          <w:szCs w:val="20"/>
        </w:rPr>
        <w:tab/>
      </w:r>
      <w:r w:rsidRPr="00AA2C40">
        <w:rPr>
          <w:rFonts w:cs="Arial"/>
          <w:szCs w:val="20"/>
        </w:rPr>
        <w:t xml:space="preserve"> = (System Savings) X (System Avoided Costs ) + (Value of Other Resource Savings)</w:t>
      </w:r>
    </w:p>
    <w:p w:rsidR="00A22E85" w:rsidRDefault="00A22E85" w:rsidP="005D7F62">
      <w:r>
        <w:t>The value of the benefits for a particular measure will also include other resource savings where appropriate.  Maintenance savings will be estimated in annual dollars levelized over the life of the measure.</w:t>
      </w:r>
      <w:r w:rsidR="00783E78">
        <w:t xml:space="preserve"> The details of this methodology are subject to change by </w:t>
      </w:r>
      <w:r w:rsidR="00B12E0B">
        <w:t xml:space="preserve">the </w:t>
      </w:r>
      <w:r w:rsidR="005A1BE6">
        <w:t xml:space="preserve">2011 </w:t>
      </w:r>
      <w:r w:rsidR="00783E78">
        <w:t xml:space="preserve">TRC </w:t>
      </w:r>
      <w:r w:rsidR="00E37BC1">
        <w:t>Order</w:t>
      </w:r>
      <w:r w:rsidR="00783E78">
        <w:t>.</w:t>
      </w:r>
    </w:p>
    <w:p w:rsidR="00A22E85" w:rsidRDefault="00A22E85" w:rsidP="00E568D4">
      <w:pPr>
        <w:pStyle w:val="Heading2"/>
      </w:pPr>
      <w:bookmarkStart w:id="57" w:name="_Toc310875393"/>
      <w:r>
        <w:t>Transmission and Distribution System Losses</w:t>
      </w:r>
      <w:bookmarkEnd w:id="57"/>
    </w:p>
    <w:p w:rsidR="00A22E85" w:rsidRPr="00F84A22" w:rsidRDefault="00A22E85" w:rsidP="005D7F62">
      <w:pPr>
        <w:rPr>
          <w:highlight w:val="lightGray"/>
        </w:rPr>
      </w:pPr>
      <w:r w:rsidRPr="00F84A22">
        <w:rPr>
          <w:highlight w:val="lightGray"/>
        </w:rPr>
        <w:t xml:space="preserve">The TRM calculates the energy savings at the customer </w:t>
      </w:r>
      <w:r w:rsidR="00F36A9A" w:rsidRPr="00F84A22">
        <w:rPr>
          <w:highlight w:val="lightGray"/>
        </w:rPr>
        <w:t xml:space="preserve">meter </w:t>
      </w:r>
      <w:r w:rsidRPr="00F84A22">
        <w:rPr>
          <w:highlight w:val="lightGray"/>
        </w:rPr>
        <w:t>level.  These savings need to be increased by the amount of transmission and distribution system losses in order to determine the energy savings at the system level</w:t>
      </w:r>
      <w:r w:rsidR="00F36A9A" w:rsidRPr="00F84A22">
        <w:rPr>
          <w:highlight w:val="lightGray"/>
        </w:rPr>
        <w:t xml:space="preserve">, </w:t>
      </w:r>
      <w:r w:rsidR="00F36A9A" w:rsidRPr="0040294D">
        <w:t>which is required for value of resource calculations</w:t>
      </w:r>
      <w:r w:rsidRPr="00F84A22">
        <w:rPr>
          <w:highlight w:val="lightGray"/>
        </w:rPr>
        <w:t xml:space="preserve">.  The electric loss factor multiplied by the savings calculated from the algorithms will result in savings at the </w:t>
      </w:r>
      <w:r w:rsidR="00F36A9A" w:rsidRPr="00F84A22">
        <w:rPr>
          <w:highlight w:val="lightGray"/>
        </w:rPr>
        <w:t xml:space="preserve">system </w:t>
      </w:r>
      <w:r w:rsidRPr="00F84A22">
        <w:rPr>
          <w:highlight w:val="lightGray"/>
        </w:rPr>
        <w:t>level.</w:t>
      </w:r>
    </w:p>
    <w:p w:rsidR="00A22E85" w:rsidRDefault="00A22E85" w:rsidP="005D7F62">
      <w:r w:rsidRPr="00F84A22">
        <w:rPr>
          <w:highlight w:val="lightGray"/>
        </w:rPr>
        <w:t>The electric loss factor applied to savings at the customer meter is 1.11 for both energy and demand</w:t>
      </w:r>
      <w:r w:rsidR="00E25801">
        <w:rPr>
          <w:rStyle w:val="FootnoteReference"/>
          <w:highlight w:val="lightGray"/>
        </w:rPr>
        <w:footnoteReference w:id="4"/>
      </w:r>
      <w:r w:rsidRPr="00F84A22">
        <w:rPr>
          <w:highlight w:val="lightGray"/>
        </w:rPr>
        <w:t>.  The electric system loss factor was developed to be applicable to statewide programs.  Therefore, average system losses at the margin based on PJM data were utilized.  This reflects a mix of different losses that occur related to delivery at different voltage levels.  The 1.11 factor used for both energy and capacity is a weighted average loss factor. These electric loss factors reflect losses at the margin.</w:t>
      </w:r>
    </w:p>
    <w:p w:rsidR="00A22E85" w:rsidRDefault="00A22E85" w:rsidP="00E568D4">
      <w:pPr>
        <w:pStyle w:val="Heading2"/>
      </w:pPr>
      <w:bookmarkStart w:id="58" w:name="_Toc310875394"/>
      <w:r>
        <w:t>Measure Lives</w:t>
      </w:r>
      <w:bookmarkEnd w:id="58"/>
    </w:p>
    <w:p w:rsidR="00D61A5A" w:rsidRDefault="00A22E85" w:rsidP="005D7F62">
      <w:r>
        <w:t xml:space="preserve">Measure lives are provided in Appendix A for informational purposes and for use in other applications such as reporting lifetime savings or in benefit cost studies that span more than one year.  For the purpose of calculating the </w:t>
      </w:r>
      <w:r w:rsidR="00783E78">
        <w:t xml:space="preserve">Total </w:t>
      </w:r>
      <w:r>
        <w:t>Resource Cost</w:t>
      </w:r>
      <w:r w:rsidR="00C979F8">
        <w:t xml:space="preserve"> (TRC)</w:t>
      </w:r>
      <w:r>
        <w:t xml:space="preserve"> Test for Act 129, measures cannot claim savings for more than 15 years.  </w:t>
      </w:r>
    </w:p>
    <w:p w:rsidR="00D61A5A" w:rsidRDefault="0012376F" w:rsidP="005D7F62">
      <w:r>
        <w:t>In general, avoided cost savings for p</w:t>
      </w:r>
      <w:r w:rsidR="008B6647">
        <w:t>rograms</w:t>
      </w:r>
      <w:r w:rsidR="00D61A5A">
        <w:t xml:space="preserve"> where measures </w:t>
      </w:r>
      <w:r>
        <w:t>replace units</w:t>
      </w:r>
      <w:r w:rsidR="00D61A5A">
        <w:t xml:space="preserve"> before the end of their useful life are measured from the efficient unit versus the replaced unit for the </w:t>
      </w:r>
      <w:r>
        <w:t>remaining</w:t>
      </w:r>
      <w:r w:rsidR="00D61A5A">
        <w:t xml:space="preserve"> life of the </w:t>
      </w:r>
      <w:r>
        <w:t xml:space="preserve">existing </w:t>
      </w:r>
      <w:r w:rsidR="00D61A5A">
        <w:t>unit, then from the efficient unit versus a new standard unit for the remaining efficient measure’s life.</w:t>
      </w:r>
      <w:r>
        <w:t xml:space="preserve"> Specific guidance will be provided through the </w:t>
      </w:r>
      <w:r w:rsidR="002C7774">
        <w:t xml:space="preserve">2011 </w:t>
      </w:r>
      <w:r>
        <w:t xml:space="preserve">TRC </w:t>
      </w:r>
      <w:r w:rsidR="002C7774">
        <w:t>Order</w:t>
      </w:r>
      <w:r>
        <w:t>.</w:t>
      </w:r>
    </w:p>
    <w:p w:rsidR="00A22E85" w:rsidRDefault="00A22E85" w:rsidP="00E568D4">
      <w:pPr>
        <w:pStyle w:val="Heading2"/>
      </w:pPr>
      <w:bookmarkStart w:id="59" w:name="_Toc310875395"/>
      <w:r>
        <w:lastRenderedPageBreak/>
        <w:t>Custom Measures</w:t>
      </w:r>
      <w:bookmarkEnd w:id="59"/>
    </w:p>
    <w:p w:rsidR="00A22E85" w:rsidRDefault="00A22E85" w:rsidP="005D7F62">
      <w:r w:rsidRPr="001C3B2A">
        <w:t>Custom measures are considered too c</w:t>
      </w:r>
      <w:r>
        <w:t>omplex or unique to be included in the list of standard measures provided in the TRM</w:t>
      </w:r>
      <w:r w:rsidRPr="001C3B2A">
        <w:t xml:space="preserve">.  </w:t>
      </w:r>
      <w:r>
        <w:t>Also included are</w:t>
      </w:r>
      <w:r w:rsidRPr="001C3B2A">
        <w:t xml:space="preserve"> measures that may involve metered data, but require additional assumptions to arrive at a </w:t>
      </w:r>
      <w:r>
        <w:t>‘typical’</w:t>
      </w:r>
      <w:r w:rsidRPr="001C3B2A">
        <w:t xml:space="preserve"> level of saving</w:t>
      </w:r>
      <w:r>
        <w:t>s</w:t>
      </w:r>
      <w:r w:rsidRPr="001C3B2A">
        <w:t xml:space="preserve"> as opposed to an exact measurement</w:t>
      </w:r>
      <w:r>
        <w:t xml:space="preserve">. </w:t>
      </w:r>
      <w:r w:rsidR="003C4785">
        <w:t xml:space="preserve">To quantify savings for custom measures, a custom measure protocol must be followed. </w:t>
      </w:r>
      <w:r w:rsidRPr="001C3B2A">
        <w:t xml:space="preserve">The qualification for and availability of </w:t>
      </w:r>
      <w:r w:rsidRPr="00F84A22">
        <w:rPr>
          <w:highlight w:val="lightGray"/>
        </w:rPr>
        <w:t>AEPS Credits</w:t>
      </w:r>
      <w:r w:rsidRPr="001C3B2A">
        <w:t xml:space="preserve"> </w:t>
      </w:r>
      <w:r>
        <w:t>and energy efficiency and demand response savings are</w:t>
      </w:r>
      <w:r w:rsidRPr="001C3B2A">
        <w:t xml:space="preserve"> deter</w:t>
      </w:r>
      <w:r>
        <w:t xml:space="preserve">mined on a case-by-case basis. </w:t>
      </w:r>
    </w:p>
    <w:p w:rsidR="00A22E85" w:rsidRPr="001C3B2A" w:rsidRDefault="00A22E85" w:rsidP="005D7F62">
      <w:r w:rsidRPr="00F84A22">
        <w:rPr>
          <w:highlight w:val="lightGray"/>
        </w:rPr>
        <w:t>An AEPS application must be submitted, containing adequate documentation fully describing the energy efficiency measures installed or proposed and an explanation of how the installed facilities qualify for AECs. The AEPS application must include a proposed evaluation plan by which the Administrator may evaluate the effectiveness of the energy efficiency measures provided by the installed facilities. All assumptions should be identified, explained and supported by documentation, where possible.  The applicant may propose incorporating tracking and evaluation measures using existing data streams currently in use provided that they permit the Administrator to evaluate the program using the reported data.</w:t>
      </w:r>
    </w:p>
    <w:p w:rsidR="00D61A5A" w:rsidRDefault="00A22E85" w:rsidP="005D7F62">
      <w:r w:rsidRPr="00F84A22">
        <w:rPr>
          <w:highlight w:val="lightGray"/>
        </w:rPr>
        <w:t>To the extent possible, the energy efficiency measures identified in the AEPS application should be verified by the meter readings submitted to the Administrator.</w:t>
      </w:r>
    </w:p>
    <w:p w:rsidR="00A6746B" w:rsidRDefault="00A6746B" w:rsidP="005D7F62">
      <w:r>
        <w:t>For further discussion, please see Appendix B.</w:t>
      </w:r>
    </w:p>
    <w:p w:rsidR="00A22E85" w:rsidRDefault="00A22E85" w:rsidP="00E568D4">
      <w:pPr>
        <w:pStyle w:val="Heading2"/>
      </w:pPr>
      <w:bookmarkStart w:id="60" w:name="_Ref303244730"/>
      <w:bookmarkStart w:id="61" w:name="_Toc310875396"/>
      <w:r>
        <w:t>Impact of Weather</w:t>
      </w:r>
      <w:bookmarkEnd w:id="60"/>
      <w:bookmarkEnd w:id="61"/>
    </w:p>
    <w:p w:rsidR="00C1514B" w:rsidRDefault="00A22E85" w:rsidP="005D7F62">
      <w:pPr>
        <w:rPr>
          <w:szCs w:val="24"/>
        </w:rPr>
      </w:pPr>
      <w:r w:rsidRPr="008B4D6E">
        <w:rPr>
          <w:szCs w:val="24"/>
        </w:rPr>
        <w:t xml:space="preserve"> </w:t>
      </w:r>
      <w:r>
        <w:rPr>
          <w:szCs w:val="24"/>
        </w:rPr>
        <w:t>To account for weather differences within Pennsylvania</w:t>
      </w:r>
      <w:r w:rsidR="00C1514B">
        <w:rPr>
          <w:szCs w:val="24"/>
        </w:rPr>
        <w:t>,</w:t>
      </w:r>
      <w:r>
        <w:rPr>
          <w:szCs w:val="24"/>
        </w:rPr>
        <w:t xml:space="preserve"> Equivalent Full</w:t>
      </w:r>
      <w:r w:rsidR="003C4785">
        <w:rPr>
          <w:szCs w:val="24"/>
        </w:rPr>
        <w:t xml:space="preserve"> </w:t>
      </w:r>
      <w:r>
        <w:rPr>
          <w:szCs w:val="24"/>
        </w:rPr>
        <w:t xml:space="preserve">Load Hours (ELFH) were taken from the US Department of Energy’s </w:t>
      </w:r>
      <w:r w:rsidR="00325EF4">
        <w:rPr>
          <w:szCs w:val="24"/>
        </w:rPr>
        <w:t>ENERGY STAR</w:t>
      </w:r>
      <w:r>
        <w:rPr>
          <w:szCs w:val="24"/>
        </w:rPr>
        <w:t xml:space="preserve"> Calculator that provides ELFH values for seven Pennsylvania cities:  Allentown, Erie, Harrisburg, Philadelphia, Pittsburgh, Scranton, and Williamsport.  These </w:t>
      </w:r>
      <w:r w:rsidR="00C1514B">
        <w:rPr>
          <w:szCs w:val="24"/>
        </w:rPr>
        <w:t xml:space="preserve">reference </w:t>
      </w:r>
      <w:r>
        <w:rPr>
          <w:szCs w:val="24"/>
        </w:rPr>
        <w:t xml:space="preserve">cities provide a representative sample of the various climate and utility regions in </w:t>
      </w:r>
      <w:smartTag w:uri="urn:schemas-microsoft-com:office:smarttags" w:element="State">
        <w:smartTag w:uri="urn:schemas-microsoft-com:office:smarttags" w:element="place">
          <w:r>
            <w:rPr>
              <w:szCs w:val="24"/>
            </w:rPr>
            <w:t>Pennsylvania</w:t>
          </w:r>
        </w:smartTag>
      </w:smartTag>
      <w:r>
        <w:rPr>
          <w:szCs w:val="24"/>
        </w:rPr>
        <w:t>.</w:t>
      </w:r>
      <w:r w:rsidR="00F949E0">
        <w:rPr>
          <w:szCs w:val="24"/>
        </w:rPr>
        <w:t xml:space="preserve"> </w:t>
      </w:r>
      <w:r w:rsidR="00C1514B">
        <w:rPr>
          <w:szCs w:val="24"/>
        </w:rPr>
        <w:t xml:space="preserve">Pennsylvania zip codes are mapped to a reference city and shown in </w:t>
      </w:r>
      <w:r w:rsidR="007A1FB6">
        <w:rPr>
          <w:szCs w:val="24"/>
        </w:rPr>
        <w:fldChar w:fldCharType="begin"/>
      </w:r>
      <w:r w:rsidR="00F949E0">
        <w:rPr>
          <w:szCs w:val="24"/>
        </w:rPr>
        <w:instrText xml:space="preserve"> REF _Ref303244996 \h </w:instrText>
      </w:r>
      <w:r w:rsidR="007A1FB6">
        <w:rPr>
          <w:szCs w:val="24"/>
        </w:rPr>
      </w:r>
      <w:r w:rsidR="007A1FB6">
        <w:rPr>
          <w:szCs w:val="24"/>
        </w:rPr>
        <w:fldChar w:fldCharType="separate"/>
      </w:r>
      <w:r w:rsidR="00C0292F">
        <w:t>Appendix F: Zip Code Mapping</w:t>
      </w:r>
      <w:r w:rsidR="007A1FB6">
        <w:rPr>
          <w:szCs w:val="24"/>
        </w:rPr>
        <w:fldChar w:fldCharType="end"/>
      </w:r>
      <w:r w:rsidR="00C1514B">
        <w:rPr>
          <w:szCs w:val="24"/>
        </w:rPr>
        <w:t>.</w:t>
      </w:r>
      <w:r w:rsidR="00732CCF">
        <w:rPr>
          <w:szCs w:val="24"/>
        </w:rPr>
        <w:t xml:space="preserve"> In general, zip codes were mapped to the closest reference city because the majority of the state resides in ASHRAE climate zone 5. However, Philadelphia and a small area southwest of Harrisburg are assigned to ASHRAE climate zone 4. Therefore, any zip code in ASHRAE climate zone 4 were manually assigned to Philadelphia, regardless of distance.</w:t>
      </w:r>
    </w:p>
    <w:p w:rsidR="00C1514B" w:rsidRDefault="00C1514B" w:rsidP="005D7F62">
      <w:pPr>
        <w:rPr>
          <w:szCs w:val="24"/>
        </w:rPr>
      </w:pPr>
      <w:r>
        <w:rPr>
          <w:szCs w:val="24"/>
        </w:rPr>
        <w:t xml:space="preserve">In addition, several protocols rely on the work and analysis completed in California, where savings values are adjusted for climate. There are sixteen California climate zones. Each of the seven reference cities </w:t>
      </w:r>
      <w:r w:rsidR="00F949E0">
        <w:rPr>
          <w:szCs w:val="24"/>
        </w:rPr>
        <w:t xml:space="preserve">are mapped to a California climate zone as shown in </w:t>
      </w:r>
      <w:r w:rsidR="007C3082">
        <w:rPr>
          <w:szCs w:val="24"/>
        </w:rPr>
        <w:t>Table 1-2</w:t>
      </w:r>
      <w:r w:rsidR="00732CCF">
        <w:rPr>
          <w:szCs w:val="24"/>
        </w:rPr>
        <w:t xml:space="preserve"> based on comparable number of cooling degree days and average dry bulb temperatures</w:t>
      </w:r>
      <w:r w:rsidR="00F949E0">
        <w:rPr>
          <w:szCs w:val="24"/>
        </w:rPr>
        <w:t>.</w:t>
      </w:r>
      <w:r w:rsidR="007C3082">
        <w:rPr>
          <w:szCs w:val="24"/>
        </w:rPr>
        <w:t xml:space="preserve"> Any weather dependent protocol using California-based models will follow this mapping table. </w:t>
      </w:r>
    </w:p>
    <w:p w:rsidR="007C3082" w:rsidRDefault="007C3082" w:rsidP="00865117">
      <w:pPr>
        <w:pStyle w:val="Caption"/>
      </w:pPr>
      <w:bookmarkStart w:id="62" w:name="_Toc310875486"/>
      <w:r>
        <w:lastRenderedPageBreak/>
        <w:t xml:space="preserve">Table </w:t>
      </w:r>
      <w:r w:rsidR="00274AB1">
        <w:fldChar w:fldCharType="begin"/>
      </w:r>
      <w:r w:rsidR="00274AB1">
        <w:instrText xml:space="preserve"> STYLEREF 1 \s </w:instrText>
      </w:r>
      <w:r w:rsidR="00274AB1">
        <w:fldChar w:fldCharType="separate"/>
      </w:r>
      <w:r w:rsidR="00C0292F">
        <w:rPr>
          <w:noProof/>
        </w:rPr>
        <w:t>1</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2</w:t>
      </w:r>
      <w:r w:rsidR="00274AB1">
        <w:rPr>
          <w:noProof/>
        </w:rPr>
        <w:fldChar w:fldCharType="end"/>
      </w:r>
      <w:r>
        <w:t>: California CZ Mapping Table</w:t>
      </w:r>
      <w:bookmarkEnd w:id="62"/>
    </w:p>
    <w:tbl>
      <w:tblPr>
        <w:tblW w:w="0" w:type="auto"/>
        <w:jc w:val="center"/>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1831"/>
      </w:tblGrid>
      <w:tr w:rsidR="00F949E0" w:rsidRPr="00AA5704" w:rsidTr="00AA5704">
        <w:trPr>
          <w:jc w:val="center"/>
        </w:trPr>
        <w:tc>
          <w:tcPr>
            <w:tcW w:w="2192" w:type="dxa"/>
            <w:shd w:val="clear" w:color="auto" w:fill="D9D9D9"/>
          </w:tcPr>
          <w:p w:rsidR="00F949E0" w:rsidRPr="00AA5704" w:rsidRDefault="00F949E0" w:rsidP="00865117">
            <w:pPr>
              <w:keepNext/>
              <w:spacing w:before="60" w:after="60"/>
              <w:rPr>
                <w:b/>
              </w:rPr>
            </w:pPr>
            <w:r w:rsidRPr="00AA5704">
              <w:rPr>
                <w:b/>
              </w:rPr>
              <w:t>Reference City</w:t>
            </w:r>
          </w:p>
        </w:tc>
        <w:tc>
          <w:tcPr>
            <w:tcW w:w="1831" w:type="dxa"/>
            <w:shd w:val="clear" w:color="auto" w:fill="D9D9D9"/>
          </w:tcPr>
          <w:p w:rsidR="00F949E0" w:rsidRPr="00AA5704" w:rsidRDefault="00F949E0" w:rsidP="00865117">
            <w:pPr>
              <w:keepNext/>
              <w:spacing w:before="60" w:after="60"/>
              <w:jc w:val="center"/>
              <w:rPr>
                <w:b/>
              </w:rPr>
            </w:pPr>
            <w:r w:rsidRPr="00AA5704">
              <w:rPr>
                <w:b/>
              </w:rPr>
              <w:t>California Climate Zone</w:t>
            </w:r>
          </w:p>
        </w:tc>
      </w:tr>
      <w:tr w:rsidR="00F949E0" w:rsidRPr="00AA5704" w:rsidTr="00AA5704">
        <w:trPr>
          <w:jc w:val="center"/>
        </w:trPr>
        <w:tc>
          <w:tcPr>
            <w:tcW w:w="2192" w:type="dxa"/>
          </w:tcPr>
          <w:p w:rsidR="00F949E0" w:rsidRDefault="00F949E0" w:rsidP="00865117">
            <w:pPr>
              <w:keepNext/>
              <w:spacing w:before="60" w:after="60"/>
            </w:pPr>
            <w:r>
              <w:t>Allentown</w:t>
            </w:r>
          </w:p>
        </w:tc>
        <w:tc>
          <w:tcPr>
            <w:tcW w:w="1831" w:type="dxa"/>
          </w:tcPr>
          <w:p w:rsidR="00F949E0" w:rsidRDefault="007C3082" w:rsidP="00865117">
            <w:pPr>
              <w:keepNext/>
              <w:spacing w:before="60" w:after="60"/>
              <w:jc w:val="center"/>
            </w:pPr>
            <w:r>
              <w:t>4</w:t>
            </w:r>
          </w:p>
        </w:tc>
      </w:tr>
      <w:tr w:rsidR="00F949E0" w:rsidRPr="00AA5704" w:rsidTr="00AA5704">
        <w:trPr>
          <w:jc w:val="center"/>
        </w:trPr>
        <w:tc>
          <w:tcPr>
            <w:tcW w:w="2192" w:type="dxa"/>
          </w:tcPr>
          <w:p w:rsidR="00F949E0" w:rsidRDefault="00F949E0" w:rsidP="00865117">
            <w:pPr>
              <w:keepNext/>
              <w:spacing w:before="60" w:after="60"/>
            </w:pPr>
            <w:r>
              <w:t>Erie</w:t>
            </w:r>
          </w:p>
        </w:tc>
        <w:tc>
          <w:tcPr>
            <w:tcW w:w="1831" w:type="dxa"/>
          </w:tcPr>
          <w:p w:rsidR="00F949E0" w:rsidRDefault="007C3082" w:rsidP="00865117">
            <w:pPr>
              <w:keepNext/>
              <w:spacing w:before="60" w:after="60"/>
              <w:jc w:val="center"/>
            </w:pPr>
            <w:r>
              <w:t>6</w:t>
            </w:r>
          </w:p>
        </w:tc>
      </w:tr>
      <w:tr w:rsidR="00F949E0" w:rsidRPr="00AA5704" w:rsidTr="00AA5704">
        <w:trPr>
          <w:jc w:val="center"/>
        </w:trPr>
        <w:tc>
          <w:tcPr>
            <w:tcW w:w="2192" w:type="dxa"/>
          </w:tcPr>
          <w:p w:rsidR="00F949E0" w:rsidRDefault="00F949E0" w:rsidP="00AA5704">
            <w:pPr>
              <w:spacing w:before="60" w:after="60"/>
            </w:pPr>
            <w:r>
              <w:t>Harrisburg</w:t>
            </w:r>
          </w:p>
        </w:tc>
        <w:tc>
          <w:tcPr>
            <w:tcW w:w="1831" w:type="dxa"/>
          </w:tcPr>
          <w:p w:rsidR="00F949E0" w:rsidRDefault="007C3082" w:rsidP="00AA5704">
            <w:pPr>
              <w:spacing w:before="60" w:after="60"/>
              <w:jc w:val="center"/>
            </w:pPr>
            <w:r>
              <w:t>8</w:t>
            </w:r>
          </w:p>
        </w:tc>
      </w:tr>
      <w:tr w:rsidR="00F949E0" w:rsidRPr="00AA5704" w:rsidTr="00AA5704">
        <w:trPr>
          <w:jc w:val="center"/>
        </w:trPr>
        <w:tc>
          <w:tcPr>
            <w:tcW w:w="2192" w:type="dxa"/>
          </w:tcPr>
          <w:p w:rsidR="00F949E0" w:rsidRDefault="00F949E0" w:rsidP="00AA5704">
            <w:pPr>
              <w:spacing w:before="60" w:after="60"/>
            </w:pPr>
            <w:r>
              <w:t>Philadelphia</w:t>
            </w:r>
          </w:p>
        </w:tc>
        <w:tc>
          <w:tcPr>
            <w:tcW w:w="1831" w:type="dxa"/>
          </w:tcPr>
          <w:p w:rsidR="00F949E0" w:rsidRDefault="007C3082" w:rsidP="00AA5704">
            <w:pPr>
              <w:spacing w:before="60" w:after="60"/>
              <w:jc w:val="center"/>
            </w:pPr>
            <w:r>
              <w:t>13</w:t>
            </w:r>
          </w:p>
        </w:tc>
      </w:tr>
      <w:tr w:rsidR="00F949E0" w:rsidRPr="00AA5704" w:rsidTr="00AA5704">
        <w:trPr>
          <w:jc w:val="center"/>
        </w:trPr>
        <w:tc>
          <w:tcPr>
            <w:tcW w:w="2192" w:type="dxa"/>
          </w:tcPr>
          <w:p w:rsidR="00F949E0" w:rsidRDefault="00F949E0" w:rsidP="00AA5704">
            <w:pPr>
              <w:spacing w:before="60" w:after="60"/>
            </w:pPr>
            <w:r>
              <w:t>Pittsburgh</w:t>
            </w:r>
          </w:p>
        </w:tc>
        <w:tc>
          <w:tcPr>
            <w:tcW w:w="1831" w:type="dxa"/>
          </w:tcPr>
          <w:p w:rsidR="00F949E0" w:rsidRDefault="007C3082" w:rsidP="00AA5704">
            <w:pPr>
              <w:spacing w:before="60" w:after="60"/>
              <w:jc w:val="center"/>
            </w:pPr>
            <w:r>
              <w:t>4</w:t>
            </w:r>
          </w:p>
        </w:tc>
      </w:tr>
      <w:tr w:rsidR="00F949E0" w:rsidRPr="00AA5704" w:rsidTr="00AA5704">
        <w:trPr>
          <w:jc w:val="center"/>
        </w:trPr>
        <w:tc>
          <w:tcPr>
            <w:tcW w:w="2192" w:type="dxa"/>
          </w:tcPr>
          <w:p w:rsidR="00F949E0" w:rsidRDefault="00F949E0" w:rsidP="00AA5704">
            <w:pPr>
              <w:spacing w:before="60" w:after="60"/>
            </w:pPr>
            <w:r>
              <w:t>Scranton</w:t>
            </w:r>
          </w:p>
        </w:tc>
        <w:tc>
          <w:tcPr>
            <w:tcW w:w="1831" w:type="dxa"/>
          </w:tcPr>
          <w:p w:rsidR="00F949E0" w:rsidRDefault="007C3082" w:rsidP="00AA5704">
            <w:pPr>
              <w:spacing w:before="60" w:after="60"/>
              <w:jc w:val="center"/>
            </w:pPr>
            <w:r>
              <w:t>16</w:t>
            </w:r>
          </w:p>
        </w:tc>
      </w:tr>
      <w:tr w:rsidR="00F949E0" w:rsidRPr="00AA5704" w:rsidTr="00AA5704">
        <w:trPr>
          <w:jc w:val="center"/>
        </w:trPr>
        <w:tc>
          <w:tcPr>
            <w:tcW w:w="2192" w:type="dxa"/>
          </w:tcPr>
          <w:p w:rsidR="00F949E0" w:rsidRDefault="00F949E0" w:rsidP="00AA5704">
            <w:pPr>
              <w:spacing w:before="60" w:after="60"/>
            </w:pPr>
            <w:r>
              <w:t>Williamsport</w:t>
            </w:r>
          </w:p>
        </w:tc>
        <w:tc>
          <w:tcPr>
            <w:tcW w:w="1831" w:type="dxa"/>
          </w:tcPr>
          <w:p w:rsidR="00F949E0" w:rsidRDefault="007C3082" w:rsidP="00AA5704">
            <w:pPr>
              <w:spacing w:before="60" w:after="60"/>
              <w:jc w:val="center"/>
            </w:pPr>
            <w:r>
              <w:t>4</w:t>
            </w:r>
          </w:p>
        </w:tc>
      </w:tr>
    </w:tbl>
    <w:p w:rsidR="007C3082" w:rsidRDefault="007C3082" w:rsidP="005D7F62">
      <w:pPr>
        <w:rPr>
          <w:szCs w:val="24"/>
        </w:rPr>
      </w:pPr>
    </w:p>
    <w:p w:rsidR="00ED5AFC" w:rsidRDefault="00941160" w:rsidP="00E568D4">
      <w:pPr>
        <w:pStyle w:val="Heading2"/>
      </w:pPr>
      <w:bookmarkStart w:id="63" w:name="_Toc310875397"/>
      <w:r>
        <w:t xml:space="preserve">Measure </w:t>
      </w:r>
      <w:r w:rsidR="00ED5AFC">
        <w:t>Applicability</w:t>
      </w:r>
      <w:r>
        <w:t xml:space="preserve"> Based on Sector</w:t>
      </w:r>
      <w:bookmarkEnd w:id="63"/>
    </w:p>
    <w:p w:rsidR="00ED5AFC" w:rsidRDefault="00ED5AFC" w:rsidP="00ED5AFC">
      <w:pPr>
        <w:rPr>
          <w:szCs w:val="26"/>
        </w:rPr>
      </w:pPr>
      <w:r w:rsidRPr="005906C1">
        <w:rPr>
          <w:szCs w:val="26"/>
        </w:rPr>
        <w:t xml:space="preserve">Protocols </w:t>
      </w:r>
      <w:r>
        <w:rPr>
          <w:szCs w:val="26"/>
        </w:rPr>
        <w:t>for</w:t>
      </w:r>
      <w:r w:rsidRPr="005906C1">
        <w:rPr>
          <w:szCs w:val="26"/>
        </w:rPr>
        <w:t xml:space="preserve"> the residential sector quantify savings for measures typically found in residential areas under residential meters.  Likewise, protocols </w:t>
      </w:r>
      <w:r>
        <w:rPr>
          <w:szCs w:val="26"/>
        </w:rPr>
        <w:t>for</w:t>
      </w:r>
      <w:r w:rsidRPr="005906C1">
        <w:rPr>
          <w:szCs w:val="26"/>
        </w:rPr>
        <w:t xml:space="preserve"> the C&amp;I sector quantify savings for measures typically found in C&amp;I areas under C&amp;I meters.  However, there is some overlap where measure type, usage and the sector do not match.</w:t>
      </w:r>
    </w:p>
    <w:p w:rsidR="00ED5AFC" w:rsidRPr="00ED5AFC" w:rsidRDefault="00ED5AFC" w:rsidP="00ED5AFC">
      <w:r>
        <w:t xml:space="preserve">Protocols in the residential and C&amp;I sections describe measure savings based on the </w:t>
      </w:r>
      <w:r w:rsidRPr="0045052F">
        <w:rPr>
          <w:i/>
        </w:rPr>
        <w:t>application</w:t>
      </w:r>
      <w:r>
        <w:t xml:space="preserve"> or </w:t>
      </w:r>
      <w:r>
        <w:rPr>
          <w:i/>
        </w:rPr>
        <w:t>usage characteristics</w:t>
      </w:r>
      <w:r>
        <w:t xml:space="preserve"> of the measure rather than how the measure is </w:t>
      </w:r>
      <w:r w:rsidRPr="0045052F">
        <w:rPr>
          <w:i/>
        </w:rPr>
        <w:t>metered</w:t>
      </w:r>
      <w:r>
        <w:t>. For example, if a measure is found in a residential environment but is metered under a commercial meter, the residential sector protocol is used. On the other hand, if a measure is found in a commercial environment but is metered under a residential meter, the commercial sector protocol is used. This is particularly relevant for residential appliances that frequently appear in small commercial spaces (commercial protocol) and residential appliances that are used in residential settings but are under commercial meters (multi-family residences).</w:t>
      </w:r>
    </w:p>
    <w:p w:rsidR="00A22E85" w:rsidRDefault="00A22E85" w:rsidP="00E568D4">
      <w:pPr>
        <w:pStyle w:val="Heading2"/>
      </w:pPr>
      <w:bookmarkStart w:id="64" w:name="_Toc310875398"/>
      <w:r>
        <w:t>Algorithms for Energy Efficient Measures</w:t>
      </w:r>
      <w:bookmarkEnd w:id="64"/>
    </w:p>
    <w:p w:rsidR="007F5C21" w:rsidRDefault="00A22E85" w:rsidP="00923423">
      <w:r>
        <w:t xml:space="preserve">The following </w:t>
      </w:r>
      <w:r w:rsidR="00C939D6">
        <w:t xml:space="preserve">sections </w:t>
      </w:r>
      <w:r>
        <w:t>present measure-specific algorithms.</w:t>
      </w:r>
      <w:r w:rsidR="007F5C21">
        <w:t xml:space="preserve"> Section 2 addresses residential sector measures and Section 3 addresses commercial and industrial sector measures. </w:t>
      </w:r>
    </w:p>
    <w:p w:rsidR="00C3144A" w:rsidRPr="00100EDF" w:rsidRDefault="007F5C21" w:rsidP="00E77A04">
      <w:pPr>
        <w:rPr>
          <w:kern w:val="32"/>
        </w:rPr>
      </w:pPr>
      <w:r>
        <w:t>Section 4 addresses demand response measures for both residential and commercial and industrial measures.</w:t>
      </w:r>
    </w:p>
    <w:p w:rsidR="00A22E85" w:rsidRPr="003F46A5" w:rsidRDefault="00896814" w:rsidP="00E77A04">
      <w:pPr>
        <w:pStyle w:val="Heading1"/>
      </w:pPr>
      <w:r>
        <w:br w:type="page"/>
      </w:r>
      <w:bookmarkStart w:id="65" w:name="_Toc310875399"/>
      <w:r w:rsidR="00A22E85" w:rsidRPr="003F46A5">
        <w:lastRenderedPageBreak/>
        <w:t>R</w:t>
      </w:r>
      <w:r w:rsidR="004D25CF">
        <w:t>esidential Measures</w:t>
      </w:r>
      <w:bookmarkEnd w:id="65"/>
    </w:p>
    <w:p w:rsidR="00C939D6" w:rsidRDefault="008075FC" w:rsidP="008075FC">
      <w:r>
        <w:t>The following section of the TRM contains savings protocols for residential measures.</w:t>
      </w:r>
    </w:p>
    <w:p w:rsidR="00815A6D" w:rsidRDefault="00125333" w:rsidP="00E568D4">
      <w:pPr>
        <w:pStyle w:val="Heading2"/>
      </w:pPr>
      <w:r>
        <w:br w:type="page"/>
      </w:r>
      <w:bookmarkStart w:id="66" w:name="_Toc295990611"/>
      <w:bookmarkStart w:id="67" w:name="_Toc295999379"/>
      <w:bookmarkStart w:id="68" w:name="_Toc298621122"/>
      <w:bookmarkStart w:id="69" w:name="_Toc298621201"/>
      <w:bookmarkStart w:id="70" w:name="_Toc298621388"/>
      <w:bookmarkStart w:id="71" w:name="_Toc303086178"/>
      <w:bookmarkStart w:id="72" w:name="_Toc303339041"/>
      <w:bookmarkStart w:id="73" w:name="_Toc303347538"/>
      <w:bookmarkStart w:id="74" w:name="_Toc303352476"/>
      <w:bookmarkStart w:id="75" w:name="_Toc310868407"/>
      <w:bookmarkStart w:id="76" w:name="_Ref298608810"/>
      <w:bookmarkStart w:id="77" w:name="_Ref298613000"/>
      <w:bookmarkStart w:id="78" w:name="_Toc310875400"/>
      <w:bookmarkEnd w:id="66"/>
      <w:bookmarkEnd w:id="67"/>
      <w:bookmarkEnd w:id="68"/>
      <w:bookmarkEnd w:id="69"/>
      <w:bookmarkEnd w:id="70"/>
      <w:bookmarkEnd w:id="71"/>
      <w:bookmarkEnd w:id="72"/>
      <w:bookmarkEnd w:id="73"/>
      <w:bookmarkEnd w:id="74"/>
      <w:bookmarkEnd w:id="75"/>
      <w:r w:rsidR="00D05823">
        <w:lastRenderedPageBreak/>
        <w:t>Electric HVAC</w:t>
      </w:r>
      <w:bookmarkEnd w:id="76"/>
      <w:bookmarkEnd w:id="77"/>
      <w:bookmarkEnd w:id="78"/>
    </w:p>
    <w:p w:rsidR="00E17950" w:rsidRDefault="00E17950" w:rsidP="00E17950">
      <w:r>
        <w:t xml:space="preserve">The method for determining residential high-efficiency cooling and heating equipment energy impact savings is based on algorithms that determine a central air conditioner or heat pump’s cooling/heating energy use and peak demand contribution.  Input data is based both on fixed assumptions and data supplied from the high efficiency equipment </w:t>
      </w:r>
      <w:r w:rsidRPr="00F84A22">
        <w:rPr>
          <w:highlight w:val="lightGray"/>
        </w:rPr>
        <w:t>AEPS application form</w:t>
      </w:r>
      <w:r>
        <w:t xml:space="preserve"> or EDC data gathering.  </w:t>
      </w:r>
    </w:p>
    <w:p w:rsidR="00E17950" w:rsidRDefault="00E17950" w:rsidP="00E17950">
      <w:pPr>
        <w:numPr>
          <w:ilvl w:val="12"/>
          <w:numId w:val="0"/>
        </w:numPr>
      </w:pPr>
      <w:r>
        <w:t xml:space="preserve">The algorithms applicable for this program measure the energy savings directly related to the more efficient hardware installation.  </w:t>
      </w:r>
    </w:p>
    <w:p w:rsidR="00E17950" w:rsidRDefault="00E17950" w:rsidP="00E17950">
      <w:r>
        <w:t>Larger commercial air conditioning and heat pump applications are dealt with in Section 3.6.</w:t>
      </w:r>
    </w:p>
    <w:p w:rsidR="00E17950" w:rsidRDefault="00E17950" w:rsidP="00E17950">
      <w:pPr>
        <w:pStyle w:val="Heading3"/>
      </w:pPr>
      <w:r>
        <w:t>Algorithms</w:t>
      </w:r>
    </w:p>
    <w:p w:rsidR="00E17950" w:rsidRDefault="00E17950" w:rsidP="00E17950">
      <w:pPr>
        <w:pStyle w:val="Heading4"/>
      </w:pPr>
      <w:r>
        <w:t>Central A/C and Air Source Heat Pump (ASHP)</w:t>
      </w:r>
      <w:r w:rsidRPr="00D37642">
        <w:t xml:space="preserve"> (High Efficiency</w:t>
      </w:r>
      <w:r>
        <w:t xml:space="preserve"> </w:t>
      </w:r>
      <w:r w:rsidRPr="00D37642">
        <w:t>Equipment Only)</w:t>
      </w:r>
    </w:p>
    <w:p w:rsidR="00E17950" w:rsidRPr="00B45736" w:rsidRDefault="00E17950" w:rsidP="00E17950">
      <w:r>
        <w:t>This algorithm is used for the installation of new high efficiency A/C and ASHP equipment.</w:t>
      </w:r>
    </w:p>
    <w:p w:rsidR="00E17950" w:rsidRPr="00AA2C40" w:rsidRDefault="00E17950" w:rsidP="00E17950">
      <w:pPr>
        <w:pStyle w:val="Equation"/>
        <w:rPr>
          <w:rFonts w:cs="Arial"/>
          <w:szCs w:val="20"/>
        </w:rPr>
      </w:pPr>
      <w:r w:rsidRPr="00AA2C40">
        <w:rPr>
          <w:rFonts w:cs="Arial"/>
          <w:szCs w:val="20"/>
        </w:rPr>
        <w:sym w:font="Symbol" w:char="F044"/>
      </w:r>
      <w:r w:rsidRPr="00AA2C40">
        <w:rPr>
          <w:rFonts w:cs="Arial"/>
          <w:szCs w:val="20"/>
        </w:rPr>
        <w:t>kWh</w:t>
      </w:r>
      <w:r w:rsidRPr="00AA2C40">
        <w:rPr>
          <w:rFonts w:cs="Arial"/>
          <w:szCs w:val="20"/>
        </w:rPr>
        <w:tab/>
      </w:r>
      <w:r w:rsidRPr="00AA2C40">
        <w:rPr>
          <w:rFonts w:cs="Arial"/>
          <w:szCs w:val="20"/>
        </w:rPr>
        <w:tab/>
        <w:t xml:space="preserve">= </w:t>
      </w:r>
      <w:r w:rsidRPr="00AA2C40">
        <w:rPr>
          <w:rFonts w:cs="Arial"/>
          <w:szCs w:val="20"/>
        </w:rPr>
        <w:sym w:font="Symbol" w:char="F044"/>
      </w:r>
      <w:r w:rsidRPr="00AA2C40">
        <w:rPr>
          <w:rFonts w:cs="Arial"/>
          <w:szCs w:val="20"/>
        </w:rPr>
        <w:t>kWh</w:t>
      </w:r>
      <w:r w:rsidRPr="00AA2C40">
        <w:rPr>
          <w:rFonts w:cs="Arial"/>
          <w:szCs w:val="20"/>
          <w:vertAlign w:val="subscript"/>
        </w:rPr>
        <w:t>cool</w:t>
      </w:r>
      <w:r w:rsidRPr="00AA2C40">
        <w:rPr>
          <w:rFonts w:cs="Arial"/>
          <w:szCs w:val="20"/>
        </w:rPr>
        <w:t xml:space="preserve"> + </w:t>
      </w:r>
      <w:r w:rsidRPr="00AA2C40">
        <w:rPr>
          <w:rFonts w:cs="Arial"/>
          <w:szCs w:val="20"/>
        </w:rPr>
        <w:sym w:font="Symbol" w:char="F044"/>
      </w:r>
      <w:r w:rsidRPr="00AA2C40">
        <w:rPr>
          <w:rFonts w:cs="Arial"/>
          <w:szCs w:val="20"/>
        </w:rPr>
        <w:t>kWh</w:t>
      </w:r>
      <w:r w:rsidRPr="00AA2C40">
        <w:rPr>
          <w:rFonts w:cs="Arial"/>
          <w:szCs w:val="20"/>
          <w:vertAlign w:val="subscript"/>
        </w:rPr>
        <w:t>heat</w:t>
      </w:r>
    </w:p>
    <w:p w:rsidR="00E17950" w:rsidRPr="00AA2C40" w:rsidRDefault="00E17950" w:rsidP="00E17950">
      <w:pPr>
        <w:pStyle w:val="Equation"/>
        <w:rPr>
          <w:rFonts w:cs="Arial"/>
          <w:szCs w:val="20"/>
        </w:rPr>
      </w:pPr>
      <w:r w:rsidRPr="00AA2C40">
        <w:rPr>
          <w:rFonts w:cs="Arial"/>
          <w:szCs w:val="20"/>
        </w:rPr>
        <w:sym w:font="Symbol" w:char="F044"/>
      </w:r>
      <w:r w:rsidRPr="00AA2C40">
        <w:rPr>
          <w:rFonts w:cs="Arial"/>
          <w:szCs w:val="20"/>
        </w:rPr>
        <w:t>kWh</w:t>
      </w:r>
      <w:r w:rsidRPr="00AA2C40">
        <w:rPr>
          <w:rFonts w:cs="Arial"/>
          <w:szCs w:val="20"/>
          <w:vertAlign w:val="subscript"/>
        </w:rPr>
        <w:t>cool</w:t>
      </w:r>
      <w:r w:rsidRPr="00AA2C40">
        <w:rPr>
          <w:rFonts w:cs="Arial"/>
          <w:szCs w:val="20"/>
        </w:rPr>
        <w:tab/>
        <w:t>= CAPY</w:t>
      </w:r>
      <w:r>
        <w:rPr>
          <w:rFonts w:cs="Arial"/>
          <w:szCs w:val="20"/>
          <w:vertAlign w:val="subscript"/>
        </w:rPr>
        <w:t>cool</w:t>
      </w:r>
      <w:r w:rsidRPr="00AA2C40">
        <w:rPr>
          <w:rFonts w:cs="Arial"/>
          <w:szCs w:val="20"/>
        </w:rPr>
        <w:t>/1000 X (1/SEER</w:t>
      </w:r>
      <w:r w:rsidRPr="00F11594">
        <w:rPr>
          <w:rFonts w:cs="Arial"/>
          <w:szCs w:val="20"/>
          <w:vertAlign w:val="subscript"/>
        </w:rPr>
        <w:t>b</w:t>
      </w:r>
      <w:r w:rsidRPr="00AA2C40">
        <w:rPr>
          <w:rFonts w:cs="Arial"/>
          <w:szCs w:val="20"/>
        </w:rPr>
        <w:t xml:space="preserve"> – 1/SEER</w:t>
      </w:r>
      <w:r>
        <w:rPr>
          <w:rFonts w:cs="Arial"/>
          <w:szCs w:val="20"/>
          <w:vertAlign w:val="subscript"/>
        </w:rPr>
        <w:t>e</w:t>
      </w:r>
      <w:r w:rsidRPr="00AA2C40">
        <w:rPr>
          <w:rFonts w:cs="Arial"/>
          <w:szCs w:val="20"/>
        </w:rPr>
        <w:t xml:space="preserve"> ) X EFLH</w:t>
      </w:r>
      <w:r>
        <w:rPr>
          <w:rFonts w:cs="Arial"/>
          <w:szCs w:val="20"/>
          <w:vertAlign w:val="subscript"/>
        </w:rPr>
        <w:t>cool</w:t>
      </w:r>
      <w:r w:rsidRPr="00AA2C40">
        <w:rPr>
          <w:rFonts w:cs="Arial"/>
          <w:szCs w:val="20"/>
        </w:rPr>
        <w:t xml:space="preserve"> </w:t>
      </w:r>
    </w:p>
    <w:p w:rsidR="00E17950" w:rsidRPr="00345AED" w:rsidRDefault="00E17950" w:rsidP="00E17950">
      <w:pPr>
        <w:pStyle w:val="Equation"/>
        <w:rPr>
          <w:rFonts w:cs="Arial"/>
          <w:szCs w:val="20"/>
          <w:vertAlign w:val="subscript"/>
        </w:rPr>
      </w:pPr>
      <w:r w:rsidRPr="00AA2C40">
        <w:rPr>
          <w:rFonts w:cs="Arial"/>
          <w:szCs w:val="20"/>
        </w:rPr>
        <w:sym w:font="Symbol" w:char="F044"/>
      </w:r>
      <w:r w:rsidRPr="00AA2C40">
        <w:rPr>
          <w:rFonts w:cs="Arial"/>
          <w:szCs w:val="20"/>
        </w:rPr>
        <w:t>kWh</w:t>
      </w:r>
      <w:r w:rsidRPr="00AA2C40">
        <w:rPr>
          <w:rFonts w:cs="Arial"/>
          <w:szCs w:val="20"/>
          <w:vertAlign w:val="subscript"/>
        </w:rPr>
        <w:t>heat</w:t>
      </w:r>
      <w:r w:rsidRPr="00AA2C40">
        <w:rPr>
          <w:rFonts w:cs="Arial"/>
          <w:i w:val="0"/>
          <w:szCs w:val="20"/>
        </w:rPr>
        <w:t xml:space="preserve"> </w:t>
      </w:r>
      <w:r w:rsidRPr="00AA2C40">
        <w:rPr>
          <w:rFonts w:cs="Arial"/>
          <w:szCs w:val="20"/>
        </w:rPr>
        <w:t>(ASHP Only)</w:t>
      </w:r>
      <w:r w:rsidRPr="00AA2C40">
        <w:rPr>
          <w:rFonts w:cs="Arial"/>
          <w:szCs w:val="20"/>
          <w:vertAlign w:val="subscript"/>
        </w:rPr>
        <w:tab/>
      </w:r>
      <w:r w:rsidRPr="00AA2C40">
        <w:rPr>
          <w:rFonts w:cs="Arial"/>
          <w:szCs w:val="20"/>
        </w:rPr>
        <w:t>= CAPY</w:t>
      </w:r>
      <w:r>
        <w:rPr>
          <w:rFonts w:cs="Arial"/>
          <w:szCs w:val="20"/>
          <w:vertAlign w:val="subscript"/>
        </w:rPr>
        <w:t>heat</w:t>
      </w:r>
      <w:r w:rsidRPr="00AA2C40">
        <w:rPr>
          <w:rFonts w:cs="Arial"/>
          <w:szCs w:val="20"/>
        </w:rPr>
        <w:t>/1000 X (1/HSPF</w:t>
      </w:r>
      <w:r w:rsidRPr="00F11594">
        <w:rPr>
          <w:rFonts w:cs="Arial"/>
          <w:szCs w:val="20"/>
          <w:vertAlign w:val="subscript"/>
        </w:rPr>
        <w:t>b</w:t>
      </w:r>
      <w:r w:rsidRPr="00AA2C40">
        <w:rPr>
          <w:rFonts w:cs="Arial"/>
          <w:szCs w:val="20"/>
        </w:rPr>
        <w:t xml:space="preserve">  - 1/HSPF</w:t>
      </w:r>
      <w:r>
        <w:rPr>
          <w:rFonts w:cs="Arial"/>
          <w:szCs w:val="20"/>
          <w:vertAlign w:val="subscript"/>
        </w:rPr>
        <w:t>e</w:t>
      </w:r>
      <w:r w:rsidRPr="00AA2C40">
        <w:rPr>
          <w:rFonts w:cs="Arial"/>
          <w:szCs w:val="20"/>
        </w:rPr>
        <w:t xml:space="preserve"> ) X EFLH</w:t>
      </w:r>
      <w:r>
        <w:rPr>
          <w:rFonts w:cs="Arial"/>
          <w:szCs w:val="20"/>
          <w:vertAlign w:val="subscript"/>
        </w:rPr>
        <w:t>heat</w:t>
      </w:r>
    </w:p>
    <w:p w:rsidR="00E17950" w:rsidRPr="00AA2C40" w:rsidRDefault="00E17950" w:rsidP="00E17950">
      <w:pPr>
        <w:pStyle w:val="Equation"/>
        <w:rPr>
          <w:rFonts w:cs="Arial"/>
          <w:kern w:val="36"/>
          <w:position w:val="6"/>
          <w:szCs w:val="20"/>
        </w:rPr>
      </w:pPr>
      <w:r w:rsidRPr="00AA2C40">
        <w:rPr>
          <w:rFonts w:cs="Arial"/>
          <w:szCs w:val="20"/>
        </w:rPr>
        <w:sym w:font="Symbol" w:char="F044"/>
      </w:r>
      <w:r w:rsidRPr="00AA2C40">
        <w:rPr>
          <w:rFonts w:cs="Arial"/>
          <w:szCs w:val="20"/>
        </w:rPr>
        <w:t>kW</w:t>
      </w:r>
      <w:r w:rsidRPr="00AA2C40">
        <w:rPr>
          <w:rFonts w:cs="Arial"/>
          <w:szCs w:val="20"/>
          <w:vertAlign w:val="subscript"/>
        </w:rPr>
        <w:t>peak</w:t>
      </w:r>
      <w:r w:rsidRPr="00AA2C40">
        <w:rPr>
          <w:rFonts w:cs="Arial"/>
          <w:szCs w:val="20"/>
        </w:rPr>
        <w:tab/>
      </w:r>
      <w:r w:rsidRPr="00AA2C40">
        <w:rPr>
          <w:rFonts w:cs="Arial"/>
          <w:szCs w:val="20"/>
        </w:rPr>
        <w:tab/>
        <w:t>= CAPY</w:t>
      </w:r>
      <w:r>
        <w:rPr>
          <w:rFonts w:cs="Arial"/>
          <w:szCs w:val="20"/>
          <w:vertAlign w:val="subscript"/>
        </w:rPr>
        <w:t>cool</w:t>
      </w:r>
      <w:r w:rsidRPr="00AA2C40">
        <w:rPr>
          <w:rFonts w:cs="Arial"/>
          <w:szCs w:val="20"/>
        </w:rPr>
        <w:t>/1000 X (1/EER</w:t>
      </w:r>
      <w:r w:rsidRPr="00F11594">
        <w:rPr>
          <w:rFonts w:cs="Arial"/>
          <w:szCs w:val="20"/>
          <w:vertAlign w:val="subscript"/>
        </w:rPr>
        <w:t>b</w:t>
      </w:r>
      <w:r w:rsidRPr="00AA2C40">
        <w:rPr>
          <w:rFonts w:cs="Arial"/>
          <w:szCs w:val="20"/>
        </w:rPr>
        <w:t xml:space="preserve"> – 1/EER</w:t>
      </w:r>
      <w:r>
        <w:rPr>
          <w:rFonts w:cs="Arial"/>
          <w:szCs w:val="20"/>
          <w:vertAlign w:val="subscript"/>
        </w:rPr>
        <w:t>e</w:t>
      </w:r>
      <w:r w:rsidRPr="00AA2C40">
        <w:rPr>
          <w:rFonts w:cs="Arial"/>
          <w:szCs w:val="20"/>
        </w:rPr>
        <w:t xml:space="preserve"> ) X CF </w:t>
      </w:r>
    </w:p>
    <w:p w:rsidR="00E17950" w:rsidRDefault="00E17950" w:rsidP="00E17950">
      <w:pPr>
        <w:pStyle w:val="Heading4"/>
      </w:pPr>
      <w:r w:rsidRPr="00526FC4">
        <w:t>Central A/C and ASHP (Maintenance)</w:t>
      </w:r>
    </w:p>
    <w:p w:rsidR="00E17950" w:rsidRPr="00B6657C" w:rsidRDefault="00E17950" w:rsidP="00E17950">
      <w:r>
        <w:t>This algorithm is used for measures providing services to maintain, service or tune-up central A/C and ASHP units.</w:t>
      </w:r>
    </w:p>
    <w:p w:rsidR="00E17950" w:rsidRPr="00AA2C40" w:rsidRDefault="00E17950" w:rsidP="00E17950">
      <w:pPr>
        <w:pStyle w:val="Equation"/>
        <w:rPr>
          <w:rFonts w:cs="Arial"/>
          <w:szCs w:val="20"/>
        </w:rPr>
      </w:pPr>
      <w:r w:rsidRPr="00AA2C40">
        <w:rPr>
          <w:rFonts w:cs="Arial"/>
          <w:szCs w:val="20"/>
        </w:rPr>
        <w:sym w:font="Symbol" w:char="F044"/>
      </w:r>
      <w:r w:rsidRPr="00AA2C40">
        <w:rPr>
          <w:rFonts w:cs="Arial"/>
          <w:szCs w:val="20"/>
        </w:rPr>
        <w:t>kWh</w:t>
      </w:r>
      <w:r w:rsidRPr="00AA2C40">
        <w:rPr>
          <w:rFonts w:cs="Arial"/>
          <w:szCs w:val="20"/>
        </w:rPr>
        <w:tab/>
      </w:r>
      <w:r w:rsidRPr="00AA2C40">
        <w:rPr>
          <w:rFonts w:cs="Arial"/>
          <w:szCs w:val="20"/>
        </w:rPr>
        <w:tab/>
        <w:t xml:space="preserve">= </w:t>
      </w:r>
      <w:r w:rsidRPr="00AA2C40">
        <w:rPr>
          <w:rFonts w:cs="Arial"/>
          <w:szCs w:val="20"/>
        </w:rPr>
        <w:sym w:font="Symbol" w:char="F044"/>
      </w:r>
      <w:r w:rsidRPr="00AA2C40">
        <w:rPr>
          <w:rFonts w:cs="Arial"/>
          <w:szCs w:val="20"/>
        </w:rPr>
        <w:t>kWh</w:t>
      </w:r>
      <w:r w:rsidRPr="00AA2C40">
        <w:rPr>
          <w:rFonts w:cs="Arial"/>
          <w:szCs w:val="20"/>
          <w:vertAlign w:val="subscript"/>
        </w:rPr>
        <w:t>cool</w:t>
      </w:r>
      <w:r w:rsidRPr="00AA2C40">
        <w:rPr>
          <w:rFonts w:cs="Arial"/>
          <w:szCs w:val="20"/>
        </w:rPr>
        <w:t xml:space="preserve"> + </w:t>
      </w:r>
      <w:r w:rsidRPr="00AA2C40">
        <w:rPr>
          <w:rFonts w:cs="Arial"/>
          <w:szCs w:val="20"/>
        </w:rPr>
        <w:sym w:font="Symbol" w:char="F044"/>
      </w:r>
      <w:r w:rsidRPr="00AA2C40">
        <w:rPr>
          <w:rFonts w:cs="Arial"/>
          <w:szCs w:val="20"/>
        </w:rPr>
        <w:t>kWh</w:t>
      </w:r>
      <w:r w:rsidRPr="00AA2C40">
        <w:rPr>
          <w:rFonts w:cs="Arial"/>
          <w:szCs w:val="20"/>
          <w:vertAlign w:val="subscript"/>
        </w:rPr>
        <w:t>heat</w:t>
      </w:r>
    </w:p>
    <w:p w:rsidR="00E17950" w:rsidRPr="00345AED" w:rsidRDefault="00E17950" w:rsidP="00E17950">
      <w:pPr>
        <w:pStyle w:val="Equation"/>
        <w:rPr>
          <w:rFonts w:cs="Arial"/>
          <w:szCs w:val="20"/>
          <w:vertAlign w:val="subscript"/>
        </w:rPr>
      </w:pPr>
      <w:r w:rsidRPr="00AA2C40">
        <w:rPr>
          <w:rFonts w:cs="Arial"/>
          <w:szCs w:val="20"/>
        </w:rPr>
        <w:sym w:font="Symbol" w:char="F044"/>
      </w:r>
      <w:r w:rsidRPr="00AA2C40">
        <w:rPr>
          <w:rFonts w:cs="Arial"/>
          <w:szCs w:val="20"/>
        </w:rPr>
        <w:t>kWh</w:t>
      </w:r>
      <w:r w:rsidRPr="00AA2C40">
        <w:rPr>
          <w:rFonts w:cs="Arial"/>
          <w:szCs w:val="20"/>
          <w:vertAlign w:val="subscript"/>
        </w:rPr>
        <w:t>cool</w:t>
      </w:r>
      <w:r w:rsidRPr="00AA2C40" w:rsidDel="00675C56">
        <w:rPr>
          <w:rFonts w:cs="Arial"/>
          <w:szCs w:val="20"/>
        </w:rPr>
        <w:t xml:space="preserve"> </w:t>
      </w:r>
      <w:r w:rsidRPr="00AA2C40">
        <w:rPr>
          <w:rFonts w:cs="Arial"/>
          <w:szCs w:val="20"/>
        </w:rPr>
        <w:tab/>
        <w:t>=  ((CAPY</w:t>
      </w:r>
      <w:r>
        <w:rPr>
          <w:rFonts w:cs="Arial"/>
          <w:szCs w:val="20"/>
          <w:vertAlign w:val="subscript"/>
        </w:rPr>
        <w:t>cool</w:t>
      </w:r>
      <w:r w:rsidRPr="00AA2C40">
        <w:rPr>
          <w:rFonts w:cs="Arial"/>
          <w:szCs w:val="20"/>
        </w:rPr>
        <w:t>/(1000 X SEER</w:t>
      </w:r>
      <w:r w:rsidRPr="00F11594">
        <w:rPr>
          <w:rFonts w:cs="Arial"/>
          <w:szCs w:val="20"/>
          <w:vertAlign w:val="subscript"/>
        </w:rPr>
        <w:t>m</w:t>
      </w:r>
      <w:r w:rsidRPr="00AA2C40">
        <w:rPr>
          <w:rFonts w:cs="Arial"/>
          <w:szCs w:val="20"/>
        </w:rPr>
        <w:t>)) X EFLH</w:t>
      </w:r>
      <w:r>
        <w:rPr>
          <w:rFonts w:cs="Arial"/>
          <w:szCs w:val="20"/>
          <w:vertAlign w:val="subscript"/>
        </w:rPr>
        <w:t>cool</w:t>
      </w:r>
      <w:r w:rsidRPr="00AA2C40">
        <w:rPr>
          <w:rFonts w:cs="Arial"/>
          <w:szCs w:val="20"/>
        </w:rPr>
        <w:t>) X MF</w:t>
      </w:r>
      <w:r>
        <w:rPr>
          <w:rFonts w:cs="Arial"/>
          <w:szCs w:val="20"/>
          <w:vertAlign w:val="subscript"/>
        </w:rPr>
        <w:t>cool</w:t>
      </w:r>
    </w:p>
    <w:p w:rsidR="00E17950" w:rsidRPr="00345AED" w:rsidRDefault="00E17950" w:rsidP="00E17950">
      <w:pPr>
        <w:pStyle w:val="Equation"/>
        <w:rPr>
          <w:rFonts w:cs="Arial"/>
          <w:szCs w:val="20"/>
          <w:vertAlign w:val="subscript"/>
        </w:rPr>
      </w:pPr>
      <w:r w:rsidRPr="00AA2C40">
        <w:rPr>
          <w:rFonts w:cs="Arial"/>
          <w:szCs w:val="20"/>
        </w:rPr>
        <w:sym w:font="Symbol" w:char="F044"/>
      </w:r>
      <w:r w:rsidRPr="00AA2C40">
        <w:rPr>
          <w:rFonts w:cs="Arial"/>
          <w:szCs w:val="20"/>
        </w:rPr>
        <w:t>kWh</w:t>
      </w:r>
      <w:r>
        <w:rPr>
          <w:rFonts w:cs="Arial"/>
          <w:szCs w:val="20"/>
          <w:vertAlign w:val="subscript"/>
        </w:rPr>
        <w:t>heat</w:t>
      </w:r>
      <w:r w:rsidRPr="00AA2C40" w:rsidDel="00675C56">
        <w:rPr>
          <w:rFonts w:cs="Arial"/>
          <w:szCs w:val="20"/>
        </w:rPr>
        <w:t xml:space="preserve"> </w:t>
      </w:r>
      <w:r w:rsidRPr="00AA2C40">
        <w:rPr>
          <w:rFonts w:cs="Arial"/>
          <w:szCs w:val="20"/>
        </w:rPr>
        <w:t>(ASHP Only)</w:t>
      </w:r>
      <w:r w:rsidRPr="00AA2C40">
        <w:rPr>
          <w:rFonts w:cs="Arial"/>
          <w:szCs w:val="20"/>
        </w:rPr>
        <w:tab/>
        <w:t>=  ((CAPY</w:t>
      </w:r>
      <w:r>
        <w:rPr>
          <w:rFonts w:cs="Arial"/>
          <w:szCs w:val="20"/>
          <w:vertAlign w:val="subscript"/>
        </w:rPr>
        <w:t>heat</w:t>
      </w:r>
      <w:r w:rsidRPr="00AA2C40">
        <w:rPr>
          <w:rFonts w:cs="Arial"/>
          <w:szCs w:val="20"/>
        </w:rPr>
        <w:t xml:space="preserve">/(1000 X </w:t>
      </w:r>
      <w:r>
        <w:rPr>
          <w:rFonts w:cs="Arial"/>
          <w:szCs w:val="20"/>
        </w:rPr>
        <w:t>HSPF</w:t>
      </w:r>
      <w:r w:rsidRPr="00F11594">
        <w:rPr>
          <w:rFonts w:cs="Arial"/>
          <w:szCs w:val="20"/>
          <w:vertAlign w:val="subscript"/>
        </w:rPr>
        <w:t>m</w:t>
      </w:r>
      <w:r w:rsidRPr="00AA2C40">
        <w:rPr>
          <w:rFonts w:cs="Arial"/>
          <w:szCs w:val="20"/>
        </w:rPr>
        <w:t>)) X EFLH</w:t>
      </w:r>
      <w:r>
        <w:rPr>
          <w:rFonts w:cs="Arial"/>
          <w:szCs w:val="20"/>
          <w:vertAlign w:val="subscript"/>
        </w:rPr>
        <w:t>heat</w:t>
      </w:r>
      <w:r w:rsidRPr="00AA2C40">
        <w:rPr>
          <w:rFonts w:cs="Arial"/>
          <w:szCs w:val="20"/>
        </w:rPr>
        <w:t>) X MF</w:t>
      </w:r>
      <w:r>
        <w:rPr>
          <w:rFonts w:cs="Arial"/>
          <w:szCs w:val="20"/>
          <w:vertAlign w:val="subscript"/>
        </w:rPr>
        <w:t>heat</w:t>
      </w:r>
    </w:p>
    <w:p w:rsidR="00E17950" w:rsidRPr="00345AED" w:rsidRDefault="00E17950" w:rsidP="00E17950">
      <w:pPr>
        <w:pStyle w:val="Equation"/>
        <w:rPr>
          <w:rFonts w:cs="Arial"/>
          <w:szCs w:val="20"/>
          <w:vertAlign w:val="subscript"/>
        </w:rPr>
      </w:pPr>
      <w:r w:rsidRPr="00AA2C40">
        <w:rPr>
          <w:rFonts w:cs="Arial"/>
          <w:szCs w:val="20"/>
        </w:rPr>
        <w:sym w:font="Symbol" w:char="F044"/>
      </w:r>
      <w:r w:rsidRPr="00AA2C40">
        <w:rPr>
          <w:rFonts w:cs="Arial"/>
          <w:szCs w:val="20"/>
        </w:rPr>
        <w:t>kW</w:t>
      </w:r>
      <w:r w:rsidRPr="00AA2C40">
        <w:rPr>
          <w:rFonts w:cs="Arial"/>
          <w:szCs w:val="20"/>
          <w:vertAlign w:val="subscript"/>
        </w:rPr>
        <w:t>peak</w:t>
      </w:r>
      <w:r w:rsidRPr="00AA2C40">
        <w:rPr>
          <w:rFonts w:cs="Arial"/>
          <w:szCs w:val="20"/>
        </w:rPr>
        <w:tab/>
      </w:r>
      <w:r w:rsidRPr="00AA2C40">
        <w:rPr>
          <w:rFonts w:cs="Arial"/>
          <w:szCs w:val="20"/>
        </w:rPr>
        <w:tab/>
        <w:t>= ((CAPY</w:t>
      </w:r>
      <w:r>
        <w:rPr>
          <w:rFonts w:cs="Arial"/>
          <w:szCs w:val="20"/>
          <w:vertAlign w:val="subscript"/>
        </w:rPr>
        <w:t>cool</w:t>
      </w:r>
      <w:r w:rsidRPr="00AA2C40">
        <w:rPr>
          <w:rFonts w:cs="Arial"/>
          <w:szCs w:val="20"/>
        </w:rPr>
        <w:t>/(1000 X EER</w:t>
      </w:r>
      <w:r w:rsidRPr="00F11594">
        <w:rPr>
          <w:rFonts w:cs="Arial"/>
          <w:szCs w:val="20"/>
          <w:vertAlign w:val="subscript"/>
        </w:rPr>
        <w:t>m</w:t>
      </w:r>
      <w:r w:rsidRPr="00AA2C40">
        <w:rPr>
          <w:rFonts w:cs="Arial"/>
          <w:szCs w:val="20"/>
        </w:rPr>
        <w:t>)) X CF) X MF</w:t>
      </w:r>
      <w:r>
        <w:rPr>
          <w:rFonts w:cs="Arial"/>
          <w:szCs w:val="20"/>
          <w:vertAlign w:val="subscript"/>
        </w:rPr>
        <w:t>cool</w:t>
      </w:r>
    </w:p>
    <w:p w:rsidR="00E17950" w:rsidRDefault="00E17950" w:rsidP="00E17950">
      <w:pPr>
        <w:pStyle w:val="Heading4"/>
      </w:pPr>
      <w:r w:rsidRPr="00526FC4">
        <w:t>Central A/C and ASHP (Duct Sealing)</w:t>
      </w:r>
    </w:p>
    <w:p w:rsidR="00E17950" w:rsidRPr="00B6657C" w:rsidRDefault="00E17950" w:rsidP="00E17950">
      <w:r>
        <w:t>This algorithm is used for measures that improve duct systems by reducing air leakage.</w:t>
      </w:r>
    </w:p>
    <w:p w:rsidR="00E17950" w:rsidRPr="00AA2C40" w:rsidRDefault="00E17950" w:rsidP="00E17950">
      <w:pPr>
        <w:pStyle w:val="Equation"/>
        <w:rPr>
          <w:rFonts w:cs="Arial"/>
          <w:szCs w:val="20"/>
        </w:rPr>
      </w:pPr>
      <w:r w:rsidRPr="00AA2C40">
        <w:rPr>
          <w:rFonts w:cs="Arial"/>
          <w:szCs w:val="20"/>
        </w:rPr>
        <w:sym w:font="Symbol" w:char="F044"/>
      </w:r>
      <w:r w:rsidRPr="00AA2C40">
        <w:rPr>
          <w:rFonts w:cs="Arial"/>
          <w:szCs w:val="20"/>
        </w:rPr>
        <w:t>kWh</w:t>
      </w:r>
      <w:r w:rsidRPr="00AA2C40">
        <w:rPr>
          <w:rFonts w:cs="Arial"/>
          <w:szCs w:val="20"/>
        </w:rPr>
        <w:tab/>
      </w:r>
      <w:r w:rsidRPr="00AA2C40">
        <w:rPr>
          <w:rFonts w:cs="Arial"/>
          <w:szCs w:val="20"/>
        </w:rPr>
        <w:tab/>
        <w:t xml:space="preserve">= </w:t>
      </w:r>
      <w:r w:rsidRPr="00AA2C40">
        <w:rPr>
          <w:rFonts w:cs="Arial"/>
          <w:szCs w:val="20"/>
        </w:rPr>
        <w:sym w:font="Symbol" w:char="F044"/>
      </w:r>
      <w:r w:rsidRPr="00AA2C40">
        <w:rPr>
          <w:rFonts w:cs="Arial"/>
          <w:szCs w:val="20"/>
        </w:rPr>
        <w:t>kWh</w:t>
      </w:r>
      <w:r w:rsidRPr="00AA2C40">
        <w:rPr>
          <w:rFonts w:cs="Arial"/>
          <w:szCs w:val="20"/>
          <w:vertAlign w:val="subscript"/>
        </w:rPr>
        <w:t>cool</w:t>
      </w:r>
      <w:r w:rsidRPr="00AA2C40">
        <w:rPr>
          <w:rFonts w:cs="Arial"/>
          <w:szCs w:val="20"/>
        </w:rPr>
        <w:t xml:space="preserve"> + </w:t>
      </w:r>
      <w:r w:rsidRPr="00AA2C40">
        <w:rPr>
          <w:rFonts w:cs="Arial"/>
          <w:szCs w:val="20"/>
        </w:rPr>
        <w:sym w:font="Symbol" w:char="F044"/>
      </w:r>
      <w:r w:rsidRPr="00AA2C40">
        <w:rPr>
          <w:rFonts w:cs="Arial"/>
          <w:szCs w:val="20"/>
        </w:rPr>
        <w:t>kWh</w:t>
      </w:r>
      <w:r w:rsidRPr="00AA2C40">
        <w:rPr>
          <w:rFonts w:cs="Arial"/>
          <w:szCs w:val="20"/>
          <w:vertAlign w:val="subscript"/>
        </w:rPr>
        <w:t>heat</w:t>
      </w:r>
    </w:p>
    <w:p w:rsidR="00E17950" w:rsidRDefault="00E17950" w:rsidP="00E17950">
      <w:pPr>
        <w:pStyle w:val="Equation"/>
        <w:rPr>
          <w:rFonts w:cs="Arial"/>
          <w:szCs w:val="20"/>
        </w:rPr>
      </w:pPr>
      <w:r w:rsidRPr="00AA2C40">
        <w:rPr>
          <w:rFonts w:cs="Arial"/>
          <w:szCs w:val="20"/>
        </w:rPr>
        <w:sym w:font="Symbol" w:char="F044"/>
      </w:r>
      <w:r w:rsidRPr="00AA2C40">
        <w:rPr>
          <w:rFonts w:cs="Arial"/>
          <w:szCs w:val="20"/>
        </w:rPr>
        <w:t>kWh</w:t>
      </w:r>
      <w:r w:rsidRPr="00AA2C40">
        <w:rPr>
          <w:rFonts w:cs="Arial"/>
          <w:szCs w:val="20"/>
          <w:vertAlign w:val="subscript"/>
        </w:rPr>
        <w:t>cool</w:t>
      </w:r>
      <w:r w:rsidRPr="00AA2C40" w:rsidDel="00675C56">
        <w:rPr>
          <w:rFonts w:cs="Arial"/>
          <w:szCs w:val="20"/>
        </w:rPr>
        <w:t xml:space="preserve"> </w:t>
      </w:r>
      <w:r w:rsidRPr="00AA2C40">
        <w:rPr>
          <w:rFonts w:cs="Arial"/>
          <w:szCs w:val="20"/>
        </w:rPr>
        <w:tab/>
        <w:t>= (CAPY</w:t>
      </w:r>
      <w:r>
        <w:rPr>
          <w:rFonts w:cs="Arial"/>
          <w:szCs w:val="20"/>
          <w:vertAlign w:val="subscript"/>
        </w:rPr>
        <w:t>cool</w:t>
      </w:r>
      <w:r w:rsidRPr="00AA2C40">
        <w:rPr>
          <w:rFonts w:cs="Arial"/>
          <w:szCs w:val="20"/>
        </w:rPr>
        <w:t>/(1000 X SEER</w:t>
      </w:r>
      <w:r>
        <w:rPr>
          <w:rFonts w:cs="Arial"/>
          <w:szCs w:val="20"/>
          <w:vertAlign w:val="subscript"/>
        </w:rPr>
        <w:t>e</w:t>
      </w:r>
      <w:r w:rsidRPr="00AA2C40">
        <w:rPr>
          <w:rFonts w:cs="Arial"/>
          <w:szCs w:val="20"/>
        </w:rPr>
        <w:t>)) X EFLH</w:t>
      </w:r>
      <w:r>
        <w:rPr>
          <w:rFonts w:cs="Arial"/>
          <w:szCs w:val="20"/>
          <w:vertAlign w:val="subscript"/>
        </w:rPr>
        <w:t>cool</w:t>
      </w:r>
      <w:r w:rsidRPr="00AA2C40">
        <w:rPr>
          <w:rFonts w:cs="Arial"/>
          <w:szCs w:val="20"/>
        </w:rPr>
        <w:t xml:space="preserve"> X DuctSF</w:t>
      </w:r>
    </w:p>
    <w:p w:rsidR="00E17950" w:rsidRPr="00345AED" w:rsidRDefault="00E17950" w:rsidP="00E17950">
      <w:pPr>
        <w:pStyle w:val="Equation"/>
        <w:rPr>
          <w:rFonts w:cs="Arial"/>
          <w:szCs w:val="20"/>
        </w:rPr>
      </w:pPr>
      <w:r w:rsidRPr="00AA2C40">
        <w:rPr>
          <w:rFonts w:cs="Arial"/>
          <w:szCs w:val="20"/>
        </w:rPr>
        <w:sym w:font="Symbol" w:char="F044"/>
      </w:r>
      <w:r w:rsidRPr="00AA2C40">
        <w:rPr>
          <w:rFonts w:cs="Arial"/>
          <w:szCs w:val="20"/>
        </w:rPr>
        <w:t>kWh</w:t>
      </w:r>
      <w:r>
        <w:rPr>
          <w:rFonts w:cs="Arial"/>
          <w:szCs w:val="20"/>
          <w:vertAlign w:val="subscript"/>
        </w:rPr>
        <w:t>heat</w:t>
      </w:r>
      <w:r w:rsidRPr="00AA2C40" w:rsidDel="00675C56">
        <w:rPr>
          <w:rFonts w:cs="Arial"/>
          <w:szCs w:val="20"/>
        </w:rPr>
        <w:t xml:space="preserve"> </w:t>
      </w:r>
      <w:r w:rsidRPr="00AA2C40">
        <w:rPr>
          <w:rFonts w:cs="Arial"/>
          <w:szCs w:val="20"/>
        </w:rPr>
        <w:t>(ASHP Only)</w:t>
      </w:r>
      <w:r w:rsidRPr="00AA2C40">
        <w:rPr>
          <w:rFonts w:cs="Arial"/>
          <w:szCs w:val="20"/>
        </w:rPr>
        <w:tab/>
        <w:t>= (CAPY</w:t>
      </w:r>
      <w:r>
        <w:rPr>
          <w:rFonts w:cs="Arial"/>
          <w:szCs w:val="20"/>
          <w:vertAlign w:val="subscript"/>
        </w:rPr>
        <w:t>heat</w:t>
      </w:r>
      <w:r w:rsidRPr="00AA2C40">
        <w:rPr>
          <w:rFonts w:cs="Arial"/>
          <w:szCs w:val="20"/>
        </w:rPr>
        <w:t xml:space="preserve">/(1000 X </w:t>
      </w:r>
      <w:r>
        <w:rPr>
          <w:rFonts w:cs="Arial"/>
          <w:szCs w:val="20"/>
        </w:rPr>
        <w:t>HSPF</w:t>
      </w:r>
      <w:r>
        <w:rPr>
          <w:rFonts w:cs="Arial"/>
          <w:szCs w:val="20"/>
          <w:vertAlign w:val="subscript"/>
        </w:rPr>
        <w:t>e</w:t>
      </w:r>
      <w:r w:rsidRPr="00AA2C40">
        <w:rPr>
          <w:rFonts w:cs="Arial"/>
          <w:szCs w:val="20"/>
        </w:rPr>
        <w:t>)) X EFLH</w:t>
      </w:r>
      <w:r>
        <w:rPr>
          <w:rFonts w:cs="Arial"/>
          <w:szCs w:val="20"/>
          <w:vertAlign w:val="subscript"/>
        </w:rPr>
        <w:t>heat</w:t>
      </w:r>
      <w:r w:rsidRPr="00AA2C40">
        <w:rPr>
          <w:rFonts w:cs="Arial"/>
          <w:szCs w:val="20"/>
        </w:rPr>
        <w:t xml:space="preserve"> X DuctSF</w:t>
      </w:r>
    </w:p>
    <w:p w:rsidR="00E17950" w:rsidRPr="00AA2C40" w:rsidRDefault="00E17950" w:rsidP="00E17950">
      <w:pPr>
        <w:pStyle w:val="Equation"/>
        <w:rPr>
          <w:rFonts w:cs="Arial"/>
          <w:szCs w:val="20"/>
        </w:rPr>
      </w:pPr>
      <w:r w:rsidRPr="00AA2C40">
        <w:rPr>
          <w:rFonts w:cs="Arial"/>
          <w:szCs w:val="20"/>
        </w:rPr>
        <w:sym w:font="Symbol" w:char="F044"/>
      </w:r>
      <w:r w:rsidRPr="00AA2C40">
        <w:rPr>
          <w:rFonts w:cs="Arial"/>
          <w:szCs w:val="20"/>
        </w:rPr>
        <w:t>kW</w:t>
      </w:r>
      <w:r w:rsidRPr="00AA2C40">
        <w:rPr>
          <w:rFonts w:cs="Arial"/>
          <w:szCs w:val="20"/>
          <w:vertAlign w:val="subscript"/>
        </w:rPr>
        <w:t>peak</w:t>
      </w:r>
      <w:r w:rsidRPr="00AA2C40">
        <w:rPr>
          <w:rFonts w:cs="Arial"/>
          <w:szCs w:val="20"/>
        </w:rPr>
        <w:tab/>
      </w:r>
      <w:r w:rsidRPr="00AA2C40">
        <w:rPr>
          <w:rFonts w:cs="Arial"/>
          <w:szCs w:val="20"/>
        </w:rPr>
        <w:tab/>
        <w:t>= ((CAPY</w:t>
      </w:r>
      <w:r>
        <w:rPr>
          <w:rFonts w:cs="Arial"/>
          <w:szCs w:val="20"/>
          <w:vertAlign w:val="subscript"/>
        </w:rPr>
        <w:t>cool</w:t>
      </w:r>
      <w:r w:rsidRPr="00AA2C40">
        <w:rPr>
          <w:rFonts w:cs="Arial"/>
          <w:szCs w:val="20"/>
        </w:rPr>
        <w:t>/(1000 X EER</w:t>
      </w:r>
      <w:r>
        <w:rPr>
          <w:rFonts w:cs="Arial"/>
          <w:szCs w:val="20"/>
          <w:vertAlign w:val="subscript"/>
        </w:rPr>
        <w:t>e</w:t>
      </w:r>
      <w:r w:rsidRPr="00AA2C40">
        <w:rPr>
          <w:rFonts w:cs="Arial"/>
          <w:szCs w:val="20"/>
        </w:rPr>
        <w:t>)) X CF) X DuctSF</w:t>
      </w:r>
    </w:p>
    <w:p w:rsidR="00E17950" w:rsidRDefault="00E17950" w:rsidP="00E17950">
      <w:pPr>
        <w:pStyle w:val="Heading4"/>
      </w:pPr>
      <w:r w:rsidRPr="00D00E58">
        <w:lastRenderedPageBreak/>
        <w:t>Ground Source Heat Pumps (GSHP)</w:t>
      </w:r>
    </w:p>
    <w:p w:rsidR="00E17950" w:rsidRPr="00981556" w:rsidRDefault="00E17950" w:rsidP="00E17950">
      <w:r>
        <w:t xml:space="preserve">This algorithm is used for the installation of new GSHP units. For GSHP systems over 65,000 BTUh, see commercial algorithm stated in Section </w:t>
      </w:r>
      <w:r w:rsidR="00274AB1">
        <w:fldChar w:fldCharType="begin"/>
      </w:r>
      <w:r w:rsidR="00274AB1">
        <w:instrText xml:space="preserve"> REF _Ref295410401 \r \h  \* MERGEFORMAT </w:instrText>
      </w:r>
      <w:r w:rsidR="00274AB1">
        <w:fldChar w:fldCharType="separate"/>
      </w:r>
      <w:r w:rsidR="00C0292F">
        <w:t>3.6.1</w:t>
      </w:r>
      <w:r w:rsidR="00274AB1">
        <w:fldChar w:fldCharType="end"/>
      </w:r>
      <w:r>
        <w:t>.</w:t>
      </w:r>
    </w:p>
    <w:p w:rsidR="00E17950" w:rsidRPr="00AA2C40" w:rsidRDefault="00E17950" w:rsidP="00E17950">
      <w:pPr>
        <w:pStyle w:val="Equation"/>
        <w:rPr>
          <w:rFonts w:cs="Arial"/>
          <w:szCs w:val="20"/>
        </w:rPr>
      </w:pPr>
      <w:r w:rsidRPr="00AA2C40">
        <w:rPr>
          <w:rFonts w:cs="Arial"/>
          <w:szCs w:val="20"/>
        </w:rPr>
        <w:sym w:font="Symbol" w:char="F044"/>
      </w:r>
      <w:r w:rsidRPr="00AA2C40">
        <w:rPr>
          <w:rFonts w:cs="Arial"/>
          <w:szCs w:val="20"/>
        </w:rPr>
        <w:t>kWh</w:t>
      </w:r>
      <w:r w:rsidRPr="00AA2C40">
        <w:rPr>
          <w:rFonts w:cs="Arial"/>
          <w:szCs w:val="20"/>
        </w:rPr>
        <w:tab/>
      </w:r>
      <w:r w:rsidRPr="00AA2C40">
        <w:rPr>
          <w:rFonts w:cs="Arial"/>
          <w:szCs w:val="20"/>
        </w:rPr>
        <w:tab/>
        <w:t xml:space="preserve">= </w:t>
      </w:r>
      <w:r w:rsidRPr="00AA2C40">
        <w:rPr>
          <w:rFonts w:cs="Arial"/>
          <w:szCs w:val="20"/>
        </w:rPr>
        <w:sym w:font="Symbol" w:char="F044"/>
      </w:r>
      <w:r w:rsidRPr="00AA2C40">
        <w:rPr>
          <w:rFonts w:cs="Arial"/>
          <w:szCs w:val="20"/>
        </w:rPr>
        <w:t>kWh</w:t>
      </w:r>
      <w:r w:rsidRPr="00AA2C40">
        <w:rPr>
          <w:rFonts w:cs="Arial"/>
          <w:szCs w:val="20"/>
          <w:vertAlign w:val="subscript"/>
        </w:rPr>
        <w:t>cool</w:t>
      </w:r>
      <w:r w:rsidRPr="00AA2C40">
        <w:rPr>
          <w:rFonts w:cs="Arial"/>
          <w:szCs w:val="20"/>
        </w:rPr>
        <w:t xml:space="preserve"> + </w:t>
      </w:r>
      <w:r w:rsidRPr="00AA2C40">
        <w:rPr>
          <w:rFonts w:cs="Arial"/>
          <w:szCs w:val="20"/>
        </w:rPr>
        <w:sym w:font="Symbol" w:char="F044"/>
      </w:r>
      <w:r w:rsidRPr="00AA2C40">
        <w:rPr>
          <w:rFonts w:cs="Arial"/>
          <w:szCs w:val="20"/>
        </w:rPr>
        <w:t>kWh</w:t>
      </w:r>
      <w:r w:rsidRPr="00AA2C40">
        <w:rPr>
          <w:rFonts w:cs="Arial"/>
          <w:szCs w:val="20"/>
          <w:vertAlign w:val="subscript"/>
        </w:rPr>
        <w:t>heat</w:t>
      </w:r>
    </w:p>
    <w:p w:rsidR="00E17950" w:rsidRPr="00AA2C40" w:rsidRDefault="00E17950" w:rsidP="00E17950">
      <w:pPr>
        <w:pStyle w:val="Equation"/>
        <w:rPr>
          <w:rFonts w:cs="Arial"/>
          <w:szCs w:val="20"/>
        </w:rPr>
      </w:pPr>
      <w:r w:rsidRPr="00AA2C40">
        <w:rPr>
          <w:rFonts w:cs="Arial"/>
          <w:szCs w:val="20"/>
        </w:rPr>
        <w:sym w:font="Symbol" w:char="F044"/>
      </w:r>
      <w:r w:rsidRPr="00AA2C40">
        <w:rPr>
          <w:rFonts w:cs="Arial"/>
          <w:szCs w:val="20"/>
        </w:rPr>
        <w:t>kWh</w:t>
      </w:r>
      <w:r w:rsidRPr="00AA2C40">
        <w:rPr>
          <w:rFonts w:cs="Arial"/>
          <w:szCs w:val="20"/>
          <w:vertAlign w:val="subscript"/>
        </w:rPr>
        <w:t>cool</w:t>
      </w:r>
      <w:r w:rsidRPr="00AA2C40">
        <w:rPr>
          <w:rFonts w:cs="Arial"/>
          <w:szCs w:val="20"/>
        </w:rPr>
        <w:tab/>
        <w:t>= CAPY</w:t>
      </w:r>
      <w:r>
        <w:rPr>
          <w:rFonts w:cs="Arial"/>
          <w:szCs w:val="20"/>
          <w:vertAlign w:val="subscript"/>
        </w:rPr>
        <w:t>cool</w:t>
      </w:r>
      <w:r w:rsidRPr="00AA2C40">
        <w:rPr>
          <w:rFonts w:cs="Arial"/>
          <w:szCs w:val="20"/>
        </w:rPr>
        <w:t>/1000 X (1/SEER</w:t>
      </w:r>
      <w:r w:rsidRPr="00F11594">
        <w:rPr>
          <w:rFonts w:cs="Arial"/>
          <w:szCs w:val="20"/>
          <w:vertAlign w:val="subscript"/>
        </w:rPr>
        <w:t>b</w:t>
      </w:r>
      <w:r w:rsidRPr="00AA2C40">
        <w:rPr>
          <w:rFonts w:cs="Arial"/>
          <w:szCs w:val="20"/>
        </w:rPr>
        <w:t xml:space="preserve"> – (1/(EER</w:t>
      </w:r>
      <w:r w:rsidRPr="00F11594">
        <w:rPr>
          <w:rFonts w:cs="Arial"/>
          <w:szCs w:val="20"/>
          <w:vertAlign w:val="subscript"/>
        </w:rPr>
        <w:t>g</w:t>
      </w:r>
      <w:r w:rsidRPr="00AA2C40">
        <w:rPr>
          <w:rFonts w:cs="Arial"/>
          <w:szCs w:val="20"/>
        </w:rPr>
        <w:t xml:space="preserve"> X GSER))) X EFLH</w:t>
      </w:r>
      <w:r>
        <w:rPr>
          <w:rFonts w:cs="Arial"/>
          <w:szCs w:val="20"/>
          <w:vertAlign w:val="subscript"/>
        </w:rPr>
        <w:t>cool</w:t>
      </w:r>
      <w:r w:rsidRPr="00AA2C40">
        <w:rPr>
          <w:rFonts w:cs="Arial"/>
          <w:szCs w:val="20"/>
        </w:rPr>
        <w:t xml:space="preserve"> </w:t>
      </w:r>
    </w:p>
    <w:p w:rsidR="00E17950" w:rsidRPr="00AA2C40" w:rsidRDefault="00E17950" w:rsidP="00E17950">
      <w:pPr>
        <w:pStyle w:val="Equation"/>
        <w:rPr>
          <w:rFonts w:cs="Arial"/>
          <w:szCs w:val="20"/>
        </w:rPr>
      </w:pPr>
      <w:r w:rsidRPr="00AA2C40">
        <w:rPr>
          <w:rFonts w:cs="Arial"/>
          <w:szCs w:val="20"/>
        </w:rPr>
        <w:sym w:font="Symbol" w:char="F044"/>
      </w:r>
      <w:r w:rsidRPr="00AA2C40">
        <w:rPr>
          <w:rFonts w:cs="Arial"/>
          <w:szCs w:val="20"/>
        </w:rPr>
        <w:t>kWh</w:t>
      </w:r>
      <w:r w:rsidRPr="00AA2C40">
        <w:rPr>
          <w:rFonts w:cs="Arial"/>
          <w:szCs w:val="20"/>
          <w:vertAlign w:val="subscript"/>
        </w:rPr>
        <w:t>heat</w:t>
      </w:r>
      <w:r w:rsidRPr="00AA2C40">
        <w:rPr>
          <w:rFonts w:cs="Arial"/>
          <w:szCs w:val="20"/>
        </w:rPr>
        <w:t xml:space="preserve"> </w:t>
      </w:r>
      <w:r w:rsidRPr="00AA2C40">
        <w:rPr>
          <w:rFonts w:cs="Arial"/>
          <w:szCs w:val="20"/>
        </w:rPr>
        <w:tab/>
        <w:t>= CAPY</w:t>
      </w:r>
      <w:r>
        <w:rPr>
          <w:rFonts w:cs="Arial"/>
          <w:szCs w:val="20"/>
          <w:vertAlign w:val="subscript"/>
        </w:rPr>
        <w:t>heat</w:t>
      </w:r>
      <w:r w:rsidRPr="00AA2C40">
        <w:rPr>
          <w:rFonts w:cs="Arial"/>
          <w:szCs w:val="20"/>
        </w:rPr>
        <w:t>/1000 X (1/HSPF</w:t>
      </w:r>
      <w:r w:rsidRPr="00F11594">
        <w:rPr>
          <w:rFonts w:cs="Arial"/>
          <w:szCs w:val="20"/>
          <w:vertAlign w:val="subscript"/>
        </w:rPr>
        <w:t>b</w:t>
      </w:r>
      <w:r w:rsidRPr="00AA2C40">
        <w:rPr>
          <w:rFonts w:cs="Arial"/>
          <w:szCs w:val="20"/>
        </w:rPr>
        <w:t xml:space="preserve"> – (1/(COP</w:t>
      </w:r>
      <w:r w:rsidRPr="00F11594">
        <w:rPr>
          <w:rFonts w:cs="Arial"/>
          <w:szCs w:val="20"/>
          <w:vertAlign w:val="subscript"/>
        </w:rPr>
        <w:t>g</w:t>
      </w:r>
      <w:r w:rsidRPr="00AA2C40">
        <w:rPr>
          <w:rFonts w:cs="Arial"/>
          <w:szCs w:val="20"/>
        </w:rPr>
        <w:t xml:space="preserve"> X GSOP))) X EFLH</w:t>
      </w:r>
      <w:r>
        <w:rPr>
          <w:rFonts w:cs="Arial"/>
          <w:szCs w:val="20"/>
          <w:vertAlign w:val="subscript"/>
        </w:rPr>
        <w:t>heat</w:t>
      </w:r>
      <w:r w:rsidRPr="00AA2C40">
        <w:rPr>
          <w:rFonts w:cs="Arial"/>
          <w:szCs w:val="20"/>
        </w:rPr>
        <w:t xml:space="preserve"> </w:t>
      </w:r>
    </w:p>
    <w:p w:rsidR="00E17950" w:rsidRPr="00AA2C40" w:rsidRDefault="00E17950" w:rsidP="00E17950">
      <w:pPr>
        <w:pStyle w:val="Equation"/>
        <w:rPr>
          <w:rFonts w:cs="Arial"/>
          <w:kern w:val="36"/>
          <w:position w:val="6"/>
          <w:szCs w:val="20"/>
        </w:rPr>
      </w:pPr>
      <w:r w:rsidRPr="00AA2C40">
        <w:rPr>
          <w:rFonts w:cs="Arial"/>
          <w:szCs w:val="20"/>
        </w:rPr>
        <w:sym w:font="Symbol" w:char="F044"/>
      </w:r>
      <w:r w:rsidRPr="00AA2C40">
        <w:rPr>
          <w:rFonts w:cs="Arial"/>
          <w:szCs w:val="20"/>
        </w:rPr>
        <w:t>kW</w:t>
      </w:r>
      <w:r w:rsidRPr="00AA2C40">
        <w:rPr>
          <w:rFonts w:cs="Arial"/>
          <w:szCs w:val="20"/>
        </w:rPr>
        <w:tab/>
        <w:t xml:space="preserve"> </w:t>
      </w:r>
      <w:r w:rsidRPr="00AA2C40">
        <w:rPr>
          <w:rFonts w:cs="Arial"/>
          <w:szCs w:val="20"/>
        </w:rPr>
        <w:tab/>
        <w:t>= CAPY</w:t>
      </w:r>
      <w:r>
        <w:rPr>
          <w:rFonts w:cs="Arial"/>
          <w:szCs w:val="20"/>
          <w:vertAlign w:val="subscript"/>
        </w:rPr>
        <w:t>cool</w:t>
      </w:r>
      <w:r w:rsidRPr="00AA2C40">
        <w:rPr>
          <w:rFonts w:cs="Arial"/>
          <w:szCs w:val="20"/>
        </w:rPr>
        <w:t>/1000 X (1/EER</w:t>
      </w:r>
      <w:r w:rsidRPr="00F11594">
        <w:rPr>
          <w:rFonts w:cs="Arial"/>
          <w:szCs w:val="20"/>
          <w:vertAlign w:val="subscript"/>
        </w:rPr>
        <w:t>b</w:t>
      </w:r>
      <w:r w:rsidRPr="00AA2C40">
        <w:rPr>
          <w:rFonts w:cs="Arial"/>
          <w:szCs w:val="20"/>
        </w:rPr>
        <w:t xml:space="preserve"> – (1/(EER</w:t>
      </w:r>
      <w:r w:rsidRPr="00F11594">
        <w:rPr>
          <w:rFonts w:cs="Arial"/>
          <w:szCs w:val="20"/>
          <w:vertAlign w:val="subscript"/>
        </w:rPr>
        <w:t>g</w:t>
      </w:r>
      <w:r w:rsidRPr="00AA2C40">
        <w:rPr>
          <w:rFonts w:cs="Arial"/>
          <w:szCs w:val="20"/>
        </w:rPr>
        <w:t xml:space="preserve"> X GSPK))) X CF</w:t>
      </w:r>
      <w:r w:rsidRPr="00AA2C40">
        <w:rPr>
          <w:rFonts w:cs="Arial"/>
          <w:kern w:val="36"/>
          <w:position w:val="6"/>
          <w:szCs w:val="20"/>
        </w:rPr>
        <w:t xml:space="preserve"> </w:t>
      </w:r>
    </w:p>
    <w:p w:rsidR="00E17950" w:rsidRDefault="00E17950" w:rsidP="00E17950">
      <w:pPr>
        <w:pStyle w:val="Heading4"/>
      </w:pPr>
      <w:r w:rsidRPr="00D00E58">
        <w:t>GSHP Desuperheater</w:t>
      </w:r>
    </w:p>
    <w:p w:rsidR="00E17950" w:rsidRPr="00E24E35" w:rsidRDefault="00E17950" w:rsidP="00E17950">
      <w:r>
        <w:t>This algorithm is used for the installation of a desuperheater for a GSHP unit.</w:t>
      </w:r>
    </w:p>
    <w:p w:rsidR="00E17950" w:rsidRPr="00AA2C40" w:rsidRDefault="00E17950" w:rsidP="00E17950">
      <w:pPr>
        <w:pStyle w:val="Equation"/>
        <w:rPr>
          <w:rFonts w:cs="Arial"/>
          <w:szCs w:val="20"/>
        </w:rPr>
      </w:pPr>
      <w:r w:rsidRPr="00AA2C40">
        <w:rPr>
          <w:rFonts w:cs="Arial"/>
          <w:szCs w:val="20"/>
        </w:rPr>
        <w:sym w:font="Symbol" w:char="F044"/>
      </w:r>
      <w:r w:rsidRPr="00AA2C40">
        <w:rPr>
          <w:rFonts w:cs="Arial"/>
          <w:szCs w:val="20"/>
        </w:rPr>
        <w:t>kWh</w:t>
      </w:r>
      <w:r w:rsidRPr="00AA2C40">
        <w:rPr>
          <w:rFonts w:cs="Arial"/>
          <w:szCs w:val="20"/>
        </w:rPr>
        <w:tab/>
      </w:r>
      <w:r w:rsidRPr="00AA2C40">
        <w:rPr>
          <w:rFonts w:cs="Arial"/>
          <w:szCs w:val="20"/>
        </w:rPr>
        <w:tab/>
        <w:t xml:space="preserve">= EDSH </w:t>
      </w:r>
    </w:p>
    <w:p w:rsidR="00E17950" w:rsidRPr="00AA2C40" w:rsidRDefault="00E17950" w:rsidP="00E17950">
      <w:pPr>
        <w:pStyle w:val="Equation"/>
        <w:rPr>
          <w:rFonts w:cs="Arial"/>
          <w:szCs w:val="20"/>
        </w:rPr>
      </w:pPr>
      <w:r w:rsidRPr="00AA2C40">
        <w:rPr>
          <w:rFonts w:cs="Arial"/>
          <w:szCs w:val="20"/>
        </w:rPr>
        <w:sym w:font="Symbol" w:char="F044"/>
      </w:r>
      <w:r w:rsidRPr="00AA2C40">
        <w:rPr>
          <w:rFonts w:cs="Arial"/>
          <w:szCs w:val="20"/>
        </w:rPr>
        <w:t>kW</w:t>
      </w:r>
      <w:r w:rsidRPr="00AA2C40">
        <w:rPr>
          <w:rFonts w:cs="Arial"/>
          <w:szCs w:val="20"/>
        </w:rPr>
        <w:tab/>
      </w:r>
      <w:r w:rsidRPr="00AA2C40">
        <w:rPr>
          <w:rFonts w:cs="Arial"/>
          <w:szCs w:val="20"/>
        </w:rPr>
        <w:tab/>
        <w:t xml:space="preserve">= PDSH </w:t>
      </w:r>
    </w:p>
    <w:p w:rsidR="00E17950" w:rsidRDefault="00E17950" w:rsidP="00E17950">
      <w:pPr>
        <w:pStyle w:val="Heading4"/>
      </w:pPr>
      <w:r w:rsidRPr="00D00E58">
        <w:t>Furnace High Efficiency Fan</w:t>
      </w:r>
    </w:p>
    <w:p w:rsidR="00E17950" w:rsidRPr="00E24E35" w:rsidRDefault="00E17950" w:rsidP="00E17950">
      <w:r>
        <w:t>This algorithm is used for the installation of new high efficiency furnace fans.</w:t>
      </w:r>
    </w:p>
    <w:p w:rsidR="00E17950" w:rsidRDefault="00E17950" w:rsidP="00E17950">
      <w:pPr>
        <w:pStyle w:val="Equation"/>
        <w:rPr>
          <w:rFonts w:cs="Arial"/>
          <w:szCs w:val="20"/>
        </w:rPr>
      </w:pPr>
      <w:r w:rsidRPr="00AA2C40">
        <w:rPr>
          <w:rFonts w:cs="Arial"/>
          <w:szCs w:val="20"/>
        </w:rPr>
        <w:sym w:font="Symbol" w:char="F044"/>
      </w:r>
      <w:r w:rsidRPr="00AA2C40">
        <w:rPr>
          <w:rFonts w:cs="Arial"/>
          <w:szCs w:val="20"/>
        </w:rPr>
        <w:t>kWh</w:t>
      </w:r>
      <w:r w:rsidR="00D74AE2" w:rsidRPr="00D74AE2">
        <w:rPr>
          <w:rFonts w:cs="Arial"/>
          <w:szCs w:val="20"/>
          <w:vertAlign w:val="subscript"/>
        </w:rPr>
        <w:t>heat</w:t>
      </w:r>
      <w:r w:rsidRPr="00AA2C40">
        <w:rPr>
          <w:rFonts w:cs="Arial"/>
          <w:szCs w:val="20"/>
        </w:rPr>
        <w:tab/>
        <w:t xml:space="preserve">= </w:t>
      </w:r>
      <w:r>
        <w:rPr>
          <w:rFonts w:cs="Arial"/>
          <w:szCs w:val="20"/>
        </w:rPr>
        <w:t>HFS</w:t>
      </w:r>
    </w:p>
    <w:p w:rsidR="00E17950" w:rsidRDefault="00E17950" w:rsidP="00E17950">
      <w:pPr>
        <w:pStyle w:val="Equation"/>
        <w:rPr>
          <w:rFonts w:cs="Arial"/>
          <w:szCs w:val="20"/>
        </w:rPr>
      </w:pPr>
      <w:r w:rsidRPr="00AA2C40">
        <w:rPr>
          <w:rFonts w:cs="Arial"/>
          <w:szCs w:val="20"/>
        </w:rPr>
        <w:sym w:font="Symbol" w:char="F044"/>
      </w:r>
      <w:r w:rsidRPr="00AA2C40">
        <w:rPr>
          <w:rFonts w:cs="Arial"/>
          <w:szCs w:val="20"/>
        </w:rPr>
        <w:t>kWh</w:t>
      </w:r>
      <w:r w:rsidR="00D74AE2" w:rsidRPr="00D74AE2">
        <w:rPr>
          <w:rFonts w:cs="Arial"/>
          <w:szCs w:val="20"/>
          <w:vertAlign w:val="subscript"/>
        </w:rPr>
        <w:t>cool</w:t>
      </w:r>
      <w:r w:rsidRPr="00AA2C40">
        <w:rPr>
          <w:rFonts w:cs="Arial"/>
          <w:szCs w:val="20"/>
        </w:rPr>
        <w:tab/>
        <w:t xml:space="preserve">= </w:t>
      </w:r>
      <w:r>
        <w:rPr>
          <w:rFonts w:cs="Arial"/>
          <w:szCs w:val="20"/>
        </w:rPr>
        <w:t>CFS</w:t>
      </w:r>
    </w:p>
    <w:p w:rsidR="00E17950" w:rsidRDefault="00E17950" w:rsidP="00E17950">
      <w:pPr>
        <w:pStyle w:val="Equation"/>
        <w:rPr>
          <w:rFonts w:cs="Arial"/>
          <w:szCs w:val="20"/>
        </w:rPr>
      </w:pPr>
      <w:r w:rsidRPr="00AA2C40">
        <w:rPr>
          <w:rFonts w:cs="Arial"/>
          <w:szCs w:val="20"/>
        </w:rPr>
        <w:sym w:font="Symbol" w:char="F044"/>
      </w:r>
      <w:r w:rsidRPr="00AA2C40">
        <w:rPr>
          <w:rFonts w:cs="Arial"/>
          <w:szCs w:val="20"/>
        </w:rPr>
        <w:t>kW</w:t>
      </w:r>
      <w:r w:rsidRPr="00AA2C40">
        <w:rPr>
          <w:rFonts w:cs="Arial"/>
          <w:szCs w:val="20"/>
          <w:vertAlign w:val="subscript"/>
        </w:rPr>
        <w:t>peak</w:t>
      </w:r>
      <w:r w:rsidRPr="00AA2C40">
        <w:rPr>
          <w:rFonts w:cs="Arial"/>
          <w:szCs w:val="20"/>
        </w:rPr>
        <w:tab/>
      </w:r>
      <w:r>
        <w:rPr>
          <w:rFonts w:cs="Arial"/>
          <w:szCs w:val="20"/>
        </w:rPr>
        <w:tab/>
        <w:t>= PDFS</w:t>
      </w:r>
    </w:p>
    <w:p w:rsidR="00E17950" w:rsidRDefault="00E17950" w:rsidP="00E17950">
      <w:pPr>
        <w:pStyle w:val="Equation"/>
      </w:pPr>
    </w:p>
    <w:p w:rsidR="00E17950" w:rsidRDefault="00E17950" w:rsidP="00E17950">
      <w:pPr>
        <w:pStyle w:val="Heading3"/>
      </w:pPr>
      <w:r>
        <w:t>Definition of Terms</w:t>
      </w:r>
    </w:p>
    <w:p w:rsidR="00E17950" w:rsidRPr="00AA2C40" w:rsidRDefault="00E17950" w:rsidP="00E17950">
      <w:pPr>
        <w:pStyle w:val="Equation"/>
        <w:rPr>
          <w:rFonts w:cs="Arial"/>
          <w:szCs w:val="20"/>
        </w:rPr>
      </w:pPr>
      <w:r w:rsidRPr="00AA2C40">
        <w:rPr>
          <w:rFonts w:cs="Arial"/>
          <w:szCs w:val="20"/>
        </w:rPr>
        <w:tab/>
        <w:t>CAPY</w:t>
      </w:r>
      <w:r>
        <w:rPr>
          <w:rFonts w:cs="Arial"/>
          <w:szCs w:val="20"/>
          <w:vertAlign w:val="subscript"/>
        </w:rPr>
        <w:t>cool</w:t>
      </w:r>
      <w:r w:rsidRPr="00AA2C40">
        <w:rPr>
          <w:rFonts w:cs="Arial"/>
          <w:szCs w:val="20"/>
        </w:rPr>
        <w:tab/>
        <w:t xml:space="preserve">= The cooling capacity (output in Btuh) of the central air conditioner or heat pump being installed.  </w:t>
      </w:r>
      <w:r w:rsidRPr="00AA2C40">
        <w:rPr>
          <w:rFonts w:cs="Arial"/>
          <w:szCs w:val="20"/>
          <w:highlight w:val="lightGray"/>
        </w:rPr>
        <w:t>This data is obtained from the AEPS Application Form based on the model number</w:t>
      </w:r>
      <w:r w:rsidRPr="00AA2C40">
        <w:rPr>
          <w:rFonts w:cs="Arial"/>
          <w:szCs w:val="20"/>
        </w:rPr>
        <w:t xml:space="preserve"> or from EDC data gathering.</w:t>
      </w:r>
    </w:p>
    <w:p w:rsidR="00E17950" w:rsidRPr="00AA2C40" w:rsidRDefault="00E17950" w:rsidP="00E17950">
      <w:pPr>
        <w:pStyle w:val="Equation"/>
        <w:rPr>
          <w:rFonts w:cs="Arial"/>
          <w:szCs w:val="20"/>
        </w:rPr>
      </w:pPr>
      <w:r w:rsidRPr="00AA2C40">
        <w:rPr>
          <w:rFonts w:cs="Arial"/>
          <w:szCs w:val="20"/>
        </w:rPr>
        <w:tab/>
        <w:t>CAPY</w:t>
      </w:r>
      <w:r>
        <w:rPr>
          <w:rFonts w:cs="Arial"/>
          <w:szCs w:val="20"/>
          <w:vertAlign w:val="subscript"/>
        </w:rPr>
        <w:t>heat</w:t>
      </w:r>
      <w:r w:rsidRPr="00AA2C40">
        <w:rPr>
          <w:rFonts w:cs="Arial"/>
          <w:szCs w:val="20"/>
        </w:rPr>
        <w:tab/>
        <w:t xml:space="preserve">= The heating capacity (output in Btuh) of the central air conditioner or heat pump being installed.  </w:t>
      </w:r>
      <w:r w:rsidRPr="00AA2C40">
        <w:rPr>
          <w:rFonts w:cs="Arial"/>
          <w:szCs w:val="20"/>
          <w:highlight w:val="lightGray"/>
        </w:rPr>
        <w:t>This data is obtained from the AEPS Application Form based on the model number</w:t>
      </w:r>
      <w:r w:rsidRPr="00AA2C40">
        <w:rPr>
          <w:rFonts w:cs="Arial"/>
          <w:szCs w:val="20"/>
        </w:rPr>
        <w:t xml:space="preserve"> or from EDC data gathering</w:t>
      </w:r>
    </w:p>
    <w:p w:rsidR="00E17950" w:rsidRPr="00AA2C40" w:rsidRDefault="00E17950" w:rsidP="00E17950">
      <w:pPr>
        <w:pStyle w:val="Equation"/>
        <w:rPr>
          <w:rFonts w:cs="Arial"/>
          <w:szCs w:val="20"/>
        </w:rPr>
      </w:pPr>
      <w:r w:rsidRPr="00AA2C40">
        <w:rPr>
          <w:rFonts w:cs="Arial"/>
          <w:szCs w:val="20"/>
        </w:rPr>
        <w:tab/>
        <w:t>SEER</w:t>
      </w:r>
      <w:r w:rsidRPr="00C979F8">
        <w:rPr>
          <w:rFonts w:cs="Arial"/>
          <w:szCs w:val="20"/>
          <w:vertAlign w:val="subscript"/>
        </w:rPr>
        <w:t>b</w:t>
      </w:r>
      <w:r w:rsidRPr="00AA2C40">
        <w:rPr>
          <w:rFonts w:cs="Arial"/>
          <w:szCs w:val="20"/>
        </w:rPr>
        <w:t xml:space="preserve"> </w:t>
      </w:r>
      <w:r w:rsidRPr="00AA2C40">
        <w:rPr>
          <w:rFonts w:cs="Arial"/>
          <w:szCs w:val="20"/>
        </w:rPr>
        <w:tab/>
        <w:t>= Seasonal Energy Efficiency Ratio of the Baseline Unit.</w:t>
      </w:r>
    </w:p>
    <w:p w:rsidR="00E17950" w:rsidRPr="00AA2C40" w:rsidRDefault="00E17950" w:rsidP="00E17950">
      <w:pPr>
        <w:pStyle w:val="Equation"/>
        <w:rPr>
          <w:rFonts w:cs="Arial"/>
          <w:szCs w:val="20"/>
        </w:rPr>
      </w:pPr>
      <w:r w:rsidRPr="00AA2C40">
        <w:rPr>
          <w:rFonts w:cs="Arial"/>
          <w:szCs w:val="20"/>
        </w:rPr>
        <w:tab/>
        <w:t>SEER</w:t>
      </w:r>
      <w:r>
        <w:rPr>
          <w:rFonts w:cs="Arial"/>
          <w:szCs w:val="20"/>
          <w:vertAlign w:val="subscript"/>
        </w:rPr>
        <w:t>e</w:t>
      </w:r>
      <w:r w:rsidRPr="00AA2C40">
        <w:rPr>
          <w:rFonts w:cs="Arial"/>
          <w:szCs w:val="20"/>
        </w:rPr>
        <w:t xml:space="preserve"> </w:t>
      </w:r>
      <w:r w:rsidRPr="00AA2C40">
        <w:rPr>
          <w:rFonts w:cs="Arial"/>
          <w:szCs w:val="20"/>
        </w:rPr>
        <w:tab/>
        <w:t xml:space="preserve">= Seasonal Energy Efficiency Ratio of the qualifying unit being installed. This data is obtained from the </w:t>
      </w:r>
      <w:r w:rsidRPr="00AA2C40">
        <w:rPr>
          <w:rFonts w:cs="Arial"/>
          <w:szCs w:val="20"/>
          <w:highlight w:val="lightGray"/>
        </w:rPr>
        <w:t>AEPS Application Form</w:t>
      </w:r>
      <w:r w:rsidRPr="00AA2C40">
        <w:rPr>
          <w:rFonts w:cs="Arial"/>
          <w:szCs w:val="20"/>
        </w:rPr>
        <w:t xml:space="preserve"> or EDC’s data gathering based on the model number.</w:t>
      </w:r>
    </w:p>
    <w:p w:rsidR="00E17950" w:rsidRPr="00AA2C40" w:rsidRDefault="00E17950" w:rsidP="00E17950">
      <w:pPr>
        <w:pStyle w:val="Equation"/>
        <w:rPr>
          <w:rFonts w:cs="Arial"/>
          <w:szCs w:val="20"/>
        </w:rPr>
      </w:pPr>
      <w:r w:rsidRPr="00AA2C40">
        <w:rPr>
          <w:rFonts w:cs="Arial"/>
          <w:szCs w:val="20"/>
        </w:rPr>
        <w:tab/>
        <w:t>SEER</w:t>
      </w:r>
      <w:r w:rsidRPr="00AA2C40">
        <w:rPr>
          <w:rFonts w:cs="Arial"/>
          <w:szCs w:val="20"/>
          <w:vertAlign w:val="subscript"/>
        </w:rPr>
        <w:t>m</w:t>
      </w:r>
      <w:r w:rsidRPr="00AA2C40">
        <w:rPr>
          <w:rFonts w:cs="Arial"/>
          <w:szCs w:val="20"/>
        </w:rPr>
        <w:t xml:space="preserve"> </w:t>
      </w:r>
      <w:r w:rsidRPr="00AA2C40">
        <w:rPr>
          <w:rFonts w:cs="Arial"/>
          <w:szCs w:val="20"/>
        </w:rPr>
        <w:tab/>
        <w:t>= Seasonal Energy Efficiency Ratio of the Unit receiving maintenance</w:t>
      </w:r>
    </w:p>
    <w:p w:rsidR="00E17950" w:rsidRPr="00AA2C40" w:rsidRDefault="00E17950" w:rsidP="00E17950">
      <w:pPr>
        <w:pStyle w:val="Equation"/>
        <w:rPr>
          <w:rFonts w:cs="Arial"/>
          <w:szCs w:val="20"/>
        </w:rPr>
      </w:pPr>
      <w:r w:rsidRPr="00AA2C40">
        <w:rPr>
          <w:rFonts w:cs="Arial"/>
          <w:szCs w:val="20"/>
        </w:rPr>
        <w:lastRenderedPageBreak/>
        <w:tab/>
        <w:t>EER</w:t>
      </w:r>
      <w:r w:rsidRPr="00C979F8">
        <w:rPr>
          <w:rFonts w:cs="Arial"/>
          <w:szCs w:val="20"/>
          <w:vertAlign w:val="subscript"/>
        </w:rPr>
        <w:t>b</w:t>
      </w:r>
      <w:r w:rsidRPr="00AA2C40">
        <w:rPr>
          <w:rFonts w:cs="Arial"/>
          <w:szCs w:val="20"/>
        </w:rPr>
        <w:t xml:space="preserve"> </w:t>
      </w:r>
      <w:r w:rsidRPr="00AA2C40">
        <w:rPr>
          <w:rFonts w:cs="Arial"/>
          <w:szCs w:val="20"/>
        </w:rPr>
        <w:tab/>
        <w:t>= Energy Efficiency Ratio of the Baseline Unit.</w:t>
      </w:r>
    </w:p>
    <w:p w:rsidR="00E17950" w:rsidRPr="00AA2C40" w:rsidRDefault="00E17950" w:rsidP="00E17950">
      <w:pPr>
        <w:pStyle w:val="Equation"/>
        <w:rPr>
          <w:rFonts w:cs="Arial"/>
          <w:szCs w:val="20"/>
        </w:rPr>
      </w:pPr>
      <w:r w:rsidRPr="00AA2C40">
        <w:rPr>
          <w:rFonts w:cs="Arial"/>
          <w:szCs w:val="20"/>
        </w:rPr>
        <w:tab/>
        <w:t>EER</w:t>
      </w:r>
      <w:r>
        <w:rPr>
          <w:rFonts w:cs="Arial"/>
          <w:szCs w:val="20"/>
          <w:vertAlign w:val="subscript"/>
        </w:rPr>
        <w:t>e</w:t>
      </w:r>
      <w:r w:rsidRPr="00AA2C40">
        <w:rPr>
          <w:rFonts w:cs="Arial"/>
          <w:szCs w:val="20"/>
        </w:rPr>
        <w:t xml:space="preserve"> </w:t>
      </w:r>
      <w:r w:rsidRPr="00AA2C40">
        <w:rPr>
          <w:rFonts w:cs="Arial"/>
          <w:szCs w:val="20"/>
        </w:rPr>
        <w:tab/>
        <w:t xml:space="preserve">= Energy Efficiency Ratio of the unit being installed. This data is obtained from the </w:t>
      </w:r>
      <w:r w:rsidRPr="00AA2C40">
        <w:rPr>
          <w:rFonts w:cs="Arial"/>
          <w:szCs w:val="20"/>
          <w:highlight w:val="lightGray"/>
        </w:rPr>
        <w:t>AEPS Application Form</w:t>
      </w:r>
      <w:r w:rsidRPr="00AA2C40">
        <w:rPr>
          <w:rFonts w:cs="Arial"/>
          <w:szCs w:val="20"/>
        </w:rPr>
        <w:t xml:space="preserve"> or EDC data gathering based on the model number.</w:t>
      </w:r>
    </w:p>
    <w:p w:rsidR="00E17950" w:rsidRPr="00AA2C40" w:rsidRDefault="00E17950" w:rsidP="00E17950">
      <w:pPr>
        <w:pStyle w:val="Equation"/>
        <w:rPr>
          <w:rFonts w:cs="Arial"/>
          <w:szCs w:val="20"/>
        </w:rPr>
      </w:pPr>
      <w:r w:rsidRPr="00AA2C40">
        <w:rPr>
          <w:rFonts w:cs="Arial"/>
          <w:szCs w:val="20"/>
        </w:rPr>
        <w:tab/>
        <w:t>EER</w:t>
      </w:r>
      <w:r w:rsidRPr="00C979F8">
        <w:rPr>
          <w:rFonts w:cs="Arial"/>
          <w:szCs w:val="20"/>
          <w:vertAlign w:val="subscript"/>
        </w:rPr>
        <w:t>g</w:t>
      </w:r>
      <w:r w:rsidRPr="00AA2C40">
        <w:rPr>
          <w:rFonts w:cs="Arial"/>
          <w:szCs w:val="20"/>
        </w:rPr>
        <w:tab/>
        <w:t xml:space="preserve"> = EER of the ground source heat pump being installed.  Note that EERs of GSHPs are measured differently than EERs of air source heat pumps (focusing on entering water temperatures rather than ambient air temperatures).  The equivalent SEER of a GSHP can be estimated by multiplying EERg by 1.02. </w:t>
      </w:r>
    </w:p>
    <w:p w:rsidR="00E17950" w:rsidRPr="00AA2C40" w:rsidRDefault="00E17950" w:rsidP="00E17950">
      <w:pPr>
        <w:pStyle w:val="Equation"/>
        <w:rPr>
          <w:rFonts w:cs="Arial"/>
          <w:szCs w:val="20"/>
        </w:rPr>
      </w:pPr>
      <w:r w:rsidRPr="00AA2C40">
        <w:rPr>
          <w:rFonts w:cs="Arial"/>
          <w:szCs w:val="20"/>
        </w:rPr>
        <w:tab/>
        <w:t xml:space="preserve">GSER </w:t>
      </w:r>
      <w:r w:rsidRPr="00AA2C40">
        <w:rPr>
          <w:rFonts w:cs="Arial"/>
          <w:szCs w:val="20"/>
        </w:rPr>
        <w:tab/>
        <w:t xml:space="preserve">= </w:t>
      </w:r>
      <w:r>
        <w:rPr>
          <w:rFonts w:cs="Arial"/>
          <w:szCs w:val="20"/>
        </w:rPr>
        <w:t>F</w:t>
      </w:r>
      <w:r w:rsidRPr="00AA2C40">
        <w:rPr>
          <w:rFonts w:cs="Arial"/>
          <w:szCs w:val="20"/>
        </w:rPr>
        <w:t xml:space="preserve">actor </w:t>
      </w:r>
      <w:r>
        <w:rPr>
          <w:rFonts w:cs="Arial"/>
          <w:szCs w:val="20"/>
        </w:rPr>
        <w:t xml:space="preserve">used </w:t>
      </w:r>
      <w:r w:rsidRPr="00AA2C40">
        <w:rPr>
          <w:rFonts w:cs="Arial"/>
          <w:szCs w:val="20"/>
        </w:rPr>
        <w:t xml:space="preserve">to determine the SEER of a GSHP based on its EERg. </w:t>
      </w:r>
    </w:p>
    <w:p w:rsidR="00E17950" w:rsidRPr="00AA2C40" w:rsidRDefault="00E17950" w:rsidP="00E17950">
      <w:pPr>
        <w:pStyle w:val="Equation"/>
        <w:rPr>
          <w:rFonts w:cs="Arial"/>
          <w:szCs w:val="20"/>
        </w:rPr>
      </w:pPr>
      <w:r w:rsidRPr="00AA2C40">
        <w:rPr>
          <w:rFonts w:cs="Arial"/>
          <w:szCs w:val="20"/>
        </w:rPr>
        <w:tab/>
        <w:t>EFLH</w:t>
      </w:r>
      <w:r>
        <w:rPr>
          <w:rFonts w:cs="Arial"/>
          <w:szCs w:val="20"/>
          <w:vertAlign w:val="subscript"/>
        </w:rPr>
        <w:t>cool</w:t>
      </w:r>
      <w:r w:rsidRPr="00AA2C40">
        <w:rPr>
          <w:rFonts w:cs="Arial"/>
          <w:szCs w:val="20"/>
        </w:rPr>
        <w:t xml:space="preserve"> </w:t>
      </w:r>
      <w:r w:rsidRPr="00AA2C40">
        <w:rPr>
          <w:rFonts w:cs="Arial"/>
          <w:szCs w:val="20"/>
        </w:rPr>
        <w:tab/>
        <w:t>= Equivalent Full Load Hours of operation</w:t>
      </w:r>
      <w:r>
        <w:rPr>
          <w:rFonts w:cs="Arial"/>
          <w:szCs w:val="20"/>
        </w:rPr>
        <w:t xml:space="preserve"> during the cooling season</w:t>
      </w:r>
      <w:r w:rsidRPr="00AA2C40">
        <w:rPr>
          <w:rFonts w:cs="Arial"/>
          <w:szCs w:val="20"/>
        </w:rPr>
        <w:t xml:space="preserve"> for the average unit. </w:t>
      </w:r>
    </w:p>
    <w:p w:rsidR="00E17950" w:rsidRPr="00AA2C40" w:rsidRDefault="00E17950" w:rsidP="00E17950">
      <w:pPr>
        <w:pStyle w:val="Equation"/>
        <w:rPr>
          <w:rFonts w:cs="Arial"/>
          <w:szCs w:val="20"/>
        </w:rPr>
      </w:pPr>
      <w:r w:rsidRPr="00AA2C40">
        <w:rPr>
          <w:rFonts w:cs="Arial"/>
          <w:szCs w:val="20"/>
        </w:rPr>
        <w:tab/>
        <w:t>EFLH</w:t>
      </w:r>
      <w:r>
        <w:rPr>
          <w:rFonts w:cs="Arial"/>
          <w:szCs w:val="20"/>
          <w:vertAlign w:val="subscript"/>
        </w:rPr>
        <w:t>heat</w:t>
      </w:r>
      <w:r w:rsidRPr="00AA2C40">
        <w:rPr>
          <w:rFonts w:cs="Arial"/>
          <w:szCs w:val="20"/>
        </w:rPr>
        <w:t xml:space="preserve"> </w:t>
      </w:r>
      <w:r w:rsidRPr="00AA2C40">
        <w:rPr>
          <w:rFonts w:cs="Arial"/>
          <w:szCs w:val="20"/>
        </w:rPr>
        <w:tab/>
        <w:t>= Equivalent Full Load Hours of operation</w:t>
      </w:r>
      <w:r>
        <w:rPr>
          <w:rFonts w:cs="Arial"/>
          <w:szCs w:val="20"/>
        </w:rPr>
        <w:t xml:space="preserve"> during the heating season</w:t>
      </w:r>
      <w:r w:rsidRPr="00AA2C40">
        <w:rPr>
          <w:rFonts w:cs="Arial"/>
          <w:szCs w:val="20"/>
        </w:rPr>
        <w:t xml:space="preserve"> for the average unit. </w:t>
      </w:r>
    </w:p>
    <w:p w:rsidR="00E17950" w:rsidRPr="00AA2C40" w:rsidRDefault="00E17950" w:rsidP="00E17950">
      <w:pPr>
        <w:pStyle w:val="Equation"/>
        <w:rPr>
          <w:rFonts w:cs="Arial"/>
          <w:szCs w:val="20"/>
        </w:rPr>
      </w:pPr>
      <w:r w:rsidRPr="00AA2C40">
        <w:rPr>
          <w:rFonts w:cs="Arial"/>
          <w:szCs w:val="20"/>
        </w:rPr>
        <w:tab/>
        <w:t>ESF</w:t>
      </w:r>
      <w:r w:rsidRPr="00AA2C40">
        <w:rPr>
          <w:rFonts w:cs="Arial"/>
          <w:szCs w:val="20"/>
        </w:rPr>
        <w:tab/>
        <w:t xml:space="preserve"> = Energy Sizing Factor or the assumed saving due to proper sizing and proper installation. </w:t>
      </w:r>
    </w:p>
    <w:p w:rsidR="00E17950" w:rsidRPr="00AA2C40" w:rsidRDefault="00E17950" w:rsidP="00E17950">
      <w:pPr>
        <w:pStyle w:val="Equation"/>
        <w:rPr>
          <w:rFonts w:cs="Arial"/>
          <w:szCs w:val="20"/>
        </w:rPr>
      </w:pPr>
      <w:r w:rsidRPr="00AA2C40">
        <w:rPr>
          <w:rFonts w:cs="Arial"/>
          <w:szCs w:val="20"/>
        </w:rPr>
        <w:tab/>
        <w:t>MF</w:t>
      </w:r>
      <w:r>
        <w:rPr>
          <w:rFonts w:cs="Arial"/>
          <w:szCs w:val="20"/>
          <w:vertAlign w:val="subscript"/>
        </w:rPr>
        <w:t>cool</w:t>
      </w:r>
      <w:r w:rsidRPr="00AA2C40">
        <w:rPr>
          <w:rFonts w:cs="Arial"/>
          <w:szCs w:val="20"/>
        </w:rPr>
        <w:t xml:space="preserve"> </w:t>
      </w:r>
      <w:r w:rsidRPr="00AA2C40">
        <w:rPr>
          <w:rFonts w:cs="Arial"/>
          <w:szCs w:val="20"/>
        </w:rPr>
        <w:tab/>
        <w:t>= Maintenance Factor or assumed savings due to completing recommended maintenance on installed cooling equipment.</w:t>
      </w:r>
    </w:p>
    <w:p w:rsidR="00E17950" w:rsidRPr="00AA2C40" w:rsidRDefault="00E17950" w:rsidP="00E17950">
      <w:pPr>
        <w:pStyle w:val="Equation"/>
        <w:rPr>
          <w:rFonts w:cs="Arial"/>
          <w:szCs w:val="20"/>
        </w:rPr>
      </w:pPr>
      <w:r w:rsidRPr="00AA2C40">
        <w:rPr>
          <w:rFonts w:cs="Arial"/>
          <w:szCs w:val="20"/>
        </w:rPr>
        <w:tab/>
        <w:t>MF</w:t>
      </w:r>
      <w:r>
        <w:rPr>
          <w:rFonts w:cs="Arial"/>
          <w:szCs w:val="20"/>
          <w:vertAlign w:val="subscript"/>
        </w:rPr>
        <w:t>heat</w:t>
      </w:r>
      <w:r w:rsidRPr="00AA2C40">
        <w:rPr>
          <w:rFonts w:cs="Arial"/>
          <w:szCs w:val="20"/>
        </w:rPr>
        <w:t xml:space="preserve"> </w:t>
      </w:r>
      <w:r w:rsidRPr="00AA2C40">
        <w:rPr>
          <w:rFonts w:cs="Arial"/>
          <w:szCs w:val="20"/>
        </w:rPr>
        <w:tab/>
        <w:t xml:space="preserve">= Maintenance Factor or assumed savings due to completing recommended maintenance on installed </w:t>
      </w:r>
      <w:r>
        <w:rPr>
          <w:rFonts w:cs="Arial"/>
          <w:szCs w:val="20"/>
        </w:rPr>
        <w:t>heating</w:t>
      </w:r>
      <w:r w:rsidRPr="00AA2C40">
        <w:rPr>
          <w:rFonts w:cs="Arial"/>
          <w:szCs w:val="20"/>
        </w:rPr>
        <w:t xml:space="preserve"> equipment.</w:t>
      </w:r>
    </w:p>
    <w:p w:rsidR="00E17950" w:rsidRPr="00AA2C40" w:rsidRDefault="00E17950" w:rsidP="00E17950">
      <w:pPr>
        <w:pStyle w:val="Equation"/>
        <w:rPr>
          <w:rFonts w:cs="Arial"/>
          <w:szCs w:val="20"/>
        </w:rPr>
      </w:pPr>
      <w:r w:rsidRPr="00AA2C40">
        <w:rPr>
          <w:rFonts w:cs="Arial"/>
          <w:szCs w:val="20"/>
        </w:rPr>
        <w:tab/>
        <w:t xml:space="preserve">DuctSF </w:t>
      </w:r>
      <w:r w:rsidRPr="00AA2C40">
        <w:rPr>
          <w:rFonts w:cs="Arial"/>
          <w:szCs w:val="20"/>
        </w:rPr>
        <w:tab/>
        <w:t>= Duct Sealing Factor or the assumed savings due to proper sealing of all cooling ducts.</w:t>
      </w:r>
    </w:p>
    <w:p w:rsidR="00E17950" w:rsidRPr="00AA2C40" w:rsidRDefault="00E17950" w:rsidP="00E17950">
      <w:pPr>
        <w:pStyle w:val="Equation"/>
        <w:rPr>
          <w:rFonts w:cs="Arial"/>
          <w:szCs w:val="20"/>
        </w:rPr>
      </w:pPr>
      <w:r w:rsidRPr="00AA2C40">
        <w:rPr>
          <w:rFonts w:cs="Arial"/>
          <w:szCs w:val="20"/>
        </w:rPr>
        <w:tab/>
        <w:t xml:space="preserve">CF </w:t>
      </w:r>
      <w:r w:rsidRPr="00AA2C40">
        <w:rPr>
          <w:rFonts w:cs="Arial"/>
          <w:szCs w:val="20"/>
        </w:rPr>
        <w:tab/>
        <w:t>=Demand Coincidence Factor (See Section 1.4)</w:t>
      </w:r>
    </w:p>
    <w:p w:rsidR="00E17950" w:rsidRPr="00AA2C40" w:rsidRDefault="00E17950" w:rsidP="00E17950">
      <w:pPr>
        <w:pStyle w:val="Equation"/>
        <w:rPr>
          <w:rFonts w:cs="Arial"/>
          <w:szCs w:val="20"/>
        </w:rPr>
      </w:pPr>
      <w:r w:rsidRPr="00AA2C40">
        <w:rPr>
          <w:rFonts w:cs="Arial"/>
          <w:szCs w:val="20"/>
        </w:rPr>
        <w:tab/>
        <w:t xml:space="preserve">DSF </w:t>
      </w:r>
      <w:r w:rsidRPr="00AA2C40">
        <w:rPr>
          <w:rFonts w:cs="Arial"/>
          <w:szCs w:val="20"/>
        </w:rPr>
        <w:tab/>
        <w:t xml:space="preserve">= Demand Sizing Factor or the assumed peak-demand capacity saved due to proper sizing and proper installation. </w:t>
      </w:r>
    </w:p>
    <w:p w:rsidR="00E17950" w:rsidRPr="00AA2C40" w:rsidRDefault="00E17950" w:rsidP="00E17950">
      <w:pPr>
        <w:pStyle w:val="Equation"/>
        <w:rPr>
          <w:rFonts w:cs="Arial"/>
          <w:szCs w:val="20"/>
        </w:rPr>
      </w:pPr>
      <w:r w:rsidRPr="00AA2C40">
        <w:rPr>
          <w:rFonts w:cs="Arial"/>
          <w:szCs w:val="20"/>
        </w:rPr>
        <w:tab/>
        <w:t>HSPF</w:t>
      </w:r>
      <w:r w:rsidRPr="00C979F8">
        <w:rPr>
          <w:rFonts w:cs="Arial"/>
          <w:szCs w:val="20"/>
          <w:vertAlign w:val="subscript"/>
        </w:rPr>
        <w:t>b</w:t>
      </w:r>
      <w:r w:rsidRPr="00AA2C40">
        <w:rPr>
          <w:rFonts w:cs="Arial"/>
          <w:szCs w:val="20"/>
        </w:rPr>
        <w:t xml:space="preserve"> </w:t>
      </w:r>
      <w:r w:rsidRPr="00AA2C40">
        <w:rPr>
          <w:rFonts w:cs="Arial"/>
          <w:szCs w:val="20"/>
        </w:rPr>
        <w:tab/>
        <w:t>= Heating Seasonal Performance Factor of the Baseline Unit.</w:t>
      </w:r>
    </w:p>
    <w:p w:rsidR="00E17950" w:rsidRPr="00AA2C40" w:rsidRDefault="00E17950" w:rsidP="00E17950">
      <w:pPr>
        <w:pStyle w:val="Equation"/>
        <w:rPr>
          <w:rFonts w:cs="Arial"/>
          <w:szCs w:val="20"/>
        </w:rPr>
      </w:pPr>
      <w:r w:rsidRPr="00AA2C40">
        <w:rPr>
          <w:rFonts w:cs="Arial"/>
          <w:szCs w:val="20"/>
        </w:rPr>
        <w:tab/>
        <w:t>HSPF</w:t>
      </w:r>
      <w:r>
        <w:rPr>
          <w:rFonts w:cs="Arial"/>
          <w:szCs w:val="20"/>
          <w:vertAlign w:val="subscript"/>
        </w:rPr>
        <w:t>e</w:t>
      </w:r>
      <w:r w:rsidRPr="00AA2C40">
        <w:rPr>
          <w:rFonts w:cs="Arial"/>
          <w:szCs w:val="20"/>
        </w:rPr>
        <w:t xml:space="preserve"> </w:t>
      </w:r>
      <w:r w:rsidRPr="00AA2C40">
        <w:rPr>
          <w:rFonts w:cs="Arial"/>
          <w:szCs w:val="20"/>
        </w:rPr>
        <w:tab/>
        <w:t xml:space="preserve">= Heating Seasonal Performance Factor of the unit being installed. This data is obtained from the </w:t>
      </w:r>
      <w:r w:rsidRPr="00AA2C40">
        <w:rPr>
          <w:rFonts w:cs="Arial"/>
          <w:szCs w:val="20"/>
          <w:highlight w:val="lightGray"/>
        </w:rPr>
        <w:t>AEPS Application Form</w:t>
      </w:r>
      <w:r w:rsidRPr="00AA2C40">
        <w:rPr>
          <w:rFonts w:cs="Arial"/>
          <w:szCs w:val="20"/>
        </w:rPr>
        <w:t xml:space="preserve"> or EDC’s data gathering.</w:t>
      </w:r>
    </w:p>
    <w:p w:rsidR="00E17950" w:rsidRPr="00AA2C40" w:rsidRDefault="00E17950" w:rsidP="00E17950">
      <w:pPr>
        <w:pStyle w:val="Equation"/>
        <w:rPr>
          <w:rFonts w:cs="Arial"/>
          <w:szCs w:val="20"/>
        </w:rPr>
      </w:pPr>
      <w:r w:rsidRPr="00AA2C40">
        <w:rPr>
          <w:rFonts w:cs="Arial"/>
          <w:szCs w:val="20"/>
        </w:rPr>
        <w:tab/>
        <w:t>COP</w:t>
      </w:r>
      <w:r w:rsidRPr="00F73002">
        <w:rPr>
          <w:rFonts w:cs="Arial"/>
          <w:szCs w:val="20"/>
          <w:vertAlign w:val="subscript"/>
        </w:rPr>
        <w:t>g</w:t>
      </w:r>
      <w:r w:rsidRPr="00AA2C40">
        <w:rPr>
          <w:rFonts w:cs="Arial"/>
          <w:szCs w:val="20"/>
        </w:rPr>
        <w:tab/>
        <w:t xml:space="preserve"> = Coefficient of Performance.  This is a measure of the efficiency of a heat pump.</w:t>
      </w:r>
    </w:p>
    <w:p w:rsidR="00E17950" w:rsidRPr="00AA2C40" w:rsidRDefault="00E17950" w:rsidP="00E17950">
      <w:pPr>
        <w:pStyle w:val="Equation"/>
        <w:rPr>
          <w:rFonts w:cs="Arial"/>
          <w:szCs w:val="20"/>
        </w:rPr>
      </w:pPr>
      <w:r w:rsidRPr="00AA2C40">
        <w:rPr>
          <w:rFonts w:cs="Arial"/>
          <w:szCs w:val="20"/>
        </w:rPr>
        <w:tab/>
        <w:t xml:space="preserve">GSOP </w:t>
      </w:r>
      <w:r w:rsidRPr="00AA2C40">
        <w:rPr>
          <w:rFonts w:cs="Arial"/>
          <w:szCs w:val="20"/>
        </w:rPr>
        <w:tab/>
        <w:t xml:space="preserve">= Factor to determine the HSPF of a GSHP based on its COPg. </w:t>
      </w:r>
    </w:p>
    <w:p w:rsidR="00E17950" w:rsidRPr="00AA2C40" w:rsidRDefault="00E17950" w:rsidP="00E17950">
      <w:pPr>
        <w:pStyle w:val="Equation"/>
        <w:rPr>
          <w:rFonts w:cs="Arial"/>
          <w:szCs w:val="20"/>
        </w:rPr>
      </w:pPr>
      <w:r w:rsidRPr="00AA2C40">
        <w:rPr>
          <w:rFonts w:cs="Arial"/>
          <w:szCs w:val="20"/>
        </w:rPr>
        <w:tab/>
        <w:t xml:space="preserve">GSPK </w:t>
      </w:r>
      <w:r w:rsidRPr="00AA2C40">
        <w:rPr>
          <w:rFonts w:cs="Arial"/>
          <w:szCs w:val="20"/>
        </w:rPr>
        <w:tab/>
        <w:t xml:space="preserve">= Factor to convert EERg to the equivalent EER of an air conditioner to enable comparisons to the baseline unit.  </w:t>
      </w:r>
    </w:p>
    <w:p w:rsidR="00E17950" w:rsidRPr="00AA2C40" w:rsidRDefault="00E17950" w:rsidP="00E17950">
      <w:pPr>
        <w:pStyle w:val="Equation"/>
        <w:rPr>
          <w:rFonts w:cs="Arial"/>
          <w:szCs w:val="20"/>
        </w:rPr>
      </w:pPr>
      <w:r w:rsidRPr="00AA2C40">
        <w:rPr>
          <w:rFonts w:cs="Arial"/>
          <w:szCs w:val="20"/>
        </w:rPr>
        <w:lastRenderedPageBreak/>
        <w:tab/>
        <w:t xml:space="preserve">EDSH </w:t>
      </w:r>
      <w:r w:rsidRPr="00AA2C40">
        <w:rPr>
          <w:rFonts w:cs="Arial"/>
          <w:szCs w:val="20"/>
        </w:rPr>
        <w:tab/>
        <w:t>= Assumed savings per desuperheater.</w:t>
      </w:r>
      <w:r w:rsidRPr="00AA2C40">
        <w:rPr>
          <w:rStyle w:val="FootnoteReference"/>
          <w:rFonts w:cs="Arial"/>
          <w:szCs w:val="20"/>
        </w:rPr>
        <w:footnoteReference w:id="5"/>
      </w:r>
      <w:r w:rsidRPr="00AA2C40">
        <w:rPr>
          <w:rFonts w:cs="Arial"/>
          <w:szCs w:val="20"/>
        </w:rPr>
        <w:t xml:space="preserve"> </w:t>
      </w:r>
    </w:p>
    <w:p w:rsidR="00E17950" w:rsidRDefault="00E17950" w:rsidP="00E17950">
      <w:pPr>
        <w:pStyle w:val="Equation"/>
        <w:rPr>
          <w:rFonts w:cs="Arial"/>
          <w:szCs w:val="20"/>
        </w:rPr>
      </w:pPr>
      <w:r w:rsidRPr="00AA2C40">
        <w:rPr>
          <w:rFonts w:cs="Arial"/>
          <w:szCs w:val="20"/>
        </w:rPr>
        <w:tab/>
        <w:t xml:space="preserve">PDSH </w:t>
      </w:r>
      <w:r w:rsidRPr="00AA2C40">
        <w:rPr>
          <w:rFonts w:cs="Arial"/>
          <w:szCs w:val="20"/>
        </w:rPr>
        <w:tab/>
        <w:t>= Assumed peak-demand savings per desuperheater.</w:t>
      </w:r>
    </w:p>
    <w:p w:rsidR="00E17950" w:rsidRDefault="00E17950" w:rsidP="00E17950">
      <w:pPr>
        <w:pStyle w:val="Equation"/>
        <w:rPr>
          <w:rFonts w:cs="Arial"/>
          <w:szCs w:val="20"/>
        </w:rPr>
      </w:pPr>
      <w:r>
        <w:rPr>
          <w:rFonts w:cs="Arial"/>
          <w:szCs w:val="20"/>
        </w:rPr>
        <w:tab/>
        <w:t>HSF</w:t>
      </w:r>
      <w:r>
        <w:rPr>
          <w:rFonts w:cs="Arial"/>
          <w:szCs w:val="20"/>
        </w:rPr>
        <w:tab/>
        <w:t>= Assumed heating season savings per furnace high efficiency fan</w:t>
      </w:r>
    </w:p>
    <w:p w:rsidR="00184796" w:rsidRDefault="00E17950" w:rsidP="00865117">
      <w:pPr>
        <w:pStyle w:val="Equation"/>
      </w:pPr>
      <w:r>
        <w:tab/>
        <w:t>CFS</w:t>
      </w:r>
      <w:r>
        <w:tab/>
        <w:t>= Assumed cooling season savings per furnace high efficiency fan</w:t>
      </w:r>
    </w:p>
    <w:p w:rsidR="00E17950" w:rsidRDefault="00E17950" w:rsidP="00E17950">
      <w:pPr>
        <w:pStyle w:val="Equation"/>
        <w:rPr>
          <w:rFonts w:cs="Arial"/>
          <w:szCs w:val="20"/>
        </w:rPr>
      </w:pPr>
      <w:r>
        <w:rPr>
          <w:rFonts w:cs="Arial"/>
          <w:szCs w:val="20"/>
        </w:rPr>
        <w:tab/>
        <w:t>PDFS</w:t>
      </w:r>
      <w:r>
        <w:rPr>
          <w:rFonts w:cs="Arial"/>
          <w:szCs w:val="20"/>
        </w:rPr>
        <w:tab/>
        <w:t>= Assumed peak-demand savings per furnace high efficiency fan</w:t>
      </w:r>
    </w:p>
    <w:p w:rsidR="00E17950" w:rsidRDefault="00E17950" w:rsidP="00E17950">
      <w:pPr>
        <w:pStyle w:val="Equation"/>
        <w:rPr>
          <w:rFonts w:cs="Arial"/>
          <w:szCs w:val="20"/>
        </w:rPr>
      </w:pPr>
      <w:r>
        <w:rPr>
          <w:rFonts w:cs="Arial"/>
          <w:szCs w:val="20"/>
        </w:rPr>
        <w:tab/>
      </w:r>
      <w:r w:rsidRPr="00AA2C40">
        <w:rPr>
          <w:rFonts w:cs="Arial"/>
          <w:szCs w:val="20"/>
        </w:rPr>
        <w:t xml:space="preserve">1000 </w:t>
      </w:r>
      <w:r>
        <w:rPr>
          <w:rFonts w:cs="Arial"/>
          <w:szCs w:val="20"/>
        </w:rPr>
        <w:tab/>
        <w:t>= Conversion from</w:t>
      </w:r>
      <w:r w:rsidRPr="00AA2C40">
        <w:rPr>
          <w:rFonts w:cs="Arial"/>
          <w:szCs w:val="20"/>
        </w:rPr>
        <w:t xml:space="preserve"> watts to kilowatts.</w:t>
      </w:r>
    </w:p>
    <w:p w:rsidR="00E17950" w:rsidRDefault="00E17950" w:rsidP="00E17950">
      <w:pPr>
        <w:pStyle w:val="Caption"/>
      </w:pPr>
      <w:bookmarkStart w:id="79" w:name="_Ref274915225"/>
      <w:bookmarkStart w:id="80" w:name="_Toc310875487"/>
      <w:r>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1</w:t>
      </w:r>
      <w:r w:rsidR="00274AB1">
        <w:rPr>
          <w:noProof/>
        </w:rPr>
        <w:fldChar w:fldCharType="end"/>
      </w:r>
      <w:bookmarkEnd w:id="79"/>
      <w:r>
        <w:t>: Residential Electric HVAC - References</w:t>
      </w:r>
      <w:bookmarkEnd w:id="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9"/>
        <w:gridCol w:w="1438"/>
        <w:gridCol w:w="3511"/>
        <w:gridCol w:w="1998"/>
      </w:tblGrid>
      <w:tr w:rsidR="00E17950" w:rsidRPr="00F046C6" w:rsidTr="00E17950">
        <w:trPr>
          <w:cantSplit/>
          <w:trHeight w:val="317"/>
          <w:tblHeader/>
          <w:jc w:val="center"/>
        </w:trPr>
        <w:tc>
          <w:tcPr>
            <w:tcW w:w="1078" w:type="pct"/>
            <w:shd w:val="clear" w:color="auto" w:fill="BFBFBF"/>
            <w:vAlign w:val="center"/>
          </w:tcPr>
          <w:p w:rsidR="00E17950" w:rsidRPr="001D6512" w:rsidRDefault="00E17950" w:rsidP="00E17950">
            <w:pPr>
              <w:pStyle w:val="TableCell"/>
              <w:spacing w:before="60" w:after="60"/>
              <w:rPr>
                <w:b/>
              </w:rPr>
            </w:pPr>
            <w:r w:rsidRPr="001D6512">
              <w:rPr>
                <w:b/>
              </w:rPr>
              <w:t>Component</w:t>
            </w:r>
          </w:p>
        </w:tc>
        <w:tc>
          <w:tcPr>
            <w:tcW w:w="812" w:type="pct"/>
            <w:shd w:val="clear" w:color="auto" w:fill="BFBFBF"/>
            <w:vAlign w:val="center"/>
          </w:tcPr>
          <w:p w:rsidR="00E17950" w:rsidRPr="001D6512" w:rsidRDefault="00E17950" w:rsidP="00E17950">
            <w:pPr>
              <w:pStyle w:val="TableCell"/>
              <w:spacing w:before="60" w:after="60"/>
              <w:rPr>
                <w:b/>
              </w:rPr>
            </w:pPr>
            <w:r w:rsidRPr="001D6512">
              <w:rPr>
                <w:b/>
              </w:rPr>
              <w:t>Type</w:t>
            </w:r>
          </w:p>
        </w:tc>
        <w:tc>
          <w:tcPr>
            <w:tcW w:w="1982" w:type="pct"/>
            <w:shd w:val="clear" w:color="auto" w:fill="BFBFBF"/>
            <w:vAlign w:val="center"/>
          </w:tcPr>
          <w:p w:rsidR="00E17950" w:rsidRPr="001D6512" w:rsidRDefault="00E17950" w:rsidP="00E17950">
            <w:pPr>
              <w:pStyle w:val="TableCell"/>
              <w:spacing w:before="60" w:after="60"/>
              <w:rPr>
                <w:b/>
              </w:rPr>
            </w:pPr>
            <w:r w:rsidRPr="001D6512">
              <w:rPr>
                <w:b/>
              </w:rPr>
              <w:t>Value</w:t>
            </w:r>
          </w:p>
        </w:tc>
        <w:tc>
          <w:tcPr>
            <w:tcW w:w="1128" w:type="pct"/>
            <w:shd w:val="clear" w:color="auto" w:fill="BFBFBF"/>
            <w:vAlign w:val="center"/>
          </w:tcPr>
          <w:p w:rsidR="00E17950" w:rsidRPr="001D6512" w:rsidRDefault="00E17950" w:rsidP="00E17950">
            <w:pPr>
              <w:pStyle w:val="TableCell"/>
              <w:spacing w:before="60" w:after="60"/>
              <w:rPr>
                <w:b/>
              </w:rPr>
            </w:pPr>
            <w:r w:rsidRPr="001D6512">
              <w:rPr>
                <w:b/>
              </w:rPr>
              <w:t>Sources</w:t>
            </w:r>
          </w:p>
        </w:tc>
      </w:tr>
      <w:tr w:rsidR="00E17950" w:rsidRPr="00F046C6" w:rsidTr="00E17950">
        <w:trPr>
          <w:cantSplit/>
          <w:trHeight w:val="317"/>
          <w:jc w:val="center"/>
        </w:trPr>
        <w:tc>
          <w:tcPr>
            <w:tcW w:w="1078" w:type="pct"/>
            <w:vAlign w:val="center"/>
          </w:tcPr>
          <w:p w:rsidR="00E17950" w:rsidRPr="001D6512" w:rsidRDefault="00E17950" w:rsidP="00E17950">
            <w:pPr>
              <w:pStyle w:val="TableCell"/>
              <w:spacing w:before="60" w:after="60"/>
            </w:pPr>
            <w:r w:rsidRPr="001D6512">
              <w:t>CAPY</w:t>
            </w:r>
            <w:r w:rsidRPr="001D6512">
              <w:rPr>
                <w:vertAlign w:val="subscript"/>
              </w:rPr>
              <w:t>cool</w:t>
            </w:r>
            <w:r w:rsidRPr="001D6512">
              <w:t xml:space="preserve"> </w:t>
            </w:r>
          </w:p>
          <w:p w:rsidR="00E17950" w:rsidRPr="001D6512" w:rsidRDefault="00E17950" w:rsidP="00E17950">
            <w:pPr>
              <w:pStyle w:val="TableCell"/>
              <w:spacing w:before="60" w:after="60"/>
              <w:rPr>
                <w:vertAlign w:val="subscript"/>
              </w:rPr>
            </w:pPr>
            <w:r w:rsidRPr="001D6512">
              <w:t>CAPY</w:t>
            </w:r>
            <w:r w:rsidRPr="001D6512">
              <w:rPr>
                <w:vertAlign w:val="subscript"/>
              </w:rPr>
              <w:t>heat</w:t>
            </w:r>
          </w:p>
        </w:tc>
        <w:tc>
          <w:tcPr>
            <w:tcW w:w="812" w:type="pct"/>
            <w:vAlign w:val="center"/>
          </w:tcPr>
          <w:p w:rsidR="00E17950" w:rsidRPr="001D6512" w:rsidRDefault="00E17950" w:rsidP="00E17950">
            <w:pPr>
              <w:pStyle w:val="TableCell"/>
              <w:spacing w:before="60" w:after="60"/>
            </w:pPr>
            <w:r w:rsidRPr="001D6512">
              <w:t>Variable</w:t>
            </w:r>
          </w:p>
        </w:tc>
        <w:tc>
          <w:tcPr>
            <w:tcW w:w="1982" w:type="pct"/>
            <w:vAlign w:val="center"/>
          </w:tcPr>
          <w:p w:rsidR="00E17950" w:rsidRPr="001D6512" w:rsidRDefault="00E17950" w:rsidP="00E17950">
            <w:pPr>
              <w:pStyle w:val="TableCell"/>
              <w:spacing w:before="60" w:after="60"/>
            </w:pPr>
            <w:r w:rsidRPr="001D6512">
              <w:t>EDC Data Gathering</w:t>
            </w:r>
          </w:p>
        </w:tc>
        <w:tc>
          <w:tcPr>
            <w:tcW w:w="1128" w:type="pct"/>
            <w:vAlign w:val="center"/>
          </w:tcPr>
          <w:p w:rsidR="00E17950" w:rsidRPr="001D6512" w:rsidRDefault="00E17950" w:rsidP="00E17950">
            <w:pPr>
              <w:pStyle w:val="TableCell"/>
              <w:spacing w:before="60" w:after="60"/>
            </w:pPr>
            <w:r w:rsidRPr="001D6512">
              <w:rPr>
                <w:highlight w:val="lightGray"/>
              </w:rPr>
              <w:t>AEPS Application</w:t>
            </w:r>
            <w:r w:rsidRPr="001D6512">
              <w:t>; EDC Data Gathering</w:t>
            </w:r>
          </w:p>
        </w:tc>
      </w:tr>
      <w:tr w:rsidR="00E17950" w:rsidRPr="00F046C6" w:rsidTr="00E17950">
        <w:trPr>
          <w:cantSplit/>
          <w:trHeight w:val="317"/>
          <w:jc w:val="center"/>
        </w:trPr>
        <w:tc>
          <w:tcPr>
            <w:tcW w:w="1078" w:type="pct"/>
            <w:vMerge w:val="restart"/>
            <w:vAlign w:val="center"/>
          </w:tcPr>
          <w:p w:rsidR="00E17950" w:rsidRPr="001D6512" w:rsidRDefault="00E17950" w:rsidP="00E17950">
            <w:pPr>
              <w:pStyle w:val="TableCell"/>
              <w:spacing w:before="60" w:after="60"/>
            </w:pPr>
            <w:r w:rsidRPr="001D6512">
              <w:t>SEER</w:t>
            </w:r>
            <w:r w:rsidRPr="001D6512">
              <w:rPr>
                <w:i/>
                <w:vertAlign w:val="subscript"/>
              </w:rPr>
              <w:t>b</w:t>
            </w:r>
          </w:p>
        </w:tc>
        <w:tc>
          <w:tcPr>
            <w:tcW w:w="812" w:type="pct"/>
            <w:vAlign w:val="center"/>
          </w:tcPr>
          <w:p w:rsidR="00E17950" w:rsidRPr="001D6512" w:rsidRDefault="00E17950" w:rsidP="00E17950">
            <w:pPr>
              <w:pStyle w:val="TableCell"/>
              <w:spacing w:before="60" w:after="60"/>
            </w:pPr>
            <w:r w:rsidRPr="001D6512">
              <w:t>Fixed</w:t>
            </w:r>
          </w:p>
        </w:tc>
        <w:tc>
          <w:tcPr>
            <w:tcW w:w="1982" w:type="pct"/>
            <w:vAlign w:val="center"/>
          </w:tcPr>
          <w:p w:rsidR="00E17950" w:rsidRPr="001D6512" w:rsidRDefault="00E17950" w:rsidP="00E17950">
            <w:pPr>
              <w:pStyle w:val="TableCell"/>
              <w:spacing w:before="60" w:after="60"/>
            </w:pPr>
            <w:r w:rsidRPr="001D6512">
              <w:t>Replace on Burnout: 13 SEER</w:t>
            </w:r>
          </w:p>
        </w:tc>
        <w:tc>
          <w:tcPr>
            <w:tcW w:w="1128" w:type="pct"/>
            <w:vAlign w:val="center"/>
          </w:tcPr>
          <w:p w:rsidR="00E17950" w:rsidRPr="001D6512" w:rsidRDefault="00E17950" w:rsidP="00E17950">
            <w:pPr>
              <w:pStyle w:val="TableCell"/>
              <w:spacing w:before="60" w:after="60"/>
            </w:pPr>
            <w:r w:rsidRPr="001D6512">
              <w:t>1</w:t>
            </w:r>
          </w:p>
        </w:tc>
      </w:tr>
      <w:tr w:rsidR="00E17950" w:rsidRPr="00F046C6" w:rsidTr="00E17950">
        <w:trPr>
          <w:cantSplit/>
          <w:trHeight w:val="317"/>
          <w:jc w:val="center"/>
        </w:trPr>
        <w:tc>
          <w:tcPr>
            <w:tcW w:w="1078" w:type="pct"/>
            <w:vMerge/>
            <w:vAlign w:val="center"/>
          </w:tcPr>
          <w:p w:rsidR="00E17950" w:rsidRPr="001D6512" w:rsidRDefault="00E17950" w:rsidP="00E17950">
            <w:pPr>
              <w:pStyle w:val="TableCell"/>
              <w:spacing w:before="60" w:after="60"/>
            </w:pPr>
          </w:p>
        </w:tc>
        <w:tc>
          <w:tcPr>
            <w:tcW w:w="812" w:type="pct"/>
            <w:vAlign w:val="center"/>
          </w:tcPr>
          <w:p w:rsidR="00E17950" w:rsidRPr="001D6512" w:rsidRDefault="00E17950" w:rsidP="00E17950">
            <w:pPr>
              <w:pStyle w:val="TableCell"/>
              <w:spacing w:before="60" w:after="60"/>
            </w:pPr>
            <w:r w:rsidRPr="001D6512">
              <w:t>Variable</w:t>
            </w:r>
          </w:p>
        </w:tc>
        <w:tc>
          <w:tcPr>
            <w:tcW w:w="1982" w:type="pct"/>
            <w:vAlign w:val="center"/>
          </w:tcPr>
          <w:p w:rsidR="00E17950" w:rsidRPr="001D6512" w:rsidRDefault="00E17950" w:rsidP="00E17950">
            <w:pPr>
              <w:pStyle w:val="TableCell"/>
              <w:spacing w:before="60" w:after="60"/>
            </w:pPr>
            <w:r w:rsidRPr="001D6512">
              <w:t>Early Retirement: EDC Data Gathering</w:t>
            </w:r>
          </w:p>
        </w:tc>
        <w:tc>
          <w:tcPr>
            <w:tcW w:w="1128" w:type="pct"/>
            <w:vAlign w:val="center"/>
          </w:tcPr>
          <w:p w:rsidR="00E17950" w:rsidRPr="001D6512" w:rsidRDefault="00E17950" w:rsidP="00E17950">
            <w:pPr>
              <w:pStyle w:val="TableCell"/>
              <w:spacing w:before="60" w:after="60"/>
            </w:pPr>
            <w:r w:rsidRPr="001D6512">
              <w:t>EDC Data Gathering</w:t>
            </w:r>
          </w:p>
        </w:tc>
      </w:tr>
      <w:tr w:rsidR="00E17950" w:rsidRPr="00F046C6" w:rsidTr="00E17950">
        <w:trPr>
          <w:cantSplit/>
          <w:trHeight w:val="317"/>
          <w:jc w:val="center"/>
        </w:trPr>
        <w:tc>
          <w:tcPr>
            <w:tcW w:w="1078" w:type="pct"/>
            <w:vAlign w:val="center"/>
          </w:tcPr>
          <w:p w:rsidR="00E17950" w:rsidRPr="001D6512" w:rsidRDefault="00E17950" w:rsidP="00E17950">
            <w:pPr>
              <w:pStyle w:val="TableCell"/>
              <w:spacing w:before="60" w:after="60"/>
            </w:pPr>
            <w:r w:rsidRPr="001D6512">
              <w:t>SEER</w:t>
            </w:r>
            <w:r w:rsidRPr="001D6512">
              <w:rPr>
                <w:i/>
                <w:vertAlign w:val="subscript"/>
              </w:rPr>
              <w:t>e</w:t>
            </w:r>
          </w:p>
        </w:tc>
        <w:tc>
          <w:tcPr>
            <w:tcW w:w="812" w:type="pct"/>
            <w:vAlign w:val="center"/>
          </w:tcPr>
          <w:p w:rsidR="00E17950" w:rsidRPr="001D6512" w:rsidRDefault="00E17950" w:rsidP="00E17950">
            <w:pPr>
              <w:pStyle w:val="TableCell"/>
              <w:spacing w:before="60" w:after="60"/>
            </w:pPr>
            <w:r w:rsidRPr="001D6512">
              <w:t>Variable</w:t>
            </w:r>
          </w:p>
        </w:tc>
        <w:tc>
          <w:tcPr>
            <w:tcW w:w="1982" w:type="pct"/>
            <w:vAlign w:val="center"/>
          </w:tcPr>
          <w:p w:rsidR="00E17950" w:rsidRPr="001D6512" w:rsidRDefault="00E17950" w:rsidP="00E17950">
            <w:pPr>
              <w:pStyle w:val="TableCell"/>
              <w:spacing w:before="60" w:after="60"/>
            </w:pPr>
            <w:r w:rsidRPr="001D6512">
              <w:t>EDC Data Gathering</w:t>
            </w:r>
          </w:p>
        </w:tc>
        <w:tc>
          <w:tcPr>
            <w:tcW w:w="1128" w:type="pct"/>
            <w:vAlign w:val="center"/>
          </w:tcPr>
          <w:p w:rsidR="00E17950" w:rsidRPr="001D6512" w:rsidRDefault="00E17950" w:rsidP="00E17950">
            <w:pPr>
              <w:pStyle w:val="TableCell"/>
              <w:spacing w:before="60" w:after="60"/>
            </w:pPr>
            <w:r w:rsidRPr="001D6512">
              <w:rPr>
                <w:highlight w:val="lightGray"/>
              </w:rPr>
              <w:t>AEPS Application</w:t>
            </w:r>
            <w:r w:rsidRPr="001D6512">
              <w:t>; EDC Data Gathering</w:t>
            </w:r>
          </w:p>
        </w:tc>
      </w:tr>
      <w:tr w:rsidR="00E17950" w:rsidRPr="00F046C6" w:rsidTr="00E17950">
        <w:trPr>
          <w:cantSplit/>
          <w:trHeight w:val="317"/>
          <w:jc w:val="center"/>
        </w:trPr>
        <w:tc>
          <w:tcPr>
            <w:tcW w:w="1078" w:type="pct"/>
            <w:vAlign w:val="center"/>
          </w:tcPr>
          <w:p w:rsidR="00E17950" w:rsidRPr="001D6512" w:rsidRDefault="00E17950" w:rsidP="00E17950">
            <w:pPr>
              <w:pStyle w:val="TableCell"/>
              <w:spacing w:before="60" w:after="60"/>
            </w:pPr>
            <w:r w:rsidRPr="001D6512">
              <w:t>SEER</w:t>
            </w:r>
            <w:r w:rsidRPr="001D6512">
              <w:rPr>
                <w:i/>
                <w:vertAlign w:val="subscript"/>
              </w:rPr>
              <w:t>m</w:t>
            </w:r>
          </w:p>
        </w:tc>
        <w:tc>
          <w:tcPr>
            <w:tcW w:w="812" w:type="pct"/>
            <w:vAlign w:val="center"/>
          </w:tcPr>
          <w:p w:rsidR="00E17950" w:rsidRPr="001D6512" w:rsidRDefault="00E17950" w:rsidP="00E17950">
            <w:pPr>
              <w:pStyle w:val="TableCell"/>
              <w:spacing w:before="60" w:after="60"/>
            </w:pPr>
            <w:r w:rsidRPr="001D6512">
              <w:t>Fixed</w:t>
            </w:r>
          </w:p>
        </w:tc>
        <w:tc>
          <w:tcPr>
            <w:tcW w:w="1982" w:type="pct"/>
            <w:vAlign w:val="center"/>
          </w:tcPr>
          <w:p w:rsidR="00E17950" w:rsidRPr="001D6512" w:rsidRDefault="00E17950" w:rsidP="00E17950">
            <w:pPr>
              <w:pStyle w:val="TableCell"/>
              <w:spacing w:before="60" w:after="60"/>
            </w:pPr>
            <w:r w:rsidRPr="001D6512">
              <w:t>10</w:t>
            </w:r>
          </w:p>
        </w:tc>
        <w:tc>
          <w:tcPr>
            <w:tcW w:w="1128" w:type="pct"/>
            <w:vAlign w:val="center"/>
          </w:tcPr>
          <w:p w:rsidR="00E17950" w:rsidRPr="001D6512" w:rsidRDefault="00E17950" w:rsidP="00E17950">
            <w:pPr>
              <w:pStyle w:val="TableCell"/>
              <w:spacing w:before="60" w:after="60"/>
            </w:pPr>
            <w:r w:rsidRPr="001D6512">
              <w:t>14</w:t>
            </w:r>
          </w:p>
        </w:tc>
      </w:tr>
      <w:tr w:rsidR="00E17950" w:rsidRPr="00F046C6" w:rsidTr="00E17950">
        <w:trPr>
          <w:cantSplit/>
          <w:trHeight w:val="317"/>
          <w:jc w:val="center"/>
        </w:trPr>
        <w:tc>
          <w:tcPr>
            <w:tcW w:w="1078" w:type="pct"/>
            <w:vMerge w:val="restart"/>
            <w:vAlign w:val="center"/>
          </w:tcPr>
          <w:p w:rsidR="00E17950" w:rsidRPr="001D6512" w:rsidRDefault="00E17950" w:rsidP="00E17950">
            <w:pPr>
              <w:pStyle w:val="TableCell"/>
              <w:keepNext w:val="0"/>
              <w:spacing w:before="60" w:after="60"/>
            </w:pPr>
            <w:r w:rsidRPr="001D6512">
              <w:t>EER</w:t>
            </w:r>
            <w:r w:rsidRPr="001D6512">
              <w:rPr>
                <w:i/>
                <w:vertAlign w:val="subscript"/>
              </w:rPr>
              <w:t>b</w:t>
            </w:r>
          </w:p>
        </w:tc>
        <w:tc>
          <w:tcPr>
            <w:tcW w:w="812" w:type="pct"/>
            <w:vAlign w:val="center"/>
          </w:tcPr>
          <w:p w:rsidR="00E17950" w:rsidRPr="001D6512" w:rsidRDefault="00E17950" w:rsidP="00E17950">
            <w:pPr>
              <w:pStyle w:val="TableCell"/>
              <w:keepNext w:val="0"/>
              <w:spacing w:before="60" w:after="60"/>
            </w:pPr>
            <w:r w:rsidRPr="001D6512">
              <w:t>Fixed</w:t>
            </w:r>
          </w:p>
        </w:tc>
        <w:tc>
          <w:tcPr>
            <w:tcW w:w="1982" w:type="pct"/>
            <w:vAlign w:val="center"/>
          </w:tcPr>
          <w:p w:rsidR="00E17950" w:rsidRPr="001D6512" w:rsidRDefault="00E17950" w:rsidP="00E17950">
            <w:pPr>
              <w:pStyle w:val="TableCell"/>
              <w:keepNext w:val="0"/>
              <w:spacing w:before="60" w:after="60"/>
            </w:pPr>
            <w:r w:rsidRPr="001D6512">
              <w:t>Replace on Burnout: 11.3</w:t>
            </w:r>
          </w:p>
        </w:tc>
        <w:tc>
          <w:tcPr>
            <w:tcW w:w="1128" w:type="pct"/>
            <w:vAlign w:val="center"/>
          </w:tcPr>
          <w:p w:rsidR="00E17950" w:rsidRPr="001D6512" w:rsidRDefault="00E17950" w:rsidP="00E17950">
            <w:pPr>
              <w:pStyle w:val="TableCell"/>
              <w:keepNext w:val="0"/>
              <w:spacing w:before="60" w:after="60"/>
            </w:pPr>
            <w:r w:rsidRPr="001D6512">
              <w:t>2</w:t>
            </w:r>
          </w:p>
        </w:tc>
      </w:tr>
      <w:tr w:rsidR="00E17950" w:rsidRPr="00F046C6" w:rsidTr="00E17950">
        <w:trPr>
          <w:cantSplit/>
          <w:trHeight w:val="317"/>
          <w:jc w:val="center"/>
        </w:trPr>
        <w:tc>
          <w:tcPr>
            <w:tcW w:w="1078" w:type="pct"/>
            <w:vMerge/>
            <w:vAlign w:val="center"/>
          </w:tcPr>
          <w:p w:rsidR="00E17950" w:rsidRPr="001D6512" w:rsidRDefault="00E17950" w:rsidP="00E17950">
            <w:pPr>
              <w:pStyle w:val="TableCell"/>
              <w:keepNext w:val="0"/>
              <w:spacing w:before="60" w:after="60"/>
            </w:pPr>
          </w:p>
        </w:tc>
        <w:tc>
          <w:tcPr>
            <w:tcW w:w="812" w:type="pct"/>
            <w:vAlign w:val="center"/>
          </w:tcPr>
          <w:p w:rsidR="00E17950" w:rsidRPr="001D6512" w:rsidRDefault="00E17950" w:rsidP="00E17950">
            <w:pPr>
              <w:pStyle w:val="TableCell"/>
              <w:keepNext w:val="0"/>
              <w:spacing w:before="60" w:after="60"/>
            </w:pPr>
            <w:r w:rsidRPr="001D6512">
              <w:t>Variable</w:t>
            </w:r>
          </w:p>
        </w:tc>
        <w:tc>
          <w:tcPr>
            <w:tcW w:w="1982" w:type="pct"/>
            <w:vAlign w:val="center"/>
          </w:tcPr>
          <w:p w:rsidR="00E17950" w:rsidRPr="001D6512" w:rsidRDefault="00E17950" w:rsidP="00E17950">
            <w:pPr>
              <w:pStyle w:val="TableCell"/>
              <w:keepNext w:val="0"/>
              <w:spacing w:before="60" w:after="60"/>
            </w:pPr>
            <w:r w:rsidRPr="001D6512">
              <w:t>Early Retirement: EDC Data Gathering</w:t>
            </w:r>
          </w:p>
        </w:tc>
        <w:tc>
          <w:tcPr>
            <w:tcW w:w="1128" w:type="pct"/>
            <w:vAlign w:val="center"/>
          </w:tcPr>
          <w:p w:rsidR="00E17950" w:rsidRPr="001D6512" w:rsidRDefault="00E17950" w:rsidP="00E17950">
            <w:pPr>
              <w:pStyle w:val="TableCell"/>
              <w:keepNext w:val="0"/>
              <w:spacing w:before="60" w:after="60"/>
            </w:pPr>
            <w:r w:rsidRPr="001D6512">
              <w:t>EDC Data Gathering</w:t>
            </w:r>
          </w:p>
        </w:tc>
      </w:tr>
      <w:tr w:rsidR="00E17950" w:rsidRPr="00F046C6" w:rsidTr="00E17950">
        <w:trPr>
          <w:cantSplit/>
          <w:trHeight w:val="317"/>
          <w:jc w:val="center"/>
        </w:trPr>
        <w:tc>
          <w:tcPr>
            <w:tcW w:w="1078" w:type="pct"/>
            <w:vAlign w:val="center"/>
          </w:tcPr>
          <w:p w:rsidR="00E17950" w:rsidRPr="001D6512" w:rsidRDefault="00E17950" w:rsidP="00E17950">
            <w:pPr>
              <w:pStyle w:val="TableCell"/>
              <w:keepNext w:val="0"/>
              <w:spacing w:before="60" w:after="60"/>
            </w:pPr>
            <w:r w:rsidRPr="001D6512">
              <w:t>EER</w:t>
            </w:r>
            <w:r w:rsidRPr="001D6512">
              <w:rPr>
                <w:i/>
                <w:vertAlign w:val="subscript"/>
              </w:rPr>
              <w:t>e</w:t>
            </w:r>
          </w:p>
        </w:tc>
        <w:tc>
          <w:tcPr>
            <w:tcW w:w="812" w:type="pct"/>
            <w:vAlign w:val="center"/>
          </w:tcPr>
          <w:p w:rsidR="00E17950" w:rsidRPr="001D6512" w:rsidRDefault="00E17950" w:rsidP="00E17950">
            <w:pPr>
              <w:pStyle w:val="TableCell"/>
              <w:keepNext w:val="0"/>
              <w:spacing w:before="60" w:after="60"/>
            </w:pPr>
            <w:r w:rsidRPr="001D6512">
              <w:t>Fixed</w:t>
            </w:r>
          </w:p>
        </w:tc>
        <w:tc>
          <w:tcPr>
            <w:tcW w:w="1982" w:type="pct"/>
            <w:vAlign w:val="center"/>
          </w:tcPr>
          <w:p w:rsidR="00E17950" w:rsidRPr="001D6512" w:rsidRDefault="00E17950" w:rsidP="00E17950">
            <w:pPr>
              <w:pStyle w:val="TableCell"/>
              <w:keepNext w:val="0"/>
              <w:spacing w:before="60" w:after="60"/>
            </w:pPr>
            <w:r w:rsidRPr="001D6512">
              <w:t>(11.3/13) X SEER</w:t>
            </w:r>
            <w:r w:rsidRPr="001D6512">
              <w:rPr>
                <w:vertAlign w:val="subscript"/>
              </w:rPr>
              <w:t>e</w:t>
            </w:r>
          </w:p>
        </w:tc>
        <w:tc>
          <w:tcPr>
            <w:tcW w:w="1128" w:type="pct"/>
            <w:vAlign w:val="center"/>
          </w:tcPr>
          <w:p w:rsidR="00E17950" w:rsidRPr="001D6512" w:rsidRDefault="00E17950" w:rsidP="00E17950">
            <w:pPr>
              <w:pStyle w:val="TableCell"/>
              <w:keepNext w:val="0"/>
              <w:spacing w:before="60" w:after="60"/>
            </w:pPr>
            <w:r w:rsidRPr="001D6512">
              <w:t>2</w:t>
            </w:r>
          </w:p>
        </w:tc>
      </w:tr>
      <w:tr w:rsidR="00E17950" w:rsidRPr="00F046C6" w:rsidTr="00E17950">
        <w:trPr>
          <w:cantSplit/>
          <w:trHeight w:val="317"/>
          <w:jc w:val="center"/>
        </w:trPr>
        <w:tc>
          <w:tcPr>
            <w:tcW w:w="1078" w:type="pct"/>
            <w:vAlign w:val="center"/>
          </w:tcPr>
          <w:p w:rsidR="00E17950" w:rsidRPr="001D6512" w:rsidRDefault="00E17950" w:rsidP="00E17950">
            <w:pPr>
              <w:pStyle w:val="TableCell"/>
              <w:keepNext w:val="0"/>
              <w:spacing w:before="60" w:after="60"/>
            </w:pPr>
            <w:r w:rsidRPr="001D6512">
              <w:t>EER</w:t>
            </w:r>
            <w:r w:rsidRPr="001D6512">
              <w:rPr>
                <w:i/>
                <w:vertAlign w:val="subscript"/>
              </w:rPr>
              <w:t>g</w:t>
            </w:r>
          </w:p>
        </w:tc>
        <w:tc>
          <w:tcPr>
            <w:tcW w:w="812" w:type="pct"/>
            <w:vAlign w:val="center"/>
          </w:tcPr>
          <w:p w:rsidR="00E17950" w:rsidRPr="001D6512" w:rsidRDefault="00E17950" w:rsidP="00E17950">
            <w:pPr>
              <w:pStyle w:val="TableCell"/>
              <w:keepNext w:val="0"/>
              <w:spacing w:before="60" w:after="60"/>
            </w:pPr>
            <w:r w:rsidRPr="001D6512">
              <w:t>Variable</w:t>
            </w:r>
          </w:p>
        </w:tc>
        <w:tc>
          <w:tcPr>
            <w:tcW w:w="1982" w:type="pct"/>
            <w:vAlign w:val="center"/>
          </w:tcPr>
          <w:p w:rsidR="00E17950" w:rsidRPr="001D6512" w:rsidRDefault="00E17950" w:rsidP="00E17950">
            <w:pPr>
              <w:pStyle w:val="TableCell"/>
              <w:keepNext w:val="0"/>
              <w:spacing w:before="60" w:after="60"/>
            </w:pPr>
            <w:r w:rsidRPr="001D6512">
              <w:t>EDC Data Gathering</w:t>
            </w:r>
          </w:p>
        </w:tc>
        <w:tc>
          <w:tcPr>
            <w:tcW w:w="1128" w:type="pct"/>
            <w:vAlign w:val="center"/>
          </w:tcPr>
          <w:p w:rsidR="00E17950" w:rsidRPr="001D6512" w:rsidRDefault="00E17950" w:rsidP="00E17950">
            <w:pPr>
              <w:pStyle w:val="TableCell"/>
              <w:keepNext w:val="0"/>
              <w:spacing w:before="60" w:after="60"/>
            </w:pPr>
            <w:r w:rsidRPr="001D6512">
              <w:rPr>
                <w:highlight w:val="lightGray"/>
              </w:rPr>
              <w:t>AEPS Application</w:t>
            </w:r>
            <w:r w:rsidRPr="001D6512">
              <w:t>; EDC’s Data Gathering</w:t>
            </w:r>
          </w:p>
        </w:tc>
      </w:tr>
      <w:tr w:rsidR="00E17950" w:rsidRPr="00F046C6" w:rsidTr="00E17950">
        <w:trPr>
          <w:cantSplit/>
          <w:trHeight w:val="317"/>
          <w:jc w:val="center"/>
        </w:trPr>
        <w:tc>
          <w:tcPr>
            <w:tcW w:w="1078" w:type="pct"/>
            <w:vAlign w:val="center"/>
          </w:tcPr>
          <w:p w:rsidR="00E17950" w:rsidRPr="001D6512" w:rsidRDefault="00E17950" w:rsidP="00E17950">
            <w:pPr>
              <w:pStyle w:val="TableCell"/>
              <w:keepNext w:val="0"/>
              <w:spacing w:before="60" w:after="60"/>
            </w:pPr>
            <w:r w:rsidRPr="001D6512">
              <w:t>EER</w:t>
            </w:r>
            <w:r w:rsidRPr="001D6512">
              <w:rPr>
                <w:vertAlign w:val="subscript"/>
              </w:rPr>
              <w:t>m</w:t>
            </w:r>
          </w:p>
        </w:tc>
        <w:tc>
          <w:tcPr>
            <w:tcW w:w="812" w:type="pct"/>
            <w:vAlign w:val="center"/>
          </w:tcPr>
          <w:p w:rsidR="00E17950" w:rsidRPr="001D6512" w:rsidRDefault="00E17950" w:rsidP="00E17950">
            <w:pPr>
              <w:pStyle w:val="TableCell"/>
              <w:keepNext w:val="0"/>
              <w:spacing w:before="60" w:after="60"/>
            </w:pPr>
            <w:r w:rsidRPr="001D6512">
              <w:t>Fixed</w:t>
            </w:r>
          </w:p>
        </w:tc>
        <w:tc>
          <w:tcPr>
            <w:tcW w:w="1982" w:type="pct"/>
            <w:vAlign w:val="center"/>
          </w:tcPr>
          <w:p w:rsidR="00E17950" w:rsidRPr="001D6512" w:rsidRDefault="00E17950" w:rsidP="00E17950">
            <w:pPr>
              <w:pStyle w:val="TableCell"/>
              <w:keepNext w:val="0"/>
              <w:spacing w:before="60" w:after="60"/>
            </w:pPr>
            <w:r w:rsidRPr="001D6512">
              <w:t>8.69</w:t>
            </w:r>
          </w:p>
        </w:tc>
        <w:tc>
          <w:tcPr>
            <w:tcW w:w="1128" w:type="pct"/>
            <w:vAlign w:val="center"/>
          </w:tcPr>
          <w:p w:rsidR="00E17950" w:rsidRPr="001D6512" w:rsidRDefault="00E17950" w:rsidP="00E17950">
            <w:pPr>
              <w:pStyle w:val="TableCell"/>
              <w:keepNext w:val="0"/>
              <w:spacing w:before="60" w:after="60"/>
            </w:pPr>
            <w:r w:rsidRPr="001D6512">
              <w:t>15</w:t>
            </w:r>
          </w:p>
        </w:tc>
      </w:tr>
      <w:tr w:rsidR="00E17950" w:rsidRPr="00F046C6" w:rsidTr="00E17950">
        <w:trPr>
          <w:cantSplit/>
          <w:trHeight w:val="317"/>
          <w:jc w:val="center"/>
        </w:trPr>
        <w:tc>
          <w:tcPr>
            <w:tcW w:w="1078" w:type="pct"/>
            <w:vAlign w:val="center"/>
          </w:tcPr>
          <w:p w:rsidR="00E17950" w:rsidRPr="001D6512" w:rsidRDefault="00E17950" w:rsidP="00E17950">
            <w:pPr>
              <w:pStyle w:val="TableCell"/>
              <w:keepNext w:val="0"/>
              <w:spacing w:before="60" w:after="60"/>
            </w:pPr>
            <w:r w:rsidRPr="001D6512">
              <w:t>GSER</w:t>
            </w:r>
          </w:p>
        </w:tc>
        <w:tc>
          <w:tcPr>
            <w:tcW w:w="812" w:type="pct"/>
            <w:vAlign w:val="center"/>
          </w:tcPr>
          <w:p w:rsidR="00E17950" w:rsidRPr="001D6512" w:rsidRDefault="00E17950" w:rsidP="00E17950">
            <w:pPr>
              <w:pStyle w:val="TableCell"/>
              <w:keepNext w:val="0"/>
              <w:spacing w:before="60" w:after="60"/>
            </w:pPr>
            <w:r w:rsidRPr="001D6512">
              <w:t>Fixed</w:t>
            </w:r>
          </w:p>
        </w:tc>
        <w:tc>
          <w:tcPr>
            <w:tcW w:w="1982" w:type="pct"/>
            <w:vAlign w:val="center"/>
          </w:tcPr>
          <w:p w:rsidR="00E17950" w:rsidRPr="001D6512" w:rsidRDefault="00E17950" w:rsidP="00E17950">
            <w:pPr>
              <w:pStyle w:val="TableCell"/>
              <w:keepNext w:val="0"/>
              <w:spacing w:before="60" w:after="60"/>
            </w:pPr>
            <w:r w:rsidRPr="001D6512">
              <w:t>1.02</w:t>
            </w:r>
          </w:p>
        </w:tc>
        <w:tc>
          <w:tcPr>
            <w:tcW w:w="1128" w:type="pct"/>
            <w:vAlign w:val="center"/>
          </w:tcPr>
          <w:p w:rsidR="00E17950" w:rsidRPr="001D6512" w:rsidRDefault="00E17950" w:rsidP="00E17950">
            <w:pPr>
              <w:pStyle w:val="TableCell"/>
              <w:keepNext w:val="0"/>
              <w:spacing w:before="60" w:after="60"/>
            </w:pPr>
            <w:r w:rsidRPr="001D6512">
              <w:t>3</w:t>
            </w:r>
          </w:p>
        </w:tc>
      </w:tr>
      <w:tr w:rsidR="00E17950" w:rsidRPr="00F046C6" w:rsidTr="00E17950">
        <w:trPr>
          <w:cantSplit/>
          <w:trHeight w:val="317"/>
          <w:jc w:val="center"/>
        </w:trPr>
        <w:tc>
          <w:tcPr>
            <w:tcW w:w="1078" w:type="pct"/>
            <w:vAlign w:val="center"/>
          </w:tcPr>
          <w:p w:rsidR="00E17950" w:rsidRPr="001D6512" w:rsidRDefault="00E17950" w:rsidP="00E17950">
            <w:pPr>
              <w:pStyle w:val="TableCell"/>
              <w:keepNext w:val="0"/>
              <w:spacing w:before="60" w:after="60"/>
              <w:rPr>
                <w:vertAlign w:val="subscript"/>
              </w:rPr>
            </w:pPr>
            <w:r w:rsidRPr="001D6512">
              <w:t>EFLH</w:t>
            </w:r>
            <w:r w:rsidRPr="001D6512">
              <w:rPr>
                <w:vertAlign w:val="subscript"/>
              </w:rPr>
              <w:t>cool</w:t>
            </w:r>
          </w:p>
        </w:tc>
        <w:tc>
          <w:tcPr>
            <w:tcW w:w="812" w:type="pct"/>
            <w:vAlign w:val="center"/>
          </w:tcPr>
          <w:p w:rsidR="00E17950" w:rsidRPr="001D6512" w:rsidRDefault="00E17950" w:rsidP="00E17950">
            <w:pPr>
              <w:pStyle w:val="TableCell"/>
              <w:keepNext w:val="0"/>
              <w:spacing w:before="60" w:after="60"/>
            </w:pPr>
            <w:r w:rsidRPr="001D6512">
              <w:t>Fixed</w:t>
            </w:r>
          </w:p>
        </w:tc>
        <w:tc>
          <w:tcPr>
            <w:tcW w:w="1982" w:type="pct"/>
            <w:vAlign w:val="center"/>
          </w:tcPr>
          <w:p w:rsidR="00E17950" w:rsidRPr="001D6512" w:rsidRDefault="00E17950" w:rsidP="00E17950">
            <w:pPr>
              <w:pStyle w:val="TableCell"/>
              <w:keepNext w:val="0"/>
              <w:spacing w:before="60" w:after="60"/>
            </w:pPr>
            <w:r w:rsidRPr="001D6512">
              <w:t>Allentown Cooling = 784 Hours</w:t>
            </w:r>
          </w:p>
          <w:p w:rsidR="00E17950" w:rsidRPr="001D6512" w:rsidRDefault="00E17950" w:rsidP="00E17950">
            <w:pPr>
              <w:pStyle w:val="TableCell"/>
              <w:keepNext w:val="0"/>
              <w:spacing w:before="60" w:after="60"/>
            </w:pPr>
            <w:r w:rsidRPr="001D6512">
              <w:t>Erie Cooling = 482 Hours</w:t>
            </w:r>
          </w:p>
          <w:p w:rsidR="00E17950" w:rsidRPr="001D6512" w:rsidRDefault="00E17950" w:rsidP="00E17950">
            <w:pPr>
              <w:pStyle w:val="TableCell"/>
              <w:keepNext w:val="0"/>
              <w:spacing w:before="60" w:after="60"/>
            </w:pPr>
            <w:r w:rsidRPr="001D6512">
              <w:t>Harrisburg Cooling = 929 Hours</w:t>
            </w:r>
          </w:p>
          <w:p w:rsidR="00E17950" w:rsidRPr="001D6512" w:rsidRDefault="00E17950" w:rsidP="00E17950">
            <w:pPr>
              <w:pStyle w:val="TableCell"/>
              <w:keepNext w:val="0"/>
              <w:spacing w:before="60" w:after="60"/>
            </w:pPr>
            <w:r w:rsidRPr="001D6512">
              <w:t>Philadelphia Cooling = 1,032 Hours</w:t>
            </w:r>
          </w:p>
          <w:p w:rsidR="00E17950" w:rsidRPr="001D6512" w:rsidRDefault="00E17950" w:rsidP="00E17950">
            <w:pPr>
              <w:pStyle w:val="TableCell"/>
              <w:keepNext w:val="0"/>
              <w:spacing w:before="60" w:after="60"/>
            </w:pPr>
            <w:r w:rsidRPr="001D6512">
              <w:t>Pittsburgh Cooling = 737 Hours</w:t>
            </w:r>
          </w:p>
          <w:p w:rsidR="00E17950" w:rsidRPr="001D6512" w:rsidRDefault="00E17950" w:rsidP="00E17950">
            <w:pPr>
              <w:pStyle w:val="TableCell"/>
              <w:keepNext w:val="0"/>
              <w:spacing w:before="60" w:after="60"/>
            </w:pPr>
            <w:r w:rsidRPr="001D6512">
              <w:t>Scranton Cooling = 621 Hours</w:t>
            </w:r>
          </w:p>
          <w:p w:rsidR="00E17950" w:rsidRPr="001D6512" w:rsidRDefault="00E17950" w:rsidP="00E17950">
            <w:pPr>
              <w:pStyle w:val="TableCell"/>
              <w:keepNext w:val="0"/>
              <w:spacing w:before="60" w:after="60"/>
            </w:pPr>
            <w:r w:rsidRPr="001D6512">
              <w:t>Williamsport Cooling = 659 Hours</w:t>
            </w:r>
          </w:p>
        </w:tc>
        <w:tc>
          <w:tcPr>
            <w:tcW w:w="1128" w:type="pct"/>
            <w:vAlign w:val="center"/>
          </w:tcPr>
          <w:p w:rsidR="00E17950" w:rsidRPr="001D6512" w:rsidRDefault="00E17950" w:rsidP="00E17950">
            <w:pPr>
              <w:pStyle w:val="TableCell"/>
              <w:keepNext w:val="0"/>
              <w:spacing w:before="60" w:after="60"/>
            </w:pPr>
            <w:r w:rsidRPr="001D6512">
              <w:t>4</w:t>
            </w:r>
          </w:p>
        </w:tc>
      </w:tr>
      <w:tr w:rsidR="00E17950" w:rsidRPr="00F046C6" w:rsidTr="00E17950">
        <w:trPr>
          <w:cantSplit/>
          <w:trHeight w:val="317"/>
          <w:jc w:val="center"/>
        </w:trPr>
        <w:tc>
          <w:tcPr>
            <w:tcW w:w="1078" w:type="pct"/>
            <w:vAlign w:val="center"/>
          </w:tcPr>
          <w:p w:rsidR="00E17950" w:rsidRPr="001D6512" w:rsidRDefault="00E17950" w:rsidP="00E17950">
            <w:pPr>
              <w:pStyle w:val="TableCell"/>
              <w:keepNext w:val="0"/>
              <w:spacing w:before="60" w:after="60"/>
              <w:rPr>
                <w:vertAlign w:val="subscript"/>
              </w:rPr>
            </w:pPr>
            <w:r w:rsidRPr="001D6512">
              <w:lastRenderedPageBreak/>
              <w:t>EFLH</w:t>
            </w:r>
            <w:r w:rsidRPr="001D6512">
              <w:rPr>
                <w:vertAlign w:val="subscript"/>
              </w:rPr>
              <w:t>heat</w:t>
            </w:r>
          </w:p>
        </w:tc>
        <w:tc>
          <w:tcPr>
            <w:tcW w:w="812" w:type="pct"/>
            <w:vAlign w:val="center"/>
          </w:tcPr>
          <w:p w:rsidR="00E17950" w:rsidRPr="001D6512" w:rsidRDefault="00E17950" w:rsidP="00E17950">
            <w:pPr>
              <w:pStyle w:val="TableCell"/>
              <w:keepNext w:val="0"/>
              <w:spacing w:before="60" w:after="60"/>
            </w:pPr>
            <w:r w:rsidRPr="001D6512">
              <w:t>Fixed</w:t>
            </w:r>
          </w:p>
        </w:tc>
        <w:tc>
          <w:tcPr>
            <w:tcW w:w="1982" w:type="pct"/>
            <w:vAlign w:val="center"/>
          </w:tcPr>
          <w:p w:rsidR="00E17950" w:rsidRPr="001D6512" w:rsidRDefault="00E17950" w:rsidP="00E17950">
            <w:pPr>
              <w:pStyle w:val="TableCell"/>
              <w:keepNext w:val="0"/>
              <w:spacing w:before="60" w:after="60"/>
            </w:pPr>
            <w:r w:rsidRPr="001D6512">
              <w:t>Allentown Heating = 2,492 Hours</w:t>
            </w:r>
          </w:p>
          <w:p w:rsidR="00E17950" w:rsidRPr="001D6512" w:rsidRDefault="00E17950" w:rsidP="00E17950">
            <w:pPr>
              <w:pStyle w:val="TableCell"/>
              <w:keepNext w:val="0"/>
              <w:spacing w:before="60" w:after="60"/>
            </w:pPr>
            <w:r w:rsidRPr="001D6512">
              <w:t>Erie Heating = 2,901 Hours</w:t>
            </w:r>
          </w:p>
          <w:p w:rsidR="00E17950" w:rsidRPr="001D6512" w:rsidRDefault="00E17950" w:rsidP="00E17950">
            <w:pPr>
              <w:pStyle w:val="TableCell"/>
              <w:keepNext w:val="0"/>
              <w:spacing w:before="60" w:after="60"/>
            </w:pPr>
            <w:r w:rsidRPr="001D6512">
              <w:t>Harrisburg Heating = 2,371 Hours</w:t>
            </w:r>
          </w:p>
          <w:p w:rsidR="00E17950" w:rsidRPr="001D6512" w:rsidRDefault="00E17950" w:rsidP="00E17950">
            <w:pPr>
              <w:pStyle w:val="TableCell"/>
              <w:keepNext w:val="0"/>
              <w:spacing w:before="60" w:after="60"/>
            </w:pPr>
            <w:r w:rsidRPr="001D6512">
              <w:t>Philadelphia Heating = 2,328 Hours</w:t>
            </w:r>
          </w:p>
          <w:p w:rsidR="00E17950" w:rsidRPr="001D6512" w:rsidRDefault="00E17950" w:rsidP="00E17950">
            <w:pPr>
              <w:pStyle w:val="TableCell"/>
              <w:keepNext w:val="0"/>
              <w:spacing w:before="60" w:after="60"/>
            </w:pPr>
            <w:r w:rsidRPr="001D6512">
              <w:t>Pittsburgh Heating = 2,380 Hours</w:t>
            </w:r>
          </w:p>
          <w:p w:rsidR="00E17950" w:rsidRPr="001D6512" w:rsidRDefault="00E17950" w:rsidP="00E17950">
            <w:pPr>
              <w:pStyle w:val="TableCell"/>
              <w:keepNext w:val="0"/>
              <w:spacing w:before="60" w:after="60"/>
            </w:pPr>
            <w:r w:rsidRPr="001D6512">
              <w:t>Scranton Heating = 2,532 Hours</w:t>
            </w:r>
          </w:p>
          <w:p w:rsidR="00E17950" w:rsidRPr="001D6512" w:rsidRDefault="00E17950" w:rsidP="00E17950">
            <w:pPr>
              <w:pStyle w:val="TableCell"/>
              <w:keepNext w:val="0"/>
              <w:spacing w:before="60" w:after="60"/>
            </w:pPr>
            <w:r w:rsidRPr="001D6512">
              <w:t>Williamsport Heating = 2,502 Hours</w:t>
            </w:r>
          </w:p>
        </w:tc>
        <w:tc>
          <w:tcPr>
            <w:tcW w:w="1128" w:type="pct"/>
            <w:vAlign w:val="center"/>
          </w:tcPr>
          <w:p w:rsidR="00E17950" w:rsidRPr="001D6512" w:rsidRDefault="00E17950" w:rsidP="00E17950">
            <w:pPr>
              <w:pStyle w:val="TableCell"/>
              <w:keepNext w:val="0"/>
              <w:spacing w:before="60" w:after="60"/>
            </w:pPr>
            <w:r w:rsidRPr="001D6512">
              <w:t>4</w:t>
            </w:r>
          </w:p>
        </w:tc>
      </w:tr>
      <w:tr w:rsidR="00E17950" w:rsidRPr="00F046C6" w:rsidTr="00E17950">
        <w:trPr>
          <w:cantSplit/>
          <w:trHeight w:val="317"/>
          <w:jc w:val="center"/>
        </w:trPr>
        <w:tc>
          <w:tcPr>
            <w:tcW w:w="1078" w:type="pct"/>
            <w:vAlign w:val="center"/>
          </w:tcPr>
          <w:p w:rsidR="00E17950" w:rsidRPr="001D6512" w:rsidRDefault="00E17950" w:rsidP="00E17950">
            <w:pPr>
              <w:pStyle w:val="TableCell"/>
              <w:keepNext w:val="0"/>
              <w:spacing w:before="60" w:after="60"/>
            </w:pPr>
            <w:r w:rsidRPr="001D6512">
              <w:t>ESF</w:t>
            </w:r>
          </w:p>
        </w:tc>
        <w:tc>
          <w:tcPr>
            <w:tcW w:w="812" w:type="pct"/>
            <w:vAlign w:val="center"/>
          </w:tcPr>
          <w:p w:rsidR="00E17950" w:rsidRPr="001D6512" w:rsidRDefault="00E17950" w:rsidP="00E17950">
            <w:pPr>
              <w:pStyle w:val="TableCell"/>
              <w:keepNext w:val="0"/>
              <w:spacing w:before="60" w:after="60"/>
            </w:pPr>
            <w:r w:rsidRPr="001D6512">
              <w:t>Fixed</w:t>
            </w:r>
          </w:p>
        </w:tc>
        <w:tc>
          <w:tcPr>
            <w:tcW w:w="1982" w:type="pct"/>
            <w:vAlign w:val="center"/>
          </w:tcPr>
          <w:p w:rsidR="00E17950" w:rsidRPr="001D6512" w:rsidRDefault="00E17950" w:rsidP="00E17950">
            <w:pPr>
              <w:pStyle w:val="TableCell"/>
              <w:keepNext w:val="0"/>
              <w:spacing w:before="60" w:after="60"/>
            </w:pPr>
            <w:r w:rsidRPr="001D6512">
              <w:t>2.9%</w:t>
            </w:r>
          </w:p>
        </w:tc>
        <w:tc>
          <w:tcPr>
            <w:tcW w:w="1128" w:type="pct"/>
            <w:vAlign w:val="center"/>
          </w:tcPr>
          <w:p w:rsidR="00E17950" w:rsidRPr="001D6512" w:rsidRDefault="00E17950" w:rsidP="00E17950">
            <w:pPr>
              <w:pStyle w:val="TableCell"/>
              <w:keepNext w:val="0"/>
              <w:spacing w:before="60" w:after="60"/>
            </w:pPr>
            <w:r w:rsidRPr="001D6512">
              <w:t>5</w:t>
            </w:r>
          </w:p>
        </w:tc>
      </w:tr>
      <w:tr w:rsidR="00E17950" w:rsidRPr="00F046C6" w:rsidTr="00E17950">
        <w:trPr>
          <w:cantSplit/>
          <w:trHeight w:val="317"/>
          <w:jc w:val="center"/>
        </w:trPr>
        <w:tc>
          <w:tcPr>
            <w:tcW w:w="1078" w:type="pct"/>
            <w:vAlign w:val="center"/>
          </w:tcPr>
          <w:p w:rsidR="00E17950" w:rsidRPr="001D6512" w:rsidRDefault="00E17950" w:rsidP="00E17950">
            <w:pPr>
              <w:pStyle w:val="TableCell"/>
              <w:keepNext w:val="0"/>
              <w:spacing w:before="60" w:after="60"/>
              <w:rPr>
                <w:vertAlign w:val="subscript"/>
              </w:rPr>
            </w:pPr>
            <w:r w:rsidRPr="001D6512">
              <w:t>MF</w:t>
            </w:r>
            <w:r w:rsidRPr="001D6512">
              <w:rPr>
                <w:vertAlign w:val="subscript"/>
              </w:rPr>
              <w:t>cool</w:t>
            </w:r>
          </w:p>
        </w:tc>
        <w:tc>
          <w:tcPr>
            <w:tcW w:w="812" w:type="pct"/>
            <w:vAlign w:val="center"/>
          </w:tcPr>
          <w:p w:rsidR="00E17950" w:rsidRPr="001D6512" w:rsidRDefault="00E17950" w:rsidP="00E17950">
            <w:pPr>
              <w:pStyle w:val="TableCell"/>
              <w:keepNext w:val="0"/>
              <w:spacing w:before="60" w:after="60"/>
            </w:pPr>
            <w:r w:rsidRPr="001D6512">
              <w:t>Fixed</w:t>
            </w:r>
          </w:p>
        </w:tc>
        <w:tc>
          <w:tcPr>
            <w:tcW w:w="1982" w:type="pct"/>
            <w:vAlign w:val="center"/>
          </w:tcPr>
          <w:p w:rsidR="00E17950" w:rsidRPr="001D6512" w:rsidRDefault="00E17950" w:rsidP="00E17950">
            <w:pPr>
              <w:pStyle w:val="TableCell"/>
              <w:keepNext w:val="0"/>
              <w:spacing w:before="60" w:after="60"/>
            </w:pPr>
            <w:r w:rsidRPr="001D6512">
              <w:t>10%</w:t>
            </w:r>
          </w:p>
        </w:tc>
        <w:tc>
          <w:tcPr>
            <w:tcW w:w="1128" w:type="pct"/>
            <w:vAlign w:val="center"/>
          </w:tcPr>
          <w:p w:rsidR="00E17950" w:rsidRPr="001D6512" w:rsidRDefault="00E17950" w:rsidP="00E17950">
            <w:pPr>
              <w:pStyle w:val="TableCell"/>
              <w:keepNext w:val="0"/>
              <w:spacing w:before="60" w:after="60"/>
            </w:pPr>
            <w:r w:rsidRPr="001D6512">
              <w:t>16</w:t>
            </w:r>
          </w:p>
        </w:tc>
      </w:tr>
      <w:tr w:rsidR="00E17950" w:rsidRPr="00F046C6" w:rsidTr="00E17950">
        <w:trPr>
          <w:cantSplit/>
          <w:trHeight w:val="317"/>
          <w:jc w:val="center"/>
        </w:trPr>
        <w:tc>
          <w:tcPr>
            <w:tcW w:w="1078" w:type="pct"/>
            <w:vAlign w:val="center"/>
          </w:tcPr>
          <w:p w:rsidR="00E17950" w:rsidRPr="001D6512" w:rsidRDefault="00E17950" w:rsidP="00E17950">
            <w:pPr>
              <w:pStyle w:val="TableCell"/>
              <w:keepNext w:val="0"/>
              <w:spacing w:before="60" w:after="60"/>
              <w:rPr>
                <w:vertAlign w:val="subscript"/>
              </w:rPr>
            </w:pPr>
            <w:r w:rsidRPr="001D6512">
              <w:t>MF</w:t>
            </w:r>
            <w:r w:rsidRPr="001D6512">
              <w:rPr>
                <w:vertAlign w:val="subscript"/>
              </w:rPr>
              <w:t>heat</w:t>
            </w:r>
          </w:p>
        </w:tc>
        <w:tc>
          <w:tcPr>
            <w:tcW w:w="812" w:type="pct"/>
            <w:vAlign w:val="center"/>
          </w:tcPr>
          <w:p w:rsidR="00E17950" w:rsidRPr="001D6512" w:rsidRDefault="00E17950" w:rsidP="00E17950">
            <w:pPr>
              <w:pStyle w:val="TableCell"/>
              <w:keepNext w:val="0"/>
              <w:spacing w:before="60" w:after="60"/>
            </w:pPr>
            <w:r w:rsidRPr="001D6512">
              <w:t>Fixed</w:t>
            </w:r>
          </w:p>
        </w:tc>
        <w:tc>
          <w:tcPr>
            <w:tcW w:w="1982" w:type="pct"/>
            <w:vAlign w:val="center"/>
          </w:tcPr>
          <w:p w:rsidR="00E17950" w:rsidRPr="001D6512" w:rsidRDefault="00E17950" w:rsidP="00E17950">
            <w:pPr>
              <w:pStyle w:val="TableCell"/>
              <w:keepNext w:val="0"/>
              <w:spacing w:before="60" w:after="60"/>
            </w:pPr>
            <w:r w:rsidRPr="001D6512">
              <w:t>10%</w:t>
            </w:r>
          </w:p>
        </w:tc>
        <w:tc>
          <w:tcPr>
            <w:tcW w:w="1128" w:type="pct"/>
            <w:vAlign w:val="center"/>
          </w:tcPr>
          <w:p w:rsidR="00E17950" w:rsidRPr="001D6512" w:rsidRDefault="00E17950" w:rsidP="00E17950">
            <w:pPr>
              <w:pStyle w:val="TableCell"/>
              <w:keepNext w:val="0"/>
              <w:spacing w:before="60" w:after="60"/>
            </w:pPr>
            <w:r w:rsidRPr="001D6512">
              <w:t>16</w:t>
            </w:r>
          </w:p>
        </w:tc>
      </w:tr>
      <w:tr w:rsidR="00E17950" w:rsidRPr="00F046C6" w:rsidTr="00E17950">
        <w:trPr>
          <w:cantSplit/>
          <w:trHeight w:val="317"/>
          <w:jc w:val="center"/>
        </w:trPr>
        <w:tc>
          <w:tcPr>
            <w:tcW w:w="1078" w:type="pct"/>
            <w:vAlign w:val="center"/>
          </w:tcPr>
          <w:p w:rsidR="00E17950" w:rsidRPr="001D6512" w:rsidRDefault="00E17950" w:rsidP="00E17950">
            <w:pPr>
              <w:pStyle w:val="TableCell"/>
              <w:keepNext w:val="0"/>
              <w:spacing w:before="60" w:after="60"/>
            </w:pPr>
            <w:r w:rsidRPr="001D6512">
              <w:t>DuctSF</w:t>
            </w:r>
          </w:p>
        </w:tc>
        <w:tc>
          <w:tcPr>
            <w:tcW w:w="812" w:type="pct"/>
            <w:vAlign w:val="center"/>
          </w:tcPr>
          <w:p w:rsidR="00E17950" w:rsidRPr="001D6512" w:rsidRDefault="00E17950" w:rsidP="00E17950">
            <w:pPr>
              <w:pStyle w:val="TableCell"/>
              <w:keepNext w:val="0"/>
              <w:spacing w:before="60" w:after="60"/>
            </w:pPr>
            <w:r w:rsidRPr="001D6512">
              <w:t>Fixed</w:t>
            </w:r>
          </w:p>
        </w:tc>
        <w:tc>
          <w:tcPr>
            <w:tcW w:w="1982" w:type="pct"/>
            <w:vAlign w:val="center"/>
          </w:tcPr>
          <w:p w:rsidR="00E17950" w:rsidRPr="001D6512" w:rsidRDefault="00E17950" w:rsidP="00E17950">
            <w:pPr>
              <w:pStyle w:val="TableCell"/>
              <w:keepNext w:val="0"/>
              <w:spacing w:before="60" w:after="60"/>
            </w:pPr>
            <w:r w:rsidRPr="001D6512">
              <w:t>18%</w:t>
            </w:r>
          </w:p>
        </w:tc>
        <w:tc>
          <w:tcPr>
            <w:tcW w:w="1128" w:type="pct"/>
            <w:vAlign w:val="center"/>
          </w:tcPr>
          <w:p w:rsidR="00E17950" w:rsidRPr="001D6512" w:rsidRDefault="00E17950" w:rsidP="00E17950">
            <w:pPr>
              <w:pStyle w:val="TableCell"/>
              <w:keepNext w:val="0"/>
              <w:spacing w:before="60" w:after="60"/>
            </w:pPr>
            <w:r w:rsidRPr="001D6512">
              <w:t>13</w:t>
            </w:r>
          </w:p>
        </w:tc>
      </w:tr>
      <w:tr w:rsidR="00E17950" w:rsidRPr="00F046C6" w:rsidTr="00E17950">
        <w:trPr>
          <w:cantSplit/>
          <w:trHeight w:val="317"/>
          <w:jc w:val="center"/>
        </w:trPr>
        <w:tc>
          <w:tcPr>
            <w:tcW w:w="1078" w:type="pct"/>
            <w:vAlign w:val="center"/>
          </w:tcPr>
          <w:p w:rsidR="00E17950" w:rsidRPr="001D6512" w:rsidRDefault="00E17950" w:rsidP="00E17950">
            <w:pPr>
              <w:pStyle w:val="TableCell"/>
              <w:keepNext w:val="0"/>
              <w:spacing w:before="60" w:after="60"/>
            </w:pPr>
            <w:r w:rsidRPr="001D6512">
              <w:t>CF</w:t>
            </w:r>
          </w:p>
        </w:tc>
        <w:tc>
          <w:tcPr>
            <w:tcW w:w="812" w:type="pct"/>
            <w:vAlign w:val="center"/>
          </w:tcPr>
          <w:p w:rsidR="00E17950" w:rsidRPr="001D6512" w:rsidRDefault="00E17950" w:rsidP="00E17950">
            <w:pPr>
              <w:pStyle w:val="TableCell"/>
              <w:keepNext w:val="0"/>
              <w:spacing w:before="60" w:after="60"/>
            </w:pPr>
            <w:r w:rsidRPr="001D6512">
              <w:t>Fixed</w:t>
            </w:r>
          </w:p>
        </w:tc>
        <w:tc>
          <w:tcPr>
            <w:tcW w:w="1982" w:type="pct"/>
            <w:vAlign w:val="center"/>
          </w:tcPr>
          <w:p w:rsidR="00E17950" w:rsidRPr="001D6512" w:rsidRDefault="00E17950" w:rsidP="00E17950">
            <w:pPr>
              <w:pStyle w:val="TableCell"/>
              <w:keepNext w:val="0"/>
              <w:spacing w:before="60" w:after="60"/>
            </w:pPr>
            <w:r w:rsidRPr="001D6512">
              <w:t>70%</w:t>
            </w:r>
          </w:p>
        </w:tc>
        <w:tc>
          <w:tcPr>
            <w:tcW w:w="1128" w:type="pct"/>
            <w:vAlign w:val="center"/>
          </w:tcPr>
          <w:p w:rsidR="00E17950" w:rsidRPr="001D6512" w:rsidRDefault="00E17950" w:rsidP="00E17950">
            <w:pPr>
              <w:pStyle w:val="TableCell"/>
              <w:keepNext w:val="0"/>
              <w:spacing w:before="60" w:after="60"/>
            </w:pPr>
            <w:r w:rsidRPr="001D6512">
              <w:t>6</w:t>
            </w:r>
          </w:p>
        </w:tc>
      </w:tr>
      <w:tr w:rsidR="00E17950" w:rsidRPr="00F046C6" w:rsidTr="00E17950">
        <w:trPr>
          <w:cantSplit/>
          <w:trHeight w:val="317"/>
          <w:jc w:val="center"/>
        </w:trPr>
        <w:tc>
          <w:tcPr>
            <w:tcW w:w="1078" w:type="pct"/>
            <w:vAlign w:val="center"/>
          </w:tcPr>
          <w:p w:rsidR="00E17950" w:rsidRPr="001D6512" w:rsidRDefault="00E17950" w:rsidP="00E17950">
            <w:pPr>
              <w:pStyle w:val="TableCell"/>
              <w:keepNext w:val="0"/>
              <w:spacing w:before="60" w:after="60"/>
            </w:pPr>
            <w:r w:rsidRPr="001D6512">
              <w:t>DSF</w:t>
            </w:r>
          </w:p>
        </w:tc>
        <w:tc>
          <w:tcPr>
            <w:tcW w:w="812" w:type="pct"/>
            <w:vAlign w:val="center"/>
          </w:tcPr>
          <w:p w:rsidR="00E17950" w:rsidRPr="001D6512" w:rsidRDefault="00E17950" w:rsidP="00E17950">
            <w:pPr>
              <w:pStyle w:val="TableCell"/>
              <w:keepNext w:val="0"/>
              <w:spacing w:before="60" w:after="60"/>
            </w:pPr>
            <w:r w:rsidRPr="001D6512">
              <w:t>Fixed</w:t>
            </w:r>
          </w:p>
        </w:tc>
        <w:tc>
          <w:tcPr>
            <w:tcW w:w="1982" w:type="pct"/>
            <w:vAlign w:val="center"/>
          </w:tcPr>
          <w:p w:rsidR="00E17950" w:rsidRPr="001D6512" w:rsidRDefault="00E17950" w:rsidP="00E17950">
            <w:pPr>
              <w:pStyle w:val="TableCell"/>
              <w:keepNext w:val="0"/>
              <w:spacing w:before="60" w:after="60"/>
            </w:pPr>
            <w:r w:rsidRPr="001D6512">
              <w:t>2.9%</w:t>
            </w:r>
          </w:p>
        </w:tc>
        <w:tc>
          <w:tcPr>
            <w:tcW w:w="1128" w:type="pct"/>
            <w:vAlign w:val="center"/>
          </w:tcPr>
          <w:p w:rsidR="00E17950" w:rsidRPr="001D6512" w:rsidRDefault="00E17950" w:rsidP="00E17950">
            <w:pPr>
              <w:pStyle w:val="TableCell"/>
              <w:keepNext w:val="0"/>
              <w:spacing w:before="60" w:after="60"/>
            </w:pPr>
            <w:r w:rsidRPr="001D6512">
              <w:t>7</w:t>
            </w:r>
          </w:p>
        </w:tc>
      </w:tr>
      <w:tr w:rsidR="00E17950" w:rsidRPr="00F046C6" w:rsidTr="00E17950">
        <w:trPr>
          <w:cantSplit/>
          <w:trHeight w:val="317"/>
          <w:jc w:val="center"/>
        </w:trPr>
        <w:tc>
          <w:tcPr>
            <w:tcW w:w="1078" w:type="pct"/>
            <w:vMerge w:val="restart"/>
            <w:vAlign w:val="center"/>
          </w:tcPr>
          <w:p w:rsidR="00E17950" w:rsidRPr="001D6512" w:rsidRDefault="00E17950" w:rsidP="00E17950">
            <w:pPr>
              <w:pStyle w:val="TableCell"/>
              <w:keepNext w:val="0"/>
              <w:spacing w:before="60" w:after="60"/>
            </w:pPr>
            <w:r w:rsidRPr="001D6512">
              <w:t>HSPF</w:t>
            </w:r>
            <w:r w:rsidRPr="001D6512">
              <w:rPr>
                <w:i/>
                <w:vertAlign w:val="subscript"/>
              </w:rPr>
              <w:t>b</w:t>
            </w:r>
          </w:p>
        </w:tc>
        <w:tc>
          <w:tcPr>
            <w:tcW w:w="812" w:type="pct"/>
            <w:vAlign w:val="center"/>
          </w:tcPr>
          <w:p w:rsidR="00E17950" w:rsidRPr="001D6512" w:rsidRDefault="00E17950" w:rsidP="00E17950">
            <w:pPr>
              <w:pStyle w:val="TableCell"/>
              <w:keepNext w:val="0"/>
              <w:spacing w:before="60" w:after="60"/>
            </w:pPr>
            <w:r w:rsidRPr="001D6512">
              <w:t>Fixed</w:t>
            </w:r>
          </w:p>
        </w:tc>
        <w:tc>
          <w:tcPr>
            <w:tcW w:w="1982" w:type="pct"/>
            <w:vAlign w:val="center"/>
          </w:tcPr>
          <w:p w:rsidR="00E17950" w:rsidRPr="001D6512" w:rsidRDefault="00E17950" w:rsidP="00E17950">
            <w:pPr>
              <w:pStyle w:val="TableCell"/>
              <w:keepNext w:val="0"/>
              <w:spacing w:before="60" w:after="60"/>
            </w:pPr>
            <w:r w:rsidRPr="001D6512">
              <w:t>Replace on Burnout: 7.7</w:t>
            </w:r>
          </w:p>
        </w:tc>
        <w:tc>
          <w:tcPr>
            <w:tcW w:w="1128" w:type="pct"/>
            <w:vAlign w:val="center"/>
          </w:tcPr>
          <w:p w:rsidR="00E17950" w:rsidRPr="001D6512" w:rsidRDefault="00E17950" w:rsidP="00E17950">
            <w:pPr>
              <w:pStyle w:val="TableCell"/>
              <w:keepNext w:val="0"/>
              <w:spacing w:before="60" w:after="60"/>
            </w:pPr>
            <w:r w:rsidRPr="001D6512">
              <w:t>8</w:t>
            </w:r>
          </w:p>
        </w:tc>
      </w:tr>
      <w:tr w:rsidR="00E17950" w:rsidRPr="00F046C6" w:rsidTr="00E17950">
        <w:trPr>
          <w:cantSplit/>
          <w:trHeight w:val="317"/>
          <w:jc w:val="center"/>
        </w:trPr>
        <w:tc>
          <w:tcPr>
            <w:tcW w:w="1078" w:type="pct"/>
            <w:vMerge/>
            <w:vAlign w:val="center"/>
          </w:tcPr>
          <w:p w:rsidR="00E17950" w:rsidRPr="001D6512" w:rsidRDefault="00E17950" w:rsidP="00E17950">
            <w:pPr>
              <w:pStyle w:val="TableCell"/>
              <w:keepNext w:val="0"/>
              <w:spacing w:before="60" w:after="60"/>
            </w:pPr>
          </w:p>
        </w:tc>
        <w:tc>
          <w:tcPr>
            <w:tcW w:w="812" w:type="pct"/>
            <w:vAlign w:val="center"/>
          </w:tcPr>
          <w:p w:rsidR="00E17950" w:rsidRPr="001D6512" w:rsidRDefault="00E17950" w:rsidP="00E17950">
            <w:pPr>
              <w:pStyle w:val="TableCell"/>
              <w:keepNext w:val="0"/>
              <w:spacing w:before="60" w:after="60"/>
            </w:pPr>
            <w:r w:rsidRPr="001D6512">
              <w:t>Variable</w:t>
            </w:r>
          </w:p>
        </w:tc>
        <w:tc>
          <w:tcPr>
            <w:tcW w:w="1982" w:type="pct"/>
            <w:vAlign w:val="center"/>
          </w:tcPr>
          <w:p w:rsidR="00E17950" w:rsidRPr="001D6512" w:rsidRDefault="00E17950" w:rsidP="00E17950">
            <w:pPr>
              <w:pStyle w:val="TableCell"/>
              <w:keepNext w:val="0"/>
              <w:spacing w:before="60" w:after="60"/>
            </w:pPr>
            <w:r w:rsidRPr="001D6512">
              <w:t>Early Retirement: EDC Data Gathering</w:t>
            </w:r>
          </w:p>
        </w:tc>
        <w:tc>
          <w:tcPr>
            <w:tcW w:w="1128" w:type="pct"/>
            <w:vAlign w:val="center"/>
          </w:tcPr>
          <w:p w:rsidR="00E17950" w:rsidRPr="001D6512" w:rsidRDefault="00E17950" w:rsidP="00E17950">
            <w:pPr>
              <w:pStyle w:val="TableCell"/>
              <w:keepNext w:val="0"/>
              <w:spacing w:before="60" w:after="60"/>
            </w:pPr>
            <w:r w:rsidRPr="001D6512">
              <w:t>EDC Data Gathering</w:t>
            </w:r>
          </w:p>
        </w:tc>
      </w:tr>
      <w:tr w:rsidR="00E17950" w:rsidRPr="00F046C6" w:rsidTr="00E17950">
        <w:trPr>
          <w:cantSplit/>
          <w:trHeight w:val="317"/>
          <w:jc w:val="center"/>
        </w:trPr>
        <w:tc>
          <w:tcPr>
            <w:tcW w:w="1078" w:type="pct"/>
            <w:vAlign w:val="center"/>
          </w:tcPr>
          <w:p w:rsidR="00E17950" w:rsidRPr="001D6512" w:rsidRDefault="00E17950" w:rsidP="00E17950">
            <w:pPr>
              <w:pStyle w:val="TableCell"/>
              <w:keepNext w:val="0"/>
              <w:spacing w:before="60" w:after="60"/>
            </w:pPr>
            <w:r w:rsidRPr="001D6512">
              <w:t>HSPF</w:t>
            </w:r>
            <w:r w:rsidRPr="001D6512">
              <w:rPr>
                <w:i/>
                <w:vertAlign w:val="subscript"/>
              </w:rPr>
              <w:t>e</w:t>
            </w:r>
          </w:p>
        </w:tc>
        <w:tc>
          <w:tcPr>
            <w:tcW w:w="812" w:type="pct"/>
            <w:vAlign w:val="center"/>
          </w:tcPr>
          <w:p w:rsidR="00E17950" w:rsidRPr="001D6512" w:rsidRDefault="00E17950" w:rsidP="00E17950">
            <w:pPr>
              <w:pStyle w:val="TableCell"/>
              <w:keepNext w:val="0"/>
              <w:spacing w:before="60" w:after="60"/>
            </w:pPr>
            <w:r w:rsidRPr="001D6512">
              <w:t>Variable</w:t>
            </w:r>
          </w:p>
        </w:tc>
        <w:tc>
          <w:tcPr>
            <w:tcW w:w="1982" w:type="pct"/>
            <w:vAlign w:val="center"/>
          </w:tcPr>
          <w:p w:rsidR="00E17950" w:rsidRPr="001D6512" w:rsidRDefault="00E17950" w:rsidP="00E17950">
            <w:pPr>
              <w:pStyle w:val="TableCell"/>
              <w:keepNext w:val="0"/>
              <w:spacing w:before="60" w:after="60"/>
            </w:pPr>
            <w:r w:rsidRPr="001D6512">
              <w:t>EDC Data Gathering</w:t>
            </w:r>
          </w:p>
        </w:tc>
        <w:tc>
          <w:tcPr>
            <w:tcW w:w="1128" w:type="pct"/>
            <w:vAlign w:val="center"/>
          </w:tcPr>
          <w:p w:rsidR="00E17950" w:rsidRPr="001D6512" w:rsidRDefault="00E17950" w:rsidP="00E17950">
            <w:pPr>
              <w:pStyle w:val="TableCell"/>
              <w:keepNext w:val="0"/>
              <w:spacing w:before="60" w:after="60"/>
            </w:pPr>
            <w:r w:rsidRPr="001D6512">
              <w:rPr>
                <w:highlight w:val="lightGray"/>
              </w:rPr>
              <w:t>AEPS Application</w:t>
            </w:r>
            <w:r w:rsidRPr="001D6512">
              <w:t>; EDC’s Data Gathering</w:t>
            </w:r>
          </w:p>
        </w:tc>
      </w:tr>
      <w:tr w:rsidR="00E17950" w:rsidRPr="00F046C6" w:rsidTr="00E17950">
        <w:trPr>
          <w:cantSplit/>
          <w:trHeight w:val="317"/>
          <w:jc w:val="center"/>
        </w:trPr>
        <w:tc>
          <w:tcPr>
            <w:tcW w:w="1078" w:type="pct"/>
            <w:vAlign w:val="center"/>
          </w:tcPr>
          <w:p w:rsidR="00E17950" w:rsidRPr="001D6512" w:rsidRDefault="00E17950" w:rsidP="00E17950">
            <w:pPr>
              <w:pStyle w:val="TableCell"/>
              <w:keepNext w:val="0"/>
              <w:spacing w:before="60" w:after="60"/>
            </w:pPr>
            <w:r w:rsidRPr="001D6512">
              <w:t>COP</w:t>
            </w:r>
            <w:r w:rsidRPr="001D6512">
              <w:rPr>
                <w:i/>
                <w:vertAlign w:val="subscript"/>
              </w:rPr>
              <w:t>g</w:t>
            </w:r>
          </w:p>
        </w:tc>
        <w:tc>
          <w:tcPr>
            <w:tcW w:w="812" w:type="pct"/>
            <w:vAlign w:val="center"/>
          </w:tcPr>
          <w:p w:rsidR="00E17950" w:rsidRPr="001D6512" w:rsidRDefault="00E17950" w:rsidP="00E17950">
            <w:pPr>
              <w:pStyle w:val="TableCell"/>
              <w:keepNext w:val="0"/>
              <w:spacing w:before="60" w:after="60"/>
            </w:pPr>
            <w:r w:rsidRPr="001D6512">
              <w:t>Variable</w:t>
            </w:r>
          </w:p>
        </w:tc>
        <w:tc>
          <w:tcPr>
            <w:tcW w:w="1982" w:type="pct"/>
            <w:vAlign w:val="center"/>
          </w:tcPr>
          <w:p w:rsidR="00E17950" w:rsidRPr="001D6512" w:rsidRDefault="00E17950" w:rsidP="00E17950">
            <w:pPr>
              <w:pStyle w:val="TableCell"/>
              <w:keepNext w:val="0"/>
              <w:spacing w:before="60" w:after="60"/>
            </w:pPr>
            <w:r w:rsidRPr="001D6512">
              <w:t>EDC Data Gathering</w:t>
            </w:r>
          </w:p>
        </w:tc>
        <w:tc>
          <w:tcPr>
            <w:tcW w:w="1128" w:type="pct"/>
            <w:vAlign w:val="center"/>
          </w:tcPr>
          <w:p w:rsidR="00E17950" w:rsidRPr="001D6512" w:rsidRDefault="00E17950" w:rsidP="00E17950">
            <w:pPr>
              <w:pStyle w:val="TableCell"/>
              <w:keepNext w:val="0"/>
              <w:spacing w:before="60" w:after="60"/>
            </w:pPr>
            <w:r w:rsidRPr="001D6512">
              <w:rPr>
                <w:highlight w:val="lightGray"/>
              </w:rPr>
              <w:t>AEPS Application</w:t>
            </w:r>
            <w:r w:rsidRPr="001D6512">
              <w:t>; EDC’s Data Gathering</w:t>
            </w:r>
          </w:p>
        </w:tc>
      </w:tr>
      <w:tr w:rsidR="00E17950" w:rsidRPr="00F046C6" w:rsidTr="00E17950">
        <w:trPr>
          <w:cantSplit/>
          <w:trHeight w:val="317"/>
          <w:jc w:val="center"/>
        </w:trPr>
        <w:tc>
          <w:tcPr>
            <w:tcW w:w="1078" w:type="pct"/>
            <w:vAlign w:val="center"/>
          </w:tcPr>
          <w:p w:rsidR="00E17950" w:rsidRPr="001D6512" w:rsidRDefault="00E17950" w:rsidP="00E17950">
            <w:pPr>
              <w:pStyle w:val="TableCell"/>
              <w:keepNext w:val="0"/>
              <w:spacing w:before="60" w:after="60"/>
            </w:pPr>
            <w:r w:rsidRPr="001D6512">
              <w:t>GSOP</w:t>
            </w:r>
          </w:p>
        </w:tc>
        <w:tc>
          <w:tcPr>
            <w:tcW w:w="812" w:type="pct"/>
            <w:vAlign w:val="center"/>
          </w:tcPr>
          <w:p w:rsidR="00E17950" w:rsidRPr="001D6512" w:rsidRDefault="00E17950" w:rsidP="00E17950">
            <w:pPr>
              <w:pStyle w:val="TableCell"/>
              <w:keepNext w:val="0"/>
              <w:spacing w:before="60" w:after="60"/>
            </w:pPr>
            <w:r w:rsidRPr="001D6512">
              <w:t>Fixed</w:t>
            </w:r>
          </w:p>
        </w:tc>
        <w:tc>
          <w:tcPr>
            <w:tcW w:w="1982" w:type="pct"/>
            <w:vAlign w:val="center"/>
          </w:tcPr>
          <w:p w:rsidR="00E17950" w:rsidRPr="001D6512" w:rsidRDefault="00E17950" w:rsidP="00E17950">
            <w:pPr>
              <w:pStyle w:val="TableCell"/>
              <w:keepNext w:val="0"/>
              <w:spacing w:before="60" w:after="60"/>
            </w:pPr>
            <w:r w:rsidRPr="001D6512">
              <w:t>3.413</w:t>
            </w:r>
          </w:p>
        </w:tc>
        <w:tc>
          <w:tcPr>
            <w:tcW w:w="1128" w:type="pct"/>
            <w:vAlign w:val="center"/>
          </w:tcPr>
          <w:p w:rsidR="00E17950" w:rsidRPr="001D6512" w:rsidRDefault="00E17950" w:rsidP="00E17950">
            <w:pPr>
              <w:pStyle w:val="TableCell"/>
              <w:keepNext w:val="0"/>
              <w:spacing w:before="60" w:after="60"/>
            </w:pPr>
            <w:r w:rsidRPr="001D6512">
              <w:t>9</w:t>
            </w:r>
          </w:p>
        </w:tc>
      </w:tr>
      <w:tr w:rsidR="00E17950" w:rsidRPr="00F046C6" w:rsidTr="00E17950">
        <w:trPr>
          <w:cantSplit/>
          <w:trHeight w:val="317"/>
          <w:jc w:val="center"/>
        </w:trPr>
        <w:tc>
          <w:tcPr>
            <w:tcW w:w="1078" w:type="pct"/>
            <w:vAlign w:val="center"/>
          </w:tcPr>
          <w:p w:rsidR="00E17950" w:rsidRPr="001D6512" w:rsidRDefault="00E17950" w:rsidP="00E17950">
            <w:pPr>
              <w:pStyle w:val="TableCell"/>
              <w:keepNext w:val="0"/>
              <w:spacing w:before="60" w:after="60"/>
            </w:pPr>
            <w:r w:rsidRPr="001D6512">
              <w:t>GSPK</w:t>
            </w:r>
          </w:p>
        </w:tc>
        <w:tc>
          <w:tcPr>
            <w:tcW w:w="812" w:type="pct"/>
            <w:vAlign w:val="center"/>
          </w:tcPr>
          <w:p w:rsidR="00E17950" w:rsidRPr="001D6512" w:rsidRDefault="00E17950" w:rsidP="00E17950">
            <w:pPr>
              <w:pStyle w:val="TableCell"/>
              <w:keepNext w:val="0"/>
              <w:spacing w:before="60" w:after="60"/>
            </w:pPr>
            <w:r w:rsidRPr="001D6512">
              <w:t>Fixed</w:t>
            </w:r>
          </w:p>
        </w:tc>
        <w:tc>
          <w:tcPr>
            <w:tcW w:w="1982" w:type="pct"/>
            <w:vAlign w:val="center"/>
          </w:tcPr>
          <w:p w:rsidR="00E17950" w:rsidRPr="001D6512" w:rsidRDefault="00E17950" w:rsidP="00E17950">
            <w:pPr>
              <w:pStyle w:val="TableCell"/>
              <w:keepNext w:val="0"/>
              <w:spacing w:before="60" w:after="60"/>
            </w:pPr>
            <w:r w:rsidRPr="001D6512">
              <w:t>0.8416</w:t>
            </w:r>
          </w:p>
        </w:tc>
        <w:tc>
          <w:tcPr>
            <w:tcW w:w="1128" w:type="pct"/>
            <w:vAlign w:val="center"/>
          </w:tcPr>
          <w:p w:rsidR="00E17950" w:rsidRPr="001D6512" w:rsidRDefault="00E17950" w:rsidP="00E17950">
            <w:pPr>
              <w:pStyle w:val="TableCell"/>
              <w:keepNext w:val="0"/>
              <w:spacing w:before="60" w:after="60"/>
            </w:pPr>
            <w:r w:rsidRPr="001D6512">
              <w:t>10</w:t>
            </w:r>
          </w:p>
        </w:tc>
      </w:tr>
      <w:tr w:rsidR="00E17950" w:rsidRPr="00F046C6" w:rsidTr="00E17950">
        <w:trPr>
          <w:cantSplit/>
          <w:trHeight w:val="317"/>
          <w:jc w:val="center"/>
        </w:trPr>
        <w:tc>
          <w:tcPr>
            <w:tcW w:w="1078" w:type="pct"/>
            <w:vAlign w:val="center"/>
          </w:tcPr>
          <w:p w:rsidR="00E17950" w:rsidRPr="001D6512" w:rsidRDefault="00E17950" w:rsidP="00E17950">
            <w:pPr>
              <w:pStyle w:val="TableCell"/>
              <w:keepNext w:val="0"/>
              <w:spacing w:before="60" w:after="60"/>
            </w:pPr>
            <w:r w:rsidRPr="001D6512">
              <w:t>EDSH</w:t>
            </w:r>
          </w:p>
        </w:tc>
        <w:tc>
          <w:tcPr>
            <w:tcW w:w="812" w:type="pct"/>
            <w:vAlign w:val="center"/>
          </w:tcPr>
          <w:p w:rsidR="00E17950" w:rsidRPr="001D6512" w:rsidRDefault="00E17950" w:rsidP="00E17950">
            <w:pPr>
              <w:pStyle w:val="TableCell"/>
              <w:keepNext w:val="0"/>
              <w:spacing w:before="60" w:after="60"/>
            </w:pPr>
            <w:r w:rsidRPr="001D6512">
              <w:t>Fixed</w:t>
            </w:r>
          </w:p>
        </w:tc>
        <w:tc>
          <w:tcPr>
            <w:tcW w:w="1982" w:type="pct"/>
            <w:vAlign w:val="center"/>
          </w:tcPr>
          <w:p w:rsidR="00E17950" w:rsidRPr="001D6512" w:rsidRDefault="00E17950" w:rsidP="00E17950">
            <w:pPr>
              <w:pStyle w:val="TableCell"/>
              <w:keepNext w:val="0"/>
              <w:spacing w:before="60" w:after="60"/>
            </w:pPr>
            <w:r w:rsidRPr="001D6512">
              <w:t>1842 kWh</w:t>
            </w:r>
          </w:p>
        </w:tc>
        <w:tc>
          <w:tcPr>
            <w:tcW w:w="1128" w:type="pct"/>
            <w:vAlign w:val="center"/>
          </w:tcPr>
          <w:p w:rsidR="00E17950" w:rsidRPr="001D6512" w:rsidRDefault="00E17950" w:rsidP="00E17950">
            <w:pPr>
              <w:pStyle w:val="TableCell"/>
              <w:keepNext w:val="0"/>
              <w:spacing w:before="60" w:after="60"/>
            </w:pPr>
            <w:r w:rsidRPr="001D6512">
              <w:t>11</w:t>
            </w:r>
          </w:p>
        </w:tc>
      </w:tr>
      <w:tr w:rsidR="00E17950" w:rsidRPr="00F046C6" w:rsidTr="00E17950">
        <w:trPr>
          <w:cantSplit/>
          <w:trHeight w:val="317"/>
          <w:jc w:val="center"/>
        </w:trPr>
        <w:tc>
          <w:tcPr>
            <w:tcW w:w="1078" w:type="pct"/>
            <w:vAlign w:val="center"/>
          </w:tcPr>
          <w:p w:rsidR="00E17950" w:rsidRPr="001D6512" w:rsidRDefault="00E17950" w:rsidP="00E17950">
            <w:pPr>
              <w:pStyle w:val="TableCell"/>
              <w:keepNext w:val="0"/>
              <w:spacing w:before="60" w:after="60"/>
            </w:pPr>
            <w:r w:rsidRPr="001D6512">
              <w:t>PDSH</w:t>
            </w:r>
          </w:p>
        </w:tc>
        <w:tc>
          <w:tcPr>
            <w:tcW w:w="812" w:type="pct"/>
            <w:vAlign w:val="center"/>
          </w:tcPr>
          <w:p w:rsidR="00E17950" w:rsidRPr="001D6512" w:rsidRDefault="00E17950" w:rsidP="00E17950">
            <w:pPr>
              <w:pStyle w:val="TableCell"/>
              <w:keepNext w:val="0"/>
              <w:spacing w:before="60" w:after="60"/>
            </w:pPr>
            <w:r w:rsidRPr="001D6512">
              <w:t>Fixed</w:t>
            </w:r>
          </w:p>
        </w:tc>
        <w:tc>
          <w:tcPr>
            <w:tcW w:w="1982" w:type="pct"/>
            <w:vAlign w:val="center"/>
          </w:tcPr>
          <w:p w:rsidR="00E17950" w:rsidRPr="001D6512" w:rsidRDefault="00E17950" w:rsidP="00E17950">
            <w:pPr>
              <w:pStyle w:val="TableCell"/>
              <w:keepNext w:val="0"/>
              <w:spacing w:before="60" w:after="60"/>
            </w:pPr>
            <w:r w:rsidRPr="001D6512">
              <w:t>0.34 kW</w:t>
            </w:r>
          </w:p>
        </w:tc>
        <w:tc>
          <w:tcPr>
            <w:tcW w:w="1128" w:type="pct"/>
            <w:vAlign w:val="center"/>
          </w:tcPr>
          <w:p w:rsidR="00E17950" w:rsidRPr="001D6512" w:rsidRDefault="00E17950" w:rsidP="00E17950">
            <w:pPr>
              <w:pStyle w:val="TableCell"/>
              <w:keepNext w:val="0"/>
              <w:spacing w:before="60" w:after="60"/>
            </w:pPr>
            <w:r w:rsidRPr="001D6512">
              <w:t>12</w:t>
            </w:r>
          </w:p>
        </w:tc>
      </w:tr>
      <w:tr w:rsidR="00E17950" w:rsidRPr="00F046C6" w:rsidTr="00E17950">
        <w:trPr>
          <w:cantSplit/>
          <w:trHeight w:val="317"/>
          <w:jc w:val="center"/>
        </w:trPr>
        <w:tc>
          <w:tcPr>
            <w:tcW w:w="1078" w:type="pct"/>
            <w:vAlign w:val="center"/>
          </w:tcPr>
          <w:p w:rsidR="00E17950" w:rsidRPr="001D6512" w:rsidRDefault="00E17950" w:rsidP="00E17950">
            <w:pPr>
              <w:pStyle w:val="TableCell"/>
              <w:keepNext w:val="0"/>
              <w:spacing w:before="60" w:after="60"/>
            </w:pPr>
            <w:r w:rsidRPr="001D6512">
              <w:rPr>
                <w:rFonts w:cs="Arial"/>
              </w:rPr>
              <w:t>HFS</w:t>
            </w:r>
          </w:p>
        </w:tc>
        <w:tc>
          <w:tcPr>
            <w:tcW w:w="812" w:type="pct"/>
            <w:vAlign w:val="center"/>
          </w:tcPr>
          <w:p w:rsidR="00E17950" w:rsidRPr="001D6512" w:rsidRDefault="00E17950" w:rsidP="00E17950">
            <w:pPr>
              <w:pStyle w:val="TableCell"/>
              <w:keepNext w:val="0"/>
              <w:spacing w:before="60" w:after="60"/>
            </w:pPr>
            <w:r w:rsidRPr="001D6512">
              <w:t>Fixed</w:t>
            </w:r>
          </w:p>
        </w:tc>
        <w:tc>
          <w:tcPr>
            <w:tcW w:w="1982" w:type="pct"/>
            <w:vAlign w:val="center"/>
          </w:tcPr>
          <w:p w:rsidR="00E17950" w:rsidRPr="001D6512" w:rsidRDefault="00E17950" w:rsidP="00E17950">
            <w:pPr>
              <w:pStyle w:val="TableCell"/>
              <w:keepNext w:val="0"/>
              <w:spacing w:before="60" w:after="60"/>
            </w:pPr>
            <w:r w:rsidRPr="001D6512">
              <w:t>311 kWh</w:t>
            </w:r>
          </w:p>
        </w:tc>
        <w:tc>
          <w:tcPr>
            <w:tcW w:w="1128" w:type="pct"/>
            <w:vAlign w:val="center"/>
          </w:tcPr>
          <w:p w:rsidR="00E17950" w:rsidRPr="001D6512" w:rsidRDefault="00E17950" w:rsidP="00E17950">
            <w:pPr>
              <w:pStyle w:val="TableCell"/>
              <w:keepNext w:val="0"/>
              <w:spacing w:before="60" w:after="60"/>
            </w:pPr>
            <w:r w:rsidRPr="001D6512">
              <w:t>17</w:t>
            </w:r>
          </w:p>
        </w:tc>
      </w:tr>
      <w:tr w:rsidR="00E17950" w:rsidRPr="00F046C6" w:rsidTr="00E17950">
        <w:trPr>
          <w:cantSplit/>
          <w:trHeight w:val="317"/>
          <w:jc w:val="center"/>
        </w:trPr>
        <w:tc>
          <w:tcPr>
            <w:tcW w:w="1078" w:type="pct"/>
            <w:vAlign w:val="center"/>
          </w:tcPr>
          <w:p w:rsidR="00E17950" w:rsidRPr="001D6512" w:rsidRDefault="00E17950" w:rsidP="00E17950">
            <w:pPr>
              <w:pStyle w:val="TableCell"/>
              <w:keepNext w:val="0"/>
              <w:spacing w:before="60" w:after="60"/>
            </w:pPr>
            <w:r w:rsidRPr="001D6512">
              <w:t>CFS</w:t>
            </w:r>
          </w:p>
        </w:tc>
        <w:tc>
          <w:tcPr>
            <w:tcW w:w="812" w:type="pct"/>
            <w:vAlign w:val="center"/>
          </w:tcPr>
          <w:p w:rsidR="00E17950" w:rsidRPr="001D6512" w:rsidRDefault="00E17950" w:rsidP="00E17950">
            <w:pPr>
              <w:pStyle w:val="TableCell"/>
              <w:keepNext w:val="0"/>
              <w:spacing w:before="60" w:after="60"/>
            </w:pPr>
            <w:r w:rsidRPr="001D6512">
              <w:t>Fixed</w:t>
            </w:r>
          </w:p>
        </w:tc>
        <w:tc>
          <w:tcPr>
            <w:tcW w:w="1982" w:type="pct"/>
            <w:vAlign w:val="center"/>
          </w:tcPr>
          <w:p w:rsidR="00E17950" w:rsidRPr="001D6512" w:rsidRDefault="00E17950" w:rsidP="00E17950">
            <w:pPr>
              <w:pStyle w:val="TableCell"/>
              <w:keepNext w:val="0"/>
              <w:spacing w:before="60" w:after="60"/>
            </w:pPr>
            <w:r w:rsidRPr="001D6512">
              <w:t>135 kWh</w:t>
            </w:r>
          </w:p>
        </w:tc>
        <w:tc>
          <w:tcPr>
            <w:tcW w:w="1128" w:type="pct"/>
            <w:vAlign w:val="center"/>
          </w:tcPr>
          <w:p w:rsidR="00E17950" w:rsidRPr="001D6512" w:rsidRDefault="00E17950" w:rsidP="00E17950">
            <w:pPr>
              <w:pStyle w:val="TableCell"/>
              <w:keepNext w:val="0"/>
              <w:spacing w:before="60" w:after="60"/>
            </w:pPr>
            <w:r w:rsidRPr="001D6512">
              <w:t>18</w:t>
            </w:r>
          </w:p>
        </w:tc>
      </w:tr>
      <w:tr w:rsidR="00E17950" w:rsidRPr="00F046C6" w:rsidTr="00E17950">
        <w:trPr>
          <w:cantSplit/>
          <w:trHeight w:val="317"/>
          <w:jc w:val="center"/>
        </w:trPr>
        <w:tc>
          <w:tcPr>
            <w:tcW w:w="1078" w:type="pct"/>
            <w:vAlign w:val="center"/>
          </w:tcPr>
          <w:p w:rsidR="00E17950" w:rsidRPr="001D6512" w:rsidRDefault="00E17950" w:rsidP="00E17950">
            <w:pPr>
              <w:pStyle w:val="TableCell"/>
              <w:keepNext w:val="0"/>
              <w:spacing w:before="60" w:after="60"/>
            </w:pPr>
            <w:r w:rsidRPr="001D6512">
              <w:rPr>
                <w:rFonts w:cs="Arial"/>
              </w:rPr>
              <w:t>PDFS</w:t>
            </w:r>
          </w:p>
        </w:tc>
        <w:tc>
          <w:tcPr>
            <w:tcW w:w="812" w:type="pct"/>
            <w:vAlign w:val="center"/>
          </w:tcPr>
          <w:p w:rsidR="00E17950" w:rsidRPr="001D6512" w:rsidRDefault="00E17950" w:rsidP="00E17950">
            <w:pPr>
              <w:pStyle w:val="TableCell"/>
              <w:keepNext w:val="0"/>
              <w:spacing w:before="60" w:after="60"/>
            </w:pPr>
            <w:r w:rsidRPr="001D6512">
              <w:t>Fixed</w:t>
            </w:r>
          </w:p>
        </w:tc>
        <w:tc>
          <w:tcPr>
            <w:tcW w:w="1982" w:type="pct"/>
            <w:vAlign w:val="center"/>
          </w:tcPr>
          <w:p w:rsidR="00E17950" w:rsidRPr="001D6512" w:rsidRDefault="00E17950" w:rsidP="00E17950">
            <w:pPr>
              <w:pStyle w:val="TableCell"/>
              <w:keepNext w:val="0"/>
              <w:spacing w:before="60" w:after="60"/>
            </w:pPr>
            <w:r w:rsidRPr="001D6512">
              <w:t>0.114 kW</w:t>
            </w:r>
          </w:p>
        </w:tc>
        <w:tc>
          <w:tcPr>
            <w:tcW w:w="1128" w:type="pct"/>
            <w:vAlign w:val="center"/>
          </w:tcPr>
          <w:p w:rsidR="00E17950" w:rsidRPr="001D6512" w:rsidRDefault="00E17950" w:rsidP="00E17950">
            <w:pPr>
              <w:pStyle w:val="TableCell"/>
              <w:keepNext w:val="0"/>
              <w:spacing w:before="60" w:after="60"/>
            </w:pPr>
            <w:r w:rsidRPr="001D6512">
              <w:t>19</w:t>
            </w:r>
          </w:p>
        </w:tc>
      </w:tr>
    </w:tbl>
    <w:p w:rsidR="00E17950" w:rsidRDefault="00E17950" w:rsidP="00E17950"/>
    <w:p w:rsidR="00E17950" w:rsidRPr="00896814" w:rsidRDefault="00E17950" w:rsidP="00E17950">
      <w:pPr>
        <w:rPr>
          <w:b/>
        </w:rPr>
      </w:pPr>
      <w:r w:rsidRPr="00896814">
        <w:rPr>
          <w:b/>
        </w:rPr>
        <w:t>Sources:</w:t>
      </w:r>
    </w:p>
    <w:p w:rsidR="00E17950" w:rsidRDefault="00E17950" w:rsidP="0005632A">
      <w:pPr>
        <w:pStyle w:val="source1"/>
        <w:numPr>
          <w:ilvl w:val="0"/>
          <w:numId w:val="27"/>
        </w:numPr>
      </w:pPr>
      <w:r w:rsidRPr="00E165C7">
        <w:t>Federal Register, Vol. 66, No. 14, Monday, January 22, 2001/Rules and Regulations, p. 7170-7200</w:t>
      </w:r>
      <w:r w:rsidRPr="00BC5194">
        <w:rPr>
          <w:sz w:val="18"/>
          <w:szCs w:val="18"/>
        </w:rPr>
        <w:t>.</w:t>
      </w:r>
    </w:p>
    <w:p w:rsidR="00E17950" w:rsidRDefault="00E17950" w:rsidP="00E17950">
      <w:pPr>
        <w:pStyle w:val="source1"/>
      </w:pPr>
      <w:r>
        <w:t>Average EER for SEER 13 units.</w:t>
      </w:r>
    </w:p>
    <w:p w:rsidR="00E17950" w:rsidRDefault="00E17950" w:rsidP="00E17950">
      <w:pPr>
        <w:pStyle w:val="source1"/>
      </w:pPr>
      <w:r>
        <w:t>VEIC estimate.  Extrapolation of manufacturer data.</w:t>
      </w:r>
    </w:p>
    <w:p w:rsidR="00E17950" w:rsidRDefault="00E17950" w:rsidP="00E17950">
      <w:pPr>
        <w:pStyle w:val="source1"/>
      </w:pPr>
      <w:r>
        <w:t>US Department of Energy, ENERGY STAR Calculator.  Accessed 3/16/2009.</w:t>
      </w:r>
    </w:p>
    <w:p w:rsidR="00E17950" w:rsidRPr="00E165C7" w:rsidRDefault="00E17950" w:rsidP="00E17950">
      <w:pPr>
        <w:pStyle w:val="source1"/>
        <w:rPr>
          <w:szCs w:val="24"/>
        </w:rPr>
      </w:pPr>
      <w:r w:rsidRPr="00E165C7">
        <w:rPr>
          <w:szCs w:val="24"/>
        </w:rPr>
        <w:t xml:space="preserve">Xenergy, “New Jersey Residential HVAC Baseline Study”, (Xenergy, Washington, D.C., November 16, 2001). </w:t>
      </w:r>
    </w:p>
    <w:p w:rsidR="00E17950" w:rsidRDefault="00E17950" w:rsidP="00E17950">
      <w:pPr>
        <w:pStyle w:val="source1"/>
      </w:pPr>
      <w:r>
        <w:lastRenderedPageBreak/>
        <w:t>Based on an analysis of six different utilities by Proctor Engineering.</w:t>
      </w:r>
    </w:p>
    <w:p w:rsidR="00E17950" w:rsidRPr="00E165C7" w:rsidRDefault="00E17950" w:rsidP="00E17950">
      <w:pPr>
        <w:pStyle w:val="source1"/>
        <w:rPr>
          <w:szCs w:val="24"/>
        </w:rPr>
      </w:pPr>
      <w:r>
        <w:t xml:space="preserve"> </w:t>
      </w:r>
      <w:r w:rsidRPr="00E165C7">
        <w:rPr>
          <w:szCs w:val="24"/>
        </w:rPr>
        <w:t>Xenergy, “New Jersey Residential HVAC Baseline Study”, (Xenergy, Washington, D.C., November 16, 2001)</w:t>
      </w:r>
      <w:r>
        <w:rPr>
          <w:szCs w:val="24"/>
        </w:rPr>
        <w:t>.</w:t>
      </w:r>
    </w:p>
    <w:p w:rsidR="00E17950" w:rsidRDefault="00E17950" w:rsidP="00E17950">
      <w:pPr>
        <w:pStyle w:val="source1"/>
      </w:pPr>
      <w:r w:rsidRPr="00E165C7">
        <w:rPr>
          <w:szCs w:val="24"/>
        </w:rPr>
        <w:t>Federal Register, Vol. 66, No. 14, Monday, January 22, 2001/Rules and Regulations, p. 7170-7200</w:t>
      </w:r>
      <w:r w:rsidRPr="0065042C">
        <w:rPr>
          <w:sz w:val="18"/>
          <w:szCs w:val="18"/>
        </w:rPr>
        <w:t>.</w:t>
      </w:r>
      <w:r>
        <w:t xml:space="preserve"> </w:t>
      </w:r>
    </w:p>
    <w:p w:rsidR="00E17950" w:rsidRDefault="00E17950" w:rsidP="00E17950">
      <w:pPr>
        <w:pStyle w:val="source1"/>
      </w:pPr>
      <w:r>
        <w:t>Engineering calculation, HSPF/COP=3.413.</w:t>
      </w:r>
    </w:p>
    <w:p w:rsidR="00E17950" w:rsidRDefault="00E17950" w:rsidP="00E17950">
      <w:pPr>
        <w:pStyle w:val="source1"/>
      </w:pPr>
      <w:r>
        <w:t>VEIC Estimate.  Extrapolation of manufacturer data.</w:t>
      </w:r>
    </w:p>
    <w:p w:rsidR="00E17950" w:rsidRDefault="00E17950" w:rsidP="00E17950">
      <w:pPr>
        <w:pStyle w:val="source1"/>
      </w:pPr>
      <w:r>
        <w:t>VEIC estimate, based on PEPCO assumptions.</w:t>
      </w:r>
    </w:p>
    <w:p w:rsidR="00E17950" w:rsidRDefault="00E17950" w:rsidP="00E17950">
      <w:pPr>
        <w:pStyle w:val="source1"/>
      </w:pPr>
      <w:r>
        <w:t>VEIC estimate, based on PEPCO assumptions.</w:t>
      </w:r>
    </w:p>
    <w:p w:rsidR="00E17950" w:rsidRDefault="00E17950" w:rsidP="00E17950">
      <w:pPr>
        <w:pStyle w:val="source1"/>
      </w:pPr>
      <w:r>
        <w:t>Northeast Energy Efficiency Partnerships, Inc., “Benefits of HVAC Contractor Training”, (February 2006): Appendix C Benefits of HVAC Contractor Training: Field Research Results 03-STAC-01.</w:t>
      </w:r>
    </w:p>
    <w:p w:rsidR="00E17950" w:rsidRDefault="00E17950" w:rsidP="00E17950">
      <w:pPr>
        <w:pStyle w:val="source1"/>
      </w:pPr>
      <w:r>
        <w:t>Minimum Federal Standard for new Central Air Conditioners between 1990 and 2006.</w:t>
      </w:r>
    </w:p>
    <w:p w:rsidR="00E17950" w:rsidRDefault="00E17950" w:rsidP="00E17950">
      <w:pPr>
        <w:pStyle w:val="source1"/>
      </w:pPr>
      <w:r>
        <w:t>The same EER to SEER ratio used for SEER 13 units applied to SEER 10 units.  EER</w:t>
      </w:r>
      <w:r w:rsidRPr="00437B66">
        <w:rPr>
          <w:szCs w:val="24"/>
          <w:vertAlign w:val="subscript"/>
        </w:rPr>
        <w:t>m</w:t>
      </w:r>
      <w:r>
        <w:t xml:space="preserve"> = (11.3/13) * 10.</w:t>
      </w:r>
    </w:p>
    <w:p w:rsidR="00E17950" w:rsidRDefault="00E17950" w:rsidP="00E17950">
      <w:pPr>
        <w:pStyle w:val="source1"/>
        <w:spacing w:after="200"/>
      </w:pPr>
      <w:r>
        <w:t>VEIC estimate. Conservatively assumes less savings than for QIV because of the retrofit context.</w:t>
      </w:r>
    </w:p>
    <w:p w:rsidR="00E17950" w:rsidRDefault="00E17950" w:rsidP="00E17950">
      <w:pPr>
        <w:pStyle w:val="source1"/>
        <w:spacing w:after="200"/>
      </w:pPr>
      <w:r>
        <w:t>Scott Pigg (Energy Center of Wisconsin), “Electricity Use by New Furnaces: A Wisconsin Field Study”, Technical Report 230-1, October 2003, page 20. The average heating-mode savings of 400 kWh multiplied by the ratio of average heating degree days in PA compared to Madison, WI (5568/7172).</w:t>
      </w:r>
    </w:p>
    <w:p w:rsidR="00E17950" w:rsidRDefault="00E17950" w:rsidP="00E17950">
      <w:pPr>
        <w:pStyle w:val="source1"/>
        <w:spacing w:after="200"/>
      </w:pPr>
      <w:r>
        <w:t>Ibid, page 34. The average cooling-mode savings of 88 kWh multiplied by the ratio of average EFLH in PA compared to Madison, WI (749/487).</w:t>
      </w:r>
    </w:p>
    <w:p w:rsidR="00E17950" w:rsidRDefault="00E17950" w:rsidP="00E17950">
      <w:pPr>
        <w:pStyle w:val="source1"/>
        <w:spacing w:after="200"/>
      </w:pPr>
      <w:r>
        <w:t>Ibid, page 34. The average kW savings of 0.1625 multiplied by the coincidence factor from Table 2-1.</w:t>
      </w:r>
    </w:p>
    <w:p w:rsidR="008D4C91" w:rsidRPr="000B75B1" w:rsidRDefault="00321935" w:rsidP="00E568D4">
      <w:pPr>
        <w:pStyle w:val="Heading2"/>
      </w:pPr>
      <w:r>
        <w:br w:type="page"/>
      </w:r>
      <w:bookmarkStart w:id="81" w:name="_Toc295990613"/>
      <w:bookmarkStart w:id="82" w:name="_Toc295999381"/>
      <w:bookmarkStart w:id="83" w:name="_Toc298621124"/>
      <w:bookmarkStart w:id="84" w:name="_Toc298621203"/>
      <w:bookmarkStart w:id="85" w:name="_Toc298621390"/>
      <w:bookmarkStart w:id="86" w:name="_Toc303086180"/>
      <w:bookmarkStart w:id="87" w:name="_Toc303339043"/>
      <w:bookmarkStart w:id="88" w:name="_Toc303347540"/>
      <w:bookmarkStart w:id="89" w:name="_Toc303352478"/>
      <w:bookmarkStart w:id="90" w:name="_Toc310868409"/>
      <w:bookmarkStart w:id="91" w:name="_Toc310875401"/>
      <w:bookmarkEnd w:id="81"/>
      <w:bookmarkEnd w:id="82"/>
      <w:bookmarkEnd w:id="83"/>
      <w:bookmarkEnd w:id="84"/>
      <w:bookmarkEnd w:id="85"/>
      <w:bookmarkEnd w:id="86"/>
      <w:bookmarkEnd w:id="87"/>
      <w:bookmarkEnd w:id="88"/>
      <w:bookmarkEnd w:id="89"/>
      <w:bookmarkEnd w:id="90"/>
      <w:r w:rsidR="008D4C91">
        <w:lastRenderedPageBreak/>
        <w:t>Electric Clothes Dryer with Moisture Sensor</w:t>
      </w:r>
      <w:bookmarkEnd w:id="9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1"/>
        <w:gridCol w:w="5255"/>
      </w:tblGrid>
      <w:tr w:rsidR="008D4C91" w:rsidRPr="006E0899" w:rsidTr="00F84A22">
        <w:trPr>
          <w:jc w:val="center"/>
        </w:trPr>
        <w:tc>
          <w:tcPr>
            <w:tcW w:w="2033" w:type="pct"/>
            <w:shd w:val="clear" w:color="auto" w:fill="BFBFBF"/>
            <w:vAlign w:val="center"/>
          </w:tcPr>
          <w:p w:rsidR="008D4C91" w:rsidRPr="001D6512" w:rsidRDefault="008D4C91" w:rsidP="00F84A22">
            <w:pPr>
              <w:pStyle w:val="TableCell"/>
              <w:spacing w:before="60" w:after="60"/>
              <w:rPr>
                <w:b/>
              </w:rPr>
            </w:pPr>
            <w:r w:rsidRPr="001D6512">
              <w:rPr>
                <w:b/>
              </w:rPr>
              <w:t>Measure Name</w:t>
            </w:r>
          </w:p>
        </w:tc>
        <w:tc>
          <w:tcPr>
            <w:tcW w:w="2967" w:type="pct"/>
            <w:shd w:val="clear" w:color="auto" w:fill="BFBFBF"/>
            <w:vAlign w:val="center"/>
          </w:tcPr>
          <w:p w:rsidR="008D4C91" w:rsidRPr="001D6512" w:rsidRDefault="008D4C91" w:rsidP="00F84A22">
            <w:pPr>
              <w:pStyle w:val="TableCell"/>
              <w:spacing w:before="60" w:after="60"/>
              <w:rPr>
                <w:b/>
              </w:rPr>
            </w:pPr>
            <w:r w:rsidRPr="001D6512">
              <w:rPr>
                <w:b/>
              </w:rPr>
              <w:t xml:space="preserve">Electric Clothes Dryer with Moisture Sensor </w:t>
            </w:r>
          </w:p>
        </w:tc>
      </w:tr>
      <w:tr w:rsidR="008D4C91" w:rsidRPr="006E0899" w:rsidTr="00F84A22">
        <w:trPr>
          <w:jc w:val="center"/>
        </w:trPr>
        <w:tc>
          <w:tcPr>
            <w:tcW w:w="2033" w:type="pct"/>
            <w:shd w:val="clear" w:color="auto" w:fill="auto"/>
            <w:vAlign w:val="center"/>
          </w:tcPr>
          <w:p w:rsidR="008D4C91" w:rsidRPr="00865117" w:rsidRDefault="00DE180A" w:rsidP="00F84A22">
            <w:pPr>
              <w:pStyle w:val="TableCell"/>
              <w:spacing w:before="60" w:after="60"/>
              <w:rPr>
                <w:b/>
              </w:rPr>
            </w:pPr>
            <w:r w:rsidRPr="00865117">
              <w:rPr>
                <w:b/>
              </w:rPr>
              <w:t>Target Sector</w:t>
            </w:r>
          </w:p>
        </w:tc>
        <w:tc>
          <w:tcPr>
            <w:tcW w:w="2967" w:type="pct"/>
            <w:shd w:val="clear" w:color="auto" w:fill="auto"/>
            <w:vAlign w:val="center"/>
          </w:tcPr>
          <w:p w:rsidR="008D4C91" w:rsidRPr="001D6512" w:rsidRDefault="00DE180A" w:rsidP="00F84A22">
            <w:pPr>
              <w:pStyle w:val="TableCell"/>
              <w:spacing w:before="60" w:after="60"/>
            </w:pPr>
            <w:r w:rsidRPr="001D6512">
              <w:t>Residential Establishments</w:t>
            </w:r>
          </w:p>
        </w:tc>
      </w:tr>
      <w:tr w:rsidR="008D4C91" w:rsidRPr="006E0899" w:rsidTr="00F84A22">
        <w:trPr>
          <w:jc w:val="center"/>
        </w:trPr>
        <w:tc>
          <w:tcPr>
            <w:tcW w:w="2033" w:type="pct"/>
            <w:shd w:val="clear" w:color="auto" w:fill="auto"/>
            <w:vAlign w:val="center"/>
          </w:tcPr>
          <w:p w:rsidR="008D4C91" w:rsidRPr="00865117" w:rsidRDefault="00DE180A" w:rsidP="00F84A22">
            <w:pPr>
              <w:pStyle w:val="TableCell"/>
              <w:spacing w:before="60" w:after="60"/>
              <w:rPr>
                <w:b/>
              </w:rPr>
            </w:pPr>
            <w:r w:rsidRPr="00865117">
              <w:rPr>
                <w:b/>
              </w:rPr>
              <w:t>Measure Unit</w:t>
            </w:r>
          </w:p>
        </w:tc>
        <w:tc>
          <w:tcPr>
            <w:tcW w:w="2967" w:type="pct"/>
            <w:shd w:val="clear" w:color="auto" w:fill="auto"/>
            <w:vAlign w:val="center"/>
          </w:tcPr>
          <w:p w:rsidR="008D4C91" w:rsidRPr="001D6512" w:rsidRDefault="00DE180A" w:rsidP="00F84A22">
            <w:pPr>
              <w:pStyle w:val="TableCell"/>
              <w:spacing w:before="60" w:after="60"/>
            </w:pPr>
            <w:r w:rsidRPr="001D6512">
              <w:t>Clothes Dryer</w:t>
            </w:r>
          </w:p>
        </w:tc>
      </w:tr>
      <w:tr w:rsidR="008D4C91" w:rsidRPr="006E0899" w:rsidTr="00F84A22">
        <w:trPr>
          <w:jc w:val="center"/>
        </w:trPr>
        <w:tc>
          <w:tcPr>
            <w:tcW w:w="2033" w:type="pct"/>
            <w:shd w:val="clear" w:color="auto" w:fill="auto"/>
            <w:vAlign w:val="center"/>
          </w:tcPr>
          <w:p w:rsidR="008D4C91" w:rsidRPr="00865117" w:rsidRDefault="00DE180A" w:rsidP="00F84A22">
            <w:pPr>
              <w:pStyle w:val="TableCell"/>
              <w:spacing w:before="60" w:after="60"/>
              <w:rPr>
                <w:b/>
              </w:rPr>
            </w:pPr>
            <w:r w:rsidRPr="00865117">
              <w:rPr>
                <w:b/>
              </w:rPr>
              <w:t>Unit Energy Savings</w:t>
            </w:r>
          </w:p>
        </w:tc>
        <w:tc>
          <w:tcPr>
            <w:tcW w:w="2967" w:type="pct"/>
            <w:shd w:val="clear" w:color="auto" w:fill="auto"/>
            <w:vAlign w:val="center"/>
          </w:tcPr>
          <w:p w:rsidR="008D4C91" w:rsidRPr="001D6512" w:rsidRDefault="00DE180A" w:rsidP="00F84A22">
            <w:pPr>
              <w:pStyle w:val="TableCell"/>
              <w:spacing w:before="60" w:after="60"/>
            </w:pPr>
            <w:r w:rsidRPr="001D6512">
              <w:t>136 kWh</w:t>
            </w:r>
          </w:p>
        </w:tc>
      </w:tr>
      <w:tr w:rsidR="008D4C91" w:rsidRPr="006E0899" w:rsidTr="00F84A22">
        <w:trPr>
          <w:jc w:val="center"/>
        </w:trPr>
        <w:tc>
          <w:tcPr>
            <w:tcW w:w="2033" w:type="pct"/>
            <w:shd w:val="clear" w:color="auto" w:fill="auto"/>
            <w:vAlign w:val="center"/>
          </w:tcPr>
          <w:p w:rsidR="008D4C91" w:rsidRPr="00865117" w:rsidRDefault="00DE180A" w:rsidP="00F84A22">
            <w:pPr>
              <w:pStyle w:val="TableCell"/>
              <w:spacing w:before="60" w:after="60"/>
              <w:rPr>
                <w:b/>
              </w:rPr>
            </w:pPr>
            <w:r w:rsidRPr="00865117">
              <w:rPr>
                <w:b/>
              </w:rPr>
              <w:t>Unit Peak Demand Reduction</w:t>
            </w:r>
          </w:p>
        </w:tc>
        <w:tc>
          <w:tcPr>
            <w:tcW w:w="2967" w:type="pct"/>
            <w:shd w:val="clear" w:color="auto" w:fill="auto"/>
            <w:vAlign w:val="center"/>
          </w:tcPr>
          <w:p w:rsidR="008D4C91" w:rsidRPr="001D6512" w:rsidRDefault="00DE180A" w:rsidP="00F84A22">
            <w:pPr>
              <w:pStyle w:val="TableCell"/>
              <w:spacing w:before="60" w:after="60"/>
            </w:pPr>
            <w:r w:rsidRPr="001D6512">
              <w:t>0.</w:t>
            </w:r>
            <w:r w:rsidR="00181A87" w:rsidRPr="001D6512">
              <w:t>047</w:t>
            </w:r>
            <w:r w:rsidRPr="001D6512">
              <w:t xml:space="preserve"> kW</w:t>
            </w:r>
          </w:p>
        </w:tc>
      </w:tr>
      <w:tr w:rsidR="008D4C91" w:rsidRPr="006E0899" w:rsidTr="00F84A22">
        <w:trPr>
          <w:jc w:val="center"/>
        </w:trPr>
        <w:tc>
          <w:tcPr>
            <w:tcW w:w="2033" w:type="pct"/>
            <w:shd w:val="clear" w:color="auto" w:fill="auto"/>
            <w:vAlign w:val="center"/>
          </w:tcPr>
          <w:p w:rsidR="008D4C91" w:rsidRPr="00865117" w:rsidRDefault="00DE180A" w:rsidP="00F84A22">
            <w:pPr>
              <w:pStyle w:val="TableCell"/>
              <w:spacing w:before="60" w:after="60"/>
              <w:rPr>
                <w:b/>
              </w:rPr>
            </w:pPr>
            <w:r w:rsidRPr="00865117">
              <w:rPr>
                <w:b/>
              </w:rPr>
              <w:t>Measure Life</w:t>
            </w:r>
          </w:p>
        </w:tc>
        <w:tc>
          <w:tcPr>
            <w:tcW w:w="2967" w:type="pct"/>
            <w:shd w:val="clear" w:color="auto" w:fill="auto"/>
            <w:vAlign w:val="center"/>
          </w:tcPr>
          <w:p w:rsidR="008D4C91" w:rsidRPr="001D6512" w:rsidRDefault="00DE180A" w:rsidP="00F84A22">
            <w:pPr>
              <w:pStyle w:val="TableCell"/>
              <w:spacing w:before="60" w:after="60"/>
            </w:pPr>
            <w:r w:rsidRPr="001D6512">
              <w:t>11 years</w:t>
            </w:r>
          </w:p>
        </w:tc>
      </w:tr>
    </w:tbl>
    <w:p w:rsidR="000E2049" w:rsidRDefault="000E2049" w:rsidP="008D4C91">
      <w:pPr>
        <w:pStyle w:val="BodyText"/>
      </w:pPr>
    </w:p>
    <w:p w:rsidR="008D4C91" w:rsidRDefault="008D4C91" w:rsidP="008D4C91">
      <w:pPr>
        <w:pStyle w:val="BodyText"/>
      </w:pPr>
      <w:r w:rsidRPr="00322B7D">
        <w:t>Clothes dryers with drum moisture sensors and associated moisture</w:t>
      </w:r>
      <w:r>
        <w:t>-</w:t>
      </w:r>
      <w:r w:rsidRPr="00322B7D">
        <w:t xml:space="preserve">sensing controls achieve </w:t>
      </w:r>
      <w:r>
        <w:t>energy savings over clothes dryers that do not have moisture sensors.</w:t>
      </w:r>
    </w:p>
    <w:p w:rsidR="008D4C91" w:rsidRDefault="000F6E91" w:rsidP="00871FA2">
      <w:pPr>
        <w:pStyle w:val="Heading3"/>
      </w:pPr>
      <w:r>
        <w:t>Eligibility</w:t>
      </w:r>
    </w:p>
    <w:p w:rsidR="008D4C91" w:rsidRDefault="008D4C91" w:rsidP="008D4C91">
      <w:pPr>
        <w:pStyle w:val="BodyText"/>
      </w:pPr>
      <w:r>
        <w:t>This me</w:t>
      </w:r>
      <w:r w:rsidR="00EB2CEA">
        <w:t xml:space="preserve">asure requires the purchase of </w:t>
      </w:r>
      <w:r>
        <w:t xml:space="preserve">an electric clothes dryer with a drum moisture sensor and associated moisture-sensing controls.  </w:t>
      </w:r>
      <w:r w:rsidR="00325EF4">
        <w:t>ENERGY STAR</w:t>
      </w:r>
      <w:r>
        <w:t xml:space="preserve"> currently does not rate or certify electric clothes dryers.</w:t>
      </w:r>
    </w:p>
    <w:p w:rsidR="008D4C91" w:rsidRDefault="008D4C91" w:rsidP="008D4C91">
      <w:pPr>
        <w:pStyle w:val="BodyText"/>
      </w:pPr>
      <w:r>
        <w:t>The TRM does not provide energy and demand savings for electric clothes dryers.  The following sections detail how this measure’s energy and demand savings were determined.</w:t>
      </w:r>
    </w:p>
    <w:p w:rsidR="008D4C91" w:rsidRPr="00322B7D" w:rsidRDefault="000E2049" w:rsidP="00871FA2">
      <w:pPr>
        <w:pStyle w:val="Heading3"/>
      </w:pPr>
      <w:r>
        <w:t>Algorithms</w:t>
      </w:r>
    </w:p>
    <w:p w:rsidR="008D4C91" w:rsidRPr="00876AD2" w:rsidRDefault="008D4C91" w:rsidP="00E568D4">
      <w:pPr>
        <w:pStyle w:val="Heading4"/>
      </w:pPr>
      <w:r w:rsidRPr="00876AD2">
        <w:t>Energy Savings</w:t>
      </w:r>
    </w:p>
    <w:p w:rsidR="008D4C91" w:rsidRPr="00405818" w:rsidRDefault="008D4C91" w:rsidP="006E1B95">
      <w:pPr>
        <w:pStyle w:val="BodyText"/>
      </w:pPr>
      <w:r w:rsidRPr="00405818">
        <w:t xml:space="preserve">The annual energy savings of this measure was determined to be </w:t>
      </w:r>
      <w:r w:rsidRPr="00405818">
        <w:rPr>
          <w:b/>
        </w:rPr>
        <w:t>136 kWh</w:t>
      </w:r>
      <w:r w:rsidRPr="00405818">
        <w:t>.  This value was based on the difference between the annual estimated consumption of a standard unit without a moisture sensor as compared to a standard unit with a moisture sensor.  This calculation is shown below:</w:t>
      </w:r>
    </w:p>
    <w:p w:rsidR="008D4C91" w:rsidRPr="00AA2C40" w:rsidRDefault="00181A87" w:rsidP="00F7332F">
      <w:pPr>
        <w:pStyle w:val="Equation"/>
        <w:rPr>
          <w:rFonts w:cs="Arial"/>
          <w:szCs w:val="20"/>
        </w:rPr>
      </w:pPr>
      <w:r w:rsidRPr="00AA2C40">
        <w:rPr>
          <w:rFonts w:cs="Arial"/>
          <w:szCs w:val="20"/>
        </w:rPr>
        <w:sym w:font="Symbol" w:char="F044"/>
      </w:r>
      <w:r w:rsidRPr="00AA2C40">
        <w:rPr>
          <w:rFonts w:cs="Arial"/>
          <w:szCs w:val="20"/>
        </w:rPr>
        <w:t>kWh</w:t>
      </w:r>
      <w:r w:rsidRPr="00AA2C40">
        <w:rPr>
          <w:rFonts w:cs="Arial"/>
          <w:szCs w:val="20"/>
        </w:rPr>
        <w:tab/>
      </w:r>
      <w:r w:rsidRPr="00AA2C40">
        <w:rPr>
          <w:rFonts w:cs="Arial"/>
          <w:szCs w:val="20"/>
        </w:rPr>
        <w:tab/>
        <w:t xml:space="preserve">= </w:t>
      </w:r>
      <w:r w:rsidR="008D4C91" w:rsidRPr="00AA2C40">
        <w:rPr>
          <w:rFonts w:cs="Arial"/>
          <w:szCs w:val="20"/>
        </w:rPr>
        <w:t>905 - 769 = 136 kWh</w:t>
      </w:r>
    </w:p>
    <w:p w:rsidR="008D4C91" w:rsidRPr="00AA2C40" w:rsidRDefault="008D4C91" w:rsidP="006E1B95">
      <w:pPr>
        <w:pStyle w:val="BodyText"/>
        <w:rPr>
          <w:rFonts w:cs="Arial"/>
          <w:b/>
        </w:rPr>
      </w:pPr>
      <w:r w:rsidRPr="00AA2C40">
        <w:rPr>
          <w:rFonts w:cs="Arial"/>
        </w:rPr>
        <w:t>The annual consumption of a standard unit without a moisture sensor (905 kWh) was based on 2008 estimates from Natural Resources Canada.</w:t>
      </w:r>
      <w:r w:rsidRPr="00AA2C40">
        <w:rPr>
          <w:rStyle w:val="FootnoteReference"/>
          <w:rFonts w:cs="Arial"/>
        </w:rPr>
        <w:footnoteReference w:id="6"/>
      </w:r>
      <w:r w:rsidRPr="00AA2C40">
        <w:rPr>
          <w:rFonts w:cs="Arial"/>
        </w:rPr>
        <w:t xml:space="preserve">  </w:t>
      </w:r>
    </w:p>
    <w:p w:rsidR="008D4C91" w:rsidRPr="00AA2C40" w:rsidRDefault="008D4C91" w:rsidP="006E1B95">
      <w:pPr>
        <w:pStyle w:val="BodyText"/>
        <w:rPr>
          <w:rFonts w:cs="Arial"/>
        </w:rPr>
      </w:pPr>
      <w:r w:rsidRPr="00AA2C40">
        <w:rPr>
          <w:rFonts w:cs="Arial"/>
        </w:rPr>
        <w:t>The annual consumption of a standard unit with a moisture sensor (769 kWh) was based on estimates from EPRI</w:t>
      </w:r>
      <w:r w:rsidRPr="00AA2C40">
        <w:rPr>
          <w:rStyle w:val="FootnoteReference"/>
          <w:rFonts w:cs="Arial"/>
        </w:rPr>
        <w:footnoteReference w:id="7"/>
      </w:r>
      <w:r w:rsidRPr="00AA2C40">
        <w:rPr>
          <w:rFonts w:cs="Arial"/>
        </w:rPr>
        <w:t xml:space="preserve"> and the Consumer Energy Center</w:t>
      </w:r>
      <w:r w:rsidRPr="00AA2C40">
        <w:rPr>
          <w:rStyle w:val="FootnoteReference"/>
          <w:rFonts w:cs="Arial"/>
        </w:rPr>
        <w:footnoteReference w:id="8"/>
      </w:r>
      <w:r w:rsidRPr="00AA2C40">
        <w:rPr>
          <w:rFonts w:cs="Arial"/>
        </w:rPr>
        <w:t xml:space="preserve"> that units equipped with moisture sensors (and energy efficient motors, EPRI) are about 15% more efficient than units without.</w:t>
      </w:r>
    </w:p>
    <w:p w:rsidR="008D4C91" w:rsidRPr="00AA2C40" w:rsidRDefault="00181A87" w:rsidP="00F7332F">
      <w:pPr>
        <w:pStyle w:val="Equation"/>
        <w:rPr>
          <w:rFonts w:cs="Arial"/>
          <w:szCs w:val="20"/>
        </w:rPr>
      </w:pPr>
      <w:r w:rsidRPr="00AA2C40">
        <w:rPr>
          <w:rFonts w:cs="Arial"/>
          <w:szCs w:val="20"/>
        </w:rPr>
        <w:sym w:font="Symbol" w:char="F044"/>
      </w:r>
      <w:r w:rsidRPr="00AA2C40">
        <w:rPr>
          <w:rFonts w:cs="Arial"/>
          <w:szCs w:val="20"/>
        </w:rPr>
        <w:t xml:space="preserve">kWh </w:t>
      </w:r>
      <w:r w:rsidRPr="00AA2C40">
        <w:rPr>
          <w:rFonts w:cs="Arial"/>
          <w:szCs w:val="20"/>
        </w:rPr>
        <w:tab/>
      </w:r>
      <w:r w:rsidRPr="00AA2C40">
        <w:rPr>
          <w:rFonts w:cs="Arial"/>
          <w:szCs w:val="20"/>
        </w:rPr>
        <w:tab/>
        <w:t xml:space="preserve">= </w:t>
      </w:r>
      <w:r w:rsidR="008D4C91" w:rsidRPr="00AA2C40">
        <w:rPr>
          <w:rFonts w:cs="Arial"/>
          <w:szCs w:val="20"/>
        </w:rPr>
        <w:t>905 - (905 * 0.15) = 769 kWh</w:t>
      </w:r>
    </w:p>
    <w:p w:rsidR="008D4C91" w:rsidRPr="00785FD2" w:rsidRDefault="008D4C91" w:rsidP="00E568D4">
      <w:pPr>
        <w:pStyle w:val="Heading4"/>
      </w:pPr>
      <w:r w:rsidRPr="00E21DDA">
        <w:t>Demand Savings</w:t>
      </w:r>
    </w:p>
    <w:p w:rsidR="008D4C91" w:rsidRPr="008D4C91" w:rsidRDefault="008D4C91" w:rsidP="006E1B95">
      <w:pPr>
        <w:pStyle w:val="BodyText"/>
      </w:pPr>
      <w:r w:rsidRPr="008D4C91">
        <w:t xml:space="preserve">The demand savings of this measure was determined to be 0.346 kW.  This value was based on the estimated energy savings divided by the estimated of annual hours of use.  The estimated of </w:t>
      </w:r>
      <w:r w:rsidRPr="008D4C91">
        <w:lastRenderedPageBreak/>
        <w:t>annual hours of use was based on 392</w:t>
      </w:r>
      <w:r w:rsidRPr="008D4C91">
        <w:rPr>
          <w:rStyle w:val="FootnoteReference"/>
          <w:sz w:val="22"/>
          <w:szCs w:val="22"/>
        </w:rPr>
        <w:footnoteReference w:id="9"/>
      </w:r>
      <w:r w:rsidRPr="008D4C91">
        <w:t xml:space="preserve"> loads per year with a 1 hour dry cycle.  This calculation is shown below:</w:t>
      </w:r>
    </w:p>
    <w:p w:rsidR="008D4C91" w:rsidRPr="00AA2C40" w:rsidRDefault="00181A87" w:rsidP="00F7332F">
      <w:pPr>
        <w:pStyle w:val="Equation"/>
        <w:rPr>
          <w:rFonts w:cs="Arial"/>
          <w:szCs w:val="20"/>
        </w:rPr>
      </w:pPr>
      <w:r w:rsidRPr="00AA2C40">
        <w:rPr>
          <w:rFonts w:cs="Arial"/>
          <w:szCs w:val="20"/>
        </w:rPr>
        <w:sym w:font="Symbol" w:char="F044"/>
      </w:r>
      <w:r w:rsidRPr="00AA2C40">
        <w:rPr>
          <w:rFonts w:cs="Arial"/>
          <w:szCs w:val="20"/>
        </w:rPr>
        <w:t>kW</w:t>
      </w:r>
      <w:r w:rsidRPr="00AA2C40">
        <w:rPr>
          <w:rFonts w:cs="Arial"/>
          <w:szCs w:val="20"/>
          <w:vertAlign w:val="subscript"/>
        </w:rPr>
        <w:tab/>
      </w:r>
      <w:r w:rsidRPr="00AA2C40">
        <w:rPr>
          <w:rFonts w:cs="Arial"/>
          <w:szCs w:val="20"/>
        </w:rPr>
        <w:t xml:space="preserve"> </w:t>
      </w:r>
      <w:r w:rsidRPr="00AA2C40">
        <w:rPr>
          <w:rFonts w:cs="Arial"/>
          <w:szCs w:val="20"/>
        </w:rPr>
        <w:tab/>
        <w:t xml:space="preserve">= </w:t>
      </w:r>
      <w:r w:rsidR="008D4C91" w:rsidRPr="00AA2C40">
        <w:rPr>
          <w:rFonts w:cs="Arial"/>
          <w:szCs w:val="20"/>
        </w:rPr>
        <w:t xml:space="preserve">136 / 392 </w:t>
      </w:r>
      <w:r w:rsidR="00CF56BD" w:rsidRPr="00AA2C40">
        <w:rPr>
          <w:rFonts w:cs="Arial"/>
          <w:szCs w:val="20"/>
        </w:rPr>
        <w:tab/>
      </w:r>
      <w:r w:rsidR="008D4C91" w:rsidRPr="00AA2C40">
        <w:rPr>
          <w:rFonts w:cs="Arial"/>
          <w:szCs w:val="20"/>
        </w:rPr>
        <w:t>= 0.346 kW</w:t>
      </w:r>
    </w:p>
    <w:p w:rsidR="008D4C91" w:rsidRPr="00AA2C40" w:rsidRDefault="008D4C91" w:rsidP="006E1B95">
      <w:pPr>
        <w:pStyle w:val="BodyText"/>
        <w:rPr>
          <w:rFonts w:cs="Arial"/>
        </w:rPr>
      </w:pPr>
      <w:r w:rsidRPr="00AA2C40">
        <w:rPr>
          <w:rFonts w:cs="Arial"/>
        </w:rPr>
        <w:t xml:space="preserve">The demand coincidence factor of this measure was determined to be </w:t>
      </w:r>
      <w:r w:rsidRPr="00AA2C40">
        <w:rPr>
          <w:rFonts w:cs="Arial"/>
          <w:b/>
        </w:rPr>
        <w:t>0.136</w:t>
      </w:r>
      <w:r w:rsidRPr="00AA2C40">
        <w:rPr>
          <w:rFonts w:cs="Arial"/>
        </w:rPr>
        <w:t>.  This value was based on the assumption that 5 of 7 loads are run on peak days, 5 of 7 days the peak can occur on, 1.07 loads per day (7.5 per week, Reference #4), 45 minutes loads, and 3 available daily peak hours.  This calculation is shown below:</w:t>
      </w:r>
    </w:p>
    <w:p w:rsidR="008D4C91" w:rsidRPr="00AA2C40" w:rsidRDefault="00181A87" w:rsidP="00F7332F">
      <w:pPr>
        <w:pStyle w:val="Equation"/>
        <w:rPr>
          <w:rFonts w:cs="Arial"/>
          <w:szCs w:val="20"/>
        </w:rPr>
      </w:pPr>
      <w:r w:rsidRPr="00AA2C40">
        <w:rPr>
          <w:rFonts w:cs="Arial"/>
          <w:szCs w:val="20"/>
        </w:rPr>
        <w:t>CF</w:t>
      </w:r>
      <w:r w:rsidRPr="00AA2C40">
        <w:rPr>
          <w:rFonts w:cs="Arial"/>
          <w:szCs w:val="20"/>
        </w:rPr>
        <w:tab/>
        <w:t xml:space="preserve"> </w:t>
      </w:r>
      <w:r w:rsidRPr="00AA2C40">
        <w:rPr>
          <w:rFonts w:cs="Arial"/>
          <w:szCs w:val="20"/>
        </w:rPr>
        <w:tab/>
        <w:t xml:space="preserve">= </w:t>
      </w:r>
      <w:r w:rsidR="008D4C91" w:rsidRPr="00AA2C40">
        <w:rPr>
          <w:rFonts w:cs="Arial"/>
          <w:szCs w:val="20"/>
        </w:rPr>
        <w:t>(5/7) * (5/7) * (1.07) * (0.75) * (1/3) = 0.136</w:t>
      </w:r>
    </w:p>
    <w:p w:rsidR="008D4C91" w:rsidRPr="00AA2C40" w:rsidRDefault="008D4C91" w:rsidP="00CF56BD">
      <w:pPr>
        <w:pStyle w:val="BodyText"/>
        <w:rPr>
          <w:rFonts w:cs="Arial"/>
        </w:rPr>
      </w:pPr>
      <w:r w:rsidRPr="00AA2C40">
        <w:rPr>
          <w:rFonts w:cs="Arial"/>
        </w:rPr>
        <w:t xml:space="preserve">The resulting demand savings based on this coincidence factor was determined to be </w:t>
      </w:r>
      <w:r w:rsidRPr="00AA2C40">
        <w:rPr>
          <w:rFonts w:cs="Arial"/>
          <w:b/>
        </w:rPr>
        <w:t>0.047 kW</w:t>
      </w:r>
      <w:r w:rsidRPr="00AA2C40">
        <w:rPr>
          <w:rFonts w:cs="Arial"/>
        </w:rPr>
        <w:t>.  This calculation is shown below:</w:t>
      </w:r>
    </w:p>
    <w:p w:rsidR="008D4C91" w:rsidRPr="00AA2C40" w:rsidRDefault="00181A87" w:rsidP="00F7332F">
      <w:pPr>
        <w:pStyle w:val="Equation"/>
        <w:rPr>
          <w:rFonts w:cs="Arial"/>
          <w:szCs w:val="20"/>
        </w:rPr>
      </w:pPr>
      <w:r w:rsidRPr="00AA2C40">
        <w:rPr>
          <w:rFonts w:cs="Arial"/>
          <w:szCs w:val="20"/>
        </w:rPr>
        <w:sym w:font="Symbol" w:char="F044"/>
      </w:r>
      <w:r w:rsidRPr="00AA2C40">
        <w:rPr>
          <w:rFonts w:cs="Arial"/>
          <w:szCs w:val="20"/>
        </w:rPr>
        <w:t>kW</w:t>
      </w:r>
      <w:r w:rsidRPr="00AA2C40">
        <w:rPr>
          <w:rFonts w:cs="Arial"/>
          <w:szCs w:val="20"/>
          <w:vertAlign w:val="subscript"/>
        </w:rPr>
        <w:t>peak</w:t>
      </w:r>
      <w:r w:rsidRPr="00AA2C40">
        <w:rPr>
          <w:rFonts w:cs="Arial"/>
          <w:szCs w:val="20"/>
        </w:rPr>
        <w:tab/>
      </w:r>
      <w:r w:rsidRPr="00AA2C40">
        <w:rPr>
          <w:rFonts w:cs="Arial"/>
          <w:szCs w:val="20"/>
          <w:vertAlign w:val="subscript"/>
        </w:rPr>
        <w:tab/>
      </w:r>
      <w:r w:rsidRPr="00AA2C40">
        <w:rPr>
          <w:rFonts w:cs="Arial"/>
          <w:szCs w:val="20"/>
        </w:rPr>
        <w:t xml:space="preserve">= </w:t>
      </w:r>
      <w:r w:rsidR="008D4C91" w:rsidRPr="00AA2C40">
        <w:rPr>
          <w:rFonts w:cs="Arial"/>
          <w:szCs w:val="20"/>
        </w:rPr>
        <w:t xml:space="preserve">0.346 * 0.136 </w:t>
      </w:r>
      <w:r w:rsidR="00CF56BD" w:rsidRPr="00AA2C40">
        <w:rPr>
          <w:rFonts w:cs="Arial"/>
          <w:szCs w:val="20"/>
        </w:rPr>
        <w:tab/>
      </w:r>
      <w:r w:rsidR="008D4C91" w:rsidRPr="00AA2C40">
        <w:rPr>
          <w:rFonts w:cs="Arial"/>
          <w:szCs w:val="20"/>
        </w:rPr>
        <w:t>= 0.047 kW</w:t>
      </w:r>
    </w:p>
    <w:p w:rsidR="008D4C91" w:rsidRPr="00AA2C40" w:rsidRDefault="008D4C91" w:rsidP="00CF56BD">
      <w:pPr>
        <w:pStyle w:val="BodyText"/>
        <w:rPr>
          <w:rFonts w:cs="Arial"/>
        </w:rPr>
      </w:pPr>
      <w:r w:rsidRPr="00AA2C40">
        <w:rPr>
          <w:rFonts w:cs="Arial"/>
        </w:rPr>
        <w:t>The assumptions used to determine this measure’s net demand value are listed below:</w:t>
      </w:r>
    </w:p>
    <w:p w:rsidR="008D4C91" w:rsidRPr="00AA2C40" w:rsidRDefault="008D4C91" w:rsidP="00F7332F">
      <w:pPr>
        <w:pStyle w:val="Equation"/>
        <w:rPr>
          <w:rFonts w:cs="Arial"/>
          <w:szCs w:val="20"/>
        </w:rPr>
      </w:pPr>
      <w:r w:rsidRPr="00AA2C40">
        <w:rPr>
          <w:rFonts w:cs="Arial"/>
          <w:szCs w:val="20"/>
        </w:rPr>
        <w:t>On-peak Annual Hours of Operation Assumption =</w:t>
      </w:r>
      <w:r w:rsidR="00CF56BD" w:rsidRPr="00AA2C40">
        <w:rPr>
          <w:rFonts w:cs="Arial"/>
          <w:szCs w:val="20"/>
        </w:rPr>
        <w:br/>
      </w:r>
      <w:r w:rsidRPr="00AA2C40">
        <w:rPr>
          <w:rFonts w:cs="Arial"/>
          <w:szCs w:val="20"/>
        </w:rPr>
        <w:t>66.2% (May 2009 TRM)</w:t>
      </w:r>
    </w:p>
    <w:p w:rsidR="008D4C91" w:rsidRPr="00AA2C40" w:rsidRDefault="008D4C91" w:rsidP="00F7332F">
      <w:pPr>
        <w:pStyle w:val="Equation"/>
        <w:rPr>
          <w:rFonts w:cs="Arial"/>
          <w:szCs w:val="20"/>
        </w:rPr>
      </w:pPr>
      <w:r w:rsidRPr="00AA2C40">
        <w:rPr>
          <w:rFonts w:cs="Arial"/>
          <w:szCs w:val="20"/>
        </w:rPr>
        <w:t>Summer Annual Hours of Operation Assumption =</w:t>
      </w:r>
      <w:r w:rsidR="00CF56BD" w:rsidRPr="00AA2C40">
        <w:rPr>
          <w:rFonts w:cs="Arial"/>
          <w:szCs w:val="20"/>
        </w:rPr>
        <w:br/>
      </w:r>
      <w:r w:rsidRPr="00AA2C40">
        <w:rPr>
          <w:rFonts w:cs="Arial"/>
          <w:szCs w:val="20"/>
        </w:rPr>
        <w:t>37.3% (May 2009 TRM)</w:t>
      </w:r>
    </w:p>
    <w:p w:rsidR="008D4C91" w:rsidRPr="00876AD2" w:rsidRDefault="008D4C91" w:rsidP="00871FA2">
      <w:pPr>
        <w:pStyle w:val="Heading3"/>
      </w:pPr>
      <w:r w:rsidRPr="00876AD2">
        <w:t>Measure Life</w:t>
      </w:r>
    </w:p>
    <w:p w:rsidR="008D4C91" w:rsidRDefault="008D4C91" w:rsidP="008D4C91">
      <w:pPr>
        <w:pStyle w:val="BodyText"/>
      </w:pPr>
      <w:r>
        <w:t>We have assumed the measure life to be that of a clothes washer.  The Database for Energy Efficiency Resources estimates the measure life of clothes washers at 11</w:t>
      </w:r>
      <w:r w:rsidRPr="00AE14BA">
        <w:t xml:space="preserve"> years</w:t>
      </w:r>
      <w:r>
        <w:t>.</w:t>
      </w:r>
      <w:r>
        <w:rPr>
          <w:rStyle w:val="FootnoteReference"/>
          <w:sz w:val="22"/>
        </w:rPr>
        <w:footnoteReference w:id="10"/>
      </w:r>
    </w:p>
    <w:p w:rsidR="008D4C91" w:rsidRDefault="008D4C91" w:rsidP="00871FA2">
      <w:pPr>
        <w:pStyle w:val="Heading3"/>
      </w:pPr>
      <w:r>
        <w:t>Evaluation Protocol</w:t>
      </w:r>
    </w:p>
    <w:p w:rsidR="008D4C91" w:rsidRDefault="008D4C91" w:rsidP="008D4C91">
      <w:pPr>
        <w:pStyle w:val="BodyText"/>
      </w:pPr>
      <w:r w:rsidRPr="00D01C69">
        <w:t>Th</w:t>
      </w:r>
      <w:r>
        <w:t>e most appropriate evaluation protocol for this measure</w:t>
      </w:r>
      <w:r w:rsidRPr="00D01C69">
        <w:t xml:space="preserve"> </w:t>
      </w:r>
      <w:r>
        <w:t>is verification of installation coupled with assignment of stipulated energy savings.</w:t>
      </w:r>
    </w:p>
    <w:p w:rsidR="00EB6106" w:rsidRPr="00C465DB" w:rsidRDefault="00716DAB" w:rsidP="00E568D4">
      <w:pPr>
        <w:pStyle w:val="Heading2"/>
      </w:pPr>
      <w:bookmarkStart w:id="92" w:name="_Toc295990615"/>
      <w:bookmarkStart w:id="93" w:name="_Toc295999383"/>
      <w:bookmarkStart w:id="94" w:name="_Toc298621126"/>
      <w:bookmarkStart w:id="95" w:name="_Toc298621205"/>
      <w:bookmarkStart w:id="96" w:name="_Toc298621392"/>
      <w:bookmarkStart w:id="97" w:name="_Toc303086182"/>
      <w:bookmarkStart w:id="98" w:name="_Toc303339045"/>
      <w:bookmarkStart w:id="99" w:name="_Toc303347542"/>
      <w:bookmarkStart w:id="100" w:name="_Toc303352480"/>
      <w:bookmarkStart w:id="101" w:name="_Toc310868411"/>
      <w:bookmarkStart w:id="102" w:name="_Toc295990616"/>
      <w:bookmarkStart w:id="103" w:name="_Toc295999384"/>
      <w:bookmarkStart w:id="104" w:name="_Toc298621127"/>
      <w:bookmarkStart w:id="105" w:name="_Toc298621206"/>
      <w:bookmarkStart w:id="106" w:name="_Toc298621393"/>
      <w:bookmarkStart w:id="107" w:name="_Toc303086183"/>
      <w:bookmarkStart w:id="108" w:name="_Toc303339046"/>
      <w:bookmarkStart w:id="109" w:name="_Toc303347543"/>
      <w:bookmarkStart w:id="110" w:name="_Toc303352481"/>
      <w:bookmarkStart w:id="111" w:name="_Toc310868412"/>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br w:type="page"/>
      </w:r>
      <w:bookmarkStart w:id="112" w:name="_Toc310875402"/>
      <w:r w:rsidR="00EB6106">
        <w:lastRenderedPageBreak/>
        <w:t>Efficient Electric</w:t>
      </w:r>
      <w:r w:rsidR="00EB6106" w:rsidRPr="00837206">
        <w:t xml:space="preserve"> Water Heaters</w:t>
      </w:r>
      <w:bookmarkEnd w:id="112"/>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5440"/>
      </w:tblGrid>
      <w:tr w:rsidR="00EB6106" w:rsidRPr="00DC57D4" w:rsidTr="006E1B95">
        <w:trPr>
          <w:jc w:val="center"/>
        </w:trPr>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EB6106" w:rsidRPr="001D6512" w:rsidRDefault="00EB6106" w:rsidP="00321935">
            <w:pPr>
              <w:pStyle w:val="TableCell"/>
              <w:spacing w:before="60" w:after="60"/>
              <w:rPr>
                <w:b/>
              </w:rPr>
            </w:pPr>
            <w:r w:rsidRPr="001D6512">
              <w:rPr>
                <w:b/>
              </w:rPr>
              <w:t>Measure Name</w:t>
            </w:r>
          </w:p>
        </w:tc>
        <w:tc>
          <w:tcPr>
            <w:tcW w:w="459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EB6106" w:rsidRPr="001D6512" w:rsidRDefault="00EB6106" w:rsidP="00321935">
            <w:pPr>
              <w:pStyle w:val="TableCell"/>
              <w:spacing w:before="60" w:after="60"/>
              <w:rPr>
                <w:b/>
              </w:rPr>
            </w:pPr>
            <w:r w:rsidRPr="001D6512">
              <w:rPr>
                <w:b/>
              </w:rPr>
              <w:t>Efficient Electric Water Heaters</w:t>
            </w:r>
          </w:p>
        </w:tc>
      </w:tr>
      <w:tr w:rsidR="00EB6106" w:rsidRPr="00DC57D4" w:rsidTr="006E1B95">
        <w:trPr>
          <w:jc w:val="center"/>
        </w:trPr>
        <w:tc>
          <w:tcPr>
            <w:tcW w:w="2700" w:type="dxa"/>
          </w:tcPr>
          <w:p w:rsidR="00EB6106" w:rsidRPr="00865117" w:rsidRDefault="00EB6106" w:rsidP="00321935">
            <w:pPr>
              <w:pStyle w:val="TableCell"/>
              <w:spacing w:before="60" w:after="60"/>
              <w:rPr>
                <w:b/>
              </w:rPr>
            </w:pPr>
            <w:r w:rsidRPr="00865117">
              <w:rPr>
                <w:b/>
              </w:rPr>
              <w:t>Target Sector</w:t>
            </w:r>
          </w:p>
        </w:tc>
        <w:tc>
          <w:tcPr>
            <w:tcW w:w="4590" w:type="dxa"/>
          </w:tcPr>
          <w:p w:rsidR="00EB6106" w:rsidRPr="001D6512" w:rsidRDefault="00EB6106" w:rsidP="00321935">
            <w:pPr>
              <w:pStyle w:val="TableCell"/>
              <w:spacing w:before="60" w:after="60"/>
            </w:pPr>
            <w:r w:rsidRPr="001D6512">
              <w:t>Residential Establishments</w:t>
            </w:r>
          </w:p>
        </w:tc>
      </w:tr>
      <w:tr w:rsidR="00EB6106" w:rsidRPr="00DC57D4" w:rsidTr="006E1B95">
        <w:trPr>
          <w:jc w:val="center"/>
        </w:trPr>
        <w:tc>
          <w:tcPr>
            <w:tcW w:w="2700" w:type="dxa"/>
          </w:tcPr>
          <w:p w:rsidR="00EB6106" w:rsidRPr="00865117" w:rsidRDefault="00EB6106" w:rsidP="00321935">
            <w:pPr>
              <w:pStyle w:val="TableCell"/>
              <w:spacing w:before="60" w:after="60"/>
              <w:rPr>
                <w:b/>
              </w:rPr>
            </w:pPr>
            <w:r w:rsidRPr="00865117">
              <w:rPr>
                <w:b/>
              </w:rPr>
              <w:t>Measure Unit</w:t>
            </w:r>
          </w:p>
        </w:tc>
        <w:tc>
          <w:tcPr>
            <w:tcW w:w="4590" w:type="dxa"/>
          </w:tcPr>
          <w:p w:rsidR="00EB6106" w:rsidRPr="001D6512" w:rsidRDefault="00EB6106" w:rsidP="00321935">
            <w:pPr>
              <w:pStyle w:val="TableCell"/>
              <w:spacing w:before="60" w:after="60"/>
            </w:pPr>
            <w:r w:rsidRPr="001D6512">
              <w:t>Water Heater</w:t>
            </w:r>
          </w:p>
        </w:tc>
      </w:tr>
      <w:tr w:rsidR="00EB6106" w:rsidRPr="00DC57D4" w:rsidTr="006E1B95">
        <w:trPr>
          <w:jc w:val="center"/>
        </w:trPr>
        <w:tc>
          <w:tcPr>
            <w:tcW w:w="2700" w:type="dxa"/>
          </w:tcPr>
          <w:p w:rsidR="00EB6106" w:rsidRPr="00865117" w:rsidRDefault="00EB6106" w:rsidP="00321935">
            <w:pPr>
              <w:pStyle w:val="TableCell"/>
              <w:spacing w:before="60" w:after="60"/>
              <w:rPr>
                <w:b/>
              </w:rPr>
            </w:pPr>
            <w:r w:rsidRPr="00865117">
              <w:rPr>
                <w:b/>
              </w:rPr>
              <w:t>Unit Energy Savings</w:t>
            </w:r>
          </w:p>
        </w:tc>
        <w:tc>
          <w:tcPr>
            <w:tcW w:w="4590" w:type="dxa"/>
          </w:tcPr>
          <w:p w:rsidR="000F6E91" w:rsidRPr="001D6512" w:rsidRDefault="000418B8" w:rsidP="000F6E91">
            <w:pPr>
              <w:pStyle w:val="TableCell"/>
              <w:spacing w:before="60" w:after="60"/>
            </w:pPr>
            <w:r w:rsidRPr="001D6512">
              <w:t>11</w:t>
            </w:r>
            <w:r w:rsidR="00CA1578" w:rsidRPr="001D6512">
              <w:t>5</w:t>
            </w:r>
            <w:r w:rsidRPr="001D6512">
              <w:t xml:space="preserve"> </w:t>
            </w:r>
            <w:r w:rsidR="000F6E91" w:rsidRPr="001D6512">
              <w:t>kWh for 0.93 Energy Factor</w:t>
            </w:r>
          </w:p>
          <w:p w:rsidR="000F6E91" w:rsidRPr="001D6512" w:rsidRDefault="000418B8" w:rsidP="000F6E91">
            <w:pPr>
              <w:pStyle w:val="TableCell"/>
              <w:spacing w:before="60" w:after="60"/>
            </w:pPr>
            <w:r w:rsidRPr="001D6512">
              <w:t xml:space="preserve">157 </w:t>
            </w:r>
            <w:r w:rsidR="000F6E91" w:rsidRPr="001D6512">
              <w:t>kWh for 0.94 Energy Factor</w:t>
            </w:r>
            <w:r w:rsidR="00EB6106" w:rsidRPr="001D6512">
              <w:t xml:space="preserve"> </w:t>
            </w:r>
          </w:p>
          <w:p w:rsidR="00EB6106" w:rsidRPr="001D6512" w:rsidRDefault="000418B8" w:rsidP="000F6E91">
            <w:pPr>
              <w:pStyle w:val="TableCell"/>
              <w:spacing w:before="60" w:after="60"/>
            </w:pPr>
            <w:r w:rsidRPr="001D6512">
              <w:t xml:space="preserve">199 </w:t>
            </w:r>
            <w:r w:rsidR="000F6E91" w:rsidRPr="001D6512">
              <w:t>kWh for 0.95 Energy Factor</w:t>
            </w:r>
          </w:p>
        </w:tc>
      </w:tr>
      <w:tr w:rsidR="00EB6106" w:rsidRPr="00DC57D4" w:rsidTr="006E1B95">
        <w:trPr>
          <w:jc w:val="center"/>
        </w:trPr>
        <w:tc>
          <w:tcPr>
            <w:tcW w:w="2700" w:type="dxa"/>
          </w:tcPr>
          <w:p w:rsidR="00EB6106" w:rsidRPr="00865117" w:rsidRDefault="00EB6106" w:rsidP="00321935">
            <w:pPr>
              <w:pStyle w:val="TableCell"/>
              <w:spacing w:before="60" w:after="60"/>
              <w:rPr>
                <w:b/>
              </w:rPr>
            </w:pPr>
            <w:r w:rsidRPr="00865117">
              <w:rPr>
                <w:b/>
              </w:rPr>
              <w:t>Unit Peak Demand Reduction</w:t>
            </w:r>
          </w:p>
        </w:tc>
        <w:tc>
          <w:tcPr>
            <w:tcW w:w="4590" w:type="dxa"/>
          </w:tcPr>
          <w:p w:rsidR="000F6E91" w:rsidRPr="001D6512" w:rsidRDefault="00EB6106" w:rsidP="00321935">
            <w:pPr>
              <w:pStyle w:val="TableCell"/>
              <w:spacing w:before="60" w:after="60"/>
            </w:pPr>
            <w:r w:rsidRPr="001D6512">
              <w:t>0.</w:t>
            </w:r>
            <w:r w:rsidR="000418B8" w:rsidRPr="001D6512">
              <w:t>010</w:t>
            </w:r>
            <w:r w:rsidR="00CA1578" w:rsidRPr="001D6512">
              <w:t>5</w:t>
            </w:r>
            <w:r w:rsidR="000418B8" w:rsidRPr="001D6512">
              <w:t xml:space="preserve"> </w:t>
            </w:r>
            <w:r w:rsidR="000F6E91" w:rsidRPr="001D6512">
              <w:t>kW for 0.93 Energy Factor</w:t>
            </w:r>
          </w:p>
          <w:p w:rsidR="000F6E91" w:rsidRPr="001D6512" w:rsidRDefault="00EB6106" w:rsidP="000F6E91">
            <w:pPr>
              <w:pStyle w:val="TableCell"/>
              <w:spacing w:before="60" w:after="60"/>
            </w:pPr>
            <w:r w:rsidRPr="001D6512">
              <w:t>0.</w:t>
            </w:r>
            <w:r w:rsidR="000418B8" w:rsidRPr="001D6512">
              <w:t xml:space="preserve">0144 </w:t>
            </w:r>
            <w:r w:rsidR="000F6E91" w:rsidRPr="001D6512">
              <w:t>kW for 0.94 Energy Factor</w:t>
            </w:r>
          </w:p>
          <w:p w:rsidR="00EB6106" w:rsidRPr="001D6512" w:rsidRDefault="00EB6106" w:rsidP="000F6E91">
            <w:pPr>
              <w:pStyle w:val="TableCell"/>
              <w:spacing w:before="60" w:after="60"/>
            </w:pPr>
            <w:r w:rsidRPr="001D6512">
              <w:t>0.</w:t>
            </w:r>
            <w:r w:rsidR="000418B8" w:rsidRPr="001D6512">
              <w:t>018</w:t>
            </w:r>
            <w:r w:rsidR="00CA1578" w:rsidRPr="001D6512">
              <w:t>2</w:t>
            </w:r>
            <w:r w:rsidR="000418B8" w:rsidRPr="001D6512">
              <w:t xml:space="preserve"> </w:t>
            </w:r>
            <w:r w:rsidRPr="001D6512">
              <w:t>kW for 0.95 Energy Factor</w:t>
            </w:r>
          </w:p>
        </w:tc>
      </w:tr>
      <w:tr w:rsidR="00EB6106" w:rsidRPr="00DC57D4" w:rsidTr="006E1B95">
        <w:trPr>
          <w:jc w:val="center"/>
        </w:trPr>
        <w:tc>
          <w:tcPr>
            <w:tcW w:w="2700" w:type="dxa"/>
          </w:tcPr>
          <w:p w:rsidR="00EB6106" w:rsidRPr="00865117" w:rsidRDefault="00EB6106" w:rsidP="00321935">
            <w:pPr>
              <w:pStyle w:val="TableCell"/>
              <w:spacing w:before="60" w:after="60"/>
              <w:rPr>
                <w:b/>
              </w:rPr>
            </w:pPr>
            <w:r w:rsidRPr="00865117">
              <w:rPr>
                <w:b/>
              </w:rPr>
              <w:t>Measure Life</w:t>
            </w:r>
          </w:p>
        </w:tc>
        <w:tc>
          <w:tcPr>
            <w:tcW w:w="4590" w:type="dxa"/>
          </w:tcPr>
          <w:p w:rsidR="00EB6106" w:rsidRPr="001D6512" w:rsidRDefault="00EB6106" w:rsidP="00321935">
            <w:pPr>
              <w:pStyle w:val="TableCell"/>
              <w:spacing w:before="60" w:after="60"/>
            </w:pPr>
            <w:r w:rsidRPr="001D6512">
              <w:t>14 years</w:t>
            </w:r>
          </w:p>
        </w:tc>
      </w:tr>
    </w:tbl>
    <w:p w:rsidR="000E2049" w:rsidRDefault="000E2049" w:rsidP="00EB6106">
      <w:pPr>
        <w:pStyle w:val="BodyText"/>
      </w:pPr>
    </w:p>
    <w:p w:rsidR="00EB6106" w:rsidRPr="001D75B9" w:rsidRDefault="00EB6106" w:rsidP="00EB6106">
      <w:pPr>
        <w:pStyle w:val="BodyText"/>
      </w:pPr>
      <w:r>
        <w:t>Efficient electric</w:t>
      </w:r>
      <w:r w:rsidRPr="001D75B9">
        <w:t xml:space="preserve"> water heaters</w:t>
      </w:r>
      <w:r>
        <w:t xml:space="preserve"> utilize superior insulation to achieve energy factors of 0.93 or above. Standard electric water heaters have energy factors of 0.9</w:t>
      </w:r>
      <w:r w:rsidR="000418B8">
        <w:t>04</w:t>
      </w:r>
      <w:r>
        <w:t xml:space="preserve">.  </w:t>
      </w:r>
    </w:p>
    <w:p w:rsidR="00EB6106" w:rsidRPr="00C465DB" w:rsidRDefault="000F6E91" w:rsidP="00871FA2">
      <w:pPr>
        <w:pStyle w:val="Heading3"/>
      </w:pPr>
      <w:r>
        <w:t>Eligibility</w:t>
      </w:r>
    </w:p>
    <w:p w:rsidR="00EB6106" w:rsidRPr="00C465DB" w:rsidRDefault="00EB6106" w:rsidP="00EB6106">
      <w:pPr>
        <w:pStyle w:val="BodyText"/>
      </w:pPr>
      <w:r w:rsidRPr="00837206">
        <w:t xml:space="preserve">This </w:t>
      </w:r>
      <w:r w:rsidR="003574D1">
        <w:t>protocol</w:t>
      </w:r>
      <w:r w:rsidRPr="00837206">
        <w:t xml:space="preserve"> documents the energy savings attributed to </w:t>
      </w:r>
      <w:r>
        <w:t>electric</w:t>
      </w:r>
      <w:r w:rsidRPr="00837206">
        <w:t xml:space="preserve"> water heater</w:t>
      </w:r>
      <w:r>
        <w:t>s</w:t>
      </w:r>
      <w:r w:rsidRPr="00837206">
        <w:t xml:space="preserve"> with Energy Factor of </w:t>
      </w:r>
      <w:r>
        <w:t>0.93</w:t>
      </w:r>
      <w:r w:rsidRPr="00837206">
        <w:t xml:space="preserve"> or greater</w:t>
      </w:r>
      <w:r>
        <w:t>.</w:t>
      </w:r>
      <w:r w:rsidRPr="00837206">
        <w:t xml:space="preserve"> </w:t>
      </w:r>
      <w:r>
        <w:t xml:space="preserve"> The target sector primarily consists of single-family residences.</w:t>
      </w:r>
    </w:p>
    <w:p w:rsidR="00EB6106" w:rsidRPr="00C465DB" w:rsidRDefault="000E2049" w:rsidP="00871FA2">
      <w:pPr>
        <w:pStyle w:val="Heading3"/>
      </w:pPr>
      <w:r>
        <w:t>Algorithms</w:t>
      </w:r>
    </w:p>
    <w:p w:rsidR="00EB6106" w:rsidRDefault="00EB6106" w:rsidP="00EB6106">
      <w:pPr>
        <w:pStyle w:val="BodyText"/>
      </w:pPr>
      <w:r>
        <w:t>The energy savings calculation utilizes average</w:t>
      </w:r>
      <w:r w:rsidRPr="00837206">
        <w:t xml:space="preserve"> performance data for available residential </w:t>
      </w:r>
      <w:r>
        <w:t>efficient</w:t>
      </w:r>
      <w:r w:rsidRPr="00837206">
        <w:t xml:space="preserve"> </w:t>
      </w:r>
      <w:r>
        <w:t xml:space="preserve">and standard </w:t>
      </w:r>
      <w:r w:rsidRPr="00837206">
        <w:t>water heaters and typical water usage for residential homes</w:t>
      </w:r>
      <w:r>
        <w:t>.</w:t>
      </w:r>
      <w:r w:rsidRPr="00837206">
        <w:t xml:space="preserve"> The energy savings </w:t>
      </w:r>
      <w:r>
        <w:t>are</w:t>
      </w:r>
      <w:r w:rsidRPr="00837206">
        <w:t xml:space="preserve"> obtained through the following </w:t>
      </w:r>
      <w:r>
        <w:t>formula</w:t>
      </w:r>
      <w:r w:rsidRPr="00837206">
        <w:t>:</w:t>
      </w:r>
    </w:p>
    <w:p w:rsidR="00EB6106" w:rsidRPr="003C7C58" w:rsidRDefault="003C7C58" w:rsidP="006E1B95">
      <w:pPr>
        <w:pStyle w:val="Equation"/>
        <w:ind w:left="0" w:firstLine="0"/>
        <w:rPr>
          <w:rFonts w:ascii="Arial Narrow" w:cs="Arial"/>
          <w:i w:val="0"/>
        </w:rPr>
      </w:pPr>
      <m:oMathPara>
        <m:oMathParaPr>
          <m:jc m:val="left"/>
        </m:oMathParaPr>
        <m:oMath>
          <m:r>
            <m:rPr>
              <m:nor/>
            </m:rPr>
            <w:rPr>
              <w:szCs w:val="24"/>
            </w:rPr>
            <w:sym w:font="Symbol" w:char="F044"/>
          </m:r>
          <m:r>
            <m:rPr>
              <m:nor/>
            </m:rPr>
            <m:t xml:space="preserve">kWh </m:t>
          </m:r>
          <m:r>
            <m:rPr>
              <m:nor/>
            </m:rPr>
            <w:rPr>
              <w:rFonts w:cs="Arial"/>
              <w:iCs/>
            </w:rPr>
            <m:t xml:space="preserve">                            </m:t>
          </m:r>
          <m:r>
            <m:rPr>
              <m:nor/>
            </m:rPr>
            <w:rPr>
              <w:rFonts w:ascii="Cambria Math" w:cs="Arial"/>
              <w:iCs/>
            </w:rPr>
            <m:t xml:space="preserve">                </m:t>
          </m:r>
          <m:r>
            <m:rPr>
              <m:nor/>
            </m:rPr>
            <w:rPr>
              <w:rFonts w:cs="Arial"/>
              <w:iCs/>
            </w:rPr>
            <m:t xml:space="preserve"> </m:t>
          </m:r>
          <m:r>
            <m:rPr>
              <m:nor/>
            </m:rPr>
            <w:rPr>
              <w:rFonts w:cs="Arial"/>
            </w:rPr>
            <m:t xml:space="preserve">=   </m:t>
          </m:r>
          <m:f>
            <m:fPr>
              <m:ctrlPr>
                <w:rPr>
                  <w:rFonts w:ascii="Cambria Math" w:hAnsi="Cambria Math" w:cs="Arial"/>
                </w:rPr>
              </m:ctrlPr>
            </m:fPr>
            <m:num>
              <m:d>
                <m:dPr>
                  <m:begChr m:val="{"/>
                  <m:endChr m:val="}"/>
                  <m:ctrlPr>
                    <w:rPr>
                      <w:rFonts w:ascii="Cambria Math" w:hAnsi="Cambria Math" w:cs="Arial"/>
                    </w:rPr>
                  </m:ctrlPr>
                </m:dPr>
                <m:e>
                  <m:d>
                    <m:dPr>
                      <m:ctrlPr>
                        <w:rPr>
                          <w:rFonts w:ascii="Cambria Math" w:hAnsi="Cambria Math" w:cs="Arial"/>
                        </w:rPr>
                      </m:ctrlPr>
                    </m:dPr>
                    <m:e>
                      <m:f>
                        <m:fPr>
                          <m:ctrlPr>
                            <w:rPr>
                              <w:rFonts w:ascii="Cambria Math" w:hAnsi="Cambria Math" w:cs="Arial"/>
                            </w:rPr>
                          </m:ctrlPr>
                        </m:fPr>
                        <m:num>
                          <m:r>
                            <m:rPr>
                              <m:nor/>
                            </m:rPr>
                            <w:rPr>
                              <w:rFonts w:cs="Arial"/>
                            </w:rPr>
                            <m:t>1</m:t>
                          </m:r>
                        </m:num>
                        <m:den>
                          <m:sSub>
                            <m:sSubPr>
                              <m:ctrlPr>
                                <w:rPr>
                                  <w:rFonts w:ascii="Cambria Math" w:hAnsi="Cambria Math" w:cs="Arial"/>
                                </w:rPr>
                              </m:ctrlPr>
                            </m:sSubPr>
                            <m:e>
                              <m:r>
                                <m:rPr>
                                  <m:nor/>
                                </m:rPr>
                                <w:rPr>
                                  <w:rFonts w:cs="Arial"/>
                                  <w:iCs/>
                                </w:rPr>
                                <m:t>EF</m:t>
                              </m:r>
                            </m:e>
                            <m:sub>
                              <m:r>
                                <m:rPr>
                                  <m:nor/>
                                </m:rPr>
                                <w:rPr>
                                  <w:rFonts w:cs="Arial"/>
                                  <w:iCs/>
                                </w:rPr>
                                <m:t>Base</m:t>
                              </m:r>
                            </m:sub>
                          </m:sSub>
                        </m:den>
                      </m:f>
                      <m:r>
                        <m:rPr>
                          <m:nor/>
                        </m:rPr>
                        <w:rPr>
                          <w:rFonts w:cs="Arial"/>
                        </w:rPr>
                        <m:t>-</m:t>
                      </m:r>
                      <m:f>
                        <m:fPr>
                          <m:ctrlPr>
                            <w:rPr>
                              <w:rFonts w:ascii="Cambria Math" w:hAnsi="Cambria Math" w:cs="Arial"/>
                            </w:rPr>
                          </m:ctrlPr>
                        </m:fPr>
                        <m:num>
                          <m:r>
                            <m:rPr>
                              <m:nor/>
                            </m:rPr>
                            <w:rPr>
                              <w:rFonts w:cs="Arial"/>
                            </w:rPr>
                            <m:t>1</m:t>
                          </m:r>
                        </m:num>
                        <m:den>
                          <m:sSub>
                            <m:sSubPr>
                              <m:ctrlPr>
                                <w:rPr>
                                  <w:rFonts w:ascii="Cambria Math" w:hAnsi="Cambria Math" w:cs="Arial"/>
                                </w:rPr>
                              </m:ctrlPr>
                            </m:sSubPr>
                            <m:e>
                              <m:r>
                                <m:rPr>
                                  <m:nor/>
                                </m:rPr>
                                <w:rPr>
                                  <w:rFonts w:cs="Arial"/>
                                  <w:iCs/>
                                </w:rPr>
                                <m:t>EF</m:t>
                              </m:r>
                            </m:e>
                            <m:sub>
                              <m:r>
                                <m:rPr>
                                  <m:nor/>
                                </m:rPr>
                                <w:rPr>
                                  <w:rFonts w:cs="Arial"/>
                                  <w:iCs/>
                                </w:rPr>
                                <m:t>Proposed</m:t>
                              </m:r>
                            </m:sub>
                          </m:sSub>
                        </m:den>
                      </m:f>
                    </m:e>
                  </m:d>
                  <m:r>
                    <m:rPr>
                      <m:nor/>
                    </m:rPr>
                    <w:rPr>
                      <w:rFonts w:cs="Arial"/>
                    </w:rPr>
                    <m:t>×</m:t>
                  </m:r>
                  <m:d>
                    <m:dPr>
                      <m:ctrlPr>
                        <w:rPr>
                          <w:rFonts w:ascii="Cambria Math" w:hAnsi="Cambria Math" w:cs="Arial"/>
                        </w:rPr>
                      </m:ctrlPr>
                    </m:dPr>
                    <m:e>
                      <m:r>
                        <m:rPr>
                          <m:nor/>
                        </m:rPr>
                        <w:rPr>
                          <w:rFonts w:cs="Arial"/>
                          <w:iCs/>
                        </w:rPr>
                        <m:t>HW</m:t>
                      </m:r>
                      <m:r>
                        <m:rPr>
                          <m:nor/>
                        </m:rPr>
                        <w:rPr>
                          <w:rFonts w:cs="Arial"/>
                        </w:rPr>
                        <m:t>×365×8.3</m:t>
                      </m:r>
                      <m:f>
                        <m:fPr>
                          <m:ctrlPr>
                            <w:rPr>
                              <w:rFonts w:ascii="Cambria Math" w:hAnsi="Cambria Math" w:cs="Arial"/>
                            </w:rPr>
                          </m:ctrlPr>
                        </m:fPr>
                        <m:num>
                          <m:r>
                            <m:rPr>
                              <m:nor/>
                            </m:rPr>
                            <w:rPr>
                              <w:rFonts w:cs="Arial"/>
                              <w:iCs/>
                            </w:rPr>
                            <m:t>lb</m:t>
                          </m:r>
                        </m:num>
                        <m:den>
                          <m:r>
                            <m:rPr>
                              <m:nor/>
                            </m:rPr>
                            <w:rPr>
                              <w:rFonts w:cs="Arial"/>
                              <w:iCs/>
                            </w:rPr>
                            <m:t>gal</m:t>
                          </m:r>
                        </m:den>
                      </m:f>
                      <m:r>
                        <m:rPr>
                          <m:nor/>
                        </m:rPr>
                        <w:rPr>
                          <w:rFonts w:cs="Arial"/>
                        </w:rPr>
                        <m:t>×</m:t>
                      </m:r>
                      <m:d>
                        <m:dPr>
                          <m:ctrlPr>
                            <w:rPr>
                              <w:rFonts w:ascii="Cambria Math" w:hAnsi="Cambria Math" w:cs="Arial"/>
                            </w:rPr>
                          </m:ctrlPr>
                        </m:dPr>
                        <m:e>
                          <m:sSub>
                            <m:sSubPr>
                              <m:ctrlPr>
                                <w:rPr>
                                  <w:rFonts w:ascii="Cambria Math" w:hAnsi="Cambria Math" w:cs="Arial"/>
                                </w:rPr>
                              </m:ctrlPr>
                            </m:sSubPr>
                            <m:e>
                              <m:r>
                                <m:rPr>
                                  <m:nor/>
                                </m:rPr>
                                <w:rPr>
                                  <w:rFonts w:cs="Arial"/>
                                  <w:iCs/>
                                </w:rPr>
                                <m:t>T</m:t>
                              </m:r>
                            </m:e>
                            <m:sub>
                              <m:r>
                                <m:rPr>
                                  <m:nor/>
                                </m:rPr>
                                <w:rPr>
                                  <w:rFonts w:cs="Arial"/>
                                  <w:iCs/>
                                </w:rPr>
                                <m:t>hot</m:t>
                              </m:r>
                            </m:sub>
                          </m:sSub>
                          <m:r>
                            <m:rPr>
                              <m:nor/>
                            </m:rPr>
                            <w:rPr>
                              <w:rFonts w:cs="Arial"/>
                            </w:rPr>
                            <m:t>-</m:t>
                          </m:r>
                          <m:sSub>
                            <m:sSubPr>
                              <m:ctrlPr>
                                <w:rPr>
                                  <w:rFonts w:ascii="Cambria Math" w:hAnsi="Cambria Math" w:cs="Arial"/>
                                </w:rPr>
                              </m:ctrlPr>
                            </m:sSubPr>
                            <m:e>
                              <m:r>
                                <m:rPr>
                                  <m:nor/>
                                </m:rPr>
                                <w:rPr>
                                  <w:rFonts w:cs="Arial"/>
                                  <w:iCs/>
                                </w:rPr>
                                <m:t>T</m:t>
                              </m:r>
                            </m:e>
                            <m:sub>
                              <m:r>
                                <m:rPr>
                                  <m:nor/>
                                </m:rPr>
                                <w:rPr>
                                  <w:rFonts w:cs="Arial"/>
                                  <w:iCs/>
                                </w:rPr>
                                <m:t>cold</m:t>
                              </m:r>
                            </m:sub>
                          </m:sSub>
                        </m:e>
                      </m:d>
                    </m:e>
                  </m:d>
                </m:e>
              </m:d>
            </m:num>
            <m:den>
              <m:r>
                <m:rPr>
                  <m:nor/>
                </m:rPr>
                <w:rPr>
                  <w:rFonts w:cs="Arial"/>
                </w:rPr>
                <m:t>3413</m:t>
              </m:r>
              <m:f>
                <m:fPr>
                  <m:ctrlPr>
                    <w:rPr>
                      <w:rFonts w:ascii="Cambria Math" w:hAnsi="Cambria Math" w:cs="Arial"/>
                    </w:rPr>
                  </m:ctrlPr>
                </m:fPr>
                <m:num>
                  <m:r>
                    <m:rPr>
                      <m:nor/>
                    </m:rPr>
                    <w:rPr>
                      <w:rFonts w:cs="Arial"/>
                      <w:iCs/>
                    </w:rPr>
                    <m:t>Btu</m:t>
                  </m:r>
                </m:num>
                <m:den>
                  <m:r>
                    <m:rPr>
                      <m:nor/>
                    </m:rPr>
                    <w:rPr>
                      <w:rFonts w:cs="Arial"/>
                      <w:iCs/>
                    </w:rPr>
                    <m:t>kWh</m:t>
                  </m:r>
                </m:den>
              </m:f>
            </m:den>
          </m:f>
        </m:oMath>
      </m:oMathPara>
    </w:p>
    <w:p w:rsidR="00EB6106" w:rsidRDefault="00EB6106" w:rsidP="00EB6106">
      <w:pPr>
        <w:pStyle w:val="BodyText"/>
      </w:pPr>
      <w:r>
        <w:t xml:space="preserve">Demand savings result from reduced hours of operation of the heating element, rather than a reduced connected load. </w:t>
      </w:r>
      <w:r w:rsidRPr="00DC5816">
        <w:t xml:space="preserve">The demand reduction is taken </w:t>
      </w:r>
      <w:r>
        <w:t>as the annual energy savings multiplied by the ratio of the average energy usage during noon and 8PM on summer weekdays to the total annual energy usage.</w:t>
      </w:r>
    </w:p>
    <w:p w:rsidR="006E1B95" w:rsidRPr="00AA2C40" w:rsidRDefault="000F6E91" w:rsidP="006E1B95">
      <w:pPr>
        <w:pStyle w:val="Equation"/>
        <w:rPr>
          <w:rFonts w:cs="Arial"/>
          <w:szCs w:val="20"/>
        </w:rPr>
      </w:pPr>
      <w:r w:rsidRPr="00AA2C40">
        <w:rPr>
          <w:rFonts w:cs="Arial"/>
          <w:szCs w:val="20"/>
        </w:rPr>
        <w:sym w:font="Symbol" w:char="F044"/>
      </w:r>
      <w:r w:rsidRPr="00AA2C40">
        <w:rPr>
          <w:rFonts w:cs="Arial"/>
          <w:szCs w:val="20"/>
        </w:rPr>
        <w:t>kW</w:t>
      </w:r>
      <w:r w:rsidRPr="00AA2C40">
        <w:rPr>
          <w:rFonts w:cs="Arial"/>
          <w:szCs w:val="20"/>
          <w:vertAlign w:val="subscript"/>
        </w:rPr>
        <w:t>peak</w:t>
      </w:r>
      <w:r w:rsidRPr="00AA2C40">
        <w:rPr>
          <w:rFonts w:cs="Arial"/>
          <w:szCs w:val="20"/>
        </w:rPr>
        <w:tab/>
      </w:r>
      <w:r w:rsidR="006E1B95" w:rsidRPr="00AA2C40">
        <w:rPr>
          <w:rFonts w:cs="Arial"/>
          <w:szCs w:val="20"/>
        </w:rPr>
        <w:tab/>
        <w:t>=</w:t>
      </w:r>
      <w:r w:rsidR="00CF56BD" w:rsidRPr="00AA2C40">
        <w:rPr>
          <w:rFonts w:cs="Arial"/>
          <w:szCs w:val="20"/>
        </w:rPr>
        <w:t xml:space="preserve"> </w:t>
      </w:r>
      <w:r w:rsidR="00F11594" w:rsidRPr="00AA2C40">
        <w:rPr>
          <w:rFonts w:cs="Arial"/>
          <w:szCs w:val="20"/>
        </w:rPr>
        <w:t>EnergyToDemandFactor</w:t>
      </w:r>
      <w:r w:rsidR="00F11594">
        <w:rPr>
          <w:rFonts w:cs="Arial"/>
          <w:szCs w:val="20"/>
        </w:rPr>
        <w:t xml:space="preserve"> </w:t>
      </w:r>
      <w:r w:rsidR="00F11594" w:rsidRPr="00AA2C40">
        <w:rPr>
          <w:rFonts w:cs="Arial"/>
          <w:szCs w:val="20"/>
        </w:rPr>
        <w:t>×</w:t>
      </w:r>
      <w:r w:rsidR="00F11594">
        <w:rPr>
          <w:rFonts w:cs="Arial"/>
          <w:szCs w:val="20"/>
        </w:rPr>
        <w:t xml:space="preserve"> </w:t>
      </w:r>
      <w:r w:rsidR="00F11594" w:rsidRPr="00AA2C40">
        <w:rPr>
          <w:rFonts w:cs="Arial"/>
          <w:szCs w:val="20"/>
        </w:rPr>
        <w:t>Energy</w:t>
      </w:r>
      <w:r w:rsidR="006E1B95" w:rsidRPr="00AA2C40">
        <w:rPr>
          <w:rFonts w:cs="Arial"/>
          <w:szCs w:val="20"/>
        </w:rPr>
        <w:t xml:space="preserve"> Savings</w:t>
      </w:r>
    </w:p>
    <w:p w:rsidR="00EB6106" w:rsidRPr="002E6E9C" w:rsidRDefault="00EB6106" w:rsidP="00EB6106">
      <w:pPr>
        <w:pStyle w:val="BodyText"/>
      </w:pPr>
      <w:r w:rsidRPr="002E6E9C">
        <w:t>The Energy to Demand Factor is defined below:</w:t>
      </w:r>
    </w:p>
    <w:p w:rsidR="00EB6106" w:rsidRPr="003C7C58" w:rsidRDefault="003C7C58" w:rsidP="006E1B95">
      <w:pPr>
        <w:pStyle w:val="Equation"/>
        <w:ind w:left="0" w:firstLine="0"/>
        <w:rPr>
          <w:i w:val="0"/>
        </w:rPr>
      </w:pPr>
      <m:oMathPara>
        <m:oMathParaPr>
          <m:jc m:val="left"/>
        </m:oMathParaPr>
        <m:oMath>
          <m:r>
            <m:rPr>
              <m:nor/>
            </m:rPr>
            <m:t>EnergyToDemandFactor</m:t>
          </m:r>
          <m:r>
            <m:rPr>
              <m:nor/>
            </m:rPr>
            <w:rPr>
              <w:rFonts w:ascii="Cambria Math"/>
            </w:rPr>
            <m:t xml:space="preserve">               </m:t>
          </m:r>
          <m:r>
            <m:rPr>
              <m:nor/>
            </m:rPr>
            <m:t>=</m:t>
          </m:r>
          <m:r>
            <m:rPr>
              <m:nor/>
            </m:rPr>
            <w:rPr>
              <w:rFonts w:ascii="Cambria Math"/>
            </w:rPr>
            <m:t xml:space="preserve">  </m:t>
          </m:r>
          <m:f>
            <m:fPr>
              <m:ctrlPr>
                <w:rPr>
                  <w:rFonts w:ascii="Cambria Math" w:hAnsi="Cambria Math"/>
                </w:rPr>
              </m:ctrlPr>
            </m:fPr>
            <m:num>
              <m:sSub>
                <m:sSubPr>
                  <m:ctrlPr>
                    <w:rPr>
                      <w:rFonts w:ascii="Cambria Math" w:hAnsi="Cambria Math"/>
                    </w:rPr>
                  </m:ctrlPr>
                </m:sSubPr>
                <m:e>
                  <m:r>
                    <m:rPr>
                      <m:nor/>
                    </m:rPr>
                    <m:t>Average Usage</m:t>
                  </m:r>
                </m:e>
                <m:sub>
                  <m:r>
                    <m:rPr>
                      <m:nor/>
                    </m:rPr>
                    <m:t>Summer WD Noon-8</m:t>
                  </m:r>
                </m:sub>
              </m:sSub>
            </m:num>
            <m:den>
              <m:r>
                <m:rPr>
                  <m:nor/>
                </m:rPr>
                <w:rPr>
                  <w:rFonts w:hAnsi="Cambria Math"/>
                </w:rPr>
                <m:t>Annual</m:t>
              </m:r>
              <m:r>
                <m:rPr>
                  <m:nor/>
                </m:rPr>
                <m:t xml:space="preserve"> </m:t>
              </m:r>
              <m:r>
                <m:rPr>
                  <m:nor/>
                </m:rPr>
                <w:rPr>
                  <w:rFonts w:hAnsi="Cambria Math"/>
                </w:rPr>
                <m:t>Energy Usage</m:t>
              </m:r>
            </m:den>
          </m:f>
        </m:oMath>
      </m:oMathPara>
    </w:p>
    <w:p w:rsidR="00EB6106" w:rsidRDefault="00EB6106" w:rsidP="00EB6106">
      <w:pPr>
        <w:tabs>
          <w:tab w:val="left" w:pos="720"/>
        </w:tabs>
        <w:spacing w:before="120"/>
        <w:jc w:val="both"/>
        <w:rPr>
          <w:sz w:val="22"/>
        </w:rPr>
      </w:pPr>
    </w:p>
    <w:p w:rsidR="00EB6106" w:rsidRDefault="00EB6106" w:rsidP="00474F42">
      <w:pPr>
        <w:pStyle w:val="BodyText"/>
      </w:pPr>
      <w:r w:rsidRPr="00E678F0">
        <w:lastRenderedPageBreak/>
        <w:t>The ratio of the average energy usage during noon and 8</w:t>
      </w:r>
      <w:r>
        <w:t xml:space="preserve"> </w:t>
      </w:r>
      <w:r w:rsidRPr="00E678F0">
        <w:t xml:space="preserve">PM on summer weekdays to the total annual energy usage is taken from load shape data collected for </w:t>
      </w:r>
      <w:r>
        <w:t xml:space="preserve">a </w:t>
      </w:r>
      <w:r w:rsidRPr="00E678F0">
        <w:t>water heater</w:t>
      </w:r>
      <w:r>
        <w:t xml:space="preserve"> and HVAC demand response study for PJM</w:t>
      </w:r>
      <w:r w:rsidR="00EB2CEA">
        <w:rPr>
          <w:rStyle w:val="FootnoteReference"/>
        </w:rPr>
        <w:footnoteReference w:id="11"/>
      </w:r>
      <w:r w:rsidRPr="00EB2CEA">
        <w:t>.</w:t>
      </w:r>
      <w:r w:rsidRPr="00E678F0">
        <w:t xml:space="preserve">  </w:t>
      </w:r>
      <w:r>
        <w:t>The factor is constructed as follows:</w:t>
      </w:r>
    </w:p>
    <w:p w:rsidR="00EB6106" w:rsidRDefault="00EB6106" w:rsidP="00EB6106">
      <w:pPr>
        <w:pStyle w:val="BodyText"/>
      </w:pPr>
      <w:r>
        <w:t>1) Obtain the average kW, as monitored for 82 water heaters in PJM territory</w:t>
      </w:r>
      <w:r w:rsidR="00EB2CEA">
        <w:rPr>
          <w:rStyle w:val="FootnoteReference"/>
        </w:rPr>
        <w:footnoteReference w:id="12"/>
      </w:r>
      <w:r>
        <w:t>, for each hour of the typical day summer, winter, and spring/fall days.  Weight the results (91 summer days, 91 winter days, 183 spring/fall days) to obtain annual energy usage.</w:t>
      </w:r>
    </w:p>
    <w:p w:rsidR="00EB6106" w:rsidRDefault="00EB6106" w:rsidP="00EB6106">
      <w:pPr>
        <w:pStyle w:val="BodyText"/>
      </w:pPr>
      <w:r>
        <w:t xml:space="preserve">2) Obtain the average kW during noon to 8 PM on summer days from the same data.  </w:t>
      </w:r>
    </w:p>
    <w:p w:rsidR="00EB6106" w:rsidRDefault="00EB6106" w:rsidP="00EB6106">
      <w:pPr>
        <w:pStyle w:val="BodyText"/>
      </w:pPr>
      <w:r>
        <w:t xml:space="preserve">3) The average noon to 8 PM demand is converted to average </w:t>
      </w:r>
      <w:r w:rsidRPr="004933EA">
        <w:rPr>
          <w:i/>
        </w:rPr>
        <w:t>weekday</w:t>
      </w:r>
      <w:r>
        <w:t xml:space="preserve"> noon to 8 PM demand through comparison of weekday and weekend monitored loads from the same PJM study</w:t>
      </w:r>
      <w:r w:rsidR="00EB2CEA">
        <w:rPr>
          <w:rStyle w:val="FootnoteReference"/>
        </w:rPr>
        <w:footnoteReference w:id="13"/>
      </w:r>
      <w:r>
        <w:t xml:space="preserve">.  </w:t>
      </w:r>
    </w:p>
    <w:p w:rsidR="00EB6106" w:rsidRPr="002C6DCE" w:rsidRDefault="00EB6106" w:rsidP="00EB6106">
      <w:pPr>
        <w:pStyle w:val="BodyText"/>
        <w:rPr>
          <w:sz w:val="24"/>
        </w:rPr>
      </w:pPr>
      <w:r>
        <w:t xml:space="preserve">4) The ratio of the average weekday noon to 8 PM energy demand to the annual energy usage obtained in step 1.  The resulting number, 0.00009172, </w:t>
      </w:r>
      <w:r w:rsidRPr="002C6DCE">
        <w:t xml:space="preserve">is the </w:t>
      </w:r>
      <w:r w:rsidRPr="002C6DCE">
        <w:rPr>
          <w:i/>
        </w:rPr>
        <w:t>EnergyToDemandFactor</w:t>
      </w:r>
      <w:r>
        <w:rPr>
          <w:i/>
        </w:rPr>
        <w:t>.</w:t>
      </w:r>
    </w:p>
    <w:p w:rsidR="00EB6106" w:rsidRDefault="00EB6106" w:rsidP="00EB6106">
      <w:pPr>
        <w:pStyle w:val="BodyText"/>
      </w:pPr>
      <w:r>
        <w:t xml:space="preserve">The load shapes (fractions of annual energy usage that occur within each hour) during summer week days are plotted in </w:t>
      </w:r>
      <w:r w:rsidR="007A1FB6">
        <w:fldChar w:fldCharType="begin"/>
      </w:r>
      <w:r w:rsidR="00081415">
        <w:instrText xml:space="preserve"> REF _Ref275542456 \h </w:instrText>
      </w:r>
      <w:r w:rsidR="007A1FB6">
        <w:fldChar w:fldCharType="separate"/>
      </w:r>
      <w:r w:rsidR="00C0292F">
        <w:t xml:space="preserve">Figure </w:t>
      </w:r>
      <w:r w:rsidR="00C0292F">
        <w:rPr>
          <w:noProof/>
        </w:rPr>
        <w:t>2</w:t>
      </w:r>
      <w:r w:rsidR="00C0292F">
        <w:noBreakHyphen/>
      </w:r>
      <w:r w:rsidR="00C0292F">
        <w:rPr>
          <w:noProof/>
        </w:rPr>
        <w:t>1</w:t>
      </w:r>
      <w:r w:rsidR="007A1FB6">
        <w:fldChar w:fldCharType="end"/>
      </w:r>
      <w:r w:rsidR="00CF56BD">
        <w:t xml:space="preserve"> </w:t>
      </w:r>
      <w:r>
        <w:t>below.</w:t>
      </w:r>
    </w:p>
    <w:p w:rsidR="00EB6106" w:rsidRDefault="00EB6106" w:rsidP="00EB6106">
      <w:pPr>
        <w:pStyle w:val="BodyText"/>
      </w:pPr>
    </w:p>
    <w:p w:rsidR="00CF56BD" w:rsidRDefault="003C7C58" w:rsidP="00CF56BD">
      <w:pPr>
        <w:keepNext/>
        <w:tabs>
          <w:tab w:val="left" w:pos="720"/>
        </w:tabs>
        <w:spacing w:before="120"/>
        <w:jc w:val="both"/>
      </w:pPr>
      <w:r>
        <w:rPr>
          <w:noProof/>
          <w:sz w:val="22"/>
          <w:szCs w:val="22"/>
        </w:rPr>
        <w:drawing>
          <wp:inline distT="0" distB="0" distL="0" distR="0">
            <wp:extent cx="5486400" cy="2305050"/>
            <wp:effectExtent l="0" t="0" r="0" b="0"/>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86400" cy="2305050"/>
                    </a:xfrm>
                    <a:prstGeom prst="rect">
                      <a:avLst/>
                    </a:prstGeom>
                    <a:noFill/>
                    <a:ln>
                      <a:noFill/>
                    </a:ln>
                  </pic:spPr>
                </pic:pic>
              </a:graphicData>
            </a:graphic>
          </wp:inline>
        </w:drawing>
      </w:r>
    </w:p>
    <w:p w:rsidR="00CF56BD" w:rsidRPr="00EE43AC" w:rsidRDefault="00CF56BD" w:rsidP="008075FC">
      <w:pPr>
        <w:pStyle w:val="Caption"/>
        <w:keepNext w:val="0"/>
      </w:pPr>
      <w:bookmarkStart w:id="113" w:name="_Ref275542456"/>
      <w:r>
        <w:t xml:space="preserve">Figure </w:t>
      </w:r>
      <w:r w:rsidR="007A1FB6">
        <w:fldChar w:fldCharType="begin"/>
      </w:r>
      <w:r w:rsidR="008B139C">
        <w:instrText xml:space="preserve"> STYLEREF 1 \s </w:instrText>
      </w:r>
      <w:r w:rsidR="007A1FB6">
        <w:fldChar w:fldCharType="separate"/>
      </w:r>
      <w:r w:rsidR="00C0292F">
        <w:rPr>
          <w:noProof/>
        </w:rPr>
        <w:t>2</w:t>
      </w:r>
      <w:r w:rsidR="007A1FB6">
        <w:fldChar w:fldCharType="end"/>
      </w:r>
      <w:r w:rsidR="008B139C">
        <w:noBreakHyphen/>
      </w:r>
      <w:r w:rsidR="007A1FB6">
        <w:fldChar w:fldCharType="begin"/>
      </w:r>
      <w:r w:rsidR="008B139C">
        <w:instrText xml:space="preserve"> SEQ Figure \* ARABIC \s 1 </w:instrText>
      </w:r>
      <w:r w:rsidR="007A1FB6">
        <w:fldChar w:fldCharType="separate"/>
      </w:r>
      <w:r w:rsidR="00C0292F">
        <w:rPr>
          <w:noProof/>
        </w:rPr>
        <w:t>1</w:t>
      </w:r>
      <w:r w:rsidR="007A1FB6">
        <w:fldChar w:fldCharType="end"/>
      </w:r>
      <w:bookmarkEnd w:id="113"/>
      <w:r>
        <w:t xml:space="preserve">: </w:t>
      </w:r>
      <w:r w:rsidRPr="00EE43AC">
        <w:t>Load shapes for hot water in residential buildings taken from a PJM study.</w:t>
      </w:r>
    </w:p>
    <w:p w:rsidR="00181A87" w:rsidRPr="00C465DB" w:rsidRDefault="00181A87" w:rsidP="00871FA2">
      <w:pPr>
        <w:pStyle w:val="Heading3"/>
      </w:pPr>
      <w:r>
        <w:lastRenderedPageBreak/>
        <w:t>Definition of Terms</w:t>
      </w:r>
    </w:p>
    <w:p w:rsidR="00EB6106" w:rsidRDefault="00EB6106" w:rsidP="00181A87">
      <w:pPr>
        <w:pStyle w:val="BodyText"/>
        <w:keepNext/>
      </w:pPr>
      <w:r>
        <w:t xml:space="preserve">The parameters in the above equation are listed in </w:t>
      </w:r>
      <w:r w:rsidR="007A1FB6">
        <w:fldChar w:fldCharType="begin"/>
      </w:r>
      <w:r w:rsidR="00081415">
        <w:instrText xml:space="preserve"> REF _Ref274915232 \h </w:instrText>
      </w:r>
      <w:r w:rsidR="007A1FB6">
        <w:fldChar w:fldCharType="separate"/>
      </w:r>
      <w:r w:rsidR="00C0292F">
        <w:t xml:space="preserve">Table </w:t>
      </w:r>
      <w:r w:rsidR="00C0292F">
        <w:rPr>
          <w:noProof/>
        </w:rPr>
        <w:t>2</w:t>
      </w:r>
      <w:r w:rsidR="00C0292F">
        <w:noBreakHyphen/>
      </w:r>
      <w:r w:rsidR="00C0292F">
        <w:rPr>
          <w:noProof/>
        </w:rPr>
        <w:t>2</w:t>
      </w:r>
      <w:r w:rsidR="007A1FB6">
        <w:fldChar w:fldCharType="end"/>
      </w:r>
      <w:r w:rsidR="00763570">
        <w:rPr>
          <w:b/>
        </w:rPr>
        <w:t xml:space="preserve"> </w:t>
      </w:r>
      <w:r>
        <w:t>below.</w:t>
      </w:r>
    </w:p>
    <w:p w:rsidR="00B54168" w:rsidRDefault="00B54168" w:rsidP="00100EDF">
      <w:pPr>
        <w:pStyle w:val="Caption"/>
      </w:pPr>
      <w:bookmarkStart w:id="114" w:name="_Ref274915232"/>
      <w:bookmarkStart w:id="115" w:name="_Toc310875488"/>
      <w:r>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2</w:t>
      </w:r>
      <w:r w:rsidR="00274AB1">
        <w:rPr>
          <w:noProof/>
        </w:rPr>
        <w:fldChar w:fldCharType="end"/>
      </w:r>
      <w:bookmarkEnd w:id="114"/>
      <w:r>
        <w:t xml:space="preserve">: </w:t>
      </w:r>
      <w:r w:rsidR="00940A5E">
        <w:t xml:space="preserve">Efficient Electric Water Heater </w:t>
      </w:r>
      <w:r>
        <w:t>Calculation Assumptions</w:t>
      </w:r>
      <w:bookmarkEnd w:id="1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261"/>
        <w:gridCol w:w="1709"/>
        <w:gridCol w:w="1638"/>
      </w:tblGrid>
      <w:tr w:rsidR="00D43CE5" w:rsidRPr="006E0899" w:rsidTr="00F84A22">
        <w:trPr>
          <w:jc w:val="center"/>
        </w:trPr>
        <w:tc>
          <w:tcPr>
            <w:tcW w:w="2398" w:type="pct"/>
            <w:shd w:val="clear" w:color="auto" w:fill="BFBFBF"/>
          </w:tcPr>
          <w:p w:rsidR="00EB6106" w:rsidRPr="001D6512" w:rsidRDefault="00EB6106" w:rsidP="00F84A22">
            <w:pPr>
              <w:pStyle w:val="TableCell"/>
              <w:spacing w:before="60" w:after="60"/>
              <w:rPr>
                <w:rFonts w:cs="Arial"/>
                <w:b/>
              </w:rPr>
            </w:pPr>
            <w:r w:rsidRPr="001D6512">
              <w:rPr>
                <w:rFonts w:cs="Arial"/>
                <w:b/>
              </w:rPr>
              <w:t>Component</w:t>
            </w:r>
          </w:p>
        </w:tc>
        <w:tc>
          <w:tcPr>
            <w:tcW w:w="712" w:type="pct"/>
            <w:shd w:val="clear" w:color="auto" w:fill="BFBFBF"/>
          </w:tcPr>
          <w:p w:rsidR="00EB6106" w:rsidRPr="001D6512" w:rsidRDefault="00EB6106" w:rsidP="00F84A22">
            <w:pPr>
              <w:pStyle w:val="TableCell"/>
              <w:spacing w:before="60" w:after="60"/>
              <w:rPr>
                <w:rFonts w:cs="Arial"/>
                <w:b/>
              </w:rPr>
            </w:pPr>
            <w:r w:rsidRPr="001D6512">
              <w:rPr>
                <w:rFonts w:cs="Arial"/>
                <w:b/>
              </w:rPr>
              <w:t>Type</w:t>
            </w:r>
          </w:p>
        </w:tc>
        <w:tc>
          <w:tcPr>
            <w:tcW w:w="965" w:type="pct"/>
            <w:shd w:val="clear" w:color="auto" w:fill="BFBFBF"/>
          </w:tcPr>
          <w:p w:rsidR="00EB6106" w:rsidRPr="001D6512" w:rsidRDefault="00EB6106" w:rsidP="00F84A22">
            <w:pPr>
              <w:pStyle w:val="TableCell"/>
              <w:spacing w:before="60" w:after="60"/>
              <w:rPr>
                <w:rFonts w:cs="Arial"/>
                <w:b/>
              </w:rPr>
            </w:pPr>
            <w:r w:rsidRPr="001D6512">
              <w:rPr>
                <w:rFonts w:cs="Arial"/>
                <w:b/>
              </w:rPr>
              <w:t>Values</w:t>
            </w:r>
          </w:p>
        </w:tc>
        <w:tc>
          <w:tcPr>
            <w:tcW w:w="925" w:type="pct"/>
            <w:shd w:val="clear" w:color="auto" w:fill="BFBFBF"/>
          </w:tcPr>
          <w:p w:rsidR="00EB6106" w:rsidRPr="001D6512" w:rsidRDefault="00EB6106" w:rsidP="00F84A22">
            <w:pPr>
              <w:pStyle w:val="TableCell"/>
              <w:spacing w:before="60" w:after="60"/>
              <w:rPr>
                <w:rFonts w:cs="Arial"/>
                <w:b/>
              </w:rPr>
            </w:pPr>
            <w:r w:rsidRPr="001D6512">
              <w:rPr>
                <w:rFonts w:cs="Arial"/>
                <w:b/>
              </w:rPr>
              <w:t xml:space="preserve">Source </w:t>
            </w:r>
          </w:p>
        </w:tc>
      </w:tr>
      <w:tr w:rsidR="00D43CE5" w:rsidRPr="006E0899" w:rsidTr="00F84A22">
        <w:trPr>
          <w:jc w:val="center"/>
        </w:trPr>
        <w:tc>
          <w:tcPr>
            <w:tcW w:w="2398" w:type="pct"/>
            <w:shd w:val="clear" w:color="auto" w:fill="auto"/>
          </w:tcPr>
          <w:p w:rsidR="00EB6106" w:rsidRPr="001D6512" w:rsidRDefault="00DE180A" w:rsidP="00F84A22">
            <w:pPr>
              <w:pStyle w:val="TableCell"/>
              <w:spacing w:before="60" w:after="60"/>
              <w:rPr>
                <w:rFonts w:cs="Arial"/>
              </w:rPr>
            </w:pPr>
            <w:r w:rsidRPr="001D6512">
              <w:rPr>
                <w:rFonts w:cs="Arial"/>
              </w:rPr>
              <w:t>EF</w:t>
            </w:r>
            <w:r w:rsidRPr="001D6512">
              <w:rPr>
                <w:rFonts w:cs="Arial"/>
                <w:vertAlign w:val="subscript"/>
              </w:rPr>
              <w:t>base</w:t>
            </w:r>
            <w:r w:rsidRPr="001D6512">
              <w:rPr>
                <w:rFonts w:cs="Arial"/>
              </w:rPr>
              <w:t>, Energy Factor of baseline water heater</w:t>
            </w:r>
          </w:p>
        </w:tc>
        <w:tc>
          <w:tcPr>
            <w:tcW w:w="712" w:type="pct"/>
            <w:shd w:val="clear" w:color="auto" w:fill="auto"/>
          </w:tcPr>
          <w:p w:rsidR="00EB6106" w:rsidRPr="001D6512" w:rsidRDefault="00DE180A" w:rsidP="00F84A22">
            <w:pPr>
              <w:pStyle w:val="TableCell"/>
              <w:spacing w:before="60" w:after="60"/>
              <w:rPr>
                <w:rFonts w:cs="Arial"/>
              </w:rPr>
            </w:pPr>
            <w:r w:rsidRPr="001D6512">
              <w:rPr>
                <w:rFonts w:cs="Arial"/>
              </w:rPr>
              <w:t>Fixed</w:t>
            </w:r>
          </w:p>
        </w:tc>
        <w:tc>
          <w:tcPr>
            <w:tcW w:w="965" w:type="pct"/>
            <w:shd w:val="clear" w:color="auto" w:fill="auto"/>
          </w:tcPr>
          <w:p w:rsidR="00EB6106" w:rsidRPr="001D6512" w:rsidRDefault="00DE180A" w:rsidP="00F84A22">
            <w:pPr>
              <w:pStyle w:val="TableCell"/>
              <w:spacing w:before="60" w:after="60"/>
              <w:rPr>
                <w:rFonts w:cs="Arial"/>
              </w:rPr>
            </w:pPr>
            <w:r w:rsidRPr="001D6512">
              <w:rPr>
                <w:rFonts w:cs="Arial"/>
              </w:rPr>
              <w:t>0.90</w:t>
            </w:r>
            <w:r w:rsidR="000418B8" w:rsidRPr="001D6512">
              <w:rPr>
                <w:rFonts w:cs="Arial"/>
              </w:rPr>
              <w:t>4</w:t>
            </w:r>
          </w:p>
        </w:tc>
        <w:tc>
          <w:tcPr>
            <w:tcW w:w="925" w:type="pct"/>
            <w:shd w:val="clear" w:color="auto" w:fill="auto"/>
          </w:tcPr>
          <w:p w:rsidR="00EB6106" w:rsidRPr="001D6512" w:rsidRDefault="00DE180A" w:rsidP="00F84A22">
            <w:pPr>
              <w:pStyle w:val="TableCell"/>
              <w:spacing w:before="60" w:after="60"/>
              <w:rPr>
                <w:rFonts w:cs="Arial"/>
              </w:rPr>
            </w:pPr>
            <w:r w:rsidRPr="001D6512">
              <w:rPr>
                <w:rStyle w:val="FootnoteReference"/>
                <w:rFonts w:cs="Arial"/>
                <w:vertAlign w:val="baseline"/>
              </w:rPr>
              <w:t>1</w:t>
            </w:r>
          </w:p>
        </w:tc>
      </w:tr>
      <w:tr w:rsidR="00D43CE5" w:rsidRPr="006E0899" w:rsidTr="00F84A22">
        <w:trPr>
          <w:jc w:val="center"/>
        </w:trPr>
        <w:tc>
          <w:tcPr>
            <w:tcW w:w="2398" w:type="pct"/>
            <w:shd w:val="clear" w:color="auto" w:fill="auto"/>
          </w:tcPr>
          <w:p w:rsidR="00EB6106" w:rsidRPr="001D6512" w:rsidRDefault="00C11560" w:rsidP="00F84A22">
            <w:pPr>
              <w:pStyle w:val="TableCell"/>
              <w:spacing w:before="60" w:after="60"/>
              <w:rPr>
                <w:rFonts w:cs="Arial"/>
              </w:rPr>
            </w:pPr>
            <w:r w:rsidRPr="001D6512">
              <w:rPr>
                <w:rFonts w:cs="Arial"/>
              </w:rPr>
              <w:t>EF</w:t>
            </w:r>
            <w:r w:rsidR="00DE180A" w:rsidRPr="001D6512">
              <w:rPr>
                <w:rFonts w:cs="Arial"/>
                <w:vertAlign w:val="subscript"/>
              </w:rPr>
              <w:t>proposed</w:t>
            </w:r>
            <w:r w:rsidR="00F11594" w:rsidRPr="001D6512">
              <w:rPr>
                <w:rFonts w:cs="Arial"/>
              </w:rPr>
              <w:t>,</w:t>
            </w:r>
            <w:r w:rsidRPr="001D6512">
              <w:rPr>
                <w:rFonts w:cs="Arial"/>
              </w:rPr>
              <w:t xml:space="preserve"> Energy Factor of proposed efficient water heater</w:t>
            </w:r>
          </w:p>
        </w:tc>
        <w:tc>
          <w:tcPr>
            <w:tcW w:w="712" w:type="pct"/>
            <w:shd w:val="clear" w:color="auto" w:fill="auto"/>
          </w:tcPr>
          <w:p w:rsidR="00EB6106" w:rsidRPr="001D6512" w:rsidRDefault="00C11560" w:rsidP="00F84A22">
            <w:pPr>
              <w:pStyle w:val="TableCell"/>
              <w:spacing w:before="60" w:after="60"/>
              <w:rPr>
                <w:rFonts w:cs="Arial"/>
              </w:rPr>
            </w:pPr>
            <w:r w:rsidRPr="001D6512">
              <w:rPr>
                <w:rFonts w:cs="Arial"/>
              </w:rPr>
              <w:t>Variable</w:t>
            </w:r>
          </w:p>
        </w:tc>
        <w:tc>
          <w:tcPr>
            <w:tcW w:w="965" w:type="pct"/>
            <w:shd w:val="clear" w:color="auto" w:fill="auto"/>
          </w:tcPr>
          <w:p w:rsidR="00EB6106" w:rsidRPr="001D6512" w:rsidRDefault="00C11560" w:rsidP="00F84A22">
            <w:pPr>
              <w:pStyle w:val="TableCell"/>
              <w:spacing w:before="60" w:after="60"/>
              <w:rPr>
                <w:rFonts w:cs="Arial"/>
              </w:rPr>
            </w:pPr>
            <w:r w:rsidRPr="001D6512">
              <w:rPr>
                <w:rFonts w:cs="Arial"/>
              </w:rPr>
              <w:t>&gt;=.93</w:t>
            </w:r>
          </w:p>
        </w:tc>
        <w:tc>
          <w:tcPr>
            <w:tcW w:w="925" w:type="pct"/>
            <w:shd w:val="clear" w:color="auto" w:fill="auto"/>
          </w:tcPr>
          <w:p w:rsidR="00EB6106" w:rsidRPr="001D6512" w:rsidRDefault="00C11560" w:rsidP="00F84A22">
            <w:pPr>
              <w:pStyle w:val="TableCell"/>
              <w:spacing w:before="60" w:after="60"/>
              <w:rPr>
                <w:rFonts w:cs="Arial"/>
              </w:rPr>
            </w:pPr>
            <w:r w:rsidRPr="001D6512">
              <w:rPr>
                <w:rFonts w:cs="Arial"/>
              </w:rPr>
              <w:t>Program Design</w:t>
            </w:r>
          </w:p>
        </w:tc>
      </w:tr>
      <w:tr w:rsidR="00D43CE5" w:rsidRPr="006E0899" w:rsidTr="00F84A22">
        <w:trPr>
          <w:jc w:val="center"/>
        </w:trPr>
        <w:tc>
          <w:tcPr>
            <w:tcW w:w="2398" w:type="pct"/>
            <w:shd w:val="clear" w:color="auto" w:fill="auto"/>
          </w:tcPr>
          <w:p w:rsidR="00EB6106" w:rsidRPr="001D6512" w:rsidRDefault="00C11560" w:rsidP="00F84A22">
            <w:pPr>
              <w:pStyle w:val="TableCell"/>
              <w:spacing w:before="60" w:after="60"/>
              <w:rPr>
                <w:rFonts w:cs="Arial"/>
              </w:rPr>
            </w:pPr>
            <w:r w:rsidRPr="001D6512">
              <w:rPr>
                <w:rFonts w:cs="Arial"/>
              </w:rPr>
              <w:t>HW , Hot water used per day in gallons</w:t>
            </w:r>
          </w:p>
        </w:tc>
        <w:tc>
          <w:tcPr>
            <w:tcW w:w="712" w:type="pct"/>
            <w:shd w:val="clear" w:color="auto" w:fill="auto"/>
          </w:tcPr>
          <w:p w:rsidR="00EB6106" w:rsidRPr="001D6512" w:rsidRDefault="00C11560" w:rsidP="00F84A22">
            <w:pPr>
              <w:pStyle w:val="TableCell"/>
              <w:spacing w:before="60" w:after="60"/>
              <w:rPr>
                <w:rFonts w:cs="Arial"/>
              </w:rPr>
            </w:pPr>
            <w:r w:rsidRPr="001D6512">
              <w:rPr>
                <w:rFonts w:cs="Arial"/>
              </w:rPr>
              <w:t>Fixed</w:t>
            </w:r>
          </w:p>
        </w:tc>
        <w:tc>
          <w:tcPr>
            <w:tcW w:w="965" w:type="pct"/>
            <w:shd w:val="clear" w:color="auto" w:fill="auto"/>
          </w:tcPr>
          <w:p w:rsidR="00EB6106" w:rsidRPr="001D6512" w:rsidRDefault="00C11560" w:rsidP="00F84A22">
            <w:pPr>
              <w:pStyle w:val="TableCell"/>
              <w:spacing w:before="60" w:after="60"/>
              <w:rPr>
                <w:rFonts w:cs="Arial"/>
              </w:rPr>
            </w:pPr>
            <w:r w:rsidRPr="001D6512">
              <w:rPr>
                <w:rFonts w:cs="Arial"/>
              </w:rPr>
              <w:t>64.3 gallon/day</w:t>
            </w:r>
          </w:p>
        </w:tc>
        <w:tc>
          <w:tcPr>
            <w:tcW w:w="925" w:type="pct"/>
            <w:shd w:val="clear" w:color="auto" w:fill="auto"/>
          </w:tcPr>
          <w:p w:rsidR="00EB6106" w:rsidRPr="001D6512" w:rsidRDefault="00DE180A" w:rsidP="00F84A22">
            <w:pPr>
              <w:pStyle w:val="TableCell"/>
              <w:spacing w:before="60" w:after="60"/>
              <w:rPr>
                <w:rFonts w:cs="Arial"/>
              </w:rPr>
            </w:pPr>
            <w:r w:rsidRPr="001D6512">
              <w:rPr>
                <w:rStyle w:val="FootnoteReference"/>
                <w:rFonts w:cs="Arial"/>
                <w:vertAlign w:val="baseline"/>
              </w:rPr>
              <w:t>2</w:t>
            </w:r>
          </w:p>
        </w:tc>
      </w:tr>
      <w:tr w:rsidR="00D43CE5" w:rsidRPr="006E0899" w:rsidTr="00F84A22">
        <w:trPr>
          <w:trHeight w:val="77"/>
          <w:jc w:val="center"/>
        </w:trPr>
        <w:tc>
          <w:tcPr>
            <w:tcW w:w="2398" w:type="pct"/>
            <w:shd w:val="clear" w:color="auto" w:fill="auto"/>
          </w:tcPr>
          <w:p w:rsidR="00EB6106" w:rsidRPr="001D6512" w:rsidRDefault="00F11594" w:rsidP="00F84A22">
            <w:pPr>
              <w:pStyle w:val="TableCell"/>
              <w:spacing w:before="60" w:after="60"/>
              <w:rPr>
                <w:rFonts w:cs="Arial"/>
              </w:rPr>
            </w:pPr>
            <w:r w:rsidRPr="001D6512">
              <w:rPr>
                <w:rFonts w:cs="Arial"/>
              </w:rPr>
              <w:t>T</w:t>
            </w:r>
            <w:r w:rsidRPr="001D6512">
              <w:rPr>
                <w:rFonts w:cs="Arial"/>
                <w:vertAlign w:val="subscript"/>
              </w:rPr>
              <w:t>hot</w:t>
            </w:r>
            <w:r w:rsidRPr="001D6512">
              <w:rPr>
                <w:rFonts w:cs="Arial"/>
              </w:rPr>
              <w:t>, Temperature of hot water</w:t>
            </w:r>
          </w:p>
        </w:tc>
        <w:tc>
          <w:tcPr>
            <w:tcW w:w="712" w:type="pct"/>
            <w:shd w:val="clear" w:color="auto" w:fill="auto"/>
          </w:tcPr>
          <w:p w:rsidR="00EB6106" w:rsidRPr="001D6512" w:rsidRDefault="00C11560" w:rsidP="00F84A22">
            <w:pPr>
              <w:pStyle w:val="TableCell"/>
              <w:spacing w:before="60" w:after="60"/>
              <w:rPr>
                <w:rFonts w:cs="Arial"/>
              </w:rPr>
            </w:pPr>
            <w:r w:rsidRPr="001D6512">
              <w:rPr>
                <w:rFonts w:cs="Arial"/>
              </w:rPr>
              <w:t>Fixed</w:t>
            </w:r>
          </w:p>
        </w:tc>
        <w:tc>
          <w:tcPr>
            <w:tcW w:w="965" w:type="pct"/>
            <w:shd w:val="clear" w:color="auto" w:fill="auto"/>
          </w:tcPr>
          <w:p w:rsidR="00EB6106" w:rsidRPr="001D6512" w:rsidRDefault="00C11560" w:rsidP="00F84A22">
            <w:pPr>
              <w:pStyle w:val="TableCell"/>
              <w:spacing w:before="60" w:after="60"/>
              <w:rPr>
                <w:rFonts w:cs="Arial"/>
              </w:rPr>
            </w:pPr>
            <w:r w:rsidRPr="001D6512">
              <w:rPr>
                <w:rFonts w:cs="Arial"/>
              </w:rPr>
              <w:t>120 °F</w:t>
            </w:r>
          </w:p>
        </w:tc>
        <w:tc>
          <w:tcPr>
            <w:tcW w:w="925" w:type="pct"/>
            <w:shd w:val="clear" w:color="auto" w:fill="auto"/>
          </w:tcPr>
          <w:p w:rsidR="00EB6106" w:rsidRPr="001D6512" w:rsidRDefault="00DE180A" w:rsidP="00F84A22">
            <w:pPr>
              <w:pStyle w:val="TableCell"/>
              <w:spacing w:before="60" w:after="60"/>
              <w:rPr>
                <w:rFonts w:cs="Arial"/>
              </w:rPr>
            </w:pPr>
            <w:r w:rsidRPr="001D6512">
              <w:rPr>
                <w:rStyle w:val="FootnoteReference"/>
                <w:rFonts w:cs="Arial"/>
                <w:vertAlign w:val="baseline"/>
              </w:rPr>
              <w:t>3</w:t>
            </w:r>
          </w:p>
        </w:tc>
      </w:tr>
      <w:tr w:rsidR="00D43CE5" w:rsidRPr="006E0899" w:rsidTr="00F84A22">
        <w:trPr>
          <w:jc w:val="center"/>
        </w:trPr>
        <w:tc>
          <w:tcPr>
            <w:tcW w:w="2398" w:type="pct"/>
            <w:shd w:val="clear" w:color="auto" w:fill="auto"/>
          </w:tcPr>
          <w:p w:rsidR="00EB6106" w:rsidRPr="001D6512" w:rsidRDefault="00F11594" w:rsidP="00F84A22">
            <w:pPr>
              <w:pStyle w:val="TableCell"/>
              <w:spacing w:before="60" w:after="60"/>
              <w:rPr>
                <w:rFonts w:cs="Arial"/>
              </w:rPr>
            </w:pPr>
            <w:r w:rsidRPr="001D6512">
              <w:rPr>
                <w:rFonts w:cs="Arial"/>
              </w:rPr>
              <w:t>T</w:t>
            </w:r>
            <w:r w:rsidRPr="001D6512">
              <w:rPr>
                <w:rFonts w:cs="Arial"/>
                <w:vertAlign w:val="subscript"/>
              </w:rPr>
              <w:t>cold</w:t>
            </w:r>
            <w:r w:rsidRPr="001D6512">
              <w:rPr>
                <w:rFonts w:cs="Arial"/>
              </w:rPr>
              <w:t>, Temperature of cold water supply</w:t>
            </w:r>
          </w:p>
        </w:tc>
        <w:tc>
          <w:tcPr>
            <w:tcW w:w="712" w:type="pct"/>
            <w:shd w:val="clear" w:color="auto" w:fill="auto"/>
          </w:tcPr>
          <w:p w:rsidR="00EB6106" w:rsidRPr="001D6512" w:rsidRDefault="00C11560" w:rsidP="00F84A22">
            <w:pPr>
              <w:pStyle w:val="TableCell"/>
              <w:spacing w:before="60" w:after="60"/>
              <w:rPr>
                <w:rFonts w:cs="Arial"/>
              </w:rPr>
            </w:pPr>
            <w:r w:rsidRPr="001D6512">
              <w:rPr>
                <w:rFonts w:cs="Arial"/>
              </w:rPr>
              <w:t>Fixed</w:t>
            </w:r>
          </w:p>
        </w:tc>
        <w:tc>
          <w:tcPr>
            <w:tcW w:w="965" w:type="pct"/>
            <w:shd w:val="clear" w:color="auto" w:fill="auto"/>
          </w:tcPr>
          <w:p w:rsidR="00EB6106" w:rsidRPr="001D6512" w:rsidRDefault="00C11560" w:rsidP="00F84A22">
            <w:pPr>
              <w:pStyle w:val="TableCell"/>
              <w:spacing w:before="60" w:after="60"/>
              <w:rPr>
                <w:rFonts w:cs="Arial"/>
              </w:rPr>
            </w:pPr>
            <w:r w:rsidRPr="001D6512">
              <w:rPr>
                <w:rFonts w:cs="Arial"/>
              </w:rPr>
              <w:t>55 °F</w:t>
            </w:r>
          </w:p>
        </w:tc>
        <w:tc>
          <w:tcPr>
            <w:tcW w:w="925" w:type="pct"/>
            <w:shd w:val="clear" w:color="auto" w:fill="auto"/>
          </w:tcPr>
          <w:p w:rsidR="00EB6106" w:rsidRPr="001D6512" w:rsidRDefault="00DE180A" w:rsidP="00F84A22">
            <w:pPr>
              <w:pStyle w:val="TableCell"/>
              <w:spacing w:before="60" w:after="60"/>
              <w:rPr>
                <w:rFonts w:cs="Arial"/>
              </w:rPr>
            </w:pPr>
            <w:r w:rsidRPr="001D6512">
              <w:rPr>
                <w:rStyle w:val="FootnoteReference"/>
                <w:rFonts w:cs="Arial"/>
                <w:vertAlign w:val="baseline"/>
              </w:rPr>
              <w:t>4</w:t>
            </w:r>
          </w:p>
        </w:tc>
      </w:tr>
      <w:tr w:rsidR="00D43CE5" w:rsidRPr="006E0899" w:rsidTr="00F84A22">
        <w:trPr>
          <w:jc w:val="center"/>
        </w:trPr>
        <w:tc>
          <w:tcPr>
            <w:tcW w:w="2398" w:type="pct"/>
            <w:shd w:val="clear" w:color="auto" w:fill="auto"/>
          </w:tcPr>
          <w:p w:rsidR="00EB6106" w:rsidRPr="001D6512" w:rsidRDefault="00C11560" w:rsidP="00F84A22">
            <w:pPr>
              <w:pStyle w:val="TableCell"/>
              <w:spacing w:before="60" w:after="60"/>
              <w:rPr>
                <w:rFonts w:cs="Arial"/>
              </w:rPr>
            </w:pPr>
            <w:r w:rsidRPr="001D6512">
              <w:rPr>
                <w:rFonts w:cs="Arial"/>
              </w:rPr>
              <w:t>Energy</w:t>
            </w:r>
            <w:r w:rsidR="00CA1578" w:rsidRPr="001D6512">
              <w:rPr>
                <w:rFonts w:cs="Arial"/>
              </w:rPr>
              <w:t xml:space="preserve"> </w:t>
            </w:r>
            <w:r w:rsidRPr="001D6512">
              <w:rPr>
                <w:rFonts w:cs="Arial"/>
              </w:rPr>
              <w:t>To</w:t>
            </w:r>
            <w:r w:rsidR="00CA1578" w:rsidRPr="001D6512">
              <w:rPr>
                <w:rFonts w:cs="Arial"/>
              </w:rPr>
              <w:t xml:space="preserve"> </w:t>
            </w:r>
            <w:r w:rsidRPr="001D6512">
              <w:rPr>
                <w:rFonts w:cs="Arial"/>
              </w:rPr>
              <w:t>Demand</w:t>
            </w:r>
            <w:r w:rsidR="00CA1578" w:rsidRPr="001D6512">
              <w:rPr>
                <w:rFonts w:cs="Arial"/>
              </w:rPr>
              <w:t xml:space="preserve"> </w:t>
            </w:r>
            <w:r w:rsidRPr="001D6512">
              <w:rPr>
                <w:rFonts w:cs="Arial"/>
              </w:rPr>
              <w:t>Factor</w:t>
            </w:r>
          </w:p>
        </w:tc>
        <w:tc>
          <w:tcPr>
            <w:tcW w:w="712" w:type="pct"/>
            <w:shd w:val="clear" w:color="auto" w:fill="auto"/>
          </w:tcPr>
          <w:p w:rsidR="00EB6106" w:rsidRPr="001D6512" w:rsidRDefault="00C11560" w:rsidP="00F84A22">
            <w:pPr>
              <w:pStyle w:val="TableCell"/>
              <w:spacing w:before="60" w:after="60"/>
              <w:rPr>
                <w:rFonts w:cs="Arial"/>
              </w:rPr>
            </w:pPr>
            <w:r w:rsidRPr="001D6512">
              <w:rPr>
                <w:rFonts w:cs="Arial"/>
              </w:rPr>
              <w:t>Fixed</w:t>
            </w:r>
          </w:p>
        </w:tc>
        <w:tc>
          <w:tcPr>
            <w:tcW w:w="965" w:type="pct"/>
            <w:shd w:val="clear" w:color="auto" w:fill="auto"/>
          </w:tcPr>
          <w:p w:rsidR="00EB6106" w:rsidRPr="001D6512" w:rsidRDefault="00C11560" w:rsidP="00F84A22">
            <w:pPr>
              <w:pStyle w:val="TableCell"/>
              <w:spacing w:before="60" w:after="60"/>
              <w:rPr>
                <w:rFonts w:cs="Arial"/>
              </w:rPr>
            </w:pPr>
            <w:r w:rsidRPr="001D6512">
              <w:rPr>
                <w:rFonts w:cs="Arial"/>
              </w:rPr>
              <w:t>0.00009172</w:t>
            </w:r>
          </w:p>
        </w:tc>
        <w:tc>
          <w:tcPr>
            <w:tcW w:w="925" w:type="pct"/>
            <w:shd w:val="clear" w:color="auto" w:fill="auto"/>
          </w:tcPr>
          <w:p w:rsidR="00EB6106" w:rsidRPr="001D6512" w:rsidRDefault="00C11560" w:rsidP="00F84A22">
            <w:pPr>
              <w:pStyle w:val="TableCell"/>
              <w:spacing w:before="60" w:after="60"/>
              <w:rPr>
                <w:rFonts w:cs="Arial"/>
              </w:rPr>
            </w:pPr>
            <w:r w:rsidRPr="001D6512">
              <w:rPr>
                <w:rFonts w:cs="Arial"/>
              </w:rPr>
              <w:t>1-4</w:t>
            </w:r>
          </w:p>
        </w:tc>
      </w:tr>
    </w:tbl>
    <w:p w:rsidR="00E912F1" w:rsidRDefault="00E912F1" w:rsidP="00E912F1">
      <w:pPr>
        <w:pStyle w:val="BodyText"/>
        <w:rPr>
          <w:b/>
        </w:rPr>
      </w:pPr>
    </w:p>
    <w:p w:rsidR="00E912F1" w:rsidRPr="00BC5194" w:rsidRDefault="00E912F1" w:rsidP="00100EDF">
      <w:pPr>
        <w:rPr>
          <w:b/>
        </w:rPr>
      </w:pPr>
      <w:r w:rsidRPr="00BC5194">
        <w:rPr>
          <w:b/>
        </w:rPr>
        <w:t>Sources:</w:t>
      </w:r>
    </w:p>
    <w:p w:rsidR="00E912F1" w:rsidRDefault="00E912F1" w:rsidP="00205E45">
      <w:pPr>
        <w:pStyle w:val="source1"/>
        <w:numPr>
          <w:ilvl w:val="0"/>
          <w:numId w:val="127"/>
        </w:numPr>
      </w:pPr>
      <w:r w:rsidRPr="00E912F1">
        <w:t>Federal Standards are 0.97 -0.00132 x Rated Storage in Gallons.  For a 50-gallon tank this is 0.90</w:t>
      </w:r>
      <w:r w:rsidR="000418B8">
        <w:t>4</w:t>
      </w:r>
      <w:r w:rsidRPr="00E912F1">
        <w:t>.  “Energy Conservation Program: Energy Conservation Standards for Residential Water Heaters, Direct Heating Equipment, and Pool Heaters” US Dept of Energy Docket Number: EE–2006–BT-STD–0129, p. 30</w:t>
      </w:r>
    </w:p>
    <w:p w:rsidR="00E912F1" w:rsidRDefault="00E912F1" w:rsidP="00C3606E">
      <w:pPr>
        <w:pStyle w:val="source1"/>
      </w:pPr>
      <w:r w:rsidRPr="00E912F1">
        <w:t>Energy Conservation Program for Consumer Products: Test Procedure for Water Heaters”, Federal Register / Vol. 63, No. 90, p. 25996</w:t>
      </w:r>
    </w:p>
    <w:p w:rsidR="00E912F1" w:rsidRDefault="00E912F1" w:rsidP="00C3606E">
      <w:pPr>
        <w:pStyle w:val="source1"/>
      </w:pPr>
      <w:r w:rsidRPr="00E912F1">
        <w:t>Many states have plumbing codes that limit shower and bathtub water temperature to 120 °F.</w:t>
      </w:r>
    </w:p>
    <w:p w:rsidR="00E912F1" w:rsidRDefault="00E912F1" w:rsidP="00C3606E">
      <w:pPr>
        <w:pStyle w:val="source1"/>
      </w:pPr>
      <w:r w:rsidRPr="00E912F1">
        <w:t>Mid-Atlantic TRM, footnote #24</w:t>
      </w:r>
    </w:p>
    <w:p w:rsidR="00EB6106" w:rsidRPr="00C465DB" w:rsidRDefault="00EB6106" w:rsidP="00871FA2">
      <w:pPr>
        <w:pStyle w:val="Heading3"/>
      </w:pPr>
      <w:r w:rsidRPr="00837206">
        <w:t>Deemed Savings</w:t>
      </w:r>
    </w:p>
    <w:p w:rsidR="00EB6106" w:rsidRDefault="00EB6106" w:rsidP="00EB6106">
      <w:pPr>
        <w:pStyle w:val="BodyText"/>
      </w:pPr>
      <w:r w:rsidRPr="00837206">
        <w:t xml:space="preserve">The deemed savings for the installation of </w:t>
      </w:r>
      <w:r>
        <w:t>efficient electric</w:t>
      </w:r>
      <w:r w:rsidRPr="00837206">
        <w:t xml:space="preserve"> water heaters with</w:t>
      </w:r>
      <w:r>
        <w:t xml:space="preserve"> various</w:t>
      </w:r>
      <w:r w:rsidRPr="00837206">
        <w:t xml:space="preserve"> Energy Factor</w:t>
      </w:r>
      <w:r>
        <w:t>s are listed below.</w:t>
      </w:r>
    </w:p>
    <w:p w:rsidR="00B54168" w:rsidRPr="00B54168" w:rsidRDefault="00B54168" w:rsidP="00100EDF">
      <w:pPr>
        <w:pStyle w:val="Caption"/>
      </w:pPr>
      <w:bookmarkStart w:id="116" w:name="_Toc310875489"/>
      <w:r w:rsidRPr="00B54168">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3</w:t>
      </w:r>
      <w:r w:rsidR="00274AB1">
        <w:rPr>
          <w:noProof/>
        </w:rPr>
        <w:fldChar w:fldCharType="end"/>
      </w:r>
      <w:r w:rsidRPr="00B54168">
        <w:t>: Energy Savings and Demand Reductions</w:t>
      </w:r>
      <w:bookmarkEnd w:id="116"/>
    </w:p>
    <w:tbl>
      <w:tblPr>
        <w:tblW w:w="5000" w:type="pct"/>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20" w:firstRow="1" w:lastRow="0" w:firstColumn="0" w:lastColumn="0" w:noHBand="0" w:noVBand="1"/>
      </w:tblPr>
      <w:tblGrid>
        <w:gridCol w:w="2952"/>
        <w:gridCol w:w="2953"/>
        <w:gridCol w:w="2951"/>
      </w:tblGrid>
      <w:tr w:rsidR="00EB6106" w:rsidRPr="006E0899" w:rsidTr="00F84A22">
        <w:tc>
          <w:tcPr>
            <w:tcW w:w="1667" w:type="pct"/>
            <w:tcBorders>
              <w:top w:val="single" w:sz="8" w:space="0" w:color="404040"/>
              <w:left w:val="single" w:sz="8" w:space="0" w:color="404040"/>
              <w:bottom w:val="single" w:sz="8" w:space="0" w:color="404040"/>
              <w:right w:val="single" w:sz="8" w:space="0" w:color="404040"/>
            </w:tcBorders>
            <w:shd w:val="clear" w:color="auto" w:fill="BFBFBF"/>
          </w:tcPr>
          <w:p w:rsidR="00EB6106" w:rsidRPr="001D6512" w:rsidRDefault="00EB6106" w:rsidP="00F84A22">
            <w:pPr>
              <w:pStyle w:val="TableCell"/>
              <w:spacing w:before="60" w:after="60"/>
              <w:rPr>
                <w:b/>
                <w:bCs/>
              </w:rPr>
            </w:pPr>
            <w:r w:rsidRPr="001D6512">
              <w:rPr>
                <w:b/>
                <w:bCs/>
              </w:rPr>
              <w:t>Energy Factor</w:t>
            </w:r>
          </w:p>
        </w:tc>
        <w:tc>
          <w:tcPr>
            <w:tcW w:w="1667" w:type="pct"/>
            <w:tcBorders>
              <w:top w:val="single" w:sz="8" w:space="0" w:color="404040"/>
              <w:left w:val="single" w:sz="8" w:space="0" w:color="404040"/>
              <w:bottom w:val="single" w:sz="8" w:space="0" w:color="404040"/>
              <w:right w:val="single" w:sz="8" w:space="0" w:color="404040"/>
            </w:tcBorders>
            <w:shd w:val="clear" w:color="auto" w:fill="BFBFBF"/>
          </w:tcPr>
          <w:p w:rsidR="00EB6106" w:rsidRPr="001D6512" w:rsidRDefault="00EB6106" w:rsidP="00F84A22">
            <w:pPr>
              <w:pStyle w:val="TableCell"/>
              <w:spacing w:before="60" w:after="60"/>
              <w:rPr>
                <w:b/>
                <w:bCs/>
              </w:rPr>
            </w:pPr>
            <w:r w:rsidRPr="001D6512">
              <w:rPr>
                <w:b/>
                <w:bCs/>
              </w:rPr>
              <w:t>Energy Savings (kWh)</w:t>
            </w:r>
          </w:p>
        </w:tc>
        <w:tc>
          <w:tcPr>
            <w:tcW w:w="1666" w:type="pct"/>
            <w:tcBorders>
              <w:top w:val="single" w:sz="8" w:space="0" w:color="404040"/>
              <w:left w:val="single" w:sz="8" w:space="0" w:color="404040"/>
              <w:bottom w:val="single" w:sz="8" w:space="0" w:color="404040"/>
              <w:right w:val="single" w:sz="8" w:space="0" w:color="404040"/>
            </w:tcBorders>
            <w:shd w:val="clear" w:color="auto" w:fill="BFBFBF"/>
          </w:tcPr>
          <w:p w:rsidR="00EB6106" w:rsidRPr="001D6512" w:rsidRDefault="00EB6106" w:rsidP="00F84A22">
            <w:pPr>
              <w:pStyle w:val="TableCell"/>
              <w:spacing w:before="60" w:after="60"/>
              <w:rPr>
                <w:b/>
                <w:bCs/>
              </w:rPr>
            </w:pPr>
            <w:r w:rsidRPr="001D6512">
              <w:rPr>
                <w:b/>
                <w:bCs/>
              </w:rPr>
              <w:t>Demand Reduction (kW)</w:t>
            </w:r>
          </w:p>
        </w:tc>
      </w:tr>
      <w:tr w:rsidR="00EB6106" w:rsidRPr="006E0899" w:rsidTr="00F84A22">
        <w:tc>
          <w:tcPr>
            <w:tcW w:w="1667" w:type="pct"/>
            <w:tcBorders>
              <w:top w:val="single" w:sz="8" w:space="0" w:color="404040"/>
              <w:left w:val="single" w:sz="8" w:space="0" w:color="404040"/>
              <w:bottom w:val="single" w:sz="8" w:space="0" w:color="404040"/>
              <w:right w:val="single" w:sz="8" w:space="0" w:color="404040"/>
            </w:tcBorders>
            <w:shd w:val="clear" w:color="auto" w:fill="FFFFFF"/>
          </w:tcPr>
          <w:p w:rsidR="00EB6106" w:rsidRPr="001D6512" w:rsidRDefault="00C11560" w:rsidP="00F84A22">
            <w:pPr>
              <w:pStyle w:val="TableCell"/>
              <w:spacing w:before="60" w:after="60"/>
              <w:rPr>
                <w:color w:val="000000"/>
              </w:rPr>
            </w:pPr>
            <w:r w:rsidRPr="001D6512">
              <w:rPr>
                <w:color w:val="000000"/>
              </w:rPr>
              <w:t xml:space="preserve">0.95 </w:t>
            </w:r>
          </w:p>
        </w:tc>
        <w:tc>
          <w:tcPr>
            <w:tcW w:w="1667" w:type="pct"/>
            <w:tcBorders>
              <w:top w:val="single" w:sz="8" w:space="0" w:color="404040"/>
              <w:left w:val="single" w:sz="8" w:space="0" w:color="404040"/>
              <w:bottom w:val="single" w:sz="8" w:space="0" w:color="404040"/>
              <w:right w:val="single" w:sz="8" w:space="0" w:color="404040"/>
            </w:tcBorders>
            <w:shd w:val="clear" w:color="auto" w:fill="FFFFFF"/>
          </w:tcPr>
          <w:p w:rsidR="00EB6106" w:rsidRPr="001D6512" w:rsidRDefault="00CA1578" w:rsidP="00F84A22">
            <w:pPr>
              <w:pStyle w:val="TableCell"/>
              <w:spacing w:before="60" w:after="60"/>
              <w:rPr>
                <w:color w:val="000000"/>
              </w:rPr>
            </w:pPr>
            <w:r w:rsidRPr="001D6512">
              <w:rPr>
                <w:color w:val="000000"/>
              </w:rPr>
              <w:t>199</w:t>
            </w:r>
          </w:p>
        </w:tc>
        <w:tc>
          <w:tcPr>
            <w:tcW w:w="1666" w:type="pct"/>
            <w:tcBorders>
              <w:top w:val="single" w:sz="8" w:space="0" w:color="404040"/>
              <w:left w:val="single" w:sz="8" w:space="0" w:color="404040"/>
              <w:bottom w:val="single" w:sz="8" w:space="0" w:color="404040"/>
              <w:right w:val="single" w:sz="8" w:space="0" w:color="404040"/>
            </w:tcBorders>
            <w:shd w:val="clear" w:color="auto" w:fill="FFFFFF"/>
          </w:tcPr>
          <w:p w:rsidR="00EB6106" w:rsidRPr="001D6512" w:rsidRDefault="00C11560" w:rsidP="00F84A22">
            <w:pPr>
              <w:pStyle w:val="TableCell"/>
              <w:spacing w:before="60" w:after="60"/>
              <w:rPr>
                <w:color w:val="000000"/>
              </w:rPr>
            </w:pPr>
            <w:r w:rsidRPr="001D6512">
              <w:rPr>
                <w:color w:val="000000"/>
              </w:rPr>
              <w:t xml:space="preserve"> </w:t>
            </w:r>
            <w:r w:rsidR="00CA1578" w:rsidRPr="001D6512">
              <w:rPr>
                <w:color w:val="000000"/>
              </w:rPr>
              <w:t>0.0182</w:t>
            </w:r>
          </w:p>
        </w:tc>
      </w:tr>
      <w:tr w:rsidR="00EB6106" w:rsidRPr="006E0899" w:rsidTr="00F84A22">
        <w:tc>
          <w:tcPr>
            <w:tcW w:w="1667" w:type="pct"/>
            <w:tcBorders>
              <w:top w:val="single" w:sz="8" w:space="0" w:color="404040"/>
              <w:left w:val="single" w:sz="8" w:space="0" w:color="404040"/>
              <w:bottom w:val="single" w:sz="8" w:space="0" w:color="404040"/>
              <w:right w:val="single" w:sz="8" w:space="0" w:color="404040"/>
            </w:tcBorders>
            <w:shd w:val="clear" w:color="auto" w:fill="auto"/>
          </w:tcPr>
          <w:p w:rsidR="00EB6106" w:rsidRPr="001D6512" w:rsidRDefault="00C11560" w:rsidP="00F84A22">
            <w:pPr>
              <w:pStyle w:val="TableCell"/>
              <w:spacing w:before="60" w:after="60"/>
              <w:rPr>
                <w:color w:val="000000"/>
              </w:rPr>
            </w:pPr>
            <w:r w:rsidRPr="001D6512">
              <w:rPr>
                <w:color w:val="000000"/>
              </w:rPr>
              <w:t xml:space="preserve">0.94 </w:t>
            </w:r>
          </w:p>
        </w:tc>
        <w:tc>
          <w:tcPr>
            <w:tcW w:w="1667" w:type="pct"/>
            <w:tcBorders>
              <w:top w:val="single" w:sz="8" w:space="0" w:color="404040"/>
              <w:left w:val="single" w:sz="8" w:space="0" w:color="404040"/>
              <w:bottom w:val="single" w:sz="8" w:space="0" w:color="404040"/>
              <w:right w:val="single" w:sz="8" w:space="0" w:color="404040"/>
            </w:tcBorders>
            <w:shd w:val="clear" w:color="auto" w:fill="auto"/>
          </w:tcPr>
          <w:p w:rsidR="00EB6106" w:rsidRPr="001D6512" w:rsidRDefault="00CA1578" w:rsidP="00F84A22">
            <w:pPr>
              <w:pStyle w:val="TableCell"/>
              <w:spacing w:before="60" w:after="60"/>
              <w:rPr>
                <w:color w:val="000000"/>
              </w:rPr>
            </w:pPr>
            <w:r w:rsidRPr="001D6512">
              <w:rPr>
                <w:color w:val="000000"/>
              </w:rPr>
              <w:t xml:space="preserve">157 </w:t>
            </w:r>
          </w:p>
        </w:tc>
        <w:tc>
          <w:tcPr>
            <w:tcW w:w="1666" w:type="pct"/>
            <w:tcBorders>
              <w:top w:val="single" w:sz="8" w:space="0" w:color="404040"/>
              <w:left w:val="single" w:sz="8" w:space="0" w:color="404040"/>
              <w:bottom w:val="single" w:sz="8" w:space="0" w:color="404040"/>
              <w:right w:val="single" w:sz="8" w:space="0" w:color="404040"/>
            </w:tcBorders>
            <w:shd w:val="clear" w:color="auto" w:fill="auto"/>
          </w:tcPr>
          <w:p w:rsidR="00EB6106" w:rsidRPr="001D6512" w:rsidRDefault="00CA1578" w:rsidP="00F84A22">
            <w:pPr>
              <w:pStyle w:val="TableCell"/>
              <w:spacing w:before="60" w:after="60"/>
              <w:rPr>
                <w:color w:val="000000"/>
              </w:rPr>
            </w:pPr>
            <w:r w:rsidRPr="001D6512">
              <w:rPr>
                <w:color w:val="000000"/>
              </w:rPr>
              <w:t>0.0144</w:t>
            </w:r>
          </w:p>
        </w:tc>
      </w:tr>
      <w:tr w:rsidR="00EB6106" w:rsidRPr="006E0899" w:rsidTr="00F84A22">
        <w:tc>
          <w:tcPr>
            <w:tcW w:w="1667" w:type="pct"/>
            <w:tcBorders>
              <w:top w:val="single" w:sz="8" w:space="0" w:color="404040"/>
              <w:left w:val="single" w:sz="8" w:space="0" w:color="404040"/>
              <w:bottom w:val="single" w:sz="8" w:space="0" w:color="404040"/>
              <w:right w:val="single" w:sz="8" w:space="0" w:color="404040"/>
            </w:tcBorders>
            <w:shd w:val="clear" w:color="auto" w:fill="FFFFFF"/>
          </w:tcPr>
          <w:p w:rsidR="00EB6106" w:rsidRPr="001D6512" w:rsidRDefault="00C11560" w:rsidP="00F84A22">
            <w:pPr>
              <w:pStyle w:val="TableCell"/>
              <w:spacing w:before="60" w:after="60"/>
              <w:rPr>
                <w:color w:val="000000"/>
              </w:rPr>
            </w:pPr>
            <w:r w:rsidRPr="001D6512">
              <w:rPr>
                <w:color w:val="000000"/>
              </w:rPr>
              <w:t xml:space="preserve">0.93 </w:t>
            </w:r>
          </w:p>
        </w:tc>
        <w:tc>
          <w:tcPr>
            <w:tcW w:w="1667" w:type="pct"/>
            <w:tcBorders>
              <w:top w:val="single" w:sz="8" w:space="0" w:color="404040"/>
              <w:left w:val="single" w:sz="8" w:space="0" w:color="404040"/>
              <w:bottom w:val="single" w:sz="8" w:space="0" w:color="404040"/>
              <w:right w:val="single" w:sz="8" w:space="0" w:color="404040"/>
            </w:tcBorders>
            <w:shd w:val="clear" w:color="auto" w:fill="FFFFFF"/>
          </w:tcPr>
          <w:p w:rsidR="00EB6106" w:rsidRPr="001D6512" w:rsidRDefault="00CA1578" w:rsidP="00F84A22">
            <w:pPr>
              <w:pStyle w:val="TableCell"/>
              <w:spacing w:before="60" w:after="60"/>
              <w:rPr>
                <w:color w:val="000000"/>
              </w:rPr>
            </w:pPr>
            <w:r w:rsidRPr="001D6512">
              <w:rPr>
                <w:color w:val="000000"/>
              </w:rPr>
              <w:t xml:space="preserve">115 </w:t>
            </w:r>
          </w:p>
        </w:tc>
        <w:tc>
          <w:tcPr>
            <w:tcW w:w="1666" w:type="pct"/>
            <w:tcBorders>
              <w:top w:val="single" w:sz="8" w:space="0" w:color="404040"/>
              <w:left w:val="single" w:sz="8" w:space="0" w:color="404040"/>
              <w:bottom w:val="single" w:sz="8" w:space="0" w:color="404040"/>
              <w:right w:val="single" w:sz="8" w:space="0" w:color="404040"/>
            </w:tcBorders>
            <w:shd w:val="clear" w:color="auto" w:fill="FFFFFF"/>
          </w:tcPr>
          <w:p w:rsidR="00EB6106" w:rsidRPr="001D6512" w:rsidRDefault="00CA1578" w:rsidP="00F84A22">
            <w:pPr>
              <w:pStyle w:val="TableCell"/>
              <w:spacing w:before="60" w:after="60"/>
              <w:rPr>
                <w:color w:val="000000"/>
              </w:rPr>
            </w:pPr>
            <w:r w:rsidRPr="001D6512">
              <w:rPr>
                <w:color w:val="000000"/>
              </w:rPr>
              <w:t>0.0182</w:t>
            </w:r>
          </w:p>
        </w:tc>
      </w:tr>
    </w:tbl>
    <w:p w:rsidR="00EB6106" w:rsidRDefault="00EB6106" w:rsidP="00EB6106">
      <w:pPr>
        <w:pStyle w:val="BodyText"/>
      </w:pPr>
    </w:p>
    <w:p w:rsidR="00EB6106" w:rsidRPr="00C465DB" w:rsidRDefault="00EB6106" w:rsidP="00871FA2">
      <w:pPr>
        <w:pStyle w:val="Heading3"/>
      </w:pPr>
      <w:r w:rsidRPr="00837206">
        <w:lastRenderedPageBreak/>
        <w:t>Measure Life</w:t>
      </w:r>
    </w:p>
    <w:p w:rsidR="00EB6106" w:rsidRPr="00C465DB" w:rsidRDefault="00EB6106" w:rsidP="00EB6106">
      <w:pPr>
        <w:pStyle w:val="BodyText"/>
      </w:pPr>
      <w:r>
        <w:t>According to an October 2008 report for the CA Database for Energy Efficiency Resources, an</w:t>
      </w:r>
      <w:r w:rsidRPr="00837206">
        <w:t xml:space="preserve"> electric water heater’s lifespan is </w:t>
      </w:r>
      <w:r w:rsidRPr="00837206">
        <w:rPr>
          <w:b/>
        </w:rPr>
        <w:t>1</w:t>
      </w:r>
      <w:r>
        <w:rPr>
          <w:b/>
        </w:rPr>
        <w:t>4</w:t>
      </w:r>
      <w:r w:rsidRPr="00837206">
        <w:rPr>
          <w:b/>
        </w:rPr>
        <w:t xml:space="preserve"> years</w:t>
      </w:r>
      <w:r w:rsidR="00D43D38" w:rsidRPr="00CC745B">
        <w:rPr>
          <w:rStyle w:val="FootnoteReference"/>
        </w:rPr>
        <w:footnoteReference w:id="14"/>
      </w:r>
    </w:p>
    <w:p w:rsidR="00EB6106" w:rsidRPr="00C465DB" w:rsidRDefault="00EB6106" w:rsidP="00871FA2">
      <w:pPr>
        <w:pStyle w:val="Heading3"/>
      </w:pPr>
      <w:r w:rsidRPr="00837206">
        <w:t>Evaluation Protocols</w:t>
      </w:r>
    </w:p>
    <w:p w:rsidR="00EB6106" w:rsidRDefault="00EB6106" w:rsidP="00EB6106">
      <w:pPr>
        <w:pStyle w:val="BodyText"/>
      </w:pPr>
      <w:r w:rsidRPr="00837206">
        <w:t>The most appropriate evaluation protocol for this measure is verification of installation coupled with assignment of stipulated energy savings.</w:t>
      </w:r>
    </w:p>
    <w:p w:rsidR="00791069" w:rsidRDefault="00791069">
      <w:pPr>
        <w:overflowPunct/>
        <w:autoSpaceDE/>
        <w:autoSpaceDN/>
        <w:adjustRightInd/>
        <w:spacing w:after="0" w:line="240" w:lineRule="auto"/>
        <w:textAlignment w:val="auto"/>
        <w:rPr>
          <w:rFonts w:cs="Arial"/>
          <w:b/>
          <w:bCs/>
          <w:iCs/>
          <w:sz w:val="24"/>
          <w:szCs w:val="28"/>
        </w:rPr>
      </w:pPr>
      <w:bookmarkStart w:id="117" w:name="_Toc271723504"/>
    </w:p>
    <w:p w:rsidR="00E912F1" w:rsidRPr="00BE0D4B" w:rsidRDefault="00716DAB" w:rsidP="00E568D4">
      <w:pPr>
        <w:pStyle w:val="Heading2"/>
      </w:pPr>
      <w:r>
        <w:br w:type="page"/>
      </w:r>
      <w:bookmarkStart w:id="118" w:name="_Toc310875403"/>
      <w:r w:rsidR="00E912F1" w:rsidRPr="00F563CA">
        <w:lastRenderedPageBreak/>
        <w:t>Electroluminescent Nightlight</w:t>
      </w:r>
      <w:bookmarkEnd w:id="117"/>
      <w:bookmarkEnd w:id="1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1"/>
        <w:gridCol w:w="5255"/>
      </w:tblGrid>
      <w:tr w:rsidR="00C979F8" w:rsidRPr="006E0899" w:rsidTr="00EA27B2">
        <w:trPr>
          <w:jc w:val="center"/>
        </w:trPr>
        <w:tc>
          <w:tcPr>
            <w:tcW w:w="2033" w:type="pct"/>
            <w:shd w:val="clear" w:color="auto" w:fill="BFBFBF"/>
            <w:vAlign w:val="center"/>
          </w:tcPr>
          <w:p w:rsidR="00C979F8" w:rsidRPr="001D6512" w:rsidRDefault="00C979F8" w:rsidP="00EA27B2">
            <w:pPr>
              <w:pStyle w:val="TableCell"/>
              <w:spacing w:before="60" w:after="60"/>
              <w:rPr>
                <w:b/>
              </w:rPr>
            </w:pPr>
            <w:r w:rsidRPr="001D6512">
              <w:rPr>
                <w:b/>
              </w:rPr>
              <w:t>Measure Name</w:t>
            </w:r>
          </w:p>
        </w:tc>
        <w:tc>
          <w:tcPr>
            <w:tcW w:w="2967" w:type="pct"/>
            <w:shd w:val="clear" w:color="auto" w:fill="BFBFBF"/>
            <w:vAlign w:val="center"/>
          </w:tcPr>
          <w:p w:rsidR="00C979F8" w:rsidRPr="001D6512" w:rsidRDefault="00C979F8" w:rsidP="00EA27B2">
            <w:pPr>
              <w:pStyle w:val="TableCell"/>
              <w:spacing w:before="60" w:after="60"/>
              <w:rPr>
                <w:b/>
              </w:rPr>
            </w:pPr>
            <w:r w:rsidRPr="001D6512">
              <w:rPr>
                <w:b/>
              </w:rPr>
              <w:t xml:space="preserve">Electroluminescent Nightlight </w:t>
            </w:r>
          </w:p>
        </w:tc>
      </w:tr>
      <w:tr w:rsidR="00C979F8" w:rsidRPr="006E0899" w:rsidTr="00EA27B2">
        <w:trPr>
          <w:jc w:val="center"/>
        </w:trPr>
        <w:tc>
          <w:tcPr>
            <w:tcW w:w="2033" w:type="pct"/>
            <w:shd w:val="clear" w:color="auto" w:fill="auto"/>
            <w:vAlign w:val="center"/>
          </w:tcPr>
          <w:p w:rsidR="00C979F8" w:rsidRPr="00865117" w:rsidRDefault="00C979F8" w:rsidP="00EA27B2">
            <w:pPr>
              <w:pStyle w:val="TableCell"/>
              <w:spacing w:before="60" w:after="60"/>
              <w:rPr>
                <w:b/>
              </w:rPr>
            </w:pPr>
            <w:r w:rsidRPr="00865117">
              <w:rPr>
                <w:b/>
              </w:rPr>
              <w:t>Target Sector</w:t>
            </w:r>
          </w:p>
        </w:tc>
        <w:tc>
          <w:tcPr>
            <w:tcW w:w="2967" w:type="pct"/>
            <w:shd w:val="clear" w:color="auto" w:fill="auto"/>
            <w:vAlign w:val="center"/>
          </w:tcPr>
          <w:p w:rsidR="00C979F8" w:rsidRPr="001D6512" w:rsidRDefault="00C979F8" w:rsidP="00EA27B2">
            <w:pPr>
              <w:pStyle w:val="TableCell"/>
              <w:spacing w:before="60" w:after="60"/>
            </w:pPr>
            <w:r w:rsidRPr="001D6512">
              <w:t>Residential Establishments</w:t>
            </w:r>
          </w:p>
        </w:tc>
      </w:tr>
      <w:tr w:rsidR="00C979F8" w:rsidRPr="006E0899" w:rsidTr="00EA27B2">
        <w:trPr>
          <w:jc w:val="center"/>
        </w:trPr>
        <w:tc>
          <w:tcPr>
            <w:tcW w:w="2033" w:type="pct"/>
            <w:shd w:val="clear" w:color="auto" w:fill="auto"/>
            <w:vAlign w:val="center"/>
          </w:tcPr>
          <w:p w:rsidR="00C979F8" w:rsidRPr="00865117" w:rsidRDefault="00C979F8" w:rsidP="00EA27B2">
            <w:pPr>
              <w:pStyle w:val="TableCell"/>
              <w:spacing w:before="60" w:after="60"/>
              <w:rPr>
                <w:b/>
              </w:rPr>
            </w:pPr>
            <w:r w:rsidRPr="00865117">
              <w:rPr>
                <w:b/>
              </w:rPr>
              <w:t>Measure Unit</w:t>
            </w:r>
          </w:p>
        </w:tc>
        <w:tc>
          <w:tcPr>
            <w:tcW w:w="2967" w:type="pct"/>
            <w:shd w:val="clear" w:color="auto" w:fill="auto"/>
            <w:vAlign w:val="center"/>
          </w:tcPr>
          <w:p w:rsidR="00C979F8" w:rsidRPr="001D6512" w:rsidRDefault="00C979F8" w:rsidP="00C979F8">
            <w:pPr>
              <w:pStyle w:val="TableCell"/>
              <w:spacing w:before="60" w:after="60"/>
            </w:pPr>
            <w:r w:rsidRPr="001D6512">
              <w:t>Nightlight</w:t>
            </w:r>
          </w:p>
        </w:tc>
      </w:tr>
      <w:tr w:rsidR="00C979F8" w:rsidRPr="006E0899" w:rsidTr="00EA27B2">
        <w:trPr>
          <w:jc w:val="center"/>
        </w:trPr>
        <w:tc>
          <w:tcPr>
            <w:tcW w:w="2033" w:type="pct"/>
            <w:shd w:val="clear" w:color="auto" w:fill="auto"/>
            <w:vAlign w:val="center"/>
          </w:tcPr>
          <w:p w:rsidR="00C979F8" w:rsidRPr="00865117" w:rsidRDefault="00C979F8" w:rsidP="00EA27B2">
            <w:pPr>
              <w:pStyle w:val="TableCell"/>
              <w:spacing w:before="60" w:after="60"/>
              <w:rPr>
                <w:b/>
              </w:rPr>
            </w:pPr>
            <w:r w:rsidRPr="00865117">
              <w:rPr>
                <w:b/>
              </w:rPr>
              <w:t>Unit Energy Savings</w:t>
            </w:r>
          </w:p>
        </w:tc>
        <w:tc>
          <w:tcPr>
            <w:tcW w:w="2967" w:type="pct"/>
            <w:shd w:val="clear" w:color="auto" w:fill="auto"/>
            <w:vAlign w:val="center"/>
          </w:tcPr>
          <w:p w:rsidR="00C979F8" w:rsidRPr="001D6512" w:rsidRDefault="00C979F8" w:rsidP="00EA27B2">
            <w:pPr>
              <w:pStyle w:val="TableCell"/>
              <w:spacing w:before="60" w:after="60"/>
            </w:pPr>
            <w:r w:rsidRPr="001D6512">
              <w:t>26 kWh</w:t>
            </w:r>
          </w:p>
        </w:tc>
      </w:tr>
      <w:tr w:rsidR="00C979F8" w:rsidRPr="006E0899" w:rsidTr="00EA27B2">
        <w:trPr>
          <w:jc w:val="center"/>
        </w:trPr>
        <w:tc>
          <w:tcPr>
            <w:tcW w:w="2033" w:type="pct"/>
            <w:shd w:val="clear" w:color="auto" w:fill="auto"/>
            <w:vAlign w:val="center"/>
          </w:tcPr>
          <w:p w:rsidR="00C979F8" w:rsidRPr="00865117" w:rsidRDefault="00C979F8" w:rsidP="00EA27B2">
            <w:pPr>
              <w:pStyle w:val="TableCell"/>
              <w:spacing w:before="60" w:after="60"/>
              <w:rPr>
                <w:b/>
              </w:rPr>
            </w:pPr>
            <w:r w:rsidRPr="00865117">
              <w:rPr>
                <w:b/>
              </w:rPr>
              <w:t>Unit Peak Demand Reduction</w:t>
            </w:r>
          </w:p>
        </w:tc>
        <w:tc>
          <w:tcPr>
            <w:tcW w:w="2967" w:type="pct"/>
            <w:shd w:val="clear" w:color="auto" w:fill="auto"/>
            <w:vAlign w:val="center"/>
          </w:tcPr>
          <w:p w:rsidR="00C979F8" w:rsidRPr="001D6512" w:rsidRDefault="00C979F8" w:rsidP="00EA27B2">
            <w:pPr>
              <w:pStyle w:val="TableCell"/>
              <w:spacing w:before="60" w:after="60"/>
            </w:pPr>
            <w:r w:rsidRPr="001D6512">
              <w:t>0 kW</w:t>
            </w:r>
          </w:p>
        </w:tc>
      </w:tr>
      <w:tr w:rsidR="00C979F8" w:rsidRPr="006E0899" w:rsidTr="00EA27B2">
        <w:trPr>
          <w:jc w:val="center"/>
        </w:trPr>
        <w:tc>
          <w:tcPr>
            <w:tcW w:w="2033" w:type="pct"/>
            <w:shd w:val="clear" w:color="auto" w:fill="auto"/>
            <w:vAlign w:val="center"/>
          </w:tcPr>
          <w:p w:rsidR="00C979F8" w:rsidRPr="00865117" w:rsidRDefault="00C979F8" w:rsidP="00EA27B2">
            <w:pPr>
              <w:pStyle w:val="TableCell"/>
              <w:spacing w:before="60" w:after="60"/>
              <w:rPr>
                <w:b/>
              </w:rPr>
            </w:pPr>
            <w:r w:rsidRPr="00865117">
              <w:rPr>
                <w:b/>
              </w:rPr>
              <w:t>Measure Life</w:t>
            </w:r>
          </w:p>
        </w:tc>
        <w:tc>
          <w:tcPr>
            <w:tcW w:w="2967" w:type="pct"/>
            <w:shd w:val="clear" w:color="auto" w:fill="auto"/>
            <w:vAlign w:val="center"/>
          </w:tcPr>
          <w:p w:rsidR="00C979F8" w:rsidRPr="001D6512" w:rsidRDefault="00C979F8" w:rsidP="00EA27B2">
            <w:pPr>
              <w:pStyle w:val="TableCell"/>
              <w:spacing w:before="60" w:after="60"/>
            </w:pPr>
            <w:r w:rsidRPr="001D6512">
              <w:t>8 years</w:t>
            </w:r>
          </w:p>
        </w:tc>
      </w:tr>
    </w:tbl>
    <w:p w:rsidR="00C979F8" w:rsidRDefault="00C979F8" w:rsidP="000F6E91"/>
    <w:p w:rsidR="000F6E91" w:rsidRPr="00F563CA" w:rsidRDefault="000F6E91" w:rsidP="000F6E91">
      <w:r w:rsidRPr="00F563CA">
        <w:t>Savings from installation of plug-in electroluminescent nightlights are based on a straightforward algorithm that calculates the difference between existing and new wattage and the average daily hours of usage for the lighting unit being replaced. An “installation” rate is used to modify the savings based upon the outcome of participant surveys, which will inform the calculation. Demand savings is assumed to be zero for this measure.</w:t>
      </w:r>
    </w:p>
    <w:p w:rsidR="00E912F1" w:rsidRPr="00FE4EB3" w:rsidRDefault="00E912F1" w:rsidP="00871FA2">
      <w:pPr>
        <w:pStyle w:val="Heading3"/>
      </w:pPr>
      <w:r w:rsidRPr="00FE4EB3">
        <w:t>Algorithms</w:t>
      </w:r>
    </w:p>
    <w:p w:rsidR="00E912F1" w:rsidRPr="00F563CA" w:rsidRDefault="00E912F1" w:rsidP="008A64EF">
      <w:r w:rsidRPr="00F563CA">
        <w:t>The general form of the equation for the electroluminescent nightlight energy savings algorithm is:</w:t>
      </w:r>
    </w:p>
    <w:p w:rsidR="00E912F1" w:rsidRPr="00AA2C40" w:rsidRDefault="000F6E91" w:rsidP="00F7332F">
      <w:pPr>
        <w:pStyle w:val="Equation"/>
        <w:rPr>
          <w:rFonts w:cs="Arial"/>
          <w:szCs w:val="20"/>
        </w:rPr>
      </w:pPr>
      <w:r w:rsidRPr="00AA2C40">
        <w:rPr>
          <w:rFonts w:cs="Arial"/>
          <w:szCs w:val="20"/>
        </w:rPr>
        <w:sym w:font="Symbol" w:char="F044"/>
      </w:r>
      <w:r w:rsidRPr="00AA2C40">
        <w:rPr>
          <w:rFonts w:cs="Arial"/>
          <w:szCs w:val="20"/>
        </w:rPr>
        <w:t>kWh</w:t>
      </w:r>
      <w:r w:rsidRPr="00AA2C40">
        <w:rPr>
          <w:rFonts w:cs="Arial"/>
          <w:szCs w:val="20"/>
        </w:rPr>
        <w:tab/>
      </w:r>
      <w:r w:rsidR="008A64EF" w:rsidRPr="00AA2C40">
        <w:rPr>
          <w:rFonts w:cs="Arial"/>
          <w:szCs w:val="20"/>
        </w:rPr>
        <w:tab/>
      </w:r>
      <w:r w:rsidR="00E912F1" w:rsidRPr="00AA2C40">
        <w:rPr>
          <w:rFonts w:cs="Arial"/>
          <w:szCs w:val="20"/>
        </w:rPr>
        <w:t>= ((W</w:t>
      </w:r>
      <w:r w:rsidR="00E912F1" w:rsidRPr="00F11594">
        <w:rPr>
          <w:rFonts w:cs="Arial"/>
          <w:szCs w:val="20"/>
          <w:vertAlign w:val="subscript"/>
        </w:rPr>
        <w:t>inc</w:t>
      </w:r>
      <w:r w:rsidR="00E912F1" w:rsidRPr="00AA2C40">
        <w:rPr>
          <w:rFonts w:cs="Arial"/>
          <w:szCs w:val="20"/>
        </w:rPr>
        <w:t xml:space="preserve"> * h</w:t>
      </w:r>
      <w:r w:rsidR="00E912F1" w:rsidRPr="00F11594">
        <w:rPr>
          <w:rFonts w:cs="Arial"/>
          <w:szCs w:val="20"/>
          <w:vertAlign w:val="subscript"/>
        </w:rPr>
        <w:t>inc</w:t>
      </w:r>
      <w:r w:rsidR="00E912F1" w:rsidRPr="00AA2C40">
        <w:rPr>
          <w:rFonts w:cs="Arial"/>
          <w:szCs w:val="20"/>
        </w:rPr>
        <w:t>) – (WNL * h</w:t>
      </w:r>
      <w:r w:rsidR="00E912F1" w:rsidRPr="00F11594">
        <w:rPr>
          <w:rFonts w:cs="Arial"/>
          <w:szCs w:val="20"/>
          <w:vertAlign w:val="subscript"/>
        </w:rPr>
        <w:t>NL</w:t>
      </w:r>
      <w:r w:rsidR="00E912F1" w:rsidRPr="00AA2C40">
        <w:rPr>
          <w:rFonts w:cs="Arial"/>
          <w:szCs w:val="20"/>
        </w:rPr>
        <w:t>)) * 365 / 1000 * ISRNL</w:t>
      </w:r>
    </w:p>
    <w:p w:rsidR="00E912F1" w:rsidRPr="00AA2C40" w:rsidRDefault="000F6E91" w:rsidP="00F7332F">
      <w:pPr>
        <w:pStyle w:val="Equation"/>
        <w:rPr>
          <w:rFonts w:cs="Arial"/>
          <w:szCs w:val="20"/>
        </w:rPr>
      </w:pPr>
      <w:r w:rsidRPr="00AA2C40">
        <w:rPr>
          <w:rFonts w:cs="Arial"/>
          <w:szCs w:val="20"/>
        </w:rPr>
        <w:sym w:font="Symbol" w:char="F044"/>
      </w:r>
      <w:r w:rsidRPr="00AA2C40">
        <w:rPr>
          <w:rFonts w:cs="Arial"/>
          <w:szCs w:val="20"/>
        </w:rPr>
        <w:t>kW</w:t>
      </w:r>
      <w:r w:rsidRPr="00AA2C40">
        <w:rPr>
          <w:rFonts w:cs="Arial"/>
          <w:szCs w:val="20"/>
          <w:vertAlign w:val="subscript"/>
        </w:rPr>
        <w:t>peak</w:t>
      </w:r>
      <w:r w:rsidRPr="00AA2C40">
        <w:rPr>
          <w:rFonts w:cs="Arial"/>
          <w:szCs w:val="20"/>
        </w:rPr>
        <w:tab/>
      </w:r>
      <w:r w:rsidR="008A64EF" w:rsidRPr="00AA2C40">
        <w:rPr>
          <w:rFonts w:cs="Arial"/>
          <w:szCs w:val="20"/>
        </w:rPr>
        <w:tab/>
      </w:r>
      <w:r w:rsidR="00E912F1" w:rsidRPr="00AA2C40">
        <w:rPr>
          <w:rFonts w:cs="Arial"/>
          <w:szCs w:val="20"/>
        </w:rPr>
        <w:t>= 0 (assumed)</w:t>
      </w:r>
    </w:p>
    <w:p w:rsidR="00E912F1" w:rsidRPr="00AA2C40" w:rsidRDefault="00E912F1" w:rsidP="00F7332F">
      <w:pPr>
        <w:pStyle w:val="Equation"/>
        <w:rPr>
          <w:rFonts w:cs="Arial"/>
          <w:szCs w:val="20"/>
        </w:rPr>
      </w:pPr>
      <w:r w:rsidRPr="00AA2C40">
        <w:rPr>
          <w:rFonts w:cs="Arial"/>
          <w:szCs w:val="20"/>
        </w:rPr>
        <w:t xml:space="preserve">Deemed Energy Savings </w:t>
      </w:r>
      <w:r w:rsidR="008A64EF" w:rsidRPr="00AA2C40">
        <w:rPr>
          <w:rFonts w:cs="Arial"/>
          <w:szCs w:val="20"/>
        </w:rPr>
        <w:tab/>
      </w:r>
      <w:r w:rsidRPr="00AA2C40">
        <w:rPr>
          <w:rFonts w:cs="Arial"/>
          <w:szCs w:val="20"/>
        </w:rPr>
        <w:t>= ((7*12)–(0.03*24))*365/1000*0.84 = 25.53 kWh</w:t>
      </w:r>
    </w:p>
    <w:p w:rsidR="00E912F1" w:rsidRPr="00AA2C40" w:rsidRDefault="008A64EF" w:rsidP="00F7332F">
      <w:pPr>
        <w:pStyle w:val="Equation"/>
        <w:rPr>
          <w:rFonts w:cs="Arial"/>
          <w:szCs w:val="20"/>
        </w:rPr>
      </w:pPr>
      <w:r w:rsidRPr="00AA2C40">
        <w:rPr>
          <w:rFonts w:cs="Arial"/>
          <w:szCs w:val="20"/>
        </w:rPr>
        <w:tab/>
      </w:r>
      <w:r w:rsidRPr="00AA2C40">
        <w:rPr>
          <w:rFonts w:cs="Arial"/>
          <w:szCs w:val="20"/>
        </w:rPr>
        <w:tab/>
      </w:r>
      <w:r w:rsidR="00E912F1" w:rsidRPr="00AA2C40">
        <w:rPr>
          <w:rFonts w:cs="Arial"/>
          <w:szCs w:val="20"/>
        </w:rPr>
        <w:t>(Rounded to 26 kWh)</w:t>
      </w:r>
    </w:p>
    <w:p w:rsidR="00E912F1" w:rsidRPr="00AA2C40" w:rsidRDefault="000F6E91" w:rsidP="00871FA2">
      <w:pPr>
        <w:pStyle w:val="Heading3"/>
      </w:pPr>
      <w:r w:rsidRPr="00AA2C40">
        <w:t>Definition of Terms</w:t>
      </w:r>
    </w:p>
    <w:p w:rsidR="00E912F1" w:rsidRPr="00AA2C40" w:rsidRDefault="006E1B95" w:rsidP="00F7332F">
      <w:pPr>
        <w:pStyle w:val="Equation"/>
        <w:rPr>
          <w:rFonts w:cs="Arial"/>
          <w:szCs w:val="20"/>
        </w:rPr>
      </w:pPr>
      <w:r w:rsidRPr="00AA2C40">
        <w:rPr>
          <w:rFonts w:cs="Arial"/>
          <w:szCs w:val="20"/>
        </w:rPr>
        <w:tab/>
      </w:r>
      <w:r w:rsidR="00E912F1" w:rsidRPr="00AA2C40">
        <w:rPr>
          <w:rFonts w:cs="Arial"/>
          <w:szCs w:val="20"/>
        </w:rPr>
        <w:t>W</w:t>
      </w:r>
      <w:r w:rsidR="00E912F1" w:rsidRPr="00F11594">
        <w:rPr>
          <w:rFonts w:cs="Arial"/>
          <w:szCs w:val="20"/>
          <w:vertAlign w:val="subscript"/>
        </w:rPr>
        <w:t xml:space="preserve">NL </w:t>
      </w:r>
      <w:r w:rsidRPr="00AA2C40">
        <w:rPr>
          <w:rFonts w:cs="Arial"/>
          <w:szCs w:val="20"/>
        </w:rPr>
        <w:tab/>
      </w:r>
      <w:r w:rsidR="00E912F1" w:rsidRPr="00AA2C40">
        <w:rPr>
          <w:rFonts w:cs="Arial"/>
          <w:szCs w:val="20"/>
        </w:rPr>
        <w:t>= Watts per electroluminescent nightlight</w:t>
      </w:r>
    </w:p>
    <w:p w:rsidR="00E912F1" w:rsidRPr="00AA2C40" w:rsidRDefault="006E1B95" w:rsidP="00F7332F">
      <w:pPr>
        <w:pStyle w:val="Equation"/>
        <w:rPr>
          <w:rFonts w:cs="Arial"/>
          <w:szCs w:val="20"/>
        </w:rPr>
      </w:pPr>
      <w:r w:rsidRPr="00AA2C40">
        <w:rPr>
          <w:rFonts w:cs="Arial"/>
          <w:szCs w:val="20"/>
        </w:rPr>
        <w:tab/>
      </w:r>
      <w:r w:rsidR="00E912F1" w:rsidRPr="00AA2C40">
        <w:rPr>
          <w:rFonts w:cs="Arial"/>
          <w:szCs w:val="20"/>
        </w:rPr>
        <w:t>W</w:t>
      </w:r>
      <w:r w:rsidR="00E912F1" w:rsidRPr="00F11594">
        <w:rPr>
          <w:rFonts w:cs="Arial"/>
          <w:szCs w:val="20"/>
          <w:vertAlign w:val="subscript"/>
        </w:rPr>
        <w:t xml:space="preserve">inc </w:t>
      </w:r>
      <w:r w:rsidRPr="00AA2C40">
        <w:rPr>
          <w:rFonts w:cs="Arial"/>
          <w:szCs w:val="20"/>
        </w:rPr>
        <w:tab/>
      </w:r>
      <w:r w:rsidR="00E912F1" w:rsidRPr="00AA2C40">
        <w:rPr>
          <w:rFonts w:cs="Arial"/>
          <w:szCs w:val="20"/>
        </w:rPr>
        <w:t>= Watts per incandescent nightlight</w:t>
      </w:r>
    </w:p>
    <w:p w:rsidR="00E912F1" w:rsidRPr="00AA2C40" w:rsidRDefault="006E1B95" w:rsidP="00F7332F">
      <w:pPr>
        <w:pStyle w:val="Equation"/>
        <w:rPr>
          <w:rFonts w:cs="Arial"/>
          <w:szCs w:val="20"/>
        </w:rPr>
      </w:pPr>
      <w:r w:rsidRPr="00AA2C40">
        <w:rPr>
          <w:rFonts w:cs="Arial"/>
          <w:szCs w:val="20"/>
        </w:rPr>
        <w:tab/>
      </w:r>
      <w:r w:rsidR="00E912F1" w:rsidRPr="00AA2C40">
        <w:rPr>
          <w:rFonts w:cs="Arial"/>
          <w:szCs w:val="20"/>
        </w:rPr>
        <w:t>h</w:t>
      </w:r>
      <w:r w:rsidR="00E912F1" w:rsidRPr="00F11594">
        <w:rPr>
          <w:rFonts w:cs="Arial"/>
          <w:szCs w:val="20"/>
          <w:vertAlign w:val="subscript"/>
        </w:rPr>
        <w:t xml:space="preserve">NL </w:t>
      </w:r>
      <w:r w:rsidRPr="00AA2C40">
        <w:rPr>
          <w:rFonts w:cs="Arial"/>
          <w:szCs w:val="20"/>
        </w:rPr>
        <w:tab/>
      </w:r>
      <w:r w:rsidR="00E912F1" w:rsidRPr="00AA2C40">
        <w:rPr>
          <w:rFonts w:cs="Arial"/>
          <w:szCs w:val="20"/>
        </w:rPr>
        <w:t>= Average hours of use per day per electroluminescent nightlight</w:t>
      </w:r>
    </w:p>
    <w:p w:rsidR="00E912F1" w:rsidRPr="00AA2C40" w:rsidRDefault="006E1B95" w:rsidP="00F7332F">
      <w:pPr>
        <w:pStyle w:val="Equation"/>
        <w:rPr>
          <w:rFonts w:cs="Arial"/>
          <w:szCs w:val="20"/>
        </w:rPr>
      </w:pPr>
      <w:r w:rsidRPr="00AA2C40">
        <w:rPr>
          <w:rFonts w:cs="Arial"/>
          <w:szCs w:val="20"/>
        </w:rPr>
        <w:tab/>
      </w:r>
      <w:r w:rsidR="00E912F1" w:rsidRPr="00AA2C40">
        <w:rPr>
          <w:rFonts w:cs="Arial"/>
          <w:szCs w:val="20"/>
        </w:rPr>
        <w:t>h</w:t>
      </w:r>
      <w:r w:rsidR="00E912F1" w:rsidRPr="00AA2C40">
        <w:rPr>
          <w:rFonts w:cs="Arial"/>
          <w:szCs w:val="20"/>
          <w:vertAlign w:val="subscript"/>
        </w:rPr>
        <w:t>inc</w:t>
      </w:r>
      <w:r w:rsidR="00E912F1" w:rsidRPr="00AA2C40">
        <w:rPr>
          <w:rFonts w:cs="Arial"/>
          <w:szCs w:val="20"/>
        </w:rPr>
        <w:t xml:space="preserve"> </w:t>
      </w:r>
      <w:r w:rsidRPr="00AA2C40">
        <w:rPr>
          <w:rFonts w:cs="Arial"/>
          <w:szCs w:val="20"/>
        </w:rPr>
        <w:tab/>
      </w:r>
      <w:r w:rsidR="00E912F1" w:rsidRPr="00AA2C40">
        <w:rPr>
          <w:rFonts w:cs="Arial"/>
          <w:szCs w:val="20"/>
        </w:rPr>
        <w:t>= Average hours of use per day per incandescent nightlight</w:t>
      </w:r>
    </w:p>
    <w:p w:rsidR="00E912F1" w:rsidRPr="00AA2C40" w:rsidRDefault="006E1B95" w:rsidP="00F7332F">
      <w:pPr>
        <w:pStyle w:val="Equation"/>
        <w:rPr>
          <w:rFonts w:cs="Arial"/>
          <w:szCs w:val="20"/>
        </w:rPr>
      </w:pPr>
      <w:r w:rsidRPr="00AA2C40">
        <w:rPr>
          <w:rFonts w:cs="Arial"/>
          <w:szCs w:val="20"/>
        </w:rPr>
        <w:tab/>
      </w:r>
      <w:r w:rsidR="00E912F1" w:rsidRPr="00AA2C40">
        <w:rPr>
          <w:rFonts w:cs="Arial"/>
          <w:szCs w:val="20"/>
        </w:rPr>
        <w:t>ISR</w:t>
      </w:r>
      <w:r w:rsidR="00E912F1" w:rsidRPr="00AA2C40">
        <w:rPr>
          <w:rFonts w:cs="Arial"/>
          <w:szCs w:val="20"/>
          <w:vertAlign w:val="subscript"/>
        </w:rPr>
        <w:t>NL</w:t>
      </w:r>
      <w:r w:rsidR="00E912F1" w:rsidRPr="00AA2C40">
        <w:rPr>
          <w:rFonts w:cs="Arial"/>
          <w:szCs w:val="20"/>
        </w:rPr>
        <w:t xml:space="preserve"> </w:t>
      </w:r>
      <w:r w:rsidRPr="00AA2C40">
        <w:rPr>
          <w:rFonts w:cs="Arial"/>
          <w:szCs w:val="20"/>
        </w:rPr>
        <w:tab/>
      </w:r>
      <w:r w:rsidR="00E912F1" w:rsidRPr="00AA2C40">
        <w:rPr>
          <w:rFonts w:cs="Arial"/>
          <w:szCs w:val="20"/>
        </w:rPr>
        <w:t>= In-service rate per electroluminescent nightlight, to be revised through surveys</w:t>
      </w:r>
    </w:p>
    <w:p w:rsidR="00E912F1" w:rsidRPr="00F563CA" w:rsidRDefault="00E912F1" w:rsidP="00100EDF">
      <w:pPr>
        <w:pStyle w:val="Caption"/>
      </w:pPr>
      <w:bookmarkStart w:id="119" w:name="_Toc310875490"/>
      <w:r w:rsidRPr="00F563CA">
        <w:lastRenderedPageBreak/>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4</w:t>
      </w:r>
      <w:r w:rsidR="00274AB1">
        <w:rPr>
          <w:noProof/>
        </w:rPr>
        <w:fldChar w:fldCharType="end"/>
      </w:r>
      <w:r w:rsidRPr="00F563CA">
        <w:t>: Electroluminescent Nightlight - References</w:t>
      </w:r>
      <w:bookmarkEnd w:id="11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988"/>
        <w:gridCol w:w="1683"/>
        <w:gridCol w:w="2297"/>
        <w:gridCol w:w="1888"/>
      </w:tblGrid>
      <w:tr w:rsidR="00D43CE5" w:rsidRPr="00E912F1" w:rsidTr="00F84A22">
        <w:trPr>
          <w:trHeight w:val="317"/>
          <w:jc w:val="center"/>
        </w:trPr>
        <w:tc>
          <w:tcPr>
            <w:tcW w:w="1687" w:type="pct"/>
            <w:shd w:val="clear" w:color="auto" w:fill="BFBFBF"/>
          </w:tcPr>
          <w:p w:rsidR="00CD05FA" w:rsidRPr="001D6512" w:rsidRDefault="00E912F1" w:rsidP="00F84A22">
            <w:pPr>
              <w:pStyle w:val="TableCell"/>
              <w:spacing w:before="60" w:after="60"/>
              <w:rPr>
                <w:b/>
                <w:sz w:val="20"/>
              </w:rPr>
            </w:pPr>
            <w:r w:rsidRPr="001D6512">
              <w:rPr>
                <w:b/>
              </w:rPr>
              <w:t>Component</w:t>
            </w:r>
          </w:p>
        </w:tc>
        <w:tc>
          <w:tcPr>
            <w:tcW w:w="950" w:type="pct"/>
            <w:shd w:val="clear" w:color="auto" w:fill="BFBFBF"/>
          </w:tcPr>
          <w:p w:rsidR="00B0005F" w:rsidRPr="001D6512" w:rsidRDefault="00E912F1" w:rsidP="00F84A22">
            <w:pPr>
              <w:pStyle w:val="TableCell"/>
              <w:spacing w:before="60" w:after="60"/>
              <w:rPr>
                <w:b/>
                <w:sz w:val="20"/>
              </w:rPr>
            </w:pPr>
            <w:r w:rsidRPr="001D6512">
              <w:rPr>
                <w:b/>
              </w:rPr>
              <w:t>Type</w:t>
            </w:r>
          </w:p>
        </w:tc>
        <w:tc>
          <w:tcPr>
            <w:tcW w:w="1297" w:type="pct"/>
            <w:shd w:val="clear" w:color="auto" w:fill="BFBFBF"/>
          </w:tcPr>
          <w:p w:rsidR="00B0005F" w:rsidRPr="001D6512" w:rsidRDefault="00E912F1" w:rsidP="00F84A22">
            <w:pPr>
              <w:pStyle w:val="TableCell"/>
              <w:spacing w:before="60" w:after="60"/>
              <w:rPr>
                <w:b/>
                <w:sz w:val="20"/>
              </w:rPr>
            </w:pPr>
            <w:r w:rsidRPr="001D6512">
              <w:rPr>
                <w:b/>
              </w:rPr>
              <w:t>Value</w:t>
            </w:r>
          </w:p>
        </w:tc>
        <w:tc>
          <w:tcPr>
            <w:tcW w:w="1066" w:type="pct"/>
            <w:shd w:val="clear" w:color="auto" w:fill="BFBFBF"/>
          </w:tcPr>
          <w:p w:rsidR="00B0005F" w:rsidRPr="001D6512" w:rsidRDefault="00E912F1" w:rsidP="00F84A22">
            <w:pPr>
              <w:pStyle w:val="TableCell"/>
              <w:spacing w:before="60" w:after="60"/>
              <w:rPr>
                <w:b/>
                <w:sz w:val="20"/>
              </w:rPr>
            </w:pPr>
            <w:r w:rsidRPr="001D6512">
              <w:rPr>
                <w:b/>
              </w:rPr>
              <w:t>Sources</w:t>
            </w:r>
          </w:p>
        </w:tc>
      </w:tr>
      <w:tr w:rsidR="00D43CE5" w:rsidRPr="00E912F1" w:rsidTr="00F84A22">
        <w:trPr>
          <w:trHeight w:val="317"/>
          <w:jc w:val="center"/>
        </w:trPr>
        <w:tc>
          <w:tcPr>
            <w:tcW w:w="1687" w:type="pct"/>
            <w:shd w:val="clear" w:color="auto" w:fill="auto"/>
          </w:tcPr>
          <w:p w:rsidR="00CD05FA" w:rsidRPr="001D6512" w:rsidRDefault="00C67DA4" w:rsidP="00F84A22">
            <w:pPr>
              <w:pStyle w:val="TableCell"/>
              <w:spacing w:before="60" w:after="60"/>
            </w:pPr>
            <w:r w:rsidRPr="001D6512">
              <w:t>W</w:t>
            </w:r>
            <w:r w:rsidRPr="001D6512">
              <w:rPr>
                <w:vertAlign w:val="subscript"/>
              </w:rPr>
              <w:t>NL</w:t>
            </w:r>
          </w:p>
        </w:tc>
        <w:tc>
          <w:tcPr>
            <w:tcW w:w="950" w:type="pct"/>
            <w:shd w:val="clear" w:color="auto" w:fill="auto"/>
          </w:tcPr>
          <w:p w:rsidR="00CD05FA" w:rsidRPr="001D6512" w:rsidRDefault="00C11560" w:rsidP="00F84A22">
            <w:pPr>
              <w:pStyle w:val="TableCell"/>
              <w:spacing w:before="60" w:after="60"/>
            </w:pPr>
            <w:r w:rsidRPr="001D6512">
              <w:t>Fixed</w:t>
            </w:r>
          </w:p>
        </w:tc>
        <w:tc>
          <w:tcPr>
            <w:tcW w:w="1297" w:type="pct"/>
            <w:shd w:val="clear" w:color="auto" w:fill="auto"/>
          </w:tcPr>
          <w:p w:rsidR="00CD05FA" w:rsidRPr="001D6512" w:rsidRDefault="00C67DA4" w:rsidP="00F84A22">
            <w:pPr>
              <w:pStyle w:val="TableCell"/>
              <w:spacing w:before="60" w:after="60"/>
            </w:pPr>
            <w:r w:rsidRPr="001D6512">
              <w:t>0.03</w:t>
            </w:r>
          </w:p>
        </w:tc>
        <w:tc>
          <w:tcPr>
            <w:tcW w:w="1066" w:type="pct"/>
            <w:shd w:val="clear" w:color="auto" w:fill="auto"/>
          </w:tcPr>
          <w:p w:rsidR="00CD05FA" w:rsidRPr="001D6512" w:rsidRDefault="00C11560" w:rsidP="00F84A22">
            <w:pPr>
              <w:pStyle w:val="TableCell"/>
              <w:spacing w:before="60" w:after="60"/>
            </w:pPr>
            <w:r w:rsidRPr="001D6512">
              <w:t>1</w:t>
            </w:r>
          </w:p>
        </w:tc>
      </w:tr>
      <w:tr w:rsidR="00D43CE5" w:rsidRPr="00E912F1" w:rsidTr="00F84A22">
        <w:trPr>
          <w:trHeight w:val="317"/>
          <w:jc w:val="center"/>
        </w:trPr>
        <w:tc>
          <w:tcPr>
            <w:tcW w:w="1687" w:type="pct"/>
            <w:shd w:val="clear" w:color="auto" w:fill="auto"/>
          </w:tcPr>
          <w:p w:rsidR="00CD05FA" w:rsidRPr="001D6512" w:rsidRDefault="00C11560" w:rsidP="00F84A22">
            <w:pPr>
              <w:pStyle w:val="TableCell"/>
              <w:spacing w:before="60" w:after="60"/>
            </w:pPr>
            <w:r w:rsidRPr="001D6512">
              <w:t>Winc</w:t>
            </w:r>
          </w:p>
        </w:tc>
        <w:tc>
          <w:tcPr>
            <w:tcW w:w="950" w:type="pct"/>
            <w:shd w:val="clear" w:color="auto" w:fill="auto"/>
          </w:tcPr>
          <w:p w:rsidR="00CD05FA" w:rsidRPr="001D6512" w:rsidRDefault="00C67DA4" w:rsidP="00F84A22">
            <w:pPr>
              <w:pStyle w:val="TableCell"/>
              <w:spacing w:before="60" w:after="60"/>
            </w:pPr>
            <w:r w:rsidRPr="001D6512">
              <w:t>Fixed</w:t>
            </w:r>
          </w:p>
        </w:tc>
        <w:tc>
          <w:tcPr>
            <w:tcW w:w="1297" w:type="pct"/>
            <w:shd w:val="clear" w:color="auto" w:fill="auto"/>
          </w:tcPr>
          <w:p w:rsidR="00CD05FA" w:rsidRPr="001D6512" w:rsidRDefault="00C67DA4" w:rsidP="00F84A22">
            <w:pPr>
              <w:pStyle w:val="TableCell"/>
              <w:spacing w:before="60" w:after="60"/>
            </w:pPr>
            <w:r w:rsidRPr="001D6512">
              <w:t>7</w:t>
            </w:r>
          </w:p>
        </w:tc>
        <w:tc>
          <w:tcPr>
            <w:tcW w:w="1066" w:type="pct"/>
            <w:shd w:val="clear" w:color="auto" w:fill="auto"/>
          </w:tcPr>
          <w:p w:rsidR="00CD05FA" w:rsidRPr="001D6512" w:rsidRDefault="00C67DA4" w:rsidP="00F84A22">
            <w:pPr>
              <w:pStyle w:val="TableCell"/>
              <w:spacing w:before="60" w:after="60"/>
            </w:pPr>
            <w:r w:rsidRPr="001D6512">
              <w:t>2</w:t>
            </w:r>
          </w:p>
        </w:tc>
      </w:tr>
      <w:tr w:rsidR="00D43CE5" w:rsidRPr="00E912F1" w:rsidTr="00F84A22">
        <w:trPr>
          <w:trHeight w:val="287"/>
          <w:jc w:val="center"/>
        </w:trPr>
        <w:tc>
          <w:tcPr>
            <w:tcW w:w="1687" w:type="pct"/>
            <w:shd w:val="clear" w:color="auto" w:fill="auto"/>
          </w:tcPr>
          <w:p w:rsidR="00CD05FA" w:rsidRPr="001D6512" w:rsidRDefault="00C67DA4" w:rsidP="00F84A22">
            <w:pPr>
              <w:pStyle w:val="TableCell"/>
              <w:spacing w:before="60" w:after="60"/>
            </w:pPr>
            <w:r w:rsidRPr="001D6512">
              <w:t>h</w:t>
            </w:r>
            <w:r w:rsidRPr="001D6512">
              <w:rPr>
                <w:vertAlign w:val="subscript"/>
              </w:rPr>
              <w:t>NL</w:t>
            </w:r>
          </w:p>
        </w:tc>
        <w:tc>
          <w:tcPr>
            <w:tcW w:w="950" w:type="pct"/>
            <w:shd w:val="clear" w:color="auto" w:fill="auto"/>
          </w:tcPr>
          <w:p w:rsidR="00CD05FA" w:rsidRPr="001D6512" w:rsidRDefault="00C67DA4" w:rsidP="00F84A22">
            <w:pPr>
              <w:pStyle w:val="TableCell"/>
              <w:spacing w:before="60" w:after="60"/>
            </w:pPr>
            <w:r w:rsidRPr="001D6512">
              <w:t>Fixed</w:t>
            </w:r>
          </w:p>
        </w:tc>
        <w:tc>
          <w:tcPr>
            <w:tcW w:w="1297" w:type="pct"/>
            <w:shd w:val="clear" w:color="auto" w:fill="auto"/>
          </w:tcPr>
          <w:p w:rsidR="00CD05FA" w:rsidRPr="001D6512" w:rsidRDefault="00C67DA4" w:rsidP="00F84A22">
            <w:pPr>
              <w:pStyle w:val="TableCell"/>
              <w:spacing w:before="60" w:after="60"/>
            </w:pPr>
            <w:r w:rsidRPr="001D6512">
              <w:t>24</w:t>
            </w:r>
          </w:p>
        </w:tc>
        <w:tc>
          <w:tcPr>
            <w:tcW w:w="1066" w:type="pct"/>
            <w:shd w:val="clear" w:color="auto" w:fill="auto"/>
          </w:tcPr>
          <w:p w:rsidR="00CD05FA" w:rsidRPr="001D6512" w:rsidRDefault="00C67DA4" w:rsidP="00F84A22">
            <w:pPr>
              <w:pStyle w:val="TableCell"/>
              <w:spacing w:before="60" w:after="60"/>
            </w:pPr>
            <w:r w:rsidRPr="001D6512">
              <w:t>3</w:t>
            </w:r>
          </w:p>
        </w:tc>
      </w:tr>
      <w:tr w:rsidR="00D43CE5" w:rsidRPr="00E912F1" w:rsidTr="00F84A22">
        <w:trPr>
          <w:trHeight w:val="287"/>
          <w:jc w:val="center"/>
        </w:trPr>
        <w:tc>
          <w:tcPr>
            <w:tcW w:w="1687" w:type="pct"/>
            <w:shd w:val="clear" w:color="auto" w:fill="auto"/>
          </w:tcPr>
          <w:p w:rsidR="00CD05FA" w:rsidRPr="001D6512" w:rsidRDefault="00C67DA4" w:rsidP="00F84A22">
            <w:pPr>
              <w:pStyle w:val="TableCell"/>
              <w:spacing w:before="60" w:after="60"/>
            </w:pPr>
            <w:r w:rsidRPr="001D6512">
              <w:t>h</w:t>
            </w:r>
            <w:r w:rsidRPr="001D6512">
              <w:rPr>
                <w:vertAlign w:val="subscript"/>
              </w:rPr>
              <w:t>inc</w:t>
            </w:r>
          </w:p>
        </w:tc>
        <w:tc>
          <w:tcPr>
            <w:tcW w:w="950" w:type="pct"/>
            <w:shd w:val="clear" w:color="auto" w:fill="auto"/>
          </w:tcPr>
          <w:p w:rsidR="00CD05FA" w:rsidRPr="001D6512" w:rsidRDefault="00C67DA4" w:rsidP="00F84A22">
            <w:pPr>
              <w:pStyle w:val="TableCell"/>
              <w:spacing w:before="60" w:after="60"/>
            </w:pPr>
            <w:r w:rsidRPr="001D6512">
              <w:t>Fixed</w:t>
            </w:r>
          </w:p>
        </w:tc>
        <w:tc>
          <w:tcPr>
            <w:tcW w:w="1297" w:type="pct"/>
            <w:shd w:val="clear" w:color="auto" w:fill="auto"/>
          </w:tcPr>
          <w:p w:rsidR="00CD05FA" w:rsidRPr="001D6512" w:rsidRDefault="00C67DA4" w:rsidP="00F84A22">
            <w:pPr>
              <w:pStyle w:val="TableCell"/>
              <w:spacing w:before="60" w:after="60"/>
            </w:pPr>
            <w:r w:rsidRPr="001D6512">
              <w:t>12</w:t>
            </w:r>
          </w:p>
        </w:tc>
        <w:tc>
          <w:tcPr>
            <w:tcW w:w="1066" w:type="pct"/>
            <w:shd w:val="clear" w:color="auto" w:fill="auto"/>
          </w:tcPr>
          <w:p w:rsidR="00CD05FA" w:rsidRPr="001D6512" w:rsidRDefault="00C67DA4" w:rsidP="00F84A22">
            <w:pPr>
              <w:pStyle w:val="TableCell"/>
              <w:spacing w:before="60" w:after="60"/>
            </w:pPr>
            <w:r w:rsidRPr="001D6512">
              <w:t>2</w:t>
            </w:r>
          </w:p>
        </w:tc>
      </w:tr>
      <w:tr w:rsidR="00D43CE5" w:rsidRPr="00E912F1" w:rsidTr="00F84A22">
        <w:trPr>
          <w:trHeight w:val="317"/>
          <w:jc w:val="center"/>
        </w:trPr>
        <w:tc>
          <w:tcPr>
            <w:tcW w:w="1687" w:type="pct"/>
            <w:shd w:val="clear" w:color="auto" w:fill="auto"/>
          </w:tcPr>
          <w:p w:rsidR="00CD05FA" w:rsidRPr="001D6512" w:rsidRDefault="00C67DA4" w:rsidP="00F84A22">
            <w:pPr>
              <w:pStyle w:val="TableCell"/>
              <w:spacing w:before="60" w:after="60"/>
            </w:pPr>
            <w:r w:rsidRPr="001D6512">
              <w:t>ISR</w:t>
            </w:r>
            <w:r w:rsidRPr="001D6512">
              <w:rPr>
                <w:vertAlign w:val="subscript"/>
              </w:rPr>
              <w:t>NL</w:t>
            </w:r>
          </w:p>
        </w:tc>
        <w:tc>
          <w:tcPr>
            <w:tcW w:w="950" w:type="pct"/>
            <w:shd w:val="clear" w:color="auto" w:fill="auto"/>
          </w:tcPr>
          <w:p w:rsidR="00CD05FA" w:rsidRPr="001D6512" w:rsidRDefault="00C67DA4" w:rsidP="00F84A22">
            <w:pPr>
              <w:pStyle w:val="TableCell"/>
              <w:spacing w:before="60" w:after="60"/>
            </w:pPr>
            <w:r w:rsidRPr="001D6512">
              <w:t>Variable</w:t>
            </w:r>
          </w:p>
        </w:tc>
        <w:tc>
          <w:tcPr>
            <w:tcW w:w="1297" w:type="pct"/>
            <w:shd w:val="clear" w:color="auto" w:fill="auto"/>
          </w:tcPr>
          <w:p w:rsidR="00CD05FA" w:rsidRPr="001D6512" w:rsidRDefault="00C67DA4" w:rsidP="00F84A22">
            <w:pPr>
              <w:pStyle w:val="TableCell"/>
              <w:spacing w:before="60" w:after="60"/>
            </w:pPr>
            <w:r w:rsidRPr="001D6512">
              <w:t>0.84</w:t>
            </w:r>
          </w:p>
        </w:tc>
        <w:tc>
          <w:tcPr>
            <w:tcW w:w="1066" w:type="pct"/>
            <w:shd w:val="clear" w:color="auto" w:fill="auto"/>
          </w:tcPr>
          <w:p w:rsidR="00CD05FA" w:rsidRPr="001D6512" w:rsidRDefault="00C67DA4" w:rsidP="00F84A22">
            <w:pPr>
              <w:pStyle w:val="TableCell"/>
              <w:spacing w:before="60" w:after="60"/>
            </w:pPr>
            <w:r w:rsidRPr="001D6512">
              <w:rPr>
                <w:rFonts w:eastAsia="Calibri"/>
              </w:rPr>
              <w:t>PA CFL ISR value</w:t>
            </w:r>
          </w:p>
        </w:tc>
      </w:tr>
      <w:tr w:rsidR="00D43CE5" w:rsidRPr="00E912F1" w:rsidTr="00F84A22">
        <w:trPr>
          <w:trHeight w:val="317"/>
          <w:jc w:val="center"/>
        </w:trPr>
        <w:tc>
          <w:tcPr>
            <w:tcW w:w="1687" w:type="pct"/>
            <w:shd w:val="clear" w:color="auto" w:fill="auto"/>
          </w:tcPr>
          <w:p w:rsidR="00CD05FA" w:rsidRPr="001D6512" w:rsidRDefault="00C67DA4" w:rsidP="00F84A22">
            <w:pPr>
              <w:pStyle w:val="TableCell"/>
              <w:spacing w:before="60" w:after="60"/>
            </w:pPr>
            <w:r w:rsidRPr="001D6512">
              <w:t>Measure Life (EUL)</w:t>
            </w:r>
          </w:p>
        </w:tc>
        <w:tc>
          <w:tcPr>
            <w:tcW w:w="950" w:type="pct"/>
            <w:shd w:val="clear" w:color="auto" w:fill="auto"/>
          </w:tcPr>
          <w:p w:rsidR="00CD05FA" w:rsidRPr="001D6512" w:rsidRDefault="00C67DA4" w:rsidP="00F84A22">
            <w:pPr>
              <w:pStyle w:val="TableCell"/>
              <w:spacing w:before="60" w:after="60"/>
            </w:pPr>
            <w:r w:rsidRPr="001D6512">
              <w:t>Fixed</w:t>
            </w:r>
          </w:p>
        </w:tc>
        <w:tc>
          <w:tcPr>
            <w:tcW w:w="1297" w:type="pct"/>
            <w:shd w:val="clear" w:color="auto" w:fill="auto"/>
          </w:tcPr>
          <w:p w:rsidR="00CD05FA" w:rsidRPr="001D6512" w:rsidRDefault="00C67DA4" w:rsidP="00F84A22">
            <w:pPr>
              <w:pStyle w:val="TableCell"/>
              <w:spacing w:before="60" w:after="60"/>
            </w:pPr>
            <w:r w:rsidRPr="001D6512">
              <w:t>8</w:t>
            </w:r>
          </w:p>
        </w:tc>
        <w:tc>
          <w:tcPr>
            <w:tcW w:w="1066" w:type="pct"/>
            <w:shd w:val="clear" w:color="auto" w:fill="auto"/>
          </w:tcPr>
          <w:p w:rsidR="00CD05FA" w:rsidRPr="001D6512" w:rsidRDefault="00C67DA4" w:rsidP="00F84A22">
            <w:pPr>
              <w:pStyle w:val="TableCell"/>
              <w:spacing w:before="60" w:after="60"/>
              <w:rPr>
                <w:rFonts w:eastAsia="Calibri"/>
              </w:rPr>
            </w:pPr>
            <w:r w:rsidRPr="001D6512">
              <w:rPr>
                <w:rFonts w:eastAsia="Calibri"/>
              </w:rPr>
              <w:t>4</w:t>
            </w:r>
          </w:p>
        </w:tc>
      </w:tr>
    </w:tbl>
    <w:p w:rsidR="00E912F1" w:rsidRDefault="00E912F1" w:rsidP="00E912F1">
      <w:pPr>
        <w:pStyle w:val="BodyText"/>
        <w:rPr>
          <w:b/>
        </w:rPr>
      </w:pPr>
    </w:p>
    <w:p w:rsidR="00E912F1" w:rsidRPr="00BC5194" w:rsidRDefault="00E912F1" w:rsidP="00100EDF">
      <w:pPr>
        <w:rPr>
          <w:b/>
        </w:rPr>
      </w:pPr>
      <w:r w:rsidRPr="00BC5194">
        <w:rPr>
          <w:b/>
        </w:rPr>
        <w:t>Sources:</w:t>
      </w:r>
    </w:p>
    <w:p w:rsidR="00E912F1" w:rsidRPr="00E912F1" w:rsidRDefault="00E912F1" w:rsidP="0005632A">
      <w:pPr>
        <w:pStyle w:val="source1"/>
        <w:numPr>
          <w:ilvl w:val="0"/>
          <w:numId w:val="49"/>
        </w:numPr>
      </w:pPr>
      <w:r w:rsidRPr="00E912F1">
        <w:t>Limelite Equipment Specification. Personal Communication, Ralph Ruffin, EI Products, 512-357-2776/ ralph@limelite.com.</w:t>
      </w:r>
    </w:p>
    <w:p w:rsidR="00E912F1" w:rsidRPr="00E912F1" w:rsidRDefault="00E912F1" w:rsidP="00C3606E">
      <w:pPr>
        <w:pStyle w:val="source1"/>
      </w:pPr>
      <w:r w:rsidRPr="00E912F1">
        <w:t>Southern California Edison Company, “LED, Electroluminescent &amp; Fluorescent Night Lights”, Work Paper WPSCRELG0029 Rev. 1, February 2009, p. 2 &amp; p. 3.</w:t>
      </w:r>
    </w:p>
    <w:p w:rsidR="00E912F1" w:rsidRPr="00E912F1" w:rsidRDefault="00E912F1" w:rsidP="00C3606E">
      <w:pPr>
        <w:pStyle w:val="source1"/>
      </w:pPr>
      <w:r w:rsidRPr="00E912F1">
        <w:t>As these nightlights are plugged in without a switch, the assumption is they will operate 24 hours per day.</w:t>
      </w:r>
    </w:p>
    <w:p w:rsidR="00E912F1" w:rsidRPr="00E912F1" w:rsidRDefault="00E912F1" w:rsidP="00C3606E">
      <w:pPr>
        <w:pStyle w:val="source1"/>
      </w:pPr>
      <w:r w:rsidRPr="00E912F1">
        <w:t>Southern California Edison Company, “LED, Electroluminescent &amp; Fluorescent Night Lights”, Work Paper WPSCRELG0029 Rev. 1, February 2009, p. 2 &amp; p. 3.</w:t>
      </w:r>
    </w:p>
    <w:p w:rsidR="00E912F1" w:rsidRDefault="00E912F1" w:rsidP="00EB6106">
      <w:pPr>
        <w:pStyle w:val="BodyText"/>
      </w:pPr>
    </w:p>
    <w:p w:rsidR="00E912F1" w:rsidRPr="00F563CA" w:rsidRDefault="00E912F1" w:rsidP="00E568D4">
      <w:pPr>
        <w:pStyle w:val="Heading2"/>
      </w:pPr>
      <w:r>
        <w:br w:type="page"/>
      </w:r>
      <w:bookmarkStart w:id="120" w:name="_Toc271723505"/>
      <w:bookmarkStart w:id="121" w:name="_Toc310875404"/>
      <w:r w:rsidRPr="00F563CA">
        <w:lastRenderedPageBreak/>
        <w:t>Furnace Whistle</w:t>
      </w:r>
      <w:bookmarkEnd w:id="120"/>
      <w:bookmarkEnd w:id="1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4722"/>
      </w:tblGrid>
      <w:tr w:rsidR="00E912F1" w:rsidRPr="006E0899" w:rsidTr="006E0899">
        <w:tc>
          <w:tcPr>
            <w:tcW w:w="4428"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E912F1" w:rsidRPr="00865117" w:rsidRDefault="00E912F1" w:rsidP="00321935">
            <w:pPr>
              <w:pStyle w:val="TableCell"/>
              <w:spacing w:before="60" w:after="60"/>
              <w:rPr>
                <w:rFonts w:eastAsia="Calibri"/>
                <w:b/>
              </w:rPr>
            </w:pPr>
            <w:r w:rsidRPr="00865117">
              <w:rPr>
                <w:rFonts w:eastAsia="Calibri"/>
                <w:b/>
              </w:rPr>
              <w:t>Measure Name</w:t>
            </w:r>
          </w:p>
        </w:tc>
        <w:tc>
          <w:tcPr>
            <w:tcW w:w="504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E912F1" w:rsidRPr="00865117" w:rsidRDefault="00E912F1" w:rsidP="00321935">
            <w:pPr>
              <w:pStyle w:val="TableCell"/>
              <w:spacing w:before="60" w:after="60"/>
              <w:rPr>
                <w:rFonts w:eastAsia="Calibri"/>
                <w:b/>
              </w:rPr>
            </w:pPr>
            <w:r w:rsidRPr="00865117">
              <w:rPr>
                <w:rFonts w:eastAsia="Calibri"/>
                <w:b/>
              </w:rPr>
              <w:t>Furnace Whistle</w:t>
            </w:r>
          </w:p>
        </w:tc>
      </w:tr>
      <w:tr w:rsidR="00E912F1" w:rsidRPr="00C465DB" w:rsidTr="006E0899">
        <w:tc>
          <w:tcPr>
            <w:tcW w:w="4428" w:type="dxa"/>
          </w:tcPr>
          <w:p w:rsidR="00E912F1" w:rsidRPr="00865117" w:rsidRDefault="00C67DA4" w:rsidP="00321935">
            <w:pPr>
              <w:pStyle w:val="TableCell"/>
              <w:spacing w:before="60" w:after="60"/>
              <w:rPr>
                <w:rFonts w:eastAsia="Calibri"/>
                <w:b/>
              </w:rPr>
            </w:pPr>
            <w:r w:rsidRPr="00865117">
              <w:rPr>
                <w:rFonts w:eastAsia="Calibri"/>
                <w:b/>
              </w:rPr>
              <w:t>Target Sector</w:t>
            </w:r>
          </w:p>
        </w:tc>
        <w:tc>
          <w:tcPr>
            <w:tcW w:w="5040" w:type="dxa"/>
          </w:tcPr>
          <w:p w:rsidR="00E912F1" w:rsidRPr="001D6512" w:rsidRDefault="00C67DA4" w:rsidP="00321935">
            <w:pPr>
              <w:pStyle w:val="TableCell"/>
              <w:spacing w:before="60" w:after="60"/>
              <w:rPr>
                <w:rFonts w:eastAsia="Calibri"/>
              </w:rPr>
            </w:pPr>
            <w:r w:rsidRPr="001D6512">
              <w:rPr>
                <w:rFonts w:eastAsia="Calibri"/>
              </w:rPr>
              <w:t>Residential Establishments</w:t>
            </w:r>
          </w:p>
        </w:tc>
      </w:tr>
      <w:tr w:rsidR="00E912F1" w:rsidRPr="00C465DB" w:rsidTr="006E0899">
        <w:tc>
          <w:tcPr>
            <w:tcW w:w="4428" w:type="dxa"/>
          </w:tcPr>
          <w:p w:rsidR="00E912F1" w:rsidRPr="00865117" w:rsidRDefault="00E912F1" w:rsidP="00321935">
            <w:pPr>
              <w:pStyle w:val="TableCell"/>
              <w:spacing w:before="60" w:after="60"/>
              <w:rPr>
                <w:rFonts w:eastAsia="Calibri"/>
                <w:b/>
              </w:rPr>
            </w:pPr>
            <w:r w:rsidRPr="00865117">
              <w:rPr>
                <w:rFonts w:eastAsia="Calibri"/>
                <w:b/>
              </w:rPr>
              <w:t>Measure Unit</w:t>
            </w:r>
          </w:p>
        </w:tc>
        <w:tc>
          <w:tcPr>
            <w:tcW w:w="5040" w:type="dxa"/>
          </w:tcPr>
          <w:p w:rsidR="00E912F1" w:rsidRPr="001D6512" w:rsidRDefault="00E912F1" w:rsidP="00321935">
            <w:pPr>
              <w:pStyle w:val="TableCell"/>
              <w:spacing w:before="60" w:after="60"/>
              <w:rPr>
                <w:rFonts w:eastAsia="Calibri"/>
              </w:rPr>
            </w:pPr>
            <w:r w:rsidRPr="001D6512">
              <w:rPr>
                <w:rFonts w:eastAsia="Calibri"/>
              </w:rPr>
              <w:t>Furnace whistle (promote regular filter change-out)</w:t>
            </w:r>
          </w:p>
        </w:tc>
      </w:tr>
      <w:tr w:rsidR="00E912F1" w:rsidRPr="00C465DB" w:rsidTr="006E0899">
        <w:tc>
          <w:tcPr>
            <w:tcW w:w="4428" w:type="dxa"/>
          </w:tcPr>
          <w:p w:rsidR="00E912F1" w:rsidRPr="00865117" w:rsidRDefault="00E912F1" w:rsidP="00321935">
            <w:pPr>
              <w:pStyle w:val="TableCell"/>
              <w:spacing w:before="60" w:after="60"/>
              <w:rPr>
                <w:rFonts w:eastAsia="Calibri"/>
                <w:b/>
              </w:rPr>
            </w:pPr>
            <w:r w:rsidRPr="00865117">
              <w:rPr>
                <w:rFonts w:eastAsia="Calibri"/>
                <w:b/>
              </w:rPr>
              <w:t>Unit Energy Savings</w:t>
            </w:r>
          </w:p>
        </w:tc>
        <w:tc>
          <w:tcPr>
            <w:tcW w:w="5040" w:type="dxa"/>
          </w:tcPr>
          <w:p w:rsidR="00E912F1" w:rsidRPr="001D6512" w:rsidRDefault="00E912F1" w:rsidP="00321935">
            <w:pPr>
              <w:pStyle w:val="TableCell"/>
              <w:spacing w:before="60" w:after="60"/>
              <w:rPr>
                <w:rFonts w:eastAsia="Calibri"/>
              </w:rPr>
            </w:pPr>
            <w:r w:rsidRPr="001D6512">
              <w:rPr>
                <w:rFonts w:eastAsia="Calibri"/>
              </w:rPr>
              <w:t>Varies</w:t>
            </w:r>
          </w:p>
        </w:tc>
      </w:tr>
      <w:tr w:rsidR="00E912F1" w:rsidRPr="00C465DB" w:rsidTr="006E0899">
        <w:tc>
          <w:tcPr>
            <w:tcW w:w="4428" w:type="dxa"/>
          </w:tcPr>
          <w:p w:rsidR="00E912F1" w:rsidRPr="00865117" w:rsidRDefault="00E912F1" w:rsidP="00321935">
            <w:pPr>
              <w:pStyle w:val="TableCell"/>
              <w:spacing w:before="60" w:after="60"/>
              <w:rPr>
                <w:rFonts w:eastAsia="Calibri"/>
                <w:b/>
              </w:rPr>
            </w:pPr>
            <w:r w:rsidRPr="00865117">
              <w:rPr>
                <w:rFonts w:eastAsia="Calibri"/>
                <w:b/>
              </w:rPr>
              <w:t>Unit Peak Demand Reduction</w:t>
            </w:r>
          </w:p>
        </w:tc>
        <w:tc>
          <w:tcPr>
            <w:tcW w:w="5040" w:type="dxa"/>
          </w:tcPr>
          <w:p w:rsidR="00E912F1" w:rsidRPr="001D6512" w:rsidRDefault="00E912F1" w:rsidP="00321935">
            <w:pPr>
              <w:pStyle w:val="TableCell"/>
              <w:spacing w:before="60" w:after="60"/>
              <w:rPr>
                <w:rFonts w:eastAsia="Calibri"/>
              </w:rPr>
            </w:pPr>
            <w:r w:rsidRPr="001D6512">
              <w:rPr>
                <w:rFonts w:eastAsia="Calibri"/>
              </w:rPr>
              <w:t>0</w:t>
            </w:r>
            <w:r w:rsidR="00C979F8" w:rsidRPr="001D6512">
              <w:rPr>
                <w:rFonts w:eastAsia="Calibri"/>
              </w:rPr>
              <w:t xml:space="preserve"> kW</w:t>
            </w:r>
          </w:p>
        </w:tc>
      </w:tr>
      <w:tr w:rsidR="00E912F1" w:rsidRPr="00C465DB" w:rsidTr="006E0899">
        <w:tc>
          <w:tcPr>
            <w:tcW w:w="4428" w:type="dxa"/>
          </w:tcPr>
          <w:p w:rsidR="00E912F1" w:rsidRPr="00865117" w:rsidRDefault="00E912F1" w:rsidP="00321935">
            <w:pPr>
              <w:pStyle w:val="TableCell"/>
              <w:spacing w:before="60" w:after="60"/>
              <w:rPr>
                <w:rFonts w:eastAsia="Calibri"/>
                <w:b/>
              </w:rPr>
            </w:pPr>
            <w:r w:rsidRPr="00865117">
              <w:rPr>
                <w:rFonts w:eastAsia="Calibri"/>
                <w:b/>
              </w:rPr>
              <w:t>Measure Life</w:t>
            </w:r>
          </w:p>
        </w:tc>
        <w:tc>
          <w:tcPr>
            <w:tcW w:w="5040" w:type="dxa"/>
          </w:tcPr>
          <w:p w:rsidR="00E912F1" w:rsidRPr="001D6512" w:rsidRDefault="00E912F1" w:rsidP="00321935">
            <w:pPr>
              <w:pStyle w:val="TableCell"/>
              <w:spacing w:before="60" w:after="60"/>
              <w:rPr>
                <w:rFonts w:eastAsia="Calibri"/>
              </w:rPr>
            </w:pPr>
            <w:r w:rsidRPr="001D6512">
              <w:rPr>
                <w:rFonts w:eastAsia="Calibri"/>
              </w:rPr>
              <w:t>15</w:t>
            </w:r>
            <w:r w:rsidR="00C979F8" w:rsidRPr="001D6512">
              <w:rPr>
                <w:rFonts w:eastAsia="Calibri"/>
              </w:rPr>
              <w:t xml:space="preserve"> years</w:t>
            </w:r>
          </w:p>
        </w:tc>
      </w:tr>
    </w:tbl>
    <w:p w:rsidR="00E912F1" w:rsidRDefault="00E912F1" w:rsidP="00E912F1">
      <w:pPr>
        <w:rPr>
          <w:rFonts w:ascii="Calibri" w:eastAsia="Calibri" w:hAnsi="Calibri" w:cs="Tahoma"/>
          <w:sz w:val="22"/>
          <w:szCs w:val="22"/>
        </w:rPr>
      </w:pPr>
    </w:p>
    <w:p w:rsidR="00E912F1" w:rsidRPr="00F563CA" w:rsidRDefault="00E912F1" w:rsidP="00E912F1">
      <w:pPr>
        <w:pStyle w:val="BodyText"/>
        <w:rPr>
          <w:rFonts w:eastAsia="Calibri"/>
        </w:rPr>
      </w:pPr>
      <w:r w:rsidRPr="00F563CA">
        <w:rPr>
          <w:rFonts w:eastAsia="Calibri"/>
        </w:rPr>
        <w:t>Savings estimates are based on reduced furnace blo</w:t>
      </w:r>
      <w:r>
        <w:rPr>
          <w:rFonts w:eastAsia="Calibri"/>
        </w:rPr>
        <w:t xml:space="preserve">wer fan motor power requirements for winter and summer use of the blower fan motor. This furnace whistle measure applies to central forced-air furnaces, central AC and heat pump systems. Each table in this protocol (2 through 6) presents the annual kWh savings for each major urban center in </w:t>
      </w:r>
      <w:smartTag w:uri="urn:schemas-microsoft-com:office:smarttags" w:element="State">
        <w:smartTag w:uri="urn:schemas-microsoft-com:office:smarttags" w:element="place">
          <w:r>
            <w:rPr>
              <w:rFonts w:eastAsia="Calibri"/>
            </w:rPr>
            <w:t>Pennsylvania</w:t>
          </w:r>
        </w:smartTag>
      </w:smartTag>
      <w:r>
        <w:rPr>
          <w:rFonts w:eastAsia="Calibri"/>
        </w:rPr>
        <w:t xml:space="preserve"> based on their respective estimated full load hours (EFLH). Where homes do not have A/C or heat pump systems for cooling, only the annual heating savings will apply.</w:t>
      </w:r>
    </w:p>
    <w:p w:rsidR="000F6E91" w:rsidRPr="00FE4EB3" w:rsidRDefault="000F6E91" w:rsidP="00871FA2">
      <w:pPr>
        <w:pStyle w:val="Heading3"/>
      </w:pPr>
      <w:r>
        <w:t>Algorithms</w:t>
      </w:r>
    </w:p>
    <w:p w:rsidR="00E912F1" w:rsidRPr="00AA2C40" w:rsidRDefault="000F6E91" w:rsidP="00F7332F">
      <w:pPr>
        <w:pStyle w:val="Equation"/>
        <w:rPr>
          <w:rFonts w:cs="Arial"/>
          <w:szCs w:val="20"/>
        </w:rPr>
      </w:pPr>
      <w:r w:rsidRPr="00AA2C40">
        <w:rPr>
          <w:rFonts w:cs="Arial"/>
          <w:szCs w:val="20"/>
        </w:rPr>
        <w:sym w:font="Symbol" w:char="F044"/>
      </w:r>
      <w:r w:rsidRPr="00AA2C40">
        <w:rPr>
          <w:rFonts w:cs="Arial"/>
          <w:szCs w:val="20"/>
        </w:rPr>
        <w:t>kWh</w:t>
      </w:r>
      <w:r w:rsidRPr="00AA2C40">
        <w:rPr>
          <w:rFonts w:cs="Arial"/>
          <w:szCs w:val="20"/>
        </w:rPr>
        <w:tab/>
      </w:r>
      <w:r w:rsidR="00D15164" w:rsidRPr="00AA2C40">
        <w:rPr>
          <w:rFonts w:cs="Arial"/>
          <w:szCs w:val="20"/>
        </w:rPr>
        <w:tab/>
      </w:r>
      <w:r w:rsidR="00E912F1" w:rsidRPr="00AA2C40">
        <w:rPr>
          <w:rFonts w:cs="Arial"/>
          <w:szCs w:val="20"/>
        </w:rPr>
        <w:t>= MkW X EFLH X EI X ISR</w:t>
      </w:r>
    </w:p>
    <w:p w:rsidR="00E912F1" w:rsidRPr="00AA2C40" w:rsidRDefault="000F6E91" w:rsidP="00F7332F">
      <w:pPr>
        <w:pStyle w:val="Equation"/>
        <w:rPr>
          <w:rFonts w:cs="Arial"/>
          <w:szCs w:val="20"/>
        </w:rPr>
      </w:pPr>
      <w:r w:rsidRPr="00AA2C40">
        <w:rPr>
          <w:rFonts w:cs="Arial"/>
          <w:szCs w:val="20"/>
        </w:rPr>
        <w:sym w:font="Symbol" w:char="F044"/>
      </w:r>
      <w:r w:rsidRPr="00AA2C40">
        <w:rPr>
          <w:rFonts w:cs="Arial"/>
          <w:szCs w:val="20"/>
        </w:rPr>
        <w:t>kW</w:t>
      </w:r>
      <w:r w:rsidRPr="00AA2C40">
        <w:rPr>
          <w:rFonts w:cs="Arial"/>
          <w:szCs w:val="20"/>
          <w:vertAlign w:val="subscript"/>
        </w:rPr>
        <w:t>peak</w:t>
      </w:r>
      <w:r w:rsidRPr="00AA2C40">
        <w:rPr>
          <w:rFonts w:cs="Arial"/>
          <w:szCs w:val="20"/>
        </w:rPr>
        <w:tab/>
      </w:r>
      <w:r w:rsidR="00D15164" w:rsidRPr="00AA2C40">
        <w:rPr>
          <w:rFonts w:cs="Arial"/>
          <w:szCs w:val="20"/>
        </w:rPr>
        <w:tab/>
      </w:r>
      <w:r w:rsidR="00E912F1" w:rsidRPr="00AA2C40">
        <w:rPr>
          <w:rFonts w:cs="Arial"/>
          <w:szCs w:val="20"/>
        </w:rPr>
        <w:t xml:space="preserve"> = 0</w:t>
      </w:r>
    </w:p>
    <w:p w:rsidR="00E912F1" w:rsidRPr="00AA2C40" w:rsidRDefault="000F6E91" w:rsidP="00871FA2">
      <w:pPr>
        <w:pStyle w:val="Heading3"/>
      </w:pPr>
      <w:r w:rsidRPr="00AA2C40">
        <w:t>Definition of Terms</w:t>
      </w:r>
    </w:p>
    <w:p w:rsidR="00E912F1" w:rsidRPr="00AA2C40" w:rsidRDefault="008A64EF" w:rsidP="00F7332F">
      <w:pPr>
        <w:pStyle w:val="Equation"/>
        <w:rPr>
          <w:rFonts w:cs="Arial"/>
          <w:szCs w:val="20"/>
        </w:rPr>
      </w:pPr>
      <w:r w:rsidRPr="00AA2C40">
        <w:rPr>
          <w:rFonts w:cs="Arial"/>
          <w:szCs w:val="20"/>
        </w:rPr>
        <w:tab/>
      </w:r>
      <w:r w:rsidR="00E912F1" w:rsidRPr="00AA2C40">
        <w:rPr>
          <w:rFonts w:cs="Arial"/>
          <w:szCs w:val="20"/>
        </w:rPr>
        <w:t xml:space="preserve">MkW </w:t>
      </w:r>
      <w:r w:rsidR="00D15164" w:rsidRPr="00AA2C40">
        <w:rPr>
          <w:rFonts w:cs="Arial"/>
          <w:szCs w:val="20"/>
        </w:rPr>
        <w:tab/>
      </w:r>
      <w:r w:rsidR="00E912F1" w:rsidRPr="00AA2C40">
        <w:rPr>
          <w:rFonts w:cs="Arial"/>
          <w:szCs w:val="20"/>
        </w:rPr>
        <w:t>= Average motor full load electric demand (kW)</w:t>
      </w:r>
    </w:p>
    <w:p w:rsidR="00E912F1" w:rsidRPr="00AA2C40" w:rsidRDefault="008A64EF" w:rsidP="00F7332F">
      <w:pPr>
        <w:pStyle w:val="Equation"/>
        <w:rPr>
          <w:rFonts w:cs="Arial"/>
          <w:szCs w:val="20"/>
        </w:rPr>
      </w:pPr>
      <w:r w:rsidRPr="00AA2C40">
        <w:rPr>
          <w:rFonts w:cs="Arial"/>
          <w:szCs w:val="20"/>
        </w:rPr>
        <w:tab/>
      </w:r>
      <w:r w:rsidR="00E912F1" w:rsidRPr="00AA2C40">
        <w:rPr>
          <w:rFonts w:cs="Arial"/>
          <w:szCs w:val="20"/>
        </w:rPr>
        <w:t xml:space="preserve">EFLH </w:t>
      </w:r>
      <w:r w:rsidR="00D15164" w:rsidRPr="00AA2C40">
        <w:rPr>
          <w:rFonts w:cs="Arial"/>
          <w:szCs w:val="20"/>
        </w:rPr>
        <w:tab/>
      </w:r>
      <w:r w:rsidR="00E912F1" w:rsidRPr="00AA2C40">
        <w:rPr>
          <w:rFonts w:cs="Arial"/>
          <w:szCs w:val="20"/>
        </w:rPr>
        <w:t>= Estimated Full Load Hours (Heating and Cooling) for the EDC region.</w:t>
      </w:r>
    </w:p>
    <w:p w:rsidR="00E912F1" w:rsidRPr="00AA2C40" w:rsidRDefault="008A64EF" w:rsidP="00F7332F">
      <w:pPr>
        <w:pStyle w:val="Equation"/>
        <w:rPr>
          <w:rFonts w:cs="Arial"/>
          <w:szCs w:val="20"/>
        </w:rPr>
      </w:pPr>
      <w:r w:rsidRPr="00AA2C40">
        <w:rPr>
          <w:rFonts w:cs="Arial"/>
          <w:szCs w:val="20"/>
        </w:rPr>
        <w:tab/>
      </w:r>
      <w:r w:rsidR="00E912F1" w:rsidRPr="00AA2C40">
        <w:rPr>
          <w:rFonts w:cs="Arial"/>
          <w:szCs w:val="20"/>
        </w:rPr>
        <w:t xml:space="preserve">EI </w:t>
      </w:r>
      <w:r w:rsidR="00D15164" w:rsidRPr="00AA2C40">
        <w:rPr>
          <w:rFonts w:cs="Arial"/>
          <w:szCs w:val="20"/>
        </w:rPr>
        <w:tab/>
      </w:r>
      <w:r w:rsidR="00865117">
        <w:rPr>
          <w:rFonts w:cs="Arial"/>
          <w:szCs w:val="20"/>
        </w:rPr>
        <w:t>=</w:t>
      </w:r>
      <w:r w:rsidR="00E912F1" w:rsidRPr="00AA2C40">
        <w:rPr>
          <w:rFonts w:cs="Arial"/>
          <w:szCs w:val="20"/>
        </w:rPr>
        <w:t xml:space="preserve"> Efficiency Improvement</w:t>
      </w:r>
    </w:p>
    <w:p w:rsidR="00E912F1" w:rsidRPr="00AA2C40" w:rsidRDefault="008A64EF" w:rsidP="00F7332F">
      <w:pPr>
        <w:pStyle w:val="Equation"/>
        <w:rPr>
          <w:rFonts w:cs="Arial"/>
          <w:szCs w:val="20"/>
        </w:rPr>
      </w:pPr>
      <w:r w:rsidRPr="00AA2C40">
        <w:rPr>
          <w:rFonts w:cs="Arial"/>
          <w:szCs w:val="20"/>
        </w:rPr>
        <w:tab/>
      </w:r>
      <w:r w:rsidR="00E912F1" w:rsidRPr="00AA2C40">
        <w:rPr>
          <w:rFonts w:cs="Arial"/>
          <w:szCs w:val="20"/>
        </w:rPr>
        <w:t xml:space="preserve">ISR </w:t>
      </w:r>
      <w:r w:rsidR="00D15164" w:rsidRPr="00AA2C40">
        <w:rPr>
          <w:rFonts w:cs="Arial"/>
          <w:szCs w:val="20"/>
        </w:rPr>
        <w:tab/>
      </w:r>
      <w:r w:rsidR="00E912F1" w:rsidRPr="00AA2C40">
        <w:rPr>
          <w:rFonts w:cs="Arial"/>
          <w:szCs w:val="20"/>
        </w:rPr>
        <w:t>= In-service Rate</w:t>
      </w:r>
    </w:p>
    <w:p w:rsidR="00B54168" w:rsidRDefault="00B54168" w:rsidP="00100EDF">
      <w:pPr>
        <w:pStyle w:val="Caption"/>
      </w:pPr>
      <w:bookmarkStart w:id="122" w:name="_Toc310875491"/>
      <w:r>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5</w:t>
      </w:r>
      <w:r w:rsidR="00274AB1">
        <w:rPr>
          <w:noProof/>
        </w:rPr>
        <w:fldChar w:fldCharType="end"/>
      </w:r>
      <w:r>
        <w:t>: Furnace Whistle - References</w:t>
      </w:r>
      <w:bookmarkEnd w:id="122"/>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391"/>
        <w:gridCol w:w="1931"/>
        <w:gridCol w:w="2127"/>
        <w:gridCol w:w="2191"/>
      </w:tblGrid>
      <w:tr w:rsidR="00D43CE5" w:rsidRPr="006E0899" w:rsidTr="00F84A22">
        <w:trPr>
          <w:jc w:val="center"/>
        </w:trPr>
        <w:tc>
          <w:tcPr>
            <w:tcW w:w="1895" w:type="dxa"/>
            <w:shd w:val="clear" w:color="auto" w:fill="BFBFBF"/>
          </w:tcPr>
          <w:p w:rsidR="00E912F1" w:rsidRPr="001D6512" w:rsidRDefault="00E912F1" w:rsidP="00F84A22">
            <w:pPr>
              <w:pStyle w:val="TableCell"/>
              <w:spacing w:before="60" w:after="60"/>
              <w:rPr>
                <w:rFonts w:eastAsia="Calibri"/>
                <w:b/>
              </w:rPr>
            </w:pPr>
            <w:r w:rsidRPr="001D6512">
              <w:rPr>
                <w:rFonts w:eastAsia="Calibri"/>
                <w:b/>
              </w:rPr>
              <w:t>Component</w:t>
            </w:r>
          </w:p>
        </w:tc>
        <w:tc>
          <w:tcPr>
            <w:tcW w:w="1531" w:type="dxa"/>
            <w:shd w:val="clear" w:color="auto" w:fill="BFBFBF"/>
          </w:tcPr>
          <w:p w:rsidR="00E912F1" w:rsidRPr="001D6512" w:rsidRDefault="00E912F1" w:rsidP="00F84A22">
            <w:pPr>
              <w:pStyle w:val="TableCell"/>
              <w:spacing w:before="60" w:after="60"/>
              <w:rPr>
                <w:rFonts w:eastAsia="Calibri"/>
                <w:b/>
              </w:rPr>
            </w:pPr>
            <w:r w:rsidRPr="001D6512">
              <w:rPr>
                <w:rFonts w:eastAsia="Calibri"/>
                <w:b/>
              </w:rPr>
              <w:t>Type</w:t>
            </w:r>
          </w:p>
        </w:tc>
        <w:tc>
          <w:tcPr>
            <w:tcW w:w="1686" w:type="dxa"/>
            <w:shd w:val="clear" w:color="auto" w:fill="BFBFBF"/>
          </w:tcPr>
          <w:p w:rsidR="00E912F1" w:rsidRPr="001D6512" w:rsidRDefault="00E912F1" w:rsidP="00F84A22">
            <w:pPr>
              <w:pStyle w:val="TableCell"/>
              <w:spacing w:before="60" w:after="60"/>
              <w:rPr>
                <w:rFonts w:eastAsia="Calibri"/>
                <w:b/>
              </w:rPr>
            </w:pPr>
            <w:r w:rsidRPr="001D6512">
              <w:rPr>
                <w:rFonts w:eastAsia="Calibri"/>
                <w:b/>
              </w:rPr>
              <w:t>Value</w:t>
            </w:r>
          </w:p>
        </w:tc>
        <w:tc>
          <w:tcPr>
            <w:tcW w:w="1737" w:type="dxa"/>
            <w:shd w:val="clear" w:color="auto" w:fill="BFBFBF"/>
          </w:tcPr>
          <w:p w:rsidR="00E912F1" w:rsidRPr="001D6512" w:rsidRDefault="00E912F1" w:rsidP="00F84A22">
            <w:pPr>
              <w:pStyle w:val="TableCell"/>
              <w:spacing w:before="60" w:after="60"/>
              <w:rPr>
                <w:rFonts w:eastAsia="Calibri"/>
                <w:b/>
              </w:rPr>
            </w:pPr>
            <w:r w:rsidRPr="001D6512">
              <w:rPr>
                <w:rFonts w:eastAsia="Calibri"/>
                <w:b/>
              </w:rPr>
              <w:t>Sources</w:t>
            </w:r>
          </w:p>
        </w:tc>
      </w:tr>
      <w:tr w:rsidR="00D43CE5" w:rsidRPr="006E0899" w:rsidTr="00F84A22">
        <w:trPr>
          <w:jc w:val="center"/>
        </w:trPr>
        <w:tc>
          <w:tcPr>
            <w:tcW w:w="1895" w:type="dxa"/>
            <w:shd w:val="clear" w:color="auto" w:fill="auto"/>
          </w:tcPr>
          <w:p w:rsidR="00E912F1" w:rsidRPr="001D6512" w:rsidRDefault="00C67DA4" w:rsidP="00F84A22">
            <w:pPr>
              <w:pStyle w:val="TableCell"/>
              <w:spacing w:before="60" w:after="60"/>
            </w:pPr>
            <w:r w:rsidRPr="001D6512">
              <w:t>MkW</w:t>
            </w:r>
          </w:p>
        </w:tc>
        <w:tc>
          <w:tcPr>
            <w:tcW w:w="1531" w:type="dxa"/>
            <w:shd w:val="clear" w:color="auto" w:fill="auto"/>
          </w:tcPr>
          <w:p w:rsidR="00E912F1" w:rsidRPr="001D6512" w:rsidRDefault="00C67DA4" w:rsidP="00F84A22">
            <w:pPr>
              <w:pStyle w:val="TableCell"/>
              <w:spacing w:before="60" w:after="60"/>
              <w:rPr>
                <w:rFonts w:eastAsia="Calibri"/>
              </w:rPr>
            </w:pPr>
            <w:r w:rsidRPr="001D6512">
              <w:rPr>
                <w:rFonts w:eastAsia="Calibri"/>
              </w:rPr>
              <w:t>Fixed</w:t>
            </w:r>
          </w:p>
        </w:tc>
        <w:tc>
          <w:tcPr>
            <w:tcW w:w="1686" w:type="dxa"/>
            <w:shd w:val="clear" w:color="auto" w:fill="auto"/>
          </w:tcPr>
          <w:p w:rsidR="00E912F1" w:rsidRPr="001D6512" w:rsidRDefault="00C67DA4" w:rsidP="00F84A22">
            <w:pPr>
              <w:pStyle w:val="TableCell"/>
              <w:spacing w:before="60" w:after="60"/>
              <w:rPr>
                <w:rFonts w:eastAsia="Calibri"/>
              </w:rPr>
            </w:pPr>
            <w:r w:rsidRPr="001D6512">
              <w:rPr>
                <w:rFonts w:eastAsia="Calibri"/>
              </w:rPr>
              <w:t>0.5 kW</w:t>
            </w:r>
          </w:p>
        </w:tc>
        <w:tc>
          <w:tcPr>
            <w:tcW w:w="1737" w:type="dxa"/>
            <w:shd w:val="clear" w:color="auto" w:fill="auto"/>
          </w:tcPr>
          <w:p w:rsidR="00E912F1" w:rsidRPr="001D6512" w:rsidRDefault="00C67DA4" w:rsidP="00F84A22">
            <w:pPr>
              <w:pStyle w:val="TableCell"/>
              <w:spacing w:before="60" w:after="60"/>
              <w:rPr>
                <w:rFonts w:eastAsia="Calibri"/>
                <w:i/>
              </w:rPr>
            </w:pPr>
            <w:r w:rsidRPr="001D6512">
              <w:rPr>
                <w:rFonts w:eastAsia="Calibri"/>
              </w:rPr>
              <w:t>1, 2</w:t>
            </w:r>
          </w:p>
        </w:tc>
      </w:tr>
      <w:tr w:rsidR="00D43CE5" w:rsidRPr="006E0899" w:rsidTr="00F84A22">
        <w:trPr>
          <w:jc w:val="center"/>
        </w:trPr>
        <w:tc>
          <w:tcPr>
            <w:tcW w:w="1895" w:type="dxa"/>
            <w:shd w:val="clear" w:color="auto" w:fill="auto"/>
          </w:tcPr>
          <w:p w:rsidR="00E912F1" w:rsidRPr="001D6512" w:rsidRDefault="00C67DA4" w:rsidP="00F84A22">
            <w:pPr>
              <w:pStyle w:val="TableCell"/>
              <w:spacing w:before="60" w:after="60"/>
              <w:rPr>
                <w:rFonts w:eastAsia="Calibri"/>
              </w:rPr>
            </w:pPr>
            <w:r w:rsidRPr="001D6512">
              <w:rPr>
                <w:rFonts w:eastAsia="Calibri"/>
              </w:rPr>
              <w:t>EFLH</w:t>
            </w:r>
          </w:p>
        </w:tc>
        <w:tc>
          <w:tcPr>
            <w:tcW w:w="1531" w:type="dxa"/>
            <w:shd w:val="clear" w:color="auto" w:fill="auto"/>
          </w:tcPr>
          <w:p w:rsidR="00E912F1" w:rsidRPr="001D6512" w:rsidRDefault="00C67DA4" w:rsidP="00F84A22">
            <w:pPr>
              <w:pStyle w:val="TableCell"/>
              <w:spacing w:before="60" w:after="60"/>
            </w:pPr>
            <w:r w:rsidRPr="001D6512">
              <w:t>Fixed</w:t>
            </w:r>
          </w:p>
        </w:tc>
        <w:tc>
          <w:tcPr>
            <w:tcW w:w="1686" w:type="dxa"/>
            <w:shd w:val="clear" w:color="auto" w:fill="auto"/>
          </w:tcPr>
          <w:p w:rsidR="00E912F1" w:rsidRPr="001D6512" w:rsidRDefault="00C67DA4" w:rsidP="00F84A22">
            <w:pPr>
              <w:pStyle w:val="TableCell"/>
              <w:spacing w:before="60" w:after="60"/>
              <w:rPr>
                <w:rFonts w:eastAsia="Calibri"/>
              </w:rPr>
            </w:pPr>
            <w:r w:rsidRPr="001D6512">
              <w:rPr>
                <w:rFonts w:eastAsia="Calibri"/>
              </w:rPr>
              <w:t>3117</w:t>
            </w:r>
          </w:p>
        </w:tc>
        <w:tc>
          <w:tcPr>
            <w:tcW w:w="1737" w:type="dxa"/>
            <w:shd w:val="clear" w:color="auto" w:fill="auto"/>
          </w:tcPr>
          <w:p w:rsidR="00E912F1" w:rsidRPr="001D6512" w:rsidRDefault="00C67DA4" w:rsidP="00F84A22">
            <w:pPr>
              <w:pStyle w:val="TableCell"/>
              <w:spacing w:before="60" w:after="60"/>
              <w:rPr>
                <w:rFonts w:eastAsia="Calibri"/>
              </w:rPr>
            </w:pPr>
            <w:r w:rsidRPr="001D6512">
              <w:rPr>
                <w:rFonts w:eastAsia="Calibri" w:cs="Tahoma"/>
              </w:rPr>
              <w:t>TRM Table 2-1</w:t>
            </w:r>
          </w:p>
        </w:tc>
      </w:tr>
      <w:tr w:rsidR="00D43CE5" w:rsidRPr="006E0899" w:rsidTr="00F84A22">
        <w:trPr>
          <w:jc w:val="center"/>
        </w:trPr>
        <w:tc>
          <w:tcPr>
            <w:tcW w:w="1895" w:type="dxa"/>
            <w:shd w:val="clear" w:color="auto" w:fill="auto"/>
          </w:tcPr>
          <w:p w:rsidR="00E912F1" w:rsidRPr="001D6512" w:rsidRDefault="00C67DA4" w:rsidP="00F84A22">
            <w:pPr>
              <w:pStyle w:val="TableCell"/>
              <w:spacing w:before="60" w:after="60"/>
              <w:rPr>
                <w:rFonts w:eastAsia="Calibri"/>
              </w:rPr>
            </w:pPr>
            <w:r w:rsidRPr="001D6512">
              <w:rPr>
                <w:rFonts w:eastAsia="Calibri"/>
              </w:rPr>
              <w:t>EI</w:t>
            </w:r>
          </w:p>
        </w:tc>
        <w:tc>
          <w:tcPr>
            <w:tcW w:w="1531" w:type="dxa"/>
            <w:shd w:val="clear" w:color="auto" w:fill="auto"/>
          </w:tcPr>
          <w:p w:rsidR="00E912F1" w:rsidRPr="001D6512" w:rsidRDefault="00C67DA4" w:rsidP="00F84A22">
            <w:pPr>
              <w:pStyle w:val="TableCell"/>
              <w:spacing w:before="60" w:after="60"/>
            </w:pPr>
            <w:r w:rsidRPr="001D6512">
              <w:t>Fixed</w:t>
            </w:r>
          </w:p>
        </w:tc>
        <w:tc>
          <w:tcPr>
            <w:tcW w:w="1686" w:type="dxa"/>
            <w:shd w:val="clear" w:color="auto" w:fill="auto"/>
          </w:tcPr>
          <w:p w:rsidR="00E912F1" w:rsidRPr="001D6512" w:rsidRDefault="00C67DA4" w:rsidP="00F84A22">
            <w:pPr>
              <w:pStyle w:val="TableCell"/>
              <w:spacing w:before="60" w:after="60"/>
              <w:rPr>
                <w:rFonts w:eastAsia="Calibri"/>
              </w:rPr>
            </w:pPr>
            <w:r w:rsidRPr="001D6512">
              <w:rPr>
                <w:rFonts w:eastAsia="Calibri"/>
              </w:rPr>
              <w:t>15%</w:t>
            </w:r>
          </w:p>
        </w:tc>
        <w:tc>
          <w:tcPr>
            <w:tcW w:w="1737" w:type="dxa"/>
            <w:shd w:val="clear" w:color="auto" w:fill="auto"/>
          </w:tcPr>
          <w:p w:rsidR="00E912F1" w:rsidRPr="001D6512" w:rsidRDefault="00C67DA4" w:rsidP="00F84A22">
            <w:pPr>
              <w:pStyle w:val="TableCell"/>
              <w:spacing w:before="60" w:after="60"/>
              <w:rPr>
                <w:rFonts w:eastAsia="Calibri" w:cs="Tahoma"/>
              </w:rPr>
            </w:pPr>
            <w:r w:rsidRPr="001D6512">
              <w:rPr>
                <w:rFonts w:eastAsia="Calibri" w:cs="Tahoma"/>
              </w:rPr>
              <w:t>3</w:t>
            </w:r>
          </w:p>
        </w:tc>
      </w:tr>
      <w:tr w:rsidR="00D43CE5" w:rsidRPr="006E0899" w:rsidTr="00F84A22">
        <w:trPr>
          <w:jc w:val="center"/>
        </w:trPr>
        <w:tc>
          <w:tcPr>
            <w:tcW w:w="1895" w:type="dxa"/>
            <w:shd w:val="clear" w:color="auto" w:fill="auto"/>
          </w:tcPr>
          <w:p w:rsidR="00E912F1" w:rsidRPr="001D6512" w:rsidRDefault="00C67DA4" w:rsidP="00F84A22">
            <w:pPr>
              <w:pStyle w:val="TableCell"/>
              <w:spacing w:before="60" w:after="60"/>
              <w:rPr>
                <w:rFonts w:eastAsia="Calibri"/>
              </w:rPr>
            </w:pPr>
            <w:r w:rsidRPr="001D6512">
              <w:rPr>
                <w:rFonts w:eastAsia="Calibri"/>
              </w:rPr>
              <w:t>ISR</w:t>
            </w:r>
          </w:p>
        </w:tc>
        <w:tc>
          <w:tcPr>
            <w:tcW w:w="1531" w:type="dxa"/>
            <w:shd w:val="clear" w:color="auto" w:fill="auto"/>
          </w:tcPr>
          <w:p w:rsidR="00E912F1" w:rsidRPr="001D6512" w:rsidRDefault="00C67DA4" w:rsidP="00F84A22">
            <w:pPr>
              <w:pStyle w:val="TableCell"/>
              <w:spacing w:before="60" w:after="60"/>
            </w:pPr>
            <w:r w:rsidRPr="001D6512">
              <w:t>Fixed</w:t>
            </w:r>
          </w:p>
        </w:tc>
        <w:tc>
          <w:tcPr>
            <w:tcW w:w="1686" w:type="dxa"/>
            <w:shd w:val="clear" w:color="auto" w:fill="auto"/>
          </w:tcPr>
          <w:p w:rsidR="00E912F1" w:rsidRPr="001D6512" w:rsidRDefault="00C67DA4" w:rsidP="00F84A22">
            <w:pPr>
              <w:pStyle w:val="TableCell"/>
              <w:spacing w:before="60" w:after="60"/>
              <w:rPr>
                <w:rFonts w:eastAsia="Calibri"/>
              </w:rPr>
            </w:pPr>
            <w:r w:rsidRPr="001D6512">
              <w:rPr>
                <w:rFonts w:eastAsia="Calibri"/>
              </w:rPr>
              <w:t>.474</w:t>
            </w:r>
          </w:p>
        </w:tc>
        <w:tc>
          <w:tcPr>
            <w:tcW w:w="1737" w:type="dxa"/>
            <w:shd w:val="clear" w:color="auto" w:fill="auto"/>
          </w:tcPr>
          <w:p w:rsidR="00E912F1" w:rsidRPr="001D6512" w:rsidRDefault="00C67DA4" w:rsidP="00F84A22">
            <w:pPr>
              <w:pStyle w:val="TableCell"/>
              <w:spacing w:before="60" w:after="60"/>
              <w:rPr>
                <w:rFonts w:eastAsia="Calibri" w:cs="Tahoma"/>
              </w:rPr>
            </w:pPr>
            <w:r w:rsidRPr="001D6512">
              <w:rPr>
                <w:rFonts w:eastAsia="Calibri" w:cs="Tahoma"/>
              </w:rPr>
              <w:t>4</w:t>
            </w:r>
          </w:p>
        </w:tc>
      </w:tr>
      <w:tr w:rsidR="00D43CE5" w:rsidRPr="006E0899" w:rsidTr="00F84A22">
        <w:trPr>
          <w:jc w:val="center"/>
        </w:trPr>
        <w:tc>
          <w:tcPr>
            <w:tcW w:w="1895" w:type="dxa"/>
            <w:shd w:val="clear" w:color="auto" w:fill="auto"/>
          </w:tcPr>
          <w:p w:rsidR="00E912F1" w:rsidRPr="001D6512" w:rsidRDefault="00C67DA4" w:rsidP="00F84A22">
            <w:pPr>
              <w:pStyle w:val="TableCell"/>
              <w:keepNext w:val="0"/>
              <w:spacing w:before="60" w:after="60"/>
              <w:rPr>
                <w:rFonts w:eastAsia="Calibri"/>
              </w:rPr>
            </w:pPr>
            <w:r w:rsidRPr="001D6512">
              <w:rPr>
                <w:rFonts w:eastAsia="Calibri"/>
              </w:rPr>
              <w:t xml:space="preserve"> Measure EUL</w:t>
            </w:r>
          </w:p>
        </w:tc>
        <w:tc>
          <w:tcPr>
            <w:tcW w:w="1531" w:type="dxa"/>
            <w:shd w:val="clear" w:color="auto" w:fill="auto"/>
          </w:tcPr>
          <w:p w:rsidR="00E912F1" w:rsidRPr="001D6512" w:rsidRDefault="00C67DA4" w:rsidP="00F84A22">
            <w:pPr>
              <w:pStyle w:val="TableCell"/>
              <w:keepNext w:val="0"/>
              <w:spacing w:before="60" w:after="60"/>
            </w:pPr>
            <w:r w:rsidRPr="001D6512">
              <w:t>Fixed</w:t>
            </w:r>
          </w:p>
        </w:tc>
        <w:tc>
          <w:tcPr>
            <w:tcW w:w="1686" w:type="dxa"/>
            <w:shd w:val="clear" w:color="auto" w:fill="auto"/>
          </w:tcPr>
          <w:p w:rsidR="00E912F1" w:rsidRPr="001D6512" w:rsidRDefault="00C67DA4" w:rsidP="00F84A22">
            <w:pPr>
              <w:pStyle w:val="TableCell"/>
              <w:keepNext w:val="0"/>
              <w:spacing w:before="60" w:after="60"/>
              <w:rPr>
                <w:rFonts w:eastAsia="Calibri"/>
              </w:rPr>
            </w:pPr>
            <w:r w:rsidRPr="001D6512">
              <w:rPr>
                <w:rFonts w:eastAsia="Calibri"/>
              </w:rPr>
              <w:t>15</w:t>
            </w:r>
          </w:p>
        </w:tc>
        <w:tc>
          <w:tcPr>
            <w:tcW w:w="1737" w:type="dxa"/>
            <w:shd w:val="clear" w:color="auto" w:fill="auto"/>
          </w:tcPr>
          <w:p w:rsidR="00E912F1" w:rsidRPr="001D6512" w:rsidRDefault="00C67DA4" w:rsidP="00F84A22">
            <w:pPr>
              <w:pStyle w:val="TableCell"/>
              <w:keepNext w:val="0"/>
              <w:spacing w:before="60" w:after="60"/>
              <w:rPr>
                <w:rFonts w:eastAsia="Calibri" w:cs="Tahoma"/>
                <w:vertAlign w:val="superscript"/>
              </w:rPr>
            </w:pPr>
            <w:r w:rsidRPr="001D6512">
              <w:rPr>
                <w:rFonts w:eastAsia="Calibri"/>
              </w:rPr>
              <w:t>15</w:t>
            </w:r>
          </w:p>
        </w:tc>
      </w:tr>
    </w:tbl>
    <w:p w:rsidR="00E52C6F" w:rsidRDefault="00E52C6F" w:rsidP="00E912F1">
      <w:pPr>
        <w:pStyle w:val="BodyText"/>
        <w:rPr>
          <w:i/>
        </w:rPr>
      </w:pPr>
    </w:p>
    <w:p w:rsidR="00E912F1" w:rsidRPr="00BC5194" w:rsidRDefault="00E912F1" w:rsidP="008075FC">
      <w:pPr>
        <w:keepNext/>
        <w:rPr>
          <w:b/>
        </w:rPr>
      </w:pPr>
      <w:r w:rsidRPr="00BC5194">
        <w:rPr>
          <w:b/>
        </w:rPr>
        <w:lastRenderedPageBreak/>
        <w:t>Sources:</w:t>
      </w:r>
    </w:p>
    <w:p w:rsidR="00E912F1" w:rsidRPr="008A64EF" w:rsidRDefault="00E912F1" w:rsidP="0005632A">
      <w:pPr>
        <w:pStyle w:val="source1"/>
        <w:keepNext/>
        <w:numPr>
          <w:ilvl w:val="0"/>
          <w:numId w:val="28"/>
        </w:numPr>
        <w:rPr>
          <w:rFonts w:eastAsia="Calibri"/>
        </w:rPr>
      </w:pPr>
      <w:r w:rsidRPr="008A64EF">
        <w:rPr>
          <w:rFonts w:eastAsia="Calibri"/>
        </w:rPr>
        <w:t xml:space="preserve">The Sheltair Group HIGH EFFICIENCY FURNACE BLOWER MOTORS MARKET BASELINE ASSESSMENT provided BC Hydro cites Wisconsin Department of Energy [2003] analysis of electricity use from furnaces (see Blower Motor Furnace Study). The Blower Motor Study Table 17 (page 38) shows 505 Watts for PSC motors in space heat mode; last sentence of the second paragraph on page 38 states: " . . . multi-speed and single speed furnaces motors drew between 400 and 800 Watts, with 500 being the average value."Submitted to: Fred Liebich BC Hydro Tel. 604 453-6558 Email: fred.liebich@bchydro.com, March 31, 2004. </w:t>
      </w:r>
      <w:r w:rsidRPr="008A64EF">
        <w:rPr>
          <w:rFonts w:eastAsia="Calibri"/>
        </w:rPr>
        <w:br/>
      </w:r>
      <w:r w:rsidRPr="008A64EF">
        <w:rPr>
          <w:rFonts w:eastAsia="Calibri"/>
          <w:sz w:val="10"/>
          <w:szCs w:val="10"/>
        </w:rPr>
        <w:br/>
      </w:r>
      <w:r w:rsidRPr="008A64EF">
        <w:rPr>
          <w:rFonts w:eastAsia="Calibri"/>
        </w:rPr>
        <w:t>500 watts (.5 kW) times Pittsburgh heating and cooling FLH of 3117 = 1,558.5 kWh (we would expect Pittsburgh to have greater heating loads than the US generally, as referred to by the ACEEE through the Appliance Standards Awareness Project "Furnace fan systems blow warmed air through a home, using approximately 1,000 kilowatt hours of electricity per year . . . An estimated 95% of all residential air handlers use relatively inefficient permanent split capacitor (PSC) fan motors."</w:t>
      </w:r>
    </w:p>
    <w:p w:rsidR="00E912F1" w:rsidRDefault="00E912F1" w:rsidP="00C3606E">
      <w:pPr>
        <w:pStyle w:val="source1"/>
        <w:rPr>
          <w:rFonts w:eastAsia="Calibri"/>
        </w:rPr>
      </w:pPr>
      <w:r w:rsidRPr="00E912F1">
        <w:rPr>
          <w:rFonts w:eastAsia="Calibri"/>
        </w:rPr>
        <w:t>FSEC, “Furnace Blower Electricity: National and Regional Savings Potential”, page 98 - Figure 1 (assumptions provided in Table 2, page 97) for a blower motor applied in prototypical 3-Ton HVAC for both PSC and BPM motors, at external static pressure of 0.8 in. w.g., blower motor Watt requirement is 452 Watts.</w:t>
      </w:r>
    </w:p>
    <w:p w:rsidR="00E912F1" w:rsidRDefault="00E912F1" w:rsidP="00C3606E">
      <w:pPr>
        <w:pStyle w:val="source1"/>
        <w:rPr>
          <w:rFonts w:eastAsia="Calibri"/>
        </w:rPr>
      </w:pPr>
      <w:r w:rsidRPr="00E912F1">
        <w:rPr>
          <w:rFonts w:eastAsia="Calibri"/>
        </w:rPr>
        <w:t>US DOE Office of Energy Efficiency and Renewable Energy - "Energy Savers" publication - "Clogged air filters will reduce system efficiency by 30% or more.” Savings estimates assume the 30% quoted is the worst case and typical households will be at the median or 15% that is assumed to be the efficiency improvement when furnace filters are kept clean.</w:t>
      </w:r>
    </w:p>
    <w:p w:rsidR="00E912F1" w:rsidRPr="00E912F1" w:rsidRDefault="00E912F1" w:rsidP="00C3606E">
      <w:pPr>
        <w:pStyle w:val="source1"/>
        <w:rPr>
          <w:rFonts w:eastAsia="Calibri"/>
        </w:rPr>
      </w:pPr>
      <w:r w:rsidRPr="00E912F1">
        <w:rPr>
          <w:rFonts w:eastAsia="Calibri"/>
        </w:rPr>
        <w:t>The In Service Rate is taken from an SCE Evaluation of 2000-2001 Schools Programs, by Ridge &amp; Associates 8-31-2001, Table 5-19 Installation rates, Air Filter Alarm 47.4%.</w:t>
      </w:r>
    </w:p>
    <w:p w:rsidR="00B54168" w:rsidRDefault="00B54168" w:rsidP="00100EDF">
      <w:pPr>
        <w:pStyle w:val="Caption"/>
      </w:pPr>
      <w:bookmarkStart w:id="123" w:name="_Toc310875492"/>
      <w:r>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6</w:t>
      </w:r>
      <w:r w:rsidR="00274AB1">
        <w:rPr>
          <w:noProof/>
        </w:rPr>
        <w:fldChar w:fldCharType="end"/>
      </w:r>
      <w:r>
        <w:t xml:space="preserve">: </w:t>
      </w:r>
      <w:r w:rsidRPr="00451972">
        <w:t>EFLH for various cities in Pennsylvania (TRM Data)</w:t>
      </w:r>
      <w:bookmarkEnd w:id="123"/>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2279"/>
        <w:gridCol w:w="2378"/>
        <w:gridCol w:w="2101"/>
      </w:tblGrid>
      <w:tr w:rsidR="00E912F1" w:rsidRPr="00F563CA" w:rsidTr="00D15164">
        <w:trPr>
          <w:trHeight w:val="422"/>
          <w:jc w:val="center"/>
        </w:trPr>
        <w:tc>
          <w:tcPr>
            <w:tcW w:w="1710" w:type="dxa"/>
            <w:shd w:val="clear" w:color="auto" w:fill="BFBFBF"/>
          </w:tcPr>
          <w:p w:rsidR="00E912F1" w:rsidRPr="001D6512" w:rsidRDefault="00E52C6F" w:rsidP="00321935">
            <w:pPr>
              <w:pStyle w:val="TableCell"/>
              <w:spacing w:before="60" w:after="60"/>
              <w:rPr>
                <w:b/>
              </w:rPr>
            </w:pPr>
            <w:r w:rsidRPr="001D6512">
              <w:rPr>
                <w:b/>
              </w:rPr>
              <w:t>City</w:t>
            </w:r>
          </w:p>
        </w:tc>
        <w:tc>
          <w:tcPr>
            <w:tcW w:w="2070" w:type="dxa"/>
            <w:shd w:val="clear" w:color="auto" w:fill="BFBFBF"/>
          </w:tcPr>
          <w:p w:rsidR="00E912F1" w:rsidRPr="001D6512" w:rsidRDefault="00E912F1" w:rsidP="00321935">
            <w:pPr>
              <w:pStyle w:val="TableCell"/>
              <w:spacing w:before="60" w:after="60"/>
              <w:rPr>
                <w:b/>
              </w:rPr>
            </w:pPr>
            <w:r w:rsidRPr="001D6512">
              <w:rPr>
                <w:b/>
              </w:rPr>
              <w:t>Cooling load hours</w:t>
            </w:r>
          </w:p>
        </w:tc>
        <w:tc>
          <w:tcPr>
            <w:tcW w:w="2160" w:type="dxa"/>
            <w:shd w:val="clear" w:color="auto" w:fill="BFBFBF"/>
          </w:tcPr>
          <w:p w:rsidR="00E912F1" w:rsidRPr="001D6512" w:rsidRDefault="00E912F1" w:rsidP="00321935">
            <w:pPr>
              <w:pStyle w:val="TableCell"/>
              <w:spacing w:before="60" w:after="60"/>
              <w:rPr>
                <w:b/>
              </w:rPr>
            </w:pPr>
            <w:r w:rsidRPr="001D6512">
              <w:rPr>
                <w:b/>
              </w:rPr>
              <w:t>Heating load hours</w:t>
            </w:r>
          </w:p>
        </w:tc>
        <w:tc>
          <w:tcPr>
            <w:tcW w:w="1908" w:type="dxa"/>
            <w:shd w:val="clear" w:color="auto" w:fill="BFBFBF"/>
          </w:tcPr>
          <w:p w:rsidR="00E912F1" w:rsidRPr="001D6512" w:rsidRDefault="00E912F1" w:rsidP="00321935">
            <w:pPr>
              <w:pStyle w:val="TableCell"/>
              <w:spacing w:before="60" w:after="60"/>
              <w:rPr>
                <w:b/>
              </w:rPr>
            </w:pPr>
            <w:r w:rsidRPr="001D6512">
              <w:rPr>
                <w:b/>
              </w:rPr>
              <w:t>Total load hours</w:t>
            </w:r>
          </w:p>
        </w:tc>
      </w:tr>
      <w:tr w:rsidR="00E912F1" w:rsidRPr="00F563CA" w:rsidTr="00D15164">
        <w:trPr>
          <w:jc w:val="center"/>
        </w:trPr>
        <w:tc>
          <w:tcPr>
            <w:tcW w:w="1710" w:type="dxa"/>
          </w:tcPr>
          <w:p w:rsidR="00E912F1" w:rsidRPr="001D6512" w:rsidRDefault="00E912F1" w:rsidP="00321935">
            <w:pPr>
              <w:pStyle w:val="TableCell"/>
              <w:spacing w:before="60" w:after="60"/>
            </w:pPr>
            <w:r w:rsidRPr="001D6512">
              <w:t>Pittsburgh</w:t>
            </w:r>
          </w:p>
        </w:tc>
        <w:tc>
          <w:tcPr>
            <w:tcW w:w="2070" w:type="dxa"/>
          </w:tcPr>
          <w:p w:rsidR="00E912F1" w:rsidRPr="001D6512" w:rsidRDefault="00E912F1" w:rsidP="00321935">
            <w:pPr>
              <w:pStyle w:val="TableCell"/>
              <w:spacing w:before="60" w:after="60"/>
            </w:pPr>
            <w:r w:rsidRPr="001D6512">
              <w:t>737</w:t>
            </w:r>
          </w:p>
        </w:tc>
        <w:tc>
          <w:tcPr>
            <w:tcW w:w="2160" w:type="dxa"/>
          </w:tcPr>
          <w:p w:rsidR="00E912F1" w:rsidRPr="001D6512" w:rsidRDefault="00E912F1" w:rsidP="00321935">
            <w:pPr>
              <w:pStyle w:val="TableCell"/>
              <w:spacing w:before="60" w:after="60"/>
            </w:pPr>
            <w:r w:rsidRPr="001D6512">
              <w:t>2380</w:t>
            </w:r>
          </w:p>
        </w:tc>
        <w:tc>
          <w:tcPr>
            <w:tcW w:w="1908" w:type="dxa"/>
          </w:tcPr>
          <w:p w:rsidR="00E912F1" w:rsidRPr="001D6512" w:rsidRDefault="00E912F1" w:rsidP="00321935">
            <w:pPr>
              <w:pStyle w:val="TableCell"/>
              <w:spacing w:before="60" w:after="60"/>
            </w:pPr>
            <w:r w:rsidRPr="001D6512">
              <w:t>3117</w:t>
            </w:r>
          </w:p>
        </w:tc>
      </w:tr>
      <w:tr w:rsidR="00E912F1" w:rsidRPr="00F563CA" w:rsidTr="00D15164">
        <w:trPr>
          <w:jc w:val="center"/>
        </w:trPr>
        <w:tc>
          <w:tcPr>
            <w:tcW w:w="1710" w:type="dxa"/>
          </w:tcPr>
          <w:p w:rsidR="00E912F1" w:rsidRPr="001D6512" w:rsidRDefault="00E912F1" w:rsidP="00321935">
            <w:pPr>
              <w:pStyle w:val="TableCell"/>
              <w:spacing w:before="60" w:after="60"/>
            </w:pPr>
            <w:r w:rsidRPr="001D6512">
              <w:t>Philadelphia</w:t>
            </w:r>
          </w:p>
        </w:tc>
        <w:tc>
          <w:tcPr>
            <w:tcW w:w="2070" w:type="dxa"/>
          </w:tcPr>
          <w:p w:rsidR="00E912F1" w:rsidRPr="001D6512" w:rsidRDefault="00E912F1" w:rsidP="00321935">
            <w:pPr>
              <w:pStyle w:val="TableCell"/>
              <w:spacing w:before="60" w:after="60"/>
            </w:pPr>
            <w:r w:rsidRPr="001D6512">
              <w:t>1032</w:t>
            </w:r>
          </w:p>
        </w:tc>
        <w:tc>
          <w:tcPr>
            <w:tcW w:w="2160" w:type="dxa"/>
          </w:tcPr>
          <w:p w:rsidR="00E912F1" w:rsidRPr="001D6512" w:rsidRDefault="00E912F1" w:rsidP="00321935">
            <w:pPr>
              <w:pStyle w:val="TableCell"/>
              <w:spacing w:before="60" w:after="60"/>
            </w:pPr>
            <w:r w:rsidRPr="001D6512">
              <w:t>2328</w:t>
            </w:r>
          </w:p>
        </w:tc>
        <w:tc>
          <w:tcPr>
            <w:tcW w:w="1908" w:type="dxa"/>
          </w:tcPr>
          <w:p w:rsidR="00E912F1" w:rsidRPr="001D6512" w:rsidRDefault="00E912F1" w:rsidP="00321935">
            <w:pPr>
              <w:pStyle w:val="TableCell"/>
              <w:spacing w:before="60" w:after="60"/>
            </w:pPr>
            <w:r w:rsidRPr="001D6512">
              <w:t>3360</w:t>
            </w:r>
          </w:p>
        </w:tc>
      </w:tr>
      <w:tr w:rsidR="00E912F1" w:rsidRPr="00F563CA" w:rsidTr="00D15164">
        <w:trPr>
          <w:jc w:val="center"/>
        </w:trPr>
        <w:tc>
          <w:tcPr>
            <w:tcW w:w="1710" w:type="dxa"/>
          </w:tcPr>
          <w:p w:rsidR="00E912F1" w:rsidRPr="001D6512" w:rsidRDefault="00E912F1" w:rsidP="00321935">
            <w:pPr>
              <w:pStyle w:val="TableCell"/>
              <w:spacing w:before="60" w:after="60"/>
            </w:pPr>
            <w:r w:rsidRPr="001D6512">
              <w:t>Allentown</w:t>
            </w:r>
          </w:p>
        </w:tc>
        <w:tc>
          <w:tcPr>
            <w:tcW w:w="2070" w:type="dxa"/>
          </w:tcPr>
          <w:p w:rsidR="00E912F1" w:rsidRPr="001D6512" w:rsidRDefault="00E912F1" w:rsidP="00321935">
            <w:pPr>
              <w:pStyle w:val="TableCell"/>
              <w:spacing w:before="60" w:after="60"/>
            </w:pPr>
            <w:r w:rsidRPr="001D6512">
              <w:t>784</w:t>
            </w:r>
          </w:p>
        </w:tc>
        <w:tc>
          <w:tcPr>
            <w:tcW w:w="2160" w:type="dxa"/>
          </w:tcPr>
          <w:p w:rsidR="00E912F1" w:rsidRPr="001D6512" w:rsidRDefault="00E912F1" w:rsidP="00321935">
            <w:pPr>
              <w:pStyle w:val="TableCell"/>
              <w:spacing w:before="60" w:after="60"/>
            </w:pPr>
            <w:r w:rsidRPr="001D6512">
              <w:t>2492</w:t>
            </w:r>
          </w:p>
        </w:tc>
        <w:tc>
          <w:tcPr>
            <w:tcW w:w="1908" w:type="dxa"/>
          </w:tcPr>
          <w:p w:rsidR="00E912F1" w:rsidRPr="001D6512" w:rsidRDefault="00E912F1" w:rsidP="00321935">
            <w:pPr>
              <w:pStyle w:val="TableCell"/>
              <w:spacing w:before="60" w:after="60"/>
            </w:pPr>
            <w:r w:rsidRPr="001D6512">
              <w:t>3276</w:t>
            </w:r>
          </w:p>
        </w:tc>
      </w:tr>
      <w:tr w:rsidR="00E912F1" w:rsidRPr="00F563CA" w:rsidTr="00D15164">
        <w:trPr>
          <w:jc w:val="center"/>
        </w:trPr>
        <w:tc>
          <w:tcPr>
            <w:tcW w:w="1710" w:type="dxa"/>
          </w:tcPr>
          <w:p w:rsidR="00E912F1" w:rsidRPr="001D6512" w:rsidRDefault="00E912F1" w:rsidP="00321935">
            <w:pPr>
              <w:pStyle w:val="TableCell"/>
              <w:spacing w:before="60" w:after="60"/>
            </w:pPr>
            <w:r w:rsidRPr="001D6512">
              <w:t>Erie</w:t>
            </w:r>
          </w:p>
        </w:tc>
        <w:tc>
          <w:tcPr>
            <w:tcW w:w="2070" w:type="dxa"/>
          </w:tcPr>
          <w:p w:rsidR="00E912F1" w:rsidRPr="001D6512" w:rsidRDefault="00E912F1" w:rsidP="00321935">
            <w:pPr>
              <w:pStyle w:val="TableCell"/>
              <w:spacing w:before="60" w:after="60"/>
            </w:pPr>
            <w:r w:rsidRPr="001D6512">
              <w:t>482</w:t>
            </w:r>
          </w:p>
        </w:tc>
        <w:tc>
          <w:tcPr>
            <w:tcW w:w="2160" w:type="dxa"/>
          </w:tcPr>
          <w:p w:rsidR="00E912F1" w:rsidRPr="001D6512" w:rsidRDefault="00E912F1" w:rsidP="00321935">
            <w:pPr>
              <w:pStyle w:val="TableCell"/>
              <w:spacing w:before="60" w:after="60"/>
            </w:pPr>
            <w:r w:rsidRPr="001D6512">
              <w:t>2901</w:t>
            </w:r>
          </w:p>
        </w:tc>
        <w:tc>
          <w:tcPr>
            <w:tcW w:w="1908" w:type="dxa"/>
          </w:tcPr>
          <w:p w:rsidR="00E912F1" w:rsidRPr="001D6512" w:rsidRDefault="00E912F1" w:rsidP="00321935">
            <w:pPr>
              <w:pStyle w:val="TableCell"/>
              <w:spacing w:before="60" w:after="60"/>
            </w:pPr>
            <w:r w:rsidRPr="001D6512">
              <w:t>3383</w:t>
            </w:r>
          </w:p>
        </w:tc>
      </w:tr>
      <w:tr w:rsidR="00E912F1" w:rsidRPr="00F563CA" w:rsidTr="00D15164">
        <w:trPr>
          <w:jc w:val="center"/>
        </w:trPr>
        <w:tc>
          <w:tcPr>
            <w:tcW w:w="1710" w:type="dxa"/>
          </w:tcPr>
          <w:p w:rsidR="00E912F1" w:rsidRPr="001D6512" w:rsidRDefault="00E912F1" w:rsidP="00321935">
            <w:pPr>
              <w:pStyle w:val="TableCell"/>
              <w:spacing w:before="60" w:after="60"/>
            </w:pPr>
            <w:r w:rsidRPr="001D6512">
              <w:t>Scranton</w:t>
            </w:r>
          </w:p>
        </w:tc>
        <w:tc>
          <w:tcPr>
            <w:tcW w:w="2070" w:type="dxa"/>
          </w:tcPr>
          <w:p w:rsidR="00E912F1" w:rsidRPr="001D6512" w:rsidRDefault="00E912F1" w:rsidP="00321935">
            <w:pPr>
              <w:pStyle w:val="TableCell"/>
              <w:spacing w:before="60" w:after="60"/>
            </w:pPr>
            <w:r w:rsidRPr="001D6512">
              <w:t>621</w:t>
            </w:r>
          </w:p>
        </w:tc>
        <w:tc>
          <w:tcPr>
            <w:tcW w:w="2160" w:type="dxa"/>
          </w:tcPr>
          <w:p w:rsidR="00E912F1" w:rsidRPr="001D6512" w:rsidRDefault="00E912F1" w:rsidP="00321935">
            <w:pPr>
              <w:pStyle w:val="TableCell"/>
              <w:spacing w:before="60" w:after="60"/>
            </w:pPr>
            <w:r w:rsidRPr="001D6512">
              <w:t>2532</w:t>
            </w:r>
          </w:p>
        </w:tc>
        <w:tc>
          <w:tcPr>
            <w:tcW w:w="1908" w:type="dxa"/>
          </w:tcPr>
          <w:p w:rsidR="00E912F1" w:rsidRPr="001D6512" w:rsidRDefault="00E912F1" w:rsidP="00321935">
            <w:pPr>
              <w:pStyle w:val="TableCell"/>
              <w:spacing w:before="60" w:after="60"/>
            </w:pPr>
            <w:r w:rsidRPr="001D6512">
              <w:t>3153</w:t>
            </w:r>
          </w:p>
        </w:tc>
      </w:tr>
      <w:tr w:rsidR="00E912F1" w:rsidRPr="00F563CA" w:rsidTr="00D15164">
        <w:trPr>
          <w:jc w:val="center"/>
        </w:trPr>
        <w:tc>
          <w:tcPr>
            <w:tcW w:w="1710" w:type="dxa"/>
          </w:tcPr>
          <w:p w:rsidR="00E912F1" w:rsidRPr="001D6512" w:rsidRDefault="00E912F1" w:rsidP="00321935">
            <w:pPr>
              <w:pStyle w:val="TableCell"/>
              <w:spacing w:before="60" w:after="60"/>
            </w:pPr>
            <w:r w:rsidRPr="001D6512">
              <w:t>Harrisburg</w:t>
            </w:r>
          </w:p>
        </w:tc>
        <w:tc>
          <w:tcPr>
            <w:tcW w:w="2070" w:type="dxa"/>
          </w:tcPr>
          <w:p w:rsidR="00E912F1" w:rsidRPr="001D6512" w:rsidRDefault="00E912F1" w:rsidP="00321935">
            <w:pPr>
              <w:pStyle w:val="TableCell"/>
              <w:spacing w:before="60" w:after="60"/>
            </w:pPr>
            <w:r w:rsidRPr="001D6512">
              <w:t>929</w:t>
            </w:r>
          </w:p>
        </w:tc>
        <w:tc>
          <w:tcPr>
            <w:tcW w:w="2160" w:type="dxa"/>
          </w:tcPr>
          <w:p w:rsidR="00E912F1" w:rsidRPr="001D6512" w:rsidRDefault="00E912F1" w:rsidP="00321935">
            <w:pPr>
              <w:pStyle w:val="TableCell"/>
              <w:spacing w:before="60" w:after="60"/>
            </w:pPr>
            <w:r w:rsidRPr="001D6512">
              <w:t>2371</w:t>
            </w:r>
          </w:p>
        </w:tc>
        <w:tc>
          <w:tcPr>
            <w:tcW w:w="1908" w:type="dxa"/>
          </w:tcPr>
          <w:p w:rsidR="00E912F1" w:rsidRPr="001D6512" w:rsidRDefault="00E912F1" w:rsidP="00321935">
            <w:pPr>
              <w:pStyle w:val="TableCell"/>
              <w:spacing w:before="60" w:after="60"/>
            </w:pPr>
            <w:r w:rsidRPr="001D6512">
              <w:t>3300</w:t>
            </w:r>
          </w:p>
        </w:tc>
      </w:tr>
      <w:tr w:rsidR="00E912F1" w:rsidRPr="00F563CA" w:rsidTr="00D15164">
        <w:trPr>
          <w:jc w:val="center"/>
        </w:trPr>
        <w:tc>
          <w:tcPr>
            <w:tcW w:w="1710" w:type="dxa"/>
          </w:tcPr>
          <w:p w:rsidR="00E912F1" w:rsidRPr="001D6512" w:rsidRDefault="00E912F1" w:rsidP="00321935">
            <w:pPr>
              <w:pStyle w:val="TableCell"/>
              <w:spacing w:before="60" w:after="60"/>
            </w:pPr>
            <w:r w:rsidRPr="001D6512">
              <w:t>Williamsport</w:t>
            </w:r>
          </w:p>
        </w:tc>
        <w:tc>
          <w:tcPr>
            <w:tcW w:w="2070" w:type="dxa"/>
          </w:tcPr>
          <w:p w:rsidR="00E912F1" w:rsidRPr="001D6512" w:rsidRDefault="00E912F1" w:rsidP="00321935">
            <w:pPr>
              <w:pStyle w:val="TableCell"/>
              <w:spacing w:before="60" w:after="60"/>
            </w:pPr>
            <w:r w:rsidRPr="001D6512">
              <w:t>659</w:t>
            </w:r>
          </w:p>
        </w:tc>
        <w:tc>
          <w:tcPr>
            <w:tcW w:w="2160" w:type="dxa"/>
          </w:tcPr>
          <w:p w:rsidR="00E912F1" w:rsidRPr="001D6512" w:rsidRDefault="00E912F1" w:rsidP="00321935">
            <w:pPr>
              <w:pStyle w:val="TableCell"/>
              <w:spacing w:before="60" w:after="60"/>
            </w:pPr>
            <w:r w:rsidRPr="001D6512">
              <w:t>2502</w:t>
            </w:r>
          </w:p>
        </w:tc>
        <w:tc>
          <w:tcPr>
            <w:tcW w:w="1908" w:type="dxa"/>
          </w:tcPr>
          <w:p w:rsidR="00E912F1" w:rsidRPr="001D6512" w:rsidRDefault="00E912F1" w:rsidP="00321935">
            <w:pPr>
              <w:pStyle w:val="TableCell"/>
              <w:spacing w:before="60" w:after="60"/>
            </w:pPr>
            <w:r w:rsidRPr="001D6512">
              <w:t>3161</w:t>
            </w:r>
          </w:p>
        </w:tc>
      </w:tr>
    </w:tbl>
    <w:p w:rsidR="00E912F1" w:rsidRPr="00F563CA" w:rsidRDefault="00E912F1" w:rsidP="00E912F1">
      <w:pPr>
        <w:rPr>
          <w:rFonts w:ascii="Calibri" w:eastAsia="Calibri" w:hAnsi="Calibri"/>
          <w:sz w:val="22"/>
          <w:szCs w:val="22"/>
        </w:rPr>
      </w:pPr>
    </w:p>
    <w:p w:rsidR="00E912F1" w:rsidRDefault="00E912F1" w:rsidP="008075FC">
      <w:pPr>
        <w:pStyle w:val="BodyText"/>
        <w:keepLines/>
        <w:rPr>
          <w:rFonts w:eastAsia="Calibri"/>
        </w:rPr>
      </w:pPr>
      <w:r w:rsidRPr="00F563CA">
        <w:rPr>
          <w:rFonts w:eastAsia="Calibri"/>
        </w:rPr>
        <w:lastRenderedPageBreak/>
        <w:t>The deemed savings are calculated assuming that an average furnace motor is 500 watts (.5 kW), using the Pittsburgh region as an example, furnace operating hours for Pittsburgh is 2380 hrs/year and cooling system operation is 737 hours/year. A 15% decrease in efficiency is attributed to the dirty furnace filters. The EFLH will depend on the EDC region in which the measure is installed.</w:t>
      </w:r>
    </w:p>
    <w:p w:rsidR="00E912F1" w:rsidRDefault="00E912F1" w:rsidP="00E52C6F">
      <w:pPr>
        <w:pStyle w:val="BodyText"/>
        <w:rPr>
          <w:rFonts w:eastAsia="Calibri"/>
        </w:rPr>
      </w:pPr>
      <w:r w:rsidRPr="00F563CA">
        <w:rPr>
          <w:rFonts w:eastAsia="Calibri"/>
        </w:rPr>
        <w:t>Without including correction for in-service rates, the 15% estimated blower fan annual savings of 178.5 kWh is 2.2% of average customer annual energy consumption of 8,221 kWh. The following table presents the assumptions and the results of the deemed savings calculations for each EDC.</w:t>
      </w:r>
    </w:p>
    <w:p w:rsidR="00B54168" w:rsidRDefault="00B54168" w:rsidP="00100EDF">
      <w:pPr>
        <w:pStyle w:val="Caption"/>
      </w:pPr>
      <w:bookmarkStart w:id="124" w:name="_Toc310875493"/>
      <w:r>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7</w:t>
      </w:r>
      <w:r w:rsidR="00274AB1">
        <w:rPr>
          <w:noProof/>
        </w:rPr>
        <w:fldChar w:fldCharType="end"/>
      </w:r>
      <w:r>
        <w:t xml:space="preserve">: </w:t>
      </w:r>
      <w:r w:rsidRPr="000E0527">
        <w:t>Assumptions and Results of Deemed Savings Calculations (Pittsburgh, PA)</w:t>
      </w:r>
      <w:bookmarkEnd w:id="124"/>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060"/>
        <w:gridCol w:w="1116"/>
        <w:gridCol w:w="1060"/>
        <w:gridCol w:w="1060"/>
        <w:gridCol w:w="1060"/>
        <w:gridCol w:w="1060"/>
        <w:gridCol w:w="1077"/>
      </w:tblGrid>
      <w:tr w:rsidR="00E912F1" w:rsidRPr="006E0899" w:rsidTr="006E0899">
        <w:trPr>
          <w:trHeight w:val="795"/>
          <w:jc w:val="center"/>
        </w:trPr>
        <w:tc>
          <w:tcPr>
            <w:tcW w:w="960" w:type="dxa"/>
            <w:shd w:val="clear" w:color="auto" w:fill="BFBFBF"/>
            <w:noWrap/>
          </w:tcPr>
          <w:p w:rsidR="00E912F1" w:rsidRPr="001D6512" w:rsidRDefault="00E912F1" w:rsidP="00321935">
            <w:pPr>
              <w:pStyle w:val="TableCell"/>
              <w:spacing w:before="60" w:after="60"/>
            </w:pPr>
            <w:r w:rsidRPr="001D6512">
              <w:t> </w:t>
            </w:r>
          </w:p>
        </w:tc>
        <w:tc>
          <w:tcPr>
            <w:tcW w:w="1060" w:type="dxa"/>
            <w:shd w:val="clear" w:color="auto" w:fill="BFBFBF"/>
          </w:tcPr>
          <w:p w:rsidR="00E912F1" w:rsidRPr="001D6512" w:rsidRDefault="00E912F1" w:rsidP="00321935">
            <w:pPr>
              <w:pStyle w:val="TableCell"/>
              <w:spacing w:before="60" w:after="60"/>
              <w:rPr>
                <w:b/>
                <w:bCs/>
              </w:rPr>
            </w:pPr>
            <w:r w:rsidRPr="001D6512">
              <w:rPr>
                <w:b/>
                <w:bCs/>
              </w:rPr>
              <w:t>Blower Motor kW</w:t>
            </w:r>
          </w:p>
        </w:tc>
        <w:tc>
          <w:tcPr>
            <w:tcW w:w="1060" w:type="dxa"/>
            <w:shd w:val="clear" w:color="auto" w:fill="BFBFBF"/>
          </w:tcPr>
          <w:p w:rsidR="00E912F1" w:rsidRPr="001D6512" w:rsidRDefault="00E912F1" w:rsidP="00321935">
            <w:pPr>
              <w:pStyle w:val="TableCell"/>
              <w:spacing w:before="60" w:after="60"/>
              <w:rPr>
                <w:b/>
                <w:bCs/>
              </w:rPr>
            </w:pPr>
            <w:r w:rsidRPr="001D6512">
              <w:rPr>
                <w:b/>
                <w:bCs/>
              </w:rPr>
              <w:t>Pittsburgh EFLH</w:t>
            </w:r>
          </w:p>
        </w:tc>
        <w:tc>
          <w:tcPr>
            <w:tcW w:w="1060" w:type="dxa"/>
            <w:shd w:val="clear" w:color="auto" w:fill="BFBFBF"/>
          </w:tcPr>
          <w:p w:rsidR="00E912F1" w:rsidRPr="001D6512" w:rsidRDefault="00E912F1" w:rsidP="00321935">
            <w:pPr>
              <w:pStyle w:val="TableCell"/>
              <w:spacing w:before="60" w:after="60"/>
              <w:rPr>
                <w:b/>
                <w:bCs/>
              </w:rPr>
            </w:pPr>
            <w:r w:rsidRPr="001D6512">
              <w:rPr>
                <w:b/>
                <w:bCs/>
              </w:rPr>
              <w:t>Clean Annual kWh</w:t>
            </w:r>
          </w:p>
        </w:tc>
        <w:tc>
          <w:tcPr>
            <w:tcW w:w="1060" w:type="dxa"/>
            <w:shd w:val="clear" w:color="auto" w:fill="BFBFBF"/>
          </w:tcPr>
          <w:p w:rsidR="00E912F1" w:rsidRPr="001D6512" w:rsidRDefault="00E912F1" w:rsidP="00321935">
            <w:pPr>
              <w:pStyle w:val="TableCell"/>
              <w:spacing w:before="60" w:after="60"/>
              <w:rPr>
                <w:b/>
                <w:bCs/>
              </w:rPr>
            </w:pPr>
            <w:r w:rsidRPr="001D6512">
              <w:rPr>
                <w:b/>
                <w:bCs/>
              </w:rPr>
              <w:t xml:space="preserve">Dirty Annual kWh </w:t>
            </w:r>
          </w:p>
        </w:tc>
        <w:tc>
          <w:tcPr>
            <w:tcW w:w="1060" w:type="dxa"/>
            <w:shd w:val="clear" w:color="auto" w:fill="BFBFBF"/>
          </w:tcPr>
          <w:p w:rsidR="00E912F1" w:rsidRPr="001D6512" w:rsidRDefault="00E912F1" w:rsidP="00321935">
            <w:pPr>
              <w:pStyle w:val="TableCell"/>
              <w:spacing w:before="60" w:after="60"/>
              <w:rPr>
                <w:b/>
                <w:bCs/>
              </w:rPr>
            </w:pPr>
            <w:r w:rsidRPr="001D6512">
              <w:rPr>
                <w:b/>
                <w:bCs/>
              </w:rPr>
              <w:t>Furnace Whistle Savings</w:t>
            </w:r>
          </w:p>
        </w:tc>
        <w:tc>
          <w:tcPr>
            <w:tcW w:w="1060" w:type="dxa"/>
            <w:shd w:val="clear" w:color="auto" w:fill="BFBFBF"/>
          </w:tcPr>
          <w:p w:rsidR="00E912F1" w:rsidRPr="001D6512" w:rsidRDefault="00E912F1" w:rsidP="00321935">
            <w:pPr>
              <w:pStyle w:val="TableCell"/>
              <w:spacing w:before="60" w:after="60"/>
              <w:rPr>
                <w:b/>
                <w:bCs/>
              </w:rPr>
            </w:pPr>
            <w:r w:rsidRPr="001D6512">
              <w:rPr>
                <w:b/>
                <w:bCs/>
              </w:rPr>
              <w:t>ISR</w:t>
            </w:r>
          </w:p>
        </w:tc>
        <w:tc>
          <w:tcPr>
            <w:tcW w:w="1060" w:type="dxa"/>
            <w:shd w:val="clear" w:color="auto" w:fill="BFBFBF"/>
          </w:tcPr>
          <w:p w:rsidR="00E912F1" w:rsidRPr="001D6512" w:rsidRDefault="00E912F1" w:rsidP="00321935">
            <w:pPr>
              <w:pStyle w:val="TableCell"/>
              <w:spacing w:before="60" w:after="60"/>
              <w:rPr>
                <w:b/>
                <w:bCs/>
              </w:rPr>
            </w:pPr>
            <w:r w:rsidRPr="001D6512">
              <w:rPr>
                <w:b/>
                <w:bCs/>
              </w:rPr>
              <w:t>Estimated Savings (kWh)</w:t>
            </w:r>
          </w:p>
        </w:tc>
      </w:tr>
      <w:tr w:rsidR="00E912F1" w:rsidRPr="006E0899" w:rsidTr="006E0899">
        <w:trPr>
          <w:trHeight w:val="300"/>
          <w:jc w:val="center"/>
        </w:trPr>
        <w:tc>
          <w:tcPr>
            <w:tcW w:w="960" w:type="dxa"/>
            <w:noWrap/>
          </w:tcPr>
          <w:p w:rsidR="00E912F1" w:rsidRPr="001D6512" w:rsidRDefault="00C67DA4" w:rsidP="00321935">
            <w:pPr>
              <w:pStyle w:val="TableCell"/>
              <w:spacing w:before="60" w:after="60"/>
              <w:rPr>
                <w:bCs/>
              </w:rPr>
            </w:pPr>
            <w:r w:rsidRPr="001D6512">
              <w:rPr>
                <w:bCs/>
              </w:rPr>
              <w:t>Heating</w:t>
            </w:r>
          </w:p>
        </w:tc>
        <w:tc>
          <w:tcPr>
            <w:tcW w:w="1060" w:type="dxa"/>
            <w:noWrap/>
          </w:tcPr>
          <w:p w:rsidR="00E912F1" w:rsidRPr="001D6512" w:rsidRDefault="00C67DA4" w:rsidP="00321935">
            <w:pPr>
              <w:pStyle w:val="TableCell"/>
              <w:spacing w:before="60" w:after="60"/>
            </w:pPr>
            <w:r w:rsidRPr="001D6512">
              <w:t>0.5</w:t>
            </w:r>
          </w:p>
        </w:tc>
        <w:tc>
          <w:tcPr>
            <w:tcW w:w="1060" w:type="dxa"/>
            <w:noWrap/>
          </w:tcPr>
          <w:p w:rsidR="00E912F1" w:rsidRPr="001D6512" w:rsidRDefault="00C67DA4" w:rsidP="00321935">
            <w:pPr>
              <w:pStyle w:val="TableCell"/>
              <w:spacing w:before="60" w:after="60"/>
            </w:pPr>
            <w:r w:rsidRPr="001D6512">
              <w:t>2380</w:t>
            </w:r>
          </w:p>
        </w:tc>
        <w:tc>
          <w:tcPr>
            <w:tcW w:w="1060" w:type="dxa"/>
            <w:noWrap/>
          </w:tcPr>
          <w:p w:rsidR="00E912F1" w:rsidRPr="001D6512" w:rsidRDefault="00C67DA4" w:rsidP="00321935">
            <w:pPr>
              <w:pStyle w:val="TableCell"/>
              <w:spacing w:before="60" w:after="60"/>
            </w:pPr>
            <w:r w:rsidRPr="001D6512">
              <w:t>1190</w:t>
            </w:r>
          </w:p>
        </w:tc>
        <w:tc>
          <w:tcPr>
            <w:tcW w:w="1060" w:type="dxa"/>
            <w:noWrap/>
          </w:tcPr>
          <w:p w:rsidR="00E912F1" w:rsidRPr="001D6512" w:rsidRDefault="00C67DA4" w:rsidP="00321935">
            <w:pPr>
              <w:pStyle w:val="TableCell"/>
              <w:spacing w:before="60" w:after="60"/>
            </w:pPr>
            <w:r w:rsidRPr="001D6512">
              <w:t>1368.5</w:t>
            </w:r>
          </w:p>
        </w:tc>
        <w:tc>
          <w:tcPr>
            <w:tcW w:w="1060" w:type="dxa"/>
            <w:noWrap/>
          </w:tcPr>
          <w:p w:rsidR="00E912F1" w:rsidRPr="001D6512" w:rsidRDefault="00C67DA4" w:rsidP="00321935">
            <w:pPr>
              <w:pStyle w:val="TableCell"/>
              <w:spacing w:before="60" w:after="60"/>
            </w:pPr>
            <w:r w:rsidRPr="001D6512">
              <w:t>178.5</w:t>
            </w:r>
          </w:p>
        </w:tc>
        <w:tc>
          <w:tcPr>
            <w:tcW w:w="1060" w:type="dxa"/>
            <w:noWrap/>
          </w:tcPr>
          <w:p w:rsidR="00E912F1" w:rsidRPr="001D6512" w:rsidRDefault="00C67DA4" w:rsidP="00321935">
            <w:pPr>
              <w:pStyle w:val="TableCell"/>
              <w:spacing w:before="60" w:after="60"/>
            </w:pPr>
            <w:r w:rsidRPr="001D6512">
              <w:t>0.474</w:t>
            </w:r>
          </w:p>
        </w:tc>
        <w:tc>
          <w:tcPr>
            <w:tcW w:w="1060" w:type="dxa"/>
            <w:noWrap/>
          </w:tcPr>
          <w:p w:rsidR="00E912F1" w:rsidRPr="001D6512" w:rsidRDefault="00C67DA4" w:rsidP="00321935">
            <w:pPr>
              <w:pStyle w:val="TableCell"/>
              <w:spacing w:before="60" w:after="60"/>
            </w:pPr>
            <w:r w:rsidRPr="001D6512">
              <w:t>85</w:t>
            </w:r>
          </w:p>
        </w:tc>
      </w:tr>
      <w:tr w:rsidR="00E912F1" w:rsidRPr="006E0899" w:rsidTr="006E0899">
        <w:trPr>
          <w:trHeight w:val="300"/>
          <w:jc w:val="center"/>
        </w:trPr>
        <w:tc>
          <w:tcPr>
            <w:tcW w:w="960" w:type="dxa"/>
            <w:noWrap/>
          </w:tcPr>
          <w:p w:rsidR="00E912F1" w:rsidRPr="001D6512" w:rsidRDefault="00C67DA4" w:rsidP="00321935">
            <w:pPr>
              <w:pStyle w:val="TableCell"/>
              <w:spacing w:before="60" w:after="60"/>
              <w:rPr>
                <w:bCs/>
              </w:rPr>
            </w:pPr>
            <w:r w:rsidRPr="001D6512">
              <w:rPr>
                <w:bCs/>
              </w:rPr>
              <w:t>Cooling</w:t>
            </w:r>
          </w:p>
        </w:tc>
        <w:tc>
          <w:tcPr>
            <w:tcW w:w="1060" w:type="dxa"/>
            <w:noWrap/>
          </w:tcPr>
          <w:p w:rsidR="00E912F1" w:rsidRPr="001D6512" w:rsidRDefault="00C67DA4" w:rsidP="00321935">
            <w:pPr>
              <w:pStyle w:val="TableCell"/>
              <w:spacing w:before="60" w:after="60"/>
            </w:pPr>
            <w:r w:rsidRPr="001D6512">
              <w:t>0.5</w:t>
            </w:r>
          </w:p>
        </w:tc>
        <w:tc>
          <w:tcPr>
            <w:tcW w:w="1060" w:type="dxa"/>
            <w:noWrap/>
          </w:tcPr>
          <w:p w:rsidR="00E912F1" w:rsidRPr="001D6512" w:rsidRDefault="00C67DA4" w:rsidP="00321935">
            <w:pPr>
              <w:pStyle w:val="TableCell"/>
              <w:spacing w:before="60" w:after="60"/>
            </w:pPr>
            <w:r w:rsidRPr="001D6512">
              <w:t>737</w:t>
            </w:r>
          </w:p>
        </w:tc>
        <w:tc>
          <w:tcPr>
            <w:tcW w:w="1060" w:type="dxa"/>
            <w:noWrap/>
          </w:tcPr>
          <w:p w:rsidR="00E912F1" w:rsidRPr="001D6512" w:rsidRDefault="00C67DA4" w:rsidP="00321935">
            <w:pPr>
              <w:pStyle w:val="TableCell"/>
              <w:spacing w:before="60" w:after="60"/>
            </w:pPr>
            <w:r w:rsidRPr="001D6512">
              <w:t>369</w:t>
            </w:r>
          </w:p>
        </w:tc>
        <w:tc>
          <w:tcPr>
            <w:tcW w:w="1060" w:type="dxa"/>
            <w:noWrap/>
          </w:tcPr>
          <w:p w:rsidR="00E912F1" w:rsidRPr="001D6512" w:rsidRDefault="00C67DA4" w:rsidP="00321935">
            <w:pPr>
              <w:pStyle w:val="TableCell"/>
              <w:spacing w:before="60" w:after="60"/>
            </w:pPr>
            <w:r w:rsidRPr="001D6512">
              <w:t>424</w:t>
            </w:r>
          </w:p>
        </w:tc>
        <w:tc>
          <w:tcPr>
            <w:tcW w:w="1060" w:type="dxa"/>
            <w:noWrap/>
          </w:tcPr>
          <w:p w:rsidR="00E912F1" w:rsidRPr="001D6512" w:rsidRDefault="00C67DA4" w:rsidP="00321935">
            <w:pPr>
              <w:pStyle w:val="TableCell"/>
              <w:spacing w:before="60" w:after="60"/>
            </w:pPr>
            <w:r w:rsidRPr="001D6512">
              <w:t>55</w:t>
            </w:r>
          </w:p>
        </w:tc>
        <w:tc>
          <w:tcPr>
            <w:tcW w:w="1060" w:type="dxa"/>
            <w:noWrap/>
          </w:tcPr>
          <w:p w:rsidR="00E912F1" w:rsidRPr="001D6512" w:rsidRDefault="00C67DA4" w:rsidP="00321935">
            <w:pPr>
              <w:pStyle w:val="TableCell"/>
              <w:spacing w:before="60" w:after="60"/>
            </w:pPr>
            <w:r w:rsidRPr="001D6512">
              <w:t>0.474</w:t>
            </w:r>
          </w:p>
        </w:tc>
        <w:tc>
          <w:tcPr>
            <w:tcW w:w="1060" w:type="dxa"/>
            <w:noWrap/>
          </w:tcPr>
          <w:p w:rsidR="00E912F1" w:rsidRPr="001D6512" w:rsidRDefault="00C67DA4" w:rsidP="00321935">
            <w:pPr>
              <w:pStyle w:val="TableCell"/>
              <w:spacing w:before="60" w:after="60"/>
            </w:pPr>
            <w:r w:rsidRPr="001D6512">
              <w:t>26</w:t>
            </w:r>
          </w:p>
        </w:tc>
      </w:tr>
      <w:tr w:rsidR="00E912F1" w:rsidRPr="006E0899" w:rsidTr="006E0899">
        <w:trPr>
          <w:trHeight w:val="300"/>
          <w:jc w:val="center"/>
        </w:trPr>
        <w:tc>
          <w:tcPr>
            <w:tcW w:w="960" w:type="dxa"/>
            <w:noWrap/>
          </w:tcPr>
          <w:p w:rsidR="00E912F1" w:rsidRPr="001D6512" w:rsidRDefault="00C67DA4" w:rsidP="00321935">
            <w:pPr>
              <w:pStyle w:val="TableCell"/>
              <w:spacing w:before="60" w:after="60"/>
              <w:rPr>
                <w:bCs/>
              </w:rPr>
            </w:pPr>
            <w:r w:rsidRPr="001D6512">
              <w:rPr>
                <w:bCs/>
              </w:rPr>
              <w:t>Total</w:t>
            </w:r>
          </w:p>
        </w:tc>
        <w:tc>
          <w:tcPr>
            <w:tcW w:w="1060" w:type="dxa"/>
            <w:noWrap/>
          </w:tcPr>
          <w:p w:rsidR="00E912F1" w:rsidRPr="001D6512" w:rsidRDefault="00C67DA4" w:rsidP="00321935">
            <w:pPr>
              <w:pStyle w:val="TableCell"/>
              <w:spacing w:before="60" w:after="60"/>
            </w:pPr>
            <w:r w:rsidRPr="001D6512">
              <w:t> </w:t>
            </w:r>
          </w:p>
        </w:tc>
        <w:tc>
          <w:tcPr>
            <w:tcW w:w="1060" w:type="dxa"/>
            <w:noWrap/>
          </w:tcPr>
          <w:p w:rsidR="00E912F1" w:rsidRPr="001D6512" w:rsidRDefault="00C67DA4" w:rsidP="00321935">
            <w:pPr>
              <w:pStyle w:val="TableCell"/>
              <w:spacing w:before="60" w:after="60"/>
            </w:pPr>
            <w:r w:rsidRPr="001D6512">
              <w:t>3117</w:t>
            </w:r>
          </w:p>
        </w:tc>
        <w:tc>
          <w:tcPr>
            <w:tcW w:w="1060" w:type="dxa"/>
            <w:noWrap/>
          </w:tcPr>
          <w:p w:rsidR="00E912F1" w:rsidRPr="001D6512" w:rsidRDefault="00C67DA4" w:rsidP="00321935">
            <w:pPr>
              <w:pStyle w:val="TableCell"/>
              <w:spacing w:before="60" w:after="60"/>
            </w:pPr>
            <w:r w:rsidRPr="001D6512">
              <w:t>1559</w:t>
            </w:r>
          </w:p>
        </w:tc>
        <w:tc>
          <w:tcPr>
            <w:tcW w:w="1060" w:type="dxa"/>
            <w:noWrap/>
          </w:tcPr>
          <w:p w:rsidR="00E912F1" w:rsidRPr="001D6512" w:rsidRDefault="00C67DA4" w:rsidP="00321935">
            <w:pPr>
              <w:pStyle w:val="TableCell"/>
              <w:spacing w:before="60" w:after="60"/>
            </w:pPr>
            <w:r w:rsidRPr="001D6512">
              <w:t>1792</w:t>
            </w:r>
          </w:p>
        </w:tc>
        <w:tc>
          <w:tcPr>
            <w:tcW w:w="1060" w:type="dxa"/>
            <w:noWrap/>
          </w:tcPr>
          <w:p w:rsidR="00E912F1" w:rsidRPr="001D6512" w:rsidRDefault="00C67DA4" w:rsidP="00321935">
            <w:pPr>
              <w:pStyle w:val="TableCell"/>
              <w:spacing w:before="60" w:after="60"/>
            </w:pPr>
            <w:r w:rsidRPr="001D6512">
              <w:t>234</w:t>
            </w:r>
          </w:p>
        </w:tc>
        <w:tc>
          <w:tcPr>
            <w:tcW w:w="1060" w:type="dxa"/>
            <w:noWrap/>
          </w:tcPr>
          <w:p w:rsidR="00E912F1" w:rsidRPr="001D6512" w:rsidRDefault="00C67DA4" w:rsidP="00321935">
            <w:pPr>
              <w:pStyle w:val="TableCell"/>
              <w:spacing w:before="60" w:after="60"/>
            </w:pPr>
            <w:r w:rsidRPr="001D6512">
              <w:t> </w:t>
            </w:r>
          </w:p>
        </w:tc>
        <w:tc>
          <w:tcPr>
            <w:tcW w:w="1060" w:type="dxa"/>
            <w:noWrap/>
          </w:tcPr>
          <w:p w:rsidR="00E912F1" w:rsidRPr="001D6512" w:rsidRDefault="00C67DA4" w:rsidP="00321935">
            <w:pPr>
              <w:pStyle w:val="TableCell"/>
              <w:spacing w:before="60" w:after="60"/>
            </w:pPr>
            <w:r w:rsidRPr="001D6512">
              <w:t>111</w:t>
            </w:r>
          </w:p>
        </w:tc>
      </w:tr>
    </w:tbl>
    <w:p w:rsidR="00E912F1" w:rsidRPr="00F563CA" w:rsidRDefault="00E912F1" w:rsidP="00E912F1">
      <w:pPr>
        <w:spacing w:before="120"/>
        <w:jc w:val="both"/>
        <w:rPr>
          <w:rFonts w:ascii="Calibri" w:eastAsia="Calibri" w:hAnsi="Calibri"/>
          <w:noProof/>
          <w:sz w:val="21"/>
          <w:szCs w:val="22"/>
        </w:rPr>
      </w:pPr>
    </w:p>
    <w:p w:rsidR="00B54168" w:rsidRDefault="00B54168" w:rsidP="00100EDF">
      <w:pPr>
        <w:pStyle w:val="Caption"/>
      </w:pPr>
      <w:bookmarkStart w:id="125" w:name="_Toc310875494"/>
      <w:r>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8</w:t>
      </w:r>
      <w:r w:rsidR="00274AB1">
        <w:rPr>
          <w:noProof/>
        </w:rPr>
        <w:fldChar w:fldCharType="end"/>
      </w:r>
      <w:r>
        <w:t xml:space="preserve">: </w:t>
      </w:r>
      <w:r w:rsidRPr="004E3734">
        <w:t>Assumptions and Results of Deemed Savings Calculations (Philadelphia, PA)</w:t>
      </w:r>
      <w:bookmarkEnd w:id="125"/>
    </w:p>
    <w:tbl>
      <w:tblPr>
        <w:tblW w:w="8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060"/>
        <w:gridCol w:w="1277"/>
        <w:gridCol w:w="1060"/>
        <w:gridCol w:w="1060"/>
        <w:gridCol w:w="1060"/>
        <w:gridCol w:w="1060"/>
        <w:gridCol w:w="1077"/>
      </w:tblGrid>
      <w:tr w:rsidR="00E912F1" w:rsidRPr="006E0899" w:rsidTr="00B54168">
        <w:trPr>
          <w:trHeight w:val="735"/>
          <w:jc w:val="center"/>
        </w:trPr>
        <w:tc>
          <w:tcPr>
            <w:tcW w:w="960" w:type="dxa"/>
            <w:shd w:val="clear" w:color="auto" w:fill="BFBFBF"/>
            <w:noWrap/>
          </w:tcPr>
          <w:p w:rsidR="00E912F1" w:rsidRPr="001D6512" w:rsidRDefault="00E912F1" w:rsidP="00321935">
            <w:pPr>
              <w:pStyle w:val="TableCell"/>
              <w:spacing w:before="60" w:after="60"/>
              <w:rPr>
                <w:b/>
              </w:rPr>
            </w:pPr>
            <w:r w:rsidRPr="001D6512">
              <w:rPr>
                <w:b/>
              </w:rPr>
              <w:t> </w:t>
            </w:r>
          </w:p>
        </w:tc>
        <w:tc>
          <w:tcPr>
            <w:tcW w:w="1060" w:type="dxa"/>
            <w:shd w:val="clear" w:color="auto" w:fill="BFBFBF"/>
          </w:tcPr>
          <w:p w:rsidR="00E912F1" w:rsidRPr="001D6512" w:rsidRDefault="00E912F1" w:rsidP="00321935">
            <w:pPr>
              <w:pStyle w:val="TableCell"/>
              <w:spacing w:before="60" w:after="60"/>
              <w:rPr>
                <w:b/>
                <w:bCs/>
              </w:rPr>
            </w:pPr>
            <w:r w:rsidRPr="001D6512">
              <w:rPr>
                <w:b/>
                <w:bCs/>
              </w:rPr>
              <w:t>Blower Motor kW</w:t>
            </w:r>
          </w:p>
        </w:tc>
        <w:tc>
          <w:tcPr>
            <w:tcW w:w="1177" w:type="dxa"/>
            <w:shd w:val="clear" w:color="auto" w:fill="BFBFBF"/>
          </w:tcPr>
          <w:p w:rsidR="00E912F1" w:rsidRPr="001D6512" w:rsidRDefault="00E912F1" w:rsidP="00321935">
            <w:pPr>
              <w:pStyle w:val="TableCell"/>
              <w:spacing w:before="60" w:after="60"/>
              <w:rPr>
                <w:b/>
                <w:bCs/>
              </w:rPr>
            </w:pPr>
            <w:r w:rsidRPr="001D6512">
              <w:rPr>
                <w:b/>
                <w:bCs/>
              </w:rPr>
              <w:t>Philadelphia EFLH</w:t>
            </w:r>
          </w:p>
        </w:tc>
        <w:tc>
          <w:tcPr>
            <w:tcW w:w="1060" w:type="dxa"/>
            <w:shd w:val="clear" w:color="auto" w:fill="BFBFBF"/>
          </w:tcPr>
          <w:p w:rsidR="00E912F1" w:rsidRPr="001D6512" w:rsidRDefault="00E912F1" w:rsidP="00321935">
            <w:pPr>
              <w:pStyle w:val="TableCell"/>
              <w:spacing w:before="60" w:after="60"/>
              <w:rPr>
                <w:b/>
                <w:bCs/>
              </w:rPr>
            </w:pPr>
            <w:r w:rsidRPr="001D6512">
              <w:rPr>
                <w:b/>
                <w:bCs/>
              </w:rPr>
              <w:t>Clean Annual kWh</w:t>
            </w:r>
          </w:p>
        </w:tc>
        <w:tc>
          <w:tcPr>
            <w:tcW w:w="1060" w:type="dxa"/>
            <w:shd w:val="clear" w:color="auto" w:fill="BFBFBF"/>
          </w:tcPr>
          <w:p w:rsidR="00E912F1" w:rsidRPr="001D6512" w:rsidRDefault="00E912F1" w:rsidP="00321935">
            <w:pPr>
              <w:pStyle w:val="TableCell"/>
              <w:spacing w:before="60" w:after="60"/>
              <w:rPr>
                <w:b/>
                <w:bCs/>
              </w:rPr>
            </w:pPr>
            <w:r w:rsidRPr="001D6512">
              <w:rPr>
                <w:b/>
                <w:bCs/>
              </w:rPr>
              <w:t xml:space="preserve">Dirty Annual kWh </w:t>
            </w:r>
          </w:p>
        </w:tc>
        <w:tc>
          <w:tcPr>
            <w:tcW w:w="1060" w:type="dxa"/>
            <w:shd w:val="clear" w:color="auto" w:fill="BFBFBF"/>
          </w:tcPr>
          <w:p w:rsidR="00E912F1" w:rsidRPr="001D6512" w:rsidRDefault="00E912F1" w:rsidP="00321935">
            <w:pPr>
              <w:pStyle w:val="TableCell"/>
              <w:spacing w:before="60" w:after="60"/>
              <w:rPr>
                <w:b/>
                <w:bCs/>
              </w:rPr>
            </w:pPr>
            <w:r w:rsidRPr="001D6512">
              <w:rPr>
                <w:b/>
                <w:bCs/>
              </w:rPr>
              <w:t>Furnace Whistle Savings</w:t>
            </w:r>
          </w:p>
        </w:tc>
        <w:tc>
          <w:tcPr>
            <w:tcW w:w="1060" w:type="dxa"/>
            <w:shd w:val="clear" w:color="auto" w:fill="BFBFBF"/>
          </w:tcPr>
          <w:p w:rsidR="00E912F1" w:rsidRPr="001D6512" w:rsidRDefault="00E912F1" w:rsidP="00321935">
            <w:pPr>
              <w:pStyle w:val="TableCell"/>
              <w:spacing w:before="60" w:after="60"/>
              <w:rPr>
                <w:b/>
                <w:bCs/>
              </w:rPr>
            </w:pPr>
            <w:r w:rsidRPr="001D6512">
              <w:rPr>
                <w:b/>
                <w:bCs/>
              </w:rPr>
              <w:t>ISR</w:t>
            </w:r>
          </w:p>
        </w:tc>
        <w:tc>
          <w:tcPr>
            <w:tcW w:w="1060" w:type="dxa"/>
            <w:shd w:val="clear" w:color="auto" w:fill="BFBFBF"/>
          </w:tcPr>
          <w:p w:rsidR="00E912F1" w:rsidRPr="001D6512" w:rsidRDefault="00E912F1" w:rsidP="00321935">
            <w:pPr>
              <w:pStyle w:val="TableCell"/>
              <w:spacing w:before="60" w:after="60"/>
              <w:rPr>
                <w:b/>
                <w:bCs/>
              </w:rPr>
            </w:pPr>
            <w:r w:rsidRPr="001D6512">
              <w:rPr>
                <w:b/>
                <w:bCs/>
              </w:rPr>
              <w:t>Estimated Savings (kWh)</w:t>
            </w:r>
          </w:p>
        </w:tc>
      </w:tr>
      <w:tr w:rsidR="00E912F1" w:rsidRPr="006E0899" w:rsidTr="00B54168">
        <w:trPr>
          <w:trHeight w:val="300"/>
          <w:jc w:val="center"/>
        </w:trPr>
        <w:tc>
          <w:tcPr>
            <w:tcW w:w="960" w:type="dxa"/>
            <w:noWrap/>
          </w:tcPr>
          <w:p w:rsidR="00E912F1" w:rsidRPr="001D6512" w:rsidRDefault="00C67DA4" w:rsidP="00321935">
            <w:pPr>
              <w:pStyle w:val="TableCell"/>
              <w:spacing w:before="60" w:after="60"/>
              <w:rPr>
                <w:bCs/>
              </w:rPr>
            </w:pPr>
            <w:r w:rsidRPr="001D6512">
              <w:rPr>
                <w:bCs/>
              </w:rPr>
              <w:t>Heating</w:t>
            </w:r>
          </w:p>
        </w:tc>
        <w:tc>
          <w:tcPr>
            <w:tcW w:w="1060" w:type="dxa"/>
            <w:noWrap/>
          </w:tcPr>
          <w:p w:rsidR="00E912F1" w:rsidRPr="001D6512" w:rsidRDefault="00C67DA4" w:rsidP="00321935">
            <w:pPr>
              <w:pStyle w:val="TableCell"/>
              <w:spacing w:before="60" w:after="60"/>
            </w:pPr>
            <w:r w:rsidRPr="001D6512">
              <w:t>0.5</w:t>
            </w:r>
          </w:p>
        </w:tc>
        <w:tc>
          <w:tcPr>
            <w:tcW w:w="1177" w:type="dxa"/>
            <w:noWrap/>
          </w:tcPr>
          <w:p w:rsidR="00E912F1" w:rsidRPr="001D6512" w:rsidRDefault="00C67DA4" w:rsidP="00321935">
            <w:pPr>
              <w:pStyle w:val="TableCell"/>
              <w:spacing w:before="60" w:after="60"/>
            </w:pPr>
            <w:r w:rsidRPr="001D6512">
              <w:t>2328</w:t>
            </w:r>
          </w:p>
        </w:tc>
        <w:tc>
          <w:tcPr>
            <w:tcW w:w="1060" w:type="dxa"/>
            <w:noWrap/>
          </w:tcPr>
          <w:p w:rsidR="00E912F1" w:rsidRPr="001D6512" w:rsidRDefault="00C67DA4" w:rsidP="00321935">
            <w:pPr>
              <w:pStyle w:val="TableCell"/>
              <w:spacing w:before="60" w:after="60"/>
            </w:pPr>
            <w:r w:rsidRPr="001D6512">
              <w:t>1164</w:t>
            </w:r>
          </w:p>
        </w:tc>
        <w:tc>
          <w:tcPr>
            <w:tcW w:w="1060" w:type="dxa"/>
            <w:noWrap/>
          </w:tcPr>
          <w:p w:rsidR="00E912F1" w:rsidRPr="001D6512" w:rsidRDefault="00C67DA4" w:rsidP="00321935">
            <w:pPr>
              <w:pStyle w:val="TableCell"/>
              <w:spacing w:before="60" w:after="60"/>
            </w:pPr>
            <w:r w:rsidRPr="001D6512">
              <w:t>1339</w:t>
            </w:r>
          </w:p>
        </w:tc>
        <w:tc>
          <w:tcPr>
            <w:tcW w:w="1060" w:type="dxa"/>
            <w:noWrap/>
          </w:tcPr>
          <w:p w:rsidR="00E912F1" w:rsidRPr="001D6512" w:rsidRDefault="00C67DA4" w:rsidP="00321935">
            <w:pPr>
              <w:pStyle w:val="TableCell"/>
              <w:spacing w:before="60" w:after="60"/>
            </w:pPr>
            <w:r w:rsidRPr="001D6512">
              <w:t>175</w:t>
            </w:r>
          </w:p>
        </w:tc>
        <w:tc>
          <w:tcPr>
            <w:tcW w:w="1060" w:type="dxa"/>
            <w:noWrap/>
          </w:tcPr>
          <w:p w:rsidR="00E912F1" w:rsidRPr="001D6512" w:rsidRDefault="00C67DA4" w:rsidP="00321935">
            <w:pPr>
              <w:pStyle w:val="TableCell"/>
              <w:spacing w:before="60" w:after="60"/>
            </w:pPr>
            <w:r w:rsidRPr="001D6512">
              <w:t>0.474</w:t>
            </w:r>
          </w:p>
        </w:tc>
        <w:tc>
          <w:tcPr>
            <w:tcW w:w="1060" w:type="dxa"/>
            <w:noWrap/>
          </w:tcPr>
          <w:p w:rsidR="00E912F1" w:rsidRPr="001D6512" w:rsidRDefault="00C67DA4" w:rsidP="00321935">
            <w:pPr>
              <w:pStyle w:val="TableCell"/>
              <w:spacing w:before="60" w:after="60"/>
            </w:pPr>
            <w:r w:rsidRPr="001D6512">
              <w:t>83</w:t>
            </w:r>
          </w:p>
        </w:tc>
      </w:tr>
      <w:tr w:rsidR="00E912F1" w:rsidRPr="006E0899" w:rsidTr="00B54168">
        <w:trPr>
          <w:trHeight w:val="300"/>
          <w:jc w:val="center"/>
        </w:trPr>
        <w:tc>
          <w:tcPr>
            <w:tcW w:w="960" w:type="dxa"/>
            <w:noWrap/>
          </w:tcPr>
          <w:p w:rsidR="00E912F1" w:rsidRPr="001D6512" w:rsidRDefault="00C67DA4" w:rsidP="00321935">
            <w:pPr>
              <w:pStyle w:val="TableCell"/>
              <w:spacing w:before="60" w:after="60"/>
              <w:rPr>
                <w:bCs/>
              </w:rPr>
            </w:pPr>
            <w:r w:rsidRPr="001D6512">
              <w:rPr>
                <w:bCs/>
              </w:rPr>
              <w:t>Cooling</w:t>
            </w:r>
          </w:p>
        </w:tc>
        <w:tc>
          <w:tcPr>
            <w:tcW w:w="1060" w:type="dxa"/>
            <w:noWrap/>
          </w:tcPr>
          <w:p w:rsidR="00E912F1" w:rsidRPr="001D6512" w:rsidRDefault="00C67DA4" w:rsidP="00321935">
            <w:pPr>
              <w:pStyle w:val="TableCell"/>
              <w:spacing w:before="60" w:after="60"/>
            </w:pPr>
            <w:r w:rsidRPr="001D6512">
              <w:t>0.5</w:t>
            </w:r>
          </w:p>
        </w:tc>
        <w:tc>
          <w:tcPr>
            <w:tcW w:w="1177" w:type="dxa"/>
            <w:noWrap/>
          </w:tcPr>
          <w:p w:rsidR="00E912F1" w:rsidRPr="001D6512" w:rsidRDefault="00C67DA4" w:rsidP="00321935">
            <w:pPr>
              <w:pStyle w:val="TableCell"/>
              <w:spacing w:before="60" w:after="60"/>
            </w:pPr>
            <w:r w:rsidRPr="001D6512">
              <w:t>1032</w:t>
            </w:r>
          </w:p>
        </w:tc>
        <w:tc>
          <w:tcPr>
            <w:tcW w:w="1060" w:type="dxa"/>
            <w:noWrap/>
          </w:tcPr>
          <w:p w:rsidR="00E912F1" w:rsidRPr="001D6512" w:rsidRDefault="00C67DA4" w:rsidP="00321935">
            <w:pPr>
              <w:pStyle w:val="TableCell"/>
              <w:spacing w:before="60" w:after="60"/>
            </w:pPr>
            <w:r w:rsidRPr="001D6512">
              <w:t>516</w:t>
            </w:r>
          </w:p>
        </w:tc>
        <w:tc>
          <w:tcPr>
            <w:tcW w:w="1060" w:type="dxa"/>
            <w:noWrap/>
          </w:tcPr>
          <w:p w:rsidR="00E912F1" w:rsidRPr="001D6512" w:rsidRDefault="00C67DA4" w:rsidP="00321935">
            <w:pPr>
              <w:pStyle w:val="TableCell"/>
              <w:spacing w:before="60" w:after="60"/>
            </w:pPr>
            <w:r w:rsidRPr="001D6512">
              <w:t>593</w:t>
            </w:r>
          </w:p>
        </w:tc>
        <w:tc>
          <w:tcPr>
            <w:tcW w:w="1060" w:type="dxa"/>
            <w:noWrap/>
          </w:tcPr>
          <w:p w:rsidR="00E912F1" w:rsidRPr="001D6512" w:rsidRDefault="00C67DA4" w:rsidP="00321935">
            <w:pPr>
              <w:pStyle w:val="TableCell"/>
              <w:spacing w:before="60" w:after="60"/>
            </w:pPr>
            <w:r w:rsidRPr="001D6512">
              <w:t>77</w:t>
            </w:r>
          </w:p>
        </w:tc>
        <w:tc>
          <w:tcPr>
            <w:tcW w:w="1060" w:type="dxa"/>
            <w:noWrap/>
          </w:tcPr>
          <w:p w:rsidR="00E912F1" w:rsidRPr="001D6512" w:rsidRDefault="00C67DA4" w:rsidP="00321935">
            <w:pPr>
              <w:pStyle w:val="TableCell"/>
              <w:spacing w:before="60" w:after="60"/>
            </w:pPr>
            <w:r w:rsidRPr="001D6512">
              <w:t>0.474</w:t>
            </w:r>
          </w:p>
        </w:tc>
        <w:tc>
          <w:tcPr>
            <w:tcW w:w="1060" w:type="dxa"/>
            <w:noWrap/>
          </w:tcPr>
          <w:p w:rsidR="00E912F1" w:rsidRPr="001D6512" w:rsidRDefault="00C67DA4" w:rsidP="00321935">
            <w:pPr>
              <w:pStyle w:val="TableCell"/>
              <w:spacing w:before="60" w:after="60"/>
            </w:pPr>
            <w:r w:rsidRPr="001D6512">
              <w:t>37</w:t>
            </w:r>
          </w:p>
        </w:tc>
      </w:tr>
      <w:tr w:rsidR="00E912F1" w:rsidRPr="006E0899" w:rsidTr="00B54168">
        <w:trPr>
          <w:trHeight w:val="300"/>
          <w:jc w:val="center"/>
        </w:trPr>
        <w:tc>
          <w:tcPr>
            <w:tcW w:w="960" w:type="dxa"/>
            <w:noWrap/>
          </w:tcPr>
          <w:p w:rsidR="00E912F1" w:rsidRPr="001D6512" w:rsidRDefault="00C67DA4" w:rsidP="00321935">
            <w:pPr>
              <w:pStyle w:val="TableCell"/>
              <w:spacing w:before="60" w:after="60"/>
              <w:rPr>
                <w:bCs/>
              </w:rPr>
            </w:pPr>
            <w:r w:rsidRPr="001D6512">
              <w:rPr>
                <w:bCs/>
              </w:rPr>
              <w:t>Total</w:t>
            </w:r>
          </w:p>
        </w:tc>
        <w:tc>
          <w:tcPr>
            <w:tcW w:w="1060" w:type="dxa"/>
            <w:noWrap/>
          </w:tcPr>
          <w:p w:rsidR="00E912F1" w:rsidRPr="001D6512" w:rsidRDefault="00C67DA4" w:rsidP="00321935">
            <w:pPr>
              <w:pStyle w:val="TableCell"/>
              <w:spacing w:before="60" w:after="60"/>
            </w:pPr>
            <w:r w:rsidRPr="001D6512">
              <w:t> </w:t>
            </w:r>
          </w:p>
        </w:tc>
        <w:tc>
          <w:tcPr>
            <w:tcW w:w="1177" w:type="dxa"/>
            <w:noWrap/>
          </w:tcPr>
          <w:p w:rsidR="00E912F1" w:rsidRPr="001D6512" w:rsidRDefault="00C67DA4" w:rsidP="00321935">
            <w:pPr>
              <w:pStyle w:val="TableCell"/>
              <w:spacing w:before="60" w:after="60"/>
            </w:pPr>
            <w:r w:rsidRPr="001D6512">
              <w:t>3360</w:t>
            </w:r>
          </w:p>
        </w:tc>
        <w:tc>
          <w:tcPr>
            <w:tcW w:w="1060" w:type="dxa"/>
            <w:noWrap/>
          </w:tcPr>
          <w:p w:rsidR="00E912F1" w:rsidRPr="001D6512" w:rsidRDefault="00C67DA4" w:rsidP="00321935">
            <w:pPr>
              <w:pStyle w:val="TableCell"/>
              <w:spacing w:before="60" w:after="60"/>
            </w:pPr>
            <w:r w:rsidRPr="001D6512">
              <w:t>1680</w:t>
            </w:r>
          </w:p>
        </w:tc>
        <w:tc>
          <w:tcPr>
            <w:tcW w:w="1060" w:type="dxa"/>
            <w:noWrap/>
          </w:tcPr>
          <w:p w:rsidR="00E912F1" w:rsidRPr="001D6512" w:rsidRDefault="00C67DA4" w:rsidP="00321935">
            <w:pPr>
              <w:pStyle w:val="TableCell"/>
              <w:spacing w:before="60" w:after="60"/>
            </w:pPr>
            <w:r w:rsidRPr="001D6512">
              <w:t>1932</w:t>
            </w:r>
          </w:p>
        </w:tc>
        <w:tc>
          <w:tcPr>
            <w:tcW w:w="1060" w:type="dxa"/>
            <w:noWrap/>
          </w:tcPr>
          <w:p w:rsidR="00E912F1" w:rsidRPr="001D6512" w:rsidRDefault="00C67DA4" w:rsidP="00321935">
            <w:pPr>
              <w:pStyle w:val="TableCell"/>
              <w:spacing w:before="60" w:after="60"/>
            </w:pPr>
            <w:r w:rsidRPr="001D6512">
              <w:t>252</w:t>
            </w:r>
          </w:p>
        </w:tc>
        <w:tc>
          <w:tcPr>
            <w:tcW w:w="1060" w:type="dxa"/>
            <w:noWrap/>
          </w:tcPr>
          <w:p w:rsidR="00E912F1" w:rsidRPr="001D6512" w:rsidRDefault="00C67DA4" w:rsidP="00321935">
            <w:pPr>
              <w:pStyle w:val="TableCell"/>
              <w:spacing w:before="60" w:after="60"/>
            </w:pPr>
            <w:r w:rsidRPr="001D6512">
              <w:t> </w:t>
            </w:r>
          </w:p>
        </w:tc>
        <w:tc>
          <w:tcPr>
            <w:tcW w:w="1060" w:type="dxa"/>
            <w:noWrap/>
          </w:tcPr>
          <w:p w:rsidR="00E912F1" w:rsidRPr="001D6512" w:rsidRDefault="00C67DA4" w:rsidP="00321935">
            <w:pPr>
              <w:pStyle w:val="TableCell"/>
              <w:spacing w:before="60" w:after="60"/>
            </w:pPr>
            <w:r w:rsidRPr="001D6512">
              <w:t>119</w:t>
            </w:r>
          </w:p>
        </w:tc>
      </w:tr>
    </w:tbl>
    <w:p w:rsidR="00CF56BD" w:rsidRPr="00CF56BD" w:rsidRDefault="00CF56BD" w:rsidP="00CF56BD"/>
    <w:p w:rsidR="00B54168" w:rsidRDefault="00B54168" w:rsidP="00100EDF">
      <w:pPr>
        <w:pStyle w:val="Caption"/>
      </w:pPr>
      <w:bookmarkStart w:id="126" w:name="_Toc310875495"/>
      <w:r>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9</w:t>
      </w:r>
      <w:r w:rsidR="00274AB1">
        <w:rPr>
          <w:noProof/>
        </w:rPr>
        <w:fldChar w:fldCharType="end"/>
      </w:r>
      <w:r>
        <w:t xml:space="preserve">: </w:t>
      </w:r>
      <w:r w:rsidRPr="00D0176B">
        <w:t>Assumptions and Results of Deemed Savings Calculations (Harrisburg, PA)</w:t>
      </w:r>
      <w:bookmarkEnd w:id="126"/>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060"/>
        <w:gridCol w:w="1137"/>
        <w:gridCol w:w="1060"/>
        <w:gridCol w:w="1060"/>
        <w:gridCol w:w="1060"/>
        <w:gridCol w:w="1060"/>
        <w:gridCol w:w="1077"/>
      </w:tblGrid>
      <w:tr w:rsidR="00E912F1" w:rsidRPr="006E0899" w:rsidTr="00B54168">
        <w:trPr>
          <w:trHeight w:val="735"/>
          <w:jc w:val="center"/>
        </w:trPr>
        <w:tc>
          <w:tcPr>
            <w:tcW w:w="960" w:type="dxa"/>
            <w:shd w:val="clear" w:color="auto" w:fill="BFBFBF"/>
            <w:noWrap/>
          </w:tcPr>
          <w:p w:rsidR="00E912F1" w:rsidRPr="001D6512" w:rsidRDefault="00E912F1" w:rsidP="00321935">
            <w:pPr>
              <w:pStyle w:val="TableCell"/>
              <w:spacing w:before="60" w:after="60"/>
              <w:rPr>
                <w:b/>
              </w:rPr>
            </w:pPr>
            <w:r w:rsidRPr="001D6512">
              <w:rPr>
                <w:b/>
              </w:rPr>
              <w:t> </w:t>
            </w:r>
          </w:p>
        </w:tc>
        <w:tc>
          <w:tcPr>
            <w:tcW w:w="1060" w:type="dxa"/>
            <w:shd w:val="clear" w:color="auto" w:fill="BFBFBF"/>
          </w:tcPr>
          <w:p w:rsidR="00E912F1" w:rsidRPr="001D6512" w:rsidRDefault="00E912F1" w:rsidP="00321935">
            <w:pPr>
              <w:pStyle w:val="TableCell"/>
              <w:spacing w:before="60" w:after="60"/>
              <w:rPr>
                <w:b/>
                <w:bCs/>
              </w:rPr>
            </w:pPr>
            <w:r w:rsidRPr="001D6512">
              <w:rPr>
                <w:b/>
                <w:bCs/>
              </w:rPr>
              <w:t>Blower Motor kW</w:t>
            </w:r>
          </w:p>
        </w:tc>
        <w:tc>
          <w:tcPr>
            <w:tcW w:w="1066" w:type="dxa"/>
            <w:shd w:val="clear" w:color="auto" w:fill="BFBFBF"/>
          </w:tcPr>
          <w:p w:rsidR="00E912F1" w:rsidRPr="001D6512" w:rsidRDefault="00E912F1" w:rsidP="00321935">
            <w:pPr>
              <w:pStyle w:val="TableCell"/>
              <w:spacing w:before="60" w:after="60"/>
              <w:rPr>
                <w:b/>
                <w:bCs/>
              </w:rPr>
            </w:pPr>
            <w:r w:rsidRPr="001D6512">
              <w:rPr>
                <w:b/>
                <w:bCs/>
              </w:rPr>
              <w:t>Harrisburg EFLH</w:t>
            </w:r>
          </w:p>
        </w:tc>
        <w:tc>
          <w:tcPr>
            <w:tcW w:w="1060" w:type="dxa"/>
            <w:shd w:val="clear" w:color="auto" w:fill="BFBFBF"/>
          </w:tcPr>
          <w:p w:rsidR="00E912F1" w:rsidRPr="001D6512" w:rsidRDefault="00E912F1" w:rsidP="00321935">
            <w:pPr>
              <w:pStyle w:val="TableCell"/>
              <w:spacing w:before="60" w:after="60"/>
              <w:rPr>
                <w:b/>
                <w:bCs/>
              </w:rPr>
            </w:pPr>
            <w:r w:rsidRPr="001D6512">
              <w:rPr>
                <w:b/>
                <w:bCs/>
              </w:rPr>
              <w:t>Clean Annual kWh</w:t>
            </w:r>
          </w:p>
        </w:tc>
        <w:tc>
          <w:tcPr>
            <w:tcW w:w="1060" w:type="dxa"/>
            <w:shd w:val="clear" w:color="auto" w:fill="BFBFBF"/>
          </w:tcPr>
          <w:p w:rsidR="00E912F1" w:rsidRPr="001D6512" w:rsidRDefault="00E912F1" w:rsidP="00321935">
            <w:pPr>
              <w:pStyle w:val="TableCell"/>
              <w:spacing w:before="60" w:after="60"/>
              <w:rPr>
                <w:b/>
                <w:bCs/>
              </w:rPr>
            </w:pPr>
            <w:r w:rsidRPr="001D6512">
              <w:rPr>
                <w:b/>
                <w:bCs/>
              </w:rPr>
              <w:t xml:space="preserve">Dirty Annual kWh </w:t>
            </w:r>
          </w:p>
        </w:tc>
        <w:tc>
          <w:tcPr>
            <w:tcW w:w="1060" w:type="dxa"/>
            <w:shd w:val="clear" w:color="auto" w:fill="BFBFBF"/>
          </w:tcPr>
          <w:p w:rsidR="00E912F1" w:rsidRPr="001D6512" w:rsidRDefault="00E912F1" w:rsidP="00321935">
            <w:pPr>
              <w:pStyle w:val="TableCell"/>
              <w:spacing w:before="60" w:after="60"/>
              <w:rPr>
                <w:b/>
                <w:bCs/>
              </w:rPr>
            </w:pPr>
            <w:r w:rsidRPr="001D6512">
              <w:rPr>
                <w:b/>
                <w:bCs/>
              </w:rPr>
              <w:t>Furnace Whistle Savings</w:t>
            </w:r>
          </w:p>
        </w:tc>
        <w:tc>
          <w:tcPr>
            <w:tcW w:w="1060" w:type="dxa"/>
            <w:shd w:val="clear" w:color="auto" w:fill="BFBFBF"/>
          </w:tcPr>
          <w:p w:rsidR="00E912F1" w:rsidRPr="001D6512" w:rsidRDefault="00E912F1" w:rsidP="00321935">
            <w:pPr>
              <w:pStyle w:val="TableCell"/>
              <w:spacing w:before="60" w:after="60"/>
              <w:rPr>
                <w:b/>
                <w:bCs/>
              </w:rPr>
            </w:pPr>
            <w:r w:rsidRPr="001D6512">
              <w:rPr>
                <w:b/>
                <w:bCs/>
              </w:rPr>
              <w:t>ISR</w:t>
            </w:r>
          </w:p>
        </w:tc>
        <w:tc>
          <w:tcPr>
            <w:tcW w:w="1060" w:type="dxa"/>
            <w:shd w:val="clear" w:color="auto" w:fill="BFBFBF"/>
          </w:tcPr>
          <w:p w:rsidR="00E912F1" w:rsidRPr="001D6512" w:rsidRDefault="00E912F1" w:rsidP="00321935">
            <w:pPr>
              <w:pStyle w:val="TableCell"/>
              <w:spacing w:before="60" w:after="60"/>
              <w:rPr>
                <w:b/>
                <w:bCs/>
              </w:rPr>
            </w:pPr>
            <w:r w:rsidRPr="001D6512">
              <w:rPr>
                <w:b/>
                <w:bCs/>
              </w:rPr>
              <w:t>Estimated Savings (kWh)</w:t>
            </w:r>
          </w:p>
        </w:tc>
      </w:tr>
      <w:tr w:rsidR="00E912F1" w:rsidRPr="00F563CA" w:rsidTr="00B54168">
        <w:trPr>
          <w:trHeight w:val="300"/>
          <w:jc w:val="center"/>
        </w:trPr>
        <w:tc>
          <w:tcPr>
            <w:tcW w:w="960" w:type="dxa"/>
            <w:noWrap/>
          </w:tcPr>
          <w:p w:rsidR="00E912F1" w:rsidRPr="001D6512" w:rsidRDefault="00C67DA4" w:rsidP="00321935">
            <w:pPr>
              <w:pStyle w:val="TableCell"/>
              <w:spacing w:before="60" w:after="60"/>
              <w:rPr>
                <w:bCs/>
              </w:rPr>
            </w:pPr>
            <w:r w:rsidRPr="001D6512">
              <w:rPr>
                <w:bCs/>
              </w:rPr>
              <w:t>Heating</w:t>
            </w:r>
          </w:p>
        </w:tc>
        <w:tc>
          <w:tcPr>
            <w:tcW w:w="1060" w:type="dxa"/>
            <w:noWrap/>
          </w:tcPr>
          <w:p w:rsidR="00E912F1" w:rsidRPr="001D6512" w:rsidRDefault="00C67DA4" w:rsidP="00321935">
            <w:pPr>
              <w:pStyle w:val="TableCell"/>
              <w:spacing w:before="60" w:after="60"/>
            </w:pPr>
            <w:r w:rsidRPr="001D6512">
              <w:t>0.5</w:t>
            </w:r>
          </w:p>
        </w:tc>
        <w:tc>
          <w:tcPr>
            <w:tcW w:w="1066" w:type="dxa"/>
            <w:noWrap/>
          </w:tcPr>
          <w:p w:rsidR="00E912F1" w:rsidRPr="001D6512" w:rsidRDefault="00C67DA4" w:rsidP="00321935">
            <w:pPr>
              <w:pStyle w:val="TableCell"/>
              <w:spacing w:before="60" w:after="60"/>
            </w:pPr>
            <w:r w:rsidRPr="001D6512">
              <w:t>2371</w:t>
            </w:r>
          </w:p>
        </w:tc>
        <w:tc>
          <w:tcPr>
            <w:tcW w:w="1060" w:type="dxa"/>
            <w:noWrap/>
          </w:tcPr>
          <w:p w:rsidR="00E912F1" w:rsidRPr="001D6512" w:rsidRDefault="00C67DA4" w:rsidP="00321935">
            <w:pPr>
              <w:pStyle w:val="TableCell"/>
              <w:spacing w:before="60" w:after="60"/>
            </w:pPr>
            <w:r w:rsidRPr="001D6512">
              <w:t>1185.5</w:t>
            </w:r>
          </w:p>
        </w:tc>
        <w:tc>
          <w:tcPr>
            <w:tcW w:w="1060" w:type="dxa"/>
            <w:noWrap/>
          </w:tcPr>
          <w:p w:rsidR="00E912F1" w:rsidRPr="001D6512" w:rsidRDefault="00C67DA4" w:rsidP="00321935">
            <w:pPr>
              <w:pStyle w:val="TableCell"/>
              <w:spacing w:before="60" w:after="60"/>
            </w:pPr>
            <w:r w:rsidRPr="001D6512">
              <w:t>1363</w:t>
            </w:r>
          </w:p>
        </w:tc>
        <w:tc>
          <w:tcPr>
            <w:tcW w:w="1060" w:type="dxa"/>
            <w:noWrap/>
          </w:tcPr>
          <w:p w:rsidR="00E912F1" w:rsidRPr="001D6512" w:rsidRDefault="00C67DA4" w:rsidP="00321935">
            <w:pPr>
              <w:pStyle w:val="TableCell"/>
              <w:spacing w:before="60" w:after="60"/>
            </w:pPr>
            <w:r w:rsidRPr="001D6512">
              <w:t>178</w:t>
            </w:r>
          </w:p>
        </w:tc>
        <w:tc>
          <w:tcPr>
            <w:tcW w:w="1060" w:type="dxa"/>
            <w:noWrap/>
          </w:tcPr>
          <w:p w:rsidR="00E912F1" w:rsidRPr="001D6512" w:rsidRDefault="00C67DA4" w:rsidP="00321935">
            <w:pPr>
              <w:pStyle w:val="TableCell"/>
              <w:spacing w:before="60" w:after="60"/>
            </w:pPr>
            <w:r w:rsidRPr="001D6512">
              <w:t>0.474</w:t>
            </w:r>
          </w:p>
        </w:tc>
        <w:tc>
          <w:tcPr>
            <w:tcW w:w="1060" w:type="dxa"/>
            <w:noWrap/>
          </w:tcPr>
          <w:p w:rsidR="00E912F1" w:rsidRPr="001D6512" w:rsidRDefault="00C67DA4" w:rsidP="00321935">
            <w:pPr>
              <w:pStyle w:val="TableCell"/>
              <w:spacing w:before="60" w:after="60"/>
            </w:pPr>
            <w:r w:rsidRPr="001D6512">
              <w:t>84</w:t>
            </w:r>
          </w:p>
        </w:tc>
      </w:tr>
      <w:tr w:rsidR="00E912F1" w:rsidRPr="00F563CA" w:rsidTr="00B54168">
        <w:trPr>
          <w:trHeight w:val="300"/>
          <w:jc w:val="center"/>
        </w:trPr>
        <w:tc>
          <w:tcPr>
            <w:tcW w:w="960" w:type="dxa"/>
            <w:noWrap/>
          </w:tcPr>
          <w:p w:rsidR="00E912F1" w:rsidRPr="001D6512" w:rsidRDefault="00E912F1" w:rsidP="00321935">
            <w:pPr>
              <w:pStyle w:val="TableCell"/>
              <w:spacing w:before="60" w:after="60"/>
              <w:rPr>
                <w:bCs/>
              </w:rPr>
            </w:pPr>
            <w:r w:rsidRPr="001D6512">
              <w:rPr>
                <w:bCs/>
              </w:rPr>
              <w:t>Cooling</w:t>
            </w:r>
          </w:p>
        </w:tc>
        <w:tc>
          <w:tcPr>
            <w:tcW w:w="1060" w:type="dxa"/>
            <w:noWrap/>
          </w:tcPr>
          <w:p w:rsidR="00E912F1" w:rsidRPr="001D6512" w:rsidRDefault="00E912F1" w:rsidP="00321935">
            <w:pPr>
              <w:pStyle w:val="TableCell"/>
              <w:spacing w:before="60" w:after="60"/>
            </w:pPr>
            <w:r w:rsidRPr="001D6512">
              <w:t>0.5</w:t>
            </w:r>
          </w:p>
        </w:tc>
        <w:tc>
          <w:tcPr>
            <w:tcW w:w="1066" w:type="dxa"/>
            <w:noWrap/>
          </w:tcPr>
          <w:p w:rsidR="00E912F1" w:rsidRPr="001D6512" w:rsidRDefault="00E912F1" w:rsidP="00321935">
            <w:pPr>
              <w:pStyle w:val="TableCell"/>
              <w:spacing w:before="60" w:after="60"/>
            </w:pPr>
            <w:r w:rsidRPr="001D6512">
              <w:t>929</w:t>
            </w:r>
          </w:p>
        </w:tc>
        <w:tc>
          <w:tcPr>
            <w:tcW w:w="1060" w:type="dxa"/>
            <w:noWrap/>
          </w:tcPr>
          <w:p w:rsidR="00E912F1" w:rsidRPr="001D6512" w:rsidRDefault="00E912F1" w:rsidP="00321935">
            <w:pPr>
              <w:pStyle w:val="TableCell"/>
              <w:spacing w:before="60" w:after="60"/>
            </w:pPr>
            <w:r w:rsidRPr="001D6512">
              <w:t>465</w:t>
            </w:r>
          </w:p>
        </w:tc>
        <w:tc>
          <w:tcPr>
            <w:tcW w:w="1060" w:type="dxa"/>
            <w:noWrap/>
          </w:tcPr>
          <w:p w:rsidR="00E912F1" w:rsidRPr="001D6512" w:rsidRDefault="00E912F1" w:rsidP="00321935">
            <w:pPr>
              <w:pStyle w:val="TableCell"/>
              <w:spacing w:before="60" w:after="60"/>
            </w:pPr>
            <w:r w:rsidRPr="001D6512">
              <w:t>534</w:t>
            </w:r>
          </w:p>
        </w:tc>
        <w:tc>
          <w:tcPr>
            <w:tcW w:w="1060" w:type="dxa"/>
            <w:noWrap/>
          </w:tcPr>
          <w:p w:rsidR="00E912F1" w:rsidRPr="001D6512" w:rsidRDefault="00E912F1" w:rsidP="00321935">
            <w:pPr>
              <w:pStyle w:val="TableCell"/>
              <w:spacing w:before="60" w:after="60"/>
            </w:pPr>
            <w:r w:rsidRPr="001D6512">
              <w:t>70</w:t>
            </w:r>
          </w:p>
        </w:tc>
        <w:tc>
          <w:tcPr>
            <w:tcW w:w="1060" w:type="dxa"/>
            <w:noWrap/>
          </w:tcPr>
          <w:p w:rsidR="00E912F1" w:rsidRPr="001D6512" w:rsidRDefault="00E912F1" w:rsidP="00321935">
            <w:pPr>
              <w:pStyle w:val="TableCell"/>
              <w:spacing w:before="60" w:after="60"/>
            </w:pPr>
            <w:r w:rsidRPr="001D6512">
              <w:t>0.474</w:t>
            </w:r>
          </w:p>
        </w:tc>
        <w:tc>
          <w:tcPr>
            <w:tcW w:w="1060" w:type="dxa"/>
            <w:noWrap/>
          </w:tcPr>
          <w:p w:rsidR="00E912F1" w:rsidRPr="001D6512" w:rsidRDefault="00E912F1" w:rsidP="00321935">
            <w:pPr>
              <w:pStyle w:val="TableCell"/>
              <w:spacing w:before="60" w:after="60"/>
            </w:pPr>
            <w:r w:rsidRPr="001D6512">
              <w:t>33</w:t>
            </w:r>
          </w:p>
        </w:tc>
      </w:tr>
      <w:tr w:rsidR="00E912F1" w:rsidRPr="00F563CA" w:rsidTr="00B54168">
        <w:trPr>
          <w:trHeight w:val="300"/>
          <w:jc w:val="center"/>
        </w:trPr>
        <w:tc>
          <w:tcPr>
            <w:tcW w:w="960" w:type="dxa"/>
            <w:noWrap/>
          </w:tcPr>
          <w:p w:rsidR="00E912F1" w:rsidRPr="001D6512" w:rsidRDefault="00E912F1" w:rsidP="00321935">
            <w:pPr>
              <w:pStyle w:val="TableCell"/>
              <w:spacing w:before="60" w:after="60"/>
              <w:rPr>
                <w:bCs/>
              </w:rPr>
            </w:pPr>
            <w:r w:rsidRPr="001D6512">
              <w:rPr>
                <w:bCs/>
              </w:rPr>
              <w:t>Total</w:t>
            </w:r>
          </w:p>
        </w:tc>
        <w:tc>
          <w:tcPr>
            <w:tcW w:w="1060" w:type="dxa"/>
            <w:noWrap/>
          </w:tcPr>
          <w:p w:rsidR="00E912F1" w:rsidRPr="001D6512" w:rsidRDefault="00E912F1" w:rsidP="00321935">
            <w:pPr>
              <w:pStyle w:val="TableCell"/>
              <w:spacing w:before="60" w:after="60"/>
            </w:pPr>
            <w:r w:rsidRPr="001D6512">
              <w:t> </w:t>
            </w:r>
          </w:p>
        </w:tc>
        <w:tc>
          <w:tcPr>
            <w:tcW w:w="1066" w:type="dxa"/>
            <w:noWrap/>
          </w:tcPr>
          <w:p w:rsidR="00E912F1" w:rsidRPr="001D6512" w:rsidRDefault="00E912F1" w:rsidP="00321935">
            <w:pPr>
              <w:pStyle w:val="TableCell"/>
              <w:spacing w:before="60" w:after="60"/>
            </w:pPr>
            <w:r w:rsidRPr="001D6512">
              <w:t>3300</w:t>
            </w:r>
          </w:p>
        </w:tc>
        <w:tc>
          <w:tcPr>
            <w:tcW w:w="1060" w:type="dxa"/>
            <w:noWrap/>
          </w:tcPr>
          <w:p w:rsidR="00E912F1" w:rsidRPr="001D6512" w:rsidRDefault="00E912F1" w:rsidP="00321935">
            <w:pPr>
              <w:pStyle w:val="TableCell"/>
              <w:spacing w:before="60" w:after="60"/>
            </w:pPr>
            <w:r w:rsidRPr="001D6512">
              <w:t>1650</w:t>
            </w:r>
          </w:p>
        </w:tc>
        <w:tc>
          <w:tcPr>
            <w:tcW w:w="1060" w:type="dxa"/>
            <w:noWrap/>
          </w:tcPr>
          <w:p w:rsidR="00E912F1" w:rsidRPr="001D6512" w:rsidRDefault="00E912F1" w:rsidP="00321935">
            <w:pPr>
              <w:pStyle w:val="TableCell"/>
              <w:spacing w:before="60" w:after="60"/>
            </w:pPr>
            <w:r w:rsidRPr="001D6512">
              <w:t>1898</w:t>
            </w:r>
          </w:p>
        </w:tc>
        <w:tc>
          <w:tcPr>
            <w:tcW w:w="1060" w:type="dxa"/>
            <w:noWrap/>
          </w:tcPr>
          <w:p w:rsidR="00E912F1" w:rsidRPr="001D6512" w:rsidRDefault="00E912F1" w:rsidP="00321935">
            <w:pPr>
              <w:pStyle w:val="TableCell"/>
              <w:spacing w:before="60" w:after="60"/>
            </w:pPr>
            <w:r w:rsidRPr="001D6512">
              <w:t>248</w:t>
            </w:r>
          </w:p>
        </w:tc>
        <w:tc>
          <w:tcPr>
            <w:tcW w:w="1060" w:type="dxa"/>
            <w:noWrap/>
          </w:tcPr>
          <w:p w:rsidR="00E912F1" w:rsidRPr="001D6512" w:rsidRDefault="00E912F1" w:rsidP="00321935">
            <w:pPr>
              <w:pStyle w:val="TableCell"/>
              <w:spacing w:before="60" w:after="60"/>
            </w:pPr>
            <w:r w:rsidRPr="001D6512">
              <w:t> </w:t>
            </w:r>
          </w:p>
        </w:tc>
        <w:tc>
          <w:tcPr>
            <w:tcW w:w="1060" w:type="dxa"/>
            <w:noWrap/>
          </w:tcPr>
          <w:p w:rsidR="00E912F1" w:rsidRPr="001D6512" w:rsidRDefault="00E912F1" w:rsidP="00321935">
            <w:pPr>
              <w:pStyle w:val="TableCell"/>
              <w:spacing w:before="60" w:after="60"/>
            </w:pPr>
            <w:r w:rsidRPr="001D6512">
              <w:t>117</w:t>
            </w:r>
          </w:p>
        </w:tc>
      </w:tr>
    </w:tbl>
    <w:p w:rsidR="00E912F1" w:rsidRPr="00F563CA" w:rsidRDefault="00E912F1" w:rsidP="00E52C6F">
      <w:pPr>
        <w:pStyle w:val="BodyText"/>
        <w:rPr>
          <w:rFonts w:eastAsia="Calibri"/>
          <w:noProof/>
        </w:rPr>
      </w:pPr>
    </w:p>
    <w:p w:rsidR="00B54168" w:rsidRDefault="00B54168" w:rsidP="00100EDF">
      <w:pPr>
        <w:pStyle w:val="Caption"/>
      </w:pPr>
      <w:bookmarkStart w:id="127" w:name="_Toc310875496"/>
      <w:r>
        <w:lastRenderedPageBreak/>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10</w:t>
      </w:r>
      <w:r w:rsidR="00274AB1">
        <w:rPr>
          <w:noProof/>
        </w:rPr>
        <w:fldChar w:fldCharType="end"/>
      </w:r>
      <w:r>
        <w:t xml:space="preserve">: </w:t>
      </w:r>
      <w:r w:rsidRPr="006E45E3">
        <w:t>Assumptions and Results of Deemed Savings Calculations (Erie, PA)</w:t>
      </w:r>
      <w:bookmarkEnd w:id="127"/>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060"/>
        <w:gridCol w:w="1060"/>
        <w:gridCol w:w="1060"/>
        <w:gridCol w:w="1060"/>
        <w:gridCol w:w="1060"/>
        <w:gridCol w:w="1060"/>
        <w:gridCol w:w="1077"/>
      </w:tblGrid>
      <w:tr w:rsidR="00E912F1" w:rsidRPr="006E0899" w:rsidTr="006E0899">
        <w:trPr>
          <w:trHeight w:val="735"/>
          <w:jc w:val="center"/>
        </w:trPr>
        <w:tc>
          <w:tcPr>
            <w:tcW w:w="960" w:type="dxa"/>
            <w:shd w:val="clear" w:color="auto" w:fill="BFBFBF"/>
            <w:noWrap/>
          </w:tcPr>
          <w:p w:rsidR="00E912F1" w:rsidRPr="001D6512" w:rsidRDefault="00E912F1" w:rsidP="00321935">
            <w:pPr>
              <w:pStyle w:val="TableCell"/>
              <w:spacing w:before="60" w:after="60"/>
            </w:pPr>
            <w:r w:rsidRPr="001D6512">
              <w:t> </w:t>
            </w:r>
          </w:p>
        </w:tc>
        <w:tc>
          <w:tcPr>
            <w:tcW w:w="1060" w:type="dxa"/>
            <w:shd w:val="clear" w:color="auto" w:fill="BFBFBF"/>
          </w:tcPr>
          <w:p w:rsidR="00E912F1" w:rsidRPr="001D6512" w:rsidRDefault="00E912F1" w:rsidP="00321935">
            <w:pPr>
              <w:pStyle w:val="TableCell"/>
              <w:spacing w:before="60" w:after="60"/>
              <w:rPr>
                <w:b/>
                <w:bCs/>
              </w:rPr>
            </w:pPr>
            <w:r w:rsidRPr="001D6512">
              <w:rPr>
                <w:b/>
                <w:bCs/>
              </w:rPr>
              <w:t>Blower Motor kW</w:t>
            </w:r>
          </w:p>
        </w:tc>
        <w:tc>
          <w:tcPr>
            <w:tcW w:w="1060" w:type="dxa"/>
            <w:shd w:val="clear" w:color="auto" w:fill="BFBFBF"/>
          </w:tcPr>
          <w:p w:rsidR="00E912F1" w:rsidRPr="001D6512" w:rsidRDefault="00E912F1" w:rsidP="00321935">
            <w:pPr>
              <w:pStyle w:val="TableCell"/>
              <w:spacing w:before="60" w:after="60"/>
              <w:rPr>
                <w:b/>
                <w:bCs/>
              </w:rPr>
            </w:pPr>
            <w:r w:rsidRPr="001D6512">
              <w:rPr>
                <w:b/>
                <w:bCs/>
              </w:rPr>
              <w:t>Erie EFLH</w:t>
            </w:r>
          </w:p>
        </w:tc>
        <w:tc>
          <w:tcPr>
            <w:tcW w:w="1060" w:type="dxa"/>
            <w:shd w:val="clear" w:color="auto" w:fill="BFBFBF"/>
          </w:tcPr>
          <w:p w:rsidR="00E912F1" w:rsidRPr="001D6512" w:rsidRDefault="00E912F1" w:rsidP="00321935">
            <w:pPr>
              <w:pStyle w:val="TableCell"/>
              <w:spacing w:before="60" w:after="60"/>
              <w:rPr>
                <w:b/>
                <w:bCs/>
              </w:rPr>
            </w:pPr>
            <w:r w:rsidRPr="001D6512">
              <w:rPr>
                <w:b/>
                <w:bCs/>
              </w:rPr>
              <w:t>Clean Annual kWh</w:t>
            </w:r>
          </w:p>
        </w:tc>
        <w:tc>
          <w:tcPr>
            <w:tcW w:w="1060" w:type="dxa"/>
            <w:shd w:val="clear" w:color="auto" w:fill="BFBFBF"/>
          </w:tcPr>
          <w:p w:rsidR="00E912F1" w:rsidRPr="001D6512" w:rsidRDefault="00E912F1" w:rsidP="00321935">
            <w:pPr>
              <w:pStyle w:val="TableCell"/>
              <w:spacing w:before="60" w:after="60"/>
              <w:rPr>
                <w:b/>
                <w:bCs/>
              </w:rPr>
            </w:pPr>
            <w:r w:rsidRPr="001D6512">
              <w:rPr>
                <w:b/>
                <w:bCs/>
              </w:rPr>
              <w:t xml:space="preserve">Dirty Annual kWh </w:t>
            </w:r>
          </w:p>
        </w:tc>
        <w:tc>
          <w:tcPr>
            <w:tcW w:w="1060" w:type="dxa"/>
            <w:shd w:val="clear" w:color="auto" w:fill="BFBFBF"/>
          </w:tcPr>
          <w:p w:rsidR="00E912F1" w:rsidRPr="001D6512" w:rsidRDefault="00E912F1" w:rsidP="00321935">
            <w:pPr>
              <w:pStyle w:val="TableCell"/>
              <w:spacing w:before="60" w:after="60"/>
              <w:rPr>
                <w:b/>
                <w:bCs/>
              </w:rPr>
            </w:pPr>
            <w:r w:rsidRPr="001D6512">
              <w:rPr>
                <w:b/>
                <w:bCs/>
              </w:rPr>
              <w:t>Furnace Whistle Savings</w:t>
            </w:r>
          </w:p>
        </w:tc>
        <w:tc>
          <w:tcPr>
            <w:tcW w:w="1060" w:type="dxa"/>
            <w:shd w:val="clear" w:color="auto" w:fill="BFBFBF"/>
          </w:tcPr>
          <w:p w:rsidR="00E912F1" w:rsidRPr="001D6512" w:rsidRDefault="00E912F1" w:rsidP="00321935">
            <w:pPr>
              <w:pStyle w:val="TableCell"/>
              <w:spacing w:before="60" w:after="60"/>
              <w:rPr>
                <w:b/>
                <w:bCs/>
              </w:rPr>
            </w:pPr>
            <w:r w:rsidRPr="001D6512">
              <w:rPr>
                <w:b/>
                <w:bCs/>
              </w:rPr>
              <w:t>ISR</w:t>
            </w:r>
          </w:p>
        </w:tc>
        <w:tc>
          <w:tcPr>
            <w:tcW w:w="1060" w:type="dxa"/>
            <w:shd w:val="clear" w:color="auto" w:fill="BFBFBF"/>
          </w:tcPr>
          <w:p w:rsidR="00E912F1" w:rsidRPr="001D6512" w:rsidRDefault="00E912F1" w:rsidP="00321935">
            <w:pPr>
              <w:pStyle w:val="TableCell"/>
              <w:spacing w:before="60" w:after="60"/>
              <w:rPr>
                <w:b/>
                <w:bCs/>
              </w:rPr>
            </w:pPr>
            <w:r w:rsidRPr="001D6512">
              <w:rPr>
                <w:b/>
                <w:bCs/>
              </w:rPr>
              <w:t>Estimated Savings (kWh)</w:t>
            </w:r>
          </w:p>
        </w:tc>
      </w:tr>
      <w:tr w:rsidR="00E912F1" w:rsidRPr="006E0899" w:rsidTr="006E0899">
        <w:trPr>
          <w:trHeight w:val="300"/>
          <w:jc w:val="center"/>
        </w:trPr>
        <w:tc>
          <w:tcPr>
            <w:tcW w:w="960" w:type="dxa"/>
            <w:noWrap/>
          </w:tcPr>
          <w:p w:rsidR="00E912F1" w:rsidRPr="001D6512" w:rsidRDefault="00C67DA4" w:rsidP="00321935">
            <w:pPr>
              <w:pStyle w:val="TableCell"/>
              <w:spacing w:before="60" w:after="60"/>
              <w:rPr>
                <w:bCs/>
              </w:rPr>
            </w:pPr>
            <w:r w:rsidRPr="001D6512">
              <w:rPr>
                <w:bCs/>
              </w:rPr>
              <w:t>Heating</w:t>
            </w:r>
          </w:p>
        </w:tc>
        <w:tc>
          <w:tcPr>
            <w:tcW w:w="1060" w:type="dxa"/>
            <w:noWrap/>
          </w:tcPr>
          <w:p w:rsidR="00E912F1" w:rsidRPr="001D6512" w:rsidRDefault="00C67DA4" w:rsidP="00321935">
            <w:pPr>
              <w:pStyle w:val="TableCell"/>
              <w:spacing w:before="60" w:after="60"/>
            </w:pPr>
            <w:r w:rsidRPr="001D6512">
              <w:t>0.5</w:t>
            </w:r>
          </w:p>
        </w:tc>
        <w:tc>
          <w:tcPr>
            <w:tcW w:w="1060" w:type="dxa"/>
            <w:noWrap/>
          </w:tcPr>
          <w:p w:rsidR="00E912F1" w:rsidRPr="001D6512" w:rsidRDefault="00C67DA4" w:rsidP="00321935">
            <w:pPr>
              <w:pStyle w:val="TableCell"/>
              <w:spacing w:before="60" w:after="60"/>
            </w:pPr>
            <w:r w:rsidRPr="001D6512">
              <w:t>2901</w:t>
            </w:r>
          </w:p>
        </w:tc>
        <w:tc>
          <w:tcPr>
            <w:tcW w:w="1060" w:type="dxa"/>
            <w:noWrap/>
          </w:tcPr>
          <w:p w:rsidR="00E912F1" w:rsidRPr="001D6512" w:rsidRDefault="00C67DA4" w:rsidP="00321935">
            <w:pPr>
              <w:pStyle w:val="TableCell"/>
              <w:spacing w:before="60" w:after="60"/>
            </w:pPr>
            <w:r w:rsidRPr="001D6512">
              <w:t>1450.5</w:t>
            </w:r>
          </w:p>
        </w:tc>
        <w:tc>
          <w:tcPr>
            <w:tcW w:w="1060" w:type="dxa"/>
            <w:noWrap/>
          </w:tcPr>
          <w:p w:rsidR="00E912F1" w:rsidRPr="001D6512" w:rsidRDefault="00C67DA4" w:rsidP="00321935">
            <w:pPr>
              <w:pStyle w:val="TableCell"/>
              <w:spacing w:before="60" w:after="60"/>
            </w:pPr>
            <w:r w:rsidRPr="001D6512">
              <w:t>1668</w:t>
            </w:r>
          </w:p>
        </w:tc>
        <w:tc>
          <w:tcPr>
            <w:tcW w:w="1060" w:type="dxa"/>
            <w:noWrap/>
          </w:tcPr>
          <w:p w:rsidR="00E912F1" w:rsidRPr="001D6512" w:rsidRDefault="00C67DA4" w:rsidP="00321935">
            <w:pPr>
              <w:pStyle w:val="TableCell"/>
              <w:spacing w:before="60" w:after="60"/>
            </w:pPr>
            <w:r w:rsidRPr="001D6512">
              <w:t>217.5</w:t>
            </w:r>
          </w:p>
        </w:tc>
        <w:tc>
          <w:tcPr>
            <w:tcW w:w="1060" w:type="dxa"/>
            <w:noWrap/>
          </w:tcPr>
          <w:p w:rsidR="00E912F1" w:rsidRPr="001D6512" w:rsidRDefault="00C67DA4" w:rsidP="00321935">
            <w:pPr>
              <w:pStyle w:val="TableCell"/>
              <w:spacing w:before="60" w:after="60"/>
            </w:pPr>
            <w:r w:rsidRPr="001D6512">
              <w:t>0.474</w:t>
            </w:r>
          </w:p>
        </w:tc>
        <w:tc>
          <w:tcPr>
            <w:tcW w:w="1060" w:type="dxa"/>
            <w:noWrap/>
          </w:tcPr>
          <w:p w:rsidR="00E912F1" w:rsidRPr="001D6512" w:rsidRDefault="00C67DA4" w:rsidP="00321935">
            <w:pPr>
              <w:pStyle w:val="TableCell"/>
              <w:spacing w:before="60" w:after="60"/>
            </w:pPr>
            <w:r w:rsidRPr="001D6512">
              <w:t>103</w:t>
            </w:r>
          </w:p>
        </w:tc>
      </w:tr>
      <w:tr w:rsidR="00E912F1" w:rsidRPr="006E0899" w:rsidTr="006E0899">
        <w:trPr>
          <w:trHeight w:val="300"/>
          <w:jc w:val="center"/>
        </w:trPr>
        <w:tc>
          <w:tcPr>
            <w:tcW w:w="960" w:type="dxa"/>
            <w:noWrap/>
          </w:tcPr>
          <w:p w:rsidR="00E912F1" w:rsidRPr="001D6512" w:rsidRDefault="00C67DA4" w:rsidP="00321935">
            <w:pPr>
              <w:pStyle w:val="TableCell"/>
              <w:spacing w:before="60" w:after="60"/>
              <w:rPr>
                <w:bCs/>
              </w:rPr>
            </w:pPr>
            <w:r w:rsidRPr="001D6512">
              <w:rPr>
                <w:bCs/>
              </w:rPr>
              <w:t>Cooling</w:t>
            </w:r>
          </w:p>
        </w:tc>
        <w:tc>
          <w:tcPr>
            <w:tcW w:w="1060" w:type="dxa"/>
            <w:noWrap/>
          </w:tcPr>
          <w:p w:rsidR="00E912F1" w:rsidRPr="001D6512" w:rsidRDefault="00C67DA4" w:rsidP="00321935">
            <w:pPr>
              <w:pStyle w:val="TableCell"/>
              <w:spacing w:before="60" w:after="60"/>
            </w:pPr>
            <w:r w:rsidRPr="001D6512">
              <w:t>0.5</w:t>
            </w:r>
          </w:p>
        </w:tc>
        <w:tc>
          <w:tcPr>
            <w:tcW w:w="1060" w:type="dxa"/>
            <w:noWrap/>
          </w:tcPr>
          <w:p w:rsidR="00E912F1" w:rsidRPr="001D6512" w:rsidRDefault="00C67DA4" w:rsidP="00321935">
            <w:pPr>
              <w:pStyle w:val="TableCell"/>
              <w:spacing w:before="60" w:after="60"/>
            </w:pPr>
            <w:r w:rsidRPr="001D6512">
              <w:t>482</w:t>
            </w:r>
          </w:p>
        </w:tc>
        <w:tc>
          <w:tcPr>
            <w:tcW w:w="1060" w:type="dxa"/>
            <w:noWrap/>
          </w:tcPr>
          <w:p w:rsidR="00E912F1" w:rsidRPr="001D6512" w:rsidRDefault="00C67DA4" w:rsidP="00321935">
            <w:pPr>
              <w:pStyle w:val="TableCell"/>
              <w:spacing w:before="60" w:after="60"/>
            </w:pPr>
            <w:r w:rsidRPr="001D6512">
              <w:t>241</w:t>
            </w:r>
          </w:p>
        </w:tc>
        <w:tc>
          <w:tcPr>
            <w:tcW w:w="1060" w:type="dxa"/>
            <w:noWrap/>
          </w:tcPr>
          <w:p w:rsidR="00E912F1" w:rsidRPr="001D6512" w:rsidRDefault="00C67DA4" w:rsidP="00321935">
            <w:pPr>
              <w:pStyle w:val="TableCell"/>
              <w:spacing w:before="60" w:after="60"/>
            </w:pPr>
            <w:r w:rsidRPr="001D6512">
              <w:t>277</w:t>
            </w:r>
          </w:p>
        </w:tc>
        <w:tc>
          <w:tcPr>
            <w:tcW w:w="1060" w:type="dxa"/>
            <w:noWrap/>
          </w:tcPr>
          <w:p w:rsidR="00E912F1" w:rsidRPr="001D6512" w:rsidRDefault="00C67DA4" w:rsidP="00321935">
            <w:pPr>
              <w:pStyle w:val="TableCell"/>
              <w:spacing w:before="60" w:after="60"/>
            </w:pPr>
            <w:r w:rsidRPr="001D6512">
              <w:t>36</w:t>
            </w:r>
          </w:p>
        </w:tc>
        <w:tc>
          <w:tcPr>
            <w:tcW w:w="1060" w:type="dxa"/>
            <w:noWrap/>
          </w:tcPr>
          <w:p w:rsidR="00E912F1" w:rsidRPr="001D6512" w:rsidRDefault="00C67DA4" w:rsidP="00321935">
            <w:pPr>
              <w:pStyle w:val="TableCell"/>
              <w:spacing w:before="60" w:after="60"/>
            </w:pPr>
            <w:r w:rsidRPr="001D6512">
              <w:t>0.474</w:t>
            </w:r>
          </w:p>
        </w:tc>
        <w:tc>
          <w:tcPr>
            <w:tcW w:w="1060" w:type="dxa"/>
            <w:noWrap/>
          </w:tcPr>
          <w:p w:rsidR="00E912F1" w:rsidRPr="001D6512" w:rsidRDefault="00C67DA4" w:rsidP="00321935">
            <w:pPr>
              <w:pStyle w:val="TableCell"/>
              <w:spacing w:before="60" w:after="60"/>
            </w:pPr>
            <w:r w:rsidRPr="001D6512">
              <w:t>17</w:t>
            </w:r>
          </w:p>
        </w:tc>
      </w:tr>
      <w:tr w:rsidR="00E912F1" w:rsidRPr="006E0899" w:rsidTr="006E0899">
        <w:trPr>
          <w:trHeight w:val="300"/>
          <w:jc w:val="center"/>
        </w:trPr>
        <w:tc>
          <w:tcPr>
            <w:tcW w:w="960" w:type="dxa"/>
            <w:noWrap/>
          </w:tcPr>
          <w:p w:rsidR="00E912F1" w:rsidRPr="001D6512" w:rsidRDefault="00C67DA4" w:rsidP="00321935">
            <w:pPr>
              <w:pStyle w:val="TableCell"/>
              <w:spacing w:before="60" w:after="60"/>
              <w:rPr>
                <w:bCs/>
              </w:rPr>
            </w:pPr>
            <w:r w:rsidRPr="001D6512">
              <w:rPr>
                <w:bCs/>
              </w:rPr>
              <w:t>Total</w:t>
            </w:r>
          </w:p>
        </w:tc>
        <w:tc>
          <w:tcPr>
            <w:tcW w:w="1060" w:type="dxa"/>
            <w:noWrap/>
          </w:tcPr>
          <w:p w:rsidR="00E912F1" w:rsidRPr="001D6512" w:rsidRDefault="00C67DA4" w:rsidP="00321935">
            <w:pPr>
              <w:pStyle w:val="TableCell"/>
              <w:spacing w:before="60" w:after="60"/>
            </w:pPr>
            <w:r w:rsidRPr="001D6512">
              <w:t> </w:t>
            </w:r>
          </w:p>
        </w:tc>
        <w:tc>
          <w:tcPr>
            <w:tcW w:w="1060" w:type="dxa"/>
            <w:noWrap/>
          </w:tcPr>
          <w:p w:rsidR="00E912F1" w:rsidRPr="001D6512" w:rsidRDefault="00C67DA4" w:rsidP="00321935">
            <w:pPr>
              <w:pStyle w:val="TableCell"/>
              <w:spacing w:before="60" w:after="60"/>
            </w:pPr>
            <w:r w:rsidRPr="001D6512">
              <w:t>3383</w:t>
            </w:r>
          </w:p>
        </w:tc>
        <w:tc>
          <w:tcPr>
            <w:tcW w:w="1060" w:type="dxa"/>
            <w:noWrap/>
          </w:tcPr>
          <w:p w:rsidR="00E912F1" w:rsidRPr="001D6512" w:rsidRDefault="00C67DA4" w:rsidP="00321935">
            <w:pPr>
              <w:pStyle w:val="TableCell"/>
              <w:spacing w:before="60" w:after="60"/>
            </w:pPr>
            <w:r w:rsidRPr="001D6512">
              <w:t>1692</w:t>
            </w:r>
          </w:p>
        </w:tc>
        <w:tc>
          <w:tcPr>
            <w:tcW w:w="1060" w:type="dxa"/>
            <w:noWrap/>
          </w:tcPr>
          <w:p w:rsidR="00E912F1" w:rsidRPr="001D6512" w:rsidRDefault="00C67DA4" w:rsidP="00321935">
            <w:pPr>
              <w:pStyle w:val="TableCell"/>
              <w:spacing w:before="60" w:after="60"/>
            </w:pPr>
            <w:r w:rsidRPr="001D6512">
              <w:t>1945</w:t>
            </w:r>
          </w:p>
        </w:tc>
        <w:tc>
          <w:tcPr>
            <w:tcW w:w="1060" w:type="dxa"/>
            <w:noWrap/>
          </w:tcPr>
          <w:p w:rsidR="00E912F1" w:rsidRPr="001D6512" w:rsidRDefault="00C67DA4" w:rsidP="00321935">
            <w:pPr>
              <w:pStyle w:val="TableCell"/>
              <w:spacing w:before="60" w:after="60"/>
            </w:pPr>
            <w:r w:rsidRPr="001D6512">
              <w:t>254</w:t>
            </w:r>
          </w:p>
        </w:tc>
        <w:tc>
          <w:tcPr>
            <w:tcW w:w="1060" w:type="dxa"/>
            <w:noWrap/>
          </w:tcPr>
          <w:p w:rsidR="00E912F1" w:rsidRPr="001D6512" w:rsidRDefault="00C67DA4" w:rsidP="00321935">
            <w:pPr>
              <w:pStyle w:val="TableCell"/>
              <w:spacing w:before="60" w:after="60"/>
            </w:pPr>
            <w:r w:rsidRPr="001D6512">
              <w:t> </w:t>
            </w:r>
          </w:p>
        </w:tc>
        <w:tc>
          <w:tcPr>
            <w:tcW w:w="1060" w:type="dxa"/>
            <w:noWrap/>
          </w:tcPr>
          <w:p w:rsidR="00E912F1" w:rsidRPr="001D6512" w:rsidRDefault="00C67DA4" w:rsidP="00321935">
            <w:pPr>
              <w:pStyle w:val="TableCell"/>
              <w:spacing w:before="60" w:after="60"/>
            </w:pPr>
            <w:r w:rsidRPr="001D6512">
              <w:t>120</w:t>
            </w:r>
          </w:p>
        </w:tc>
      </w:tr>
    </w:tbl>
    <w:p w:rsidR="00E52C6F" w:rsidRDefault="00E52C6F" w:rsidP="00E52C6F">
      <w:pPr>
        <w:pStyle w:val="BodyText"/>
        <w:rPr>
          <w:rFonts w:eastAsia="Calibri"/>
          <w:noProof/>
        </w:rPr>
      </w:pPr>
    </w:p>
    <w:p w:rsidR="00B54168" w:rsidRDefault="00B54168" w:rsidP="00100EDF">
      <w:pPr>
        <w:pStyle w:val="Caption"/>
      </w:pPr>
      <w:bookmarkStart w:id="128" w:name="_Toc310875497"/>
      <w:r>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11</w:t>
      </w:r>
      <w:r w:rsidR="00274AB1">
        <w:rPr>
          <w:noProof/>
        </w:rPr>
        <w:fldChar w:fldCharType="end"/>
      </w:r>
      <w:r>
        <w:t xml:space="preserve">: </w:t>
      </w:r>
      <w:r w:rsidRPr="0018697D">
        <w:t>Assumptions and Results of Deemed Savings Calculations (Allentown, PA)</w:t>
      </w:r>
      <w:bookmarkEnd w:id="128"/>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060"/>
        <w:gridCol w:w="1076"/>
        <w:gridCol w:w="1060"/>
        <w:gridCol w:w="1060"/>
        <w:gridCol w:w="1060"/>
        <w:gridCol w:w="1060"/>
        <w:gridCol w:w="1077"/>
      </w:tblGrid>
      <w:tr w:rsidR="00E912F1" w:rsidRPr="006E0899" w:rsidTr="006E0899">
        <w:trPr>
          <w:trHeight w:val="735"/>
          <w:jc w:val="center"/>
        </w:trPr>
        <w:tc>
          <w:tcPr>
            <w:tcW w:w="960" w:type="dxa"/>
            <w:shd w:val="clear" w:color="auto" w:fill="BFBFBF"/>
            <w:noWrap/>
          </w:tcPr>
          <w:p w:rsidR="00E912F1" w:rsidRPr="001D6512" w:rsidRDefault="00E912F1" w:rsidP="00321935">
            <w:pPr>
              <w:pStyle w:val="TableCell"/>
              <w:spacing w:before="60" w:after="60"/>
            </w:pPr>
            <w:r w:rsidRPr="001D6512">
              <w:t> </w:t>
            </w:r>
          </w:p>
        </w:tc>
        <w:tc>
          <w:tcPr>
            <w:tcW w:w="1060" w:type="dxa"/>
            <w:shd w:val="clear" w:color="auto" w:fill="BFBFBF"/>
          </w:tcPr>
          <w:p w:rsidR="00E912F1" w:rsidRPr="001D6512" w:rsidRDefault="00E912F1" w:rsidP="00321935">
            <w:pPr>
              <w:pStyle w:val="TableCell"/>
              <w:spacing w:before="60" w:after="60"/>
              <w:rPr>
                <w:b/>
                <w:bCs/>
              </w:rPr>
            </w:pPr>
            <w:r w:rsidRPr="001D6512">
              <w:rPr>
                <w:b/>
                <w:bCs/>
              </w:rPr>
              <w:t>Blower Motor kW</w:t>
            </w:r>
          </w:p>
        </w:tc>
        <w:tc>
          <w:tcPr>
            <w:tcW w:w="1060" w:type="dxa"/>
            <w:shd w:val="clear" w:color="auto" w:fill="BFBFBF"/>
          </w:tcPr>
          <w:p w:rsidR="00E912F1" w:rsidRPr="001D6512" w:rsidRDefault="00E912F1" w:rsidP="00321935">
            <w:pPr>
              <w:pStyle w:val="TableCell"/>
              <w:spacing w:before="60" w:after="60"/>
              <w:rPr>
                <w:b/>
                <w:bCs/>
              </w:rPr>
            </w:pPr>
            <w:r w:rsidRPr="001D6512">
              <w:rPr>
                <w:b/>
                <w:bCs/>
              </w:rPr>
              <w:t>Allentown EFLH</w:t>
            </w:r>
          </w:p>
        </w:tc>
        <w:tc>
          <w:tcPr>
            <w:tcW w:w="1060" w:type="dxa"/>
            <w:shd w:val="clear" w:color="auto" w:fill="BFBFBF"/>
          </w:tcPr>
          <w:p w:rsidR="00E912F1" w:rsidRPr="001D6512" w:rsidRDefault="00E912F1" w:rsidP="00321935">
            <w:pPr>
              <w:pStyle w:val="TableCell"/>
              <w:spacing w:before="60" w:after="60"/>
              <w:rPr>
                <w:b/>
                <w:bCs/>
              </w:rPr>
            </w:pPr>
            <w:r w:rsidRPr="001D6512">
              <w:rPr>
                <w:b/>
                <w:bCs/>
              </w:rPr>
              <w:t>Clean Annual kWh</w:t>
            </w:r>
          </w:p>
        </w:tc>
        <w:tc>
          <w:tcPr>
            <w:tcW w:w="1060" w:type="dxa"/>
            <w:shd w:val="clear" w:color="auto" w:fill="BFBFBF"/>
          </w:tcPr>
          <w:p w:rsidR="00E912F1" w:rsidRPr="001D6512" w:rsidRDefault="00E912F1" w:rsidP="00321935">
            <w:pPr>
              <w:pStyle w:val="TableCell"/>
              <w:spacing w:before="60" w:after="60"/>
              <w:rPr>
                <w:b/>
                <w:bCs/>
              </w:rPr>
            </w:pPr>
            <w:r w:rsidRPr="001D6512">
              <w:rPr>
                <w:b/>
                <w:bCs/>
              </w:rPr>
              <w:t xml:space="preserve">Dirty Annual kWh </w:t>
            </w:r>
          </w:p>
        </w:tc>
        <w:tc>
          <w:tcPr>
            <w:tcW w:w="1060" w:type="dxa"/>
            <w:shd w:val="clear" w:color="auto" w:fill="BFBFBF"/>
          </w:tcPr>
          <w:p w:rsidR="00E912F1" w:rsidRPr="001D6512" w:rsidRDefault="00E912F1" w:rsidP="00321935">
            <w:pPr>
              <w:pStyle w:val="TableCell"/>
              <w:spacing w:before="60" w:after="60"/>
              <w:rPr>
                <w:b/>
                <w:bCs/>
              </w:rPr>
            </w:pPr>
            <w:r w:rsidRPr="001D6512">
              <w:rPr>
                <w:b/>
                <w:bCs/>
              </w:rPr>
              <w:t>Furnace Whistle Savings</w:t>
            </w:r>
          </w:p>
        </w:tc>
        <w:tc>
          <w:tcPr>
            <w:tcW w:w="1060" w:type="dxa"/>
            <w:shd w:val="clear" w:color="auto" w:fill="BFBFBF"/>
          </w:tcPr>
          <w:p w:rsidR="00E912F1" w:rsidRPr="001D6512" w:rsidRDefault="00E912F1" w:rsidP="00321935">
            <w:pPr>
              <w:pStyle w:val="TableCell"/>
              <w:spacing w:before="60" w:after="60"/>
              <w:rPr>
                <w:b/>
                <w:bCs/>
              </w:rPr>
            </w:pPr>
            <w:r w:rsidRPr="001D6512">
              <w:rPr>
                <w:b/>
                <w:bCs/>
              </w:rPr>
              <w:t>ISR</w:t>
            </w:r>
          </w:p>
        </w:tc>
        <w:tc>
          <w:tcPr>
            <w:tcW w:w="1060" w:type="dxa"/>
            <w:shd w:val="clear" w:color="auto" w:fill="BFBFBF"/>
          </w:tcPr>
          <w:p w:rsidR="00E912F1" w:rsidRPr="001D6512" w:rsidRDefault="00E912F1" w:rsidP="00321935">
            <w:pPr>
              <w:pStyle w:val="TableCell"/>
              <w:spacing w:before="60" w:after="60"/>
              <w:rPr>
                <w:b/>
                <w:bCs/>
              </w:rPr>
            </w:pPr>
            <w:r w:rsidRPr="001D6512">
              <w:rPr>
                <w:b/>
                <w:bCs/>
              </w:rPr>
              <w:t>Estimated Savings (kWh)</w:t>
            </w:r>
          </w:p>
        </w:tc>
      </w:tr>
      <w:tr w:rsidR="00E912F1" w:rsidRPr="006E0899" w:rsidTr="006E0899">
        <w:trPr>
          <w:trHeight w:val="300"/>
          <w:jc w:val="center"/>
        </w:trPr>
        <w:tc>
          <w:tcPr>
            <w:tcW w:w="960" w:type="dxa"/>
            <w:noWrap/>
          </w:tcPr>
          <w:p w:rsidR="00E912F1" w:rsidRPr="001D6512" w:rsidRDefault="00C67DA4" w:rsidP="00321935">
            <w:pPr>
              <w:pStyle w:val="TableCell"/>
              <w:spacing w:before="60" w:after="60"/>
              <w:rPr>
                <w:bCs/>
              </w:rPr>
            </w:pPr>
            <w:r w:rsidRPr="001D6512">
              <w:rPr>
                <w:bCs/>
              </w:rPr>
              <w:t>Heating</w:t>
            </w:r>
          </w:p>
        </w:tc>
        <w:tc>
          <w:tcPr>
            <w:tcW w:w="1060" w:type="dxa"/>
            <w:noWrap/>
          </w:tcPr>
          <w:p w:rsidR="00E912F1" w:rsidRPr="001D6512" w:rsidRDefault="00C67DA4" w:rsidP="00321935">
            <w:pPr>
              <w:pStyle w:val="TableCell"/>
              <w:spacing w:before="60" w:after="60"/>
            </w:pPr>
            <w:r w:rsidRPr="001D6512">
              <w:t>0.5</w:t>
            </w:r>
          </w:p>
        </w:tc>
        <w:tc>
          <w:tcPr>
            <w:tcW w:w="1060" w:type="dxa"/>
            <w:noWrap/>
          </w:tcPr>
          <w:p w:rsidR="00E912F1" w:rsidRPr="001D6512" w:rsidRDefault="00C67DA4" w:rsidP="00321935">
            <w:pPr>
              <w:pStyle w:val="TableCell"/>
              <w:spacing w:before="60" w:after="60"/>
            </w:pPr>
            <w:r w:rsidRPr="001D6512">
              <w:t>2492</w:t>
            </w:r>
          </w:p>
        </w:tc>
        <w:tc>
          <w:tcPr>
            <w:tcW w:w="1060" w:type="dxa"/>
            <w:noWrap/>
          </w:tcPr>
          <w:p w:rsidR="00E912F1" w:rsidRPr="001D6512" w:rsidRDefault="00C67DA4" w:rsidP="00321935">
            <w:pPr>
              <w:pStyle w:val="TableCell"/>
              <w:spacing w:before="60" w:after="60"/>
            </w:pPr>
            <w:r w:rsidRPr="001D6512">
              <w:t>1246</w:t>
            </w:r>
          </w:p>
        </w:tc>
        <w:tc>
          <w:tcPr>
            <w:tcW w:w="1060" w:type="dxa"/>
            <w:noWrap/>
          </w:tcPr>
          <w:p w:rsidR="00E912F1" w:rsidRPr="001D6512" w:rsidRDefault="00C67DA4" w:rsidP="00321935">
            <w:pPr>
              <w:pStyle w:val="TableCell"/>
              <w:spacing w:before="60" w:after="60"/>
            </w:pPr>
            <w:r w:rsidRPr="001D6512">
              <w:t>1433</w:t>
            </w:r>
          </w:p>
        </w:tc>
        <w:tc>
          <w:tcPr>
            <w:tcW w:w="1060" w:type="dxa"/>
            <w:noWrap/>
          </w:tcPr>
          <w:p w:rsidR="00E912F1" w:rsidRPr="001D6512" w:rsidRDefault="00C67DA4" w:rsidP="00321935">
            <w:pPr>
              <w:pStyle w:val="TableCell"/>
              <w:spacing w:before="60" w:after="60"/>
            </w:pPr>
            <w:r w:rsidRPr="001D6512">
              <w:t>187</w:t>
            </w:r>
          </w:p>
        </w:tc>
        <w:tc>
          <w:tcPr>
            <w:tcW w:w="1060" w:type="dxa"/>
            <w:noWrap/>
          </w:tcPr>
          <w:p w:rsidR="00E912F1" w:rsidRPr="001D6512" w:rsidRDefault="00C67DA4" w:rsidP="00321935">
            <w:pPr>
              <w:pStyle w:val="TableCell"/>
              <w:spacing w:before="60" w:after="60"/>
            </w:pPr>
            <w:r w:rsidRPr="001D6512">
              <w:t>0.474</w:t>
            </w:r>
          </w:p>
        </w:tc>
        <w:tc>
          <w:tcPr>
            <w:tcW w:w="1060" w:type="dxa"/>
            <w:noWrap/>
          </w:tcPr>
          <w:p w:rsidR="00E912F1" w:rsidRPr="001D6512" w:rsidRDefault="00C67DA4" w:rsidP="00321935">
            <w:pPr>
              <w:pStyle w:val="TableCell"/>
              <w:spacing w:before="60" w:after="60"/>
            </w:pPr>
            <w:r w:rsidRPr="001D6512">
              <w:t>89</w:t>
            </w:r>
          </w:p>
        </w:tc>
      </w:tr>
      <w:tr w:rsidR="00E912F1" w:rsidRPr="006E0899" w:rsidTr="006E0899">
        <w:trPr>
          <w:trHeight w:val="300"/>
          <w:jc w:val="center"/>
        </w:trPr>
        <w:tc>
          <w:tcPr>
            <w:tcW w:w="960" w:type="dxa"/>
            <w:noWrap/>
          </w:tcPr>
          <w:p w:rsidR="00E912F1" w:rsidRPr="001D6512" w:rsidRDefault="00C67DA4" w:rsidP="00321935">
            <w:pPr>
              <w:pStyle w:val="TableCell"/>
              <w:spacing w:before="60" w:after="60"/>
              <w:rPr>
                <w:bCs/>
              </w:rPr>
            </w:pPr>
            <w:r w:rsidRPr="001D6512">
              <w:rPr>
                <w:bCs/>
              </w:rPr>
              <w:t>Cooling</w:t>
            </w:r>
          </w:p>
        </w:tc>
        <w:tc>
          <w:tcPr>
            <w:tcW w:w="1060" w:type="dxa"/>
            <w:noWrap/>
          </w:tcPr>
          <w:p w:rsidR="00E912F1" w:rsidRPr="001D6512" w:rsidRDefault="00C67DA4" w:rsidP="00321935">
            <w:pPr>
              <w:pStyle w:val="TableCell"/>
              <w:spacing w:before="60" w:after="60"/>
            </w:pPr>
            <w:r w:rsidRPr="001D6512">
              <w:t>0.5</w:t>
            </w:r>
          </w:p>
        </w:tc>
        <w:tc>
          <w:tcPr>
            <w:tcW w:w="1060" w:type="dxa"/>
            <w:noWrap/>
          </w:tcPr>
          <w:p w:rsidR="00E912F1" w:rsidRPr="001D6512" w:rsidRDefault="00C67DA4" w:rsidP="00321935">
            <w:pPr>
              <w:pStyle w:val="TableCell"/>
              <w:spacing w:before="60" w:after="60"/>
            </w:pPr>
            <w:r w:rsidRPr="001D6512">
              <w:t>784</w:t>
            </w:r>
          </w:p>
        </w:tc>
        <w:tc>
          <w:tcPr>
            <w:tcW w:w="1060" w:type="dxa"/>
            <w:noWrap/>
          </w:tcPr>
          <w:p w:rsidR="00E912F1" w:rsidRPr="001D6512" w:rsidRDefault="00C67DA4" w:rsidP="00321935">
            <w:pPr>
              <w:pStyle w:val="TableCell"/>
              <w:spacing w:before="60" w:after="60"/>
            </w:pPr>
            <w:r w:rsidRPr="001D6512">
              <w:t>392</w:t>
            </w:r>
          </w:p>
        </w:tc>
        <w:tc>
          <w:tcPr>
            <w:tcW w:w="1060" w:type="dxa"/>
            <w:noWrap/>
          </w:tcPr>
          <w:p w:rsidR="00E912F1" w:rsidRPr="001D6512" w:rsidRDefault="00C67DA4" w:rsidP="00321935">
            <w:pPr>
              <w:pStyle w:val="TableCell"/>
              <w:spacing w:before="60" w:after="60"/>
            </w:pPr>
            <w:r w:rsidRPr="001D6512">
              <w:t>451</w:t>
            </w:r>
          </w:p>
        </w:tc>
        <w:tc>
          <w:tcPr>
            <w:tcW w:w="1060" w:type="dxa"/>
            <w:noWrap/>
          </w:tcPr>
          <w:p w:rsidR="00E912F1" w:rsidRPr="001D6512" w:rsidRDefault="00C67DA4" w:rsidP="00321935">
            <w:pPr>
              <w:pStyle w:val="TableCell"/>
              <w:spacing w:before="60" w:after="60"/>
            </w:pPr>
            <w:r w:rsidRPr="001D6512">
              <w:t>59</w:t>
            </w:r>
          </w:p>
        </w:tc>
        <w:tc>
          <w:tcPr>
            <w:tcW w:w="1060" w:type="dxa"/>
            <w:noWrap/>
          </w:tcPr>
          <w:p w:rsidR="00E912F1" w:rsidRPr="001D6512" w:rsidRDefault="00C67DA4" w:rsidP="00321935">
            <w:pPr>
              <w:pStyle w:val="TableCell"/>
              <w:spacing w:before="60" w:after="60"/>
            </w:pPr>
            <w:r w:rsidRPr="001D6512">
              <w:t>0.474</w:t>
            </w:r>
          </w:p>
        </w:tc>
        <w:tc>
          <w:tcPr>
            <w:tcW w:w="1060" w:type="dxa"/>
            <w:noWrap/>
          </w:tcPr>
          <w:p w:rsidR="00E912F1" w:rsidRPr="001D6512" w:rsidRDefault="00C67DA4" w:rsidP="00321935">
            <w:pPr>
              <w:pStyle w:val="TableCell"/>
              <w:spacing w:before="60" w:after="60"/>
            </w:pPr>
            <w:r w:rsidRPr="001D6512">
              <w:t>28</w:t>
            </w:r>
          </w:p>
        </w:tc>
      </w:tr>
      <w:tr w:rsidR="00E912F1" w:rsidRPr="006E0899" w:rsidTr="006E0899">
        <w:trPr>
          <w:trHeight w:val="300"/>
          <w:jc w:val="center"/>
        </w:trPr>
        <w:tc>
          <w:tcPr>
            <w:tcW w:w="960" w:type="dxa"/>
            <w:noWrap/>
          </w:tcPr>
          <w:p w:rsidR="00E912F1" w:rsidRPr="001D6512" w:rsidRDefault="00C67DA4" w:rsidP="00321935">
            <w:pPr>
              <w:pStyle w:val="TableCell"/>
              <w:spacing w:before="60" w:after="60"/>
              <w:rPr>
                <w:bCs/>
              </w:rPr>
            </w:pPr>
            <w:r w:rsidRPr="001D6512">
              <w:rPr>
                <w:bCs/>
              </w:rPr>
              <w:t>Total</w:t>
            </w:r>
          </w:p>
        </w:tc>
        <w:tc>
          <w:tcPr>
            <w:tcW w:w="1060" w:type="dxa"/>
            <w:noWrap/>
          </w:tcPr>
          <w:p w:rsidR="00E912F1" w:rsidRPr="001D6512" w:rsidRDefault="00C67DA4" w:rsidP="00321935">
            <w:pPr>
              <w:pStyle w:val="TableCell"/>
              <w:spacing w:before="60" w:after="60"/>
            </w:pPr>
            <w:r w:rsidRPr="001D6512">
              <w:t> </w:t>
            </w:r>
          </w:p>
        </w:tc>
        <w:tc>
          <w:tcPr>
            <w:tcW w:w="1060" w:type="dxa"/>
            <w:noWrap/>
          </w:tcPr>
          <w:p w:rsidR="00E912F1" w:rsidRPr="001D6512" w:rsidRDefault="00C67DA4" w:rsidP="00321935">
            <w:pPr>
              <w:pStyle w:val="TableCell"/>
              <w:spacing w:before="60" w:after="60"/>
            </w:pPr>
            <w:r w:rsidRPr="001D6512">
              <w:t>3276</w:t>
            </w:r>
          </w:p>
        </w:tc>
        <w:tc>
          <w:tcPr>
            <w:tcW w:w="1060" w:type="dxa"/>
            <w:noWrap/>
          </w:tcPr>
          <w:p w:rsidR="00E912F1" w:rsidRPr="001D6512" w:rsidRDefault="00C67DA4" w:rsidP="00321935">
            <w:pPr>
              <w:pStyle w:val="TableCell"/>
              <w:spacing w:before="60" w:after="60"/>
            </w:pPr>
            <w:r w:rsidRPr="001D6512">
              <w:t>1638</w:t>
            </w:r>
          </w:p>
        </w:tc>
        <w:tc>
          <w:tcPr>
            <w:tcW w:w="1060" w:type="dxa"/>
            <w:noWrap/>
          </w:tcPr>
          <w:p w:rsidR="00E912F1" w:rsidRPr="001D6512" w:rsidRDefault="00C67DA4" w:rsidP="00321935">
            <w:pPr>
              <w:pStyle w:val="TableCell"/>
              <w:spacing w:before="60" w:after="60"/>
            </w:pPr>
            <w:r w:rsidRPr="001D6512">
              <w:t>1884</w:t>
            </w:r>
          </w:p>
        </w:tc>
        <w:tc>
          <w:tcPr>
            <w:tcW w:w="1060" w:type="dxa"/>
            <w:noWrap/>
          </w:tcPr>
          <w:p w:rsidR="00E912F1" w:rsidRPr="001D6512" w:rsidRDefault="00C67DA4" w:rsidP="00321935">
            <w:pPr>
              <w:pStyle w:val="TableCell"/>
              <w:spacing w:before="60" w:after="60"/>
            </w:pPr>
            <w:r w:rsidRPr="001D6512">
              <w:t>246</w:t>
            </w:r>
          </w:p>
        </w:tc>
        <w:tc>
          <w:tcPr>
            <w:tcW w:w="1060" w:type="dxa"/>
            <w:noWrap/>
          </w:tcPr>
          <w:p w:rsidR="00E912F1" w:rsidRPr="001D6512" w:rsidRDefault="00C67DA4" w:rsidP="00321935">
            <w:pPr>
              <w:pStyle w:val="TableCell"/>
              <w:spacing w:before="60" w:after="60"/>
            </w:pPr>
            <w:r w:rsidRPr="001D6512">
              <w:t> </w:t>
            </w:r>
          </w:p>
        </w:tc>
        <w:tc>
          <w:tcPr>
            <w:tcW w:w="1060" w:type="dxa"/>
            <w:noWrap/>
          </w:tcPr>
          <w:p w:rsidR="00E912F1" w:rsidRPr="001D6512" w:rsidRDefault="00C67DA4" w:rsidP="00321935">
            <w:pPr>
              <w:pStyle w:val="TableCell"/>
              <w:spacing w:before="60" w:after="60"/>
            </w:pPr>
            <w:r w:rsidRPr="001D6512">
              <w:t>116</w:t>
            </w:r>
          </w:p>
        </w:tc>
      </w:tr>
    </w:tbl>
    <w:p w:rsidR="00E912F1" w:rsidRPr="009F4E2C" w:rsidRDefault="00E912F1" w:rsidP="00E912F1">
      <w:pPr>
        <w:rPr>
          <w:rFonts w:ascii="Calibri" w:eastAsia="Calibri" w:hAnsi="Calibri"/>
          <w:b/>
          <w:sz w:val="24"/>
        </w:rPr>
      </w:pPr>
    </w:p>
    <w:p w:rsidR="00637F1B" w:rsidRPr="00C465DB" w:rsidRDefault="00637F1B" w:rsidP="00E568D4">
      <w:pPr>
        <w:pStyle w:val="Heading2"/>
      </w:pPr>
      <w:r>
        <w:br w:type="page"/>
      </w:r>
      <w:bookmarkStart w:id="129" w:name="_Toc310875405"/>
      <w:r w:rsidRPr="00837206">
        <w:lastRenderedPageBreak/>
        <w:t>Heat Pump Water Heaters</w:t>
      </w:r>
      <w:bookmarkEnd w:id="1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5778"/>
      </w:tblGrid>
      <w:tr w:rsidR="00637F1B" w:rsidRPr="00C465DB" w:rsidTr="00F84A22">
        <w:trPr>
          <w:jc w:val="center"/>
        </w:trPr>
        <w:tc>
          <w:tcPr>
            <w:tcW w:w="3078" w:type="dxa"/>
            <w:shd w:val="clear" w:color="auto" w:fill="BFBFBF"/>
          </w:tcPr>
          <w:p w:rsidR="00637F1B" w:rsidRPr="001D6512" w:rsidRDefault="00637F1B" w:rsidP="00F84A22">
            <w:pPr>
              <w:pStyle w:val="TableCell"/>
              <w:spacing w:before="60" w:after="60"/>
              <w:rPr>
                <w:b/>
              </w:rPr>
            </w:pPr>
            <w:r w:rsidRPr="001D6512">
              <w:rPr>
                <w:b/>
              </w:rPr>
              <w:t>Measure Name</w:t>
            </w:r>
          </w:p>
        </w:tc>
        <w:tc>
          <w:tcPr>
            <w:tcW w:w="5778" w:type="dxa"/>
            <w:shd w:val="clear" w:color="auto" w:fill="BFBFBF"/>
          </w:tcPr>
          <w:p w:rsidR="00637F1B" w:rsidRPr="001D6512" w:rsidRDefault="00637F1B" w:rsidP="00F84A22">
            <w:pPr>
              <w:pStyle w:val="TableCell"/>
              <w:spacing w:before="60" w:after="60"/>
              <w:rPr>
                <w:b/>
              </w:rPr>
            </w:pPr>
            <w:r w:rsidRPr="001D6512">
              <w:rPr>
                <w:b/>
              </w:rPr>
              <w:t>Heat Pump Water Heaters</w:t>
            </w:r>
          </w:p>
        </w:tc>
      </w:tr>
      <w:tr w:rsidR="00637F1B" w:rsidRPr="00C465DB" w:rsidTr="00F84A22">
        <w:trPr>
          <w:jc w:val="center"/>
        </w:trPr>
        <w:tc>
          <w:tcPr>
            <w:tcW w:w="3078" w:type="dxa"/>
            <w:shd w:val="clear" w:color="auto" w:fill="auto"/>
          </w:tcPr>
          <w:p w:rsidR="00637F1B" w:rsidRPr="00865117" w:rsidRDefault="00637F1B" w:rsidP="00F84A22">
            <w:pPr>
              <w:pStyle w:val="TableCell"/>
              <w:spacing w:before="60" w:after="60"/>
              <w:rPr>
                <w:b/>
              </w:rPr>
            </w:pPr>
            <w:r w:rsidRPr="00865117">
              <w:rPr>
                <w:b/>
              </w:rPr>
              <w:t>Target Sector</w:t>
            </w:r>
          </w:p>
        </w:tc>
        <w:tc>
          <w:tcPr>
            <w:tcW w:w="5778" w:type="dxa"/>
            <w:shd w:val="clear" w:color="auto" w:fill="auto"/>
          </w:tcPr>
          <w:p w:rsidR="00637F1B" w:rsidRPr="001D6512" w:rsidRDefault="00637F1B" w:rsidP="00F84A22">
            <w:pPr>
              <w:pStyle w:val="TableCell"/>
              <w:spacing w:before="60" w:after="60"/>
            </w:pPr>
            <w:r w:rsidRPr="001D6512">
              <w:t>Residential Establishments</w:t>
            </w:r>
          </w:p>
        </w:tc>
      </w:tr>
      <w:tr w:rsidR="00637F1B" w:rsidRPr="00C465DB" w:rsidTr="00F84A22">
        <w:trPr>
          <w:jc w:val="center"/>
        </w:trPr>
        <w:tc>
          <w:tcPr>
            <w:tcW w:w="3078" w:type="dxa"/>
            <w:shd w:val="clear" w:color="auto" w:fill="auto"/>
          </w:tcPr>
          <w:p w:rsidR="00637F1B" w:rsidRPr="00865117" w:rsidRDefault="00637F1B" w:rsidP="00F84A22">
            <w:pPr>
              <w:pStyle w:val="TableCell"/>
              <w:spacing w:before="60" w:after="60"/>
              <w:rPr>
                <w:b/>
              </w:rPr>
            </w:pPr>
            <w:r w:rsidRPr="00865117">
              <w:rPr>
                <w:b/>
              </w:rPr>
              <w:t>Measure Unit</w:t>
            </w:r>
          </w:p>
        </w:tc>
        <w:tc>
          <w:tcPr>
            <w:tcW w:w="5778" w:type="dxa"/>
            <w:shd w:val="clear" w:color="auto" w:fill="auto"/>
          </w:tcPr>
          <w:p w:rsidR="00637F1B" w:rsidRPr="001D6512" w:rsidRDefault="00637F1B" w:rsidP="00F84A22">
            <w:pPr>
              <w:pStyle w:val="TableCell"/>
              <w:spacing w:before="60" w:after="60"/>
            </w:pPr>
            <w:r w:rsidRPr="001D6512">
              <w:t>Water Heater</w:t>
            </w:r>
          </w:p>
        </w:tc>
      </w:tr>
      <w:tr w:rsidR="00637F1B" w:rsidRPr="00C465DB" w:rsidTr="00F84A22">
        <w:trPr>
          <w:jc w:val="center"/>
        </w:trPr>
        <w:tc>
          <w:tcPr>
            <w:tcW w:w="3078" w:type="dxa"/>
            <w:shd w:val="clear" w:color="auto" w:fill="auto"/>
          </w:tcPr>
          <w:p w:rsidR="00637F1B" w:rsidRPr="00865117" w:rsidRDefault="00637F1B" w:rsidP="00F84A22">
            <w:pPr>
              <w:pStyle w:val="TableCell"/>
              <w:spacing w:before="60" w:after="60"/>
              <w:rPr>
                <w:b/>
              </w:rPr>
            </w:pPr>
            <w:r w:rsidRPr="00865117">
              <w:rPr>
                <w:b/>
              </w:rPr>
              <w:t>Unit Energy Savings</w:t>
            </w:r>
          </w:p>
        </w:tc>
        <w:tc>
          <w:tcPr>
            <w:tcW w:w="5778" w:type="dxa"/>
            <w:shd w:val="clear" w:color="auto" w:fill="auto"/>
          </w:tcPr>
          <w:p w:rsidR="00310627" w:rsidRPr="001D6512" w:rsidRDefault="008536DC" w:rsidP="00F84A22">
            <w:pPr>
              <w:pStyle w:val="TableCell"/>
              <w:spacing w:before="60" w:after="60"/>
            </w:pPr>
            <w:r w:rsidRPr="001D6512">
              <w:t>2,184</w:t>
            </w:r>
            <w:r w:rsidR="00310627" w:rsidRPr="001D6512">
              <w:t xml:space="preserve"> kWh for 2.3 Energy Factor</w:t>
            </w:r>
            <w:r w:rsidR="00637F1B" w:rsidRPr="001D6512">
              <w:t xml:space="preserve"> </w:t>
            </w:r>
          </w:p>
          <w:p w:rsidR="00637F1B" w:rsidRPr="001D6512" w:rsidRDefault="008536DC" w:rsidP="00310627">
            <w:pPr>
              <w:pStyle w:val="TableCell"/>
              <w:spacing w:before="60" w:after="60"/>
            </w:pPr>
            <w:r w:rsidRPr="001D6512">
              <w:t>1,896</w:t>
            </w:r>
            <w:r w:rsidR="00637F1B" w:rsidRPr="001D6512">
              <w:t xml:space="preserve"> kWh for 2.0 Energy Factor</w:t>
            </w:r>
          </w:p>
        </w:tc>
      </w:tr>
      <w:tr w:rsidR="00637F1B" w:rsidRPr="00C465DB" w:rsidTr="00F84A22">
        <w:trPr>
          <w:jc w:val="center"/>
        </w:trPr>
        <w:tc>
          <w:tcPr>
            <w:tcW w:w="3078" w:type="dxa"/>
            <w:shd w:val="clear" w:color="auto" w:fill="auto"/>
          </w:tcPr>
          <w:p w:rsidR="00637F1B" w:rsidRPr="00865117" w:rsidRDefault="00637F1B" w:rsidP="00F84A22">
            <w:pPr>
              <w:pStyle w:val="TableCell"/>
              <w:spacing w:before="60" w:after="60"/>
              <w:rPr>
                <w:b/>
              </w:rPr>
            </w:pPr>
            <w:r w:rsidRPr="00865117">
              <w:rPr>
                <w:b/>
              </w:rPr>
              <w:t>Unit Peak Demand Reduction</w:t>
            </w:r>
          </w:p>
        </w:tc>
        <w:tc>
          <w:tcPr>
            <w:tcW w:w="5778" w:type="dxa"/>
            <w:shd w:val="clear" w:color="auto" w:fill="auto"/>
          </w:tcPr>
          <w:p w:rsidR="00310627" w:rsidRPr="001D6512" w:rsidRDefault="008536DC" w:rsidP="00F84A22">
            <w:pPr>
              <w:pStyle w:val="TableCell"/>
              <w:spacing w:before="60" w:after="60"/>
            </w:pPr>
            <w:r w:rsidRPr="001D6512">
              <w:t>0.200</w:t>
            </w:r>
            <w:r w:rsidR="00637F1B" w:rsidRPr="001D6512">
              <w:t xml:space="preserve"> </w:t>
            </w:r>
            <w:r w:rsidR="00310627" w:rsidRPr="001D6512">
              <w:t>kW for 2.3 Energy Factor</w:t>
            </w:r>
          </w:p>
          <w:p w:rsidR="00637F1B" w:rsidRPr="001D6512" w:rsidRDefault="008536DC" w:rsidP="00310627">
            <w:pPr>
              <w:pStyle w:val="TableCell"/>
              <w:spacing w:before="60" w:after="60"/>
            </w:pPr>
            <w:r w:rsidRPr="001D6512">
              <w:t>0.174</w:t>
            </w:r>
            <w:r w:rsidR="00637F1B" w:rsidRPr="001D6512">
              <w:t xml:space="preserve"> kW for 2.0 Energy Factor</w:t>
            </w:r>
          </w:p>
        </w:tc>
      </w:tr>
      <w:tr w:rsidR="00637F1B" w:rsidRPr="00C465DB" w:rsidTr="00F84A22">
        <w:trPr>
          <w:jc w:val="center"/>
        </w:trPr>
        <w:tc>
          <w:tcPr>
            <w:tcW w:w="3078" w:type="dxa"/>
            <w:shd w:val="clear" w:color="auto" w:fill="auto"/>
          </w:tcPr>
          <w:p w:rsidR="00637F1B" w:rsidRPr="00865117" w:rsidRDefault="00637F1B" w:rsidP="00F84A22">
            <w:pPr>
              <w:pStyle w:val="TableCell"/>
              <w:spacing w:before="60" w:after="60"/>
              <w:rPr>
                <w:b/>
              </w:rPr>
            </w:pPr>
            <w:r w:rsidRPr="00865117">
              <w:rPr>
                <w:b/>
              </w:rPr>
              <w:t>Measure Life</w:t>
            </w:r>
          </w:p>
        </w:tc>
        <w:tc>
          <w:tcPr>
            <w:tcW w:w="5778" w:type="dxa"/>
            <w:shd w:val="clear" w:color="auto" w:fill="auto"/>
          </w:tcPr>
          <w:p w:rsidR="00637F1B" w:rsidRPr="001D6512" w:rsidRDefault="00637F1B" w:rsidP="00F84A22">
            <w:pPr>
              <w:pStyle w:val="TableCell"/>
              <w:spacing w:before="60" w:after="60"/>
            </w:pPr>
            <w:r w:rsidRPr="001D6512">
              <w:t>14 years</w:t>
            </w:r>
          </w:p>
        </w:tc>
      </w:tr>
    </w:tbl>
    <w:p w:rsidR="00E97E0A" w:rsidRPr="00CF56BD" w:rsidRDefault="00E97E0A" w:rsidP="00E97E0A">
      <w:pPr>
        <w:pStyle w:val="BodyText"/>
        <w:rPr>
          <w:sz w:val="22"/>
        </w:rPr>
      </w:pPr>
    </w:p>
    <w:p w:rsidR="00637F1B" w:rsidRDefault="00637F1B" w:rsidP="00637F1B">
      <w:pPr>
        <w:pStyle w:val="BodyText"/>
      </w:pPr>
      <w:r w:rsidRPr="00876EA4">
        <w:t xml:space="preserve">Heat Pump Water Heaters take heat from the surrounding air and transfer it to the water in the tank, unlike conventional water heaters, which use either gas (or sometimes other fuels) burners or electric resistance heating coils to heat the water. </w:t>
      </w:r>
    </w:p>
    <w:p w:rsidR="00637F1B" w:rsidRPr="00C465DB" w:rsidRDefault="00E97E0A" w:rsidP="00871FA2">
      <w:pPr>
        <w:pStyle w:val="Heading3"/>
      </w:pPr>
      <w:r>
        <w:t>Eligibility</w:t>
      </w:r>
    </w:p>
    <w:p w:rsidR="00637F1B" w:rsidRPr="00C465DB" w:rsidRDefault="00637F1B" w:rsidP="00637F1B">
      <w:pPr>
        <w:pStyle w:val="BodyText"/>
      </w:pPr>
      <w:r w:rsidRPr="00837206">
        <w:t xml:space="preserve">This </w:t>
      </w:r>
      <w:r w:rsidR="003574D1">
        <w:t>protocol</w:t>
      </w:r>
      <w:r w:rsidRPr="00837206">
        <w:t xml:space="preserve"> documents the energy savings attributed to heat pump water heater</w:t>
      </w:r>
      <w:r>
        <w:t>s</w:t>
      </w:r>
      <w:r w:rsidRPr="00837206">
        <w:t xml:space="preserve"> with Energy Factor</w:t>
      </w:r>
      <w:r>
        <w:t>s</w:t>
      </w:r>
      <w:r w:rsidRPr="00837206">
        <w:t xml:space="preserve"> of 2.0 </w:t>
      </w:r>
      <w:r>
        <w:t>to 2</w:t>
      </w:r>
      <w:r w:rsidR="008536DC">
        <w:t>.</w:t>
      </w:r>
      <w:r>
        <w:t>3.</w:t>
      </w:r>
      <w:r w:rsidRPr="00837206">
        <w:t xml:space="preserve"> </w:t>
      </w:r>
      <w:r>
        <w:t xml:space="preserve"> The target sector primarily consists of single-family residences.</w:t>
      </w:r>
    </w:p>
    <w:p w:rsidR="00637F1B" w:rsidRPr="00C465DB" w:rsidRDefault="00E97E0A" w:rsidP="00871FA2">
      <w:pPr>
        <w:pStyle w:val="Heading3"/>
      </w:pPr>
      <w:r>
        <w:t>Algorithms</w:t>
      </w:r>
    </w:p>
    <w:p w:rsidR="00637F1B" w:rsidRDefault="00637F1B" w:rsidP="00637F1B">
      <w:pPr>
        <w:pStyle w:val="BodyText"/>
      </w:pPr>
      <w:r>
        <w:t>The energy savings calculation utilizes average</w:t>
      </w:r>
      <w:r w:rsidRPr="00837206">
        <w:t xml:space="preserve"> performance data for available residential heat pump </w:t>
      </w:r>
      <w:r>
        <w:t xml:space="preserve">and standard electric resistance </w:t>
      </w:r>
      <w:r w:rsidRPr="00837206">
        <w:t>water heaters and typical water usage for residential homes</w:t>
      </w:r>
      <w:r>
        <w:t>.</w:t>
      </w:r>
      <w:r w:rsidRPr="00837206">
        <w:t xml:space="preserve"> The ene</w:t>
      </w:r>
      <w:r>
        <w:t>rgy savings</w:t>
      </w:r>
      <w:r w:rsidRPr="00837206">
        <w:t xml:space="preserve"> </w:t>
      </w:r>
      <w:r>
        <w:t>are</w:t>
      </w:r>
      <w:r w:rsidRPr="00837206">
        <w:t xml:space="preserve"> obtained through the following </w:t>
      </w:r>
      <w:r>
        <w:t>formula</w:t>
      </w:r>
      <w:r w:rsidRPr="00837206">
        <w:t>:</w:t>
      </w:r>
    </w:p>
    <w:p w:rsidR="00A132A7" w:rsidRPr="003C7C58" w:rsidRDefault="003C7C58" w:rsidP="00865117">
      <w:pPr>
        <w:pStyle w:val="Equation"/>
        <w:ind w:left="0" w:firstLine="0"/>
        <w:rPr>
          <w:rFonts w:cs="Arial"/>
          <w:szCs w:val="20"/>
        </w:rPr>
      </w:pPr>
      <m:oMathPara>
        <m:oMathParaPr>
          <m:jc m:val="left"/>
        </m:oMathParaPr>
        <m:oMath>
          <m:r>
            <m:rPr>
              <m:nor/>
            </m:rPr>
            <w:rPr>
              <w:rFonts w:cs="Arial"/>
            </w:rPr>
            <w:sym w:font="Symbol" w:char="F044"/>
          </m:r>
          <m:r>
            <m:rPr>
              <m:nor/>
            </m:rPr>
            <w:rPr>
              <w:rFonts w:cs="Arial"/>
            </w:rPr>
            <m:t xml:space="preserve">kWh </m:t>
          </m:r>
          <m:r>
            <m:rPr>
              <m:nor/>
            </m:rPr>
            <w:rPr>
              <w:rFonts w:cs="Arial"/>
              <w:iCs/>
            </w:rPr>
            <m:t xml:space="preserve">                                          </m:t>
          </m:r>
          <m:r>
            <m:rPr>
              <m:nor/>
            </m:rPr>
            <w:rPr>
              <w:rFonts w:cs="Arial"/>
            </w:rPr>
            <m:t xml:space="preserve">=   </m:t>
          </m:r>
          <m:f>
            <m:fPr>
              <m:ctrlPr>
                <w:rPr>
                  <w:rFonts w:ascii="Cambria Math" w:hAnsi="Cambria Math" w:cs="Arial"/>
                </w:rPr>
              </m:ctrlPr>
            </m:fPr>
            <m:num>
              <m:d>
                <m:dPr>
                  <m:begChr m:val="{"/>
                  <m:endChr m:val="}"/>
                  <m:ctrlPr>
                    <w:rPr>
                      <w:rFonts w:ascii="Cambria Math" w:hAnsi="Cambria Math" w:cs="Arial"/>
                    </w:rPr>
                  </m:ctrlPr>
                </m:dPr>
                <m:e>
                  <m:d>
                    <m:dPr>
                      <m:ctrlPr>
                        <w:rPr>
                          <w:rFonts w:ascii="Cambria Math" w:hAnsi="Cambria Math" w:cs="Arial"/>
                        </w:rPr>
                      </m:ctrlPr>
                    </m:dPr>
                    <m:e>
                      <m:f>
                        <m:fPr>
                          <m:ctrlPr>
                            <w:rPr>
                              <w:rFonts w:ascii="Cambria Math" w:hAnsi="Cambria Math" w:cs="Arial"/>
                            </w:rPr>
                          </m:ctrlPr>
                        </m:fPr>
                        <m:num>
                          <m:r>
                            <m:rPr>
                              <m:nor/>
                            </m:rPr>
                            <w:rPr>
                              <w:rFonts w:cs="Arial"/>
                            </w:rPr>
                            <m:t>1</m:t>
                          </m:r>
                        </m:num>
                        <m:den>
                          <m:sSub>
                            <m:sSubPr>
                              <m:ctrlPr>
                                <w:rPr>
                                  <w:rFonts w:ascii="Cambria Math" w:hAnsi="Cambria Math" w:cs="Arial"/>
                                </w:rPr>
                              </m:ctrlPr>
                            </m:sSubPr>
                            <m:e>
                              <m:r>
                                <m:rPr>
                                  <m:nor/>
                                </m:rPr>
                                <w:rPr>
                                  <w:rFonts w:cs="Arial"/>
                                  <w:iCs/>
                                </w:rPr>
                                <m:t>EF</m:t>
                              </m:r>
                            </m:e>
                            <m:sub>
                              <m:r>
                                <m:rPr>
                                  <m:nor/>
                                </m:rPr>
                                <w:rPr>
                                  <w:rFonts w:cs="Arial"/>
                                  <w:iCs/>
                                </w:rPr>
                                <m:t>Base</m:t>
                              </m:r>
                            </m:sub>
                          </m:sSub>
                        </m:den>
                      </m:f>
                      <m:r>
                        <m:rPr>
                          <m:nor/>
                        </m:rPr>
                        <w:rPr>
                          <w:rFonts w:cs="Arial"/>
                        </w:rPr>
                        <m:t>-(</m:t>
                      </m:r>
                      <m:f>
                        <m:fPr>
                          <m:ctrlPr>
                            <w:rPr>
                              <w:rFonts w:ascii="Cambria Math" w:hAnsi="Cambria Math" w:cs="Arial"/>
                            </w:rPr>
                          </m:ctrlPr>
                        </m:fPr>
                        <m:num>
                          <m:r>
                            <m:rPr>
                              <m:nor/>
                            </m:rPr>
                            <w:rPr>
                              <w:rFonts w:cs="Arial"/>
                            </w:rPr>
                            <m:t>1</m:t>
                          </m:r>
                        </m:num>
                        <m:den>
                          <m:sSub>
                            <m:sSubPr>
                              <m:ctrlPr>
                                <w:rPr>
                                  <w:rFonts w:ascii="Cambria Math" w:hAnsi="Cambria Math" w:cs="Arial"/>
                                </w:rPr>
                              </m:ctrlPr>
                            </m:sSubPr>
                            <m:e>
                              <m:r>
                                <m:rPr>
                                  <m:nor/>
                                </m:rPr>
                                <w:rPr>
                                  <w:rFonts w:cs="Arial"/>
                                  <w:iCs/>
                                </w:rPr>
                                <m:t>EF</m:t>
                              </m:r>
                            </m:e>
                            <m:sub>
                              <m:r>
                                <m:rPr>
                                  <m:nor/>
                                </m:rPr>
                                <w:rPr>
                                  <w:rFonts w:cs="Arial"/>
                                  <w:iCs/>
                                </w:rPr>
                                <m:t>Proposed</m:t>
                              </m:r>
                            </m:sub>
                          </m:sSub>
                        </m:den>
                      </m:f>
                      <m:r>
                        <w:rPr>
                          <w:rFonts w:ascii="Cambria Math" w:hAnsi="Cambria Math" w:cs="Arial"/>
                        </w:rPr>
                        <m:t xml:space="preserve">× </m:t>
                      </m:r>
                      <m:f>
                        <m:fPr>
                          <m:ctrlPr>
                            <w:rPr>
                              <w:rFonts w:ascii="Cambria Math" w:hAnsi="Cambria Math" w:cs="Arial"/>
                            </w:rPr>
                          </m:ctrlPr>
                        </m:fPr>
                        <m:num>
                          <m:r>
                            <m:rPr>
                              <m:nor/>
                            </m:rPr>
                            <w:rPr>
                              <w:rFonts w:cs="Arial"/>
                            </w:rPr>
                            <m:t>1</m:t>
                          </m:r>
                        </m:num>
                        <m:den>
                          <m:sSub>
                            <m:sSubPr>
                              <m:ctrlPr>
                                <w:rPr>
                                  <w:rFonts w:ascii="Cambria Math" w:hAnsi="Cambria Math" w:cs="Arial"/>
                                </w:rPr>
                              </m:ctrlPr>
                            </m:sSubPr>
                            <m:e>
                              <m:r>
                                <m:rPr>
                                  <m:nor/>
                                </m:rPr>
                                <w:rPr>
                                  <w:rFonts w:cs="Arial"/>
                                  <w:iCs/>
                                </w:rPr>
                                <m:t>F</m:t>
                              </m:r>
                            </m:e>
                            <m:sub>
                              <m:r>
                                <m:rPr>
                                  <m:nor/>
                                </m:rPr>
                                <w:rPr>
                                  <w:rFonts w:cs="Arial"/>
                                  <w:iCs/>
                                </w:rPr>
                                <m:t>Adjust</m:t>
                              </m:r>
                            </m:sub>
                          </m:sSub>
                        </m:den>
                      </m:f>
                      <m:r>
                        <w:rPr>
                          <w:rFonts w:ascii="Cambria Math" w:hAnsi="Cambria Math" w:cs="Arial"/>
                        </w:rPr>
                        <m:t>)</m:t>
                      </m:r>
                    </m:e>
                  </m:d>
                  <m:r>
                    <w:rPr>
                      <w:rFonts w:ascii="Cambria Math" w:hAnsi="Cambria Math" w:cs="Arial"/>
                    </w:rPr>
                    <m:t xml:space="preserve">×HW×365 X 8.3 </m:t>
                  </m:r>
                  <m:f>
                    <m:fPr>
                      <m:ctrlPr>
                        <w:rPr>
                          <w:rFonts w:ascii="Cambria Math" w:hAnsi="Cambria Math" w:cs="Arial"/>
                        </w:rPr>
                      </m:ctrlPr>
                    </m:fPr>
                    <m:num>
                      <m:r>
                        <m:rPr>
                          <m:nor/>
                        </m:rPr>
                        <w:rPr>
                          <w:rFonts w:cs="Arial"/>
                          <w:iCs/>
                        </w:rPr>
                        <m:t>lb</m:t>
                      </m:r>
                    </m:num>
                    <m:den>
                      <m:r>
                        <m:rPr>
                          <m:nor/>
                        </m:rPr>
                        <w:rPr>
                          <w:rFonts w:ascii="Cambria Math" w:cs="Arial"/>
                          <w:iCs/>
                        </w:rPr>
                        <m:t>gal</m:t>
                      </m:r>
                    </m:den>
                  </m:f>
                  <m:r>
                    <w:rPr>
                      <w:rFonts w:ascii="Cambria Math" w:hAnsi="Cambria Math" w:cs="Arial"/>
                    </w:rPr>
                    <m:t xml:space="preserve"> X (T</m:t>
                  </m:r>
                  <m:r>
                    <w:rPr>
                      <w:rFonts w:ascii="Cambria Math" w:hAnsi="Cambria Math" w:cs="Arial"/>
                      <w:vertAlign w:val="subscript"/>
                    </w:rPr>
                    <m:t>hot</m:t>
                  </m:r>
                  <m:r>
                    <w:rPr>
                      <w:rFonts w:ascii="Cambria Math" w:hAnsi="Cambria Math" w:cs="Arial"/>
                    </w:rPr>
                    <m:t xml:space="preserve"> –T</m:t>
                  </m:r>
                  <m:r>
                    <w:rPr>
                      <w:rFonts w:ascii="Cambria Math" w:hAnsi="Cambria Math" w:cs="Arial"/>
                      <w:vertAlign w:val="subscript"/>
                    </w:rPr>
                    <m:t>cold</m:t>
                  </m:r>
                  <m:r>
                    <w:rPr>
                      <w:rFonts w:ascii="Cambria Math" w:hAnsi="Cambria Math" w:cs="Arial"/>
                    </w:rPr>
                    <m:t>)</m:t>
                  </m:r>
                </m:e>
              </m:d>
            </m:num>
            <m:den>
              <m:r>
                <m:rPr>
                  <m:nor/>
                </m:rPr>
                <w:rPr>
                  <w:rFonts w:cs="Arial"/>
                </w:rPr>
                <m:t>3413</m:t>
              </m:r>
              <m:f>
                <m:fPr>
                  <m:ctrlPr>
                    <w:rPr>
                      <w:rFonts w:ascii="Cambria Math" w:hAnsi="Cambria Math" w:cs="Arial"/>
                    </w:rPr>
                  </m:ctrlPr>
                </m:fPr>
                <m:num>
                  <m:r>
                    <m:rPr>
                      <m:nor/>
                    </m:rPr>
                    <w:rPr>
                      <w:rFonts w:cs="Arial"/>
                      <w:iCs/>
                    </w:rPr>
                    <m:t>Btu</m:t>
                  </m:r>
                </m:num>
                <m:den>
                  <m:r>
                    <m:rPr>
                      <m:nor/>
                    </m:rPr>
                    <w:rPr>
                      <w:rFonts w:cs="Arial"/>
                      <w:iCs/>
                    </w:rPr>
                    <m:t>kWh</m:t>
                  </m:r>
                </m:den>
              </m:f>
            </m:den>
          </m:f>
        </m:oMath>
      </m:oMathPara>
    </w:p>
    <w:p w:rsidR="00637F1B" w:rsidRPr="00AA2C40" w:rsidRDefault="00637F1B" w:rsidP="00637F1B">
      <w:pPr>
        <w:pStyle w:val="BodyText"/>
        <w:rPr>
          <w:rFonts w:cs="Arial"/>
        </w:rPr>
      </w:pPr>
      <w:r w:rsidRPr="00AA2C40">
        <w:rPr>
          <w:rFonts w:cs="Arial"/>
        </w:rPr>
        <w:t>For heat pump water heaters, demand savings result primarily from a reduced connected load. The demand reduction is taken as the annual energy savings multiplied by the ratio of the average energy usage during noon and 8PM on summer weekdays to the total annual energy usage.</w:t>
      </w:r>
    </w:p>
    <w:p w:rsidR="00637F1B" w:rsidRPr="00AA2C40" w:rsidRDefault="00DA48E9" w:rsidP="00F7332F">
      <w:pPr>
        <w:pStyle w:val="Equation"/>
        <w:rPr>
          <w:rFonts w:cs="Arial"/>
          <w:szCs w:val="20"/>
        </w:rPr>
      </w:pPr>
      <w:r w:rsidRPr="00AA2C40">
        <w:rPr>
          <w:rFonts w:cs="Arial"/>
          <w:szCs w:val="20"/>
        </w:rPr>
        <w:sym w:font="Symbol" w:char="F044"/>
      </w:r>
      <w:r w:rsidRPr="00AA2C40">
        <w:rPr>
          <w:rFonts w:cs="Arial"/>
          <w:szCs w:val="20"/>
        </w:rPr>
        <w:t>kW</w:t>
      </w:r>
      <w:r w:rsidRPr="00AA2C40">
        <w:rPr>
          <w:rFonts w:cs="Arial"/>
          <w:szCs w:val="20"/>
          <w:vertAlign w:val="subscript"/>
        </w:rPr>
        <w:t>peak</w:t>
      </w:r>
      <w:r w:rsidRPr="00AA2C40">
        <w:rPr>
          <w:rFonts w:cs="Arial"/>
          <w:szCs w:val="20"/>
        </w:rPr>
        <w:t xml:space="preserve"> </w:t>
      </w:r>
      <w:r w:rsidR="00401931" w:rsidRPr="00AA2C40">
        <w:rPr>
          <w:rFonts w:cs="Arial"/>
          <w:szCs w:val="20"/>
        </w:rPr>
        <w:tab/>
      </w:r>
      <w:r w:rsidR="008A64EF" w:rsidRPr="00AA2C40">
        <w:rPr>
          <w:rFonts w:cs="Arial"/>
          <w:szCs w:val="20"/>
        </w:rPr>
        <w:t>=</w:t>
      </w:r>
      <w:r w:rsidR="00F11594" w:rsidRPr="00AA2C40">
        <w:rPr>
          <w:rFonts w:cs="Arial"/>
          <w:szCs w:val="20"/>
        </w:rPr>
        <w:t>EnergyToDemandFactor</w:t>
      </w:r>
      <w:r w:rsidR="00F11594">
        <w:rPr>
          <w:rFonts w:cs="Arial"/>
          <w:szCs w:val="20"/>
        </w:rPr>
        <w:t xml:space="preserve"> </w:t>
      </w:r>
      <w:r w:rsidR="00F11594" w:rsidRPr="00AA2C40">
        <w:rPr>
          <w:rFonts w:cs="Arial"/>
          <w:szCs w:val="20"/>
        </w:rPr>
        <w:t>×</w:t>
      </w:r>
      <w:r w:rsidR="00F11594">
        <w:rPr>
          <w:rFonts w:cs="Arial"/>
          <w:szCs w:val="20"/>
        </w:rPr>
        <w:t xml:space="preserve"> </w:t>
      </w:r>
      <w:r w:rsidR="00F11594" w:rsidRPr="00AA2C40">
        <w:rPr>
          <w:rFonts w:cs="Arial"/>
          <w:szCs w:val="20"/>
        </w:rPr>
        <w:t>Energy</w:t>
      </w:r>
      <w:r w:rsidR="008A64EF" w:rsidRPr="00AA2C40">
        <w:rPr>
          <w:rFonts w:cs="Arial"/>
          <w:szCs w:val="20"/>
        </w:rPr>
        <w:t xml:space="preserve"> Savings</w:t>
      </w:r>
    </w:p>
    <w:p w:rsidR="008A64EF" w:rsidRDefault="00637F1B" w:rsidP="008A64EF">
      <w:pPr>
        <w:pStyle w:val="BodyText"/>
      </w:pPr>
      <w:r w:rsidRPr="002E6E9C">
        <w:t>The Energy to Demand Factor is defined below:</w:t>
      </w:r>
    </w:p>
    <w:p w:rsidR="00637F1B" w:rsidRPr="003C7C58" w:rsidRDefault="003C7C58" w:rsidP="00D15164">
      <w:pPr>
        <w:pStyle w:val="Equation"/>
        <w:ind w:left="0" w:firstLine="0"/>
        <w:rPr>
          <w:i w:val="0"/>
        </w:rPr>
      </w:pPr>
      <m:oMathPara>
        <m:oMathParaPr>
          <m:jc m:val="left"/>
        </m:oMathParaPr>
        <m:oMath>
          <m:r>
            <m:rPr>
              <m:nor/>
            </m:rPr>
            <m:t>EnergyToDemandFactor</m:t>
          </m:r>
          <m:r>
            <m:rPr>
              <m:nor/>
            </m:rPr>
            <w:rPr>
              <w:rFonts w:ascii="Cambria Math"/>
            </w:rPr>
            <m:t xml:space="preserve">               </m:t>
          </m:r>
          <m:r>
            <m:rPr>
              <m:nor/>
            </m:rPr>
            <m:t>=</m:t>
          </m:r>
          <m:f>
            <m:fPr>
              <m:ctrlPr>
                <w:rPr>
                  <w:rFonts w:ascii="Cambria Math" w:hAnsi="Cambria Math"/>
                </w:rPr>
              </m:ctrlPr>
            </m:fPr>
            <m:num>
              <m:sSub>
                <m:sSubPr>
                  <m:ctrlPr>
                    <w:rPr>
                      <w:rFonts w:ascii="Cambria Math" w:hAnsi="Cambria Math"/>
                    </w:rPr>
                  </m:ctrlPr>
                </m:sSubPr>
                <m:e>
                  <m:r>
                    <m:rPr>
                      <m:nor/>
                    </m:rPr>
                    <m:t>Average Usage</m:t>
                  </m:r>
                </m:e>
                <m:sub>
                  <m:r>
                    <m:rPr>
                      <m:nor/>
                    </m:rPr>
                    <m:t>Summer WD Noon-8</m:t>
                  </m:r>
                </m:sub>
              </m:sSub>
            </m:num>
            <m:den>
              <m:r>
                <m:rPr>
                  <m:nor/>
                </m:rPr>
                <m:t>Annual Energy Usage</m:t>
              </m:r>
            </m:den>
          </m:f>
        </m:oMath>
      </m:oMathPara>
    </w:p>
    <w:p w:rsidR="00637F1B" w:rsidRDefault="00637F1B" w:rsidP="00637F1B">
      <w:pPr>
        <w:tabs>
          <w:tab w:val="left" w:pos="720"/>
        </w:tabs>
        <w:spacing w:before="120"/>
        <w:jc w:val="both"/>
        <w:rPr>
          <w:sz w:val="22"/>
        </w:rPr>
      </w:pPr>
    </w:p>
    <w:p w:rsidR="00637F1B" w:rsidRDefault="00637F1B" w:rsidP="00637F1B">
      <w:pPr>
        <w:pStyle w:val="BodyText"/>
      </w:pPr>
      <w:r w:rsidRPr="00E678F0">
        <w:lastRenderedPageBreak/>
        <w:t>The ratio of the average energy usage during noon and 8</w:t>
      </w:r>
      <w:r>
        <w:t xml:space="preserve"> </w:t>
      </w:r>
      <w:r w:rsidRPr="00E678F0">
        <w:t xml:space="preserve">PM on summer weekdays to the total annual energy usage is taken from load shape data collected for </w:t>
      </w:r>
      <w:r>
        <w:t xml:space="preserve">a </w:t>
      </w:r>
      <w:r w:rsidRPr="00E678F0">
        <w:t>water heater</w:t>
      </w:r>
      <w:r>
        <w:t xml:space="preserve"> and HVAC demand response study for PJM</w:t>
      </w:r>
      <w:r w:rsidR="00952ED8">
        <w:rPr>
          <w:rStyle w:val="FootnoteReference"/>
        </w:rPr>
        <w:footnoteReference w:id="15"/>
      </w:r>
      <w:r w:rsidRPr="00E678F0">
        <w:t xml:space="preserve">.  </w:t>
      </w:r>
      <w:r>
        <w:t>The factor is constructed as follows:</w:t>
      </w:r>
    </w:p>
    <w:p w:rsidR="00637F1B" w:rsidRDefault="00637F1B" w:rsidP="0005632A">
      <w:pPr>
        <w:pStyle w:val="source1"/>
        <w:numPr>
          <w:ilvl w:val="0"/>
          <w:numId w:val="29"/>
        </w:numPr>
      </w:pPr>
      <w:r>
        <w:t>Obtain the average kW, as monitored for 82 water heaters in PJM territory</w:t>
      </w:r>
      <w:r w:rsidR="003B45BC">
        <w:rPr>
          <w:rStyle w:val="FootnoteReference"/>
        </w:rPr>
        <w:footnoteReference w:id="16"/>
      </w:r>
      <w:r>
        <w:t xml:space="preserve">, for each hour of the typical day summer, winter, and spring/fall days.  Weight the results (91 summer days, 91 winter days, </w:t>
      </w:r>
      <w:r w:rsidR="00F11594">
        <w:t>and 183</w:t>
      </w:r>
      <w:r>
        <w:t xml:space="preserve"> spring/fall days) to obtain annual energy usage.</w:t>
      </w:r>
    </w:p>
    <w:p w:rsidR="00637F1B" w:rsidRDefault="00637F1B" w:rsidP="00401931">
      <w:pPr>
        <w:pStyle w:val="source1"/>
      </w:pPr>
      <w:r>
        <w:t xml:space="preserve">Obtain the average kW during noon to 8 PM on summer days from the same data.  </w:t>
      </w:r>
    </w:p>
    <w:p w:rsidR="00637F1B" w:rsidRDefault="00637F1B" w:rsidP="00401931">
      <w:pPr>
        <w:pStyle w:val="source1"/>
      </w:pPr>
      <w:r>
        <w:t xml:space="preserve">The average noon to 8 PM demand is converted to average </w:t>
      </w:r>
      <w:r w:rsidRPr="004933EA">
        <w:rPr>
          <w:i/>
        </w:rPr>
        <w:t>weekday</w:t>
      </w:r>
      <w:r>
        <w:t xml:space="preserve"> noon to 8 PM demand through comparison of weekday and weekend monitored loads from the same PJM study</w:t>
      </w:r>
      <w:r w:rsidR="003B45BC">
        <w:rPr>
          <w:rStyle w:val="FootnoteReference"/>
        </w:rPr>
        <w:footnoteReference w:id="17"/>
      </w:r>
      <w:r>
        <w:t xml:space="preserve">.  </w:t>
      </w:r>
    </w:p>
    <w:p w:rsidR="00637F1B" w:rsidRPr="002C6DCE" w:rsidRDefault="00637F1B" w:rsidP="00401931">
      <w:pPr>
        <w:pStyle w:val="source1"/>
        <w:spacing w:after="200"/>
        <w:rPr>
          <w:sz w:val="24"/>
        </w:rPr>
      </w:pPr>
      <w:r>
        <w:t xml:space="preserve">The ratio of the average weekday noon to 8 PM energy demand to the annual energy usage obtained in step 1.  The resulting number, 0.00009172, </w:t>
      </w:r>
      <w:r w:rsidRPr="002C6DCE">
        <w:t xml:space="preserve">is the </w:t>
      </w:r>
      <w:r w:rsidRPr="002C6DCE">
        <w:rPr>
          <w:i/>
        </w:rPr>
        <w:t>EnergyToDemandFactor</w:t>
      </w:r>
      <w:r>
        <w:rPr>
          <w:i/>
        </w:rPr>
        <w:t>.</w:t>
      </w:r>
    </w:p>
    <w:p w:rsidR="00637F1B" w:rsidRDefault="00637F1B" w:rsidP="00637F1B">
      <w:pPr>
        <w:pStyle w:val="BodyText"/>
      </w:pPr>
      <w:r>
        <w:t xml:space="preserve">The load shapes (fractions of annual energy usage that occur within each hour) during summer week days are plotted for three business types </w:t>
      </w:r>
      <w:r w:rsidR="00CF56BD">
        <w:t xml:space="preserve">in </w:t>
      </w:r>
      <w:r w:rsidR="007A1FB6">
        <w:fldChar w:fldCharType="begin"/>
      </w:r>
      <w:r w:rsidR="00081415">
        <w:instrText xml:space="preserve"> REF _Ref275542457 \h </w:instrText>
      </w:r>
      <w:r w:rsidR="007A1FB6">
        <w:fldChar w:fldCharType="separate"/>
      </w:r>
      <w:r w:rsidR="00C0292F">
        <w:t xml:space="preserve">Figure </w:t>
      </w:r>
      <w:r w:rsidR="00C0292F">
        <w:rPr>
          <w:noProof/>
        </w:rPr>
        <w:t>2</w:t>
      </w:r>
      <w:r w:rsidR="00C0292F">
        <w:noBreakHyphen/>
      </w:r>
      <w:r w:rsidR="00C0292F">
        <w:rPr>
          <w:noProof/>
        </w:rPr>
        <w:t>2</w:t>
      </w:r>
      <w:r w:rsidR="007A1FB6">
        <w:fldChar w:fldCharType="end"/>
      </w:r>
      <w:r w:rsidR="00CF56BD">
        <w:t xml:space="preserve"> </w:t>
      </w:r>
      <w:r>
        <w:t>below.</w:t>
      </w:r>
    </w:p>
    <w:p w:rsidR="00CF56BD" w:rsidRDefault="003C7C58" w:rsidP="00CF56BD">
      <w:pPr>
        <w:keepNext/>
        <w:tabs>
          <w:tab w:val="left" w:pos="720"/>
        </w:tabs>
        <w:spacing w:before="120"/>
        <w:jc w:val="both"/>
      </w:pPr>
      <w:r>
        <w:rPr>
          <w:noProof/>
          <w:sz w:val="22"/>
          <w:szCs w:val="22"/>
        </w:rPr>
        <w:drawing>
          <wp:inline distT="0" distB="0" distL="0" distR="0">
            <wp:extent cx="5486400" cy="2305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86400" cy="2305050"/>
                    </a:xfrm>
                    <a:prstGeom prst="rect">
                      <a:avLst/>
                    </a:prstGeom>
                    <a:noFill/>
                    <a:ln>
                      <a:noFill/>
                    </a:ln>
                  </pic:spPr>
                </pic:pic>
              </a:graphicData>
            </a:graphic>
          </wp:inline>
        </w:drawing>
      </w:r>
    </w:p>
    <w:p w:rsidR="00637F1B" w:rsidRDefault="00CF56BD" w:rsidP="00100EDF">
      <w:pPr>
        <w:pStyle w:val="Caption"/>
      </w:pPr>
      <w:bookmarkStart w:id="130" w:name="_Ref275542457"/>
      <w:r>
        <w:t xml:space="preserve">Figure </w:t>
      </w:r>
      <w:r w:rsidR="007A1FB6">
        <w:fldChar w:fldCharType="begin"/>
      </w:r>
      <w:r w:rsidR="008B139C">
        <w:instrText xml:space="preserve"> STYLEREF 1 \s </w:instrText>
      </w:r>
      <w:r w:rsidR="007A1FB6">
        <w:fldChar w:fldCharType="separate"/>
      </w:r>
      <w:r w:rsidR="00C0292F">
        <w:rPr>
          <w:noProof/>
        </w:rPr>
        <w:t>2</w:t>
      </w:r>
      <w:r w:rsidR="007A1FB6">
        <w:fldChar w:fldCharType="end"/>
      </w:r>
      <w:r w:rsidR="008B139C">
        <w:noBreakHyphen/>
      </w:r>
      <w:r w:rsidR="007A1FB6">
        <w:fldChar w:fldCharType="begin"/>
      </w:r>
      <w:r w:rsidR="008B139C">
        <w:instrText xml:space="preserve"> SEQ Figure \* ARABIC \s 1 </w:instrText>
      </w:r>
      <w:r w:rsidR="007A1FB6">
        <w:fldChar w:fldCharType="separate"/>
      </w:r>
      <w:r w:rsidR="00C0292F">
        <w:rPr>
          <w:noProof/>
        </w:rPr>
        <w:t>2</w:t>
      </w:r>
      <w:r w:rsidR="007A1FB6">
        <w:fldChar w:fldCharType="end"/>
      </w:r>
      <w:bookmarkEnd w:id="130"/>
      <w:r>
        <w:t xml:space="preserve">: </w:t>
      </w:r>
      <w:r w:rsidRPr="00D26366">
        <w:t xml:space="preserve">Load shapes for hot water in residential buildings taken from a </w:t>
      </w:r>
      <w:r w:rsidRPr="00E70CBE">
        <w:t>PJM study.</w:t>
      </w:r>
    </w:p>
    <w:p w:rsidR="00CF56BD" w:rsidRPr="00CF56BD" w:rsidRDefault="00CF56BD" w:rsidP="00CF56BD">
      <w:pPr>
        <w:spacing w:after="0"/>
      </w:pPr>
    </w:p>
    <w:p w:rsidR="00637F1B" w:rsidRPr="00C465DB" w:rsidRDefault="00637F1B" w:rsidP="00871FA2">
      <w:pPr>
        <w:pStyle w:val="Heading3"/>
      </w:pPr>
      <w:r>
        <w:lastRenderedPageBreak/>
        <w:t xml:space="preserve">Definition of </w:t>
      </w:r>
      <w:r w:rsidR="00E97E0A">
        <w:t>Terms</w:t>
      </w:r>
    </w:p>
    <w:p w:rsidR="00637F1B" w:rsidRDefault="00637F1B" w:rsidP="008075FC">
      <w:pPr>
        <w:pStyle w:val="BodyText"/>
        <w:keepNext/>
      </w:pPr>
      <w:r>
        <w:t xml:space="preserve">The parameters in the above equation are listed in </w:t>
      </w:r>
      <w:r w:rsidR="007A1FB6">
        <w:fldChar w:fldCharType="begin"/>
      </w:r>
      <w:r w:rsidR="00081415">
        <w:instrText xml:space="preserve"> REF _Ref274915443 \h </w:instrText>
      </w:r>
      <w:r w:rsidR="007A1FB6">
        <w:fldChar w:fldCharType="separate"/>
      </w:r>
      <w:r w:rsidR="00C0292F">
        <w:t xml:space="preserve">Table </w:t>
      </w:r>
      <w:r w:rsidR="00C0292F">
        <w:rPr>
          <w:noProof/>
        </w:rPr>
        <w:t>2</w:t>
      </w:r>
      <w:r w:rsidR="00C0292F">
        <w:noBreakHyphen/>
      </w:r>
      <w:r w:rsidR="00C0292F">
        <w:rPr>
          <w:noProof/>
        </w:rPr>
        <w:t>12</w:t>
      </w:r>
      <w:r w:rsidR="007A1FB6">
        <w:fldChar w:fldCharType="end"/>
      </w:r>
      <w:r w:rsidR="00C979F8">
        <w:t>.</w:t>
      </w:r>
    </w:p>
    <w:p w:rsidR="00B54168" w:rsidRDefault="00B54168" w:rsidP="00100EDF">
      <w:pPr>
        <w:pStyle w:val="Caption"/>
      </w:pPr>
      <w:bookmarkStart w:id="131" w:name="_Ref274915443"/>
      <w:bookmarkStart w:id="132" w:name="_Toc310875498"/>
      <w:r>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12</w:t>
      </w:r>
      <w:r w:rsidR="00274AB1">
        <w:rPr>
          <w:noProof/>
        </w:rPr>
        <w:fldChar w:fldCharType="end"/>
      </w:r>
      <w:bookmarkEnd w:id="131"/>
      <w:r>
        <w:t xml:space="preserve">: </w:t>
      </w:r>
      <w:r w:rsidR="00940A5E">
        <w:t xml:space="preserve">Heat Pump Water Heater </w:t>
      </w:r>
      <w:r w:rsidRPr="00BF3A2E">
        <w:t>Calculation Assumptions</w:t>
      </w:r>
      <w:bookmarkEnd w:id="13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9"/>
        <w:gridCol w:w="1080"/>
        <w:gridCol w:w="1530"/>
        <w:gridCol w:w="1187"/>
      </w:tblGrid>
      <w:tr w:rsidR="00637F1B" w:rsidRPr="00401931" w:rsidTr="006E0899">
        <w:trPr>
          <w:jc w:val="center"/>
        </w:trPr>
        <w:tc>
          <w:tcPr>
            <w:tcW w:w="2856" w:type="pct"/>
            <w:shd w:val="clear" w:color="auto" w:fill="BFBFBF"/>
          </w:tcPr>
          <w:p w:rsidR="00637F1B" w:rsidRPr="001D6512" w:rsidRDefault="00637F1B" w:rsidP="00321935">
            <w:pPr>
              <w:pStyle w:val="TableCell"/>
              <w:spacing w:before="60" w:after="60"/>
              <w:rPr>
                <w:b/>
              </w:rPr>
            </w:pPr>
            <w:r w:rsidRPr="001D6512">
              <w:rPr>
                <w:b/>
              </w:rPr>
              <w:t>Component</w:t>
            </w:r>
          </w:p>
        </w:tc>
        <w:tc>
          <w:tcPr>
            <w:tcW w:w="610" w:type="pct"/>
            <w:shd w:val="clear" w:color="auto" w:fill="BFBFBF"/>
          </w:tcPr>
          <w:p w:rsidR="00637F1B" w:rsidRPr="001D6512" w:rsidRDefault="00637F1B" w:rsidP="00321935">
            <w:pPr>
              <w:pStyle w:val="TableCell"/>
              <w:spacing w:before="60" w:after="60"/>
              <w:rPr>
                <w:b/>
              </w:rPr>
            </w:pPr>
            <w:r w:rsidRPr="001D6512">
              <w:rPr>
                <w:b/>
              </w:rPr>
              <w:t>Type</w:t>
            </w:r>
          </w:p>
        </w:tc>
        <w:tc>
          <w:tcPr>
            <w:tcW w:w="864" w:type="pct"/>
            <w:shd w:val="clear" w:color="auto" w:fill="BFBFBF"/>
          </w:tcPr>
          <w:p w:rsidR="00637F1B" w:rsidRPr="001D6512" w:rsidRDefault="00637F1B" w:rsidP="00321935">
            <w:pPr>
              <w:pStyle w:val="TableCell"/>
              <w:spacing w:before="60" w:after="60"/>
              <w:rPr>
                <w:b/>
              </w:rPr>
            </w:pPr>
            <w:r w:rsidRPr="001D6512">
              <w:rPr>
                <w:b/>
              </w:rPr>
              <w:t>Values</w:t>
            </w:r>
          </w:p>
        </w:tc>
        <w:tc>
          <w:tcPr>
            <w:tcW w:w="670" w:type="pct"/>
            <w:shd w:val="clear" w:color="auto" w:fill="BFBFBF"/>
          </w:tcPr>
          <w:p w:rsidR="00637F1B" w:rsidRPr="001D6512" w:rsidRDefault="00637F1B" w:rsidP="00321935">
            <w:pPr>
              <w:pStyle w:val="TableCell"/>
              <w:spacing w:before="60" w:after="60"/>
              <w:rPr>
                <w:b/>
              </w:rPr>
            </w:pPr>
            <w:r w:rsidRPr="001D6512">
              <w:rPr>
                <w:b/>
              </w:rPr>
              <w:t xml:space="preserve">Source     </w:t>
            </w:r>
          </w:p>
        </w:tc>
      </w:tr>
      <w:tr w:rsidR="00637F1B" w:rsidRPr="00401931" w:rsidTr="006E0899">
        <w:trPr>
          <w:jc w:val="center"/>
        </w:trPr>
        <w:tc>
          <w:tcPr>
            <w:tcW w:w="2856" w:type="pct"/>
          </w:tcPr>
          <w:p w:rsidR="00637F1B" w:rsidRPr="001D6512" w:rsidRDefault="00C67DA4" w:rsidP="00321935">
            <w:pPr>
              <w:pStyle w:val="TableCell"/>
              <w:spacing w:before="60" w:after="60"/>
            </w:pPr>
            <w:r w:rsidRPr="001D6512">
              <w:t>EFbase</w:t>
            </w:r>
            <w:r w:rsidR="00637F1B" w:rsidRPr="001D6512">
              <w:t xml:space="preserve"> , Energy Factor of baseline water heater</w:t>
            </w:r>
          </w:p>
        </w:tc>
        <w:tc>
          <w:tcPr>
            <w:tcW w:w="610" w:type="pct"/>
          </w:tcPr>
          <w:p w:rsidR="00637F1B" w:rsidRPr="001D6512" w:rsidRDefault="00637F1B" w:rsidP="00321935">
            <w:pPr>
              <w:pStyle w:val="TableCell"/>
              <w:spacing w:before="60" w:after="60"/>
            </w:pPr>
            <w:r w:rsidRPr="001D6512">
              <w:t>Fixed</w:t>
            </w:r>
          </w:p>
        </w:tc>
        <w:tc>
          <w:tcPr>
            <w:tcW w:w="864" w:type="pct"/>
          </w:tcPr>
          <w:p w:rsidR="00637F1B" w:rsidRPr="001D6512" w:rsidRDefault="00637F1B" w:rsidP="00321935">
            <w:pPr>
              <w:pStyle w:val="TableCell"/>
              <w:spacing w:before="60" w:after="60"/>
            </w:pPr>
            <w:r w:rsidRPr="001D6512">
              <w:t>0.90</w:t>
            </w:r>
            <w:r w:rsidR="008536DC" w:rsidRPr="001D6512">
              <w:t>4</w:t>
            </w:r>
          </w:p>
        </w:tc>
        <w:tc>
          <w:tcPr>
            <w:tcW w:w="670" w:type="pct"/>
          </w:tcPr>
          <w:p w:rsidR="00637F1B" w:rsidRPr="001D6512" w:rsidRDefault="00CC745B" w:rsidP="00321935">
            <w:pPr>
              <w:pStyle w:val="TableCell"/>
              <w:spacing w:before="60" w:after="60"/>
            </w:pPr>
            <w:r w:rsidRPr="001D6512">
              <w:rPr>
                <w:rStyle w:val="EndnoteReference"/>
                <w:vertAlign w:val="baseline"/>
              </w:rPr>
              <w:t>4</w:t>
            </w:r>
          </w:p>
        </w:tc>
      </w:tr>
      <w:tr w:rsidR="00637F1B" w:rsidRPr="00401931" w:rsidTr="006E0899">
        <w:trPr>
          <w:jc w:val="center"/>
        </w:trPr>
        <w:tc>
          <w:tcPr>
            <w:tcW w:w="2856" w:type="pct"/>
          </w:tcPr>
          <w:p w:rsidR="00637F1B" w:rsidRPr="001D6512" w:rsidRDefault="00F11594" w:rsidP="00321935">
            <w:pPr>
              <w:pStyle w:val="TableCell"/>
              <w:spacing w:before="60" w:after="60"/>
            </w:pPr>
            <w:r w:rsidRPr="001D6512">
              <w:t xml:space="preserve">EFproposed, </w:t>
            </w:r>
            <w:r w:rsidR="00637F1B" w:rsidRPr="001D6512">
              <w:t>Energy Factor of proposed efficient water heater</w:t>
            </w:r>
          </w:p>
        </w:tc>
        <w:tc>
          <w:tcPr>
            <w:tcW w:w="610" w:type="pct"/>
          </w:tcPr>
          <w:p w:rsidR="00637F1B" w:rsidRPr="001D6512" w:rsidRDefault="00637F1B" w:rsidP="00321935">
            <w:pPr>
              <w:pStyle w:val="TableCell"/>
              <w:spacing w:before="60" w:after="60"/>
            </w:pPr>
            <w:r w:rsidRPr="001D6512">
              <w:t>Variable</w:t>
            </w:r>
          </w:p>
        </w:tc>
        <w:tc>
          <w:tcPr>
            <w:tcW w:w="864" w:type="pct"/>
          </w:tcPr>
          <w:p w:rsidR="00637F1B" w:rsidRPr="001D6512" w:rsidRDefault="00637F1B" w:rsidP="00321935">
            <w:pPr>
              <w:pStyle w:val="TableCell"/>
              <w:spacing w:before="60" w:after="60"/>
            </w:pPr>
            <w:r w:rsidRPr="001D6512">
              <w:t>&gt;=2.0</w:t>
            </w:r>
          </w:p>
        </w:tc>
        <w:tc>
          <w:tcPr>
            <w:tcW w:w="670" w:type="pct"/>
          </w:tcPr>
          <w:p w:rsidR="00637F1B" w:rsidRPr="001D6512" w:rsidRDefault="00637F1B" w:rsidP="00321935">
            <w:pPr>
              <w:pStyle w:val="TableCell"/>
              <w:spacing w:before="60" w:after="60"/>
            </w:pPr>
            <w:r w:rsidRPr="001D6512">
              <w:t>Program Design</w:t>
            </w:r>
          </w:p>
        </w:tc>
      </w:tr>
      <w:tr w:rsidR="00637F1B" w:rsidRPr="00401931" w:rsidTr="006E0899">
        <w:trPr>
          <w:jc w:val="center"/>
        </w:trPr>
        <w:tc>
          <w:tcPr>
            <w:tcW w:w="2856" w:type="pct"/>
          </w:tcPr>
          <w:p w:rsidR="00637F1B" w:rsidRPr="001D6512" w:rsidRDefault="00C67DA4" w:rsidP="00321935">
            <w:pPr>
              <w:pStyle w:val="TableCell"/>
              <w:spacing w:before="60" w:after="60"/>
            </w:pPr>
            <w:r w:rsidRPr="001D6512">
              <w:t>HW , Hot water used per day in gallons</w:t>
            </w:r>
          </w:p>
        </w:tc>
        <w:tc>
          <w:tcPr>
            <w:tcW w:w="610" w:type="pct"/>
          </w:tcPr>
          <w:p w:rsidR="00637F1B" w:rsidRPr="001D6512" w:rsidRDefault="00C67DA4" w:rsidP="00321935">
            <w:pPr>
              <w:pStyle w:val="TableCell"/>
              <w:spacing w:before="60" w:after="60"/>
            </w:pPr>
            <w:r w:rsidRPr="001D6512">
              <w:t>Fixed</w:t>
            </w:r>
          </w:p>
        </w:tc>
        <w:tc>
          <w:tcPr>
            <w:tcW w:w="864" w:type="pct"/>
          </w:tcPr>
          <w:p w:rsidR="00637F1B" w:rsidRPr="001D6512" w:rsidRDefault="00C67DA4" w:rsidP="00321935">
            <w:pPr>
              <w:pStyle w:val="TableCell"/>
              <w:spacing w:before="60" w:after="60"/>
            </w:pPr>
            <w:r w:rsidRPr="001D6512">
              <w:t>64.3 gallon/day</w:t>
            </w:r>
          </w:p>
        </w:tc>
        <w:tc>
          <w:tcPr>
            <w:tcW w:w="670" w:type="pct"/>
          </w:tcPr>
          <w:p w:rsidR="00637F1B" w:rsidRPr="001D6512" w:rsidRDefault="00CC745B" w:rsidP="00321935">
            <w:pPr>
              <w:pStyle w:val="TableCell"/>
              <w:spacing w:before="60" w:after="60"/>
              <w:rPr>
                <w:highlight w:val="yellow"/>
              </w:rPr>
            </w:pPr>
            <w:r w:rsidRPr="001D6512">
              <w:rPr>
                <w:rStyle w:val="EndnoteReference"/>
                <w:vertAlign w:val="baseline"/>
              </w:rPr>
              <w:t>5</w:t>
            </w:r>
          </w:p>
        </w:tc>
      </w:tr>
      <w:tr w:rsidR="00637F1B" w:rsidRPr="00401931" w:rsidTr="006E0899">
        <w:trPr>
          <w:trHeight w:val="77"/>
          <w:jc w:val="center"/>
        </w:trPr>
        <w:tc>
          <w:tcPr>
            <w:tcW w:w="2856" w:type="pct"/>
          </w:tcPr>
          <w:p w:rsidR="00637F1B" w:rsidRPr="001D6512" w:rsidRDefault="00C67DA4" w:rsidP="00321935">
            <w:pPr>
              <w:pStyle w:val="TableCell"/>
              <w:spacing w:before="60" w:after="60"/>
            </w:pPr>
            <w:r w:rsidRPr="001D6512">
              <w:t>Thot</w:t>
            </w:r>
            <w:r w:rsidR="00637F1B" w:rsidRPr="001D6512">
              <w:t xml:space="preserve"> , Temperature of hot water</w:t>
            </w:r>
          </w:p>
        </w:tc>
        <w:tc>
          <w:tcPr>
            <w:tcW w:w="610" w:type="pct"/>
          </w:tcPr>
          <w:p w:rsidR="00637F1B" w:rsidRPr="001D6512" w:rsidRDefault="00637F1B" w:rsidP="00321935">
            <w:pPr>
              <w:pStyle w:val="TableCell"/>
              <w:spacing w:before="60" w:after="60"/>
            </w:pPr>
            <w:r w:rsidRPr="001D6512">
              <w:t>Fixed</w:t>
            </w:r>
          </w:p>
        </w:tc>
        <w:tc>
          <w:tcPr>
            <w:tcW w:w="864" w:type="pct"/>
          </w:tcPr>
          <w:p w:rsidR="00637F1B" w:rsidRPr="001D6512" w:rsidRDefault="00637F1B" w:rsidP="00321935">
            <w:pPr>
              <w:pStyle w:val="TableCell"/>
              <w:spacing w:before="60" w:after="60"/>
            </w:pPr>
            <w:r w:rsidRPr="001D6512">
              <w:t>120 °F</w:t>
            </w:r>
          </w:p>
        </w:tc>
        <w:tc>
          <w:tcPr>
            <w:tcW w:w="670" w:type="pct"/>
          </w:tcPr>
          <w:p w:rsidR="00637F1B" w:rsidRPr="001D6512" w:rsidRDefault="00CC745B" w:rsidP="00321935">
            <w:pPr>
              <w:pStyle w:val="TableCell"/>
              <w:spacing w:before="60" w:after="60"/>
              <w:rPr>
                <w:highlight w:val="yellow"/>
              </w:rPr>
            </w:pPr>
            <w:r w:rsidRPr="001D6512">
              <w:rPr>
                <w:rStyle w:val="EndnoteReference"/>
                <w:vertAlign w:val="baseline"/>
              </w:rPr>
              <w:t>6</w:t>
            </w:r>
          </w:p>
        </w:tc>
      </w:tr>
      <w:tr w:rsidR="00637F1B" w:rsidRPr="00401931" w:rsidTr="006E0899">
        <w:trPr>
          <w:jc w:val="center"/>
        </w:trPr>
        <w:tc>
          <w:tcPr>
            <w:tcW w:w="2856" w:type="pct"/>
          </w:tcPr>
          <w:p w:rsidR="00637F1B" w:rsidRPr="001D6512" w:rsidRDefault="00C67DA4" w:rsidP="00321935">
            <w:pPr>
              <w:pStyle w:val="TableCell"/>
              <w:spacing w:before="60" w:after="60"/>
            </w:pPr>
            <w:r w:rsidRPr="001D6512">
              <w:t>Tcold</w:t>
            </w:r>
            <w:r w:rsidR="00637F1B" w:rsidRPr="001D6512">
              <w:t xml:space="preserve"> , Temperature of cold water supply</w:t>
            </w:r>
          </w:p>
        </w:tc>
        <w:tc>
          <w:tcPr>
            <w:tcW w:w="610" w:type="pct"/>
          </w:tcPr>
          <w:p w:rsidR="00637F1B" w:rsidRPr="001D6512" w:rsidRDefault="00637F1B" w:rsidP="00321935">
            <w:pPr>
              <w:pStyle w:val="TableCell"/>
              <w:spacing w:before="60" w:after="60"/>
            </w:pPr>
            <w:r w:rsidRPr="001D6512">
              <w:t>Fixed</w:t>
            </w:r>
          </w:p>
        </w:tc>
        <w:tc>
          <w:tcPr>
            <w:tcW w:w="864" w:type="pct"/>
          </w:tcPr>
          <w:p w:rsidR="00637F1B" w:rsidRPr="001D6512" w:rsidRDefault="00637F1B" w:rsidP="00321935">
            <w:pPr>
              <w:pStyle w:val="TableCell"/>
              <w:spacing w:before="60" w:after="60"/>
            </w:pPr>
            <w:r w:rsidRPr="001D6512">
              <w:t>55 °F</w:t>
            </w:r>
          </w:p>
        </w:tc>
        <w:tc>
          <w:tcPr>
            <w:tcW w:w="670" w:type="pct"/>
          </w:tcPr>
          <w:p w:rsidR="00637F1B" w:rsidRPr="001D6512" w:rsidRDefault="00CC745B" w:rsidP="00321935">
            <w:pPr>
              <w:pStyle w:val="TableCell"/>
              <w:spacing w:before="60" w:after="60"/>
              <w:rPr>
                <w:highlight w:val="yellow"/>
              </w:rPr>
            </w:pPr>
            <w:r w:rsidRPr="001D6512">
              <w:t>7</w:t>
            </w:r>
          </w:p>
        </w:tc>
      </w:tr>
      <w:tr w:rsidR="00637F1B" w:rsidRPr="00401931" w:rsidTr="006E0899">
        <w:trPr>
          <w:jc w:val="center"/>
        </w:trPr>
        <w:tc>
          <w:tcPr>
            <w:tcW w:w="2856" w:type="pct"/>
          </w:tcPr>
          <w:p w:rsidR="00637F1B" w:rsidRPr="001D6512" w:rsidRDefault="00C67DA4" w:rsidP="00321935">
            <w:pPr>
              <w:pStyle w:val="TableCell"/>
              <w:spacing w:before="60" w:after="60"/>
            </w:pPr>
            <w:r w:rsidRPr="001D6512">
              <w:t>FDerate</w:t>
            </w:r>
            <w:r w:rsidR="00637F1B" w:rsidRPr="001D6512">
              <w:t xml:space="preserve">, COP De-rating factor </w:t>
            </w:r>
          </w:p>
        </w:tc>
        <w:tc>
          <w:tcPr>
            <w:tcW w:w="610" w:type="pct"/>
          </w:tcPr>
          <w:p w:rsidR="00637F1B" w:rsidRPr="001D6512" w:rsidRDefault="00637F1B" w:rsidP="00321935">
            <w:pPr>
              <w:pStyle w:val="TableCell"/>
              <w:spacing w:before="60" w:after="60"/>
            </w:pPr>
            <w:r w:rsidRPr="001D6512">
              <w:t>Fixed</w:t>
            </w:r>
          </w:p>
        </w:tc>
        <w:tc>
          <w:tcPr>
            <w:tcW w:w="864" w:type="pct"/>
          </w:tcPr>
          <w:p w:rsidR="00637F1B" w:rsidRPr="001D6512" w:rsidRDefault="00637F1B" w:rsidP="00321935">
            <w:pPr>
              <w:pStyle w:val="TableCell"/>
              <w:spacing w:before="60" w:after="60"/>
            </w:pPr>
            <w:r w:rsidRPr="001D6512">
              <w:t>0.84</w:t>
            </w:r>
          </w:p>
        </w:tc>
        <w:tc>
          <w:tcPr>
            <w:tcW w:w="670" w:type="pct"/>
          </w:tcPr>
          <w:p w:rsidR="00637F1B" w:rsidRPr="001D6512" w:rsidRDefault="00CC745B" w:rsidP="00321935">
            <w:pPr>
              <w:pStyle w:val="TableCell"/>
              <w:spacing w:before="60" w:after="60"/>
            </w:pPr>
            <w:r w:rsidRPr="001D6512">
              <w:t>8</w:t>
            </w:r>
            <w:r w:rsidR="00637F1B" w:rsidRPr="001D6512">
              <w:t>, and discussion below</w:t>
            </w:r>
          </w:p>
        </w:tc>
      </w:tr>
      <w:tr w:rsidR="00637F1B" w:rsidRPr="00401931" w:rsidTr="006E0899">
        <w:trPr>
          <w:jc w:val="center"/>
        </w:trPr>
        <w:tc>
          <w:tcPr>
            <w:tcW w:w="2856" w:type="pct"/>
          </w:tcPr>
          <w:p w:rsidR="00637F1B" w:rsidRPr="001D6512" w:rsidRDefault="00C67DA4" w:rsidP="00321935">
            <w:pPr>
              <w:pStyle w:val="TableCell"/>
              <w:spacing w:before="60" w:after="60"/>
            </w:pPr>
            <w:r w:rsidRPr="001D6512">
              <w:t>EnergyToDemandFactor</w:t>
            </w:r>
          </w:p>
        </w:tc>
        <w:tc>
          <w:tcPr>
            <w:tcW w:w="610" w:type="pct"/>
          </w:tcPr>
          <w:p w:rsidR="00637F1B" w:rsidRPr="001D6512" w:rsidRDefault="00C67DA4" w:rsidP="00321935">
            <w:pPr>
              <w:pStyle w:val="TableCell"/>
              <w:spacing w:before="60" w:after="60"/>
            </w:pPr>
            <w:r w:rsidRPr="001D6512">
              <w:t>Fixed</w:t>
            </w:r>
          </w:p>
        </w:tc>
        <w:tc>
          <w:tcPr>
            <w:tcW w:w="864" w:type="pct"/>
          </w:tcPr>
          <w:p w:rsidR="00637F1B" w:rsidRPr="001D6512" w:rsidRDefault="00C67DA4" w:rsidP="00321935">
            <w:pPr>
              <w:pStyle w:val="TableCell"/>
              <w:spacing w:before="60" w:after="60"/>
            </w:pPr>
            <w:r w:rsidRPr="001D6512">
              <w:t>0.00009172</w:t>
            </w:r>
          </w:p>
        </w:tc>
        <w:tc>
          <w:tcPr>
            <w:tcW w:w="670" w:type="pct"/>
          </w:tcPr>
          <w:p w:rsidR="00637F1B" w:rsidRPr="001D6512" w:rsidRDefault="00C67DA4" w:rsidP="00321935">
            <w:pPr>
              <w:pStyle w:val="TableCell"/>
              <w:spacing w:before="60" w:after="60"/>
            </w:pPr>
            <w:r w:rsidRPr="001D6512">
              <w:t>1-4</w:t>
            </w:r>
          </w:p>
        </w:tc>
      </w:tr>
    </w:tbl>
    <w:p w:rsidR="00637F1B" w:rsidRDefault="00637F1B" w:rsidP="00637F1B"/>
    <w:p w:rsidR="00637F1B" w:rsidRPr="00BC5194" w:rsidRDefault="00637F1B" w:rsidP="00100EDF">
      <w:pPr>
        <w:rPr>
          <w:b/>
        </w:rPr>
      </w:pPr>
      <w:r w:rsidRPr="00BC5194">
        <w:rPr>
          <w:b/>
        </w:rPr>
        <w:t>Source</w:t>
      </w:r>
      <w:r w:rsidR="0007450F" w:rsidRPr="00BC5194">
        <w:rPr>
          <w:b/>
        </w:rPr>
        <w:t>s</w:t>
      </w:r>
      <w:r w:rsidRPr="00BC5194">
        <w:rPr>
          <w:b/>
        </w:rPr>
        <w:t>:</w:t>
      </w:r>
    </w:p>
    <w:p w:rsidR="00CC745B" w:rsidRDefault="00CC745B" w:rsidP="00173C8E">
      <w:pPr>
        <w:pStyle w:val="source1"/>
        <w:numPr>
          <w:ilvl w:val="0"/>
          <w:numId w:val="7"/>
        </w:numPr>
      </w:pPr>
      <w:r>
        <w:t xml:space="preserve">Deemed Savings Estimates for Legacy Air Conditioning and Water Heating Direct Load Control Programs in PJM Region. The report can be accessed online: http://www.pjm.com/~/media/committees-groups/working-groups/lrwg/20070301/20070301-pjm-deemed-savings-report.ashx  , </w:t>
      </w:r>
    </w:p>
    <w:p w:rsidR="00CC745B" w:rsidRDefault="00CC745B" w:rsidP="00173C8E">
      <w:pPr>
        <w:pStyle w:val="source1"/>
        <w:numPr>
          <w:ilvl w:val="0"/>
          <w:numId w:val="7"/>
        </w:numPr>
      </w:pPr>
      <w:r>
        <w:t>The average is over all 82 water heaters and over all summer, spring/fall, or winter days.  The  load shapes are taken from the fourth columns, labeled “Mean”, in tables 14,15, and 16 in pages 5-31 and 5-32</w:t>
      </w:r>
    </w:p>
    <w:p w:rsidR="00CC745B" w:rsidRDefault="00CC745B" w:rsidP="00173C8E">
      <w:pPr>
        <w:pStyle w:val="source1"/>
        <w:numPr>
          <w:ilvl w:val="0"/>
          <w:numId w:val="7"/>
        </w:numPr>
      </w:pPr>
      <w:r w:rsidRPr="00CC745B">
        <w:t>The 5th column, labeled “Mean” of Table 18 in page 5-34 is used to derive an adjustment factor that scales average summer usage to summer weekday usage.    The conversion factor is 0.925844.  A number smaller than one indicates that for residential homes, the hot water usage from noon to 8 PM is slightly higher is the weekends than on weekdays.</w:t>
      </w:r>
    </w:p>
    <w:p w:rsidR="00637F1B" w:rsidRDefault="00637F1B" w:rsidP="00173C8E">
      <w:pPr>
        <w:pStyle w:val="source1"/>
        <w:numPr>
          <w:ilvl w:val="0"/>
          <w:numId w:val="7"/>
        </w:numPr>
      </w:pPr>
      <w:r>
        <w:t>Federal Standards are 0.97 -0.00132 x Rated Storage in Gallons.  For a 50-gallon tank this is approximately 0.90.  “Energy Conservation Program: Energy Conservation Standards for Residential Water Heaters, Direct Heating Equipment, and Pool Heaters” US Dept of Energy Docket Number: EE–2006–BT-STD–0129, p. 30</w:t>
      </w:r>
    </w:p>
    <w:p w:rsidR="00637F1B" w:rsidRDefault="00637F1B" w:rsidP="00637F1B">
      <w:pPr>
        <w:pStyle w:val="source1"/>
      </w:pPr>
      <w:r>
        <w:t xml:space="preserve">“Energy Conservation Program for Consumer Products: Test Procedure for Water Heaters”, Federal Register / Vol. 63, No. 90, p. 25996  The temperatures are at 67.5 °F </w:t>
      </w:r>
      <w:r w:rsidR="00F11594">
        <w:t>dry bulb</w:t>
      </w:r>
      <w:r>
        <w:t xml:space="preserve"> and 50% RH, which is °F 67.5 </w:t>
      </w:r>
      <w:r w:rsidR="00F11594">
        <w:t>wet bulb</w:t>
      </w:r>
      <w:r>
        <w:t>.</w:t>
      </w:r>
    </w:p>
    <w:p w:rsidR="00637F1B" w:rsidRDefault="00637F1B" w:rsidP="00637F1B">
      <w:pPr>
        <w:pStyle w:val="source1"/>
      </w:pPr>
      <w:r>
        <w:t xml:space="preserve"> Many states have plumbing codes that limit shower and bathtub water temperature to 120 °F.</w:t>
      </w:r>
    </w:p>
    <w:p w:rsidR="00637F1B" w:rsidRDefault="00637F1B" w:rsidP="00637F1B">
      <w:pPr>
        <w:pStyle w:val="source1"/>
      </w:pPr>
      <w:r>
        <w:t xml:space="preserve"> Mid-Atlantic TRM, footnote #24</w:t>
      </w:r>
    </w:p>
    <w:p w:rsidR="00CC745B" w:rsidRDefault="00CC745B" w:rsidP="00CC745B">
      <w:pPr>
        <w:pStyle w:val="source1"/>
      </w:pPr>
      <w:r>
        <w:lastRenderedPageBreak/>
        <w:t>The performance curve is adapted from  Table 1 in http://wescorhvac.com/HPWH%20design%20details.htm#Single-stage%20HPWHs</w:t>
      </w:r>
    </w:p>
    <w:p w:rsidR="00CC745B" w:rsidRDefault="00CC745B" w:rsidP="00401931">
      <w:pPr>
        <w:pStyle w:val="source1"/>
        <w:numPr>
          <w:ilvl w:val="0"/>
          <w:numId w:val="0"/>
        </w:numPr>
        <w:spacing w:after="200"/>
        <w:ind w:left="720"/>
      </w:pPr>
      <w:r>
        <w:t xml:space="preserve">The performance curve depends on other factors, such as hot water set point.  Our adjustment factor of 0.84 is a first order approximation based on the information available in literature.  </w:t>
      </w:r>
    </w:p>
    <w:p w:rsidR="00637F1B" w:rsidRDefault="00637F1B" w:rsidP="00871FA2">
      <w:pPr>
        <w:pStyle w:val="Heading3"/>
      </w:pPr>
      <w:r>
        <w:t>Heat Pump Water Heater Energy Factor</w:t>
      </w:r>
    </w:p>
    <w:p w:rsidR="00637F1B" w:rsidRPr="000F5920" w:rsidRDefault="00637F1B" w:rsidP="00637F1B">
      <w:pPr>
        <w:pStyle w:val="BodyText"/>
      </w:pPr>
      <w:r w:rsidRPr="000F5920">
        <w:t xml:space="preserve">The Energy Factors are determined from a DOE testing procedure that is carried out at 56 °F </w:t>
      </w:r>
      <w:r w:rsidR="00F11594" w:rsidRPr="000F5920">
        <w:t>wet bulb</w:t>
      </w:r>
      <w:r w:rsidRPr="000F5920">
        <w:t xml:space="preserve"> temperature. However, the average </w:t>
      </w:r>
      <w:r w:rsidR="00F11594" w:rsidRPr="000F5920">
        <w:t>wet bulb</w:t>
      </w:r>
      <w:r w:rsidRPr="000F5920">
        <w:t xml:space="preserve"> temperature in PA is closer to</w:t>
      </w:r>
      <w:r>
        <w:t xml:space="preserve"> 45 °F</w:t>
      </w:r>
      <w:r w:rsidR="003B45BC">
        <w:rPr>
          <w:rStyle w:val="FootnoteReference"/>
        </w:rPr>
        <w:footnoteReference w:id="18"/>
      </w:r>
      <w:r>
        <w:t xml:space="preserve">.  </w:t>
      </w:r>
      <w:r w:rsidRPr="000F5920">
        <w:t>The heat pump performance</w:t>
      </w:r>
      <w:r>
        <w:t xml:space="preserve"> is temperature dependent.  The plot below shows relative coefficient of performance (COP) compared to the COP at rated conditions</w:t>
      </w:r>
      <w:r w:rsidR="003B45BC">
        <w:rPr>
          <w:rStyle w:val="FootnoteReference"/>
        </w:rPr>
        <w:footnoteReference w:id="19"/>
      </w:r>
      <w:r>
        <w:t>.  According to the linear regression shown on the plot, the COP of a heat pump water heater at 45 °F is 0.84 of the COP at nominal rating conditions.  As such, a de-rating factor of 0.84 is applied to the nominal Energy Factor of the Heat Pump water heaters.</w:t>
      </w:r>
    </w:p>
    <w:p w:rsidR="00401931" w:rsidRDefault="003C7C58" w:rsidP="00D15164">
      <w:pPr>
        <w:pStyle w:val="BodyTextIndent2"/>
        <w:keepNext/>
        <w:spacing w:before="240"/>
        <w:ind w:left="0"/>
        <w:jc w:val="center"/>
      </w:pPr>
      <w:r>
        <w:rPr>
          <w:noProof/>
        </w:rPr>
        <w:drawing>
          <wp:inline distT="0" distB="0" distL="0" distR="0">
            <wp:extent cx="4591050" cy="2952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91050" cy="2952750"/>
                    </a:xfrm>
                    <a:prstGeom prst="rect">
                      <a:avLst/>
                    </a:prstGeom>
                    <a:noFill/>
                    <a:ln>
                      <a:noFill/>
                    </a:ln>
                  </pic:spPr>
                </pic:pic>
              </a:graphicData>
            </a:graphic>
          </wp:inline>
        </w:drawing>
      </w:r>
    </w:p>
    <w:p w:rsidR="00637F1B" w:rsidRPr="000F5920" w:rsidRDefault="00401931" w:rsidP="008075FC">
      <w:pPr>
        <w:pStyle w:val="Caption"/>
        <w:keepNext w:val="0"/>
        <w:rPr>
          <w:rFonts w:ascii="Times New Roman" w:hAnsi="Times New Roman"/>
          <w:b w:val="0"/>
          <w:sz w:val="24"/>
          <w:szCs w:val="24"/>
        </w:rPr>
      </w:pPr>
      <w:r>
        <w:t xml:space="preserve">Figure </w:t>
      </w:r>
      <w:r w:rsidR="007A1FB6">
        <w:fldChar w:fldCharType="begin"/>
      </w:r>
      <w:r w:rsidR="008B139C">
        <w:instrText xml:space="preserve"> STYLEREF 1 \s </w:instrText>
      </w:r>
      <w:r w:rsidR="007A1FB6">
        <w:fldChar w:fldCharType="separate"/>
      </w:r>
      <w:r w:rsidR="00C0292F">
        <w:rPr>
          <w:noProof/>
        </w:rPr>
        <w:t>2</w:t>
      </w:r>
      <w:r w:rsidR="007A1FB6">
        <w:fldChar w:fldCharType="end"/>
      </w:r>
      <w:r w:rsidR="008B139C">
        <w:noBreakHyphen/>
      </w:r>
      <w:r w:rsidR="007A1FB6">
        <w:fldChar w:fldCharType="begin"/>
      </w:r>
      <w:r w:rsidR="008B139C">
        <w:instrText xml:space="preserve"> SEQ Figure \* ARABIC \s 1 </w:instrText>
      </w:r>
      <w:r w:rsidR="007A1FB6">
        <w:fldChar w:fldCharType="separate"/>
      </w:r>
      <w:r w:rsidR="00C0292F">
        <w:rPr>
          <w:noProof/>
        </w:rPr>
        <w:t>3</w:t>
      </w:r>
      <w:r w:rsidR="007A1FB6">
        <w:fldChar w:fldCharType="end"/>
      </w:r>
      <w:r>
        <w:t>:</w:t>
      </w:r>
      <w:r w:rsidRPr="00401931">
        <w:t xml:space="preserve"> </w:t>
      </w:r>
      <w:r w:rsidRPr="00AA6726">
        <w:t>Dependence of COP on outdoor wet</w:t>
      </w:r>
      <w:r w:rsidR="00716DAB">
        <w:t>-</w:t>
      </w:r>
      <w:r w:rsidRPr="00AA6726">
        <w:t>bulb temperature.</w:t>
      </w:r>
    </w:p>
    <w:p w:rsidR="00637F1B" w:rsidRDefault="00637F1B" w:rsidP="00871FA2">
      <w:pPr>
        <w:pStyle w:val="Heading3"/>
      </w:pPr>
      <w:r w:rsidRPr="00837206">
        <w:lastRenderedPageBreak/>
        <w:t>Deemed Savings</w:t>
      </w:r>
    </w:p>
    <w:p w:rsidR="00637F1B" w:rsidRDefault="00637F1B" w:rsidP="008075FC">
      <w:pPr>
        <w:pStyle w:val="BodyText"/>
        <w:keepNext/>
      </w:pPr>
      <w:r w:rsidRPr="00837206">
        <w:t xml:space="preserve">The deemed savings for the installation of </w:t>
      </w:r>
      <w:r>
        <w:t>heat pump electric</w:t>
      </w:r>
      <w:r w:rsidRPr="00837206">
        <w:t xml:space="preserve"> water heaters with</w:t>
      </w:r>
      <w:r>
        <w:t xml:space="preserve"> various</w:t>
      </w:r>
      <w:r w:rsidRPr="00837206">
        <w:t xml:space="preserve"> Energy Factor</w:t>
      </w:r>
      <w:r>
        <w:t>s are listed below.</w:t>
      </w:r>
    </w:p>
    <w:p w:rsidR="00B54168" w:rsidRDefault="00B54168" w:rsidP="00100EDF">
      <w:pPr>
        <w:pStyle w:val="Caption"/>
      </w:pPr>
      <w:bookmarkStart w:id="133" w:name="_Toc310875499"/>
      <w:r>
        <w:t xml:space="preserve">Table </w:t>
      </w:r>
      <w:r w:rsidR="00274AB1">
        <w:fldChar w:fldCharType="begin"/>
      </w:r>
      <w:r w:rsidR="00274AB1">
        <w:instrText xml:space="preserve"> STYLEREF </w:instrText>
      </w:r>
      <w:r w:rsidR="00274AB1">
        <w:instrText xml:space="preserve">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13</w:t>
      </w:r>
      <w:r w:rsidR="00274AB1">
        <w:rPr>
          <w:noProof/>
        </w:rPr>
        <w:fldChar w:fldCharType="end"/>
      </w:r>
      <w:r>
        <w:t xml:space="preserve">: </w:t>
      </w:r>
      <w:r w:rsidRPr="00D16B9A">
        <w:t>Energy Savings and Demand Reductions</w:t>
      </w:r>
      <w:bookmarkEnd w:id="13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3"/>
        <w:gridCol w:w="2951"/>
      </w:tblGrid>
      <w:tr w:rsidR="00637F1B" w:rsidRPr="006E0899" w:rsidTr="006E0899">
        <w:trPr>
          <w:jc w:val="center"/>
        </w:trPr>
        <w:tc>
          <w:tcPr>
            <w:tcW w:w="1667" w:type="pct"/>
            <w:shd w:val="clear" w:color="auto" w:fill="BFBFBF"/>
          </w:tcPr>
          <w:p w:rsidR="00637F1B" w:rsidRPr="001D6512" w:rsidRDefault="00637F1B" w:rsidP="00321935">
            <w:pPr>
              <w:pStyle w:val="TableCell"/>
              <w:spacing w:before="60" w:after="60"/>
              <w:rPr>
                <w:b/>
              </w:rPr>
            </w:pPr>
            <w:r w:rsidRPr="001D6512">
              <w:rPr>
                <w:b/>
              </w:rPr>
              <w:t>Energy Factor</w:t>
            </w:r>
          </w:p>
        </w:tc>
        <w:tc>
          <w:tcPr>
            <w:tcW w:w="1667" w:type="pct"/>
            <w:shd w:val="clear" w:color="auto" w:fill="BFBFBF"/>
          </w:tcPr>
          <w:p w:rsidR="00637F1B" w:rsidRPr="001D6512" w:rsidRDefault="00637F1B" w:rsidP="00321935">
            <w:pPr>
              <w:pStyle w:val="TableCell"/>
              <w:spacing w:before="60" w:after="60"/>
              <w:rPr>
                <w:b/>
              </w:rPr>
            </w:pPr>
            <w:r w:rsidRPr="001D6512">
              <w:rPr>
                <w:b/>
              </w:rPr>
              <w:t>Energy Savings (kWh)</w:t>
            </w:r>
          </w:p>
        </w:tc>
        <w:tc>
          <w:tcPr>
            <w:tcW w:w="1666" w:type="pct"/>
            <w:shd w:val="clear" w:color="auto" w:fill="BFBFBF"/>
          </w:tcPr>
          <w:p w:rsidR="00637F1B" w:rsidRPr="001D6512" w:rsidRDefault="00637F1B" w:rsidP="00321935">
            <w:pPr>
              <w:pStyle w:val="TableCell"/>
              <w:spacing w:before="60" w:after="60"/>
              <w:rPr>
                <w:b/>
              </w:rPr>
            </w:pPr>
            <w:r w:rsidRPr="001D6512">
              <w:rPr>
                <w:b/>
              </w:rPr>
              <w:t>Demand Reduction (kW)</w:t>
            </w:r>
          </w:p>
        </w:tc>
      </w:tr>
      <w:tr w:rsidR="00637F1B" w:rsidRPr="006E0899" w:rsidTr="006E0899">
        <w:trPr>
          <w:jc w:val="center"/>
        </w:trPr>
        <w:tc>
          <w:tcPr>
            <w:tcW w:w="1667" w:type="pct"/>
          </w:tcPr>
          <w:p w:rsidR="00637F1B" w:rsidRPr="001D6512" w:rsidRDefault="00637F1B" w:rsidP="00321935">
            <w:pPr>
              <w:pStyle w:val="TableCell"/>
              <w:spacing w:before="60" w:after="60"/>
              <w:rPr>
                <w:color w:val="000000"/>
              </w:rPr>
            </w:pPr>
            <w:r w:rsidRPr="001D6512">
              <w:rPr>
                <w:color w:val="000000"/>
              </w:rPr>
              <w:t xml:space="preserve">2.3 </w:t>
            </w:r>
          </w:p>
        </w:tc>
        <w:tc>
          <w:tcPr>
            <w:tcW w:w="1667" w:type="pct"/>
          </w:tcPr>
          <w:p w:rsidR="00637F1B" w:rsidRPr="001D6512" w:rsidRDefault="008536DC" w:rsidP="00321935">
            <w:pPr>
              <w:pStyle w:val="TableCell"/>
              <w:spacing w:before="60" w:after="60"/>
              <w:rPr>
                <w:color w:val="000000"/>
              </w:rPr>
            </w:pPr>
            <w:r w:rsidRPr="001D6512">
              <w:rPr>
                <w:color w:val="000000"/>
              </w:rPr>
              <w:t>2184</w:t>
            </w:r>
          </w:p>
        </w:tc>
        <w:tc>
          <w:tcPr>
            <w:tcW w:w="1666" w:type="pct"/>
          </w:tcPr>
          <w:p w:rsidR="00637F1B" w:rsidRPr="001D6512" w:rsidRDefault="00637F1B" w:rsidP="00321935">
            <w:pPr>
              <w:pStyle w:val="TableCell"/>
              <w:spacing w:before="60" w:after="60"/>
              <w:rPr>
                <w:color w:val="000000"/>
              </w:rPr>
            </w:pPr>
            <w:r w:rsidRPr="001D6512">
              <w:rPr>
                <w:color w:val="000000"/>
              </w:rPr>
              <w:t>0.2</w:t>
            </w:r>
            <w:r w:rsidR="008536DC" w:rsidRPr="001D6512">
              <w:rPr>
                <w:color w:val="000000"/>
              </w:rPr>
              <w:t>0</w:t>
            </w:r>
            <w:r w:rsidRPr="001D6512">
              <w:rPr>
                <w:color w:val="000000"/>
              </w:rPr>
              <w:t>0</w:t>
            </w:r>
          </w:p>
        </w:tc>
      </w:tr>
      <w:tr w:rsidR="00637F1B" w:rsidRPr="006E0899" w:rsidTr="006E0899">
        <w:trPr>
          <w:jc w:val="center"/>
        </w:trPr>
        <w:tc>
          <w:tcPr>
            <w:tcW w:w="1667" w:type="pct"/>
          </w:tcPr>
          <w:p w:rsidR="00637F1B" w:rsidRPr="001D6512" w:rsidRDefault="00637F1B" w:rsidP="00321935">
            <w:pPr>
              <w:pStyle w:val="TableCell"/>
              <w:spacing w:before="60" w:after="60"/>
              <w:rPr>
                <w:color w:val="000000"/>
              </w:rPr>
            </w:pPr>
            <w:r w:rsidRPr="001D6512">
              <w:rPr>
                <w:color w:val="000000"/>
              </w:rPr>
              <w:t xml:space="preserve">2.0 </w:t>
            </w:r>
          </w:p>
        </w:tc>
        <w:tc>
          <w:tcPr>
            <w:tcW w:w="1667" w:type="pct"/>
          </w:tcPr>
          <w:p w:rsidR="00637F1B" w:rsidRPr="001D6512" w:rsidRDefault="008536DC" w:rsidP="00321935">
            <w:pPr>
              <w:pStyle w:val="TableCell"/>
              <w:spacing w:before="60" w:after="60"/>
              <w:rPr>
                <w:color w:val="000000"/>
              </w:rPr>
            </w:pPr>
            <w:r w:rsidRPr="001D6512">
              <w:rPr>
                <w:color w:val="000000"/>
              </w:rPr>
              <w:t xml:space="preserve">1896 </w:t>
            </w:r>
          </w:p>
        </w:tc>
        <w:tc>
          <w:tcPr>
            <w:tcW w:w="1666" w:type="pct"/>
          </w:tcPr>
          <w:p w:rsidR="00637F1B" w:rsidRPr="001D6512" w:rsidRDefault="008536DC" w:rsidP="00321935">
            <w:pPr>
              <w:pStyle w:val="TableCell"/>
              <w:spacing w:before="60" w:after="60"/>
              <w:rPr>
                <w:color w:val="000000"/>
              </w:rPr>
            </w:pPr>
            <w:r w:rsidRPr="001D6512">
              <w:rPr>
                <w:color w:val="000000"/>
              </w:rPr>
              <w:t>0.174</w:t>
            </w:r>
          </w:p>
        </w:tc>
      </w:tr>
    </w:tbl>
    <w:p w:rsidR="00637F1B" w:rsidRDefault="00637F1B" w:rsidP="00637F1B">
      <w:pPr>
        <w:pStyle w:val="BodyText"/>
      </w:pPr>
    </w:p>
    <w:p w:rsidR="00637F1B" w:rsidRPr="00C465DB" w:rsidRDefault="00637F1B" w:rsidP="00871FA2">
      <w:pPr>
        <w:pStyle w:val="Heading3"/>
      </w:pPr>
      <w:r w:rsidRPr="00837206">
        <w:t>Measure Life</w:t>
      </w:r>
    </w:p>
    <w:p w:rsidR="00637F1B" w:rsidRPr="00C465DB" w:rsidRDefault="00637F1B" w:rsidP="00637F1B">
      <w:pPr>
        <w:pStyle w:val="BodyText"/>
      </w:pPr>
      <w:r>
        <w:t>According to an October 2008 report for the CA Database for Energy Efficiency Resources, an</w:t>
      </w:r>
      <w:r w:rsidRPr="00837206">
        <w:t xml:space="preserve"> electric water heater’s lifespan is </w:t>
      </w:r>
      <w:r w:rsidRPr="00837206">
        <w:rPr>
          <w:b/>
        </w:rPr>
        <w:t>1</w:t>
      </w:r>
      <w:r>
        <w:rPr>
          <w:b/>
        </w:rPr>
        <w:t>4</w:t>
      </w:r>
      <w:r w:rsidRPr="00837206">
        <w:rPr>
          <w:b/>
        </w:rPr>
        <w:t xml:space="preserve"> years</w:t>
      </w:r>
      <w:r w:rsidR="003B45BC" w:rsidRPr="00E97E0A">
        <w:rPr>
          <w:rStyle w:val="FootnoteReference"/>
        </w:rPr>
        <w:footnoteReference w:id="20"/>
      </w:r>
      <w:r w:rsidRPr="00E97E0A">
        <w:t>.</w:t>
      </w:r>
    </w:p>
    <w:p w:rsidR="00637F1B" w:rsidRPr="00C465DB" w:rsidRDefault="00637F1B" w:rsidP="00871FA2">
      <w:pPr>
        <w:pStyle w:val="Heading3"/>
      </w:pPr>
      <w:r w:rsidRPr="00837206">
        <w:t>Evaluation Protocols</w:t>
      </w:r>
    </w:p>
    <w:p w:rsidR="00637F1B" w:rsidRPr="00C465DB" w:rsidRDefault="00637F1B" w:rsidP="00637F1B">
      <w:pPr>
        <w:pStyle w:val="BodyText"/>
      </w:pPr>
      <w:r w:rsidRPr="00837206">
        <w:t>The most appropriate evaluation protocol for this measure is verification of installation coupled with assignment of stipulated energy savings.</w:t>
      </w:r>
    </w:p>
    <w:p w:rsidR="00637F1B" w:rsidRDefault="00637F1B" w:rsidP="00EB6106">
      <w:pPr>
        <w:pStyle w:val="BodyText"/>
      </w:pPr>
    </w:p>
    <w:p w:rsidR="00CC745B" w:rsidRDefault="00CC745B" w:rsidP="00E568D4">
      <w:pPr>
        <w:pStyle w:val="Heading2"/>
      </w:pPr>
      <w:r>
        <w:br w:type="page"/>
      </w:r>
      <w:bookmarkStart w:id="134" w:name="_Toc310875406"/>
      <w:r>
        <w:lastRenderedPageBreak/>
        <w:t>Home Audit Conservation Kits</w:t>
      </w:r>
      <w:bookmarkEnd w:id="134"/>
    </w:p>
    <w:tbl>
      <w:tblPr>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20" w:firstRow="1" w:lastRow="0" w:firstColumn="0" w:lastColumn="0" w:noHBand="0" w:noVBand="1"/>
      </w:tblPr>
      <w:tblGrid>
        <w:gridCol w:w="2898"/>
        <w:gridCol w:w="5958"/>
      </w:tblGrid>
      <w:tr w:rsidR="00CC745B" w:rsidTr="00F84A22">
        <w:tc>
          <w:tcPr>
            <w:tcW w:w="2898" w:type="dxa"/>
            <w:tcBorders>
              <w:top w:val="single" w:sz="8" w:space="0" w:color="404040"/>
              <w:left w:val="single" w:sz="8" w:space="0" w:color="404040"/>
              <w:bottom w:val="single" w:sz="8" w:space="0" w:color="404040"/>
              <w:right w:val="single" w:sz="8" w:space="0" w:color="404040"/>
            </w:tcBorders>
            <w:shd w:val="clear" w:color="auto" w:fill="BFBFBF"/>
          </w:tcPr>
          <w:p w:rsidR="00CC745B" w:rsidRPr="001D6512" w:rsidRDefault="00CC745B" w:rsidP="00F84A22">
            <w:pPr>
              <w:pStyle w:val="TableCell"/>
              <w:spacing w:before="60" w:after="60"/>
              <w:rPr>
                <w:b/>
                <w:bCs/>
              </w:rPr>
            </w:pPr>
            <w:r w:rsidRPr="001D6512">
              <w:rPr>
                <w:b/>
                <w:bCs/>
              </w:rPr>
              <w:t>Measure Name</w:t>
            </w:r>
          </w:p>
        </w:tc>
        <w:tc>
          <w:tcPr>
            <w:tcW w:w="5958" w:type="dxa"/>
            <w:tcBorders>
              <w:top w:val="single" w:sz="8" w:space="0" w:color="404040"/>
              <w:left w:val="single" w:sz="8" w:space="0" w:color="404040"/>
              <w:bottom w:val="single" w:sz="8" w:space="0" w:color="404040"/>
              <w:right w:val="single" w:sz="8" w:space="0" w:color="404040"/>
            </w:tcBorders>
            <w:shd w:val="clear" w:color="auto" w:fill="BFBFBF"/>
          </w:tcPr>
          <w:p w:rsidR="00CC745B" w:rsidRPr="001D6512" w:rsidRDefault="000F6E91" w:rsidP="00F84A22">
            <w:pPr>
              <w:pStyle w:val="TableCell"/>
              <w:spacing w:before="60" w:after="60"/>
              <w:rPr>
                <w:b/>
                <w:bCs/>
              </w:rPr>
            </w:pPr>
            <w:r w:rsidRPr="001D6512">
              <w:rPr>
                <w:b/>
                <w:bCs/>
              </w:rPr>
              <w:t>Home Audit Conservation Kits</w:t>
            </w:r>
          </w:p>
        </w:tc>
      </w:tr>
      <w:tr w:rsidR="00CC745B" w:rsidTr="00F84A22">
        <w:tc>
          <w:tcPr>
            <w:tcW w:w="2898" w:type="dxa"/>
            <w:tcBorders>
              <w:top w:val="single" w:sz="8" w:space="0" w:color="404040"/>
              <w:left w:val="single" w:sz="8" w:space="0" w:color="404040"/>
              <w:bottom w:val="single" w:sz="8" w:space="0" w:color="404040"/>
              <w:right w:val="single" w:sz="8" w:space="0" w:color="404040"/>
            </w:tcBorders>
            <w:shd w:val="clear" w:color="auto" w:fill="FFFFFF"/>
          </w:tcPr>
          <w:p w:rsidR="00CC745B" w:rsidRPr="00865117" w:rsidRDefault="00CC745B" w:rsidP="00F84A22">
            <w:pPr>
              <w:pStyle w:val="TableCell"/>
              <w:spacing w:before="60" w:after="60"/>
              <w:rPr>
                <w:b/>
                <w:color w:val="000000"/>
              </w:rPr>
            </w:pPr>
            <w:r w:rsidRPr="00865117">
              <w:rPr>
                <w:b/>
                <w:color w:val="000000"/>
              </w:rPr>
              <w:t>Target Sector</w:t>
            </w:r>
          </w:p>
        </w:tc>
        <w:tc>
          <w:tcPr>
            <w:tcW w:w="5958" w:type="dxa"/>
            <w:tcBorders>
              <w:top w:val="single" w:sz="8" w:space="0" w:color="404040"/>
              <w:left w:val="single" w:sz="8" w:space="0" w:color="404040"/>
              <w:bottom w:val="single" w:sz="8" w:space="0" w:color="404040"/>
              <w:right w:val="single" w:sz="8" w:space="0" w:color="404040"/>
            </w:tcBorders>
            <w:shd w:val="clear" w:color="auto" w:fill="FFFFFF"/>
          </w:tcPr>
          <w:p w:rsidR="00CC745B" w:rsidRPr="001D6512" w:rsidRDefault="00CC745B" w:rsidP="00F84A22">
            <w:pPr>
              <w:pStyle w:val="TableCell"/>
              <w:spacing w:before="60" w:after="60"/>
              <w:rPr>
                <w:color w:val="000000"/>
              </w:rPr>
            </w:pPr>
            <w:r w:rsidRPr="001D6512">
              <w:rPr>
                <w:color w:val="000000"/>
              </w:rPr>
              <w:t>Residential Establishments</w:t>
            </w:r>
          </w:p>
        </w:tc>
      </w:tr>
      <w:tr w:rsidR="00CC745B" w:rsidTr="00F84A22">
        <w:tc>
          <w:tcPr>
            <w:tcW w:w="2898" w:type="dxa"/>
            <w:tcBorders>
              <w:top w:val="single" w:sz="8" w:space="0" w:color="404040"/>
              <w:left w:val="single" w:sz="8" w:space="0" w:color="404040"/>
              <w:bottom w:val="single" w:sz="8" w:space="0" w:color="404040"/>
              <w:right w:val="single" w:sz="8" w:space="0" w:color="404040"/>
            </w:tcBorders>
            <w:shd w:val="clear" w:color="auto" w:fill="auto"/>
          </w:tcPr>
          <w:p w:rsidR="00CC745B" w:rsidRPr="00865117" w:rsidRDefault="00CC745B" w:rsidP="00F84A22">
            <w:pPr>
              <w:pStyle w:val="TableCell"/>
              <w:spacing w:before="60" w:after="60"/>
              <w:rPr>
                <w:b/>
                <w:color w:val="000000"/>
              </w:rPr>
            </w:pPr>
            <w:r w:rsidRPr="00865117">
              <w:rPr>
                <w:b/>
                <w:color w:val="000000"/>
              </w:rPr>
              <w:t>Measure Unit</w:t>
            </w:r>
          </w:p>
        </w:tc>
        <w:tc>
          <w:tcPr>
            <w:tcW w:w="5958" w:type="dxa"/>
            <w:tcBorders>
              <w:top w:val="single" w:sz="8" w:space="0" w:color="404040"/>
              <w:left w:val="single" w:sz="8" w:space="0" w:color="404040"/>
              <w:bottom w:val="single" w:sz="8" w:space="0" w:color="404040"/>
              <w:right w:val="single" w:sz="8" w:space="0" w:color="404040"/>
            </w:tcBorders>
            <w:shd w:val="clear" w:color="auto" w:fill="auto"/>
          </w:tcPr>
          <w:p w:rsidR="00CC745B" w:rsidRPr="001D6512" w:rsidRDefault="00CC745B" w:rsidP="00F84A22">
            <w:pPr>
              <w:pStyle w:val="TableCell"/>
              <w:spacing w:before="60" w:after="60"/>
              <w:rPr>
                <w:color w:val="000000"/>
              </w:rPr>
            </w:pPr>
            <w:r w:rsidRPr="001D6512">
              <w:rPr>
                <w:color w:val="000000"/>
              </w:rPr>
              <w:t>One Energy Conservation Kit</w:t>
            </w:r>
          </w:p>
        </w:tc>
      </w:tr>
      <w:tr w:rsidR="00CC745B" w:rsidTr="00F84A22">
        <w:tc>
          <w:tcPr>
            <w:tcW w:w="2898" w:type="dxa"/>
            <w:tcBorders>
              <w:top w:val="single" w:sz="8" w:space="0" w:color="404040"/>
              <w:left w:val="single" w:sz="8" w:space="0" w:color="404040"/>
              <w:bottom w:val="single" w:sz="8" w:space="0" w:color="404040"/>
              <w:right w:val="single" w:sz="8" w:space="0" w:color="404040"/>
            </w:tcBorders>
            <w:shd w:val="clear" w:color="auto" w:fill="FFFFFF"/>
          </w:tcPr>
          <w:p w:rsidR="00CC745B" w:rsidRPr="00865117" w:rsidRDefault="00CC745B" w:rsidP="00F84A22">
            <w:pPr>
              <w:pStyle w:val="TableCell"/>
              <w:spacing w:before="60" w:after="60"/>
              <w:rPr>
                <w:b/>
                <w:color w:val="000000"/>
              </w:rPr>
            </w:pPr>
            <w:r w:rsidRPr="00865117">
              <w:rPr>
                <w:b/>
                <w:color w:val="000000"/>
              </w:rPr>
              <w:t>Unit Energy Savings</w:t>
            </w:r>
          </w:p>
        </w:tc>
        <w:tc>
          <w:tcPr>
            <w:tcW w:w="5958" w:type="dxa"/>
            <w:tcBorders>
              <w:top w:val="single" w:sz="8" w:space="0" w:color="404040"/>
              <w:left w:val="single" w:sz="8" w:space="0" w:color="404040"/>
              <w:bottom w:val="single" w:sz="8" w:space="0" w:color="404040"/>
              <w:right w:val="single" w:sz="8" w:space="0" w:color="404040"/>
            </w:tcBorders>
            <w:shd w:val="clear" w:color="auto" w:fill="FFFFFF"/>
          </w:tcPr>
          <w:p w:rsidR="00CC745B" w:rsidRPr="001D6512" w:rsidRDefault="00CC745B" w:rsidP="00F84A22">
            <w:pPr>
              <w:pStyle w:val="TableCell"/>
              <w:spacing w:before="60" w:after="60"/>
              <w:rPr>
                <w:color w:val="000000"/>
              </w:rPr>
            </w:pPr>
            <w:r w:rsidRPr="001D6512">
              <w:rPr>
                <w:color w:val="000000"/>
              </w:rPr>
              <w:t>Variable based on ISR</w:t>
            </w:r>
          </w:p>
        </w:tc>
      </w:tr>
      <w:tr w:rsidR="00CC745B" w:rsidTr="00F84A22">
        <w:tc>
          <w:tcPr>
            <w:tcW w:w="2898" w:type="dxa"/>
            <w:tcBorders>
              <w:top w:val="single" w:sz="8" w:space="0" w:color="404040"/>
              <w:left w:val="single" w:sz="8" w:space="0" w:color="404040"/>
              <w:bottom w:val="single" w:sz="8" w:space="0" w:color="404040"/>
              <w:right w:val="single" w:sz="8" w:space="0" w:color="404040"/>
            </w:tcBorders>
            <w:shd w:val="clear" w:color="auto" w:fill="auto"/>
          </w:tcPr>
          <w:p w:rsidR="00CC745B" w:rsidRPr="00865117" w:rsidRDefault="00CC745B" w:rsidP="00F84A22">
            <w:pPr>
              <w:pStyle w:val="TableCell"/>
              <w:spacing w:before="60" w:after="60"/>
              <w:rPr>
                <w:b/>
                <w:color w:val="000000"/>
              </w:rPr>
            </w:pPr>
            <w:r w:rsidRPr="00865117">
              <w:rPr>
                <w:b/>
                <w:color w:val="000000"/>
              </w:rPr>
              <w:t>Unit Peak Demand Reduction</w:t>
            </w:r>
          </w:p>
        </w:tc>
        <w:tc>
          <w:tcPr>
            <w:tcW w:w="5958" w:type="dxa"/>
            <w:tcBorders>
              <w:top w:val="single" w:sz="8" w:space="0" w:color="404040"/>
              <w:left w:val="single" w:sz="8" w:space="0" w:color="404040"/>
              <w:bottom w:val="single" w:sz="8" w:space="0" w:color="404040"/>
              <w:right w:val="single" w:sz="8" w:space="0" w:color="404040"/>
            </w:tcBorders>
            <w:shd w:val="clear" w:color="auto" w:fill="auto"/>
          </w:tcPr>
          <w:p w:rsidR="00CC745B" w:rsidRPr="001D6512" w:rsidRDefault="00CC745B" w:rsidP="00F84A22">
            <w:pPr>
              <w:pStyle w:val="TableCell"/>
              <w:spacing w:before="60" w:after="60"/>
              <w:rPr>
                <w:color w:val="000000"/>
              </w:rPr>
            </w:pPr>
            <w:r w:rsidRPr="001D6512">
              <w:rPr>
                <w:color w:val="000000"/>
              </w:rPr>
              <w:t>Variable based on ISR</w:t>
            </w:r>
          </w:p>
        </w:tc>
      </w:tr>
      <w:tr w:rsidR="00CC745B" w:rsidRPr="00CB4471" w:rsidTr="00F84A22">
        <w:tc>
          <w:tcPr>
            <w:tcW w:w="2898" w:type="dxa"/>
            <w:tcBorders>
              <w:top w:val="single" w:sz="8" w:space="0" w:color="404040"/>
              <w:left w:val="single" w:sz="8" w:space="0" w:color="404040"/>
              <w:bottom w:val="single" w:sz="8" w:space="0" w:color="404040"/>
              <w:right w:val="single" w:sz="8" w:space="0" w:color="404040"/>
            </w:tcBorders>
            <w:shd w:val="clear" w:color="auto" w:fill="FFFFFF"/>
          </w:tcPr>
          <w:p w:rsidR="00CC745B" w:rsidRPr="00865117" w:rsidRDefault="00CC745B" w:rsidP="00F84A22">
            <w:pPr>
              <w:pStyle w:val="TableCell"/>
              <w:spacing w:before="60" w:after="60"/>
              <w:rPr>
                <w:b/>
                <w:color w:val="000000"/>
              </w:rPr>
            </w:pPr>
            <w:r w:rsidRPr="00865117">
              <w:rPr>
                <w:b/>
                <w:color w:val="000000"/>
              </w:rPr>
              <w:t>Measure Life</w:t>
            </w:r>
          </w:p>
        </w:tc>
        <w:tc>
          <w:tcPr>
            <w:tcW w:w="5958" w:type="dxa"/>
            <w:tcBorders>
              <w:top w:val="single" w:sz="8" w:space="0" w:color="404040"/>
              <w:left w:val="single" w:sz="8" w:space="0" w:color="404040"/>
              <w:bottom w:val="single" w:sz="8" w:space="0" w:color="404040"/>
              <w:right w:val="single" w:sz="8" w:space="0" w:color="404040"/>
            </w:tcBorders>
            <w:shd w:val="clear" w:color="auto" w:fill="FFFFFF"/>
          </w:tcPr>
          <w:p w:rsidR="00CC745B" w:rsidRPr="001D6512" w:rsidRDefault="00CC745B" w:rsidP="00F84A22">
            <w:pPr>
              <w:pStyle w:val="TableCell"/>
              <w:spacing w:before="60" w:after="60"/>
              <w:rPr>
                <w:color w:val="000000"/>
              </w:rPr>
            </w:pPr>
            <w:r w:rsidRPr="001D6512">
              <w:rPr>
                <w:color w:val="000000"/>
              </w:rPr>
              <w:t>8.1 years</w:t>
            </w:r>
          </w:p>
        </w:tc>
      </w:tr>
    </w:tbl>
    <w:p w:rsidR="00CC745B" w:rsidRPr="00506E1E" w:rsidRDefault="00CC745B" w:rsidP="00CC745B"/>
    <w:p w:rsidR="00CC745B" w:rsidRDefault="00CC745B" w:rsidP="002A3048">
      <w:pPr>
        <w:pStyle w:val="BodyText"/>
      </w:pPr>
      <w:r>
        <w:t>Energy Conservation kits consisting of four CFLs, four faucet aerators, two smart power strips and two LED night lights are sent to participants of the Home Energy Audit programs.  This document quantifies the energy savings associated with the energy conservation kits.</w:t>
      </w:r>
    </w:p>
    <w:p w:rsidR="00CC745B" w:rsidRPr="004940AE" w:rsidRDefault="00E97E0A" w:rsidP="00871FA2">
      <w:pPr>
        <w:pStyle w:val="Heading3"/>
      </w:pPr>
      <w:r>
        <w:t>Eligibility</w:t>
      </w:r>
    </w:p>
    <w:p w:rsidR="00CC745B" w:rsidRPr="004940AE" w:rsidRDefault="00CC745B" w:rsidP="002A3048">
      <w:pPr>
        <w:pStyle w:val="BodyText"/>
      </w:pPr>
      <w:r>
        <w:t>The conservation kits are sent to residential customers only.</w:t>
      </w:r>
    </w:p>
    <w:p w:rsidR="00CC745B" w:rsidRPr="00BF2C3B" w:rsidRDefault="00E97E0A" w:rsidP="00871FA2">
      <w:pPr>
        <w:pStyle w:val="Heading3"/>
      </w:pPr>
      <w:r>
        <w:t>Algorithms</w:t>
      </w:r>
    </w:p>
    <w:p w:rsidR="00CC745B" w:rsidRDefault="00CC745B" w:rsidP="002A3048">
      <w:pPr>
        <w:pStyle w:val="BodyText"/>
      </w:pPr>
      <w:r>
        <w:t xml:space="preserve">The following algorithms are adopted from the Pennsylvania Public Utilities Commission’s Technical Reference Manual (TRM). The demand term has been modified to include the installation rate, which was inadvertently omitted in the TRM.  </w:t>
      </w:r>
    </w:p>
    <w:p w:rsidR="00CC745B" w:rsidRPr="00AA2C40" w:rsidRDefault="00DA48E9" w:rsidP="00F7332F">
      <w:pPr>
        <w:pStyle w:val="Equation"/>
        <w:rPr>
          <w:rFonts w:cs="Arial"/>
          <w:szCs w:val="20"/>
        </w:rPr>
      </w:pPr>
      <w:r w:rsidRPr="00AA2C40">
        <w:rPr>
          <w:rFonts w:cs="Arial"/>
          <w:szCs w:val="20"/>
        </w:rPr>
        <w:sym w:font="Symbol" w:char="F044"/>
      </w:r>
      <w:r w:rsidRPr="00AA2C40">
        <w:rPr>
          <w:rFonts w:cs="Arial"/>
          <w:szCs w:val="20"/>
        </w:rPr>
        <w:t xml:space="preserve">kWh </w:t>
      </w:r>
      <w:r w:rsidRPr="00AA2C40">
        <w:rPr>
          <w:rFonts w:cs="Arial"/>
          <w:szCs w:val="20"/>
        </w:rPr>
        <w:tab/>
      </w:r>
      <w:r w:rsidR="00CC745B" w:rsidRPr="00AA2C40">
        <w:rPr>
          <w:rFonts w:cs="Arial"/>
          <w:szCs w:val="20"/>
        </w:rPr>
        <w:t xml:space="preserve"> </w:t>
      </w:r>
      <w:r w:rsidR="00D15164" w:rsidRPr="00AA2C40">
        <w:rPr>
          <w:rFonts w:cs="Arial"/>
          <w:szCs w:val="20"/>
        </w:rPr>
        <w:tab/>
      </w:r>
      <w:r w:rsidR="00CC745B" w:rsidRPr="00AA2C40">
        <w:rPr>
          <w:rFonts w:cs="Arial"/>
          <w:szCs w:val="20"/>
        </w:rPr>
        <w:t>=</w:t>
      </w:r>
      <w:r w:rsidRPr="00AA2C40">
        <w:rPr>
          <w:rFonts w:cs="Arial"/>
          <w:szCs w:val="20"/>
        </w:rPr>
        <w:t xml:space="preserve"> </w:t>
      </w:r>
      <w:r w:rsidR="00CC745B" w:rsidRPr="00AA2C40">
        <w:rPr>
          <w:rFonts w:cs="Arial"/>
          <w:szCs w:val="20"/>
        </w:rPr>
        <w:t>N</w:t>
      </w:r>
      <w:r w:rsidR="00CC745B" w:rsidRPr="00AA2C40">
        <w:rPr>
          <w:rFonts w:cs="Arial"/>
          <w:szCs w:val="20"/>
          <w:vertAlign w:val="subscript"/>
        </w:rPr>
        <w:t>CFL</w:t>
      </w:r>
      <w:r w:rsidR="00CC745B" w:rsidRPr="00AA2C40">
        <w:rPr>
          <w:rFonts w:cs="Arial"/>
          <w:szCs w:val="20"/>
        </w:rPr>
        <w:t xml:space="preserve"> × ((CFL</w:t>
      </w:r>
      <w:r w:rsidR="00CC745B" w:rsidRPr="00AA2C40">
        <w:rPr>
          <w:rFonts w:cs="Arial"/>
          <w:szCs w:val="20"/>
          <w:vertAlign w:val="subscript"/>
        </w:rPr>
        <w:t>watts</w:t>
      </w:r>
      <w:r w:rsidR="00CC745B" w:rsidRPr="00AA2C40">
        <w:rPr>
          <w:rFonts w:cs="Arial"/>
          <w:szCs w:val="20"/>
        </w:rPr>
        <w:t xml:space="preserve"> × (CFL</w:t>
      </w:r>
      <w:r w:rsidR="00CC745B" w:rsidRPr="00AA2C40">
        <w:rPr>
          <w:rFonts w:cs="Arial"/>
          <w:szCs w:val="20"/>
          <w:vertAlign w:val="subscript"/>
        </w:rPr>
        <w:t>hours</w:t>
      </w:r>
      <w:r w:rsidR="00CC745B" w:rsidRPr="00AA2C40">
        <w:rPr>
          <w:rFonts w:cs="Arial"/>
          <w:szCs w:val="20"/>
        </w:rPr>
        <w:t xml:space="preserve"> × 365))/1000) × ISR</w:t>
      </w:r>
      <w:r w:rsidR="00CC745B" w:rsidRPr="00AA2C40">
        <w:rPr>
          <w:rFonts w:cs="Arial"/>
          <w:szCs w:val="20"/>
          <w:vertAlign w:val="subscript"/>
        </w:rPr>
        <w:t>CFL</w:t>
      </w:r>
      <w:r w:rsidR="00D15164" w:rsidRPr="00AA2C40">
        <w:rPr>
          <w:rFonts w:cs="Arial"/>
          <w:szCs w:val="20"/>
          <w:vertAlign w:val="subscript"/>
        </w:rPr>
        <w:br/>
      </w:r>
      <w:r w:rsidR="00CC745B" w:rsidRPr="00AA2C40">
        <w:rPr>
          <w:rFonts w:cs="Arial"/>
          <w:szCs w:val="20"/>
        </w:rPr>
        <w:t>+  N</w:t>
      </w:r>
      <w:r w:rsidR="00CC745B" w:rsidRPr="00AA2C40">
        <w:rPr>
          <w:rFonts w:cs="Arial"/>
          <w:szCs w:val="20"/>
          <w:vertAlign w:val="subscript"/>
        </w:rPr>
        <w:t xml:space="preserve">Aerator  </w:t>
      </w:r>
      <w:r w:rsidR="00CC745B" w:rsidRPr="00AA2C40">
        <w:rPr>
          <w:rFonts w:cs="Arial"/>
          <w:szCs w:val="20"/>
        </w:rPr>
        <w:t>× Savings</w:t>
      </w:r>
      <w:r w:rsidR="00CC745B" w:rsidRPr="00AA2C40">
        <w:rPr>
          <w:rFonts w:cs="Arial"/>
          <w:szCs w:val="20"/>
          <w:vertAlign w:val="subscript"/>
        </w:rPr>
        <w:t xml:space="preserve">Aerator </w:t>
      </w:r>
      <w:r w:rsidR="00CC745B" w:rsidRPr="00AA2C40">
        <w:rPr>
          <w:rFonts w:cs="Arial"/>
          <w:szCs w:val="20"/>
        </w:rPr>
        <w:t xml:space="preserve"> × ISR</w:t>
      </w:r>
      <w:r w:rsidR="00CC745B" w:rsidRPr="00AA2C40">
        <w:rPr>
          <w:rFonts w:cs="Arial"/>
          <w:szCs w:val="20"/>
          <w:vertAlign w:val="subscript"/>
        </w:rPr>
        <w:t>Aerator</w:t>
      </w:r>
      <w:r w:rsidR="00D15164" w:rsidRPr="00AA2C40">
        <w:rPr>
          <w:rFonts w:cs="Arial"/>
          <w:szCs w:val="20"/>
          <w:vertAlign w:val="subscript"/>
        </w:rPr>
        <w:br/>
      </w:r>
      <w:r w:rsidR="00CC745B" w:rsidRPr="00AA2C40">
        <w:rPr>
          <w:rFonts w:cs="Arial"/>
          <w:szCs w:val="20"/>
        </w:rPr>
        <w:t>+ N</w:t>
      </w:r>
      <w:r w:rsidR="00CC745B" w:rsidRPr="00AA2C40">
        <w:rPr>
          <w:rFonts w:cs="Arial"/>
          <w:szCs w:val="20"/>
          <w:vertAlign w:val="subscript"/>
        </w:rPr>
        <w:t xml:space="preserve">SmartStrip  </w:t>
      </w:r>
      <w:r w:rsidR="00CC745B" w:rsidRPr="00AA2C40">
        <w:rPr>
          <w:rFonts w:cs="Arial"/>
          <w:szCs w:val="20"/>
        </w:rPr>
        <w:t>× Savings</w:t>
      </w:r>
      <w:r w:rsidR="00CC745B" w:rsidRPr="00AA2C40">
        <w:rPr>
          <w:rFonts w:cs="Arial"/>
          <w:szCs w:val="20"/>
          <w:vertAlign w:val="subscript"/>
        </w:rPr>
        <w:t xml:space="preserve">SmartStrip </w:t>
      </w:r>
      <w:r w:rsidR="00CC745B" w:rsidRPr="00AA2C40">
        <w:rPr>
          <w:rFonts w:cs="Arial"/>
          <w:szCs w:val="20"/>
        </w:rPr>
        <w:t xml:space="preserve"> × ISR</w:t>
      </w:r>
      <w:r w:rsidR="00CC745B" w:rsidRPr="00AA2C40">
        <w:rPr>
          <w:rFonts w:cs="Arial"/>
          <w:szCs w:val="20"/>
          <w:vertAlign w:val="subscript"/>
        </w:rPr>
        <w:t>SmartStrip</w:t>
      </w:r>
      <w:r w:rsidR="00D15164" w:rsidRPr="00AA2C40">
        <w:rPr>
          <w:rFonts w:cs="Arial"/>
          <w:szCs w:val="20"/>
          <w:vertAlign w:val="subscript"/>
        </w:rPr>
        <w:br/>
      </w:r>
      <w:r w:rsidR="00CC745B" w:rsidRPr="00AA2C40">
        <w:rPr>
          <w:rFonts w:cs="Arial"/>
          <w:szCs w:val="20"/>
        </w:rPr>
        <w:t>+ N</w:t>
      </w:r>
      <w:r w:rsidR="00CC745B" w:rsidRPr="00AA2C40">
        <w:rPr>
          <w:rFonts w:cs="Arial"/>
          <w:szCs w:val="20"/>
          <w:vertAlign w:val="subscript"/>
        </w:rPr>
        <w:t xml:space="preserve">NiteLites  </w:t>
      </w:r>
      <w:r w:rsidR="00CC745B" w:rsidRPr="00AA2C40">
        <w:rPr>
          <w:rFonts w:cs="Arial"/>
          <w:szCs w:val="20"/>
        </w:rPr>
        <w:t>× Savings</w:t>
      </w:r>
      <w:r w:rsidR="00CC745B" w:rsidRPr="00AA2C40">
        <w:rPr>
          <w:rFonts w:cs="Arial"/>
          <w:szCs w:val="20"/>
          <w:vertAlign w:val="subscript"/>
        </w:rPr>
        <w:t xml:space="preserve">NiteLite </w:t>
      </w:r>
      <w:r w:rsidR="00CC745B" w:rsidRPr="00AA2C40">
        <w:rPr>
          <w:rFonts w:cs="Arial"/>
          <w:szCs w:val="20"/>
        </w:rPr>
        <w:t xml:space="preserve"> × ISR</w:t>
      </w:r>
      <w:r w:rsidR="00CC745B" w:rsidRPr="00AA2C40">
        <w:rPr>
          <w:rFonts w:cs="Arial"/>
          <w:szCs w:val="20"/>
          <w:vertAlign w:val="subscript"/>
        </w:rPr>
        <w:t>NiteLite</w:t>
      </w:r>
    </w:p>
    <w:p w:rsidR="00CC745B" w:rsidRPr="00AA2C40" w:rsidRDefault="00DA48E9" w:rsidP="00F7332F">
      <w:pPr>
        <w:pStyle w:val="Equation"/>
        <w:rPr>
          <w:rFonts w:cs="Arial"/>
          <w:szCs w:val="20"/>
        </w:rPr>
      </w:pPr>
      <w:r w:rsidRPr="00AA2C40">
        <w:rPr>
          <w:rFonts w:cs="Arial"/>
          <w:szCs w:val="20"/>
        </w:rPr>
        <w:sym w:font="Symbol" w:char="F044"/>
      </w:r>
      <w:r w:rsidRPr="00AA2C40">
        <w:rPr>
          <w:rFonts w:cs="Arial"/>
          <w:szCs w:val="20"/>
        </w:rPr>
        <w:t>kW</w:t>
      </w:r>
      <w:r w:rsidRPr="00AA2C40">
        <w:rPr>
          <w:rFonts w:cs="Arial"/>
          <w:szCs w:val="20"/>
          <w:vertAlign w:val="subscript"/>
        </w:rPr>
        <w:t>peak</w:t>
      </w:r>
      <w:r w:rsidRPr="00AA2C40">
        <w:rPr>
          <w:rFonts w:cs="Arial"/>
          <w:szCs w:val="20"/>
        </w:rPr>
        <w:t xml:space="preserve"> </w:t>
      </w:r>
      <w:r w:rsidRPr="00AA2C40">
        <w:rPr>
          <w:rFonts w:cs="Arial"/>
          <w:szCs w:val="20"/>
        </w:rPr>
        <w:tab/>
      </w:r>
      <w:r w:rsidR="00CC745B" w:rsidRPr="00AA2C40">
        <w:rPr>
          <w:rFonts w:cs="Arial"/>
          <w:szCs w:val="20"/>
        </w:rPr>
        <w:t>=</w:t>
      </w:r>
      <w:r w:rsidRPr="00AA2C40">
        <w:rPr>
          <w:rFonts w:cs="Arial"/>
          <w:szCs w:val="20"/>
        </w:rPr>
        <w:t xml:space="preserve"> </w:t>
      </w:r>
      <w:r w:rsidR="00CC745B" w:rsidRPr="00AA2C40">
        <w:rPr>
          <w:rFonts w:cs="Arial"/>
          <w:szCs w:val="20"/>
        </w:rPr>
        <w:t>N</w:t>
      </w:r>
      <w:r w:rsidR="00CC745B" w:rsidRPr="00AA2C40">
        <w:rPr>
          <w:rFonts w:cs="Arial"/>
          <w:szCs w:val="20"/>
          <w:vertAlign w:val="subscript"/>
        </w:rPr>
        <w:t xml:space="preserve">CFL </w:t>
      </w:r>
      <w:r w:rsidR="00CC745B" w:rsidRPr="00AA2C40">
        <w:rPr>
          <w:rFonts w:cs="Arial"/>
          <w:szCs w:val="20"/>
        </w:rPr>
        <w:t>× (CFL</w:t>
      </w:r>
      <w:r w:rsidR="00CC745B" w:rsidRPr="00AA2C40">
        <w:rPr>
          <w:rFonts w:cs="Arial"/>
          <w:szCs w:val="20"/>
          <w:vertAlign w:val="subscript"/>
        </w:rPr>
        <w:t>watts</w:t>
      </w:r>
      <w:r w:rsidR="00CC745B" w:rsidRPr="00AA2C40">
        <w:rPr>
          <w:rFonts w:cs="Arial"/>
          <w:szCs w:val="20"/>
        </w:rPr>
        <w:t>/1000) × CF× ISR</w:t>
      </w:r>
      <w:r w:rsidR="00CC745B" w:rsidRPr="00AA2C40">
        <w:rPr>
          <w:rFonts w:cs="Arial"/>
          <w:szCs w:val="20"/>
          <w:vertAlign w:val="subscript"/>
        </w:rPr>
        <w:t>CFL</w:t>
      </w:r>
      <w:r w:rsidR="00D15164" w:rsidRPr="00AA2C40">
        <w:rPr>
          <w:rFonts w:cs="Arial"/>
          <w:szCs w:val="20"/>
        </w:rPr>
        <w:br/>
      </w:r>
      <w:r w:rsidR="00CC745B" w:rsidRPr="00AA2C40">
        <w:rPr>
          <w:rFonts w:cs="Arial"/>
          <w:szCs w:val="20"/>
        </w:rPr>
        <w:t>+  N</w:t>
      </w:r>
      <w:r w:rsidR="00CC745B" w:rsidRPr="00AA2C40">
        <w:rPr>
          <w:rFonts w:cs="Arial"/>
          <w:szCs w:val="20"/>
          <w:vertAlign w:val="subscript"/>
        </w:rPr>
        <w:t xml:space="preserve">Aerator  </w:t>
      </w:r>
      <w:r w:rsidR="00CC745B" w:rsidRPr="00AA2C40">
        <w:rPr>
          <w:rFonts w:cs="Arial"/>
          <w:szCs w:val="20"/>
        </w:rPr>
        <w:t>× DemandReduction</w:t>
      </w:r>
      <w:r w:rsidR="00CC745B" w:rsidRPr="00AA2C40">
        <w:rPr>
          <w:rFonts w:cs="Arial"/>
          <w:szCs w:val="20"/>
          <w:vertAlign w:val="subscript"/>
        </w:rPr>
        <w:t xml:space="preserve">Aerator </w:t>
      </w:r>
      <w:r w:rsidR="00CC745B" w:rsidRPr="00AA2C40">
        <w:rPr>
          <w:rFonts w:cs="Arial"/>
          <w:szCs w:val="20"/>
        </w:rPr>
        <w:t xml:space="preserve"> × ISR</w:t>
      </w:r>
      <w:r w:rsidR="00CC745B" w:rsidRPr="00AA2C40">
        <w:rPr>
          <w:rFonts w:cs="Arial"/>
          <w:szCs w:val="20"/>
          <w:vertAlign w:val="subscript"/>
        </w:rPr>
        <w:t xml:space="preserve">Aerator </w:t>
      </w:r>
      <w:r w:rsidR="00CC745B" w:rsidRPr="00AA2C40">
        <w:rPr>
          <w:rFonts w:cs="Arial"/>
          <w:szCs w:val="20"/>
        </w:rPr>
        <w:t xml:space="preserve"> </w:t>
      </w:r>
      <w:r w:rsidR="00D15164" w:rsidRPr="00AA2C40">
        <w:rPr>
          <w:rFonts w:cs="Arial"/>
          <w:szCs w:val="20"/>
        </w:rPr>
        <w:br/>
      </w:r>
      <w:r w:rsidR="00CC745B" w:rsidRPr="00AA2C40">
        <w:rPr>
          <w:rFonts w:cs="Arial"/>
          <w:szCs w:val="20"/>
        </w:rPr>
        <w:t>+ N</w:t>
      </w:r>
      <w:r w:rsidR="00CC745B" w:rsidRPr="00AA2C40">
        <w:rPr>
          <w:rFonts w:cs="Arial"/>
          <w:szCs w:val="20"/>
          <w:vertAlign w:val="subscript"/>
        </w:rPr>
        <w:t xml:space="preserve">SmartStrip  </w:t>
      </w:r>
      <w:r w:rsidR="00CC745B" w:rsidRPr="00AA2C40">
        <w:rPr>
          <w:rFonts w:cs="Arial"/>
          <w:szCs w:val="20"/>
        </w:rPr>
        <w:t>× DemandReduction</w:t>
      </w:r>
      <w:r w:rsidR="00CC745B" w:rsidRPr="00AA2C40">
        <w:rPr>
          <w:rFonts w:cs="Arial"/>
          <w:szCs w:val="20"/>
          <w:vertAlign w:val="subscript"/>
        </w:rPr>
        <w:t xml:space="preserve">SmartStrip </w:t>
      </w:r>
      <w:r w:rsidR="00CC745B" w:rsidRPr="00AA2C40">
        <w:rPr>
          <w:rFonts w:cs="Arial"/>
          <w:szCs w:val="20"/>
        </w:rPr>
        <w:t xml:space="preserve"> × ISR</w:t>
      </w:r>
      <w:r w:rsidR="00CC745B" w:rsidRPr="00AA2C40">
        <w:rPr>
          <w:rFonts w:cs="Arial"/>
          <w:szCs w:val="20"/>
          <w:vertAlign w:val="subscript"/>
        </w:rPr>
        <w:t xml:space="preserve">SmartStrip </w:t>
      </w:r>
      <w:r w:rsidR="00CC745B" w:rsidRPr="00AA2C40">
        <w:rPr>
          <w:rFonts w:cs="Arial"/>
          <w:szCs w:val="20"/>
        </w:rPr>
        <w:t xml:space="preserve"> </w:t>
      </w:r>
      <w:r w:rsidR="00D15164" w:rsidRPr="00AA2C40">
        <w:rPr>
          <w:rFonts w:cs="Arial"/>
          <w:szCs w:val="20"/>
        </w:rPr>
        <w:br/>
      </w:r>
      <w:r w:rsidR="00CC745B" w:rsidRPr="00AA2C40">
        <w:rPr>
          <w:rFonts w:cs="Arial"/>
          <w:szCs w:val="20"/>
        </w:rPr>
        <w:t>+ N</w:t>
      </w:r>
      <w:r w:rsidR="00CC745B" w:rsidRPr="00AA2C40">
        <w:rPr>
          <w:rFonts w:cs="Arial"/>
          <w:szCs w:val="20"/>
          <w:vertAlign w:val="subscript"/>
        </w:rPr>
        <w:t xml:space="preserve">NiteLite  </w:t>
      </w:r>
      <w:r w:rsidR="00CC745B" w:rsidRPr="00AA2C40">
        <w:rPr>
          <w:rFonts w:cs="Arial"/>
          <w:szCs w:val="20"/>
        </w:rPr>
        <w:t>× DemandReduction</w:t>
      </w:r>
      <w:r w:rsidR="00CC745B" w:rsidRPr="00AA2C40">
        <w:rPr>
          <w:rFonts w:cs="Arial"/>
          <w:szCs w:val="20"/>
          <w:vertAlign w:val="subscript"/>
        </w:rPr>
        <w:t xml:space="preserve">NiteLite </w:t>
      </w:r>
      <w:r w:rsidR="00CC745B" w:rsidRPr="00AA2C40">
        <w:rPr>
          <w:rFonts w:cs="Arial"/>
          <w:szCs w:val="20"/>
        </w:rPr>
        <w:t xml:space="preserve"> × ISR</w:t>
      </w:r>
      <w:r w:rsidR="00CC745B" w:rsidRPr="00AA2C40">
        <w:rPr>
          <w:rFonts w:cs="Arial"/>
          <w:szCs w:val="20"/>
          <w:vertAlign w:val="subscript"/>
        </w:rPr>
        <w:t xml:space="preserve">NiteLite </w:t>
      </w:r>
      <w:r w:rsidR="00CC745B" w:rsidRPr="00AA2C40">
        <w:rPr>
          <w:rFonts w:cs="Arial"/>
          <w:szCs w:val="20"/>
        </w:rPr>
        <w:t xml:space="preserve"> </w:t>
      </w:r>
    </w:p>
    <w:p w:rsidR="00CC745B" w:rsidRPr="00BF2C3B" w:rsidRDefault="00CC745B" w:rsidP="00871FA2">
      <w:pPr>
        <w:pStyle w:val="Heading3"/>
      </w:pPr>
      <w:r>
        <w:lastRenderedPageBreak/>
        <w:t xml:space="preserve">Definition of </w:t>
      </w:r>
      <w:r w:rsidR="00E97E0A">
        <w:t>Terms</w:t>
      </w:r>
    </w:p>
    <w:p w:rsidR="00CC745B" w:rsidRPr="002E4E52" w:rsidRDefault="00CC745B" w:rsidP="008075FC">
      <w:pPr>
        <w:pStyle w:val="BodyText"/>
        <w:keepNext/>
      </w:pPr>
      <w:r w:rsidRPr="002E4E52">
        <w:t>The parameters in the above equation</w:t>
      </w:r>
      <w:r>
        <w:t>s</w:t>
      </w:r>
      <w:r w:rsidRPr="002E4E52">
        <w:t xml:space="preserve"> are listed in </w:t>
      </w:r>
      <w:r w:rsidR="007A1FB6">
        <w:fldChar w:fldCharType="begin"/>
      </w:r>
      <w:r w:rsidR="00081415">
        <w:instrText xml:space="preserve"> REF _Ref274915498 \h </w:instrText>
      </w:r>
      <w:r w:rsidR="007A1FB6">
        <w:fldChar w:fldCharType="separate"/>
      </w:r>
      <w:r w:rsidR="00C0292F">
        <w:t xml:space="preserve">Table </w:t>
      </w:r>
      <w:r w:rsidR="00C0292F">
        <w:rPr>
          <w:noProof/>
        </w:rPr>
        <w:t>2</w:t>
      </w:r>
      <w:r w:rsidR="00C0292F">
        <w:noBreakHyphen/>
      </w:r>
      <w:r w:rsidR="00C0292F">
        <w:rPr>
          <w:noProof/>
        </w:rPr>
        <w:t>14</w:t>
      </w:r>
      <w:r w:rsidR="007A1FB6">
        <w:fldChar w:fldCharType="end"/>
      </w:r>
      <w:r w:rsidRPr="002E4E52">
        <w:t>.</w:t>
      </w:r>
    </w:p>
    <w:p w:rsidR="00B54168" w:rsidRDefault="00B54168" w:rsidP="00100EDF">
      <w:pPr>
        <w:pStyle w:val="Caption"/>
      </w:pPr>
      <w:bookmarkStart w:id="135" w:name="_Ref274915498"/>
      <w:bookmarkStart w:id="136" w:name="_Toc310875500"/>
      <w:r>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14</w:t>
      </w:r>
      <w:r w:rsidR="00274AB1">
        <w:rPr>
          <w:noProof/>
        </w:rPr>
        <w:fldChar w:fldCharType="end"/>
      </w:r>
      <w:bookmarkEnd w:id="135"/>
      <w:r>
        <w:t xml:space="preserve">: </w:t>
      </w:r>
      <w:r w:rsidR="00940A5E">
        <w:t xml:space="preserve">Home Audit Conversion Kit </w:t>
      </w:r>
      <w:r w:rsidRPr="001E691D">
        <w:t>Calculation Assumptions</w:t>
      </w:r>
      <w:bookmarkEnd w:id="1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1530"/>
        <w:gridCol w:w="2538"/>
      </w:tblGrid>
      <w:tr w:rsidR="00CC745B" w:rsidRPr="00E41CEA" w:rsidTr="00DA48E9">
        <w:trPr>
          <w:tblHeader/>
        </w:trPr>
        <w:tc>
          <w:tcPr>
            <w:tcW w:w="2703" w:type="pct"/>
            <w:shd w:val="clear" w:color="auto" w:fill="BFBFBF"/>
          </w:tcPr>
          <w:p w:rsidR="00CC745B" w:rsidRPr="001D6512" w:rsidRDefault="00CC745B" w:rsidP="00321935">
            <w:pPr>
              <w:pStyle w:val="TableCell"/>
              <w:spacing w:before="60" w:after="60"/>
              <w:rPr>
                <w:b/>
              </w:rPr>
            </w:pPr>
            <w:r w:rsidRPr="001D6512">
              <w:rPr>
                <w:b/>
              </w:rPr>
              <w:t>Component</w:t>
            </w:r>
          </w:p>
        </w:tc>
        <w:tc>
          <w:tcPr>
            <w:tcW w:w="864" w:type="pct"/>
            <w:shd w:val="clear" w:color="auto" w:fill="BFBFBF"/>
          </w:tcPr>
          <w:p w:rsidR="00CC745B" w:rsidRPr="001D6512" w:rsidRDefault="00CC745B" w:rsidP="00321935">
            <w:pPr>
              <w:pStyle w:val="TableCell"/>
              <w:spacing w:before="60" w:after="60"/>
              <w:rPr>
                <w:b/>
              </w:rPr>
            </w:pPr>
            <w:r w:rsidRPr="001D6512">
              <w:rPr>
                <w:b/>
              </w:rPr>
              <w:t>Value</w:t>
            </w:r>
          </w:p>
        </w:tc>
        <w:tc>
          <w:tcPr>
            <w:tcW w:w="1433" w:type="pct"/>
            <w:shd w:val="clear" w:color="auto" w:fill="BFBFBF"/>
          </w:tcPr>
          <w:p w:rsidR="00CC745B" w:rsidRPr="001D6512" w:rsidRDefault="00CC745B" w:rsidP="00321935">
            <w:pPr>
              <w:pStyle w:val="TableCell"/>
              <w:spacing w:before="60" w:after="60"/>
              <w:rPr>
                <w:b/>
              </w:rPr>
            </w:pPr>
            <w:r w:rsidRPr="001D6512">
              <w:rPr>
                <w:b/>
              </w:rPr>
              <w:t xml:space="preserve">Source     </w:t>
            </w:r>
          </w:p>
        </w:tc>
      </w:tr>
      <w:tr w:rsidR="00CC745B" w:rsidRPr="00E41CEA" w:rsidTr="00DA48E9">
        <w:tc>
          <w:tcPr>
            <w:tcW w:w="2703" w:type="pct"/>
          </w:tcPr>
          <w:p w:rsidR="00CC745B" w:rsidRPr="001D6512" w:rsidRDefault="00CC745B" w:rsidP="00321935">
            <w:pPr>
              <w:pStyle w:val="TableCell"/>
              <w:spacing w:before="60" w:after="60"/>
            </w:pPr>
            <w:r w:rsidRPr="001D6512">
              <w:t>N</w:t>
            </w:r>
            <w:r w:rsidRPr="001D6512">
              <w:rPr>
                <w:vertAlign w:val="subscript"/>
              </w:rPr>
              <w:t>CFL</w:t>
            </w:r>
            <w:r w:rsidRPr="001D6512">
              <w:t>: Number of CFLs per kit</w:t>
            </w:r>
          </w:p>
        </w:tc>
        <w:tc>
          <w:tcPr>
            <w:tcW w:w="864" w:type="pct"/>
          </w:tcPr>
          <w:p w:rsidR="00CC745B" w:rsidRPr="001D6512" w:rsidRDefault="00CC745B" w:rsidP="00321935">
            <w:pPr>
              <w:pStyle w:val="TableCell"/>
              <w:spacing w:before="60" w:after="60"/>
            </w:pPr>
            <w:r w:rsidRPr="001D6512">
              <w:t>4</w:t>
            </w:r>
          </w:p>
        </w:tc>
        <w:tc>
          <w:tcPr>
            <w:tcW w:w="1433" w:type="pct"/>
          </w:tcPr>
          <w:p w:rsidR="00CC745B" w:rsidRPr="001D6512" w:rsidRDefault="00CC745B" w:rsidP="00321935">
            <w:pPr>
              <w:pStyle w:val="TableCell"/>
              <w:spacing w:before="60" w:after="60"/>
            </w:pPr>
            <w:r w:rsidRPr="001D6512">
              <w:t>Program design</w:t>
            </w:r>
            <w:r w:rsidR="00F5687D" w:rsidRPr="001D6512">
              <w:rPr>
                <w:rStyle w:val="FootnoteReference"/>
              </w:rPr>
              <w:footnoteReference w:id="21"/>
            </w:r>
          </w:p>
        </w:tc>
      </w:tr>
      <w:tr w:rsidR="00CC745B" w:rsidRPr="00E41CEA" w:rsidTr="00DA48E9">
        <w:tc>
          <w:tcPr>
            <w:tcW w:w="2703" w:type="pct"/>
          </w:tcPr>
          <w:p w:rsidR="00CC745B" w:rsidRPr="001D6512" w:rsidRDefault="00CC745B" w:rsidP="00321935">
            <w:pPr>
              <w:pStyle w:val="TableCell"/>
              <w:spacing w:before="60" w:after="60"/>
            </w:pPr>
            <w:r w:rsidRPr="001D6512">
              <w:t>CFL</w:t>
            </w:r>
            <w:r w:rsidRPr="001D6512">
              <w:rPr>
                <w:vertAlign w:val="subscript"/>
              </w:rPr>
              <w:t>Watts</w:t>
            </w:r>
            <w:r w:rsidRPr="001D6512">
              <w:t>, Difference between supplanted and efficient luminaire wattage (W)</w:t>
            </w:r>
          </w:p>
        </w:tc>
        <w:tc>
          <w:tcPr>
            <w:tcW w:w="864" w:type="pct"/>
          </w:tcPr>
          <w:p w:rsidR="00CC745B" w:rsidRPr="001D6512" w:rsidRDefault="00CC745B" w:rsidP="00321935">
            <w:pPr>
              <w:pStyle w:val="TableCell"/>
              <w:spacing w:before="60" w:after="60"/>
            </w:pPr>
            <w:r w:rsidRPr="001D6512">
              <w:t>47</w:t>
            </w:r>
          </w:p>
        </w:tc>
        <w:tc>
          <w:tcPr>
            <w:tcW w:w="1433" w:type="pct"/>
          </w:tcPr>
          <w:p w:rsidR="00CC745B" w:rsidRPr="001D6512" w:rsidRDefault="00CC745B" w:rsidP="00321935">
            <w:pPr>
              <w:pStyle w:val="TableCell"/>
              <w:spacing w:before="60" w:after="60"/>
            </w:pPr>
            <w:r w:rsidRPr="001D6512">
              <w:t xml:space="preserve">Program Design </w:t>
            </w:r>
          </w:p>
        </w:tc>
      </w:tr>
      <w:tr w:rsidR="00CC745B" w:rsidRPr="002E4E52" w:rsidTr="00DA48E9">
        <w:tc>
          <w:tcPr>
            <w:tcW w:w="2703" w:type="pct"/>
          </w:tcPr>
          <w:p w:rsidR="00CC745B" w:rsidRPr="001D6512" w:rsidRDefault="00CC745B" w:rsidP="00321935">
            <w:pPr>
              <w:pStyle w:val="TableCell"/>
              <w:spacing w:before="60" w:after="60"/>
            </w:pPr>
            <w:r w:rsidRPr="001D6512">
              <w:t>ISR , In Service Rate or Percentage of units rebated that actually get used</w:t>
            </w:r>
          </w:p>
        </w:tc>
        <w:tc>
          <w:tcPr>
            <w:tcW w:w="864" w:type="pct"/>
          </w:tcPr>
          <w:p w:rsidR="00CC745B" w:rsidRPr="001D6512" w:rsidRDefault="00CC745B" w:rsidP="00321935">
            <w:pPr>
              <w:pStyle w:val="TableCell"/>
              <w:spacing w:before="60" w:after="60"/>
            </w:pPr>
            <w:r w:rsidRPr="001D6512">
              <w:t>variable</w:t>
            </w:r>
          </w:p>
        </w:tc>
        <w:tc>
          <w:tcPr>
            <w:tcW w:w="1433" w:type="pct"/>
          </w:tcPr>
          <w:p w:rsidR="00CC745B" w:rsidRPr="001D6512" w:rsidRDefault="00CC745B" w:rsidP="00321935">
            <w:pPr>
              <w:pStyle w:val="TableCell"/>
              <w:spacing w:before="60" w:after="60"/>
            </w:pPr>
            <w:r w:rsidRPr="001D6512">
              <w:t>EDC Data Gathering</w:t>
            </w:r>
          </w:p>
          <w:p w:rsidR="00AA3084" w:rsidRPr="001D6512" w:rsidRDefault="00AA3084" w:rsidP="00321935">
            <w:pPr>
              <w:pStyle w:val="TableCell"/>
              <w:spacing w:before="60" w:after="60"/>
            </w:pPr>
            <w:r w:rsidRPr="001D6512">
              <w:t>SWE Data Gathering</w:t>
            </w:r>
          </w:p>
        </w:tc>
      </w:tr>
      <w:tr w:rsidR="00CC745B" w:rsidRPr="002E4E52" w:rsidTr="00DA48E9">
        <w:tc>
          <w:tcPr>
            <w:tcW w:w="2703" w:type="pct"/>
          </w:tcPr>
          <w:p w:rsidR="00CC745B" w:rsidRPr="001D6512" w:rsidRDefault="00CC745B" w:rsidP="00321935">
            <w:pPr>
              <w:pStyle w:val="TableCell"/>
              <w:spacing w:before="60" w:after="60"/>
            </w:pPr>
            <w:r w:rsidRPr="001D6512">
              <w:t>CFL</w:t>
            </w:r>
            <w:r w:rsidRPr="001D6512">
              <w:rPr>
                <w:vertAlign w:val="subscript"/>
              </w:rPr>
              <w:t>hours</w:t>
            </w:r>
            <w:r w:rsidRPr="001D6512">
              <w:t>, hours of operation per day</w:t>
            </w:r>
          </w:p>
        </w:tc>
        <w:tc>
          <w:tcPr>
            <w:tcW w:w="864" w:type="pct"/>
          </w:tcPr>
          <w:p w:rsidR="00CC745B" w:rsidRPr="001D6512" w:rsidRDefault="00CC745B" w:rsidP="00321935">
            <w:pPr>
              <w:pStyle w:val="TableCell"/>
              <w:spacing w:before="60" w:after="60"/>
            </w:pPr>
            <w:r w:rsidRPr="001D6512">
              <w:t>3.0</w:t>
            </w:r>
          </w:p>
        </w:tc>
        <w:tc>
          <w:tcPr>
            <w:tcW w:w="1433" w:type="pct"/>
          </w:tcPr>
          <w:p w:rsidR="00CC745B" w:rsidRPr="001D6512" w:rsidRDefault="00CC745B" w:rsidP="00576D2F">
            <w:pPr>
              <w:pStyle w:val="TableCell"/>
              <w:spacing w:before="60" w:after="60"/>
            </w:pPr>
            <w:r w:rsidRPr="001D6512">
              <w:t xml:space="preserve">PA TRM Table </w:t>
            </w:r>
            <w:r w:rsidR="00576D2F" w:rsidRPr="001D6512">
              <w:t>2-43</w:t>
            </w:r>
          </w:p>
        </w:tc>
      </w:tr>
      <w:tr w:rsidR="00CC745B" w:rsidRPr="002E4E52" w:rsidTr="00DA48E9">
        <w:tc>
          <w:tcPr>
            <w:tcW w:w="2703" w:type="pct"/>
          </w:tcPr>
          <w:p w:rsidR="00CC745B" w:rsidRPr="001D6512" w:rsidRDefault="00CC745B" w:rsidP="00321935">
            <w:pPr>
              <w:pStyle w:val="TableCell"/>
              <w:spacing w:before="60" w:after="60"/>
            </w:pPr>
            <w:r w:rsidRPr="001D6512">
              <w:t>CF , CFL  Summer Demand Coincidence Factor</w:t>
            </w:r>
          </w:p>
        </w:tc>
        <w:tc>
          <w:tcPr>
            <w:tcW w:w="864" w:type="pct"/>
          </w:tcPr>
          <w:p w:rsidR="00CC745B" w:rsidRPr="001D6512" w:rsidRDefault="00CC745B" w:rsidP="00321935">
            <w:pPr>
              <w:pStyle w:val="TableCell"/>
              <w:spacing w:before="60" w:after="60"/>
            </w:pPr>
            <w:r w:rsidRPr="001D6512">
              <w:t>0.05</w:t>
            </w:r>
          </w:p>
        </w:tc>
        <w:tc>
          <w:tcPr>
            <w:tcW w:w="1433" w:type="pct"/>
          </w:tcPr>
          <w:p w:rsidR="00CC745B" w:rsidRPr="001D6512" w:rsidRDefault="00CC745B" w:rsidP="00576D2F">
            <w:pPr>
              <w:pStyle w:val="TableCell"/>
              <w:spacing w:before="60" w:after="60"/>
            </w:pPr>
            <w:r w:rsidRPr="001D6512">
              <w:t xml:space="preserve">PA TRM Table </w:t>
            </w:r>
            <w:r w:rsidR="00576D2F" w:rsidRPr="001D6512">
              <w:t>2-43</w:t>
            </w:r>
          </w:p>
        </w:tc>
      </w:tr>
      <w:tr w:rsidR="00CC745B" w:rsidRPr="002E4E52" w:rsidTr="00DA48E9">
        <w:tc>
          <w:tcPr>
            <w:tcW w:w="2703" w:type="pct"/>
          </w:tcPr>
          <w:p w:rsidR="00CC745B" w:rsidRPr="001D6512" w:rsidRDefault="00CC745B" w:rsidP="00321935">
            <w:pPr>
              <w:pStyle w:val="TableCell"/>
              <w:spacing w:before="60" w:after="60"/>
            </w:pPr>
            <w:r w:rsidRPr="001D6512">
              <w:t>N</w:t>
            </w:r>
            <w:r w:rsidRPr="001D6512">
              <w:rPr>
                <w:vertAlign w:val="subscript"/>
              </w:rPr>
              <w:t>Aerator</w:t>
            </w:r>
            <w:r w:rsidRPr="001D6512">
              <w:t>: Number of faucet aerators per kit</w:t>
            </w:r>
          </w:p>
        </w:tc>
        <w:tc>
          <w:tcPr>
            <w:tcW w:w="864" w:type="pct"/>
          </w:tcPr>
          <w:p w:rsidR="00CC745B" w:rsidRPr="001D6512" w:rsidRDefault="00CC745B" w:rsidP="00321935">
            <w:pPr>
              <w:pStyle w:val="TableCell"/>
              <w:spacing w:before="60" w:after="60"/>
            </w:pPr>
            <w:r w:rsidRPr="001D6512">
              <w:t>4</w:t>
            </w:r>
          </w:p>
        </w:tc>
        <w:tc>
          <w:tcPr>
            <w:tcW w:w="1433" w:type="pct"/>
          </w:tcPr>
          <w:p w:rsidR="00CC745B" w:rsidRPr="001D6512" w:rsidRDefault="00CC745B" w:rsidP="00321935">
            <w:pPr>
              <w:pStyle w:val="TableCell"/>
              <w:spacing w:before="60" w:after="60"/>
            </w:pPr>
            <w:r w:rsidRPr="001D6512">
              <w:t>Program design</w:t>
            </w:r>
          </w:p>
        </w:tc>
      </w:tr>
      <w:tr w:rsidR="00CC745B" w:rsidRPr="002E4E52" w:rsidTr="00DA48E9">
        <w:tc>
          <w:tcPr>
            <w:tcW w:w="2703" w:type="pct"/>
          </w:tcPr>
          <w:p w:rsidR="00CC745B" w:rsidRPr="001D6512" w:rsidRDefault="00CC745B" w:rsidP="00321935">
            <w:pPr>
              <w:pStyle w:val="TableCell"/>
              <w:spacing w:before="60" w:after="60"/>
            </w:pPr>
            <w:r w:rsidRPr="001D6512">
              <w:t>N</w:t>
            </w:r>
            <w:r w:rsidRPr="001D6512">
              <w:rPr>
                <w:vertAlign w:val="subscript"/>
              </w:rPr>
              <w:t>SmartStrip</w:t>
            </w:r>
            <w:r w:rsidRPr="001D6512">
              <w:t>: Number of Smart Strips per kit</w:t>
            </w:r>
          </w:p>
        </w:tc>
        <w:tc>
          <w:tcPr>
            <w:tcW w:w="864" w:type="pct"/>
          </w:tcPr>
          <w:p w:rsidR="00CC745B" w:rsidRPr="001D6512" w:rsidRDefault="00CC745B" w:rsidP="00321935">
            <w:pPr>
              <w:pStyle w:val="TableCell"/>
              <w:spacing w:before="60" w:after="60"/>
            </w:pPr>
            <w:r w:rsidRPr="001D6512">
              <w:t>2</w:t>
            </w:r>
          </w:p>
        </w:tc>
        <w:tc>
          <w:tcPr>
            <w:tcW w:w="1433" w:type="pct"/>
          </w:tcPr>
          <w:p w:rsidR="00CC745B" w:rsidRPr="001D6512" w:rsidRDefault="00CC745B" w:rsidP="00321935">
            <w:pPr>
              <w:pStyle w:val="TableCell"/>
              <w:spacing w:before="60" w:after="60"/>
            </w:pPr>
            <w:r w:rsidRPr="001D6512">
              <w:t>Program design</w:t>
            </w:r>
          </w:p>
        </w:tc>
      </w:tr>
      <w:tr w:rsidR="00CC745B" w:rsidRPr="002E4E52" w:rsidTr="00DA48E9">
        <w:tc>
          <w:tcPr>
            <w:tcW w:w="2703" w:type="pct"/>
          </w:tcPr>
          <w:p w:rsidR="00CC745B" w:rsidRPr="001D6512" w:rsidRDefault="00CC745B" w:rsidP="00321935">
            <w:pPr>
              <w:pStyle w:val="TableCell"/>
              <w:spacing w:before="60" w:after="60"/>
            </w:pPr>
            <w:r w:rsidRPr="001D6512">
              <w:t>Savings</w:t>
            </w:r>
            <w:r w:rsidRPr="001D6512">
              <w:rPr>
                <w:vertAlign w:val="subscript"/>
              </w:rPr>
              <w:t xml:space="preserve">Aerator </w:t>
            </w:r>
            <w:r w:rsidRPr="001D6512">
              <w:t>(kWh)</w:t>
            </w:r>
          </w:p>
        </w:tc>
        <w:tc>
          <w:tcPr>
            <w:tcW w:w="864" w:type="pct"/>
          </w:tcPr>
          <w:p w:rsidR="00CC745B" w:rsidRPr="001D6512" w:rsidRDefault="00CC745B" w:rsidP="00321935">
            <w:pPr>
              <w:pStyle w:val="TableCell"/>
              <w:spacing w:before="60" w:after="60"/>
            </w:pPr>
            <w:r w:rsidRPr="001D6512">
              <w:t>61</w:t>
            </w:r>
          </w:p>
        </w:tc>
        <w:tc>
          <w:tcPr>
            <w:tcW w:w="1433" w:type="pct"/>
          </w:tcPr>
          <w:p w:rsidR="00CC745B" w:rsidRPr="001D6512" w:rsidRDefault="00CC745B" w:rsidP="00321935">
            <w:pPr>
              <w:pStyle w:val="TableCell"/>
              <w:spacing w:before="60" w:after="60"/>
            </w:pPr>
            <w:r w:rsidRPr="001D6512">
              <w:t>FE Interim TRM</w:t>
            </w:r>
          </w:p>
        </w:tc>
      </w:tr>
      <w:tr w:rsidR="00CC745B" w:rsidRPr="002E4E52" w:rsidTr="00DA48E9">
        <w:tc>
          <w:tcPr>
            <w:tcW w:w="2703" w:type="pct"/>
          </w:tcPr>
          <w:p w:rsidR="00CC745B" w:rsidRPr="001D6512" w:rsidRDefault="00CC745B" w:rsidP="00321935">
            <w:pPr>
              <w:pStyle w:val="TableCell"/>
              <w:spacing w:before="60" w:after="60"/>
            </w:pPr>
            <w:r w:rsidRPr="001D6512">
              <w:t>DemandReduction</w:t>
            </w:r>
            <w:r w:rsidRPr="001D6512">
              <w:rPr>
                <w:vertAlign w:val="subscript"/>
              </w:rPr>
              <w:t xml:space="preserve">Aerator </w:t>
            </w:r>
            <w:r w:rsidRPr="001D6512">
              <w:t>(kW)</w:t>
            </w:r>
          </w:p>
        </w:tc>
        <w:tc>
          <w:tcPr>
            <w:tcW w:w="864" w:type="pct"/>
          </w:tcPr>
          <w:p w:rsidR="00CC745B" w:rsidRPr="001D6512" w:rsidRDefault="00CC745B" w:rsidP="00321935">
            <w:pPr>
              <w:pStyle w:val="TableCell"/>
              <w:spacing w:before="60" w:after="60"/>
            </w:pPr>
            <w:r w:rsidRPr="001D6512">
              <w:t>.006</w:t>
            </w:r>
          </w:p>
        </w:tc>
        <w:tc>
          <w:tcPr>
            <w:tcW w:w="1433" w:type="pct"/>
          </w:tcPr>
          <w:p w:rsidR="00CC745B" w:rsidRPr="001D6512" w:rsidRDefault="00CC745B" w:rsidP="00321935">
            <w:pPr>
              <w:pStyle w:val="TableCell"/>
              <w:spacing w:before="60" w:after="60"/>
            </w:pPr>
            <w:r w:rsidRPr="001D6512">
              <w:t>FE Interim TRM</w:t>
            </w:r>
          </w:p>
        </w:tc>
      </w:tr>
      <w:tr w:rsidR="00CC745B" w:rsidRPr="002E4E52" w:rsidTr="00DA48E9">
        <w:tc>
          <w:tcPr>
            <w:tcW w:w="2703" w:type="pct"/>
          </w:tcPr>
          <w:p w:rsidR="00CC745B" w:rsidRPr="001D6512" w:rsidRDefault="00CC745B" w:rsidP="00321935">
            <w:pPr>
              <w:pStyle w:val="TableCell"/>
              <w:spacing w:before="60" w:after="60"/>
            </w:pPr>
            <w:r w:rsidRPr="001D6512">
              <w:t>ISR</w:t>
            </w:r>
            <w:r w:rsidRPr="001D6512">
              <w:rPr>
                <w:vertAlign w:val="subscript"/>
              </w:rPr>
              <w:t>Aerator</w:t>
            </w:r>
          </w:p>
        </w:tc>
        <w:tc>
          <w:tcPr>
            <w:tcW w:w="864" w:type="pct"/>
          </w:tcPr>
          <w:p w:rsidR="00CC745B" w:rsidRPr="001D6512" w:rsidRDefault="00CC745B" w:rsidP="00321935">
            <w:pPr>
              <w:pStyle w:val="TableCell"/>
              <w:spacing w:before="60" w:after="60"/>
            </w:pPr>
            <w:r w:rsidRPr="001D6512">
              <w:t>variable</w:t>
            </w:r>
          </w:p>
        </w:tc>
        <w:tc>
          <w:tcPr>
            <w:tcW w:w="1433" w:type="pct"/>
          </w:tcPr>
          <w:p w:rsidR="00CC745B" w:rsidRPr="001D6512" w:rsidRDefault="00CC745B" w:rsidP="00321935">
            <w:pPr>
              <w:pStyle w:val="TableCell"/>
              <w:spacing w:before="60" w:after="60"/>
            </w:pPr>
            <w:r w:rsidRPr="001D6512">
              <w:t>EDC Data Gathering</w:t>
            </w:r>
            <w:r w:rsidR="00F5687D" w:rsidRPr="001D6512">
              <w:rPr>
                <w:rStyle w:val="FootnoteReference"/>
              </w:rPr>
              <w:footnoteReference w:id="22"/>
            </w:r>
          </w:p>
        </w:tc>
      </w:tr>
      <w:tr w:rsidR="00CC745B" w:rsidRPr="002E4E52" w:rsidTr="00DA48E9">
        <w:tc>
          <w:tcPr>
            <w:tcW w:w="2703" w:type="pct"/>
          </w:tcPr>
          <w:p w:rsidR="00CC745B" w:rsidRPr="001D6512" w:rsidRDefault="00CC745B" w:rsidP="00321935">
            <w:pPr>
              <w:pStyle w:val="TableCell"/>
              <w:spacing w:before="60" w:after="60"/>
            </w:pPr>
            <w:r w:rsidRPr="001D6512">
              <w:t>Savings</w:t>
            </w:r>
            <w:r w:rsidRPr="001D6512">
              <w:rPr>
                <w:vertAlign w:val="subscript"/>
              </w:rPr>
              <w:t xml:space="preserve">SmartStrip </w:t>
            </w:r>
            <w:r w:rsidRPr="001D6512">
              <w:t>(kWh)</w:t>
            </w:r>
          </w:p>
        </w:tc>
        <w:tc>
          <w:tcPr>
            <w:tcW w:w="864" w:type="pct"/>
          </w:tcPr>
          <w:p w:rsidR="00CC745B" w:rsidRPr="001D6512" w:rsidRDefault="00CC745B" w:rsidP="00321935">
            <w:pPr>
              <w:pStyle w:val="TableCell"/>
              <w:spacing w:before="60" w:after="60"/>
            </w:pPr>
            <w:r w:rsidRPr="001D6512">
              <w:t>184</w:t>
            </w:r>
          </w:p>
        </w:tc>
        <w:tc>
          <w:tcPr>
            <w:tcW w:w="1433" w:type="pct"/>
          </w:tcPr>
          <w:p w:rsidR="00CC745B" w:rsidRPr="001D6512" w:rsidRDefault="00CC745B" w:rsidP="00321935">
            <w:pPr>
              <w:pStyle w:val="TableCell"/>
              <w:spacing w:before="60" w:after="60"/>
            </w:pPr>
            <w:r w:rsidRPr="001D6512">
              <w:t>FE Interim TRM</w:t>
            </w:r>
          </w:p>
        </w:tc>
      </w:tr>
      <w:tr w:rsidR="00CC745B" w:rsidRPr="002E4E52" w:rsidTr="00DA48E9">
        <w:tc>
          <w:tcPr>
            <w:tcW w:w="2703" w:type="pct"/>
          </w:tcPr>
          <w:p w:rsidR="00CC745B" w:rsidRPr="001D6512" w:rsidRDefault="00CC745B" w:rsidP="00321935">
            <w:pPr>
              <w:pStyle w:val="TableCell"/>
              <w:spacing w:before="60" w:after="60"/>
            </w:pPr>
            <w:r w:rsidRPr="001D6512">
              <w:t>DemandReduction</w:t>
            </w:r>
            <w:r w:rsidRPr="001D6512">
              <w:rPr>
                <w:vertAlign w:val="subscript"/>
              </w:rPr>
              <w:t xml:space="preserve">SmartStrip </w:t>
            </w:r>
            <w:r w:rsidRPr="001D6512">
              <w:t>(kW)</w:t>
            </w:r>
          </w:p>
        </w:tc>
        <w:tc>
          <w:tcPr>
            <w:tcW w:w="864" w:type="pct"/>
          </w:tcPr>
          <w:p w:rsidR="00CC745B" w:rsidRPr="001D6512" w:rsidRDefault="00CC745B" w:rsidP="00321935">
            <w:pPr>
              <w:pStyle w:val="TableCell"/>
              <w:spacing w:before="60" w:after="60"/>
            </w:pPr>
            <w:r w:rsidRPr="001D6512">
              <w:t>.013</w:t>
            </w:r>
          </w:p>
        </w:tc>
        <w:tc>
          <w:tcPr>
            <w:tcW w:w="1433" w:type="pct"/>
          </w:tcPr>
          <w:p w:rsidR="00CC745B" w:rsidRPr="001D6512" w:rsidRDefault="00CC745B" w:rsidP="00321935">
            <w:pPr>
              <w:pStyle w:val="TableCell"/>
              <w:spacing w:before="60" w:after="60"/>
            </w:pPr>
            <w:r w:rsidRPr="001D6512">
              <w:t>FE Interim TRM</w:t>
            </w:r>
          </w:p>
        </w:tc>
      </w:tr>
      <w:tr w:rsidR="00CC745B" w:rsidRPr="002E4E52" w:rsidTr="00DA48E9">
        <w:tc>
          <w:tcPr>
            <w:tcW w:w="2703" w:type="pct"/>
          </w:tcPr>
          <w:p w:rsidR="00CC745B" w:rsidRPr="001D6512" w:rsidRDefault="00CC745B" w:rsidP="00321935">
            <w:pPr>
              <w:pStyle w:val="TableCell"/>
              <w:spacing w:before="60" w:after="60"/>
            </w:pPr>
            <w:r w:rsidRPr="001D6512">
              <w:t xml:space="preserve"> ISR</w:t>
            </w:r>
            <w:r w:rsidRPr="001D6512">
              <w:rPr>
                <w:vertAlign w:val="subscript"/>
              </w:rPr>
              <w:t xml:space="preserve">SmartStrip </w:t>
            </w:r>
            <w:r w:rsidRPr="001D6512">
              <w:t xml:space="preserve"> </w:t>
            </w:r>
          </w:p>
        </w:tc>
        <w:tc>
          <w:tcPr>
            <w:tcW w:w="864" w:type="pct"/>
          </w:tcPr>
          <w:p w:rsidR="00CC745B" w:rsidRPr="001D6512" w:rsidRDefault="00CC745B" w:rsidP="00321935">
            <w:pPr>
              <w:pStyle w:val="TableCell"/>
              <w:spacing w:before="60" w:after="60"/>
            </w:pPr>
            <w:r w:rsidRPr="001D6512">
              <w:t>variable</w:t>
            </w:r>
          </w:p>
        </w:tc>
        <w:tc>
          <w:tcPr>
            <w:tcW w:w="1433" w:type="pct"/>
          </w:tcPr>
          <w:p w:rsidR="00CC745B" w:rsidRPr="001D6512" w:rsidRDefault="00CC745B" w:rsidP="00321935">
            <w:pPr>
              <w:pStyle w:val="TableCell"/>
              <w:spacing w:before="60" w:after="60"/>
            </w:pPr>
            <w:r w:rsidRPr="001D6512">
              <w:t>EDC Data Gathering</w:t>
            </w:r>
          </w:p>
        </w:tc>
      </w:tr>
      <w:tr w:rsidR="00CC745B" w:rsidRPr="002E4E52" w:rsidTr="00DA48E9">
        <w:tc>
          <w:tcPr>
            <w:tcW w:w="2703" w:type="pct"/>
          </w:tcPr>
          <w:p w:rsidR="00CC745B" w:rsidRPr="001D6512" w:rsidRDefault="00CC745B" w:rsidP="00321935">
            <w:pPr>
              <w:pStyle w:val="TableCell"/>
              <w:spacing w:before="60" w:after="60"/>
            </w:pPr>
            <w:r w:rsidRPr="001D6512">
              <w:t>Savings</w:t>
            </w:r>
            <w:r w:rsidRPr="001D6512">
              <w:rPr>
                <w:vertAlign w:val="subscript"/>
              </w:rPr>
              <w:t xml:space="preserve">NiteLite </w:t>
            </w:r>
            <w:r w:rsidRPr="001D6512">
              <w:t>(kWh)</w:t>
            </w:r>
          </w:p>
        </w:tc>
        <w:tc>
          <w:tcPr>
            <w:tcW w:w="864" w:type="pct"/>
          </w:tcPr>
          <w:p w:rsidR="00CC745B" w:rsidRPr="001D6512" w:rsidRDefault="00CC745B" w:rsidP="00321935">
            <w:pPr>
              <w:pStyle w:val="TableCell"/>
              <w:spacing w:before="60" w:after="60"/>
            </w:pPr>
            <w:r w:rsidRPr="001D6512">
              <w:t>26.3</w:t>
            </w:r>
          </w:p>
        </w:tc>
        <w:tc>
          <w:tcPr>
            <w:tcW w:w="1433" w:type="pct"/>
          </w:tcPr>
          <w:p w:rsidR="00CC745B" w:rsidRPr="001D6512" w:rsidRDefault="00CC745B" w:rsidP="00321935">
            <w:pPr>
              <w:pStyle w:val="TableCell"/>
              <w:spacing w:before="60" w:after="60"/>
            </w:pPr>
            <w:r w:rsidRPr="001D6512">
              <w:t>PA Interim TRM</w:t>
            </w:r>
            <w:r w:rsidR="00952ED8" w:rsidRPr="001D6512">
              <w:rPr>
                <w:rStyle w:val="FootnoteReference"/>
              </w:rPr>
              <w:footnoteReference w:id="23"/>
            </w:r>
          </w:p>
        </w:tc>
      </w:tr>
      <w:tr w:rsidR="00CC745B" w:rsidRPr="002E4E52" w:rsidTr="00DA48E9">
        <w:tc>
          <w:tcPr>
            <w:tcW w:w="2703" w:type="pct"/>
          </w:tcPr>
          <w:p w:rsidR="00CC745B" w:rsidRPr="001D6512" w:rsidRDefault="00CC745B" w:rsidP="00321935">
            <w:pPr>
              <w:pStyle w:val="TableCell"/>
              <w:spacing w:before="60" w:after="60"/>
            </w:pPr>
            <w:r w:rsidRPr="001D6512">
              <w:t>DemandReduction</w:t>
            </w:r>
            <w:r w:rsidRPr="001D6512">
              <w:rPr>
                <w:vertAlign w:val="subscript"/>
              </w:rPr>
              <w:t xml:space="preserve">NiteLite </w:t>
            </w:r>
            <w:r w:rsidRPr="001D6512">
              <w:t>(kW)</w:t>
            </w:r>
          </w:p>
        </w:tc>
        <w:tc>
          <w:tcPr>
            <w:tcW w:w="864" w:type="pct"/>
          </w:tcPr>
          <w:p w:rsidR="00CC745B" w:rsidRPr="001D6512" w:rsidRDefault="00CC745B" w:rsidP="00321935">
            <w:pPr>
              <w:pStyle w:val="TableCell"/>
              <w:spacing w:before="60" w:after="60"/>
            </w:pPr>
            <w:r w:rsidRPr="001D6512">
              <w:t>0</w:t>
            </w:r>
          </w:p>
        </w:tc>
        <w:tc>
          <w:tcPr>
            <w:tcW w:w="1433" w:type="pct"/>
          </w:tcPr>
          <w:p w:rsidR="00CC745B" w:rsidRPr="001D6512" w:rsidRDefault="00CC745B" w:rsidP="00321935">
            <w:pPr>
              <w:pStyle w:val="TableCell"/>
              <w:spacing w:before="60" w:after="60"/>
            </w:pPr>
            <w:r w:rsidRPr="001D6512">
              <w:t>PA Interim TRM</w:t>
            </w:r>
          </w:p>
        </w:tc>
      </w:tr>
      <w:tr w:rsidR="00CC745B" w:rsidRPr="002E4E52" w:rsidTr="00DA48E9">
        <w:tc>
          <w:tcPr>
            <w:tcW w:w="2703" w:type="pct"/>
          </w:tcPr>
          <w:p w:rsidR="00CC745B" w:rsidRPr="001D6512" w:rsidRDefault="00CC745B" w:rsidP="00321935">
            <w:pPr>
              <w:pStyle w:val="TableCell"/>
              <w:spacing w:before="60" w:after="60"/>
            </w:pPr>
            <w:r w:rsidRPr="001D6512">
              <w:t xml:space="preserve"> ISR</w:t>
            </w:r>
            <w:r w:rsidRPr="001D6512">
              <w:rPr>
                <w:vertAlign w:val="subscript"/>
              </w:rPr>
              <w:t xml:space="preserve">NiteLite </w:t>
            </w:r>
            <w:r w:rsidRPr="001D6512">
              <w:t xml:space="preserve"> </w:t>
            </w:r>
          </w:p>
        </w:tc>
        <w:tc>
          <w:tcPr>
            <w:tcW w:w="864" w:type="pct"/>
          </w:tcPr>
          <w:p w:rsidR="00CC745B" w:rsidRPr="001D6512" w:rsidRDefault="00CC745B" w:rsidP="00321935">
            <w:pPr>
              <w:pStyle w:val="TableCell"/>
              <w:spacing w:before="60" w:after="60"/>
            </w:pPr>
            <w:r w:rsidRPr="001D6512">
              <w:t>variable</w:t>
            </w:r>
          </w:p>
        </w:tc>
        <w:tc>
          <w:tcPr>
            <w:tcW w:w="1433" w:type="pct"/>
          </w:tcPr>
          <w:p w:rsidR="00CC745B" w:rsidRPr="001D6512" w:rsidRDefault="00CC745B" w:rsidP="00321935">
            <w:pPr>
              <w:pStyle w:val="TableCell"/>
              <w:spacing w:before="60" w:after="60"/>
            </w:pPr>
            <w:r w:rsidRPr="001D6512">
              <w:t>EDC Data Gathering</w:t>
            </w:r>
          </w:p>
        </w:tc>
      </w:tr>
      <w:tr w:rsidR="00CC745B" w:rsidRPr="002E4E52" w:rsidTr="00DA48E9">
        <w:tc>
          <w:tcPr>
            <w:tcW w:w="2703" w:type="pct"/>
          </w:tcPr>
          <w:p w:rsidR="00CC745B" w:rsidRPr="001D6512" w:rsidRDefault="00CC745B" w:rsidP="00321935">
            <w:pPr>
              <w:pStyle w:val="TableCell"/>
              <w:spacing w:before="60" w:after="60"/>
            </w:pPr>
            <w:r w:rsidRPr="001D6512">
              <w:t>N</w:t>
            </w:r>
            <w:r w:rsidRPr="001D6512">
              <w:rPr>
                <w:vertAlign w:val="subscript"/>
              </w:rPr>
              <w:t>NiteLite</w:t>
            </w:r>
          </w:p>
        </w:tc>
        <w:tc>
          <w:tcPr>
            <w:tcW w:w="864" w:type="pct"/>
          </w:tcPr>
          <w:p w:rsidR="00CC745B" w:rsidRPr="001D6512" w:rsidRDefault="00CC745B" w:rsidP="00321935">
            <w:pPr>
              <w:pStyle w:val="TableCell"/>
              <w:spacing w:before="60" w:after="60"/>
            </w:pPr>
            <w:r w:rsidRPr="001D6512">
              <w:t>2</w:t>
            </w:r>
          </w:p>
        </w:tc>
        <w:tc>
          <w:tcPr>
            <w:tcW w:w="1433" w:type="pct"/>
          </w:tcPr>
          <w:p w:rsidR="00CC745B" w:rsidRPr="001D6512" w:rsidRDefault="00CC745B" w:rsidP="00321935">
            <w:pPr>
              <w:pStyle w:val="TableCell"/>
              <w:spacing w:before="60" w:after="60"/>
            </w:pPr>
            <w:r w:rsidRPr="001D6512">
              <w:t>Program Design</w:t>
            </w:r>
          </w:p>
        </w:tc>
      </w:tr>
    </w:tbl>
    <w:p w:rsidR="00CC745B" w:rsidRDefault="00CC745B" w:rsidP="00CC745B">
      <w:pPr>
        <w:pStyle w:val="BodyTextIndent2"/>
        <w:ind w:left="360" w:hanging="180"/>
        <w:jc w:val="both"/>
        <w:rPr>
          <w:color w:val="000000"/>
        </w:rPr>
      </w:pPr>
    </w:p>
    <w:p w:rsidR="00CC745B" w:rsidRDefault="00CC745B" w:rsidP="00871FA2">
      <w:pPr>
        <w:pStyle w:val="Heading3"/>
      </w:pPr>
      <w:r>
        <w:lastRenderedPageBreak/>
        <w:t xml:space="preserve">Partially </w:t>
      </w:r>
      <w:r w:rsidRPr="00B34180">
        <w:t>Deemed Savings</w:t>
      </w:r>
    </w:p>
    <w:p w:rsidR="00CC745B" w:rsidRDefault="00CC745B" w:rsidP="008075FC">
      <w:pPr>
        <w:pStyle w:val="BodyText"/>
        <w:keepNext/>
      </w:pPr>
      <w:r w:rsidRPr="00F31E6E">
        <w:t xml:space="preserve">The deemed </w:t>
      </w:r>
      <w:r>
        <w:t xml:space="preserve">energy and demand </w:t>
      </w:r>
      <w:r w:rsidRPr="00F31E6E">
        <w:t xml:space="preserve">savings </w:t>
      </w:r>
      <w:r>
        <w:t>per kit are dependent on the measured ISRs for the individual kit components.</w:t>
      </w:r>
    </w:p>
    <w:p w:rsidR="00CC745B" w:rsidRPr="00B34180" w:rsidRDefault="00CC745B" w:rsidP="00871FA2">
      <w:pPr>
        <w:pStyle w:val="Heading3"/>
      </w:pPr>
      <w:r w:rsidRPr="00B34180">
        <w:t>Measure Life</w:t>
      </w:r>
    </w:p>
    <w:p w:rsidR="00CC745B" w:rsidRPr="003337F7" w:rsidRDefault="00CC745B" w:rsidP="002A3048">
      <w:pPr>
        <w:pStyle w:val="BodyText"/>
      </w:pPr>
      <w:r>
        <w:t>The m</w:t>
      </w:r>
      <w:r w:rsidRPr="00F31E6E">
        <w:t xml:space="preserve">easure life </w:t>
      </w:r>
      <w:r>
        <w:t>for CFLs is</w:t>
      </w:r>
      <w:r w:rsidRPr="00F31E6E">
        <w:rPr>
          <w:szCs w:val="22"/>
        </w:rPr>
        <w:t xml:space="preserve"> </w:t>
      </w:r>
      <w:r w:rsidRPr="00F31E6E">
        <w:rPr>
          <w:b/>
          <w:szCs w:val="22"/>
        </w:rPr>
        <w:t>6.4 years</w:t>
      </w:r>
      <w:r w:rsidRPr="00F31E6E">
        <w:rPr>
          <w:szCs w:val="22"/>
        </w:rPr>
        <w:t xml:space="preserve"> </w:t>
      </w:r>
      <w:r>
        <w:rPr>
          <w:szCs w:val="22"/>
        </w:rPr>
        <w:t xml:space="preserve">according to </w:t>
      </w:r>
      <w:r w:rsidR="00325EF4">
        <w:rPr>
          <w:szCs w:val="22"/>
        </w:rPr>
        <w:t>ENERGY STAR</w:t>
      </w:r>
      <w:r w:rsidR="00952ED8">
        <w:rPr>
          <w:rStyle w:val="FootnoteReference"/>
        </w:rPr>
        <w:footnoteReference w:id="24"/>
      </w:r>
      <w:r w:rsidRPr="00F31E6E">
        <w:t>.</w:t>
      </w:r>
      <w:r>
        <w:t xml:space="preserve"> The measure life of the Smart Strips are </w:t>
      </w:r>
      <w:r w:rsidRPr="003337F7">
        <w:rPr>
          <w:b/>
        </w:rPr>
        <w:t>5 years</w:t>
      </w:r>
      <w:r>
        <w:rPr>
          <w:b/>
        </w:rPr>
        <w:t xml:space="preserve">, </w:t>
      </w:r>
      <w:r w:rsidRPr="003337F7">
        <w:t>and the</w:t>
      </w:r>
      <w:r>
        <w:t xml:space="preserve"> measure life of the faucet aerators are </w:t>
      </w:r>
      <w:r w:rsidRPr="003337F7">
        <w:rPr>
          <w:b/>
        </w:rPr>
        <w:t>12 years</w:t>
      </w:r>
      <w:r>
        <w:rPr>
          <w:b/>
        </w:rPr>
        <w:t xml:space="preserve">.  </w:t>
      </w:r>
      <w:r>
        <w:t xml:space="preserve">The weighted (by energy savings) average life of the energy conservation kit is </w:t>
      </w:r>
      <w:r w:rsidRPr="003337F7">
        <w:rPr>
          <w:b/>
        </w:rPr>
        <w:t>8.1 years</w:t>
      </w:r>
      <w:r>
        <w:t>.</w:t>
      </w:r>
    </w:p>
    <w:p w:rsidR="00CC745B" w:rsidRPr="00B34180" w:rsidRDefault="00CC745B" w:rsidP="00871FA2">
      <w:pPr>
        <w:pStyle w:val="Heading3"/>
      </w:pPr>
      <w:r w:rsidRPr="00B34180">
        <w:t>Evaluation Protocols</w:t>
      </w:r>
    </w:p>
    <w:p w:rsidR="00CC745B" w:rsidRPr="002E4E52" w:rsidRDefault="00CC745B" w:rsidP="002A3048">
      <w:pPr>
        <w:pStyle w:val="BodyText"/>
      </w:pPr>
      <w:r w:rsidRPr="00B34180">
        <w:t>The most appropriate evaluation protocol for this measure is verification of installation coupled with assignment of stipulated energy savings.</w:t>
      </w:r>
      <w:r>
        <w:t xml:space="preserve"> The fraction of cases where a given measure has supplanted the baseline equipment constitutes the ISR for the measure.</w:t>
      </w:r>
    </w:p>
    <w:p w:rsidR="00F73121" w:rsidRDefault="00F73121">
      <w:pPr>
        <w:overflowPunct/>
        <w:autoSpaceDE/>
        <w:autoSpaceDN/>
        <w:adjustRightInd/>
        <w:spacing w:after="0" w:line="240" w:lineRule="auto"/>
        <w:textAlignment w:val="auto"/>
      </w:pPr>
    </w:p>
    <w:p w:rsidR="00952ED8" w:rsidRDefault="00716DAB" w:rsidP="00E568D4">
      <w:pPr>
        <w:pStyle w:val="Heading2"/>
      </w:pPr>
      <w:bookmarkStart w:id="137" w:name="_Toc271723503"/>
      <w:r>
        <w:br w:type="page"/>
      </w:r>
      <w:bookmarkStart w:id="138" w:name="_Toc310875407"/>
      <w:r w:rsidR="00952ED8" w:rsidRPr="00F563CA">
        <w:lastRenderedPageBreak/>
        <w:t>LED Nightlight</w:t>
      </w:r>
      <w:bookmarkEnd w:id="137"/>
      <w:bookmarkEnd w:id="138"/>
    </w:p>
    <w:tbl>
      <w:tblPr>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4428"/>
        <w:gridCol w:w="4428"/>
      </w:tblGrid>
      <w:tr w:rsidR="00952ED8" w:rsidRPr="00C465DB" w:rsidTr="00F84A22">
        <w:tc>
          <w:tcPr>
            <w:tcW w:w="4428" w:type="dxa"/>
            <w:tcBorders>
              <w:top w:val="single" w:sz="8" w:space="0" w:color="404040"/>
              <w:left w:val="single" w:sz="8" w:space="0" w:color="404040"/>
              <w:bottom w:val="single" w:sz="8" w:space="0" w:color="404040"/>
              <w:right w:val="single" w:sz="8" w:space="0" w:color="404040"/>
            </w:tcBorders>
            <w:shd w:val="clear" w:color="auto" w:fill="BFBFBF"/>
          </w:tcPr>
          <w:p w:rsidR="00952ED8" w:rsidRPr="001D6512" w:rsidRDefault="00952ED8" w:rsidP="00F84A22">
            <w:pPr>
              <w:pStyle w:val="TableCell"/>
              <w:spacing w:before="60" w:after="60"/>
              <w:rPr>
                <w:rFonts w:eastAsia="Calibri"/>
                <w:b/>
                <w:bCs/>
              </w:rPr>
            </w:pPr>
            <w:r w:rsidRPr="001D6512">
              <w:rPr>
                <w:rFonts w:eastAsia="Calibri"/>
                <w:b/>
                <w:bCs/>
              </w:rPr>
              <w:t>Measure Name</w:t>
            </w:r>
          </w:p>
        </w:tc>
        <w:tc>
          <w:tcPr>
            <w:tcW w:w="4428" w:type="dxa"/>
            <w:tcBorders>
              <w:top w:val="single" w:sz="8" w:space="0" w:color="404040"/>
              <w:left w:val="single" w:sz="8" w:space="0" w:color="404040"/>
              <w:bottom w:val="single" w:sz="8" w:space="0" w:color="404040"/>
              <w:right w:val="single" w:sz="8" w:space="0" w:color="404040"/>
            </w:tcBorders>
            <w:shd w:val="clear" w:color="auto" w:fill="BFBFBF"/>
          </w:tcPr>
          <w:p w:rsidR="00952ED8" w:rsidRPr="001D6512" w:rsidRDefault="00952ED8" w:rsidP="00F84A22">
            <w:pPr>
              <w:pStyle w:val="TableCell"/>
              <w:spacing w:before="60" w:after="60"/>
              <w:rPr>
                <w:rFonts w:eastAsia="Calibri"/>
                <w:b/>
                <w:bCs/>
              </w:rPr>
            </w:pPr>
            <w:r w:rsidRPr="001D6512">
              <w:rPr>
                <w:rFonts w:eastAsia="Calibri"/>
                <w:b/>
                <w:bCs/>
              </w:rPr>
              <w:t>LED Nightlight</w:t>
            </w:r>
          </w:p>
        </w:tc>
      </w:tr>
      <w:tr w:rsidR="00952ED8" w:rsidRPr="00C465DB" w:rsidTr="00F84A22">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952ED8" w:rsidRPr="00865117" w:rsidRDefault="00952ED8" w:rsidP="00F84A22">
            <w:pPr>
              <w:pStyle w:val="TableCell"/>
              <w:spacing w:before="60" w:after="60"/>
              <w:rPr>
                <w:rFonts w:eastAsia="Calibri"/>
                <w:b/>
                <w:bCs/>
                <w:color w:val="000000"/>
              </w:rPr>
            </w:pPr>
            <w:r w:rsidRPr="00865117">
              <w:rPr>
                <w:rFonts w:eastAsia="Calibri"/>
                <w:b/>
                <w:bCs/>
                <w:color w:val="000000"/>
              </w:rPr>
              <w:t>Target Sector</w:t>
            </w:r>
          </w:p>
        </w:tc>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952ED8" w:rsidRPr="001D6512" w:rsidRDefault="00952ED8" w:rsidP="00F84A22">
            <w:pPr>
              <w:pStyle w:val="TableCell"/>
              <w:spacing w:before="60" w:after="60"/>
              <w:rPr>
                <w:rFonts w:eastAsia="Calibri"/>
                <w:color w:val="000000"/>
              </w:rPr>
            </w:pPr>
            <w:r w:rsidRPr="001D6512">
              <w:rPr>
                <w:rFonts w:eastAsia="Calibri"/>
                <w:color w:val="000000"/>
              </w:rPr>
              <w:t>Residential Establishments</w:t>
            </w:r>
          </w:p>
        </w:tc>
      </w:tr>
      <w:tr w:rsidR="00952ED8" w:rsidRPr="00C465DB" w:rsidTr="00F84A22">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952ED8" w:rsidRPr="00865117" w:rsidRDefault="00952ED8" w:rsidP="00F84A22">
            <w:pPr>
              <w:pStyle w:val="TableCell"/>
              <w:spacing w:before="60" w:after="60"/>
              <w:rPr>
                <w:rFonts w:eastAsia="Calibri"/>
                <w:b/>
                <w:bCs/>
                <w:color w:val="000000"/>
              </w:rPr>
            </w:pPr>
            <w:r w:rsidRPr="00865117">
              <w:rPr>
                <w:rFonts w:eastAsia="Calibri"/>
                <w:b/>
                <w:bCs/>
                <w:color w:val="000000"/>
              </w:rPr>
              <w:t>Measure Unit</w:t>
            </w:r>
          </w:p>
        </w:tc>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952ED8" w:rsidRPr="001D6512" w:rsidRDefault="00952ED8" w:rsidP="00F84A22">
            <w:pPr>
              <w:pStyle w:val="TableCell"/>
              <w:spacing w:before="60" w:after="60"/>
              <w:rPr>
                <w:rFonts w:eastAsia="Calibri"/>
                <w:color w:val="000000"/>
              </w:rPr>
            </w:pPr>
            <w:r w:rsidRPr="001D6512">
              <w:rPr>
                <w:rFonts w:eastAsia="Calibri"/>
                <w:color w:val="000000"/>
              </w:rPr>
              <w:t>LED Nightlight</w:t>
            </w:r>
          </w:p>
        </w:tc>
      </w:tr>
      <w:tr w:rsidR="00952ED8" w:rsidRPr="00C465DB" w:rsidTr="00F84A22">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952ED8" w:rsidRPr="00865117" w:rsidRDefault="00952ED8" w:rsidP="00F84A22">
            <w:pPr>
              <w:pStyle w:val="TableCell"/>
              <w:spacing w:before="60" w:after="60"/>
              <w:rPr>
                <w:rFonts w:eastAsia="Calibri"/>
                <w:b/>
                <w:bCs/>
                <w:color w:val="000000"/>
              </w:rPr>
            </w:pPr>
            <w:r w:rsidRPr="00865117">
              <w:rPr>
                <w:rFonts w:eastAsia="Calibri"/>
                <w:b/>
                <w:bCs/>
                <w:color w:val="000000"/>
              </w:rPr>
              <w:t>Unit Energy Savings</w:t>
            </w:r>
          </w:p>
        </w:tc>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952ED8" w:rsidRPr="001D6512" w:rsidRDefault="00952ED8" w:rsidP="00F84A22">
            <w:pPr>
              <w:pStyle w:val="TableCell"/>
              <w:spacing w:before="60" w:after="60"/>
              <w:rPr>
                <w:rFonts w:eastAsia="Calibri"/>
                <w:color w:val="000000"/>
              </w:rPr>
            </w:pPr>
            <w:r w:rsidRPr="001D6512">
              <w:rPr>
                <w:rFonts w:eastAsia="Calibri"/>
                <w:color w:val="000000"/>
              </w:rPr>
              <w:t>22</w:t>
            </w:r>
            <w:r w:rsidR="00D57B9E" w:rsidRPr="001D6512">
              <w:rPr>
                <w:rFonts w:eastAsia="Calibri"/>
                <w:color w:val="000000"/>
              </w:rPr>
              <w:t xml:space="preserve"> </w:t>
            </w:r>
            <w:r w:rsidRPr="001D6512">
              <w:rPr>
                <w:rFonts w:eastAsia="Calibri"/>
                <w:color w:val="000000"/>
              </w:rPr>
              <w:t>kWh</w:t>
            </w:r>
          </w:p>
        </w:tc>
      </w:tr>
      <w:tr w:rsidR="00952ED8" w:rsidRPr="00C465DB" w:rsidTr="00F84A22">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952ED8" w:rsidRPr="00865117" w:rsidRDefault="00952ED8" w:rsidP="00F84A22">
            <w:pPr>
              <w:pStyle w:val="TableCell"/>
              <w:spacing w:before="60" w:after="60"/>
              <w:rPr>
                <w:rFonts w:eastAsia="Calibri"/>
                <w:b/>
                <w:bCs/>
                <w:color w:val="000000"/>
              </w:rPr>
            </w:pPr>
            <w:r w:rsidRPr="00865117">
              <w:rPr>
                <w:rFonts w:eastAsia="Calibri"/>
                <w:b/>
                <w:bCs/>
                <w:color w:val="000000"/>
              </w:rPr>
              <w:t>Unit Peak Demand Reduction</w:t>
            </w:r>
          </w:p>
        </w:tc>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952ED8" w:rsidRPr="001D6512" w:rsidRDefault="00952ED8" w:rsidP="00F84A22">
            <w:pPr>
              <w:pStyle w:val="TableCell"/>
              <w:spacing w:before="60" w:after="60"/>
              <w:rPr>
                <w:rFonts w:eastAsia="Calibri"/>
                <w:color w:val="000000"/>
              </w:rPr>
            </w:pPr>
            <w:r w:rsidRPr="001D6512">
              <w:rPr>
                <w:rFonts w:eastAsia="Calibri"/>
                <w:color w:val="000000"/>
              </w:rPr>
              <w:t>0</w:t>
            </w:r>
            <w:r w:rsidR="00D57B9E" w:rsidRPr="001D6512">
              <w:rPr>
                <w:rFonts w:eastAsia="Calibri"/>
                <w:color w:val="000000"/>
              </w:rPr>
              <w:t xml:space="preserve"> </w:t>
            </w:r>
            <w:r w:rsidRPr="001D6512">
              <w:rPr>
                <w:rFonts w:eastAsia="Calibri"/>
                <w:color w:val="000000"/>
              </w:rPr>
              <w:t>kW</w:t>
            </w:r>
          </w:p>
        </w:tc>
      </w:tr>
      <w:tr w:rsidR="00952ED8" w:rsidRPr="00C465DB" w:rsidTr="00F84A22">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952ED8" w:rsidRPr="00865117" w:rsidRDefault="00952ED8" w:rsidP="00F84A22">
            <w:pPr>
              <w:pStyle w:val="TableCell"/>
              <w:spacing w:before="60" w:after="60"/>
              <w:rPr>
                <w:rFonts w:eastAsia="Calibri"/>
                <w:b/>
                <w:bCs/>
                <w:color w:val="000000"/>
              </w:rPr>
            </w:pPr>
            <w:r w:rsidRPr="00865117">
              <w:rPr>
                <w:rFonts w:eastAsia="Calibri"/>
                <w:b/>
                <w:bCs/>
                <w:color w:val="000000"/>
              </w:rPr>
              <w:t>Measure Life</w:t>
            </w:r>
          </w:p>
        </w:tc>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952ED8" w:rsidRPr="001D6512" w:rsidRDefault="00952ED8" w:rsidP="00F84A22">
            <w:pPr>
              <w:pStyle w:val="TableCell"/>
              <w:spacing w:before="60" w:after="60"/>
              <w:rPr>
                <w:rFonts w:eastAsia="Calibri"/>
                <w:color w:val="000000"/>
              </w:rPr>
            </w:pPr>
            <w:r w:rsidRPr="001D6512">
              <w:rPr>
                <w:rFonts w:eastAsia="Calibri"/>
                <w:color w:val="000000"/>
              </w:rPr>
              <w:t>8 years</w:t>
            </w:r>
          </w:p>
        </w:tc>
      </w:tr>
    </w:tbl>
    <w:p w:rsidR="00952ED8" w:rsidRDefault="00952ED8" w:rsidP="00952ED8">
      <w:pPr>
        <w:rPr>
          <w:rFonts w:ascii="Calibri" w:eastAsia="Calibri" w:hAnsi="Calibri" w:cs="Tahoma"/>
          <w:sz w:val="22"/>
          <w:szCs w:val="22"/>
        </w:rPr>
      </w:pPr>
    </w:p>
    <w:p w:rsidR="00D57B9E" w:rsidRPr="00F563CA" w:rsidRDefault="00D57B9E" w:rsidP="00D57B9E">
      <w:r w:rsidRPr="00F563CA">
        <w:t xml:space="preserve">Savings from installation of </w:t>
      </w:r>
      <w:r>
        <w:t>LED</w:t>
      </w:r>
      <w:r w:rsidRPr="00F563CA">
        <w:t xml:space="preserve"> nightlights are based on a straightforward algorithm that calculates the difference between existing and new wattage and the average daily hours of usage for the lighting unit being replaced. An “installation” rate is used to modify the savings based upon the outcome of participant surveys, which will inform the calculation. Demand savings is assumed to be zero for this measure.</w:t>
      </w:r>
    </w:p>
    <w:p w:rsidR="00E97E0A" w:rsidRPr="00F563CA" w:rsidRDefault="00E97E0A" w:rsidP="00871FA2">
      <w:pPr>
        <w:pStyle w:val="Heading3"/>
        <w:rPr>
          <w:rFonts w:eastAsia="Calibri"/>
        </w:rPr>
      </w:pPr>
      <w:r>
        <w:rPr>
          <w:rFonts w:eastAsia="Calibri"/>
        </w:rPr>
        <w:t>Algorithms</w:t>
      </w:r>
    </w:p>
    <w:p w:rsidR="00952ED8" w:rsidRDefault="00952ED8" w:rsidP="00952ED8">
      <w:pPr>
        <w:pStyle w:val="BodyText"/>
        <w:rPr>
          <w:rFonts w:eastAsia="Calibri"/>
        </w:rPr>
      </w:pPr>
      <w:r w:rsidRPr="00F563CA">
        <w:rPr>
          <w:rFonts w:eastAsia="Calibri"/>
        </w:rPr>
        <w:t>Assumes a 1 Watt LED nightlight replaces a 7 Watt incandescent nightlight. The nightlight is assumed to operate 12 hours per day, 365 days per year; estimated useful life is 8 years (manufacturer cites 11 years 100,000 hours). Savings are calculated using the following algorithm:</w:t>
      </w:r>
    </w:p>
    <w:p w:rsidR="00952ED8" w:rsidRPr="00AA2C40" w:rsidRDefault="00DA48E9" w:rsidP="00F7332F">
      <w:pPr>
        <w:pStyle w:val="Equation"/>
        <w:rPr>
          <w:rFonts w:cs="Arial"/>
          <w:szCs w:val="20"/>
        </w:rPr>
      </w:pPr>
      <w:r w:rsidRPr="00AA2C40">
        <w:rPr>
          <w:rFonts w:cs="Arial"/>
          <w:szCs w:val="20"/>
        </w:rPr>
        <w:sym w:font="Symbol" w:char="F044"/>
      </w:r>
      <w:r w:rsidRPr="00AA2C40">
        <w:rPr>
          <w:rFonts w:cs="Arial"/>
          <w:szCs w:val="20"/>
        </w:rPr>
        <w:t xml:space="preserve">kWh </w:t>
      </w:r>
      <w:r w:rsidRPr="00AA2C40">
        <w:rPr>
          <w:rFonts w:cs="Arial"/>
          <w:szCs w:val="20"/>
        </w:rPr>
        <w:tab/>
      </w:r>
      <w:r w:rsidR="00952ED8" w:rsidRPr="00AA2C40">
        <w:rPr>
          <w:rFonts w:cs="Arial"/>
          <w:szCs w:val="20"/>
        </w:rPr>
        <w:t xml:space="preserve"> </w:t>
      </w:r>
      <w:r w:rsidR="00F7332F" w:rsidRPr="00AA2C40">
        <w:rPr>
          <w:rFonts w:cs="Arial"/>
          <w:szCs w:val="20"/>
        </w:rPr>
        <w:tab/>
      </w:r>
      <w:r w:rsidR="00952ED8" w:rsidRPr="00AA2C40">
        <w:rPr>
          <w:rFonts w:cs="Arial"/>
          <w:szCs w:val="20"/>
        </w:rPr>
        <w:t>= ((NL</w:t>
      </w:r>
      <w:r w:rsidR="00952ED8" w:rsidRPr="00AA2C40">
        <w:rPr>
          <w:rFonts w:cs="Arial"/>
          <w:szCs w:val="20"/>
          <w:vertAlign w:val="subscript"/>
        </w:rPr>
        <w:t>watts</w:t>
      </w:r>
      <w:r w:rsidR="00952ED8" w:rsidRPr="00AA2C40">
        <w:rPr>
          <w:rFonts w:cs="Arial"/>
          <w:szCs w:val="20"/>
        </w:rPr>
        <w:t xml:space="preserve"> X (NL</w:t>
      </w:r>
      <w:r w:rsidR="00952ED8" w:rsidRPr="00AA2C40">
        <w:rPr>
          <w:rFonts w:cs="Arial"/>
          <w:szCs w:val="20"/>
          <w:vertAlign w:val="subscript"/>
        </w:rPr>
        <w:t>hours</w:t>
      </w:r>
      <w:r w:rsidR="00952ED8" w:rsidRPr="00AA2C40">
        <w:rPr>
          <w:rFonts w:cs="Arial"/>
          <w:szCs w:val="20"/>
        </w:rPr>
        <w:t xml:space="preserve"> X 365))/1000) x ISR</w:t>
      </w:r>
    </w:p>
    <w:p w:rsidR="00952ED8" w:rsidRPr="00AA2C40" w:rsidRDefault="00DA48E9" w:rsidP="00F7332F">
      <w:pPr>
        <w:pStyle w:val="Equation"/>
        <w:rPr>
          <w:rFonts w:cs="Arial"/>
          <w:szCs w:val="20"/>
        </w:rPr>
      </w:pPr>
      <w:r w:rsidRPr="00AA2C40">
        <w:rPr>
          <w:rFonts w:cs="Arial"/>
          <w:szCs w:val="20"/>
        </w:rPr>
        <w:sym w:font="Symbol" w:char="F044"/>
      </w:r>
      <w:r w:rsidRPr="00AA2C40">
        <w:rPr>
          <w:rFonts w:cs="Arial"/>
          <w:szCs w:val="20"/>
        </w:rPr>
        <w:t>kW</w:t>
      </w:r>
      <w:r w:rsidRPr="00AA2C40">
        <w:rPr>
          <w:rFonts w:cs="Arial"/>
          <w:szCs w:val="20"/>
          <w:vertAlign w:val="subscript"/>
        </w:rPr>
        <w:t>peak</w:t>
      </w:r>
      <w:r w:rsidRPr="00AA2C40">
        <w:rPr>
          <w:rFonts w:cs="Arial"/>
          <w:szCs w:val="20"/>
        </w:rPr>
        <w:t xml:space="preserve"> </w:t>
      </w:r>
      <w:r w:rsidR="00952ED8" w:rsidRPr="00AA2C40">
        <w:rPr>
          <w:rFonts w:cs="Arial"/>
          <w:szCs w:val="20"/>
        </w:rPr>
        <w:t xml:space="preserve"> </w:t>
      </w:r>
      <w:r w:rsidR="00F7332F" w:rsidRPr="00AA2C40">
        <w:rPr>
          <w:rFonts w:cs="Arial"/>
          <w:szCs w:val="20"/>
        </w:rPr>
        <w:tab/>
      </w:r>
      <w:r w:rsidR="00952ED8" w:rsidRPr="00AA2C40">
        <w:rPr>
          <w:rFonts w:cs="Arial"/>
          <w:szCs w:val="20"/>
        </w:rPr>
        <w:t>= 0 (assumed)</w:t>
      </w:r>
    </w:p>
    <w:p w:rsidR="00952ED8" w:rsidRPr="00F7332F" w:rsidRDefault="00DA48E9" w:rsidP="00871FA2">
      <w:pPr>
        <w:pStyle w:val="Heading3"/>
      </w:pPr>
      <w:r>
        <w:t>Definition of Terms</w:t>
      </w:r>
    </w:p>
    <w:p w:rsidR="00952ED8" w:rsidRPr="00AA2C40" w:rsidRDefault="00F7332F" w:rsidP="00F7332F">
      <w:pPr>
        <w:pStyle w:val="Equation"/>
        <w:rPr>
          <w:rFonts w:cs="Arial"/>
          <w:szCs w:val="20"/>
        </w:rPr>
      </w:pPr>
      <w:r w:rsidRPr="00AA2C40">
        <w:rPr>
          <w:rFonts w:cs="Arial"/>
          <w:szCs w:val="20"/>
        </w:rPr>
        <w:tab/>
      </w:r>
      <w:r w:rsidR="00952ED8" w:rsidRPr="00AA2C40">
        <w:rPr>
          <w:rFonts w:cs="Arial"/>
          <w:szCs w:val="20"/>
        </w:rPr>
        <w:t xml:space="preserve">NLwatts </w:t>
      </w:r>
      <w:r w:rsidRPr="00AA2C40">
        <w:rPr>
          <w:rFonts w:cs="Arial"/>
          <w:szCs w:val="20"/>
        </w:rPr>
        <w:tab/>
      </w:r>
      <w:r w:rsidR="00952ED8" w:rsidRPr="00AA2C40">
        <w:rPr>
          <w:rFonts w:cs="Arial"/>
          <w:szCs w:val="20"/>
        </w:rPr>
        <w:t>= Average delta watts per LED Nightlight</w:t>
      </w:r>
    </w:p>
    <w:p w:rsidR="00952ED8" w:rsidRPr="00AA2C40" w:rsidRDefault="00F7332F" w:rsidP="00F7332F">
      <w:pPr>
        <w:pStyle w:val="Equation"/>
        <w:rPr>
          <w:rFonts w:cs="Arial"/>
          <w:szCs w:val="20"/>
        </w:rPr>
      </w:pPr>
      <w:r w:rsidRPr="00AA2C40">
        <w:rPr>
          <w:rFonts w:cs="Arial"/>
          <w:szCs w:val="20"/>
        </w:rPr>
        <w:tab/>
      </w:r>
      <w:r w:rsidR="00952ED8" w:rsidRPr="00AA2C40">
        <w:rPr>
          <w:rFonts w:cs="Arial"/>
          <w:szCs w:val="20"/>
        </w:rPr>
        <w:t>NL</w:t>
      </w:r>
      <w:r w:rsidR="00952ED8" w:rsidRPr="00AA2C40">
        <w:rPr>
          <w:rFonts w:cs="Arial"/>
          <w:szCs w:val="20"/>
          <w:vertAlign w:val="subscript"/>
        </w:rPr>
        <w:t>hours</w:t>
      </w:r>
      <w:r w:rsidR="00952ED8" w:rsidRPr="00AA2C40">
        <w:rPr>
          <w:rFonts w:cs="Arial"/>
          <w:szCs w:val="20"/>
        </w:rPr>
        <w:t xml:space="preserve"> </w:t>
      </w:r>
      <w:r w:rsidRPr="00AA2C40">
        <w:rPr>
          <w:rFonts w:cs="Arial"/>
          <w:szCs w:val="20"/>
        </w:rPr>
        <w:tab/>
      </w:r>
      <w:r w:rsidR="00952ED8" w:rsidRPr="00AA2C40">
        <w:rPr>
          <w:rFonts w:cs="Arial"/>
          <w:szCs w:val="20"/>
        </w:rPr>
        <w:t>= Average hours of use per day per Nightlight</w:t>
      </w:r>
    </w:p>
    <w:p w:rsidR="00952ED8" w:rsidRPr="00AA2C40" w:rsidRDefault="00F7332F" w:rsidP="00F7332F">
      <w:pPr>
        <w:pStyle w:val="Equation"/>
        <w:rPr>
          <w:rFonts w:cs="Arial"/>
          <w:szCs w:val="20"/>
        </w:rPr>
      </w:pPr>
      <w:r w:rsidRPr="00AA2C40">
        <w:rPr>
          <w:rFonts w:cs="Arial"/>
          <w:szCs w:val="20"/>
        </w:rPr>
        <w:tab/>
      </w:r>
      <w:r w:rsidR="00952ED8" w:rsidRPr="00AA2C40">
        <w:rPr>
          <w:rFonts w:cs="Arial"/>
          <w:szCs w:val="20"/>
        </w:rPr>
        <w:t xml:space="preserve">ISR </w:t>
      </w:r>
      <w:r w:rsidRPr="00AA2C40">
        <w:rPr>
          <w:rFonts w:cs="Arial"/>
          <w:szCs w:val="20"/>
        </w:rPr>
        <w:tab/>
      </w:r>
      <w:r w:rsidR="00952ED8" w:rsidRPr="00AA2C40">
        <w:rPr>
          <w:rFonts w:cs="Arial"/>
          <w:szCs w:val="20"/>
        </w:rPr>
        <w:t xml:space="preserve">= In-service rate </w:t>
      </w:r>
    </w:p>
    <w:p w:rsidR="00952ED8" w:rsidRPr="00AA2C40" w:rsidRDefault="00952ED8" w:rsidP="00F7332F">
      <w:pPr>
        <w:pStyle w:val="Equation"/>
        <w:rPr>
          <w:rFonts w:cs="Arial"/>
          <w:szCs w:val="20"/>
        </w:rPr>
      </w:pPr>
      <w:r w:rsidRPr="00AA2C40">
        <w:rPr>
          <w:rFonts w:cs="Arial"/>
          <w:szCs w:val="20"/>
        </w:rPr>
        <w:t>(The EDC EM&amp;V contractors will reconcile the ISR through survey activities)</w:t>
      </w:r>
    </w:p>
    <w:p w:rsidR="00B54168" w:rsidRDefault="00B54168" w:rsidP="00100EDF">
      <w:pPr>
        <w:pStyle w:val="Caption"/>
      </w:pPr>
      <w:bookmarkStart w:id="139" w:name="_Toc310875501"/>
      <w:r>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w:instrText>
      </w:r>
      <w:r w:rsidR="00274AB1">
        <w:instrText xml:space="preserve">ARABIC \s 1 </w:instrText>
      </w:r>
      <w:r w:rsidR="00274AB1">
        <w:fldChar w:fldCharType="separate"/>
      </w:r>
      <w:r w:rsidR="00C0292F">
        <w:rPr>
          <w:noProof/>
        </w:rPr>
        <w:t>15</w:t>
      </w:r>
      <w:r w:rsidR="00274AB1">
        <w:rPr>
          <w:noProof/>
        </w:rPr>
        <w:fldChar w:fldCharType="end"/>
      </w:r>
      <w:r>
        <w:t>: LED Nightlight - References</w:t>
      </w:r>
      <w:bookmarkEnd w:id="13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07"/>
        <w:gridCol w:w="1513"/>
        <w:gridCol w:w="2125"/>
        <w:gridCol w:w="2411"/>
      </w:tblGrid>
      <w:tr w:rsidR="00952ED8" w:rsidRPr="00F563CA" w:rsidTr="00DA48E9">
        <w:trPr>
          <w:jc w:val="center"/>
        </w:trPr>
        <w:tc>
          <w:tcPr>
            <w:tcW w:w="1585" w:type="pct"/>
            <w:shd w:val="clear" w:color="auto" w:fill="BFBFBF"/>
          </w:tcPr>
          <w:p w:rsidR="00952ED8" w:rsidRPr="001D6512" w:rsidRDefault="00952ED8" w:rsidP="00321935">
            <w:pPr>
              <w:pStyle w:val="TableCell"/>
              <w:spacing w:before="60" w:after="60"/>
              <w:rPr>
                <w:rFonts w:eastAsia="Calibri"/>
                <w:b/>
              </w:rPr>
            </w:pPr>
            <w:r w:rsidRPr="001D6512">
              <w:rPr>
                <w:rFonts w:eastAsia="Calibri"/>
                <w:b/>
              </w:rPr>
              <w:t>Component</w:t>
            </w:r>
          </w:p>
        </w:tc>
        <w:tc>
          <w:tcPr>
            <w:tcW w:w="854" w:type="pct"/>
            <w:shd w:val="clear" w:color="auto" w:fill="BFBFBF"/>
          </w:tcPr>
          <w:p w:rsidR="00952ED8" w:rsidRPr="001D6512" w:rsidRDefault="00952ED8" w:rsidP="00321935">
            <w:pPr>
              <w:pStyle w:val="TableCell"/>
              <w:spacing w:before="60" w:after="60"/>
              <w:rPr>
                <w:rFonts w:eastAsia="Calibri"/>
                <w:b/>
              </w:rPr>
            </w:pPr>
            <w:r w:rsidRPr="001D6512">
              <w:rPr>
                <w:rFonts w:eastAsia="Calibri"/>
                <w:b/>
              </w:rPr>
              <w:t>Type</w:t>
            </w:r>
          </w:p>
        </w:tc>
        <w:tc>
          <w:tcPr>
            <w:tcW w:w="1200" w:type="pct"/>
            <w:shd w:val="clear" w:color="auto" w:fill="BFBFBF"/>
          </w:tcPr>
          <w:p w:rsidR="00952ED8" w:rsidRPr="001D6512" w:rsidRDefault="00952ED8" w:rsidP="00321935">
            <w:pPr>
              <w:pStyle w:val="TableCell"/>
              <w:spacing w:before="60" w:after="60"/>
              <w:rPr>
                <w:rFonts w:eastAsia="Calibri"/>
                <w:b/>
              </w:rPr>
            </w:pPr>
            <w:r w:rsidRPr="001D6512">
              <w:rPr>
                <w:rFonts w:eastAsia="Calibri"/>
                <w:b/>
              </w:rPr>
              <w:t>Value</w:t>
            </w:r>
          </w:p>
        </w:tc>
        <w:tc>
          <w:tcPr>
            <w:tcW w:w="1361" w:type="pct"/>
            <w:shd w:val="clear" w:color="auto" w:fill="BFBFBF"/>
          </w:tcPr>
          <w:p w:rsidR="00952ED8" w:rsidRPr="001D6512" w:rsidRDefault="00952ED8" w:rsidP="00321935">
            <w:pPr>
              <w:pStyle w:val="TableCell"/>
              <w:spacing w:before="60" w:after="60"/>
              <w:rPr>
                <w:rFonts w:eastAsia="Calibri"/>
                <w:b/>
              </w:rPr>
            </w:pPr>
            <w:r w:rsidRPr="001D6512">
              <w:rPr>
                <w:rFonts w:eastAsia="Calibri"/>
                <w:b/>
              </w:rPr>
              <w:t>Sources</w:t>
            </w:r>
          </w:p>
        </w:tc>
      </w:tr>
      <w:tr w:rsidR="00952ED8" w:rsidRPr="00F563CA" w:rsidTr="00DA48E9">
        <w:trPr>
          <w:trHeight w:val="305"/>
          <w:jc w:val="center"/>
        </w:trPr>
        <w:tc>
          <w:tcPr>
            <w:tcW w:w="1585" w:type="pct"/>
          </w:tcPr>
          <w:p w:rsidR="00952ED8" w:rsidRPr="001D6512" w:rsidRDefault="00952ED8" w:rsidP="00321935">
            <w:pPr>
              <w:pStyle w:val="TableCell"/>
              <w:spacing w:before="60" w:after="60"/>
            </w:pPr>
            <w:r w:rsidRPr="001D6512">
              <w:t>NL</w:t>
            </w:r>
            <w:r w:rsidRPr="001D6512">
              <w:rPr>
                <w:vertAlign w:val="subscript"/>
              </w:rPr>
              <w:t>watts</w:t>
            </w:r>
          </w:p>
        </w:tc>
        <w:tc>
          <w:tcPr>
            <w:tcW w:w="854" w:type="pct"/>
          </w:tcPr>
          <w:p w:rsidR="00952ED8" w:rsidRPr="001D6512" w:rsidRDefault="00952ED8" w:rsidP="00321935">
            <w:pPr>
              <w:pStyle w:val="TableCell"/>
              <w:spacing w:before="60" w:after="60"/>
              <w:rPr>
                <w:rFonts w:eastAsia="Calibri"/>
              </w:rPr>
            </w:pPr>
            <w:r w:rsidRPr="001D6512">
              <w:rPr>
                <w:rFonts w:eastAsia="Calibri"/>
              </w:rPr>
              <w:t>Fixed</w:t>
            </w:r>
          </w:p>
        </w:tc>
        <w:tc>
          <w:tcPr>
            <w:tcW w:w="1200" w:type="pct"/>
          </w:tcPr>
          <w:p w:rsidR="00952ED8" w:rsidRPr="001D6512" w:rsidRDefault="00952ED8" w:rsidP="00321935">
            <w:pPr>
              <w:pStyle w:val="TableCell"/>
              <w:spacing w:before="60" w:after="60"/>
              <w:rPr>
                <w:rFonts w:eastAsia="Calibri"/>
              </w:rPr>
            </w:pPr>
            <w:r w:rsidRPr="001D6512">
              <w:rPr>
                <w:rFonts w:eastAsia="Calibri"/>
              </w:rPr>
              <w:t>6 Watts</w:t>
            </w:r>
          </w:p>
        </w:tc>
        <w:tc>
          <w:tcPr>
            <w:tcW w:w="1361" w:type="pct"/>
          </w:tcPr>
          <w:p w:rsidR="00952ED8" w:rsidRPr="001D6512" w:rsidRDefault="00952ED8" w:rsidP="00321935">
            <w:pPr>
              <w:pStyle w:val="TableCell"/>
              <w:spacing w:before="60" w:after="60"/>
              <w:rPr>
                <w:rFonts w:eastAsia="Calibri"/>
              </w:rPr>
            </w:pPr>
            <w:r w:rsidRPr="001D6512">
              <w:rPr>
                <w:rFonts w:eastAsia="Calibri"/>
              </w:rPr>
              <w:t>Data Gathering</w:t>
            </w:r>
          </w:p>
        </w:tc>
      </w:tr>
      <w:tr w:rsidR="00952ED8" w:rsidRPr="00F563CA" w:rsidTr="00DA48E9">
        <w:trPr>
          <w:jc w:val="center"/>
        </w:trPr>
        <w:tc>
          <w:tcPr>
            <w:tcW w:w="1585" w:type="pct"/>
          </w:tcPr>
          <w:p w:rsidR="00952ED8" w:rsidRPr="001D6512" w:rsidRDefault="00952ED8" w:rsidP="00321935">
            <w:pPr>
              <w:pStyle w:val="TableCell"/>
              <w:spacing w:before="60" w:after="60"/>
              <w:rPr>
                <w:rFonts w:eastAsia="Calibri"/>
              </w:rPr>
            </w:pPr>
            <w:r w:rsidRPr="001D6512">
              <w:rPr>
                <w:rFonts w:eastAsia="Calibri"/>
              </w:rPr>
              <w:t>NL</w:t>
            </w:r>
            <w:r w:rsidRPr="001D6512">
              <w:rPr>
                <w:rFonts w:eastAsia="Calibri"/>
                <w:vertAlign w:val="subscript"/>
              </w:rPr>
              <w:t>hours</w:t>
            </w:r>
          </w:p>
        </w:tc>
        <w:tc>
          <w:tcPr>
            <w:tcW w:w="854" w:type="pct"/>
          </w:tcPr>
          <w:p w:rsidR="00952ED8" w:rsidRPr="001D6512" w:rsidRDefault="00791DCA" w:rsidP="00321935">
            <w:pPr>
              <w:pStyle w:val="TableCell"/>
              <w:spacing w:before="60" w:after="60"/>
            </w:pPr>
            <w:r w:rsidRPr="001D6512">
              <w:t>F</w:t>
            </w:r>
            <w:r w:rsidR="00952ED8" w:rsidRPr="001D6512">
              <w:t>ixed</w:t>
            </w:r>
          </w:p>
        </w:tc>
        <w:tc>
          <w:tcPr>
            <w:tcW w:w="1200" w:type="pct"/>
          </w:tcPr>
          <w:p w:rsidR="00952ED8" w:rsidRPr="001D6512" w:rsidRDefault="00952ED8" w:rsidP="00321935">
            <w:pPr>
              <w:pStyle w:val="TableCell"/>
              <w:spacing w:before="60" w:after="60"/>
              <w:rPr>
                <w:rFonts w:eastAsia="Calibri"/>
              </w:rPr>
            </w:pPr>
            <w:r w:rsidRPr="001D6512">
              <w:rPr>
                <w:rFonts w:eastAsia="Calibri"/>
              </w:rPr>
              <w:t>12</w:t>
            </w:r>
          </w:p>
        </w:tc>
        <w:tc>
          <w:tcPr>
            <w:tcW w:w="1361" w:type="pct"/>
          </w:tcPr>
          <w:p w:rsidR="00952ED8" w:rsidRPr="001D6512" w:rsidRDefault="00952ED8" w:rsidP="00321935">
            <w:pPr>
              <w:pStyle w:val="TableCell"/>
              <w:spacing w:before="60" w:after="60"/>
              <w:rPr>
                <w:rFonts w:eastAsia="Calibri"/>
              </w:rPr>
            </w:pPr>
            <w:r w:rsidRPr="001D6512">
              <w:rPr>
                <w:rFonts w:eastAsia="Calibri"/>
              </w:rPr>
              <w:t>1</w:t>
            </w:r>
          </w:p>
        </w:tc>
      </w:tr>
      <w:tr w:rsidR="00952ED8" w:rsidRPr="00F563CA" w:rsidTr="00DA48E9">
        <w:trPr>
          <w:jc w:val="center"/>
        </w:trPr>
        <w:tc>
          <w:tcPr>
            <w:tcW w:w="1585" w:type="pct"/>
          </w:tcPr>
          <w:p w:rsidR="00952ED8" w:rsidRPr="001D6512" w:rsidRDefault="00952ED8" w:rsidP="00321935">
            <w:pPr>
              <w:pStyle w:val="TableCell"/>
              <w:spacing w:before="60" w:after="60"/>
              <w:rPr>
                <w:rFonts w:eastAsia="Calibri"/>
              </w:rPr>
            </w:pPr>
            <w:r w:rsidRPr="001D6512">
              <w:rPr>
                <w:rFonts w:eastAsia="Calibri"/>
              </w:rPr>
              <w:t>ISR</w:t>
            </w:r>
          </w:p>
        </w:tc>
        <w:tc>
          <w:tcPr>
            <w:tcW w:w="854" w:type="pct"/>
          </w:tcPr>
          <w:p w:rsidR="00952ED8" w:rsidRPr="001D6512" w:rsidRDefault="00952ED8" w:rsidP="00321935">
            <w:pPr>
              <w:pStyle w:val="TableCell"/>
              <w:spacing w:before="60" w:after="60"/>
            </w:pPr>
            <w:r w:rsidRPr="001D6512">
              <w:t>Fixed</w:t>
            </w:r>
          </w:p>
        </w:tc>
        <w:tc>
          <w:tcPr>
            <w:tcW w:w="1200" w:type="pct"/>
          </w:tcPr>
          <w:p w:rsidR="00952ED8" w:rsidRPr="001D6512" w:rsidRDefault="00952ED8" w:rsidP="00321935">
            <w:pPr>
              <w:pStyle w:val="TableCell"/>
              <w:spacing w:before="60" w:after="60"/>
              <w:rPr>
                <w:rFonts w:eastAsia="Calibri"/>
              </w:rPr>
            </w:pPr>
            <w:r w:rsidRPr="001D6512">
              <w:rPr>
                <w:rFonts w:eastAsia="Calibri"/>
              </w:rPr>
              <w:t>0.84</w:t>
            </w:r>
          </w:p>
        </w:tc>
        <w:tc>
          <w:tcPr>
            <w:tcW w:w="1361" w:type="pct"/>
          </w:tcPr>
          <w:p w:rsidR="00952ED8" w:rsidRPr="001D6512" w:rsidRDefault="00952ED8" w:rsidP="00321935">
            <w:pPr>
              <w:pStyle w:val="TableCell"/>
              <w:spacing w:before="60" w:after="60"/>
              <w:rPr>
                <w:rFonts w:eastAsia="Calibri"/>
              </w:rPr>
            </w:pPr>
            <w:r w:rsidRPr="001D6512">
              <w:rPr>
                <w:rFonts w:eastAsia="Calibri"/>
              </w:rPr>
              <w:t>PA CFL ISR value</w:t>
            </w:r>
          </w:p>
        </w:tc>
      </w:tr>
      <w:tr w:rsidR="00952ED8" w:rsidRPr="00F563CA" w:rsidTr="00DA48E9">
        <w:trPr>
          <w:jc w:val="center"/>
        </w:trPr>
        <w:tc>
          <w:tcPr>
            <w:tcW w:w="1585" w:type="pct"/>
          </w:tcPr>
          <w:p w:rsidR="00952ED8" w:rsidRPr="001D6512" w:rsidRDefault="00952ED8" w:rsidP="00321935">
            <w:pPr>
              <w:pStyle w:val="TableCell"/>
              <w:spacing w:before="60" w:after="60"/>
              <w:rPr>
                <w:rFonts w:eastAsia="Calibri"/>
              </w:rPr>
            </w:pPr>
            <w:r w:rsidRPr="001D6512">
              <w:rPr>
                <w:rFonts w:eastAsia="Calibri"/>
              </w:rPr>
              <w:t>EUL</w:t>
            </w:r>
          </w:p>
        </w:tc>
        <w:tc>
          <w:tcPr>
            <w:tcW w:w="854" w:type="pct"/>
          </w:tcPr>
          <w:p w:rsidR="00952ED8" w:rsidRPr="001D6512" w:rsidRDefault="00952ED8" w:rsidP="00321935">
            <w:pPr>
              <w:pStyle w:val="TableCell"/>
              <w:spacing w:before="60" w:after="60"/>
            </w:pPr>
            <w:r w:rsidRPr="001D6512">
              <w:t>Fixed</w:t>
            </w:r>
          </w:p>
        </w:tc>
        <w:tc>
          <w:tcPr>
            <w:tcW w:w="1200" w:type="pct"/>
          </w:tcPr>
          <w:p w:rsidR="00952ED8" w:rsidRPr="001D6512" w:rsidRDefault="00952ED8" w:rsidP="00321935">
            <w:pPr>
              <w:pStyle w:val="TableCell"/>
              <w:spacing w:before="60" w:after="60"/>
              <w:rPr>
                <w:rFonts w:eastAsia="Calibri"/>
              </w:rPr>
            </w:pPr>
            <w:r w:rsidRPr="001D6512">
              <w:rPr>
                <w:rFonts w:eastAsia="Calibri"/>
              </w:rPr>
              <w:t>8 years</w:t>
            </w:r>
          </w:p>
        </w:tc>
        <w:tc>
          <w:tcPr>
            <w:tcW w:w="1361" w:type="pct"/>
          </w:tcPr>
          <w:p w:rsidR="00952ED8" w:rsidRPr="001D6512" w:rsidRDefault="00952ED8" w:rsidP="00321935">
            <w:pPr>
              <w:pStyle w:val="TableCell"/>
              <w:spacing w:before="60" w:after="60"/>
              <w:rPr>
                <w:rFonts w:eastAsia="Calibri"/>
              </w:rPr>
            </w:pPr>
            <w:r w:rsidRPr="001D6512">
              <w:rPr>
                <w:rFonts w:eastAsia="Calibri"/>
              </w:rPr>
              <w:t>1</w:t>
            </w:r>
          </w:p>
        </w:tc>
      </w:tr>
    </w:tbl>
    <w:p w:rsidR="00B21B1E" w:rsidRDefault="00B21B1E" w:rsidP="00F7332F">
      <w:pPr>
        <w:pStyle w:val="Equation"/>
      </w:pPr>
    </w:p>
    <w:p w:rsidR="00B21B1E" w:rsidRPr="00BC5194" w:rsidRDefault="00B21B1E" w:rsidP="008075FC">
      <w:pPr>
        <w:keepNext/>
        <w:rPr>
          <w:rFonts w:eastAsia="Calibri"/>
          <w:b/>
        </w:rPr>
      </w:pPr>
      <w:r w:rsidRPr="00BC5194">
        <w:rPr>
          <w:rFonts w:eastAsia="Calibri"/>
          <w:b/>
        </w:rPr>
        <w:lastRenderedPageBreak/>
        <w:t>Source</w:t>
      </w:r>
      <w:r w:rsidR="00E97E0A" w:rsidRPr="00BC5194">
        <w:rPr>
          <w:rFonts w:eastAsia="Calibri"/>
          <w:b/>
        </w:rPr>
        <w:t>s</w:t>
      </w:r>
      <w:r w:rsidRPr="00BC5194">
        <w:rPr>
          <w:rFonts w:eastAsia="Calibri"/>
          <w:b/>
        </w:rPr>
        <w:t>:</w:t>
      </w:r>
    </w:p>
    <w:p w:rsidR="00952ED8" w:rsidRDefault="00952ED8" w:rsidP="0005632A">
      <w:pPr>
        <w:pStyle w:val="source1"/>
        <w:numPr>
          <w:ilvl w:val="0"/>
          <w:numId w:val="30"/>
        </w:numPr>
      </w:pPr>
      <w:r w:rsidRPr="00F563CA">
        <w:t>Southern California Edison Company, “LED, Electroluminescent &amp; Fluorescent Night Lights”, Work Paper WPSCRELG0029 Rev. 1, February 2009, p. 2 &amp; p. 3.</w:t>
      </w:r>
    </w:p>
    <w:p w:rsidR="00E97E0A" w:rsidRPr="00E97E0A" w:rsidRDefault="00E97E0A" w:rsidP="00871FA2">
      <w:pPr>
        <w:pStyle w:val="Heading3"/>
      </w:pPr>
      <w:r>
        <w:t>Deemed Savings</w:t>
      </w:r>
    </w:p>
    <w:p w:rsidR="00E97E0A" w:rsidRPr="00AA2C40" w:rsidRDefault="00E97E0A" w:rsidP="00E97E0A">
      <w:pPr>
        <w:pStyle w:val="Equation"/>
        <w:rPr>
          <w:rFonts w:cs="Arial"/>
          <w:szCs w:val="20"/>
        </w:rPr>
      </w:pPr>
      <w:r w:rsidRPr="00AA2C40">
        <w:rPr>
          <w:rFonts w:cs="Arial"/>
          <w:szCs w:val="20"/>
        </w:rPr>
        <w:sym w:font="Symbol" w:char="F044"/>
      </w:r>
      <w:r w:rsidRPr="00AA2C40">
        <w:rPr>
          <w:rFonts w:cs="Arial"/>
          <w:szCs w:val="20"/>
        </w:rPr>
        <w:t>kWh</w:t>
      </w:r>
      <w:r w:rsidRPr="00AA2C40">
        <w:rPr>
          <w:rFonts w:cs="Arial"/>
          <w:szCs w:val="20"/>
        </w:rPr>
        <w:tab/>
        <w:t xml:space="preserve"> </w:t>
      </w:r>
      <w:r w:rsidRPr="00AA2C40">
        <w:rPr>
          <w:rFonts w:cs="Arial"/>
          <w:szCs w:val="20"/>
        </w:rPr>
        <w:tab/>
        <w:t>= ((6 X (12 X 365))/1000) X 0.84 = 22.07 kWh (rounded to 22kWh)</w:t>
      </w:r>
    </w:p>
    <w:p w:rsidR="00B21B1E" w:rsidRPr="00E97E0A" w:rsidRDefault="00B21B1E" w:rsidP="00E568D4">
      <w:pPr>
        <w:pStyle w:val="Heading2"/>
      </w:pPr>
      <w:bookmarkStart w:id="140" w:name="_Toc275878780"/>
      <w:bookmarkStart w:id="141" w:name="_Toc275902919"/>
      <w:bookmarkStart w:id="142" w:name="_Toc275942693"/>
      <w:bookmarkStart w:id="143" w:name="_Toc275942976"/>
      <w:bookmarkStart w:id="144" w:name="_Toc275943359"/>
      <w:bookmarkStart w:id="145" w:name="_Toc276630881"/>
      <w:bookmarkStart w:id="146" w:name="_Toc276631100"/>
      <w:bookmarkStart w:id="147" w:name="_Toc276631324"/>
      <w:bookmarkStart w:id="148" w:name="_Toc276631543"/>
      <w:bookmarkStart w:id="149" w:name="_Toc283146691"/>
      <w:bookmarkStart w:id="150" w:name="_Toc283154174"/>
      <w:bookmarkStart w:id="151" w:name="_Toc283715923"/>
      <w:bookmarkStart w:id="152" w:name="_Toc283719058"/>
      <w:bookmarkStart w:id="153" w:name="_Toc283719234"/>
      <w:bookmarkStart w:id="154" w:name="_Toc283719410"/>
      <w:bookmarkStart w:id="155" w:name="_Toc283738907"/>
      <w:bookmarkStart w:id="156" w:name="_Toc283739259"/>
      <w:bookmarkStart w:id="157" w:name="_Toc283739610"/>
      <w:bookmarkStart w:id="158" w:name="_Toc283739961"/>
      <w:bookmarkStart w:id="159" w:name="_Toc283740302"/>
      <w:bookmarkStart w:id="160" w:name="_Toc283740635"/>
      <w:bookmarkStart w:id="161" w:name="_Toc283740964"/>
      <w:bookmarkStart w:id="162" w:name="_Toc283741287"/>
      <w:bookmarkStart w:id="163" w:name="_Toc283741604"/>
      <w:bookmarkStart w:id="164" w:name="_Toc283741913"/>
      <w:bookmarkStart w:id="165" w:name="_Toc283742450"/>
      <w:bookmarkStart w:id="166" w:name="_Toc283742715"/>
      <w:bookmarkStart w:id="167" w:name="_Toc283742976"/>
      <w:bookmarkStart w:id="168" w:name="_Toc283743154"/>
      <w:bookmarkStart w:id="169" w:name="_Toc283743330"/>
      <w:bookmarkStart w:id="170" w:name="_Toc283743507"/>
      <w:bookmarkStart w:id="171" w:name="_Toc283743683"/>
      <w:bookmarkStart w:id="172" w:name="_Toc275867038"/>
      <w:bookmarkStart w:id="173" w:name="_Toc275867533"/>
      <w:bookmarkStart w:id="174" w:name="_Toc275878781"/>
      <w:bookmarkStart w:id="175" w:name="_Toc275902920"/>
      <w:bookmarkStart w:id="176" w:name="_Toc275942694"/>
      <w:bookmarkStart w:id="177" w:name="_Toc275942977"/>
      <w:bookmarkStart w:id="178" w:name="_Toc275943360"/>
      <w:bookmarkStart w:id="179" w:name="_Toc276630882"/>
      <w:bookmarkStart w:id="180" w:name="_Toc276631101"/>
      <w:bookmarkStart w:id="181" w:name="_Toc276631325"/>
      <w:bookmarkStart w:id="182" w:name="_Toc276631544"/>
      <w:bookmarkStart w:id="183" w:name="_Toc283146692"/>
      <w:bookmarkStart w:id="184" w:name="_Toc283154175"/>
      <w:bookmarkStart w:id="185" w:name="_Toc283715924"/>
      <w:bookmarkStart w:id="186" w:name="_Toc283719059"/>
      <w:bookmarkStart w:id="187" w:name="_Toc283719235"/>
      <w:bookmarkStart w:id="188" w:name="_Toc283719411"/>
      <w:bookmarkStart w:id="189" w:name="_Toc283738908"/>
      <w:bookmarkStart w:id="190" w:name="_Toc283739260"/>
      <w:bookmarkStart w:id="191" w:name="_Toc283739611"/>
      <w:bookmarkStart w:id="192" w:name="_Toc283739962"/>
      <w:bookmarkStart w:id="193" w:name="_Toc283740303"/>
      <w:bookmarkStart w:id="194" w:name="_Toc283740636"/>
      <w:bookmarkStart w:id="195" w:name="_Toc283740965"/>
      <w:bookmarkStart w:id="196" w:name="_Toc283741288"/>
      <w:bookmarkStart w:id="197" w:name="_Toc283741605"/>
      <w:bookmarkStart w:id="198" w:name="_Toc283741914"/>
      <w:bookmarkStart w:id="199" w:name="_Toc283742451"/>
      <w:bookmarkStart w:id="200" w:name="_Toc283742716"/>
      <w:bookmarkStart w:id="201" w:name="_Toc283742977"/>
      <w:bookmarkStart w:id="202" w:name="_Toc283743155"/>
      <w:bookmarkStart w:id="203" w:name="_Toc283743331"/>
      <w:bookmarkStart w:id="204" w:name="_Toc283743508"/>
      <w:bookmarkStart w:id="205" w:name="_Toc283743684"/>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br w:type="page"/>
      </w:r>
      <w:bookmarkStart w:id="206" w:name="_Toc310875408"/>
      <w:r w:rsidRPr="003814C9">
        <w:lastRenderedPageBreak/>
        <w:t>Low Flow</w:t>
      </w:r>
      <w:r>
        <w:t xml:space="preserve"> Faucet Aerators</w:t>
      </w:r>
      <w:bookmarkEnd w:id="206"/>
    </w:p>
    <w:tbl>
      <w:tblPr>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0A0" w:firstRow="1" w:lastRow="0" w:firstColumn="1" w:lastColumn="0" w:noHBand="0" w:noVBand="0"/>
      </w:tblPr>
      <w:tblGrid>
        <w:gridCol w:w="2898"/>
        <w:gridCol w:w="5958"/>
      </w:tblGrid>
      <w:tr w:rsidR="00B21B1E" w:rsidRPr="007A224B" w:rsidTr="00F84A22">
        <w:tc>
          <w:tcPr>
            <w:tcW w:w="2898" w:type="dxa"/>
            <w:tcBorders>
              <w:top w:val="single" w:sz="8" w:space="0" w:color="404040"/>
              <w:left w:val="single" w:sz="8" w:space="0" w:color="404040"/>
              <w:bottom w:val="single" w:sz="8" w:space="0" w:color="404040"/>
              <w:right w:val="single" w:sz="8" w:space="0" w:color="404040"/>
            </w:tcBorders>
            <w:shd w:val="clear" w:color="auto" w:fill="BFBFBF"/>
          </w:tcPr>
          <w:p w:rsidR="00B21B1E" w:rsidRPr="001D6512" w:rsidRDefault="00B21B1E" w:rsidP="00F84A22">
            <w:pPr>
              <w:pStyle w:val="TableCell"/>
              <w:spacing w:before="60" w:after="60"/>
              <w:rPr>
                <w:b/>
                <w:bCs/>
              </w:rPr>
            </w:pPr>
            <w:r w:rsidRPr="001D6512">
              <w:rPr>
                <w:b/>
                <w:bCs/>
              </w:rPr>
              <w:t>Measure Name</w:t>
            </w:r>
          </w:p>
        </w:tc>
        <w:tc>
          <w:tcPr>
            <w:tcW w:w="5958" w:type="dxa"/>
            <w:tcBorders>
              <w:top w:val="single" w:sz="8" w:space="0" w:color="404040"/>
              <w:left w:val="single" w:sz="8" w:space="0" w:color="404040"/>
              <w:bottom w:val="single" w:sz="8" w:space="0" w:color="404040"/>
              <w:right w:val="single" w:sz="8" w:space="0" w:color="404040"/>
            </w:tcBorders>
            <w:shd w:val="clear" w:color="auto" w:fill="BFBFBF"/>
          </w:tcPr>
          <w:p w:rsidR="00B21B1E" w:rsidRPr="001D6512" w:rsidRDefault="00B21B1E" w:rsidP="00F84A22">
            <w:pPr>
              <w:pStyle w:val="TableCell"/>
              <w:spacing w:before="60" w:after="60"/>
              <w:rPr>
                <w:b/>
                <w:bCs/>
              </w:rPr>
            </w:pPr>
            <w:r w:rsidRPr="001D6512">
              <w:rPr>
                <w:b/>
                <w:bCs/>
              </w:rPr>
              <w:t>Low Flow Faucet Aerators</w:t>
            </w:r>
          </w:p>
        </w:tc>
      </w:tr>
      <w:tr w:rsidR="00B21B1E" w:rsidRPr="007A224B" w:rsidTr="00F84A22">
        <w:tc>
          <w:tcPr>
            <w:tcW w:w="2898" w:type="dxa"/>
            <w:tcBorders>
              <w:top w:val="single" w:sz="8" w:space="0" w:color="404040"/>
              <w:left w:val="single" w:sz="8" w:space="0" w:color="404040"/>
              <w:bottom w:val="single" w:sz="8" w:space="0" w:color="404040"/>
              <w:right w:val="single" w:sz="8" w:space="0" w:color="404040"/>
            </w:tcBorders>
            <w:shd w:val="clear" w:color="auto" w:fill="FFFFFF"/>
          </w:tcPr>
          <w:p w:rsidR="00B21B1E" w:rsidRPr="00865117" w:rsidRDefault="00B21B1E" w:rsidP="00F84A22">
            <w:pPr>
              <w:pStyle w:val="TableCell"/>
              <w:spacing w:before="60" w:after="60"/>
              <w:rPr>
                <w:b/>
                <w:bCs/>
                <w:color w:val="000000"/>
              </w:rPr>
            </w:pPr>
            <w:r w:rsidRPr="00865117">
              <w:rPr>
                <w:b/>
                <w:bCs/>
                <w:color w:val="000000"/>
              </w:rPr>
              <w:t>Target Sector</w:t>
            </w:r>
          </w:p>
        </w:tc>
        <w:tc>
          <w:tcPr>
            <w:tcW w:w="5958" w:type="dxa"/>
            <w:tcBorders>
              <w:top w:val="single" w:sz="8" w:space="0" w:color="404040"/>
              <w:left w:val="single" w:sz="8" w:space="0" w:color="404040"/>
              <w:bottom w:val="single" w:sz="8" w:space="0" w:color="404040"/>
              <w:right w:val="single" w:sz="8" w:space="0" w:color="404040"/>
            </w:tcBorders>
            <w:shd w:val="clear" w:color="auto" w:fill="FFFFFF"/>
          </w:tcPr>
          <w:p w:rsidR="00B21B1E" w:rsidRPr="001D6512" w:rsidRDefault="00B21B1E" w:rsidP="00F84A22">
            <w:pPr>
              <w:pStyle w:val="TableCell"/>
              <w:spacing w:before="60" w:after="60"/>
              <w:rPr>
                <w:color w:val="000000"/>
              </w:rPr>
            </w:pPr>
            <w:r w:rsidRPr="001D6512">
              <w:rPr>
                <w:color w:val="000000"/>
              </w:rPr>
              <w:t xml:space="preserve">Residential </w:t>
            </w:r>
          </w:p>
        </w:tc>
      </w:tr>
      <w:tr w:rsidR="00B21B1E" w:rsidRPr="007A224B" w:rsidTr="00F84A22">
        <w:tc>
          <w:tcPr>
            <w:tcW w:w="2898" w:type="dxa"/>
            <w:tcBorders>
              <w:top w:val="single" w:sz="8" w:space="0" w:color="404040"/>
              <w:left w:val="single" w:sz="8" w:space="0" w:color="404040"/>
              <w:bottom w:val="single" w:sz="8" w:space="0" w:color="404040"/>
              <w:right w:val="single" w:sz="8" w:space="0" w:color="404040"/>
            </w:tcBorders>
            <w:shd w:val="clear" w:color="auto" w:fill="auto"/>
          </w:tcPr>
          <w:p w:rsidR="00B21B1E" w:rsidRPr="00865117" w:rsidRDefault="00B21B1E" w:rsidP="00F84A22">
            <w:pPr>
              <w:pStyle w:val="TableCell"/>
              <w:spacing w:before="60" w:after="60"/>
              <w:rPr>
                <w:b/>
                <w:bCs/>
                <w:color w:val="000000"/>
              </w:rPr>
            </w:pPr>
            <w:r w:rsidRPr="00865117">
              <w:rPr>
                <w:b/>
                <w:bCs/>
                <w:color w:val="000000"/>
              </w:rPr>
              <w:t>Measure Unit</w:t>
            </w:r>
          </w:p>
        </w:tc>
        <w:tc>
          <w:tcPr>
            <w:tcW w:w="5958" w:type="dxa"/>
            <w:tcBorders>
              <w:top w:val="single" w:sz="8" w:space="0" w:color="404040"/>
              <w:left w:val="single" w:sz="8" w:space="0" w:color="404040"/>
              <w:bottom w:val="single" w:sz="8" w:space="0" w:color="404040"/>
              <w:right w:val="single" w:sz="8" w:space="0" w:color="404040"/>
            </w:tcBorders>
            <w:shd w:val="clear" w:color="auto" w:fill="FFFFFF"/>
          </w:tcPr>
          <w:p w:rsidR="00B21B1E" w:rsidRPr="001D6512" w:rsidRDefault="00B21B1E" w:rsidP="00F84A22">
            <w:pPr>
              <w:pStyle w:val="TableCell"/>
              <w:spacing w:before="60" w:after="60"/>
              <w:rPr>
                <w:color w:val="000000"/>
              </w:rPr>
            </w:pPr>
            <w:r w:rsidRPr="001D6512">
              <w:rPr>
                <w:color w:val="000000"/>
              </w:rPr>
              <w:t>Aerator</w:t>
            </w:r>
          </w:p>
        </w:tc>
      </w:tr>
      <w:tr w:rsidR="00B21B1E" w:rsidRPr="007A224B" w:rsidTr="00F84A22">
        <w:trPr>
          <w:trHeight w:val="260"/>
        </w:trPr>
        <w:tc>
          <w:tcPr>
            <w:tcW w:w="2898" w:type="dxa"/>
            <w:tcBorders>
              <w:top w:val="single" w:sz="8" w:space="0" w:color="404040"/>
              <w:left w:val="single" w:sz="8" w:space="0" w:color="404040"/>
              <w:bottom w:val="single" w:sz="8" w:space="0" w:color="404040"/>
              <w:right w:val="single" w:sz="8" w:space="0" w:color="404040"/>
            </w:tcBorders>
            <w:shd w:val="clear" w:color="auto" w:fill="FFFFFF"/>
          </w:tcPr>
          <w:p w:rsidR="00B21B1E" w:rsidRPr="00865117" w:rsidRDefault="00B21B1E" w:rsidP="00F84A22">
            <w:pPr>
              <w:pStyle w:val="TableCell"/>
              <w:spacing w:before="60" w:after="60"/>
              <w:rPr>
                <w:b/>
                <w:bCs/>
                <w:color w:val="000000"/>
              </w:rPr>
            </w:pPr>
            <w:r w:rsidRPr="00865117">
              <w:rPr>
                <w:b/>
                <w:bCs/>
                <w:color w:val="000000"/>
              </w:rPr>
              <w:t>Unit Energy Savings</w:t>
            </w:r>
          </w:p>
        </w:tc>
        <w:tc>
          <w:tcPr>
            <w:tcW w:w="5958" w:type="dxa"/>
            <w:tcBorders>
              <w:top w:val="single" w:sz="8" w:space="0" w:color="404040"/>
              <w:left w:val="single" w:sz="8" w:space="0" w:color="404040"/>
              <w:bottom w:val="single" w:sz="8" w:space="0" w:color="404040"/>
              <w:right w:val="single" w:sz="8" w:space="0" w:color="404040"/>
            </w:tcBorders>
            <w:shd w:val="clear" w:color="auto" w:fill="FFFFFF"/>
          </w:tcPr>
          <w:p w:rsidR="00B21B1E" w:rsidRPr="001D6512" w:rsidRDefault="00B21B1E" w:rsidP="00F84A22">
            <w:pPr>
              <w:pStyle w:val="TableCell"/>
              <w:spacing w:before="60" w:after="60"/>
              <w:rPr>
                <w:color w:val="000000"/>
              </w:rPr>
            </w:pPr>
            <w:r w:rsidRPr="001D6512">
              <w:rPr>
                <w:color w:val="000000"/>
              </w:rPr>
              <w:t>6</w:t>
            </w:r>
            <w:r w:rsidR="00774069" w:rsidRPr="001D6512">
              <w:rPr>
                <w:color w:val="000000"/>
              </w:rPr>
              <w:t>0</w:t>
            </w:r>
            <w:r w:rsidRPr="001D6512">
              <w:rPr>
                <w:color w:val="000000"/>
              </w:rPr>
              <w:t xml:space="preserve"> kWh  </w:t>
            </w:r>
          </w:p>
        </w:tc>
      </w:tr>
      <w:tr w:rsidR="00B21B1E" w:rsidRPr="007A224B" w:rsidTr="00F84A22">
        <w:tc>
          <w:tcPr>
            <w:tcW w:w="2898" w:type="dxa"/>
            <w:tcBorders>
              <w:top w:val="single" w:sz="8" w:space="0" w:color="404040"/>
              <w:left w:val="single" w:sz="8" w:space="0" w:color="404040"/>
              <w:bottom w:val="single" w:sz="8" w:space="0" w:color="404040"/>
              <w:right w:val="single" w:sz="8" w:space="0" w:color="404040"/>
            </w:tcBorders>
            <w:shd w:val="clear" w:color="auto" w:fill="auto"/>
          </w:tcPr>
          <w:p w:rsidR="00B21B1E" w:rsidRPr="00865117" w:rsidRDefault="00B21B1E" w:rsidP="00F84A22">
            <w:pPr>
              <w:pStyle w:val="TableCell"/>
              <w:spacing w:before="60" w:after="60"/>
              <w:rPr>
                <w:b/>
                <w:bCs/>
                <w:color w:val="000000"/>
              </w:rPr>
            </w:pPr>
            <w:r w:rsidRPr="00865117">
              <w:rPr>
                <w:b/>
                <w:bCs/>
                <w:color w:val="000000"/>
              </w:rPr>
              <w:t>Unit Peak Demand Reduction</w:t>
            </w:r>
          </w:p>
        </w:tc>
        <w:tc>
          <w:tcPr>
            <w:tcW w:w="5958" w:type="dxa"/>
            <w:tcBorders>
              <w:top w:val="single" w:sz="8" w:space="0" w:color="404040"/>
              <w:left w:val="single" w:sz="8" w:space="0" w:color="404040"/>
              <w:bottom w:val="single" w:sz="8" w:space="0" w:color="404040"/>
              <w:right w:val="single" w:sz="8" w:space="0" w:color="404040"/>
            </w:tcBorders>
            <w:shd w:val="clear" w:color="auto" w:fill="FFFFFF"/>
          </w:tcPr>
          <w:p w:rsidR="00B21B1E" w:rsidRPr="001D6512" w:rsidRDefault="00B21B1E" w:rsidP="00F84A22">
            <w:pPr>
              <w:pStyle w:val="TableCell"/>
              <w:spacing w:before="60" w:after="60"/>
              <w:rPr>
                <w:color w:val="000000"/>
              </w:rPr>
            </w:pPr>
            <w:r w:rsidRPr="001D6512">
              <w:rPr>
                <w:color w:val="000000"/>
              </w:rPr>
              <w:t>0.0</w:t>
            </w:r>
            <w:r w:rsidR="00774069" w:rsidRPr="001D6512">
              <w:rPr>
                <w:color w:val="000000"/>
              </w:rPr>
              <w:t>0</w:t>
            </w:r>
            <w:r w:rsidRPr="001D6512">
              <w:rPr>
                <w:color w:val="000000"/>
              </w:rPr>
              <w:t>56 kW</w:t>
            </w:r>
          </w:p>
        </w:tc>
      </w:tr>
      <w:tr w:rsidR="00B21B1E" w:rsidRPr="007A224B" w:rsidTr="00F84A22">
        <w:tc>
          <w:tcPr>
            <w:tcW w:w="2898" w:type="dxa"/>
            <w:tcBorders>
              <w:top w:val="single" w:sz="8" w:space="0" w:color="404040"/>
              <w:left w:val="single" w:sz="8" w:space="0" w:color="404040"/>
              <w:bottom w:val="single" w:sz="8" w:space="0" w:color="404040"/>
              <w:right w:val="single" w:sz="8" w:space="0" w:color="404040"/>
            </w:tcBorders>
            <w:shd w:val="clear" w:color="auto" w:fill="FFFFFF"/>
          </w:tcPr>
          <w:p w:rsidR="00B21B1E" w:rsidRPr="00865117" w:rsidRDefault="00B21B1E" w:rsidP="00F84A22">
            <w:pPr>
              <w:pStyle w:val="TableCell"/>
              <w:spacing w:before="60" w:after="60"/>
              <w:rPr>
                <w:b/>
                <w:bCs/>
                <w:color w:val="000000"/>
              </w:rPr>
            </w:pPr>
            <w:r w:rsidRPr="00865117">
              <w:rPr>
                <w:b/>
                <w:bCs/>
                <w:color w:val="000000"/>
              </w:rPr>
              <w:t>Measure Life</w:t>
            </w:r>
          </w:p>
        </w:tc>
        <w:tc>
          <w:tcPr>
            <w:tcW w:w="5958" w:type="dxa"/>
            <w:tcBorders>
              <w:top w:val="single" w:sz="8" w:space="0" w:color="404040"/>
              <w:left w:val="single" w:sz="8" w:space="0" w:color="404040"/>
              <w:bottom w:val="single" w:sz="8" w:space="0" w:color="404040"/>
              <w:right w:val="single" w:sz="8" w:space="0" w:color="404040"/>
            </w:tcBorders>
            <w:shd w:val="clear" w:color="auto" w:fill="FFFFFF"/>
          </w:tcPr>
          <w:p w:rsidR="00B21B1E" w:rsidRPr="001D6512" w:rsidRDefault="00B21B1E" w:rsidP="00F84A22">
            <w:pPr>
              <w:pStyle w:val="TableCell"/>
              <w:spacing w:before="60" w:after="60"/>
              <w:rPr>
                <w:color w:val="000000"/>
              </w:rPr>
            </w:pPr>
            <w:r w:rsidRPr="001D6512">
              <w:rPr>
                <w:color w:val="000000"/>
              </w:rPr>
              <w:t>12 years</w:t>
            </w:r>
          </w:p>
        </w:tc>
      </w:tr>
    </w:tbl>
    <w:p w:rsidR="00B21B1E" w:rsidRPr="003814C9" w:rsidRDefault="00B21B1E" w:rsidP="00CF56BD">
      <w:pPr>
        <w:pStyle w:val="Title"/>
        <w:spacing w:after="0"/>
        <w:rPr>
          <w:rFonts w:ascii="Times New Roman" w:hAnsi="Times New Roman"/>
        </w:rPr>
      </w:pPr>
    </w:p>
    <w:p w:rsidR="00B21B1E" w:rsidRDefault="00B21B1E" w:rsidP="00B21B1E">
      <w:pPr>
        <w:pStyle w:val="BodyText"/>
      </w:pPr>
      <w:r>
        <w:t xml:space="preserve">Installation of low-flow faucet aerators is an inexpensive and lasting approach for water conservation. These efficient aerators reduce water consumption and consequently reduce hot water usage and save energy associated with heating the water. This </w:t>
      </w:r>
      <w:r w:rsidR="00473894">
        <w:t>protocol</w:t>
      </w:r>
      <w:r>
        <w:t xml:space="preserve"> presents the assumptions, analysis and savings from replacing standard flow aerators with low-flow aerators in kitchens and bathrooms. </w:t>
      </w:r>
    </w:p>
    <w:p w:rsidR="00B21B1E" w:rsidRPr="003814C9" w:rsidRDefault="00B21B1E" w:rsidP="00B21B1E">
      <w:pPr>
        <w:pStyle w:val="BodyText"/>
      </w:pPr>
      <w:r>
        <w:t xml:space="preserve">The low-flow kitchen </w:t>
      </w:r>
      <w:r w:rsidR="003D4892">
        <w:t xml:space="preserve">and bathroom </w:t>
      </w:r>
      <w:r>
        <w:t>aerator</w:t>
      </w:r>
      <w:r w:rsidR="003D4892">
        <w:t>s</w:t>
      </w:r>
      <w:r>
        <w:t xml:space="preserve"> will save on the electric energy usage due to the reduced demand of hot water.  The maximum flow rate of qualifying kitchen</w:t>
      </w:r>
      <w:r w:rsidR="003D4892">
        <w:t xml:space="preserve"> and bathroom</w:t>
      </w:r>
      <w:r>
        <w:t xml:space="preserve"> aerator</w:t>
      </w:r>
      <w:r w:rsidR="003D4892">
        <w:t>s</w:t>
      </w:r>
      <w:r>
        <w:t xml:space="preserve"> is 1.5 gallons per minute. </w:t>
      </w:r>
    </w:p>
    <w:p w:rsidR="00B21B1E" w:rsidRPr="003814C9" w:rsidRDefault="00B21B1E" w:rsidP="00B21B1E">
      <w:pPr>
        <w:pStyle w:val="BodyText"/>
      </w:pPr>
      <w:r w:rsidRPr="003814C9">
        <w:t xml:space="preserve">This </w:t>
      </w:r>
      <w:r w:rsidR="00473894">
        <w:t>protocol</w:t>
      </w:r>
      <w:r w:rsidRPr="003814C9">
        <w:t xml:space="preserve"> documents the energy savings attributable to efficient </w:t>
      </w:r>
      <w:r>
        <w:t>low flow aerators in residential applications.  The savings claimed for this measure are attainable in homes with standard resistive water heaters.  Homes with non-electric water heaters do not qualify for this measure.</w:t>
      </w:r>
    </w:p>
    <w:p w:rsidR="00B21B1E" w:rsidRPr="003814C9" w:rsidRDefault="00D57B9E" w:rsidP="00871FA2">
      <w:pPr>
        <w:pStyle w:val="Heading3"/>
      </w:pPr>
      <w:r>
        <w:t>Algorithms</w:t>
      </w:r>
    </w:p>
    <w:p w:rsidR="00B21B1E" w:rsidRDefault="00B21B1E" w:rsidP="00B21B1E">
      <w:pPr>
        <w:pStyle w:val="BodyText"/>
      </w:pPr>
      <w:r w:rsidRPr="003814C9">
        <w:t xml:space="preserve">The energy savings and demand reduction </w:t>
      </w:r>
      <w:r w:rsidR="00D57B9E">
        <w:t xml:space="preserve">are </w:t>
      </w:r>
      <w:r w:rsidRPr="003814C9">
        <w:t>obtain</w:t>
      </w:r>
      <w:r w:rsidR="00D57B9E">
        <w:t>ed</w:t>
      </w:r>
      <w:r w:rsidRPr="003814C9">
        <w:t xml:space="preserve"> through the following calculation</w:t>
      </w:r>
      <w:r>
        <w:t>s</w:t>
      </w:r>
      <w:r w:rsidRPr="003814C9">
        <w:t>:</w:t>
      </w:r>
    </w:p>
    <w:p w:rsidR="00B21B1E" w:rsidRPr="00AA2C40" w:rsidRDefault="00E97E0A" w:rsidP="00F7332F">
      <w:pPr>
        <w:pStyle w:val="Equation"/>
        <w:rPr>
          <w:rFonts w:cs="Arial"/>
          <w:szCs w:val="20"/>
        </w:rPr>
      </w:pPr>
      <w:r w:rsidRPr="00AA2C40">
        <w:rPr>
          <w:rFonts w:cs="Arial"/>
          <w:szCs w:val="20"/>
        </w:rPr>
        <w:sym w:font="Symbol" w:char="F044"/>
      </w:r>
      <w:r w:rsidRPr="00AA2C40">
        <w:rPr>
          <w:rFonts w:cs="Arial"/>
          <w:szCs w:val="20"/>
        </w:rPr>
        <w:t>kWh</w:t>
      </w:r>
      <w:r w:rsidRPr="00AA2C40">
        <w:rPr>
          <w:rFonts w:cs="Arial"/>
          <w:i w:val="0"/>
          <w:szCs w:val="20"/>
        </w:rPr>
        <w:tab/>
      </w:r>
      <w:r w:rsidR="00F7332F" w:rsidRPr="00AA2C40">
        <w:rPr>
          <w:rFonts w:cs="Arial"/>
          <w:szCs w:val="20"/>
        </w:rPr>
        <w:tab/>
      </w:r>
      <w:r w:rsidR="00B21B1E" w:rsidRPr="00AA2C40">
        <w:rPr>
          <w:rFonts w:cs="Arial"/>
          <w:szCs w:val="20"/>
        </w:rPr>
        <w:t>= ISR × [(F</w:t>
      </w:r>
      <w:r w:rsidR="00B21B1E" w:rsidRPr="00AA2C40">
        <w:rPr>
          <w:rFonts w:cs="Arial"/>
          <w:szCs w:val="20"/>
          <w:vertAlign w:val="subscript"/>
        </w:rPr>
        <w:t>B</w:t>
      </w:r>
      <w:r w:rsidR="00B21B1E" w:rsidRPr="00AA2C40">
        <w:rPr>
          <w:rFonts w:cs="Arial"/>
          <w:szCs w:val="20"/>
          <w:vertAlign w:val="subscript"/>
        </w:rPr>
        <w:softHyphen/>
        <w:t xml:space="preserve"> </w:t>
      </w:r>
      <w:r w:rsidR="00B21B1E" w:rsidRPr="00AA2C40">
        <w:rPr>
          <w:rFonts w:cs="Arial"/>
          <w:szCs w:val="20"/>
        </w:rPr>
        <w:t>– F</w:t>
      </w:r>
      <w:r w:rsidR="00B21B1E" w:rsidRPr="00AA2C40">
        <w:rPr>
          <w:rFonts w:cs="Arial"/>
          <w:szCs w:val="20"/>
          <w:vertAlign w:val="subscript"/>
        </w:rPr>
        <w:t>P</w:t>
      </w:r>
      <w:r w:rsidR="00B21B1E" w:rsidRPr="00AA2C40">
        <w:rPr>
          <w:rFonts w:cs="Arial"/>
          <w:szCs w:val="20"/>
        </w:rPr>
        <w:t>) ×T</w:t>
      </w:r>
      <w:r w:rsidR="00B21B1E" w:rsidRPr="00AA2C40">
        <w:rPr>
          <w:rFonts w:cs="Arial"/>
          <w:szCs w:val="20"/>
          <w:vertAlign w:val="subscript"/>
        </w:rPr>
        <w:t>Person-Day</w:t>
      </w:r>
      <w:r w:rsidR="00B21B1E" w:rsidRPr="00AA2C40">
        <w:rPr>
          <w:rFonts w:cs="Arial"/>
          <w:szCs w:val="20"/>
        </w:rPr>
        <w:t>×N</w:t>
      </w:r>
      <w:r w:rsidR="00B21B1E" w:rsidRPr="00AA2C40">
        <w:rPr>
          <w:rFonts w:cs="Arial"/>
          <w:szCs w:val="20"/>
          <w:vertAlign w:val="subscript"/>
        </w:rPr>
        <w:t>Persons</w:t>
      </w:r>
      <w:r w:rsidR="00B21B1E" w:rsidRPr="00AA2C40">
        <w:rPr>
          <w:rFonts w:cs="Arial"/>
          <w:szCs w:val="20"/>
        </w:rPr>
        <w:t>×365×</w:t>
      </w:r>
      <w:r w:rsidR="00B21B1E" w:rsidRPr="00AA2C40">
        <w:rPr>
          <w:rFonts w:cs="Arial"/>
          <w:szCs w:val="20"/>
        </w:rPr>
        <w:sym w:font="Symbol" w:char="F044"/>
      </w:r>
      <w:r w:rsidR="00B21B1E" w:rsidRPr="00AA2C40">
        <w:rPr>
          <w:rFonts w:cs="Arial"/>
          <w:szCs w:val="20"/>
        </w:rPr>
        <w:t>T</w:t>
      </w:r>
      <w:r w:rsidR="00B21B1E" w:rsidRPr="00AA2C40">
        <w:rPr>
          <w:rFonts w:cs="Arial"/>
          <w:szCs w:val="20"/>
          <w:vertAlign w:val="subscript"/>
        </w:rPr>
        <w:t>L</w:t>
      </w:r>
      <w:r w:rsidR="00B21B1E" w:rsidRPr="00AA2C40">
        <w:rPr>
          <w:rFonts w:cs="Arial"/>
          <w:szCs w:val="20"/>
        </w:rPr>
        <w:t>×U</w:t>
      </w:r>
      <w:r w:rsidR="00B21B1E" w:rsidRPr="00AA2C40">
        <w:rPr>
          <w:rFonts w:cs="Arial"/>
          <w:szCs w:val="20"/>
          <w:vertAlign w:val="subscript"/>
        </w:rPr>
        <w:t>H</w:t>
      </w:r>
      <w:r w:rsidR="00B21B1E" w:rsidRPr="00AA2C40">
        <w:rPr>
          <w:rFonts w:cs="Arial"/>
          <w:szCs w:val="20"/>
        </w:rPr>
        <w:t>×U</w:t>
      </w:r>
      <w:r w:rsidR="00B21B1E" w:rsidRPr="00AA2C40">
        <w:rPr>
          <w:rFonts w:cs="Arial"/>
          <w:szCs w:val="20"/>
          <w:vertAlign w:val="subscript"/>
        </w:rPr>
        <w:t>E</w:t>
      </w:r>
      <w:r w:rsidR="00B21B1E" w:rsidRPr="00AA2C40">
        <w:rPr>
          <w:rFonts w:cs="Arial"/>
          <w:szCs w:val="20"/>
        </w:rPr>
        <w:t>×Eff</w:t>
      </w:r>
      <w:r w:rsidR="00B21B1E" w:rsidRPr="00AA2C40">
        <w:rPr>
          <w:rFonts w:cs="Arial"/>
          <w:szCs w:val="20"/>
          <w:vertAlign w:val="superscript"/>
        </w:rPr>
        <w:t>-1</w:t>
      </w:r>
      <w:r w:rsidR="00B21B1E" w:rsidRPr="00AA2C40">
        <w:rPr>
          <w:rFonts w:cs="Arial"/>
          <w:szCs w:val="20"/>
        </w:rPr>
        <w:t>] / (F/home)</w:t>
      </w:r>
    </w:p>
    <w:p w:rsidR="00B21B1E" w:rsidRPr="00AA2C40" w:rsidRDefault="00E97E0A" w:rsidP="00F7332F">
      <w:pPr>
        <w:pStyle w:val="Equation"/>
        <w:rPr>
          <w:rFonts w:cs="Arial"/>
          <w:szCs w:val="20"/>
        </w:rPr>
      </w:pPr>
      <w:r w:rsidRPr="00AA2C40">
        <w:rPr>
          <w:rFonts w:cs="Arial"/>
          <w:szCs w:val="20"/>
        </w:rPr>
        <w:sym w:font="Symbol" w:char="F044"/>
      </w:r>
      <w:r w:rsidRPr="00AA2C40">
        <w:rPr>
          <w:rFonts w:cs="Arial"/>
          <w:szCs w:val="20"/>
        </w:rPr>
        <w:t>kW</w:t>
      </w:r>
      <w:r w:rsidRPr="00AA2C40">
        <w:rPr>
          <w:rFonts w:cs="Arial"/>
          <w:szCs w:val="20"/>
          <w:vertAlign w:val="subscript"/>
        </w:rPr>
        <w:t>peak</w:t>
      </w:r>
      <w:r w:rsidRPr="00AA2C40">
        <w:rPr>
          <w:rFonts w:cs="Arial"/>
          <w:szCs w:val="20"/>
          <w:vertAlign w:val="subscript"/>
        </w:rPr>
        <w:tab/>
      </w:r>
      <w:r w:rsidR="00F7332F" w:rsidRPr="00AA2C40">
        <w:rPr>
          <w:rFonts w:cs="Arial"/>
          <w:szCs w:val="20"/>
        </w:rPr>
        <w:tab/>
      </w:r>
      <w:r w:rsidR="00B21B1E" w:rsidRPr="00AA2C40">
        <w:rPr>
          <w:rFonts w:cs="Arial"/>
          <w:szCs w:val="20"/>
        </w:rPr>
        <w:t>= ISR ×Energy Impact × F</w:t>
      </w:r>
      <w:r w:rsidR="00B21B1E" w:rsidRPr="00AA2C40">
        <w:rPr>
          <w:rFonts w:cs="Arial"/>
          <w:szCs w:val="20"/>
          <w:vertAlign w:val="subscript"/>
        </w:rPr>
        <w:t>ED</w:t>
      </w:r>
    </w:p>
    <w:p w:rsidR="00B21B1E" w:rsidRPr="00AA2C40" w:rsidRDefault="00B21B1E" w:rsidP="00B21B1E">
      <w:pPr>
        <w:pStyle w:val="BodyText"/>
        <w:rPr>
          <w:rFonts w:cs="Arial"/>
        </w:rPr>
      </w:pPr>
      <w:r w:rsidRPr="00AA2C40">
        <w:rPr>
          <w:rFonts w:cs="Arial"/>
        </w:rPr>
        <w:t>The Energy to Demand Factor, F</w:t>
      </w:r>
      <w:r w:rsidRPr="00AA2C40">
        <w:rPr>
          <w:rFonts w:cs="Arial"/>
          <w:vertAlign w:val="subscript"/>
        </w:rPr>
        <w:t>ED</w:t>
      </w:r>
      <w:r w:rsidRPr="00AA2C40">
        <w:rPr>
          <w:rFonts w:cs="Arial"/>
        </w:rPr>
        <w:t>, is defined below:</w:t>
      </w:r>
    </w:p>
    <w:p w:rsidR="00B21B1E" w:rsidRPr="00AA2C40" w:rsidRDefault="00B21B1E" w:rsidP="00F7332F">
      <w:pPr>
        <w:pStyle w:val="Equation"/>
        <w:rPr>
          <w:rFonts w:cs="Arial"/>
          <w:szCs w:val="20"/>
        </w:rPr>
      </w:pPr>
      <w:r w:rsidRPr="00AA2C40">
        <w:rPr>
          <w:rFonts w:cs="Arial"/>
          <w:szCs w:val="20"/>
        </w:rPr>
        <w:t xml:space="preserve">EnergyToDemandFactor </w:t>
      </w:r>
      <w:r w:rsidR="00F7332F" w:rsidRPr="00AA2C40">
        <w:rPr>
          <w:rFonts w:cs="Arial"/>
          <w:szCs w:val="20"/>
        </w:rPr>
        <w:tab/>
      </w:r>
      <w:r w:rsidRPr="00AA2C40">
        <w:rPr>
          <w:rFonts w:cs="Arial"/>
          <w:szCs w:val="20"/>
        </w:rPr>
        <w:t>= AverageUsage</w:t>
      </w:r>
      <w:r w:rsidRPr="00AA2C40">
        <w:rPr>
          <w:rFonts w:cs="Arial"/>
          <w:szCs w:val="20"/>
          <w:vertAlign w:val="subscript"/>
        </w:rPr>
        <w:t xml:space="preserve">SummerWDNoon-8PM </w:t>
      </w:r>
      <w:r w:rsidRPr="00AA2C40">
        <w:rPr>
          <w:rFonts w:cs="Arial"/>
          <w:szCs w:val="20"/>
        </w:rPr>
        <w:t xml:space="preserve"> / AnnualEnergyUsage</w:t>
      </w:r>
    </w:p>
    <w:p w:rsidR="00B21B1E" w:rsidRPr="002E6E9C" w:rsidRDefault="00B21B1E" w:rsidP="00B21B1E">
      <w:pPr>
        <w:pStyle w:val="BodyTextIndent2"/>
        <w:ind w:left="0"/>
        <w:jc w:val="both"/>
      </w:pPr>
    </w:p>
    <w:p w:rsidR="00B21B1E" w:rsidRPr="00EC3D74" w:rsidRDefault="00B21B1E" w:rsidP="00B21B1E">
      <w:pPr>
        <w:pStyle w:val="BodyText"/>
      </w:pPr>
      <w:r w:rsidRPr="00EC3D74">
        <w:t>The ratio of the average energy usage during noon and 8 PM on summer weekdays to the total annual energy usage is taken from load shape data collected for a water heater and HVAC demand response study for PJM</w:t>
      </w:r>
      <w:r>
        <w:rPr>
          <w:rStyle w:val="FootnoteReference"/>
        </w:rPr>
        <w:footnoteReference w:id="25"/>
      </w:r>
      <w:r w:rsidRPr="00EC3D74">
        <w:t xml:space="preserve">.  The load shapes (fractions of annual energy usage that occur within each hour) during summer week days are plotted for three business types in </w:t>
      </w:r>
      <w:r w:rsidR="007A1FB6">
        <w:fldChar w:fldCharType="begin"/>
      </w:r>
      <w:r w:rsidR="00081415">
        <w:instrText xml:space="preserve"> REF _Ref275542458 \h </w:instrText>
      </w:r>
      <w:r w:rsidR="007A1FB6">
        <w:fldChar w:fldCharType="separate"/>
      </w:r>
      <w:r w:rsidR="00C0292F">
        <w:t xml:space="preserve">Figure </w:t>
      </w:r>
      <w:r w:rsidR="00C0292F">
        <w:rPr>
          <w:noProof/>
        </w:rPr>
        <w:t>2</w:t>
      </w:r>
      <w:r w:rsidR="00C0292F">
        <w:noBreakHyphen/>
      </w:r>
      <w:r w:rsidR="00C0292F">
        <w:rPr>
          <w:noProof/>
        </w:rPr>
        <w:t>4</w:t>
      </w:r>
      <w:r w:rsidR="007A1FB6">
        <w:fldChar w:fldCharType="end"/>
      </w:r>
      <w:r w:rsidR="00CF56BD">
        <w:t xml:space="preserve"> </w:t>
      </w:r>
      <w:r w:rsidRPr="00EC3D74">
        <w:t>below.</w:t>
      </w:r>
    </w:p>
    <w:p w:rsidR="00F7332F" w:rsidRDefault="003C7C58" w:rsidP="00F7332F">
      <w:pPr>
        <w:keepNext/>
        <w:tabs>
          <w:tab w:val="left" w:pos="720"/>
        </w:tabs>
        <w:spacing w:before="120"/>
        <w:jc w:val="both"/>
      </w:pPr>
      <w:r>
        <w:rPr>
          <w:rFonts w:ascii="Times New Roman" w:hAnsi="Times New Roman"/>
          <w:noProof/>
        </w:rPr>
        <w:lastRenderedPageBreak/>
        <w:drawing>
          <wp:inline distT="0" distB="0" distL="0" distR="0">
            <wp:extent cx="5486400" cy="2305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86400" cy="2305050"/>
                    </a:xfrm>
                    <a:prstGeom prst="rect">
                      <a:avLst/>
                    </a:prstGeom>
                    <a:noFill/>
                    <a:ln>
                      <a:noFill/>
                    </a:ln>
                  </pic:spPr>
                </pic:pic>
              </a:graphicData>
            </a:graphic>
          </wp:inline>
        </w:drawing>
      </w:r>
    </w:p>
    <w:p w:rsidR="00B21B1E" w:rsidRPr="00545BBF" w:rsidRDefault="00F7332F" w:rsidP="00100EDF">
      <w:pPr>
        <w:pStyle w:val="Caption"/>
        <w:rPr>
          <w:rFonts w:ascii="Times New Roman" w:hAnsi="Times New Roman"/>
        </w:rPr>
      </w:pPr>
      <w:bookmarkStart w:id="207" w:name="_Ref275542458"/>
      <w:r>
        <w:t xml:space="preserve">Figure </w:t>
      </w:r>
      <w:r w:rsidR="007A1FB6">
        <w:fldChar w:fldCharType="begin"/>
      </w:r>
      <w:r w:rsidR="008B139C">
        <w:instrText xml:space="preserve"> STYLEREF 1 \s </w:instrText>
      </w:r>
      <w:r w:rsidR="007A1FB6">
        <w:fldChar w:fldCharType="separate"/>
      </w:r>
      <w:r w:rsidR="00C0292F">
        <w:rPr>
          <w:noProof/>
        </w:rPr>
        <w:t>2</w:t>
      </w:r>
      <w:r w:rsidR="007A1FB6">
        <w:fldChar w:fldCharType="end"/>
      </w:r>
      <w:r w:rsidR="008B139C">
        <w:noBreakHyphen/>
      </w:r>
      <w:r w:rsidR="007A1FB6">
        <w:fldChar w:fldCharType="begin"/>
      </w:r>
      <w:r w:rsidR="008B139C">
        <w:instrText xml:space="preserve"> SEQ Figure \* ARABIC \s 1 </w:instrText>
      </w:r>
      <w:r w:rsidR="007A1FB6">
        <w:fldChar w:fldCharType="separate"/>
      </w:r>
      <w:r w:rsidR="00C0292F">
        <w:rPr>
          <w:noProof/>
        </w:rPr>
        <w:t>4</w:t>
      </w:r>
      <w:r w:rsidR="007A1FB6">
        <w:fldChar w:fldCharType="end"/>
      </w:r>
      <w:bookmarkEnd w:id="207"/>
      <w:r>
        <w:t xml:space="preserve">: </w:t>
      </w:r>
      <w:r w:rsidRPr="00545BBF">
        <w:t>Load shapes for hot water in residential buildings taken from a PJM study.</w:t>
      </w:r>
    </w:p>
    <w:p w:rsidR="00B21B1E" w:rsidRPr="00C465DB" w:rsidRDefault="00B21B1E" w:rsidP="00871FA2">
      <w:pPr>
        <w:pStyle w:val="Heading3"/>
      </w:pPr>
      <w:r>
        <w:t xml:space="preserve">Definition of </w:t>
      </w:r>
      <w:r w:rsidR="00E97E0A">
        <w:t>Terms</w:t>
      </w:r>
    </w:p>
    <w:p w:rsidR="00B21B1E" w:rsidRPr="00545BBF" w:rsidRDefault="00B21B1E" w:rsidP="00B21B1E">
      <w:pPr>
        <w:pStyle w:val="BodyText"/>
      </w:pPr>
      <w:r w:rsidRPr="00545BBF">
        <w:t xml:space="preserve">The parameters in the above equation are defined in </w:t>
      </w:r>
      <w:r w:rsidR="007A1FB6">
        <w:fldChar w:fldCharType="begin"/>
      </w:r>
      <w:r w:rsidR="00081415">
        <w:instrText xml:space="preserve"> REF _Ref274915554 \h </w:instrText>
      </w:r>
      <w:r w:rsidR="007A1FB6">
        <w:fldChar w:fldCharType="separate"/>
      </w:r>
      <w:r w:rsidR="00C0292F">
        <w:t xml:space="preserve">Table </w:t>
      </w:r>
      <w:r w:rsidR="00C0292F">
        <w:rPr>
          <w:noProof/>
        </w:rPr>
        <w:t>2</w:t>
      </w:r>
      <w:r w:rsidR="00C0292F">
        <w:noBreakHyphen/>
      </w:r>
      <w:r w:rsidR="00C0292F">
        <w:rPr>
          <w:noProof/>
        </w:rPr>
        <w:t>16</w:t>
      </w:r>
      <w:r w:rsidR="007A1FB6">
        <w:fldChar w:fldCharType="end"/>
      </w:r>
      <w:r w:rsidRPr="00545BBF">
        <w:t>.</w:t>
      </w:r>
    </w:p>
    <w:p w:rsidR="00B54168" w:rsidRDefault="00B54168" w:rsidP="00100EDF">
      <w:pPr>
        <w:pStyle w:val="Caption"/>
      </w:pPr>
      <w:bookmarkStart w:id="208" w:name="_Ref274915554"/>
      <w:bookmarkStart w:id="209" w:name="_Toc310875502"/>
      <w:r>
        <w:lastRenderedPageBreak/>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16</w:t>
      </w:r>
      <w:r w:rsidR="00274AB1">
        <w:rPr>
          <w:noProof/>
        </w:rPr>
        <w:fldChar w:fldCharType="end"/>
      </w:r>
      <w:bookmarkEnd w:id="208"/>
      <w:r>
        <w:t xml:space="preserve">: </w:t>
      </w:r>
      <w:r w:rsidR="00940A5E">
        <w:t xml:space="preserve">Low Flow Faucet Aerator </w:t>
      </w:r>
      <w:r w:rsidRPr="0032112B">
        <w:t>Calculation Assumptions</w:t>
      </w:r>
      <w:bookmarkEnd w:id="209"/>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9"/>
        <w:gridCol w:w="4411"/>
        <w:gridCol w:w="1080"/>
        <w:gridCol w:w="1350"/>
        <w:gridCol w:w="1260"/>
      </w:tblGrid>
      <w:tr w:rsidR="00B21B1E" w:rsidRPr="000465E6" w:rsidTr="006E0899">
        <w:trPr>
          <w:jc w:val="center"/>
        </w:trPr>
        <w:tc>
          <w:tcPr>
            <w:tcW w:w="1259" w:type="dxa"/>
            <w:shd w:val="clear" w:color="auto" w:fill="BFBFBF"/>
          </w:tcPr>
          <w:p w:rsidR="00B21B1E" w:rsidRPr="001D6512" w:rsidRDefault="00B21B1E" w:rsidP="00321935">
            <w:pPr>
              <w:pStyle w:val="TableCell"/>
              <w:spacing w:before="60" w:after="60"/>
              <w:rPr>
                <w:b/>
              </w:rPr>
            </w:pPr>
            <w:r w:rsidRPr="001D6512">
              <w:rPr>
                <w:b/>
              </w:rPr>
              <w:t>Parameter</w:t>
            </w:r>
          </w:p>
        </w:tc>
        <w:tc>
          <w:tcPr>
            <w:tcW w:w="4411" w:type="dxa"/>
            <w:shd w:val="clear" w:color="auto" w:fill="BFBFBF"/>
          </w:tcPr>
          <w:p w:rsidR="00B21B1E" w:rsidRPr="001D6512" w:rsidRDefault="00B21B1E" w:rsidP="00321935">
            <w:pPr>
              <w:pStyle w:val="TableCell"/>
              <w:spacing w:before="60" w:after="60"/>
              <w:rPr>
                <w:b/>
              </w:rPr>
            </w:pPr>
            <w:r w:rsidRPr="001D6512">
              <w:rPr>
                <w:b/>
              </w:rPr>
              <w:t>Description</w:t>
            </w:r>
          </w:p>
        </w:tc>
        <w:tc>
          <w:tcPr>
            <w:tcW w:w="1080" w:type="dxa"/>
            <w:shd w:val="clear" w:color="auto" w:fill="BFBFBF"/>
          </w:tcPr>
          <w:p w:rsidR="00B21B1E" w:rsidRPr="001D6512" w:rsidRDefault="00B21B1E" w:rsidP="00321935">
            <w:pPr>
              <w:pStyle w:val="TableCell"/>
              <w:spacing w:before="60" w:after="60"/>
              <w:rPr>
                <w:b/>
              </w:rPr>
            </w:pPr>
            <w:r w:rsidRPr="001D6512">
              <w:rPr>
                <w:b/>
              </w:rPr>
              <w:t>Type</w:t>
            </w:r>
          </w:p>
        </w:tc>
        <w:tc>
          <w:tcPr>
            <w:tcW w:w="1350" w:type="dxa"/>
            <w:shd w:val="clear" w:color="auto" w:fill="BFBFBF"/>
          </w:tcPr>
          <w:p w:rsidR="00B21B1E" w:rsidRPr="001D6512" w:rsidRDefault="00B21B1E" w:rsidP="00321935">
            <w:pPr>
              <w:pStyle w:val="TableCell"/>
              <w:spacing w:before="60" w:after="60"/>
              <w:rPr>
                <w:b/>
              </w:rPr>
            </w:pPr>
            <w:r w:rsidRPr="001D6512">
              <w:rPr>
                <w:b/>
              </w:rPr>
              <w:t>Value</w:t>
            </w:r>
          </w:p>
        </w:tc>
        <w:tc>
          <w:tcPr>
            <w:tcW w:w="1260" w:type="dxa"/>
            <w:shd w:val="clear" w:color="auto" w:fill="BFBFBF"/>
          </w:tcPr>
          <w:p w:rsidR="00B21B1E" w:rsidRPr="001D6512" w:rsidRDefault="00B21B1E" w:rsidP="00321935">
            <w:pPr>
              <w:pStyle w:val="TableCell"/>
              <w:spacing w:before="60" w:after="60"/>
              <w:rPr>
                <w:b/>
              </w:rPr>
            </w:pPr>
            <w:r w:rsidRPr="001D6512">
              <w:rPr>
                <w:b/>
              </w:rPr>
              <w:t>Source</w:t>
            </w:r>
          </w:p>
        </w:tc>
      </w:tr>
      <w:tr w:rsidR="00B21B1E" w:rsidRPr="000465E6" w:rsidTr="006E0899">
        <w:trPr>
          <w:jc w:val="center"/>
        </w:trPr>
        <w:tc>
          <w:tcPr>
            <w:tcW w:w="1259" w:type="dxa"/>
          </w:tcPr>
          <w:p w:rsidR="00B21B1E" w:rsidRPr="00865117" w:rsidRDefault="00B21B1E" w:rsidP="00321935">
            <w:pPr>
              <w:pStyle w:val="TableCell"/>
              <w:spacing w:before="60" w:after="60"/>
              <w:rPr>
                <w:vertAlign w:val="subscript"/>
              </w:rPr>
            </w:pPr>
            <w:r w:rsidRPr="00865117">
              <w:t>F</w:t>
            </w:r>
            <w:r w:rsidRPr="00865117">
              <w:rPr>
                <w:vertAlign w:val="subscript"/>
              </w:rPr>
              <w:t>B</w:t>
            </w:r>
          </w:p>
        </w:tc>
        <w:tc>
          <w:tcPr>
            <w:tcW w:w="4411" w:type="dxa"/>
          </w:tcPr>
          <w:p w:rsidR="00B21B1E" w:rsidRPr="001D6512" w:rsidRDefault="00B21B1E" w:rsidP="00321935">
            <w:pPr>
              <w:pStyle w:val="TableCell"/>
              <w:spacing w:before="60" w:after="60"/>
            </w:pPr>
            <w:r w:rsidRPr="001D6512">
              <w:t>Average Baseline Flow Rate of aerator (GPM)</w:t>
            </w:r>
          </w:p>
        </w:tc>
        <w:tc>
          <w:tcPr>
            <w:tcW w:w="1080" w:type="dxa"/>
          </w:tcPr>
          <w:p w:rsidR="00B21B1E" w:rsidRPr="001D6512" w:rsidRDefault="00B21B1E" w:rsidP="00321935">
            <w:pPr>
              <w:pStyle w:val="TableCell"/>
              <w:spacing w:before="60" w:after="60"/>
            </w:pPr>
            <w:r w:rsidRPr="001D6512">
              <w:t>Fixed</w:t>
            </w:r>
          </w:p>
        </w:tc>
        <w:tc>
          <w:tcPr>
            <w:tcW w:w="1350" w:type="dxa"/>
          </w:tcPr>
          <w:p w:rsidR="00B21B1E" w:rsidRPr="001D6512" w:rsidRDefault="00B21B1E" w:rsidP="00321935">
            <w:pPr>
              <w:pStyle w:val="TableCell"/>
              <w:spacing w:before="60" w:after="60"/>
            </w:pPr>
            <w:r w:rsidRPr="001D6512">
              <w:t>2.2</w:t>
            </w:r>
          </w:p>
        </w:tc>
        <w:tc>
          <w:tcPr>
            <w:tcW w:w="1260" w:type="dxa"/>
          </w:tcPr>
          <w:p w:rsidR="00B21B1E" w:rsidRPr="001D6512" w:rsidRDefault="00B21B1E" w:rsidP="00321935">
            <w:pPr>
              <w:pStyle w:val="TableCell"/>
              <w:spacing w:before="60" w:after="60"/>
            </w:pPr>
            <w:r w:rsidRPr="001D6512">
              <w:t>2</w:t>
            </w:r>
          </w:p>
        </w:tc>
      </w:tr>
      <w:tr w:rsidR="00B21B1E" w:rsidRPr="000465E6" w:rsidTr="006E0899">
        <w:trPr>
          <w:jc w:val="center"/>
        </w:trPr>
        <w:tc>
          <w:tcPr>
            <w:tcW w:w="1259" w:type="dxa"/>
          </w:tcPr>
          <w:p w:rsidR="00B21B1E" w:rsidRPr="00865117" w:rsidRDefault="00B21B1E" w:rsidP="00321935">
            <w:pPr>
              <w:pStyle w:val="TableCell"/>
              <w:spacing w:before="60" w:after="60"/>
              <w:rPr>
                <w:vertAlign w:val="subscript"/>
              </w:rPr>
            </w:pPr>
            <w:r w:rsidRPr="00865117">
              <w:t>F</w:t>
            </w:r>
            <w:r w:rsidRPr="00865117">
              <w:rPr>
                <w:vertAlign w:val="subscript"/>
              </w:rPr>
              <w:t>P</w:t>
            </w:r>
          </w:p>
        </w:tc>
        <w:tc>
          <w:tcPr>
            <w:tcW w:w="4411" w:type="dxa"/>
          </w:tcPr>
          <w:p w:rsidR="00B21B1E" w:rsidRPr="001D6512" w:rsidRDefault="00B21B1E" w:rsidP="00321935">
            <w:pPr>
              <w:pStyle w:val="TableCell"/>
              <w:spacing w:before="60" w:after="60"/>
            </w:pPr>
            <w:r w:rsidRPr="001D6512">
              <w:t>Average Post Measure Flow Rate of Sprayer (GPM)</w:t>
            </w:r>
          </w:p>
        </w:tc>
        <w:tc>
          <w:tcPr>
            <w:tcW w:w="1080" w:type="dxa"/>
          </w:tcPr>
          <w:p w:rsidR="00B21B1E" w:rsidRPr="001D6512" w:rsidRDefault="00B21B1E" w:rsidP="00321935">
            <w:pPr>
              <w:pStyle w:val="TableCell"/>
              <w:spacing w:before="60" w:after="60"/>
            </w:pPr>
            <w:r w:rsidRPr="001D6512">
              <w:t>Fixed</w:t>
            </w:r>
          </w:p>
        </w:tc>
        <w:tc>
          <w:tcPr>
            <w:tcW w:w="1350" w:type="dxa"/>
          </w:tcPr>
          <w:p w:rsidR="00B21B1E" w:rsidRPr="001D6512" w:rsidRDefault="00B21B1E" w:rsidP="00321935">
            <w:pPr>
              <w:pStyle w:val="TableCell"/>
              <w:spacing w:before="60" w:after="60"/>
            </w:pPr>
            <w:r w:rsidRPr="001D6512">
              <w:t>1.5</w:t>
            </w:r>
          </w:p>
        </w:tc>
        <w:tc>
          <w:tcPr>
            <w:tcW w:w="1260" w:type="dxa"/>
          </w:tcPr>
          <w:p w:rsidR="00B21B1E" w:rsidRPr="001D6512" w:rsidRDefault="00B21B1E" w:rsidP="00321935">
            <w:pPr>
              <w:pStyle w:val="TableCell"/>
              <w:spacing w:before="60" w:after="60"/>
            </w:pPr>
            <w:r w:rsidRPr="001D6512">
              <w:t>2</w:t>
            </w:r>
          </w:p>
        </w:tc>
      </w:tr>
      <w:tr w:rsidR="00B21B1E" w:rsidRPr="000465E6" w:rsidTr="006E0899">
        <w:trPr>
          <w:jc w:val="center"/>
        </w:trPr>
        <w:tc>
          <w:tcPr>
            <w:tcW w:w="1259" w:type="dxa"/>
          </w:tcPr>
          <w:p w:rsidR="00B21B1E" w:rsidRPr="00865117" w:rsidRDefault="00B21B1E" w:rsidP="00321935">
            <w:pPr>
              <w:pStyle w:val="TableCell"/>
              <w:spacing w:before="60" w:after="60"/>
            </w:pPr>
            <w:r w:rsidRPr="00865117">
              <w:t>T</w:t>
            </w:r>
            <w:r w:rsidRPr="00865117">
              <w:rPr>
                <w:vertAlign w:val="subscript"/>
              </w:rPr>
              <w:t>Person-Day</w:t>
            </w:r>
          </w:p>
        </w:tc>
        <w:tc>
          <w:tcPr>
            <w:tcW w:w="4411" w:type="dxa"/>
          </w:tcPr>
          <w:p w:rsidR="00B21B1E" w:rsidRPr="001D6512" w:rsidRDefault="00B21B1E" w:rsidP="00321935">
            <w:pPr>
              <w:pStyle w:val="TableCell"/>
              <w:spacing w:before="60" w:after="60"/>
            </w:pPr>
            <w:r w:rsidRPr="001D6512">
              <w:t>Average time of hot water usage per person per day (minutes)</w:t>
            </w:r>
          </w:p>
        </w:tc>
        <w:tc>
          <w:tcPr>
            <w:tcW w:w="1080" w:type="dxa"/>
          </w:tcPr>
          <w:p w:rsidR="00B21B1E" w:rsidRPr="001D6512" w:rsidRDefault="00B21B1E" w:rsidP="00321935">
            <w:pPr>
              <w:pStyle w:val="TableCell"/>
              <w:spacing w:before="60" w:after="60"/>
            </w:pPr>
            <w:r w:rsidRPr="001D6512">
              <w:t>Fixed</w:t>
            </w:r>
          </w:p>
        </w:tc>
        <w:tc>
          <w:tcPr>
            <w:tcW w:w="1350" w:type="dxa"/>
          </w:tcPr>
          <w:p w:rsidR="00B21B1E" w:rsidRPr="001D6512" w:rsidRDefault="00B21B1E" w:rsidP="00321935">
            <w:pPr>
              <w:pStyle w:val="TableCell"/>
              <w:spacing w:before="60" w:after="60"/>
            </w:pPr>
            <w:r w:rsidRPr="001D6512">
              <w:t xml:space="preserve"> 4.95  </w:t>
            </w:r>
          </w:p>
          <w:p w:rsidR="00B21B1E" w:rsidRPr="001D6512" w:rsidRDefault="00B21B1E" w:rsidP="00321935">
            <w:pPr>
              <w:pStyle w:val="TableCell"/>
              <w:spacing w:before="60" w:after="60"/>
            </w:pPr>
          </w:p>
        </w:tc>
        <w:tc>
          <w:tcPr>
            <w:tcW w:w="1260" w:type="dxa"/>
          </w:tcPr>
          <w:p w:rsidR="00B21B1E" w:rsidRPr="001D6512" w:rsidRDefault="00B21B1E" w:rsidP="00321935">
            <w:pPr>
              <w:pStyle w:val="TableCell"/>
              <w:spacing w:before="60" w:after="60"/>
            </w:pPr>
            <w:r w:rsidRPr="001D6512">
              <w:t>3</w:t>
            </w:r>
          </w:p>
        </w:tc>
      </w:tr>
      <w:tr w:rsidR="00B21B1E" w:rsidRPr="000465E6" w:rsidTr="006E0899">
        <w:trPr>
          <w:jc w:val="center"/>
        </w:trPr>
        <w:tc>
          <w:tcPr>
            <w:tcW w:w="1259" w:type="dxa"/>
          </w:tcPr>
          <w:p w:rsidR="00B21B1E" w:rsidRPr="00865117" w:rsidRDefault="00B21B1E" w:rsidP="00321935">
            <w:pPr>
              <w:pStyle w:val="TableCell"/>
              <w:spacing w:before="60" w:after="60"/>
            </w:pPr>
            <w:r w:rsidRPr="00865117">
              <w:t>N</w:t>
            </w:r>
            <w:r w:rsidRPr="00865117">
              <w:rPr>
                <w:vertAlign w:val="subscript"/>
              </w:rPr>
              <w:t>Per</w:t>
            </w:r>
          </w:p>
        </w:tc>
        <w:tc>
          <w:tcPr>
            <w:tcW w:w="4411" w:type="dxa"/>
          </w:tcPr>
          <w:p w:rsidR="00B21B1E" w:rsidRPr="001D6512" w:rsidRDefault="00B21B1E" w:rsidP="00321935">
            <w:pPr>
              <w:pStyle w:val="TableCell"/>
              <w:spacing w:before="60" w:after="60"/>
            </w:pPr>
            <w:r w:rsidRPr="001D6512">
              <w:t>Average number of persons per household</w:t>
            </w:r>
          </w:p>
        </w:tc>
        <w:tc>
          <w:tcPr>
            <w:tcW w:w="1080" w:type="dxa"/>
          </w:tcPr>
          <w:p w:rsidR="00B21B1E" w:rsidRPr="001D6512" w:rsidRDefault="00B21B1E" w:rsidP="00321935">
            <w:pPr>
              <w:pStyle w:val="TableCell"/>
              <w:spacing w:before="60" w:after="60"/>
            </w:pPr>
            <w:r w:rsidRPr="001D6512">
              <w:t>Fixed</w:t>
            </w:r>
          </w:p>
        </w:tc>
        <w:tc>
          <w:tcPr>
            <w:tcW w:w="1350" w:type="dxa"/>
          </w:tcPr>
          <w:p w:rsidR="00B21B1E" w:rsidRPr="001D6512" w:rsidRDefault="00B21B1E" w:rsidP="00321935">
            <w:pPr>
              <w:pStyle w:val="TableCell"/>
              <w:spacing w:before="60" w:after="60"/>
            </w:pPr>
            <w:r w:rsidRPr="001D6512">
              <w:t>2.48</w:t>
            </w:r>
          </w:p>
        </w:tc>
        <w:tc>
          <w:tcPr>
            <w:tcW w:w="1260" w:type="dxa"/>
          </w:tcPr>
          <w:p w:rsidR="00B21B1E" w:rsidRPr="001D6512" w:rsidRDefault="00B21B1E" w:rsidP="00321935">
            <w:pPr>
              <w:pStyle w:val="TableCell"/>
              <w:spacing w:before="60" w:after="60"/>
            </w:pPr>
            <w:r w:rsidRPr="001D6512">
              <w:t>4</w:t>
            </w:r>
          </w:p>
        </w:tc>
      </w:tr>
      <w:tr w:rsidR="00B21B1E" w:rsidRPr="000465E6" w:rsidTr="006B5B32">
        <w:trPr>
          <w:trHeight w:val="458"/>
          <w:jc w:val="center"/>
        </w:trPr>
        <w:tc>
          <w:tcPr>
            <w:tcW w:w="1259" w:type="dxa"/>
          </w:tcPr>
          <w:p w:rsidR="00B21B1E" w:rsidRPr="00865117" w:rsidRDefault="00B21B1E" w:rsidP="00321935">
            <w:pPr>
              <w:pStyle w:val="TableCell"/>
              <w:spacing w:before="60" w:after="60"/>
              <w:rPr>
                <w:vertAlign w:val="subscript"/>
              </w:rPr>
            </w:pPr>
            <w:r w:rsidRPr="00865117">
              <w:sym w:font="Symbol" w:char="F044"/>
            </w:r>
            <w:r w:rsidRPr="00865117">
              <w:t>T</w:t>
            </w:r>
          </w:p>
        </w:tc>
        <w:tc>
          <w:tcPr>
            <w:tcW w:w="4411" w:type="dxa"/>
          </w:tcPr>
          <w:p w:rsidR="00B21B1E" w:rsidRPr="001D6512" w:rsidRDefault="00B21B1E" w:rsidP="00321935">
            <w:pPr>
              <w:pStyle w:val="TableCell"/>
              <w:spacing w:before="60" w:after="60"/>
            </w:pPr>
            <w:r w:rsidRPr="001D6512">
              <w:t>Average temperature differential between hot and cold water (ºF)</w:t>
            </w:r>
          </w:p>
        </w:tc>
        <w:tc>
          <w:tcPr>
            <w:tcW w:w="1080" w:type="dxa"/>
          </w:tcPr>
          <w:p w:rsidR="00B21B1E" w:rsidRPr="001D6512" w:rsidRDefault="00B21B1E" w:rsidP="00321935">
            <w:pPr>
              <w:pStyle w:val="TableCell"/>
              <w:spacing w:before="60" w:after="60"/>
            </w:pPr>
            <w:r w:rsidRPr="001D6512">
              <w:t>Fixed</w:t>
            </w:r>
          </w:p>
        </w:tc>
        <w:tc>
          <w:tcPr>
            <w:tcW w:w="1350" w:type="dxa"/>
          </w:tcPr>
          <w:p w:rsidR="00B21B1E" w:rsidRPr="001D6512" w:rsidRDefault="00B21B1E" w:rsidP="00321935">
            <w:pPr>
              <w:pStyle w:val="TableCell"/>
              <w:spacing w:before="60" w:after="60"/>
            </w:pPr>
            <w:r w:rsidRPr="001D6512">
              <w:t>25</w:t>
            </w:r>
          </w:p>
        </w:tc>
        <w:tc>
          <w:tcPr>
            <w:tcW w:w="1260" w:type="dxa"/>
          </w:tcPr>
          <w:p w:rsidR="00B21B1E" w:rsidRPr="001D6512" w:rsidRDefault="00B21B1E" w:rsidP="00321935">
            <w:pPr>
              <w:pStyle w:val="TableCell"/>
              <w:spacing w:before="60" w:after="60"/>
            </w:pPr>
            <w:r w:rsidRPr="001D6512">
              <w:t>5</w:t>
            </w:r>
          </w:p>
        </w:tc>
      </w:tr>
      <w:tr w:rsidR="00B21B1E" w:rsidRPr="000465E6" w:rsidTr="006E0899">
        <w:trPr>
          <w:jc w:val="center"/>
        </w:trPr>
        <w:tc>
          <w:tcPr>
            <w:tcW w:w="1259" w:type="dxa"/>
          </w:tcPr>
          <w:p w:rsidR="00B21B1E" w:rsidRPr="00865117" w:rsidRDefault="00B21B1E" w:rsidP="00321935">
            <w:pPr>
              <w:pStyle w:val="TableCell"/>
              <w:spacing w:before="60" w:after="60"/>
            </w:pPr>
            <w:r w:rsidRPr="00865117">
              <w:t>U</w:t>
            </w:r>
            <w:r w:rsidRPr="00865117">
              <w:rPr>
                <w:vertAlign w:val="subscript"/>
              </w:rPr>
              <w:t>H</w:t>
            </w:r>
          </w:p>
        </w:tc>
        <w:tc>
          <w:tcPr>
            <w:tcW w:w="4411" w:type="dxa"/>
          </w:tcPr>
          <w:p w:rsidR="00B21B1E" w:rsidRPr="001D6512" w:rsidRDefault="00B21B1E" w:rsidP="00321935">
            <w:pPr>
              <w:pStyle w:val="TableCell"/>
              <w:spacing w:before="60" w:after="60"/>
            </w:pPr>
            <w:r w:rsidRPr="001D6512">
              <w:rPr>
                <w:color w:val="000000"/>
              </w:rPr>
              <w:t>Unit Conversion: 8.33BTU/(Gallons-°F)</w:t>
            </w:r>
          </w:p>
        </w:tc>
        <w:tc>
          <w:tcPr>
            <w:tcW w:w="1080" w:type="dxa"/>
          </w:tcPr>
          <w:p w:rsidR="00B21B1E" w:rsidRPr="001D6512" w:rsidRDefault="00B21B1E" w:rsidP="00321935">
            <w:pPr>
              <w:pStyle w:val="TableCell"/>
              <w:spacing w:before="60" w:after="60"/>
            </w:pPr>
            <w:r w:rsidRPr="001D6512">
              <w:t>Fixed</w:t>
            </w:r>
          </w:p>
        </w:tc>
        <w:tc>
          <w:tcPr>
            <w:tcW w:w="1350" w:type="dxa"/>
          </w:tcPr>
          <w:p w:rsidR="00B21B1E" w:rsidRPr="001D6512" w:rsidRDefault="00B21B1E" w:rsidP="00321935">
            <w:pPr>
              <w:pStyle w:val="TableCell"/>
              <w:spacing w:before="60" w:after="60"/>
            </w:pPr>
            <w:r w:rsidRPr="001D6512">
              <w:t>8.33</w:t>
            </w:r>
          </w:p>
        </w:tc>
        <w:tc>
          <w:tcPr>
            <w:tcW w:w="1260" w:type="dxa"/>
          </w:tcPr>
          <w:p w:rsidR="00B21B1E" w:rsidRPr="001D6512" w:rsidRDefault="00B21B1E" w:rsidP="00321935">
            <w:pPr>
              <w:pStyle w:val="TableCell"/>
              <w:spacing w:before="60" w:after="60"/>
            </w:pPr>
            <w:r w:rsidRPr="001D6512">
              <w:t>Convention</w:t>
            </w:r>
          </w:p>
        </w:tc>
      </w:tr>
      <w:tr w:rsidR="00B21B1E" w:rsidRPr="000465E6" w:rsidTr="006E0899">
        <w:trPr>
          <w:jc w:val="center"/>
        </w:trPr>
        <w:tc>
          <w:tcPr>
            <w:tcW w:w="1259" w:type="dxa"/>
          </w:tcPr>
          <w:p w:rsidR="00B21B1E" w:rsidRPr="00865117" w:rsidRDefault="00B21B1E" w:rsidP="00321935">
            <w:pPr>
              <w:pStyle w:val="TableCell"/>
              <w:spacing w:before="60" w:after="60"/>
            </w:pPr>
            <w:r w:rsidRPr="00865117">
              <w:t>U</w:t>
            </w:r>
            <w:r w:rsidRPr="00865117">
              <w:rPr>
                <w:vertAlign w:val="subscript"/>
              </w:rPr>
              <w:t>E</w:t>
            </w:r>
          </w:p>
        </w:tc>
        <w:tc>
          <w:tcPr>
            <w:tcW w:w="4411" w:type="dxa"/>
          </w:tcPr>
          <w:p w:rsidR="00B21B1E" w:rsidRPr="001D6512" w:rsidRDefault="00B21B1E" w:rsidP="00321935">
            <w:pPr>
              <w:pStyle w:val="TableCell"/>
              <w:spacing w:before="60" w:after="60"/>
              <w:rPr>
                <w:color w:val="000000"/>
              </w:rPr>
            </w:pPr>
            <w:r w:rsidRPr="001D6512">
              <w:rPr>
                <w:color w:val="000000"/>
              </w:rPr>
              <w:t>Unit Conversion: 1 kWh/3413 BTU</w:t>
            </w:r>
          </w:p>
        </w:tc>
        <w:tc>
          <w:tcPr>
            <w:tcW w:w="1080" w:type="dxa"/>
          </w:tcPr>
          <w:p w:rsidR="00B21B1E" w:rsidRPr="001D6512" w:rsidRDefault="00B21B1E" w:rsidP="00321935">
            <w:pPr>
              <w:pStyle w:val="TableCell"/>
              <w:spacing w:before="60" w:after="60"/>
            </w:pPr>
            <w:r w:rsidRPr="001D6512">
              <w:t>Fixed</w:t>
            </w:r>
          </w:p>
        </w:tc>
        <w:tc>
          <w:tcPr>
            <w:tcW w:w="1350" w:type="dxa"/>
          </w:tcPr>
          <w:p w:rsidR="00B21B1E" w:rsidRPr="001D6512" w:rsidRDefault="00B21B1E" w:rsidP="00321935">
            <w:pPr>
              <w:pStyle w:val="TableCell"/>
              <w:spacing w:before="60" w:after="60"/>
            </w:pPr>
            <w:r w:rsidRPr="001D6512">
              <w:t>1/3413</w:t>
            </w:r>
          </w:p>
        </w:tc>
        <w:tc>
          <w:tcPr>
            <w:tcW w:w="1260" w:type="dxa"/>
          </w:tcPr>
          <w:p w:rsidR="00B21B1E" w:rsidRPr="001D6512" w:rsidRDefault="00B21B1E" w:rsidP="00321935">
            <w:pPr>
              <w:pStyle w:val="TableCell"/>
              <w:spacing w:before="60" w:after="60"/>
            </w:pPr>
            <w:r w:rsidRPr="001D6512">
              <w:t>Convention</w:t>
            </w:r>
          </w:p>
        </w:tc>
      </w:tr>
      <w:tr w:rsidR="00B21B1E" w:rsidRPr="000465E6" w:rsidTr="006E0899">
        <w:trPr>
          <w:jc w:val="center"/>
        </w:trPr>
        <w:tc>
          <w:tcPr>
            <w:tcW w:w="1259" w:type="dxa"/>
          </w:tcPr>
          <w:p w:rsidR="00B21B1E" w:rsidRPr="00865117" w:rsidRDefault="00B21B1E" w:rsidP="00321935">
            <w:pPr>
              <w:pStyle w:val="TableCell"/>
              <w:spacing w:before="60" w:after="60"/>
            </w:pPr>
            <w:r w:rsidRPr="00865117">
              <w:t>Eff</w:t>
            </w:r>
          </w:p>
        </w:tc>
        <w:tc>
          <w:tcPr>
            <w:tcW w:w="4411" w:type="dxa"/>
          </w:tcPr>
          <w:p w:rsidR="00B21B1E" w:rsidRPr="001D6512" w:rsidRDefault="00B21B1E" w:rsidP="00321935">
            <w:pPr>
              <w:pStyle w:val="TableCell"/>
              <w:spacing w:before="60" w:after="60"/>
              <w:rPr>
                <w:color w:val="000000"/>
              </w:rPr>
            </w:pPr>
            <w:r w:rsidRPr="001D6512">
              <w:rPr>
                <w:color w:val="000000"/>
              </w:rPr>
              <w:t>Efficiency of Electric Water Heater</w:t>
            </w:r>
          </w:p>
        </w:tc>
        <w:tc>
          <w:tcPr>
            <w:tcW w:w="1080" w:type="dxa"/>
          </w:tcPr>
          <w:p w:rsidR="00B21B1E" w:rsidRPr="001D6512" w:rsidRDefault="00B21B1E" w:rsidP="00321935">
            <w:pPr>
              <w:pStyle w:val="TableCell"/>
              <w:spacing w:before="60" w:after="60"/>
            </w:pPr>
            <w:r w:rsidRPr="001D6512">
              <w:t>Fixed</w:t>
            </w:r>
          </w:p>
        </w:tc>
        <w:tc>
          <w:tcPr>
            <w:tcW w:w="1350" w:type="dxa"/>
          </w:tcPr>
          <w:p w:rsidR="00B21B1E" w:rsidRPr="001D6512" w:rsidRDefault="00B21B1E" w:rsidP="00321935">
            <w:pPr>
              <w:pStyle w:val="TableCell"/>
              <w:spacing w:before="60" w:after="60"/>
            </w:pPr>
            <w:r w:rsidRPr="001D6512">
              <w:t>0.90</w:t>
            </w:r>
            <w:r w:rsidR="00A135DD" w:rsidRPr="001D6512">
              <w:t>4</w:t>
            </w:r>
          </w:p>
        </w:tc>
        <w:tc>
          <w:tcPr>
            <w:tcW w:w="1260" w:type="dxa"/>
          </w:tcPr>
          <w:p w:rsidR="00B21B1E" w:rsidRPr="001D6512" w:rsidRDefault="00B21B1E" w:rsidP="00321935">
            <w:pPr>
              <w:pStyle w:val="TableCell"/>
              <w:spacing w:before="60" w:after="60"/>
            </w:pPr>
            <w:r w:rsidRPr="001D6512">
              <w:t>2</w:t>
            </w:r>
          </w:p>
        </w:tc>
      </w:tr>
      <w:tr w:rsidR="00B21B1E" w:rsidRPr="000465E6" w:rsidTr="006E0899">
        <w:trPr>
          <w:jc w:val="center"/>
        </w:trPr>
        <w:tc>
          <w:tcPr>
            <w:tcW w:w="1259" w:type="dxa"/>
          </w:tcPr>
          <w:p w:rsidR="00B21B1E" w:rsidRPr="00865117" w:rsidRDefault="00B21B1E" w:rsidP="00321935">
            <w:pPr>
              <w:pStyle w:val="TableCell"/>
              <w:spacing w:before="60" w:after="60"/>
            </w:pPr>
            <w:r w:rsidRPr="00865117">
              <w:t>F</w:t>
            </w:r>
            <w:r w:rsidRPr="00865117">
              <w:rPr>
                <w:vertAlign w:val="subscript"/>
              </w:rPr>
              <w:t>ED</w:t>
            </w:r>
          </w:p>
        </w:tc>
        <w:tc>
          <w:tcPr>
            <w:tcW w:w="4411" w:type="dxa"/>
          </w:tcPr>
          <w:p w:rsidR="00B21B1E" w:rsidRPr="001D6512" w:rsidRDefault="00B21B1E" w:rsidP="00321935">
            <w:pPr>
              <w:pStyle w:val="TableCell"/>
              <w:spacing w:before="60" w:after="60"/>
              <w:rPr>
                <w:color w:val="000000"/>
              </w:rPr>
            </w:pPr>
            <w:r w:rsidRPr="001D6512">
              <w:rPr>
                <w:color w:val="000000"/>
              </w:rPr>
              <w:t>Energy To Demand Factor</w:t>
            </w:r>
          </w:p>
        </w:tc>
        <w:tc>
          <w:tcPr>
            <w:tcW w:w="1080" w:type="dxa"/>
          </w:tcPr>
          <w:p w:rsidR="00B21B1E" w:rsidRPr="001D6512" w:rsidRDefault="00B21B1E" w:rsidP="00321935">
            <w:pPr>
              <w:pStyle w:val="TableCell"/>
              <w:spacing w:before="60" w:after="60"/>
            </w:pPr>
            <w:r w:rsidRPr="001D6512">
              <w:t>Fixed</w:t>
            </w:r>
          </w:p>
        </w:tc>
        <w:tc>
          <w:tcPr>
            <w:tcW w:w="1350" w:type="dxa"/>
          </w:tcPr>
          <w:p w:rsidR="00B21B1E" w:rsidRPr="001D6512" w:rsidRDefault="00B21B1E" w:rsidP="00321935">
            <w:pPr>
              <w:pStyle w:val="TableCell"/>
              <w:spacing w:before="60" w:after="60"/>
            </w:pPr>
            <w:r w:rsidRPr="001D6512">
              <w:t>0.00009172</w:t>
            </w:r>
          </w:p>
        </w:tc>
        <w:tc>
          <w:tcPr>
            <w:tcW w:w="1260" w:type="dxa"/>
          </w:tcPr>
          <w:p w:rsidR="00B21B1E" w:rsidRPr="001D6512" w:rsidRDefault="00B21B1E" w:rsidP="00321935">
            <w:pPr>
              <w:pStyle w:val="TableCell"/>
              <w:spacing w:before="60" w:after="60"/>
            </w:pPr>
            <w:r w:rsidRPr="001D6512">
              <w:t>1</w:t>
            </w:r>
          </w:p>
        </w:tc>
      </w:tr>
      <w:tr w:rsidR="00B21B1E" w:rsidRPr="000465E6" w:rsidTr="006E0899">
        <w:trPr>
          <w:jc w:val="center"/>
        </w:trPr>
        <w:tc>
          <w:tcPr>
            <w:tcW w:w="1259" w:type="dxa"/>
          </w:tcPr>
          <w:p w:rsidR="00B21B1E" w:rsidRPr="00865117" w:rsidRDefault="00B21B1E" w:rsidP="00321935">
            <w:pPr>
              <w:pStyle w:val="TableCell"/>
              <w:spacing w:before="60" w:after="60"/>
            </w:pPr>
            <w:r w:rsidRPr="00865117">
              <w:t>F/home</w:t>
            </w:r>
          </w:p>
        </w:tc>
        <w:tc>
          <w:tcPr>
            <w:tcW w:w="4411" w:type="dxa"/>
          </w:tcPr>
          <w:p w:rsidR="00B21B1E" w:rsidRPr="001D6512" w:rsidRDefault="00B21B1E" w:rsidP="00321935">
            <w:pPr>
              <w:pStyle w:val="TableCell"/>
              <w:spacing w:before="60" w:after="60"/>
              <w:rPr>
                <w:color w:val="000000"/>
              </w:rPr>
            </w:pPr>
            <w:r w:rsidRPr="001D6512">
              <w:rPr>
                <w:color w:val="000000"/>
              </w:rPr>
              <w:t>Average number of faucets in the home</w:t>
            </w:r>
          </w:p>
        </w:tc>
        <w:tc>
          <w:tcPr>
            <w:tcW w:w="1080" w:type="dxa"/>
          </w:tcPr>
          <w:p w:rsidR="00B21B1E" w:rsidRPr="001D6512" w:rsidRDefault="00B21B1E" w:rsidP="00321935">
            <w:pPr>
              <w:pStyle w:val="TableCell"/>
              <w:spacing w:before="60" w:after="60"/>
            </w:pPr>
            <w:r w:rsidRPr="001D6512">
              <w:t>Fixed</w:t>
            </w:r>
          </w:p>
        </w:tc>
        <w:tc>
          <w:tcPr>
            <w:tcW w:w="1350" w:type="dxa"/>
          </w:tcPr>
          <w:p w:rsidR="00B21B1E" w:rsidRPr="001D6512" w:rsidRDefault="00B21B1E" w:rsidP="00321935">
            <w:pPr>
              <w:pStyle w:val="TableCell"/>
              <w:spacing w:before="60" w:after="60"/>
            </w:pPr>
            <w:r w:rsidRPr="001D6512">
              <w:t>3.5</w:t>
            </w:r>
          </w:p>
        </w:tc>
        <w:tc>
          <w:tcPr>
            <w:tcW w:w="1260" w:type="dxa"/>
          </w:tcPr>
          <w:p w:rsidR="00B21B1E" w:rsidRPr="001D6512" w:rsidRDefault="00B21B1E" w:rsidP="00321935">
            <w:pPr>
              <w:pStyle w:val="TableCell"/>
              <w:spacing w:before="60" w:after="60"/>
            </w:pPr>
            <w:r w:rsidRPr="001D6512">
              <w:t>6</w:t>
            </w:r>
          </w:p>
        </w:tc>
      </w:tr>
      <w:tr w:rsidR="00B21B1E" w:rsidRPr="000465E6" w:rsidTr="006E0899">
        <w:trPr>
          <w:jc w:val="center"/>
        </w:trPr>
        <w:tc>
          <w:tcPr>
            <w:tcW w:w="1259" w:type="dxa"/>
          </w:tcPr>
          <w:p w:rsidR="00B21B1E" w:rsidRPr="00865117" w:rsidRDefault="00B21B1E" w:rsidP="00321935">
            <w:pPr>
              <w:pStyle w:val="TableCell"/>
              <w:spacing w:before="60" w:after="60"/>
            </w:pPr>
            <w:r w:rsidRPr="00865117">
              <w:rPr>
                <w:color w:val="000000"/>
              </w:rPr>
              <w:t xml:space="preserve"> ISR </w:t>
            </w:r>
          </w:p>
        </w:tc>
        <w:tc>
          <w:tcPr>
            <w:tcW w:w="4411" w:type="dxa"/>
          </w:tcPr>
          <w:p w:rsidR="00B21B1E" w:rsidRPr="001D6512" w:rsidRDefault="00B21B1E" w:rsidP="00321935">
            <w:pPr>
              <w:pStyle w:val="TableCell"/>
              <w:spacing w:before="60" w:after="60"/>
              <w:rPr>
                <w:color w:val="000000"/>
              </w:rPr>
            </w:pPr>
            <w:r w:rsidRPr="001D6512">
              <w:rPr>
                <w:color w:val="000000"/>
              </w:rPr>
              <w:t>In Service Rate</w:t>
            </w:r>
          </w:p>
        </w:tc>
        <w:tc>
          <w:tcPr>
            <w:tcW w:w="1080" w:type="dxa"/>
          </w:tcPr>
          <w:p w:rsidR="00B21B1E" w:rsidRPr="001D6512" w:rsidRDefault="00B21B1E" w:rsidP="00321935">
            <w:pPr>
              <w:pStyle w:val="TableCell"/>
              <w:spacing w:before="60" w:after="60"/>
            </w:pPr>
            <w:r w:rsidRPr="001D6512">
              <w:t>Variable</w:t>
            </w:r>
          </w:p>
        </w:tc>
        <w:tc>
          <w:tcPr>
            <w:tcW w:w="1350" w:type="dxa"/>
          </w:tcPr>
          <w:p w:rsidR="00B21B1E" w:rsidRPr="001D6512" w:rsidRDefault="00B21B1E" w:rsidP="00321935">
            <w:pPr>
              <w:pStyle w:val="TableCell"/>
              <w:spacing w:before="60" w:after="60"/>
            </w:pPr>
            <w:r w:rsidRPr="001D6512">
              <w:rPr>
                <w:color w:val="000000"/>
              </w:rPr>
              <w:t>Variable</w:t>
            </w:r>
          </w:p>
        </w:tc>
        <w:tc>
          <w:tcPr>
            <w:tcW w:w="1260" w:type="dxa"/>
          </w:tcPr>
          <w:p w:rsidR="00B21B1E" w:rsidRPr="001D6512" w:rsidRDefault="00B21B1E" w:rsidP="00321935">
            <w:pPr>
              <w:pStyle w:val="TableCell"/>
              <w:spacing w:before="60" w:after="60"/>
            </w:pPr>
            <w:r w:rsidRPr="001D6512">
              <w:rPr>
                <w:color w:val="000000"/>
              </w:rPr>
              <w:t>EDC Data Gathering</w:t>
            </w:r>
          </w:p>
        </w:tc>
      </w:tr>
    </w:tbl>
    <w:p w:rsidR="00BE0D4B" w:rsidRDefault="00BE0D4B" w:rsidP="00B21B1E">
      <w:pPr>
        <w:pStyle w:val="BodyText"/>
        <w:rPr>
          <w:rFonts w:eastAsia="Calibri"/>
          <w:i/>
        </w:rPr>
      </w:pPr>
    </w:p>
    <w:p w:rsidR="00B21B1E" w:rsidRPr="00BC5194" w:rsidRDefault="00B21B1E" w:rsidP="00100EDF">
      <w:pPr>
        <w:rPr>
          <w:rFonts w:eastAsia="Calibri"/>
          <w:b/>
        </w:rPr>
      </w:pPr>
      <w:r w:rsidRPr="00BC5194">
        <w:rPr>
          <w:rFonts w:eastAsia="Calibri"/>
          <w:b/>
        </w:rPr>
        <w:t>Source</w:t>
      </w:r>
      <w:r w:rsidR="00BE0D4B" w:rsidRPr="00BC5194">
        <w:rPr>
          <w:rFonts w:eastAsia="Calibri"/>
          <w:b/>
        </w:rPr>
        <w:t>s</w:t>
      </w:r>
      <w:r w:rsidRPr="00BC5194">
        <w:rPr>
          <w:rFonts w:eastAsia="Calibri"/>
          <w:b/>
        </w:rPr>
        <w:t>:</w:t>
      </w:r>
    </w:p>
    <w:p w:rsidR="00B21B1E" w:rsidRPr="00896814" w:rsidRDefault="00B21B1E" w:rsidP="0005632A">
      <w:pPr>
        <w:pStyle w:val="source1"/>
        <w:numPr>
          <w:ilvl w:val="0"/>
          <w:numId w:val="77"/>
        </w:numPr>
      </w:pPr>
      <w:r w:rsidRPr="00896814">
        <w:t>Deemed Savings Estimates for Legacy Air Conditioning and Water Heating Direct Load Control Programs in PJM Region. The report can be accessed online: http://www.pjm.com/~/media/committees-groups/working-groups/lrwg/20070301/20070301-pjm-deemed-savings-report.ashx</w:t>
      </w:r>
      <w:r w:rsidR="00F11594" w:rsidRPr="00896814">
        <w:t xml:space="preserve">. </w:t>
      </w:r>
      <w:r w:rsidRPr="00896814">
        <w:t>The summer load shapes are taken from tables 14,</w:t>
      </w:r>
      <w:r w:rsidR="00F11594" w:rsidRPr="00896814">
        <w:t xml:space="preserve"> </w:t>
      </w:r>
      <w:r w:rsidRPr="00896814">
        <w:t xml:space="preserve">15, and 16 in pages 5-31 and 5-32, and table 18 in page 5-34 is used to derive an adjustment factor that scales average summer usage to summer weekday usage.  The factor is constructed as follows: 1) Obtain the average kW, as monitored for 82 water heaters in PJM territory , for each hour of the typical day summer, winter, and spring/fall days.  Weight the results (91 summer days, 91 winter days, </w:t>
      </w:r>
      <w:r w:rsidR="00F11594" w:rsidRPr="00896814">
        <w:t>and 183</w:t>
      </w:r>
      <w:r w:rsidRPr="00896814">
        <w:t xml:space="preserve"> spring/fall days) to obtain annual energy usage.  2) Obtain the average kW during noon to 8 PM on summer days from the same data.  3) The average noon to 8 PM demand is converted to average weekday noon to 8 PM demand through comparison of weekday and weekend monitored loads from the same PJM study.  4) The ratio of the average weekday noon to 8 PM energy demand to the annual energy usage obtained in step 1.  The resulting number, 0.00009172, is the EnergyToDemandFactor.</w:t>
      </w:r>
    </w:p>
    <w:p w:rsidR="00B21B1E" w:rsidRPr="00896814" w:rsidRDefault="00B21B1E" w:rsidP="00896814">
      <w:pPr>
        <w:pStyle w:val="source1"/>
      </w:pPr>
      <w:r w:rsidRPr="00896814">
        <w:t>Public Service Commission of Wis</w:t>
      </w:r>
      <w:r w:rsidR="00716DAB" w:rsidRPr="00896814">
        <w:t>c</w:t>
      </w:r>
      <w:r w:rsidRPr="00896814">
        <w:t>onsin Focus on Energy Evaluation Default Deemed Savings Review, June 2008.  http://www.focusonenergy.com/files/Document_Management_System/Evaluation/acesdeemedsavingsreview_evaluationreport.pdf</w:t>
      </w:r>
    </w:p>
    <w:p w:rsidR="00B21B1E" w:rsidRPr="00896814" w:rsidRDefault="00B21B1E" w:rsidP="00896814">
      <w:pPr>
        <w:pStyle w:val="source1"/>
      </w:pPr>
      <w:r w:rsidRPr="00896814">
        <w:t>EPA, Water-Efficient Single-Family New Home Specification, May 14, 2008.</w:t>
      </w:r>
    </w:p>
    <w:p w:rsidR="00B21B1E" w:rsidRPr="00896814" w:rsidRDefault="00B21B1E" w:rsidP="00896814">
      <w:pPr>
        <w:pStyle w:val="source1"/>
      </w:pPr>
      <w:r w:rsidRPr="00896814">
        <w:lastRenderedPageBreak/>
        <w:t>Pennsylvania Census of Population 2000: http://censtats.census.gov/data/PA/04042.pdf</w:t>
      </w:r>
    </w:p>
    <w:p w:rsidR="00B21B1E" w:rsidRPr="00896814" w:rsidRDefault="00B21B1E" w:rsidP="00896814">
      <w:pPr>
        <w:pStyle w:val="source1"/>
      </w:pPr>
      <w:r w:rsidRPr="00896814">
        <w:t>Vermont TRM No. 2008-53, pp. 273-274, 337, 367-368, 429-431.</w:t>
      </w:r>
    </w:p>
    <w:p w:rsidR="00B21B1E" w:rsidRPr="00896814" w:rsidRDefault="00B21B1E" w:rsidP="00896814">
      <w:pPr>
        <w:pStyle w:val="source1"/>
      </w:pPr>
      <w:r w:rsidRPr="00896814">
        <w:t>East Bay Municipal Utility District; "Water Conservation Market Penetration Study" http://www.ebmud.com/sites/default/files/pdfs/market_penetration_study_0.pdf</w:t>
      </w:r>
    </w:p>
    <w:p w:rsidR="00B21B1E" w:rsidRPr="00FD3DDF" w:rsidRDefault="00B21B1E" w:rsidP="00871FA2">
      <w:pPr>
        <w:pStyle w:val="Heading3"/>
      </w:pPr>
      <w:r w:rsidRPr="00FD3DDF">
        <w:t>Deemed Savings</w:t>
      </w:r>
    </w:p>
    <w:p w:rsidR="00B21B1E" w:rsidRPr="00496984" w:rsidRDefault="00B21B1E" w:rsidP="00C3606E">
      <w:pPr>
        <w:pStyle w:val="BodyText"/>
      </w:pPr>
      <w:r w:rsidRPr="00FD3DDF">
        <w:t xml:space="preserve">The deemed energy savings for the installation of a low flow </w:t>
      </w:r>
      <w:r>
        <w:t>aerator compared to a standard aerator</w:t>
      </w:r>
      <w:r w:rsidRPr="00FD3DDF">
        <w:t xml:space="preserve"> is </w:t>
      </w:r>
      <w:r w:rsidRPr="00496984">
        <w:rPr>
          <w:b/>
        </w:rPr>
        <w:t xml:space="preserve">ISR </w:t>
      </w:r>
      <w:r w:rsidRPr="00496984">
        <w:rPr>
          <w:rFonts w:ascii="OpenSymbol" w:hAnsi="OpenSymbol"/>
          <w:b/>
        </w:rPr>
        <w:t>×</w:t>
      </w:r>
      <w:r>
        <w:t xml:space="preserve"> </w:t>
      </w:r>
      <w:r w:rsidR="00774069">
        <w:rPr>
          <w:b/>
        </w:rPr>
        <w:t>60</w:t>
      </w:r>
      <w:r w:rsidR="00774069" w:rsidRPr="00FD3DDF">
        <w:rPr>
          <w:b/>
        </w:rPr>
        <w:t xml:space="preserve"> </w:t>
      </w:r>
      <w:r w:rsidRPr="00FD3DDF">
        <w:rPr>
          <w:b/>
        </w:rPr>
        <w:t>kWh/year</w:t>
      </w:r>
      <w:r w:rsidRPr="00BF555C">
        <w:t xml:space="preserve"> </w:t>
      </w:r>
      <w:r>
        <w:t xml:space="preserve">with a demand reduction of  </w:t>
      </w:r>
      <w:r w:rsidRPr="00496984">
        <w:rPr>
          <w:b/>
        </w:rPr>
        <w:t xml:space="preserve">ISR </w:t>
      </w:r>
      <w:r w:rsidRPr="00496984">
        <w:rPr>
          <w:rFonts w:ascii="OpenSymbol" w:hAnsi="OpenSymbol"/>
          <w:b/>
        </w:rPr>
        <w:t>×</w:t>
      </w:r>
      <w:r>
        <w:t xml:space="preserve"> </w:t>
      </w:r>
      <w:r w:rsidRPr="00F25965">
        <w:rPr>
          <w:b/>
        </w:rPr>
        <w:t>0.0</w:t>
      </w:r>
      <w:r w:rsidR="00774069">
        <w:rPr>
          <w:b/>
        </w:rPr>
        <w:t>0</w:t>
      </w:r>
      <w:r>
        <w:rPr>
          <w:b/>
        </w:rPr>
        <w:t xml:space="preserve">56 </w:t>
      </w:r>
      <w:r w:rsidRPr="00F25965">
        <w:rPr>
          <w:b/>
        </w:rPr>
        <w:t>kW</w:t>
      </w:r>
      <w:r>
        <w:rPr>
          <w:b/>
        </w:rPr>
        <w:t xml:space="preserve">, </w:t>
      </w:r>
      <w:r w:rsidRPr="00496984">
        <w:t>with ISR determined through data collection.</w:t>
      </w:r>
    </w:p>
    <w:p w:rsidR="00B21B1E" w:rsidRPr="00FD3DDF" w:rsidRDefault="00B21B1E" w:rsidP="00871FA2">
      <w:pPr>
        <w:pStyle w:val="Heading3"/>
      </w:pPr>
      <w:r w:rsidRPr="00FD3DDF">
        <w:t>Measure Life</w:t>
      </w:r>
    </w:p>
    <w:p w:rsidR="00B21B1E" w:rsidRPr="00FD3DDF" w:rsidRDefault="00B21B1E" w:rsidP="00C3606E">
      <w:pPr>
        <w:pStyle w:val="BodyText"/>
      </w:pPr>
      <w:r>
        <w:t xml:space="preserve">The measure life is 12 years, according to </w:t>
      </w:r>
      <w:smartTag w:uri="urn:schemas-microsoft-com:office:smarttags" w:element="State">
        <w:smartTag w:uri="urn:schemas-microsoft-com:office:smarttags" w:element="place">
          <w:r>
            <w:t>California</w:t>
          </w:r>
        </w:smartTag>
      </w:smartTag>
      <w:r>
        <w:t>’s Database of Energy Efficiency Resources (DEER).</w:t>
      </w:r>
    </w:p>
    <w:p w:rsidR="00B21B1E" w:rsidRPr="00FD3DDF" w:rsidRDefault="00B21B1E" w:rsidP="00871FA2">
      <w:pPr>
        <w:pStyle w:val="Heading3"/>
      </w:pPr>
      <w:r w:rsidRPr="00FD3DDF">
        <w:t>Evaluation Protocols</w:t>
      </w:r>
    </w:p>
    <w:p w:rsidR="00B21B1E" w:rsidRPr="00FD3DDF" w:rsidRDefault="00B21B1E" w:rsidP="00C3606E">
      <w:pPr>
        <w:pStyle w:val="BodyText"/>
      </w:pPr>
      <w:r w:rsidRPr="00FD3DDF">
        <w:t>The most appropriate evaluation protocol for this measure is verification of installation coupled with assignment of stipulated energy savings.</w:t>
      </w:r>
      <w:r>
        <w:t xml:space="preserve">  </w:t>
      </w:r>
    </w:p>
    <w:p w:rsidR="00B21B1E" w:rsidRDefault="00B21B1E" w:rsidP="00EB6106">
      <w:pPr>
        <w:pStyle w:val="BodyText"/>
      </w:pPr>
    </w:p>
    <w:p w:rsidR="00B21B1E" w:rsidRPr="002E1D8D" w:rsidRDefault="00B21B1E" w:rsidP="00E568D4">
      <w:pPr>
        <w:pStyle w:val="Heading2"/>
      </w:pPr>
      <w:r>
        <w:br w:type="page"/>
      </w:r>
      <w:bookmarkStart w:id="210" w:name="_Toc310875409"/>
      <w:r w:rsidRPr="002E1D8D">
        <w:lastRenderedPageBreak/>
        <w:t>Low Flow Showerheads</w:t>
      </w:r>
      <w:bookmarkEnd w:id="210"/>
    </w:p>
    <w:tbl>
      <w:tblPr>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168"/>
        <w:gridCol w:w="5688"/>
      </w:tblGrid>
      <w:tr w:rsidR="00B21B1E" w:rsidRPr="00B21B1E" w:rsidTr="00F84A22">
        <w:tc>
          <w:tcPr>
            <w:tcW w:w="3168" w:type="dxa"/>
            <w:tcBorders>
              <w:top w:val="single" w:sz="8" w:space="0" w:color="404040"/>
              <w:left w:val="single" w:sz="8" w:space="0" w:color="404040"/>
              <w:bottom w:val="single" w:sz="8" w:space="0" w:color="404040"/>
              <w:right w:val="single" w:sz="8" w:space="0" w:color="404040"/>
            </w:tcBorders>
            <w:shd w:val="clear" w:color="auto" w:fill="BFBFBF"/>
          </w:tcPr>
          <w:p w:rsidR="00B21B1E" w:rsidRPr="001D6512" w:rsidRDefault="00B21B1E" w:rsidP="00F84A22">
            <w:pPr>
              <w:pStyle w:val="TableCell"/>
              <w:spacing w:before="60" w:after="60"/>
              <w:rPr>
                <w:b/>
                <w:bCs/>
              </w:rPr>
            </w:pPr>
            <w:r w:rsidRPr="001D6512">
              <w:rPr>
                <w:b/>
                <w:bCs/>
              </w:rPr>
              <w:t>Measure Name</w:t>
            </w:r>
          </w:p>
        </w:tc>
        <w:tc>
          <w:tcPr>
            <w:tcW w:w="5688" w:type="dxa"/>
            <w:tcBorders>
              <w:top w:val="single" w:sz="8" w:space="0" w:color="404040"/>
              <w:left w:val="single" w:sz="8" w:space="0" w:color="404040"/>
              <w:bottom w:val="single" w:sz="8" w:space="0" w:color="404040"/>
              <w:right w:val="single" w:sz="8" w:space="0" w:color="404040"/>
            </w:tcBorders>
            <w:shd w:val="clear" w:color="auto" w:fill="BFBFBF"/>
          </w:tcPr>
          <w:p w:rsidR="00B21B1E" w:rsidRPr="001D6512" w:rsidRDefault="00B21B1E" w:rsidP="00F84A22">
            <w:pPr>
              <w:pStyle w:val="TableCell"/>
              <w:spacing w:before="60" w:after="60"/>
              <w:rPr>
                <w:b/>
                <w:bCs/>
              </w:rPr>
            </w:pPr>
            <w:r w:rsidRPr="001D6512">
              <w:rPr>
                <w:b/>
                <w:bCs/>
              </w:rPr>
              <w:t>Low Flow Showerheads</w:t>
            </w:r>
          </w:p>
        </w:tc>
      </w:tr>
      <w:tr w:rsidR="00B21B1E" w:rsidRPr="00B21B1E" w:rsidTr="00F84A22">
        <w:tc>
          <w:tcPr>
            <w:tcW w:w="3168" w:type="dxa"/>
            <w:tcBorders>
              <w:top w:val="single" w:sz="8" w:space="0" w:color="404040"/>
              <w:left w:val="single" w:sz="8" w:space="0" w:color="404040"/>
              <w:bottom w:val="single" w:sz="8" w:space="0" w:color="404040"/>
              <w:right w:val="single" w:sz="8" w:space="0" w:color="404040"/>
            </w:tcBorders>
            <w:shd w:val="clear" w:color="auto" w:fill="FFFFFF"/>
          </w:tcPr>
          <w:p w:rsidR="00B21B1E" w:rsidRPr="00865117" w:rsidRDefault="00B21B1E" w:rsidP="00F84A22">
            <w:pPr>
              <w:pStyle w:val="TableCell"/>
              <w:spacing w:before="60" w:after="60"/>
              <w:rPr>
                <w:b/>
                <w:bCs/>
                <w:color w:val="000000"/>
              </w:rPr>
            </w:pPr>
            <w:r w:rsidRPr="00865117">
              <w:rPr>
                <w:b/>
                <w:bCs/>
                <w:color w:val="000000"/>
              </w:rPr>
              <w:t>Target Sector</w:t>
            </w:r>
          </w:p>
        </w:tc>
        <w:tc>
          <w:tcPr>
            <w:tcW w:w="5688" w:type="dxa"/>
            <w:tcBorders>
              <w:top w:val="single" w:sz="8" w:space="0" w:color="404040"/>
              <w:left w:val="single" w:sz="8" w:space="0" w:color="404040"/>
              <w:bottom w:val="single" w:sz="8" w:space="0" w:color="404040"/>
              <w:right w:val="single" w:sz="8" w:space="0" w:color="404040"/>
            </w:tcBorders>
            <w:shd w:val="clear" w:color="auto" w:fill="FFFFFF"/>
          </w:tcPr>
          <w:p w:rsidR="00B21B1E" w:rsidRPr="001D6512" w:rsidRDefault="00B21B1E" w:rsidP="00F84A22">
            <w:pPr>
              <w:pStyle w:val="TableCell"/>
              <w:spacing w:before="60" w:after="60"/>
              <w:rPr>
                <w:color w:val="000000"/>
              </w:rPr>
            </w:pPr>
            <w:r w:rsidRPr="001D6512">
              <w:rPr>
                <w:color w:val="000000"/>
              </w:rPr>
              <w:t>Residential Establishments</w:t>
            </w:r>
          </w:p>
        </w:tc>
      </w:tr>
      <w:tr w:rsidR="00B21B1E" w:rsidRPr="00B21B1E" w:rsidTr="00F84A22">
        <w:tc>
          <w:tcPr>
            <w:tcW w:w="3168" w:type="dxa"/>
            <w:tcBorders>
              <w:top w:val="single" w:sz="8" w:space="0" w:color="404040"/>
              <w:left w:val="single" w:sz="8" w:space="0" w:color="404040"/>
              <w:bottom w:val="single" w:sz="8" w:space="0" w:color="404040"/>
              <w:right w:val="single" w:sz="8" w:space="0" w:color="404040"/>
            </w:tcBorders>
            <w:shd w:val="clear" w:color="auto" w:fill="auto"/>
          </w:tcPr>
          <w:p w:rsidR="00B21B1E" w:rsidRPr="00865117" w:rsidRDefault="00B21B1E" w:rsidP="00F84A22">
            <w:pPr>
              <w:pStyle w:val="TableCell"/>
              <w:spacing w:before="60" w:after="60"/>
              <w:rPr>
                <w:b/>
                <w:bCs/>
                <w:color w:val="000000"/>
              </w:rPr>
            </w:pPr>
            <w:r w:rsidRPr="00865117">
              <w:rPr>
                <w:b/>
                <w:bCs/>
                <w:color w:val="000000"/>
              </w:rPr>
              <w:t>Measure Unit</w:t>
            </w:r>
          </w:p>
        </w:tc>
        <w:tc>
          <w:tcPr>
            <w:tcW w:w="5688" w:type="dxa"/>
            <w:tcBorders>
              <w:top w:val="single" w:sz="8" w:space="0" w:color="404040"/>
              <w:left w:val="single" w:sz="8" w:space="0" w:color="404040"/>
              <w:bottom w:val="single" w:sz="8" w:space="0" w:color="404040"/>
              <w:right w:val="single" w:sz="8" w:space="0" w:color="404040"/>
            </w:tcBorders>
            <w:shd w:val="clear" w:color="auto" w:fill="auto"/>
          </w:tcPr>
          <w:p w:rsidR="00B21B1E" w:rsidRPr="001D6512" w:rsidRDefault="00B21B1E" w:rsidP="00F84A22">
            <w:pPr>
              <w:pStyle w:val="TableCell"/>
              <w:spacing w:before="60" w:after="60"/>
              <w:rPr>
                <w:color w:val="000000"/>
              </w:rPr>
            </w:pPr>
            <w:r w:rsidRPr="001D6512">
              <w:rPr>
                <w:color w:val="000000"/>
              </w:rPr>
              <w:t>Water Heater</w:t>
            </w:r>
          </w:p>
        </w:tc>
      </w:tr>
      <w:tr w:rsidR="00B21B1E" w:rsidRPr="00B21B1E" w:rsidTr="00F84A22">
        <w:tc>
          <w:tcPr>
            <w:tcW w:w="3168" w:type="dxa"/>
            <w:tcBorders>
              <w:top w:val="single" w:sz="8" w:space="0" w:color="404040"/>
              <w:left w:val="single" w:sz="8" w:space="0" w:color="404040"/>
              <w:bottom w:val="single" w:sz="8" w:space="0" w:color="404040"/>
              <w:right w:val="single" w:sz="8" w:space="0" w:color="404040"/>
            </w:tcBorders>
            <w:shd w:val="clear" w:color="auto" w:fill="FFFFFF"/>
          </w:tcPr>
          <w:p w:rsidR="00B21B1E" w:rsidRPr="00865117" w:rsidRDefault="00B21B1E" w:rsidP="00F84A22">
            <w:pPr>
              <w:pStyle w:val="TableCell"/>
              <w:spacing w:before="60" w:after="60"/>
              <w:rPr>
                <w:b/>
                <w:bCs/>
                <w:color w:val="000000"/>
              </w:rPr>
            </w:pPr>
            <w:r w:rsidRPr="00865117">
              <w:rPr>
                <w:b/>
                <w:bCs/>
                <w:color w:val="000000"/>
              </w:rPr>
              <w:t>Unit Energy Savings</w:t>
            </w:r>
          </w:p>
        </w:tc>
        <w:tc>
          <w:tcPr>
            <w:tcW w:w="5688" w:type="dxa"/>
            <w:tcBorders>
              <w:top w:val="single" w:sz="8" w:space="0" w:color="404040"/>
              <w:left w:val="single" w:sz="8" w:space="0" w:color="404040"/>
              <w:bottom w:val="single" w:sz="8" w:space="0" w:color="404040"/>
              <w:right w:val="single" w:sz="8" w:space="0" w:color="404040"/>
            </w:tcBorders>
            <w:shd w:val="clear" w:color="auto" w:fill="FFFFFF"/>
          </w:tcPr>
          <w:p w:rsidR="00B21B1E" w:rsidRPr="001D6512" w:rsidRDefault="00AA3D6E" w:rsidP="00F84A22">
            <w:pPr>
              <w:pStyle w:val="TableCell"/>
              <w:spacing w:before="60" w:after="60"/>
              <w:rPr>
                <w:color w:val="000000"/>
              </w:rPr>
            </w:pPr>
            <w:r w:rsidRPr="001D6512">
              <w:rPr>
                <w:color w:val="000000"/>
              </w:rPr>
              <w:t>Partially Deemed</w:t>
            </w:r>
          </w:p>
          <w:p w:rsidR="00AA3D6E" w:rsidRPr="001D6512" w:rsidRDefault="00AA3D6E" w:rsidP="00F84A22">
            <w:pPr>
              <w:pStyle w:val="TableCell"/>
              <w:spacing w:before="60" w:after="60"/>
              <w:rPr>
                <w:color w:val="000000"/>
              </w:rPr>
            </w:pPr>
            <w:r w:rsidRPr="001D6512">
              <w:rPr>
                <w:color w:val="000000"/>
              </w:rPr>
              <w:t>461 kWh for 1.5 GPM showerhead</w:t>
            </w:r>
          </w:p>
        </w:tc>
      </w:tr>
      <w:tr w:rsidR="00B21B1E" w:rsidRPr="00B21B1E" w:rsidTr="00F84A22">
        <w:tc>
          <w:tcPr>
            <w:tcW w:w="3168" w:type="dxa"/>
            <w:tcBorders>
              <w:top w:val="single" w:sz="8" w:space="0" w:color="404040"/>
              <w:left w:val="single" w:sz="8" w:space="0" w:color="404040"/>
              <w:bottom w:val="single" w:sz="8" w:space="0" w:color="404040"/>
              <w:right w:val="single" w:sz="8" w:space="0" w:color="404040"/>
            </w:tcBorders>
            <w:shd w:val="clear" w:color="auto" w:fill="auto"/>
          </w:tcPr>
          <w:p w:rsidR="00B21B1E" w:rsidRPr="00865117" w:rsidRDefault="00B21B1E" w:rsidP="00F84A22">
            <w:pPr>
              <w:pStyle w:val="TableCell"/>
              <w:spacing w:before="60" w:after="60"/>
              <w:rPr>
                <w:b/>
                <w:bCs/>
                <w:color w:val="000000"/>
              </w:rPr>
            </w:pPr>
            <w:r w:rsidRPr="00865117">
              <w:rPr>
                <w:b/>
                <w:bCs/>
                <w:color w:val="000000"/>
              </w:rPr>
              <w:t>Unit Peak Demand Reduction</w:t>
            </w:r>
          </w:p>
        </w:tc>
        <w:tc>
          <w:tcPr>
            <w:tcW w:w="5688" w:type="dxa"/>
            <w:tcBorders>
              <w:top w:val="single" w:sz="8" w:space="0" w:color="404040"/>
              <w:left w:val="single" w:sz="8" w:space="0" w:color="404040"/>
              <w:bottom w:val="single" w:sz="8" w:space="0" w:color="404040"/>
              <w:right w:val="single" w:sz="8" w:space="0" w:color="404040"/>
            </w:tcBorders>
            <w:shd w:val="clear" w:color="auto" w:fill="auto"/>
          </w:tcPr>
          <w:p w:rsidR="00B21B1E" w:rsidRPr="00F84A22" w:rsidRDefault="00AA3D6E" w:rsidP="00F84A22">
            <w:pPr>
              <w:spacing w:before="60" w:after="60"/>
              <w:rPr>
                <w:color w:val="000000"/>
                <w:sz w:val="18"/>
              </w:rPr>
            </w:pPr>
            <w:r w:rsidRPr="00F84A22">
              <w:rPr>
                <w:color w:val="000000"/>
                <w:sz w:val="18"/>
              </w:rPr>
              <w:t>Partially Deemed</w:t>
            </w:r>
          </w:p>
          <w:p w:rsidR="00AA3D6E" w:rsidRPr="00F84A22" w:rsidRDefault="00AA3D6E" w:rsidP="00F84A22">
            <w:pPr>
              <w:spacing w:before="60" w:after="60"/>
              <w:rPr>
                <w:color w:val="000000"/>
                <w:sz w:val="18"/>
              </w:rPr>
            </w:pPr>
            <w:r w:rsidRPr="00F84A22">
              <w:rPr>
                <w:color w:val="000000"/>
                <w:sz w:val="18"/>
              </w:rPr>
              <w:t>0.042 kW for 1.5 GPM showerhead</w:t>
            </w:r>
          </w:p>
        </w:tc>
      </w:tr>
      <w:tr w:rsidR="00B21B1E" w:rsidRPr="00B21B1E" w:rsidTr="00F84A22">
        <w:tc>
          <w:tcPr>
            <w:tcW w:w="3168" w:type="dxa"/>
            <w:tcBorders>
              <w:top w:val="single" w:sz="8" w:space="0" w:color="404040"/>
              <w:left w:val="single" w:sz="8" w:space="0" w:color="404040"/>
              <w:bottom w:val="single" w:sz="8" w:space="0" w:color="404040"/>
              <w:right w:val="single" w:sz="8" w:space="0" w:color="404040"/>
            </w:tcBorders>
            <w:shd w:val="clear" w:color="auto" w:fill="FFFFFF"/>
          </w:tcPr>
          <w:p w:rsidR="00B21B1E" w:rsidRPr="00865117" w:rsidRDefault="00B21B1E" w:rsidP="00F84A22">
            <w:pPr>
              <w:pStyle w:val="TableCell"/>
              <w:spacing w:before="60" w:after="60"/>
              <w:rPr>
                <w:b/>
                <w:bCs/>
                <w:color w:val="000000"/>
              </w:rPr>
            </w:pPr>
            <w:r w:rsidRPr="00865117">
              <w:rPr>
                <w:b/>
                <w:bCs/>
                <w:color w:val="000000"/>
              </w:rPr>
              <w:t>Measure Life</w:t>
            </w:r>
          </w:p>
        </w:tc>
        <w:tc>
          <w:tcPr>
            <w:tcW w:w="5688" w:type="dxa"/>
            <w:tcBorders>
              <w:top w:val="single" w:sz="8" w:space="0" w:color="404040"/>
              <w:left w:val="single" w:sz="8" w:space="0" w:color="404040"/>
              <w:bottom w:val="single" w:sz="8" w:space="0" w:color="404040"/>
              <w:right w:val="single" w:sz="8" w:space="0" w:color="404040"/>
            </w:tcBorders>
            <w:shd w:val="clear" w:color="auto" w:fill="FFFFFF"/>
          </w:tcPr>
          <w:p w:rsidR="00B21B1E" w:rsidRPr="001D6512" w:rsidRDefault="00B21B1E" w:rsidP="00F84A22">
            <w:pPr>
              <w:pStyle w:val="TableCell"/>
              <w:spacing w:before="60" w:after="60"/>
              <w:rPr>
                <w:color w:val="000000"/>
              </w:rPr>
            </w:pPr>
            <w:r w:rsidRPr="001D6512">
              <w:rPr>
                <w:color w:val="000000"/>
              </w:rPr>
              <w:t>9 years</w:t>
            </w:r>
          </w:p>
        </w:tc>
      </w:tr>
    </w:tbl>
    <w:p w:rsidR="00B21B1E" w:rsidRDefault="00B21B1E" w:rsidP="00896814">
      <w:pPr>
        <w:rPr>
          <w:highlight w:val="yellow"/>
        </w:rPr>
      </w:pPr>
    </w:p>
    <w:p w:rsidR="00B21B1E" w:rsidRDefault="00B21B1E" w:rsidP="00B21B1E">
      <w:pPr>
        <w:pStyle w:val="BodyText"/>
      </w:pPr>
      <w:r w:rsidRPr="002E1D8D">
        <w:t>This measure relates to the installation of a low flow (</w:t>
      </w:r>
      <w:r w:rsidR="00AA3D6E">
        <w:t xml:space="preserve">generally </w:t>
      </w:r>
      <w:r w:rsidRPr="002E1D8D">
        <w:t>1.5 GPM) showerhead in bathrooms in homes with electric water heater.  The baseline is a standard showerhead using 2.5 GPM.</w:t>
      </w:r>
    </w:p>
    <w:p w:rsidR="00B21B1E" w:rsidRPr="002E1D8D" w:rsidRDefault="00503B5D" w:rsidP="00871FA2">
      <w:pPr>
        <w:pStyle w:val="Heading3"/>
      </w:pPr>
      <w:r>
        <w:t>Eligibility</w:t>
      </w:r>
    </w:p>
    <w:p w:rsidR="00B21B1E" w:rsidRDefault="00B21B1E" w:rsidP="00B21B1E">
      <w:pPr>
        <w:pStyle w:val="BodyText"/>
      </w:pPr>
      <w:r w:rsidRPr="002E1D8D">
        <w:t>This protocol documents the energy savings attributable to replacing a standard showerhead with an energy efficient low flow showerhead for electric water heaters.  The target sector primarily consists of residential residences.</w:t>
      </w:r>
    </w:p>
    <w:p w:rsidR="00B21B1E" w:rsidRPr="002E1D8D" w:rsidRDefault="00503B5D" w:rsidP="00871FA2">
      <w:pPr>
        <w:pStyle w:val="Heading3"/>
      </w:pPr>
      <w:r>
        <w:t>Algorithms</w:t>
      </w:r>
    </w:p>
    <w:p w:rsidR="00B21B1E" w:rsidRPr="002E1D8D" w:rsidRDefault="00B21B1E" w:rsidP="00B21B1E">
      <w:pPr>
        <w:pStyle w:val="BodyText"/>
      </w:pPr>
      <w:r w:rsidRPr="002E1D8D">
        <w:t xml:space="preserve">The </w:t>
      </w:r>
      <w:r>
        <w:t xml:space="preserve">annual </w:t>
      </w:r>
      <w:r w:rsidRPr="002E1D8D">
        <w:t>energy savings are obtained through the following formula:</w:t>
      </w:r>
    </w:p>
    <w:p w:rsidR="00B21B1E" w:rsidRPr="00AA2C40" w:rsidRDefault="00503B5D" w:rsidP="00F7332F">
      <w:pPr>
        <w:pStyle w:val="Equation"/>
        <w:rPr>
          <w:rFonts w:cs="Arial"/>
          <w:szCs w:val="20"/>
        </w:rPr>
      </w:pPr>
      <w:r w:rsidRPr="00AA2C40">
        <w:rPr>
          <w:rFonts w:cs="Arial"/>
          <w:szCs w:val="20"/>
        </w:rPr>
        <w:sym w:font="Symbol" w:char="F044"/>
      </w:r>
      <w:r w:rsidRPr="00AA2C40">
        <w:rPr>
          <w:rFonts w:cs="Arial"/>
          <w:szCs w:val="20"/>
        </w:rPr>
        <w:t xml:space="preserve">kWh </w:t>
      </w:r>
      <w:r w:rsidRPr="00AA2C40">
        <w:rPr>
          <w:rFonts w:cs="Arial"/>
          <w:szCs w:val="20"/>
        </w:rPr>
        <w:tab/>
      </w:r>
      <w:r w:rsidR="00F7332F" w:rsidRPr="00AA2C40">
        <w:rPr>
          <w:rFonts w:cs="Arial"/>
          <w:szCs w:val="20"/>
        </w:rPr>
        <w:tab/>
      </w:r>
      <w:r w:rsidR="00B21B1E" w:rsidRPr="00AA2C40">
        <w:rPr>
          <w:rFonts w:cs="Arial"/>
          <w:szCs w:val="20"/>
        </w:rPr>
        <w:t>= ((((GPM</w:t>
      </w:r>
      <w:r w:rsidR="00B21B1E" w:rsidRPr="00AA2C40">
        <w:rPr>
          <w:rFonts w:cs="Arial"/>
          <w:szCs w:val="20"/>
          <w:vertAlign w:val="subscript"/>
        </w:rPr>
        <w:t>base</w:t>
      </w:r>
      <w:r w:rsidR="00B21B1E" w:rsidRPr="00AA2C40">
        <w:rPr>
          <w:rFonts w:cs="Arial"/>
          <w:szCs w:val="20"/>
        </w:rPr>
        <w:t xml:space="preserve"> - GPM</w:t>
      </w:r>
      <w:r w:rsidR="00B21B1E" w:rsidRPr="00AA2C40">
        <w:rPr>
          <w:rFonts w:cs="Arial"/>
          <w:szCs w:val="20"/>
          <w:vertAlign w:val="subscript"/>
        </w:rPr>
        <w:t>low</w:t>
      </w:r>
      <w:r w:rsidR="00B21B1E" w:rsidRPr="00AA2C40">
        <w:rPr>
          <w:rFonts w:cs="Arial"/>
          <w:szCs w:val="20"/>
        </w:rPr>
        <w:t>) / GPM</w:t>
      </w:r>
      <w:r w:rsidR="00B21B1E" w:rsidRPr="00AA2C40">
        <w:rPr>
          <w:rFonts w:cs="Arial"/>
          <w:szCs w:val="20"/>
          <w:vertAlign w:val="subscript"/>
        </w:rPr>
        <w:t>base</w:t>
      </w:r>
      <w:r w:rsidR="00B21B1E" w:rsidRPr="00AA2C40">
        <w:rPr>
          <w:rFonts w:cs="Arial"/>
          <w:szCs w:val="20"/>
        </w:rPr>
        <w:t>) * people * gals/day * days/year) / showers) * lbs/gal * (TEMP</w:t>
      </w:r>
      <w:r w:rsidR="00B21B1E" w:rsidRPr="00AA2C40">
        <w:rPr>
          <w:rFonts w:cs="Arial"/>
          <w:szCs w:val="20"/>
          <w:vertAlign w:val="subscript"/>
        </w:rPr>
        <w:t>ft</w:t>
      </w:r>
      <w:r w:rsidR="00B21B1E" w:rsidRPr="00AA2C40">
        <w:rPr>
          <w:rFonts w:cs="Arial"/>
          <w:szCs w:val="20"/>
        </w:rPr>
        <w:t xml:space="preserve"> - TEMP</w:t>
      </w:r>
      <w:r w:rsidR="00B21B1E" w:rsidRPr="00AA2C40">
        <w:rPr>
          <w:rFonts w:cs="Arial"/>
          <w:szCs w:val="20"/>
          <w:vertAlign w:val="subscript"/>
        </w:rPr>
        <w:t>in</w:t>
      </w:r>
      <w:r w:rsidR="00B21B1E" w:rsidRPr="00AA2C40">
        <w:rPr>
          <w:rFonts w:cs="Arial"/>
          <w:szCs w:val="20"/>
        </w:rPr>
        <w:t xml:space="preserve">) / 1,000,000) / EF / 0.003412 </w:t>
      </w:r>
    </w:p>
    <w:p w:rsidR="00503B5D" w:rsidRPr="00AA2C40" w:rsidRDefault="00503B5D" w:rsidP="00503B5D">
      <w:pPr>
        <w:pStyle w:val="Equation"/>
        <w:rPr>
          <w:rFonts w:cs="Arial"/>
          <w:szCs w:val="20"/>
        </w:rPr>
      </w:pPr>
      <w:r w:rsidRPr="00AA2C40">
        <w:rPr>
          <w:rFonts w:cs="Arial"/>
          <w:szCs w:val="20"/>
        </w:rPr>
        <w:t>ΔkW</w:t>
      </w:r>
      <w:r w:rsidRPr="00AA2C40">
        <w:rPr>
          <w:rFonts w:cs="Arial"/>
          <w:szCs w:val="20"/>
          <w:vertAlign w:val="subscript"/>
        </w:rPr>
        <w:t>peak</w:t>
      </w:r>
      <w:r w:rsidRPr="00AA2C40">
        <w:rPr>
          <w:rFonts w:cs="Arial"/>
          <w:szCs w:val="20"/>
        </w:rPr>
        <w:tab/>
      </w:r>
      <w:r w:rsidRPr="00AA2C40">
        <w:rPr>
          <w:rFonts w:cs="Arial"/>
          <w:szCs w:val="20"/>
        </w:rPr>
        <w:tab/>
        <w:t xml:space="preserve">= ΔkWh  *  </w:t>
      </w:r>
      <w:r w:rsidR="00AA3D6E" w:rsidRPr="00AA2C40">
        <w:rPr>
          <w:rFonts w:cs="Arial"/>
          <w:szCs w:val="20"/>
        </w:rPr>
        <w:t>EnergyToDemandFactor</w:t>
      </w:r>
      <w:r w:rsidRPr="00AA2C40">
        <w:rPr>
          <w:rFonts w:cs="Arial"/>
          <w:szCs w:val="20"/>
        </w:rPr>
        <w:tab/>
      </w:r>
    </w:p>
    <w:p w:rsidR="00503B5D" w:rsidRPr="002E1D8D" w:rsidRDefault="00503B5D" w:rsidP="00871FA2">
      <w:pPr>
        <w:pStyle w:val="Heading3"/>
      </w:pPr>
      <w:r>
        <w:t>Definition of Terms</w:t>
      </w:r>
    </w:p>
    <w:p w:rsidR="00B21B1E" w:rsidRPr="00AA2C40" w:rsidRDefault="00F7332F" w:rsidP="00F7332F">
      <w:pPr>
        <w:pStyle w:val="Equation"/>
        <w:rPr>
          <w:rFonts w:cs="Arial"/>
          <w:szCs w:val="20"/>
        </w:rPr>
      </w:pPr>
      <w:r w:rsidRPr="00AA2C40">
        <w:rPr>
          <w:rFonts w:cs="Arial"/>
          <w:szCs w:val="20"/>
        </w:rPr>
        <w:tab/>
      </w:r>
      <w:r w:rsidR="00B21B1E" w:rsidRPr="00AA2C40">
        <w:rPr>
          <w:rFonts w:cs="Arial"/>
          <w:szCs w:val="20"/>
        </w:rPr>
        <w:t>GPM</w:t>
      </w:r>
      <w:r w:rsidR="00B21B1E" w:rsidRPr="00AA2C40">
        <w:rPr>
          <w:rFonts w:cs="Arial"/>
          <w:szCs w:val="20"/>
          <w:vertAlign w:val="subscript"/>
        </w:rPr>
        <w:t>base</w:t>
      </w:r>
      <w:r w:rsidR="00B21B1E" w:rsidRPr="00AA2C40">
        <w:rPr>
          <w:rFonts w:cs="Arial"/>
          <w:szCs w:val="20"/>
        </w:rPr>
        <w:t xml:space="preserve"> </w:t>
      </w:r>
      <w:r w:rsidR="004654AF" w:rsidRPr="00AA2C40">
        <w:rPr>
          <w:rFonts w:cs="Arial"/>
          <w:szCs w:val="20"/>
        </w:rPr>
        <w:tab/>
      </w:r>
      <w:r w:rsidR="00B21B1E" w:rsidRPr="00AA2C40">
        <w:rPr>
          <w:rFonts w:cs="Arial"/>
          <w:szCs w:val="20"/>
        </w:rPr>
        <w:t>=Gallons per minute of baseline showerhead = 2.5 GPM</w:t>
      </w:r>
      <w:r w:rsidR="00E34B90" w:rsidRPr="00AA2C40">
        <w:rPr>
          <w:rStyle w:val="FootnoteReference"/>
          <w:rFonts w:cs="Arial"/>
          <w:szCs w:val="20"/>
        </w:rPr>
        <w:footnoteReference w:id="26"/>
      </w:r>
    </w:p>
    <w:p w:rsidR="00B21B1E" w:rsidRPr="00AA2C40" w:rsidRDefault="00F7332F" w:rsidP="00F7332F">
      <w:pPr>
        <w:pStyle w:val="Equation"/>
        <w:rPr>
          <w:rFonts w:cs="Arial"/>
          <w:szCs w:val="20"/>
        </w:rPr>
      </w:pPr>
      <w:r w:rsidRPr="00AA2C40">
        <w:rPr>
          <w:rFonts w:cs="Arial"/>
          <w:szCs w:val="20"/>
        </w:rPr>
        <w:tab/>
      </w:r>
      <w:r w:rsidR="00B21B1E" w:rsidRPr="00AA2C40">
        <w:rPr>
          <w:rFonts w:cs="Arial"/>
          <w:szCs w:val="20"/>
        </w:rPr>
        <w:t>GPM</w:t>
      </w:r>
      <w:r w:rsidR="00B21B1E" w:rsidRPr="00AA2C40">
        <w:rPr>
          <w:rFonts w:cs="Arial"/>
          <w:szCs w:val="20"/>
          <w:vertAlign w:val="subscript"/>
        </w:rPr>
        <w:t>low</w:t>
      </w:r>
      <w:r w:rsidR="00B21B1E" w:rsidRPr="00AA2C40">
        <w:rPr>
          <w:rFonts w:cs="Arial"/>
          <w:szCs w:val="20"/>
        </w:rPr>
        <w:t xml:space="preserve"> </w:t>
      </w:r>
      <w:r w:rsidR="004654AF" w:rsidRPr="00AA2C40">
        <w:rPr>
          <w:rFonts w:cs="Arial"/>
          <w:szCs w:val="20"/>
        </w:rPr>
        <w:tab/>
      </w:r>
      <w:r w:rsidR="00B21B1E" w:rsidRPr="00AA2C40">
        <w:rPr>
          <w:rFonts w:cs="Arial"/>
          <w:szCs w:val="20"/>
        </w:rPr>
        <w:t>=Gallons per minute of low flow showerhead</w:t>
      </w:r>
    </w:p>
    <w:p w:rsidR="00B21B1E" w:rsidRPr="00AA2C40" w:rsidRDefault="00F7332F" w:rsidP="00F7332F">
      <w:pPr>
        <w:pStyle w:val="Equation"/>
        <w:rPr>
          <w:rFonts w:cs="Arial"/>
          <w:szCs w:val="20"/>
        </w:rPr>
      </w:pPr>
      <w:r w:rsidRPr="00AA2C40">
        <w:rPr>
          <w:rFonts w:cs="Arial"/>
          <w:szCs w:val="20"/>
        </w:rPr>
        <w:tab/>
      </w:r>
      <w:r w:rsidR="00B21B1E" w:rsidRPr="00AA2C40">
        <w:rPr>
          <w:rFonts w:cs="Arial"/>
          <w:szCs w:val="20"/>
        </w:rPr>
        <w:t xml:space="preserve">people </w:t>
      </w:r>
      <w:r w:rsidR="004654AF" w:rsidRPr="00AA2C40">
        <w:rPr>
          <w:rFonts w:cs="Arial"/>
          <w:szCs w:val="20"/>
        </w:rPr>
        <w:tab/>
      </w:r>
      <w:r w:rsidR="00B21B1E" w:rsidRPr="00AA2C40">
        <w:rPr>
          <w:rFonts w:cs="Arial"/>
          <w:szCs w:val="20"/>
        </w:rPr>
        <w:t>=Average number of people per household = 2.48</w:t>
      </w:r>
      <w:r w:rsidR="00E34B90" w:rsidRPr="00AA2C40">
        <w:rPr>
          <w:rStyle w:val="FootnoteReference"/>
          <w:rFonts w:cs="Arial"/>
          <w:szCs w:val="20"/>
        </w:rPr>
        <w:footnoteReference w:id="27"/>
      </w:r>
    </w:p>
    <w:p w:rsidR="00B21B1E" w:rsidRPr="00AA2C40" w:rsidRDefault="00F7332F" w:rsidP="00F7332F">
      <w:pPr>
        <w:pStyle w:val="Equation"/>
        <w:rPr>
          <w:rFonts w:cs="Arial"/>
          <w:szCs w:val="20"/>
        </w:rPr>
      </w:pPr>
      <w:r w:rsidRPr="00AA2C40">
        <w:rPr>
          <w:rFonts w:cs="Arial"/>
          <w:szCs w:val="20"/>
        </w:rPr>
        <w:tab/>
      </w:r>
      <w:r w:rsidR="00B21B1E" w:rsidRPr="00AA2C40">
        <w:rPr>
          <w:rFonts w:cs="Arial"/>
          <w:szCs w:val="20"/>
        </w:rPr>
        <w:t xml:space="preserve">gals/day </w:t>
      </w:r>
      <w:r w:rsidR="004654AF" w:rsidRPr="00AA2C40">
        <w:rPr>
          <w:rFonts w:cs="Arial"/>
          <w:szCs w:val="20"/>
        </w:rPr>
        <w:tab/>
      </w:r>
      <w:r w:rsidR="00B21B1E" w:rsidRPr="00AA2C40">
        <w:rPr>
          <w:rFonts w:cs="Arial"/>
          <w:szCs w:val="20"/>
        </w:rPr>
        <w:t>=Average gallons of hot water used by shower per day = 11.6</w:t>
      </w:r>
      <w:r w:rsidR="00E34B90" w:rsidRPr="00AA2C40">
        <w:rPr>
          <w:rStyle w:val="FootnoteReference"/>
          <w:rFonts w:cs="Arial"/>
          <w:szCs w:val="20"/>
        </w:rPr>
        <w:footnoteReference w:id="28"/>
      </w:r>
    </w:p>
    <w:p w:rsidR="00B21B1E" w:rsidRPr="00AA2C40" w:rsidRDefault="00F7332F" w:rsidP="00F7332F">
      <w:pPr>
        <w:pStyle w:val="Equation"/>
        <w:rPr>
          <w:rFonts w:cs="Arial"/>
          <w:szCs w:val="20"/>
        </w:rPr>
      </w:pPr>
      <w:r w:rsidRPr="00AA2C40">
        <w:rPr>
          <w:rFonts w:cs="Arial"/>
          <w:szCs w:val="20"/>
        </w:rPr>
        <w:tab/>
      </w:r>
      <w:r w:rsidR="00B21B1E" w:rsidRPr="00AA2C40">
        <w:rPr>
          <w:rFonts w:cs="Arial"/>
          <w:szCs w:val="20"/>
        </w:rPr>
        <w:t>days/year</w:t>
      </w:r>
      <w:r w:rsidR="004654AF" w:rsidRPr="00AA2C40">
        <w:rPr>
          <w:rFonts w:cs="Arial"/>
          <w:szCs w:val="20"/>
        </w:rPr>
        <w:tab/>
      </w:r>
      <w:r w:rsidR="00B21B1E" w:rsidRPr="00AA2C40">
        <w:rPr>
          <w:rFonts w:cs="Arial"/>
          <w:szCs w:val="20"/>
        </w:rPr>
        <w:t>=Number of days per year = 365</w:t>
      </w:r>
    </w:p>
    <w:p w:rsidR="00B21B1E" w:rsidRPr="00AA2C40" w:rsidRDefault="00F7332F" w:rsidP="00F7332F">
      <w:pPr>
        <w:pStyle w:val="Equation"/>
        <w:rPr>
          <w:rFonts w:cs="Arial"/>
          <w:szCs w:val="20"/>
        </w:rPr>
      </w:pPr>
      <w:r w:rsidRPr="00AA2C40">
        <w:rPr>
          <w:rFonts w:cs="Arial"/>
          <w:szCs w:val="20"/>
        </w:rPr>
        <w:lastRenderedPageBreak/>
        <w:tab/>
      </w:r>
      <w:r w:rsidR="00B21B1E" w:rsidRPr="00AA2C40">
        <w:rPr>
          <w:rFonts w:cs="Arial"/>
          <w:szCs w:val="20"/>
        </w:rPr>
        <w:t xml:space="preserve">showers </w:t>
      </w:r>
      <w:r w:rsidR="004654AF" w:rsidRPr="00AA2C40">
        <w:rPr>
          <w:rFonts w:cs="Arial"/>
          <w:szCs w:val="20"/>
        </w:rPr>
        <w:tab/>
      </w:r>
      <w:r w:rsidR="00B21B1E" w:rsidRPr="00AA2C40">
        <w:rPr>
          <w:rFonts w:cs="Arial"/>
          <w:szCs w:val="20"/>
        </w:rPr>
        <w:t>=Average number of showers in the home = 1.6</w:t>
      </w:r>
      <w:r w:rsidR="00E34B90" w:rsidRPr="00AA2C40">
        <w:rPr>
          <w:rStyle w:val="FootnoteReference"/>
          <w:rFonts w:cs="Arial"/>
          <w:szCs w:val="20"/>
        </w:rPr>
        <w:footnoteReference w:id="29"/>
      </w:r>
    </w:p>
    <w:p w:rsidR="00B21B1E" w:rsidRPr="00AA2C40" w:rsidRDefault="00F7332F" w:rsidP="00F7332F">
      <w:pPr>
        <w:pStyle w:val="Equation"/>
        <w:rPr>
          <w:rFonts w:cs="Arial"/>
          <w:szCs w:val="20"/>
        </w:rPr>
      </w:pPr>
      <w:r w:rsidRPr="00AA2C40">
        <w:rPr>
          <w:rFonts w:cs="Arial"/>
          <w:szCs w:val="20"/>
        </w:rPr>
        <w:tab/>
      </w:r>
      <w:r w:rsidR="00B21B1E" w:rsidRPr="00AA2C40">
        <w:rPr>
          <w:rFonts w:cs="Arial"/>
          <w:szCs w:val="20"/>
        </w:rPr>
        <w:t xml:space="preserve">lbs/gal </w:t>
      </w:r>
      <w:r w:rsidR="004654AF" w:rsidRPr="00AA2C40">
        <w:rPr>
          <w:rFonts w:cs="Arial"/>
          <w:szCs w:val="20"/>
        </w:rPr>
        <w:tab/>
      </w:r>
      <w:r w:rsidR="00B21B1E" w:rsidRPr="00AA2C40">
        <w:rPr>
          <w:rFonts w:cs="Arial"/>
          <w:szCs w:val="20"/>
        </w:rPr>
        <w:t>=Pounds per gallon = 8.3</w:t>
      </w:r>
    </w:p>
    <w:p w:rsidR="00B21B1E" w:rsidRPr="00AA2C40" w:rsidRDefault="00F7332F" w:rsidP="00F7332F">
      <w:pPr>
        <w:pStyle w:val="Equation"/>
        <w:rPr>
          <w:rFonts w:cs="Arial"/>
          <w:szCs w:val="20"/>
        </w:rPr>
      </w:pPr>
      <w:r w:rsidRPr="00AA2C40">
        <w:rPr>
          <w:rFonts w:cs="Arial"/>
          <w:szCs w:val="20"/>
        </w:rPr>
        <w:tab/>
      </w:r>
      <w:r w:rsidR="00B21B1E" w:rsidRPr="00AA2C40">
        <w:rPr>
          <w:rFonts w:cs="Arial"/>
          <w:szCs w:val="20"/>
        </w:rPr>
        <w:t>TEMP</w:t>
      </w:r>
      <w:r w:rsidR="00B21B1E" w:rsidRPr="00AA2C40">
        <w:rPr>
          <w:rFonts w:cs="Arial"/>
          <w:szCs w:val="20"/>
          <w:vertAlign w:val="subscript"/>
        </w:rPr>
        <w:t>ft</w:t>
      </w:r>
      <w:r w:rsidR="00B21B1E" w:rsidRPr="00AA2C40">
        <w:rPr>
          <w:rFonts w:cs="Arial"/>
          <w:szCs w:val="20"/>
        </w:rPr>
        <w:t xml:space="preserve"> </w:t>
      </w:r>
      <w:r w:rsidR="004654AF" w:rsidRPr="00AA2C40">
        <w:rPr>
          <w:rFonts w:cs="Arial"/>
          <w:szCs w:val="20"/>
        </w:rPr>
        <w:tab/>
      </w:r>
      <w:r w:rsidR="00B21B1E" w:rsidRPr="00AA2C40">
        <w:rPr>
          <w:rFonts w:cs="Arial"/>
          <w:szCs w:val="20"/>
        </w:rPr>
        <w:t>=Assumed temperature of water used by faucet = 120° F</w:t>
      </w:r>
      <w:r w:rsidR="00E34B90" w:rsidRPr="00AA2C40">
        <w:rPr>
          <w:rStyle w:val="FootnoteReference"/>
          <w:rFonts w:cs="Arial"/>
          <w:szCs w:val="20"/>
        </w:rPr>
        <w:footnoteReference w:id="30"/>
      </w:r>
    </w:p>
    <w:p w:rsidR="00B21B1E" w:rsidRPr="00AA2C40" w:rsidRDefault="00F7332F" w:rsidP="00F7332F">
      <w:pPr>
        <w:pStyle w:val="Equation"/>
        <w:rPr>
          <w:rFonts w:cs="Arial"/>
          <w:szCs w:val="20"/>
        </w:rPr>
      </w:pPr>
      <w:r w:rsidRPr="00AA2C40">
        <w:rPr>
          <w:rFonts w:cs="Arial"/>
          <w:szCs w:val="20"/>
        </w:rPr>
        <w:tab/>
      </w:r>
      <w:r w:rsidR="00B21B1E" w:rsidRPr="00AA2C40">
        <w:rPr>
          <w:rFonts w:cs="Arial"/>
          <w:szCs w:val="20"/>
        </w:rPr>
        <w:t>TEMP</w:t>
      </w:r>
      <w:r w:rsidR="00B21B1E" w:rsidRPr="00AA2C40">
        <w:rPr>
          <w:rFonts w:cs="Arial"/>
          <w:szCs w:val="20"/>
          <w:vertAlign w:val="subscript"/>
        </w:rPr>
        <w:t>in</w:t>
      </w:r>
      <w:r w:rsidR="00B21B1E" w:rsidRPr="00AA2C40">
        <w:rPr>
          <w:rFonts w:cs="Arial"/>
          <w:szCs w:val="20"/>
        </w:rPr>
        <w:t xml:space="preserve"> </w:t>
      </w:r>
      <w:r w:rsidR="004654AF" w:rsidRPr="00AA2C40">
        <w:rPr>
          <w:rFonts w:cs="Arial"/>
          <w:szCs w:val="20"/>
        </w:rPr>
        <w:tab/>
      </w:r>
      <w:r w:rsidR="00B21B1E" w:rsidRPr="00AA2C40">
        <w:rPr>
          <w:rFonts w:cs="Arial"/>
          <w:szCs w:val="20"/>
        </w:rPr>
        <w:t>=Assumed temperature of water entering house = 55° F</w:t>
      </w:r>
      <w:r w:rsidR="00E34B90" w:rsidRPr="00AA2C40">
        <w:rPr>
          <w:rStyle w:val="FootnoteReference"/>
          <w:rFonts w:cs="Arial"/>
          <w:szCs w:val="20"/>
        </w:rPr>
        <w:footnoteReference w:id="31"/>
      </w:r>
    </w:p>
    <w:p w:rsidR="00B21B1E" w:rsidRPr="00AA2C40" w:rsidRDefault="004654AF" w:rsidP="00F7332F">
      <w:pPr>
        <w:pStyle w:val="Equation"/>
        <w:rPr>
          <w:rFonts w:cs="Arial"/>
          <w:szCs w:val="20"/>
        </w:rPr>
      </w:pPr>
      <w:r w:rsidRPr="00AA2C40">
        <w:rPr>
          <w:rFonts w:cs="Arial"/>
          <w:szCs w:val="20"/>
        </w:rPr>
        <w:tab/>
      </w:r>
      <w:r w:rsidR="00B21B1E" w:rsidRPr="00AA2C40">
        <w:rPr>
          <w:rFonts w:cs="Arial"/>
          <w:szCs w:val="20"/>
        </w:rPr>
        <w:t xml:space="preserve">EF </w:t>
      </w:r>
      <w:r w:rsidRPr="00AA2C40">
        <w:rPr>
          <w:rFonts w:cs="Arial"/>
          <w:szCs w:val="20"/>
        </w:rPr>
        <w:tab/>
      </w:r>
      <w:r w:rsidR="00B21B1E" w:rsidRPr="00AA2C40">
        <w:rPr>
          <w:rFonts w:cs="Arial"/>
          <w:szCs w:val="20"/>
        </w:rPr>
        <w:t>=Recovery efficiency of electric hot water heater = 0.90</w:t>
      </w:r>
      <w:r w:rsidR="00E34B90" w:rsidRPr="00AA2C40">
        <w:rPr>
          <w:rStyle w:val="FootnoteReference"/>
          <w:rFonts w:cs="Arial"/>
          <w:szCs w:val="20"/>
        </w:rPr>
        <w:footnoteReference w:id="32"/>
      </w:r>
    </w:p>
    <w:p w:rsidR="00B21B1E" w:rsidRPr="00AA2C40" w:rsidRDefault="004654AF" w:rsidP="00F7332F">
      <w:pPr>
        <w:pStyle w:val="Equation"/>
        <w:rPr>
          <w:rFonts w:cs="Arial"/>
          <w:szCs w:val="20"/>
        </w:rPr>
      </w:pPr>
      <w:r w:rsidRPr="00AA2C40">
        <w:rPr>
          <w:rFonts w:cs="Arial"/>
          <w:szCs w:val="20"/>
        </w:rPr>
        <w:tab/>
      </w:r>
      <w:r w:rsidR="00B21B1E" w:rsidRPr="00AA2C40">
        <w:rPr>
          <w:rFonts w:cs="Arial"/>
          <w:szCs w:val="20"/>
        </w:rPr>
        <w:t xml:space="preserve">0.003412 </w:t>
      </w:r>
      <w:r w:rsidRPr="00AA2C40">
        <w:rPr>
          <w:rFonts w:cs="Arial"/>
          <w:szCs w:val="20"/>
        </w:rPr>
        <w:tab/>
      </w:r>
      <w:r w:rsidR="00B21B1E" w:rsidRPr="00AA2C40">
        <w:rPr>
          <w:rFonts w:cs="Arial"/>
          <w:szCs w:val="20"/>
        </w:rPr>
        <w:t>=Constant to converts MMBtu to kWh</w:t>
      </w:r>
    </w:p>
    <w:p w:rsidR="00B21B1E" w:rsidRPr="00AA2C40" w:rsidRDefault="004654AF" w:rsidP="004654AF">
      <w:pPr>
        <w:pStyle w:val="Equation"/>
        <w:rPr>
          <w:rFonts w:cs="Arial"/>
          <w:szCs w:val="20"/>
        </w:rPr>
      </w:pPr>
      <w:r w:rsidRPr="00AA2C40">
        <w:rPr>
          <w:rFonts w:cs="Arial"/>
          <w:szCs w:val="20"/>
        </w:rPr>
        <w:tab/>
      </w:r>
      <w:r w:rsidR="00AA3D6E" w:rsidRPr="00AA2C40">
        <w:rPr>
          <w:rFonts w:cs="Arial"/>
          <w:szCs w:val="20"/>
        </w:rPr>
        <w:t>EnergyToDemandFactor</w:t>
      </w:r>
      <w:r w:rsidR="00B21B1E" w:rsidRPr="00AA2C40">
        <w:rPr>
          <w:rFonts w:cs="Arial"/>
          <w:szCs w:val="20"/>
        </w:rPr>
        <w:t>=Summer peak coincidence factor for measure = 0.00009172</w:t>
      </w:r>
      <w:r w:rsidR="00E34B90" w:rsidRPr="00AA2C40">
        <w:rPr>
          <w:rStyle w:val="FootnoteReference"/>
          <w:rFonts w:cs="Arial"/>
          <w:szCs w:val="20"/>
        </w:rPr>
        <w:footnoteReference w:id="33"/>
      </w:r>
    </w:p>
    <w:p w:rsidR="00503B5D" w:rsidRPr="00AA2C40" w:rsidRDefault="00503B5D" w:rsidP="004654AF">
      <w:pPr>
        <w:pStyle w:val="Equation"/>
        <w:rPr>
          <w:rFonts w:cs="Arial"/>
          <w:szCs w:val="20"/>
        </w:rPr>
      </w:pPr>
      <w:r w:rsidRPr="00AA2C40">
        <w:rPr>
          <w:rFonts w:cs="Arial"/>
          <w:szCs w:val="20"/>
        </w:rPr>
        <w:tab/>
        <w:t xml:space="preserve">ΔkWh </w:t>
      </w:r>
      <w:r w:rsidRPr="00AA2C40">
        <w:rPr>
          <w:rFonts w:cs="Arial"/>
          <w:szCs w:val="20"/>
        </w:rPr>
        <w:tab/>
        <w:t>=Annual kWh savings = 461kWh per fixture installed</w:t>
      </w:r>
      <w:r w:rsidR="00AA3D6E" w:rsidRPr="00AA2C40">
        <w:rPr>
          <w:rFonts w:cs="Arial"/>
          <w:szCs w:val="20"/>
        </w:rPr>
        <w:t>, for low flow showerhead with 1.5 GPM</w:t>
      </w:r>
    </w:p>
    <w:p w:rsidR="00B21B1E" w:rsidRPr="00AA2C40" w:rsidRDefault="004654AF" w:rsidP="004654AF">
      <w:pPr>
        <w:pStyle w:val="Equation"/>
        <w:rPr>
          <w:rFonts w:cs="Arial"/>
          <w:szCs w:val="20"/>
        </w:rPr>
      </w:pPr>
      <w:r w:rsidRPr="00AA2C40">
        <w:rPr>
          <w:rFonts w:cs="Arial"/>
          <w:szCs w:val="20"/>
        </w:rPr>
        <w:tab/>
      </w:r>
      <w:r w:rsidR="00B21B1E" w:rsidRPr="00AA2C40">
        <w:rPr>
          <w:rFonts w:cs="Arial"/>
          <w:szCs w:val="20"/>
        </w:rPr>
        <w:t>ΔkW</w:t>
      </w:r>
      <w:r w:rsidRPr="00AA2C40">
        <w:rPr>
          <w:rFonts w:cs="Arial"/>
          <w:szCs w:val="20"/>
        </w:rPr>
        <w:tab/>
      </w:r>
      <w:r w:rsidR="00B21B1E" w:rsidRPr="00AA2C40">
        <w:rPr>
          <w:rFonts w:cs="Arial"/>
          <w:szCs w:val="20"/>
        </w:rPr>
        <w:t>=Summer peak kW savings =0.042 kW.</w:t>
      </w:r>
    </w:p>
    <w:p w:rsidR="00B21B1E" w:rsidRPr="00503B5D" w:rsidRDefault="00B21B1E" w:rsidP="00E34B90">
      <w:pPr>
        <w:pStyle w:val="BodyText"/>
        <w:rPr>
          <w:rFonts w:cs="Arial"/>
        </w:rPr>
      </w:pPr>
      <w:r w:rsidRPr="00503B5D">
        <w:rPr>
          <w:rFonts w:cs="Arial"/>
        </w:rPr>
        <w:t>The demand reduction is taken as the annual energy savings multiplied by the ratio of the average energy usage during noon and 8PM on summer weekdays to the total annual energy usage. The Energy to Demand Factor is defined as:</w:t>
      </w:r>
    </w:p>
    <w:p w:rsidR="00B21B1E" w:rsidRPr="003C7C58" w:rsidRDefault="003C7C58" w:rsidP="006C690D">
      <w:pPr>
        <w:spacing w:before="120"/>
        <w:jc w:val="center"/>
        <w:rPr>
          <w:rFonts w:cs="Arial"/>
        </w:rPr>
      </w:pPr>
      <m:oMathPara>
        <m:oMathParaPr>
          <m:jc m:val="left"/>
        </m:oMathParaPr>
        <m:oMath>
          <m:r>
            <m:rPr>
              <m:nor/>
            </m:rPr>
            <w:rPr>
              <w:rFonts w:cs="Arial"/>
              <w:i/>
            </w:rPr>
            <m:t xml:space="preserve">EnergyToDemandFactor             = </m:t>
          </m:r>
          <m:f>
            <m:fPr>
              <m:ctrlPr>
                <w:rPr>
                  <w:rFonts w:ascii="Cambria Math" w:hAnsi="Cambria Math" w:cs="Arial"/>
                  <w:i/>
                </w:rPr>
              </m:ctrlPr>
            </m:fPr>
            <m:num>
              <m:sSub>
                <m:sSubPr>
                  <m:ctrlPr>
                    <w:rPr>
                      <w:rFonts w:ascii="Cambria Math" w:hAnsi="Cambria Math" w:cs="Arial"/>
                      <w:i/>
                    </w:rPr>
                  </m:ctrlPr>
                </m:sSubPr>
                <m:e>
                  <m:r>
                    <m:rPr>
                      <m:nor/>
                    </m:rPr>
                    <w:rPr>
                      <w:rFonts w:cs="Arial"/>
                      <w:i/>
                    </w:rPr>
                    <m:t>Average Usage</m:t>
                  </m:r>
                </m:e>
                <m:sub>
                  <m:r>
                    <m:rPr>
                      <m:nor/>
                    </m:rPr>
                    <w:rPr>
                      <w:rFonts w:cs="Arial"/>
                      <w:i/>
                    </w:rPr>
                    <m:t>Summer WD Noon-8</m:t>
                  </m:r>
                </m:sub>
              </m:sSub>
            </m:num>
            <m:den>
              <m:r>
                <m:rPr>
                  <m:nor/>
                </m:rPr>
                <w:rPr>
                  <w:rFonts w:cs="Arial"/>
                  <w:i/>
                </w:rPr>
                <m:t>Annual Energy Usage</m:t>
              </m:r>
            </m:den>
          </m:f>
        </m:oMath>
      </m:oMathPara>
    </w:p>
    <w:p w:rsidR="00B21B1E" w:rsidRPr="00503B5D" w:rsidRDefault="00B21B1E" w:rsidP="006175FC">
      <w:pPr>
        <w:pStyle w:val="BodyText"/>
        <w:rPr>
          <w:rFonts w:cs="Arial"/>
        </w:rPr>
      </w:pPr>
      <w:r w:rsidRPr="00503B5D">
        <w:rPr>
          <w:rFonts w:cs="Arial"/>
        </w:rPr>
        <w:t>The ratio of the average energy usage during noon and 8 PM on summer weekdays to the total annual energy usage is taken from load shape data collected for a water heater and HVAC demand response study for PJM</w:t>
      </w:r>
      <w:r w:rsidR="00E34B90" w:rsidRPr="00503B5D">
        <w:rPr>
          <w:rStyle w:val="FootnoteReference"/>
          <w:rFonts w:cs="Arial"/>
        </w:rPr>
        <w:footnoteReference w:id="34"/>
      </w:r>
      <w:r w:rsidRPr="00503B5D">
        <w:rPr>
          <w:rFonts w:cs="Arial"/>
        </w:rPr>
        <w:t>.  The factor is constructed as follows:</w:t>
      </w:r>
    </w:p>
    <w:p w:rsidR="008075FC" w:rsidRPr="00503B5D" w:rsidRDefault="00B21B1E" w:rsidP="00173C8E">
      <w:pPr>
        <w:pStyle w:val="source1"/>
        <w:numPr>
          <w:ilvl w:val="0"/>
          <w:numId w:val="8"/>
        </w:numPr>
      </w:pPr>
      <w:r w:rsidRPr="00503B5D">
        <w:t xml:space="preserve">Obtain the average kW, as monitored for 82 water heaters in PJM territory, for each hour of the typical day summer, winter, and spring/fall days.  Weight the results (91 summer days, 91 winter days, </w:t>
      </w:r>
      <w:r w:rsidR="00F11594" w:rsidRPr="00503B5D">
        <w:t>and 183</w:t>
      </w:r>
      <w:r w:rsidRPr="00503B5D">
        <w:t xml:space="preserve"> spring/fall days) to obtain annual energy usage.</w:t>
      </w:r>
    </w:p>
    <w:p w:rsidR="00B21B1E" w:rsidRPr="00503B5D" w:rsidRDefault="00B21B1E" w:rsidP="008075FC">
      <w:pPr>
        <w:pStyle w:val="source1"/>
        <w:numPr>
          <w:ilvl w:val="0"/>
          <w:numId w:val="8"/>
        </w:numPr>
      </w:pPr>
      <w:r w:rsidRPr="00503B5D">
        <w:t xml:space="preserve">Obtain the average kW during noon to 8 PM on summer days from the same data.  </w:t>
      </w:r>
    </w:p>
    <w:p w:rsidR="00B21B1E" w:rsidRPr="00503B5D" w:rsidRDefault="00B21B1E" w:rsidP="0005632A">
      <w:pPr>
        <w:pStyle w:val="source1"/>
        <w:numPr>
          <w:ilvl w:val="0"/>
          <w:numId w:val="78"/>
        </w:numPr>
      </w:pPr>
      <w:r w:rsidRPr="00503B5D">
        <w:lastRenderedPageBreak/>
        <w:t xml:space="preserve">The average noon to 8 PM demand is converted to average </w:t>
      </w:r>
      <w:r w:rsidRPr="008075FC">
        <w:rPr>
          <w:i/>
        </w:rPr>
        <w:t>weekday</w:t>
      </w:r>
      <w:r w:rsidRPr="00503B5D">
        <w:t xml:space="preserve"> noon to 8 PM demand through comparison of weekday and weekend monitored loads from the same PJM study,  </w:t>
      </w:r>
    </w:p>
    <w:p w:rsidR="00B21B1E" w:rsidRPr="00503B5D" w:rsidRDefault="00B21B1E" w:rsidP="004654AF">
      <w:pPr>
        <w:pStyle w:val="source1"/>
        <w:spacing w:after="200"/>
      </w:pPr>
      <w:r w:rsidRPr="00503B5D">
        <w:t>The ratio of the average weekday noon to 8 PM energy demand to the annual energy usage obtained in step 1.  The resulting number, 0.00009172, is the Energy to Demand Factor, or Coincidence Factor.</w:t>
      </w:r>
    </w:p>
    <w:p w:rsidR="00B21B1E" w:rsidRPr="00503B5D" w:rsidRDefault="00B21B1E" w:rsidP="00B21B1E">
      <w:pPr>
        <w:tabs>
          <w:tab w:val="left" w:pos="720"/>
        </w:tabs>
        <w:jc w:val="both"/>
        <w:rPr>
          <w:rFonts w:cs="Arial"/>
        </w:rPr>
      </w:pPr>
      <w:r w:rsidRPr="00503B5D">
        <w:rPr>
          <w:rFonts w:cs="Arial"/>
        </w:rPr>
        <w:t xml:space="preserve">The load shapes (fractions of annual energy usage that occur within each hour) during summer week days are plotted in </w:t>
      </w:r>
      <w:r w:rsidR="00274AB1">
        <w:fldChar w:fldCharType="begin"/>
      </w:r>
      <w:r w:rsidR="00274AB1">
        <w:instrText xml:space="preserve"> REF _Ref275542459 \h  \* MERGEFORMAT </w:instrText>
      </w:r>
      <w:r w:rsidR="00274AB1">
        <w:fldChar w:fldCharType="separate"/>
      </w:r>
      <w:r w:rsidR="00C0292F" w:rsidRPr="00C0292F">
        <w:rPr>
          <w:rFonts w:cs="Arial"/>
        </w:rPr>
        <w:t xml:space="preserve">Figure </w:t>
      </w:r>
      <w:r w:rsidR="00C0292F" w:rsidRPr="00C0292F">
        <w:rPr>
          <w:rFonts w:cs="Arial"/>
          <w:noProof/>
        </w:rPr>
        <w:t>2</w:t>
      </w:r>
      <w:r w:rsidR="00C0292F" w:rsidRPr="00C0292F">
        <w:rPr>
          <w:rFonts w:cs="Arial"/>
          <w:noProof/>
        </w:rPr>
        <w:noBreakHyphen/>
        <w:t>5</w:t>
      </w:r>
      <w:r w:rsidR="00274AB1">
        <w:fldChar w:fldCharType="end"/>
      </w:r>
      <w:r w:rsidR="00CF56BD" w:rsidRPr="00503B5D">
        <w:rPr>
          <w:rFonts w:cs="Arial"/>
        </w:rPr>
        <w:t xml:space="preserve"> </w:t>
      </w:r>
      <w:r w:rsidRPr="00503B5D">
        <w:rPr>
          <w:rFonts w:cs="Arial"/>
        </w:rPr>
        <w:t>below.</w:t>
      </w:r>
    </w:p>
    <w:p w:rsidR="004654AF" w:rsidRDefault="003C7C58" w:rsidP="004654AF">
      <w:pPr>
        <w:keepNext/>
        <w:tabs>
          <w:tab w:val="left" w:pos="720"/>
        </w:tabs>
        <w:spacing w:before="120"/>
        <w:jc w:val="both"/>
      </w:pPr>
      <w:r>
        <w:rPr>
          <w:rFonts w:cs="Arial"/>
          <w:noProof/>
          <w:sz w:val="22"/>
          <w:szCs w:val="22"/>
        </w:rPr>
        <w:drawing>
          <wp:inline distT="0" distB="0" distL="0" distR="0">
            <wp:extent cx="5486400" cy="2305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86400" cy="2305050"/>
                    </a:xfrm>
                    <a:prstGeom prst="rect">
                      <a:avLst/>
                    </a:prstGeom>
                    <a:noFill/>
                    <a:ln>
                      <a:noFill/>
                    </a:ln>
                  </pic:spPr>
                </pic:pic>
              </a:graphicData>
            </a:graphic>
          </wp:inline>
        </w:drawing>
      </w:r>
    </w:p>
    <w:p w:rsidR="00B21B1E" w:rsidRPr="002E1D8D" w:rsidRDefault="004654AF" w:rsidP="00100EDF">
      <w:pPr>
        <w:pStyle w:val="Caption"/>
        <w:rPr>
          <w:rFonts w:cs="Arial"/>
          <w:sz w:val="22"/>
          <w:szCs w:val="22"/>
        </w:rPr>
      </w:pPr>
      <w:bookmarkStart w:id="211" w:name="_Ref275542459"/>
      <w:r>
        <w:t xml:space="preserve">Figure </w:t>
      </w:r>
      <w:r w:rsidR="007A1FB6">
        <w:fldChar w:fldCharType="begin"/>
      </w:r>
      <w:r w:rsidR="008B139C">
        <w:instrText xml:space="preserve"> STYLEREF 1 \s </w:instrText>
      </w:r>
      <w:r w:rsidR="007A1FB6">
        <w:fldChar w:fldCharType="separate"/>
      </w:r>
      <w:r w:rsidR="00C0292F">
        <w:rPr>
          <w:noProof/>
        </w:rPr>
        <w:t>2</w:t>
      </w:r>
      <w:r w:rsidR="007A1FB6">
        <w:fldChar w:fldCharType="end"/>
      </w:r>
      <w:r w:rsidR="008B139C">
        <w:noBreakHyphen/>
      </w:r>
      <w:r w:rsidR="007A1FB6">
        <w:fldChar w:fldCharType="begin"/>
      </w:r>
      <w:r w:rsidR="008B139C">
        <w:instrText xml:space="preserve"> SEQ Figure \* ARABIC \s 1 </w:instrText>
      </w:r>
      <w:r w:rsidR="007A1FB6">
        <w:fldChar w:fldCharType="separate"/>
      </w:r>
      <w:r w:rsidR="00C0292F">
        <w:rPr>
          <w:noProof/>
        </w:rPr>
        <w:t>5</w:t>
      </w:r>
      <w:r w:rsidR="007A1FB6">
        <w:fldChar w:fldCharType="end"/>
      </w:r>
      <w:bookmarkEnd w:id="211"/>
      <w:r>
        <w:t xml:space="preserve">: </w:t>
      </w:r>
      <w:r w:rsidRPr="00643062">
        <w:t>Load shapes for hot water in residential buildings taken from a PJM study.</w:t>
      </w:r>
    </w:p>
    <w:p w:rsidR="00503B5D" w:rsidRPr="00FD3DDF" w:rsidRDefault="00503B5D" w:rsidP="00871FA2">
      <w:pPr>
        <w:pStyle w:val="Heading3"/>
      </w:pPr>
      <w:r w:rsidRPr="00FD3DDF">
        <w:t>Deemed Savings</w:t>
      </w:r>
    </w:p>
    <w:p w:rsidR="00503B5D" w:rsidRPr="00AA2C40" w:rsidRDefault="00503B5D" w:rsidP="00503B5D">
      <w:pPr>
        <w:pStyle w:val="Equation"/>
        <w:rPr>
          <w:rFonts w:cs="Arial"/>
          <w:szCs w:val="20"/>
        </w:rPr>
      </w:pPr>
      <w:r w:rsidRPr="00AA2C40">
        <w:rPr>
          <w:rFonts w:cs="Arial"/>
          <w:szCs w:val="20"/>
        </w:rPr>
        <w:t xml:space="preserve">ΔkWh </w:t>
      </w:r>
      <w:r w:rsidRPr="00AA2C40">
        <w:rPr>
          <w:rFonts w:cs="Arial"/>
          <w:szCs w:val="20"/>
        </w:rPr>
        <w:tab/>
      </w:r>
      <w:r w:rsidRPr="00AA2C40">
        <w:rPr>
          <w:rFonts w:cs="Arial"/>
          <w:szCs w:val="20"/>
        </w:rPr>
        <w:tab/>
        <w:t>= 461 kWh</w:t>
      </w:r>
      <w:r w:rsidR="00AA3D6E" w:rsidRPr="00AA2C40">
        <w:rPr>
          <w:rFonts w:cs="Arial"/>
          <w:szCs w:val="20"/>
        </w:rPr>
        <w:t xml:space="preserve"> (assuming 1.5 GPM showerhead)</w:t>
      </w:r>
    </w:p>
    <w:p w:rsidR="00503B5D" w:rsidRPr="00AA2C40" w:rsidRDefault="00503B5D" w:rsidP="00503B5D">
      <w:pPr>
        <w:pStyle w:val="Equation"/>
        <w:rPr>
          <w:rFonts w:cs="Arial"/>
          <w:szCs w:val="20"/>
        </w:rPr>
      </w:pPr>
      <w:r w:rsidRPr="00AA2C40">
        <w:rPr>
          <w:rFonts w:cs="Arial"/>
          <w:szCs w:val="20"/>
        </w:rPr>
        <w:t>ΔkW</w:t>
      </w:r>
      <w:r w:rsidRPr="00AA2C40">
        <w:rPr>
          <w:rFonts w:cs="Arial"/>
          <w:szCs w:val="20"/>
        </w:rPr>
        <w:tab/>
      </w:r>
      <w:r w:rsidRPr="00AA2C40">
        <w:rPr>
          <w:rFonts w:cs="Arial"/>
          <w:szCs w:val="20"/>
        </w:rPr>
        <w:tab/>
        <w:t>= 0.042 kW</w:t>
      </w:r>
      <w:r w:rsidR="00AA3D6E" w:rsidRPr="00AA2C40">
        <w:rPr>
          <w:rFonts w:cs="Arial"/>
          <w:szCs w:val="20"/>
        </w:rPr>
        <w:t xml:space="preserve"> (assuming 1.5 GPM showerhead)</w:t>
      </w:r>
    </w:p>
    <w:p w:rsidR="00B21B1E" w:rsidRPr="002E1D8D" w:rsidRDefault="00B21B1E" w:rsidP="00871FA2">
      <w:pPr>
        <w:pStyle w:val="Heading3"/>
      </w:pPr>
      <w:r w:rsidRPr="002E1D8D">
        <w:t>Measure Life</w:t>
      </w:r>
    </w:p>
    <w:p w:rsidR="00B21B1E" w:rsidRPr="002E1D8D" w:rsidRDefault="00B21B1E" w:rsidP="006175FC">
      <w:pPr>
        <w:pStyle w:val="BodyText"/>
      </w:pPr>
      <w:r w:rsidRPr="002E1D8D">
        <w:t>According to</w:t>
      </w:r>
      <w:r>
        <w:t xml:space="preserve"> the Efficiency Vermont </w:t>
      </w:r>
      <w:r w:rsidRPr="00403CCF">
        <w:t>Technical Reference User Manual (TRM)</w:t>
      </w:r>
      <w:r>
        <w:t xml:space="preserve">, the expected measure life is </w:t>
      </w:r>
      <w:r w:rsidRPr="00403CCF">
        <w:rPr>
          <w:b/>
        </w:rPr>
        <w:t>9</w:t>
      </w:r>
      <w:r w:rsidRPr="002E1D8D">
        <w:rPr>
          <w:b/>
        </w:rPr>
        <w:t xml:space="preserve"> years</w:t>
      </w:r>
      <w:r w:rsidR="006175FC">
        <w:rPr>
          <w:rStyle w:val="FootnoteReference"/>
          <w:b/>
          <w:sz w:val="22"/>
          <w:szCs w:val="22"/>
        </w:rPr>
        <w:footnoteReference w:id="35"/>
      </w:r>
      <w:r w:rsidRPr="002E1D8D">
        <w:t>.</w:t>
      </w:r>
    </w:p>
    <w:p w:rsidR="00B21B1E" w:rsidRPr="002E1D8D" w:rsidRDefault="00B21B1E" w:rsidP="00871FA2">
      <w:pPr>
        <w:pStyle w:val="Heading3"/>
      </w:pPr>
      <w:r w:rsidRPr="002E1D8D">
        <w:t>Evaluation Protocols</w:t>
      </w:r>
    </w:p>
    <w:p w:rsidR="00B21B1E" w:rsidRPr="002E1D8D" w:rsidRDefault="00B21B1E" w:rsidP="006175FC">
      <w:pPr>
        <w:pStyle w:val="BodyText"/>
      </w:pPr>
      <w:r w:rsidRPr="002E1D8D">
        <w:t xml:space="preserve">The most appropriate evaluation protocol for this measure is verification of installation coupled with </w:t>
      </w:r>
      <w:r w:rsidRPr="000227F8">
        <w:t>assignment of stipulated energy savings.</w:t>
      </w:r>
    </w:p>
    <w:p w:rsidR="00B21B1E" w:rsidRDefault="00B21B1E" w:rsidP="00EB6106">
      <w:pPr>
        <w:pStyle w:val="BodyText"/>
      </w:pPr>
    </w:p>
    <w:p w:rsidR="007E7BD6" w:rsidRDefault="006175FC" w:rsidP="00E568D4">
      <w:pPr>
        <w:pStyle w:val="Heading2"/>
      </w:pPr>
      <w:r>
        <w:br w:type="page"/>
      </w:r>
      <w:bookmarkStart w:id="212" w:name="_Toc271723502"/>
      <w:bookmarkStart w:id="213" w:name="_Toc310875410"/>
      <w:r w:rsidR="007E7BD6" w:rsidRPr="00F563CA">
        <w:lastRenderedPageBreak/>
        <w:t>Programmable Thermostat</w:t>
      </w:r>
      <w:bookmarkEnd w:id="212"/>
      <w:bookmarkEnd w:id="213"/>
      <w:r w:rsidR="007E7BD6" w:rsidRPr="00F563CA">
        <w:t xml:space="preserve"> </w:t>
      </w:r>
    </w:p>
    <w:tbl>
      <w:tblPr>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4428"/>
        <w:gridCol w:w="4428"/>
      </w:tblGrid>
      <w:tr w:rsidR="007E7BD6" w:rsidRPr="00C465DB" w:rsidTr="00F84A22">
        <w:tc>
          <w:tcPr>
            <w:tcW w:w="4428" w:type="dxa"/>
            <w:tcBorders>
              <w:top w:val="single" w:sz="8" w:space="0" w:color="404040"/>
              <w:left w:val="single" w:sz="8" w:space="0" w:color="404040"/>
              <w:bottom w:val="single" w:sz="8" w:space="0" w:color="404040"/>
              <w:right w:val="single" w:sz="8" w:space="0" w:color="404040"/>
            </w:tcBorders>
            <w:shd w:val="clear" w:color="auto" w:fill="BFBFBF"/>
          </w:tcPr>
          <w:p w:rsidR="007E7BD6" w:rsidRPr="001D6512" w:rsidRDefault="007E7BD6" w:rsidP="00F84A22">
            <w:pPr>
              <w:pStyle w:val="TableCell"/>
              <w:spacing w:before="60" w:after="60"/>
              <w:rPr>
                <w:b/>
                <w:bCs/>
              </w:rPr>
            </w:pPr>
            <w:r w:rsidRPr="001D6512">
              <w:rPr>
                <w:b/>
                <w:bCs/>
              </w:rPr>
              <w:t>Measure Name</w:t>
            </w:r>
          </w:p>
        </w:tc>
        <w:tc>
          <w:tcPr>
            <w:tcW w:w="4428" w:type="dxa"/>
            <w:tcBorders>
              <w:top w:val="single" w:sz="8" w:space="0" w:color="404040"/>
              <w:left w:val="single" w:sz="8" w:space="0" w:color="404040"/>
              <w:bottom w:val="single" w:sz="8" w:space="0" w:color="404040"/>
              <w:right w:val="single" w:sz="8" w:space="0" w:color="404040"/>
            </w:tcBorders>
            <w:shd w:val="clear" w:color="auto" w:fill="BFBFBF"/>
          </w:tcPr>
          <w:p w:rsidR="007E7BD6" w:rsidRPr="001D6512" w:rsidRDefault="000F6E91" w:rsidP="001C7818">
            <w:pPr>
              <w:pStyle w:val="TableCell"/>
              <w:spacing w:before="60" w:after="60"/>
              <w:rPr>
                <w:b/>
                <w:bCs/>
              </w:rPr>
            </w:pPr>
            <w:r w:rsidRPr="001D6512">
              <w:rPr>
                <w:b/>
                <w:bCs/>
              </w:rPr>
              <w:t>Programmable Thermostat</w:t>
            </w:r>
          </w:p>
        </w:tc>
      </w:tr>
      <w:tr w:rsidR="007E7BD6" w:rsidRPr="00C465DB" w:rsidTr="00F84A22">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7E7BD6" w:rsidRPr="00865117" w:rsidRDefault="007E7BD6" w:rsidP="00F84A22">
            <w:pPr>
              <w:pStyle w:val="TableCell"/>
              <w:spacing w:before="60" w:after="60"/>
              <w:rPr>
                <w:b/>
                <w:bCs/>
                <w:color w:val="000000"/>
              </w:rPr>
            </w:pPr>
            <w:r w:rsidRPr="00865117">
              <w:rPr>
                <w:b/>
                <w:bCs/>
                <w:color w:val="000000"/>
              </w:rPr>
              <w:t>Target Sector</w:t>
            </w:r>
          </w:p>
        </w:tc>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7E7BD6" w:rsidRPr="001D6512" w:rsidRDefault="007E7BD6" w:rsidP="00F84A22">
            <w:pPr>
              <w:pStyle w:val="TableCell"/>
              <w:spacing w:before="60" w:after="60"/>
              <w:rPr>
                <w:color w:val="000000"/>
              </w:rPr>
            </w:pPr>
            <w:r w:rsidRPr="001D6512">
              <w:rPr>
                <w:color w:val="000000"/>
              </w:rPr>
              <w:t>Residential Establishments</w:t>
            </w:r>
          </w:p>
        </w:tc>
      </w:tr>
      <w:tr w:rsidR="007E7BD6" w:rsidRPr="00C465DB" w:rsidTr="00F84A22">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7E7BD6" w:rsidRPr="00865117" w:rsidRDefault="007E7BD6" w:rsidP="00F84A22">
            <w:pPr>
              <w:pStyle w:val="TableCell"/>
              <w:spacing w:before="60" w:after="60"/>
              <w:rPr>
                <w:b/>
                <w:bCs/>
                <w:color w:val="000000"/>
              </w:rPr>
            </w:pPr>
            <w:r w:rsidRPr="00865117">
              <w:rPr>
                <w:b/>
                <w:bCs/>
                <w:color w:val="000000"/>
              </w:rPr>
              <w:t>Measure Unit</w:t>
            </w:r>
          </w:p>
        </w:tc>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7E7BD6" w:rsidRPr="001D6512" w:rsidRDefault="007E7BD6" w:rsidP="001C7818">
            <w:pPr>
              <w:pStyle w:val="TableCell"/>
              <w:spacing w:before="60" w:after="60"/>
              <w:rPr>
                <w:color w:val="000000"/>
              </w:rPr>
            </w:pPr>
            <w:r w:rsidRPr="001D6512">
              <w:rPr>
                <w:color w:val="000000"/>
              </w:rPr>
              <w:t>Programmable Thermostat</w:t>
            </w:r>
          </w:p>
        </w:tc>
      </w:tr>
      <w:tr w:rsidR="007E7BD6" w:rsidRPr="00C465DB" w:rsidTr="00F84A22">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7E7BD6" w:rsidRPr="00865117" w:rsidRDefault="007E7BD6" w:rsidP="00F84A22">
            <w:pPr>
              <w:pStyle w:val="TableCell"/>
              <w:spacing w:before="60" w:after="60"/>
              <w:rPr>
                <w:b/>
                <w:bCs/>
                <w:color w:val="000000"/>
              </w:rPr>
            </w:pPr>
            <w:r w:rsidRPr="00865117">
              <w:rPr>
                <w:b/>
                <w:bCs/>
                <w:color w:val="000000"/>
              </w:rPr>
              <w:t>Unit Energy Savings</w:t>
            </w:r>
          </w:p>
        </w:tc>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7E7BD6" w:rsidRPr="001D6512" w:rsidRDefault="007E7BD6" w:rsidP="00F84A22">
            <w:pPr>
              <w:pStyle w:val="TableCell"/>
              <w:spacing w:before="60" w:after="60"/>
              <w:rPr>
                <w:i/>
                <w:color w:val="000000"/>
              </w:rPr>
            </w:pPr>
            <w:r w:rsidRPr="001D6512">
              <w:rPr>
                <w:i/>
                <w:color w:val="000000"/>
              </w:rPr>
              <w:t>Varies</w:t>
            </w:r>
          </w:p>
        </w:tc>
      </w:tr>
      <w:tr w:rsidR="007E7BD6" w:rsidRPr="00C465DB" w:rsidTr="00F84A22">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7E7BD6" w:rsidRPr="00865117" w:rsidRDefault="007E7BD6" w:rsidP="00F84A22">
            <w:pPr>
              <w:pStyle w:val="TableCell"/>
              <w:spacing w:before="60" w:after="60"/>
              <w:rPr>
                <w:b/>
                <w:bCs/>
                <w:color w:val="000000"/>
              </w:rPr>
            </w:pPr>
            <w:r w:rsidRPr="00865117">
              <w:rPr>
                <w:b/>
                <w:bCs/>
                <w:color w:val="000000"/>
              </w:rPr>
              <w:t>Unit Peak Demand Reduction</w:t>
            </w:r>
          </w:p>
        </w:tc>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7E7BD6" w:rsidRPr="001D6512" w:rsidRDefault="007E7BD6" w:rsidP="00F84A22">
            <w:pPr>
              <w:pStyle w:val="TableCell"/>
              <w:spacing w:before="60" w:after="60"/>
              <w:rPr>
                <w:i/>
                <w:color w:val="000000"/>
              </w:rPr>
            </w:pPr>
            <w:r w:rsidRPr="001D6512">
              <w:rPr>
                <w:i/>
                <w:color w:val="000000"/>
              </w:rPr>
              <w:t xml:space="preserve">Varies </w:t>
            </w:r>
          </w:p>
        </w:tc>
      </w:tr>
      <w:tr w:rsidR="007E7BD6" w:rsidRPr="00C465DB" w:rsidTr="00F84A22">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7E7BD6" w:rsidRPr="00865117" w:rsidRDefault="007E7BD6" w:rsidP="00F84A22">
            <w:pPr>
              <w:pStyle w:val="TableCell"/>
              <w:spacing w:before="60" w:after="60"/>
              <w:rPr>
                <w:b/>
                <w:bCs/>
                <w:color w:val="000000"/>
              </w:rPr>
            </w:pPr>
            <w:r w:rsidRPr="00865117">
              <w:rPr>
                <w:b/>
                <w:bCs/>
                <w:color w:val="000000"/>
              </w:rPr>
              <w:t>Measure Life</w:t>
            </w:r>
          </w:p>
        </w:tc>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7E7BD6" w:rsidRPr="001D6512" w:rsidRDefault="007E7BD6" w:rsidP="00F84A22">
            <w:pPr>
              <w:pStyle w:val="TableCell"/>
              <w:spacing w:before="60" w:after="60"/>
              <w:rPr>
                <w:color w:val="000000"/>
              </w:rPr>
            </w:pPr>
            <w:r w:rsidRPr="001D6512">
              <w:rPr>
                <w:color w:val="000000"/>
              </w:rPr>
              <w:t>11</w:t>
            </w:r>
          </w:p>
        </w:tc>
      </w:tr>
    </w:tbl>
    <w:p w:rsidR="007E7BD6" w:rsidRDefault="007E7BD6" w:rsidP="00CF56BD">
      <w:pPr>
        <w:spacing w:after="0" w:line="276" w:lineRule="auto"/>
        <w:rPr>
          <w:rFonts w:ascii="Calibri" w:eastAsia="Calibri" w:hAnsi="Calibri"/>
          <w:sz w:val="22"/>
          <w:szCs w:val="22"/>
        </w:rPr>
      </w:pPr>
    </w:p>
    <w:p w:rsidR="007E7BD6" w:rsidRPr="00F563CA" w:rsidRDefault="007E7BD6" w:rsidP="007E7BD6">
      <w:pPr>
        <w:pStyle w:val="BodyText"/>
        <w:rPr>
          <w:rFonts w:eastAsia="Calibri"/>
        </w:rPr>
      </w:pPr>
      <w:r w:rsidRPr="00F563CA">
        <w:rPr>
          <w:rFonts w:eastAsia="Calibri"/>
        </w:rPr>
        <w:t xml:space="preserve">Programmable thermostats are used to control heating and/or cooling loads in residential buildings by </w:t>
      </w:r>
      <w:r w:rsidR="001C7818">
        <w:rPr>
          <w:rFonts w:eastAsia="Calibri"/>
        </w:rPr>
        <w:t xml:space="preserve">modifying </w:t>
      </w:r>
      <w:r w:rsidRPr="00F563CA">
        <w:rPr>
          <w:rFonts w:eastAsia="Calibri"/>
        </w:rPr>
        <w:t xml:space="preserve">the temperature </w:t>
      </w:r>
      <w:r w:rsidR="001C7818">
        <w:rPr>
          <w:rFonts w:eastAsia="Calibri"/>
        </w:rPr>
        <w:t xml:space="preserve">set-points </w:t>
      </w:r>
      <w:r w:rsidRPr="00F563CA">
        <w:rPr>
          <w:rFonts w:eastAsia="Calibri"/>
        </w:rPr>
        <w:t>during specified unoccupied and nighttime hours. These units are expected to replace a manual thermostat and the savings assume an existing ducted HVAC system; however, the option exists to input higher efficiency levels if coupled with a newer unit. The EDCs will strive to educate the customers to use manufacturer default setback and setup settings.</w:t>
      </w:r>
    </w:p>
    <w:p w:rsidR="007E7BD6" w:rsidRPr="00FE4EB3" w:rsidRDefault="007E7BD6" w:rsidP="00871FA2">
      <w:pPr>
        <w:pStyle w:val="Heading3"/>
      </w:pPr>
      <w:r w:rsidRPr="00FE4EB3">
        <w:t>Algorithms</w:t>
      </w:r>
    </w:p>
    <w:p w:rsidR="0067122B" w:rsidRPr="0067122B" w:rsidRDefault="0067122B" w:rsidP="004654AF">
      <w:pPr>
        <w:pStyle w:val="Equation"/>
        <w:rPr>
          <w:rFonts w:cs="Arial"/>
          <w:szCs w:val="20"/>
          <w:vertAlign w:val="subscript"/>
        </w:rPr>
      </w:pPr>
      <w:r w:rsidRPr="00AA2C40">
        <w:rPr>
          <w:rFonts w:cs="Arial"/>
          <w:szCs w:val="20"/>
        </w:rPr>
        <w:sym w:font="Symbol" w:char="F044"/>
      </w:r>
      <w:r w:rsidRPr="00AA2C40">
        <w:rPr>
          <w:rFonts w:cs="Arial"/>
          <w:szCs w:val="20"/>
        </w:rPr>
        <w:t>kWh</w:t>
      </w:r>
      <w:r>
        <w:rPr>
          <w:rFonts w:cs="Arial"/>
          <w:szCs w:val="20"/>
        </w:rPr>
        <w:tab/>
      </w:r>
      <w:r>
        <w:rPr>
          <w:rFonts w:cs="Arial"/>
          <w:szCs w:val="20"/>
        </w:rPr>
        <w:tab/>
        <w:t xml:space="preserve">= </w:t>
      </w:r>
      <w:r w:rsidRPr="00AA2C40">
        <w:rPr>
          <w:rFonts w:cs="Arial"/>
          <w:szCs w:val="20"/>
        </w:rPr>
        <w:sym w:font="Symbol" w:char="F044"/>
      </w:r>
      <w:r w:rsidRPr="00AA2C40">
        <w:rPr>
          <w:rFonts w:cs="Arial"/>
          <w:szCs w:val="20"/>
        </w:rPr>
        <w:t>kWh</w:t>
      </w:r>
      <w:r>
        <w:rPr>
          <w:rFonts w:cs="Arial"/>
          <w:szCs w:val="20"/>
          <w:vertAlign w:val="subscript"/>
        </w:rPr>
        <w:t>COOL</w:t>
      </w:r>
      <w:r>
        <w:rPr>
          <w:rFonts w:cs="Arial"/>
          <w:szCs w:val="20"/>
        </w:rPr>
        <w:t xml:space="preserve"> + </w:t>
      </w:r>
      <w:r w:rsidRPr="00AA2C40">
        <w:rPr>
          <w:rFonts w:cs="Arial"/>
          <w:szCs w:val="20"/>
        </w:rPr>
        <w:sym w:font="Symbol" w:char="F044"/>
      </w:r>
      <w:r w:rsidRPr="00AA2C40">
        <w:rPr>
          <w:rFonts w:cs="Arial"/>
          <w:szCs w:val="20"/>
        </w:rPr>
        <w:t>kWh</w:t>
      </w:r>
      <w:r>
        <w:rPr>
          <w:rFonts w:cs="Arial"/>
          <w:szCs w:val="20"/>
          <w:vertAlign w:val="subscript"/>
        </w:rPr>
        <w:t>HEAT</w:t>
      </w:r>
    </w:p>
    <w:p w:rsidR="007E7BD6" w:rsidRDefault="00503B5D" w:rsidP="004654AF">
      <w:pPr>
        <w:pStyle w:val="Equation"/>
        <w:rPr>
          <w:rFonts w:cs="Arial"/>
          <w:szCs w:val="20"/>
        </w:rPr>
      </w:pPr>
      <w:r w:rsidRPr="00AA2C40">
        <w:rPr>
          <w:rFonts w:cs="Arial"/>
          <w:szCs w:val="20"/>
        </w:rPr>
        <w:sym w:font="Symbol" w:char="F044"/>
      </w:r>
      <w:r w:rsidRPr="00AA2C40">
        <w:rPr>
          <w:rFonts w:cs="Arial"/>
          <w:szCs w:val="20"/>
        </w:rPr>
        <w:t>kWh</w:t>
      </w:r>
      <w:r w:rsidR="0067122B" w:rsidRPr="0067122B">
        <w:rPr>
          <w:rFonts w:cs="Arial"/>
          <w:szCs w:val="20"/>
          <w:vertAlign w:val="subscript"/>
        </w:rPr>
        <w:t>COOL</w:t>
      </w:r>
      <w:r w:rsidRPr="00AA2C40">
        <w:rPr>
          <w:rFonts w:cs="Arial"/>
          <w:szCs w:val="20"/>
        </w:rPr>
        <w:tab/>
      </w:r>
      <w:r w:rsidR="007E7BD6" w:rsidRPr="00AA2C40">
        <w:rPr>
          <w:rFonts w:cs="Arial"/>
          <w:szCs w:val="20"/>
        </w:rPr>
        <w:t>= CAP</w:t>
      </w:r>
      <w:r w:rsidR="007E7BD6" w:rsidRPr="00AA2C40">
        <w:rPr>
          <w:rFonts w:cs="Arial"/>
          <w:szCs w:val="20"/>
          <w:vertAlign w:val="subscript"/>
        </w:rPr>
        <w:t>COOL</w:t>
      </w:r>
      <w:r w:rsidR="0067122B">
        <w:rPr>
          <w:rFonts w:cs="Arial"/>
          <w:szCs w:val="20"/>
        </w:rPr>
        <w:t>/1000</w:t>
      </w:r>
      <w:r w:rsidR="007E7BD6" w:rsidRPr="00AA2C40">
        <w:rPr>
          <w:rFonts w:cs="Arial"/>
          <w:szCs w:val="20"/>
        </w:rPr>
        <w:t xml:space="preserve"> X (1/(</w:t>
      </w:r>
      <w:r w:rsidR="0067122B">
        <w:rPr>
          <w:rFonts w:cs="Arial"/>
          <w:szCs w:val="20"/>
        </w:rPr>
        <w:t>S</w:t>
      </w:r>
      <w:r w:rsidR="007E7BD6" w:rsidRPr="00AA2C40">
        <w:rPr>
          <w:rFonts w:cs="Arial"/>
          <w:szCs w:val="20"/>
        </w:rPr>
        <w:t>EER x Eff</w:t>
      </w:r>
      <w:r w:rsidR="007E7BD6" w:rsidRPr="00AA2C40">
        <w:rPr>
          <w:rFonts w:cs="Arial"/>
          <w:szCs w:val="20"/>
          <w:vertAlign w:val="subscript"/>
        </w:rPr>
        <w:t>duct</w:t>
      </w:r>
      <w:r w:rsidR="007E7BD6" w:rsidRPr="00AA2C40">
        <w:rPr>
          <w:rFonts w:cs="Arial"/>
          <w:szCs w:val="20"/>
        </w:rPr>
        <w:t>) X EFLH</w:t>
      </w:r>
      <w:r w:rsidR="002D3370">
        <w:rPr>
          <w:rFonts w:cs="Arial"/>
          <w:szCs w:val="20"/>
          <w:vertAlign w:val="subscript"/>
        </w:rPr>
        <w:t>COOL</w:t>
      </w:r>
      <w:r w:rsidR="007E7BD6" w:rsidRPr="00AA2C40">
        <w:rPr>
          <w:rFonts w:cs="Arial"/>
          <w:szCs w:val="20"/>
        </w:rPr>
        <w:t xml:space="preserve"> X ESF</w:t>
      </w:r>
      <w:r w:rsidR="007E7BD6" w:rsidRPr="00AA2C40">
        <w:rPr>
          <w:rFonts w:cs="Arial"/>
          <w:szCs w:val="20"/>
          <w:vertAlign w:val="subscript"/>
        </w:rPr>
        <w:t>COOL</w:t>
      </w:r>
      <w:r w:rsidR="007E7BD6" w:rsidRPr="00AA2C40">
        <w:rPr>
          <w:rFonts w:cs="Arial"/>
          <w:szCs w:val="20"/>
        </w:rPr>
        <w:t xml:space="preserve"> </w:t>
      </w:r>
    </w:p>
    <w:p w:rsidR="0067122B" w:rsidRPr="0067122B" w:rsidRDefault="0067122B" w:rsidP="004654AF">
      <w:pPr>
        <w:pStyle w:val="Equation"/>
        <w:rPr>
          <w:rFonts w:cs="Arial"/>
          <w:szCs w:val="20"/>
          <w:vertAlign w:val="subscript"/>
        </w:rPr>
      </w:pPr>
      <w:r w:rsidRPr="00AA2C40">
        <w:rPr>
          <w:rFonts w:cs="Arial"/>
          <w:szCs w:val="20"/>
        </w:rPr>
        <w:sym w:font="Symbol" w:char="F044"/>
      </w:r>
      <w:r w:rsidRPr="00AA2C40">
        <w:rPr>
          <w:rFonts w:cs="Arial"/>
          <w:szCs w:val="20"/>
        </w:rPr>
        <w:t>kWh</w:t>
      </w:r>
      <w:r>
        <w:rPr>
          <w:rFonts w:cs="Arial"/>
          <w:szCs w:val="20"/>
          <w:vertAlign w:val="subscript"/>
        </w:rPr>
        <w:t>HEAT</w:t>
      </w:r>
      <w:r>
        <w:rPr>
          <w:rFonts w:cs="Arial"/>
          <w:szCs w:val="20"/>
        </w:rPr>
        <w:tab/>
        <w:t xml:space="preserve">= </w:t>
      </w:r>
      <w:r w:rsidRPr="00AA2C40">
        <w:rPr>
          <w:rFonts w:cs="Arial"/>
          <w:szCs w:val="20"/>
        </w:rPr>
        <w:t>CAP</w:t>
      </w:r>
      <w:r w:rsidRPr="00AA2C40">
        <w:rPr>
          <w:rFonts w:cs="Arial"/>
          <w:szCs w:val="20"/>
          <w:vertAlign w:val="subscript"/>
        </w:rPr>
        <w:t>HEAT</w:t>
      </w:r>
      <w:r>
        <w:rPr>
          <w:rFonts w:cs="Arial"/>
          <w:szCs w:val="20"/>
        </w:rPr>
        <w:t>/1000</w:t>
      </w:r>
      <w:r w:rsidRPr="00AA2C40">
        <w:rPr>
          <w:rFonts w:cs="Arial"/>
          <w:szCs w:val="20"/>
        </w:rPr>
        <w:t xml:space="preserve"> X (1/(</w:t>
      </w:r>
      <w:r>
        <w:rPr>
          <w:rFonts w:cs="Arial"/>
          <w:szCs w:val="20"/>
        </w:rPr>
        <w:t>HSPF</w:t>
      </w:r>
      <w:r w:rsidRPr="00AA2C40">
        <w:rPr>
          <w:rFonts w:cs="Arial"/>
          <w:szCs w:val="20"/>
        </w:rPr>
        <w:t xml:space="preserve"> X Eff</w:t>
      </w:r>
      <w:r w:rsidRPr="00AA2C40">
        <w:rPr>
          <w:rFonts w:cs="Arial"/>
          <w:szCs w:val="20"/>
          <w:vertAlign w:val="subscript"/>
        </w:rPr>
        <w:t>duct</w:t>
      </w:r>
      <w:r w:rsidRPr="00AA2C40">
        <w:rPr>
          <w:rFonts w:cs="Arial"/>
          <w:szCs w:val="20"/>
        </w:rPr>
        <w:t>)) X EFLH</w:t>
      </w:r>
      <w:r>
        <w:rPr>
          <w:rFonts w:cs="Arial"/>
          <w:szCs w:val="20"/>
          <w:vertAlign w:val="subscript"/>
        </w:rPr>
        <w:t>HEAT</w:t>
      </w:r>
      <w:r w:rsidRPr="00AA2C40">
        <w:rPr>
          <w:rFonts w:cs="Arial"/>
          <w:szCs w:val="20"/>
        </w:rPr>
        <w:t xml:space="preserve"> X ESF</w:t>
      </w:r>
      <w:r w:rsidRPr="00AA2C40">
        <w:rPr>
          <w:rFonts w:cs="Arial"/>
          <w:szCs w:val="20"/>
          <w:vertAlign w:val="subscript"/>
        </w:rPr>
        <w:t>HEAT</w:t>
      </w:r>
    </w:p>
    <w:p w:rsidR="007E7BD6" w:rsidRPr="00AA2C40" w:rsidRDefault="00503B5D" w:rsidP="00F7332F">
      <w:pPr>
        <w:pStyle w:val="Equation"/>
        <w:rPr>
          <w:rFonts w:cs="Arial"/>
          <w:szCs w:val="20"/>
        </w:rPr>
      </w:pPr>
      <w:r w:rsidRPr="00AA2C40">
        <w:rPr>
          <w:rFonts w:cs="Arial"/>
          <w:szCs w:val="20"/>
        </w:rPr>
        <w:sym w:font="Symbol" w:char="F044"/>
      </w:r>
      <w:r w:rsidRPr="00AA2C40">
        <w:rPr>
          <w:rFonts w:cs="Arial"/>
          <w:szCs w:val="20"/>
        </w:rPr>
        <w:t>kW</w:t>
      </w:r>
      <w:r w:rsidRPr="00AA2C40">
        <w:rPr>
          <w:rFonts w:cs="Arial"/>
          <w:szCs w:val="20"/>
          <w:vertAlign w:val="subscript"/>
        </w:rPr>
        <w:t>peak</w:t>
      </w:r>
      <w:r w:rsidRPr="00AA2C40" w:rsidDel="00503B5D">
        <w:rPr>
          <w:rFonts w:cs="Arial"/>
          <w:szCs w:val="20"/>
        </w:rPr>
        <w:t xml:space="preserve"> </w:t>
      </w:r>
      <w:r w:rsidRPr="00AA2C40">
        <w:rPr>
          <w:rFonts w:cs="Arial"/>
          <w:szCs w:val="20"/>
        </w:rPr>
        <w:tab/>
      </w:r>
      <w:r w:rsidR="007E7BD6" w:rsidRPr="00AA2C40">
        <w:rPr>
          <w:rFonts w:cs="Arial"/>
          <w:szCs w:val="20"/>
        </w:rPr>
        <w:t xml:space="preserve">= </w:t>
      </w:r>
      <w:r w:rsidRPr="00AA2C40">
        <w:rPr>
          <w:rFonts w:cs="Arial"/>
          <w:szCs w:val="20"/>
        </w:rPr>
        <w:t>0</w:t>
      </w:r>
    </w:p>
    <w:p w:rsidR="007E7BD6" w:rsidRPr="00AA2C40" w:rsidRDefault="00503B5D" w:rsidP="00871FA2">
      <w:pPr>
        <w:pStyle w:val="Heading3"/>
      </w:pPr>
      <w:r w:rsidRPr="00AA2C40">
        <w:t>Definition of Terms</w:t>
      </w:r>
    </w:p>
    <w:p w:rsidR="0067122B" w:rsidRPr="00743796" w:rsidRDefault="004654AF" w:rsidP="0067122B">
      <w:pPr>
        <w:pStyle w:val="Equation"/>
        <w:rPr>
          <w:rFonts w:cs="Arial"/>
          <w:szCs w:val="20"/>
        </w:rPr>
      </w:pPr>
      <w:r w:rsidRPr="00AA2C40">
        <w:rPr>
          <w:rFonts w:cs="Arial"/>
          <w:szCs w:val="20"/>
        </w:rPr>
        <w:tab/>
      </w:r>
      <w:r w:rsidR="007E7BD6" w:rsidRPr="00AA2C40">
        <w:rPr>
          <w:rFonts w:cs="Arial"/>
          <w:szCs w:val="20"/>
        </w:rPr>
        <w:t>CAP</w:t>
      </w:r>
      <w:r w:rsidR="007E7BD6" w:rsidRPr="00AA2C40">
        <w:rPr>
          <w:rFonts w:cs="Arial"/>
          <w:szCs w:val="20"/>
          <w:vertAlign w:val="subscript"/>
        </w:rPr>
        <w:t>COOL</w:t>
      </w:r>
      <w:r w:rsidR="007E7BD6" w:rsidRPr="00AA2C40">
        <w:rPr>
          <w:rFonts w:cs="Arial"/>
          <w:szCs w:val="20"/>
        </w:rPr>
        <w:t xml:space="preserve"> </w:t>
      </w:r>
      <w:r w:rsidRPr="00AA2C40">
        <w:rPr>
          <w:rFonts w:cs="Arial"/>
          <w:szCs w:val="20"/>
        </w:rPr>
        <w:tab/>
      </w:r>
      <w:r w:rsidR="007E7BD6" w:rsidRPr="00AA2C40">
        <w:rPr>
          <w:rFonts w:cs="Arial"/>
          <w:szCs w:val="20"/>
        </w:rPr>
        <w:t xml:space="preserve">= </w:t>
      </w:r>
      <w:r w:rsidR="002D3370">
        <w:rPr>
          <w:rFonts w:cs="Arial"/>
          <w:szCs w:val="20"/>
        </w:rPr>
        <w:t>Capacity</w:t>
      </w:r>
      <w:r w:rsidR="002D3370" w:rsidRPr="00AA2C40">
        <w:rPr>
          <w:rFonts w:cs="Arial"/>
          <w:szCs w:val="20"/>
        </w:rPr>
        <w:t xml:space="preserve"> </w:t>
      </w:r>
      <w:r w:rsidR="007E7BD6" w:rsidRPr="00AA2C40">
        <w:rPr>
          <w:rFonts w:cs="Arial"/>
          <w:szCs w:val="20"/>
        </w:rPr>
        <w:t xml:space="preserve">of the air conditioning unit in </w:t>
      </w:r>
      <w:r w:rsidR="0067122B">
        <w:rPr>
          <w:rFonts w:cs="Arial"/>
          <w:szCs w:val="20"/>
        </w:rPr>
        <w:t>BTUh</w:t>
      </w:r>
      <w:r w:rsidR="007E7BD6" w:rsidRPr="00AA2C40">
        <w:rPr>
          <w:rFonts w:cs="Arial"/>
          <w:szCs w:val="20"/>
        </w:rPr>
        <w:t>, based on nameplate capacity</w:t>
      </w:r>
      <w:r w:rsidR="0067122B">
        <w:rPr>
          <w:rFonts w:cs="Arial"/>
          <w:szCs w:val="20"/>
        </w:rPr>
        <w:t>.</w:t>
      </w:r>
    </w:p>
    <w:p w:rsidR="002D3370" w:rsidRPr="0067122B" w:rsidRDefault="002D3370" w:rsidP="002D3370">
      <w:pPr>
        <w:pStyle w:val="Equation"/>
        <w:rPr>
          <w:rFonts w:cs="Arial"/>
          <w:szCs w:val="20"/>
        </w:rPr>
      </w:pPr>
      <w:r w:rsidRPr="00AA2C40">
        <w:rPr>
          <w:rFonts w:cs="Arial"/>
          <w:szCs w:val="20"/>
        </w:rPr>
        <w:tab/>
        <w:t>CAP</w:t>
      </w:r>
      <w:r w:rsidRPr="00AA2C40">
        <w:rPr>
          <w:rFonts w:cs="Arial"/>
          <w:szCs w:val="20"/>
          <w:vertAlign w:val="subscript"/>
        </w:rPr>
        <w:t>HEAT</w:t>
      </w:r>
      <w:r w:rsidRPr="00AA2C40">
        <w:rPr>
          <w:rFonts w:cs="Arial"/>
          <w:szCs w:val="20"/>
        </w:rPr>
        <w:t xml:space="preserve">  </w:t>
      </w:r>
      <w:r w:rsidRPr="00AA2C40">
        <w:rPr>
          <w:rFonts w:cs="Arial"/>
          <w:szCs w:val="20"/>
        </w:rPr>
        <w:tab/>
        <w:t xml:space="preserve">= </w:t>
      </w:r>
      <w:r w:rsidR="004A3985">
        <w:rPr>
          <w:rFonts w:cs="Arial"/>
          <w:szCs w:val="20"/>
        </w:rPr>
        <w:t>Nominal</w:t>
      </w:r>
      <w:r w:rsidRPr="00AA2C40">
        <w:rPr>
          <w:rFonts w:cs="Arial"/>
          <w:szCs w:val="20"/>
        </w:rPr>
        <w:t xml:space="preserve"> heating capacity of the electric furnace </w:t>
      </w:r>
      <w:r w:rsidR="0067122B">
        <w:rPr>
          <w:rFonts w:cs="Arial"/>
          <w:szCs w:val="20"/>
        </w:rPr>
        <w:t xml:space="preserve">in </w:t>
      </w:r>
      <w:r w:rsidRPr="00AA2C40">
        <w:rPr>
          <w:rFonts w:cs="Arial"/>
          <w:szCs w:val="20"/>
        </w:rPr>
        <w:t>B</w:t>
      </w:r>
      <w:r w:rsidR="0067122B">
        <w:rPr>
          <w:rFonts w:cs="Arial"/>
          <w:szCs w:val="20"/>
        </w:rPr>
        <w:t>TU</w:t>
      </w:r>
      <w:r w:rsidRPr="00AA2C40">
        <w:rPr>
          <w:rFonts w:cs="Arial"/>
          <w:szCs w:val="20"/>
        </w:rPr>
        <w:t>h</w:t>
      </w:r>
    </w:p>
    <w:p w:rsidR="004A3985" w:rsidRPr="00AA2C40" w:rsidRDefault="004A3985" w:rsidP="004A3985">
      <w:pPr>
        <w:pStyle w:val="Equation"/>
        <w:rPr>
          <w:rFonts w:cs="Arial"/>
          <w:szCs w:val="20"/>
        </w:rPr>
      </w:pPr>
      <w:r w:rsidRPr="00AA2C40">
        <w:rPr>
          <w:rFonts w:cs="Arial"/>
          <w:szCs w:val="20"/>
        </w:rPr>
        <w:tab/>
        <w:t>Eff</w:t>
      </w:r>
      <w:r w:rsidRPr="00AA2C40">
        <w:rPr>
          <w:rFonts w:cs="Arial"/>
          <w:szCs w:val="20"/>
          <w:vertAlign w:val="subscript"/>
        </w:rPr>
        <w:t>duct</w:t>
      </w:r>
      <w:r w:rsidRPr="00AA2C40">
        <w:rPr>
          <w:rFonts w:cs="Arial"/>
          <w:szCs w:val="20"/>
        </w:rPr>
        <w:t xml:space="preserve"> </w:t>
      </w:r>
      <w:r w:rsidRPr="00AA2C40">
        <w:rPr>
          <w:rFonts w:cs="Arial"/>
          <w:szCs w:val="20"/>
        </w:rPr>
        <w:tab/>
        <w:t xml:space="preserve">= </w:t>
      </w:r>
      <w:r>
        <w:rPr>
          <w:rFonts w:cs="Arial"/>
          <w:szCs w:val="20"/>
        </w:rPr>
        <w:t>Duct</w:t>
      </w:r>
      <w:r w:rsidRPr="00AA2C40">
        <w:rPr>
          <w:rFonts w:cs="Arial"/>
          <w:szCs w:val="20"/>
        </w:rPr>
        <w:t xml:space="preserve"> system efficiency</w:t>
      </w:r>
    </w:p>
    <w:p w:rsidR="007E7BD6" w:rsidRDefault="002D3370" w:rsidP="0067122B">
      <w:pPr>
        <w:pStyle w:val="Equation"/>
        <w:rPr>
          <w:rFonts w:cs="Arial"/>
          <w:szCs w:val="20"/>
        </w:rPr>
      </w:pPr>
      <w:r>
        <w:rPr>
          <w:rFonts w:cs="Arial"/>
          <w:szCs w:val="20"/>
        </w:rPr>
        <w:tab/>
      </w:r>
      <w:r w:rsidR="0067122B">
        <w:rPr>
          <w:rFonts w:cs="Arial"/>
          <w:szCs w:val="20"/>
        </w:rPr>
        <w:t>S</w:t>
      </w:r>
      <w:r w:rsidR="007E7BD6" w:rsidRPr="00AA2C40">
        <w:rPr>
          <w:rFonts w:cs="Arial"/>
          <w:szCs w:val="20"/>
        </w:rPr>
        <w:t xml:space="preserve">EER </w:t>
      </w:r>
      <w:r w:rsidR="004654AF" w:rsidRPr="00AA2C40">
        <w:rPr>
          <w:rFonts w:cs="Arial"/>
          <w:szCs w:val="20"/>
        </w:rPr>
        <w:tab/>
      </w:r>
      <w:r w:rsidR="007E7BD6" w:rsidRPr="00AA2C40">
        <w:rPr>
          <w:rFonts w:cs="Arial"/>
          <w:szCs w:val="20"/>
        </w:rPr>
        <w:t xml:space="preserve">= </w:t>
      </w:r>
      <w:r w:rsidR="0067122B">
        <w:rPr>
          <w:rFonts w:cs="Arial"/>
          <w:szCs w:val="20"/>
        </w:rPr>
        <w:t>Seasonal e</w:t>
      </w:r>
      <w:r>
        <w:rPr>
          <w:rFonts w:cs="Arial"/>
          <w:szCs w:val="20"/>
        </w:rPr>
        <w:t>nergy</w:t>
      </w:r>
      <w:r w:rsidR="007E7BD6" w:rsidRPr="00AA2C40">
        <w:rPr>
          <w:rFonts w:cs="Arial"/>
          <w:szCs w:val="20"/>
        </w:rPr>
        <w:t xml:space="preserve"> efficiency </w:t>
      </w:r>
      <w:r w:rsidRPr="00AA2C40">
        <w:rPr>
          <w:rFonts w:cs="Arial"/>
          <w:szCs w:val="20"/>
        </w:rPr>
        <w:t>rat</w:t>
      </w:r>
      <w:r>
        <w:rPr>
          <w:rFonts w:cs="Arial"/>
          <w:szCs w:val="20"/>
        </w:rPr>
        <w:t>io</w:t>
      </w:r>
      <w:r w:rsidRPr="00AA2C40">
        <w:rPr>
          <w:rFonts w:cs="Arial"/>
          <w:szCs w:val="20"/>
        </w:rPr>
        <w:t xml:space="preserve"> </w:t>
      </w:r>
      <w:r w:rsidR="007E7BD6" w:rsidRPr="00AA2C40">
        <w:rPr>
          <w:rFonts w:cs="Arial"/>
          <w:szCs w:val="20"/>
        </w:rPr>
        <w:t xml:space="preserve">of the </w:t>
      </w:r>
      <w:r w:rsidR="00B3700F">
        <w:rPr>
          <w:rFonts w:cs="Arial"/>
          <w:szCs w:val="20"/>
        </w:rPr>
        <w:t>cooling</w:t>
      </w:r>
      <w:r w:rsidRPr="00AA2C40">
        <w:rPr>
          <w:rFonts w:cs="Arial"/>
          <w:szCs w:val="20"/>
        </w:rPr>
        <w:t xml:space="preserve"> </w:t>
      </w:r>
      <w:r w:rsidR="007E7BD6" w:rsidRPr="00AA2C40">
        <w:rPr>
          <w:rFonts w:cs="Arial"/>
          <w:szCs w:val="20"/>
        </w:rPr>
        <w:t xml:space="preserve">unit.  </w:t>
      </w:r>
    </w:p>
    <w:p w:rsidR="0067122B" w:rsidRPr="0067122B" w:rsidRDefault="0067122B" w:rsidP="002D3370">
      <w:pPr>
        <w:pStyle w:val="Equation"/>
        <w:rPr>
          <w:rFonts w:cs="Arial"/>
          <w:szCs w:val="20"/>
        </w:rPr>
      </w:pPr>
      <w:r>
        <w:rPr>
          <w:rFonts w:cs="Arial"/>
          <w:szCs w:val="20"/>
        </w:rPr>
        <w:tab/>
        <w:t>HSPF</w:t>
      </w:r>
      <w:r>
        <w:rPr>
          <w:rFonts w:cs="Arial"/>
          <w:szCs w:val="20"/>
        </w:rPr>
        <w:tab/>
        <w:t>=</w:t>
      </w:r>
      <w:r w:rsidR="00B3700F" w:rsidRPr="00B3700F">
        <w:rPr>
          <w:rFonts w:cs="Arial"/>
          <w:szCs w:val="20"/>
        </w:rPr>
        <w:t xml:space="preserve"> </w:t>
      </w:r>
      <w:r w:rsidR="00B3700F" w:rsidRPr="00AA2C40">
        <w:rPr>
          <w:rFonts w:cs="Arial"/>
          <w:szCs w:val="20"/>
        </w:rPr>
        <w:t xml:space="preserve">Heating </w:t>
      </w:r>
      <w:r w:rsidR="00B3700F">
        <w:rPr>
          <w:rFonts w:cs="Arial"/>
          <w:szCs w:val="20"/>
        </w:rPr>
        <w:t>seasonal performance factor of the heating unit</w:t>
      </w:r>
      <w:r w:rsidR="00B3700F" w:rsidRPr="00AA2C40">
        <w:rPr>
          <w:rFonts w:cs="Arial"/>
          <w:szCs w:val="20"/>
        </w:rPr>
        <w:t>.</w:t>
      </w:r>
    </w:p>
    <w:p w:rsidR="007E7BD6" w:rsidRPr="00AA2C40" w:rsidRDefault="004654AF" w:rsidP="004654AF">
      <w:pPr>
        <w:pStyle w:val="Equation"/>
        <w:rPr>
          <w:rFonts w:cs="Arial"/>
          <w:szCs w:val="20"/>
        </w:rPr>
      </w:pPr>
      <w:r w:rsidRPr="00AA2C40">
        <w:rPr>
          <w:rFonts w:cs="Arial"/>
          <w:szCs w:val="20"/>
        </w:rPr>
        <w:tab/>
      </w:r>
      <w:r w:rsidR="007E7BD6" w:rsidRPr="00AA2C40">
        <w:rPr>
          <w:rFonts w:cs="Arial"/>
          <w:szCs w:val="20"/>
        </w:rPr>
        <w:t>ESF</w:t>
      </w:r>
      <w:r w:rsidR="007E7BD6" w:rsidRPr="00AA2C40">
        <w:rPr>
          <w:rFonts w:cs="Arial"/>
          <w:szCs w:val="20"/>
          <w:vertAlign w:val="subscript"/>
        </w:rPr>
        <w:t>COOL,HEAT</w:t>
      </w:r>
      <w:r w:rsidR="007E7BD6" w:rsidRPr="00AA2C40">
        <w:rPr>
          <w:rFonts w:cs="Arial"/>
          <w:szCs w:val="20"/>
        </w:rPr>
        <w:t xml:space="preserve"> </w:t>
      </w:r>
      <w:r w:rsidRPr="00AA2C40">
        <w:rPr>
          <w:rFonts w:cs="Arial"/>
          <w:szCs w:val="20"/>
        </w:rPr>
        <w:tab/>
      </w:r>
      <w:r w:rsidR="007E7BD6" w:rsidRPr="00AA2C40">
        <w:rPr>
          <w:rFonts w:cs="Arial"/>
          <w:szCs w:val="20"/>
        </w:rPr>
        <w:t xml:space="preserve">= </w:t>
      </w:r>
      <w:r w:rsidR="002D3370">
        <w:rPr>
          <w:rFonts w:cs="Arial"/>
          <w:szCs w:val="20"/>
        </w:rPr>
        <w:t>Energy</w:t>
      </w:r>
      <w:r w:rsidR="002D3370" w:rsidRPr="00AA2C40">
        <w:rPr>
          <w:rFonts w:cs="Arial"/>
          <w:szCs w:val="20"/>
        </w:rPr>
        <w:t xml:space="preserve"> </w:t>
      </w:r>
      <w:r w:rsidR="007E7BD6" w:rsidRPr="00AA2C40">
        <w:rPr>
          <w:rFonts w:cs="Arial"/>
          <w:szCs w:val="20"/>
        </w:rPr>
        <w:t xml:space="preserve">savings factor for cooling and heating, respectively </w:t>
      </w:r>
    </w:p>
    <w:p w:rsidR="007E7BD6" w:rsidRPr="00AA2C40" w:rsidRDefault="004654AF" w:rsidP="004654AF">
      <w:pPr>
        <w:pStyle w:val="Equation"/>
        <w:rPr>
          <w:rFonts w:cs="Arial"/>
          <w:szCs w:val="20"/>
        </w:rPr>
      </w:pPr>
      <w:r w:rsidRPr="00AA2C40">
        <w:rPr>
          <w:rFonts w:cs="Arial"/>
          <w:szCs w:val="20"/>
        </w:rPr>
        <w:tab/>
      </w:r>
      <w:r w:rsidR="007E7BD6" w:rsidRPr="00AA2C40">
        <w:rPr>
          <w:rFonts w:cs="Arial"/>
          <w:szCs w:val="20"/>
        </w:rPr>
        <w:t>EFLH</w:t>
      </w:r>
      <w:r w:rsidR="002D3370">
        <w:rPr>
          <w:rFonts w:cs="Arial"/>
          <w:szCs w:val="20"/>
          <w:vertAlign w:val="subscript"/>
        </w:rPr>
        <w:t>COOL, HEAT</w:t>
      </w:r>
      <w:r w:rsidR="007E7BD6" w:rsidRPr="00AA2C40">
        <w:rPr>
          <w:rFonts w:cs="Arial"/>
          <w:szCs w:val="20"/>
        </w:rPr>
        <w:t xml:space="preserve"> </w:t>
      </w:r>
      <w:r w:rsidRPr="00AA2C40">
        <w:rPr>
          <w:rFonts w:cs="Arial"/>
          <w:szCs w:val="20"/>
        </w:rPr>
        <w:tab/>
      </w:r>
      <w:r w:rsidR="007E7BD6" w:rsidRPr="00AA2C40">
        <w:rPr>
          <w:rFonts w:cs="Arial"/>
          <w:szCs w:val="20"/>
        </w:rPr>
        <w:t xml:space="preserve">= </w:t>
      </w:r>
      <w:r w:rsidR="002D3370">
        <w:rPr>
          <w:rFonts w:cs="Arial"/>
          <w:szCs w:val="20"/>
        </w:rPr>
        <w:t>Equivalent</w:t>
      </w:r>
      <w:r w:rsidR="002D3370" w:rsidRPr="00AA2C40">
        <w:rPr>
          <w:rFonts w:cs="Arial"/>
          <w:szCs w:val="20"/>
        </w:rPr>
        <w:t xml:space="preserve"> </w:t>
      </w:r>
      <w:r w:rsidR="007E7BD6" w:rsidRPr="00AA2C40">
        <w:rPr>
          <w:rFonts w:cs="Arial"/>
          <w:szCs w:val="20"/>
        </w:rPr>
        <w:t>full load hours</w:t>
      </w:r>
    </w:p>
    <w:p w:rsidR="00B54168" w:rsidRDefault="00B54168" w:rsidP="00100EDF">
      <w:pPr>
        <w:pStyle w:val="Caption"/>
      </w:pPr>
      <w:bookmarkStart w:id="214" w:name="_Toc310875503"/>
      <w:r>
        <w:lastRenderedPageBreak/>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17</w:t>
      </w:r>
      <w:r w:rsidR="00274AB1">
        <w:rPr>
          <w:noProof/>
        </w:rPr>
        <w:fldChar w:fldCharType="end"/>
      </w:r>
      <w:r>
        <w:t xml:space="preserve">: </w:t>
      </w:r>
      <w:r w:rsidRPr="0053110A">
        <w:t xml:space="preserve">Residential Electric HVAC </w:t>
      </w:r>
      <w:r w:rsidR="00B44F2C">
        <w:t>Calculation Assumptions</w:t>
      </w:r>
      <w:bookmarkEnd w:id="214"/>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541"/>
        <w:gridCol w:w="1350"/>
        <w:gridCol w:w="3687"/>
        <w:gridCol w:w="1980"/>
      </w:tblGrid>
      <w:tr w:rsidR="004654AF" w:rsidRPr="004654AF" w:rsidTr="002D3370">
        <w:trPr>
          <w:trHeight w:val="20"/>
          <w:jc w:val="center"/>
        </w:trPr>
        <w:tc>
          <w:tcPr>
            <w:tcW w:w="900" w:type="pct"/>
            <w:shd w:val="clear" w:color="auto" w:fill="BFBFBF"/>
          </w:tcPr>
          <w:p w:rsidR="007E7BD6" w:rsidRPr="001D6512" w:rsidRDefault="007E7BD6" w:rsidP="002D3370">
            <w:pPr>
              <w:pStyle w:val="TableCell"/>
              <w:spacing w:before="60" w:after="60"/>
              <w:rPr>
                <w:rFonts w:eastAsia="Calibri" w:cs="Arial"/>
                <w:b/>
                <w:szCs w:val="18"/>
              </w:rPr>
            </w:pPr>
            <w:r w:rsidRPr="001D6512">
              <w:rPr>
                <w:rFonts w:eastAsia="Calibri" w:cs="Arial"/>
                <w:b/>
                <w:szCs w:val="18"/>
              </w:rPr>
              <w:t>Component</w:t>
            </w:r>
          </w:p>
        </w:tc>
        <w:tc>
          <w:tcPr>
            <w:tcW w:w="789" w:type="pct"/>
            <w:shd w:val="clear" w:color="auto" w:fill="BFBFBF"/>
          </w:tcPr>
          <w:p w:rsidR="007E7BD6" w:rsidRPr="001D6512" w:rsidRDefault="007E7BD6" w:rsidP="002D3370">
            <w:pPr>
              <w:pStyle w:val="TableCell"/>
              <w:spacing w:before="60" w:after="60"/>
              <w:rPr>
                <w:rFonts w:eastAsia="Calibri" w:cs="Arial"/>
                <w:b/>
                <w:szCs w:val="18"/>
              </w:rPr>
            </w:pPr>
            <w:r w:rsidRPr="001D6512">
              <w:rPr>
                <w:rFonts w:eastAsia="Calibri" w:cs="Arial"/>
                <w:b/>
                <w:szCs w:val="18"/>
              </w:rPr>
              <w:t>Type</w:t>
            </w:r>
          </w:p>
        </w:tc>
        <w:tc>
          <w:tcPr>
            <w:tcW w:w="2154" w:type="pct"/>
            <w:shd w:val="clear" w:color="auto" w:fill="BFBFBF"/>
          </w:tcPr>
          <w:p w:rsidR="007E7BD6" w:rsidRPr="001D6512" w:rsidRDefault="007E7BD6" w:rsidP="002D3370">
            <w:pPr>
              <w:pStyle w:val="TableCell"/>
              <w:spacing w:before="60" w:after="60"/>
              <w:rPr>
                <w:rFonts w:eastAsia="Calibri" w:cs="Arial"/>
                <w:b/>
                <w:szCs w:val="18"/>
              </w:rPr>
            </w:pPr>
            <w:r w:rsidRPr="001D6512">
              <w:rPr>
                <w:rFonts w:eastAsia="Calibri" w:cs="Arial"/>
                <w:b/>
                <w:szCs w:val="18"/>
              </w:rPr>
              <w:t>Value</w:t>
            </w:r>
          </w:p>
        </w:tc>
        <w:tc>
          <w:tcPr>
            <w:tcW w:w="1157" w:type="pct"/>
            <w:shd w:val="clear" w:color="auto" w:fill="BFBFBF"/>
          </w:tcPr>
          <w:p w:rsidR="007E7BD6" w:rsidRPr="001D6512" w:rsidRDefault="007E7BD6" w:rsidP="002D3370">
            <w:pPr>
              <w:pStyle w:val="TableCell"/>
              <w:spacing w:before="60" w:after="60"/>
              <w:rPr>
                <w:rFonts w:eastAsia="Calibri" w:cs="Arial"/>
                <w:b/>
                <w:szCs w:val="18"/>
              </w:rPr>
            </w:pPr>
            <w:r w:rsidRPr="001D6512">
              <w:rPr>
                <w:rFonts w:eastAsia="Calibri" w:cs="Arial"/>
                <w:b/>
                <w:szCs w:val="18"/>
              </w:rPr>
              <w:t>Sources</w:t>
            </w:r>
          </w:p>
        </w:tc>
      </w:tr>
      <w:tr w:rsidR="007E7BD6" w:rsidRPr="004654AF" w:rsidTr="002D3370">
        <w:trPr>
          <w:trHeight w:val="20"/>
          <w:jc w:val="center"/>
        </w:trPr>
        <w:tc>
          <w:tcPr>
            <w:tcW w:w="900" w:type="pct"/>
            <w:vMerge w:val="restart"/>
          </w:tcPr>
          <w:p w:rsidR="007E7BD6" w:rsidRPr="001D6512" w:rsidRDefault="00C67DA4" w:rsidP="002D3370">
            <w:pPr>
              <w:pStyle w:val="TableCell"/>
              <w:spacing w:before="60" w:after="60"/>
              <w:rPr>
                <w:rFonts w:eastAsia="Calibri" w:cs="Arial"/>
                <w:szCs w:val="18"/>
              </w:rPr>
            </w:pPr>
            <w:r w:rsidRPr="001D6512">
              <w:rPr>
                <w:rFonts w:eastAsia="Calibri" w:cs="Arial"/>
                <w:szCs w:val="18"/>
              </w:rPr>
              <w:t>CAP</w:t>
            </w:r>
            <w:r w:rsidRPr="001D6512">
              <w:rPr>
                <w:rFonts w:eastAsia="Calibri" w:cs="Arial"/>
                <w:szCs w:val="18"/>
                <w:vertAlign w:val="subscript"/>
              </w:rPr>
              <w:t>COOL</w:t>
            </w:r>
          </w:p>
        </w:tc>
        <w:tc>
          <w:tcPr>
            <w:tcW w:w="789" w:type="pct"/>
            <w:vMerge w:val="restart"/>
          </w:tcPr>
          <w:p w:rsidR="007E7BD6" w:rsidRPr="001D6512" w:rsidRDefault="00C67DA4" w:rsidP="002D3370">
            <w:pPr>
              <w:pStyle w:val="TableCell"/>
              <w:spacing w:before="60" w:after="60"/>
              <w:rPr>
                <w:rFonts w:eastAsia="Calibri" w:cs="Arial"/>
                <w:szCs w:val="18"/>
              </w:rPr>
            </w:pPr>
            <w:r w:rsidRPr="001D6512">
              <w:rPr>
                <w:rFonts w:eastAsia="Calibri" w:cs="Arial"/>
                <w:szCs w:val="18"/>
              </w:rPr>
              <w:t>Variable</w:t>
            </w:r>
          </w:p>
        </w:tc>
        <w:tc>
          <w:tcPr>
            <w:tcW w:w="2154" w:type="pct"/>
          </w:tcPr>
          <w:p w:rsidR="007E7BD6" w:rsidRPr="001D6512" w:rsidRDefault="00C67DA4" w:rsidP="002D3370">
            <w:pPr>
              <w:pStyle w:val="TableCell"/>
              <w:spacing w:before="60" w:after="60"/>
              <w:rPr>
                <w:rFonts w:eastAsia="Calibri" w:cs="Arial"/>
                <w:szCs w:val="18"/>
              </w:rPr>
            </w:pPr>
            <w:r w:rsidRPr="001D6512">
              <w:rPr>
                <w:rFonts w:eastAsia="Calibri" w:cs="Arial"/>
                <w:szCs w:val="18"/>
              </w:rPr>
              <w:t>Nameplate data</w:t>
            </w:r>
          </w:p>
        </w:tc>
        <w:tc>
          <w:tcPr>
            <w:tcW w:w="1157" w:type="pct"/>
          </w:tcPr>
          <w:p w:rsidR="007E7BD6" w:rsidRPr="001D6512" w:rsidRDefault="00C67DA4" w:rsidP="002D3370">
            <w:pPr>
              <w:pStyle w:val="TableCell"/>
              <w:spacing w:before="60" w:after="60"/>
              <w:rPr>
                <w:rFonts w:eastAsia="Calibri" w:cs="Arial"/>
                <w:szCs w:val="18"/>
              </w:rPr>
            </w:pPr>
            <w:r w:rsidRPr="001D6512">
              <w:rPr>
                <w:rFonts w:eastAsia="Calibri" w:cs="Arial"/>
                <w:szCs w:val="18"/>
              </w:rPr>
              <w:t>EDC Data Gathering</w:t>
            </w:r>
          </w:p>
        </w:tc>
      </w:tr>
      <w:tr w:rsidR="004654AF" w:rsidRPr="004654AF" w:rsidTr="002D3370">
        <w:trPr>
          <w:trHeight w:val="20"/>
          <w:jc w:val="center"/>
        </w:trPr>
        <w:tc>
          <w:tcPr>
            <w:tcW w:w="900" w:type="pct"/>
            <w:vMerge/>
          </w:tcPr>
          <w:p w:rsidR="007E7BD6" w:rsidRPr="001D6512" w:rsidRDefault="007E7BD6" w:rsidP="002D3370">
            <w:pPr>
              <w:pStyle w:val="TableCell"/>
              <w:spacing w:before="60" w:after="60"/>
              <w:rPr>
                <w:rFonts w:eastAsia="Calibri" w:cs="Arial"/>
                <w:szCs w:val="18"/>
              </w:rPr>
            </w:pPr>
          </w:p>
        </w:tc>
        <w:tc>
          <w:tcPr>
            <w:tcW w:w="789" w:type="pct"/>
            <w:vMerge/>
          </w:tcPr>
          <w:p w:rsidR="007E7BD6" w:rsidRPr="001D6512" w:rsidRDefault="007E7BD6" w:rsidP="002D3370">
            <w:pPr>
              <w:pStyle w:val="TableCell"/>
              <w:spacing w:before="60" w:after="60"/>
              <w:rPr>
                <w:rFonts w:eastAsia="Calibri" w:cs="Arial"/>
                <w:szCs w:val="18"/>
              </w:rPr>
            </w:pPr>
          </w:p>
        </w:tc>
        <w:tc>
          <w:tcPr>
            <w:tcW w:w="2154" w:type="pct"/>
          </w:tcPr>
          <w:p w:rsidR="007E7BD6" w:rsidRPr="001D6512" w:rsidRDefault="00C67DA4" w:rsidP="0067122B">
            <w:pPr>
              <w:pStyle w:val="TableCell"/>
              <w:spacing w:before="60" w:after="60"/>
              <w:rPr>
                <w:rFonts w:eastAsia="Calibri" w:cs="Arial"/>
                <w:szCs w:val="18"/>
              </w:rPr>
            </w:pPr>
            <w:r w:rsidRPr="001D6512">
              <w:rPr>
                <w:rFonts w:eastAsia="Calibri" w:cs="Arial"/>
                <w:szCs w:val="18"/>
              </w:rPr>
              <w:t>Default: 3</w:t>
            </w:r>
            <w:r w:rsidR="0067122B" w:rsidRPr="001D6512">
              <w:rPr>
                <w:rFonts w:eastAsia="Calibri" w:cs="Arial"/>
                <w:szCs w:val="18"/>
              </w:rPr>
              <w:t>6,000</w:t>
            </w:r>
            <w:r w:rsidRPr="001D6512">
              <w:rPr>
                <w:rFonts w:eastAsia="Calibri" w:cs="Arial"/>
                <w:szCs w:val="18"/>
              </w:rPr>
              <w:t xml:space="preserve"> </w:t>
            </w:r>
            <w:r w:rsidR="0067122B" w:rsidRPr="001D6512">
              <w:rPr>
                <w:rFonts w:eastAsia="Calibri" w:cs="Arial"/>
                <w:szCs w:val="18"/>
              </w:rPr>
              <w:t>BTUh</w:t>
            </w:r>
          </w:p>
        </w:tc>
        <w:tc>
          <w:tcPr>
            <w:tcW w:w="1157" w:type="pct"/>
          </w:tcPr>
          <w:p w:rsidR="007E7BD6" w:rsidRPr="001D6512" w:rsidRDefault="00C67DA4" w:rsidP="002D3370">
            <w:pPr>
              <w:pStyle w:val="TableCell"/>
              <w:spacing w:before="60" w:after="60"/>
              <w:rPr>
                <w:rFonts w:eastAsia="Calibri" w:cs="Arial"/>
                <w:szCs w:val="18"/>
              </w:rPr>
            </w:pPr>
            <w:r w:rsidRPr="001D6512">
              <w:rPr>
                <w:rFonts w:eastAsia="Calibri" w:cs="Arial"/>
                <w:szCs w:val="18"/>
              </w:rPr>
              <w:t>1</w:t>
            </w:r>
          </w:p>
        </w:tc>
      </w:tr>
      <w:tr w:rsidR="004A3985" w:rsidRPr="00877D9B" w:rsidTr="00F73002">
        <w:trPr>
          <w:trHeight w:val="20"/>
          <w:jc w:val="center"/>
        </w:trPr>
        <w:tc>
          <w:tcPr>
            <w:tcW w:w="900" w:type="pct"/>
            <w:vMerge w:val="restart"/>
          </w:tcPr>
          <w:p w:rsidR="004A3985" w:rsidRPr="001D6512" w:rsidRDefault="004A3985" w:rsidP="00F73002">
            <w:pPr>
              <w:pStyle w:val="TableCell"/>
              <w:spacing w:before="60" w:after="60"/>
              <w:rPr>
                <w:rFonts w:eastAsia="Calibri" w:cs="Arial"/>
                <w:szCs w:val="18"/>
              </w:rPr>
            </w:pPr>
            <w:r w:rsidRPr="001D6512">
              <w:rPr>
                <w:rFonts w:eastAsia="Calibri" w:cs="Arial"/>
                <w:szCs w:val="18"/>
              </w:rPr>
              <w:t>CAP</w:t>
            </w:r>
            <w:r w:rsidRPr="001D6512">
              <w:rPr>
                <w:rFonts w:eastAsia="Calibri" w:cs="Arial"/>
                <w:szCs w:val="18"/>
                <w:vertAlign w:val="subscript"/>
              </w:rPr>
              <w:t>HEAT</w:t>
            </w:r>
          </w:p>
        </w:tc>
        <w:tc>
          <w:tcPr>
            <w:tcW w:w="789" w:type="pct"/>
            <w:vMerge w:val="restart"/>
          </w:tcPr>
          <w:p w:rsidR="004A3985" w:rsidRPr="001D6512" w:rsidRDefault="004A3985" w:rsidP="00F73002">
            <w:pPr>
              <w:pStyle w:val="TableCell"/>
              <w:spacing w:before="60" w:after="60"/>
              <w:rPr>
                <w:rFonts w:eastAsia="Calibri" w:cs="Arial"/>
                <w:szCs w:val="18"/>
              </w:rPr>
            </w:pPr>
            <w:r w:rsidRPr="001D6512">
              <w:rPr>
                <w:rFonts w:eastAsia="Calibri" w:cs="Arial"/>
                <w:szCs w:val="18"/>
              </w:rPr>
              <w:t>Variable</w:t>
            </w:r>
          </w:p>
        </w:tc>
        <w:tc>
          <w:tcPr>
            <w:tcW w:w="2154" w:type="pct"/>
          </w:tcPr>
          <w:p w:rsidR="004A3985" w:rsidRPr="001D6512" w:rsidRDefault="004A3985" w:rsidP="00F73002">
            <w:pPr>
              <w:pStyle w:val="TableCell"/>
              <w:spacing w:before="60" w:after="60"/>
              <w:rPr>
                <w:rFonts w:eastAsia="Calibri" w:cs="Arial"/>
                <w:szCs w:val="18"/>
                <w:highlight w:val="yellow"/>
              </w:rPr>
            </w:pPr>
            <w:r w:rsidRPr="001D6512">
              <w:rPr>
                <w:rFonts w:eastAsia="Calibri" w:cs="Arial"/>
                <w:szCs w:val="18"/>
              </w:rPr>
              <w:t>Nameplate Data</w:t>
            </w:r>
          </w:p>
        </w:tc>
        <w:tc>
          <w:tcPr>
            <w:tcW w:w="1157" w:type="pct"/>
          </w:tcPr>
          <w:p w:rsidR="004A3985" w:rsidRPr="001D6512" w:rsidRDefault="004A3985" w:rsidP="00F73002">
            <w:pPr>
              <w:pStyle w:val="TableCell"/>
              <w:spacing w:before="60" w:after="60"/>
              <w:rPr>
                <w:rFonts w:eastAsia="Calibri" w:cs="Arial"/>
                <w:szCs w:val="18"/>
              </w:rPr>
            </w:pPr>
            <w:r w:rsidRPr="001D6512">
              <w:rPr>
                <w:rFonts w:eastAsia="Calibri" w:cs="Arial"/>
                <w:szCs w:val="18"/>
              </w:rPr>
              <w:t>EDC Data Gathering</w:t>
            </w:r>
          </w:p>
        </w:tc>
      </w:tr>
      <w:tr w:rsidR="004A3985" w:rsidRPr="00877D9B" w:rsidTr="00F73002">
        <w:trPr>
          <w:trHeight w:val="20"/>
          <w:jc w:val="center"/>
        </w:trPr>
        <w:tc>
          <w:tcPr>
            <w:tcW w:w="900" w:type="pct"/>
            <w:vMerge/>
          </w:tcPr>
          <w:p w:rsidR="004A3985" w:rsidRPr="001D6512" w:rsidRDefault="004A3985" w:rsidP="00F73002">
            <w:pPr>
              <w:pStyle w:val="TableCell"/>
              <w:spacing w:before="60" w:after="60"/>
              <w:rPr>
                <w:rFonts w:eastAsia="Calibri" w:cs="Arial"/>
                <w:szCs w:val="18"/>
              </w:rPr>
            </w:pPr>
          </w:p>
        </w:tc>
        <w:tc>
          <w:tcPr>
            <w:tcW w:w="789" w:type="pct"/>
            <w:vMerge/>
          </w:tcPr>
          <w:p w:rsidR="004A3985" w:rsidRPr="001D6512" w:rsidRDefault="004A3985" w:rsidP="00F73002">
            <w:pPr>
              <w:pStyle w:val="TableCell"/>
              <w:spacing w:before="60" w:after="60"/>
              <w:rPr>
                <w:rFonts w:eastAsia="Calibri" w:cs="Arial"/>
                <w:szCs w:val="18"/>
              </w:rPr>
            </w:pPr>
          </w:p>
        </w:tc>
        <w:tc>
          <w:tcPr>
            <w:tcW w:w="2154" w:type="pct"/>
          </w:tcPr>
          <w:p w:rsidR="004A3985" w:rsidRPr="001D6512" w:rsidRDefault="004A3985" w:rsidP="0067122B">
            <w:pPr>
              <w:pStyle w:val="TableCell"/>
              <w:spacing w:before="60" w:after="60"/>
              <w:rPr>
                <w:rFonts w:eastAsia="Calibri" w:cs="Arial"/>
                <w:szCs w:val="18"/>
              </w:rPr>
            </w:pPr>
            <w:r w:rsidRPr="001D6512">
              <w:rPr>
                <w:rFonts w:eastAsia="Calibri" w:cs="Arial"/>
                <w:szCs w:val="18"/>
              </w:rPr>
              <w:t>Default: 36</w:t>
            </w:r>
            <w:r w:rsidR="0067122B" w:rsidRPr="001D6512">
              <w:rPr>
                <w:rFonts w:eastAsia="Calibri" w:cs="Arial"/>
                <w:szCs w:val="18"/>
              </w:rPr>
              <w:t>,000</w:t>
            </w:r>
            <w:r w:rsidRPr="001D6512">
              <w:rPr>
                <w:rFonts w:eastAsia="Calibri" w:cs="Arial"/>
                <w:szCs w:val="18"/>
              </w:rPr>
              <w:t xml:space="preserve"> BTUh</w:t>
            </w:r>
          </w:p>
        </w:tc>
        <w:tc>
          <w:tcPr>
            <w:tcW w:w="1157" w:type="pct"/>
          </w:tcPr>
          <w:p w:rsidR="004A3985" w:rsidRPr="001D6512" w:rsidRDefault="004A3985" w:rsidP="00F73002">
            <w:pPr>
              <w:pStyle w:val="TableCell"/>
              <w:spacing w:before="60" w:after="60"/>
              <w:rPr>
                <w:rFonts w:eastAsia="Calibri" w:cs="Arial"/>
                <w:szCs w:val="18"/>
              </w:rPr>
            </w:pPr>
            <w:r w:rsidRPr="001D6512">
              <w:rPr>
                <w:rFonts w:eastAsia="Calibri" w:cs="Arial"/>
                <w:szCs w:val="18"/>
              </w:rPr>
              <w:t>1</w:t>
            </w:r>
          </w:p>
        </w:tc>
      </w:tr>
      <w:tr w:rsidR="007E7BD6" w:rsidRPr="004654AF" w:rsidTr="002D3370">
        <w:trPr>
          <w:trHeight w:val="20"/>
          <w:jc w:val="center"/>
        </w:trPr>
        <w:tc>
          <w:tcPr>
            <w:tcW w:w="900" w:type="pct"/>
            <w:vMerge w:val="restart"/>
          </w:tcPr>
          <w:p w:rsidR="007E7BD6" w:rsidRPr="001D6512" w:rsidRDefault="0067122B" w:rsidP="002D3370">
            <w:pPr>
              <w:pStyle w:val="TableCell"/>
              <w:spacing w:before="60" w:after="60"/>
              <w:rPr>
                <w:rFonts w:eastAsia="Calibri" w:cs="Arial"/>
                <w:szCs w:val="18"/>
              </w:rPr>
            </w:pPr>
            <w:r w:rsidRPr="001D6512">
              <w:rPr>
                <w:rFonts w:eastAsia="Calibri" w:cs="Arial"/>
                <w:szCs w:val="18"/>
              </w:rPr>
              <w:t>SEER</w:t>
            </w:r>
          </w:p>
        </w:tc>
        <w:tc>
          <w:tcPr>
            <w:tcW w:w="789" w:type="pct"/>
            <w:vMerge w:val="restart"/>
          </w:tcPr>
          <w:p w:rsidR="007E7BD6" w:rsidRPr="001D6512" w:rsidRDefault="00C67DA4" w:rsidP="002D3370">
            <w:pPr>
              <w:pStyle w:val="TableCell"/>
              <w:spacing w:before="60" w:after="60"/>
              <w:rPr>
                <w:rFonts w:cs="Arial"/>
                <w:szCs w:val="18"/>
              </w:rPr>
            </w:pPr>
            <w:r w:rsidRPr="001D6512">
              <w:rPr>
                <w:rFonts w:cs="Arial"/>
                <w:szCs w:val="18"/>
              </w:rPr>
              <w:t>Variable</w:t>
            </w:r>
          </w:p>
        </w:tc>
        <w:tc>
          <w:tcPr>
            <w:tcW w:w="2154" w:type="pct"/>
          </w:tcPr>
          <w:p w:rsidR="007E7BD6" w:rsidRPr="001D6512" w:rsidRDefault="00C67DA4" w:rsidP="002D3370">
            <w:pPr>
              <w:pStyle w:val="TableCell"/>
              <w:spacing w:before="60" w:after="60"/>
              <w:rPr>
                <w:rFonts w:eastAsia="Calibri" w:cs="Arial"/>
                <w:szCs w:val="18"/>
              </w:rPr>
            </w:pPr>
            <w:r w:rsidRPr="001D6512">
              <w:rPr>
                <w:rFonts w:eastAsia="Calibri" w:cs="Arial"/>
                <w:szCs w:val="18"/>
              </w:rPr>
              <w:t>Nameplate data</w:t>
            </w:r>
          </w:p>
        </w:tc>
        <w:tc>
          <w:tcPr>
            <w:tcW w:w="1157" w:type="pct"/>
          </w:tcPr>
          <w:p w:rsidR="007E7BD6" w:rsidRPr="001D6512" w:rsidRDefault="00C67DA4" w:rsidP="002D3370">
            <w:pPr>
              <w:pStyle w:val="TableCell"/>
              <w:spacing w:before="60" w:after="60"/>
              <w:rPr>
                <w:rFonts w:eastAsia="Calibri" w:cs="Arial"/>
                <w:szCs w:val="18"/>
              </w:rPr>
            </w:pPr>
            <w:r w:rsidRPr="001D6512">
              <w:rPr>
                <w:rFonts w:eastAsia="Calibri" w:cs="Arial"/>
                <w:szCs w:val="18"/>
              </w:rPr>
              <w:t>EDC Data Gathering</w:t>
            </w:r>
          </w:p>
        </w:tc>
      </w:tr>
      <w:tr w:rsidR="004654AF" w:rsidRPr="004654AF" w:rsidTr="002D3370">
        <w:trPr>
          <w:trHeight w:val="20"/>
          <w:jc w:val="center"/>
        </w:trPr>
        <w:tc>
          <w:tcPr>
            <w:tcW w:w="900" w:type="pct"/>
            <w:vMerge/>
          </w:tcPr>
          <w:p w:rsidR="007E7BD6" w:rsidRPr="001D6512" w:rsidRDefault="007E7BD6" w:rsidP="002D3370">
            <w:pPr>
              <w:pStyle w:val="TableCell"/>
              <w:spacing w:before="60" w:after="60"/>
              <w:rPr>
                <w:rFonts w:eastAsia="Calibri" w:cs="Arial"/>
                <w:szCs w:val="18"/>
              </w:rPr>
            </w:pPr>
          </w:p>
        </w:tc>
        <w:tc>
          <w:tcPr>
            <w:tcW w:w="789" w:type="pct"/>
            <w:vMerge/>
          </w:tcPr>
          <w:p w:rsidR="007E7BD6" w:rsidRPr="001D6512" w:rsidRDefault="007E7BD6" w:rsidP="002D3370">
            <w:pPr>
              <w:pStyle w:val="TableCell"/>
              <w:spacing w:before="60" w:after="60"/>
              <w:rPr>
                <w:rFonts w:cs="Arial"/>
                <w:szCs w:val="18"/>
              </w:rPr>
            </w:pPr>
          </w:p>
        </w:tc>
        <w:tc>
          <w:tcPr>
            <w:tcW w:w="2154" w:type="pct"/>
          </w:tcPr>
          <w:p w:rsidR="007E7BD6" w:rsidRPr="001D6512" w:rsidRDefault="00C67DA4" w:rsidP="002D3370">
            <w:pPr>
              <w:pStyle w:val="TableCell"/>
              <w:spacing w:before="60" w:after="60"/>
              <w:rPr>
                <w:rFonts w:eastAsia="Calibri" w:cs="Arial"/>
                <w:szCs w:val="18"/>
              </w:rPr>
            </w:pPr>
            <w:r w:rsidRPr="001D6512">
              <w:rPr>
                <w:rFonts w:eastAsia="Calibri" w:cs="Arial"/>
                <w:szCs w:val="18"/>
              </w:rPr>
              <w:t>Default: 10 SEER</w:t>
            </w:r>
          </w:p>
        </w:tc>
        <w:tc>
          <w:tcPr>
            <w:tcW w:w="1157" w:type="pct"/>
          </w:tcPr>
          <w:p w:rsidR="007E7BD6" w:rsidRPr="001D6512" w:rsidRDefault="00C67DA4" w:rsidP="002D3370">
            <w:pPr>
              <w:pStyle w:val="TableCell"/>
              <w:spacing w:before="60" w:after="60"/>
              <w:rPr>
                <w:rFonts w:eastAsia="Calibri" w:cs="Arial"/>
                <w:szCs w:val="18"/>
              </w:rPr>
            </w:pPr>
            <w:r w:rsidRPr="001D6512">
              <w:rPr>
                <w:rFonts w:eastAsia="Calibri" w:cs="Arial"/>
                <w:szCs w:val="18"/>
              </w:rPr>
              <w:t>2</w:t>
            </w:r>
          </w:p>
        </w:tc>
      </w:tr>
      <w:tr w:rsidR="0067122B" w:rsidRPr="00877D9B" w:rsidTr="00F73002">
        <w:trPr>
          <w:trHeight w:val="20"/>
          <w:jc w:val="center"/>
        </w:trPr>
        <w:tc>
          <w:tcPr>
            <w:tcW w:w="900" w:type="pct"/>
            <w:vMerge w:val="restart"/>
          </w:tcPr>
          <w:p w:rsidR="0067122B" w:rsidRPr="001D6512" w:rsidRDefault="0067122B" w:rsidP="00F73002">
            <w:pPr>
              <w:pStyle w:val="TableCell"/>
              <w:spacing w:before="60" w:after="60"/>
              <w:rPr>
                <w:rFonts w:eastAsia="Calibri" w:cs="Arial"/>
                <w:szCs w:val="18"/>
              </w:rPr>
            </w:pPr>
            <w:r w:rsidRPr="001D6512">
              <w:rPr>
                <w:rFonts w:eastAsia="Calibri" w:cs="Arial"/>
                <w:szCs w:val="18"/>
              </w:rPr>
              <w:t>HSPF</w:t>
            </w:r>
          </w:p>
        </w:tc>
        <w:tc>
          <w:tcPr>
            <w:tcW w:w="789" w:type="pct"/>
            <w:vMerge w:val="restart"/>
          </w:tcPr>
          <w:p w:rsidR="0067122B" w:rsidRPr="001D6512" w:rsidRDefault="0067122B" w:rsidP="00F73002">
            <w:pPr>
              <w:pStyle w:val="TableCell"/>
              <w:spacing w:before="60" w:after="60"/>
              <w:rPr>
                <w:rFonts w:cs="Arial"/>
                <w:szCs w:val="18"/>
              </w:rPr>
            </w:pPr>
            <w:r w:rsidRPr="001D6512">
              <w:rPr>
                <w:rFonts w:cs="Arial"/>
                <w:szCs w:val="18"/>
              </w:rPr>
              <w:t>Variable</w:t>
            </w:r>
          </w:p>
        </w:tc>
        <w:tc>
          <w:tcPr>
            <w:tcW w:w="2154" w:type="pct"/>
          </w:tcPr>
          <w:p w:rsidR="0067122B" w:rsidRPr="001D6512" w:rsidRDefault="0067122B" w:rsidP="00F73002">
            <w:pPr>
              <w:pStyle w:val="TableCell"/>
              <w:spacing w:before="60" w:after="60"/>
              <w:rPr>
                <w:rFonts w:eastAsia="Calibri" w:cs="Arial"/>
                <w:szCs w:val="18"/>
              </w:rPr>
            </w:pPr>
            <w:r w:rsidRPr="001D6512">
              <w:rPr>
                <w:rFonts w:eastAsia="Calibri" w:cs="Arial"/>
                <w:szCs w:val="18"/>
              </w:rPr>
              <w:t>Nameplate data</w:t>
            </w:r>
          </w:p>
        </w:tc>
        <w:tc>
          <w:tcPr>
            <w:tcW w:w="1157" w:type="pct"/>
          </w:tcPr>
          <w:p w:rsidR="0067122B" w:rsidRPr="001D6512" w:rsidRDefault="0067122B" w:rsidP="00F73002">
            <w:pPr>
              <w:pStyle w:val="TableCell"/>
              <w:spacing w:before="60" w:after="60"/>
              <w:rPr>
                <w:rFonts w:eastAsia="Calibri" w:cs="Arial"/>
                <w:szCs w:val="18"/>
              </w:rPr>
            </w:pPr>
            <w:r w:rsidRPr="001D6512">
              <w:rPr>
                <w:rFonts w:eastAsia="Calibri" w:cs="Arial"/>
                <w:szCs w:val="18"/>
              </w:rPr>
              <w:t>EDC Data Gathering</w:t>
            </w:r>
          </w:p>
        </w:tc>
      </w:tr>
      <w:tr w:rsidR="0067122B" w:rsidRPr="00877D9B" w:rsidTr="00F73002">
        <w:trPr>
          <w:trHeight w:val="20"/>
          <w:jc w:val="center"/>
        </w:trPr>
        <w:tc>
          <w:tcPr>
            <w:tcW w:w="900" w:type="pct"/>
            <w:vMerge/>
          </w:tcPr>
          <w:p w:rsidR="0067122B" w:rsidRPr="001D6512" w:rsidRDefault="0067122B" w:rsidP="00F73002">
            <w:pPr>
              <w:pStyle w:val="TableCell"/>
              <w:spacing w:before="60" w:after="60"/>
              <w:rPr>
                <w:rFonts w:eastAsia="Calibri" w:cs="Arial"/>
                <w:szCs w:val="18"/>
              </w:rPr>
            </w:pPr>
          </w:p>
        </w:tc>
        <w:tc>
          <w:tcPr>
            <w:tcW w:w="789" w:type="pct"/>
            <w:vMerge/>
          </w:tcPr>
          <w:p w:rsidR="0067122B" w:rsidRPr="001D6512" w:rsidRDefault="0067122B" w:rsidP="00F73002">
            <w:pPr>
              <w:pStyle w:val="TableCell"/>
              <w:spacing w:before="60" w:after="60"/>
              <w:rPr>
                <w:rFonts w:cs="Arial"/>
                <w:szCs w:val="18"/>
              </w:rPr>
            </w:pPr>
          </w:p>
        </w:tc>
        <w:tc>
          <w:tcPr>
            <w:tcW w:w="2154" w:type="pct"/>
          </w:tcPr>
          <w:p w:rsidR="0067122B" w:rsidRPr="001D6512" w:rsidRDefault="0067122B" w:rsidP="0067122B">
            <w:pPr>
              <w:pStyle w:val="TableCell"/>
              <w:spacing w:before="60" w:after="60"/>
              <w:rPr>
                <w:rFonts w:eastAsia="Calibri" w:cs="Arial"/>
                <w:szCs w:val="18"/>
              </w:rPr>
            </w:pPr>
            <w:r w:rsidRPr="001D6512">
              <w:rPr>
                <w:rFonts w:eastAsia="Calibri" w:cs="Arial"/>
                <w:szCs w:val="18"/>
              </w:rPr>
              <w:t xml:space="preserve">Default: 3.413 </w:t>
            </w:r>
            <w:r w:rsidR="00B3700F" w:rsidRPr="001D6512">
              <w:rPr>
                <w:rFonts w:eastAsia="Calibri" w:cs="Arial"/>
                <w:szCs w:val="18"/>
              </w:rPr>
              <w:t xml:space="preserve">HSPF </w:t>
            </w:r>
            <w:r w:rsidRPr="001D6512">
              <w:rPr>
                <w:rFonts w:eastAsia="Calibri" w:cs="Arial"/>
                <w:szCs w:val="18"/>
              </w:rPr>
              <w:t>(</w:t>
            </w:r>
            <w:r w:rsidR="00B3700F" w:rsidRPr="001D6512">
              <w:rPr>
                <w:rFonts w:eastAsia="Calibri" w:cs="Arial"/>
                <w:szCs w:val="18"/>
              </w:rPr>
              <w:t xml:space="preserve">equivalent to </w:t>
            </w:r>
            <w:r w:rsidRPr="001D6512">
              <w:rPr>
                <w:rFonts w:eastAsia="Calibri" w:cs="Arial"/>
                <w:szCs w:val="18"/>
              </w:rPr>
              <w:t>electric furnace</w:t>
            </w:r>
            <w:r w:rsidR="00B3700F" w:rsidRPr="001D6512">
              <w:rPr>
                <w:rFonts w:eastAsia="Calibri" w:cs="Arial"/>
                <w:szCs w:val="18"/>
              </w:rPr>
              <w:t xml:space="preserve"> COP of 1</w:t>
            </w:r>
            <w:r w:rsidRPr="001D6512">
              <w:rPr>
                <w:rFonts w:eastAsia="Calibri" w:cs="Arial"/>
                <w:szCs w:val="18"/>
              </w:rPr>
              <w:t>)</w:t>
            </w:r>
          </w:p>
        </w:tc>
        <w:tc>
          <w:tcPr>
            <w:tcW w:w="1157" w:type="pct"/>
          </w:tcPr>
          <w:p w:rsidR="0067122B" w:rsidRPr="001D6512" w:rsidRDefault="0067122B" w:rsidP="00F73002">
            <w:pPr>
              <w:pStyle w:val="TableCell"/>
              <w:spacing w:before="60" w:after="60"/>
              <w:rPr>
                <w:rFonts w:eastAsia="Calibri" w:cs="Arial"/>
                <w:szCs w:val="18"/>
              </w:rPr>
            </w:pPr>
            <w:r w:rsidRPr="001D6512">
              <w:rPr>
                <w:rFonts w:eastAsia="Calibri" w:cs="Arial"/>
                <w:szCs w:val="18"/>
              </w:rPr>
              <w:t>2</w:t>
            </w:r>
          </w:p>
        </w:tc>
      </w:tr>
      <w:tr w:rsidR="004654AF" w:rsidRPr="004654AF" w:rsidTr="002D3370">
        <w:trPr>
          <w:trHeight w:val="20"/>
          <w:jc w:val="center"/>
        </w:trPr>
        <w:tc>
          <w:tcPr>
            <w:tcW w:w="900" w:type="pct"/>
          </w:tcPr>
          <w:p w:rsidR="007E7BD6" w:rsidRPr="001D6512" w:rsidRDefault="00C67DA4" w:rsidP="002D3370">
            <w:pPr>
              <w:pStyle w:val="TableCell"/>
              <w:spacing w:before="60" w:after="60"/>
              <w:rPr>
                <w:rFonts w:eastAsia="Calibri" w:cs="Arial"/>
                <w:szCs w:val="18"/>
              </w:rPr>
            </w:pPr>
            <w:r w:rsidRPr="001D6512">
              <w:rPr>
                <w:rFonts w:eastAsia="Calibri" w:cs="Arial"/>
                <w:szCs w:val="18"/>
              </w:rPr>
              <w:t>Eff</w:t>
            </w:r>
            <w:r w:rsidRPr="001D6512">
              <w:rPr>
                <w:rFonts w:eastAsia="Calibri" w:cs="Arial"/>
                <w:szCs w:val="18"/>
                <w:vertAlign w:val="subscript"/>
              </w:rPr>
              <w:t>duct</w:t>
            </w:r>
          </w:p>
        </w:tc>
        <w:tc>
          <w:tcPr>
            <w:tcW w:w="789" w:type="pct"/>
          </w:tcPr>
          <w:p w:rsidR="007E7BD6" w:rsidRPr="001D6512" w:rsidRDefault="00C67DA4" w:rsidP="002D3370">
            <w:pPr>
              <w:pStyle w:val="TableCell"/>
              <w:spacing w:before="60" w:after="60"/>
              <w:rPr>
                <w:rFonts w:eastAsia="Calibri" w:cs="Arial"/>
                <w:szCs w:val="18"/>
              </w:rPr>
            </w:pPr>
            <w:r w:rsidRPr="001D6512">
              <w:rPr>
                <w:rFonts w:eastAsia="Calibri" w:cs="Arial"/>
                <w:szCs w:val="18"/>
              </w:rPr>
              <w:t>Fixed</w:t>
            </w:r>
          </w:p>
        </w:tc>
        <w:tc>
          <w:tcPr>
            <w:tcW w:w="2154" w:type="pct"/>
          </w:tcPr>
          <w:p w:rsidR="007E7BD6" w:rsidRPr="001D6512" w:rsidRDefault="00C67DA4" w:rsidP="002D3370">
            <w:pPr>
              <w:pStyle w:val="TableCell"/>
              <w:spacing w:before="60" w:after="60"/>
              <w:rPr>
                <w:rFonts w:eastAsia="Calibri" w:cs="Arial"/>
                <w:szCs w:val="18"/>
              </w:rPr>
            </w:pPr>
            <w:r w:rsidRPr="001D6512">
              <w:rPr>
                <w:rFonts w:eastAsia="Calibri" w:cs="Arial"/>
                <w:szCs w:val="18"/>
              </w:rPr>
              <w:t>0.8</w:t>
            </w:r>
          </w:p>
        </w:tc>
        <w:tc>
          <w:tcPr>
            <w:tcW w:w="1157" w:type="pct"/>
          </w:tcPr>
          <w:p w:rsidR="007E7BD6" w:rsidRPr="001D6512" w:rsidRDefault="00C67DA4" w:rsidP="002D3370">
            <w:pPr>
              <w:pStyle w:val="TableCell"/>
              <w:spacing w:before="60" w:after="60"/>
              <w:rPr>
                <w:rFonts w:eastAsia="Calibri" w:cs="Arial"/>
                <w:szCs w:val="18"/>
              </w:rPr>
            </w:pPr>
            <w:r w:rsidRPr="001D6512">
              <w:rPr>
                <w:rFonts w:eastAsia="Calibri" w:cs="Arial"/>
                <w:szCs w:val="18"/>
              </w:rPr>
              <w:t>3</w:t>
            </w:r>
          </w:p>
        </w:tc>
      </w:tr>
      <w:tr w:rsidR="004654AF" w:rsidRPr="004654AF" w:rsidTr="002D3370">
        <w:trPr>
          <w:trHeight w:val="20"/>
          <w:jc w:val="center"/>
        </w:trPr>
        <w:tc>
          <w:tcPr>
            <w:tcW w:w="900" w:type="pct"/>
          </w:tcPr>
          <w:p w:rsidR="007E7BD6" w:rsidRPr="001D6512" w:rsidRDefault="00C67DA4" w:rsidP="002D3370">
            <w:pPr>
              <w:pStyle w:val="TableCell"/>
              <w:spacing w:before="60" w:after="60"/>
              <w:rPr>
                <w:rFonts w:eastAsia="Calibri" w:cs="Arial"/>
                <w:szCs w:val="18"/>
              </w:rPr>
            </w:pPr>
            <w:r w:rsidRPr="001D6512">
              <w:rPr>
                <w:rFonts w:eastAsia="Calibri" w:cs="Arial"/>
                <w:szCs w:val="18"/>
              </w:rPr>
              <w:t>ESF</w:t>
            </w:r>
            <w:r w:rsidRPr="001D6512">
              <w:rPr>
                <w:rFonts w:eastAsia="Calibri" w:cs="Arial"/>
                <w:szCs w:val="18"/>
                <w:vertAlign w:val="subscript"/>
              </w:rPr>
              <w:t>COOL</w:t>
            </w:r>
          </w:p>
        </w:tc>
        <w:tc>
          <w:tcPr>
            <w:tcW w:w="789" w:type="pct"/>
          </w:tcPr>
          <w:p w:rsidR="007E7BD6" w:rsidRPr="001D6512" w:rsidRDefault="00C67DA4" w:rsidP="002D3370">
            <w:pPr>
              <w:pStyle w:val="TableCell"/>
              <w:spacing w:before="60" w:after="60"/>
              <w:rPr>
                <w:rFonts w:eastAsia="Calibri" w:cs="Arial"/>
                <w:szCs w:val="18"/>
              </w:rPr>
            </w:pPr>
            <w:r w:rsidRPr="001D6512">
              <w:rPr>
                <w:rFonts w:eastAsia="Calibri" w:cs="Arial"/>
                <w:szCs w:val="18"/>
              </w:rPr>
              <w:t>Fixed</w:t>
            </w:r>
          </w:p>
        </w:tc>
        <w:tc>
          <w:tcPr>
            <w:tcW w:w="2154" w:type="pct"/>
          </w:tcPr>
          <w:p w:rsidR="007E7BD6" w:rsidRPr="001D6512" w:rsidRDefault="00C67DA4" w:rsidP="002D3370">
            <w:pPr>
              <w:pStyle w:val="TableCell"/>
              <w:spacing w:before="60" w:after="60"/>
              <w:rPr>
                <w:rFonts w:eastAsia="Calibri" w:cs="Arial"/>
                <w:szCs w:val="18"/>
              </w:rPr>
            </w:pPr>
            <w:r w:rsidRPr="001D6512">
              <w:rPr>
                <w:rFonts w:eastAsia="Calibri" w:cs="Arial"/>
                <w:szCs w:val="18"/>
              </w:rPr>
              <w:t>2%</w:t>
            </w:r>
          </w:p>
        </w:tc>
        <w:tc>
          <w:tcPr>
            <w:tcW w:w="1157" w:type="pct"/>
          </w:tcPr>
          <w:p w:rsidR="007E7BD6" w:rsidRPr="001D6512" w:rsidRDefault="00C67DA4" w:rsidP="002D3370">
            <w:pPr>
              <w:pStyle w:val="TableCell"/>
              <w:spacing w:before="60" w:after="60"/>
              <w:rPr>
                <w:rFonts w:eastAsia="Calibri" w:cs="Arial"/>
                <w:szCs w:val="18"/>
              </w:rPr>
            </w:pPr>
            <w:r w:rsidRPr="001D6512">
              <w:rPr>
                <w:rFonts w:eastAsia="Calibri" w:cs="Arial"/>
                <w:szCs w:val="18"/>
              </w:rPr>
              <w:t>4</w:t>
            </w:r>
          </w:p>
        </w:tc>
      </w:tr>
      <w:tr w:rsidR="004654AF" w:rsidRPr="004654AF" w:rsidTr="002D3370">
        <w:trPr>
          <w:trHeight w:val="20"/>
          <w:jc w:val="center"/>
        </w:trPr>
        <w:tc>
          <w:tcPr>
            <w:tcW w:w="900" w:type="pct"/>
          </w:tcPr>
          <w:p w:rsidR="007E7BD6" w:rsidRPr="001D6512" w:rsidRDefault="00C67DA4" w:rsidP="002D3370">
            <w:pPr>
              <w:pStyle w:val="TableCell"/>
              <w:spacing w:before="60" w:after="60"/>
              <w:rPr>
                <w:rFonts w:eastAsia="Calibri" w:cs="Arial"/>
                <w:szCs w:val="18"/>
              </w:rPr>
            </w:pPr>
            <w:r w:rsidRPr="001D6512">
              <w:rPr>
                <w:rFonts w:eastAsia="Calibri" w:cs="Arial"/>
                <w:szCs w:val="18"/>
              </w:rPr>
              <w:t>ESF</w:t>
            </w:r>
            <w:r w:rsidRPr="001D6512">
              <w:rPr>
                <w:rFonts w:eastAsia="Calibri" w:cs="Arial"/>
                <w:szCs w:val="18"/>
                <w:vertAlign w:val="subscript"/>
              </w:rPr>
              <w:t>HEAT</w:t>
            </w:r>
          </w:p>
        </w:tc>
        <w:tc>
          <w:tcPr>
            <w:tcW w:w="789" w:type="pct"/>
          </w:tcPr>
          <w:p w:rsidR="007E7BD6" w:rsidRPr="001D6512" w:rsidRDefault="00C67DA4" w:rsidP="002D3370">
            <w:pPr>
              <w:pStyle w:val="TableCell"/>
              <w:spacing w:before="60" w:after="60"/>
              <w:rPr>
                <w:rFonts w:eastAsia="Calibri" w:cs="Arial"/>
                <w:szCs w:val="18"/>
              </w:rPr>
            </w:pPr>
            <w:r w:rsidRPr="001D6512">
              <w:rPr>
                <w:rFonts w:eastAsia="Calibri" w:cs="Arial"/>
                <w:szCs w:val="18"/>
              </w:rPr>
              <w:t>Fixed</w:t>
            </w:r>
          </w:p>
        </w:tc>
        <w:tc>
          <w:tcPr>
            <w:tcW w:w="2154" w:type="pct"/>
          </w:tcPr>
          <w:p w:rsidR="007E7BD6" w:rsidRPr="001D6512" w:rsidRDefault="00C67DA4" w:rsidP="002D3370">
            <w:pPr>
              <w:pStyle w:val="TableCell"/>
              <w:spacing w:before="60" w:after="60"/>
              <w:rPr>
                <w:rFonts w:eastAsia="Calibri" w:cs="Arial"/>
                <w:szCs w:val="18"/>
              </w:rPr>
            </w:pPr>
            <w:r w:rsidRPr="001D6512">
              <w:rPr>
                <w:rFonts w:eastAsia="Calibri" w:cs="Arial"/>
                <w:szCs w:val="18"/>
              </w:rPr>
              <w:t>3.6%</w:t>
            </w:r>
          </w:p>
        </w:tc>
        <w:tc>
          <w:tcPr>
            <w:tcW w:w="1157" w:type="pct"/>
          </w:tcPr>
          <w:p w:rsidR="007E7BD6" w:rsidRPr="001D6512" w:rsidRDefault="00C67DA4" w:rsidP="002D3370">
            <w:pPr>
              <w:pStyle w:val="TableCell"/>
              <w:spacing w:before="60" w:after="60"/>
              <w:rPr>
                <w:rFonts w:eastAsia="Calibri" w:cs="Arial"/>
                <w:szCs w:val="18"/>
              </w:rPr>
            </w:pPr>
            <w:r w:rsidRPr="001D6512">
              <w:rPr>
                <w:rFonts w:eastAsia="Calibri" w:cs="Arial"/>
                <w:szCs w:val="18"/>
              </w:rPr>
              <w:t>5</w:t>
            </w:r>
          </w:p>
        </w:tc>
      </w:tr>
      <w:tr w:rsidR="004654AF" w:rsidRPr="004654AF" w:rsidTr="002D3370">
        <w:trPr>
          <w:trHeight w:val="20"/>
          <w:jc w:val="center"/>
        </w:trPr>
        <w:tc>
          <w:tcPr>
            <w:tcW w:w="900" w:type="pct"/>
          </w:tcPr>
          <w:p w:rsidR="007E7BD6" w:rsidRPr="001D6512" w:rsidRDefault="00C67DA4" w:rsidP="002D3370">
            <w:pPr>
              <w:pStyle w:val="TableCell"/>
              <w:spacing w:before="60" w:after="60"/>
              <w:rPr>
                <w:rFonts w:eastAsia="Calibri" w:cs="Arial"/>
                <w:szCs w:val="18"/>
                <w:vertAlign w:val="subscript"/>
              </w:rPr>
            </w:pPr>
            <w:r w:rsidRPr="001D6512">
              <w:rPr>
                <w:rFonts w:eastAsia="Calibri" w:cs="Arial"/>
                <w:szCs w:val="18"/>
              </w:rPr>
              <w:t>EFLH</w:t>
            </w:r>
            <w:r w:rsidR="002D3370" w:rsidRPr="001D6512">
              <w:rPr>
                <w:rFonts w:eastAsia="Calibri" w:cs="Arial"/>
                <w:szCs w:val="18"/>
                <w:vertAlign w:val="subscript"/>
              </w:rPr>
              <w:t>COOL</w:t>
            </w:r>
          </w:p>
        </w:tc>
        <w:tc>
          <w:tcPr>
            <w:tcW w:w="789" w:type="pct"/>
          </w:tcPr>
          <w:p w:rsidR="007E7BD6" w:rsidRPr="001D6512" w:rsidRDefault="00C67DA4" w:rsidP="002D3370">
            <w:pPr>
              <w:pStyle w:val="TableCell"/>
              <w:spacing w:before="60" w:after="60"/>
              <w:rPr>
                <w:rFonts w:eastAsia="Calibri" w:cs="Arial"/>
                <w:szCs w:val="18"/>
              </w:rPr>
            </w:pPr>
            <w:r w:rsidRPr="001D6512">
              <w:rPr>
                <w:rFonts w:eastAsia="Calibri" w:cs="Arial"/>
                <w:szCs w:val="18"/>
              </w:rPr>
              <w:t>Fixed</w:t>
            </w:r>
          </w:p>
        </w:tc>
        <w:tc>
          <w:tcPr>
            <w:tcW w:w="2154" w:type="pct"/>
          </w:tcPr>
          <w:p w:rsidR="007E7BD6" w:rsidRPr="001D6512" w:rsidRDefault="00C67DA4" w:rsidP="002D3370">
            <w:pPr>
              <w:pStyle w:val="TableCell"/>
              <w:spacing w:before="60" w:after="60"/>
              <w:rPr>
                <w:rFonts w:eastAsia="Calibri" w:cs="Arial"/>
                <w:szCs w:val="18"/>
              </w:rPr>
            </w:pPr>
            <w:r w:rsidRPr="001D6512">
              <w:rPr>
                <w:rFonts w:eastAsia="Calibri" w:cs="Arial"/>
                <w:szCs w:val="18"/>
              </w:rPr>
              <w:t>Allentown Cooling = 784 Hours</w:t>
            </w:r>
          </w:p>
          <w:p w:rsidR="007E7BD6" w:rsidRPr="001D6512" w:rsidRDefault="00C67DA4" w:rsidP="002D3370">
            <w:pPr>
              <w:pStyle w:val="TableCell"/>
              <w:spacing w:before="60" w:after="60"/>
              <w:rPr>
                <w:rFonts w:eastAsia="Calibri" w:cs="Arial"/>
                <w:szCs w:val="18"/>
              </w:rPr>
            </w:pPr>
            <w:r w:rsidRPr="001D6512">
              <w:rPr>
                <w:rFonts w:eastAsia="Calibri" w:cs="Arial"/>
                <w:szCs w:val="18"/>
              </w:rPr>
              <w:t>Erie Cooling = 482 Hours</w:t>
            </w:r>
          </w:p>
          <w:p w:rsidR="007E7BD6" w:rsidRPr="001D6512" w:rsidRDefault="00C67DA4" w:rsidP="002D3370">
            <w:pPr>
              <w:pStyle w:val="TableCell"/>
              <w:spacing w:before="60" w:after="60"/>
              <w:rPr>
                <w:rFonts w:eastAsia="Calibri" w:cs="Arial"/>
                <w:szCs w:val="18"/>
              </w:rPr>
            </w:pPr>
            <w:r w:rsidRPr="001D6512">
              <w:rPr>
                <w:rFonts w:eastAsia="Calibri" w:cs="Arial"/>
                <w:szCs w:val="18"/>
              </w:rPr>
              <w:t>Harrisburg Cooling = 929 Hours</w:t>
            </w:r>
          </w:p>
          <w:p w:rsidR="007E7BD6" w:rsidRPr="001D6512" w:rsidRDefault="00C67DA4" w:rsidP="002D3370">
            <w:pPr>
              <w:pStyle w:val="TableCell"/>
              <w:spacing w:before="60" w:after="60"/>
              <w:rPr>
                <w:rFonts w:eastAsia="Calibri" w:cs="Arial"/>
                <w:szCs w:val="18"/>
              </w:rPr>
            </w:pPr>
            <w:r w:rsidRPr="001D6512">
              <w:rPr>
                <w:rFonts w:eastAsia="Calibri" w:cs="Arial"/>
                <w:szCs w:val="18"/>
              </w:rPr>
              <w:t>Philadelphia Cooling = 1,032 Hours</w:t>
            </w:r>
          </w:p>
          <w:p w:rsidR="007E7BD6" w:rsidRPr="001D6512" w:rsidRDefault="00C67DA4" w:rsidP="002D3370">
            <w:pPr>
              <w:pStyle w:val="TableCell"/>
              <w:spacing w:before="60" w:after="60"/>
              <w:rPr>
                <w:rFonts w:eastAsia="Calibri" w:cs="Arial"/>
                <w:szCs w:val="18"/>
              </w:rPr>
            </w:pPr>
            <w:r w:rsidRPr="001D6512">
              <w:rPr>
                <w:rFonts w:eastAsia="Calibri" w:cs="Arial"/>
                <w:szCs w:val="18"/>
              </w:rPr>
              <w:t>Pittsburgh Cooling = 737 Hours</w:t>
            </w:r>
          </w:p>
          <w:p w:rsidR="007E7BD6" w:rsidRPr="001D6512" w:rsidRDefault="00C67DA4" w:rsidP="002D3370">
            <w:pPr>
              <w:pStyle w:val="TableCell"/>
              <w:spacing w:before="60" w:after="60"/>
              <w:rPr>
                <w:rFonts w:eastAsia="Calibri" w:cs="Arial"/>
                <w:szCs w:val="18"/>
              </w:rPr>
            </w:pPr>
            <w:r w:rsidRPr="001D6512">
              <w:rPr>
                <w:rFonts w:eastAsia="Calibri" w:cs="Arial"/>
                <w:szCs w:val="18"/>
              </w:rPr>
              <w:t>Scranton Cooling = 621 Hours</w:t>
            </w:r>
          </w:p>
          <w:p w:rsidR="007E7BD6" w:rsidRPr="001D6512" w:rsidRDefault="00C67DA4" w:rsidP="004A3985">
            <w:pPr>
              <w:pStyle w:val="TableCell"/>
              <w:spacing w:before="60" w:after="60"/>
              <w:rPr>
                <w:rFonts w:eastAsia="Calibri" w:cs="Arial"/>
                <w:szCs w:val="18"/>
              </w:rPr>
            </w:pPr>
            <w:r w:rsidRPr="001D6512">
              <w:rPr>
                <w:rFonts w:eastAsia="Calibri" w:cs="Arial"/>
                <w:szCs w:val="18"/>
              </w:rPr>
              <w:t>Williamsport Cooling = 659 Hours</w:t>
            </w:r>
          </w:p>
        </w:tc>
        <w:tc>
          <w:tcPr>
            <w:tcW w:w="1157" w:type="pct"/>
          </w:tcPr>
          <w:p w:rsidR="007E7BD6" w:rsidRPr="001D6512" w:rsidRDefault="00C67DA4" w:rsidP="002D3370">
            <w:pPr>
              <w:pStyle w:val="TableCell"/>
              <w:spacing w:before="60" w:after="60"/>
              <w:rPr>
                <w:rFonts w:eastAsia="Calibri" w:cs="Arial"/>
                <w:szCs w:val="18"/>
              </w:rPr>
            </w:pPr>
            <w:r w:rsidRPr="001D6512">
              <w:rPr>
                <w:rFonts w:eastAsia="Calibri" w:cs="Arial"/>
                <w:szCs w:val="18"/>
              </w:rPr>
              <w:t>6</w:t>
            </w:r>
          </w:p>
        </w:tc>
      </w:tr>
      <w:tr w:rsidR="002D3370" w:rsidRPr="004654AF" w:rsidTr="002D3370">
        <w:trPr>
          <w:trHeight w:val="20"/>
          <w:jc w:val="center"/>
        </w:trPr>
        <w:tc>
          <w:tcPr>
            <w:tcW w:w="900" w:type="pct"/>
          </w:tcPr>
          <w:p w:rsidR="002D3370" w:rsidRPr="001D6512" w:rsidRDefault="002D3370" w:rsidP="002D3370">
            <w:pPr>
              <w:pStyle w:val="TableCell"/>
              <w:spacing w:before="60" w:after="60"/>
              <w:rPr>
                <w:rFonts w:eastAsia="Calibri" w:cs="Arial"/>
                <w:szCs w:val="18"/>
                <w:vertAlign w:val="subscript"/>
              </w:rPr>
            </w:pPr>
            <w:r w:rsidRPr="001D6512">
              <w:rPr>
                <w:rFonts w:eastAsia="Calibri" w:cs="Arial"/>
                <w:szCs w:val="18"/>
              </w:rPr>
              <w:t>EFLH</w:t>
            </w:r>
            <w:r w:rsidRPr="001D6512">
              <w:rPr>
                <w:rFonts w:eastAsia="Calibri" w:cs="Arial"/>
                <w:szCs w:val="18"/>
                <w:vertAlign w:val="subscript"/>
              </w:rPr>
              <w:t>HEAT</w:t>
            </w:r>
          </w:p>
        </w:tc>
        <w:tc>
          <w:tcPr>
            <w:tcW w:w="789" w:type="pct"/>
          </w:tcPr>
          <w:p w:rsidR="002D3370" w:rsidRPr="001D6512" w:rsidRDefault="002D3370" w:rsidP="002D3370">
            <w:pPr>
              <w:pStyle w:val="TableCell"/>
              <w:spacing w:before="60" w:after="60"/>
              <w:rPr>
                <w:rFonts w:eastAsia="Calibri" w:cs="Arial"/>
                <w:szCs w:val="18"/>
              </w:rPr>
            </w:pPr>
            <w:r w:rsidRPr="001D6512">
              <w:rPr>
                <w:rFonts w:eastAsia="Calibri" w:cs="Arial"/>
                <w:szCs w:val="18"/>
              </w:rPr>
              <w:t>Fixed</w:t>
            </w:r>
          </w:p>
        </w:tc>
        <w:tc>
          <w:tcPr>
            <w:tcW w:w="2154" w:type="pct"/>
          </w:tcPr>
          <w:p w:rsidR="002D3370" w:rsidRPr="001D6512" w:rsidRDefault="002D3370" w:rsidP="002D3370">
            <w:pPr>
              <w:pStyle w:val="TableCell"/>
              <w:spacing w:before="60" w:after="60"/>
              <w:rPr>
                <w:rFonts w:eastAsia="Calibri" w:cs="Arial"/>
                <w:szCs w:val="18"/>
              </w:rPr>
            </w:pPr>
            <w:r w:rsidRPr="001D6512">
              <w:rPr>
                <w:rFonts w:eastAsia="Calibri" w:cs="Arial"/>
                <w:szCs w:val="18"/>
              </w:rPr>
              <w:t>Allentown Heating = 2,492 Hours</w:t>
            </w:r>
          </w:p>
          <w:p w:rsidR="002D3370" w:rsidRPr="001D6512" w:rsidRDefault="002D3370" w:rsidP="002D3370">
            <w:pPr>
              <w:pStyle w:val="TableCell"/>
              <w:spacing w:before="60" w:after="60"/>
              <w:rPr>
                <w:rFonts w:eastAsia="Calibri" w:cs="Arial"/>
                <w:szCs w:val="18"/>
              </w:rPr>
            </w:pPr>
            <w:r w:rsidRPr="001D6512">
              <w:rPr>
                <w:rFonts w:eastAsia="Calibri" w:cs="Arial"/>
                <w:szCs w:val="18"/>
              </w:rPr>
              <w:t>Erie Heating = 2,901 Hours</w:t>
            </w:r>
          </w:p>
          <w:p w:rsidR="002D3370" w:rsidRPr="001D6512" w:rsidRDefault="002D3370" w:rsidP="002D3370">
            <w:pPr>
              <w:pStyle w:val="TableCell"/>
              <w:spacing w:before="60" w:after="60"/>
              <w:rPr>
                <w:rFonts w:eastAsia="Calibri" w:cs="Arial"/>
                <w:szCs w:val="18"/>
              </w:rPr>
            </w:pPr>
            <w:r w:rsidRPr="001D6512">
              <w:rPr>
                <w:rFonts w:eastAsia="Calibri" w:cs="Arial"/>
                <w:szCs w:val="18"/>
              </w:rPr>
              <w:t>Harrisburg Heating = 2,371 Hours</w:t>
            </w:r>
          </w:p>
          <w:p w:rsidR="002D3370" w:rsidRPr="001D6512" w:rsidRDefault="002D3370" w:rsidP="002D3370">
            <w:pPr>
              <w:pStyle w:val="TableCell"/>
              <w:spacing w:before="60" w:after="60"/>
              <w:rPr>
                <w:rFonts w:eastAsia="Calibri" w:cs="Arial"/>
                <w:szCs w:val="18"/>
              </w:rPr>
            </w:pPr>
            <w:r w:rsidRPr="001D6512">
              <w:rPr>
                <w:rFonts w:eastAsia="Calibri" w:cs="Arial"/>
                <w:szCs w:val="18"/>
              </w:rPr>
              <w:t>Philadelphia Heating = 2,328 Hours</w:t>
            </w:r>
          </w:p>
          <w:p w:rsidR="002D3370" w:rsidRPr="001D6512" w:rsidRDefault="002D3370" w:rsidP="002D3370">
            <w:pPr>
              <w:pStyle w:val="TableCell"/>
              <w:spacing w:before="60" w:after="60"/>
              <w:rPr>
                <w:rFonts w:eastAsia="Calibri" w:cs="Arial"/>
                <w:szCs w:val="18"/>
              </w:rPr>
            </w:pPr>
            <w:r w:rsidRPr="001D6512">
              <w:rPr>
                <w:rFonts w:eastAsia="Calibri" w:cs="Arial"/>
                <w:szCs w:val="18"/>
              </w:rPr>
              <w:t>Pittsburgh Heating = 2,380 Hours</w:t>
            </w:r>
          </w:p>
          <w:p w:rsidR="002D3370" w:rsidRPr="001D6512" w:rsidRDefault="002D3370" w:rsidP="002D3370">
            <w:pPr>
              <w:pStyle w:val="TableCell"/>
              <w:spacing w:before="60" w:after="60"/>
              <w:rPr>
                <w:rFonts w:eastAsia="Calibri" w:cs="Arial"/>
                <w:szCs w:val="18"/>
              </w:rPr>
            </w:pPr>
            <w:r w:rsidRPr="001D6512">
              <w:rPr>
                <w:rFonts w:eastAsia="Calibri" w:cs="Arial"/>
                <w:szCs w:val="18"/>
              </w:rPr>
              <w:t>Scranton Heating = 2,532 Hours</w:t>
            </w:r>
          </w:p>
          <w:p w:rsidR="002D3370" w:rsidRPr="001D6512" w:rsidRDefault="002D3370" w:rsidP="002D3370">
            <w:pPr>
              <w:pStyle w:val="TableCell"/>
              <w:spacing w:before="60" w:after="60"/>
              <w:rPr>
                <w:rFonts w:eastAsia="Calibri" w:cs="Arial"/>
                <w:szCs w:val="18"/>
              </w:rPr>
            </w:pPr>
            <w:r w:rsidRPr="001D6512">
              <w:rPr>
                <w:rFonts w:eastAsia="Calibri" w:cs="Arial"/>
                <w:szCs w:val="18"/>
              </w:rPr>
              <w:t>Williamsport Heating = 2,502 Hours</w:t>
            </w:r>
          </w:p>
        </w:tc>
        <w:tc>
          <w:tcPr>
            <w:tcW w:w="1157" w:type="pct"/>
          </w:tcPr>
          <w:p w:rsidR="002D3370" w:rsidRPr="001D6512" w:rsidRDefault="002D3370" w:rsidP="002D3370">
            <w:pPr>
              <w:pStyle w:val="TableCell"/>
              <w:spacing w:before="60" w:after="60"/>
              <w:rPr>
                <w:rFonts w:eastAsia="Calibri" w:cs="Arial"/>
                <w:szCs w:val="18"/>
              </w:rPr>
            </w:pPr>
            <w:r w:rsidRPr="001D6512">
              <w:rPr>
                <w:rFonts w:eastAsia="Calibri" w:cs="Arial"/>
                <w:szCs w:val="18"/>
              </w:rPr>
              <w:t>6</w:t>
            </w:r>
          </w:p>
        </w:tc>
      </w:tr>
      <w:tr w:rsidR="007E7BD6" w:rsidRPr="004654AF" w:rsidTr="002D3370">
        <w:trPr>
          <w:trHeight w:val="20"/>
          <w:jc w:val="center"/>
        </w:trPr>
        <w:tc>
          <w:tcPr>
            <w:tcW w:w="900" w:type="pct"/>
          </w:tcPr>
          <w:p w:rsidR="007E7BD6" w:rsidRPr="001D6512" w:rsidRDefault="00C67DA4" w:rsidP="002D3370">
            <w:pPr>
              <w:pStyle w:val="TableCell"/>
              <w:spacing w:before="60" w:after="60"/>
              <w:rPr>
                <w:rFonts w:eastAsia="Calibri" w:cs="Arial"/>
                <w:szCs w:val="18"/>
              </w:rPr>
            </w:pPr>
            <w:r w:rsidRPr="001D6512">
              <w:rPr>
                <w:rFonts w:eastAsia="Calibri" w:cs="Arial"/>
                <w:szCs w:val="18"/>
              </w:rPr>
              <w:t>Measure Life (EUL)</w:t>
            </w:r>
          </w:p>
        </w:tc>
        <w:tc>
          <w:tcPr>
            <w:tcW w:w="789" w:type="pct"/>
          </w:tcPr>
          <w:p w:rsidR="007E7BD6" w:rsidRPr="001D6512" w:rsidRDefault="00C67DA4" w:rsidP="002D3370">
            <w:pPr>
              <w:pStyle w:val="TableCell"/>
              <w:spacing w:before="60" w:after="60"/>
              <w:rPr>
                <w:rFonts w:eastAsia="Calibri" w:cs="Arial"/>
                <w:szCs w:val="18"/>
              </w:rPr>
            </w:pPr>
            <w:r w:rsidRPr="001D6512">
              <w:rPr>
                <w:rFonts w:eastAsia="Calibri" w:cs="Arial"/>
                <w:szCs w:val="18"/>
              </w:rPr>
              <w:t>Fixed</w:t>
            </w:r>
          </w:p>
        </w:tc>
        <w:tc>
          <w:tcPr>
            <w:tcW w:w="2154" w:type="pct"/>
          </w:tcPr>
          <w:p w:rsidR="007E7BD6" w:rsidRPr="001D6512" w:rsidRDefault="00C67DA4" w:rsidP="002D3370">
            <w:pPr>
              <w:pStyle w:val="TableCell"/>
              <w:spacing w:before="60" w:after="60"/>
              <w:rPr>
                <w:rFonts w:eastAsia="Calibri" w:cs="Arial"/>
                <w:szCs w:val="18"/>
              </w:rPr>
            </w:pPr>
            <w:r w:rsidRPr="001D6512">
              <w:rPr>
                <w:rFonts w:eastAsia="Calibri" w:cs="Arial"/>
                <w:szCs w:val="18"/>
              </w:rPr>
              <w:t>11</w:t>
            </w:r>
          </w:p>
        </w:tc>
        <w:tc>
          <w:tcPr>
            <w:tcW w:w="1157" w:type="pct"/>
          </w:tcPr>
          <w:p w:rsidR="007E7BD6" w:rsidRPr="001D6512" w:rsidRDefault="00C67DA4" w:rsidP="002D3370">
            <w:pPr>
              <w:pStyle w:val="TableCell"/>
              <w:spacing w:before="60" w:after="60"/>
              <w:rPr>
                <w:rFonts w:eastAsia="Calibri" w:cs="Arial"/>
                <w:szCs w:val="18"/>
              </w:rPr>
            </w:pPr>
            <w:r w:rsidRPr="001D6512">
              <w:rPr>
                <w:rFonts w:eastAsia="Calibri" w:cs="Arial"/>
                <w:szCs w:val="18"/>
              </w:rPr>
              <w:t>7</w:t>
            </w:r>
          </w:p>
        </w:tc>
      </w:tr>
    </w:tbl>
    <w:p w:rsidR="007E7BD6" w:rsidRPr="00F563CA" w:rsidRDefault="007E7BD6" w:rsidP="007E7BD6">
      <w:pPr>
        <w:spacing w:line="276" w:lineRule="auto"/>
        <w:rPr>
          <w:rFonts w:ascii="Calibri" w:eastAsia="Calibri" w:hAnsi="Calibri"/>
          <w:sz w:val="22"/>
          <w:szCs w:val="22"/>
        </w:rPr>
      </w:pPr>
    </w:p>
    <w:p w:rsidR="007E7BD6" w:rsidRPr="00BC5194" w:rsidRDefault="007E7BD6" w:rsidP="00100EDF">
      <w:pPr>
        <w:rPr>
          <w:rFonts w:eastAsia="Calibri"/>
          <w:b/>
        </w:rPr>
      </w:pPr>
      <w:r w:rsidRPr="00BC5194">
        <w:rPr>
          <w:rFonts w:eastAsia="Calibri"/>
          <w:b/>
        </w:rPr>
        <w:t>Sources:</w:t>
      </w:r>
    </w:p>
    <w:p w:rsidR="007E7BD6" w:rsidRPr="00AA4BB4" w:rsidRDefault="007E7BD6" w:rsidP="0005632A">
      <w:pPr>
        <w:pStyle w:val="source1"/>
        <w:numPr>
          <w:ilvl w:val="0"/>
          <w:numId w:val="31"/>
        </w:numPr>
        <w:rPr>
          <w:rFonts w:eastAsia="Calibri"/>
        </w:rPr>
      </w:pPr>
      <w:r w:rsidRPr="00AA4BB4">
        <w:rPr>
          <w:rFonts w:eastAsia="Calibri"/>
        </w:rPr>
        <w:t>Average size of residential air conditioner or furnace.</w:t>
      </w:r>
    </w:p>
    <w:p w:rsidR="007E7BD6" w:rsidRPr="00F563CA" w:rsidRDefault="007E7BD6" w:rsidP="00C3606E">
      <w:pPr>
        <w:pStyle w:val="source1"/>
        <w:rPr>
          <w:rFonts w:eastAsia="Calibri"/>
        </w:rPr>
      </w:pPr>
      <w:r w:rsidRPr="00F563CA">
        <w:rPr>
          <w:rFonts w:eastAsia="Calibri"/>
        </w:rPr>
        <w:t>Minimum Federal Standard for new Central Air Conditioners/Heat Pumps between 1990 and 2006.</w:t>
      </w:r>
    </w:p>
    <w:p w:rsidR="007E7BD6" w:rsidRPr="00F563CA" w:rsidRDefault="007E7BD6" w:rsidP="00AA4BB4">
      <w:pPr>
        <w:pStyle w:val="source1"/>
        <w:rPr>
          <w:rFonts w:eastAsia="Calibri"/>
        </w:rPr>
      </w:pPr>
      <w:r w:rsidRPr="00F563CA">
        <w:rPr>
          <w:rFonts w:eastAsia="Calibri"/>
        </w:rPr>
        <w:t>New York Standard Approach for Estimating Energy Savings from Energy Efficiency Measures in Commercial and Industrial Programs, September 1, 2009.</w:t>
      </w:r>
    </w:p>
    <w:p w:rsidR="007E7BD6" w:rsidRPr="00F563CA" w:rsidRDefault="007E7BD6" w:rsidP="00AA4BB4">
      <w:pPr>
        <w:pStyle w:val="source1"/>
        <w:rPr>
          <w:rFonts w:eastAsia="Calibri"/>
        </w:rPr>
      </w:pPr>
      <w:r w:rsidRPr="00F563CA">
        <w:rPr>
          <w:rFonts w:eastAsia="Calibri"/>
        </w:rPr>
        <w:lastRenderedPageBreak/>
        <w:t>DEER 2005 cooling savings for climate zone 16, assumes a variety of thermostat usage patterns.</w:t>
      </w:r>
    </w:p>
    <w:p w:rsidR="007E7BD6" w:rsidRPr="00F563CA" w:rsidRDefault="007E7BD6" w:rsidP="00AA4BB4">
      <w:pPr>
        <w:pStyle w:val="source1"/>
        <w:rPr>
          <w:rFonts w:eastAsia="Calibri"/>
        </w:rPr>
      </w:pPr>
      <w:r w:rsidRPr="00F563CA">
        <w:rPr>
          <w:rFonts w:eastAsia="Calibri"/>
        </w:rPr>
        <w:t>“Programmable Thermostats. Report to KeySpan Energy Delivery on Energy Savings and Cost Effectiveness”, GDS Associates, Marietta, GA. 2002.  3.6% factor includes 56% realization rate.</w:t>
      </w:r>
    </w:p>
    <w:p w:rsidR="007E7BD6" w:rsidRPr="00F563CA" w:rsidRDefault="007E7BD6" w:rsidP="00AA4BB4">
      <w:pPr>
        <w:pStyle w:val="source1"/>
        <w:rPr>
          <w:rFonts w:eastAsia="Calibri"/>
        </w:rPr>
      </w:pPr>
      <w:r w:rsidRPr="00F563CA">
        <w:rPr>
          <w:rFonts w:eastAsia="Calibri"/>
        </w:rPr>
        <w:t>US Department of Energy, ENERGY STAR Calculator.  Accessed 3/16/2009.</w:t>
      </w:r>
    </w:p>
    <w:p w:rsidR="007E7BD6" w:rsidRPr="00F563CA" w:rsidRDefault="007E7BD6" w:rsidP="00AA4BB4">
      <w:pPr>
        <w:pStyle w:val="source1"/>
        <w:rPr>
          <w:rFonts w:eastAsia="Calibri"/>
        </w:rPr>
      </w:pPr>
      <w:r w:rsidRPr="00F563CA">
        <w:rPr>
          <w:rFonts w:eastAsia="Calibri"/>
        </w:rPr>
        <w:t>New York Standard Approach for Estimating Energy Savings from Energy Efficiency Measures in Commercial and Industrial Programs, September 1, 2009, based on DEER.</w:t>
      </w:r>
    </w:p>
    <w:p w:rsidR="007E7BD6" w:rsidRDefault="007E7BD6" w:rsidP="007E7BD6">
      <w:pPr>
        <w:numPr>
          <w:ilvl w:val="1"/>
          <w:numId w:val="0"/>
        </w:numPr>
        <w:spacing w:after="120" w:line="276" w:lineRule="auto"/>
        <w:ind w:left="720"/>
        <w:rPr>
          <w:rFonts w:ascii="Calibri" w:hAnsi="Calibri"/>
          <w:b/>
          <w:iCs/>
          <w:sz w:val="24"/>
          <w:szCs w:val="24"/>
        </w:rPr>
      </w:pPr>
    </w:p>
    <w:p w:rsidR="009A0119" w:rsidRDefault="009A0119" w:rsidP="00E568D4">
      <w:pPr>
        <w:pStyle w:val="Heading2"/>
      </w:pPr>
      <w:bookmarkStart w:id="215" w:name="_Toc275867042"/>
      <w:bookmarkStart w:id="216" w:name="_Toc275867537"/>
      <w:bookmarkStart w:id="217" w:name="_Toc275878785"/>
      <w:bookmarkStart w:id="218" w:name="_Toc275902924"/>
      <w:bookmarkStart w:id="219" w:name="_Toc275942698"/>
      <w:bookmarkStart w:id="220" w:name="_Toc275942981"/>
      <w:bookmarkStart w:id="221" w:name="_Toc275943364"/>
      <w:bookmarkStart w:id="222" w:name="_Toc276630886"/>
      <w:bookmarkStart w:id="223" w:name="_Toc276631105"/>
      <w:bookmarkStart w:id="224" w:name="_Toc276631329"/>
      <w:bookmarkStart w:id="225" w:name="_Toc276631548"/>
      <w:bookmarkStart w:id="226" w:name="_Toc283146696"/>
      <w:bookmarkStart w:id="227" w:name="_Toc283154179"/>
      <w:bookmarkStart w:id="228" w:name="_Toc283715928"/>
      <w:bookmarkStart w:id="229" w:name="_Toc283719063"/>
      <w:bookmarkStart w:id="230" w:name="_Toc283719239"/>
      <w:bookmarkStart w:id="231" w:name="_Toc283719415"/>
      <w:bookmarkStart w:id="232" w:name="_Toc283738924"/>
      <w:bookmarkStart w:id="233" w:name="_Toc283739276"/>
      <w:bookmarkStart w:id="234" w:name="_Toc283739627"/>
      <w:bookmarkStart w:id="235" w:name="_Toc283739971"/>
      <w:bookmarkStart w:id="236" w:name="_Toc283740312"/>
      <w:bookmarkStart w:id="237" w:name="_Toc283740645"/>
      <w:bookmarkStart w:id="238" w:name="_Toc283740974"/>
      <w:bookmarkStart w:id="239" w:name="_Toc283741297"/>
      <w:bookmarkStart w:id="240" w:name="_Toc283741609"/>
      <w:bookmarkStart w:id="241" w:name="_Toc283741918"/>
      <w:bookmarkStart w:id="242" w:name="_Toc283742455"/>
      <w:bookmarkStart w:id="243" w:name="_Toc283742720"/>
      <w:bookmarkStart w:id="244" w:name="_Toc283742981"/>
      <w:bookmarkStart w:id="245" w:name="_Toc283743159"/>
      <w:bookmarkStart w:id="246" w:name="_Toc283743335"/>
      <w:bookmarkStart w:id="247" w:name="_Toc283743512"/>
      <w:bookmarkStart w:id="248" w:name="_Toc283743688"/>
      <w:bookmarkStart w:id="249" w:name="_Toc275867043"/>
      <w:bookmarkStart w:id="250" w:name="_Toc275867538"/>
      <w:bookmarkStart w:id="251" w:name="_Toc275878786"/>
      <w:bookmarkStart w:id="252" w:name="_Toc275902925"/>
      <w:bookmarkStart w:id="253" w:name="_Toc275942699"/>
      <w:bookmarkStart w:id="254" w:name="_Toc275942982"/>
      <w:bookmarkStart w:id="255" w:name="_Toc275943365"/>
      <w:bookmarkStart w:id="256" w:name="_Toc276630887"/>
      <w:bookmarkStart w:id="257" w:name="_Toc276631106"/>
      <w:bookmarkStart w:id="258" w:name="_Toc276631330"/>
      <w:bookmarkStart w:id="259" w:name="_Toc276631549"/>
      <w:bookmarkStart w:id="260" w:name="_Toc283146697"/>
      <w:bookmarkStart w:id="261" w:name="_Toc283154180"/>
      <w:bookmarkStart w:id="262" w:name="_Toc283715929"/>
      <w:bookmarkStart w:id="263" w:name="_Toc283719064"/>
      <w:bookmarkStart w:id="264" w:name="_Toc283719240"/>
      <w:bookmarkStart w:id="265" w:name="_Toc283719416"/>
      <w:bookmarkStart w:id="266" w:name="_Toc283738925"/>
      <w:bookmarkStart w:id="267" w:name="_Toc283739277"/>
      <w:bookmarkStart w:id="268" w:name="_Toc283739628"/>
      <w:bookmarkStart w:id="269" w:name="_Toc283739972"/>
      <w:bookmarkStart w:id="270" w:name="_Toc283740313"/>
      <w:bookmarkStart w:id="271" w:name="_Toc283740646"/>
      <w:bookmarkStart w:id="272" w:name="_Toc283740975"/>
      <w:bookmarkStart w:id="273" w:name="_Toc283741298"/>
      <w:bookmarkStart w:id="274" w:name="_Toc283741610"/>
      <w:bookmarkStart w:id="275" w:name="_Toc283741919"/>
      <w:bookmarkStart w:id="276" w:name="_Toc283742456"/>
      <w:bookmarkStart w:id="277" w:name="_Toc283742721"/>
      <w:bookmarkStart w:id="278" w:name="_Toc283742982"/>
      <w:bookmarkStart w:id="279" w:name="_Toc283743160"/>
      <w:bookmarkStart w:id="280" w:name="_Toc283743336"/>
      <w:bookmarkStart w:id="281" w:name="_Toc283743513"/>
      <w:bookmarkStart w:id="282" w:name="_Toc283743689"/>
      <w:bookmarkStart w:id="283" w:name="_Toc275867044"/>
      <w:bookmarkStart w:id="284" w:name="_Toc275867539"/>
      <w:bookmarkStart w:id="285" w:name="_Toc275878787"/>
      <w:bookmarkStart w:id="286" w:name="_Toc275902926"/>
      <w:bookmarkStart w:id="287" w:name="_Toc275942700"/>
      <w:bookmarkStart w:id="288" w:name="_Toc275942983"/>
      <w:bookmarkStart w:id="289" w:name="_Toc275943366"/>
      <w:bookmarkStart w:id="290" w:name="_Toc276630888"/>
      <w:bookmarkStart w:id="291" w:name="_Toc276631107"/>
      <w:bookmarkStart w:id="292" w:name="_Toc276631331"/>
      <w:bookmarkStart w:id="293" w:name="_Toc276631550"/>
      <w:bookmarkStart w:id="294" w:name="_Toc283146698"/>
      <w:bookmarkStart w:id="295" w:name="_Toc283154181"/>
      <w:bookmarkStart w:id="296" w:name="_Toc283715930"/>
      <w:bookmarkStart w:id="297" w:name="_Toc283719065"/>
      <w:bookmarkStart w:id="298" w:name="_Toc283719241"/>
      <w:bookmarkStart w:id="299" w:name="_Toc283719417"/>
      <w:bookmarkStart w:id="300" w:name="_Toc283738926"/>
      <w:bookmarkStart w:id="301" w:name="_Toc283739278"/>
      <w:bookmarkStart w:id="302" w:name="_Toc283739629"/>
      <w:bookmarkStart w:id="303" w:name="_Toc283739973"/>
      <w:bookmarkStart w:id="304" w:name="_Toc283740314"/>
      <w:bookmarkStart w:id="305" w:name="_Toc283740647"/>
      <w:bookmarkStart w:id="306" w:name="_Toc283740976"/>
      <w:bookmarkStart w:id="307" w:name="_Toc283741299"/>
      <w:bookmarkStart w:id="308" w:name="_Toc283741611"/>
      <w:bookmarkStart w:id="309" w:name="_Toc283741920"/>
      <w:bookmarkStart w:id="310" w:name="_Toc283742457"/>
      <w:bookmarkStart w:id="311" w:name="_Toc283742722"/>
      <w:bookmarkStart w:id="312" w:name="_Toc283742983"/>
      <w:bookmarkStart w:id="313" w:name="_Toc283743161"/>
      <w:bookmarkStart w:id="314" w:name="_Toc283743337"/>
      <w:bookmarkStart w:id="315" w:name="_Toc283743514"/>
      <w:bookmarkStart w:id="316" w:name="_Toc28374369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br w:type="page"/>
      </w:r>
      <w:bookmarkStart w:id="317" w:name="_Toc261851930"/>
      <w:bookmarkStart w:id="318" w:name="_Toc310875411"/>
      <w:r>
        <w:lastRenderedPageBreak/>
        <w:t xml:space="preserve">Room AC (RAC) </w:t>
      </w:r>
      <w:r w:rsidRPr="00D53EFE">
        <w:t>Retirement</w:t>
      </w:r>
      <w:bookmarkEnd w:id="317"/>
      <w:bookmarkEnd w:id="318"/>
    </w:p>
    <w:tbl>
      <w:tblPr>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4428"/>
        <w:gridCol w:w="4428"/>
      </w:tblGrid>
      <w:tr w:rsidR="009A0119" w:rsidRPr="00C465DB" w:rsidTr="00F84A22">
        <w:trPr>
          <w:trHeight w:val="323"/>
        </w:trPr>
        <w:tc>
          <w:tcPr>
            <w:tcW w:w="4428" w:type="dxa"/>
            <w:tcBorders>
              <w:top w:val="single" w:sz="8" w:space="0" w:color="404040"/>
              <w:left w:val="single" w:sz="8" w:space="0" w:color="404040"/>
              <w:bottom w:val="single" w:sz="8" w:space="0" w:color="404040"/>
              <w:right w:val="single" w:sz="8" w:space="0" w:color="404040"/>
            </w:tcBorders>
            <w:shd w:val="clear" w:color="auto" w:fill="BFBFBF"/>
          </w:tcPr>
          <w:p w:rsidR="009A0119" w:rsidRPr="001D6512" w:rsidRDefault="009A0119" w:rsidP="00F84A22">
            <w:pPr>
              <w:pStyle w:val="TableCell"/>
              <w:spacing w:before="60" w:after="60"/>
              <w:rPr>
                <w:b/>
                <w:bCs/>
                <w:caps/>
              </w:rPr>
            </w:pPr>
            <w:r w:rsidRPr="001D6512">
              <w:rPr>
                <w:b/>
                <w:bCs/>
              </w:rPr>
              <w:t>Measure Name</w:t>
            </w:r>
          </w:p>
        </w:tc>
        <w:tc>
          <w:tcPr>
            <w:tcW w:w="4428" w:type="dxa"/>
            <w:tcBorders>
              <w:top w:val="single" w:sz="8" w:space="0" w:color="404040"/>
              <w:left w:val="single" w:sz="8" w:space="0" w:color="404040"/>
              <w:bottom w:val="single" w:sz="8" w:space="0" w:color="404040"/>
              <w:right w:val="single" w:sz="8" w:space="0" w:color="404040"/>
            </w:tcBorders>
            <w:shd w:val="clear" w:color="auto" w:fill="BFBFBF"/>
          </w:tcPr>
          <w:p w:rsidR="009A0119" w:rsidRPr="001D6512" w:rsidRDefault="009A0119" w:rsidP="00F84A22">
            <w:pPr>
              <w:pStyle w:val="TableCell"/>
              <w:spacing w:before="60" w:after="60"/>
              <w:rPr>
                <w:b/>
                <w:bCs/>
                <w:caps/>
              </w:rPr>
            </w:pPr>
            <w:r w:rsidRPr="001D6512">
              <w:rPr>
                <w:b/>
                <w:bCs/>
              </w:rPr>
              <w:t>Room A/C Retirement</w:t>
            </w:r>
          </w:p>
        </w:tc>
      </w:tr>
      <w:tr w:rsidR="009A0119" w:rsidRPr="00C465DB" w:rsidTr="00F84A22">
        <w:trPr>
          <w:trHeight w:val="288"/>
        </w:trPr>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9A0119" w:rsidRPr="00865117" w:rsidRDefault="009A0119" w:rsidP="00F84A22">
            <w:pPr>
              <w:pStyle w:val="TableCell"/>
              <w:spacing w:before="60" w:after="60"/>
              <w:rPr>
                <w:b/>
                <w:bCs/>
                <w:caps/>
                <w:color w:val="000000"/>
              </w:rPr>
            </w:pPr>
            <w:r w:rsidRPr="00865117">
              <w:rPr>
                <w:b/>
                <w:bCs/>
                <w:color w:val="000000"/>
              </w:rPr>
              <w:t>Target Sector</w:t>
            </w:r>
          </w:p>
        </w:tc>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9A0119" w:rsidRPr="001D6512" w:rsidRDefault="009A0119" w:rsidP="00F84A22">
            <w:pPr>
              <w:pStyle w:val="TableCell"/>
              <w:spacing w:before="60" w:after="60"/>
              <w:rPr>
                <w:caps/>
                <w:color w:val="000000"/>
              </w:rPr>
            </w:pPr>
            <w:r w:rsidRPr="001D6512">
              <w:rPr>
                <w:color w:val="000000"/>
              </w:rPr>
              <w:t>Residential Establishments</w:t>
            </w:r>
          </w:p>
        </w:tc>
      </w:tr>
      <w:tr w:rsidR="009A0119" w:rsidRPr="00C465DB" w:rsidTr="00F84A22">
        <w:trPr>
          <w:trHeight w:val="288"/>
        </w:trPr>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9A0119" w:rsidRPr="00865117" w:rsidRDefault="009A0119" w:rsidP="00F84A22">
            <w:pPr>
              <w:pStyle w:val="TableCell"/>
              <w:spacing w:before="60" w:after="60"/>
              <w:rPr>
                <w:b/>
                <w:bCs/>
                <w:caps/>
                <w:color w:val="000000"/>
              </w:rPr>
            </w:pPr>
            <w:r w:rsidRPr="00865117">
              <w:rPr>
                <w:b/>
                <w:bCs/>
                <w:color w:val="000000"/>
              </w:rPr>
              <w:t>Measure Unit</w:t>
            </w:r>
          </w:p>
        </w:tc>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9A0119" w:rsidRPr="001D6512" w:rsidRDefault="009A0119" w:rsidP="00F84A22">
            <w:pPr>
              <w:pStyle w:val="TableCell"/>
              <w:spacing w:before="60" w:after="60"/>
              <w:rPr>
                <w:caps/>
                <w:color w:val="000000"/>
              </w:rPr>
            </w:pPr>
            <w:r w:rsidRPr="001D6512">
              <w:rPr>
                <w:color w:val="000000"/>
              </w:rPr>
              <w:t xml:space="preserve">Room A/C </w:t>
            </w:r>
          </w:p>
        </w:tc>
      </w:tr>
      <w:tr w:rsidR="009A0119" w:rsidRPr="00C465DB" w:rsidTr="00F84A22">
        <w:trPr>
          <w:trHeight w:val="288"/>
        </w:trPr>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9A0119" w:rsidRPr="00865117" w:rsidRDefault="009A0119" w:rsidP="00F84A22">
            <w:pPr>
              <w:pStyle w:val="TableCell"/>
              <w:spacing w:before="60" w:after="60"/>
              <w:rPr>
                <w:b/>
                <w:bCs/>
                <w:caps/>
                <w:color w:val="000000"/>
              </w:rPr>
            </w:pPr>
            <w:r w:rsidRPr="00865117">
              <w:rPr>
                <w:b/>
                <w:bCs/>
                <w:color w:val="000000"/>
              </w:rPr>
              <w:t>Unit Energy Savings</w:t>
            </w:r>
          </w:p>
        </w:tc>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9A0119" w:rsidRPr="001D6512" w:rsidRDefault="009A0119" w:rsidP="00F84A22">
            <w:pPr>
              <w:pStyle w:val="TableCell"/>
              <w:spacing w:before="60" w:after="60"/>
              <w:rPr>
                <w:i/>
                <w:caps/>
                <w:color w:val="000000"/>
              </w:rPr>
            </w:pPr>
            <w:r w:rsidRPr="001D6512">
              <w:rPr>
                <w:i/>
                <w:color w:val="000000"/>
              </w:rPr>
              <w:t>Varies</w:t>
            </w:r>
          </w:p>
        </w:tc>
      </w:tr>
      <w:tr w:rsidR="009A0119" w:rsidRPr="00C465DB" w:rsidTr="00F84A22">
        <w:trPr>
          <w:trHeight w:val="70"/>
        </w:trPr>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9A0119" w:rsidRPr="00865117" w:rsidRDefault="009A0119" w:rsidP="00F84A22">
            <w:pPr>
              <w:pStyle w:val="TableCell"/>
              <w:spacing w:before="60" w:after="60"/>
              <w:rPr>
                <w:b/>
                <w:bCs/>
                <w:caps/>
                <w:color w:val="000000"/>
              </w:rPr>
            </w:pPr>
            <w:r w:rsidRPr="00865117">
              <w:rPr>
                <w:b/>
                <w:bCs/>
                <w:color w:val="000000"/>
              </w:rPr>
              <w:t>Unit Peak Demand Reduction</w:t>
            </w:r>
          </w:p>
        </w:tc>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9A0119" w:rsidRPr="001D6512" w:rsidRDefault="009A0119" w:rsidP="00F84A22">
            <w:pPr>
              <w:pStyle w:val="TableCell"/>
              <w:spacing w:before="60" w:after="60"/>
              <w:rPr>
                <w:i/>
                <w:caps/>
                <w:color w:val="000000"/>
              </w:rPr>
            </w:pPr>
            <w:r w:rsidRPr="001D6512">
              <w:rPr>
                <w:i/>
                <w:color w:val="000000"/>
              </w:rPr>
              <w:t>Varies</w:t>
            </w:r>
          </w:p>
        </w:tc>
      </w:tr>
      <w:tr w:rsidR="009A0119" w:rsidRPr="00C465DB" w:rsidTr="00F84A22">
        <w:trPr>
          <w:trHeight w:val="288"/>
        </w:trPr>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9A0119" w:rsidRPr="00865117" w:rsidRDefault="009A0119" w:rsidP="00F84A22">
            <w:pPr>
              <w:pStyle w:val="TableCell"/>
              <w:spacing w:before="60" w:after="60"/>
              <w:rPr>
                <w:b/>
                <w:bCs/>
                <w:caps/>
                <w:color w:val="000000"/>
              </w:rPr>
            </w:pPr>
            <w:r w:rsidRPr="00865117">
              <w:rPr>
                <w:b/>
                <w:bCs/>
                <w:color w:val="000000"/>
              </w:rPr>
              <w:t>Measure Life</w:t>
            </w:r>
          </w:p>
        </w:tc>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9A0119" w:rsidRPr="001D6512" w:rsidRDefault="009A0119" w:rsidP="00F84A22">
            <w:pPr>
              <w:pStyle w:val="TableCell"/>
              <w:spacing w:before="60" w:after="60"/>
              <w:rPr>
                <w:caps/>
                <w:color w:val="000000"/>
              </w:rPr>
            </w:pPr>
            <w:r w:rsidRPr="001D6512">
              <w:rPr>
                <w:color w:val="000000"/>
              </w:rPr>
              <w:t>4</w:t>
            </w:r>
          </w:p>
        </w:tc>
      </w:tr>
    </w:tbl>
    <w:p w:rsidR="009A0119" w:rsidRDefault="009A0119" w:rsidP="00CF56BD">
      <w:pPr>
        <w:spacing w:after="0"/>
      </w:pPr>
    </w:p>
    <w:p w:rsidR="009A0119" w:rsidRDefault="009A0119" w:rsidP="009A0119">
      <w:pPr>
        <w:pStyle w:val="BodyText"/>
      </w:pPr>
      <w:r w:rsidRPr="00044CEE">
        <w:t>This measure is defined as retirement and recycling</w:t>
      </w:r>
      <w:r>
        <w:t xml:space="preserve"> </w:t>
      </w:r>
      <w:r w:rsidRPr="00406C0F">
        <w:rPr>
          <w:u w:val="single"/>
        </w:rPr>
        <w:t>without replacement</w:t>
      </w:r>
      <w:r>
        <w:t xml:space="preserve"> </w:t>
      </w:r>
      <w:r w:rsidRPr="00044CEE">
        <w:t xml:space="preserve">of an </w:t>
      </w:r>
      <w:r w:rsidRPr="00D836B0">
        <w:rPr>
          <w:i/>
        </w:rPr>
        <w:t>operable</w:t>
      </w:r>
      <w:r w:rsidRPr="00044CEE">
        <w:t xml:space="preserve"> but older and inefficient room AC </w:t>
      </w:r>
      <w:r>
        <w:t xml:space="preserve">(RAC) </w:t>
      </w:r>
      <w:r w:rsidRPr="00044CEE">
        <w:t>unit</w:t>
      </w:r>
      <w:r>
        <w:t xml:space="preserve"> that would not have otherwise been recycled</w:t>
      </w:r>
      <w:r w:rsidRPr="00044CEE">
        <w:t>.</w:t>
      </w:r>
      <w:r>
        <w:t xml:space="preserve">  </w:t>
      </w:r>
      <w:r w:rsidRPr="00651D61">
        <w:t xml:space="preserve">The assumption is that these units will be </w:t>
      </w:r>
      <w:r>
        <w:t xml:space="preserve">permanently removed from </w:t>
      </w:r>
      <w:r w:rsidRPr="00651D61">
        <w:t xml:space="preserve">the </w:t>
      </w:r>
      <w:r>
        <w:t>grid</w:t>
      </w:r>
      <w:r w:rsidRPr="00651D61">
        <w:t xml:space="preserve"> </w:t>
      </w:r>
      <w:r>
        <w:t xml:space="preserve">rather than </w:t>
      </w:r>
      <w:r w:rsidRPr="00651D61">
        <w:t>handed down or sold</w:t>
      </w:r>
      <w:r>
        <w:t xml:space="preserve"> for use in another location by another EDC customer</w:t>
      </w:r>
      <w:r w:rsidRPr="00651D61">
        <w:t xml:space="preserve">, </w:t>
      </w:r>
      <w:r>
        <w:t xml:space="preserve">and furthermore that they would not have been recycled without this program.  This measure is quite different from other energy-efficiency measures in that the energy/demand savings is not the difference between a pre- and post- configuration, but is instead the result of complete elimination of the existing RAC.  Furthermore, the savings are </w:t>
      </w:r>
      <w:r w:rsidRPr="00D836B0">
        <w:rPr>
          <w:i/>
        </w:rPr>
        <w:t>not</w:t>
      </w:r>
      <w:r>
        <w:t xml:space="preserve"> attributable to the customer that owned the RAC, but instead are attributed to a </w:t>
      </w:r>
      <w:r w:rsidRPr="007F109C">
        <w:rPr>
          <w:i/>
        </w:rPr>
        <w:t>hypothetical user of the equipment had it not been recycled</w:t>
      </w:r>
      <w:r>
        <w:t xml:space="preserve">.  Energy and demand </w:t>
      </w:r>
      <w:r w:rsidRPr="00044CEE">
        <w:t xml:space="preserve">savings is the estimated energy consumption of the </w:t>
      </w:r>
      <w:r>
        <w:t xml:space="preserve">retired </w:t>
      </w:r>
      <w:r w:rsidRPr="00044CEE">
        <w:t xml:space="preserve">unit over </w:t>
      </w:r>
      <w:r>
        <w:t xml:space="preserve">its </w:t>
      </w:r>
      <w:r w:rsidRPr="00044CEE">
        <w:t>remaining usef</w:t>
      </w:r>
      <w:r>
        <w:t xml:space="preserve">ul life (RUL). </w:t>
      </w:r>
    </w:p>
    <w:p w:rsidR="009A0119" w:rsidRPr="00D53EFE" w:rsidRDefault="009A0119" w:rsidP="00871FA2">
      <w:pPr>
        <w:pStyle w:val="Heading3"/>
      </w:pPr>
      <w:bookmarkStart w:id="319" w:name="_Toc261851931"/>
      <w:r w:rsidRPr="00D53EFE">
        <w:t>Algorithms</w:t>
      </w:r>
      <w:bookmarkEnd w:id="319"/>
    </w:p>
    <w:p w:rsidR="009A0119" w:rsidRDefault="009A0119" w:rsidP="009A0119">
      <w:pPr>
        <w:pStyle w:val="BodyText"/>
      </w:pPr>
      <w:r>
        <w:t>Although this is a fully deemed approach, any of these values can and should be evaluated and used to improve the savings estimates for this measure in subsequent TRM revisions.</w:t>
      </w:r>
    </w:p>
    <w:p w:rsidR="009A0119" w:rsidRDefault="009A0119" w:rsidP="00E568D4">
      <w:pPr>
        <w:pStyle w:val="Heading4"/>
      </w:pPr>
      <w:r>
        <w:t>Retirement-Only</w:t>
      </w:r>
      <w:r w:rsidRPr="00AC14EB">
        <w:t xml:space="preserve"> </w:t>
      </w:r>
    </w:p>
    <w:p w:rsidR="009A0119" w:rsidRDefault="009A0119" w:rsidP="00AA4BB4">
      <w:pPr>
        <w:pStyle w:val="BodyText"/>
      </w:pPr>
      <w:r>
        <w:t>All EDC programs are currently operated under this scenario.  For this approach, impacts are based only on the existing unit,</w:t>
      </w:r>
      <w:r w:rsidRPr="00F14318">
        <w:t xml:space="preserve"> and savings appl</w:t>
      </w:r>
      <w:r>
        <w:t>y</w:t>
      </w:r>
      <w:r>
        <w:rPr>
          <w:i/>
        </w:rPr>
        <w:t xml:space="preserve"> </w:t>
      </w:r>
      <w:r w:rsidRPr="006F02AA">
        <w:rPr>
          <w:i/>
        </w:rPr>
        <w:t>only for the remaining useful life (RUL) of the unit</w:t>
      </w:r>
      <w:r w:rsidRPr="0030563A">
        <w:t>.</w:t>
      </w:r>
    </w:p>
    <w:p w:rsidR="009A0119" w:rsidRPr="00AA2C40" w:rsidRDefault="00503B5D" w:rsidP="00AA4BB4">
      <w:pPr>
        <w:pStyle w:val="Equation"/>
        <w:rPr>
          <w:rFonts w:cs="Arial"/>
          <w:noProof/>
          <w:szCs w:val="20"/>
        </w:rPr>
      </w:pPr>
      <w:r w:rsidRPr="00AA2C40">
        <w:rPr>
          <w:rFonts w:cs="Arial"/>
          <w:szCs w:val="20"/>
        </w:rPr>
        <w:sym w:font="Symbol" w:char="F044"/>
      </w:r>
      <w:r w:rsidRPr="00AA2C40">
        <w:rPr>
          <w:rFonts w:cs="Arial"/>
          <w:szCs w:val="20"/>
        </w:rPr>
        <w:t>kWh</w:t>
      </w:r>
      <w:r w:rsidRPr="00AA2C40">
        <w:rPr>
          <w:rFonts w:cs="Arial"/>
          <w:szCs w:val="20"/>
        </w:rPr>
        <w:tab/>
      </w:r>
      <w:r w:rsidR="00AA4BB4" w:rsidRPr="00AA2C40">
        <w:rPr>
          <w:rFonts w:cs="Arial"/>
          <w:szCs w:val="20"/>
        </w:rPr>
        <w:tab/>
      </w:r>
      <w:r w:rsidR="009A0119" w:rsidRPr="00AA2C40">
        <w:rPr>
          <w:rFonts w:cs="Arial"/>
          <w:szCs w:val="20"/>
        </w:rPr>
        <w:t xml:space="preserve">= </w:t>
      </w:r>
      <w:r w:rsidR="009A0119" w:rsidRPr="00AA2C40">
        <w:rPr>
          <w:rFonts w:cs="Arial"/>
          <w:noProof/>
          <w:szCs w:val="20"/>
        </w:rPr>
        <w:t>EFLH</w:t>
      </w:r>
      <w:r w:rsidR="009A0119" w:rsidRPr="00AA2C40">
        <w:rPr>
          <w:rFonts w:cs="Arial"/>
          <w:noProof/>
          <w:szCs w:val="20"/>
          <w:vertAlign w:val="subscript"/>
        </w:rPr>
        <w:t>RAC</w:t>
      </w:r>
      <w:r w:rsidR="009A0119" w:rsidRPr="00AA2C40">
        <w:rPr>
          <w:rFonts w:cs="Arial"/>
          <w:noProof/>
          <w:szCs w:val="20"/>
        </w:rPr>
        <w:t xml:space="preserve"> * (CAPY/1000) * (1/EER</w:t>
      </w:r>
      <w:r w:rsidR="009A0119" w:rsidRPr="00AA2C40">
        <w:rPr>
          <w:rFonts w:cs="Arial"/>
          <w:noProof/>
          <w:szCs w:val="20"/>
          <w:vertAlign w:val="subscript"/>
        </w:rPr>
        <w:t>RetRAC</w:t>
      </w:r>
      <w:r w:rsidR="009A0119" w:rsidRPr="00AA2C40">
        <w:rPr>
          <w:rFonts w:cs="Arial"/>
          <w:noProof/>
          <w:szCs w:val="20"/>
        </w:rPr>
        <w:t>)</w:t>
      </w:r>
    </w:p>
    <w:p w:rsidR="009A0119" w:rsidRPr="00AA2C40" w:rsidRDefault="00503B5D" w:rsidP="00F7332F">
      <w:pPr>
        <w:pStyle w:val="Equation"/>
        <w:rPr>
          <w:rFonts w:cs="Arial"/>
          <w:szCs w:val="20"/>
          <w:vertAlign w:val="subscript"/>
        </w:rPr>
      </w:pPr>
      <w:r w:rsidRPr="00AA2C40">
        <w:rPr>
          <w:rFonts w:cs="Arial"/>
          <w:szCs w:val="20"/>
        </w:rPr>
        <w:sym w:font="Symbol" w:char="F044"/>
      </w:r>
      <w:r w:rsidRPr="00AA2C40">
        <w:rPr>
          <w:rFonts w:cs="Arial"/>
          <w:szCs w:val="20"/>
        </w:rPr>
        <w:t>kW</w:t>
      </w:r>
      <w:r w:rsidRPr="00AA2C40">
        <w:rPr>
          <w:rFonts w:cs="Arial"/>
          <w:szCs w:val="20"/>
          <w:vertAlign w:val="subscript"/>
        </w:rPr>
        <w:t>peak</w:t>
      </w:r>
      <w:r w:rsidRPr="00AA2C40">
        <w:rPr>
          <w:rFonts w:cs="Arial"/>
          <w:szCs w:val="20"/>
          <w:vertAlign w:val="subscript"/>
        </w:rPr>
        <w:tab/>
      </w:r>
      <w:r w:rsidR="00AA4BB4" w:rsidRPr="00AA2C40">
        <w:rPr>
          <w:rFonts w:cs="Arial"/>
          <w:szCs w:val="20"/>
        </w:rPr>
        <w:tab/>
      </w:r>
      <w:r w:rsidR="009A0119" w:rsidRPr="00AA2C40">
        <w:rPr>
          <w:rFonts w:cs="Arial"/>
          <w:szCs w:val="20"/>
        </w:rPr>
        <w:t xml:space="preserve">= </w:t>
      </w:r>
      <w:r w:rsidR="009A0119" w:rsidRPr="00AA2C40">
        <w:rPr>
          <w:rFonts w:cs="Arial"/>
          <w:noProof/>
          <w:szCs w:val="20"/>
        </w:rPr>
        <w:t>(CAPY/1000) * (1/EER</w:t>
      </w:r>
      <w:r w:rsidR="009A0119" w:rsidRPr="00AA2C40">
        <w:rPr>
          <w:rFonts w:cs="Arial"/>
          <w:noProof/>
          <w:szCs w:val="20"/>
          <w:vertAlign w:val="subscript"/>
        </w:rPr>
        <w:t>RetRAC</w:t>
      </w:r>
      <w:r w:rsidR="009A0119" w:rsidRPr="00AA2C40">
        <w:rPr>
          <w:rFonts w:cs="Arial"/>
          <w:noProof/>
          <w:szCs w:val="20"/>
        </w:rPr>
        <w:t>) * CF</w:t>
      </w:r>
      <w:r w:rsidR="009A0119" w:rsidRPr="00AA2C40">
        <w:rPr>
          <w:rFonts w:cs="Arial"/>
          <w:noProof/>
          <w:szCs w:val="20"/>
          <w:vertAlign w:val="subscript"/>
        </w:rPr>
        <w:t>RAC</w:t>
      </w:r>
    </w:p>
    <w:p w:rsidR="009A0119" w:rsidRDefault="009A0119" w:rsidP="00E568D4">
      <w:pPr>
        <w:pStyle w:val="Heading4"/>
      </w:pPr>
      <w:r>
        <w:t>Replacement and Recycling</w:t>
      </w:r>
      <w:r w:rsidRPr="00AC14EB">
        <w:t xml:space="preserve"> </w:t>
      </w:r>
    </w:p>
    <w:p w:rsidR="009A0119" w:rsidRDefault="009A0119" w:rsidP="00AA4BB4">
      <w:pPr>
        <w:pStyle w:val="BodyText"/>
      </w:pPr>
      <w:r>
        <w:t xml:space="preserve">It is not apparent that any EDCs are currently implementing the program in this manner, but the algorithms are included here for completeness.  For this approach, the </w:t>
      </w:r>
      <w:r w:rsidR="00325EF4">
        <w:t>ENERGY STAR</w:t>
      </w:r>
      <w:r>
        <w:t xml:space="preserve"> upgrade measure would have to be combined with recycling via a turn-in event at a retail appliance store, where the old RAC is turned in at the same time that a new one is purchased.  Unlike the retirement-only measure, the savings here are attributed to the customer that owns the retired RAC, and are based on the old unit and original unit being of the same size and configuration.  In this case, two savings calculations would be needed.  One would be applied over the remaining life of the recycled unit, and another would be used for the rest of the effective useful life, as explained below.</w:t>
      </w:r>
    </w:p>
    <w:p w:rsidR="009A0119" w:rsidRPr="00AA2C40" w:rsidRDefault="009A0119" w:rsidP="00AA4BB4">
      <w:pPr>
        <w:pStyle w:val="BodyText"/>
        <w:rPr>
          <w:rFonts w:cs="Arial"/>
        </w:rPr>
      </w:pPr>
      <w:r w:rsidRPr="00053202">
        <w:t xml:space="preserve">For </w:t>
      </w:r>
      <w:r>
        <w:t xml:space="preserve">the </w:t>
      </w:r>
      <w:r w:rsidRPr="00053202">
        <w:t>remaining useful life</w:t>
      </w:r>
      <w:r>
        <w:t xml:space="preserve"> (RUL)</w:t>
      </w:r>
      <w:r w:rsidRPr="00053202">
        <w:t xml:space="preserve"> of the </w:t>
      </w:r>
      <w:r>
        <w:t xml:space="preserve">existing </w:t>
      </w:r>
      <w:r w:rsidRPr="00053202">
        <w:t>RAC:</w:t>
      </w:r>
      <w:r w:rsidRPr="00324AE9">
        <w:t xml:space="preserve">  </w:t>
      </w:r>
      <w:r>
        <w:t>The b</w:t>
      </w:r>
      <w:r w:rsidRPr="00D8345C">
        <w:t>aseline</w:t>
      </w:r>
      <w:r>
        <w:t xml:space="preserve"> value is the EER of the </w:t>
      </w:r>
      <w:r w:rsidRPr="00AA2C40">
        <w:rPr>
          <w:rFonts w:cs="Arial"/>
        </w:rPr>
        <w:t>retired unit.</w:t>
      </w:r>
    </w:p>
    <w:p w:rsidR="009A0119" w:rsidRPr="00AA2C40" w:rsidRDefault="00503B5D" w:rsidP="00F7332F">
      <w:pPr>
        <w:pStyle w:val="Equation"/>
        <w:rPr>
          <w:rFonts w:cs="Arial"/>
          <w:noProof/>
          <w:szCs w:val="20"/>
        </w:rPr>
      </w:pPr>
      <w:r w:rsidRPr="00AA2C40">
        <w:rPr>
          <w:rFonts w:cs="Arial"/>
          <w:szCs w:val="20"/>
        </w:rPr>
        <w:lastRenderedPageBreak/>
        <w:sym w:font="Symbol" w:char="F044"/>
      </w:r>
      <w:r w:rsidRPr="00AA2C40">
        <w:rPr>
          <w:rFonts w:cs="Arial"/>
          <w:szCs w:val="20"/>
        </w:rPr>
        <w:t>kWh</w:t>
      </w:r>
      <w:r w:rsidRPr="00AA2C40">
        <w:rPr>
          <w:rFonts w:cs="Arial"/>
          <w:szCs w:val="20"/>
        </w:rPr>
        <w:tab/>
      </w:r>
      <w:r w:rsidR="00AA4BB4" w:rsidRPr="00AA2C40">
        <w:rPr>
          <w:rFonts w:cs="Arial"/>
          <w:szCs w:val="20"/>
        </w:rPr>
        <w:tab/>
      </w:r>
      <w:r w:rsidR="009A0119" w:rsidRPr="00AA2C40">
        <w:rPr>
          <w:rFonts w:cs="Arial"/>
          <w:szCs w:val="20"/>
        </w:rPr>
        <w:t xml:space="preserve">= </w:t>
      </w:r>
      <w:r w:rsidR="009A0119" w:rsidRPr="00AA2C40">
        <w:rPr>
          <w:rFonts w:cs="Arial"/>
          <w:noProof/>
          <w:szCs w:val="20"/>
        </w:rPr>
        <w:t>EFLH</w:t>
      </w:r>
      <w:r w:rsidR="009A0119" w:rsidRPr="00AA2C40">
        <w:rPr>
          <w:rFonts w:cs="Arial"/>
          <w:noProof/>
          <w:szCs w:val="20"/>
          <w:vertAlign w:val="subscript"/>
        </w:rPr>
        <w:t>RAC</w:t>
      </w:r>
      <w:r w:rsidR="009A0119" w:rsidRPr="00AA2C40">
        <w:rPr>
          <w:rFonts w:cs="Arial"/>
          <w:noProof/>
          <w:szCs w:val="20"/>
        </w:rPr>
        <w:t xml:space="preserve"> * (CAPY/1000) * (1/EER</w:t>
      </w:r>
      <w:r w:rsidR="009A0119" w:rsidRPr="00AA2C40">
        <w:rPr>
          <w:rFonts w:cs="Arial"/>
          <w:noProof/>
          <w:szCs w:val="20"/>
          <w:vertAlign w:val="subscript"/>
        </w:rPr>
        <w:t>RetRAC</w:t>
      </w:r>
      <w:r w:rsidR="009A0119" w:rsidRPr="00AA2C40">
        <w:rPr>
          <w:rFonts w:cs="Arial"/>
          <w:noProof/>
          <w:szCs w:val="20"/>
        </w:rPr>
        <w:t xml:space="preserve"> – 1/EER</w:t>
      </w:r>
      <w:r w:rsidR="009A0119" w:rsidRPr="00AA2C40">
        <w:rPr>
          <w:rFonts w:cs="Arial"/>
          <w:noProof/>
          <w:szCs w:val="20"/>
          <w:vertAlign w:val="subscript"/>
        </w:rPr>
        <w:t>ES</w:t>
      </w:r>
      <w:r w:rsidR="009A0119" w:rsidRPr="00AA2C40">
        <w:rPr>
          <w:rFonts w:cs="Arial"/>
          <w:noProof/>
          <w:szCs w:val="20"/>
        </w:rPr>
        <w:t>)</w:t>
      </w:r>
    </w:p>
    <w:p w:rsidR="009A0119" w:rsidRPr="00AA2C40" w:rsidRDefault="00503B5D" w:rsidP="00F7332F">
      <w:pPr>
        <w:pStyle w:val="Equation"/>
        <w:rPr>
          <w:rFonts w:cs="Arial"/>
          <w:noProof/>
          <w:szCs w:val="20"/>
          <w:vertAlign w:val="subscript"/>
        </w:rPr>
      </w:pPr>
      <w:r w:rsidRPr="00AA2C40">
        <w:rPr>
          <w:rFonts w:cs="Arial"/>
          <w:szCs w:val="20"/>
        </w:rPr>
        <w:sym w:font="Symbol" w:char="F044"/>
      </w:r>
      <w:r w:rsidRPr="00AA2C40">
        <w:rPr>
          <w:rFonts w:cs="Arial"/>
          <w:szCs w:val="20"/>
        </w:rPr>
        <w:t>kW</w:t>
      </w:r>
      <w:r w:rsidRPr="00AA2C40">
        <w:rPr>
          <w:rFonts w:cs="Arial"/>
          <w:szCs w:val="20"/>
          <w:vertAlign w:val="subscript"/>
        </w:rPr>
        <w:t>peak</w:t>
      </w:r>
      <w:r w:rsidRPr="00AA2C40">
        <w:rPr>
          <w:rFonts w:cs="Arial"/>
          <w:szCs w:val="20"/>
          <w:vertAlign w:val="subscript"/>
        </w:rPr>
        <w:tab/>
      </w:r>
      <w:r w:rsidR="00AA4BB4" w:rsidRPr="00AA2C40">
        <w:rPr>
          <w:rFonts w:cs="Arial"/>
          <w:szCs w:val="20"/>
        </w:rPr>
        <w:tab/>
      </w:r>
      <w:r w:rsidR="009A0119" w:rsidRPr="00AA2C40">
        <w:rPr>
          <w:rFonts w:cs="Arial"/>
          <w:szCs w:val="20"/>
        </w:rPr>
        <w:t xml:space="preserve">= </w:t>
      </w:r>
      <w:r w:rsidR="009A0119" w:rsidRPr="00AA2C40">
        <w:rPr>
          <w:rFonts w:cs="Arial"/>
          <w:noProof/>
          <w:szCs w:val="20"/>
        </w:rPr>
        <w:t>(CAPY/1000) * (1/EER</w:t>
      </w:r>
      <w:r w:rsidR="009A0119" w:rsidRPr="00AA2C40">
        <w:rPr>
          <w:rFonts w:cs="Arial"/>
          <w:noProof/>
          <w:szCs w:val="20"/>
          <w:vertAlign w:val="subscript"/>
        </w:rPr>
        <w:t>RetRAC</w:t>
      </w:r>
      <w:r w:rsidR="009A0119" w:rsidRPr="00AA2C40">
        <w:rPr>
          <w:rFonts w:cs="Arial"/>
          <w:noProof/>
          <w:szCs w:val="20"/>
        </w:rPr>
        <w:t xml:space="preserve"> – 1/EER</w:t>
      </w:r>
      <w:r w:rsidR="009A0119" w:rsidRPr="00AA2C40">
        <w:rPr>
          <w:rFonts w:cs="Arial"/>
          <w:noProof/>
          <w:szCs w:val="20"/>
          <w:vertAlign w:val="subscript"/>
        </w:rPr>
        <w:t>ES</w:t>
      </w:r>
      <w:r w:rsidR="009A0119" w:rsidRPr="00AA2C40">
        <w:rPr>
          <w:rFonts w:cs="Arial"/>
          <w:noProof/>
          <w:szCs w:val="20"/>
        </w:rPr>
        <w:t>) * CF</w:t>
      </w:r>
      <w:r w:rsidR="009A0119" w:rsidRPr="00AA2C40">
        <w:rPr>
          <w:rFonts w:cs="Arial"/>
          <w:noProof/>
          <w:szCs w:val="20"/>
          <w:vertAlign w:val="subscript"/>
        </w:rPr>
        <w:t>RAC</w:t>
      </w:r>
    </w:p>
    <w:p w:rsidR="009A0119" w:rsidRPr="00AA2C40" w:rsidRDefault="009A0119" w:rsidP="009A0119">
      <w:pPr>
        <w:pStyle w:val="Halfline"/>
        <w:rPr>
          <w:rFonts w:ascii="Arial" w:hAnsi="Arial" w:cs="Arial"/>
          <w:sz w:val="20"/>
          <w:vertAlign w:val="subscript"/>
        </w:rPr>
      </w:pPr>
    </w:p>
    <w:p w:rsidR="009A0119" w:rsidRPr="00AA2C40" w:rsidRDefault="009A0119" w:rsidP="00AA4BB4">
      <w:pPr>
        <w:pStyle w:val="BodyText"/>
        <w:rPr>
          <w:rFonts w:cs="Arial"/>
        </w:rPr>
      </w:pPr>
      <w:r w:rsidRPr="00AA2C40">
        <w:rPr>
          <w:rFonts w:cs="Arial"/>
          <w:b/>
        </w:rPr>
        <w:t>After the RUL for (EUL-RUL) years:</w:t>
      </w:r>
      <w:r w:rsidRPr="00AA2C40">
        <w:rPr>
          <w:rFonts w:cs="Arial"/>
        </w:rPr>
        <w:t xml:space="preserve">  The baseline EER would revert to the minimum Federal appliance standard EER.</w:t>
      </w:r>
    </w:p>
    <w:p w:rsidR="009A0119" w:rsidRPr="00AA2C40" w:rsidRDefault="00503B5D" w:rsidP="00F7332F">
      <w:pPr>
        <w:pStyle w:val="Equation"/>
        <w:rPr>
          <w:rFonts w:cs="Arial"/>
          <w:noProof/>
          <w:szCs w:val="20"/>
        </w:rPr>
      </w:pPr>
      <w:r w:rsidRPr="00AA2C40">
        <w:rPr>
          <w:rFonts w:cs="Arial"/>
          <w:szCs w:val="20"/>
        </w:rPr>
        <w:sym w:font="Symbol" w:char="F044"/>
      </w:r>
      <w:r w:rsidRPr="00AA2C40">
        <w:rPr>
          <w:rFonts w:cs="Arial"/>
          <w:szCs w:val="20"/>
        </w:rPr>
        <w:t>kWh</w:t>
      </w:r>
      <w:r w:rsidRPr="00AA2C40">
        <w:rPr>
          <w:rFonts w:cs="Arial"/>
          <w:szCs w:val="20"/>
        </w:rPr>
        <w:tab/>
      </w:r>
      <w:r w:rsidR="00AA4BB4" w:rsidRPr="00AA2C40">
        <w:rPr>
          <w:rFonts w:cs="Arial"/>
          <w:szCs w:val="20"/>
        </w:rPr>
        <w:tab/>
      </w:r>
      <w:r w:rsidR="009A0119" w:rsidRPr="00AA2C40">
        <w:rPr>
          <w:rFonts w:cs="Arial"/>
          <w:szCs w:val="20"/>
        </w:rPr>
        <w:t xml:space="preserve"> = </w:t>
      </w:r>
      <w:r w:rsidR="009A0119" w:rsidRPr="00AA2C40">
        <w:rPr>
          <w:rFonts w:cs="Arial"/>
          <w:noProof/>
          <w:szCs w:val="20"/>
        </w:rPr>
        <w:t>EFLH</w:t>
      </w:r>
      <w:r w:rsidR="009A0119" w:rsidRPr="00AA2C40">
        <w:rPr>
          <w:rFonts w:cs="Arial"/>
          <w:noProof/>
          <w:szCs w:val="20"/>
          <w:vertAlign w:val="subscript"/>
        </w:rPr>
        <w:t>RAC</w:t>
      </w:r>
      <w:r w:rsidR="009A0119" w:rsidRPr="00AA2C40">
        <w:rPr>
          <w:rFonts w:cs="Arial"/>
          <w:noProof/>
          <w:szCs w:val="20"/>
        </w:rPr>
        <w:t xml:space="preserve"> * (CAPY/1000) * (1/EER</w:t>
      </w:r>
      <w:r w:rsidR="009A0119" w:rsidRPr="00AA2C40">
        <w:rPr>
          <w:rFonts w:cs="Arial"/>
          <w:noProof/>
          <w:szCs w:val="20"/>
          <w:vertAlign w:val="subscript"/>
        </w:rPr>
        <w:t>b</w:t>
      </w:r>
      <w:r w:rsidR="009A0119" w:rsidRPr="00AA2C40">
        <w:rPr>
          <w:rFonts w:cs="Arial"/>
          <w:noProof/>
          <w:szCs w:val="20"/>
        </w:rPr>
        <w:t xml:space="preserve"> – 1/EER</w:t>
      </w:r>
      <w:r w:rsidR="009A0119" w:rsidRPr="00AA2C40">
        <w:rPr>
          <w:rFonts w:cs="Arial"/>
          <w:noProof/>
          <w:szCs w:val="20"/>
          <w:vertAlign w:val="subscript"/>
        </w:rPr>
        <w:t>ES</w:t>
      </w:r>
      <w:r w:rsidR="009A0119" w:rsidRPr="00AA2C40">
        <w:rPr>
          <w:rFonts w:cs="Arial"/>
          <w:noProof/>
          <w:szCs w:val="20"/>
        </w:rPr>
        <w:t>)</w:t>
      </w:r>
    </w:p>
    <w:p w:rsidR="009A0119" w:rsidRPr="00AA2C40" w:rsidRDefault="00503B5D" w:rsidP="00F7332F">
      <w:pPr>
        <w:pStyle w:val="Equation"/>
        <w:rPr>
          <w:rFonts w:cs="Arial"/>
          <w:noProof/>
          <w:szCs w:val="20"/>
          <w:vertAlign w:val="subscript"/>
        </w:rPr>
      </w:pPr>
      <w:r w:rsidRPr="00AA2C40">
        <w:rPr>
          <w:rFonts w:cs="Arial"/>
          <w:szCs w:val="20"/>
        </w:rPr>
        <w:sym w:font="Symbol" w:char="F044"/>
      </w:r>
      <w:r w:rsidRPr="00AA2C40">
        <w:rPr>
          <w:rFonts w:cs="Arial"/>
          <w:szCs w:val="20"/>
        </w:rPr>
        <w:t>kW</w:t>
      </w:r>
      <w:r w:rsidRPr="00AA2C40">
        <w:rPr>
          <w:rFonts w:cs="Arial"/>
          <w:szCs w:val="20"/>
          <w:vertAlign w:val="subscript"/>
        </w:rPr>
        <w:t>peak</w:t>
      </w:r>
      <w:r w:rsidRPr="00AA2C40">
        <w:rPr>
          <w:rFonts w:cs="Arial"/>
          <w:szCs w:val="20"/>
          <w:vertAlign w:val="subscript"/>
        </w:rPr>
        <w:tab/>
      </w:r>
      <w:r w:rsidR="00AA4BB4" w:rsidRPr="00AA2C40">
        <w:rPr>
          <w:rFonts w:cs="Arial"/>
          <w:szCs w:val="20"/>
        </w:rPr>
        <w:tab/>
      </w:r>
      <w:r w:rsidR="009A0119" w:rsidRPr="00AA2C40">
        <w:rPr>
          <w:rFonts w:cs="Arial"/>
          <w:szCs w:val="20"/>
        </w:rPr>
        <w:t xml:space="preserve">= </w:t>
      </w:r>
      <w:r w:rsidR="009A0119" w:rsidRPr="00AA2C40">
        <w:rPr>
          <w:rFonts w:cs="Arial"/>
          <w:noProof/>
          <w:szCs w:val="20"/>
        </w:rPr>
        <w:t>(CAPY/1000) * (1/EER</w:t>
      </w:r>
      <w:r w:rsidR="009A0119" w:rsidRPr="00AA2C40">
        <w:rPr>
          <w:rFonts w:cs="Arial"/>
          <w:noProof/>
          <w:szCs w:val="20"/>
          <w:vertAlign w:val="subscript"/>
        </w:rPr>
        <w:t>b</w:t>
      </w:r>
      <w:r w:rsidR="009A0119" w:rsidRPr="00AA2C40">
        <w:rPr>
          <w:rFonts w:cs="Arial"/>
          <w:noProof/>
          <w:szCs w:val="20"/>
        </w:rPr>
        <w:t xml:space="preserve"> – 1/EER</w:t>
      </w:r>
      <w:r w:rsidR="009A0119" w:rsidRPr="00AA2C40">
        <w:rPr>
          <w:rFonts w:cs="Arial"/>
          <w:noProof/>
          <w:szCs w:val="20"/>
          <w:vertAlign w:val="subscript"/>
        </w:rPr>
        <w:t>ES</w:t>
      </w:r>
      <w:r w:rsidR="009A0119" w:rsidRPr="00AA2C40">
        <w:rPr>
          <w:rFonts w:cs="Arial"/>
          <w:noProof/>
          <w:szCs w:val="20"/>
        </w:rPr>
        <w:t>) * CF</w:t>
      </w:r>
      <w:r w:rsidR="009A0119" w:rsidRPr="00AA2C40">
        <w:rPr>
          <w:rFonts w:cs="Arial"/>
          <w:noProof/>
          <w:szCs w:val="20"/>
          <w:vertAlign w:val="subscript"/>
        </w:rPr>
        <w:t>RAC</w:t>
      </w:r>
    </w:p>
    <w:p w:rsidR="009A0119" w:rsidRPr="00DE5B94" w:rsidRDefault="00510F5C" w:rsidP="00871FA2">
      <w:pPr>
        <w:pStyle w:val="Heading3"/>
        <w:rPr>
          <w:u w:val="single"/>
        </w:rPr>
      </w:pPr>
      <w:r>
        <w:t>Definition of Terms</w:t>
      </w:r>
    </w:p>
    <w:p w:rsidR="009A0119" w:rsidRPr="00AA2C40" w:rsidRDefault="00AA4BB4" w:rsidP="00AA4BB4">
      <w:pPr>
        <w:pStyle w:val="Equation"/>
        <w:rPr>
          <w:rFonts w:cs="Arial"/>
          <w:szCs w:val="20"/>
        </w:rPr>
      </w:pPr>
      <w:r w:rsidRPr="00AA2C40">
        <w:rPr>
          <w:rFonts w:cs="Arial"/>
          <w:b/>
          <w:szCs w:val="20"/>
        </w:rPr>
        <w:tab/>
      </w:r>
      <w:r w:rsidR="009A0119" w:rsidRPr="00AA2C40">
        <w:rPr>
          <w:rFonts w:cs="Arial"/>
          <w:szCs w:val="20"/>
        </w:rPr>
        <w:t>EFLH</w:t>
      </w:r>
      <w:r w:rsidR="009A0119" w:rsidRPr="00AA2C40">
        <w:rPr>
          <w:rFonts w:cs="Arial"/>
          <w:szCs w:val="20"/>
          <w:vertAlign w:val="subscript"/>
        </w:rPr>
        <w:t>RAC</w:t>
      </w:r>
      <w:r w:rsidR="009A0119" w:rsidRPr="00AA2C40">
        <w:rPr>
          <w:rFonts w:cs="Arial"/>
          <w:szCs w:val="20"/>
        </w:rPr>
        <w:t xml:space="preserve"> </w:t>
      </w:r>
      <w:r w:rsidRPr="00AA2C40">
        <w:rPr>
          <w:rFonts w:cs="Arial"/>
          <w:szCs w:val="20"/>
        </w:rPr>
        <w:tab/>
      </w:r>
      <w:r w:rsidR="009A0119" w:rsidRPr="00AA2C40">
        <w:rPr>
          <w:rFonts w:cs="Arial"/>
          <w:szCs w:val="20"/>
        </w:rPr>
        <w:t>= The Equivalent Full Load Hours of operation for the installed measure.  In actuality, the number of hours and time of operation can vary drastically depending on the RAC location (living room, bedroom, home office, etc.).</w:t>
      </w:r>
    </w:p>
    <w:p w:rsidR="009A0119" w:rsidRPr="00AA2C40" w:rsidRDefault="009A0119" w:rsidP="00AA4BB4">
      <w:pPr>
        <w:pStyle w:val="BodyText"/>
        <w:rPr>
          <w:rFonts w:cs="Arial"/>
        </w:rPr>
      </w:pPr>
      <w:r w:rsidRPr="00AA2C40">
        <w:rPr>
          <w:rFonts w:cs="Arial"/>
        </w:rPr>
        <w:t>Correction of ES RAC EFLH Values:</w:t>
      </w:r>
    </w:p>
    <w:p w:rsidR="009A0119" w:rsidRPr="00AA2C40" w:rsidRDefault="009A0119" w:rsidP="00AA4BB4">
      <w:pPr>
        <w:pStyle w:val="BodyText"/>
        <w:rPr>
          <w:rFonts w:cs="Arial"/>
          <w:u w:val="single"/>
        </w:rPr>
      </w:pPr>
      <w:r w:rsidRPr="00AA2C40">
        <w:rPr>
          <w:rFonts w:cs="Arial"/>
        </w:rPr>
        <w:t>An additional step is required to determine EFLH</w:t>
      </w:r>
      <w:r w:rsidRPr="00AA2C40">
        <w:rPr>
          <w:rFonts w:cs="Arial"/>
          <w:vertAlign w:val="subscript"/>
        </w:rPr>
        <w:t>RAC</w:t>
      </w:r>
      <w:r w:rsidRPr="00AA2C40">
        <w:rPr>
          <w:rFonts w:cs="Arial"/>
        </w:rPr>
        <w:t xml:space="preserve"> values.  Normally, the EFLH values from the </w:t>
      </w:r>
      <w:r w:rsidR="00325EF4" w:rsidRPr="00AA2C40">
        <w:rPr>
          <w:rFonts w:cs="Arial"/>
        </w:rPr>
        <w:t>ENERGY STAR</w:t>
      </w:r>
      <w:r w:rsidRPr="00AA2C40">
        <w:rPr>
          <w:rFonts w:cs="Arial"/>
        </w:rPr>
        <w:t xml:space="preserve"> Room AC Calculator would be used directly.  However, the current (July 2010) ES Room AC calculator EFLHs are too high because they are the same as those used for the Central AC calculator, whereas RAC full load hours should be much lower than for a CAC system.  As such, the ES EFLH values were corrected as follows:</w:t>
      </w:r>
    </w:p>
    <w:p w:rsidR="00AA4BB4" w:rsidRPr="00AA2C40" w:rsidRDefault="009A0119" w:rsidP="00100EDF">
      <w:pPr>
        <w:pStyle w:val="Equation"/>
        <w:rPr>
          <w:rFonts w:cs="Arial"/>
          <w:szCs w:val="20"/>
        </w:rPr>
      </w:pPr>
      <w:r w:rsidRPr="00AA2C40">
        <w:rPr>
          <w:rFonts w:cs="Arial"/>
          <w:szCs w:val="20"/>
        </w:rPr>
        <w:t>EFLH</w:t>
      </w:r>
      <w:r w:rsidRPr="00AA2C40">
        <w:rPr>
          <w:rFonts w:cs="Arial"/>
          <w:szCs w:val="20"/>
          <w:vertAlign w:val="subscript"/>
        </w:rPr>
        <w:t>RAC</w:t>
      </w:r>
      <w:r w:rsidRPr="00AA2C40">
        <w:rPr>
          <w:rFonts w:cs="Arial"/>
          <w:szCs w:val="20"/>
        </w:rPr>
        <w:t xml:space="preserve"> </w:t>
      </w:r>
      <w:r w:rsidR="00100EDF">
        <w:rPr>
          <w:rFonts w:cs="Arial"/>
          <w:szCs w:val="20"/>
        </w:rPr>
        <w:tab/>
      </w:r>
      <w:r w:rsidRPr="00AA2C40">
        <w:rPr>
          <w:rFonts w:cs="Arial"/>
          <w:szCs w:val="20"/>
        </w:rPr>
        <w:t>= EFLH</w:t>
      </w:r>
      <w:r w:rsidRPr="00AA2C40">
        <w:rPr>
          <w:rFonts w:cs="Arial"/>
          <w:szCs w:val="20"/>
          <w:vertAlign w:val="subscript"/>
        </w:rPr>
        <w:t>ES-RAC</w:t>
      </w:r>
      <w:r w:rsidRPr="00AA2C40">
        <w:rPr>
          <w:rFonts w:cs="Arial"/>
          <w:szCs w:val="20"/>
        </w:rPr>
        <w:t xml:space="preserve"> * AF </w:t>
      </w:r>
    </w:p>
    <w:p w:rsidR="00AA4BB4" w:rsidRPr="00BC5194" w:rsidRDefault="00AA4BB4" w:rsidP="00100EDF">
      <w:pPr>
        <w:rPr>
          <w:b/>
          <w:u w:val="single"/>
        </w:rPr>
      </w:pPr>
      <w:r w:rsidRPr="00BC5194">
        <w:rPr>
          <w:b/>
        </w:rPr>
        <w:t>Where:</w:t>
      </w:r>
    </w:p>
    <w:p w:rsidR="009A0119" w:rsidRPr="00AA2C40" w:rsidRDefault="00AA4BB4" w:rsidP="00C3606E">
      <w:pPr>
        <w:pStyle w:val="Equation"/>
        <w:rPr>
          <w:rFonts w:cs="Arial"/>
          <w:szCs w:val="20"/>
        </w:rPr>
      </w:pPr>
      <w:r w:rsidRPr="00AA2C40">
        <w:rPr>
          <w:rFonts w:cs="Arial"/>
          <w:szCs w:val="20"/>
        </w:rPr>
        <w:tab/>
      </w:r>
      <w:r w:rsidR="009A0119" w:rsidRPr="00AA2C40">
        <w:rPr>
          <w:rFonts w:cs="Arial"/>
          <w:szCs w:val="20"/>
        </w:rPr>
        <w:t>EFLH</w:t>
      </w:r>
      <w:r w:rsidR="009A0119" w:rsidRPr="00AA2C40">
        <w:rPr>
          <w:rFonts w:cs="Arial"/>
          <w:szCs w:val="20"/>
          <w:vertAlign w:val="subscript"/>
        </w:rPr>
        <w:t xml:space="preserve"> ES-RAC</w:t>
      </w:r>
      <w:r w:rsidR="009A0119" w:rsidRPr="00AA2C40">
        <w:rPr>
          <w:rFonts w:cs="Arial"/>
          <w:szCs w:val="20"/>
        </w:rPr>
        <w:t xml:space="preserve"> </w:t>
      </w:r>
      <w:r w:rsidRPr="00AA2C40">
        <w:rPr>
          <w:rFonts w:cs="Arial"/>
          <w:szCs w:val="20"/>
        </w:rPr>
        <w:tab/>
      </w:r>
      <w:r w:rsidR="009A0119" w:rsidRPr="00AA2C40">
        <w:rPr>
          <w:rFonts w:cs="Arial"/>
          <w:szCs w:val="20"/>
        </w:rPr>
        <w:t xml:space="preserve">= Full load hours from the </w:t>
      </w:r>
      <w:r w:rsidR="00325EF4" w:rsidRPr="00AA2C40">
        <w:rPr>
          <w:rFonts w:cs="Arial"/>
          <w:szCs w:val="20"/>
        </w:rPr>
        <w:t>ENERGY STAR</w:t>
      </w:r>
      <w:r w:rsidR="009A0119" w:rsidRPr="00AA2C40">
        <w:rPr>
          <w:rFonts w:cs="Arial"/>
          <w:szCs w:val="20"/>
        </w:rPr>
        <w:t xml:space="preserve"> Room AC Calculator</w:t>
      </w:r>
    </w:p>
    <w:p w:rsidR="009A0119" w:rsidRPr="00AA2C40" w:rsidRDefault="00AA4BB4" w:rsidP="00C3606E">
      <w:pPr>
        <w:pStyle w:val="Equation"/>
        <w:rPr>
          <w:rFonts w:cs="Arial"/>
          <w:szCs w:val="20"/>
        </w:rPr>
      </w:pPr>
      <w:r w:rsidRPr="00AA2C40">
        <w:rPr>
          <w:rFonts w:cs="Arial"/>
          <w:szCs w:val="20"/>
        </w:rPr>
        <w:tab/>
      </w:r>
      <w:r w:rsidR="009A0119" w:rsidRPr="00AA2C40">
        <w:rPr>
          <w:rFonts w:cs="Arial"/>
          <w:szCs w:val="20"/>
        </w:rPr>
        <w:t xml:space="preserve">AF </w:t>
      </w:r>
      <w:r w:rsidRPr="00AA2C40">
        <w:rPr>
          <w:rFonts w:cs="Arial"/>
          <w:szCs w:val="20"/>
        </w:rPr>
        <w:tab/>
      </w:r>
      <w:r w:rsidR="009A0119" w:rsidRPr="00AA2C40">
        <w:rPr>
          <w:rFonts w:cs="Arial"/>
          <w:szCs w:val="20"/>
        </w:rPr>
        <w:t>= Adjustment factor for correcting current ES Room AC calculator EFLHs.</w:t>
      </w:r>
    </w:p>
    <w:p w:rsidR="009A0119" w:rsidRPr="00AA2C40" w:rsidRDefault="009A0119" w:rsidP="00C3606E">
      <w:pPr>
        <w:pStyle w:val="BodyText"/>
        <w:rPr>
          <w:rFonts w:cs="Arial"/>
        </w:rPr>
      </w:pPr>
      <w:r w:rsidRPr="00AA2C40">
        <w:rPr>
          <w:rFonts w:cs="Arial"/>
        </w:rPr>
        <w:t xml:space="preserve">Note that when the </w:t>
      </w:r>
      <w:r w:rsidR="00325EF4" w:rsidRPr="00AA2C40">
        <w:rPr>
          <w:rFonts w:cs="Arial"/>
        </w:rPr>
        <w:t>ENERGY STAR</w:t>
      </w:r>
      <w:r w:rsidRPr="00AA2C40">
        <w:rPr>
          <w:rFonts w:cs="Arial"/>
        </w:rPr>
        <w:t xml:space="preserve"> RAC calculator values are eventually corrected in the ES calculator, the corrected EFLH</w:t>
      </w:r>
      <w:r w:rsidRPr="00AA2C40">
        <w:rPr>
          <w:rFonts w:cs="Arial"/>
          <w:vertAlign w:val="subscript"/>
        </w:rPr>
        <w:t>ES-RAC</w:t>
      </w:r>
      <w:r w:rsidRPr="00AA2C40">
        <w:rPr>
          <w:rFonts w:cs="Arial"/>
        </w:rPr>
        <w:t xml:space="preserve"> values can be used directly and this adjustment step can be ignored and/or deleted.</w:t>
      </w:r>
    </w:p>
    <w:p w:rsidR="009A0119" w:rsidRPr="00AA2C40" w:rsidRDefault="00AA4BB4" w:rsidP="00C3606E">
      <w:pPr>
        <w:pStyle w:val="Equation"/>
        <w:rPr>
          <w:rFonts w:cs="Arial"/>
          <w:szCs w:val="20"/>
        </w:rPr>
      </w:pPr>
      <w:r w:rsidRPr="00AA2C40">
        <w:rPr>
          <w:rFonts w:cs="Arial"/>
          <w:szCs w:val="20"/>
        </w:rPr>
        <w:tab/>
      </w:r>
      <w:r w:rsidR="009A0119" w:rsidRPr="00AA2C40">
        <w:rPr>
          <w:rFonts w:cs="Arial"/>
          <w:szCs w:val="20"/>
        </w:rPr>
        <w:t xml:space="preserve">CAPY </w:t>
      </w:r>
      <w:r w:rsidRPr="00AA2C40">
        <w:rPr>
          <w:rFonts w:cs="Arial"/>
          <w:szCs w:val="20"/>
        </w:rPr>
        <w:tab/>
      </w:r>
      <w:r w:rsidR="009A0119" w:rsidRPr="00AA2C40">
        <w:rPr>
          <w:rFonts w:cs="Arial"/>
          <w:szCs w:val="20"/>
        </w:rPr>
        <w:t>= Rated cooling capacity (size) of the RAC in Btuh.</w:t>
      </w:r>
    </w:p>
    <w:p w:rsidR="009A0119" w:rsidRPr="00AA2C40" w:rsidRDefault="00AA4BB4" w:rsidP="00C3606E">
      <w:pPr>
        <w:pStyle w:val="Equation"/>
        <w:rPr>
          <w:rFonts w:cs="Arial"/>
          <w:szCs w:val="20"/>
        </w:rPr>
      </w:pPr>
      <w:r w:rsidRPr="00AA2C40">
        <w:rPr>
          <w:rFonts w:cs="Arial"/>
          <w:szCs w:val="20"/>
        </w:rPr>
        <w:tab/>
      </w:r>
      <w:r w:rsidR="009A0119" w:rsidRPr="00AA2C40">
        <w:rPr>
          <w:rFonts w:cs="Arial"/>
          <w:szCs w:val="20"/>
        </w:rPr>
        <w:t>EER</w:t>
      </w:r>
      <w:r w:rsidR="009A0119" w:rsidRPr="00AA2C40">
        <w:rPr>
          <w:rFonts w:cs="Arial"/>
          <w:szCs w:val="20"/>
          <w:vertAlign w:val="subscript"/>
        </w:rPr>
        <w:t>RetRAC</w:t>
      </w:r>
      <w:r w:rsidRPr="00AA2C40">
        <w:rPr>
          <w:rFonts w:cs="Arial"/>
          <w:szCs w:val="20"/>
          <w:vertAlign w:val="subscript"/>
        </w:rPr>
        <w:tab/>
      </w:r>
      <w:r w:rsidR="009A0119" w:rsidRPr="00AA2C40">
        <w:rPr>
          <w:rFonts w:cs="Arial"/>
          <w:szCs w:val="20"/>
        </w:rPr>
        <w:t>= The Energy Efficiency Ratio of the unit being retired-recycled expressed as kBtuh/kW.</w:t>
      </w:r>
    </w:p>
    <w:p w:rsidR="009A0119" w:rsidRPr="00AA2C40" w:rsidRDefault="00AA4BB4" w:rsidP="00AA4BB4">
      <w:pPr>
        <w:pStyle w:val="Equation"/>
        <w:rPr>
          <w:rFonts w:cs="Arial"/>
          <w:szCs w:val="20"/>
        </w:rPr>
      </w:pPr>
      <w:r w:rsidRPr="00AA2C40">
        <w:rPr>
          <w:rFonts w:cs="Arial"/>
          <w:szCs w:val="20"/>
        </w:rPr>
        <w:tab/>
      </w:r>
      <w:r w:rsidR="009A0119" w:rsidRPr="00AA2C40">
        <w:rPr>
          <w:rFonts w:cs="Arial"/>
          <w:szCs w:val="20"/>
        </w:rPr>
        <w:t>EER</w:t>
      </w:r>
      <w:r w:rsidR="009A0119" w:rsidRPr="00AA2C40">
        <w:rPr>
          <w:rFonts w:cs="Arial"/>
          <w:szCs w:val="20"/>
          <w:vertAlign w:val="subscript"/>
        </w:rPr>
        <w:t>b</w:t>
      </w:r>
      <w:r w:rsidR="009A0119" w:rsidRPr="00AA2C40">
        <w:rPr>
          <w:rFonts w:cs="Arial"/>
          <w:szCs w:val="20"/>
        </w:rPr>
        <w:t xml:space="preserve"> = </w:t>
      </w:r>
      <w:r w:rsidRPr="00AA2C40">
        <w:rPr>
          <w:rFonts w:cs="Arial"/>
          <w:szCs w:val="20"/>
        </w:rPr>
        <w:tab/>
      </w:r>
      <w:r w:rsidR="009A0119" w:rsidRPr="00AA2C40">
        <w:rPr>
          <w:rFonts w:cs="Arial"/>
          <w:szCs w:val="20"/>
        </w:rPr>
        <w:t>The Energy Efficiency Ratio of a RAC that just meets the minimum federal appliance standard efficiency expressed as kBtuh/kW.</w:t>
      </w:r>
    </w:p>
    <w:p w:rsidR="009A0119" w:rsidRPr="00AA2C40" w:rsidRDefault="00AA4BB4" w:rsidP="00AA4BB4">
      <w:pPr>
        <w:pStyle w:val="Equation"/>
        <w:rPr>
          <w:rFonts w:cs="Arial"/>
          <w:szCs w:val="20"/>
        </w:rPr>
      </w:pPr>
      <w:r w:rsidRPr="00AA2C40">
        <w:rPr>
          <w:rFonts w:cs="Arial"/>
          <w:szCs w:val="20"/>
        </w:rPr>
        <w:tab/>
      </w:r>
      <w:r w:rsidR="009A0119" w:rsidRPr="00AA2C40">
        <w:rPr>
          <w:rFonts w:cs="Arial"/>
          <w:szCs w:val="20"/>
        </w:rPr>
        <w:t>EER</w:t>
      </w:r>
      <w:r w:rsidR="009A0119" w:rsidRPr="00AA2C40">
        <w:rPr>
          <w:rFonts w:cs="Arial"/>
          <w:szCs w:val="20"/>
          <w:vertAlign w:val="subscript"/>
        </w:rPr>
        <w:t>ES</w:t>
      </w:r>
      <w:r w:rsidR="009A0119" w:rsidRPr="00AA2C40">
        <w:rPr>
          <w:rFonts w:cs="Arial"/>
          <w:szCs w:val="20"/>
        </w:rPr>
        <w:t xml:space="preserve"> </w:t>
      </w:r>
      <w:r w:rsidRPr="00AA2C40">
        <w:rPr>
          <w:rFonts w:cs="Arial"/>
          <w:szCs w:val="20"/>
        </w:rPr>
        <w:tab/>
      </w:r>
      <w:r w:rsidR="009A0119" w:rsidRPr="00AA2C40">
        <w:rPr>
          <w:rFonts w:cs="Arial"/>
          <w:szCs w:val="20"/>
        </w:rPr>
        <w:t xml:space="preserve">= The Energy Efficiency Ratio for an </w:t>
      </w:r>
      <w:r w:rsidR="00325EF4" w:rsidRPr="00AA2C40">
        <w:rPr>
          <w:rFonts w:cs="Arial"/>
          <w:szCs w:val="20"/>
        </w:rPr>
        <w:t>ENERGY STAR</w:t>
      </w:r>
      <w:r w:rsidR="009A0119" w:rsidRPr="00AA2C40">
        <w:rPr>
          <w:rFonts w:cs="Arial"/>
          <w:szCs w:val="20"/>
        </w:rPr>
        <w:t xml:space="preserve"> RAC expressed as kBtuh/kW.</w:t>
      </w:r>
    </w:p>
    <w:p w:rsidR="009A0119" w:rsidRPr="00AA2C40" w:rsidRDefault="00AA4BB4" w:rsidP="00AA4BB4">
      <w:pPr>
        <w:pStyle w:val="Equation"/>
        <w:rPr>
          <w:rFonts w:cs="Arial"/>
          <w:szCs w:val="20"/>
        </w:rPr>
      </w:pPr>
      <w:r w:rsidRPr="00AA2C40">
        <w:rPr>
          <w:rFonts w:cs="Arial"/>
          <w:szCs w:val="20"/>
        </w:rPr>
        <w:lastRenderedPageBreak/>
        <w:tab/>
      </w:r>
      <w:r w:rsidR="009A0119" w:rsidRPr="00AA2C40">
        <w:rPr>
          <w:rFonts w:cs="Arial"/>
          <w:szCs w:val="20"/>
        </w:rPr>
        <w:t>CF</w:t>
      </w:r>
      <w:r w:rsidR="009A0119" w:rsidRPr="00AA2C40">
        <w:rPr>
          <w:rFonts w:cs="Arial"/>
          <w:szCs w:val="20"/>
          <w:vertAlign w:val="subscript"/>
        </w:rPr>
        <w:t>RAC</w:t>
      </w:r>
      <w:r w:rsidR="009A0119" w:rsidRPr="00AA2C40">
        <w:rPr>
          <w:rFonts w:cs="Arial"/>
          <w:szCs w:val="20"/>
        </w:rPr>
        <w:t xml:space="preserve"> </w:t>
      </w:r>
      <w:r w:rsidRPr="00AA2C40">
        <w:rPr>
          <w:rFonts w:cs="Arial"/>
          <w:szCs w:val="20"/>
        </w:rPr>
        <w:tab/>
      </w:r>
      <w:r w:rsidR="009A0119" w:rsidRPr="00AA2C40">
        <w:rPr>
          <w:rFonts w:cs="Arial"/>
          <w:szCs w:val="20"/>
        </w:rPr>
        <w:t xml:space="preserve">= Demand Coincidence Factor </w:t>
      </w:r>
      <w:r w:rsidR="005478EE" w:rsidRPr="00AA2C40">
        <w:rPr>
          <w:rFonts w:cs="Arial"/>
          <w:szCs w:val="20"/>
        </w:rPr>
        <w:t xml:space="preserve">(See Section 1.4), </w:t>
      </w:r>
      <w:r w:rsidR="009A0119" w:rsidRPr="00AA2C40">
        <w:rPr>
          <w:rFonts w:cs="Arial"/>
          <w:szCs w:val="20"/>
        </w:rPr>
        <w:t>which is 0.58 from the 2010 PA TRM for the “ENERGY STAR Room Air Conditioner” measure.</w:t>
      </w:r>
    </w:p>
    <w:p w:rsidR="009A0119" w:rsidRPr="00AA4BB4" w:rsidRDefault="00AA4BB4" w:rsidP="00AA4BB4">
      <w:pPr>
        <w:pStyle w:val="Equation"/>
      </w:pPr>
      <w:r w:rsidRPr="00AA2C40">
        <w:rPr>
          <w:rFonts w:cs="Arial"/>
          <w:szCs w:val="20"/>
        </w:rPr>
        <w:tab/>
      </w:r>
      <w:r w:rsidR="009A0119" w:rsidRPr="00AA2C40">
        <w:rPr>
          <w:rFonts w:cs="Arial"/>
          <w:szCs w:val="20"/>
        </w:rPr>
        <w:t xml:space="preserve">1000 </w:t>
      </w:r>
      <w:r w:rsidRPr="00AA2C40">
        <w:rPr>
          <w:rFonts w:cs="Arial"/>
          <w:szCs w:val="20"/>
        </w:rPr>
        <w:tab/>
      </w:r>
      <w:r w:rsidR="009A0119" w:rsidRPr="00AA2C40">
        <w:rPr>
          <w:rFonts w:cs="Arial"/>
          <w:szCs w:val="20"/>
        </w:rPr>
        <w:t>= Conversion factor, convert capacity from Btuh to kBtuh (1000 Btuh/kBtuh)</w:t>
      </w:r>
    </w:p>
    <w:p w:rsidR="009A0119" w:rsidRDefault="009A0119" w:rsidP="00100EDF">
      <w:pPr>
        <w:pStyle w:val="Caption"/>
      </w:pPr>
      <w:bookmarkStart w:id="320" w:name="_Toc310875504"/>
      <w:r>
        <w:lastRenderedPageBreak/>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18</w:t>
      </w:r>
      <w:r w:rsidR="00274AB1">
        <w:rPr>
          <w:noProof/>
        </w:rPr>
        <w:fldChar w:fldCharType="end"/>
      </w:r>
      <w:r>
        <w:t xml:space="preserve">: Room AC Retirement </w:t>
      </w:r>
      <w:r w:rsidR="00B44F2C">
        <w:t>Calculation Assumptions</w:t>
      </w:r>
      <w:bookmarkEnd w:id="3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587"/>
        <w:gridCol w:w="1029"/>
        <w:gridCol w:w="3089"/>
        <w:gridCol w:w="1151"/>
      </w:tblGrid>
      <w:tr w:rsidR="009A0119" w:rsidRPr="0044128E" w:rsidTr="006E0899">
        <w:trPr>
          <w:trHeight w:val="317"/>
          <w:jc w:val="center"/>
        </w:trPr>
        <w:tc>
          <w:tcPr>
            <w:tcW w:w="2025" w:type="pct"/>
            <w:shd w:val="clear" w:color="auto" w:fill="BFBFBF"/>
          </w:tcPr>
          <w:p w:rsidR="009A0119" w:rsidRPr="001D6512" w:rsidRDefault="009A0119" w:rsidP="00321935">
            <w:pPr>
              <w:pStyle w:val="TableCell"/>
              <w:spacing w:before="60" w:after="60"/>
              <w:rPr>
                <w:b/>
              </w:rPr>
            </w:pPr>
            <w:r w:rsidRPr="001D6512">
              <w:rPr>
                <w:b/>
              </w:rPr>
              <w:t>Component</w:t>
            </w:r>
          </w:p>
        </w:tc>
        <w:tc>
          <w:tcPr>
            <w:tcW w:w="581" w:type="pct"/>
            <w:shd w:val="clear" w:color="auto" w:fill="BFBFBF"/>
          </w:tcPr>
          <w:p w:rsidR="009A0119" w:rsidRPr="001D6512" w:rsidRDefault="009A0119" w:rsidP="00321935">
            <w:pPr>
              <w:pStyle w:val="TableCell"/>
              <w:spacing w:before="60" w:after="60"/>
              <w:rPr>
                <w:b/>
              </w:rPr>
            </w:pPr>
            <w:r w:rsidRPr="001D6512">
              <w:rPr>
                <w:b/>
              </w:rPr>
              <w:t>Type</w:t>
            </w:r>
          </w:p>
        </w:tc>
        <w:tc>
          <w:tcPr>
            <w:tcW w:w="1744" w:type="pct"/>
            <w:shd w:val="clear" w:color="auto" w:fill="BFBFBF"/>
          </w:tcPr>
          <w:p w:rsidR="009A0119" w:rsidRPr="001D6512" w:rsidRDefault="009A0119" w:rsidP="00321935">
            <w:pPr>
              <w:pStyle w:val="TableCell"/>
              <w:spacing w:before="60" w:after="60"/>
              <w:rPr>
                <w:b/>
              </w:rPr>
            </w:pPr>
            <w:r w:rsidRPr="001D6512">
              <w:rPr>
                <w:b/>
              </w:rPr>
              <w:t>Value</w:t>
            </w:r>
          </w:p>
        </w:tc>
        <w:tc>
          <w:tcPr>
            <w:tcW w:w="650" w:type="pct"/>
            <w:shd w:val="clear" w:color="auto" w:fill="BFBFBF"/>
          </w:tcPr>
          <w:p w:rsidR="009A0119" w:rsidRPr="001D6512" w:rsidRDefault="009A0119" w:rsidP="00321935">
            <w:pPr>
              <w:pStyle w:val="TableCell"/>
              <w:spacing w:before="60" w:after="60"/>
              <w:rPr>
                <w:b/>
              </w:rPr>
            </w:pPr>
            <w:r w:rsidRPr="001D6512">
              <w:rPr>
                <w:b/>
              </w:rPr>
              <w:t>Sources</w:t>
            </w:r>
          </w:p>
        </w:tc>
      </w:tr>
      <w:tr w:rsidR="009A0119" w:rsidRPr="0044128E" w:rsidTr="006E0899">
        <w:trPr>
          <w:trHeight w:val="317"/>
          <w:jc w:val="center"/>
        </w:trPr>
        <w:tc>
          <w:tcPr>
            <w:tcW w:w="2025" w:type="pct"/>
          </w:tcPr>
          <w:p w:rsidR="009A0119" w:rsidRPr="001D6512" w:rsidRDefault="009A0119" w:rsidP="00321935">
            <w:pPr>
              <w:pStyle w:val="TableCell"/>
              <w:spacing w:before="60" w:after="60"/>
              <w:rPr>
                <w:szCs w:val="18"/>
              </w:rPr>
            </w:pPr>
            <w:r w:rsidRPr="001D6512">
              <w:rPr>
                <w:szCs w:val="18"/>
              </w:rPr>
              <w:t>EFLH</w:t>
            </w:r>
            <w:r w:rsidRPr="001D6512">
              <w:rPr>
                <w:szCs w:val="18"/>
                <w:vertAlign w:val="subscript"/>
              </w:rPr>
              <w:t>RAC</w:t>
            </w:r>
          </w:p>
        </w:tc>
        <w:tc>
          <w:tcPr>
            <w:tcW w:w="581" w:type="pct"/>
          </w:tcPr>
          <w:p w:rsidR="009A0119" w:rsidRPr="001D6512" w:rsidRDefault="009A0119" w:rsidP="00321935">
            <w:pPr>
              <w:pStyle w:val="TableCell"/>
              <w:spacing w:before="60" w:after="60"/>
              <w:rPr>
                <w:szCs w:val="18"/>
              </w:rPr>
            </w:pPr>
            <w:r w:rsidRPr="001D6512">
              <w:rPr>
                <w:szCs w:val="18"/>
              </w:rPr>
              <w:t>Varies</w:t>
            </w:r>
          </w:p>
        </w:tc>
        <w:tc>
          <w:tcPr>
            <w:tcW w:w="1744" w:type="pct"/>
          </w:tcPr>
          <w:p w:rsidR="00C0292F" w:rsidRDefault="007A1FB6" w:rsidP="00100EDF">
            <w:pPr>
              <w:pStyle w:val="Caption"/>
            </w:pPr>
            <w:r w:rsidRPr="001D6512">
              <w:fldChar w:fldCharType="begin"/>
            </w:r>
            <w:r w:rsidR="00067D0A" w:rsidRPr="001D6512">
              <w:instrText xml:space="preserve"> REF _Ref275542461 \h </w:instrText>
            </w:r>
            <w:r w:rsidRPr="001D6512">
              <w:fldChar w:fldCharType="separate"/>
            </w:r>
          </w:p>
          <w:p w:rsidR="009A0119" w:rsidRPr="001D6512" w:rsidRDefault="00C0292F" w:rsidP="00321935">
            <w:pPr>
              <w:pStyle w:val="TableCell"/>
              <w:spacing w:before="60" w:after="60"/>
              <w:rPr>
                <w:szCs w:val="18"/>
              </w:rPr>
            </w:pPr>
            <w:r>
              <w:t xml:space="preserve">Table </w:t>
            </w:r>
            <w:r>
              <w:rPr>
                <w:noProof/>
              </w:rPr>
              <w:t>2</w:t>
            </w:r>
            <w:r>
              <w:noBreakHyphen/>
            </w:r>
            <w:r>
              <w:rPr>
                <w:noProof/>
              </w:rPr>
              <w:t>19</w:t>
            </w:r>
            <w:r w:rsidR="007A1FB6" w:rsidRPr="001D6512">
              <w:fldChar w:fldCharType="end"/>
            </w:r>
            <w:r w:rsidR="009A0119" w:rsidRPr="001D6512">
              <w:rPr>
                <w:szCs w:val="18"/>
              </w:rPr>
              <w:t>, “Corrected Hours”</w:t>
            </w:r>
          </w:p>
        </w:tc>
        <w:tc>
          <w:tcPr>
            <w:tcW w:w="650" w:type="pct"/>
          </w:tcPr>
          <w:p w:rsidR="009A0119" w:rsidRPr="001D6512" w:rsidRDefault="009A0119" w:rsidP="00321935">
            <w:pPr>
              <w:pStyle w:val="TableCell"/>
              <w:spacing w:before="60" w:after="60"/>
              <w:rPr>
                <w:szCs w:val="18"/>
              </w:rPr>
            </w:pPr>
            <w:r w:rsidRPr="001D6512">
              <w:rPr>
                <w:szCs w:val="18"/>
              </w:rPr>
              <w:t>----</w:t>
            </w:r>
          </w:p>
        </w:tc>
      </w:tr>
      <w:tr w:rsidR="009A0119" w:rsidRPr="0044128E" w:rsidTr="006E0899">
        <w:trPr>
          <w:trHeight w:val="317"/>
          <w:jc w:val="center"/>
        </w:trPr>
        <w:tc>
          <w:tcPr>
            <w:tcW w:w="2025" w:type="pct"/>
          </w:tcPr>
          <w:p w:rsidR="009A0119" w:rsidRPr="001D6512" w:rsidRDefault="009A0119" w:rsidP="00321935">
            <w:pPr>
              <w:pStyle w:val="TableCell"/>
              <w:spacing w:before="60" w:after="60"/>
              <w:rPr>
                <w:szCs w:val="18"/>
              </w:rPr>
            </w:pPr>
            <w:r w:rsidRPr="001D6512">
              <w:rPr>
                <w:szCs w:val="18"/>
              </w:rPr>
              <w:t>EFLH</w:t>
            </w:r>
            <w:r w:rsidRPr="001D6512">
              <w:rPr>
                <w:szCs w:val="18"/>
                <w:vertAlign w:val="subscript"/>
              </w:rPr>
              <w:t>ES-RAC</w:t>
            </w:r>
          </w:p>
        </w:tc>
        <w:tc>
          <w:tcPr>
            <w:tcW w:w="581" w:type="pct"/>
          </w:tcPr>
          <w:p w:rsidR="009A0119" w:rsidRPr="001D6512" w:rsidRDefault="009A0119" w:rsidP="00321935">
            <w:pPr>
              <w:pStyle w:val="TableCell"/>
              <w:spacing w:before="60" w:after="60"/>
              <w:rPr>
                <w:szCs w:val="18"/>
              </w:rPr>
            </w:pPr>
            <w:r w:rsidRPr="001D6512">
              <w:rPr>
                <w:szCs w:val="18"/>
              </w:rPr>
              <w:t>Varies</w:t>
            </w:r>
          </w:p>
        </w:tc>
        <w:tc>
          <w:tcPr>
            <w:tcW w:w="1744" w:type="pct"/>
          </w:tcPr>
          <w:p w:rsidR="00C0292F" w:rsidRDefault="007A1FB6" w:rsidP="00100EDF">
            <w:pPr>
              <w:pStyle w:val="Caption"/>
            </w:pPr>
            <w:r w:rsidRPr="001D6512">
              <w:fldChar w:fldCharType="begin"/>
            </w:r>
            <w:r w:rsidR="00067D0A" w:rsidRPr="001D6512">
              <w:instrText xml:space="preserve"> REF _Ref275542461 \h </w:instrText>
            </w:r>
            <w:r w:rsidRPr="001D6512">
              <w:fldChar w:fldCharType="separate"/>
            </w:r>
          </w:p>
          <w:p w:rsidR="009A0119" w:rsidRPr="001D6512" w:rsidRDefault="00C0292F" w:rsidP="00321935">
            <w:pPr>
              <w:pStyle w:val="TableCell"/>
              <w:spacing w:before="60" w:after="60"/>
              <w:rPr>
                <w:szCs w:val="18"/>
              </w:rPr>
            </w:pPr>
            <w:r>
              <w:t xml:space="preserve">Table </w:t>
            </w:r>
            <w:r>
              <w:rPr>
                <w:noProof/>
              </w:rPr>
              <w:t>2</w:t>
            </w:r>
            <w:r>
              <w:noBreakHyphen/>
            </w:r>
            <w:r>
              <w:rPr>
                <w:noProof/>
              </w:rPr>
              <w:t>19</w:t>
            </w:r>
            <w:r w:rsidR="007A1FB6" w:rsidRPr="001D6512">
              <w:fldChar w:fldCharType="end"/>
            </w:r>
            <w:r w:rsidR="009A0119" w:rsidRPr="001D6512">
              <w:rPr>
                <w:szCs w:val="18"/>
              </w:rPr>
              <w:t>, “Original Hours”</w:t>
            </w:r>
          </w:p>
        </w:tc>
        <w:tc>
          <w:tcPr>
            <w:tcW w:w="650" w:type="pct"/>
          </w:tcPr>
          <w:p w:rsidR="009A0119" w:rsidRPr="001D6512" w:rsidRDefault="009A0119" w:rsidP="00321935">
            <w:pPr>
              <w:pStyle w:val="TableCell"/>
              <w:spacing w:before="60" w:after="60"/>
              <w:rPr>
                <w:szCs w:val="18"/>
              </w:rPr>
            </w:pPr>
            <w:r w:rsidRPr="001D6512">
              <w:rPr>
                <w:szCs w:val="18"/>
              </w:rPr>
              <w:t>1</w:t>
            </w:r>
          </w:p>
        </w:tc>
      </w:tr>
      <w:tr w:rsidR="009A0119" w:rsidRPr="0044128E" w:rsidTr="006E0899">
        <w:trPr>
          <w:trHeight w:val="317"/>
          <w:jc w:val="center"/>
        </w:trPr>
        <w:tc>
          <w:tcPr>
            <w:tcW w:w="2025" w:type="pct"/>
          </w:tcPr>
          <w:p w:rsidR="009A0119" w:rsidRPr="001D6512" w:rsidRDefault="009A0119" w:rsidP="00321935">
            <w:pPr>
              <w:pStyle w:val="TableCell"/>
              <w:spacing w:before="60" w:after="60"/>
              <w:rPr>
                <w:szCs w:val="18"/>
              </w:rPr>
            </w:pPr>
            <w:r w:rsidRPr="001D6512">
              <w:rPr>
                <w:szCs w:val="18"/>
              </w:rPr>
              <w:t>AF</w:t>
            </w:r>
          </w:p>
        </w:tc>
        <w:tc>
          <w:tcPr>
            <w:tcW w:w="581" w:type="pct"/>
          </w:tcPr>
          <w:p w:rsidR="009A0119" w:rsidRPr="001D6512" w:rsidRDefault="009A0119" w:rsidP="00321935">
            <w:pPr>
              <w:pStyle w:val="TableCell"/>
              <w:spacing w:before="60" w:after="60"/>
              <w:rPr>
                <w:szCs w:val="18"/>
              </w:rPr>
            </w:pPr>
            <w:r w:rsidRPr="001D6512">
              <w:rPr>
                <w:szCs w:val="18"/>
              </w:rPr>
              <w:t>Fixed</w:t>
            </w:r>
          </w:p>
        </w:tc>
        <w:tc>
          <w:tcPr>
            <w:tcW w:w="1744" w:type="pct"/>
          </w:tcPr>
          <w:p w:rsidR="009A0119" w:rsidRPr="001D6512" w:rsidRDefault="009A0119" w:rsidP="00321935">
            <w:pPr>
              <w:pStyle w:val="TableCell"/>
              <w:spacing w:before="60" w:after="60"/>
              <w:rPr>
                <w:szCs w:val="18"/>
              </w:rPr>
            </w:pPr>
            <w:r w:rsidRPr="001D6512">
              <w:rPr>
                <w:szCs w:val="18"/>
              </w:rPr>
              <w:t>0.31</w:t>
            </w:r>
          </w:p>
        </w:tc>
        <w:tc>
          <w:tcPr>
            <w:tcW w:w="650" w:type="pct"/>
          </w:tcPr>
          <w:p w:rsidR="009A0119" w:rsidRPr="001D6512" w:rsidRDefault="009A0119" w:rsidP="00321935">
            <w:pPr>
              <w:pStyle w:val="TableCell"/>
              <w:spacing w:before="60" w:after="60"/>
              <w:rPr>
                <w:szCs w:val="18"/>
              </w:rPr>
            </w:pPr>
            <w:r w:rsidRPr="001D6512">
              <w:rPr>
                <w:szCs w:val="18"/>
              </w:rPr>
              <w:t>2</w:t>
            </w:r>
          </w:p>
        </w:tc>
      </w:tr>
      <w:tr w:rsidR="009A0119" w:rsidRPr="0044128E" w:rsidTr="006E0899">
        <w:trPr>
          <w:trHeight w:val="332"/>
          <w:jc w:val="center"/>
        </w:trPr>
        <w:tc>
          <w:tcPr>
            <w:tcW w:w="2025" w:type="pct"/>
          </w:tcPr>
          <w:p w:rsidR="009A0119" w:rsidRPr="001D6512" w:rsidRDefault="009A0119" w:rsidP="00321935">
            <w:pPr>
              <w:pStyle w:val="TableCell"/>
              <w:spacing w:before="60" w:after="60"/>
              <w:rPr>
                <w:szCs w:val="18"/>
              </w:rPr>
            </w:pPr>
            <w:r w:rsidRPr="001D6512">
              <w:rPr>
                <w:szCs w:val="18"/>
              </w:rPr>
              <w:t>CAPY (RAC capacity, Btuh)</w:t>
            </w:r>
          </w:p>
        </w:tc>
        <w:tc>
          <w:tcPr>
            <w:tcW w:w="581" w:type="pct"/>
          </w:tcPr>
          <w:p w:rsidR="009A0119" w:rsidRPr="001D6512" w:rsidRDefault="009A0119" w:rsidP="00321935">
            <w:pPr>
              <w:pStyle w:val="TableCell"/>
              <w:spacing w:before="60" w:after="60"/>
              <w:rPr>
                <w:szCs w:val="18"/>
              </w:rPr>
            </w:pPr>
            <w:r w:rsidRPr="001D6512">
              <w:rPr>
                <w:szCs w:val="18"/>
              </w:rPr>
              <w:t>Fixed</w:t>
            </w:r>
          </w:p>
        </w:tc>
        <w:tc>
          <w:tcPr>
            <w:tcW w:w="1744" w:type="pct"/>
          </w:tcPr>
          <w:p w:rsidR="009A0119" w:rsidRPr="001D6512" w:rsidRDefault="009A0119" w:rsidP="00321935">
            <w:pPr>
              <w:pStyle w:val="TableCell"/>
              <w:spacing w:before="60" w:after="60"/>
              <w:rPr>
                <w:szCs w:val="18"/>
              </w:rPr>
            </w:pPr>
            <w:r w:rsidRPr="001D6512">
              <w:rPr>
                <w:szCs w:val="18"/>
              </w:rPr>
              <w:t>10,000</w:t>
            </w:r>
          </w:p>
        </w:tc>
        <w:tc>
          <w:tcPr>
            <w:tcW w:w="650" w:type="pct"/>
          </w:tcPr>
          <w:p w:rsidR="009A0119" w:rsidRPr="001D6512" w:rsidRDefault="009A0119" w:rsidP="00321935">
            <w:pPr>
              <w:pStyle w:val="TableCell"/>
              <w:spacing w:before="60" w:after="60"/>
              <w:rPr>
                <w:szCs w:val="18"/>
              </w:rPr>
            </w:pPr>
            <w:r w:rsidRPr="001D6512">
              <w:rPr>
                <w:szCs w:val="18"/>
              </w:rPr>
              <w:t>3</w:t>
            </w:r>
          </w:p>
        </w:tc>
      </w:tr>
      <w:tr w:rsidR="009A0119" w:rsidRPr="0044128E" w:rsidTr="006E0899">
        <w:trPr>
          <w:trHeight w:val="317"/>
          <w:jc w:val="center"/>
        </w:trPr>
        <w:tc>
          <w:tcPr>
            <w:tcW w:w="2025" w:type="pct"/>
          </w:tcPr>
          <w:p w:rsidR="009A0119" w:rsidRPr="001D6512" w:rsidRDefault="009A0119" w:rsidP="00321935">
            <w:pPr>
              <w:pStyle w:val="TableCell"/>
              <w:spacing w:before="60" w:after="60"/>
              <w:rPr>
                <w:szCs w:val="18"/>
              </w:rPr>
            </w:pPr>
            <w:r w:rsidRPr="001D6512">
              <w:rPr>
                <w:szCs w:val="18"/>
              </w:rPr>
              <w:t>EER</w:t>
            </w:r>
            <w:r w:rsidRPr="001D6512">
              <w:rPr>
                <w:szCs w:val="18"/>
                <w:vertAlign w:val="subscript"/>
              </w:rPr>
              <w:t>RetRAC</w:t>
            </w:r>
          </w:p>
        </w:tc>
        <w:tc>
          <w:tcPr>
            <w:tcW w:w="581" w:type="pct"/>
          </w:tcPr>
          <w:p w:rsidR="009A0119" w:rsidRPr="001D6512" w:rsidRDefault="009A0119" w:rsidP="00321935">
            <w:pPr>
              <w:pStyle w:val="TableCell"/>
              <w:spacing w:before="60" w:after="60"/>
              <w:rPr>
                <w:szCs w:val="18"/>
              </w:rPr>
            </w:pPr>
            <w:r w:rsidRPr="001D6512">
              <w:rPr>
                <w:szCs w:val="18"/>
              </w:rPr>
              <w:t>Fixed</w:t>
            </w:r>
          </w:p>
        </w:tc>
        <w:tc>
          <w:tcPr>
            <w:tcW w:w="1744" w:type="pct"/>
          </w:tcPr>
          <w:p w:rsidR="009A0119" w:rsidRPr="001D6512" w:rsidRDefault="009A0119" w:rsidP="00321935">
            <w:pPr>
              <w:pStyle w:val="TableCell"/>
              <w:spacing w:before="60" w:after="60"/>
              <w:rPr>
                <w:szCs w:val="18"/>
              </w:rPr>
            </w:pPr>
            <w:r w:rsidRPr="001D6512">
              <w:rPr>
                <w:szCs w:val="18"/>
              </w:rPr>
              <w:t>9.07</w:t>
            </w:r>
          </w:p>
        </w:tc>
        <w:tc>
          <w:tcPr>
            <w:tcW w:w="650" w:type="pct"/>
          </w:tcPr>
          <w:p w:rsidR="009A0119" w:rsidRPr="001D6512" w:rsidRDefault="009A0119" w:rsidP="00321935">
            <w:pPr>
              <w:pStyle w:val="TableCell"/>
              <w:spacing w:before="60" w:after="60"/>
              <w:rPr>
                <w:szCs w:val="18"/>
              </w:rPr>
            </w:pPr>
            <w:r w:rsidRPr="001D6512">
              <w:rPr>
                <w:szCs w:val="18"/>
              </w:rPr>
              <w:t>4</w:t>
            </w:r>
          </w:p>
        </w:tc>
      </w:tr>
      <w:tr w:rsidR="009A0119" w:rsidRPr="0044128E" w:rsidTr="006E0899">
        <w:trPr>
          <w:trHeight w:val="317"/>
          <w:jc w:val="center"/>
        </w:trPr>
        <w:tc>
          <w:tcPr>
            <w:tcW w:w="2025" w:type="pct"/>
          </w:tcPr>
          <w:p w:rsidR="009A0119" w:rsidRPr="001D6512" w:rsidRDefault="009A0119" w:rsidP="00321935">
            <w:pPr>
              <w:pStyle w:val="TableCell"/>
              <w:spacing w:before="60" w:after="60"/>
              <w:rPr>
                <w:szCs w:val="18"/>
              </w:rPr>
            </w:pPr>
            <w:r w:rsidRPr="001D6512">
              <w:rPr>
                <w:szCs w:val="18"/>
              </w:rPr>
              <w:t>EER</w:t>
            </w:r>
            <w:r w:rsidRPr="001D6512">
              <w:rPr>
                <w:szCs w:val="18"/>
                <w:vertAlign w:val="subscript"/>
              </w:rPr>
              <w:t xml:space="preserve">b </w:t>
            </w:r>
            <w:r w:rsidRPr="001D6512">
              <w:rPr>
                <w:szCs w:val="18"/>
              </w:rPr>
              <w:t xml:space="preserve"> (for a 10,000 Btuh unit)</w:t>
            </w:r>
          </w:p>
        </w:tc>
        <w:tc>
          <w:tcPr>
            <w:tcW w:w="581" w:type="pct"/>
          </w:tcPr>
          <w:p w:rsidR="009A0119" w:rsidRPr="001D6512" w:rsidRDefault="009A0119" w:rsidP="00321935">
            <w:pPr>
              <w:pStyle w:val="TableCell"/>
              <w:spacing w:before="60" w:after="60"/>
              <w:rPr>
                <w:szCs w:val="18"/>
              </w:rPr>
            </w:pPr>
            <w:r w:rsidRPr="001D6512">
              <w:rPr>
                <w:szCs w:val="18"/>
              </w:rPr>
              <w:t>Fixed</w:t>
            </w:r>
          </w:p>
        </w:tc>
        <w:tc>
          <w:tcPr>
            <w:tcW w:w="1744" w:type="pct"/>
          </w:tcPr>
          <w:p w:rsidR="009A0119" w:rsidRPr="001D6512" w:rsidRDefault="009A0119" w:rsidP="00321935">
            <w:pPr>
              <w:pStyle w:val="TableCell"/>
              <w:spacing w:before="60" w:after="60"/>
              <w:rPr>
                <w:szCs w:val="18"/>
              </w:rPr>
            </w:pPr>
            <w:r w:rsidRPr="001D6512">
              <w:rPr>
                <w:szCs w:val="18"/>
              </w:rPr>
              <w:t>9.8</w:t>
            </w:r>
          </w:p>
        </w:tc>
        <w:tc>
          <w:tcPr>
            <w:tcW w:w="650" w:type="pct"/>
          </w:tcPr>
          <w:p w:rsidR="009A0119" w:rsidRPr="001D6512" w:rsidRDefault="009A0119" w:rsidP="00321935">
            <w:pPr>
              <w:pStyle w:val="TableCell"/>
              <w:spacing w:before="60" w:after="60"/>
              <w:rPr>
                <w:szCs w:val="18"/>
              </w:rPr>
            </w:pPr>
            <w:r w:rsidRPr="001D6512">
              <w:rPr>
                <w:szCs w:val="18"/>
              </w:rPr>
              <w:t>5</w:t>
            </w:r>
          </w:p>
        </w:tc>
      </w:tr>
      <w:tr w:rsidR="009A0119" w:rsidRPr="0044128E" w:rsidTr="006E0899">
        <w:trPr>
          <w:trHeight w:val="317"/>
          <w:jc w:val="center"/>
        </w:trPr>
        <w:tc>
          <w:tcPr>
            <w:tcW w:w="2025" w:type="pct"/>
          </w:tcPr>
          <w:p w:rsidR="009A0119" w:rsidRPr="001D6512" w:rsidRDefault="009A0119" w:rsidP="00321935">
            <w:pPr>
              <w:pStyle w:val="TableCell"/>
              <w:spacing w:before="60" w:after="60"/>
              <w:rPr>
                <w:szCs w:val="18"/>
              </w:rPr>
            </w:pPr>
            <w:r w:rsidRPr="001D6512">
              <w:rPr>
                <w:szCs w:val="18"/>
              </w:rPr>
              <w:t>EER</w:t>
            </w:r>
            <w:r w:rsidRPr="001D6512">
              <w:rPr>
                <w:szCs w:val="18"/>
                <w:vertAlign w:val="subscript"/>
              </w:rPr>
              <w:t>ES</w:t>
            </w:r>
            <w:r w:rsidRPr="001D6512">
              <w:rPr>
                <w:szCs w:val="18"/>
              </w:rPr>
              <w:t xml:space="preserve"> (for a 10,000 Btuh unit)</w:t>
            </w:r>
          </w:p>
        </w:tc>
        <w:tc>
          <w:tcPr>
            <w:tcW w:w="581" w:type="pct"/>
          </w:tcPr>
          <w:p w:rsidR="009A0119" w:rsidRPr="001D6512" w:rsidRDefault="009A0119" w:rsidP="00321935">
            <w:pPr>
              <w:pStyle w:val="TableCell"/>
              <w:spacing w:before="60" w:after="60"/>
              <w:rPr>
                <w:szCs w:val="18"/>
              </w:rPr>
            </w:pPr>
            <w:r w:rsidRPr="001D6512">
              <w:rPr>
                <w:szCs w:val="18"/>
              </w:rPr>
              <w:t>Fixed</w:t>
            </w:r>
          </w:p>
        </w:tc>
        <w:tc>
          <w:tcPr>
            <w:tcW w:w="1744" w:type="pct"/>
          </w:tcPr>
          <w:p w:rsidR="009A0119" w:rsidRPr="001D6512" w:rsidRDefault="009A0119" w:rsidP="00321935">
            <w:pPr>
              <w:pStyle w:val="TableCell"/>
              <w:spacing w:before="60" w:after="60"/>
              <w:rPr>
                <w:szCs w:val="18"/>
              </w:rPr>
            </w:pPr>
            <w:r w:rsidRPr="001D6512">
              <w:rPr>
                <w:szCs w:val="18"/>
              </w:rPr>
              <w:t>10.8</w:t>
            </w:r>
          </w:p>
        </w:tc>
        <w:tc>
          <w:tcPr>
            <w:tcW w:w="650" w:type="pct"/>
          </w:tcPr>
          <w:p w:rsidR="009A0119" w:rsidRPr="001D6512" w:rsidRDefault="009A0119" w:rsidP="00321935">
            <w:pPr>
              <w:pStyle w:val="TableCell"/>
              <w:spacing w:before="60" w:after="60"/>
              <w:rPr>
                <w:szCs w:val="18"/>
              </w:rPr>
            </w:pPr>
            <w:r w:rsidRPr="001D6512">
              <w:rPr>
                <w:szCs w:val="18"/>
              </w:rPr>
              <w:t>5</w:t>
            </w:r>
          </w:p>
        </w:tc>
      </w:tr>
      <w:tr w:rsidR="009A0119" w:rsidRPr="0044128E" w:rsidTr="006E0899">
        <w:trPr>
          <w:trHeight w:val="317"/>
          <w:jc w:val="center"/>
        </w:trPr>
        <w:tc>
          <w:tcPr>
            <w:tcW w:w="2025" w:type="pct"/>
          </w:tcPr>
          <w:p w:rsidR="009A0119" w:rsidRPr="001D6512" w:rsidRDefault="009A0119" w:rsidP="00321935">
            <w:pPr>
              <w:pStyle w:val="TableCell"/>
              <w:spacing w:before="60" w:after="60"/>
              <w:rPr>
                <w:szCs w:val="18"/>
              </w:rPr>
            </w:pPr>
            <w:r w:rsidRPr="001D6512">
              <w:rPr>
                <w:szCs w:val="18"/>
              </w:rPr>
              <w:t>CF</w:t>
            </w:r>
            <w:r w:rsidRPr="001D6512">
              <w:rPr>
                <w:szCs w:val="18"/>
                <w:vertAlign w:val="subscript"/>
              </w:rPr>
              <w:t>RAC</w:t>
            </w:r>
          </w:p>
        </w:tc>
        <w:tc>
          <w:tcPr>
            <w:tcW w:w="581" w:type="pct"/>
          </w:tcPr>
          <w:p w:rsidR="009A0119" w:rsidRPr="001D6512" w:rsidRDefault="009A0119" w:rsidP="00321935">
            <w:pPr>
              <w:pStyle w:val="TableCell"/>
              <w:spacing w:before="60" w:after="60"/>
              <w:rPr>
                <w:szCs w:val="18"/>
              </w:rPr>
            </w:pPr>
            <w:r w:rsidRPr="001D6512">
              <w:rPr>
                <w:szCs w:val="18"/>
              </w:rPr>
              <w:t>Fixed</w:t>
            </w:r>
          </w:p>
        </w:tc>
        <w:tc>
          <w:tcPr>
            <w:tcW w:w="1744" w:type="pct"/>
          </w:tcPr>
          <w:p w:rsidR="009A0119" w:rsidRPr="001D6512" w:rsidRDefault="009A0119" w:rsidP="00321935">
            <w:pPr>
              <w:pStyle w:val="TableCell"/>
              <w:spacing w:before="60" w:after="60"/>
              <w:rPr>
                <w:szCs w:val="18"/>
              </w:rPr>
            </w:pPr>
            <w:r w:rsidRPr="001D6512">
              <w:rPr>
                <w:szCs w:val="18"/>
              </w:rPr>
              <w:t>0.58</w:t>
            </w:r>
          </w:p>
        </w:tc>
        <w:tc>
          <w:tcPr>
            <w:tcW w:w="650" w:type="pct"/>
          </w:tcPr>
          <w:p w:rsidR="009A0119" w:rsidRPr="001D6512" w:rsidRDefault="009A0119" w:rsidP="00321935">
            <w:pPr>
              <w:pStyle w:val="TableCell"/>
              <w:spacing w:before="60" w:after="60"/>
              <w:rPr>
                <w:szCs w:val="18"/>
              </w:rPr>
            </w:pPr>
            <w:r w:rsidRPr="001D6512">
              <w:rPr>
                <w:szCs w:val="18"/>
              </w:rPr>
              <w:t>6</w:t>
            </w:r>
          </w:p>
        </w:tc>
      </w:tr>
      <w:tr w:rsidR="009A0119" w:rsidRPr="0044128E" w:rsidTr="006E0899">
        <w:trPr>
          <w:trHeight w:val="317"/>
          <w:jc w:val="center"/>
        </w:trPr>
        <w:tc>
          <w:tcPr>
            <w:tcW w:w="2025" w:type="pct"/>
          </w:tcPr>
          <w:p w:rsidR="009A0119" w:rsidRPr="001D6512" w:rsidRDefault="009A0119" w:rsidP="00321935">
            <w:pPr>
              <w:pStyle w:val="TableCell"/>
              <w:spacing w:before="60" w:after="60"/>
              <w:rPr>
                <w:szCs w:val="18"/>
              </w:rPr>
            </w:pPr>
            <w:r w:rsidRPr="001D6512">
              <w:rPr>
                <w:szCs w:val="18"/>
              </w:rPr>
              <w:t>RAC Time Period Allocation Factors</w:t>
            </w:r>
          </w:p>
        </w:tc>
        <w:tc>
          <w:tcPr>
            <w:tcW w:w="581" w:type="pct"/>
          </w:tcPr>
          <w:p w:rsidR="009A0119" w:rsidRPr="001D6512" w:rsidRDefault="009A0119" w:rsidP="00321935">
            <w:pPr>
              <w:pStyle w:val="TableCell"/>
              <w:spacing w:before="60" w:after="60"/>
              <w:rPr>
                <w:szCs w:val="18"/>
              </w:rPr>
            </w:pPr>
            <w:r w:rsidRPr="001D6512">
              <w:rPr>
                <w:szCs w:val="18"/>
              </w:rPr>
              <w:t>Fixed</w:t>
            </w:r>
          </w:p>
        </w:tc>
        <w:tc>
          <w:tcPr>
            <w:tcW w:w="1744" w:type="pct"/>
          </w:tcPr>
          <w:p w:rsidR="009A0119" w:rsidRPr="001D6512" w:rsidRDefault="009A0119" w:rsidP="00321935">
            <w:pPr>
              <w:pStyle w:val="TableCell"/>
              <w:spacing w:before="60" w:after="60"/>
              <w:rPr>
                <w:szCs w:val="18"/>
              </w:rPr>
            </w:pPr>
            <w:r w:rsidRPr="001D6512">
              <w:rPr>
                <w:szCs w:val="18"/>
              </w:rPr>
              <w:t>65.1%, 34.9%, 0.0%, 0.0%</w:t>
            </w:r>
          </w:p>
        </w:tc>
        <w:tc>
          <w:tcPr>
            <w:tcW w:w="650" w:type="pct"/>
          </w:tcPr>
          <w:p w:rsidR="009A0119" w:rsidRPr="001D6512" w:rsidRDefault="009A0119" w:rsidP="00321935">
            <w:pPr>
              <w:pStyle w:val="TableCell"/>
              <w:spacing w:before="60" w:after="60"/>
              <w:rPr>
                <w:szCs w:val="18"/>
              </w:rPr>
            </w:pPr>
            <w:r w:rsidRPr="001D6512">
              <w:rPr>
                <w:szCs w:val="18"/>
              </w:rPr>
              <w:t>6</w:t>
            </w:r>
          </w:p>
        </w:tc>
      </w:tr>
      <w:tr w:rsidR="009A0119" w:rsidRPr="0044128E" w:rsidTr="006E0899">
        <w:trPr>
          <w:trHeight w:val="317"/>
          <w:jc w:val="center"/>
        </w:trPr>
        <w:tc>
          <w:tcPr>
            <w:tcW w:w="2025" w:type="pct"/>
          </w:tcPr>
          <w:p w:rsidR="009A0119" w:rsidRPr="001D6512" w:rsidRDefault="009A0119" w:rsidP="00321935">
            <w:pPr>
              <w:pStyle w:val="TableCell"/>
              <w:spacing w:before="60" w:after="60"/>
              <w:rPr>
                <w:szCs w:val="18"/>
              </w:rPr>
            </w:pPr>
            <w:r w:rsidRPr="001D6512">
              <w:rPr>
                <w:szCs w:val="18"/>
              </w:rPr>
              <w:t>Measure Life (EUL)</w:t>
            </w:r>
          </w:p>
        </w:tc>
        <w:tc>
          <w:tcPr>
            <w:tcW w:w="581" w:type="pct"/>
          </w:tcPr>
          <w:p w:rsidR="009A0119" w:rsidRPr="001D6512" w:rsidRDefault="009A0119" w:rsidP="00321935">
            <w:pPr>
              <w:pStyle w:val="TableCell"/>
              <w:spacing w:before="60" w:after="60"/>
              <w:rPr>
                <w:szCs w:val="18"/>
              </w:rPr>
            </w:pPr>
            <w:r w:rsidRPr="001D6512">
              <w:rPr>
                <w:szCs w:val="18"/>
              </w:rPr>
              <w:t>Fixed</w:t>
            </w:r>
          </w:p>
        </w:tc>
        <w:tc>
          <w:tcPr>
            <w:tcW w:w="1744" w:type="pct"/>
          </w:tcPr>
          <w:p w:rsidR="009A0119" w:rsidRPr="001D6512" w:rsidRDefault="009A0119" w:rsidP="00321935">
            <w:pPr>
              <w:pStyle w:val="TableCell"/>
              <w:spacing w:before="60" w:after="60"/>
              <w:rPr>
                <w:szCs w:val="18"/>
              </w:rPr>
            </w:pPr>
            <w:r w:rsidRPr="001D6512">
              <w:rPr>
                <w:szCs w:val="18"/>
              </w:rPr>
              <w:t>4</w:t>
            </w:r>
          </w:p>
        </w:tc>
        <w:tc>
          <w:tcPr>
            <w:tcW w:w="650" w:type="pct"/>
          </w:tcPr>
          <w:p w:rsidR="009A0119" w:rsidRPr="001D6512" w:rsidRDefault="009A0119" w:rsidP="00321935">
            <w:pPr>
              <w:pStyle w:val="TableCell"/>
              <w:spacing w:before="60" w:after="60"/>
              <w:rPr>
                <w:szCs w:val="18"/>
              </w:rPr>
            </w:pPr>
            <w:r w:rsidRPr="001D6512">
              <w:rPr>
                <w:szCs w:val="18"/>
              </w:rPr>
              <w:t>See source notes</w:t>
            </w:r>
          </w:p>
        </w:tc>
      </w:tr>
    </w:tbl>
    <w:p w:rsidR="00865117" w:rsidRDefault="00865117" w:rsidP="00100EDF">
      <w:pPr>
        <w:pStyle w:val="Caption"/>
      </w:pPr>
      <w:bookmarkStart w:id="321" w:name="_Ref275542461"/>
      <w:bookmarkStart w:id="322" w:name="_Ref275542460"/>
      <w:bookmarkStart w:id="323" w:name="OLE_LINK1"/>
    </w:p>
    <w:p w:rsidR="009A0119" w:rsidRDefault="009A0119" w:rsidP="00100EDF">
      <w:pPr>
        <w:pStyle w:val="Caption"/>
      </w:pPr>
      <w:bookmarkStart w:id="324" w:name="_Toc310875505"/>
      <w:r>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19</w:t>
      </w:r>
      <w:r w:rsidR="00274AB1">
        <w:rPr>
          <w:noProof/>
        </w:rPr>
        <w:fldChar w:fldCharType="end"/>
      </w:r>
      <w:bookmarkEnd w:id="321"/>
      <w:r>
        <w:t>: RAC Retirement-Only EFLH and Energy Savings by City</w:t>
      </w:r>
      <w:bookmarkEnd w:id="322"/>
      <w:r w:rsidR="00B44F2C">
        <w:rPr>
          <w:rStyle w:val="FootnoteReference"/>
        </w:rPr>
        <w:footnoteReference w:id="36"/>
      </w:r>
      <w:bookmarkEnd w:id="32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1"/>
        <w:gridCol w:w="1307"/>
        <w:gridCol w:w="1401"/>
        <w:gridCol w:w="1321"/>
        <w:gridCol w:w="1506"/>
      </w:tblGrid>
      <w:tr w:rsidR="009A0119" w:rsidTr="008075FC">
        <w:trPr>
          <w:trHeight w:val="317"/>
          <w:jc w:val="center"/>
        </w:trPr>
        <w:tc>
          <w:tcPr>
            <w:tcW w:w="1875" w:type="pct"/>
            <w:shd w:val="clear" w:color="auto" w:fill="BFBFBF"/>
          </w:tcPr>
          <w:p w:rsidR="009A0119" w:rsidRPr="001D6512" w:rsidRDefault="009A0119" w:rsidP="00C3606E">
            <w:pPr>
              <w:pStyle w:val="TableCell"/>
              <w:spacing w:before="60" w:after="60"/>
              <w:rPr>
                <w:b/>
              </w:rPr>
            </w:pPr>
            <w:r w:rsidRPr="001D6512">
              <w:rPr>
                <w:b/>
              </w:rPr>
              <w:t>City</w:t>
            </w:r>
          </w:p>
        </w:tc>
        <w:tc>
          <w:tcPr>
            <w:tcW w:w="738" w:type="pct"/>
            <w:shd w:val="clear" w:color="auto" w:fill="BFBFBF"/>
          </w:tcPr>
          <w:p w:rsidR="009A0119" w:rsidRPr="001D6512" w:rsidRDefault="009A0119" w:rsidP="00C3606E">
            <w:pPr>
              <w:pStyle w:val="TableCell"/>
              <w:spacing w:before="60" w:after="60"/>
              <w:rPr>
                <w:b/>
              </w:rPr>
            </w:pPr>
            <w:r w:rsidRPr="001D6512">
              <w:rPr>
                <w:b/>
              </w:rPr>
              <w:t>Original</w:t>
            </w:r>
          </w:p>
          <w:p w:rsidR="009A0119" w:rsidRPr="001D6512" w:rsidRDefault="009A0119" w:rsidP="00C3606E">
            <w:pPr>
              <w:pStyle w:val="TableCell"/>
              <w:spacing w:before="60" w:after="60"/>
              <w:rPr>
                <w:b/>
              </w:rPr>
            </w:pPr>
            <w:r w:rsidRPr="001D6512">
              <w:rPr>
                <w:b/>
              </w:rPr>
              <w:t>Hours (EFLH</w:t>
            </w:r>
            <w:r w:rsidRPr="001D6512">
              <w:rPr>
                <w:b/>
                <w:vertAlign w:val="subscript"/>
              </w:rPr>
              <w:t>ES-RAC</w:t>
            </w:r>
            <w:r w:rsidRPr="001D6512">
              <w:rPr>
                <w:b/>
              </w:rPr>
              <w:t>)</w:t>
            </w:r>
          </w:p>
        </w:tc>
        <w:tc>
          <w:tcPr>
            <w:tcW w:w="791" w:type="pct"/>
            <w:shd w:val="clear" w:color="auto" w:fill="BFBFBF"/>
          </w:tcPr>
          <w:p w:rsidR="009A0119" w:rsidRPr="001D6512" w:rsidRDefault="009A0119" w:rsidP="00C3606E">
            <w:pPr>
              <w:pStyle w:val="TableCell"/>
              <w:spacing w:before="60" w:after="60"/>
              <w:rPr>
                <w:b/>
              </w:rPr>
            </w:pPr>
            <w:r w:rsidRPr="001D6512">
              <w:rPr>
                <w:b/>
              </w:rPr>
              <w:t>Corrected</w:t>
            </w:r>
          </w:p>
          <w:p w:rsidR="009A0119" w:rsidRPr="001D6512" w:rsidRDefault="009A0119" w:rsidP="00C3606E">
            <w:pPr>
              <w:pStyle w:val="TableCell"/>
              <w:spacing w:before="60" w:after="60"/>
              <w:rPr>
                <w:b/>
              </w:rPr>
            </w:pPr>
            <w:r w:rsidRPr="001D6512">
              <w:rPr>
                <w:b/>
              </w:rPr>
              <w:t>Hours (EFLH</w:t>
            </w:r>
            <w:r w:rsidRPr="001D6512">
              <w:rPr>
                <w:b/>
                <w:vertAlign w:val="subscript"/>
              </w:rPr>
              <w:t>RAC</w:t>
            </w:r>
            <w:r w:rsidRPr="001D6512">
              <w:rPr>
                <w:b/>
              </w:rPr>
              <w:t>)</w:t>
            </w:r>
          </w:p>
        </w:tc>
        <w:tc>
          <w:tcPr>
            <w:tcW w:w="746" w:type="pct"/>
            <w:shd w:val="clear" w:color="auto" w:fill="BFBFBF"/>
          </w:tcPr>
          <w:p w:rsidR="009A0119" w:rsidRPr="001D6512" w:rsidRDefault="009A0119" w:rsidP="00C3606E">
            <w:pPr>
              <w:pStyle w:val="TableCell"/>
              <w:spacing w:before="60" w:after="60"/>
              <w:rPr>
                <w:b/>
              </w:rPr>
            </w:pPr>
            <w:r w:rsidRPr="001D6512">
              <w:rPr>
                <w:b/>
              </w:rPr>
              <w:t>Energy</w:t>
            </w:r>
          </w:p>
          <w:p w:rsidR="009A0119" w:rsidRPr="001D6512" w:rsidRDefault="009A0119" w:rsidP="00C3606E">
            <w:pPr>
              <w:pStyle w:val="TableCell"/>
              <w:spacing w:before="60" w:after="60"/>
              <w:rPr>
                <w:b/>
              </w:rPr>
            </w:pPr>
            <w:r w:rsidRPr="001D6512">
              <w:rPr>
                <w:b/>
              </w:rPr>
              <w:t>Impact (kWh)</w:t>
            </w:r>
          </w:p>
        </w:tc>
        <w:tc>
          <w:tcPr>
            <w:tcW w:w="850" w:type="pct"/>
            <w:shd w:val="clear" w:color="auto" w:fill="BFBFBF"/>
          </w:tcPr>
          <w:p w:rsidR="009A0119" w:rsidRPr="001D6512" w:rsidRDefault="009A0119" w:rsidP="00C3606E">
            <w:pPr>
              <w:pStyle w:val="TableCell"/>
              <w:spacing w:before="60" w:after="60"/>
              <w:rPr>
                <w:b/>
              </w:rPr>
            </w:pPr>
            <w:r w:rsidRPr="001D6512">
              <w:rPr>
                <w:b/>
              </w:rPr>
              <w:t>Demand Impact (kW)</w:t>
            </w:r>
          </w:p>
        </w:tc>
      </w:tr>
      <w:tr w:rsidR="009A0119" w:rsidTr="008075FC">
        <w:trPr>
          <w:trHeight w:val="317"/>
          <w:jc w:val="center"/>
        </w:trPr>
        <w:tc>
          <w:tcPr>
            <w:tcW w:w="1875" w:type="pct"/>
          </w:tcPr>
          <w:p w:rsidR="009A0119" w:rsidRPr="001D6512" w:rsidRDefault="009A0119" w:rsidP="00C3606E">
            <w:pPr>
              <w:pStyle w:val="TableCell"/>
              <w:spacing w:before="60" w:after="60"/>
            </w:pPr>
            <w:smartTag w:uri="urn:schemas-microsoft-com:office:smarttags" w:element="City">
              <w:smartTag w:uri="urn:schemas-microsoft-com:office:smarttags" w:element="place">
                <w:r w:rsidRPr="001D6512">
                  <w:t>Allentown</w:t>
                </w:r>
              </w:smartTag>
            </w:smartTag>
          </w:p>
        </w:tc>
        <w:tc>
          <w:tcPr>
            <w:tcW w:w="738" w:type="pct"/>
          </w:tcPr>
          <w:p w:rsidR="009A0119" w:rsidRPr="001D6512" w:rsidRDefault="009A0119" w:rsidP="00C3606E">
            <w:pPr>
              <w:pStyle w:val="TableCell"/>
              <w:spacing w:before="60" w:after="60"/>
              <w:rPr>
                <w:color w:val="000000"/>
              </w:rPr>
            </w:pPr>
            <w:r w:rsidRPr="001D6512">
              <w:rPr>
                <w:color w:val="000000"/>
              </w:rPr>
              <w:t>784</w:t>
            </w:r>
          </w:p>
        </w:tc>
        <w:tc>
          <w:tcPr>
            <w:tcW w:w="791" w:type="pct"/>
          </w:tcPr>
          <w:p w:rsidR="009A0119" w:rsidRPr="001D6512" w:rsidRDefault="009A0119" w:rsidP="00C3606E">
            <w:pPr>
              <w:pStyle w:val="TableCell"/>
              <w:spacing w:before="60" w:after="60"/>
              <w:rPr>
                <w:color w:val="000000"/>
              </w:rPr>
            </w:pPr>
            <w:r w:rsidRPr="001D6512">
              <w:rPr>
                <w:color w:val="000000"/>
              </w:rPr>
              <w:t>243</w:t>
            </w:r>
          </w:p>
        </w:tc>
        <w:tc>
          <w:tcPr>
            <w:tcW w:w="746" w:type="pct"/>
          </w:tcPr>
          <w:p w:rsidR="009A0119" w:rsidRPr="001D6512" w:rsidRDefault="009A0119" w:rsidP="00C3606E">
            <w:pPr>
              <w:pStyle w:val="TableCell"/>
              <w:spacing w:before="60" w:after="60"/>
              <w:rPr>
                <w:color w:val="000000"/>
              </w:rPr>
            </w:pPr>
            <w:r w:rsidRPr="001D6512">
              <w:rPr>
                <w:color w:val="000000"/>
              </w:rPr>
              <w:t>268</w:t>
            </w:r>
          </w:p>
        </w:tc>
        <w:tc>
          <w:tcPr>
            <w:tcW w:w="850" w:type="pct"/>
            <w:vMerge w:val="restart"/>
          </w:tcPr>
          <w:p w:rsidR="009A0119" w:rsidRPr="001D6512" w:rsidRDefault="009A0119" w:rsidP="00C3606E">
            <w:pPr>
              <w:pStyle w:val="TableCell"/>
              <w:spacing w:before="60" w:after="60"/>
              <w:rPr>
                <w:color w:val="000000"/>
              </w:rPr>
            </w:pPr>
            <w:r w:rsidRPr="001D6512">
              <w:rPr>
                <w:color w:val="000000"/>
              </w:rPr>
              <w:t>0.6395</w:t>
            </w:r>
          </w:p>
        </w:tc>
      </w:tr>
      <w:tr w:rsidR="009A0119" w:rsidTr="008075FC">
        <w:trPr>
          <w:trHeight w:val="317"/>
          <w:jc w:val="center"/>
        </w:trPr>
        <w:tc>
          <w:tcPr>
            <w:tcW w:w="1875" w:type="pct"/>
          </w:tcPr>
          <w:p w:rsidR="009A0119" w:rsidRPr="001D6512" w:rsidRDefault="009A0119" w:rsidP="00C3606E">
            <w:pPr>
              <w:pStyle w:val="TableCell"/>
              <w:spacing w:before="60" w:after="60"/>
            </w:pPr>
            <w:r w:rsidRPr="001D6512">
              <w:t>Erie</w:t>
            </w:r>
          </w:p>
        </w:tc>
        <w:tc>
          <w:tcPr>
            <w:tcW w:w="738" w:type="pct"/>
          </w:tcPr>
          <w:p w:rsidR="009A0119" w:rsidRPr="001D6512" w:rsidRDefault="009A0119" w:rsidP="00C3606E">
            <w:pPr>
              <w:pStyle w:val="TableCell"/>
              <w:spacing w:before="60" w:after="60"/>
              <w:rPr>
                <w:color w:val="000000"/>
              </w:rPr>
            </w:pPr>
            <w:r w:rsidRPr="001D6512">
              <w:rPr>
                <w:color w:val="000000"/>
              </w:rPr>
              <w:t>482</w:t>
            </w:r>
          </w:p>
        </w:tc>
        <w:tc>
          <w:tcPr>
            <w:tcW w:w="791" w:type="pct"/>
          </w:tcPr>
          <w:p w:rsidR="009A0119" w:rsidRPr="001D6512" w:rsidRDefault="009A0119" w:rsidP="00C3606E">
            <w:pPr>
              <w:pStyle w:val="TableCell"/>
              <w:spacing w:before="60" w:after="60"/>
              <w:rPr>
                <w:color w:val="000000"/>
              </w:rPr>
            </w:pPr>
            <w:r w:rsidRPr="001D6512">
              <w:rPr>
                <w:color w:val="000000"/>
              </w:rPr>
              <w:t>149</w:t>
            </w:r>
          </w:p>
        </w:tc>
        <w:tc>
          <w:tcPr>
            <w:tcW w:w="746" w:type="pct"/>
          </w:tcPr>
          <w:p w:rsidR="009A0119" w:rsidRPr="001D6512" w:rsidRDefault="009A0119" w:rsidP="00C3606E">
            <w:pPr>
              <w:pStyle w:val="TableCell"/>
              <w:spacing w:before="60" w:after="60"/>
              <w:rPr>
                <w:color w:val="000000"/>
              </w:rPr>
            </w:pPr>
            <w:r w:rsidRPr="001D6512">
              <w:rPr>
                <w:color w:val="000000"/>
              </w:rPr>
              <w:t>164</w:t>
            </w:r>
          </w:p>
        </w:tc>
        <w:tc>
          <w:tcPr>
            <w:tcW w:w="850" w:type="pct"/>
            <w:vMerge/>
          </w:tcPr>
          <w:p w:rsidR="009A0119" w:rsidRPr="001D6512" w:rsidRDefault="009A0119" w:rsidP="00C3606E">
            <w:pPr>
              <w:pStyle w:val="TableCell"/>
              <w:spacing w:before="60" w:after="60"/>
              <w:rPr>
                <w:color w:val="000000"/>
              </w:rPr>
            </w:pPr>
          </w:p>
        </w:tc>
      </w:tr>
      <w:tr w:rsidR="009A0119" w:rsidTr="008075FC">
        <w:trPr>
          <w:trHeight w:val="317"/>
          <w:jc w:val="center"/>
        </w:trPr>
        <w:tc>
          <w:tcPr>
            <w:tcW w:w="1875" w:type="pct"/>
          </w:tcPr>
          <w:p w:rsidR="009A0119" w:rsidRPr="001D6512" w:rsidRDefault="009A0119" w:rsidP="00C3606E">
            <w:pPr>
              <w:pStyle w:val="TableCell"/>
              <w:spacing w:before="60" w:after="60"/>
            </w:pPr>
            <w:smartTag w:uri="urn:schemas-microsoft-com:office:smarttags" w:element="City">
              <w:smartTag w:uri="urn:schemas-microsoft-com:office:smarttags" w:element="place">
                <w:r w:rsidRPr="001D6512">
                  <w:t>Harrisburg</w:t>
                </w:r>
              </w:smartTag>
            </w:smartTag>
          </w:p>
        </w:tc>
        <w:tc>
          <w:tcPr>
            <w:tcW w:w="738" w:type="pct"/>
          </w:tcPr>
          <w:p w:rsidR="009A0119" w:rsidRPr="001D6512" w:rsidRDefault="009A0119" w:rsidP="00C3606E">
            <w:pPr>
              <w:pStyle w:val="TableCell"/>
              <w:spacing w:before="60" w:after="60"/>
              <w:rPr>
                <w:color w:val="000000"/>
              </w:rPr>
            </w:pPr>
            <w:r w:rsidRPr="001D6512">
              <w:rPr>
                <w:color w:val="000000"/>
              </w:rPr>
              <w:t>929</w:t>
            </w:r>
          </w:p>
        </w:tc>
        <w:tc>
          <w:tcPr>
            <w:tcW w:w="791" w:type="pct"/>
          </w:tcPr>
          <w:p w:rsidR="009A0119" w:rsidRPr="001D6512" w:rsidRDefault="009A0119" w:rsidP="00C3606E">
            <w:pPr>
              <w:pStyle w:val="TableCell"/>
              <w:spacing w:before="60" w:after="60"/>
              <w:rPr>
                <w:color w:val="000000"/>
              </w:rPr>
            </w:pPr>
            <w:r w:rsidRPr="001D6512">
              <w:rPr>
                <w:color w:val="000000"/>
              </w:rPr>
              <w:t>288</w:t>
            </w:r>
          </w:p>
        </w:tc>
        <w:tc>
          <w:tcPr>
            <w:tcW w:w="746" w:type="pct"/>
          </w:tcPr>
          <w:p w:rsidR="009A0119" w:rsidRPr="001D6512" w:rsidRDefault="009A0119" w:rsidP="00C3606E">
            <w:pPr>
              <w:pStyle w:val="TableCell"/>
              <w:spacing w:before="60" w:after="60"/>
              <w:rPr>
                <w:color w:val="000000"/>
              </w:rPr>
            </w:pPr>
            <w:r w:rsidRPr="001D6512">
              <w:rPr>
                <w:color w:val="000000"/>
              </w:rPr>
              <w:t>318</w:t>
            </w:r>
          </w:p>
        </w:tc>
        <w:tc>
          <w:tcPr>
            <w:tcW w:w="850" w:type="pct"/>
            <w:vMerge/>
          </w:tcPr>
          <w:p w:rsidR="009A0119" w:rsidRPr="001D6512" w:rsidRDefault="009A0119" w:rsidP="00C3606E">
            <w:pPr>
              <w:pStyle w:val="TableCell"/>
              <w:spacing w:before="60" w:after="60"/>
              <w:rPr>
                <w:color w:val="000000"/>
              </w:rPr>
            </w:pPr>
          </w:p>
        </w:tc>
      </w:tr>
      <w:tr w:rsidR="009A0119" w:rsidTr="008075FC">
        <w:trPr>
          <w:trHeight w:val="317"/>
          <w:jc w:val="center"/>
        </w:trPr>
        <w:tc>
          <w:tcPr>
            <w:tcW w:w="1875" w:type="pct"/>
          </w:tcPr>
          <w:p w:rsidR="009A0119" w:rsidRPr="001D6512" w:rsidRDefault="009A0119" w:rsidP="00C3606E">
            <w:pPr>
              <w:pStyle w:val="TableCell"/>
              <w:spacing w:before="60" w:after="60"/>
            </w:pPr>
            <w:r w:rsidRPr="001D6512">
              <w:t>Philadelphia</w:t>
            </w:r>
          </w:p>
        </w:tc>
        <w:tc>
          <w:tcPr>
            <w:tcW w:w="738" w:type="pct"/>
          </w:tcPr>
          <w:p w:rsidR="009A0119" w:rsidRPr="001D6512" w:rsidRDefault="009A0119" w:rsidP="00C3606E">
            <w:pPr>
              <w:pStyle w:val="TableCell"/>
              <w:spacing w:before="60" w:after="60"/>
              <w:rPr>
                <w:color w:val="000000"/>
              </w:rPr>
            </w:pPr>
            <w:r w:rsidRPr="001D6512">
              <w:rPr>
                <w:color w:val="000000"/>
              </w:rPr>
              <w:t>1032</w:t>
            </w:r>
          </w:p>
        </w:tc>
        <w:tc>
          <w:tcPr>
            <w:tcW w:w="791" w:type="pct"/>
          </w:tcPr>
          <w:p w:rsidR="009A0119" w:rsidRPr="001D6512" w:rsidRDefault="009A0119" w:rsidP="00C3606E">
            <w:pPr>
              <w:pStyle w:val="TableCell"/>
              <w:spacing w:before="60" w:after="60"/>
              <w:rPr>
                <w:color w:val="000000"/>
              </w:rPr>
            </w:pPr>
            <w:r w:rsidRPr="001D6512">
              <w:rPr>
                <w:color w:val="000000"/>
              </w:rPr>
              <w:t>320</w:t>
            </w:r>
          </w:p>
        </w:tc>
        <w:tc>
          <w:tcPr>
            <w:tcW w:w="746" w:type="pct"/>
          </w:tcPr>
          <w:p w:rsidR="009A0119" w:rsidRPr="001D6512" w:rsidRDefault="009A0119" w:rsidP="00C3606E">
            <w:pPr>
              <w:pStyle w:val="TableCell"/>
              <w:spacing w:before="60" w:after="60"/>
              <w:rPr>
                <w:color w:val="000000"/>
              </w:rPr>
            </w:pPr>
            <w:r w:rsidRPr="001D6512">
              <w:rPr>
                <w:color w:val="000000"/>
              </w:rPr>
              <w:t>353</w:t>
            </w:r>
          </w:p>
        </w:tc>
        <w:tc>
          <w:tcPr>
            <w:tcW w:w="850" w:type="pct"/>
            <w:vMerge/>
          </w:tcPr>
          <w:p w:rsidR="009A0119" w:rsidRPr="001D6512" w:rsidRDefault="009A0119" w:rsidP="00C3606E">
            <w:pPr>
              <w:pStyle w:val="TableCell"/>
              <w:spacing w:before="60" w:after="60"/>
              <w:rPr>
                <w:color w:val="000000"/>
              </w:rPr>
            </w:pPr>
          </w:p>
        </w:tc>
      </w:tr>
      <w:tr w:rsidR="009A0119" w:rsidTr="008075FC">
        <w:trPr>
          <w:trHeight w:val="317"/>
          <w:jc w:val="center"/>
        </w:trPr>
        <w:tc>
          <w:tcPr>
            <w:tcW w:w="1875" w:type="pct"/>
          </w:tcPr>
          <w:p w:rsidR="009A0119" w:rsidRPr="001D6512" w:rsidRDefault="009A0119" w:rsidP="00C3606E">
            <w:pPr>
              <w:pStyle w:val="TableCell"/>
              <w:spacing w:before="60" w:after="60"/>
            </w:pPr>
            <w:smartTag w:uri="urn:schemas-microsoft-com:office:smarttags" w:element="City">
              <w:smartTag w:uri="urn:schemas-microsoft-com:office:smarttags" w:element="place">
                <w:r w:rsidRPr="001D6512">
                  <w:t>Pittsburgh</w:t>
                </w:r>
              </w:smartTag>
            </w:smartTag>
          </w:p>
        </w:tc>
        <w:tc>
          <w:tcPr>
            <w:tcW w:w="738" w:type="pct"/>
          </w:tcPr>
          <w:p w:rsidR="009A0119" w:rsidRPr="001D6512" w:rsidRDefault="009A0119" w:rsidP="00C3606E">
            <w:pPr>
              <w:pStyle w:val="TableCell"/>
              <w:spacing w:before="60" w:after="60"/>
              <w:rPr>
                <w:color w:val="000000"/>
              </w:rPr>
            </w:pPr>
            <w:r w:rsidRPr="001D6512">
              <w:rPr>
                <w:color w:val="000000"/>
              </w:rPr>
              <w:t>737</w:t>
            </w:r>
          </w:p>
        </w:tc>
        <w:tc>
          <w:tcPr>
            <w:tcW w:w="791" w:type="pct"/>
          </w:tcPr>
          <w:p w:rsidR="009A0119" w:rsidRPr="001D6512" w:rsidRDefault="009A0119" w:rsidP="00C3606E">
            <w:pPr>
              <w:pStyle w:val="TableCell"/>
              <w:spacing w:before="60" w:after="60"/>
              <w:rPr>
                <w:color w:val="000000"/>
              </w:rPr>
            </w:pPr>
            <w:r w:rsidRPr="001D6512">
              <w:rPr>
                <w:color w:val="000000"/>
              </w:rPr>
              <w:t>228</w:t>
            </w:r>
          </w:p>
        </w:tc>
        <w:tc>
          <w:tcPr>
            <w:tcW w:w="746" w:type="pct"/>
          </w:tcPr>
          <w:p w:rsidR="009A0119" w:rsidRPr="001D6512" w:rsidRDefault="009A0119" w:rsidP="00C3606E">
            <w:pPr>
              <w:pStyle w:val="TableCell"/>
              <w:spacing w:before="60" w:after="60"/>
              <w:rPr>
                <w:color w:val="000000"/>
              </w:rPr>
            </w:pPr>
            <w:r w:rsidRPr="001D6512">
              <w:rPr>
                <w:color w:val="000000"/>
              </w:rPr>
              <w:t>251</w:t>
            </w:r>
          </w:p>
        </w:tc>
        <w:tc>
          <w:tcPr>
            <w:tcW w:w="850" w:type="pct"/>
            <w:vMerge/>
          </w:tcPr>
          <w:p w:rsidR="009A0119" w:rsidRPr="001D6512" w:rsidRDefault="009A0119" w:rsidP="00C3606E">
            <w:pPr>
              <w:pStyle w:val="TableCell"/>
              <w:spacing w:before="60" w:after="60"/>
              <w:rPr>
                <w:color w:val="000000"/>
              </w:rPr>
            </w:pPr>
          </w:p>
        </w:tc>
      </w:tr>
      <w:tr w:rsidR="009A0119" w:rsidTr="008075FC">
        <w:trPr>
          <w:trHeight w:val="317"/>
          <w:jc w:val="center"/>
        </w:trPr>
        <w:tc>
          <w:tcPr>
            <w:tcW w:w="1875" w:type="pct"/>
          </w:tcPr>
          <w:p w:rsidR="009A0119" w:rsidRPr="001D6512" w:rsidRDefault="009A0119" w:rsidP="00C3606E">
            <w:pPr>
              <w:pStyle w:val="TableCell"/>
              <w:spacing w:before="60" w:after="60"/>
            </w:pPr>
            <w:smartTag w:uri="urn:schemas-microsoft-com:office:smarttags" w:element="City">
              <w:smartTag w:uri="urn:schemas-microsoft-com:office:smarttags" w:element="place">
                <w:r w:rsidRPr="001D6512">
                  <w:t>Scranton</w:t>
                </w:r>
              </w:smartTag>
            </w:smartTag>
          </w:p>
        </w:tc>
        <w:tc>
          <w:tcPr>
            <w:tcW w:w="738" w:type="pct"/>
          </w:tcPr>
          <w:p w:rsidR="009A0119" w:rsidRPr="001D6512" w:rsidRDefault="009A0119" w:rsidP="00C3606E">
            <w:pPr>
              <w:pStyle w:val="TableCell"/>
              <w:spacing w:before="60" w:after="60"/>
              <w:rPr>
                <w:color w:val="000000"/>
              </w:rPr>
            </w:pPr>
            <w:r w:rsidRPr="001D6512">
              <w:rPr>
                <w:color w:val="000000"/>
              </w:rPr>
              <w:t>621</w:t>
            </w:r>
          </w:p>
        </w:tc>
        <w:tc>
          <w:tcPr>
            <w:tcW w:w="791" w:type="pct"/>
          </w:tcPr>
          <w:p w:rsidR="009A0119" w:rsidRPr="001D6512" w:rsidRDefault="009A0119" w:rsidP="00C3606E">
            <w:pPr>
              <w:pStyle w:val="TableCell"/>
              <w:spacing w:before="60" w:after="60"/>
              <w:rPr>
                <w:color w:val="000000"/>
              </w:rPr>
            </w:pPr>
            <w:r w:rsidRPr="001D6512">
              <w:rPr>
                <w:color w:val="000000"/>
              </w:rPr>
              <w:t>193</w:t>
            </w:r>
          </w:p>
        </w:tc>
        <w:tc>
          <w:tcPr>
            <w:tcW w:w="746" w:type="pct"/>
          </w:tcPr>
          <w:p w:rsidR="009A0119" w:rsidRPr="001D6512" w:rsidRDefault="009A0119" w:rsidP="00C3606E">
            <w:pPr>
              <w:pStyle w:val="TableCell"/>
              <w:spacing w:before="60" w:after="60"/>
              <w:rPr>
                <w:color w:val="000000"/>
              </w:rPr>
            </w:pPr>
            <w:r w:rsidRPr="001D6512">
              <w:rPr>
                <w:color w:val="000000"/>
              </w:rPr>
              <w:t>213</w:t>
            </w:r>
          </w:p>
        </w:tc>
        <w:tc>
          <w:tcPr>
            <w:tcW w:w="850" w:type="pct"/>
            <w:vMerge/>
          </w:tcPr>
          <w:p w:rsidR="009A0119" w:rsidRPr="001D6512" w:rsidRDefault="009A0119" w:rsidP="00C3606E">
            <w:pPr>
              <w:pStyle w:val="TableCell"/>
              <w:spacing w:before="60" w:after="60"/>
              <w:rPr>
                <w:color w:val="000000"/>
              </w:rPr>
            </w:pPr>
          </w:p>
        </w:tc>
      </w:tr>
      <w:tr w:rsidR="009A0119" w:rsidTr="008075FC">
        <w:trPr>
          <w:trHeight w:val="317"/>
          <w:jc w:val="center"/>
        </w:trPr>
        <w:tc>
          <w:tcPr>
            <w:tcW w:w="1875" w:type="pct"/>
          </w:tcPr>
          <w:p w:rsidR="009A0119" w:rsidRPr="001D6512" w:rsidRDefault="009A0119" w:rsidP="00C3606E">
            <w:pPr>
              <w:pStyle w:val="TableCell"/>
              <w:spacing w:before="60" w:after="60"/>
            </w:pPr>
            <w:smartTag w:uri="urn:schemas-microsoft-com:office:smarttags" w:element="City">
              <w:smartTag w:uri="urn:schemas-microsoft-com:office:smarttags" w:element="place">
                <w:r w:rsidRPr="001D6512">
                  <w:t>Williamsport</w:t>
                </w:r>
              </w:smartTag>
            </w:smartTag>
          </w:p>
        </w:tc>
        <w:tc>
          <w:tcPr>
            <w:tcW w:w="738" w:type="pct"/>
          </w:tcPr>
          <w:p w:rsidR="009A0119" w:rsidRPr="001D6512" w:rsidRDefault="009A0119" w:rsidP="00C3606E">
            <w:pPr>
              <w:pStyle w:val="TableCell"/>
              <w:spacing w:before="60" w:after="60"/>
              <w:rPr>
                <w:color w:val="000000"/>
              </w:rPr>
            </w:pPr>
            <w:r w:rsidRPr="001D6512">
              <w:rPr>
                <w:color w:val="000000"/>
              </w:rPr>
              <w:t>659</w:t>
            </w:r>
          </w:p>
        </w:tc>
        <w:tc>
          <w:tcPr>
            <w:tcW w:w="791" w:type="pct"/>
          </w:tcPr>
          <w:p w:rsidR="009A0119" w:rsidRPr="001D6512" w:rsidRDefault="009A0119" w:rsidP="00C3606E">
            <w:pPr>
              <w:pStyle w:val="TableCell"/>
              <w:spacing w:before="60" w:after="60"/>
              <w:rPr>
                <w:color w:val="000000"/>
              </w:rPr>
            </w:pPr>
            <w:r w:rsidRPr="001D6512">
              <w:rPr>
                <w:color w:val="000000"/>
              </w:rPr>
              <w:t>204</w:t>
            </w:r>
          </w:p>
        </w:tc>
        <w:tc>
          <w:tcPr>
            <w:tcW w:w="746" w:type="pct"/>
          </w:tcPr>
          <w:p w:rsidR="009A0119" w:rsidRPr="001D6512" w:rsidRDefault="009A0119" w:rsidP="00C3606E">
            <w:pPr>
              <w:pStyle w:val="TableCell"/>
              <w:spacing w:before="60" w:after="60"/>
              <w:rPr>
                <w:color w:val="000000"/>
              </w:rPr>
            </w:pPr>
            <w:r w:rsidRPr="001D6512">
              <w:rPr>
                <w:color w:val="000000"/>
              </w:rPr>
              <w:t>225</w:t>
            </w:r>
          </w:p>
        </w:tc>
        <w:tc>
          <w:tcPr>
            <w:tcW w:w="850" w:type="pct"/>
            <w:vMerge/>
          </w:tcPr>
          <w:p w:rsidR="009A0119" w:rsidRPr="001D6512" w:rsidRDefault="009A0119" w:rsidP="00C3606E">
            <w:pPr>
              <w:pStyle w:val="TableCell"/>
              <w:spacing w:before="60" w:after="60"/>
              <w:rPr>
                <w:color w:val="000000"/>
              </w:rPr>
            </w:pPr>
          </w:p>
        </w:tc>
      </w:tr>
      <w:bookmarkEnd w:id="323"/>
    </w:tbl>
    <w:p w:rsidR="009A0119" w:rsidRPr="00D321D5" w:rsidRDefault="009A0119" w:rsidP="00C3606E">
      <w:pPr>
        <w:pStyle w:val="Halfline"/>
        <w:spacing w:after="0" w:line="240" w:lineRule="auto"/>
        <w:rPr>
          <w:sz w:val="16"/>
          <w:szCs w:val="16"/>
        </w:rPr>
      </w:pPr>
    </w:p>
    <w:p w:rsidR="009A0119" w:rsidRPr="00BC5194" w:rsidRDefault="009A0119" w:rsidP="00865117">
      <w:pPr>
        <w:keepNext/>
        <w:rPr>
          <w:b/>
        </w:rPr>
      </w:pPr>
      <w:r w:rsidRPr="00BC5194">
        <w:rPr>
          <w:b/>
        </w:rPr>
        <w:t>Sources</w:t>
      </w:r>
      <w:r w:rsidR="00AA4BB4" w:rsidRPr="00BC5194">
        <w:rPr>
          <w:b/>
        </w:rPr>
        <w:t>:</w:t>
      </w:r>
    </w:p>
    <w:p w:rsidR="009A0119" w:rsidRDefault="009A0119" w:rsidP="00173C8E">
      <w:pPr>
        <w:numPr>
          <w:ilvl w:val="0"/>
          <w:numId w:val="2"/>
        </w:numPr>
        <w:rPr>
          <w:szCs w:val="24"/>
        </w:rPr>
      </w:pPr>
      <w:r>
        <w:rPr>
          <w:szCs w:val="24"/>
        </w:rPr>
        <w:t>F</w:t>
      </w:r>
      <w:r>
        <w:t>ull load hours</w:t>
      </w:r>
      <w:r>
        <w:rPr>
          <w:szCs w:val="24"/>
        </w:rPr>
        <w:t xml:space="preserve"> for </w:t>
      </w:r>
      <w:smartTag w:uri="urn:schemas-microsoft-com:office:smarttags" w:element="State">
        <w:smartTag w:uri="urn:schemas-microsoft-com:office:smarttags" w:element="place">
          <w:r>
            <w:rPr>
              <w:szCs w:val="24"/>
            </w:rPr>
            <w:t>Pennsylvania</w:t>
          </w:r>
        </w:smartTag>
      </w:smartTag>
      <w:r>
        <w:rPr>
          <w:szCs w:val="24"/>
        </w:rPr>
        <w:t xml:space="preserve"> cities</w:t>
      </w:r>
      <w:r>
        <w:t xml:space="preserve"> from the </w:t>
      </w:r>
      <w:r w:rsidR="00325EF4">
        <w:rPr>
          <w:szCs w:val="24"/>
        </w:rPr>
        <w:t>ENERGY STAR</w:t>
      </w:r>
      <w:r>
        <w:rPr>
          <w:szCs w:val="24"/>
        </w:rPr>
        <w:t xml:space="preserve"> Room AC Calculator</w:t>
      </w:r>
      <w:r>
        <w:rPr>
          <w:rStyle w:val="FootnoteReference"/>
        </w:rPr>
        <w:footnoteReference w:id="37"/>
      </w:r>
      <w:r>
        <w:rPr>
          <w:szCs w:val="24"/>
        </w:rPr>
        <w:t xml:space="preserve"> spreadsheet, Assumptions tab.  Note that the </w:t>
      </w:r>
      <w:r w:rsidRPr="00055D43">
        <w:rPr>
          <w:szCs w:val="24"/>
        </w:rPr>
        <w:t xml:space="preserve">EFLH values </w:t>
      </w:r>
      <w:r>
        <w:rPr>
          <w:szCs w:val="24"/>
        </w:rPr>
        <w:t xml:space="preserve">currently used in the ES </w:t>
      </w:r>
      <w:r>
        <w:rPr>
          <w:szCs w:val="24"/>
        </w:rPr>
        <w:lastRenderedPageBreak/>
        <w:t>Room AC calculator are incorrect and too high because they are the same as those used for the Central AC calculator, but should be much less.</w:t>
      </w:r>
    </w:p>
    <w:p w:rsidR="009A0119" w:rsidRPr="008E62DD" w:rsidRDefault="009A0119" w:rsidP="00173C8E">
      <w:pPr>
        <w:numPr>
          <w:ilvl w:val="1"/>
          <w:numId w:val="2"/>
        </w:numPr>
        <w:rPr>
          <w:szCs w:val="24"/>
        </w:rPr>
      </w:pPr>
      <w:r>
        <w:rPr>
          <w:szCs w:val="24"/>
        </w:rPr>
        <w:t>For reference, EIA-</w:t>
      </w:r>
      <w:r w:rsidRPr="00B84B88">
        <w:rPr>
          <w:szCs w:val="24"/>
        </w:rPr>
        <w:t xml:space="preserve">RECS for </w:t>
      </w:r>
      <w:r>
        <w:rPr>
          <w:szCs w:val="24"/>
        </w:rPr>
        <w:t xml:space="preserve">the </w:t>
      </w:r>
      <w:r w:rsidRPr="00B84B88">
        <w:rPr>
          <w:szCs w:val="24"/>
        </w:rPr>
        <w:t>Northeast, Middle Atlantic region</w:t>
      </w:r>
      <w:r>
        <w:rPr>
          <w:szCs w:val="24"/>
        </w:rPr>
        <w:t xml:space="preserve"> shows </w:t>
      </w:r>
      <w:r w:rsidRPr="00B84B88">
        <w:rPr>
          <w:szCs w:val="24"/>
        </w:rPr>
        <w:t xml:space="preserve">the per-household energy use </w:t>
      </w:r>
      <w:r>
        <w:rPr>
          <w:szCs w:val="24"/>
        </w:rPr>
        <w:t xml:space="preserve">for an </w:t>
      </w:r>
      <w:r w:rsidRPr="00B84B88">
        <w:rPr>
          <w:szCs w:val="24"/>
        </w:rPr>
        <w:t xml:space="preserve">RAC = 577 </w:t>
      </w:r>
      <w:r>
        <w:rPr>
          <w:szCs w:val="24"/>
        </w:rPr>
        <w:t xml:space="preserve">kWh and </w:t>
      </w:r>
      <w:r w:rsidRPr="00B84B88">
        <w:rPr>
          <w:szCs w:val="24"/>
        </w:rPr>
        <w:t>an average of 2.04 units per home</w:t>
      </w:r>
      <w:r>
        <w:rPr>
          <w:szCs w:val="24"/>
        </w:rPr>
        <w:t xml:space="preserve">, </w:t>
      </w:r>
      <w:r w:rsidRPr="00B84B88">
        <w:rPr>
          <w:szCs w:val="24"/>
        </w:rPr>
        <w:t xml:space="preserve">so </w:t>
      </w:r>
      <w:r>
        <w:rPr>
          <w:szCs w:val="24"/>
        </w:rPr>
        <w:t xml:space="preserve">the </w:t>
      </w:r>
      <w:r w:rsidRPr="00B84B88">
        <w:rPr>
          <w:szCs w:val="24"/>
        </w:rPr>
        <w:t>adjusted RAC use = 283 kWh per unit.</w:t>
      </w:r>
      <w:r>
        <w:rPr>
          <w:szCs w:val="24"/>
        </w:rPr>
        <w:t xml:space="preserve">  This more closely aligns with the energy consumption for room AC using the adjusted EFLH values than without adjustment.</w:t>
      </w:r>
    </w:p>
    <w:p w:rsidR="009A0119" w:rsidRDefault="009A0119" w:rsidP="00173C8E">
      <w:pPr>
        <w:numPr>
          <w:ilvl w:val="0"/>
          <w:numId w:val="2"/>
        </w:numPr>
        <w:rPr>
          <w:szCs w:val="24"/>
        </w:rPr>
      </w:pPr>
      <w:r w:rsidRPr="008E62DD">
        <w:rPr>
          <w:szCs w:val="24"/>
        </w:rPr>
        <w:t xml:space="preserve">Mid Atlantic TRM Version 1.0. </w:t>
      </w:r>
      <w:r w:rsidRPr="008E62DD">
        <w:rPr>
          <w:szCs w:val="24"/>
          <w:u w:val="single"/>
        </w:rPr>
        <w:t>April 28, 2010</w:t>
      </w:r>
      <w:r w:rsidRPr="008E62DD">
        <w:rPr>
          <w:szCs w:val="24"/>
        </w:rPr>
        <w:t xml:space="preserve"> Draft.  Prepared by Vermont Energy Investment Corporation.</w:t>
      </w:r>
      <w:r>
        <w:rPr>
          <w:szCs w:val="24"/>
        </w:rPr>
        <w:t xml:space="preserve">  An adjustment to the ES RAC EFLHs of 31% was used for the “Window A/C” measure.</w:t>
      </w:r>
    </w:p>
    <w:p w:rsidR="009A0119" w:rsidRPr="008F55B5" w:rsidRDefault="009A0119" w:rsidP="00173C8E">
      <w:pPr>
        <w:numPr>
          <w:ilvl w:val="0"/>
          <w:numId w:val="2"/>
        </w:numPr>
        <w:rPr>
          <w:szCs w:val="24"/>
        </w:rPr>
      </w:pPr>
      <w:r>
        <w:t xml:space="preserve">10,000 Btuh is the typical size assumption for the </w:t>
      </w:r>
      <w:r w:rsidR="00325EF4">
        <w:t>ENERGY STAR</w:t>
      </w:r>
      <w:r>
        <w:t xml:space="preserve"> Room AC Savings calculator.  It is also used as the basis for PA TRM </w:t>
      </w:r>
      <w:r w:rsidR="00325EF4">
        <w:t>ENERGY STAR</w:t>
      </w:r>
      <w:r>
        <w:t xml:space="preserve"> Room AC measure savings calculations, even though not explicitly stated in the TRM.  For example:</w:t>
      </w:r>
    </w:p>
    <w:p w:rsidR="009A0119" w:rsidRDefault="009A0119" w:rsidP="00173C8E">
      <w:pPr>
        <w:numPr>
          <w:ilvl w:val="1"/>
          <w:numId w:val="2"/>
        </w:numPr>
        <w:rPr>
          <w:szCs w:val="24"/>
        </w:rPr>
      </w:pPr>
      <w:r>
        <w:t xml:space="preserve">Energy savings for </w:t>
      </w:r>
      <w:smartTag w:uri="urn:schemas-microsoft-com:office:smarttags" w:element="City">
        <w:smartTag w:uri="urn:schemas-microsoft-com:office:smarttags" w:element="place">
          <w:r>
            <w:t>Allentown</w:t>
          </w:r>
        </w:smartTag>
      </w:smartTag>
      <w:r>
        <w:t xml:space="preserve"> = 74 kWh and EFLH = 784 hrs:</w:t>
      </w:r>
    </w:p>
    <w:p w:rsidR="009A0119" w:rsidRDefault="009A0119" w:rsidP="00C3606E">
      <w:pPr>
        <w:ind w:left="1440"/>
        <w:rPr>
          <w:szCs w:val="24"/>
          <w:u w:val="single"/>
        </w:rPr>
      </w:pPr>
      <w:r w:rsidRPr="00730162">
        <w:rPr>
          <w:szCs w:val="24"/>
        </w:rPr>
        <w:t xml:space="preserve">784 * (10,000/1000) * (1/9.8 – 1/10.8) = </w:t>
      </w:r>
      <w:r w:rsidRPr="00730162">
        <w:rPr>
          <w:szCs w:val="24"/>
          <w:u w:val="single"/>
        </w:rPr>
        <w:t xml:space="preserve">74 </w:t>
      </w:r>
      <w:r>
        <w:rPr>
          <w:szCs w:val="24"/>
          <w:u w:val="single"/>
        </w:rPr>
        <w:t>kWh.</w:t>
      </w:r>
    </w:p>
    <w:p w:rsidR="009A0119" w:rsidRDefault="009A0119" w:rsidP="00173C8E">
      <w:pPr>
        <w:numPr>
          <w:ilvl w:val="1"/>
          <w:numId w:val="2"/>
        </w:numPr>
        <w:rPr>
          <w:szCs w:val="24"/>
        </w:rPr>
      </w:pPr>
      <w:r w:rsidRPr="00C36E57">
        <w:rPr>
          <w:rFonts w:cs="GillSans"/>
          <w:color w:val="000000"/>
          <w:szCs w:val="24"/>
        </w:rPr>
        <w:t xml:space="preserve">CPUC 2006-2008 EM&amp;V, </w:t>
      </w:r>
      <w:r>
        <w:rPr>
          <w:rFonts w:cs="GillSans"/>
          <w:color w:val="000000"/>
          <w:szCs w:val="24"/>
        </w:rPr>
        <w:t>“</w:t>
      </w:r>
      <w:r w:rsidRPr="00C36E57">
        <w:rPr>
          <w:rFonts w:cs="GillSans"/>
          <w:color w:val="000000"/>
          <w:szCs w:val="24"/>
        </w:rPr>
        <w:t>Residential Retrofit High Impact Measure Evaluation Report</w:t>
      </w:r>
      <w:r>
        <w:rPr>
          <w:rFonts w:cs="GillSans"/>
          <w:color w:val="000000"/>
          <w:szCs w:val="24"/>
        </w:rPr>
        <w:t>”</w:t>
      </w:r>
      <w:r w:rsidRPr="00C36E57">
        <w:rPr>
          <w:rFonts w:cs="GillSans"/>
          <w:color w:val="000000"/>
          <w:szCs w:val="24"/>
        </w:rPr>
        <w:t>, prepared for the CPUC Energy Division, February 8, 2010</w:t>
      </w:r>
      <w:r>
        <w:rPr>
          <w:rFonts w:cs="GillSans"/>
          <w:color w:val="000000"/>
          <w:szCs w:val="24"/>
        </w:rPr>
        <w:t>, page 165, Table 147 show average sizes of 9,729 and 10,091 Btuh.</w:t>
      </w:r>
    </w:p>
    <w:p w:rsidR="009A0119" w:rsidRPr="0030563A" w:rsidRDefault="009A0119" w:rsidP="00173C8E">
      <w:pPr>
        <w:numPr>
          <w:ilvl w:val="0"/>
          <w:numId w:val="2"/>
        </w:numPr>
        <w:rPr>
          <w:szCs w:val="24"/>
        </w:rPr>
      </w:pPr>
      <w:r>
        <w:t>Massachusetts TRM, Version 1.0, October 23, 2009, “Room AC Retirement” measure, Page 52-54.  Assumes an existing/recycled unit EER=9.07, reference is to weighted 1999 AHAM shipment data.</w:t>
      </w:r>
      <w:r>
        <w:rPr>
          <w:szCs w:val="24"/>
        </w:rPr>
        <w:t xml:space="preserve">  This value should be evaluated and based on the actual distribution of recycled units in PA and revised in later TRMs if necessary</w:t>
      </w:r>
      <w:r w:rsidRPr="0030563A">
        <w:rPr>
          <w:szCs w:val="24"/>
        </w:rPr>
        <w:t>.</w:t>
      </w:r>
      <w:r>
        <w:rPr>
          <w:szCs w:val="24"/>
        </w:rPr>
        <w:t xml:space="preserve">  Other references include:</w:t>
      </w:r>
    </w:p>
    <w:p w:rsidR="009A0119" w:rsidRPr="00A66AF9" w:rsidRDefault="00325EF4" w:rsidP="00173C8E">
      <w:pPr>
        <w:numPr>
          <w:ilvl w:val="1"/>
          <w:numId w:val="2"/>
        </w:numPr>
        <w:rPr>
          <w:szCs w:val="24"/>
        </w:rPr>
      </w:pPr>
      <w:r>
        <w:rPr>
          <w:szCs w:val="24"/>
        </w:rPr>
        <w:t>ENERGY STAR</w:t>
      </w:r>
      <w:r w:rsidR="009A0119">
        <w:rPr>
          <w:szCs w:val="24"/>
        </w:rPr>
        <w:t xml:space="preserve"> website materials on Turn-In programs, if reverse-engineered indicate an EER</w:t>
      </w:r>
      <w:r w:rsidR="00F11594">
        <w:rPr>
          <w:szCs w:val="24"/>
        </w:rPr>
        <w:t xml:space="preserve"> of </w:t>
      </w:r>
      <w:r w:rsidR="009A0119">
        <w:rPr>
          <w:szCs w:val="24"/>
        </w:rPr>
        <w:t>9.16 is used for savings calculations for a 10 year old RAC.  Another statement indicates that units that are at least 10 years old use 20% more energy than a new ES unit which equates to: 10.8 EER/1.2 = 9 EER</w:t>
      </w:r>
      <w:r w:rsidR="009A0119" w:rsidRPr="00510C36">
        <w:t xml:space="preserve"> </w:t>
      </w:r>
      <w:hyperlink r:id="rId25" w:history="1">
        <w:r w:rsidR="009A0119" w:rsidRPr="00510C36">
          <w:rPr>
            <w:rStyle w:val="Hyperlink"/>
          </w:rPr>
          <w:t>http://www.energystar.gov/ia/products/recycle/documents/RoomAirConditionerTurn-InAndRecyclingPrograms.pdf</w:t>
        </w:r>
      </w:hyperlink>
    </w:p>
    <w:p w:rsidR="009A0119" w:rsidRPr="0030563A" w:rsidRDefault="009A0119" w:rsidP="00173C8E">
      <w:pPr>
        <w:numPr>
          <w:ilvl w:val="1"/>
          <w:numId w:val="2"/>
        </w:numPr>
        <w:rPr>
          <w:rFonts w:cs="Arial"/>
          <w:szCs w:val="24"/>
        </w:rPr>
      </w:pPr>
      <w:r w:rsidRPr="0030563A">
        <w:rPr>
          <w:rFonts w:cs="Arial"/>
          <w:szCs w:val="24"/>
        </w:rPr>
        <w:t>“Out With the Old, in With the New: Why Refrigerator and Room Air Conditioner Programs Should Target Replacement to Maximize Energy Savings</w:t>
      </w:r>
      <w:r w:rsidRPr="00035ADA">
        <w:rPr>
          <w:rFonts w:cs="Arial"/>
          <w:szCs w:val="24"/>
        </w:rPr>
        <w:t>.” National Resources Defense Council, November 2001.</w:t>
      </w:r>
      <w:r>
        <w:rPr>
          <w:rFonts w:cs="Arial"/>
          <w:szCs w:val="24"/>
        </w:rPr>
        <w:t xml:space="preserve">  Page 3, Cites a 7.5 </w:t>
      </w:r>
      <w:r w:rsidRPr="0030563A">
        <w:rPr>
          <w:rFonts w:cs="Arial"/>
          <w:szCs w:val="24"/>
        </w:rPr>
        <w:t xml:space="preserve">EER </w:t>
      </w:r>
      <w:r>
        <w:rPr>
          <w:rFonts w:cs="Arial"/>
          <w:szCs w:val="24"/>
        </w:rPr>
        <w:t xml:space="preserve">as typical for </w:t>
      </w:r>
      <w:r w:rsidRPr="0030563A">
        <w:rPr>
          <w:rFonts w:cs="Arial"/>
          <w:szCs w:val="24"/>
        </w:rPr>
        <w:t>a room air</w:t>
      </w:r>
      <w:r>
        <w:rPr>
          <w:rFonts w:cs="Arial"/>
          <w:szCs w:val="24"/>
        </w:rPr>
        <w:t xml:space="preserve"> </w:t>
      </w:r>
      <w:r w:rsidRPr="0030563A">
        <w:rPr>
          <w:rFonts w:cs="Arial"/>
          <w:szCs w:val="24"/>
        </w:rPr>
        <w:t>conditioner in use in 1990</w:t>
      </w:r>
      <w:r>
        <w:rPr>
          <w:rFonts w:cs="Arial"/>
          <w:szCs w:val="24"/>
        </w:rPr>
        <w:t>s.  However, page 21 indicates an 8.0 EER was typical for a NYSERDA program.</w:t>
      </w:r>
    </w:p>
    <w:p w:rsidR="009A0119" w:rsidRDefault="00325EF4" w:rsidP="00173C8E">
      <w:pPr>
        <w:numPr>
          <w:ilvl w:val="0"/>
          <w:numId w:val="2"/>
        </w:numPr>
        <w:rPr>
          <w:szCs w:val="24"/>
        </w:rPr>
      </w:pPr>
      <w:r>
        <w:rPr>
          <w:szCs w:val="24"/>
        </w:rPr>
        <w:lastRenderedPageBreak/>
        <w:t>ENERGY STAR</w:t>
      </w:r>
      <w:r w:rsidR="009A0119">
        <w:rPr>
          <w:szCs w:val="24"/>
        </w:rPr>
        <w:t xml:space="preserve"> and Federal Appliance Standard minimum EERs for a 10,000 Btuh unit with louvered sides.</w:t>
      </w:r>
      <w:hyperlink r:id="rId26" w:history="1">
        <w:r w:rsidR="009A0119" w:rsidRPr="001C2F53">
          <w:rPr>
            <w:rStyle w:val="Hyperlink"/>
            <w:szCs w:val="24"/>
          </w:rPr>
          <w:t>http://www.energystar.gov/index.cfm?c=roomac.pr_crit_room_ac</w:t>
        </w:r>
      </w:hyperlink>
    </w:p>
    <w:p w:rsidR="009A0119" w:rsidRDefault="009A0119" w:rsidP="00173C8E">
      <w:pPr>
        <w:numPr>
          <w:ilvl w:val="0"/>
          <w:numId w:val="2"/>
        </w:numPr>
        <w:rPr>
          <w:szCs w:val="24"/>
        </w:rPr>
      </w:pPr>
      <w:r>
        <w:t xml:space="preserve">PA TRM June 2010, </w:t>
      </w:r>
      <w:r>
        <w:rPr>
          <w:szCs w:val="24"/>
        </w:rPr>
        <w:t xml:space="preserve">coincident demand factor and Time Period Allocation Factors for </w:t>
      </w:r>
      <w:r w:rsidR="00325EF4">
        <w:t>ENERGY STAR</w:t>
      </w:r>
      <w:r>
        <w:t xml:space="preserve"> Room AC</w:t>
      </w:r>
      <w:r>
        <w:rPr>
          <w:szCs w:val="24"/>
        </w:rPr>
        <w:t>.</w:t>
      </w:r>
    </w:p>
    <w:p w:rsidR="009A0119" w:rsidRPr="00D53EFE" w:rsidRDefault="00B44F2C" w:rsidP="00871FA2">
      <w:pPr>
        <w:pStyle w:val="Heading3"/>
      </w:pPr>
      <w:r>
        <w:t>Measure Life</w:t>
      </w:r>
    </w:p>
    <w:p w:rsidR="009A0119" w:rsidRDefault="009A0119" w:rsidP="00C3606E">
      <w:pPr>
        <w:pStyle w:val="Equation"/>
      </w:pPr>
      <w:r>
        <w:t>Room Air Conditioner Retiremen</w:t>
      </w:r>
      <w:r w:rsidR="00AA4BB4">
        <w:t xml:space="preserve">t </w:t>
      </w:r>
      <w:r>
        <w:t>= 4 years</w:t>
      </w:r>
    </w:p>
    <w:p w:rsidR="009A0119" w:rsidRDefault="009A0119" w:rsidP="00C3606E">
      <w:pPr>
        <w:pStyle w:val="BodyText"/>
      </w:pPr>
      <w:r w:rsidRPr="00624580">
        <w:t xml:space="preserve">From the </w:t>
      </w:r>
      <w:r>
        <w:t xml:space="preserve">PA </w:t>
      </w:r>
      <w:r w:rsidRPr="00624580">
        <w:t xml:space="preserve">TRM, the EUL for an </w:t>
      </w:r>
      <w:r w:rsidR="00325EF4">
        <w:t>ENERGY STAR</w:t>
      </w:r>
      <w:r w:rsidRPr="00624580">
        <w:t xml:space="preserve"> Room Air Conditioner is 10 years</w:t>
      </w:r>
      <w:r>
        <w:t>, but t</w:t>
      </w:r>
      <w:r w:rsidRPr="00624580">
        <w:t xml:space="preserve">he TRM does not provide an RUL for RACs.  However, </w:t>
      </w:r>
      <w:r>
        <w:t>as shown in</w:t>
      </w:r>
      <w:r w:rsidRPr="00B77E26">
        <w:t xml:space="preserve"> </w:t>
      </w:r>
      <w:r w:rsidR="00274AB1">
        <w:fldChar w:fldCharType="begin"/>
      </w:r>
      <w:r w:rsidR="00274AB1">
        <w:instrText xml:space="preserve"> REF _Ref267483746  \* MERGEFORMAT </w:instrText>
      </w:r>
      <w:r w:rsidR="00274AB1">
        <w:fldChar w:fldCharType="separate"/>
      </w:r>
      <w:r w:rsidR="00C0292F">
        <w:t xml:space="preserve">Table </w:t>
      </w:r>
      <w:r w:rsidR="00C0292F">
        <w:rPr>
          <w:noProof/>
        </w:rPr>
        <w:t>2</w:t>
      </w:r>
      <w:r w:rsidR="00C0292F">
        <w:rPr>
          <w:noProof/>
        </w:rPr>
        <w:noBreakHyphen/>
        <w:t>20</w:t>
      </w:r>
      <w:r w:rsidR="00274AB1">
        <w:rPr>
          <w:noProof/>
        </w:rPr>
        <w:fldChar w:fldCharType="end"/>
      </w:r>
      <w:r>
        <w:t>,</w:t>
      </w:r>
      <w:r w:rsidRPr="00B77E26">
        <w:t xml:space="preserve"> </w:t>
      </w:r>
      <w:r>
        <w:t xml:space="preserve">the results from </w:t>
      </w:r>
      <w:r w:rsidRPr="00624580">
        <w:t>a recent evaluation of ComEd’s appliance recycling program</w:t>
      </w:r>
      <w:r>
        <w:rPr>
          <w:rStyle w:val="FootnoteReference"/>
          <w:rFonts w:ascii="Times New Roman" w:hAnsi="Times New Roman"/>
        </w:rPr>
        <w:footnoteReference w:id="38"/>
      </w:r>
      <w:r w:rsidRPr="00624580">
        <w:t xml:space="preserve"> found a median age of 21 to 25 years for recycled ACs.  </w:t>
      </w:r>
      <w:r>
        <w:t xml:space="preserve">For a unit this old, </w:t>
      </w:r>
      <w:r w:rsidRPr="00624580">
        <w:t xml:space="preserve">the expected life of the </w:t>
      </w:r>
      <w:r>
        <w:t>savings is likely to be short, so 4</w:t>
      </w:r>
      <w:r w:rsidRPr="00624580">
        <w:t xml:space="preserve"> years </w:t>
      </w:r>
      <w:r>
        <w:t xml:space="preserve">was chosen as </w:t>
      </w:r>
      <w:r w:rsidRPr="00624580">
        <w:t xml:space="preserve">a reasonable </w:t>
      </w:r>
      <w:r>
        <w:t xml:space="preserve">assumption based on these </w:t>
      </w:r>
      <w:r w:rsidRPr="00624580">
        <w:t>references:</w:t>
      </w:r>
    </w:p>
    <w:p w:rsidR="009A0119" w:rsidRPr="005F63C6" w:rsidRDefault="009A0119" w:rsidP="0005632A">
      <w:pPr>
        <w:pStyle w:val="source1"/>
        <w:numPr>
          <w:ilvl w:val="0"/>
          <w:numId w:val="32"/>
        </w:numPr>
      </w:pPr>
      <w:r w:rsidRPr="005F63C6">
        <w:t xml:space="preserve">DEER database, presents several values for EUL/RUL for room AC recycling:  </w:t>
      </w:r>
      <w:hyperlink r:id="rId27" w:history="1">
        <w:r w:rsidRPr="005F63C6">
          <w:rPr>
            <w:rStyle w:val="Hyperlink"/>
            <w:rFonts w:cs="Arial"/>
          </w:rPr>
          <w:t>http://www.deeresources.com/deer2008exante/downloads/EUL_Summary_10-1-08.xls</w:t>
        </w:r>
      </w:hyperlink>
    </w:p>
    <w:p w:rsidR="009A0119" w:rsidRPr="00AA4BB4" w:rsidRDefault="009A0119" w:rsidP="00C3606E">
      <w:pPr>
        <w:pStyle w:val="source2"/>
        <w:ind w:left="1440" w:hanging="720"/>
      </w:pPr>
      <w:r w:rsidRPr="00AA4BB4">
        <w:t>DEER 0607 recommendation: EUL=9, RUL=1/3 of EUL = 3 years.  The 1/3 was defined as a “reasonable estimate”, but no basis given.</w:t>
      </w:r>
    </w:p>
    <w:p w:rsidR="009A0119" w:rsidRPr="00AA4BB4" w:rsidRDefault="009A0119" w:rsidP="00C3606E">
      <w:pPr>
        <w:pStyle w:val="source2"/>
        <w:ind w:left="1440" w:hanging="720"/>
      </w:pPr>
      <w:r w:rsidRPr="00AA4BB4">
        <w:t>2005 DEER:  EUL=15, did not have recycling RUL</w:t>
      </w:r>
    </w:p>
    <w:p w:rsidR="009A0119" w:rsidRPr="00AA4BB4" w:rsidRDefault="009A0119" w:rsidP="00C3606E">
      <w:pPr>
        <w:pStyle w:val="source2"/>
        <w:ind w:left="1440" w:hanging="720"/>
      </w:pPr>
      <w:r w:rsidRPr="00AA4BB4">
        <w:t xml:space="preserve">Appliance Magazine and </w:t>
      </w:r>
      <w:r w:rsidR="00B44F2C">
        <w:t>ENERGY STAR</w:t>
      </w:r>
      <w:r w:rsidRPr="00AA4BB4">
        <w:t xml:space="preserve"> calculator: EUL=9 years</w:t>
      </w:r>
    </w:p>
    <w:p w:rsidR="009A0119" w:rsidRDefault="009A0119" w:rsidP="00C3606E">
      <w:pPr>
        <w:pStyle w:val="source2"/>
        <w:spacing w:after="200"/>
        <w:ind w:left="1440" w:hanging="720"/>
      </w:pPr>
      <w:r w:rsidRPr="00AA4BB4">
        <w:t>CA IOUs:  EUL=15, RUL=5 to 7</w:t>
      </w:r>
    </w:p>
    <w:p w:rsidR="009A0119" w:rsidRPr="00624580" w:rsidRDefault="009A0119" w:rsidP="00C3606E">
      <w:pPr>
        <w:pStyle w:val="source1"/>
      </w:pPr>
      <w:r w:rsidRPr="00624580">
        <w:t>“Out With the Old, in With the New: Why Refrigerator and Room Air Conditioner Programs Should Target Replace</w:t>
      </w:r>
      <w:r>
        <w:t>ment to Maximize Energy Savings,</w:t>
      </w:r>
      <w:r w:rsidRPr="00624580">
        <w:t>” National Resources Defense Council, November 2001</w:t>
      </w:r>
      <w:r>
        <w:t>, page 21, 5 years stated as a credible estimate.</w:t>
      </w:r>
    </w:p>
    <w:p w:rsidR="009A0119" w:rsidRDefault="009A0119" w:rsidP="00C3606E">
      <w:pPr>
        <w:pStyle w:val="source1"/>
        <w:spacing w:after="200"/>
      </w:pPr>
      <w:r>
        <w:t xml:space="preserve">From the PA TRM June 2010, if the ratio of refrigerator recycling measure life to </w:t>
      </w:r>
      <w:r w:rsidR="00325EF4">
        <w:t>ENERGY STAR</w:t>
      </w:r>
      <w:r>
        <w:t xml:space="preserve"> measure life is applied:  (8/13) * 10 years (for RAC) = 6 years for RAC recycling.</w:t>
      </w:r>
    </w:p>
    <w:p w:rsidR="009A0119" w:rsidRDefault="009A0119" w:rsidP="00100EDF">
      <w:pPr>
        <w:pStyle w:val="Caption"/>
      </w:pPr>
      <w:bookmarkStart w:id="329" w:name="_Ref267483746"/>
      <w:bookmarkStart w:id="330" w:name="_Toc310875506"/>
      <w:r>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20</w:t>
      </w:r>
      <w:r w:rsidR="00274AB1">
        <w:rPr>
          <w:noProof/>
        </w:rPr>
        <w:fldChar w:fldCharType="end"/>
      </w:r>
      <w:bookmarkEnd w:id="329"/>
      <w:r>
        <w:t>: Preliminary Results from ComEd RAC Recycling Evaluation</w:t>
      </w:r>
      <w:bookmarkEnd w:id="330"/>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598"/>
        <w:gridCol w:w="630"/>
        <w:gridCol w:w="630"/>
        <w:gridCol w:w="630"/>
        <w:gridCol w:w="630"/>
        <w:gridCol w:w="630"/>
        <w:gridCol w:w="630"/>
        <w:gridCol w:w="630"/>
        <w:gridCol w:w="810"/>
        <w:gridCol w:w="707"/>
      </w:tblGrid>
      <w:tr w:rsidR="009A0119" w:rsidTr="006E0899">
        <w:trPr>
          <w:trHeight w:val="393"/>
          <w:jc w:val="center"/>
        </w:trPr>
        <w:tc>
          <w:tcPr>
            <w:tcW w:w="1963" w:type="dxa"/>
            <w:vMerge w:val="restart"/>
            <w:shd w:val="clear" w:color="auto" w:fill="BFBFBF"/>
          </w:tcPr>
          <w:p w:rsidR="009A0119" w:rsidRPr="001D6512" w:rsidRDefault="009A0119" w:rsidP="00C3606E">
            <w:pPr>
              <w:pStyle w:val="TableCell"/>
              <w:spacing w:before="60" w:after="60"/>
              <w:rPr>
                <w:b/>
              </w:rPr>
            </w:pPr>
            <w:r w:rsidRPr="001D6512">
              <w:rPr>
                <w:b/>
              </w:rPr>
              <w:t>Appliance Type</w:t>
            </w:r>
          </w:p>
        </w:tc>
        <w:tc>
          <w:tcPr>
            <w:tcW w:w="5777" w:type="dxa"/>
            <w:gridSpan w:val="9"/>
            <w:tcBorders>
              <w:bottom w:val="single" w:sz="4" w:space="0" w:color="auto"/>
            </w:tcBorders>
            <w:shd w:val="clear" w:color="auto" w:fill="BFBFBF"/>
          </w:tcPr>
          <w:p w:rsidR="009A0119" w:rsidRPr="001D6512" w:rsidRDefault="009A0119" w:rsidP="00C3606E">
            <w:pPr>
              <w:pStyle w:val="TableCell"/>
              <w:spacing w:before="60" w:after="60"/>
              <w:rPr>
                <w:b/>
              </w:rPr>
            </w:pPr>
            <w:r w:rsidRPr="001D6512">
              <w:rPr>
                <w:b/>
              </w:rPr>
              <w:t>Age in Years</w:t>
            </w:r>
          </w:p>
        </w:tc>
        <w:tc>
          <w:tcPr>
            <w:tcW w:w="720" w:type="dxa"/>
            <w:vMerge w:val="restart"/>
            <w:shd w:val="clear" w:color="auto" w:fill="BFBFBF"/>
          </w:tcPr>
          <w:p w:rsidR="009A0119" w:rsidRPr="001D6512" w:rsidRDefault="009A0119" w:rsidP="00C3606E">
            <w:pPr>
              <w:pStyle w:val="TableCell"/>
              <w:spacing w:before="60" w:after="60"/>
              <w:rPr>
                <w:b/>
              </w:rPr>
            </w:pPr>
            <w:r w:rsidRPr="001D6512">
              <w:rPr>
                <w:b/>
              </w:rPr>
              <w:t>N</w:t>
            </w:r>
          </w:p>
        </w:tc>
      </w:tr>
      <w:tr w:rsidR="009A0119" w:rsidTr="006E0899">
        <w:trPr>
          <w:trHeight w:val="1134"/>
          <w:jc w:val="center"/>
        </w:trPr>
        <w:tc>
          <w:tcPr>
            <w:tcW w:w="0" w:type="auto"/>
            <w:vMerge/>
          </w:tcPr>
          <w:p w:rsidR="009A0119" w:rsidRPr="001D6512" w:rsidRDefault="009A0119" w:rsidP="00C3606E">
            <w:pPr>
              <w:pStyle w:val="TableCell"/>
              <w:spacing w:before="60" w:after="60"/>
            </w:pPr>
          </w:p>
        </w:tc>
        <w:tc>
          <w:tcPr>
            <w:tcW w:w="557" w:type="dxa"/>
            <w:shd w:val="clear" w:color="auto" w:fill="BFBFBF"/>
            <w:textDirection w:val="btLr"/>
          </w:tcPr>
          <w:p w:rsidR="009A0119" w:rsidRPr="001D6512" w:rsidRDefault="009A0119" w:rsidP="00C3606E">
            <w:pPr>
              <w:pStyle w:val="TableCell"/>
              <w:spacing w:before="60" w:after="60"/>
            </w:pPr>
            <w:r w:rsidRPr="001D6512">
              <w:t>0 to 5</w:t>
            </w:r>
          </w:p>
        </w:tc>
        <w:tc>
          <w:tcPr>
            <w:tcW w:w="630" w:type="dxa"/>
            <w:shd w:val="clear" w:color="auto" w:fill="BFBFBF"/>
            <w:textDirection w:val="btLr"/>
          </w:tcPr>
          <w:p w:rsidR="009A0119" w:rsidRPr="001D6512" w:rsidRDefault="009A0119" w:rsidP="00C3606E">
            <w:pPr>
              <w:pStyle w:val="TableCell"/>
              <w:spacing w:before="60" w:after="60"/>
            </w:pPr>
            <w:r w:rsidRPr="001D6512">
              <w:t>6 to 10</w:t>
            </w:r>
          </w:p>
        </w:tc>
        <w:tc>
          <w:tcPr>
            <w:tcW w:w="630" w:type="dxa"/>
            <w:shd w:val="clear" w:color="auto" w:fill="BFBFBF"/>
            <w:textDirection w:val="btLr"/>
          </w:tcPr>
          <w:p w:rsidR="009A0119" w:rsidRPr="001D6512" w:rsidRDefault="009A0119" w:rsidP="00C3606E">
            <w:pPr>
              <w:pStyle w:val="TableCell"/>
              <w:spacing w:before="60" w:after="60"/>
            </w:pPr>
            <w:r w:rsidRPr="001D6512">
              <w:t>11 to 15</w:t>
            </w:r>
          </w:p>
        </w:tc>
        <w:tc>
          <w:tcPr>
            <w:tcW w:w="630" w:type="dxa"/>
            <w:shd w:val="clear" w:color="auto" w:fill="BFBFBF"/>
            <w:textDirection w:val="btLr"/>
          </w:tcPr>
          <w:p w:rsidR="009A0119" w:rsidRPr="001D6512" w:rsidRDefault="009A0119" w:rsidP="00C3606E">
            <w:pPr>
              <w:pStyle w:val="TableCell"/>
              <w:spacing w:before="60" w:after="60"/>
            </w:pPr>
            <w:r w:rsidRPr="001D6512">
              <w:t>16 to 20</w:t>
            </w:r>
          </w:p>
        </w:tc>
        <w:tc>
          <w:tcPr>
            <w:tcW w:w="630" w:type="dxa"/>
            <w:shd w:val="clear" w:color="auto" w:fill="BFBFBF"/>
            <w:textDirection w:val="btLr"/>
          </w:tcPr>
          <w:p w:rsidR="009A0119" w:rsidRPr="001D6512" w:rsidRDefault="009A0119" w:rsidP="00C3606E">
            <w:pPr>
              <w:pStyle w:val="TableCell"/>
              <w:spacing w:before="60" w:after="60"/>
            </w:pPr>
            <w:r w:rsidRPr="001D6512">
              <w:t>21 to 25</w:t>
            </w:r>
          </w:p>
        </w:tc>
        <w:tc>
          <w:tcPr>
            <w:tcW w:w="630" w:type="dxa"/>
            <w:shd w:val="clear" w:color="auto" w:fill="BFBFBF"/>
            <w:textDirection w:val="btLr"/>
          </w:tcPr>
          <w:p w:rsidR="009A0119" w:rsidRPr="001D6512" w:rsidRDefault="009A0119" w:rsidP="00C3606E">
            <w:pPr>
              <w:pStyle w:val="TableCell"/>
              <w:spacing w:before="60" w:after="60"/>
            </w:pPr>
            <w:r w:rsidRPr="001D6512">
              <w:t>26 to 30</w:t>
            </w:r>
          </w:p>
        </w:tc>
        <w:tc>
          <w:tcPr>
            <w:tcW w:w="630" w:type="dxa"/>
            <w:shd w:val="clear" w:color="auto" w:fill="BFBFBF"/>
            <w:textDirection w:val="btLr"/>
          </w:tcPr>
          <w:p w:rsidR="009A0119" w:rsidRPr="001D6512" w:rsidRDefault="009A0119" w:rsidP="00C3606E">
            <w:pPr>
              <w:pStyle w:val="TableCell"/>
              <w:spacing w:before="60" w:after="60"/>
            </w:pPr>
            <w:r w:rsidRPr="001D6512">
              <w:t>31 to 35</w:t>
            </w:r>
          </w:p>
        </w:tc>
        <w:tc>
          <w:tcPr>
            <w:tcW w:w="630" w:type="dxa"/>
            <w:shd w:val="clear" w:color="auto" w:fill="BFBFBF"/>
            <w:textDirection w:val="btLr"/>
          </w:tcPr>
          <w:p w:rsidR="009A0119" w:rsidRPr="001D6512" w:rsidRDefault="009A0119" w:rsidP="00C3606E">
            <w:pPr>
              <w:pStyle w:val="TableCell"/>
              <w:spacing w:before="60" w:after="60"/>
            </w:pPr>
            <w:r w:rsidRPr="001D6512">
              <w:t>36 to 40</w:t>
            </w:r>
          </w:p>
        </w:tc>
        <w:tc>
          <w:tcPr>
            <w:tcW w:w="810" w:type="dxa"/>
            <w:shd w:val="clear" w:color="auto" w:fill="BFBFBF"/>
            <w:textDirection w:val="btLr"/>
          </w:tcPr>
          <w:p w:rsidR="009A0119" w:rsidRPr="001D6512" w:rsidRDefault="009A0119" w:rsidP="00C3606E">
            <w:pPr>
              <w:pStyle w:val="TableCell"/>
              <w:spacing w:before="60" w:after="60"/>
            </w:pPr>
            <w:r w:rsidRPr="001D6512">
              <w:t>Over 40</w:t>
            </w:r>
          </w:p>
        </w:tc>
        <w:tc>
          <w:tcPr>
            <w:tcW w:w="0" w:type="auto"/>
            <w:vMerge/>
          </w:tcPr>
          <w:p w:rsidR="009A0119" w:rsidRPr="001D6512" w:rsidRDefault="009A0119" w:rsidP="00C3606E">
            <w:pPr>
              <w:pStyle w:val="TableCell"/>
              <w:spacing w:before="60" w:after="60"/>
            </w:pPr>
          </w:p>
        </w:tc>
      </w:tr>
      <w:tr w:rsidR="009A0119" w:rsidTr="006E0899">
        <w:trPr>
          <w:trHeight w:val="330"/>
          <w:jc w:val="center"/>
        </w:trPr>
        <w:tc>
          <w:tcPr>
            <w:tcW w:w="1963" w:type="dxa"/>
          </w:tcPr>
          <w:p w:rsidR="009A0119" w:rsidRPr="001D6512" w:rsidRDefault="009A0119" w:rsidP="00C3606E">
            <w:pPr>
              <w:pStyle w:val="TableCell"/>
              <w:spacing w:before="60" w:after="60"/>
            </w:pPr>
            <w:r w:rsidRPr="001D6512">
              <w:t>Room Air Conditioners</w:t>
            </w:r>
          </w:p>
        </w:tc>
        <w:tc>
          <w:tcPr>
            <w:tcW w:w="557" w:type="dxa"/>
            <w:noWrap/>
          </w:tcPr>
          <w:p w:rsidR="009A0119" w:rsidRPr="001D6512" w:rsidRDefault="009A0119" w:rsidP="00C3606E">
            <w:pPr>
              <w:pStyle w:val="TableCell"/>
              <w:spacing w:before="60" w:after="60"/>
            </w:pPr>
            <w:r w:rsidRPr="001D6512">
              <w:t>0%</w:t>
            </w:r>
          </w:p>
        </w:tc>
        <w:tc>
          <w:tcPr>
            <w:tcW w:w="630" w:type="dxa"/>
            <w:noWrap/>
          </w:tcPr>
          <w:p w:rsidR="009A0119" w:rsidRPr="001D6512" w:rsidRDefault="009A0119" w:rsidP="00C3606E">
            <w:pPr>
              <w:pStyle w:val="TableCell"/>
              <w:spacing w:before="60" w:after="60"/>
            </w:pPr>
            <w:r w:rsidRPr="001D6512">
              <w:t>5%</w:t>
            </w:r>
          </w:p>
        </w:tc>
        <w:tc>
          <w:tcPr>
            <w:tcW w:w="630" w:type="dxa"/>
            <w:noWrap/>
          </w:tcPr>
          <w:p w:rsidR="009A0119" w:rsidRPr="001D6512" w:rsidRDefault="009A0119" w:rsidP="00C3606E">
            <w:pPr>
              <w:pStyle w:val="TableCell"/>
              <w:spacing w:before="60" w:after="60"/>
            </w:pPr>
            <w:r w:rsidRPr="001D6512">
              <w:t>7%</w:t>
            </w:r>
          </w:p>
        </w:tc>
        <w:tc>
          <w:tcPr>
            <w:tcW w:w="630" w:type="dxa"/>
            <w:noWrap/>
          </w:tcPr>
          <w:p w:rsidR="009A0119" w:rsidRPr="001D6512" w:rsidRDefault="009A0119" w:rsidP="00C3606E">
            <w:pPr>
              <w:pStyle w:val="TableCell"/>
              <w:spacing w:before="60" w:after="60"/>
            </w:pPr>
            <w:r w:rsidRPr="001D6512">
              <w:t>18%</w:t>
            </w:r>
          </w:p>
        </w:tc>
        <w:tc>
          <w:tcPr>
            <w:tcW w:w="630" w:type="dxa"/>
            <w:noWrap/>
          </w:tcPr>
          <w:p w:rsidR="009A0119" w:rsidRPr="001D6512" w:rsidRDefault="009A0119" w:rsidP="00C3606E">
            <w:pPr>
              <w:pStyle w:val="TableCell"/>
              <w:spacing w:before="60" w:after="60"/>
            </w:pPr>
            <w:r w:rsidRPr="001D6512">
              <w:t>37%</w:t>
            </w:r>
          </w:p>
        </w:tc>
        <w:tc>
          <w:tcPr>
            <w:tcW w:w="630" w:type="dxa"/>
            <w:noWrap/>
          </w:tcPr>
          <w:p w:rsidR="009A0119" w:rsidRPr="001D6512" w:rsidRDefault="009A0119" w:rsidP="00C3606E">
            <w:pPr>
              <w:pStyle w:val="TableCell"/>
              <w:spacing w:before="60" w:after="60"/>
            </w:pPr>
            <w:r w:rsidRPr="001D6512">
              <w:t>18%</w:t>
            </w:r>
          </w:p>
        </w:tc>
        <w:tc>
          <w:tcPr>
            <w:tcW w:w="630" w:type="dxa"/>
            <w:noWrap/>
          </w:tcPr>
          <w:p w:rsidR="009A0119" w:rsidRPr="001D6512" w:rsidRDefault="009A0119" w:rsidP="00C3606E">
            <w:pPr>
              <w:pStyle w:val="TableCell"/>
              <w:spacing w:before="60" w:after="60"/>
            </w:pPr>
            <w:r w:rsidRPr="001D6512">
              <w:t>5%</w:t>
            </w:r>
          </w:p>
        </w:tc>
        <w:tc>
          <w:tcPr>
            <w:tcW w:w="630" w:type="dxa"/>
            <w:noWrap/>
          </w:tcPr>
          <w:p w:rsidR="009A0119" w:rsidRPr="001D6512" w:rsidRDefault="009A0119" w:rsidP="00C3606E">
            <w:pPr>
              <w:pStyle w:val="TableCell"/>
              <w:spacing w:before="60" w:after="60"/>
            </w:pPr>
            <w:r w:rsidRPr="001D6512">
              <w:t>6%</w:t>
            </w:r>
          </w:p>
        </w:tc>
        <w:tc>
          <w:tcPr>
            <w:tcW w:w="810" w:type="dxa"/>
            <w:noWrap/>
          </w:tcPr>
          <w:p w:rsidR="009A0119" w:rsidRPr="001D6512" w:rsidRDefault="009A0119" w:rsidP="00C3606E">
            <w:pPr>
              <w:pStyle w:val="TableCell"/>
              <w:spacing w:before="60" w:after="60"/>
            </w:pPr>
            <w:r w:rsidRPr="001D6512">
              <w:t>5%</w:t>
            </w:r>
          </w:p>
        </w:tc>
        <w:tc>
          <w:tcPr>
            <w:tcW w:w="720" w:type="dxa"/>
          </w:tcPr>
          <w:p w:rsidR="009A0119" w:rsidRPr="001D6512" w:rsidRDefault="009A0119" w:rsidP="00C3606E">
            <w:pPr>
              <w:pStyle w:val="TableCell"/>
              <w:spacing w:before="60" w:after="60"/>
            </w:pPr>
            <w:r w:rsidRPr="001D6512">
              <w:t>—</w:t>
            </w:r>
          </w:p>
        </w:tc>
      </w:tr>
    </w:tbl>
    <w:p w:rsidR="000367BF" w:rsidRDefault="000367BF" w:rsidP="00C3606E">
      <w:pPr>
        <w:keepNext/>
        <w:keepLines/>
      </w:pPr>
    </w:p>
    <w:p w:rsidR="005F63C6" w:rsidRPr="00BC5194" w:rsidRDefault="009A0119" w:rsidP="00100EDF">
      <w:pPr>
        <w:rPr>
          <w:b/>
        </w:rPr>
      </w:pPr>
      <w:r w:rsidRPr="00BC5194">
        <w:rPr>
          <w:b/>
        </w:rPr>
        <w:t>Source</w:t>
      </w:r>
      <w:r w:rsidR="005F63C6" w:rsidRPr="00BC5194">
        <w:rPr>
          <w:b/>
        </w:rPr>
        <w:t>s</w:t>
      </w:r>
      <w:r w:rsidRPr="00BC5194">
        <w:rPr>
          <w:b/>
        </w:rPr>
        <w:t>:</w:t>
      </w:r>
    </w:p>
    <w:p w:rsidR="009A0119" w:rsidRPr="0095751F" w:rsidRDefault="009A0119" w:rsidP="0005632A">
      <w:pPr>
        <w:pStyle w:val="source1"/>
        <w:numPr>
          <w:ilvl w:val="0"/>
          <w:numId w:val="57"/>
        </w:numPr>
      </w:pPr>
      <w:r w:rsidRPr="001E2316">
        <w:lastRenderedPageBreak/>
        <w:t>Navigant Consulting evaluation of ComEd appliance recycling program.</w:t>
      </w:r>
    </w:p>
    <w:p w:rsidR="000367BF" w:rsidRDefault="000367BF" w:rsidP="00E568D4">
      <w:pPr>
        <w:pStyle w:val="Heading2"/>
      </w:pPr>
      <w:r>
        <w:br w:type="page"/>
      </w:r>
      <w:bookmarkStart w:id="331" w:name="_Toc310875412"/>
      <w:r>
        <w:lastRenderedPageBreak/>
        <w:t>Smart Strip Plug Outlets</w:t>
      </w:r>
      <w:bookmarkEnd w:id="331"/>
    </w:p>
    <w:tbl>
      <w:tblPr>
        <w:tblW w:w="864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0A0" w:firstRow="1" w:lastRow="0" w:firstColumn="1" w:lastColumn="0" w:noHBand="0" w:noVBand="0"/>
      </w:tblPr>
      <w:tblGrid>
        <w:gridCol w:w="4428"/>
        <w:gridCol w:w="4212"/>
      </w:tblGrid>
      <w:tr w:rsidR="000367BF" w:rsidRPr="00AA4BB4" w:rsidTr="00F84A22">
        <w:tc>
          <w:tcPr>
            <w:tcW w:w="4428" w:type="dxa"/>
            <w:tcBorders>
              <w:top w:val="single" w:sz="8" w:space="0" w:color="404040"/>
              <w:left w:val="single" w:sz="8" w:space="0" w:color="404040"/>
              <w:bottom w:val="single" w:sz="8" w:space="0" w:color="404040"/>
              <w:right w:val="single" w:sz="8" w:space="0" w:color="404040"/>
            </w:tcBorders>
            <w:shd w:val="clear" w:color="auto" w:fill="BFBFBF"/>
          </w:tcPr>
          <w:p w:rsidR="000367BF" w:rsidRPr="001D6512" w:rsidRDefault="000367BF" w:rsidP="00F84A22">
            <w:pPr>
              <w:pStyle w:val="TableCell"/>
              <w:spacing w:before="60" w:after="60"/>
              <w:rPr>
                <w:b/>
                <w:bCs/>
              </w:rPr>
            </w:pPr>
            <w:r w:rsidRPr="001D6512">
              <w:rPr>
                <w:b/>
                <w:bCs/>
              </w:rPr>
              <w:t>Measure Name</w:t>
            </w:r>
          </w:p>
        </w:tc>
        <w:tc>
          <w:tcPr>
            <w:tcW w:w="4212" w:type="dxa"/>
            <w:tcBorders>
              <w:top w:val="single" w:sz="8" w:space="0" w:color="404040"/>
              <w:left w:val="single" w:sz="8" w:space="0" w:color="404040"/>
              <w:bottom w:val="single" w:sz="8" w:space="0" w:color="404040"/>
              <w:right w:val="single" w:sz="8" w:space="0" w:color="404040"/>
            </w:tcBorders>
            <w:shd w:val="clear" w:color="auto" w:fill="BFBFBF"/>
          </w:tcPr>
          <w:p w:rsidR="000367BF" w:rsidRPr="001D6512" w:rsidRDefault="000367BF" w:rsidP="00F84A22">
            <w:pPr>
              <w:pStyle w:val="TableCell"/>
              <w:spacing w:before="60" w:after="60"/>
              <w:rPr>
                <w:b/>
                <w:bCs/>
              </w:rPr>
            </w:pPr>
            <w:r w:rsidRPr="001D6512">
              <w:rPr>
                <w:b/>
                <w:bCs/>
              </w:rPr>
              <w:t>Smart Strip Plug Outlets</w:t>
            </w:r>
          </w:p>
        </w:tc>
      </w:tr>
      <w:tr w:rsidR="000367BF" w:rsidRPr="00AA4BB4" w:rsidTr="00F84A22">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0367BF" w:rsidRPr="00865117" w:rsidRDefault="000367BF" w:rsidP="00F84A22">
            <w:pPr>
              <w:pStyle w:val="TableCell"/>
              <w:spacing w:before="60" w:after="60"/>
              <w:rPr>
                <w:b/>
                <w:bCs/>
                <w:color w:val="000000"/>
              </w:rPr>
            </w:pPr>
            <w:r w:rsidRPr="00865117">
              <w:rPr>
                <w:b/>
                <w:bCs/>
                <w:color w:val="000000"/>
              </w:rPr>
              <w:t>Target Sector</w:t>
            </w:r>
          </w:p>
        </w:tc>
        <w:tc>
          <w:tcPr>
            <w:tcW w:w="4212" w:type="dxa"/>
            <w:tcBorders>
              <w:top w:val="single" w:sz="8" w:space="0" w:color="404040"/>
              <w:left w:val="single" w:sz="8" w:space="0" w:color="404040"/>
              <w:bottom w:val="single" w:sz="8" w:space="0" w:color="404040"/>
              <w:right w:val="single" w:sz="8" w:space="0" w:color="404040"/>
            </w:tcBorders>
            <w:shd w:val="clear" w:color="auto" w:fill="FFFFFF"/>
          </w:tcPr>
          <w:p w:rsidR="000367BF" w:rsidRPr="001D6512" w:rsidRDefault="000367BF" w:rsidP="00F84A22">
            <w:pPr>
              <w:pStyle w:val="TableCell"/>
              <w:spacing w:before="60" w:after="60"/>
              <w:rPr>
                <w:color w:val="000000"/>
              </w:rPr>
            </w:pPr>
            <w:r w:rsidRPr="001D6512">
              <w:rPr>
                <w:color w:val="000000"/>
              </w:rPr>
              <w:t xml:space="preserve">Residential </w:t>
            </w:r>
          </w:p>
        </w:tc>
      </w:tr>
      <w:tr w:rsidR="000367BF" w:rsidRPr="00AA4BB4" w:rsidTr="00F84A22">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0367BF" w:rsidRPr="00865117" w:rsidRDefault="000367BF" w:rsidP="00F84A22">
            <w:pPr>
              <w:pStyle w:val="TableCell"/>
              <w:spacing w:before="60" w:after="60"/>
              <w:rPr>
                <w:b/>
                <w:bCs/>
                <w:color w:val="000000"/>
              </w:rPr>
            </w:pPr>
            <w:r w:rsidRPr="00865117">
              <w:rPr>
                <w:b/>
                <w:bCs/>
                <w:color w:val="000000"/>
              </w:rPr>
              <w:t>Measure Unit</w:t>
            </w:r>
          </w:p>
        </w:tc>
        <w:tc>
          <w:tcPr>
            <w:tcW w:w="4212" w:type="dxa"/>
            <w:tcBorders>
              <w:top w:val="single" w:sz="8" w:space="0" w:color="404040"/>
              <w:left w:val="single" w:sz="8" w:space="0" w:color="404040"/>
              <w:bottom w:val="single" w:sz="8" w:space="0" w:color="404040"/>
              <w:right w:val="single" w:sz="8" w:space="0" w:color="404040"/>
            </w:tcBorders>
            <w:shd w:val="clear" w:color="auto" w:fill="FFFFFF"/>
          </w:tcPr>
          <w:p w:rsidR="000367BF" w:rsidRPr="001D6512" w:rsidRDefault="000367BF" w:rsidP="00F84A22">
            <w:pPr>
              <w:pStyle w:val="TableCell"/>
              <w:spacing w:before="60" w:after="60"/>
              <w:rPr>
                <w:color w:val="000000"/>
              </w:rPr>
            </w:pPr>
            <w:r w:rsidRPr="001D6512">
              <w:rPr>
                <w:color w:val="000000"/>
              </w:rPr>
              <w:t>Per Smart Strip</w:t>
            </w:r>
          </w:p>
        </w:tc>
      </w:tr>
      <w:tr w:rsidR="000367BF" w:rsidRPr="00AA4BB4" w:rsidTr="00F84A22">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0367BF" w:rsidRPr="00865117" w:rsidRDefault="000367BF" w:rsidP="00F84A22">
            <w:pPr>
              <w:pStyle w:val="TableCell"/>
              <w:spacing w:before="60" w:after="60"/>
              <w:rPr>
                <w:b/>
                <w:bCs/>
                <w:color w:val="000000"/>
              </w:rPr>
            </w:pPr>
            <w:r w:rsidRPr="00865117">
              <w:rPr>
                <w:b/>
                <w:bCs/>
                <w:color w:val="000000"/>
              </w:rPr>
              <w:t>Unit Energy Savings</w:t>
            </w:r>
          </w:p>
        </w:tc>
        <w:tc>
          <w:tcPr>
            <w:tcW w:w="4212" w:type="dxa"/>
            <w:tcBorders>
              <w:top w:val="single" w:sz="8" w:space="0" w:color="404040"/>
              <w:left w:val="single" w:sz="8" w:space="0" w:color="404040"/>
              <w:bottom w:val="single" w:sz="8" w:space="0" w:color="404040"/>
              <w:right w:val="single" w:sz="8" w:space="0" w:color="404040"/>
            </w:tcBorders>
            <w:shd w:val="clear" w:color="auto" w:fill="FFFFFF"/>
          </w:tcPr>
          <w:p w:rsidR="000367BF" w:rsidRPr="001D6512" w:rsidRDefault="000367BF" w:rsidP="00F84A22">
            <w:pPr>
              <w:pStyle w:val="TableCell"/>
              <w:spacing w:before="60" w:after="60"/>
              <w:rPr>
                <w:color w:val="000000"/>
              </w:rPr>
            </w:pPr>
            <w:r w:rsidRPr="001D6512">
              <w:rPr>
                <w:color w:val="000000"/>
              </w:rPr>
              <w:t>184 kWh</w:t>
            </w:r>
          </w:p>
        </w:tc>
      </w:tr>
      <w:tr w:rsidR="000367BF" w:rsidRPr="00AA4BB4" w:rsidTr="00F84A22">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0367BF" w:rsidRPr="00865117" w:rsidRDefault="000367BF" w:rsidP="00F84A22">
            <w:pPr>
              <w:pStyle w:val="TableCell"/>
              <w:spacing w:before="60" w:after="60"/>
              <w:rPr>
                <w:b/>
                <w:bCs/>
                <w:color w:val="000000"/>
              </w:rPr>
            </w:pPr>
            <w:r w:rsidRPr="00865117">
              <w:rPr>
                <w:b/>
                <w:bCs/>
                <w:color w:val="000000"/>
              </w:rPr>
              <w:t>Unit Peak Demand Reduction</w:t>
            </w:r>
          </w:p>
        </w:tc>
        <w:tc>
          <w:tcPr>
            <w:tcW w:w="4212" w:type="dxa"/>
            <w:tcBorders>
              <w:top w:val="single" w:sz="8" w:space="0" w:color="404040"/>
              <w:left w:val="single" w:sz="8" w:space="0" w:color="404040"/>
              <w:bottom w:val="single" w:sz="8" w:space="0" w:color="404040"/>
              <w:right w:val="single" w:sz="8" w:space="0" w:color="404040"/>
            </w:tcBorders>
            <w:shd w:val="clear" w:color="auto" w:fill="FFFFFF"/>
          </w:tcPr>
          <w:p w:rsidR="000367BF" w:rsidRPr="001D6512" w:rsidRDefault="000367BF" w:rsidP="00F84A22">
            <w:pPr>
              <w:pStyle w:val="TableCell"/>
              <w:spacing w:before="60" w:after="60"/>
              <w:rPr>
                <w:color w:val="000000"/>
              </w:rPr>
            </w:pPr>
            <w:r w:rsidRPr="001D6512">
              <w:rPr>
                <w:color w:val="000000"/>
              </w:rPr>
              <w:t>0.013 kW</w:t>
            </w:r>
          </w:p>
        </w:tc>
      </w:tr>
      <w:tr w:rsidR="000367BF" w:rsidRPr="00AA4BB4" w:rsidTr="00F84A22">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0367BF" w:rsidRPr="00865117" w:rsidRDefault="000367BF" w:rsidP="00F84A22">
            <w:pPr>
              <w:pStyle w:val="TableCell"/>
              <w:spacing w:before="60" w:after="60"/>
              <w:rPr>
                <w:b/>
                <w:bCs/>
                <w:color w:val="000000"/>
              </w:rPr>
            </w:pPr>
            <w:r w:rsidRPr="00865117">
              <w:rPr>
                <w:b/>
                <w:bCs/>
                <w:color w:val="000000"/>
              </w:rPr>
              <w:t>Measure Life</w:t>
            </w:r>
          </w:p>
        </w:tc>
        <w:tc>
          <w:tcPr>
            <w:tcW w:w="4212" w:type="dxa"/>
            <w:tcBorders>
              <w:top w:val="single" w:sz="8" w:space="0" w:color="404040"/>
              <w:left w:val="single" w:sz="8" w:space="0" w:color="404040"/>
              <w:bottom w:val="single" w:sz="8" w:space="0" w:color="404040"/>
              <w:right w:val="single" w:sz="8" w:space="0" w:color="404040"/>
            </w:tcBorders>
            <w:shd w:val="clear" w:color="auto" w:fill="FFFFFF"/>
          </w:tcPr>
          <w:p w:rsidR="000367BF" w:rsidRPr="001D6512" w:rsidRDefault="000367BF" w:rsidP="00F84A22">
            <w:pPr>
              <w:pStyle w:val="TableCell"/>
              <w:spacing w:before="60" w:after="60"/>
              <w:rPr>
                <w:color w:val="000000"/>
              </w:rPr>
            </w:pPr>
            <w:r w:rsidRPr="001D6512">
              <w:rPr>
                <w:color w:val="000000"/>
              </w:rPr>
              <w:t>5 years</w:t>
            </w:r>
          </w:p>
        </w:tc>
      </w:tr>
    </w:tbl>
    <w:p w:rsidR="00510F5C" w:rsidRDefault="00510F5C" w:rsidP="000367BF">
      <w:pPr>
        <w:pStyle w:val="BodyText"/>
      </w:pPr>
    </w:p>
    <w:p w:rsidR="000367BF" w:rsidRPr="005F63C6" w:rsidRDefault="000367BF" w:rsidP="000367BF">
      <w:pPr>
        <w:pStyle w:val="BodyText"/>
      </w:pPr>
      <w:r w:rsidRPr="006D4806">
        <w:t xml:space="preserve">Smart Strips are power strips that contain a number of controlled sockets </w:t>
      </w:r>
      <w:r>
        <w:t>with</w:t>
      </w:r>
      <w:r w:rsidRPr="006D4806">
        <w:t xml:space="preserve"> at least one uncontrolled socket.  When the appliance that is plugged into the uncontrolled socket is turned off, the power strips </w:t>
      </w:r>
      <w:r>
        <w:t xml:space="preserve">then </w:t>
      </w:r>
      <w:r w:rsidRPr="006D4806">
        <w:t xml:space="preserve">shuts off the </w:t>
      </w:r>
      <w:r>
        <w:t>items</w:t>
      </w:r>
      <w:r w:rsidRPr="006D4806">
        <w:t xml:space="preserve"> plugge</w:t>
      </w:r>
      <w:r>
        <w:t xml:space="preserve">d into the controlled sockets. </w:t>
      </w:r>
    </w:p>
    <w:p w:rsidR="000367BF" w:rsidRPr="00605BAF" w:rsidRDefault="00510F5C" w:rsidP="00871FA2">
      <w:pPr>
        <w:pStyle w:val="Heading3"/>
      </w:pPr>
      <w:r>
        <w:t>Eligibility</w:t>
      </w:r>
    </w:p>
    <w:p w:rsidR="000367BF" w:rsidRPr="008C6005" w:rsidRDefault="000367BF" w:rsidP="000367BF">
      <w:pPr>
        <w:pStyle w:val="BodyText"/>
      </w:pPr>
      <w:r w:rsidRPr="008C6005">
        <w:t xml:space="preserve">This </w:t>
      </w:r>
      <w:r w:rsidR="00473894">
        <w:t>protocol</w:t>
      </w:r>
      <w:r w:rsidRPr="008C6005">
        <w:t xml:space="preserve"> documents the energy savings attributed to the installation of smart strip plugs. The most likely area of application is within residential spaces, i.e. single family and multifamily homes.</w:t>
      </w:r>
      <w:r>
        <w:t xml:space="preserve"> The two areas of usage considered are home computer systems and home entertainment systems.  It is expected that approximately four items will be plugged into each power strip. </w:t>
      </w:r>
    </w:p>
    <w:p w:rsidR="000367BF" w:rsidRDefault="00510F5C" w:rsidP="00871FA2">
      <w:pPr>
        <w:pStyle w:val="Heading3"/>
      </w:pPr>
      <w:r>
        <w:t>Algorithms</w:t>
      </w:r>
    </w:p>
    <w:p w:rsidR="00003E67" w:rsidRPr="00E8678C" w:rsidRDefault="000367BF" w:rsidP="00003E67">
      <w:pPr>
        <w:pStyle w:val="BodyText"/>
        <w:rPr>
          <w:rFonts w:cs="Arial"/>
        </w:rPr>
      </w:pPr>
      <w:r w:rsidRPr="001912F1">
        <w:t xml:space="preserve">The DSMore Michigan Database of Energy Efficiency Measures performed engineering calculations </w:t>
      </w:r>
      <w:r w:rsidRPr="00E8678C">
        <w:rPr>
          <w:rFonts w:cs="Arial"/>
        </w:rPr>
        <w:t>using standard standby equipment wattages for typical computer and TV systems and idle times. The energy savings and demand reduction were obtained through the following calculations:</w:t>
      </w:r>
    </w:p>
    <w:p w:rsidR="000367BF" w:rsidRPr="003C7C58" w:rsidRDefault="003C7C58" w:rsidP="00003E67">
      <w:pPr>
        <w:pStyle w:val="Equation"/>
        <w:tabs>
          <w:tab w:val="left" w:pos="6480"/>
        </w:tabs>
        <w:ind w:left="0" w:firstLine="0"/>
        <w:rPr>
          <w:rFonts w:cs="Arial"/>
        </w:rPr>
      </w:pPr>
      <m:oMathPara>
        <m:oMathParaPr>
          <m:jc m:val="left"/>
        </m:oMathParaPr>
        <m:oMath>
          <m:r>
            <m:rPr>
              <m:nor/>
            </m:rPr>
            <w:rPr>
              <w:rFonts w:cs="Arial"/>
            </w:rPr>
            <w:sym w:font="Symbol" w:char="F044"/>
          </m:r>
          <m:r>
            <m:rPr>
              <m:nor/>
            </m:rPr>
            <w:rPr>
              <w:rFonts w:cs="Arial"/>
            </w:rPr>
            <m:t>kWh                                              =</m:t>
          </m:r>
          <m:r>
            <m:rPr>
              <m:nor/>
            </m:rPr>
            <w:rPr>
              <w:rFonts w:ascii="Cambria Math" w:cs="Arial"/>
            </w:rPr>
            <m:t xml:space="preserve"> </m:t>
          </m:r>
          <m:f>
            <m:fPr>
              <m:ctrlPr>
                <w:rPr>
                  <w:rFonts w:ascii="Cambria Math" w:hAnsi="Cambria Math" w:cs="Arial"/>
                </w:rPr>
              </m:ctrlPr>
            </m:fPr>
            <m:num>
              <m:r>
                <m:rPr>
                  <m:nor/>
                </m:rPr>
                <w:rPr>
                  <w:rFonts w:cs="Arial"/>
                </w:rPr>
                <m:t>(</m:t>
              </m:r>
              <m:sSub>
                <m:sSubPr>
                  <m:ctrlPr>
                    <w:rPr>
                      <w:rFonts w:ascii="Cambria Math" w:hAnsi="Cambria Math" w:cs="Arial"/>
                    </w:rPr>
                  </m:ctrlPr>
                </m:sSubPr>
                <m:e>
                  <m:r>
                    <m:rPr>
                      <m:nor/>
                    </m:rPr>
                    <w:rPr>
                      <w:rFonts w:cs="Arial"/>
                    </w:rPr>
                    <m:t>kW</m:t>
                  </m:r>
                </m:e>
                <m:sub>
                  <m:r>
                    <m:rPr>
                      <m:nor/>
                    </m:rPr>
                    <w:rPr>
                      <w:rFonts w:cs="Arial"/>
                    </w:rPr>
                    <m:t>comp</m:t>
                  </m:r>
                </m:sub>
              </m:sSub>
              <m:r>
                <m:rPr>
                  <m:nor/>
                </m:rPr>
                <w:rPr>
                  <w:rFonts w:cs="Arial"/>
                </w:rPr>
                <m:t>×</m:t>
              </m:r>
              <m:sSub>
                <m:sSubPr>
                  <m:ctrlPr>
                    <w:rPr>
                      <w:rFonts w:ascii="Cambria Math" w:hAnsi="Cambria Math" w:cs="Arial"/>
                    </w:rPr>
                  </m:ctrlPr>
                </m:sSubPr>
                <m:e>
                  <m:r>
                    <m:rPr>
                      <m:nor/>
                    </m:rPr>
                    <w:rPr>
                      <w:rFonts w:cs="Arial"/>
                    </w:rPr>
                    <m:t>Hr</m:t>
                  </m:r>
                </m:e>
                <m:sub>
                  <m:r>
                    <m:rPr>
                      <m:nor/>
                    </m:rPr>
                    <w:rPr>
                      <w:rFonts w:cs="Arial"/>
                    </w:rPr>
                    <m:t>comp</m:t>
                  </m:r>
                </m:sub>
              </m:sSub>
              <m:r>
                <m:rPr>
                  <m:nor/>
                </m:rPr>
                <w:rPr>
                  <w:rFonts w:cs="Arial"/>
                </w:rPr>
                <m:t>)+(</m:t>
              </m:r>
              <m:sSub>
                <m:sSubPr>
                  <m:ctrlPr>
                    <w:rPr>
                      <w:rFonts w:ascii="Cambria Math" w:hAnsi="Cambria Math" w:cs="Arial"/>
                    </w:rPr>
                  </m:ctrlPr>
                </m:sSubPr>
                <m:e>
                  <m:r>
                    <m:rPr>
                      <m:nor/>
                    </m:rPr>
                    <w:rPr>
                      <w:rFonts w:cs="Arial"/>
                    </w:rPr>
                    <m:t>kW</m:t>
                  </m:r>
                </m:e>
                <m:sub>
                  <m:r>
                    <m:rPr>
                      <m:nor/>
                    </m:rPr>
                    <w:rPr>
                      <w:rFonts w:cs="Arial"/>
                    </w:rPr>
                    <m:t>TV</m:t>
                  </m:r>
                </m:sub>
              </m:sSub>
              <m:r>
                <m:rPr>
                  <m:nor/>
                </m:rPr>
                <w:rPr>
                  <w:rFonts w:cs="Arial"/>
                </w:rPr>
                <m:t>×</m:t>
              </m:r>
              <m:sSub>
                <m:sSubPr>
                  <m:ctrlPr>
                    <w:rPr>
                      <w:rFonts w:ascii="Cambria Math" w:hAnsi="Cambria Math" w:cs="Arial"/>
                    </w:rPr>
                  </m:ctrlPr>
                </m:sSubPr>
                <m:e>
                  <m:r>
                    <m:rPr>
                      <m:nor/>
                    </m:rPr>
                    <w:rPr>
                      <w:rFonts w:cs="Arial"/>
                    </w:rPr>
                    <m:t>Hr</m:t>
                  </m:r>
                </m:e>
                <m:sub>
                  <m:r>
                    <m:rPr>
                      <m:nor/>
                    </m:rPr>
                    <w:rPr>
                      <w:rFonts w:cs="Arial"/>
                    </w:rPr>
                    <m:t>Tv</m:t>
                  </m:r>
                </m:sub>
              </m:sSub>
              <m:r>
                <m:rPr>
                  <m:nor/>
                </m:rPr>
                <w:rPr>
                  <w:rFonts w:cs="Arial"/>
                </w:rPr>
                <m:t>)</m:t>
              </m:r>
            </m:num>
            <m:den>
              <m:r>
                <m:rPr>
                  <m:nor/>
                </m:rPr>
                <w:rPr>
                  <w:rFonts w:cs="Arial"/>
                </w:rPr>
                <m:t>2</m:t>
              </m:r>
            </m:den>
          </m:f>
          <m:r>
            <m:rPr>
              <m:nor/>
            </m:rPr>
            <w:rPr>
              <w:rFonts w:cs="Arial"/>
            </w:rPr>
            <m:t>×365    =184 kWh</m:t>
          </m:r>
        </m:oMath>
      </m:oMathPara>
    </w:p>
    <w:p w:rsidR="000367BF" w:rsidRPr="003C7C58" w:rsidRDefault="003C7C58" w:rsidP="00003E67">
      <w:pPr>
        <w:pStyle w:val="Equation"/>
        <w:ind w:left="0" w:firstLine="0"/>
        <w:rPr>
          <w:rFonts w:cs="Arial"/>
          <w:i w:val="0"/>
        </w:rPr>
      </w:pPr>
      <m:oMathPara>
        <m:oMathParaPr>
          <m:jc m:val="left"/>
        </m:oMathParaPr>
        <m:oMath>
          <m:r>
            <m:rPr>
              <m:nor/>
            </m:rPr>
            <w:rPr>
              <w:rFonts w:cs="Arial"/>
            </w:rPr>
            <w:sym w:font="Symbol" w:char="F044"/>
          </m:r>
          <m:r>
            <m:rPr>
              <m:nor/>
            </m:rPr>
            <w:rPr>
              <w:rFonts w:cs="Arial"/>
            </w:rPr>
            <m:t>kW</m:t>
          </m:r>
          <m:r>
            <m:rPr>
              <m:nor/>
            </m:rPr>
            <w:rPr>
              <w:rFonts w:cs="Arial"/>
              <w:vertAlign w:val="subscript"/>
            </w:rPr>
            <m:t xml:space="preserve">peak </m:t>
          </m:r>
          <m:r>
            <m:rPr>
              <m:nor/>
            </m:rPr>
            <w:rPr>
              <w:rFonts w:cs="Arial"/>
            </w:rPr>
            <m:t xml:space="preserve">                                          = </m:t>
          </m:r>
          <m:f>
            <m:fPr>
              <m:ctrlPr>
                <w:rPr>
                  <w:rFonts w:ascii="Cambria Math" w:hAnsi="Cambria Math" w:cs="Arial"/>
                </w:rPr>
              </m:ctrlPr>
            </m:fPr>
            <m:num>
              <m:r>
                <m:rPr>
                  <m:nor/>
                </m:rPr>
                <w:rPr>
                  <w:rFonts w:cs="Arial"/>
                </w:rPr>
                <m:t>CF×(</m:t>
              </m:r>
              <m:sSub>
                <m:sSubPr>
                  <m:ctrlPr>
                    <w:rPr>
                      <w:rFonts w:ascii="Cambria Math" w:hAnsi="Cambria Math" w:cs="Arial"/>
                    </w:rPr>
                  </m:ctrlPr>
                </m:sSubPr>
                <m:e>
                  <m:r>
                    <m:rPr>
                      <m:nor/>
                    </m:rPr>
                    <w:rPr>
                      <w:rFonts w:cs="Arial"/>
                    </w:rPr>
                    <m:t>kW</m:t>
                  </m:r>
                </m:e>
                <m:sub>
                  <m:r>
                    <m:rPr>
                      <m:nor/>
                    </m:rPr>
                    <w:rPr>
                      <w:rFonts w:cs="Arial"/>
                    </w:rPr>
                    <m:t>comp</m:t>
                  </m:r>
                </m:sub>
              </m:sSub>
              <m:r>
                <m:rPr>
                  <m:nor/>
                </m:rPr>
                <w:rPr>
                  <w:rFonts w:cs="Arial"/>
                </w:rPr>
                <m:t>+</m:t>
              </m:r>
              <m:sSub>
                <m:sSubPr>
                  <m:ctrlPr>
                    <w:rPr>
                      <w:rFonts w:ascii="Cambria Math" w:hAnsi="Cambria Math" w:cs="Arial"/>
                    </w:rPr>
                  </m:ctrlPr>
                </m:sSubPr>
                <m:e>
                  <m:r>
                    <m:rPr>
                      <m:nor/>
                    </m:rPr>
                    <w:rPr>
                      <w:rFonts w:cs="Arial"/>
                    </w:rPr>
                    <m:t>kW</m:t>
                  </m:r>
                </m:e>
                <m:sub>
                  <m:r>
                    <m:rPr>
                      <m:nor/>
                    </m:rPr>
                    <w:rPr>
                      <w:rFonts w:cs="Arial"/>
                    </w:rPr>
                    <m:t>TV</m:t>
                  </m:r>
                </m:sub>
              </m:sSub>
              <m:r>
                <m:rPr>
                  <m:nor/>
                </m:rPr>
                <w:rPr>
                  <w:rFonts w:cs="Arial"/>
                </w:rPr>
                <m:t>)</m:t>
              </m:r>
            </m:num>
            <m:den>
              <m:r>
                <m:rPr>
                  <m:nor/>
                </m:rPr>
                <w:rPr>
                  <w:rFonts w:cs="Arial"/>
                </w:rPr>
                <m:t>2</m:t>
              </m:r>
            </m:den>
          </m:f>
          <m:r>
            <m:rPr>
              <m:nor/>
            </m:rPr>
            <w:rPr>
              <w:rFonts w:cs="Arial"/>
            </w:rPr>
            <m:t xml:space="preserve">                        </m:t>
          </m:r>
          <m:r>
            <m:rPr>
              <m:nor/>
            </m:rPr>
            <w:rPr>
              <w:rFonts w:ascii="Cambria Math" w:cs="Arial"/>
            </w:rPr>
            <m:t xml:space="preserve"> </m:t>
          </m:r>
          <m:r>
            <m:rPr>
              <m:nor/>
            </m:rPr>
            <w:rPr>
              <w:rFonts w:cs="Arial"/>
            </w:rPr>
            <m:t xml:space="preserve">   =0.013 kW</m:t>
          </m:r>
        </m:oMath>
      </m:oMathPara>
    </w:p>
    <w:p w:rsidR="000367BF" w:rsidRPr="00E8678C" w:rsidRDefault="000367BF" w:rsidP="00871FA2">
      <w:pPr>
        <w:pStyle w:val="Heading3"/>
      </w:pPr>
      <w:r w:rsidRPr="00E8678C">
        <w:lastRenderedPageBreak/>
        <w:t xml:space="preserve">Definition of </w:t>
      </w:r>
      <w:r w:rsidR="00510F5C" w:rsidRPr="00E8678C">
        <w:t>Terms</w:t>
      </w:r>
    </w:p>
    <w:p w:rsidR="000367BF" w:rsidRPr="001912F1" w:rsidRDefault="000367BF" w:rsidP="008075FC">
      <w:pPr>
        <w:pStyle w:val="BodyText"/>
        <w:keepNext/>
      </w:pPr>
      <w:r w:rsidRPr="001912F1">
        <w:t xml:space="preserve">The parameters in the above equation are listed in </w:t>
      </w:r>
      <w:r w:rsidR="007A1FB6">
        <w:fldChar w:fldCharType="begin"/>
      </w:r>
      <w:r w:rsidR="00081415">
        <w:instrText xml:space="preserve"> REF _Ref274917712 \h </w:instrText>
      </w:r>
      <w:r w:rsidR="007A1FB6">
        <w:fldChar w:fldCharType="separate"/>
      </w:r>
      <w:r w:rsidR="00C0292F">
        <w:t xml:space="preserve">Table </w:t>
      </w:r>
      <w:r w:rsidR="00C0292F">
        <w:rPr>
          <w:noProof/>
        </w:rPr>
        <w:t>2</w:t>
      </w:r>
      <w:r w:rsidR="00C0292F">
        <w:noBreakHyphen/>
      </w:r>
      <w:r w:rsidR="00C0292F">
        <w:rPr>
          <w:noProof/>
        </w:rPr>
        <w:t>21</w:t>
      </w:r>
      <w:r w:rsidR="007A1FB6">
        <w:fldChar w:fldCharType="end"/>
      </w:r>
      <w:r w:rsidR="00BE0D4B">
        <w:t>.</w:t>
      </w:r>
    </w:p>
    <w:p w:rsidR="006F48B1" w:rsidRDefault="006F48B1" w:rsidP="008075FC">
      <w:pPr>
        <w:pStyle w:val="Caption"/>
      </w:pPr>
      <w:bookmarkStart w:id="332" w:name="_Ref274917712"/>
      <w:bookmarkStart w:id="333" w:name="_Toc310875507"/>
      <w:r>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21</w:t>
      </w:r>
      <w:r w:rsidR="00274AB1">
        <w:rPr>
          <w:noProof/>
        </w:rPr>
        <w:fldChar w:fldCharType="end"/>
      </w:r>
      <w:bookmarkEnd w:id="332"/>
      <w:r>
        <w:t xml:space="preserve">: </w:t>
      </w:r>
      <w:r w:rsidR="00940A5E">
        <w:t xml:space="preserve">Smart Strip Plug Outlet </w:t>
      </w:r>
      <w:r w:rsidRPr="00F55FC0">
        <w:t>Calculation Assumptions</w:t>
      </w:r>
      <w:bookmarkEnd w:id="333"/>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0"/>
        <w:gridCol w:w="4050"/>
        <w:gridCol w:w="900"/>
        <w:gridCol w:w="1350"/>
        <w:gridCol w:w="1080"/>
      </w:tblGrid>
      <w:tr w:rsidR="000367BF" w:rsidRPr="001912F1" w:rsidTr="006E0899">
        <w:trPr>
          <w:jc w:val="center"/>
        </w:trPr>
        <w:tc>
          <w:tcPr>
            <w:tcW w:w="1260" w:type="dxa"/>
            <w:shd w:val="clear" w:color="auto" w:fill="BFBFBF"/>
          </w:tcPr>
          <w:p w:rsidR="000367BF" w:rsidRPr="001D6512" w:rsidRDefault="000367BF" w:rsidP="008075FC">
            <w:pPr>
              <w:pStyle w:val="TableCell"/>
              <w:spacing w:before="60" w:after="60"/>
              <w:rPr>
                <w:b/>
              </w:rPr>
            </w:pPr>
            <w:r w:rsidRPr="001D6512">
              <w:rPr>
                <w:b/>
              </w:rPr>
              <w:t>Parameter</w:t>
            </w:r>
          </w:p>
        </w:tc>
        <w:tc>
          <w:tcPr>
            <w:tcW w:w="4050" w:type="dxa"/>
            <w:shd w:val="clear" w:color="auto" w:fill="BFBFBF"/>
          </w:tcPr>
          <w:p w:rsidR="000367BF" w:rsidRPr="001D6512" w:rsidRDefault="000367BF" w:rsidP="008075FC">
            <w:pPr>
              <w:pStyle w:val="TableCell"/>
              <w:spacing w:before="60" w:after="60"/>
              <w:rPr>
                <w:b/>
              </w:rPr>
            </w:pPr>
            <w:r w:rsidRPr="001D6512">
              <w:rPr>
                <w:b/>
              </w:rPr>
              <w:t>Component</w:t>
            </w:r>
          </w:p>
        </w:tc>
        <w:tc>
          <w:tcPr>
            <w:tcW w:w="900" w:type="dxa"/>
            <w:shd w:val="clear" w:color="auto" w:fill="BFBFBF"/>
          </w:tcPr>
          <w:p w:rsidR="000367BF" w:rsidRPr="001D6512" w:rsidRDefault="000367BF" w:rsidP="008075FC">
            <w:pPr>
              <w:pStyle w:val="TableCell"/>
              <w:spacing w:before="60" w:after="60"/>
              <w:rPr>
                <w:b/>
              </w:rPr>
            </w:pPr>
            <w:r w:rsidRPr="001D6512">
              <w:rPr>
                <w:b/>
              </w:rPr>
              <w:t>Type</w:t>
            </w:r>
          </w:p>
        </w:tc>
        <w:tc>
          <w:tcPr>
            <w:tcW w:w="1350" w:type="dxa"/>
            <w:shd w:val="clear" w:color="auto" w:fill="BFBFBF"/>
          </w:tcPr>
          <w:p w:rsidR="000367BF" w:rsidRPr="001D6512" w:rsidRDefault="000367BF" w:rsidP="008075FC">
            <w:pPr>
              <w:pStyle w:val="TableCell"/>
              <w:spacing w:before="60" w:after="60"/>
              <w:rPr>
                <w:b/>
              </w:rPr>
            </w:pPr>
            <w:r w:rsidRPr="001D6512">
              <w:rPr>
                <w:b/>
              </w:rPr>
              <w:t>Value</w:t>
            </w:r>
          </w:p>
        </w:tc>
        <w:tc>
          <w:tcPr>
            <w:tcW w:w="1080" w:type="dxa"/>
            <w:shd w:val="clear" w:color="auto" w:fill="BFBFBF"/>
          </w:tcPr>
          <w:p w:rsidR="000367BF" w:rsidRPr="001D6512" w:rsidRDefault="000367BF" w:rsidP="008075FC">
            <w:pPr>
              <w:pStyle w:val="TableCell"/>
              <w:spacing w:before="60" w:after="60"/>
              <w:rPr>
                <w:b/>
              </w:rPr>
            </w:pPr>
            <w:r w:rsidRPr="001D6512">
              <w:rPr>
                <w:b/>
              </w:rPr>
              <w:t xml:space="preserve">Source     </w:t>
            </w:r>
          </w:p>
        </w:tc>
      </w:tr>
      <w:tr w:rsidR="000367BF" w:rsidRPr="001912F1" w:rsidTr="006E0899">
        <w:trPr>
          <w:jc w:val="center"/>
        </w:trPr>
        <w:tc>
          <w:tcPr>
            <w:tcW w:w="1260" w:type="dxa"/>
          </w:tcPr>
          <w:p w:rsidR="000367BF" w:rsidRPr="001D6512" w:rsidRDefault="000367BF" w:rsidP="008075FC">
            <w:pPr>
              <w:pStyle w:val="TableCell"/>
              <w:spacing w:before="60" w:after="60"/>
              <w:rPr>
                <w:vertAlign w:val="subscript"/>
              </w:rPr>
            </w:pPr>
            <w:r w:rsidRPr="001D6512">
              <w:t>kW</w:t>
            </w:r>
            <w:r w:rsidRPr="001D6512">
              <w:rPr>
                <w:vertAlign w:val="subscript"/>
              </w:rPr>
              <w:t>comp</w:t>
            </w:r>
          </w:p>
        </w:tc>
        <w:tc>
          <w:tcPr>
            <w:tcW w:w="4050" w:type="dxa"/>
          </w:tcPr>
          <w:p w:rsidR="000367BF" w:rsidRPr="001D6512" w:rsidRDefault="000367BF" w:rsidP="008075FC">
            <w:pPr>
              <w:pStyle w:val="TableCell"/>
              <w:spacing w:before="60" w:after="60"/>
            </w:pPr>
            <w:r w:rsidRPr="001D6512">
              <w:t>Idle kW of computer system</w:t>
            </w:r>
          </w:p>
        </w:tc>
        <w:tc>
          <w:tcPr>
            <w:tcW w:w="900" w:type="dxa"/>
          </w:tcPr>
          <w:p w:rsidR="000367BF" w:rsidRPr="001D6512" w:rsidRDefault="000367BF" w:rsidP="008075FC">
            <w:pPr>
              <w:pStyle w:val="TableCell"/>
              <w:spacing w:before="60" w:after="60"/>
            </w:pPr>
            <w:r w:rsidRPr="001D6512">
              <w:t>Fixed</w:t>
            </w:r>
          </w:p>
        </w:tc>
        <w:tc>
          <w:tcPr>
            <w:tcW w:w="1350" w:type="dxa"/>
          </w:tcPr>
          <w:p w:rsidR="000367BF" w:rsidRPr="001D6512" w:rsidRDefault="000367BF" w:rsidP="008075FC">
            <w:pPr>
              <w:pStyle w:val="TableCell"/>
              <w:spacing w:before="60" w:after="60"/>
            </w:pPr>
            <w:r w:rsidRPr="001D6512">
              <w:t>0.0201</w:t>
            </w:r>
          </w:p>
        </w:tc>
        <w:tc>
          <w:tcPr>
            <w:tcW w:w="1080" w:type="dxa"/>
          </w:tcPr>
          <w:p w:rsidR="000367BF" w:rsidRPr="001D6512" w:rsidRDefault="00E8678C" w:rsidP="008075FC">
            <w:pPr>
              <w:pStyle w:val="TableCell"/>
              <w:spacing w:before="60" w:after="60"/>
            </w:pPr>
            <w:r w:rsidRPr="001D6512">
              <w:t>1</w:t>
            </w:r>
          </w:p>
        </w:tc>
      </w:tr>
      <w:tr w:rsidR="000367BF" w:rsidRPr="001912F1" w:rsidTr="006E0899">
        <w:trPr>
          <w:jc w:val="center"/>
        </w:trPr>
        <w:tc>
          <w:tcPr>
            <w:tcW w:w="1260" w:type="dxa"/>
          </w:tcPr>
          <w:p w:rsidR="000367BF" w:rsidRPr="001D6512" w:rsidRDefault="000367BF" w:rsidP="008075FC">
            <w:pPr>
              <w:pStyle w:val="TableCell"/>
              <w:spacing w:before="60" w:after="60"/>
              <w:rPr>
                <w:vertAlign w:val="subscript"/>
              </w:rPr>
            </w:pPr>
            <w:r w:rsidRPr="001D6512">
              <w:t>Hr</w:t>
            </w:r>
            <w:r w:rsidRPr="001D6512">
              <w:rPr>
                <w:vertAlign w:val="subscript"/>
              </w:rPr>
              <w:t>comp</w:t>
            </w:r>
          </w:p>
        </w:tc>
        <w:tc>
          <w:tcPr>
            <w:tcW w:w="4050" w:type="dxa"/>
          </w:tcPr>
          <w:p w:rsidR="000367BF" w:rsidRPr="001D6512" w:rsidRDefault="000367BF" w:rsidP="008075FC">
            <w:pPr>
              <w:pStyle w:val="TableCell"/>
              <w:spacing w:before="60" w:after="60"/>
            </w:pPr>
            <w:r w:rsidRPr="001D6512">
              <w:t>Daily hours of computer idle time</w:t>
            </w:r>
          </w:p>
        </w:tc>
        <w:tc>
          <w:tcPr>
            <w:tcW w:w="900" w:type="dxa"/>
          </w:tcPr>
          <w:p w:rsidR="000367BF" w:rsidRPr="001D6512" w:rsidRDefault="000367BF" w:rsidP="008075FC">
            <w:pPr>
              <w:pStyle w:val="TableCell"/>
              <w:spacing w:before="60" w:after="60"/>
            </w:pPr>
            <w:r w:rsidRPr="001D6512">
              <w:t>Fixed</w:t>
            </w:r>
          </w:p>
        </w:tc>
        <w:tc>
          <w:tcPr>
            <w:tcW w:w="1350" w:type="dxa"/>
          </w:tcPr>
          <w:p w:rsidR="000367BF" w:rsidRPr="001D6512" w:rsidRDefault="000367BF" w:rsidP="008075FC">
            <w:pPr>
              <w:pStyle w:val="TableCell"/>
              <w:spacing w:before="60" w:after="60"/>
            </w:pPr>
            <w:r w:rsidRPr="001D6512">
              <w:t>20</w:t>
            </w:r>
          </w:p>
        </w:tc>
        <w:tc>
          <w:tcPr>
            <w:tcW w:w="1080" w:type="dxa"/>
          </w:tcPr>
          <w:p w:rsidR="000367BF" w:rsidRPr="001D6512" w:rsidRDefault="00E8678C" w:rsidP="008075FC">
            <w:pPr>
              <w:pStyle w:val="TableCell"/>
              <w:spacing w:before="60" w:after="60"/>
            </w:pPr>
            <w:r w:rsidRPr="001D6512">
              <w:t>1</w:t>
            </w:r>
          </w:p>
        </w:tc>
      </w:tr>
      <w:tr w:rsidR="000367BF" w:rsidRPr="001912F1" w:rsidTr="006E0899">
        <w:trPr>
          <w:jc w:val="center"/>
        </w:trPr>
        <w:tc>
          <w:tcPr>
            <w:tcW w:w="1260" w:type="dxa"/>
          </w:tcPr>
          <w:p w:rsidR="000367BF" w:rsidRPr="001D6512" w:rsidRDefault="000367BF" w:rsidP="008075FC">
            <w:pPr>
              <w:pStyle w:val="TableCell"/>
              <w:spacing w:before="60" w:after="60"/>
              <w:rPr>
                <w:vertAlign w:val="subscript"/>
              </w:rPr>
            </w:pPr>
            <w:r w:rsidRPr="001D6512">
              <w:t>kW</w:t>
            </w:r>
            <w:r w:rsidRPr="001D6512">
              <w:rPr>
                <w:vertAlign w:val="subscript"/>
              </w:rPr>
              <w:t>TV</w:t>
            </w:r>
          </w:p>
        </w:tc>
        <w:tc>
          <w:tcPr>
            <w:tcW w:w="4050" w:type="dxa"/>
          </w:tcPr>
          <w:p w:rsidR="000367BF" w:rsidRPr="001D6512" w:rsidRDefault="000367BF" w:rsidP="008075FC">
            <w:pPr>
              <w:pStyle w:val="TableCell"/>
              <w:spacing w:before="60" w:after="60"/>
            </w:pPr>
            <w:r w:rsidRPr="001D6512">
              <w:t>Idle kW of TV system</w:t>
            </w:r>
          </w:p>
        </w:tc>
        <w:tc>
          <w:tcPr>
            <w:tcW w:w="900" w:type="dxa"/>
          </w:tcPr>
          <w:p w:rsidR="000367BF" w:rsidRPr="001D6512" w:rsidRDefault="000367BF" w:rsidP="008075FC">
            <w:pPr>
              <w:pStyle w:val="TableCell"/>
              <w:spacing w:before="60" w:after="60"/>
            </w:pPr>
            <w:r w:rsidRPr="001D6512">
              <w:t>Fixed</w:t>
            </w:r>
          </w:p>
        </w:tc>
        <w:tc>
          <w:tcPr>
            <w:tcW w:w="1350" w:type="dxa"/>
          </w:tcPr>
          <w:p w:rsidR="000367BF" w:rsidRPr="001D6512" w:rsidRDefault="000367BF" w:rsidP="008075FC">
            <w:pPr>
              <w:pStyle w:val="TableCell"/>
              <w:spacing w:before="60" w:after="60"/>
            </w:pPr>
            <w:r w:rsidRPr="001D6512">
              <w:t>0.0320</w:t>
            </w:r>
          </w:p>
        </w:tc>
        <w:tc>
          <w:tcPr>
            <w:tcW w:w="1080" w:type="dxa"/>
          </w:tcPr>
          <w:p w:rsidR="000367BF" w:rsidRPr="001D6512" w:rsidRDefault="00E8678C" w:rsidP="008075FC">
            <w:pPr>
              <w:pStyle w:val="TableCell"/>
              <w:spacing w:before="60" w:after="60"/>
            </w:pPr>
            <w:r w:rsidRPr="001D6512">
              <w:t>1</w:t>
            </w:r>
          </w:p>
        </w:tc>
      </w:tr>
      <w:tr w:rsidR="000367BF" w:rsidRPr="001912F1" w:rsidTr="006E0899">
        <w:trPr>
          <w:jc w:val="center"/>
        </w:trPr>
        <w:tc>
          <w:tcPr>
            <w:tcW w:w="1260" w:type="dxa"/>
          </w:tcPr>
          <w:p w:rsidR="000367BF" w:rsidRPr="001D6512" w:rsidRDefault="000367BF" w:rsidP="008075FC">
            <w:pPr>
              <w:pStyle w:val="TableCell"/>
              <w:spacing w:before="60" w:after="60"/>
              <w:rPr>
                <w:vertAlign w:val="subscript"/>
              </w:rPr>
            </w:pPr>
            <w:r w:rsidRPr="001D6512">
              <w:t>Hr</w:t>
            </w:r>
            <w:r w:rsidRPr="001D6512">
              <w:rPr>
                <w:vertAlign w:val="subscript"/>
              </w:rPr>
              <w:t>TV</w:t>
            </w:r>
          </w:p>
        </w:tc>
        <w:tc>
          <w:tcPr>
            <w:tcW w:w="4050" w:type="dxa"/>
          </w:tcPr>
          <w:p w:rsidR="000367BF" w:rsidRPr="001D6512" w:rsidRDefault="000367BF" w:rsidP="008075FC">
            <w:pPr>
              <w:pStyle w:val="TableCell"/>
              <w:spacing w:before="60" w:after="60"/>
            </w:pPr>
            <w:r w:rsidRPr="001D6512">
              <w:t>Daily hours of TV idle time</w:t>
            </w:r>
          </w:p>
        </w:tc>
        <w:tc>
          <w:tcPr>
            <w:tcW w:w="900" w:type="dxa"/>
          </w:tcPr>
          <w:p w:rsidR="000367BF" w:rsidRPr="001D6512" w:rsidRDefault="000367BF" w:rsidP="008075FC">
            <w:pPr>
              <w:pStyle w:val="TableCell"/>
              <w:spacing w:before="60" w:after="60"/>
            </w:pPr>
            <w:r w:rsidRPr="001D6512">
              <w:t>Fixed</w:t>
            </w:r>
          </w:p>
        </w:tc>
        <w:tc>
          <w:tcPr>
            <w:tcW w:w="1350" w:type="dxa"/>
          </w:tcPr>
          <w:p w:rsidR="000367BF" w:rsidRPr="001D6512" w:rsidRDefault="000367BF" w:rsidP="008075FC">
            <w:pPr>
              <w:pStyle w:val="TableCell"/>
              <w:spacing w:before="60" w:after="60"/>
            </w:pPr>
            <w:r w:rsidRPr="001D6512">
              <w:t>19</w:t>
            </w:r>
          </w:p>
        </w:tc>
        <w:tc>
          <w:tcPr>
            <w:tcW w:w="1080" w:type="dxa"/>
          </w:tcPr>
          <w:p w:rsidR="000367BF" w:rsidRPr="001D6512" w:rsidRDefault="00E8678C" w:rsidP="008075FC">
            <w:pPr>
              <w:pStyle w:val="TableCell"/>
              <w:spacing w:before="60" w:after="60"/>
            </w:pPr>
            <w:r w:rsidRPr="001D6512">
              <w:t>1</w:t>
            </w:r>
          </w:p>
        </w:tc>
      </w:tr>
      <w:tr w:rsidR="000367BF" w:rsidRPr="001912F1" w:rsidTr="006E0899">
        <w:trPr>
          <w:jc w:val="center"/>
        </w:trPr>
        <w:tc>
          <w:tcPr>
            <w:tcW w:w="1260" w:type="dxa"/>
          </w:tcPr>
          <w:p w:rsidR="000367BF" w:rsidRPr="001D6512" w:rsidRDefault="000367BF" w:rsidP="008075FC">
            <w:pPr>
              <w:pStyle w:val="TableCell"/>
              <w:spacing w:before="60" w:after="60"/>
            </w:pPr>
            <w:r w:rsidRPr="001D6512">
              <w:t>CF</w:t>
            </w:r>
          </w:p>
        </w:tc>
        <w:tc>
          <w:tcPr>
            <w:tcW w:w="4050" w:type="dxa"/>
          </w:tcPr>
          <w:p w:rsidR="000367BF" w:rsidRPr="001D6512" w:rsidRDefault="000367BF" w:rsidP="008075FC">
            <w:pPr>
              <w:pStyle w:val="TableCell"/>
              <w:spacing w:before="60" w:after="60"/>
            </w:pPr>
            <w:r w:rsidRPr="001D6512">
              <w:t>Coincidence Factor</w:t>
            </w:r>
          </w:p>
        </w:tc>
        <w:tc>
          <w:tcPr>
            <w:tcW w:w="900" w:type="dxa"/>
          </w:tcPr>
          <w:p w:rsidR="000367BF" w:rsidRPr="001D6512" w:rsidRDefault="000367BF" w:rsidP="008075FC">
            <w:pPr>
              <w:pStyle w:val="TableCell"/>
              <w:spacing w:before="60" w:after="60"/>
            </w:pPr>
            <w:r w:rsidRPr="001D6512">
              <w:t>Fixed</w:t>
            </w:r>
          </w:p>
        </w:tc>
        <w:tc>
          <w:tcPr>
            <w:tcW w:w="1350" w:type="dxa"/>
          </w:tcPr>
          <w:p w:rsidR="000367BF" w:rsidRPr="001D6512" w:rsidRDefault="000367BF" w:rsidP="008075FC">
            <w:pPr>
              <w:pStyle w:val="TableCell"/>
              <w:spacing w:before="60" w:after="60"/>
            </w:pPr>
            <w:r w:rsidRPr="001D6512">
              <w:t>0.50</w:t>
            </w:r>
          </w:p>
        </w:tc>
        <w:tc>
          <w:tcPr>
            <w:tcW w:w="1080" w:type="dxa"/>
          </w:tcPr>
          <w:p w:rsidR="000367BF" w:rsidRPr="001D6512" w:rsidRDefault="00E8678C" w:rsidP="008075FC">
            <w:pPr>
              <w:pStyle w:val="TableCell"/>
              <w:spacing w:before="60" w:after="60"/>
            </w:pPr>
            <w:r w:rsidRPr="001D6512">
              <w:t>1</w:t>
            </w:r>
          </w:p>
        </w:tc>
      </w:tr>
    </w:tbl>
    <w:p w:rsidR="000367BF" w:rsidRDefault="000367BF" w:rsidP="008075FC">
      <w:pPr>
        <w:pStyle w:val="BodyText"/>
        <w:keepNext/>
      </w:pPr>
    </w:p>
    <w:p w:rsidR="000367BF" w:rsidRPr="00BC5194" w:rsidRDefault="000367BF" w:rsidP="00100EDF">
      <w:pPr>
        <w:rPr>
          <w:b/>
        </w:rPr>
      </w:pPr>
      <w:r w:rsidRPr="00BC5194">
        <w:rPr>
          <w:b/>
        </w:rPr>
        <w:t>Source</w:t>
      </w:r>
      <w:r w:rsidR="005F63C6" w:rsidRPr="00BC5194">
        <w:rPr>
          <w:b/>
        </w:rPr>
        <w:t>s</w:t>
      </w:r>
      <w:r w:rsidRPr="00BC5194">
        <w:rPr>
          <w:b/>
        </w:rPr>
        <w:t>:</w:t>
      </w:r>
    </w:p>
    <w:p w:rsidR="000367BF" w:rsidRPr="000367BF" w:rsidRDefault="000367BF" w:rsidP="0005632A">
      <w:pPr>
        <w:pStyle w:val="source1"/>
        <w:numPr>
          <w:ilvl w:val="0"/>
          <w:numId w:val="58"/>
        </w:numPr>
        <w:spacing w:after="200"/>
      </w:pPr>
      <w:r w:rsidRPr="000367BF">
        <w:t>DSMore MI DB</w:t>
      </w:r>
    </w:p>
    <w:p w:rsidR="000367BF" w:rsidRPr="001D130B" w:rsidRDefault="000367BF" w:rsidP="00871FA2">
      <w:pPr>
        <w:pStyle w:val="Heading3"/>
      </w:pPr>
      <w:r w:rsidRPr="001D130B">
        <w:t>Deemed Savings</w:t>
      </w:r>
    </w:p>
    <w:p w:rsidR="00E8678C" w:rsidRPr="00AA2C40" w:rsidRDefault="00E8678C" w:rsidP="00E8678C">
      <w:pPr>
        <w:pStyle w:val="Equation"/>
        <w:rPr>
          <w:rFonts w:cs="Arial"/>
          <w:noProof/>
          <w:szCs w:val="20"/>
        </w:rPr>
      </w:pPr>
      <w:r w:rsidRPr="00AA2C40">
        <w:rPr>
          <w:rFonts w:cs="Arial"/>
          <w:szCs w:val="20"/>
        </w:rPr>
        <w:sym w:font="Symbol" w:char="F044"/>
      </w:r>
      <w:r w:rsidRPr="00AA2C40">
        <w:rPr>
          <w:rFonts w:cs="Arial"/>
          <w:szCs w:val="20"/>
        </w:rPr>
        <w:t>kWh</w:t>
      </w:r>
      <w:r w:rsidRPr="00AA2C40">
        <w:rPr>
          <w:rFonts w:cs="Arial"/>
          <w:szCs w:val="20"/>
        </w:rPr>
        <w:tab/>
      </w:r>
      <w:r w:rsidRPr="00AA2C40">
        <w:rPr>
          <w:rFonts w:cs="Arial"/>
          <w:szCs w:val="20"/>
        </w:rPr>
        <w:tab/>
        <w:t xml:space="preserve"> = </w:t>
      </w:r>
      <w:r w:rsidRPr="00AA2C40">
        <w:rPr>
          <w:rFonts w:cs="Arial"/>
          <w:noProof/>
          <w:szCs w:val="20"/>
        </w:rPr>
        <w:t>184 kWh</w:t>
      </w:r>
    </w:p>
    <w:p w:rsidR="00E8678C" w:rsidRPr="00AA2C40" w:rsidRDefault="00E8678C" w:rsidP="00E8678C">
      <w:pPr>
        <w:pStyle w:val="Equation"/>
        <w:rPr>
          <w:rFonts w:cs="Arial"/>
          <w:noProof/>
          <w:szCs w:val="20"/>
          <w:vertAlign w:val="subscript"/>
        </w:rPr>
      </w:pPr>
      <w:r w:rsidRPr="00AA2C40">
        <w:rPr>
          <w:rFonts w:cs="Arial"/>
          <w:szCs w:val="20"/>
        </w:rPr>
        <w:sym w:font="Symbol" w:char="F044"/>
      </w:r>
      <w:r w:rsidRPr="00AA2C40">
        <w:rPr>
          <w:rFonts w:cs="Arial"/>
          <w:szCs w:val="20"/>
        </w:rPr>
        <w:t>kW</w:t>
      </w:r>
      <w:r w:rsidRPr="00AA2C40">
        <w:rPr>
          <w:rFonts w:cs="Arial"/>
          <w:szCs w:val="20"/>
          <w:vertAlign w:val="subscript"/>
        </w:rPr>
        <w:t>peak</w:t>
      </w:r>
      <w:r w:rsidRPr="00AA2C40">
        <w:rPr>
          <w:rFonts w:cs="Arial"/>
          <w:szCs w:val="20"/>
          <w:vertAlign w:val="subscript"/>
        </w:rPr>
        <w:tab/>
      </w:r>
      <w:r w:rsidRPr="00AA2C40">
        <w:rPr>
          <w:rFonts w:cs="Arial"/>
          <w:szCs w:val="20"/>
        </w:rPr>
        <w:tab/>
        <w:t xml:space="preserve">= </w:t>
      </w:r>
      <w:r w:rsidRPr="00AA2C40">
        <w:rPr>
          <w:rFonts w:cs="Arial"/>
          <w:noProof/>
          <w:szCs w:val="20"/>
        </w:rPr>
        <w:t>0.013 kW</w:t>
      </w:r>
    </w:p>
    <w:p w:rsidR="000367BF" w:rsidRPr="00E33889" w:rsidRDefault="000367BF" w:rsidP="00871FA2">
      <w:pPr>
        <w:pStyle w:val="Heading3"/>
      </w:pPr>
      <w:r w:rsidRPr="00E33889">
        <w:t>Measure Life</w:t>
      </w:r>
    </w:p>
    <w:p w:rsidR="000367BF" w:rsidRPr="00E33889" w:rsidRDefault="000367BF" w:rsidP="000367BF">
      <w:pPr>
        <w:pStyle w:val="BodyText"/>
      </w:pPr>
      <w:r w:rsidRPr="00E33889">
        <w:t>To ensure consistency with the annual savings calculation procedure used in the DSMore MI database, the measure</w:t>
      </w:r>
      <w:r w:rsidR="00940A5E">
        <w:t xml:space="preserve"> life</w:t>
      </w:r>
      <w:r w:rsidRPr="00E33889">
        <w:t xml:space="preserve"> of </w:t>
      </w:r>
      <w:r w:rsidRPr="00E33889">
        <w:rPr>
          <w:b/>
        </w:rPr>
        <w:t xml:space="preserve">5 years </w:t>
      </w:r>
      <w:r w:rsidRPr="00E33889">
        <w:t>is taken from DSMore.</w:t>
      </w:r>
    </w:p>
    <w:p w:rsidR="000367BF" w:rsidRPr="00F73FD3" w:rsidRDefault="000367BF" w:rsidP="00871FA2">
      <w:pPr>
        <w:pStyle w:val="Heading3"/>
      </w:pPr>
      <w:r>
        <w:t>Evaluation Protocols</w:t>
      </w:r>
    </w:p>
    <w:p w:rsidR="000367BF" w:rsidRDefault="000367BF" w:rsidP="000367BF">
      <w:pPr>
        <w:pStyle w:val="BodyText"/>
      </w:pPr>
      <w:r w:rsidRPr="00496F34">
        <w:t>The most appropriate evaluation protocol for this measure is verification of installation coupled with assignment of stipulated energy savings.</w:t>
      </w:r>
    </w:p>
    <w:p w:rsidR="000367BF" w:rsidRDefault="000367BF" w:rsidP="00EB6106">
      <w:pPr>
        <w:pStyle w:val="BodyText"/>
      </w:pPr>
    </w:p>
    <w:p w:rsidR="000367BF" w:rsidRPr="00C465DB" w:rsidRDefault="000367BF" w:rsidP="00E568D4">
      <w:pPr>
        <w:pStyle w:val="Heading2"/>
      </w:pPr>
      <w:r>
        <w:br w:type="page"/>
      </w:r>
      <w:bookmarkStart w:id="334" w:name="_Toc310875413"/>
      <w:r>
        <w:lastRenderedPageBreak/>
        <w:t>Solar</w:t>
      </w:r>
      <w:r w:rsidRPr="00837206">
        <w:t xml:space="preserve"> Water Heaters</w:t>
      </w:r>
      <w:bookmarkEnd w:id="334"/>
    </w:p>
    <w:tbl>
      <w:tblPr>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4428"/>
        <w:gridCol w:w="4428"/>
      </w:tblGrid>
      <w:tr w:rsidR="000367BF" w:rsidRPr="00003E67" w:rsidTr="00F84A22">
        <w:tc>
          <w:tcPr>
            <w:tcW w:w="4428" w:type="dxa"/>
            <w:tcBorders>
              <w:top w:val="single" w:sz="8" w:space="0" w:color="404040"/>
              <w:left w:val="single" w:sz="8" w:space="0" w:color="404040"/>
              <w:bottom w:val="single" w:sz="8" w:space="0" w:color="404040"/>
              <w:right w:val="single" w:sz="8" w:space="0" w:color="404040"/>
            </w:tcBorders>
            <w:shd w:val="clear" w:color="auto" w:fill="BFBFBF"/>
          </w:tcPr>
          <w:p w:rsidR="000367BF" w:rsidRPr="001D6512" w:rsidRDefault="000367BF" w:rsidP="00F84A22">
            <w:pPr>
              <w:pStyle w:val="TableCell"/>
              <w:spacing w:before="60" w:after="60"/>
              <w:rPr>
                <w:b/>
                <w:bCs/>
              </w:rPr>
            </w:pPr>
            <w:r w:rsidRPr="001D6512">
              <w:rPr>
                <w:b/>
                <w:bCs/>
              </w:rPr>
              <w:t>Measure Name</w:t>
            </w:r>
          </w:p>
        </w:tc>
        <w:tc>
          <w:tcPr>
            <w:tcW w:w="4428" w:type="dxa"/>
            <w:tcBorders>
              <w:top w:val="single" w:sz="8" w:space="0" w:color="404040"/>
              <w:left w:val="single" w:sz="8" w:space="0" w:color="404040"/>
              <w:bottom w:val="single" w:sz="8" w:space="0" w:color="404040"/>
              <w:right w:val="single" w:sz="8" w:space="0" w:color="404040"/>
            </w:tcBorders>
            <w:shd w:val="clear" w:color="auto" w:fill="BFBFBF"/>
          </w:tcPr>
          <w:p w:rsidR="000367BF" w:rsidRPr="001D6512" w:rsidRDefault="000367BF" w:rsidP="00F84A22">
            <w:pPr>
              <w:pStyle w:val="TableCell"/>
              <w:spacing w:before="60" w:after="60"/>
              <w:rPr>
                <w:b/>
                <w:bCs/>
              </w:rPr>
            </w:pPr>
            <w:r w:rsidRPr="001D6512">
              <w:rPr>
                <w:b/>
                <w:bCs/>
              </w:rPr>
              <w:t>Solar Water Heaters</w:t>
            </w:r>
          </w:p>
        </w:tc>
      </w:tr>
      <w:tr w:rsidR="000367BF" w:rsidRPr="00003E67" w:rsidTr="00F84A22">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0367BF" w:rsidRPr="00865117" w:rsidRDefault="000367BF" w:rsidP="00F84A22">
            <w:pPr>
              <w:pStyle w:val="TableCell"/>
              <w:spacing w:before="60" w:after="60"/>
              <w:rPr>
                <w:b/>
                <w:bCs/>
                <w:color w:val="000000"/>
              </w:rPr>
            </w:pPr>
            <w:r w:rsidRPr="00865117">
              <w:rPr>
                <w:b/>
                <w:bCs/>
                <w:color w:val="000000"/>
              </w:rPr>
              <w:t>Target Sector</w:t>
            </w:r>
          </w:p>
        </w:tc>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0367BF" w:rsidRPr="001D6512" w:rsidRDefault="000367BF" w:rsidP="00F84A22">
            <w:pPr>
              <w:pStyle w:val="TableCell"/>
              <w:spacing w:before="60" w:after="60"/>
              <w:rPr>
                <w:color w:val="000000"/>
              </w:rPr>
            </w:pPr>
            <w:r w:rsidRPr="001D6512">
              <w:rPr>
                <w:color w:val="000000"/>
              </w:rPr>
              <w:t>Residential Establishments</w:t>
            </w:r>
          </w:p>
        </w:tc>
      </w:tr>
      <w:tr w:rsidR="000367BF" w:rsidRPr="00003E67" w:rsidTr="00F84A22">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0367BF" w:rsidRPr="00865117" w:rsidRDefault="000367BF" w:rsidP="00F84A22">
            <w:pPr>
              <w:pStyle w:val="TableCell"/>
              <w:spacing w:before="60" w:after="60"/>
              <w:rPr>
                <w:b/>
                <w:bCs/>
                <w:color w:val="000000"/>
              </w:rPr>
            </w:pPr>
            <w:r w:rsidRPr="00865117">
              <w:rPr>
                <w:b/>
                <w:bCs/>
                <w:color w:val="000000"/>
              </w:rPr>
              <w:t>Measure Unit</w:t>
            </w:r>
          </w:p>
        </w:tc>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0367BF" w:rsidRPr="001D6512" w:rsidRDefault="000367BF" w:rsidP="00F84A22">
            <w:pPr>
              <w:pStyle w:val="TableCell"/>
              <w:spacing w:before="60" w:after="60"/>
              <w:rPr>
                <w:color w:val="000000"/>
              </w:rPr>
            </w:pPr>
            <w:r w:rsidRPr="001D6512">
              <w:rPr>
                <w:color w:val="000000"/>
              </w:rPr>
              <w:t>Water Heater</w:t>
            </w:r>
          </w:p>
        </w:tc>
      </w:tr>
      <w:tr w:rsidR="000367BF" w:rsidRPr="00003E67" w:rsidTr="00F84A22">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0367BF" w:rsidRPr="00865117" w:rsidRDefault="000367BF" w:rsidP="00F84A22">
            <w:pPr>
              <w:pStyle w:val="TableCell"/>
              <w:spacing w:before="60" w:after="60"/>
              <w:rPr>
                <w:b/>
                <w:bCs/>
                <w:color w:val="000000"/>
              </w:rPr>
            </w:pPr>
            <w:r w:rsidRPr="00865117">
              <w:rPr>
                <w:b/>
                <w:bCs/>
                <w:color w:val="000000"/>
              </w:rPr>
              <w:t>Unit Energy Savings</w:t>
            </w:r>
          </w:p>
        </w:tc>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0367BF" w:rsidRPr="001D6512" w:rsidRDefault="000367BF" w:rsidP="00F84A22">
            <w:pPr>
              <w:pStyle w:val="TableCell"/>
              <w:spacing w:before="60" w:after="60"/>
              <w:rPr>
                <w:color w:val="000000"/>
              </w:rPr>
            </w:pPr>
            <w:r w:rsidRPr="001D6512">
              <w:rPr>
                <w:color w:val="000000"/>
              </w:rPr>
              <w:t>2,</w:t>
            </w:r>
            <w:r w:rsidR="00774069" w:rsidRPr="001D6512">
              <w:rPr>
                <w:color w:val="000000"/>
              </w:rPr>
              <w:t xml:space="preserve">088 </w:t>
            </w:r>
            <w:r w:rsidRPr="001D6512">
              <w:rPr>
                <w:color w:val="000000"/>
              </w:rPr>
              <w:t>kWh</w:t>
            </w:r>
          </w:p>
        </w:tc>
      </w:tr>
      <w:tr w:rsidR="000367BF" w:rsidRPr="00003E67" w:rsidTr="00F84A22">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0367BF" w:rsidRPr="00865117" w:rsidRDefault="000367BF" w:rsidP="00F84A22">
            <w:pPr>
              <w:pStyle w:val="TableCell"/>
              <w:spacing w:before="60" w:after="60"/>
              <w:rPr>
                <w:b/>
                <w:bCs/>
                <w:color w:val="000000"/>
              </w:rPr>
            </w:pPr>
            <w:r w:rsidRPr="00865117">
              <w:rPr>
                <w:b/>
                <w:bCs/>
                <w:color w:val="000000"/>
              </w:rPr>
              <w:t>Unit Peak Demand Reduction</w:t>
            </w:r>
          </w:p>
        </w:tc>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0367BF" w:rsidRPr="001D6512" w:rsidRDefault="000367BF" w:rsidP="00F84A22">
            <w:pPr>
              <w:pStyle w:val="TableCell"/>
              <w:spacing w:before="60" w:after="60"/>
              <w:rPr>
                <w:color w:val="000000"/>
              </w:rPr>
            </w:pPr>
            <w:r w:rsidRPr="001D6512">
              <w:rPr>
                <w:color w:val="000000"/>
              </w:rPr>
              <w:t xml:space="preserve"> 0.</w:t>
            </w:r>
            <w:r w:rsidR="004943A2" w:rsidRPr="001D6512">
              <w:rPr>
                <w:color w:val="000000"/>
              </w:rPr>
              <w:t xml:space="preserve">376 </w:t>
            </w:r>
            <w:r w:rsidRPr="001D6512">
              <w:rPr>
                <w:color w:val="000000"/>
              </w:rPr>
              <w:t>kW</w:t>
            </w:r>
          </w:p>
        </w:tc>
      </w:tr>
      <w:tr w:rsidR="000367BF" w:rsidRPr="00003E67" w:rsidTr="00F84A22">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0367BF" w:rsidRPr="00865117" w:rsidRDefault="000367BF" w:rsidP="00F84A22">
            <w:pPr>
              <w:pStyle w:val="TableCell"/>
              <w:spacing w:before="60" w:after="60"/>
              <w:rPr>
                <w:b/>
                <w:bCs/>
                <w:color w:val="000000"/>
              </w:rPr>
            </w:pPr>
            <w:r w:rsidRPr="00865117">
              <w:rPr>
                <w:b/>
                <w:bCs/>
                <w:color w:val="000000"/>
              </w:rPr>
              <w:t>Measure Life</w:t>
            </w:r>
          </w:p>
        </w:tc>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0367BF" w:rsidRPr="001D6512" w:rsidRDefault="000367BF" w:rsidP="00F84A22">
            <w:pPr>
              <w:pStyle w:val="TableCell"/>
              <w:spacing w:before="60" w:after="60"/>
              <w:rPr>
                <w:color w:val="000000"/>
              </w:rPr>
            </w:pPr>
            <w:r w:rsidRPr="001D6512">
              <w:rPr>
                <w:color w:val="000000"/>
              </w:rPr>
              <w:t>14 years</w:t>
            </w:r>
          </w:p>
        </w:tc>
      </w:tr>
    </w:tbl>
    <w:p w:rsidR="00B54168" w:rsidRPr="005F63C6" w:rsidRDefault="00B54168" w:rsidP="005F63C6">
      <w:pPr>
        <w:spacing w:after="0"/>
      </w:pPr>
    </w:p>
    <w:p w:rsidR="000367BF" w:rsidRPr="001D75B9" w:rsidRDefault="000367BF" w:rsidP="000367BF">
      <w:pPr>
        <w:pStyle w:val="BodyText"/>
      </w:pPr>
      <w:r>
        <w:t>Solar</w:t>
      </w:r>
      <w:r w:rsidRPr="001D75B9">
        <w:t xml:space="preserve"> water heaters </w:t>
      </w:r>
      <w:r>
        <w:t xml:space="preserve">utilize solar energy to heat water, which reduces </w:t>
      </w:r>
      <w:r w:rsidRPr="001D75B9">
        <w:t xml:space="preserve">electricity </w:t>
      </w:r>
      <w:r>
        <w:t xml:space="preserve">required to heat water.  </w:t>
      </w:r>
    </w:p>
    <w:p w:rsidR="000367BF" w:rsidRPr="00C465DB" w:rsidRDefault="00E8678C" w:rsidP="00871FA2">
      <w:pPr>
        <w:pStyle w:val="Heading3"/>
      </w:pPr>
      <w:r>
        <w:t>Eligibility</w:t>
      </w:r>
    </w:p>
    <w:p w:rsidR="000367BF" w:rsidRPr="00C465DB" w:rsidRDefault="000367BF" w:rsidP="000367BF">
      <w:pPr>
        <w:pStyle w:val="BodyText"/>
      </w:pPr>
      <w:r w:rsidRPr="00837206">
        <w:t xml:space="preserve">This </w:t>
      </w:r>
      <w:r w:rsidR="00473894">
        <w:t>protocol</w:t>
      </w:r>
      <w:r w:rsidRPr="00837206">
        <w:t xml:space="preserve"> documents the energy savings attributed to </w:t>
      </w:r>
      <w:r>
        <w:t>solar</w:t>
      </w:r>
      <w:r w:rsidRPr="00837206">
        <w:t xml:space="preserve"> water </w:t>
      </w:r>
      <w:r>
        <w:t>in PA.</w:t>
      </w:r>
      <w:r w:rsidRPr="00837206">
        <w:t xml:space="preserve"> </w:t>
      </w:r>
      <w:r>
        <w:t xml:space="preserve"> The target sector primarily consists of single-family residences.</w:t>
      </w:r>
    </w:p>
    <w:p w:rsidR="000367BF" w:rsidRPr="00C465DB" w:rsidRDefault="00E8678C" w:rsidP="00871FA2">
      <w:pPr>
        <w:pStyle w:val="Heading3"/>
      </w:pPr>
      <w:r>
        <w:t>Algorithms</w:t>
      </w:r>
    </w:p>
    <w:p w:rsidR="000367BF" w:rsidRDefault="000367BF" w:rsidP="000367BF">
      <w:pPr>
        <w:pStyle w:val="BodyText"/>
      </w:pPr>
      <w:r>
        <w:t>The energy savings calculation utilizes average</w:t>
      </w:r>
      <w:r w:rsidRPr="00837206">
        <w:t xml:space="preserve"> performance data for available residential </w:t>
      </w:r>
      <w:r>
        <w:t>solar</w:t>
      </w:r>
      <w:r w:rsidRPr="00837206">
        <w:t xml:space="preserve"> </w:t>
      </w:r>
      <w:r>
        <w:t xml:space="preserve">and standard </w:t>
      </w:r>
      <w:r w:rsidRPr="00837206">
        <w:t>water heaters and typical water usage for residential homes</w:t>
      </w:r>
      <w:r>
        <w:t>.</w:t>
      </w:r>
      <w:r w:rsidRPr="00837206">
        <w:t xml:space="preserve"> The ene</w:t>
      </w:r>
      <w:r>
        <w:t>rgy savings</w:t>
      </w:r>
      <w:r w:rsidRPr="00837206">
        <w:t xml:space="preserve"> </w:t>
      </w:r>
      <w:r>
        <w:t>are</w:t>
      </w:r>
      <w:r w:rsidRPr="00837206">
        <w:t xml:space="preserve"> obtained through the following </w:t>
      </w:r>
      <w:r>
        <w:t>formula</w:t>
      </w:r>
      <w:r w:rsidRPr="00837206">
        <w:t>:</w:t>
      </w:r>
    </w:p>
    <w:p w:rsidR="00003E67" w:rsidRPr="003C7C58" w:rsidRDefault="003C7C58" w:rsidP="00003E67">
      <w:pPr>
        <w:pStyle w:val="Equation"/>
        <w:ind w:left="0" w:firstLine="0"/>
        <w:rPr>
          <w:rFonts w:eastAsia="Times New Roman"/>
        </w:rPr>
      </w:pPr>
      <m:oMathPara>
        <m:oMathParaPr>
          <m:jc m:val="left"/>
        </m:oMathParaPr>
        <m:oMath>
          <m:r>
            <m:rPr>
              <m:nor/>
            </m:rPr>
            <w:rPr>
              <w:rFonts w:cs="Arial"/>
            </w:rPr>
            <w:sym w:font="Symbol" w:char="F044"/>
          </m:r>
          <m:r>
            <m:rPr>
              <m:nor/>
            </m:rPr>
            <m:t>kWh</m:t>
          </m:r>
          <m:r>
            <m:rPr>
              <m:nor/>
            </m:rPr>
            <w:rPr>
              <w:rFonts w:ascii="Cambria Math"/>
            </w:rPr>
            <m:t xml:space="preserve">                                                       </m:t>
          </m:r>
          <m:r>
            <m:rPr>
              <m:nor/>
            </m:rPr>
            <m:t>=</m:t>
          </m:r>
          <m:r>
            <m:rPr>
              <m:nor/>
            </m:rPr>
            <w:rPr>
              <w:rFonts w:ascii="Cambria Math"/>
            </w:rPr>
            <m:t xml:space="preserve">  </m:t>
          </m:r>
          <m:f>
            <m:fPr>
              <m:ctrlPr>
                <w:rPr>
                  <w:rFonts w:ascii="Cambria Math" w:hAnsi="Cambria Math"/>
                </w:rPr>
              </m:ctrlPr>
            </m:fPr>
            <m:num>
              <m:d>
                <m:dPr>
                  <m:begChr m:val="{"/>
                  <m:endChr m:val="}"/>
                  <m:ctrlPr>
                    <w:rPr>
                      <w:rFonts w:ascii="Cambria Math" w:hAnsi="Cambria Math"/>
                    </w:rPr>
                  </m:ctrlPr>
                </m:dPr>
                <m:e>
                  <m:d>
                    <m:dPr>
                      <m:ctrlPr>
                        <w:rPr>
                          <w:rFonts w:ascii="Cambria Math" w:hAnsi="Cambria Math"/>
                        </w:rPr>
                      </m:ctrlPr>
                    </m:dPr>
                    <m:e>
                      <m:f>
                        <m:fPr>
                          <m:ctrlPr>
                            <w:rPr>
                              <w:rFonts w:ascii="Cambria Math" w:hAnsi="Cambria Math"/>
                            </w:rPr>
                          </m:ctrlPr>
                        </m:fPr>
                        <m:num>
                          <m:r>
                            <m:rPr>
                              <m:nor/>
                            </m:rPr>
                            <m:t>1</m:t>
                          </m:r>
                        </m:num>
                        <m:den>
                          <m:sSub>
                            <m:sSubPr>
                              <m:ctrlPr>
                                <w:rPr>
                                  <w:rFonts w:ascii="Cambria Math" w:hAnsi="Cambria Math"/>
                                </w:rPr>
                              </m:ctrlPr>
                            </m:sSubPr>
                            <m:e>
                              <m:r>
                                <m:rPr>
                                  <m:nor/>
                                </m:rPr>
                                <m:t>EF</m:t>
                              </m:r>
                            </m:e>
                            <m:sub>
                              <m:r>
                                <m:rPr>
                                  <m:nor/>
                                </m:rPr>
                                <m:t>Base</m:t>
                              </m:r>
                            </m:sub>
                          </m:sSub>
                        </m:den>
                      </m:f>
                      <m:r>
                        <m:rPr>
                          <m:nor/>
                        </m:rPr>
                        <m:t>-</m:t>
                      </m:r>
                      <m:f>
                        <m:fPr>
                          <m:ctrlPr>
                            <w:rPr>
                              <w:rFonts w:ascii="Cambria Math" w:hAnsi="Cambria Math"/>
                            </w:rPr>
                          </m:ctrlPr>
                        </m:fPr>
                        <m:num>
                          <m:r>
                            <m:rPr>
                              <m:nor/>
                            </m:rPr>
                            <m:t>1</m:t>
                          </m:r>
                        </m:num>
                        <m:den>
                          <m:sSub>
                            <m:sSubPr>
                              <m:ctrlPr>
                                <w:rPr>
                                  <w:rFonts w:ascii="Cambria Math" w:hAnsi="Cambria Math"/>
                                </w:rPr>
                              </m:ctrlPr>
                            </m:sSubPr>
                            <m:e>
                              <m:r>
                                <m:rPr>
                                  <m:nor/>
                                </m:rPr>
                                <m:t>EF</m:t>
                              </m:r>
                            </m:e>
                            <m:sub>
                              <m:r>
                                <m:rPr>
                                  <m:nor/>
                                </m:rPr>
                                <m:t>Proposed</m:t>
                              </m:r>
                            </m:sub>
                          </m:sSub>
                        </m:den>
                      </m:f>
                    </m:e>
                  </m:d>
                  <m:r>
                    <m:rPr>
                      <m:nor/>
                    </m:rPr>
                    <m:t>×</m:t>
                  </m:r>
                  <m:d>
                    <m:dPr>
                      <m:ctrlPr>
                        <w:rPr>
                          <w:rFonts w:ascii="Cambria Math" w:hAnsi="Cambria Math"/>
                        </w:rPr>
                      </m:ctrlPr>
                    </m:dPr>
                    <m:e>
                      <m:r>
                        <m:rPr>
                          <m:nor/>
                        </m:rPr>
                        <m:t>HW×365×8.3</m:t>
                      </m:r>
                      <m:f>
                        <m:fPr>
                          <m:ctrlPr>
                            <w:rPr>
                              <w:rFonts w:ascii="Cambria Math" w:hAnsi="Cambria Math"/>
                            </w:rPr>
                          </m:ctrlPr>
                        </m:fPr>
                        <m:num>
                          <m:r>
                            <m:rPr>
                              <m:nor/>
                            </m:rPr>
                            <m:t>lb</m:t>
                          </m:r>
                        </m:num>
                        <m:den>
                          <m:r>
                            <m:rPr>
                              <m:nor/>
                            </m:rPr>
                            <m:t>gal</m:t>
                          </m:r>
                        </m:den>
                      </m:f>
                      <m:r>
                        <m:rPr>
                          <m:nor/>
                        </m:rPr>
                        <m:t>×</m:t>
                      </m:r>
                      <m:d>
                        <m:dPr>
                          <m:ctrlPr>
                            <w:rPr>
                              <w:rFonts w:ascii="Cambria Math" w:hAnsi="Cambria Math"/>
                            </w:rPr>
                          </m:ctrlPr>
                        </m:dPr>
                        <m:e>
                          <m:sSub>
                            <m:sSubPr>
                              <m:ctrlPr>
                                <w:rPr>
                                  <w:rFonts w:ascii="Cambria Math" w:hAnsi="Cambria Math"/>
                                </w:rPr>
                              </m:ctrlPr>
                            </m:sSubPr>
                            <m:e>
                              <m:r>
                                <m:rPr>
                                  <m:nor/>
                                </m:rPr>
                                <m:t>T</m:t>
                              </m:r>
                            </m:e>
                            <m:sub>
                              <m:r>
                                <m:rPr>
                                  <m:nor/>
                                </m:rPr>
                                <m:t>hot</m:t>
                              </m:r>
                            </m:sub>
                          </m:sSub>
                          <m:r>
                            <m:rPr>
                              <m:nor/>
                            </m:rPr>
                            <m:t>-</m:t>
                          </m:r>
                          <m:sSub>
                            <m:sSubPr>
                              <m:ctrlPr>
                                <w:rPr>
                                  <w:rFonts w:ascii="Cambria Math" w:hAnsi="Cambria Math"/>
                                </w:rPr>
                              </m:ctrlPr>
                            </m:sSubPr>
                            <m:e>
                              <m:r>
                                <m:rPr>
                                  <m:nor/>
                                </m:rPr>
                                <m:t>T</m:t>
                              </m:r>
                            </m:e>
                            <m:sub>
                              <m:r>
                                <m:rPr>
                                  <m:nor/>
                                </m:rPr>
                                <m:t>cold</m:t>
                              </m:r>
                            </m:sub>
                          </m:sSub>
                        </m:e>
                      </m:d>
                    </m:e>
                  </m:d>
                </m:e>
              </m:d>
            </m:num>
            <m:den>
              <m:r>
                <m:rPr>
                  <m:nor/>
                </m:rPr>
                <m:t>3413</m:t>
              </m:r>
              <m:f>
                <m:fPr>
                  <m:ctrlPr>
                    <w:rPr>
                      <w:rFonts w:ascii="Cambria Math" w:hAnsi="Cambria Math"/>
                    </w:rPr>
                  </m:ctrlPr>
                </m:fPr>
                <m:num>
                  <m:r>
                    <m:rPr>
                      <m:nor/>
                    </m:rPr>
                    <m:t>Btu</m:t>
                  </m:r>
                </m:num>
                <m:den>
                  <m:r>
                    <m:rPr>
                      <m:nor/>
                    </m:rPr>
                    <m:t>kWh</m:t>
                  </m:r>
                </m:den>
              </m:f>
            </m:den>
          </m:f>
        </m:oMath>
      </m:oMathPara>
    </w:p>
    <w:p w:rsidR="000367BF" w:rsidRDefault="000367BF" w:rsidP="000367BF">
      <w:pPr>
        <w:pStyle w:val="BodyText"/>
      </w:pPr>
      <w:r>
        <w:t>The energy factor used in the above equation represents an average energy factor of market available solar water heaters</w:t>
      </w:r>
      <w:r w:rsidR="00F721BB">
        <w:rPr>
          <w:rStyle w:val="FootnoteReference"/>
        </w:rPr>
        <w:footnoteReference w:id="39"/>
      </w:r>
      <w:r>
        <w:t xml:space="preserve">. </w:t>
      </w:r>
      <w:r w:rsidRPr="00DC5816">
        <w:t xml:space="preserve">The demand reduction is taken </w:t>
      </w:r>
      <w:r>
        <w:t xml:space="preserve">as the annual energy </w:t>
      </w:r>
      <w:r w:rsidRPr="003023DD">
        <w:rPr>
          <w:i/>
        </w:rPr>
        <w:t>usage</w:t>
      </w:r>
      <w:r>
        <w:t xml:space="preserve"> of the baseline water heater multiplied by the ratio of the average energy usage during noon and 8PM on summer weekdays to the total annual energy usage.  Note that this is a different formulation than the demand savings calculations for other water heaters.  This modification of the formula reflects the fact that a solar water heater’s capacity is subject to seasonal variation, and that during the peak summer season (top 100 hours), the water heater is expected to fully supply all domestic hot water needs.</w:t>
      </w:r>
    </w:p>
    <w:p w:rsidR="000367BF" w:rsidRPr="00AA2C40" w:rsidRDefault="00E8678C" w:rsidP="00F7332F">
      <w:pPr>
        <w:pStyle w:val="Equation"/>
        <w:rPr>
          <w:rFonts w:cs="Arial"/>
          <w:szCs w:val="20"/>
        </w:rPr>
      </w:pPr>
      <w:r w:rsidRPr="00AA2C40">
        <w:rPr>
          <w:rFonts w:cs="Arial"/>
          <w:szCs w:val="20"/>
        </w:rPr>
        <w:sym w:font="Symbol" w:char="F044"/>
      </w:r>
      <w:r w:rsidRPr="00AA2C40">
        <w:rPr>
          <w:rFonts w:cs="Arial"/>
          <w:szCs w:val="20"/>
        </w:rPr>
        <w:t>kW</w:t>
      </w:r>
      <w:r w:rsidRPr="00AA2C40">
        <w:rPr>
          <w:rFonts w:cs="Arial"/>
          <w:szCs w:val="20"/>
          <w:vertAlign w:val="subscript"/>
        </w:rPr>
        <w:t>peak</w:t>
      </w:r>
      <w:r w:rsidRPr="00AA2C40">
        <w:rPr>
          <w:rFonts w:cs="Arial"/>
          <w:szCs w:val="20"/>
          <w:vertAlign w:val="subscript"/>
        </w:rPr>
        <w:tab/>
      </w:r>
      <w:r w:rsidR="007E7665" w:rsidRPr="00AA2C40">
        <w:rPr>
          <w:rFonts w:cs="Arial"/>
          <w:szCs w:val="20"/>
        </w:rPr>
        <w:tab/>
      </w:r>
      <w:r w:rsidR="000367BF" w:rsidRPr="00AA2C40">
        <w:rPr>
          <w:rFonts w:cs="Arial"/>
          <w:szCs w:val="20"/>
        </w:rPr>
        <w:t>=</w:t>
      </w:r>
      <w:r w:rsidR="007E7665" w:rsidRPr="00AA2C40">
        <w:rPr>
          <w:rFonts w:cs="Arial"/>
          <w:szCs w:val="20"/>
        </w:rPr>
        <w:t xml:space="preserve"> </w:t>
      </w:r>
      <w:r w:rsidR="00F11594" w:rsidRPr="00AA2C40">
        <w:rPr>
          <w:rFonts w:cs="Arial"/>
          <w:szCs w:val="20"/>
        </w:rPr>
        <w:t>EnergyToDemandFactor</w:t>
      </w:r>
      <w:r w:rsidR="00F11594">
        <w:rPr>
          <w:rFonts w:cs="Arial"/>
          <w:szCs w:val="20"/>
        </w:rPr>
        <w:t xml:space="preserve"> </w:t>
      </w:r>
      <w:r w:rsidR="00F11594" w:rsidRPr="00AA2C40">
        <w:rPr>
          <w:rFonts w:cs="Arial"/>
          <w:szCs w:val="20"/>
        </w:rPr>
        <w:t>×</w:t>
      </w:r>
      <w:r w:rsidR="00F11594">
        <w:rPr>
          <w:rFonts w:cs="Arial"/>
          <w:szCs w:val="20"/>
        </w:rPr>
        <w:t xml:space="preserve"> </w:t>
      </w:r>
      <w:r w:rsidR="00F11594" w:rsidRPr="00AA2C40">
        <w:rPr>
          <w:rFonts w:cs="Arial"/>
          <w:szCs w:val="20"/>
        </w:rPr>
        <w:t>BaseEnergy</w:t>
      </w:r>
      <w:r w:rsidR="000367BF" w:rsidRPr="00AA2C40">
        <w:rPr>
          <w:rFonts w:cs="Arial"/>
          <w:szCs w:val="20"/>
        </w:rPr>
        <w:t xml:space="preserve"> Usage</w:t>
      </w:r>
    </w:p>
    <w:p w:rsidR="000367BF" w:rsidRPr="002E6E9C" w:rsidRDefault="000367BF" w:rsidP="007E7665">
      <w:pPr>
        <w:pStyle w:val="BodyText"/>
      </w:pPr>
      <w:r w:rsidRPr="002E6E9C">
        <w:t>The Energy to Demand Factor is defined below:</w:t>
      </w:r>
    </w:p>
    <w:p w:rsidR="007E7665" w:rsidRPr="003C7C58" w:rsidRDefault="003C7C58" w:rsidP="007E7665">
      <w:pPr>
        <w:pStyle w:val="Equation"/>
        <w:ind w:left="0" w:firstLine="0"/>
        <w:rPr>
          <w:rFonts w:eastAsia="Times New Roman"/>
          <w:i w:val="0"/>
          <w:sz w:val="22"/>
        </w:rPr>
      </w:pPr>
      <m:oMathPara>
        <m:oMathParaPr>
          <m:jc m:val="left"/>
        </m:oMathParaPr>
        <m:oMath>
          <m:r>
            <m:rPr>
              <m:nor/>
            </m:rPr>
            <m:t>EnergyToDemandFactor</m:t>
          </m:r>
          <m:r>
            <m:rPr>
              <m:nor/>
            </m:rPr>
            <w:rPr>
              <w:rFonts w:ascii="Cambria Math"/>
            </w:rPr>
            <m:t xml:space="preserve">              </m:t>
          </m:r>
          <m:r>
            <m:rPr>
              <m:nor/>
            </m:rPr>
            <m:t>=</m:t>
          </m:r>
          <m:r>
            <m:rPr>
              <m:nor/>
            </m:rPr>
            <w:rPr>
              <w:rFonts w:ascii="Cambria Math"/>
            </w:rPr>
            <m:t xml:space="preserve"> </m:t>
          </m:r>
          <m:f>
            <m:fPr>
              <m:ctrlPr>
                <w:rPr>
                  <w:rFonts w:ascii="Cambria Math" w:hAnsi="Cambria Math"/>
                </w:rPr>
              </m:ctrlPr>
            </m:fPr>
            <m:num>
              <m:sSub>
                <m:sSubPr>
                  <m:ctrlPr>
                    <w:rPr>
                      <w:rFonts w:ascii="Cambria Math" w:hAnsi="Cambria Math"/>
                    </w:rPr>
                  </m:ctrlPr>
                </m:sSubPr>
                <m:e>
                  <m:r>
                    <m:rPr>
                      <m:nor/>
                    </m:rPr>
                    <m:t>Average Usage</m:t>
                  </m:r>
                </m:e>
                <m:sub>
                  <m:r>
                    <m:rPr>
                      <m:nor/>
                    </m:rPr>
                    <m:t>Summer WD Noon-8</m:t>
                  </m:r>
                </m:sub>
              </m:sSub>
            </m:num>
            <m:den>
              <m:r>
                <m:rPr>
                  <m:nor/>
                </m:rPr>
                <m:t>Annual Energy Usage</m:t>
              </m:r>
            </m:den>
          </m:f>
        </m:oMath>
      </m:oMathPara>
    </w:p>
    <w:p w:rsidR="000367BF" w:rsidRDefault="000367BF" w:rsidP="000367BF">
      <w:pPr>
        <w:pStyle w:val="BodyText"/>
      </w:pPr>
      <w:r w:rsidRPr="00E678F0">
        <w:lastRenderedPageBreak/>
        <w:t>The ratio of the average energy usage during noon and 8</w:t>
      </w:r>
      <w:r>
        <w:t xml:space="preserve"> </w:t>
      </w:r>
      <w:r w:rsidRPr="00E678F0">
        <w:t xml:space="preserve">PM on summer weekdays to the total annual energy usage is taken from load shape data collected for </w:t>
      </w:r>
      <w:r>
        <w:t xml:space="preserve">a </w:t>
      </w:r>
      <w:r w:rsidRPr="00E678F0">
        <w:t>water heater</w:t>
      </w:r>
      <w:r>
        <w:t xml:space="preserve"> and HVAC demand response study for PJM</w:t>
      </w:r>
      <w:r w:rsidR="00F721BB">
        <w:rPr>
          <w:rStyle w:val="FootnoteReference"/>
        </w:rPr>
        <w:footnoteReference w:id="40"/>
      </w:r>
      <w:r w:rsidRPr="00E678F0">
        <w:t xml:space="preserve">.  </w:t>
      </w:r>
      <w:r>
        <w:t>The factor is constructed as follows:</w:t>
      </w:r>
    </w:p>
    <w:p w:rsidR="000367BF" w:rsidRDefault="000367BF" w:rsidP="0005632A">
      <w:pPr>
        <w:pStyle w:val="source1"/>
        <w:numPr>
          <w:ilvl w:val="0"/>
          <w:numId w:val="33"/>
        </w:numPr>
      </w:pPr>
      <w:r>
        <w:t>Obtain the average kW, as monitored for 82 water heaters in PJM territory</w:t>
      </w:r>
      <w:r w:rsidR="00F721BB">
        <w:rPr>
          <w:rStyle w:val="FootnoteReference"/>
        </w:rPr>
        <w:footnoteReference w:id="41"/>
      </w:r>
      <w:r>
        <w:t xml:space="preserve">, for each hour of the typical day summer, winter, and spring/fall days.  Weight the results (91 summer days, 91 winter days, </w:t>
      </w:r>
      <w:r w:rsidR="00F11594">
        <w:t>and 183</w:t>
      </w:r>
      <w:r>
        <w:t xml:space="preserve"> spring/fall days) to obtain annual energy usage.</w:t>
      </w:r>
    </w:p>
    <w:p w:rsidR="000367BF" w:rsidRDefault="000367BF" w:rsidP="007E7665">
      <w:pPr>
        <w:pStyle w:val="source1"/>
      </w:pPr>
      <w:r>
        <w:t>Obtain the average kW during noon to 8 PM on summer days from the same data.  Noon to 8 PM is used because most of the top 100 hours (over 80%) occur during noon and 8 PM</w:t>
      </w:r>
      <w:r w:rsidR="00F721BB">
        <w:rPr>
          <w:rStyle w:val="FootnoteReference"/>
        </w:rPr>
        <w:footnoteReference w:id="42"/>
      </w:r>
      <w:r>
        <w:t xml:space="preserve">.  </w:t>
      </w:r>
    </w:p>
    <w:p w:rsidR="000367BF" w:rsidRDefault="000367BF" w:rsidP="007E7665">
      <w:pPr>
        <w:pStyle w:val="source1"/>
      </w:pPr>
      <w:r>
        <w:t xml:space="preserve">The average noon to 8 PM demand is converted to average </w:t>
      </w:r>
      <w:r w:rsidRPr="004933EA">
        <w:rPr>
          <w:i/>
        </w:rPr>
        <w:t>weekday</w:t>
      </w:r>
      <w:r>
        <w:t xml:space="preserve"> noon to 8 PM demand through comparison of weekday and weekend monitored loads from the same PJM study</w:t>
      </w:r>
      <w:r w:rsidR="00F721BB">
        <w:rPr>
          <w:rStyle w:val="FootnoteReference"/>
        </w:rPr>
        <w:footnoteReference w:id="43"/>
      </w:r>
      <w:r>
        <w:t xml:space="preserve">.  </w:t>
      </w:r>
    </w:p>
    <w:p w:rsidR="000367BF" w:rsidRPr="002C6DCE" w:rsidRDefault="000367BF" w:rsidP="007E7665">
      <w:pPr>
        <w:pStyle w:val="source1"/>
        <w:spacing w:after="200"/>
        <w:rPr>
          <w:sz w:val="24"/>
        </w:rPr>
      </w:pPr>
      <w:r>
        <w:t xml:space="preserve">The ratio of the average weekday noon to 8 PM energy demand to the annual energy usage obtained in step 1.  The resulting number, 0.00009172, </w:t>
      </w:r>
      <w:r w:rsidRPr="002C6DCE">
        <w:t xml:space="preserve">is the </w:t>
      </w:r>
      <w:r w:rsidRPr="002C6DCE">
        <w:rPr>
          <w:i/>
        </w:rPr>
        <w:t>EnergyToDemandFactor</w:t>
      </w:r>
      <w:r>
        <w:rPr>
          <w:i/>
        </w:rPr>
        <w:t>.</w:t>
      </w:r>
    </w:p>
    <w:p w:rsidR="000367BF" w:rsidRDefault="000367BF" w:rsidP="00C3606E">
      <w:pPr>
        <w:pStyle w:val="BodyText"/>
      </w:pPr>
      <w:r>
        <w:t xml:space="preserve">The load shapes (fractions of annual energy usage that occur within each hour) during summer week days are plotted for three business types in </w:t>
      </w:r>
      <w:r w:rsidR="007A1FB6">
        <w:fldChar w:fldCharType="begin"/>
      </w:r>
      <w:r w:rsidR="00081415">
        <w:instrText xml:space="preserve"> REF _Ref275542462 \h </w:instrText>
      </w:r>
      <w:r w:rsidR="007A1FB6">
        <w:fldChar w:fldCharType="separate"/>
      </w:r>
      <w:r w:rsidR="00C0292F">
        <w:t xml:space="preserve">Figure </w:t>
      </w:r>
      <w:r w:rsidR="00C0292F">
        <w:rPr>
          <w:noProof/>
        </w:rPr>
        <w:t>2</w:t>
      </w:r>
      <w:r w:rsidR="00C0292F">
        <w:noBreakHyphen/>
      </w:r>
      <w:r w:rsidR="00C0292F">
        <w:rPr>
          <w:noProof/>
        </w:rPr>
        <w:t>6</w:t>
      </w:r>
      <w:r w:rsidR="007A1FB6">
        <w:fldChar w:fldCharType="end"/>
      </w:r>
    </w:p>
    <w:p w:rsidR="007E7665" w:rsidRDefault="003C7C58" w:rsidP="00C3606E">
      <w:pPr>
        <w:keepNext/>
        <w:tabs>
          <w:tab w:val="left" w:pos="720"/>
        </w:tabs>
        <w:spacing w:before="120"/>
        <w:jc w:val="both"/>
      </w:pPr>
      <w:r>
        <w:rPr>
          <w:noProof/>
          <w:sz w:val="22"/>
          <w:szCs w:val="22"/>
        </w:rPr>
        <w:lastRenderedPageBreak/>
        <w:drawing>
          <wp:inline distT="0" distB="0" distL="0" distR="0">
            <wp:extent cx="5486400" cy="23050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86400" cy="2305050"/>
                    </a:xfrm>
                    <a:prstGeom prst="rect">
                      <a:avLst/>
                    </a:prstGeom>
                    <a:noFill/>
                    <a:ln>
                      <a:noFill/>
                    </a:ln>
                  </pic:spPr>
                </pic:pic>
              </a:graphicData>
            </a:graphic>
          </wp:inline>
        </w:drawing>
      </w:r>
    </w:p>
    <w:p w:rsidR="000367BF" w:rsidRPr="00A71C1B" w:rsidRDefault="007E7665" w:rsidP="00100EDF">
      <w:pPr>
        <w:pStyle w:val="Caption"/>
      </w:pPr>
      <w:bookmarkStart w:id="335" w:name="_Ref275542462"/>
      <w:r>
        <w:t xml:space="preserve">Figure </w:t>
      </w:r>
      <w:r w:rsidR="007A1FB6">
        <w:fldChar w:fldCharType="begin"/>
      </w:r>
      <w:r w:rsidR="008B139C">
        <w:instrText xml:space="preserve"> STYLEREF 1 \s </w:instrText>
      </w:r>
      <w:r w:rsidR="007A1FB6">
        <w:fldChar w:fldCharType="separate"/>
      </w:r>
      <w:r w:rsidR="00C0292F">
        <w:rPr>
          <w:noProof/>
        </w:rPr>
        <w:t>2</w:t>
      </w:r>
      <w:r w:rsidR="007A1FB6">
        <w:fldChar w:fldCharType="end"/>
      </w:r>
      <w:r w:rsidR="008B139C">
        <w:noBreakHyphen/>
      </w:r>
      <w:r w:rsidR="007A1FB6">
        <w:fldChar w:fldCharType="begin"/>
      </w:r>
      <w:r w:rsidR="008B139C">
        <w:instrText xml:space="preserve"> SEQ Figure \* ARABIC \s 1 </w:instrText>
      </w:r>
      <w:r w:rsidR="007A1FB6">
        <w:fldChar w:fldCharType="separate"/>
      </w:r>
      <w:r w:rsidR="00C0292F">
        <w:rPr>
          <w:noProof/>
        </w:rPr>
        <w:t>6</w:t>
      </w:r>
      <w:r w:rsidR="007A1FB6">
        <w:fldChar w:fldCharType="end"/>
      </w:r>
      <w:bookmarkEnd w:id="335"/>
      <w:r>
        <w:t>:</w:t>
      </w:r>
      <w:r w:rsidR="000367BF" w:rsidRPr="00A71C1B">
        <w:t xml:space="preserve"> Load shapes for hot water in residential buildings taken from a PJM study.</w:t>
      </w:r>
    </w:p>
    <w:p w:rsidR="000367BF" w:rsidRPr="00C465DB" w:rsidRDefault="000367BF" w:rsidP="00871FA2">
      <w:pPr>
        <w:pStyle w:val="Heading3"/>
      </w:pPr>
      <w:r>
        <w:t xml:space="preserve">Definition of </w:t>
      </w:r>
      <w:r w:rsidR="00E8678C">
        <w:t>Terms</w:t>
      </w:r>
    </w:p>
    <w:p w:rsidR="000367BF" w:rsidRDefault="000367BF" w:rsidP="00C3606E">
      <w:pPr>
        <w:pStyle w:val="BodyText"/>
        <w:keepNext/>
      </w:pPr>
      <w:r>
        <w:t xml:space="preserve">The parameters in the above equation are listed in </w:t>
      </w:r>
      <w:r w:rsidR="007A1FB6">
        <w:fldChar w:fldCharType="begin"/>
      </w:r>
      <w:r w:rsidR="00081415">
        <w:instrText xml:space="preserve"> REF _Ref274917774 \h </w:instrText>
      </w:r>
      <w:r w:rsidR="007A1FB6">
        <w:fldChar w:fldCharType="separate"/>
      </w:r>
      <w:r w:rsidR="00C0292F">
        <w:t xml:space="preserve">Table </w:t>
      </w:r>
      <w:r w:rsidR="00C0292F">
        <w:rPr>
          <w:noProof/>
        </w:rPr>
        <w:t>2</w:t>
      </w:r>
      <w:r w:rsidR="00C0292F">
        <w:noBreakHyphen/>
      </w:r>
      <w:r w:rsidR="00C0292F">
        <w:rPr>
          <w:noProof/>
        </w:rPr>
        <w:t>22</w:t>
      </w:r>
      <w:r w:rsidR="007A1FB6">
        <w:fldChar w:fldCharType="end"/>
      </w:r>
      <w:r>
        <w:t>.</w:t>
      </w:r>
    </w:p>
    <w:p w:rsidR="002F1B67" w:rsidRDefault="002F1B67" w:rsidP="00100EDF">
      <w:pPr>
        <w:pStyle w:val="Caption"/>
      </w:pPr>
      <w:bookmarkStart w:id="336" w:name="_Ref274917774"/>
      <w:bookmarkStart w:id="337" w:name="_Toc310875508"/>
      <w:r>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22</w:t>
      </w:r>
      <w:r w:rsidR="00274AB1">
        <w:rPr>
          <w:noProof/>
        </w:rPr>
        <w:fldChar w:fldCharType="end"/>
      </w:r>
      <w:bookmarkEnd w:id="336"/>
      <w:r>
        <w:t xml:space="preserve">: </w:t>
      </w:r>
      <w:r w:rsidR="00940A5E">
        <w:t xml:space="preserve">Solar Water Heater </w:t>
      </w:r>
      <w:r w:rsidRPr="002C15B8">
        <w:t>Calculation Assumptions</w:t>
      </w:r>
      <w:bookmarkEnd w:id="33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1243"/>
        <w:gridCol w:w="1782"/>
        <w:gridCol w:w="1297"/>
      </w:tblGrid>
      <w:tr w:rsidR="000367BF" w:rsidRPr="00C465DB" w:rsidTr="006E0899">
        <w:trPr>
          <w:jc w:val="center"/>
        </w:trPr>
        <w:tc>
          <w:tcPr>
            <w:tcW w:w="2560" w:type="pct"/>
            <w:shd w:val="clear" w:color="auto" w:fill="BFBFBF"/>
          </w:tcPr>
          <w:p w:rsidR="000367BF" w:rsidRPr="001D6512" w:rsidRDefault="000367BF" w:rsidP="00C3606E">
            <w:pPr>
              <w:pStyle w:val="TableCell"/>
              <w:spacing w:before="60" w:after="60"/>
              <w:rPr>
                <w:b/>
              </w:rPr>
            </w:pPr>
            <w:r w:rsidRPr="001D6512">
              <w:rPr>
                <w:b/>
              </w:rPr>
              <w:t>Component</w:t>
            </w:r>
          </w:p>
        </w:tc>
        <w:tc>
          <w:tcPr>
            <w:tcW w:w="702" w:type="pct"/>
            <w:shd w:val="clear" w:color="auto" w:fill="BFBFBF"/>
          </w:tcPr>
          <w:p w:rsidR="000367BF" w:rsidRPr="001D6512" w:rsidRDefault="000367BF" w:rsidP="00C3606E">
            <w:pPr>
              <w:pStyle w:val="TableCell"/>
              <w:spacing w:before="60" w:after="60"/>
              <w:rPr>
                <w:b/>
              </w:rPr>
            </w:pPr>
            <w:r w:rsidRPr="001D6512">
              <w:rPr>
                <w:b/>
              </w:rPr>
              <w:t>Type</w:t>
            </w:r>
          </w:p>
        </w:tc>
        <w:tc>
          <w:tcPr>
            <w:tcW w:w="1006" w:type="pct"/>
            <w:shd w:val="clear" w:color="auto" w:fill="BFBFBF"/>
          </w:tcPr>
          <w:p w:rsidR="000367BF" w:rsidRPr="001D6512" w:rsidRDefault="000367BF" w:rsidP="00C3606E">
            <w:pPr>
              <w:pStyle w:val="TableCell"/>
              <w:spacing w:before="60" w:after="60"/>
              <w:rPr>
                <w:b/>
              </w:rPr>
            </w:pPr>
            <w:r w:rsidRPr="001D6512">
              <w:rPr>
                <w:b/>
              </w:rPr>
              <w:t>Values</w:t>
            </w:r>
          </w:p>
        </w:tc>
        <w:tc>
          <w:tcPr>
            <w:tcW w:w="732" w:type="pct"/>
            <w:shd w:val="clear" w:color="auto" w:fill="BFBFBF"/>
          </w:tcPr>
          <w:p w:rsidR="000367BF" w:rsidRPr="001D6512" w:rsidRDefault="000367BF" w:rsidP="00C3606E">
            <w:pPr>
              <w:pStyle w:val="TableCell"/>
              <w:spacing w:before="60" w:after="60"/>
              <w:rPr>
                <w:b/>
              </w:rPr>
            </w:pPr>
            <w:r w:rsidRPr="001D6512">
              <w:rPr>
                <w:b/>
              </w:rPr>
              <w:t xml:space="preserve">Source     </w:t>
            </w:r>
          </w:p>
        </w:tc>
      </w:tr>
      <w:tr w:rsidR="000367BF" w:rsidRPr="00C465DB" w:rsidTr="006E0899">
        <w:trPr>
          <w:jc w:val="center"/>
        </w:trPr>
        <w:tc>
          <w:tcPr>
            <w:tcW w:w="2560" w:type="pct"/>
          </w:tcPr>
          <w:p w:rsidR="000367BF" w:rsidRPr="001D6512" w:rsidRDefault="000367BF" w:rsidP="00C3606E">
            <w:pPr>
              <w:pStyle w:val="TableCell"/>
              <w:spacing w:before="60" w:after="60"/>
            </w:pPr>
            <w:r w:rsidRPr="001D6512">
              <w:t>EF</w:t>
            </w:r>
            <w:r w:rsidRPr="001D6512">
              <w:rPr>
                <w:vertAlign w:val="subscript"/>
              </w:rPr>
              <w:t>base</w:t>
            </w:r>
            <w:r w:rsidRPr="001D6512">
              <w:t xml:space="preserve"> , Energy Factor of baseline electric heater</w:t>
            </w:r>
          </w:p>
        </w:tc>
        <w:tc>
          <w:tcPr>
            <w:tcW w:w="702" w:type="pct"/>
          </w:tcPr>
          <w:p w:rsidR="000367BF" w:rsidRPr="001D6512" w:rsidRDefault="000367BF" w:rsidP="00C3606E">
            <w:pPr>
              <w:pStyle w:val="TableCell"/>
              <w:spacing w:before="60" w:after="60"/>
            </w:pPr>
            <w:r w:rsidRPr="001D6512">
              <w:t>Fixed</w:t>
            </w:r>
          </w:p>
        </w:tc>
        <w:tc>
          <w:tcPr>
            <w:tcW w:w="1006" w:type="pct"/>
          </w:tcPr>
          <w:p w:rsidR="000367BF" w:rsidRPr="001D6512" w:rsidRDefault="000367BF" w:rsidP="00291814">
            <w:pPr>
              <w:pStyle w:val="TableCell"/>
              <w:spacing w:before="60" w:after="60"/>
            </w:pPr>
            <w:r w:rsidRPr="001D6512">
              <w:t>0.9</w:t>
            </w:r>
            <w:r w:rsidR="00294E9D" w:rsidRPr="001D6512">
              <w:t>04</w:t>
            </w:r>
          </w:p>
        </w:tc>
        <w:tc>
          <w:tcPr>
            <w:tcW w:w="732" w:type="pct"/>
          </w:tcPr>
          <w:p w:rsidR="000367BF" w:rsidRPr="001D6512" w:rsidRDefault="00F721BB" w:rsidP="00C3606E">
            <w:pPr>
              <w:pStyle w:val="TableCell"/>
              <w:spacing w:before="60" w:after="60"/>
            </w:pPr>
            <w:r w:rsidRPr="001D6512">
              <w:rPr>
                <w:rStyle w:val="EndnoteReference"/>
                <w:vertAlign w:val="baseline"/>
              </w:rPr>
              <w:t>6</w:t>
            </w:r>
          </w:p>
        </w:tc>
      </w:tr>
      <w:tr w:rsidR="000367BF" w:rsidRPr="00C465DB" w:rsidTr="006E0899">
        <w:trPr>
          <w:jc w:val="center"/>
        </w:trPr>
        <w:tc>
          <w:tcPr>
            <w:tcW w:w="2560" w:type="pct"/>
          </w:tcPr>
          <w:p w:rsidR="000367BF" w:rsidRPr="001D6512" w:rsidRDefault="000367BF" w:rsidP="00C3606E">
            <w:pPr>
              <w:pStyle w:val="TableCell"/>
              <w:spacing w:before="60" w:after="60"/>
            </w:pPr>
            <w:r w:rsidRPr="001D6512">
              <w:t>EF</w:t>
            </w:r>
            <w:r w:rsidRPr="001D6512">
              <w:rPr>
                <w:vertAlign w:val="subscript"/>
              </w:rPr>
              <w:t>proposed,</w:t>
            </w:r>
            <w:r w:rsidRPr="001D6512">
              <w:t xml:space="preserve">  Year-round average Energy Factor of proposed solar water heater</w:t>
            </w:r>
          </w:p>
        </w:tc>
        <w:tc>
          <w:tcPr>
            <w:tcW w:w="702" w:type="pct"/>
          </w:tcPr>
          <w:p w:rsidR="000367BF" w:rsidRPr="001D6512" w:rsidRDefault="000367BF" w:rsidP="00C3606E">
            <w:pPr>
              <w:pStyle w:val="TableCell"/>
              <w:spacing w:before="60" w:after="60"/>
            </w:pPr>
            <w:r w:rsidRPr="001D6512">
              <w:t>Fixed</w:t>
            </w:r>
          </w:p>
        </w:tc>
        <w:tc>
          <w:tcPr>
            <w:tcW w:w="1006" w:type="pct"/>
          </w:tcPr>
          <w:p w:rsidR="000367BF" w:rsidRPr="001D6512" w:rsidRDefault="000367BF" w:rsidP="00C3606E">
            <w:pPr>
              <w:pStyle w:val="TableCell"/>
              <w:spacing w:before="60" w:after="60"/>
            </w:pPr>
            <w:r w:rsidRPr="001D6512">
              <w:t>1.84</w:t>
            </w:r>
          </w:p>
        </w:tc>
        <w:tc>
          <w:tcPr>
            <w:tcW w:w="732" w:type="pct"/>
          </w:tcPr>
          <w:p w:rsidR="000367BF" w:rsidRPr="001D6512" w:rsidRDefault="000367BF" w:rsidP="00C3606E">
            <w:pPr>
              <w:pStyle w:val="TableCell"/>
              <w:spacing w:before="60" w:after="60"/>
            </w:pPr>
            <w:r w:rsidRPr="001D6512">
              <w:t>1</w:t>
            </w:r>
          </w:p>
        </w:tc>
      </w:tr>
      <w:tr w:rsidR="000367BF" w:rsidRPr="00C465DB" w:rsidTr="006E0899">
        <w:trPr>
          <w:jc w:val="center"/>
        </w:trPr>
        <w:tc>
          <w:tcPr>
            <w:tcW w:w="2560" w:type="pct"/>
          </w:tcPr>
          <w:p w:rsidR="000367BF" w:rsidRPr="001D6512" w:rsidRDefault="000367BF" w:rsidP="00C3606E">
            <w:pPr>
              <w:pStyle w:val="TableCell"/>
              <w:spacing w:before="60" w:after="60"/>
            </w:pPr>
            <w:r w:rsidRPr="001D6512">
              <w:t>HW , Hot water used per day in gallons</w:t>
            </w:r>
          </w:p>
        </w:tc>
        <w:tc>
          <w:tcPr>
            <w:tcW w:w="702" w:type="pct"/>
          </w:tcPr>
          <w:p w:rsidR="000367BF" w:rsidRPr="001D6512" w:rsidRDefault="000367BF" w:rsidP="00C3606E">
            <w:pPr>
              <w:pStyle w:val="TableCell"/>
              <w:spacing w:before="60" w:after="60"/>
            </w:pPr>
            <w:r w:rsidRPr="001D6512">
              <w:t>Fixed</w:t>
            </w:r>
          </w:p>
        </w:tc>
        <w:tc>
          <w:tcPr>
            <w:tcW w:w="1006" w:type="pct"/>
          </w:tcPr>
          <w:p w:rsidR="000367BF" w:rsidRPr="001D6512" w:rsidRDefault="000367BF" w:rsidP="00C3606E">
            <w:pPr>
              <w:pStyle w:val="TableCell"/>
              <w:spacing w:before="60" w:after="60"/>
            </w:pPr>
            <w:r w:rsidRPr="001D6512">
              <w:t>64.3 gallon/day</w:t>
            </w:r>
          </w:p>
        </w:tc>
        <w:tc>
          <w:tcPr>
            <w:tcW w:w="732" w:type="pct"/>
          </w:tcPr>
          <w:p w:rsidR="000367BF" w:rsidRPr="001D6512" w:rsidRDefault="00F721BB" w:rsidP="00C3606E">
            <w:pPr>
              <w:pStyle w:val="TableCell"/>
              <w:spacing w:before="60" w:after="60"/>
              <w:rPr>
                <w:highlight w:val="yellow"/>
              </w:rPr>
            </w:pPr>
            <w:r w:rsidRPr="001D6512">
              <w:rPr>
                <w:rStyle w:val="EndnoteReference"/>
                <w:vertAlign w:val="baseline"/>
              </w:rPr>
              <w:t>7</w:t>
            </w:r>
          </w:p>
        </w:tc>
      </w:tr>
      <w:tr w:rsidR="000367BF" w:rsidRPr="00C465DB" w:rsidTr="006E0899">
        <w:trPr>
          <w:trHeight w:val="77"/>
          <w:jc w:val="center"/>
        </w:trPr>
        <w:tc>
          <w:tcPr>
            <w:tcW w:w="2560" w:type="pct"/>
          </w:tcPr>
          <w:p w:rsidR="000367BF" w:rsidRPr="001D6512" w:rsidRDefault="000367BF" w:rsidP="00C3606E">
            <w:pPr>
              <w:pStyle w:val="TableCell"/>
              <w:spacing w:before="60" w:after="60"/>
            </w:pPr>
            <w:r w:rsidRPr="001D6512">
              <w:t>T</w:t>
            </w:r>
            <w:r w:rsidRPr="001D6512">
              <w:rPr>
                <w:vertAlign w:val="subscript"/>
              </w:rPr>
              <w:t>hot</w:t>
            </w:r>
            <w:r w:rsidRPr="001D6512">
              <w:t xml:space="preserve"> , Temperature of hot water</w:t>
            </w:r>
          </w:p>
        </w:tc>
        <w:tc>
          <w:tcPr>
            <w:tcW w:w="702" w:type="pct"/>
          </w:tcPr>
          <w:p w:rsidR="000367BF" w:rsidRPr="001D6512" w:rsidRDefault="000367BF" w:rsidP="00C3606E">
            <w:pPr>
              <w:pStyle w:val="TableCell"/>
              <w:spacing w:before="60" w:after="60"/>
            </w:pPr>
            <w:r w:rsidRPr="001D6512">
              <w:t>Fixed</w:t>
            </w:r>
          </w:p>
        </w:tc>
        <w:tc>
          <w:tcPr>
            <w:tcW w:w="1006" w:type="pct"/>
          </w:tcPr>
          <w:p w:rsidR="000367BF" w:rsidRPr="001D6512" w:rsidRDefault="000367BF" w:rsidP="00C3606E">
            <w:pPr>
              <w:pStyle w:val="TableCell"/>
              <w:spacing w:before="60" w:after="60"/>
            </w:pPr>
            <w:r w:rsidRPr="001D6512">
              <w:t>120 F</w:t>
            </w:r>
          </w:p>
        </w:tc>
        <w:tc>
          <w:tcPr>
            <w:tcW w:w="732" w:type="pct"/>
          </w:tcPr>
          <w:p w:rsidR="000367BF" w:rsidRPr="001D6512" w:rsidRDefault="00F721BB" w:rsidP="00C3606E">
            <w:pPr>
              <w:pStyle w:val="TableCell"/>
              <w:spacing w:before="60" w:after="60"/>
            </w:pPr>
            <w:r w:rsidRPr="001D6512">
              <w:t>8</w:t>
            </w:r>
          </w:p>
        </w:tc>
      </w:tr>
      <w:tr w:rsidR="000367BF" w:rsidRPr="00C465DB" w:rsidTr="006E0899">
        <w:trPr>
          <w:jc w:val="center"/>
        </w:trPr>
        <w:tc>
          <w:tcPr>
            <w:tcW w:w="2560" w:type="pct"/>
          </w:tcPr>
          <w:p w:rsidR="000367BF" w:rsidRPr="001D6512" w:rsidRDefault="000367BF" w:rsidP="00C3606E">
            <w:pPr>
              <w:pStyle w:val="TableCell"/>
              <w:spacing w:before="60" w:after="60"/>
            </w:pPr>
            <w:r w:rsidRPr="001D6512">
              <w:t>T</w:t>
            </w:r>
            <w:r w:rsidRPr="001D6512">
              <w:rPr>
                <w:vertAlign w:val="subscript"/>
              </w:rPr>
              <w:t>cold</w:t>
            </w:r>
            <w:r w:rsidRPr="001D6512">
              <w:t xml:space="preserve"> , Temperature of cold water supply</w:t>
            </w:r>
          </w:p>
        </w:tc>
        <w:tc>
          <w:tcPr>
            <w:tcW w:w="702" w:type="pct"/>
          </w:tcPr>
          <w:p w:rsidR="000367BF" w:rsidRPr="001D6512" w:rsidRDefault="000367BF" w:rsidP="00C3606E">
            <w:pPr>
              <w:pStyle w:val="TableCell"/>
              <w:spacing w:before="60" w:after="60"/>
            </w:pPr>
            <w:r w:rsidRPr="001D6512">
              <w:t>Fixed</w:t>
            </w:r>
          </w:p>
        </w:tc>
        <w:tc>
          <w:tcPr>
            <w:tcW w:w="1006" w:type="pct"/>
          </w:tcPr>
          <w:p w:rsidR="000367BF" w:rsidRPr="001D6512" w:rsidRDefault="000367BF" w:rsidP="00C3606E">
            <w:pPr>
              <w:pStyle w:val="TableCell"/>
              <w:spacing w:before="60" w:after="60"/>
            </w:pPr>
            <w:r w:rsidRPr="001D6512">
              <w:t>55 F</w:t>
            </w:r>
          </w:p>
        </w:tc>
        <w:tc>
          <w:tcPr>
            <w:tcW w:w="732" w:type="pct"/>
          </w:tcPr>
          <w:p w:rsidR="000367BF" w:rsidRPr="001D6512" w:rsidRDefault="00F721BB" w:rsidP="00C3606E">
            <w:pPr>
              <w:pStyle w:val="TableCell"/>
              <w:spacing w:before="60" w:after="60"/>
            </w:pPr>
            <w:r w:rsidRPr="001D6512">
              <w:t>9</w:t>
            </w:r>
          </w:p>
        </w:tc>
      </w:tr>
      <w:tr w:rsidR="000367BF" w:rsidRPr="00C465DB" w:rsidTr="006E0899">
        <w:trPr>
          <w:jc w:val="center"/>
        </w:trPr>
        <w:tc>
          <w:tcPr>
            <w:tcW w:w="2560" w:type="pct"/>
          </w:tcPr>
          <w:p w:rsidR="000367BF" w:rsidRPr="001D6512" w:rsidRDefault="000367BF" w:rsidP="00C3606E">
            <w:pPr>
              <w:pStyle w:val="TableCell"/>
              <w:spacing w:before="60" w:after="60"/>
            </w:pPr>
            <w:bookmarkStart w:id="338" w:name="_Ref261277054"/>
            <w:r w:rsidRPr="001D6512">
              <w:t>Baseline Energy Usage</w:t>
            </w:r>
            <w:bookmarkEnd w:id="338"/>
            <w:r w:rsidRPr="001D6512">
              <w:t xml:space="preserve"> (kWh)</w:t>
            </w:r>
          </w:p>
        </w:tc>
        <w:tc>
          <w:tcPr>
            <w:tcW w:w="702" w:type="pct"/>
          </w:tcPr>
          <w:p w:rsidR="000367BF" w:rsidRPr="001D6512" w:rsidRDefault="000367BF" w:rsidP="00C3606E">
            <w:pPr>
              <w:pStyle w:val="TableCell"/>
              <w:spacing w:before="60" w:after="60"/>
            </w:pPr>
            <w:r w:rsidRPr="001D6512">
              <w:t xml:space="preserve">Calculated </w:t>
            </w:r>
          </w:p>
        </w:tc>
        <w:tc>
          <w:tcPr>
            <w:tcW w:w="1006" w:type="pct"/>
          </w:tcPr>
          <w:p w:rsidR="000367BF" w:rsidRPr="001D6512" w:rsidRDefault="000367BF" w:rsidP="00C3606E">
            <w:pPr>
              <w:pStyle w:val="TableCell"/>
              <w:spacing w:before="60" w:after="60"/>
            </w:pPr>
            <w:r w:rsidRPr="001D6512">
              <w:t>4,</w:t>
            </w:r>
            <w:r w:rsidR="004943A2" w:rsidRPr="001D6512">
              <w:t>104</w:t>
            </w:r>
          </w:p>
        </w:tc>
        <w:tc>
          <w:tcPr>
            <w:tcW w:w="732" w:type="pct"/>
          </w:tcPr>
          <w:p w:rsidR="000367BF" w:rsidRPr="001D6512" w:rsidRDefault="000367BF" w:rsidP="00C3606E">
            <w:pPr>
              <w:pStyle w:val="TableCell"/>
              <w:spacing w:before="60" w:after="60"/>
            </w:pPr>
          </w:p>
        </w:tc>
      </w:tr>
      <w:tr w:rsidR="000367BF" w:rsidRPr="00C465DB" w:rsidTr="006E0899">
        <w:trPr>
          <w:jc w:val="center"/>
        </w:trPr>
        <w:tc>
          <w:tcPr>
            <w:tcW w:w="2560" w:type="pct"/>
          </w:tcPr>
          <w:p w:rsidR="000367BF" w:rsidRPr="001D6512" w:rsidRDefault="000367BF" w:rsidP="00C3606E">
            <w:pPr>
              <w:pStyle w:val="TableCell"/>
              <w:spacing w:before="60" w:after="60"/>
            </w:pPr>
            <w:r w:rsidRPr="001D6512">
              <w:t>EnergyToDemandFactor: Ratio of average Noon to 8 PM usage during summer peak to annual energy usage</w:t>
            </w:r>
          </w:p>
        </w:tc>
        <w:tc>
          <w:tcPr>
            <w:tcW w:w="702" w:type="pct"/>
          </w:tcPr>
          <w:p w:rsidR="000367BF" w:rsidRPr="001D6512" w:rsidRDefault="000367BF" w:rsidP="00C3606E">
            <w:pPr>
              <w:pStyle w:val="TableCell"/>
              <w:spacing w:before="60" w:after="60"/>
            </w:pPr>
            <w:r w:rsidRPr="001D6512">
              <w:t>Fixed</w:t>
            </w:r>
          </w:p>
        </w:tc>
        <w:tc>
          <w:tcPr>
            <w:tcW w:w="1006" w:type="pct"/>
          </w:tcPr>
          <w:p w:rsidR="000367BF" w:rsidRPr="001D6512" w:rsidRDefault="000367BF" w:rsidP="00C3606E">
            <w:pPr>
              <w:pStyle w:val="TableCell"/>
              <w:spacing w:before="60" w:after="60"/>
            </w:pPr>
            <w:r w:rsidRPr="001D6512">
              <w:t>0.00009172</w:t>
            </w:r>
          </w:p>
        </w:tc>
        <w:tc>
          <w:tcPr>
            <w:tcW w:w="732" w:type="pct"/>
          </w:tcPr>
          <w:p w:rsidR="000367BF" w:rsidRPr="001D6512" w:rsidRDefault="000367BF" w:rsidP="00C3606E">
            <w:pPr>
              <w:pStyle w:val="TableCell"/>
              <w:spacing w:before="60" w:after="60"/>
            </w:pPr>
            <w:r w:rsidRPr="001D6512">
              <w:t>2-5</w:t>
            </w:r>
          </w:p>
        </w:tc>
      </w:tr>
    </w:tbl>
    <w:p w:rsidR="00F721BB" w:rsidRDefault="00F721BB" w:rsidP="00C3606E">
      <w:pPr>
        <w:pStyle w:val="BodyText"/>
        <w:spacing w:after="0"/>
        <w:rPr>
          <w:i/>
        </w:rPr>
      </w:pPr>
    </w:p>
    <w:p w:rsidR="00F721BB" w:rsidRPr="00BC5194" w:rsidRDefault="00F721BB" w:rsidP="00100EDF">
      <w:pPr>
        <w:rPr>
          <w:b/>
        </w:rPr>
      </w:pPr>
      <w:r w:rsidRPr="00BC5194">
        <w:rPr>
          <w:b/>
        </w:rPr>
        <w:t>Source</w:t>
      </w:r>
      <w:r w:rsidR="0007450F" w:rsidRPr="00BC5194">
        <w:rPr>
          <w:b/>
        </w:rPr>
        <w:t>s</w:t>
      </w:r>
      <w:r w:rsidRPr="00BC5194">
        <w:rPr>
          <w:b/>
        </w:rPr>
        <w:t>:</w:t>
      </w:r>
    </w:p>
    <w:p w:rsidR="00F721BB" w:rsidRDefault="00940A5E" w:rsidP="0005632A">
      <w:pPr>
        <w:pStyle w:val="source1"/>
        <w:numPr>
          <w:ilvl w:val="0"/>
          <w:numId w:val="34"/>
        </w:numPr>
      </w:pPr>
      <w:r>
        <w:t>T</w:t>
      </w:r>
      <w:r w:rsidR="00F721BB">
        <w:t>he average energy factor for all solar water heaters with collector areas of 50 ft</w:t>
      </w:r>
      <w:r w:rsidR="00F721BB" w:rsidRPr="00940A5E">
        <w:rPr>
          <w:vertAlign w:val="superscript"/>
        </w:rPr>
        <w:t>2</w:t>
      </w:r>
      <w:r w:rsidR="00F721BB">
        <w:t xml:space="preserve"> or smaller </w:t>
      </w:r>
      <w:r>
        <w:t xml:space="preserve">is </w:t>
      </w:r>
      <w:r w:rsidR="00F721BB">
        <w:t xml:space="preserve">from http://www.solar-rating.org/ratings/ratings.htm.  As a cross check, we have calculated that the total available solar energy in PA for the same set of solar collectors is about twice as much as the savings claimed herein – that is, there is sufficient solar capacity to actualize an average energy factor of 1.84. </w:t>
      </w:r>
    </w:p>
    <w:p w:rsidR="00F721BB" w:rsidRDefault="00F721BB" w:rsidP="00C3606E">
      <w:pPr>
        <w:pStyle w:val="source1"/>
      </w:pPr>
      <w:r>
        <w:t xml:space="preserve">Deemed Savings Estimates for Legacy Air Conditioning and Water Heating Direct Load Control Programs in PJM Region. The report can be accessed online: http://www.pjm.com/~/media/committees-groups/working-groups/lrwg/20070301/20070301-pjm-deemed-savings-report.ashx  , </w:t>
      </w:r>
    </w:p>
    <w:p w:rsidR="00F721BB" w:rsidRDefault="00F721BB" w:rsidP="00C3606E">
      <w:pPr>
        <w:pStyle w:val="source1"/>
      </w:pPr>
      <w:r>
        <w:lastRenderedPageBreak/>
        <w:t>The average is over all 82 water heaters and over all summer, spring/fall, or winter days.  The  load shapes are taken from the fourth columns, labeled “Mean”, in tables 14,15, and 16 in pages 5-31 and 5-32</w:t>
      </w:r>
    </w:p>
    <w:p w:rsidR="00F721BB" w:rsidRDefault="00F721BB" w:rsidP="00C3606E">
      <w:pPr>
        <w:pStyle w:val="source1"/>
      </w:pPr>
      <w:r>
        <w:t xml:space="preserve">On the other hand, the band would have to </w:t>
      </w:r>
      <w:r w:rsidR="00940A5E">
        <w:t xml:space="preserve">be </w:t>
      </w:r>
      <w:r>
        <w:t>expanded to at least 12 hours to capture all 100 hours.</w:t>
      </w:r>
    </w:p>
    <w:p w:rsidR="00F721BB" w:rsidRDefault="00F721BB" w:rsidP="00C3606E">
      <w:pPr>
        <w:pStyle w:val="source1"/>
      </w:pPr>
      <w:r>
        <w:t>The 5th column, labeled “Mean” of Table 18 in page 5-34 is used to derive an adjustment factor that scales average summer usage to summer weekday usage.    The conversion factor is 0.925844.  A number smaller than one indicates that for residential homes, the hot water usage from noon to 8 PM is slightly higher is the weekends than on weekdays.</w:t>
      </w:r>
    </w:p>
    <w:p w:rsidR="00F721BB" w:rsidRDefault="00F721BB" w:rsidP="00C3606E">
      <w:pPr>
        <w:pStyle w:val="source1"/>
      </w:pPr>
      <w:r>
        <w:t>Federal Standards are 0.97 -0.00132 x Rated Storage in Gallons.  For a 50-gallon tank this is approximately 0.90.  “Energy Conservation Program: Energy Conservation Standards for Residential Water Heaters, Direct Heating Equipment, and Pool Heaters” US Dept of Energy Docket Number: EE–2006–BT-STD–0129, p. 30</w:t>
      </w:r>
    </w:p>
    <w:p w:rsidR="00F721BB" w:rsidRDefault="00F721BB" w:rsidP="00C3606E">
      <w:pPr>
        <w:pStyle w:val="source1"/>
      </w:pPr>
      <w:r>
        <w:t>“Energy Conservation Program for Consumer Products: Test Procedure for Water Heaters”, Federal Register / Vol. 63, No. 90, p. 25996</w:t>
      </w:r>
    </w:p>
    <w:p w:rsidR="00F721BB" w:rsidRDefault="00F721BB" w:rsidP="00C3606E">
      <w:pPr>
        <w:pStyle w:val="source1"/>
      </w:pPr>
      <w:r>
        <w:t>Many states have plumbing codes that limit shower and bathtub water temperature to 120 °F.</w:t>
      </w:r>
    </w:p>
    <w:p w:rsidR="00F721BB" w:rsidRDefault="00F721BB" w:rsidP="00C3606E">
      <w:pPr>
        <w:pStyle w:val="source1"/>
        <w:spacing w:after="200"/>
      </w:pPr>
      <w:r>
        <w:t>Mid-Atlantic TRM, footnote #24</w:t>
      </w:r>
    </w:p>
    <w:p w:rsidR="000367BF" w:rsidRDefault="000367BF" w:rsidP="00871FA2">
      <w:pPr>
        <w:pStyle w:val="Heading3"/>
      </w:pPr>
      <w:r w:rsidRPr="00837206">
        <w:t>Deemed Savings</w:t>
      </w:r>
    </w:p>
    <w:p w:rsidR="00E8678C" w:rsidRPr="00AA2C40" w:rsidRDefault="00E8678C" w:rsidP="00E8678C">
      <w:pPr>
        <w:pStyle w:val="Equation"/>
        <w:rPr>
          <w:rFonts w:cs="Arial"/>
          <w:noProof/>
          <w:szCs w:val="20"/>
        </w:rPr>
      </w:pPr>
      <w:r w:rsidRPr="00AA2C40">
        <w:rPr>
          <w:rFonts w:cs="Arial"/>
          <w:szCs w:val="20"/>
        </w:rPr>
        <w:sym w:font="Symbol" w:char="F044"/>
      </w:r>
      <w:r w:rsidRPr="00AA2C40">
        <w:rPr>
          <w:rFonts w:cs="Arial"/>
          <w:szCs w:val="20"/>
        </w:rPr>
        <w:t>kWh</w:t>
      </w:r>
      <w:r w:rsidRPr="00AA2C40">
        <w:rPr>
          <w:rFonts w:cs="Arial"/>
          <w:szCs w:val="20"/>
        </w:rPr>
        <w:tab/>
      </w:r>
      <w:r w:rsidRPr="00AA2C40">
        <w:rPr>
          <w:rFonts w:cs="Arial"/>
          <w:szCs w:val="20"/>
        </w:rPr>
        <w:tab/>
        <w:t xml:space="preserve"> = 2,</w:t>
      </w:r>
      <w:r w:rsidR="00383803">
        <w:rPr>
          <w:rFonts w:cs="Arial"/>
          <w:szCs w:val="20"/>
        </w:rPr>
        <w:t>088</w:t>
      </w:r>
      <w:r w:rsidR="00383803" w:rsidRPr="00AA2C40">
        <w:rPr>
          <w:rFonts w:cs="Arial"/>
          <w:noProof/>
          <w:szCs w:val="20"/>
        </w:rPr>
        <w:t xml:space="preserve"> </w:t>
      </w:r>
      <w:r w:rsidRPr="00AA2C40">
        <w:rPr>
          <w:rFonts w:cs="Arial"/>
          <w:noProof/>
          <w:szCs w:val="20"/>
        </w:rPr>
        <w:t>kWh</w:t>
      </w:r>
    </w:p>
    <w:p w:rsidR="00E8678C" w:rsidRPr="00AA2C40" w:rsidRDefault="00E8678C" w:rsidP="00E8678C">
      <w:pPr>
        <w:pStyle w:val="Equation"/>
        <w:rPr>
          <w:rFonts w:cs="Arial"/>
          <w:noProof/>
          <w:szCs w:val="20"/>
          <w:vertAlign w:val="subscript"/>
        </w:rPr>
      </w:pPr>
      <w:r w:rsidRPr="00AA2C40">
        <w:rPr>
          <w:rFonts w:cs="Arial"/>
          <w:szCs w:val="20"/>
        </w:rPr>
        <w:sym w:font="Symbol" w:char="F044"/>
      </w:r>
      <w:r w:rsidRPr="00AA2C40">
        <w:rPr>
          <w:rFonts w:cs="Arial"/>
          <w:szCs w:val="20"/>
        </w:rPr>
        <w:t>kW</w:t>
      </w:r>
      <w:r w:rsidRPr="00AA2C40">
        <w:rPr>
          <w:rFonts w:cs="Arial"/>
          <w:szCs w:val="20"/>
          <w:vertAlign w:val="subscript"/>
        </w:rPr>
        <w:t>peak</w:t>
      </w:r>
      <w:r w:rsidRPr="00AA2C40">
        <w:rPr>
          <w:rFonts w:cs="Arial"/>
          <w:szCs w:val="20"/>
          <w:vertAlign w:val="subscript"/>
        </w:rPr>
        <w:tab/>
      </w:r>
      <w:r w:rsidRPr="00AA2C40">
        <w:rPr>
          <w:rFonts w:cs="Arial"/>
          <w:szCs w:val="20"/>
        </w:rPr>
        <w:tab/>
        <w:t xml:space="preserve">= </w:t>
      </w:r>
      <w:r w:rsidRPr="00AA2C40">
        <w:rPr>
          <w:rFonts w:cs="Arial"/>
          <w:noProof/>
          <w:szCs w:val="20"/>
        </w:rPr>
        <w:t>0.</w:t>
      </w:r>
      <w:r w:rsidR="004943A2" w:rsidRPr="00AA2C40">
        <w:rPr>
          <w:rFonts w:cs="Arial"/>
          <w:noProof/>
          <w:szCs w:val="20"/>
        </w:rPr>
        <w:t>37</w:t>
      </w:r>
      <w:r w:rsidR="004943A2">
        <w:rPr>
          <w:rFonts w:cs="Arial"/>
          <w:noProof/>
          <w:szCs w:val="20"/>
        </w:rPr>
        <w:t>6</w:t>
      </w:r>
      <w:r w:rsidR="004943A2" w:rsidRPr="00AA2C40">
        <w:rPr>
          <w:rFonts w:cs="Arial"/>
          <w:noProof/>
          <w:szCs w:val="20"/>
        </w:rPr>
        <w:t xml:space="preserve"> </w:t>
      </w:r>
      <w:r w:rsidRPr="00AA2C40">
        <w:rPr>
          <w:rFonts w:cs="Arial"/>
          <w:noProof/>
          <w:szCs w:val="20"/>
        </w:rPr>
        <w:t>kW</w:t>
      </w:r>
    </w:p>
    <w:p w:rsidR="000367BF" w:rsidRPr="00C465DB" w:rsidRDefault="000367BF" w:rsidP="00871FA2">
      <w:pPr>
        <w:pStyle w:val="Heading3"/>
      </w:pPr>
      <w:r w:rsidRPr="00837206">
        <w:t>Measure Life</w:t>
      </w:r>
    </w:p>
    <w:p w:rsidR="000367BF" w:rsidRPr="00C465DB" w:rsidRDefault="000367BF" w:rsidP="00F721BB">
      <w:pPr>
        <w:pStyle w:val="BodyText"/>
      </w:pPr>
      <w:r>
        <w:t xml:space="preserve">The expected useful life is 20 years, according to </w:t>
      </w:r>
      <w:r w:rsidR="00325EF4">
        <w:t>ENERGY STAR</w:t>
      </w:r>
      <w:r w:rsidR="00F721BB">
        <w:rPr>
          <w:rStyle w:val="FootnoteReference"/>
        </w:rPr>
        <w:footnoteReference w:id="44"/>
      </w:r>
      <w:r w:rsidR="00F721BB">
        <w:rPr>
          <w:sz w:val="22"/>
        </w:rPr>
        <w:t>.</w:t>
      </w:r>
    </w:p>
    <w:p w:rsidR="000367BF" w:rsidRPr="00C465DB" w:rsidRDefault="000367BF" w:rsidP="00871FA2">
      <w:pPr>
        <w:pStyle w:val="Heading3"/>
      </w:pPr>
      <w:r w:rsidRPr="00837206">
        <w:t>Evaluation Protocols</w:t>
      </w:r>
    </w:p>
    <w:p w:rsidR="000367BF" w:rsidRPr="00C465DB" w:rsidRDefault="000367BF" w:rsidP="00F721BB">
      <w:pPr>
        <w:pStyle w:val="BodyText"/>
      </w:pPr>
      <w:r w:rsidRPr="00837206">
        <w:t>The most appropriate evaluation protocol for this measure is verification of installation coupled with assignment of stipulated energy savings.</w:t>
      </w:r>
    </w:p>
    <w:p w:rsidR="000367BF" w:rsidRPr="00C465DB" w:rsidRDefault="000367BF" w:rsidP="000367BF">
      <w:pPr>
        <w:rPr>
          <w:sz w:val="22"/>
        </w:rPr>
      </w:pPr>
    </w:p>
    <w:p w:rsidR="00F721BB" w:rsidRPr="002E1D8D" w:rsidRDefault="00F721BB" w:rsidP="00E568D4">
      <w:pPr>
        <w:pStyle w:val="Heading2"/>
      </w:pPr>
      <w:r>
        <w:br w:type="page"/>
      </w:r>
      <w:bookmarkStart w:id="339" w:name="_Toc310875414"/>
      <w:r w:rsidR="00136F8D">
        <w:lastRenderedPageBreak/>
        <w:t xml:space="preserve">Electric </w:t>
      </w:r>
      <w:r>
        <w:t>Water Heater Pipe Insulation</w:t>
      </w:r>
      <w:bookmarkEnd w:id="339"/>
    </w:p>
    <w:tbl>
      <w:tblPr>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168"/>
        <w:gridCol w:w="5688"/>
      </w:tblGrid>
      <w:tr w:rsidR="00F721BB" w:rsidRPr="002E1D8D" w:rsidTr="00F84A22">
        <w:tc>
          <w:tcPr>
            <w:tcW w:w="3168" w:type="dxa"/>
            <w:tcBorders>
              <w:top w:val="single" w:sz="8" w:space="0" w:color="404040"/>
              <w:left w:val="single" w:sz="8" w:space="0" w:color="404040"/>
              <w:bottom w:val="single" w:sz="8" w:space="0" w:color="404040"/>
              <w:right w:val="single" w:sz="8" w:space="0" w:color="404040"/>
            </w:tcBorders>
            <w:shd w:val="clear" w:color="auto" w:fill="BFBFBF"/>
          </w:tcPr>
          <w:p w:rsidR="00F721BB" w:rsidRPr="001D6512" w:rsidRDefault="00F721BB" w:rsidP="00F84A22">
            <w:pPr>
              <w:pStyle w:val="TableCell"/>
              <w:spacing w:before="60" w:after="60"/>
              <w:rPr>
                <w:b/>
                <w:bCs/>
              </w:rPr>
            </w:pPr>
            <w:r w:rsidRPr="001D6512">
              <w:rPr>
                <w:b/>
                <w:bCs/>
              </w:rPr>
              <w:t>Measure Name</w:t>
            </w:r>
          </w:p>
        </w:tc>
        <w:tc>
          <w:tcPr>
            <w:tcW w:w="5688" w:type="dxa"/>
            <w:tcBorders>
              <w:top w:val="single" w:sz="8" w:space="0" w:color="404040"/>
              <w:left w:val="single" w:sz="8" w:space="0" w:color="404040"/>
              <w:bottom w:val="single" w:sz="8" w:space="0" w:color="404040"/>
              <w:right w:val="single" w:sz="8" w:space="0" w:color="404040"/>
            </w:tcBorders>
            <w:shd w:val="clear" w:color="auto" w:fill="BFBFBF"/>
          </w:tcPr>
          <w:p w:rsidR="00F721BB" w:rsidRPr="001D6512" w:rsidRDefault="006D2E98" w:rsidP="00F84A22">
            <w:pPr>
              <w:pStyle w:val="TableCell"/>
              <w:spacing w:before="60" w:after="60"/>
              <w:rPr>
                <w:b/>
                <w:bCs/>
              </w:rPr>
            </w:pPr>
            <w:r w:rsidRPr="001D6512">
              <w:rPr>
                <w:b/>
                <w:bCs/>
              </w:rPr>
              <w:t xml:space="preserve">Electric </w:t>
            </w:r>
            <w:r w:rsidR="000F6E91" w:rsidRPr="001D6512">
              <w:rPr>
                <w:b/>
                <w:bCs/>
              </w:rPr>
              <w:t xml:space="preserve">Water Heater </w:t>
            </w:r>
            <w:r w:rsidR="00F721BB" w:rsidRPr="001D6512">
              <w:rPr>
                <w:b/>
                <w:bCs/>
              </w:rPr>
              <w:t>Pipe Insulation</w:t>
            </w:r>
          </w:p>
        </w:tc>
      </w:tr>
      <w:tr w:rsidR="00F721BB" w:rsidRPr="002E1D8D" w:rsidTr="00F84A22">
        <w:tc>
          <w:tcPr>
            <w:tcW w:w="3168" w:type="dxa"/>
            <w:tcBorders>
              <w:top w:val="single" w:sz="8" w:space="0" w:color="404040"/>
              <w:left w:val="single" w:sz="8" w:space="0" w:color="404040"/>
              <w:bottom w:val="single" w:sz="8" w:space="0" w:color="404040"/>
              <w:right w:val="single" w:sz="8" w:space="0" w:color="404040"/>
            </w:tcBorders>
            <w:shd w:val="clear" w:color="auto" w:fill="FFFFFF"/>
          </w:tcPr>
          <w:p w:rsidR="00F721BB" w:rsidRPr="00865117" w:rsidRDefault="00F721BB" w:rsidP="00F84A22">
            <w:pPr>
              <w:pStyle w:val="TableCell"/>
              <w:spacing w:before="60" w:after="60"/>
              <w:rPr>
                <w:b/>
                <w:bCs/>
                <w:color w:val="000000"/>
              </w:rPr>
            </w:pPr>
            <w:r w:rsidRPr="00865117">
              <w:rPr>
                <w:b/>
                <w:bCs/>
                <w:color w:val="000000"/>
              </w:rPr>
              <w:t>Target Sector</w:t>
            </w:r>
          </w:p>
        </w:tc>
        <w:tc>
          <w:tcPr>
            <w:tcW w:w="5688" w:type="dxa"/>
            <w:tcBorders>
              <w:top w:val="single" w:sz="8" w:space="0" w:color="404040"/>
              <w:left w:val="single" w:sz="8" w:space="0" w:color="404040"/>
              <w:bottom w:val="single" w:sz="8" w:space="0" w:color="404040"/>
              <w:right w:val="single" w:sz="8" w:space="0" w:color="404040"/>
            </w:tcBorders>
            <w:shd w:val="clear" w:color="auto" w:fill="FFFFFF"/>
          </w:tcPr>
          <w:p w:rsidR="00F721BB" w:rsidRPr="001D6512" w:rsidRDefault="00F721BB" w:rsidP="00F84A22">
            <w:pPr>
              <w:pStyle w:val="TableCell"/>
              <w:spacing w:before="60" w:after="60"/>
              <w:rPr>
                <w:color w:val="000000"/>
              </w:rPr>
            </w:pPr>
            <w:r w:rsidRPr="001D6512">
              <w:rPr>
                <w:color w:val="000000"/>
              </w:rPr>
              <w:t>Residential Establishments</w:t>
            </w:r>
          </w:p>
        </w:tc>
      </w:tr>
      <w:tr w:rsidR="00F721BB" w:rsidRPr="002E1D8D" w:rsidTr="00F84A22">
        <w:tc>
          <w:tcPr>
            <w:tcW w:w="3168" w:type="dxa"/>
            <w:tcBorders>
              <w:top w:val="single" w:sz="8" w:space="0" w:color="404040"/>
              <w:left w:val="single" w:sz="8" w:space="0" w:color="404040"/>
              <w:bottom w:val="single" w:sz="8" w:space="0" w:color="404040"/>
              <w:right w:val="single" w:sz="8" w:space="0" w:color="404040"/>
            </w:tcBorders>
            <w:shd w:val="clear" w:color="auto" w:fill="auto"/>
          </w:tcPr>
          <w:p w:rsidR="00F721BB" w:rsidRPr="00865117" w:rsidRDefault="00F721BB" w:rsidP="00F84A22">
            <w:pPr>
              <w:pStyle w:val="TableCell"/>
              <w:spacing w:before="60" w:after="60"/>
              <w:rPr>
                <w:b/>
                <w:bCs/>
                <w:color w:val="000000"/>
              </w:rPr>
            </w:pPr>
            <w:r w:rsidRPr="00865117">
              <w:rPr>
                <w:b/>
                <w:bCs/>
                <w:color w:val="000000"/>
              </w:rPr>
              <w:t>Measure Unit</w:t>
            </w:r>
          </w:p>
        </w:tc>
        <w:tc>
          <w:tcPr>
            <w:tcW w:w="5688" w:type="dxa"/>
            <w:tcBorders>
              <w:top w:val="single" w:sz="8" w:space="0" w:color="404040"/>
              <w:left w:val="single" w:sz="8" w:space="0" w:color="404040"/>
              <w:bottom w:val="single" w:sz="8" w:space="0" w:color="404040"/>
              <w:right w:val="single" w:sz="8" w:space="0" w:color="404040"/>
            </w:tcBorders>
            <w:shd w:val="clear" w:color="auto" w:fill="auto"/>
          </w:tcPr>
          <w:p w:rsidR="00F721BB" w:rsidRPr="001D6512" w:rsidRDefault="00F721BB" w:rsidP="00F84A22">
            <w:pPr>
              <w:pStyle w:val="TableCell"/>
              <w:spacing w:before="60" w:after="60"/>
              <w:rPr>
                <w:color w:val="000000"/>
              </w:rPr>
            </w:pPr>
            <w:r w:rsidRPr="001D6512">
              <w:rPr>
                <w:color w:val="000000"/>
              </w:rPr>
              <w:t>Water Heater</w:t>
            </w:r>
          </w:p>
        </w:tc>
      </w:tr>
      <w:tr w:rsidR="00F721BB" w:rsidRPr="002E1D8D" w:rsidTr="00F84A22">
        <w:tc>
          <w:tcPr>
            <w:tcW w:w="3168" w:type="dxa"/>
            <w:tcBorders>
              <w:top w:val="single" w:sz="8" w:space="0" w:color="404040"/>
              <w:left w:val="single" w:sz="8" w:space="0" w:color="404040"/>
              <w:bottom w:val="single" w:sz="8" w:space="0" w:color="404040"/>
              <w:right w:val="single" w:sz="8" w:space="0" w:color="404040"/>
            </w:tcBorders>
            <w:shd w:val="clear" w:color="auto" w:fill="FFFFFF"/>
          </w:tcPr>
          <w:p w:rsidR="00F721BB" w:rsidRPr="00865117" w:rsidRDefault="00F721BB" w:rsidP="00F84A22">
            <w:pPr>
              <w:pStyle w:val="TableCell"/>
              <w:spacing w:before="60" w:after="60"/>
              <w:rPr>
                <w:b/>
                <w:bCs/>
                <w:color w:val="000000"/>
              </w:rPr>
            </w:pPr>
            <w:r w:rsidRPr="00865117">
              <w:rPr>
                <w:b/>
                <w:bCs/>
                <w:color w:val="000000"/>
              </w:rPr>
              <w:t>Unit Energy Savings</w:t>
            </w:r>
          </w:p>
        </w:tc>
        <w:tc>
          <w:tcPr>
            <w:tcW w:w="5688" w:type="dxa"/>
            <w:tcBorders>
              <w:top w:val="single" w:sz="8" w:space="0" w:color="404040"/>
              <w:left w:val="single" w:sz="8" w:space="0" w:color="404040"/>
              <w:bottom w:val="single" w:sz="8" w:space="0" w:color="404040"/>
              <w:right w:val="single" w:sz="8" w:space="0" w:color="404040"/>
            </w:tcBorders>
            <w:shd w:val="clear" w:color="auto" w:fill="FFFFFF"/>
          </w:tcPr>
          <w:p w:rsidR="00F721BB" w:rsidRPr="001D6512" w:rsidRDefault="00F721BB" w:rsidP="00F84A22">
            <w:pPr>
              <w:pStyle w:val="TableCell"/>
              <w:spacing w:before="60" w:after="60"/>
              <w:rPr>
                <w:color w:val="000000"/>
              </w:rPr>
            </w:pPr>
            <w:r w:rsidRPr="001D6512">
              <w:rPr>
                <w:color w:val="000000"/>
              </w:rPr>
              <w:t>124 kWh</w:t>
            </w:r>
          </w:p>
        </w:tc>
      </w:tr>
      <w:tr w:rsidR="00F721BB" w:rsidRPr="002E1D8D" w:rsidTr="00F84A22">
        <w:tc>
          <w:tcPr>
            <w:tcW w:w="3168" w:type="dxa"/>
            <w:tcBorders>
              <w:top w:val="single" w:sz="8" w:space="0" w:color="404040"/>
              <w:left w:val="single" w:sz="8" w:space="0" w:color="404040"/>
              <w:bottom w:val="single" w:sz="8" w:space="0" w:color="404040"/>
              <w:right w:val="single" w:sz="8" w:space="0" w:color="404040"/>
            </w:tcBorders>
            <w:shd w:val="clear" w:color="auto" w:fill="auto"/>
          </w:tcPr>
          <w:p w:rsidR="00F721BB" w:rsidRPr="00865117" w:rsidRDefault="00F721BB" w:rsidP="00F84A22">
            <w:pPr>
              <w:pStyle w:val="TableCell"/>
              <w:spacing w:before="60" w:after="60"/>
              <w:rPr>
                <w:b/>
                <w:bCs/>
                <w:color w:val="000000"/>
              </w:rPr>
            </w:pPr>
            <w:r w:rsidRPr="00865117">
              <w:rPr>
                <w:b/>
                <w:bCs/>
                <w:color w:val="000000"/>
              </w:rPr>
              <w:t>Unit Peak Demand Reduction</w:t>
            </w:r>
          </w:p>
        </w:tc>
        <w:tc>
          <w:tcPr>
            <w:tcW w:w="5688" w:type="dxa"/>
            <w:tcBorders>
              <w:top w:val="single" w:sz="8" w:space="0" w:color="404040"/>
              <w:left w:val="single" w:sz="8" w:space="0" w:color="404040"/>
              <w:bottom w:val="single" w:sz="8" w:space="0" w:color="404040"/>
              <w:right w:val="single" w:sz="8" w:space="0" w:color="404040"/>
            </w:tcBorders>
            <w:shd w:val="clear" w:color="auto" w:fill="auto"/>
          </w:tcPr>
          <w:p w:rsidR="00F721BB" w:rsidRPr="001D6512" w:rsidRDefault="00F721BB" w:rsidP="00F84A22">
            <w:pPr>
              <w:pStyle w:val="TableCell"/>
              <w:spacing w:before="60" w:after="60"/>
              <w:rPr>
                <w:color w:val="000000"/>
              </w:rPr>
            </w:pPr>
            <w:r w:rsidRPr="001D6512">
              <w:rPr>
                <w:color w:val="000000"/>
              </w:rPr>
              <w:t xml:space="preserve"> 0.011 kW</w:t>
            </w:r>
          </w:p>
        </w:tc>
      </w:tr>
      <w:tr w:rsidR="00F721BB" w:rsidRPr="002E1D8D" w:rsidTr="00F84A22">
        <w:tc>
          <w:tcPr>
            <w:tcW w:w="3168" w:type="dxa"/>
            <w:tcBorders>
              <w:top w:val="single" w:sz="8" w:space="0" w:color="404040"/>
              <w:left w:val="single" w:sz="8" w:space="0" w:color="404040"/>
              <w:bottom w:val="single" w:sz="8" w:space="0" w:color="404040"/>
              <w:right w:val="single" w:sz="8" w:space="0" w:color="404040"/>
            </w:tcBorders>
            <w:shd w:val="clear" w:color="auto" w:fill="FFFFFF"/>
          </w:tcPr>
          <w:p w:rsidR="00F721BB" w:rsidRPr="00865117" w:rsidRDefault="00F721BB" w:rsidP="00F84A22">
            <w:pPr>
              <w:pStyle w:val="TableCell"/>
              <w:spacing w:before="60" w:after="60"/>
              <w:rPr>
                <w:b/>
                <w:bCs/>
                <w:color w:val="000000"/>
              </w:rPr>
            </w:pPr>
            <w:r w:rsidRPr="00865117">
              <w:rPr>
                <w:b/>
                <w:bCs/>
                <w:color w:val="000000"/>
              </w:rPr>
              <w:t>Measure Life</w:t>
            </w:r>
          </w:p>
        </w:tc>
        <w:tc>
          <w:tcPr>
            <w:tcW w:w="5688" w:type="dxa"/>
            <w:tcBorders>
              <w:top w:val="single" w:sz="8" w:space="0" w:color="404040"/>
              <w:left w:val="single" w:sz="8" w:space="0" w:color="404040"/>
              <w:bottom w:val="single" w:sz="8" w:space="0" w:color="404040"/>
              <w:right w:val="single" w:sz="8" w:space="0" w:color="404040"/>
            </w:tcBorders>
            <w:shd w:val="clear" w:color="auto" w:fill="FFFFFF"/>
          </w:tcPr>
          <w:p w:rsidR="00F721BB" w:rsidRPr="001D6512" w:rsidRDefault="00F721BB" w:rsidP="00F84A22">
            <w:pPr>
              <w:pStyle w:val="TableCell"/>
              <w:spacing w:before="60" w:after="60"/>
              <w:rPr>
                <w:color w:val="000000"/>
              </w:rPr>
            </w:pPr>
            <w:r w:rsidRPr="001D6512">
              <w:rPr>
                <w:color w:val="000000"/>
              </w:rPr>
              <w:t>13 years</w:t>
            </w:r>
          </w:p>
        </w:tc>
      </w:tr>
    </w:tbl>
    <w:p w:rsidR="00F721BB" w:rsidRDefault="00F721BB" w:rsidP="00BC5194">
      <w:pPr>
        <w:rPr>
          <w:highlight w:val="yellow"/>
        </w:rPr>
      </w:pPr>
    </w:p>
    <w:p w:rsidR="006D2E98" w:rsidRDefault="00F721BB" w:rsidP="00F721BB">
      <w:pPr>
        <w:pStyle w:val="BodyText"/>
      </w:pPr>
      <w:r w:rsidRPr="002E1D8D">
        <w:t xml:space="preserve">This measure relates to the installation of </w:t>
      </w:r>
      <w:r>
        <w:t xml:space="preserve">foam insulation </w:t>
      </w:r>
      <w:r w:rsidR="006D2E98">
        <w:t>and reducing the water heating set</w:t>
      </w:r>
      <w:r w:rsidR="00B076A9">
        <w:t xml:space="preserve"> </w:t>
      </w:r>
      <w:r w:rsidR="006D2E98">
        <w:t xml:space="preserve">point from 3-4 degrees Fahrenheit </w:t>
      </w:r>
      <w:r>
        <w:t xml:space="preserve">on </w:t>
      </w:r>
      <w:r w:rsidRPr="00092FDC">
        <w:t>10 feet of exposed pipe in unconditioned space, ¾” thick.</w:t>
      </w:r>
      <w:r w:rsidRPr="002E1D8D">
        <w:t xml:space="preserve">  The baseline </w:t>
      </w:r>
      <w:r>
        <w:t xml:space="preserve">for this measure </w:t>
      </w:r>
      <w:r w:rsidRPr="002E1D8D">
        <w:t xml:space="preserve">is a standard </w:t>
      </w:r>
      <w:r>
        <w:t>efficiency electric water heater (EF=0.90) with an annual energy usage of 4,122 kWh</w:t>
      </w:r>
      <w:r w:rsidRPr="002E1D8D">
        <w:t>.</w:t>
      </w:r>
    </w:p>
    <w:p w:rsidR="00F721BB" w:rsidRPr="002E1D8D" w:rsidRDefault="00E8678C" w:rsidP="00871FA2">
      <w:pPr>
        <w:pStyle w:val="Heading3"/>
      </w:pPr>
      <w:r>
        <w:t>Eligibility</w:t>
      </w:r>
    </w:p>
    <w:p w:rsidR="00F721BB" w:rsidRDefault="00F721BB" w:rsidP="00F721BB">
      <w:pPr>
        <w:pStyle w:val="BodyText"/>
      </w:pPr>
      <w:r w:rsidRPr="002E1D8D">
        <w:t xml:space="preserve">This protocol documents the energy savings for </w:t>
      </w:r>
      <w:r>
        <w:t xml:space="preserve">an </w:t>
      </w:r>
      <w:r w:rsidRPr="002E1D8D">
        <w:t>electric water he</w:t>
      </w:r>
      <w:r>
        <w:t>ater</w:t>
      </w:r>
      <w:r w:rsidRPr="002E1D8D">
        <w:t xml:space="preserve"> attributable to </w:t>
      </w:r>
      <w:r>
        <w:t xml:space="preserve">insulating </w:t>
      </w:r>
      <w:r w:rsidRPr="00092FDC">
        <w:t>10 feet of exposed pipe in unconditioned space, ¾” thick.</w:t>
      </w:r>
      <w:r>
        <w:t xml:space="preserve"> </w:t>
      </w:r>
      <w:r w:rsidRPr="002E1D8D">
        <w:t>The target sector primarily consists of residential residences.</w:t>
      </w:r>
    </w:p>
    <w:p w:rsidR="00F721BB" w:rsidRPr="002E1D8D" w:rsidRDefault="00E8678C" w:rsidP="00871FA2">
      <w:pPr>
        <w:pStyle w:val="Heading3"/>
      </w:pPr>
      <w:r>
        <w:t>Algorithms</w:t>
      </w:r>
    </w:p>
    <w:p w:rsidR="00F721BB" w:rsidRDefault="00F721BB" w:rsidP="00F721BB">
      <w:pPr>
        <w:pStyle w:val="BodyText"/>
      </w:pPr>
      <w:r w:rsidRPr="002E1D8D">
        <w:t xml:space="preserve">The </w:t>
      </w:r>
      <w:r>
        <w:t xml:space="preserve">annual </w:t>
      </w:r>
      <w:r w:rsidRPr="002E1D8D">
        <w:t xml:space="preserve">energy savings </w:t>
      </w:r>
      <w:r>
        <w:t xml:space="preserve">are assumed to be 3% of the annual energy use of an electric water heater (4,122 kWh), or 124 kWh.  This estimate is based on a recent report prepared by the ACEEE for the State of </w:t>
      </w:r>
      <w:smartTag w:uri="urn:schemas-microsoft-com:office:smarttags" w:element="State">
        <w:smartTag w:uri="urn:schemas-microsoft-com:office:smarttags" w:element="place">
          <w:r>
            <w:t>Pennsylvania</w:t>
          </w:r>
        </w:smartTag>
      </w:smartTag>
      <w:r>
        <w:t>.</w:t>
      </w:r>
      <w:r w:rsidR="00B72E70">
        <w:rPr>
          <w:rStyle w:val="FootnoteReference"/>
        </w:rPr>
        <w:footnoteReference w:id="45"/>
      </w:r>
    </w:p>
    <w:p w:rsidR="00E8678C" w:rsidRPr="00AA2C40" w:rsidRDefault="00E8678C" w:rsidP="00E8678C">
      <w:pPr>
        <w:pStyle w:val="Equation"/>
        <w:rPr>
          <w:rFonts w:cs="Arial"/>
          <w:szCs w:val="20"/>
        </w:rPr>
      </w:pPr>
      <w:r w:rsidRPr="00AA2C40">
        <w:rPr>
          <w:rFonts w:cs="Arial"/>
          <w:szCs w:val="20"/>
        </w:rPr>
        <w:t>ΔkWh</w:t>
      </w:r>
      <w:r w:rsidRPr="00AA2C40">
        <w:rPr>
          <w:rFonts w:cs="Arial"/>
          <w:szCs w:val="20"/>
        </w:rPr>
        <w:tab/>
      </w:r>
      <w:r w:rsidRPr="00AA2C40">
        <w:rPr>
          <w:rFonts w:cs="Arial"/>
          <w:szCs w:val="20"/>
        </w:rPr>
        <w:tab/>
        <w:t>= 124 kWh</w:t>
      </w:r>
      <w:r w:rsidRPr="00AA2C40">
        <w:rPr>
          <w:rFonts w:cs="Arial"/>
          <w:szCs w:val="20"/>
        </w:rPr>
        <w:tab/>
      </w:r>
    </w:p>
    <w:p w:rsidR="00F721BB" w:rsidRPr="00AA2C40" w:rsidRDefault="00F721BB" w:rsidP="000A55E4">
      <w:pPr>
        <w:pStyle w:val="BodyText"/>
        <w:rPr>
          <w:rFonts w:cs="Arial"/>
        </w:rPr>
      </w:pPr>
      <w:r w:rsidRPr="00AA2C40">
        <w:rPr>
          <w:rFonts w:cs="Arial"/>
        </w:rPr>
        <w:t>The summer coincident peak kW savings are calculated as follows:</w:t>
      </w:r>
      <w:r w:rsidRPr="00AA2C40">
        <w:rPr>
          <w:rFonts w:cs="Arial"/>
        </w:rPr>
        <w:tab/>
      </w:r>
    </w:p>
    <w:p w:rsidR="00F721BB" w:rsidRPr="00AA2C40" w:rsidRDefault="00F721BB" w:rsidP="00F7332F">
      <w:pPr>
        <w:pStyle w:val="Equation"/>
        <w:rPr>
          <w:rFonts w:cs="Arial"/>
          <w:szCs w:val="20"/>
        </w:rPr>
      </w:pPr>
      <w:r w:rsidRPr="00AA2C40">
        <w:rPr>
          <w:rFonts w:cs="Arial"/>
          <w:szCs w:val="20"/>
        </w:rPr>
        <w:t>ΔkW</w:t>
      </w:r>
      <w:r w:rsidR="00E8678C" w:rsidRPr="00AA2C40">
        <w:rPr>
          <w:rFonts w:cs="Arial"/>
          <w:szCs w:val="20"/>
          <w:vertAlign w:val="subscript"/>
        </w:rPr>
        <w:t>peak</w:t>
      </w:r>
      <w:r w:rsidRPr="00AA2C40">
        <w:rPr>
          <w:rFonts w:cs="Arial"/>
          <w:szCs w:val="20"/>
        </w:rPr>
        <w:tab/>
      </w:r>
      <w:r w:rsidR="000A55E4" w:rsidRPr="00AA2C40">
        <w:rPr>
          <w:rFonts w:cs="Arial"/>
          <w:szCs w:val="20"/>
        </w:rPr>
        <w:tab/>
      </w:r>
      <w:r w:rsidRPr="00AA2C40">
        <w:rPr>
          <w:rFonts w:cs="Arial"/>
          <w:szCs w:val="20"/>
        </w:rPr>
        <w:t xml:space="preserve">= ΔkWh  *  </w:t>
      </w:r>
      <w:r w:rsidR="00E8678C" w:rsidRPr="00AA2C40">
        <w:rPr>
          <w:rFonts w:cs="Arial"/>
          <w:szCs w:val="20"/>
        </w:rPr>
        <w:t>EnergyToDemandFactor</w:t>
      </w:r>
      <w:r w:rsidRPr="00AA2C40">
        <w:rPr>
          <w:rFonts w:cs="Arial"/>
          <w:szCs w:val="20"/>
        </w:rPr>
        <w:tab/>
      </w:r>
    </w:p>
    <w:p w:rsidR="00E8678C" w:rsidRPr="002E1D8D" w:rsidRDefault="00E8678C" w:rsidP="00871FA2">
      <w:pPr>
        <w:pStyle w:val="Heading3"/>
      </w:pPr>
      <w:r>
        <w:t>Definition of Terms</w:t>
      </w:r>
    </w:p>
    <w:p w:rsidR="00F721BB" w:rsidRPr="00AA2C40" w:rsidRDefault="000A55E4" w:rsidP="00F7332F">
      <w:pPr>
        <w:pStyle w:val="Equation"/>
        <w:rPr>
          <w:rFonts w:cs="Arial"/>
          <w:szCs w:val="20"/>
        </w:rPr>
      </w:pPr>
      <w:r w:rsidRPr="00AA2C40">
        <w:rPr>
          <w:rFonts w:cs="Arial"/>
          <w:szCs w:val="20"/>
        </w:rPr>
        <w:tab/>
      </w:r>
      <w:r w:rsidR="00F721BB" w:rsidRPr="00AA2C40">
        <w:rPr>
          <w:rFonts w:cs="Arial"/>
          <w:szCs w:val="20"/>
        </w:rPr>
        <w:t xml:space="preserve">ΔkWh </w:t>
      </w:r>
      <w:r w:rsidRPr="00AA2C40">
        <w:rPr>
          <w:rFonts w:cs="Arial"/>
          <w:szCs w:val="20"/>
        </w:rPr>
        <w:tab/>
      </w:r>
      <w:r w:rsidR="00F721BB" w:rsidRPr="00AA2C40">
        <w:rPr>
          <w:rFonts w:cs="Arial"/>
          <w:szCs w:val="20"/>
        </w:rPr>
        <w:t>=</w:t>
      </w:r>
      <w:r w:rsidRPr="00AA2C40">
        <w:rPr>
          <w:rFonts w:cs="Arial"/>
          <w:szCs w:val="20"/>
        </w:rPr>
        <w:t xml:space="preserve"> </w:t>
      </w:r>
      <w:r w:rsidR="00F721BB" w:rsidRPr="00AA2C40">
        <w:rPr>
          <w:rFonts w:cs="Arial"/>
          <w:szCs w:val="20"/>
        </w:rPr>
        <w:t>Annual kWh savings = 124kWh per fixture installed</w:t>
      </w:r>
    </w:p>
    <w:p w:rsidR="00F721BB" w:rsidRPr="00AA2C40" w:rsidRDefault="000A55E4" w:rsidP="00F7332F">
      <w:pPr>
        <w:pStyle w:val="Equation"/>
        <w:rPr>
          <w:rFonts w:cs="Arial"/>
          <w:szCs w:val="20"/>
        </w:rPr>
      </w:pPr>
      <w:r w:rsidRPr="00AA2C40">
        <w:rPr>
          <w:rFonts w:cs="Arial"/>
          <w:szCs w:val="20"/>
        </w:rPr>
        <w:tab/>
      </w:r>
      <w:r w:rsidR="00E8678C" w:rsidRPr="00AA2C40">
        <w:rPr>
          <w:rFonts w:cs="Arial"/>
          <w:szCs w:val="20"/>
        </w:rPr>
        <w:t>EnergyToDemandFactor</w:t>
      </w:r>
      <w:r w:rsidR="00F721BB" w:rsidRPr="00AA2C40">
        <w:rPr>
          <w:rFonts w:cs="Arial"/>
          <w:szCs w:val="20"/>
        </w:rPr>
        <w:t>=</w:t>
      </w:r>
      <w:r w:rsidRPr="00AA2C40">
        <w:rPr>
          <w:rFonts w:cs="Arial"/>
          <w:szCs w:val="20"/>
        </w:rPr>
        <w:t xml:space="preserve"> </w:t>
      </w:r>
      <w:r w:rsidR="00F721BB" w:rsidRPr="00AA2C40">
        <w:rPr>
          <w:rFonts w:cs="Arial"/>
          <w:szCs w:val="20"/>
        </w:rPr>
        <w:t>Summer peak coincidence factor for measure = 0.00009172</w:t>
      </w:r>
      <w:r w:rsidR="00B72E70" w:rsidRPr="00AA2C40">
        <w:rPr>
          <w:rStyle w:val="FootnoteReference"/>
          <w:rFonts w:cs="Arial"/>
          <w:szCs w:val="20"/>
        </w:rPr>
        <w:footnoteReference w:id="46"/>
      </w:r>
    </w:p>
    <w:p w:rsidR="00F721BB" w:rsidRPr="00AA2C40" w:rsidRDefault="000A55E4" w:rsidP="00F7332F">
      <w:pPr>
        <w:pStyle w:val="Equation"/>
        <w:rPr>
          <w:rFonts w:cs="Arial"/>
          <w:szCs w:val="20"/>
        </w:rPr>
      </w:pPr>
      <w:r w:rsidRPr="00AA2C40">
        <w:rPr>
          <w:rFonts w:cs="Arial"/>
          <w:szCs w:val="20"/>
        </w:rPr>
        <w:tab/>
      </w:r>
      <w:r w:rsidR="00F721BB" w:rsidRPr="00AA2C40">
        <w:rPr>
          <w:rFonts w:cs="Arial"/>
          <w:szCs w:val="20"/>
        </w:rPr>
        <w:t>ΔkW</w:t>
      </w:r>
      <w:r w:rsidR="00E8678C" w:rsidRPr="00AA2C40">
        <w:rPr>
          <w:rFonts w:cs="Arial"/>
          <w:szCs w:val="20"/>
          <w:vertAlign w:val="subscript"/>
        </w:rPr>
        <w:t>peak</w:t>
      </w:r>
      <w:r w:rsidR="00F721BB" w:rsidRPr="00AA2C40">
        <w:rPr>
          <w:rFonts w:cs="Arial"/>
          <w:szCs w:val="20"/>
        </w:rPr>
        <w:t xml:space="preserve"> </w:t>
      </w:r>
      <w:r w:rsidRPr="00AA2C40">
        <w:rPr>
          <w:rFonts w:cs="Arial"/>
          <w:szCs w:val="20"/>
        </w:rPr>
        <w:tab/>
      </w:r>
      <w:r w:rsidR="00F721BB" w:rsidRPr="00AA2C40">
        <w:rPr>
          <w:rFonts w:cs="Arial"/>
          <w:szCs w:val="20"/>
        </w:rPr>
        <w:t>=Summer peak kW savings =</w:t>
      </w:r>
      <w:r w:rsidR="00F721BB" w:rsidRPr="00AA2C40">
        <w:rPr>
          <w:rFonts w:cs="Arial"/>
          <w:szCs w:val="20"/>
        </w:rPr>
        <w:tab/>
        <w:t>0.011 kW.</w:t>
      </w:r>
    </w:p>
    <w:p w:rsidR="00F721BB" w:rsidRPr="002E1D8D" w:rsidRDefault="00F721BB" w:rsidP="00E8678C">
      <w:pPr>
        <w:pStyle w:val="BodyText"/>
        <w:keepNext/>
      </w:pPr>
      <w:r w:rsidRPr="002E1D8D">
        <w:lastRenderedPageBreak/>
        <w:t>The demand reduction is taken as the annual energy savings multiplied by the ratio of the average energy usage during noon and 8PM on summer weekdays to the total annual energy usage.</w:t>
      </w:r>
      <w:r>
        <w:t xml:space="preserve"> </w:t>
      </w:r>
      <w:r w:rsidRPr="002E1D8D">
        <w:t>The Energy to Demand Factor</w:t>
      </w:r>
      <w:r w:rsidR="00E8678C">
        <w:t xml:space="preserve"> </w:t>
      </w:r>
      <w:r w:rsidRPr="002E1D8D">
        <w:t xml:space="preserve">is defined </w:t>
      </w:r>
      <w:r>
        <w:t>as</w:t>
      </w:r>
      <w:r w:rsidRPr="002E1D8D">
        <w:t>:</w:t>
      </w:r>
    </w:p>
    <w:p w:rsidR="00F721BB" w:rsidRPr="003C7C58" w:rsidRDefault="003C7C58" w:rsidP="000A55E4">
      <w:pPr>
        <w:pStyle w:val="Equation"/>
        <w:ind w:left="0" w:firstLine="0"/>
        <w:rPr>
          <w:i w:val="0"/>
        </w:rPr>
      </w:pPr>
      <m:oMathPara>
        <m:oMathParaPr>
          <m:jc m:val="left"/>
        </m:oMathParaPr>
        <m:oMath>
          <m:r>
            <m:rPr>
              <m:nor/>
            </m:rPr>
            <m:t>EnergyToDemandFactor</m:t>
          </m:r>
          <m:r>
            <m:rPr>
              <m:nor/>
            </m:rPr>
            <w:rPr>
              <w:rFonts w:ascii="Cambria Math"/>
            </w:rPr>
            <m:t xml:space="preserve">             </m:t>
          </m:r>
          <m:r>
            <m:rPr>
              <m:nor/>
            </m:rPr>
            <m:t>=</m:t>
          </m:r>
          <m:r>
            <m:rPr>
              <m:nor/>
            </m:rPr>
            <w:rPr>
              <w:rFonts w:ascii="Cambria Math"/>
            </w:rPr>
            <m:t xml:space="preserve"> </m:t>
          </m:r>
          <m:f>
            <m:fPr>
              <m:ctrlPr>
                <w:rPr>
                  <w:rFonts w:ascii="Cambria Math" w:hAnsi="Cambria Math"/>
                </w:rPr>
              </m:ctrlPr>
            </m:fPr>
            <m:num>
              <m:sSub>
                <m:sSubPr>
                  <m:ctrlPr>
                    <w:rPr>
                      <w:rFonts w:ascii="Cambria Math" w:hAnsi="Cambria Math"/>
                    </w:rPr>
                  </m:ctrlPr>
                </m:sSubPr>
                <m:e>
                  <m:r>
                    <m:rPr>
                      <m:nor/>
                    </m:rPr>
                    <m:t>Average Usage</m:t>
                  </m:r>
                </m:e>
                <m:sub>
                  <m:r>
                    <m:rPr>
                      <m:nor/>
                    </m:rPr>
                    <m:t>Summer WD Noon</m:t>
                  </m:r>
                  <m:r>
                    <m:rPr>
                      <m:nor/>
                    </m:rPr>
                    <w:rPr>
                      <w:rFonts w:hAnsi="Cambria Math"/>
                    </w:rPr>
                    <m:t>-</m:t>
                  </m:r>
                  <m:r>
                    <m:rPr>
                      <m:nor/>
                    </m:rPr>
                    <m:t>8</m:t>
                  </m:r>
                </m:sub>
              </m:sSub>
            </m:num>
            <m:den>
              <m:r>
                <m:rPr>
                  <m:nor/>
                </m:rPr>
                <w:rPr>
                  <w:rFonts w:hAnsi="Cambria Math"/>
                </w:rPr>
                <m:t>Annual</m:t>
              </m:r>
              <m:r>
                <m:rPr>
                  <m:nor/>
                </m:rPr>
                <m:t xml:space="preserve"> </m:t>
              </m:r>
              <m:r>
                <m:rPr>
                  <m:nor/>
                </m:rPr>
                <w:rPr>
                  <w:rFonts w:hAnsi="Cambria Math"/>
                </w:rPr>
                <m:t>Energy</m:t>
              </m:r>
              <m:r>
                <m:rPr>
                  <m:nor/>
                </m:rPr>
                <m:t xml:space="preserve"> </m:t>
              </m:r>
              <m:r>
                <m:rPr>
                  <m:nor/>
                </m:rPr>
                <w:rPr>
                  <w:rFonts w:hAnsi="Cambria Math"/>
                </w:rPr>
                <m:t>Usage</m:t>
              </m:r>
            </m:den>
          </m:f>
        </m:oMath>
      </m:oMathPara>
    </w:p>
    <w:p w:rsidR="00F721BB" w:rsidRPr="002E1D8D" w:rsidRDefault="00F721BB" w:rsidP="00C3606E">
      <w:pPr>
        <w:pStyle w:val="BodyText"/>
      </w:pPr>
      <w:r w:rsidRPr="002E1D8D">
        <w:t>The ratio of the average energy usage during noon and 8 PM on summer weekdays to the total annual energy usage is taken from load shape data collected for a water heater and HVAC demand response study for PJM</w:t>
      </w:r>
      <w:r w:rsidR="00B72E70">
        <w:rPr>
          <w:rStyle w:val="FootnoteReference"/>
        </w:rPr>
        <w:footnoteReference w:id="47"/>
      </w:r>
      <w:r w:rsidRPr="002E1D8D">
        <w:t>.  The factor is constructed as follows:</w:t>
      </w:r>
    </w:p>
    <w:p w:rsidR="00F721BB" w:rsidRPr="002E1D8D" w:rsidRDefault="00F721BB" w:rsidP="0005632A">
      <w:pPr>
        <w:pStyle w:val="source1"/>
        <w:numPr>
          <w:ilvl w:val="0"/>
          <w:numId w:val="35"/>
        </w:numPr>
      </w:pPr>
      <w:r w:rsidRPr="002E1D8D">
        <w:t xml:space="preserve">Obtain the average kW, as monitored for 82 water heaters in PJM territory, for each hour of the typical day summer, winter, and spring/fall days.  Weight the results (91 summer days, 91 winter days, </w:t>
      </w:r>
      <w:r w:rsidR="00F11594" w:rsidRPr="002E1D8D">
        <w:t>and 183</w:t>
      </w:r>
      <w:r w:rsidRPr="002E1D8D">
        <w:t xml:space="preserve"> spring/fall days) to obtain annual energy usage.</w:t>
      </w:r>
    </w:p>
    <w:p w:rsidR="00F721BB" w:rsidRPr="002E1D8D" w:rsidRDefault="00F721BB" w:rsidP="00C3606E">
      <w:pPr>
        <w:pStyle w:val="source1"/>
      </w:pPr>
      <w:r w:rsidRPr="002E1D8D">
        <w:t xml:space="preserve">Obtain the average kW during noon to 8 PM on summer days from the same data.  </w:t>
      </w:r>
    </w:p>
    <w:p w:rsidR="00F721BB" w:rsidRPr="002E1D8D" w:rsidRDefault="00F721BB" w:rsidP="00C3606E">
      <w:pPr>
        <w:pStyle w:val="source1"/>
      </w:pPr>
      <w:r w:rsidRPr="002E1D8D">
        <w:t xml:space="preserve">The average noon to 8 PM demand is converted to average </w:t>
      </w:r>
      <w:r w:rsidRPr="002E1D8D">
        <w:rPr>
          <w:i/>
        </w:rPr>
        <w:t>weekday</w:t>
      </w:r>
      <w:r w:rsidRPr="002E1D8D">
        <w:t xml:space="preserve"> noon to 8 PM demand through comparison of weekday and weekend monitored loads from the same PJM study</w:t>
      </w:r>
      <w:r>
        <w:t>,</w:t>
      </w:r>
      <w:r w:rsidRPr="002E1D8D">
        <w:t xml:space="preserve">  </w:t>
      </w:r>
    </w:p>
    <w:p w:rsidR="00F721BB" w:rsidRDefault="00F721BB" w:rsidP="00C3606E">
      <w:pPr>
        <w:pStyle w:val="source1"/>
        <w:spacing w:after="200"/>
      </w:pPr>
      <w:r w:rsidRPr="002E1D8D">
        <w:t>The ratio of the average weekday noon to 8 PM energy demand to the annual energy usage obtained in step 1.  The resulting number, 0.00009172, is the Energy to Demand Factor</w:t>
      </w:r>
      <w:r>
        <w:t>, or Coincidence Factor.</w:t>
      </w:r>
    </w:p>
    <w:p w:rsidR="00F721BB" w:rsidRDefault="00F721BB" w:rsidP="00C3606E">
      <w:pPr>
        <w:pStyle w:val="BodyText"/>
      </w:pPr>
      <w:r w:rsidRPr="002E1D8D">
        <w:t xml:space="preserve">The load shapes (fractions of annual energy usage that occur within each hour) during summer week days are plotted </w:t>
      </w:r>
      <w:r w:rsidR="005F63C6">
        <w:t xml:space="preserve">in </w:t>
      </w:r>
      <w:r w:rsidR="007A1FB6">
        <w:fldChar w:fldCharType="begin"/>
      </w:r>
      <w:r w:rsidR="00081415">
        <w:instrText xml:space="preserve"> REF _Ref275542463 \h </w:instrText>
      </w:r>
      <w:r w:rsidR="007A1FB6">
        <w:fldChar w:fldCharType="separate"/>
      </w:r>
      <w:r w:rsidR="00C0292F">
        <w:t xml:space="preserve">Figure </w:t>
      </w:r>
      <w:r w:rsidR="00C0292F">
        <w:rPr>
          <w:noProof/>
        </w:rPr>
        <w:t>2</w:t>
      </w:r>
      <w:r w:rsidR="00C0292F">
        <w:noBreakHyphen/>
      </w:r>
      <w:r w:rsidR="00C0292F">
        <w:rPr>
          <w:noProof/>
        </w:rPr>
        <w:t>7</w:t>
      </w:r>
      <w:r w:rsidR="007A1FB6">
        <w:fldChar w:fldCharType="end"/>
      </w:r>
    </w:p>
    <w:p w:rsidR="000A55E4" w:rsidRDefault="003C7C58" w:rsidP="00C3606E">
      <w:pPr>
        <w:keepNext/>
        <w:tabs>
          <w:tab w:val="left" w:pos="720"/>
        </w:tabs>
        <w:spacing w:before="120"/>
        <w:jc w:val="both"/>
      </w:pPr>
      <w:r>
        <w:rPr>
          <w:rFonts w:cs="Arial"/>
          <w:noProof/>
          <w:sz w:val="22"/>
          <w:szCs w:val="22"/>
        </w:rPr>
        <w:lastRenderedPageBreak/>
        <w:drawing>
          <wp:inline distT="0" distB="0" distL="0" distR="0">
            <wp:extent cx="5486400" cy="23050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86400" cy="2305050"/>
                    </a:xfrm>
                    <a:prstGeom prst="rect">
                      <a:avLst/>
                    </a:prstGeom>
                    <a:noFill/>
                    <a:ln>
                      <a:noFill/>
                    </a:ln>
                  </pic:spPr>
                </pic:pic>
              </a:graphicData>
            </a:graphic>
          </wp:inline>
        </w:drawing>
      </w:r>
    </w:p>
    <w:p w:rsidR="00F721BB" w:rsidRPr="00D84D79" w:rsidRDefault="000A55E4" w:rsidP="00100EDF">
      <w:pPr>
        <w:pStyle w:val="Caption"/>
      </w:pPr>
      <w:bookmarkStart w:id="340" w:name="_Ref275542463"/>
      <w:r>
        <w:t xml:space="preserve">Figure </w:t>
      </w:r>
      <w:r w:rsidR="007A1FB6">
        <w:fldChar w:fldCharType="begin"/>
      </w:r>
      <w:r w:rsidR="008B139C">
        <w:instrText xml:space="preserve"> STYLEREF 1 \s </w:instrText>
      </w:r>
      <w:r w:rsidR="007A1FB6">
        <w:fldChar w:fldCharType="separate"/>
      </w:r>
      <w:r w:rsidR="00C0292F">
        <w:rPr>
          <w:noProof/>
        </w:rPr>
        <w:t>2</w:t>
      </w:r>
      <w:r w:rsidR="007A1FB6">
        <w:fldChar w:fldCharType="end"/>
      </w:r>
      <w:r w:rsidR="008B139C">
        <w:noBreakHyphen/>
      </w:r>
      <w:r w:rsidR="007A1FB6">
        <w:fldChar w:fldCharType="begin"/>
      </w:r>
      <w:r w:rsidR="008B139C">
        <w:instrText xml:space="preserve"> SEQ Figure \* ARABIC \s 1 </w:instrText>
      </w:r>
      <w:r w:rsidR="007A1FB6">
        <w:fldChar w:fldCharType="separate"/>
      </w:r>
      <w:r w:rsidR="00C0292F">
        <w:rPr>
          <w:noProof/>
        </w:rPr>
        <w:t>7</w:t>
      </w:r>
      <w:r w:rsidR="007A1FB6">
        <w:fldChar w:fldCharType="end"/>
      </w:r>
      <w:bookmarkEnd w:id="340"/>
      <w:r w:rsidR="00F721BB" w:rsidRPr="00D84D79">
        <w:t>: Load shapes for hot water in residential buildings taken from a PJM study.</w:t>
      </w:r>
    </w:p>
    <w:p w:rsidR="00F721BB" w:rsidRPr="002E1D8D" w:rsidRDefault="00F721BB" w:rsidP="00871FA2">
      <w:pPr>
        <w:pStyle w:val="Heading3"/>
      </w:pPr>
      <w:r w:rsidRPr="002E1D8D">
        <w:t>Measure Life</w:t>
      </w:r>
    </w:p>
    <w:p w:rsidR="00F721BB" w:rsidRPr="002E1D8D" w:rsidRDefault="00F721BB" w:rsidP="00E8678C">
      <w:pPr>
        <w:pStyle w:val="BodyText"/>
        <w:keepNext/>
      </w:pPr>
      <w:r w:rsidRPr="002E1D8D">
        <w:t>According to</w:t>
      </w:r>
      <w:r>
        <w:t xml:space="preserve"> the Efficiency Vermont </w:t>
      </w:r>
      <w:r w:rsidRPr="00403CCF">
        <w:t>Technical Reference User Manual (TRM)</w:t>
      </w:r>
      <w:r>
        <w:t xml:space="preserve">, the expected measure life is </w:t>
      </w:r>
      <w:r>
        <w:rPr>
          <w:b/>
        </w:rPr>
        <w:t>13</w:t>
      </w:r>
      <w:r w:rsidRPr="002E1D8D">
        <w:rPr>
          <w:b/>
        </w:rPr>
        <w:t xml:space="preserve"> years</w:t>
      </w:r>
      <w:r w:rsidR="00B72E70">
        <w:rPr>
          <w:rStyle w:val="FootnoteReference"/>
          <w:b/>
        </w:rPr>
        <w:footnoteReference w:id="48"/>
      </w:r>
      <w:r w:rsidRPr="002E1D8D">
        <w:t>.</w:t>
      </w:r>
    </w:p>
    <w:p w:rsidR="00F721BB" w:rsidRPr="002E1D8D" w:rsidRDefault="00F721BB" w:rsidP="00871FA2">
      <w:pPr>
        <w:pStyle w:val="Heading3"/>
      </w:pPr>
      <w:r w:rsidRPr="002E1D8D">
        <w:t>Evaluation Protocols</w:t>
      </w:r>
    </w:p>
    <w:p w:rsidR="00F721BB" w:rsidRPr="002E1D8D" w:rsidRDefault="00F721BB" w:rsidP="00B72E70">
      <w:pPr>
        <w:pStyle w:val="BodyText"/>
      </w:pPr>
      <w:r w:rsidRPr="002E1D8D">
        <w:t xml:space="preserve">The most appropriate evaluation protocol for this measure is verification of installation coupled with </w:t>
      </w:r>
      <w:r w:rsidRPr="000227F8">
        <w:t>assignment of stipulated energy savings.</w:t>
      </w:r>
    </w:p>
    <w:p w:rsidR="00F47DC4" w:rsidRPr="006657C9" w:rsidRDefault="00B72E70" w:rsidP="00E568D4">
      <w:pPr>
        <w:pStyle w:val="Heading2"/>
      </w:pPr>
      <w:r>
        <w:br w:type="page"/>
      </w:r>
      <w:bookmarkStart w:id="341" w:name="_Toc310875415"/>
      <w:r w:rsidR="00F47DC4" w:rsidRPr="006657C9">
        <w:lastRenderedPageBreak/>
        <w:t>Residential Whole House Fans</w:t>
      </w:r>
      <w:bookmarkEnd w:id="341"/>
    </w:p>
    <w:tbl>
      <w:tblPr>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168"/>
        <w:gridCol w:w="5688"/>
      </w:tblGrid>
      <w:tr w:rsidR="00B076A9" w:rsidRPr="002E1D8D" w:rsidTr="00B076A9">
        <w:tc>
          <w:tcPr>
            <w:tcW w:w="3168" w:type="dxa"/>
            <w:tcBorders>
              <w:top w:val="single" w:sz="8" w:space="0" w:color="404040"/>
              <w:left w:val="single" w:sz="8" w:space="0" w:color="404040"/>
              <w:bottom w:val="single" w:sz="8" w:space="0" w:color="404040"/>
              <w:right w:val="single" w:sz="8" w:space="0" w:color="404040"/>
            </w:tcBorders>
            <w:shd w:val="clear" w:color="auto" w:fill="BFBFBF"/>
          </w:tcPr>
          <w:p w:rsidR="00B076A9" w:rsidRPr="001D6512" w:rsidRDefault="00B076A9" w:rsidP="00B076A9">
            <w:pPr>
              <w:pStyle w:val="TableCell"/>
              <w:spacing w:before="60" w:after="60"/>
              <w:rPr>
                <w:b/>
                <w:bCs/>
              </w:rPr>
            </w:pPr>
            <w:r w:rsidRPr="001D6512">
              <w:rPr>
                <w:b/>
                <w:bCs/>
              </w:rPr>
              <w:t>Measure Name</w:t>
            </w:r>
          </w:p>
        </w:tc>
        <w:tc>
          <w:tcPr>
            <w:tcW w:w="5688" w:type="dxa"/>
            <w:tcBorders>
              <w:top w:val="single" w:sz="8" w:space="0" w:color="404040"/>
              <w:left w:val="single" w:sz="8" w:space="0" w:color="404040"/>
              <w:bottom w:val="single" w:sz="8" w:space="0" w:color="404040"/>
              <w:right w:val="single" w:sz="8" w:space="0" w:color="404040"/>
            </w:tcBorders>
            <w:shd w:val="clear" w:color="auto" w:fill="BFBFBF"/>
          </w:tcPr>
          <w:p w:rsidR="00B076A9" w:rsidRPr="001D6512" w:rsidRDefault="00B076A9" w:rsidP="00B076A9">
            <w:pPr>
              <w:pStyle w:val="TableCell"/>
              <w:spacing w:before="60" w:after="60"/>
              <w:rPr>
                <w:b/>
                <w:bCs/>
              </w:rPr>
            </w:pPr>
            <w:r w:rsidRPr="001D6512">
              <w:rPr>
                <w:b/>
                <w:bCs/>
              </w:rPr>
              <w:t>Whole House Fans</w:t>
            </w:r>
          </w:p>
        </w:tc>
      </w:tr>
      <w:tr w:rsidR="00B076A9" w:rsidRPr="002E1D8D" w:rsidTr="00B076A9">
        <w:tc>
          <w:tcPr>
            <w:tcW w:w="3168" w:type="dxa"/>
            <w:tcBorders>
              <w:top w:val="single" w:sz="8" w:space="0" w:color="404040"/>
              <w:left w:val="single" w:sz="8" w:space="0" w:color="404040"/>
              <w:bottom w:val="single" w:sz="8" w:space="0" w:color="404040"/>
              <w:right w:val="single" w:sz="8" w:space="0" w:color="404040"/>
            </w:tcBorders>
            <w:shd w:val="clear" w:color="auto" w:fill="FFFFFF"/>
          </w:tcPr>
          <w:p w:rsidR="00B076A9" w:rsidRPr="00865117" w:rsidRDefault="00B076A9" w:rsidP="00B076A9">
            <w:pPr>
              <w:pStyle w:val="TableCell"/>
              <w:spacing w:before="60" w:after="60"/>
              <w:rPr>
                <w:b/>
                <w:bCs/>
                <w:color w:val="000000"/>
              </w:rPr>
            </w:pPr>
            <w:r w:rsidRPr="00865117">
              <w:rPr>
                <w:b/>
                <w:bCs/>
                <w:color w:val="000000"/>
              </w:rPr>
              <w:t>Target Sector</w:t>
            </w:r>
          </w:p>
        </w:tc>
        <w:tc>
          <w:tcPr>
            <w:tcW w:w="5688" w:type="dxa"/>
            <w:tcBorders>
              <w:top w:val="single" w:sz="8" w:space="0" w:color="404040"/>
              <w:left w:val="single" w:sz="8" w:space="0" w:color="404040"/>
              <w:bottom w:val="single" w:sz="8" w:space="0" w:color="404040"/>
              <w:right w:val="single" w:sz="8" w:space="0" w:color="404040"/>
            </w:tcBorders>
            <w:shd w:val="clear" w:color="auto" w:fill="FFFFFF"/>
          </w:tcPr>
          <w:p w:rsidR="00B076A9" w:rsidRPr="001D6512" w:rsidRDefault="00B076A9" w:rsidP="00B076A9">
            <w:pPr>
              <w:pStyle w:val="TableCell"/>
              <w:spacing w:before="60" w:after="60"/>
              <w:rPr>
                <w:color w:val="000000"/>
              </w:rPr>
            </w:pPr>
            <w:r w:rsidRPr="001D6512">
              <w:rPr>
                <w:color w:val="000000"/>
              </w:rPr>
              <w:t>Residential Establishments</w:t>
            </w:r>
          </w:p>
        </w:tc>
      </w:tr>
      <w:tr w:rsidR="00B076A9" w:rsidRPr="002E1D8D" w:rsidTr="00B076A9">
        <w:tc>
          <w:tcPr>
            <w:tcW w:w="3168" w:type="dxa"/>
            <w:tcBorders>
              <w:top w:val="single" w:sz="8" w:space="0" w:color="404040"/>
              <w:left w:val="single" w:sz="8" w:space="0" w:color="404040"/>
              <w:bottom w:val="single" w:sz="8" w:space="0" w:color="404040"/>
              <w:right w:val="single" w:sz="8" w:space="0" w:color="404040"/>
            </w:tcBorders>
            <w:shd w:val="clear" w:color="auto" w:fill="auto"/>
          </w:tcPr>
          <w:p w:rsidR="00B076A9" w:rsidRPr="00865117" w:rsidRDefault="00B076A9" w:rsidP="00B076A9">
            <w:pPr>
              <w:pStyle w:val="TableCell"/>
              <w:spacing w:before="60" w:after="60"/>
              <w:rPr>
                <w:b/>
                <w:bCs/>
                <w:color w:val="000000"/>
              </w:rPr>
            </w:pPr>
            <w:r w:rsidRPr="00865117">
              <w:rPr>
                <w:b/>
                <w:bCs/>
                <w:color w:val="000000"/>
              </w:rPr>
              <w:t>Measure Unit</w:t>
            </w:r>
          </w:p>
        </w:tc>
        <w:tc>
          <w:tcPr>
            <w:tcW w:w="5688" w:type="dxa"/>
            <w:tcBorders>
              <w:top w:val="single" w:sz="8" w:space="0" w:color="404040"/>
              <w:left w:val="single" w:sz="8" w:space="0" w:color="404040"/>
              <w:bottom w:val="single" w:sz="8" w:space="0" w:color="404040"/>
              <w:right w:val="single" w:sz="8" w:space="0" w:color="404040"/>
            </w:tcBorders>
            <w:shd w:val="clear" w:color="auto" w:fill="auto"/>
          </w:tcPr>
          <w:p w:rsidR="00B076A9" w:rsidRPr="001D6512" w:rsidRDefault="00B076A9" w:rsidP="00B076A9">
            <w:pPr>
              <w:pStyle w:val="TableCell"/>
              <w:spacing w:before="60" w:after="60"/>
              <w:rPr>
                <w:color w:val="000000"/>
              </w:rPr>
            </w:pPr>
            <w:r w:rsidRPr="001D6512">
              <w:rPr>
                <w:color w:val="000000"/>
              </w:rPr>
              <w:t>Whole House Fan</w:t>
            </w:r>
          </w:p>
        </w:tc>
      </w:tr>
      <w:tr w:rsidR="00B076A9" w:rsidRPr="002E1D8D" w:rsidTr="00B076A9">
        <w:tc>
          <w:tcPr>
            <w:tcW w:w="3168" w:type="dxa"/>
            <w:tcBorders>
              <w:top w:val="single" w:sz="8" w:space="0" w:color="404040"/>
              <w:left w:val="single" w:sz="8" w:space="0" w:color="404040"/>
              <w:bottom w:val="single" w:sz="8" w:space="0" w:color="404040"/>
              <w:right w:val="single" w:sz="8" w:space="0" w:color="404040"/>
            </w:tcBorders>
            <w:shd w:val="clear" w:color="auto" w:fill="FFFFFF"/>
          </w:tcPr>
          <w:p w:rsidR="00B076A9" w:rsidRPr="00865117" w:rsidRDefault="00B076A9" w:rsidP="00B076A9">
            <w:pPr>
              <w:pStyle w:val="TableCell"/>
              <w:spacing w:before="60" w:after="60"/>
              <w:rPr>
                <w:b/>
                <w:bCs/>
                <w:color w:val="000000"/>
              </w:rPr>
            </w:pPr>
            <w:r w:rsidRPr="00865117">
              <w:rPr>
                <w:b/>
                <w:bCs/>
                <w:color w:val="000000"/>
              </w:rPr>
              <w:t>Unit Energy Savings</w:t>
            </w:r>
          </w:p>
        </w:tc>
        <w:tc>
          <w:tcPr>
            <w:tcW w:w="5688" w:type="dxa"/>
            <w:tcBorders>
              <w:top w:val="single" w:sz="8" w:space="0" w:color="404040"/>
              <w:left w:val="single" w:sz="8" w:space="0" w:color="404040"/>
              <w:bottom w:val="single" w:sz="8" w:space="0" w:color="404040"/>
              <w:right w:val="single" w:sz="8" w:space="0" w:color="404040"/>
            </w:tcBorders>
            <w:shd w:val="clear" w:color="auto" w:fill="FFFFFF"/>
          </w:tcPr>
          <w:p w:rsidR="00B076A9" w:rsidRPr="001D6512" w:rsidRDefault="00B076A9" w:rsidP="00B076A9">
            <w:pPr>
              <w:pStyle w:val="TableCell"/>
              <w:spacing w:before="60" w:after="60"/>
              <w:rPr>
                <w:color w:val="000000"/>
              </w:rPr>
            </w:pPr>
            <w:r w:rsidRPr="001D6512">
              <w:rPr>
                <w:color w:val="000000"/>
              </w:rPr>
              <w:t>Varies by location (187 kWh/yr to 232 kWh/yr)</w:t>
            </w:r>
          </w:p>
        </w:tc>
      </w:tr>
      <w:tr w:rsidR="00B076A9" w:rsidRPr="002E1D8D" w:rsidTr="00B076A9">
        <w:tc>
          <w:tcPr>
            <w:tcW w:w="3168" w:type="dxa"/>
            <w:tcBorders>
              <w:top w:val="single" w:sz="8" w:space="0" w:color="404040"/>
              <w:left w:val="single" w:sz="8" w:space="0" w:color="404040"/>
              <w:bottom w:val="single" w:sz="8" w:space="0" w:color="404040"/>
              <w:right w:val="single" w:sz="8" w:space="0" w:color="404040"/>
            </w:tcBorders>
            <w:shd w:val="clear" w:color="auto" w:fill="auto"/>
          </w:tcPr>
          <w:p w:rsidR="00B076A9" w:rsidRPr="00865117" w:rsidRDefault="00B076A9" w:rsidP="00B076A9">
            <w:pPr>
              <w:pStyle w:val="TableCell"/>
              <w:spacing w:before="60" w:after="60"/>
              <w:rPr>
                <w:b/>
                <w:bCs/>
                <w:color w:val="000000"/>
              </w:rPr>
            </w:pPr>
            <w:r w:rsidRPr="00865117">
              <w:rPr>
                <w:b/>
                <w:bCs/>
                <w:color w:val="000000"/>
              </w:rPr>
              <w:t>Unit Peak Demand Reduction</w:t>
            </w:r>
          </w:p>
        </w:tc>
        <w:tc>
          <w:tcPr>
            <w:tcW w:w="5688" w:type="dxa"/>
            <w:tcBorders>
              <w:top w:val="single" w:sz="8" w:space="0" w:color="404040"/>
              <w:left w:val="single" w:sz="8" w:space="0" w:color="404040"/>
              <w:bottom w:val="single" w:sz="8" w:space="0" w:color="404040"/>
              <w:right w:val="single" w:sz="8" w:space="0" w:color="404040"/>
            </w:tcBorders>
            <w:shd w:val="clear" w:color="auto" w:fill="auto"/>
          </w:tcPr>
          <w:p w:rsidR="00B076A9" w:rsidRPr="001D6512" w:rsidRDefault="00B076A9" w:rsidP="00B076A9">
            <w:pPr>
              <w:pStyle w:val="TableCell"/>
              <w:spacing w:before="60" w:after="60"/>
              <w:rPr>
                <w:color w:val="000000"/>
              </w:rPr>
            </w:pPr>
            <w:r w:rsidRPr="001D6512">
              <w:rPr>
                <w:color w:val="000000"/>
              </w:rPr>
              <w:t xml:space="preserve"> 0 kW</w:t>
            </w:r>
          </w:p>
        </w:tc>
      </w:tr>
      <w:tr w:rsidR="00B076A9" w:rsidRPr="002E1D8D" w:rsidTr="00B076A9">
        <w:tc>
          <w:tcPr>
            <w:tcW w:w="3168" w:type="dxa"/>
            <w:tcBorders>
              <w:top w:val="single" w:sz="8" w:space="0" w:color="404040"/>
              <w:left w:val="single" w:sz="8" w:space="0" w:color="404040"/>
              <w:bottom w:val="single" w:sz="8" w:space="0" w:color="404040"/>
              <w:right w:val="single" w:sz="8" w:space="0" w:color="404040"/>
            </w:tcBorders>
            <w:shd w:val="clear" w:color="auto" w:fill="FFFFFF"/>
          </w:tcPr>
          <w:p w:rsidR="00B076A9" w:rsidRPr="00865117" w:rsidRDefault="00B076A9" w:rsidP="00B076A9">
            <w:pPr>
              <w:pStyle w:val="TableCell"/>
              <w:spacing w:before="60" w:after="60"/>
              <w:rPr>
                <w:b/>
                <w:bCs/>
                <w:color w:val="000000"/>
              </w:rPr>
            </w:pPr>
            <w:r w:rsidRPr="00865117">
              <w:rPr>
                <w:b/>
                <w:bCs/>
                <w:color w:val="000000"/>
              </w:rPr>
              <w:t>Measure Life</w:t>
            </w:r>
          </w:p>
        </w:tc>
        <w:tc>
          <w:tcPr>
            <w:tcW w:w="5688" w:type="dxa"/>
            <w:tcBorders>
              <w:top w:val="single" w:sz="8" w:space="0" w:color="404040"/>
              <w:left w:val="single" w:sz="8" w:space="0" w:color="404040"/>
              <w:bottom w:val="single" w:sz="8" w:space="0" w:color="404040"/>
              <w:right w:val="single" w:sz="8" w:space="0" w:color="404040"/>
            </w:tcBorders>
            <w:shd w:val="clear" w:color="auto" w:fill="FFFFFF"/>
          </w:tcPr>
          <w:p w:rsidR="00B076A9" w:rsidRPr="001D6512" w:rsidRDefault="00B076A9" w:rsidP="00B076A9">
            <w:pPr>
              <w:pStyle w:val="TableCell"/>
              <w:spacing w:before="60" w:after="60"/>
              <w:rPr>
                <w:color w:val="000000"/>
              </w:rPr>
            </w:pPr>
            <w:r w:rsidRPr="001D6512">
              <w:rPr>
                <w:color w:val="000000"/>
              </w:rPr>
              <w:t>15 years</w:t>
            </w:r>
          </w:p>
        </w:tc>
      </w:tr>
    </w:tbl>
    <w:p w:rsidR="00B076A9" w:rsidRDefault="00B076A9" w:rsidP="00F47DC4">
      <w:pPr>
        <w:rPr>
          <w:rFonts w:cs="Arial"/>
        </w:rPr>
      </w:pPr>
    </w:p>
    <w:p w:rsidR="00F47DC4" w:rsidRPr="006657C9" w:rsidRDefault="00F47DC4" w:rsidP="00F47DC4">
      <w:pPr>
        <w:rPr>
          <w:rFonts w:cs="Arial"/>
        </w:rPr>
      </w:pPr>
      <w:r w:rsidRPr="006657C9">
        <w:rPr>
          <w:rFonts w:cs="Arial"/>
        </w:rPr>
        <w:t xml:space="preserve">This measure applies to the installation of a whole house fan.  The use of a whole house fan will offset existing central air conditioning loads.  Whole house fans operate when the outside temperature is less than the inside temperature, and serve to cool the house by drawing cool air in through open windows and expelling warmer air through attic vents.  </w:t>
      </w:r>
    </w:p>
    <w:p w:rsidR="00F47DC4" w:rsidRPr="006657C9" w:rsidRDefault="00F47DC4" w:rsidP="00F47DC4">
      <w:pPr>
        <w:rPr>
          <w:rFonts w:cs="Arial"/>
        </w:rPr>
      </w:pPr>
      <w:r w:rsidRPr="006657C9">
        <w:rPr>
          <w:rFonts w:cs="Arial"/>
        </w:rPr>
        <w:t>The baseline is taken to be an existing home with central air conditioning (CAC) and without a whole house fan.</w:t>
      </w:r>
    </w:p>
    <w:p w:rsidR="00F47DC4" w:rsidRPr="006657C9" w:rsidRDefault="00F47DC4" w:rsidP="00F47DC4">
      <w:pPr>
        <w:rPr>
          <w:rFonts w:cs="Arial"/>
        </w:rPr>
      </w:pPr>
      <w:r w:rsidRPr="006657C9">
        <w:rPr>
          <w:rFonts w:cs="Arial"/>
        </w:rPr>
        <w:t xml:space="preserve">The retrofit condition for this measure is the installation of a new whole house fan. </w:t>
      </w:r>
    </w:p>
    <w:p w:rsidR="00F47DC4" w:rsidRPr="006657C9" w:rsidRDefault="00F47DC4" w:rsidP="00871FA2">
      <w:pPr>
        <w:pStyle w:val="Heading3"/>
      </w:pPr>
      <w:r w:rsidRPr="006657C9">
        <w:t>Algorithms</w:t>
      </w:r>
    </w:p>
    <w:p w:rsidR="00F47DC4" w:rsidRPr="006657C9" w:rsidRDefault="00F47DC4" w:rsidP="00F47DC4">
      <w:pPr>
        <w:rPr>
          <w:rFonts w:cs="Arial"/>
          <w:i/>
        </w:rPr>
      </w:pPr>
      <w:r w:rsidRPr="006657C9">
        <w:rPr>
          <w:rFonts w:cs="Arial"/>
        </w:rPr>
        <w:t>The energy savings for this measure result from reduced air conditioning operation.  While running, whole house fans can consume up to 90% less power than typical residential central air conditioning units.</w:t>
      </w:r>
      <w:r w:rsidRPr="006657C9">
        <w:rPr>
          <w:rStyle w:val="FootnoteReference"/>
          <w:rFonts w:cs="Arial"/>
        </w:rPr>
        <w:footnoteReference w:id="49"/>
      </w:r>
      <w:r w:rsidRPr="006657C9">
        <w:rPr>
          <w:rFonts w:cs="Arial"/>
        </w:rPr>
        <w:t xml:space="preserve"> Energy savings for this measure are based on whole house fan energy savings values reported by the energy modeling software, REM/Rate</w:t>
      </w:r>
      <w:r w:rsidRPr="006657C9">
        <w:rPr>
          <w:rStyle w:val="FootnoteReference"/>
          <w:rFonts w:cs="Arial"/>
        </w:rPr>
        <w:footnoteReference w:id="50"/>
      </w:r>
      <w:r w:rsidRPr="006657C9">
        <w:rPr>
          <w:rFonts w:cs="Arial"/>
        </w:rPr>
        <w:t>.</w:t>
      </w:r>
      <w:r w:rsidRPr="006657C9">
        <w:rPr>
          <w:rFonts w:cs="Arial"/>
          <w:i/>
        </w:rPr>
        <w:t xml:space="preserve"> </w:t>
      </w:r>
    </w:p>
    <w:p w:rsidR="00F47DC4" w:rsidRPr="006657C9" w:rsidRDefault="00F47DC4" w:rsidP="00871FA2">
      <w:pPr>
        <w:pStyle w:val="Heading3"/>
      </w:pPr>
      <w:r w:rsidRPr="006657C9">
        <w:t>Model Assumptions</w:t>
      </w:r>
    </w:p>
    <w:p w:rsidR="00F47DC4" w:rsidRDefault="00F47DC4" w:rsidP="0005632A">
      <w:pPr>
        <w:pStyle w:val="ListParagraph"/>
        <w:numPr>
          <w:ilvl w:val="0"/>
          <w:numId w:val="62"/>
        </w:numPr>
        <w:overflowPunct/>
        <w:autoSpaceDE/>
        <w:autoSpaceDN/>
        <w:adjustRightInd/>
        <w:spacing w:after="200"/>
        <w:textAlignment w:val="auto"/>
        <w:rPr>
          <w:rFonts w:cs="Arial"/>
        </w:rPr>
      </w:pPr>
      <w:r w:rsidRPr="006657C9">
        <w:rPr>
          <w:rFonts w:cs="Arial"/>
        </w:rPr>
        <w:t>The savings are reported on a “per house” basis with a modeled baseline cooling provided by a SEER 10 Split A/C unit.</w:t>
      </w:r>
    </w:p>
    <w:p w:rsidR="00F47DC4" w:rsidRPr="006657C9" w:rsidRDefault="00F47DC4" w:rsidP="0005632A">
      <w:pPr>
        <w:pStyle w:val="ListParagraph"/>
        <w:numPr>
          <w:ilvl w:val="0"/>
          <w:numId w:val="62"/>
        </w:numPr>
        <w:overflowPunct/>
        <w:autoSpaceDE/>
        <w:autoSpaceDN/>
        <w:adjustRightInd/>
        <w:spacing w:after="200"/>
        <w:textAlignment w:val="auto"/>
        <w:rPr>
          <w:rFonts w:cs="Arial"/>
        </w:rPr>
      </w:pPr>
      <w:r w:rsidRPr="006657C9">
        <w:rPr>
          <w:rFonts w:cs="Arial"/>
        </w:rPr>
        <w:t xml:space="preserve">Savings derived from a comparison between </w:t>
      </w:r>
      <w:bookmarkStart w:id="342" w:name="_Ref275433364"/>
      <w:r w:rsidRPr="006657C9">
        <w:rPr>
          <w:rFonts w:cs="Arial"/>
        </w:rPr>
        <w:t>a naturally ventilated home and a home with a whole-house fan.</w:t>
      </w:r>
    </w:p>
    <w:p w:rsidR="00F47DC4" w:rsidRPr="006657C9" w:rsidRDefault="00F47DC4" w:rsidP="0005632A">
      <w:pPr>
        <w:pStyle w:val="ListParagraph"/>
        <w:numPr>
          <w:ilvl w:val="0"/>
          <w:numId w:val="62"/>
        </w:numPr>
        <w:overflowPunct/>
        <w:autoSpaceDE/>
        <w:autoSpaceDN/>
        <w:adjustRightInd/>
        <w:spacing w:after="200"/>
        <w:textAlignment w:val="auto"/>
        <w:rPr>
          <w:rFonts w:cs="Arial"/>
        </w:rPr>
      </w:pPr>
      <w:r w:rsidRPr="006657C9">
        <w:rPr>
          <w:rFonts w:cs="Arial"/>
        </w:rPr>
        <w:t>2181 square-foot single-family detached home built over unconditioned basement.</w:t>
      </w:r>
      <w:r w:rsidRPr="006657C9">
        <w:rPr>
          <w:rStyle w:val="FootnoteReference"/>
          <w:rFonts w:cs="Arial"/>
        </w:rPr>
        <w:footnoteReference w:id="51"/>
      </w:r>
    </w:p>
    <w:p w:rsidR="00F47DC4" w:rsidRDefault="00F47DC4" w:rsidP="00100EDF">
      <w:pPr>
        <w:pStyle w:val="Caption"/>
      </w:pPr>
      <w:bookmarkStart w:id="343" w:name="_Toc310875509"/>
      <w:r>
        <w:lastRenderedPageBreak/>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23</w:t>
      </w:r>
      <w:r w:rsidR="00274AB1">
        <w:rPr>
          <w:noProof/>
        </w:rPr>
        <w:fldChar w:fldCharType="end"/>
      </w:r>
      <w:r>
        <w:t xml:space="preserve">: </w:t>
      </w:r>
      <w:r w:rsidR="009F791F">
        <w:t xml:space="preserve">Whole House Fan </w:t>
      </w:r>
      <w:r>
        <w:t>Deemed Energy Savings by PA City</w:t>
      </w:r>
      <w:bookmarkEnd w:id="3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3762"/>
      </w:tblGrid>
      <w:tr w:rsidR="00F47DC4" w:rsidRPr="006657C9" w:rsidTr="00F47DC4">
        <w:trPr>
          <w:trHeight w:val="317"/>
          <w:jc w:val="center"/>
        </w:trPr>
        <w:tc>
          <w:tcPr>
            <w:tcW w:w="2876" w:type="pct"/>
            <w:shd w:val="clear" w:color="auto" w:fill="BFBFBF"/>
            <w:vAlign w:val="bottom"/>
          </w:tcPr>
          <w:bookmarkEnd w:id="342"/>
          <w:p w:rsidR="00F47DC4" w:rsidRPr="006657C9" w:rsidRDefault="00F47DC4" w:rsidP="00C3606E">
            <w:pPr>
              <w:keepNext/>
              <w:spacing w:before="60" w:after="60"/>
              <w:jc w:val="center"/>
              <w:rPr>
                <w:rFonts w:cs="Arial"/>
                <w:b/>
              </w:rPr>
            </w:pPr>
            <w:r w:rsidRPr="006657C9">
              <w:rPr>
                <w:rFonts w:cs="Arial"/>
                <w:b/>
              </w:rPr>
              <w:t>City</w:t>
            </w:r>
          </w:p>
        </w:tc>
        <w:tc>
          <w:tcPr>
            <w:tcW w:w="2124" w:type="pct"/>
            <w:shd w:val="clear" w:color="auto" w:fill="BFBFBF"/>
            <w:vAlign w:val="bottom"/>
          </w:tcPr>
          <w:p w:rsidR="00F47DC4" w:rsidRPr="006657C9" w:rsidRDefault="00F47DC4" w:rsidP="00C3606E">
            <w:pPr>
              <w:keepNext/>
              <w:spacing w:before="60" w:after="60"/>
              <w:jc w:val="center"/>
              <w:rPr>
                <w:rFonts w:cs="Arial"/>
                <w:b/>
              </w:rPr>
            </w:pPr>
            <w:r w:rsidRPr="006657C9">
              <w:rPr>
                <w:rFonts w:cs="Arial"/>
                <w:b/>
              </w:rPr>
              <w:t>Annual Energy Savings (kWh/house)</w:t>
            </w:r>
          </w:p>
        </w:tc>
      </w:tr>
      <w:tr w:rsidR="00F47DC4" w:rsidRPr="006657C9" w:rsidTr="00F47DC4">
        <w:trPr>
          <w:trHeight w:val="317"/>
          <w:jc w:val="center"/>
        </w:trPr>
        <w:tc>
          <w:tcPr>
            <w:tcW w:w="2876" w:type="pct"/>
            <w:vAlign w:val="center"/>
          </w:tcPr>
          <w:p w:rsidR="00F47DC4" w:rsidRPr="006657C9" w:rsidRDefault="00F47DC4" w:rsidP="00C3606E">
            <w:pPr>
              <w:keepNext/>
              <w:spacing w:before="60" w:after="60"/>
              <w:jc w:val="center"/>
              <w:rPr>
                <w:rFonts w:cs="Arial"/>
              </w:rPr>
            </w:pPr>
            <w:r w:rsidRPr="006657C9">
              <w:rPr>
                <w:rFonts w:cs="Arial"/>
              </w:rPr>
              <w:t>Allentown</w:t>
            </w:r>
          </w:p>
        </w:tc>
        <w:tc>
          <w:tcPr>
            <w:tcW w:w="2124" w:type="pct"/>
          </w:tcPr>
          <w:p w:rsidR="00F47DC4" w:rsidRPr="006657C9" w:rsidRDefault="00F47DC4" w:rsidP="00C3606E">
            <w:pPr>
              <w:keepNext/>
              <w:spacing w:before="60" w:after="60"/>
              <w:jc w:val="center"/>
              <w:rPr>
                <w:rFonts w:cs="Arial"/>
                <w:color w:val="000000"/>
              </w:rPr>
            </w:pPr>
            <w:r w:rsidRPr="006657C9">
              <w:rPr>
                <w:rFonts w:cs="Arial"/>
                <w:color w:val="000000"/>
              </w:rPr>
              <w:t>204</w:t>
            </w:r>
          </w:p>
        </w:tc>
      </w:tr>
      <w:tr w:rsidR="00F47DC4" w:rsidRPr="006657C9" w:rsidTr="00F47DC4">
        <w:trPr>
          <w:trHeight w:val="317"/>
          <w:jc w:val="center"/>
        </w:trPr>
        <w:tc>
          <w:tcPr>
            <w:tcW w:w="2876" w:type="pct"/>
            <w:vAlign w:val="center"/>
          </w:tcPr>
          <w:p w:rsidR="00F47DC4" w:rsidRPr="006657C9" w:rsidRDefault="00F47DC4" w:rsidP="00C3606E">
            <w:pPr>
              <w:keepNext/>
              <w:spacing w:before="60" w:after="60"/>
              <w:jc w:val="center"/>
              <w:rPr>
                <w:rFonts w:cs="Arial"/>
              </w:rPr>
            </w:pPr>
            <w:r w:rsidRPr="006657C9">
              <w:rPr>
                <w:rFonts w:cs="Arial"/>
              </w:rPr>
              <w:t>Erie</w:t>
            </w:r>
          </w:p>
        </w:tc>
        <w:tc>
          <w:tcPr>
            <w:tcW w:w="2124" w:type="pct"/>
          </w:tcPr>
          <w:p w:rsidR="00F47DC4" w:rsidRPr="006657C9" w:rsidRDefault="00F47DC4" w:rsidP="00C3606E">
            <w:pPr>
              <w:keepNext/>
              <w:spacing w:before="60" w:after="60"/>
              <w:jc w:val="center"/>
              <w:rPr>
                <w:rFonts w:cs="Arial"/>
                <w:color w:val="000000"/>
              </w:rPr>
            </w:pPr>
            <w:r w:rsidRPr="006657C9">
              <w:rPr>
                <w:rFonts w:cs="Arial"/>
                <w:color w:val="000000"/>
              </w:rPr>
              <w:t>200</w:t>
            </w:r>
          </w:p>
        </w:tc>
      </w:tr>
      <w:tr w:rsidR="00F47DC4" w:rsidRPr="006657C9" w:rsidTr="00F47DC4">
        <w:trPr>
          <w:trHeight w:val="317"/>
          <w:jc w:val="center"/>
        </w:trPr>
        <w:tc>
          <w:tcPr>
            <w:tcW w:w="2876" w:type="pct"/>
            <w:vAlign w:val="center"/>
          </w:tcPr>
          <w:p w:rsidR="00F47DC4" w:rsidRPr="006657C9" w:rsidRDefault="00F47DC4" w:rsidP="00C3606E">
            <w:pPr>
              <w:keepNext/>
              <w:spacing w:before="60" w:after="60"/>
              <w:jc w:val="center"/>
              <w:rPr>
                <w:rFonts w:cs="Arial"/>
              </w:rPr>
            </w:pPr>
            <w:r w:rsidRPr="006657C9">
              <w:rPr>
                <w:rFonts w:cs="Arial"/>
              </w:rPr>
              <w:t>Harrisburg</w:t>
            </w:r>
          </w:p>
        </w:tc>
        <w:tc>
          <w:tcPr>
            <w:tcW w:w="2124" w:type="pct"/>
          </w:tcPr>
          <w:p w:rsidR="00F47DC4" w:rsidRPr="006657C9" w:rsidRDefault="00F47DC4" w:rsidP="00C3606E">
            <w:pPr>
              <w:keepNext/>
              <w:spacing w:before="60" w:after="60"/>
              <w:jc w:val="center"/>
              <w:rPr>
                <w:rFonts w:cs="Arial"/>
                <w:color w:val="000000"/>
              </w:rPr>
            </w:pPr>
            <w:r w:rsidRPr="006657C9">
              <w:rPr>
                <w:rFonts w:cs="Arial"/>
                <w:color w:val="000000"/>
              </w:rPr>
              <w:t>232</w:t>
            </w:r>
          </w:p>
        </w:tc>
      </w:tr>
      <w:tr w:rsidR="00F47DC4" w:rsidRPr="006657C9" w:rsidTr="00F47DC4">
        <w:trPr>
          <w:trHeight w:val="317"/>
          <w:jc w:val="center"/>
        </w:trPr>
        <w:tc>
          <w:tcPr>
            <w:tcW w:w="2876" w:type="pct"/>
            <w:vAlign w:val="center"/>
          </w:tcPr>
          <w:p w:rsidR="00F47DC4" w:rsidRPr="006657C9" w:rsidRDefault="00F47DC4" w:rsidP="00C3606E">
            <w:pPr>
              <w:keepNext/>
              <w:spacing w:before="60" w:after="60"/>
              <w:jc w:val="center"/>
              <w:rPr>
                <w:rFonts w:cs="Arial"/>
              </w:rPr>
            </w:pPr>
            <w:r w:rsidRPr="006657C9">
              <w:rPr>
                <w:rFonts w:cs="Arial"/>
              </w:rPr>
              <w:t>Philadelphia</w:t>
            </w:r>
          </w:p>
        </w:tc>
        <w:tc>
          <w:tcPr>
            <w:tcW w:w="2124" w:type="pct"/>
          </w:tcPr>
          <w:p w:rsidR="00F47DC4" w:rsidRPr="006657C9" w:rsidRDefault="00F47DC4" w:rsidP="00C3606E">
            <w:pPr>
              <w:keepNext/>
              <w:spacing w:before="60" w:after="60"/>
              <w:jc w:val="center"/>
              <w:rPr>
                <w:rFonts w:cs="Arial"/>
                <w:color w:val="000000"/>
              </w:rPr>
            </w:pPr>
            <w:r w:rsidRPr="006657C9">
              <w:rPr>
                <w:rFonts w:cs="Arial"/>
                <w:color w:val="000000"/>
              </w:rPr>
              <w:t>229</w:t>
            </w:r>
          </w:p>
        </w:tc>
      </w:tr>
      <w:tr w:rsidR="00F47DC4" w:rsidRPr="006657C9" w:rsidTr="00F47DC4">
        <w:trPr>
          <w:trHeight w:val="317"/>
          <w:jc w:val="center"/>
        </w:trPr>
        <w:tc>
          <w:tcPr>
            <w:tcW w:w="2876" w:type="pct"/>
            <w:vAlign w:val="center"/>
          </w:tcPr>
          <w:p w:rsidR="00F47DC4" w:rsidRPr="006657C9" w:rsidRDefault="00F47DC4" w:rsidP="00C3606E">
            <w:pPr>
              <w:keepNext/>
              <w:spacing w:before="60" w:after="60"/>
              <w:jc w:val="center"/>
              <w:rPr>
                <w:rFonts w:cs="Arial"/>
              </w:rPr>
            </w:pPr>
            <w:r w:rsidRPr="006657C9">
              <w:rPr>
                <w:rFonts w:cs="Arial"/>
              </w:rPr>
              <w:t>Pittsburgh</w:t>
            </w:r>
          </w:p>
        </w:tc>
        <w:tc>
          <w:tcPr>
            <w:tcW w:w="2124" w:type="pct"/>
          </w:tcPr>
          <w:p w:rsidR="00F47DC4" w:rsidRPr="006657C9" w:rsidRDefault="00F47DC4" w:rsidP="00C3606E">
            <w:pPr>
              <w:keepNext/>
              <w:spacing w:before="60" w:after="60"/>
              <w:jc w:val="center"/>
              <w:rPr>
                <w:rFonts w:cs="Arial"/>
                <w:color w:val="000000"/>
              </w:rPr>
            </w:pPr>
            <w:r w:rsidRPr="006657C9">
              <w:rPr>
                <w:rFonts w:cs="Arial"/>
                <w:color w:val="000000"/>
              </w:rPr>
              <w:t>199</w:t>
            </w:r>
          </w:p>
        </w:tc>
      </w:tr>
      <w:tr w:rsidR="00F47DC4" w:rsidRPr="006657C9" w:rsidTr="00F47DC4">
        <w:trPr>
          <w:trHeight w:val="317"/>
          <w:jc w:val="center"/>
        </w:trPr>
        <w:tc>
          <w:tcPr>
            <w:tcW w:w="2876" w:type="pct"/>
            <w:vAlign w:val="center"/>
          </w:tcPr>
          <w:p w:rsidR="00F47DC4" w:rsidRPr="006657C9" w:rsidRDefault="00F47DC4" w:rsidP="00C3606E">
            <w:pPr>
              <w:keepNext/>
              <w:spacing w:before="60" w:after="60"/>
              <w:jc w:val="center"/>
              <w:rPr>
                <w:rFonts w:cs="Arial"/>
              </w:rPr>
            </w:pPr>
            <w:r w:rsidRPr="006657C9">
              <w:rPr>
                <w:rFonts w:cs="Arial"/>
              </w:rPr>
              <w:t>Scranton</w:t>
            </w:r>
          </w:p>
        </w:tc>
        <w:tc>
          <w:tcPr>
            <w:tcW w:w="2124" w:type="pct"/>
          </w:tcPr>
          <w:p w:rsidR="00F47DC4" w:rsidRPr="006657C9" w:rsidRDefault="00F47DC4" w:rsidP="00C3606E">
            <w:pPr>
              <w:keepNext/>
              <w:spacing w:before="60" w:after="60"/>
              <w:jc w:val="center"/>
              <w:rPr>
                <w:rFonts w:cs="Arial"/>
                <w:color w:val="000000"/>
              </w:rPr>
            </w:pPr>
            <w:r w:rsidRPr="006657C9">
              <w:rPr>
                <w:rFonts w:cs="Arial"/>
                <w:color w:val="000000"/>
              </w:rPr>
              <w:t>187</w:t>
            </w:r>
          </w:p>
        </w:tc>
      </w:tr>
      <w:tr w:rsidR="00F47DC4" w:rsidRPr="006657C9" w:rsidTr="00F47DC4">
        <w:trPr>
          <w:trHeight w:val="317"/>
          <w:jc w:val="center"/>
        </w:trPr>
        <w:tc>
          <w:tcPr>
            <w:tcW w:w="2876" w:type="pct"/>
            <w:vAlign w:val="center"/>
          </w:tcPr>
          <w:p w:rsidR="00F47DC4" w:rsidRPr="006657C9" w:rsidRDefault="00F47DC4" w:rsidP="00C3606E">
            <w:pPr>
              <w:keepNext/>
              <w:spacing w:before="60" w:after="60"/>
              <w:jc w:val="center"/>
              <w:rPr>
                <w:rFonts w:cs="Arial"/>
              </w:rPr>
            </w:pPr>
            <w:r w:rsidRPr="006657C9">
              <w:rPr>
                <w:rFonts w:cs="Arial"/>
              </w:rPr>
              <w:t>Williamsport</w:t>
            </w:r>
          </w:p>
        </w:tc>
        <w:tc>
          <w:tcPr>
            <w:tcW w:w="2124" w:type="pct"/>
          </w:tcPr>
          <w:p w:rsidR="00F47DC4" w:rsidRPr="006657C9" w:rsidRDefault="00F47DC4" w:rsidP="00C3606E">
            <w:pPr>
              <w:keepNext/>
              <w:spacing w:before="60" w:after="60"/>
              <w:jc w:val="center"/>
              <w:rPr>
                <w:rFonts w:cs="Arial"/>
                <w:color w:val="000000"/>
              </w:rPr>
            </w:pPr>
            <w:r w:rsidRPr="006657C9">
              <w:rPr>
                <w:rFonts w:cs="Arial"/>
                <w:color w:val="000000"/>
              </w:rPr>
              <w:t>191</w:t>
            </w:r>
          </w:p>
        </w:tc>
      </w:tr>
    </w:tbl>
    <w:p w:rsidR="00F47DC4" w:rsidRDefault="00F47DC4" w:rsidP="00C3606E">
      <w:pPr>
        <w:rPr>
          <w:rFonts w:cs="Arial"/>
        </w:rPr>
      </w:pPr>
    </w:p>
    <w:p w:rsidR="00F47DC4" w:rsidRPr="006657C9" w:rsidRDefault="00F47DC4" w:rsidP="00C3606E">
      <w:pPr>
        <w:rPr>
          <w:rFonts w:cs="Arial"/>
        </w:rPr>
      </w:pPr>
      <w:r w:rsidRPr="006657C9">
        <w:rPr>
          <w:rFonts w:cs="Arial"/>
        </w:rPr>
        <w:t xml:space="preserve">This measure assumes </w:t>
      </w:r>
      <w:r w:rsidRPr="006657C9">
        <w:rPr>
          <w:rFonts w:cs="Arial"/>
          <w:u w:val="single"/>
        </w:rPr>
        <w:t>no demand savings</w:t>
      </w:r>
      <w:r w:rsidRPr="006657C9">
        <w:rPr>
          <w:rFonts w:cs="Arial"/>
        </w:rPr>
        <w:t xml:space="preserve"> as whole house fans are generally only used during milder weather (spring/fall and overnight).  Peak 100 hours typically occur during very warm periods when a whole house fan is not likely being used.</w:t>
      </w:r>
    </w:p>
    <w:p w:rsidR="00F47DC4" w:rsidRPr="006657C9" w:rsidRDefault="00F47DC4" w:rsidP="00871FA2">
      <w:pPr>
        <w:pStyle w:val="Heading3"/>
      </w:pPr>
      <w:r w:rsidRPr="006657C9">
        <w:t>Measure Life</w:t>
      </w:r>
    </w:p>
    <w:p w:rsidR="00F47DC4" w:rsidRPr="006657C9" w:rsidRDefault="00F47DC4" w:rsidP="00F47DC4">
      <w:pPr>
        <w:rPr>
          <w:rFonts w:cs="Arial"/>
        </w:rPr>
      </w:pPr>
      <w:r w:rsidRPr="006657C9">
        <w:rPr>
          <w:rFonts w:cs="Arial"/>
        </w:rPr>
        <w:t>Measure life = 20 years</w:t>
      </w:r>
      <w:r w:rsidRPr="006657C9">
        <w:rPr>
          <w:rStyle w:val="FootnoteReference"/>
          <w:rFonts w:cs="Arial"/>
        </w:rPr>
        <w:footnoteReference w:id="52"/>
      </w:r>
      <w:r w:rsidRPr="006657C9">
        <w:rPr>
          <w:rFonts w:cs="Arial"/>
        </w:rPr>
        <w:t xml:space="preserve"> (15 year maximum for PA TRM)</w:t>
      </w:r>
    </w:p>
    <w:p w:rsidR="00F47DC4" w:rsidRDefault="00F47DC4">
      <w:pPr>
        <w:overflowPunct/>
        <w:autoSpaceDE/>
        <w:autoSpaceDN/>
        <w:adjustRightInd/>
        <w:spacing w:after="0" w:line="240" w:lineRule="auto"/>
        <w:textAlignment w:val="auto"/>
        <w:rPr>
          <w:rFonts w:cs="Arial"/>
          <w:b/>
          <w:bCs/>
          <w:iCs/>
          <w:sz w:val="24"/>
          <w:szCs w:val="28"/>
        </w:rPr>
      </w:pPr>
    </w:p>
    <w:p w:rsidR="00B72E70" w:rsidRDefault="00716DAB" w:rsidP="00E568D4">
      <w:pPr>
        <w:pStyle w:val="Heading2"/>
      </w:pPr>
      <w:r>
        <w:br w:type="page"/>
      </w:r>
      <w:bookmarkStart w:id="344" w:name="_Toc310875416"/>
      <w:r w:rsidR="00B72E70">
        <w:lastRenderedPageBreak/>
        <w:t>Ductless Mini-Split Heat Pumps</w:t>
      </w:r>
      <w:bookmarkEnd w:id="344"/>
    </w:p>
    <w:tbl>
      <w:tblPr>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2898"/>
        <w:gridCol w:w="5958"/>
      </w:tblGrid>
      <w:tr w:rsidR="00B72E70" w:rsidRPr="000A55E4" w:rsidTr="00F84A22">
        <w:tc>
          <w:tcPr>
            <w:tcW w:w="2898" w:type="dxa"/>
            <w:tcBorders>
              <w:top w:val="single" w:sz="8" w:space="0" w:color="404040"/>
              <w:left w:val="single" w:sz="8" w:space="0" w:color="404040"/>
              <w:bottom w:val="single" w:sz="8" w:space="0" w:color="404040"/>
              <w:right w:val="single" w:sz="8" w:space="0" w:color="404040"/>
            </w:tcBorders>
            <w:shd w:val="clear" w:color="auto" w:fill="BFBFBF"/>
          </w:tcPr>
          <w:p w:rsidR="00B72E70" w:rsidRPr="001D6512" w:rsidRDefault="00B72E70" w:rsidP="00F84A22">
            <w:pPr>
              <w:pStyle w:val="TableCell"/>
              <w:spacing w:before="60" w:after="60"/>
              <w:rPr>
                <w:b/>
                <w:bCs/>
              </w:rPr>
            </w:pPr>
            <w:r w:rsidRPr="001D6512">
              <w:rPr>
                <w:b/>
                <w:bCs/>
              </w:rPr>
              <w:t>Measure Name</w:t>
            </w:r>
          </w:p>
        </w:tc>
        <w:tc>
          <w:tcPr>
            <w:tcW w:w="5958" w:type="dxa"/>
            <w:tcBorders>
              <w:top w:val="single" w:sz="8" w:space="0" w:color="404040"/>
              <w:left w:val="single" w:sz="8" w:space="0" w:color="404040"/>
              <w:bottom w:val="single" w:sz="8" w:space="0" w:color="404040"/>
              <w:right w:val="single" w:sz="8" w:space="0" w:color="404040"/>
            </w:tcBorders>
            <w:shd w:val="clear" w:color="auto" w:fill="BFBFBF"/>
          </w:tcPr>
          <w:p w:rsidR="00B72E70" w:rsidRPr="001D6512" w:rsidRDefault="00B72E70" w:rsidP="00F84A22">
            <w:pPr>
              <w:pStyle w:val="TableCell"/>
              <w:spacing w:before="60" w:after="60"/>
              <w:rPr>
                <w:b/>
                <w:bCs/>
              </w:rPr>
            </w:pPr>
            <w:r w:rsidRPr="001D6512">
              <w:rPr>
                <w:b/>
                <w:bCs/>
              </w:rPr>
              <w:t>Ductless Heat Pumps</w:t>
            </w:r>
          </w:p>
        </w:tc>
      </w:tr>
      <w:tr w:rsidR="00B72E70" w:rsidRPr="000A55E4" w:rsidTr="00F84A22">
        <w:tc>
          <w:tcPr>
            <w:tcW w:w="2898" w:type="dxa"/>
            <w:tcBorders>
              <w:top w:val="single" w:sz="8" w:space="0" w:color="404040"/>
              <w:left w:val="single" w:sz="8" w:space="0" w:color="404040"/>
              <w:bottom w:val="single" w:sz="8" w:space="0" w:color="404040"/>
              <w:right w:val="single" w:sz="8" w:space="0" w:color="404040"/>
            </w:tcBorders>
            <w:shd w:val="clear" w:color="auto" w:fill="FFFFFF"/>
          </w:tcPr>
          <w:p w:rsidR="00B72E70" w:rsidRPr="00865117" w:rsidRDefault="00B72E70" w:rsidP="00F84A22">
            <w:pPr>
              <w:pStyle w:val="TableCell"/>
              <w:spacing w:before="60" w:after="60"/>
              <w:rPr>
                <w:b/>
                <w:bCs/>
                <w:color w:val="000000"/>
              </w:rPr>
            </w:pPr>
            <w:r w:rsidRPr="00865117">
              <w:rPr>
                <w:b/>
                <w:bCs/>
                <w:color w:val="000000"/>
              </w:rPr>
              <w:t>Target Sector</w:t>
            </w:r>
          </w:p>
        </w:tc>
        <w:tc>
          <w:tcPr>
            <w:tcW w:w="5958" w:type="dxa"/>
            <w:tcBorders>
              <w:top w:val="single" w:sz="8" w:space="0" w:color="404040"/>
              <w:left w:val="single" w:sz="8" w:space="0" w:color="404040"/>
              <w:bottom w:val="single" w:sz="8" w:space="0" w:color="404040"/>
              <w:right w:val="single" w:sz="8" w:space="0" w:color="404040"/>
            </w:tcBorders>
            <w:shd w:val="clear" w:color="auto" w:fill="FFFFFF"/>
          </w:tcPr>
          <w:p w:rsidR="00B72E70" w:rsidRPr="001D6512" w:rsidRDefault="00B72E70" w:rsidP="00F84A22">
            <w:pPr>
              <w:pStyle w:val="TableCell"/>
              <w:spacing w:before="60" w:after="60"/>
              <w:rPr>
                <w:color w:val="000000"/>
              </w:rPr>
            </w:pPr>
            <w:r w:rsidRPr="001D6512">
              <w:rPr>
                <w:color w:val="000000"/>
              </w:rPr>
              <w:t>Residential Establishments</w:t>
            </w:r>
          </w:p>
        </w:tc>
      </w:tr>
      <w:tr w:rsidR="00B72E70" w:rsidRPr="000A55E4" w:rsidTr="00F84A22">
        <w:tc>
          <w:tcPr>
            <w:tcW w:w="2898" w:type="dxa"/>
            <w:tcBorders>
              <w:top w:val="single" w:sz="8" w:space="0" w:color="404040"/>
              <w:left w:val="single" w:sz="8" w:space="0" w:color="404040"/>
              <w:bottom w:val="single" w:sz="8" w:space="0" w:color="404040"/>
              <w:right w:val="single" w:sz="8" w:space="0" w:color="404040"/>
            </w:tcBorders>
            <w:shd w:val="clear" w:color="auto" w:fill="auto"/>
          </w:tcPr>
          <w:p w:rsidR="00B72E70" w:rsidRPr="00865117" w:rsidRDefault="00B72E70" w:rsidP="00F84A22">
            <w:pPr>
              <w:pStyle w:val="TableCell"/>
              <w:spacing w:before="60" w:after="60"/>
              <w:rPr>
                <w:b/>
                <w:bCs/>
                <w:color w:val="000000"/>
              </w:rPr>
            </w:pPr>
            <w:r w:rsidRPr="00865117">
              <w:rPr>
                <w:b/>
                <w:bCs/>
                <w:color w:val="000000"/>
              </w:rPr>
              <w:t>Measure Unit</w:t>
            </w:r>
          </w:p>
        </w:tc>
        <w:tc>
          <w:tcPr>
            <w:tcW w:w="5958" w:type="dxa"/>
            <w:tcBorders>
              <w:top w:val="single" w:sz="8" w:space="0" w:color="404040"/>
              <w:left w:val="single" w:sz="8" w:space="0" w:color="404040"/>
              <w:bottom w:val="single" w:sz="8" w:space="0" w:color="404040"/>
              <w:right w:val="single" w:sz="8" w:space="0" w:color="404040"/>
            </w:tcBorders>
            <w:shd w:val="clear" w:color="auto" w:fill="auto"/>
          </w:tcPr>
          <w:p w:rsidR="00B72E70" w:rsidRPr="001D6512" w:rsidRDefault="00B72E70" w:rsidP="00F84A22">
            <w:pPr>
              <w:pStyle w:val="TableCell"/>
              <w:spacing w:before="60" w:after="60"/>
              <w:rPr>
                <w:color w:val="000000"/>
              </w:rPr>
            </w:pPr>
            <w:r w:rsidRPr="001D6512">
              <w:rPr>
                <w:color w:val="000000"/>
              </w:rPr>
              <w:t>Ductless Heat Pumps</w:t>
            </w:r>
          </w:p>
        </w:tc>
      </w:tr>
      <w:tr w:rsidR="00B72E70" w:rsidRPr="000A55E4" w:rsidTr="00F84A22">
        <w:tc>
          <w:tcPr>
            <w:tcW w:w="2898" w:type="dxa"/>
            <w:tcBorders>
              <w:top w:val="single" w:sz="8" w:space="0" w:color="404040"/>
              <w:left w:val="single" w:sz="8" w:space="0" w:color="404040"/>
              <w:bottom w:val="single" w:sz="8" w:space="0" w:color="404040"/>
              <w:right w:val="single" w:sz="8" w:space="0" w:color="404040"/>
            </w:tcBorders>
            <w:shd w:val="clear" w:color="auto" w:fill="FFFFFF"/>
          </w:tcPr>
          <w:p w:rsidR="00B72E70" w:rsidRPr="00865117" w:rsidRDefault="00B72E70" w:rsidP="00F84A22">
            <w:pPr>
              <w:pStyle w:val="TableCell"/>
              <w:spacing w:before="60" w:after="60"/>
              <w:rPr>
                <w:b/>
                <w:bCs/>
                <w:color w:val="000000"/>
              </w:rPr>
            </w:pPr>
            <w:r w:rsidRPr="00865117">
              <w:rPr>
                <w:b/>
                <w:bCs/>
                <w:color w:val="000000"/>
              </w:rPr>
              <w:t>Unit Energy Savings</w:t>
            </w:r>
          </w:p>
        </w:tc>
        <w:tc>
          <w:tcPr>
            <w:tcW w:w="5958" w:type="dxa"/>
            <w:tcBorders>
              <w:top w:val="single" w:sz="8" w:space="0" w:color="404040"/>
              <w:left w:val="single" w:sz="8" w:space="0" w:color="404040"/>
              <w:bottom w:val="single" w:sz="8" w:space="0" w:color="404040"/>
              <w:right w:val="single" w:sz="8" w:space="0" w:color="404040"/>
            </w:tcBorders>
            <w:shd w:val="clear" w:color="auto" w:fill="FFFFFF"/>
          </w:tcPr>
          <w:p w:rsidR="00B72E70" w:rsidRPr="001D6512" w:rsidRDefault="004D4F4A" w:rsidP="00F84A22">
            <w:pPr>
              <w:pStyle w:val="TableCell"/>
              <w:spacing w:before="60" w:after="60"/>
              <w:rPr>
                <w:color w:val="000000"/>
              </w:rPr>
            </w:pPr>
            <w:r w:rsidRPr="001D6512">
              <w:t>Variable based on efficiency of systems</w:t>
            </w:r>
          </w:p>
        </w:tc>
      </w:tr>
      <w:tr w:rsidR="00B72E70" w:rsidRPr="000A55E4" w:rsidTr="00F84A22">
        <w:tc>
          <w:tcPr>
            <w:tcW w:w="2898" w:type="dxa"/>
            <w:tcBorders>
              <w:top w:val="single" w:sz="8" w:space="0" w:color="404040"/>
              <w:left w:val="single" w:sz="8" w:space="0" w:color="404040"/>
              <w:bottom w:val="single" w:sz="8" w:space="0" w:color="404040"/>
              <w:right w:val="single" w:sz="8" w:space="0" w:color="404040"/>
            </w:tcBorders>
            <w:shd w:val="clear" w:color="auto" w:fill="auto"/>
          </w:tcPr>
          <w:p w:rsidR="00B72E70" w:rsidRPr="00865117" w:rsidRDefault="00B72E70" w:rsidP="00F84A22">
            <w:pPr>
              <w:pStyle w:val="TableCell"/>
              <w:spacing w:before="60" w:after="60"/>
              <w:rPr>
                <w:b/>
                <w:bCs/>
                <w:color w:val="000000"/>
              </w:rPr>
            </w:pPr>
            <w:r w:rsidRPr="00865117">
              <w:rPr>
                <w:b/>
                <w:bCs/>
                <w:color w:val="000000"/>
              </w:rPr>
              <w:t>Unit Peak Demand Reduction</w:t>
            </w:r>
          </w:p>
        </w:tc>
        <w:tc>
          <w:tcPr>
            <w:tcW w:w="5958" w:type="dxa"/>
            <w:tcBorders>
              <w:top w:val="single" w:sz="8" w:space="0" w:color="404040"/>
              <w:left w:val="single" w:sz="8" w:space="0" w:color="404040"/>
              <w:bottom w:val="single" w:sz="8" w:space="0" w:color="404040"/>
              <w:right w:val="single" w:sz="8" w:space="0" w:color="404040"/>
            </w:tcBorders>
            <w:shd w:val="clear" w:color="auto" w:fill="auto"/>
          </w:tcPr>
          <w:p w:rsidR="00B72E70" w:rsidRPr="001D6512" w:rsidRDefault="004D4F4A" w:rsidP="00F84A22">
            <w:pPr>
              <w:pStyle w:val="TableCell"/>
              <w:spacing w:before="60" w:after="60"/>
              <w:rPr>
                <w:color w:val="000000"/>
              </w:rPr>
            </w:pPr>
            <w:r w:rsidRPr="001D6512">
              <w:t>Variable based on efficiency of systems</w:t>
            </w:r>
          </w:p>
        </w:tc>
      </w:tr>
      <w:tr w:rsidR="00B72E70" w:rsidRPr="000A55E4" w:rsidTr="00F84A22">
        <w:tc>
          <w:tcPr>
            <w:tcW w:w="2898" w:type="dxa"/>
            <w:tcBorders>
              <w:top w:val="single" w:sz="8" w:space="0" w:color="404040"/>
              <w:left w:val="single" w:sz="8" w:space="0" w:color="404040"/>
              <w:bottom w:val="single" w:sz="8" w:space="0" w:color="404040"/>
              <w:right w:val="single" w:sz="8" w:space="0" w:color="404040"/>
            </w:tcBorders>
            <w:shd w:val="clear" w:color="auto" w:fill="FFFFFF"/>
          </w:tcPr>
          <w:p w:rsidR="00B72E70" w:rsidRPr="00865117" w:rsidRDefault="00B72E70" w:rsidP="00F84A22">
            <w:pPr>
              <w:pStyle w:val="TableCell"/>
              <w:spacing w:before="60" w:after="60"/>
              <w:rPr>
                <w:b/>
                <w:bCs/>
                <w:color w:val="000000"/>
              </w:rPr>
            </w:pPr>
            <w:r w:rsidRPr="00865117">
              <w:rPr>
                <w:b/>
                <w:bCs/>
                <w:color w:val="000000"/>
              </w:rPr>
              <w:t>Measure Life</w:t>
            </w:r>
          </w:p>
        </w:tc>
        <w:tc>
          <w:tcPr>
            <w:tcW w:w="5958" w:type="dxa"/>
            <w:tcBorders>
              <w:top w:val="single" w:sz="8" w:space="0" w:color="404040"/>
              <w:left w:val="single" w:sz="8" w:space="0" w:color="404040"/>
              <w:bottom w:val="single" w:sz="8" w:space="0" w:color="404040"/>
              <w:right w:val="single" w:sz="8" w:space="0" w:color="404040"/>
            </w:tcBorders>
            <w:shd w:val="clear" w:color="auto" w:fill="FFFFFF"/>
          </w:tcPr>
          <w:p w:rsidR="00B72E70" w:rsidRPr="001D6512" w:rsidRDefault="00B72E70" w:rsidP="00F84A22">
            <w:pPr>
              <w:pStyle w:val="TableCell"/>
              <w:spacing w:before="60" w:after="60"/>
              <w:rPr>
                <w:color w:val="000000"/>
              </w:rPr>
            </w:pPr>
            <w:r w:rsidRPr="001D6512">
              <w:rPr>
                <w:color w:val="000000"/>
              </w:rPr>
              <w:t xml:space="preserve">15 </w:t>
            </w:r>
          </w:p>
        </w:tc>
      </w:tr>
    </w:tbl>
    <w:p w:rsidR="00B72E70" w:rsidRPr="005F63C6" w:rsidRDefault="00B72E70" w:rsidP="005F63C6">
      <w:pPr>
        <w:spacing w:after="0"/>
      </w:pPr>
    </w:p>
    <w:p w:rsidR="00B72E70" w:rsidRPr="001D75B9" w:rsidRDefault="00B72E70" w:rsidP="00B72E70">
      <w:pPr>
        <w:pStyle w:val="BodyText"/>
      </w:pPr>
      <w:r>
        <w:t xml:space="preserve">ENERGY STAR ductless “mini-split” heat pumps utilize high efficiency SEER/EER and HSPF energy performance factors of 14.5/12 and 8.2, respectively, or </w:t>
      </w:r>
      <w:r w:rsidR="004D4F4A">
        <w:t>greater</w:t>
      </w:r>
      <w:r>
        <w:t xml:space="preserve">. This technology typically converts an electric resistance </w:t>
      </w:r>
      <w:r w:rsidR="004D4F4A">
        <w:t xml:space="preserve">heated </w:t>
      </w:r>
      <w:r>
        <w:t xml:space="preserve">home into an efficient single or multi-zonal ductless heat pump system. Homeowners have choice to install an ENERGY STAR qualified model or a standard efficiency model. </w:t>
      </w:r>
    </w:p>
    <w:p w:rsidR="00B72E70" w:rsidRPr="00C465DB" w:rsidRDefault="00E8678C" w:rsidP="00871FA2">
      <w:pPr>
        <w:pStyle w:val="Heading3"/>
      </w:pPr>
      <w:r>
        <w:t>Eligibility</w:t>
      </w:r>
    </w:p>
    <w:p w:rsidR="00B72E70" w:rsidRPr="00E16867" w:rsidRDefault="00B72E70" w:rsidP="00B72E70">
      <w:pPr>
        <w:pStyle w:val="BodyText"/>
      </w:pPr>
      <w:r w:rsidRPr="00837206">
        <w:t xml:space="preserve">This </w:t>
      </w:r>
      <w:r w:rsidR="00473894">
        <w:t>protocol</w:t>
      </w:r>
      <w:r w:rsidRPr="00837206">
        <w:t xml:space="preserve"> documents the energy savings attributed to </w:t>
      </w:r>
      <w:r>
        <w:t>ductless mini-split heat pumps</w:t>
      </w:r>
      <w:r w:rsidRPr="00837206">
        <w:t xml:space="preserve"> with </w:t>
      </w:r>
      <w:r>
        <w:t>energy efficiency performance of 14.5</w:t>
      </w:r>
      <w:r w:rsidRPr="007C4C3C">
        <w:t>/12 SEER/EER and 8.2 HSPF or</w:t>
      </w:r>
      <w:r w:rsidRPr="00837206">
        <w:t xml:space="preserve"> greater</w:t>
      </w:r>
      <w:r>
        <w:t xml:space="preserve"> with inverter technology.</w:t>
      </w:r>
      <w:r>
        <w:rPr>
          <w:rStyle w:val="FootnoteReference"/>
          <w:rFonts w:ascii="Times New Roman" w:hAnsi="Times New Roman"/>
          <w:szCs w:val="22"/>
        </w:rPr>
        <w:footnoteReference w:id="53"/>
      </w:r>
      <w:r w:rsidRPr="00837206">
        <w:t xml:space="preserve"> </w:t>
      </w:r>
      <w:r>
        <w:t xml:space="preserve"> </w:t>
      </w:r>
      <w:r w:rsidRPr="00E16867">
        <w:t xml:space="preserve">The </w:t>
      </w:r>
      <w:r>
        <w:t>baseline heating system could be an existing electric resistance heating, a lower-efficiency ductless heat pump system, a ducted heat pump, electric furnace</w:t>
      </w:r>
      <w:r w:rsidR="00A56592">
        <w:t>, or a non-electric fuel-based system</w:t>
      </w:r>
      <w:r>
        <w:t xml:space="preserve">. </w:t>
      </w:r>
      <w:r w:rsidR="00A56592" w:rsidRPr="00865490">
        <w:rPr>
          <w:rFonts w:cs="Arial"/>
        </w:rPr>
        <w:t>The baseline cooling system can be a standard efficiency heat pump system, central air conditioning system, or room air conditioner.</w:t>
      </w:r>
      <w:r>
        <w:t xml:space="preserve"> In addition, this could be installed in new construction or </w:t>
      </w:r>
      <w:r w:rsidR="00A56592">
        <w:t xml:space="preserve">an </w:t>
      </w:r>
      <w:r>
        <w:t xml:space="preserve">addition. </w:t>
      </w:r>
      <w:r w:rsidR="00A56592" w:rsidRPr="00865490">
        <w:rPr>
          <w:rFonts w:cs="Arial"/>
        </w:rPr>
        <w:t>For new construction or addition applications, the baseline assumption is a standard-efficiency ductless unit. The DHP systems could be installed as the primary heating or cooling system for the house or as a secondary heating or cooling system for a single room</w:t>
      </w:r>
      <w:r w:rsidR="00A56592">
        <w:rPr>
          <w:rFonts w:cs="Arial"/>
        </w:rPr>
        <w:t>.</w:t>
      </w:r>
    </w:p>
    <w:p w:rsidR="00B72E70" w:rsidRPr="006F488A" w:rsidRDefault="00B72E70" w:rsidP="00871FA2">
      <w:pPr>
        <w:pStyle w:val="Heading3"/>
      </w:pPr>
      <w:r>
        <w:t>Algorithm</w:t>
      </w:r>
      <w:r w:rsidR="00E8678C">
        <w:t>s</w:t>
      </w:r>
    </w:p>
    <w:p w:rsidR="00A56592" w:rsidRPr="00865490" w:rsidRDefault="00A56592" w:rsidP="00C3606E">
      <w:pPr>
        <w:pStyle w:val="BodyText"/>
        <w:rPr>
          <w:rFonts w:cs="Arial"/>
        </w:rPr>
      </w:pPr>
      <w:r w:rsidRPr="00865490">
        <w:rPr>
          <w:rFonts w:cs="Arial"/>
        </w:rPr>
        <w:t xml:space="preserve">The savings depend on three main factors: baseline condition, usage (primary or secondary heating system), and the capacity of the indoor unit. </w:t>
      </w:r>
    </w:p>
    <w:p w:rsidR="00A56592" w:rsidRPr="00865490" w:rsidRDefault="00A56592" w:rsidP="00C3606E">
      <w:pPr>
        <w:pStyle w:val="BodyText"/>
        <w:rPr>
          <w:rFonts w:cs="Arial"/>
        </w:rPr>
      </w:pPr>
      <w:r w:rsidRPr="00865490">
        <w:rPr>
          <w:rFonts w:cs="Arial"/>
        </w:rPr>
        <w:t>The algorithm is separated into two calculations: single zone and multi-zone ductless heat pumps. The savings algorithm is as follows:</w:t>
      </w:r>
    </w:p>
    <w:p w:rsidR="00B72E70" w:rsidRPr="00B72E70" w:rsidRDefault="00B72E70" w:rsidP="00E568D4">
      <w:pPr>
        <w:pStyle w:val="Heading4"/>
      </w:pPr>
      <w:r w:rsidRPr="00B72E70">
        <w:t>Single Zone:</w:t>
      </w:r>
    </w:p>
    <w:p w:rsidR="00A56592" w:rsidRPr="00AA2C40" w:rsidRDefault="00A56592" w:rsidP="00C3606E">
      <w:pPr>
        <w:pStyle w:val="Equation"/>
        <w:rPr>
          <w:rFonts w:cs="Arial"/>
          <w:szCs w:val="20"/>
        </w:rPr>
      </w:pPr>
      <w:r w:rsidRPr="00AA2C40">
        <w:rPr>
          <w:rFonts w:cs="Arial"/>
          <w:szCs w:val="20"/>
        </w:rPr>
        <w:sym w:font="Symbol" w:char="F044"/>
      </w:r>
      <w:r w:rsidRPr="00AA2C40">
        <w:rPr>
          <w:rFonts w:cs="Arial"/>
          <w:szCs w:val="20"/>
        </w:rPr>
        <w:t>kWh</w:t>
      </w:r>
      <w:r w:rsidRPr="00AA2C40">
        <w:rPr>
          <w:rFonts w:cs="Arial"/>
          <w:szCs w:val="20"/>
        </w:rPr>
        <w:tab/>
      </w:r>
      <w:r w:rsidRPr="00AA2C40">
        <w:rPr>
          <w:rFonts w:cs="Arial"/>
          <w:szCs w:val="20"/>
        </w:rPr>
        <w:tab/>
        <w:t xml:space="preserve">= </w:t>
      </w:r>
      <w:r w:rsidRPr="00AA2C40">
        <w:rPr>
          <w:rFonts w:cs="Arial"/>
          <w:szCs w:val="20"/>
        </w:rPr>
        <w:sym w:font="Symbol" w:char="F044"/>
      </w:r>
      <w:r w:rsidRPr="00AA2C40">
        <w:rPr>
          <w:rFonts w:cs="Arial"/>
          <w:szCs w:val="20"/>
        </w:rPr>
        <w:t>kWh</w:t>
      </w:r>
      <w:r w:rsidRPr="00AA2C40">
        <w:rPr>
          <w:rFonts w:cs="Arial"/>
          <w:szCs w:val="20"/>
          <w:vertAlign w:val="subscript"/>
        </w:rPr>
        <w:t>cool</w:t>
      </w:r>
      <w:r w:rsidRPr="00AA2C40">
        <w:rPr>
          <w:rFonts w:cs="Arial"/>
          <w:szCs w:val="20"/>
        </w:rPr>
        <w:t xml:space="preserve"> + </w:t>
      </w:r>
      <w:r w:rsidRPr="00AA2C40">
        <w:rPr>
          <w:rFonts w:cs="Arial"/>
          <w:szCs w:val="20"/>
        </w:rPr>
        <w:sym w:font="Symbol" w:char="F044"/>
      </w:r>
      <w:r w:rsidRPr="00AA2C40">
        <w:rPr>
          <w:rFonts w:cs="Arial"/>
          <w:szCs w:val="20"/>
        </w:rPr>
        <w:t>kWh</w:t>
      </w:r>
      <w:r w:rsidRPr="00AA2C40">
        <w:rPr>
          <w:rFonts w:cs="Arial"/>
          <w:szCs w:val="20"/>
          <w:vertAlign w:val="subscript"/>
        </w:rPr>
        <w:t>heat</w:t>
      </w:r>
    </w:p>
    <w:p w:rsidR="00A56592" w:rsidRPr="00AA2C40" w:rsidRDefault="00A56592" w:rsidP="00C3606E">
      <w:pPr>
        <w:pStyle w:val="Equation"/>
        <w:rPr>
          <w:rFonts w:cs="Arial"/>
          <w:szCs w:val="20"/>
        </w:rPr>
      </w:pPr>
      <w:r w:rsidRPr="00AA2C40">
        <w:rPr>
          <w:rFonts w:cs="Arial"/>
          <w:szCs w:val="20"/>
        </w:rPr>
        <w:sym w:font="Symbol" w:char="F044"/>
      </w:r>
      <w:r w:rsidRPr="00AA2C40">
        <w:rPr>
          <w:rFonts w:cs="Arial"/>
          <w:szCs w:val="20"/>
        </w:rPr>
        <w:t>kWh</w:t>
      </w:r>
      <w:r w:rsidRPr="00AA2C40">
        <w:rPr>
          <w:rFonts w:cs="Arial"/>
          <w:szCs w:val="20"/>
          <w:vertAlign w:val="subscript"/>
        </w:rPr>
        <w:t>heat</w:t>
      </w:r>
      <w:r w:rsidRPr="00AA2C40">
        <w:rPr>
          <w:rFonts w:cs="Arial"/>
          <w:szCs w:val="20"/>
        </w:rPr>
        <w:tab/>
        <w:t>= CAPY</w:t>
      </w:r>
      <w:r w:rsidR="00B3700F">
        <w:rPr>
          <w:rFonts w:cs="Arial"/>
          <w:szCs w:val="20"/>
          <w:vertAlign w:val="subscript"/>
        </w:rPr>
        <w:t>heat</w:t>
      </w:r>
      <w:r w:rsidRPr="00AA2C40">
        <w:rPr>
          <w:rFonts w:cs="Arial"/>
          <w:szCs w:val="20"/>
        </w:rPr>
        <w:t>/1000 X (1/HSPF</w:t>
      </w:r>
      <w:r w:rsidRPr="00F11594">
        <w:rPr>
          <w:rFonts w:cs="Arial"/>
          <w:szCs w:val="20"/>
          <w:vertAlign w:val="subscript"/>
        </w:rPr>
        <w:t>b</w:t>
      </w:r>
      <w:r w:rsidRPr="00AA2C40">
        <w:rPr>
          <w:rFonts w:cs="Arial"/>
          <w:szCs w:val="20"/>
        </w:rPr>
        <w:t xml:space="preserve">  - 1/HSPF</w:t>
      </w:r>
      <w:r w:rsidRPr="00F11594">
        <w:rPr>
          <w:rFonts w:cs="Arial"/>
          <w:szCs w:val="20"/>
          <w:vertAlign w:val="subscript"/>
        </w:rPr>
        <w:t>e</w:t>
      </w:r>
      <w:r w:rsidRPr="00AA2C40">
        <w:rPr>
          <w:rFonts w:cs="Arial"/>
          <w:szCs w:val="20"/>
        </w:rPr>
        <w:t xml:space="preserve"> ) X EFLH</w:t>
      </w:r>
      <w:r w:rsidR="00B3700F">
        <w:rPr>
          <w:rFonts w:cs="Arial"/>
          <w:szCs w:val="20"/>
          <w:vertAlign w:val="subscript"/>
        </w:rPr>
        <w:t>heat</w:t>
      </w:r>
      <w:r w:rsidRPr="00AA2C40">
        <w:rPr>
          <w:rFonts w:cs="Arial"/>
          <w:szCs w:val="20"/>
        </w:rPr>
        <w:t xml:space="preserve"> X LF</w:t>
      </w:r>
    </w:p>
    <w:p w:rsidR="00A56592" w:rsidRPr="00AA2C40" w:rsidRDefault="00A56592" w:rsidP="00C3606E">
      <w:pPr>
        <w:pStyle w:val="Equation"/>
        <w:rPr>
          <w:rFonts w:cs="Arial"/>
          <w:szCs w:val="20"/>
        </w:rPr>
      </w:pPr>
      <w:r w:rsidRPr="00AA2C40">
        <w:rPr>
          <w:rFonts w:cs="Arial"/>
          <w:szCs w:val="20"/>
        </w:rPr>
        <w:sym w:font="Symbol" w:char="F044"/>
      </w:r>
      <w:r w:rsidRPr="00AA2C40">
        <w:rPr>
          <w:rFonts w:cs="Arial"/>
          <w:szCs w:val="20"/>
        </w:rPr>
        <w:t>kWh</w:t>
      </w:r>
      <w:r w:rsidRPr="00AA2C40">
        <w:rPr>
          <w:rFonts w:cs="Arial"/>
          <w:szCs w:val="20"/>
          <w:vertAlign w:val="subscript"/>
        </w:rPr>
        <w:t>cool</w:t>
      </w:r>
      <w:r w:rsidRPr="00AA2C40">
        <w:rPr>
          <w:rFonts w:cs="Arial"/>
          <w:szCs w:val="20"/>
        </w:rPr>
        <w:tab/>
        <w:t>= CAPY</w:t>
      </w:r>
      <w:r w:rsidR="00B3700F" w:rsidRPr="00AA2C40">
        <w:rPr>
          <w:rFonts w:cs="Arial"/>
          <w:szCs w:val="20"/>
          <w:vertAlign w:val="subscript"/>
        </w:rPr>
        <w:t>cool</w:t>
      </w:r>
      <w:r w:rsidRPr="00AA2C40">
        <w:rPr>
          <w:rFonts w:cs="Arial"/>
          <w:szCs w:val="20"/>
        </w:rPr>
        <w:t>/1000 X (1/SEER</w:t>
      </w:r>
      <w:r w:rsidRPr="00F11594">
        <w:rPr>
          <w:rFonts w:cs="Arial"/>
          <w:szCs w:val="20"/>
          <w:vertAlign w:val="subscript"/>
        </w:rPr>
        <w:t>b</w:t>
      </w:r>
      <w:r w:rsidRPr="00AA2C40">
        <w:rPr>
          <w:rFonts w:cs="Arial"/>
          <w:szCs w:val="20"/>
        </w:rPr>
        <w:t xml:space="preserve"> – 1/SEER</w:t>
      </w:r>
      <w:r w:rsidRPr="00F11594">
        <w:rPr>
          <w:rFonts w:cs="Arial"/>
          <w:szCs w:val="20"/>
          <w:vertAlign w:val="subscript"/>
        </w:rPr>
        <w:t>e</w:t>
      </w:r>
      <w:r w:rsidRPr="00AA2C40">
        <w:rPr>
          <w:rFonts w:cs="Arial"/>
          <w:szCs w:val="20"/>
        </w:rPr>
        <w:t xml:space="preserve"> ) X EFLH</w:t>
      </w:r>
      <w:r w:rsidR="00B3700F" w:rsidRPr="00AA2C40">
        <w:rPr>
          <w:rFonts w:cs="Arial"/>
          <w:szCs w:val="20"/>
          <w:vertAlign w:val="subscript"/>
        </w:rPr>
        <w:t>cool</w:t>
      </w:r>
      <w:r w:rsidRPr="00AA2C40">
        <w:rPr>
          <w:rFonts w:cs="Arial"/>
          <w:szCs w:val="20"/>
        </w:rPr>
        <w:t xml:space="preserve"> X LF</w:t>
      </w:r>
    </w:p>
    <w:p w:rsidR="00A56592" w:rsidRDefault="00A56592" w:rsidP="00C3606E">
      <w:pPr>
        <w:pStyle w:val="Equation"/>
      </w:pPr>
      <w:r w:rsidRPr="00AA2C40">
        <w:rPr>
          <w:rFonts w:cs="Arial"/>
          <w:szCs w:val="20"/>
        </w:rPr>
        <w:lastRenderedPageBreak/>
        <w:sym w:font="Symbol" w:char="F044"/>
      </w:r>
      <w:r w:rsidRPr="00AA2C40">
        <w:rPr>
          <w:rFonts w:cs="Arial"/>
          <w:szCs w:val="20"/>
        </w:rPr>
        <w:t>kW</w:t>
      </w:r>
      <w:r w:rsidRPr="00AA2C40">
        <w:rPr>
          <w:rFonts w:cs="Arial"/>
          <w:szCs w:val="20"/>
          <w:vertAlign w:val="subscript"/>
        </w:rPr>
        <w:t>peak</w:t>
      </w:r>
      <w:r w:rsidRPr="00AA2C40">
        <w:rPr>
          <w:rFonts w:cs="Arial"/>
          <w:szCs w:val="20"/>
        </w:rPr>
        <w:tab/>
      </w:r>
      <w:r w:rsidRPr="00AA2C40">
        <w:rPr>
          <w:rFonts w:cs="Arial"/>
          <w:szCs w:val="20"/>
        </w:rPr>
        <w:tab/>
        <w:t>= CAPY</w:t>
      </w:r>
      <w:r w:rsidR="00B3700F" w:rsidRPr="00AA2C40">
        <w:rPr>
          <w:rFonts w:cs="Arial"/>
          <w:szCs w:val="20"/>
          <w:vertAlign w:val="subscript"/>
        </w:rPr>
        <w:t>cool</w:t>
      </w:r>
      <w:r w:rsidRPr="00AA2C40">
        <w:rPr>
          <w:rFonts w:cs="Arial"/>
          <w:szCs w:val="20"/>
        </w:rPr>
        <w:t>/1000 X (1/EER</w:t>
      </w:r>
      <w:r w:rsidRPr="00F11594">
        <w:rPr>
          <w:rFonts w:cs="Arial"/>
          <w:szCs w:val="20"/>
          <w:vertAlign w:val="subscript"/>
        </w:rPr>
        <w:t>b</w:t>
      </w:r>
      <w:r w:rsidRPr="00AA2C40">
        <w:rPr>
          <w:rFonts w:cs="Arial"/>
          <w:szCs w:val="20"/>
        </w:rPr>
        <w:t xml:space="preserve"> – 1/EER</w:t>
      </w:r>
      <w:r w:rsidRPr="00F11594">
        <w:rPr>
          <w:rFonts w:cs="Arial"/>
          <w:szCs w:val="20"/>
          <w:vertAlign w:val="subscript"/>
        </w:rPr>
        <w:t>e</w:t>
      </w:r>
      <w:r w:rsidRPr="00AA2C40">
        <w:rPr>
          <w:rFonts w:cs="Arial"/>
          <w:szCs w:val="20"/>
        </w:rPr>
        <w:t xml:space="preserve"> ) X CF </w:t>
      </w:r>
    </w:p>
    <w:p w:rsidR="00B72E70" w:rsidRPr="000E610E" w:rsidRDefault="00B72E70" w:rsidP="00E568D4">
      <w:pPr>
        <w:pStyle w:val="Heading4"/>
      </w:pPr>
      <w:r w:rsidRPr="00B72E70">
        <w:t>Multi-Zone</w:t>
      </w:r>
      <w:r w:rsidR="000E610E">
        <w:t>:</w:t>
      </w:r>
    </w:p>
    <w:p w:rsidR="00A56592" w:rsidRPr="00AA2C40" w:rsidRDefault="00A56592" w:rsidP="00C3606E">
      <w:pPr>
        <w:pStyle w:val="Equation"/>
        <w:rPr>
          <w:rFonts w:cs="Arial"/>
          <w:szCs w:val="20"/>
        </w:rPr>
      </w:pPr>
      <w:r w:rsidRPr="00AA2C40">
        <w:rPr>
          <w:rFonts w:cs="Arial"/>
          <w:szCs w:val="20"/>
        </w:rPr>
        <w:sym w:font="Symbol" w:char="F044"/>
      </w:r>
      <w:r w:rsidRPr="00AA2C40">
        <w:rPr>
          <w:rFonts w:cs="Arial"/>
          <w:szCs w:val="20"/>
        </w:rPr>
        <w:t>kWh</w:t>
      </w:r>
      <w:r w:rsidRPr="00AA2C40">
        <w:rPr>
          <w:rFonts w:cs="Arial"/>
          <w:szCs w:val="20"/>
        </w:rPr>
        <w:tab/>
      </w:r>
      <w:r w:rsidRPr="00AA2C40">
        <w:rPr>
          <w:rFonts w:cs="Arial"/>
          <w:szCs w:val="20"/>
        </w:rPr>
        <w:tab/>
        <w:t xml:space="preserve">= </w:t>
      </w:r>
      <w:r w:rsidRPr="00AA2C40">
        <w:rPr>
          <w:rFonts w:cs="Arial"/>
          <w:szCs w:val="20"/>
        </w:rPr>
        <w:sym w:font="Symbol" w:char="F044"/>
      </w:r>
      <w:r w:rsidRPr="00AA2C40">
        <w:rPr>
          <w:rFonts w:cs="Arial"/>
          <w:szCs w:val="20"/>
        </w:rPr>
        <w:t>kWh</w:t>
      </w:r>
      <w:r w:rsidRPr="00AA2C40">
        <w:rPr>
          <w:rFonts w:cs="Arial"/>
          <w:szCs w:val="20"/>
          <w:vertAlign w:val="subscript"/>
        </w:rPr>
        <w:t>cool</w:t>
      </w:r>
      <w:r w:rsidRPr="00AA2C40">
        <w:rPr>
          <w:rFonts w:cs="Arial"/>
          <w:szCs w:val="20"/>
        </w:rPr>
        <w:t xml:space="preserve"> + </w:t>
      </w:r>
      <w:r w:rsidRPr="00AA2C40">
        <w:rPr>
          <w:rFonts w:cs="Arial"/>
          <w:szCs w:val="20"/>
        </w:rPr>
        <w:sym w:font="Symbol" w:char="F044"/>
      </w:r>
      <w:r w:rsidRPr="00AA2C40">
        <w:rPr>
          <w:rFonts w:cs="Arial"/>
          <w:szCs w:val="20"/>
        </w:rPr>
        <w:t>kWh</w:t>
      </w:r>
      <w:r w:rsidRPr="00AA2C40">
        <w:rPr>
          <w:rFonts w:cs="Arial"/>
          <w:szCs w:val="20"/>
          <w:vertAlign w:val="subscript"/>
        </w:rPr>
        <w:t>heat</w:t>
      </w:r>
    </w:p>
    <w:p w:rsidR="00A56592" w:rsidRPr="00AA2C40" w:rsidRDefault="00A56592" w:rsidP="00C3606E">
      <w:pPr>
        <w:pStyle w:val="Equation"/>
        <w:rPr>
          <w:rFonts w:cs="Arial"/>
          <w:szCs w:val="20"/>
        </w:rPr>
      </w:pPr>
      <w:r w:rsidRPr="00AA2C40">
        <w:rPr>
          <w:rFonts w:cs="Arial"/>
          <w:szCs w:val="20"/>
        </w:rPr>
        <w:sym w:font="Symbol" w:char="F044"/>
      </w:r>
      <w:r w:rsidRPr="00AA2C40">
        <w:rPr>
          <w:rFonts w:cs="Arial"/>
          <w:szCs w:val="20"/>
        </w:rPr>
        <w:t>kWh</w:t>
      </w:r>
      <w:r w:rsidRPr="00AA2C40">
        <w:rPr>
          <w:rFonts w:cs="Arial"/>
          <w:szCs w:val="20"/>
          <w:vertAlign w:val="subscript"/>
        </w:rPr>
        <w:t>heat</w:t>
      </w:r>
      <w:r w:rsidRPr="00AA2C40">
        <w:rPr>
          <w:rFonts w:cs="Arial"/>
          <w:szCs w:val="20"/>
        </w:rPr>
        <w:tab/>
        <w:t>= [CAPY</w:t>
      </w:r>
      <w:r w:rsidR="00B3700F">
        <w:rPr>
          <w:rFonts w:cs="Arial"/>
          <w:szCs w:val="20"/>
          <w:vertAlign w:val="subscript"/>
        </w:rPr>
        <w:t>heat</w:t>
      </w:r>
      <w:r w:rsidRPr="00AA2C40">
        <w:rPr>
          <w:rFonts w:cs="Arial"/>
          <w:szCs w:val="20"/>
        </w:rPr>
        <w:t>/1000 X (1/HSPF</w:t>
      </w:r>
      <w:r w:rsidRPr="00F11594">
        <w:rPr>
          <w:rFonts w:cs="Arial"/>
          <w:szCs w:val="20"/>
          <w:vertAlign w:val="subscript"/>
        </w:rPr>
        <w:t>b</w:t>
      </w:r>
      <w:r w:rsidRPr="00AA2C40">
        <w:rPr>
          <w:rFonts w:cs="Arial"/>
          <w:szCs w:val="20"/>
        </w:rPr>
        <w:t xml:space="preserve">  - 1/HSPF</w:t>
      </w:r>
      <w:r w:rsidRPr="00F11594">
        <w:rPr>
          <w:rFonts w:cs="Arial"/>
          <w:szCs w:val="20"/>
          <w:vertAlign w:val="subscript"/>
        </w:rPr>
        <w:t>e</w:t>
      </w:r>
      <w:r w:rsidRPr="00AA2C40">
        <w:rPr>
          <w:rFonts w:cs="Arial"/>
          <w:szCs w:val="20"/>
        </w:rPr>
        <w:t xml:space="preserve"> ) X EFLH</w:t>
      </w:r>
      <w:r w:rsidR="00B3700F">
        <w:rPr>
          <w:rFonts w:cs="Arial"/>
          <w:szCs w:val="20"/>
          <w:vertAlign w:val="subscript"/>
        </w:rPr>
        <w:t>heat</w:t>
      </w:r>
      <w:r w:rsidRPr="00AA2C40">
        <w:rPr>
          <w:rFonts w:cs="Arial"/>
          <w:szCs w:val="20"/>
        </w:rPr>
        <w:t xml:space="preserve"> X LF]</w:t>
      </w:r>
      <w:r w:rsidRPr="00AA2C40">
        <w:rPr>
          <w:rFonts w:cs="Arial"/>
          <w:szCs w:val="20"/>
          <w:vertAlign w:val="subscript"/>
        </w:rPr>
        <w:t>ZONE1</w:t>
      </w:r>
      <w:r w:rsidRPr="00AA2C40">
        <w:rPr>
          <w:rFonts w:cs="Arial"/>
          <w:szCs w:val="20"/>
        </w:rPr>
        <w:t xml:space="preserve"> + [CAPY</w:t>
      </w:r>
      <w:r w:rsidR="00B3700F">
        <w:rPr>
          <w:rFonts w:cs="Arial"/>
          <w:szCs w:val="20"/>
          <w:vertAlign w:val="subscript"/>
        </w:rPr>
        <w:t>heat</w:t>
      </w:r>
      <w:r w:rsidRPr="00AA2C40">
        <w:rPr>
          <w:rFonts w:cs="Arial"/>
          <w:szCs w:val="20"/>
        </w:rPr>
        <w:t>/1000 X (1/HSPF</w:t>
      </w:r>
      <w:r w:rsidRPr="00F11594">
        <w:rPr>
          <w:rFonts w:cs="Arial"/>
          <w:szCs w:val="20"/>
          <w:vertAlign w:val="subscript"/>
        </w:rPr>
        <w:t>b</w:t>
      </w:r>
      <w:r w:rsidRPr="00AA2C40">
        <w:rPr>
          <w:rFonts w:cs="Arial"/>
          <w:szCs w:val="20"/>
        </w:rPr>
        <w:t xml:space="preserve">  - 1/HSPF</w:t>
      </w:r>
      <w:r w:rsidRPr="00F11594">
        <w:rPr>
          <w:rFonts w:cs="Arial"/>
          <w:szCs w:val="20"/>
          <w:vertAlign w:val="subscript"/>
        </w:rPr>
        <w:t>e</w:t>
      </w:r>
      <w:r w:rsidRPr="00AA2C40">
        <w:rPr>
          <w:rFonts w:cs="Arial"/>
          <w:szCs w:val="20"/>
        </w:rPr>
        <w:t xml:space="preserve"> ) X EFLH</w:t>
      </w:r>
      <w:r w:rsidR="00B3700F">
        <w:rPr>
          <w:rFonts w:cs="Arial"/>
          <w:szCs w:val="20"/>
          <w:vertAlign w:val="subscript"/>
        </w:rPr>
        <w:t>heat</w:t>
      </w:r>
      <w:r w:rsidRPr="00AA2C40">
        <w:rPr>
          <w:rFonts w:cs="Arial"/>
          <w:szCs w:val="20"/>
        </w:rPr>
        <w:t xml:space="preserve"> X LF]</w:t>
      </w:r>
      <w:r w:rsidRPr="00AA2C40">
        <w:rPr>
          <w:rFonts w:cs="Arial"/>
          <w:szCs w:val="20"/>
          <w:vertAlign w:val="subscript"/>
        </w:rPr>
        <w:t>ZONE2</w:t>
      </w:r>
      <w:r w:rsidRPr="00AA2C40">
        <w:rPr>
          <w:rFonts w:cs="Arial"/>
          <w:szCs w:val="20"/>
        </w:rPr>
        <w:t xml:space="preserve"> + [CAPY</w:t>
      </w:r>
      <w:r w:rsidR="00B3700F">
        <w:rPr>
          <w:rFonts w:cs="Arial"/>
          <w:szCs w:val="20"/>
          <w:vertAlign w:val="subscript"/>
        </w:rPr>
        <w:t>heat</w:t>
      </w:r>
      <w:r w:rsidRPr="00AA2C40">
        <w:rPr>
          <w:rFonts w:cs="Arial"/>
          <w:szCs w:val="20"/>
        </w:rPr>
        <w:t>/1000 X (1/HSPF</w:t>
      </w:r>
      <w:r w:rsidRPr="00F11594">
        <w:rPr>
          <w:rFonts w:cs="Arial"/>
          <w:szCs w:val="20"/>
          <w:vertAlign w:val="subscript"/>
        </w:rPr>
        <w:t>b</w:t>
      </w:r>
      <w:r w:rsidRPr="00AA2C40">
        <w:rPr>
          <w:rFonts w:cs="Arial"/>
          <w:szCs w:val="20"/>
        </w:rPr>
        <w:t xml:space="preserve">  - 1/HSPF</w:t>
      </w:r>
      <w:r w:rsidRPr="00F11594">
        <w:rPr>
          <w:rFonts w:cs="Arial"/>
          <w:szCs w:val="20"/>
          <w:vertAlign w:val="subscript"/>
        </w:rPr>
        <w:t>e</w:t>
      </w:r>
      <w:r w:rsidRPr="00AA2C40">
        <w:rPr>
          <w:rFonts w:cs="Arial"/>
          <w:szCs w:val="20"/>
        </w:rPr>
        <w:t xml:space="preserve"> ) X EFLH</w:t>
      </w:r>
      <w:r w:rsidR="00B3700F">
        <w:rPr>
          <w:rFonts w:cs="Arial"/>
          <w:szCs w:val="20"/>
          <w:vertAlign w:val="subscript"/>
        </w:rPr>
        <w:t>heat</w:t>
      </w:r>
      <w:r w:rsidRPr="00AA2C40">
        <w:rPr>
          <w:rFonts w:cs="Arial"/>
          <w:szCs w:val="20"/>
        </w:rPr>
        <w:t xml:space="preserve"> X LF]</w:t>
      </w:r>
      <w:r w:rsidRPr="00AA2C40">
        <w:rPr>
          <w:rFonts w:cs="Arial"/>
          <w:szCs w:val="20"/>
          <w:vertAlign w:val="subscript"/>
        </w:rPr>
        <w:t>ZONEn</w:t>
      </w:r>
    </w:p>
    <w:p w:rsidR="00A56592" w:rsidRPr="00AA2C40" w:rsidRDefault="00A56592" w:rsidP="00C3606E">
      <w:pPr>
        <w:pStyle w:val="Equation"/>
        <w:rPr>
          <w:rFonts w:cs="Arial"/>
          <w:szCs w:val="20"/>
        </w:rPr>
      </w:pPr>
      <w:r w:rsidRPr="00AA2C40">
        <w:rPr>
          <w:rFonts w:cs="Arial"/>
          <w:szCs w:val="20"/>
        </w:rPr>
        <w:sym w:font="Symbol" w:char="F044"/>
      </w:r>
      <w:r w:rsidRPr="00AA2C40">
        <w:rPr>
          <w:rFonts w:cs="Arial"/>
          <w:szCs w:val="20"/>
        </w:rPr>
        <w:t>kWh</w:t>
      </w:r>
      <w:r w:rsidRPr="00AA2C40">
        <w:rPr>
          <w:rFonts w:cs="Arial"/>
          <w:szCs w:val="20"/>
          <w:vertAlign w:val="subscript"/>
        </w:rPr>
        <w:t>cool</w:t>
      </w:r>
      <w:r w:rsidRPr="00AA2C40">
        <w:rPr>
          <w:rFonts w:cs="Arial"/>
          <w:szCs w:val="20"/>
        </w:rPr>
        <w:tab/>
        <w:t>= [CAPY</w:t>
      </w:r>
      <w:r w:rsidR="00B3700F" w:rsidRPr="00AA2C40">
        <w:rPr>
          <w:rFonts w:cs="Arial"/>
          <w:szCs w:val="20"/>
          <w:vertAlign w:val="subscript"/>
        </w:rPr>
        <w:t>cool</w:t>
      </w:r>
      <w:r w:rsidRPr="00AA2C40">
        <w:rPr>
          <w:rFonts w:cs="Arial"/>
          <w:szCs w:val="20"/>
        </w:rPr>
        <w:t>/1000 X (1/SEER</w:t>
      </w:r>
      <w:r w:rsidRPr="00F11594">
        <w:rPr>
          <w:rFonts w:cs="Arial"/>
          <w:szCs w:val="20"/>
          <w:vertAlign w:val="subscript"/>
        </w:rPr>
        <w:t>b</w:t>
      </w:r>
      <w:r w:rsidRPr="00AA2C40">
        <w:rPr>
          <w:rFonts w:cs="Arial"/>
          <w:szCs w:val="20"/>
        </w:rPr>
        <w:t xml:space="preserve"> – 1/SEER</w:t>
      </w:r>
      <w:r w:rsidRPr="00F11594">
        <w:rPr>
          <w:rFonts w:cs="Arial"/>
          <w:szCs w:val="20"/>
          <w:vertAlign w:val="subscript"/>
        </w:rPr>
        <w:t>e</w:t>
      </w:r>
      <w:r w:rsidRPr="00AA2C40">
        <w:rPr>
          <w:rFonts w:cs="Arial"/>
          <w:szCs w:val="20"/>
        </w:rPr>
        <w:t xml:space="preserve"> ) X EFLH</w:t>
      </w:r>
      <w:r w:rsidR="00B3700F" w:rsidRPr="00AA2C40">
        <w:rPr>
          <w:rFonts w:cs="Arial"/>
          <w:szCs w:val="20"/>
          <w:vertAlign w:val="subscript"/>
        </w:rPr>
        <w:t>cool</w:t>
      </w:r>
      <w:r w:rsidRPr="00AA2C40">
        <w:rPr>
          <w:rFonts w:cs="Arial"/>
          <w:szCs w:val="20"/>
        </w:rPr>
        <w:t xml:space="preserve"> X LF]</w:t>
      </w:r>
      <w:r w:rsidRPr="00AA2C40">
        <w:rPr>
          <w:rFonts w:cs="Arial"/>
          <w:szCs w:val="20"/>
          <w:vertAlign w:val="subscript"/>
        </w:rPr>
        <w:t>ZONE1</w:t>
      </w:r>
      <w:r w:rsidRPr="00AA2C40">
        <w:rPr>
          <w:rFonts w:cs="Arial"/>
          <w:szCs w:val="20"/>
        </w:rPr>
        <w:t xml:space="preserve"> + [CAPY</w:t>
      </w:r>
      <w:r w:rsidR="00B3700F" w:rsidRPr="00AA2C40">
        <w:rPr>
          <w:rFonts w:cs="Arial"/>
          <w:szCs w:val="20"/>
          <w:vertAlign w:val="subscript"/>
        </w:rPr>
        <w:t>cool</w:t>
      </w:r>
      <w:r w:rsidRPr="00AA2C40">
        <w:rPr>
          <w:rFonts w:cs="Arial"/>
          <w:szCs w:val="20"/>
        </w:rPr>
        <w:t>/1000 X (1/SEER</w:t>
      </w:r>
      <w:r w:rsidRPr="00F11594">
        <w:rPr>
          <w:rFonts w:cs="Arial"/>
          <w:szCs w:val="20"/>
          <w:vertAlign w:val="subscript"/>
        </w:rPr>
        <w:t>b</w:t>
      </w:r>
      <w:r w:rsidRPr="00AA2C40">
        <w:rPr>
          <w:rFonts w:cs="Arial"/>
          <w:szCs w:val="20"/>
        </w:rPr>
        <w:t xml:space="preserve"> – 1/SEER</w:t>
      </w:r>
      <w:r w:rsidRPr="00F11594">
        <w:rPr>
          <w:rFonts w:cs="Arial"/>
          <w:szCs w:val="20"/>
          <w:vertAlign w:val="subscript"/>
        </w:rPr>
        <w:t>e</w:t>
      </w:r>
      <w:r w:rsidRPr="00AA2C40">
        <w:rPr>
          <w:rFonts w:cs="Arial"/>
          <w:szCs w:val="20"/>
        </w:rPr>
        <w:t xml:space="preserve"> ) X EFLH</w:t>
      </w:r>
      <w:r w:rsidR="00B3700F" w:rsidRPr="00AA2C40">
        <w:rPr>
          <w:rFonts w:cs="Arial"/>
          <w:szCs w:val="20"/>
          <w:vertAlign w:val="subscript"/>
        </w:rPr>
        <w:t>cool</w:t>
      </w:r>
      <w:r w:rsidRPr="00AA2C40">
        <w:rPr>
          <w:rFonts w:cs="Arial"/>
          <w:szCs w:val="20"/>
        </w:rPr>
        <w:t xml:space="preserve"> X LF]</w:t>
      </w:r>
      <w:r w:rsidRPr="00AA2C40">
        <w:rPr>
          <w:rFonts w:cs="Arial"/>
          <w:szCs w:val="20"/>
          <w:vertAlign w:val="subscript"/>
        </w:rPr>
        <w:t>ZONE2</w:t>
      </w:r>
      <w:r w:rsidRPr="00AA2C40">
        <w:rPr>
          <w:rFonts w:cs="Arial"/>
          <w:szCs w:val="20"/>
        </w:rPr>
        <w:t xml:space="preserve"> + [CAPY</w:t>
      </w:r>
      <w:r w:rsidR="00B3700F" w:rsidRPr="00AA2C40">
        <w:rPr>
          <w:rFonts w:cs="Arial"/>
          <w:szCs w:val="20"/>
          <w:vertAlign w:val="subscript"/>
        </w:rPr>
        <w:t>cool</w:t>
      </w:r>
      <w:r w:rsidRPr="00AA2C40">
        <w:rPr>
          <w:rFonts w:cs="Arial"/>
          <w:szCs w:val="20"/>
        </w:rPr>
        <w:t>/1000 X (1/SEER</w:t>
      </w:r>
      <w:r w:rsidRPr="00F11594">
        <w:rPr>
          <w:rFonts w:cs="Arial"/>
          <w:szCs w:val="20"/>
          <w:vertAlign w:val="subscript"/>
        </w:rPr>
        <w:t>b</w:t>
      </w:r>
      <w:r w:rsidRPr="00AA2C40">
        <w:rPr>
          <w:rFonts w:cs="Arial"/>
          <w:szCs w:val="20"/>
        </w:rPr>
        <w:t xml:space="preserve"> – 1/SEER</w:t>
      </w:r>
      <w:r w:rsidRPr="00F11594">
        <w:rPr>
          <w:rFonts w:cs="Arial"/>
          <w:szCs w:val="20"/>
          <w:vertAlign w:val="subscript"/>
        </w:rPr>
        <w:t>e</w:t>
      </w:r>
      <w:r w:rsidRPr="00AA2C40">
        <w:rPr>
          <w:rFonts w:cs="Arial"/>
          <w:szCs w:val="20"/>
        </w:rPr>
        <w:t xml:space="preserve"> ) X EFLH</w:t>
      </w:r>
      <w:r w:rsidR="00B3700F" w:rsidRPr="00AA2C40">
        <w:rPr>
          <w:rFonts w:cs="Arial"/>
          <w:szCs w:val="20"/>
          <w:vertAlign w:val="subscript"/>
        </w:rPr>
        <w:t>cool</w:t>
      </w:r>
      <w:r w:rsidRPr="00AA2C40">
        <w:rPr>
          <w:rFonts w:cs="Arial"/>
          <w:szCs w:val="20"/>
        </w:rPr>
        <w:t xml:space="preserve"> X LF]</w:t>
      </w:r>
      <w:r w:rsidRPr="00AA2C40">
        <w:rPr>
          <w:rFonts w:cs="Arial"/>
          <w:szCs w:val="20"/>
          <w:vertAlign w:val="subscript"/>
        </w:rPr>
        <w:t>ZONEn</w:t>
      </w:r>
    </w:p>
    <w:p w:rsidR="00A56592" w:rsidRPr="00AA2C40" w:rsidRDefault="00A56592" w:rsidP="00C3606E">
      <w:pPr>
        <w:pStyle w:val="Equation"/>
        <w:rPr>
          <w:rFonts w:cs="Arial"/>
          <w:szCs w:val="20"/>
        </w:rPr>
      </w:pPr>
      <w:r w:rsidRPr="00AA2C40">
        <w:rPr>
          <w:rFonts w:cs="Arial"/>
          <w:szCs w:val="20"/>
        </w:rPr>
        <w:sym w:font="Symbol" w:char="F044"/>
      </w:r>
      <w:r w:rsidRPr="00AA2C40">
        <w:rPr>
          <w:rFonts w:cs="Arial"/>
          <w:szCs w:val="20"/>
        </w:rPr>
        <w:t>kW</w:t>
      </w:r>
      <w:r w:rsidRPr="00AA2C40">
        <w:rPr>
          <w:rFonts w:cs="Arial"/>
          <w:szCs w:val="20"/>
          <w:vertAlign w:val="subscript"/>
        </w:rPr>
        <w:t>peak</w:t>
      </w:r>
      <w:r w:rsidRPr="00AA2C40">
        <w:rPr>
          <w:rFonts w:cs="Arial"/>
          <w:szCs w:val="20"/>
        </w:rPr>
        <w:tab/>
      </w:r>
      <w:r w:rsidRPr="00AA2C40">
        <w:rPr>
          <w:rFonts w:cs="Arial"/>
          <w:szCs w:val="20"/>
        </w:rPr>
        <w:tab/>
        <w:t>= [CAPY</w:t>
      </w:r>
      <w:r w:rsidR="00F73002" w:rsidRPr="00AA2C40">
        <w:rPr>
          <w:rFonts w:cs="Arial"/>
          <w:szCs w:val="20"/>
          <w:vertAlign w:val="subscript"/>
        </w:rPr>
        <w:t>cool</w:t>
      </w:r>
      <w:r w:rsidRPr="00AA2C40">
        <w:rPr>
          <w:rFonts w:cs="Arial"/>
          <w:szCs w:val="20"/>
        </w:rPr>
        <w:t>/1000 X (1/EER</w:t>
      </w:r>
      <w:r w:rsidRPr="00F11594">
        <w:rPr>
          <w:rFonts w:cs="Arial"/>
          <w:szCs w:val="20"/>
          <w:vertAlign w:val="subscript"/>
        </w:rPr>
        <w:t>b</w:t>
      </w:r>
      <w:r w:rsidRPr="00AA2C40">
        <w:rPr>
          <w:rFonts w:cs="Arial"/>
          <w:szCs w:val="20"/>
        </w:rPr>
        <w:t xml:space="preserve"> – 1/EER</w:t>
      </w:r>
      <w:r w:rsidRPr="00F11594">
        <w:rPr>
          <w:rFonts w:cs="Arial"/>
          <w:szCs w:val="20"/>
          <w:vertAlign w:val="subscript"/>
        </w:rPr>
        <w:t>e</w:t>
      </w:r>
      <w:r w:rsidRPr="00AA2C40">
        <w:rPr>
          <w:rFonts w:cs="Arial"/>
          <w:szCs w:val="20"/>
        </w:rPr>
        <w:t xml:space="preserve"> ) X CF]</w:t>
      </w:r>
      <w:r w:rsidRPr="00AA2C40">
        <w:rPr>
          <w:rFonts w:cs="Arial"/>
          <w:szCs w:val="20"/>
          <w:vertAlign w:val="subscript"/>
        </w:rPr>
        <w:t>ZONE1</w:t>
      </w:r>
      <w:r w:rsidRPr="00AA2C40">
        <w:rPr>
          <w:rFonts w:cs="Arial"/>
          <w:szCs w:val="20"/>
        </w:rPr>
        <w:t xml:space="preserve"> + [CAPY</w:t>
      </w:r>
      <w:r w:rsidR="00F73002" w:rsidRPr="00AA2C40">
        <w:rPr>
          <w:rFonts w:cs="Arial"/>
          <w:szCs w:val="20"/>
          <w:vertAlign w:val="subscript"/>
        </w:rPr>
        <w:t>cool</w:t>
      </w:r>
      <w:r w:rsidRPr="00AA2C40">
        <w:rPr>
          <w:rFonts w:cs="Arial"/>
          <w:szCs w:val="20"/>
        </w:rPr>
        <w:t>/1000 X (1/EER</w:t>
      </w:r>
      <w:r w:rsidRPr="00F11594">
        <w:rPr>
          <w:rFonts w:cs="Arial"/>
          <w:szCs w:val="20"/>
          <w:vertAlign w:val="subscript"/>
        </w:rPr>
        <w:t>b</w:t>
      </w:r>
      <w:r w:rsidRPr="00AA2C40">
        <w:rPr>
          <w:rFonts w:cs="Arial"/>
          <w:szCs w:val="20"/>
        </w:rPr>
        <w:t xml:space="preserve"> – 1/EER</w:t>
      </w:r>
      <w:r w:rsidRPr="00F11594">
        <w:rPr>
          <w:rFonts w:cs="Arial"/>
          <w:szCs w:val="20"/>
          <w:vertAlign w:val="subscript"/>
        </w:rPr>
        <w:t>e</w:t>
      </w:r>
      <w:r w:rsidRPr="00AA2C40">
        <w:rPr>
          <w:rFonts w:cs="Arial"/>
          <w:szCs w:val="20"/>
        </w:rPr>
        <w:t xml:space="preserve"> ) X CF]</w:t>
      </w:r>
      <w:r w:rsidRPr="00AA2C40">
        <w:rPr>
          <w:rFonts w:cs="Arial"/>
          <w:szCs w:val="20"/>
          <w:vertAlign w:val="subscript"/>
        </w:rPr>
        <w:t>ZONE2</w:t>
      </w:r>
      <w:r w:rsidRPr="00AA2C40">
        <w:rPr>
          <w:rFonts w:cs="Arial"/>
          <w:szCs w:val="20"/>
        </w:rPr>
        <w:t xml:space="preserve"> + [CAPY</w:t>
      </w:r>
      <w:r w:rsidR="00F73002" w:rsidRPr="00AA2C40">
        <w:rPr>
          <w:rFonts w:cs="Arial"/>
          <w:szCs w:val="20"/>
          <w:vertAlign w:val="subscript"/>
        </w:rPr>
        <w:t>cool</w:t>
      </w:r>
      <w:r w:rsidRPr="00AA2C40">
        <w:rPr>
          <w:rFonts w:cs="Arial"/>
          <w:szCs w:val="20"/>
        </w:rPr>
        <w:t>/1000 X (1/EER</w:t>
      </w:r>
      <w:r w:rsidRPr="00F11594">
        <w:rPr>
          <w:rFonts w:cs="Arial"/>
          <w:szCs w:val="20"/>
          <w:vertAlign w:val="subscript"/>
        </w:rPr>
        <w:t>b</w:t>
      </w:r>
      <w:r w:rsidRPr="00AA2C40">
        <w:rPr>
          <w:rFonts w:cs="Arial"/>
          <w:szCs w:val="20"/>
        </w:rPr>
        <w:t xml:space="preserve"> – 1/EER</w:t>
      </w:r>
      <w:r w:rsidRPr="00F11594">
        <w:rPr>
          <w:rFonts w:cs="Arial"/>
          <w:szCs w:val="20"/>
          <w:vertAlign w:val="subscript"/>
        </w:rPr>
        <w:t>e</w:t>
      </w:r>
      <w:r w:rsidRPr="00AA2C40">
        <w:rPr>
          <w:rFonts w:cs="Arial"/>
          <w:szCs w:val="20"/>
        </w:rPr>
        <w:t xml:space="preserve"> ) X CF]</w:t>
      </w:r>
      <w:r w:rsidRPr="00AA2C40">
        <w:rPr>
          <w:rFonts w:cs="Arial"/>
          <w:szCs w:val="20"/>
          <w:vertAlign w:val="subscript"/>
        </w:rPr>
        <w:t>ZONEn</w:t>
      </w:r>
    </w:p>
    <w:p w:rsidR="00B72E70" w:rsidRPr="00AA2C40" w:rsidRDefault="00E8678C" w:rsidP="00871FA2">
      <w:pPr>
        <w:pStyle w:val="Heading3"/>
      </w:pPr>
      <w:r w:rsidRPr="00AA2C40">
        <w:t>Definition of Terms</w:t>
      </w:r>
    </w:p>
    <w:p w:rsidR="00B72E70" w:rsidRPr="00AA2C40" w:rsidRDefault="000A55E4" w:rsidP="00C3606E">
      <w:pPr>
        <w:pStyle w:val="Equation"/>
        <w:rPr>
          <w:rFonts w:cs="Arial"/>
          <w:szCs w:val="20"/>
        </w:rPr>
      </w:pPr>
      <w:r w:rsidRPr="00AA2C40">
        <w:rPr>
          <w:rFonts w:cs="Arial"/>
          <w:szCs w:val="20"/>
        </w:rPr>
        <w:tab/>
      </w:r>
      <w:r w:rsidR="00B72E70" w:rsidRPr="00AA2C40">
        <w:rPr>
          <w:rFonts w:cs="Arial"/>
          <w:szCs w:val="20"/>
        </w:rPr>
        <w:t>CAPY</w:t>
      </w:r>
      <w:r w:rsidR="00F73002" w:rsidRPr="00AA2C40">
        <w:rPr>
          <w:rFonts w:cs="Arial"/>
          <w:szCs w:val="20"/>
          <w:vertAlign w:val="subscript"/>
        </w:rPr>
        <w:t>cool</w:t>
      </w:r>
      <w:r w:rsidR="00F73002">
        <w:rPr>
          <w:rFonts w:cs="Arial"/>
          <w:szCs w:val="20"/>
          <w:vertAlign w:val="subscript"/>
        </w:rPr>
        <w:t>, heat</w:t>
      </w:r>
      <w:r w:rsidR="00B72E70" w:rsidRPr="00AA2C40">
        <w:rPr>
          <w:rFonts w:cs="Arial"/>
          <w:szCs w:val="20"/>
        </w:rPr>
        <w:t xml:space="preserve"> </w:t>
      </w:r>
      <w:r w:rsidRPr="00AA2C40">
        <w:rPr>
          <w:rFonts w:cs="Arial"/>
          <w:szCs w:val="20"/>
        </w:rPr>
        <w:tab/>
      </w:r>
      <w:r w:rsidR="00B72E70" w:rsidRPr="00AA2C40">
        <w:rPr>
          <w:rFonts w:cs="Arial"/>
          <w:szCs w:val="20"/>
        </w:rPr>
        <w:t xml:space="preserve">= </w:t>
      </w:r>
      <w:r w:rsidR="00A56592" w:rsidRPr="00AA2C40">
        <w:rPr>
          <w:rFonts w:cs="Arial"/>
          <w:szCs w:val="20"/>
        </w:rPr>
        <w:t>The cooling or heating (at 47° F) capacity of the indoor unit, given in BTUH as appropriate for the calculation</w:t>
      </w:r>
    </w:p>
    <w:p w:rsidR="00B72E70" w:rsidRPr="00AA2C40" w:rsidRDefault="000A55E4" w:rsidP="00C3606E">
      <w:pPr>
        <w:pStyle w:val="Equation"/>
        <w:rPr>
          <w:rFonts w:cs="Arial"/>
          <w:szCs w:val="20"/>
        </w:rPr>
      </w:pPr>
      <w:r w:rsidRPr="00AA2C40">
        <w:rPr>
          <w:rFonts w:cs="Arial"/>
          <w:szCs w:val="20"/>
        </w:rPr>
        <w:tab/>
      </w:r>
      <w:r w:rsidR="00B72E70" w:rsidRPr="00AA2C40">
        <w:rPr>
          <w:rFonts w:cs="Arial"/>
          <w:szCs w:val="20"/>
        </w:rPr>
        <w:t>EFLH</w:t>
      </w:r>
      <w:r w:rsidR="00F73002" w:rsidRPr="00AA2C40">
        <w:rPr>
          <w:rFonts w:cs="Arial"/>
          <w:szCs w:val="20"/>
          <w:vertAlign w:val="subscript"/>
        </w:rPr>
        <w:t>cool</w:t>
      </w:r>
      <w:r w:rsidR="00F73002">
        <w:rPr>
          <w:rFonts w:cs="Arial"/>
          <w:szCs w:val="20"/>
          <w:vertAlign w:val="subscript"/>
        </w:rPr>
        <w:t>, heat</w:t>
      </w:r>
      <w:r w:rsidR="00B72E70" w:rsidRPr="00AA2C40">
        <w:rPr>
          <w:rFonts w:cs="Arial"/>
          <w:szCs w:val="20"/>
        </w:rPr>
        <w:t xml:space="preserve"> </w:t>
      </w:r>
      <w:r w:rsidRPr="00AA2C40">
        <w:rPr>
          <w:rFonts w:cs="Arial"/>
          <w:szCs w:val="20"/>
        </w:rPr>
        <w:tab/>
      </w:r>
      <w:r w:rsidR="00B72E70" w:rsidRPr="00AA2C40">
        <w:rPr>
          <w:rFonts w:cs="Arial"/>
          <w:szCs w:val="20"/>
        </w:rPr>
        <w:t xml:space="preserve">= </w:t>
      </w:r>
      <w:r w:rsidR="00A56592" w:rsidRPr="00AA2C40">
        <w:rPr>
          <w:rFonts w:cs="Arial"/>
          <w:szCs w:val="20"/>
        </w:rPr>
        <w:t>Equivalent Full Load Hours – If the unit is installed as the primary heating or cooling system, as defined in Table 2-25, the EFLH will use the EFLH primary hours listed in Table 2-24. If the unit is installed as a secondary heating or cooling system, the EFLH will use the EFLH secondary hours listed in Table 2-24.</w:t>
      </w:r>
    </w:p>
    <w:p w:rsidR="00B72E70" w:rsidRPr="00AA2C40" w:rsidRDefault="00A12556" w:rsidP="00C3606E">
      <w:pPr>
        <w:pStyle w:val="Equation"/>
        <w:rPr>
          <w:rFonts w:cs="Arial"/>
          <w:szCs w:val="20"/>
        </w:rPr>
      </w:pPr>
      <w:r w:rsidRPr="00AA2C40">
        <w:rPr>
          <w:rFonts w:cs="Arial"/>
          <w:szCs w:val="20"/>
        </w:rPr>
        <w:tab/>
      </w:r>
      <w:r w:rsidR="00B72E70" w:rsidRPr="00AA2C40">
        <w:rPr>
          <w:rFonts w:cs="Arial"/>
          <w:szCs w:val="20"/>
        </w:rPr>
        <w:t>HSPF</w:t>
      </w:r>
      <w:r w:rsidR="00B72E70" w:rsidRPr="00F11594">
        <w:rPr>
          <w:rFonts w:cs="Arial"/>
          <w:szCs w:val="20"/>
          <w:vertAlign w:val="subscript"/>
        </w:rPr>
        <w:t>b</w:t>
      </w:r>
      <w:r w:rsidR="00B72E70" w:rsidRPr="00AA2C40">
        <w:rPr>
          <w:rFonts w:cs="Arial"/>
          <w:szCs w:val="20"/>
        </w:rPr>
        <w:t xml:space="preserve"> </w:t>
      </w:r>
      <w:r w:rsidRPr="00AA2C40">
        <w:rPr>
          <w:rFonts w:cs="Arial"/>
          <w:szCs w:val="20"/>
        </w:rPr>
        <w:tab/>
      </w:r>
      <w:r w:rsidR="00B72E70" w:rsidRPr="00AA2C40">
        <w:rPr>
          <w:rFonts w:cs="Arial"/>
          <w:szCs w:val="20"/>
        </w:rPr>
        <w:t>= Heating efficiency of baseline unit</w:t>
      </w:r>
    </w:p>
    <w:p w:rsidR="00B72E70" w:rsidRPr="00AA2C40" w:rsidRDefault="00A12556" w:rsidP="00C3606E">
      <w:pPr>
        <w:pStyle w:val="Equation"/>
        <w:rPr>
          <w:rFonts w:cs="Arial"/>
          <w:szCs w:val="20"/>
        </w:rPr>
      </w:pPr>
      <w:r w:rsidRPr="00AA2C40">
        <w:rPr>
          <w:rFonts w:cs="Arial"/>
          <w:szCs w:val="20"/>
        </w:rPr>
        <w:tab/>
      </w:r>
      <w:r w:rsidR="00B72E70" w:rsidRPr="00AA2C40">
        <w:rPr>
          <w:rFonts w:cs="Arial"/>
          <w:szCs w:val="20"/>
        </w:rPr>
        <w:t>HSPB</w:t>
      </w:r>
      <w:r w:rsidR="00B72E70" w:rsidRPr="00F11594">
        <w:rPr>
          <w:rFonts w:cs="Arial"/>
          <w:szCs w:val="20"/>
          <w:vertAlign w:val="subscript"/>
        </w:rPr>
        <w:t>e</w:t>
      </w:r>
      <w:r w:rsidR="00B72E70" w:rsidRPr="00AA2C40">
        <w:rPr>
          <w:rFonts w:cs="Arial"/>
          <w:szCs w:val="20"/>
        </w:rPr>
        <w:t xml:space="preserve"> </w:t>
      </w:r>
      <w:r w:rsidRPr="00AA2C40">
        <w:rPr>
          <w:rFonts w:cs="Arial"/>
          <w:szCs w:val="20"/>
        </w:rPr>
        <w:tab/>
      </w:r>
      <w:r w:rsidR="00B72E70" w:rsidRPr="00AA2C40">
        <w:rPr>
          <w:rFonts w:cs="Arial"/>
          <w:szCs w:val="20"/>
        </w:rPr>
        <w:t>= Efficiency of the installed DHP</w:t>
      </w:r>
    </w:p>
    <w:p w:rsidR="00B72E70" w:rsidRPr="00AA2C40" w:rsidRDefault="00A12556" w:rsidP="00C3606E">
      <w:pPr>
        <w:pStyle w:val="Equation"/>
        <w:rPr>
          <w:rFonts w:cs="Arial"/>
          <w:szCs w:val="20"/>
        </w:rPr>
      </w:pPr>
      <w:r w:rsidRPr="00AA2C40">
        <w:rPr>
          <w:rFonts w:cs="Arial"/>
          <w:szCs w:val="20"/>
        </w:rPr>
        <w:tab/>
      </w:r>
      <w:r w:rsidR="00B72E70" w:rsidRPr="00AA2C40">
        <w:rPr>
          <w:rFonts w:cs="Arial"/>
          <w:szCs w:val="20"/>
        </w:rPr>
        <w:t>SEER</w:t>
      </w:r>
      <w:r w:rsidR="00B72E70" w:rsidRPr="00F11594">
        <w:rPr>
          <w:rFonts w:cs="Arial"/>
          <w:szCs w:val="20"/>
          <w:vertAlign w:val="subscript"/>
        </w:rPr>
        <w:t>b</w:t>
      </w:r>
      <w:r w:rsidR="00B72E70" w:rsidRPr="00AA2C40">
        <w:rPr>
          <w:rFonts w:cs="Arial"/>
          <w:szCs w:val="20"/>
        </w:rPr>
        <w:t xml:space="preserve"> </w:t>
      </w:r>
      <w:r w:rsidRPr="00AA2C40">
        <w:rPr>
          <w:rFonts w:cs="Arial"/>
          <w:szCs w:val="20"/>
        </w:rPr>
        <w:tab/>
      </w:r>
      <w:r w:rsidR="00B72E70" w:rsidRPr="00AA2C40">
        <w:rPr>
          <w:rFonts w:cs="Arial"/>
          <w:szCs w:val="20"/>
        </w:rPr>
        <w:t>= Cooling efficiency of baseline unit</w:t>
      </w:r>
    </w:p>
    <w:p w:rsidR="00B72E70" w:rsidRPr="00AA2C40" w:rsidRDefault="00A12556" w:rsidP="00C3606E">
      <w:pPr>
        <w:pStyle w:val="Equation"/>
        <w:rPr>
          <w:rFonts w:cs="Arial"/>
          <w:szCs w:val="20"/>
        </w:rPr>
      </w:pPr>
      <w:r w:rsidRPr="00AA2C40">
        <w:rPr>
          <w:rFonts w:cs="Arial"/>
          <w:szCs w:val="20"/>
        </w:rPr>
        <w:tab/>
      </w:r>
      <w:r w:rsidR="00B72E70" w:rsidRPr="00AA2C40">
        <w:rPr>
          <w:rFonts w:cs="Arial"/>
          <w:szCs w:val="20"/>
        </w:rPr>
        <w:t>SEER</w:t>
      </w:r>
      <w:r w:rsidR="00B72E70" w:rsidRPr="00F11594">
        <w:rPr>
          <w:rFonts w:cs="Arial"/>
          <w:szCs w:val="20"/>
          <w:vertAlign w:val="subscript"/>
        </w:rPr>
        <w:t>e</w:t>
      </w:r>
      <w:r w:rsidR="00B72E70" w:rsidRPr="00AA2C40">
        <w:rPr>
          <w:rFonts w:cs="Arial"/>
          <w:szCs w:val="20"/>
        </w:rPr>
        <w:t xml:space="preserve"> </w:t>
      </w:r>
      <w:r w:rsidRPr="00AA2C40">
        <w:rPr>
          <w:rFonts w:cs="Arial"/>
          <w:szCs w:val="20"/>
        </w:rPr>
        <w:tab/>
      </w:r>
      <w:r w:rsidR="00B72E70" w:rsidRPr="00AA2C40">
        <w:rPr>
          <w:rFonts w:cs="Arial"/>
          <w:szCs w:val="20"/>
        </w:rPr>
        <w:t>= Efficiency of the installed DHP</w:t>
      </w:r>
    </w:p>
    <w:p w:rsidR="00B72E70" w:rsidRPr="00AA2C40" w:rsidRDefault="00A12556" w:rsidP="00C3606E">
      <w:pPr>
        <w:pStyle w:val="Equation"/>
        <w:rPr>
          <w:rFonts w:cs="Arial"/>
          <w:szCs w:val="20"/>
        </w:rPr>
      </w:pPr>
      <w:r w:rsidRPr="00AA2C40">
        <w:rPr>
          <w:rFonts w:cs="Arial"/>
          <w:szCs w:val="20"/>
        </w:rPr>
        <w:tab/>
      </w:r>
      <w:r w:rsidR="00B72E70" w:rsidRPr="00AA2C40">
        <w:rPr>
          <w:rFonts w:cs="Arial"/>
          <w:szCs w:val="20"/>
        </w:rPr>
        <w:t>EER</w:t>
      </w:r>
      <w:r w:rsidR="00B72E70" w:rsidRPr="00F11594">
        <w:rPr>
          <w:rFonts w:cs="Arial"/>
          <w:szCs w:val="20"/>
          <w:vertAlign w:val="subscript"/>
        </w:rPr>
        <w:t>b</w:t>
      </w:r>
      <w:r w:rsidRPr="00AA2C40">
        <w:rPr>
          <w:rFonts w:cs="Arial"/>
          <w:szCs w:val="20"/>
        </w:rPr>
        <w:tab/>
      </w:r>
      <w:r w:rsidR="00B72E70" w:rsidRPr="00AA2C40">
        <w:rPr>
          <w:rFonts w:cs="Arial"/>
          <w:szCs w:val="20"/>
        </w:rPr>
        <w:t>= The Energy Efficiency Ratio of the baseline unit</w:t>
      </w:r>
    </w:p>
    <w:p w:rsidR="00B72E70" w:rsidRPr="00AA2C40" w:rsidRDefault="00A12556" w:rsidP="00C3606E">
      <w:pPr>
        <w:pStyle w:val="Equation"/>
        <w:rPr>
          <w:rFonts w:cs="Arial"/>
          <w:szCs w:val="20"/>
        </w:rPr>
      </w:pPr>
      <w:r w:rsidRPr="00AA2C40">
        <w:rPr>
          <w:rFonts w:cs="Arial"/>
          <w:szCs w:val="20"/>
        </w:rPr>
        <w:tab/>
      </w:r>
      <w:r w:rsidR="00B72E70" w:rsidRPr="00AA2C40">
        <w:rPr>
          <w:rFonts w:cs="Arial"/>
          <w:szCs w:val="20"/>
        </w:rPr>
        <w:t>EER</w:t>
      </w:r>
      <w:r w:rsidR="00B72E70" w:rsidRPr="00F11594">
        <w:rPr>
          <w:rFonts w:cs="Arial"/>
          <w:szCs w:val="20"/>
          <w:vertAlign w:val="subscript"/>
        </w:rPr>
        <w:t>e</w:t>
      </w:r>
      <w:r w:rsidR="00B72E70" w:rsidRPr="00AA2C40">
        <w:rPr>
          <w:rFonts w:cs="Arial"/>
          <w:szCs w:val="20"/>
        </w:rPr>
        <w:t xml:space="preserve"> </w:t>
      </w:r>
      <w:r w:rsidRPr="00AA2C40">
        <w:rPr>
          <w:rFonts w:cs="Arial"/>
          <w:szCs w:val="20"/>
        </w:rPr>
        <w:tab/>
      </w:r>
      <w:r w:rsidR="00B72E70" w:rsidRPr="00AA2C40">
        <w:rPr>
          <w:rFonts w:cs="Arial"/>
          <w:szCs w:val="20"/>
        </w:rPr>
        <w:t>= The Energy Efficiency Ratio of the efficient unit</w:t>
      </w:r>
    </w:p>
    <w:p w:rsidR="00B72E70" w:rsidRPr="00AA2C40" w:rsidRDefault="00A12556" w:rsidP="00C3606E">
      <w:pPr>
        <w:pStyle w:val="Equation"/>
        <w:rPr>
          <w:rFonts w:cs="Arial"/>
          <w:szCs w:val="20"/>
        </w:rPr>
      </w:pPr>
      <w:r w:rsidRPr="00AA2C40">
        <w:rPr>
          <w:rFonts w:cs="Arial"/>
          <w:szCs w:val="20"/>
        </w:rPr>
        <w:tab/>
      </w:r>
      <w:r w:rsidR="00B72E70" w:rsidRPr="00AA2C40">
        <w:rPr>
          <w:rFonts w:cs="Arial"/>
          <w:szCs w:val="20"/>
        </w:rPr>
        <w:t xml:space="preserve">LF </w:t>
      </w:r>
      <w:r w:rsidRPr="00AA2C40">
        <w:rPr>
          <w:rFonts w:cs="Arial"/>
          <w:szCs w:val="20"/>
        </w:rPr>
        <w:tab/>
      </w:r>
      <w:r w:rsidR="00B72E70" w:rsidRPr="00AA2C40">
        <w:rPr>
          <w:rFonts w:cs="Arial"/>
          <w:szCs w:val="20"/>
        </w:rPr>
        <w:t>= Load factor</w:t>
      </w:r>
    </w:p>
    <w:p w:rsidR="002F1B67" w:rsidRDefault="002F1B67" w:rsidP="00100EDF">
      <w:pPr>
        <w:pStyle w:val="Caption"/>
      </w:pPr>
      <w:bookmarkStart w:id="345" w:name="_Toc310875510"/>
      <w:r>
        <w:lastRenderedPageBreak/>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w:instrText>
      </w:r>
      <w:r w:rsidR="00274AB1">
        <w:instrText xml:space="preserve"> ARABIC \s 1 </w:instrText>
      </w:r>
      <w:r w:rsidR="00274AB1">
        <w:fldChar w:fldCharType="separate"/>
      </w:r>
      <w:r w:rsidR="00C0292F">
        <w:rPr>
          <w:noProof/>
        </w:rPr>
        <w:t>24</w:t>
      </w:r>
      <w:r w:rsidR="00274AB1">
        <w:rPr>
          <w:noProof/>
        </w:rPr>
        <w:fldChar w:fldCharType="end"/>
      </w:r>
      <w:r>
        <w:t xml:space="preserve">: </w:t>
      </w:r>
      <w:r w:rsidRPr="00D0553F">
        <w:t>DHP – Values and References</w:t>
      </w:r>
      <w:bookmarkEnd w:id="345"/>
    </w:p>
    <w:tbl>
      <w:tblPr>
        <w:tblW w:w="47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1085"/>
        <w:gridCol w:w="3870"/>
        <w:gridCol w:w="2070"/>
      </w:tblGrid>
      <w:tr w:rsidR="00B72E70" w:rsidRPr="00B00E9F" w:rsidTr="002F1B67">
        <w:trPr>
          <w:tblHeader/>
          <w:jc w:val="center"/>
        </w:trPr>
        <w:tc>
          <w:tcPr>
            <w:tcW w:w="815" w:type="pct"/>
            <w:shd w:val="clear" w:color="auto" w:fill="BFBFBF"/>
          </w:tcPr>
          <w:p w:rsidR="00B72E70" w:rsidRPr="001D6512" w:rsidRDefault="00B72E70" w:rsidP="00C3606E">
            <w:pPr>
              <w:pStyle w:val="TableCell"/>
              <w:spacing w:before="60" w:after="60"/>
              <w:rPr>
                <w:b/>
              </w:rPr>
            </w:pPr>
            <w:r w:rsidRPr="001D6512">
              <w:rPr>
                <w:b/>
              </w:rPr>
              <w:t>Component</w:t>
            </w:r>
          </w:p>
        </w:tc>
        <w:tc>
          <w:tcPr>
            <w:tcW w:w="646" w:type="pct"/>
            <w:shd w:val="clear" w:color="auto" w:fill="BFBFBF"/>
          </w:tcPr>
          <w:p w:rsidR="00B72E70" w:rsidRPr="001D6512" w:rsidRDefault="00B72E70" w:rsidP="00C3606E">
            <w:pPr>
              <w:pStyle w:val="TableCell"/>
              <w:spacing w:before="60" w:after="60"/>
              <w:rPr>
                <w:b/>
              </w:rPr>
            </w:pPr>
            <w:r w:rsidRPr="001D6512">
              <w:rPr>
                <w:b/>
              </w:rPr>
              <w:t>Type</w:t>
            </w:r>
          </w:p>
        </w:tc>
        <w:tc>
          <w:tcPr>
            <w:tcW w:w="2305" w:type="pct"/>
            <w:shd w:val="clear" w:color="auto" w:fill="BFBFBF"/>
          </w:tcPr>
          <w:p w:rsidR="00B72E70" w:rsidRPr="001D6512" w:rsidRDefault="00B72E70" w:rsidP="00C3606E">
            <w:pPr>
              <w:pStyle w:val="TableCell"/>
              <w:spacing w:before="60" w:after="60"/>
              <w:rPr>
                <w:b/>
              </w:rPr>
            </w:pPr>
            <w:r w:rsidRPr="001D6512">
              <w:rPr>
                <w:b/>
              </w:rPr>
              <w:t>Values</w:t>
            </w:r>
          </w:p>
        </w:tc>
        <w:tc>
          <w:tcPr>
            <w:tcW w:w="1233" w:type="pct"/>
            <w:shd w:val="clear" w:color="auto" w:fill="BFBFBF"/>
          </w:tcPr>
          <w:p w:rsidR="00B72E70" w:rsidRPr="001D6512" w:rsidRDefault="00B72E70" w:rsidP="00C3606E">
            <w:pPr>
              <w:pStyle w:val="TableCell"/>
              <w:spacing w:before="60" w:after="60"/>
              <w:rPr>
                <w:b/>
              </w:rPr>
            </w:pPr>
            <w:r w:rsidRPr="001D6512">
              <w:rPr>
                <w:b/>
              </w:rPr>
              <w:t>Sources</w:t>
            </w:r>
          </w:p>
        </w:tc>
      </w:tr>
      <w:tr w:rsidR="00A56592" w:rsidRPr="00B00E9F" w:rsidTr="002F1B67">
        <w:trPr>
          <w:cantSplit/>
          <w:jc w:val="center"/>
        </w:trPr>
        <w:tc>
          <w:tcPr>
            <w:tcW w:w="815" w:type="pct"/>
          </w:tcPr>
          <w:p w:rsidR="00A56592" w:rsidRPr="001D6512" w:rsidRDefault="00A56592" w:rsidP="00C3606E">
            <w:pPr>
              <w:pStyle w:val="TableCell"/>
              <w:spacing w:before="60" w:after="60"/>
              <w:rPr>
                <w:rFonts w:cs="Arial"/>
                <w:vertAlign w:val="subscript"/>
              </w:rPr>
            </w:pPr>
            <w:r w:rsidRPr="001D6512">
              <w:t>CAPY</w:t>
            </w:r>
            <w:r w:rsidR="00F73002" w:rsidRPr="001D6512">
              <w:rPr>
                <w:rFonts w:cs="Arial"/>
                <w:vertAlign w:val="subscript"/>
              </w:rPr>
              <w:t>cool</w:t>
            </w:r>
          </w:p>
          <w:p w:rsidR="00F73002" w:rsidRPr="001D6512" w:rsidRDefault="00F73002" w:rsidP="00F73002">
            <w:pPr>
              <w:pStyle w:val="TableCell"/>
              <w:spacing w:before="60" w:after="60"/>
            </w:pPr>
            <w:r w:rsidRPr="001D6512">
              <w:t>CAPY</w:t>
            </w:r>
            <w:r w:rsidRPr="001D6512">
              <w:rPr>
                <w:rFonts w:cs="Arial"/>
                <w:vertAlign w:val="subscript"/>
              </w:rPr>
              <w:t>heat</w:t>
            </w:r>
          </w:p>
        </w:tc>
        <w:tc>
          <w:tcPr>
            <w:tcW w:w="646" w:type="pct"/>
          </w:tcPr>
          <w:p w:rsidR="00A56592" w:rsidRPr="001D6512" w:rsidRDefault="00A56592" w:rsidP="00C3606E">
            <w:pPr>
              <w:pStyle w:val="TableCell"/>
              <w:spacing w:before="60" w:after="60"/>
            </w:pPr>
            <w:r w:rsidRPr="001D6512">
              <w:t>Variable</w:t>
            </w:r>
          </w:p>
        </w:tc>
        <w:tc>
          <w:tcPr>
            <w:tcW w:w="2305" w:type="pct"/>
          </w:tcPr>
          <w:p w:rsidR="00A56592" w:rsidRPr="001D6512" w:rsidRDefault="004A3985" w:rsidP="00C3606E">
            <w:pPr>
              <w:pStyle w:val="TableCell"/>
              <w:spacing w:before="60" w:after="60"/>
            </w:pPr>
            <w:r w:rsidRPr="001D6512">
              <w:t>EDC Data Gathering</w:t>
            </w:r>
          </w:p>
        </w:tc>
        <w:tc>
          <w:tcPr>
            <w:tcW w:w="1233" w:type="pct"/>
          </w:tcPr>
          <w:p w:rsidR="00A56592" w:rsidRPr="001D6512" w:rsidRDefault="00A56592" w:rsidP="00C3606E">
            <w:pPr>
              <w:pStyle w:val="TableCell"/>
              <w:spacing w:before="60" w:after="60"/>
            </w:pPr>
            <w:r w:rsidRPr="001D6512">
              <w:t>AEPS Application; EDC Data Gathering</w:t>
            </w:r>
          </w:p>
        </w:tc>
      </w:tr>
      <w:tr w:rsidR="00A56592" w:rsidRPr="00B00E9F" w:rsidTr="002F1B67">
        <w:trPr>
          <w:cantSplit/>
          <w:jc w:val="center"/>
        </w:trPr>
        <w:tc>
          <w:tcPr>
            <w:tcW w:w="815" w:type="pct"/>
          </w:tcPr>
          <w:p w:rsidR="00A56592" w:rsidRPr="001D6512" w:rsidRDefault="00A56592" w:rsidP="00C3606E">
            <w:pPr>
              <w:pStyle w:val="TableCell"/>
              <w:keepNext w:val="0"/>
              <w:spacing w:before="60" w:after="60"/>
            </w:pPr>
            <w:r w:rsidRPr="001D6512">
              <w:t xml:space="preserve">EFLH primary </w:t>
            </w:r>
          </w:p>
        </w:tc>
        <w:tc>
          <w:tcPr>
            <w:tcW w:w="646" w:type="pct"/>
          </w:tcPr>
          <w:p w:rsidR="00A56592" w:rsidRPr="001D6512" w:rsidRDefault="00A56592" w:rsidP="00C3606E">
            <w:pPr>
              <w:pStyle w:val="TableCell"/>
              <w:keepNext w:val="0"/>
              <w:spacing w:before="60" w:after="60"/>
            </w:pPr>
            <w:r w:rsidRPr="001D6512">
              <w:t>Fixed</w:t>
            </w:r>
          </w:p>
        </w:tc>
        <w:tc>
          <w:tcPr>
            <w:tcW w:w="2305" w:type="pct"/>
          </w:tcPr>
          <w:p w:rsidR="00D61CE3" w:rsidRPr="001D6512" w:rsidRDefault="00D61CE3" w:rsidP="00C3606E">
            <w:pPr>
              <w:pStyle w:val="TableCell"/>
              <w:keepNext w:val="0"/>
              <w:spacing w:before="60" w:after="60"/>
            </w:pPr>
            <w:smartTag w:uri="urn:schemas-microsoft-com:office:smarttags" w:element="City">
              <w:smartTag w:uri="urn:schemas-microsoft-com:office:smarttags" w:element="place">
                <w:r w:rsidRPr="001D6512">
                  <w:t>Allentown</w:t>
                </w:r>
              </w:smartTag>
            </w:smartTag>
            <w:r w:rsidRPr="001D6512">
              <w:t xml:space="preserve"> Cooling = 784 Hours</w:t>
            </w:r>
          </w:p>
          <w:p w:rsidR="00D61CE3" w:rsidRPr="001D6512" w:rsidRDefault="00D61CE3" w:rsidP="00C3606E">
            <w:pPr>
              <w:pStyle w:val="TableCell"/>
              <w:keepNext w:val="0"/>
              <w:spacing w:before="60" w:after="60"/>
            </w:pPr>
            <w:smartTag w:uri="urn:schemas-microsoft-com:office:smarttags" w:element="City">
              <w:smartTag w:uri="urn:schemas-microsoft-com:office:smarttags" w:element="place">
                <w:r w:rsidRPr="001D6512">
                  <w:t>Allentown</w:t>
                </w:r>
              </w:smartTag>
            </w:smartTag>
            <w:r w:rsidRPr="001D6512">
              <w:t xml:space="preserve"> Heating = 2,492 Hours</w:t>
            </w:r>
          </w:p>
          <w:p w:rsidR="00D61CE3" w:rsidRPr="001D6512" w:rsidRDefault="00D61CE3" w:rsidP="00C3606E">
            <w:pPr>
              <w:pStyle w:val="TableCell"/>
              <w:keepNext w:val="0"/>
              <w:spacing w:before="60" w:after="60"/>
            </w:pPr>
            <w:smartTag w:uri="urn:schemas-microsoft-com:office:smarttags" w:element="City">
              <w:smartTag w:uri="urn:schemas-microsoft-com:office:smarttags" w:element="place">
                <w:r w:rsidRPr="001D6512">
                  <w:t>Erie</w:t>
                </w:r>
              </w:smartTag>
            </w:smartTag>
            <w:r w:rsidRPr="001D6512">
              <w:t xml:space="preserve"> Cooling = 482 Hours</w:t>
            </w:r>
          </w:p>
          <w:p w:rsidR="00D61CE3" w:rsidRPr="001D6512" w:rsidRDefault="00D61CE3" w:rsidP="00C3606E">
            <w:pPr>
              <w:pStyle w:val="TableCell"/>
              <w:keepNext w:val="0"/>
              <w:spacing w:before="60" w:after="60"/>
            </w:pPr>
            <w:smartTag w:uri="urn:schemas-microsoft-com:office:smarttags" w:element="City">
              <w:smartTag w:uri="urn:schemas-microsoft-com:office:smarttags" w:element="place">
                <w:r w:rsidRPr="001D6512">
                  <w:t>Erie</w:t>
                </w:r>
              </w:smartTag>
            </w:smartTag>
            <w:r w:rsidRPr="001D6512">
              <w:t xml:space="preserve"> Heating = 2,901 Hours</w:t>
            </w:r>
          </w:p>
          <w:p w:rsidR="00D61CE3" w:rsidRPr="001D6512" w:rsidRDefault="00D61CE3" w:rsidP="00C3606E">
            <w:pPr>
              <w:pStyle w:val="TableCell"/>
              <w:keepNext w:val="0"/>
              <w:spacing w:before="60" w:after="60"/>
            </w:pPr>
            <w:smartTag w:uri="urn:schemas-microsoft-com:office:smarttags" w:element="City">
              <w:smartTag w:uri="urn:schemas-microsoft-com:office:smarttags" w:element="place">
                <w:r w:rsidRPr="001D6512">
                  <w:t>Harrisburg</w:t>
                </w:r>
              </w:smartTag>
            </w:smartTag>
            <w:r w:rsidRPr="001D6512">
              <w:t xml:space="preserve"> Cooling = 929 Hours</w:t>
            </w:r>
          </w:p>
          <w:p w:rsidR="00D61CE3" w:rsidRPr="001D6512" w:rsidRDefault="00D61CE3" w:rsidP="00C3606E">
            <w:pPr>
              <w:pStyle w:val="TableCell"/>
              <w:keepNext w:val="0"/>
              <w:spacing w:before="60" w:after="60"/>
            </w:pPr>
            <w:smartTag w:uri="urn:schemas-microsoft-com:office:smarttags" w:element="City">
              <w:smartTag w:uri="urn:schemas-microsoft-com:office:smarttags" w:element="place">
                <w:r w:rsidRPr="001D6512">
                  <w:t>Harrisburg</w:t>
                </w:r>
              </w:smartTag>
            </w:smartTag>
            <w:r w:rsidRPr="001D6512">
              <w:t xml:space="preserve"> Heating = 2,371 Hours</w:t>
            </w:r>
          </w:p>
          <w:p w:rsidR="00D61CE3" w:rsidRPr="001D6512" w:rsidRDefault="00D61CE3" w:rsidP="00C3606E">
            <w:pPr>
              <w:pStyle w:val="TableCell"/>
              <w:keepNext w:val="0"/>
              <w:spacing w:before="60" w:after="60"/>
            </w:pPr>
            <w:smartTag w:uri="urn:schemas-microsoft-com:office:smarttags" w:element="City">
              <w:smartTag w:uri="urn:schemas-microsoft-com:office:smarttags" w:element="place">
                <w:r w:rsidRPr="001D6512">
                  <w:t>Philadelphia</w:t>
                </w:r>
              </w:smartTag>
            </w:smartTag>
            <w:r w:rsidRPr="001D6512">
              <w:t xml:space="preserve"> Cooling = 1,032 Hours</w:t>
            </w:r>
          </w:p>
          <w:p w:rsidR="00D61CE3" w:rsidRPr="001D6512" w:rsidRDefault="00D61CE3" w:rsidP="00C3606E">
            <w:pPr>
              <w:pStyle w:val="TableCell"/>
              <w:keepNext w:val="0"/>
              <w:spacing w:before="60" w:after="60"/>
            </w:pPr>
            <w:smartTag w:uri="urn:schemas-microsoft-com:office:smarttags" w:element="City">
              <w:smartTag w:uri="urn:schemas-microsoft-com:office:smarttags" w:element="place">
                <w:r w:rsidRPr="001D6512">
                  <w:t>Philadelphia</w:t>
                </w:r>
              </w:smartTag>
            </w:smartTag>
            <w:r w:rsidRPr="001D6512">
              <w:t xml:space="preserve"> Heating = 2,328 Hours</w:t>
            </w:r>
          </w:p>
          <w:p w:rsidR="00D61CE3" w:rsidRPr="001D6512" w:rsidRDefault="00D61CE3" w:rsidP="00C3606E">
            <w:pPr>
              <w:pStyle w:val="TableCell"/>
              <w:keepNext w:val="0"/>
              <w:spacing w:before="60" w:after="60"/>
            </w:pPr>
            <w:smartTag w:uri="urn:schemas-microsoft-com:office:smarttags" w:element="City">
              <w:smartTag w:uri="urn:schemas-microsoft-com:office:smarttags" w:element="place">
                <w:r w:rsidRPr="001D6512">
                  <w:t>Pittsburgh</w:t>
                </w:r>
              </w:smartTag>
            </w:smartTag>
            <w:r w:rsidRPr="001D6512">
              <w:t xml:space="preserve"> Cooling = 737 Hours</w:t>
            </w:r>
          </w:p>
          <w:p w:rsidR="00D61CE3" w:rsidRPr="001D6512" w:rsidRDefault="00D61CE3" w:rsidP="00C3606E">
            <w:pPr>
              <w:pStyle w:val="TableCell"/>
              <w:keepNext w:val="0"/>
              <w:spacing w:before="60" w:after="60"/>
            </w:pPr>
            <w:smartTag w:uri="urn:schemas-microsoft-com:office:smarttags" w:element="City">
              <w:smartTag w:uri="urn:schemas-microsoft-com:office:smarttags" w:element="place">
                <w:r w:rsidRPr="001D6512">
                  <w:t>Pittsburgh</w:t>
                </w:r>
              </w:smartTag>
            </w:smartTag>
            <w:r w:rsidRPr="001D6512">
              <w:t xml:space="preserve"> Heating = 2,380 Hours</w:t>
            </w:r>
          </w:p>
          <w:p w:rsidR="00D61CE3" w:rsidRPr="001D6512" w:rsidRDefault="00D61CE3" w:rsidP="00C3606E">
            <w:pPr>
              <w:pStyle w:val="TableCell"/>
              <w:keepNext w:val="0"/>
              <w:spacing w:before="60" w:after="60"/>
            </w:pPr>
            <w:smartTag w:uri="urn:schemas-microsoft-com:office:smarttags" w:element="City">
              <w:smartTag w:uri="urn:schemas-microsoft-com:office:smarttags" w:element="place">
                <w:r w:rsidRPr="001D6512">
                  <w:t>Scranton</w:t>
                </w:r>
              </w:smartTag>
            </w:smartTag>
            <w:r w:rsidRPr="001D6512">
              <w:t xml:space="preserve"> Cooling = 621 Hours</w:t>
            </w:r>
          </w:p>
          <w:p w:rsidR="00D61CE3" w:rsidRPr="001D6512" w:rsidRDefault="00D61CE3" w:rsidP="00C3606E">
            <w:pPr>
              <w:pStyle w:val="TableCell"/>
              <w:keepNext w:val="0"/>
              <w:spacing w:before="60" w:after="60"/>
            </w:pPr>
            <w:smartTag w:uri="urn:schemas-microsoft-com:office:smarttags" w:element="City">
              <w:smartTag w:uri="urn:schemas-microsoft-com:office:smarttags" w:element="place">
                <w:r w:rsidRPr="001D6512">
                  <w:t>Scranton</w:t>
                </w:r>
              </w:smartTag>
            </w:smartTag>
            <w:r w:rsidRPr="001D6512">
              <w:t xml:space="preserve"> Heating = 2,532 Hours</w:t>
            </w:r>
          </w:p>
          <w:p w:rsidR="00D61CE3" w:rsidRPr="001D6512" w:rsidRDefault="00D61CE3" w:rsidP="00C3606E">
            <w:pPr>
              <w:pStyle w:val="TableCell"/>
              <w:keepNext w:val="0"/>
              <w:spacing w:before="60" w:after="60"/>
            </w:pPr>
            <w:smartTag w:uri="urn:schemas-microsoft-com:office:smarttags" w:element="City">
              <w:smartTag w:uri="urn:schemas-microsoft-com:office:smarttags" w:element="place">
                <w:r w:rsidRPr="001D6512">
                  <w:t>Williamsport</w:t>
                </w:r>
              </w:smartTag>
            </w:smartTag>
            <w:r w:rsidRPr="001D6512">
              <w:t xml:space="preserve"> Cooling = 659 Hours</w:t>
            </w:r>
          </w:p>
          <w:p w:rsidR="00A56592" w:rsidRPr="001D6512" w:rsidRDefault="00D61CE3" w:rsidP="00C3606E">
            <w:pPr>
              <w:pStyle w:val="TableCell"/>
              <w:keepNext w:val="0"/>
              <w:spacing w:before="60" w:after="60"/>
            </w:pPr>
            <w:smartTag w:uri="urn:schemas-microsoft-com:office:smarttags" w:element="City">
              <w:smartTag w:uri="urn:schemas-microsoft-com:office:smarttags" w:element="place">
                <w:r w:rsidRPr="001D6512">
                  <w:t>Williamsport</w:t>
                </w:r>
              </w:smartTag>
            </w:smartTag>
            <w:r w:rsidRPr="001D6512">
              <w:t xml:space="preserve"> Heating = 2,502 Hours</w:t>
            </w:r>
          </w:p>
        </w:tc>
        <w:tc>
          <w:tcPr>
            <w:tcW w:w="1233" w:type="pct"/>
          </w:tcPr>
          <w:p w:rsidR="00A56592" w:rsidRPr="001D6512" w:rsidRDefault="00A56592" w:rsidP="00C3606E">
            <w:pPr>
              <w:pStyle w:val="TableCell"/>
              <w:keepNext w:val="0"/>
              <w:spacing w:before="60" w:after="60"/>
            </w:pPr>
            <w:r w:rsidRPr="001D6512">
              <w:t>1</w:t>
            </w:r>
          </w:p>
        </w:tc>
      </w:tr>
      <w:tr w:rsidR="00A56592" w:rsidRPr="00B00E9F" w:rsidTr="002F1B67">
        <w:trPr>
          <w:cantSplit/>
          <w:jc w:val="center"/>
        </w:trPr>
        <w:tc>
          <w:tcPr>
            <w:tcW w:w="815" w:type="pct"/>
          </w:tcPr>
          <w:p w:rsidR="00A56592" w:rsidRPr="001D6512" w:rsidRDefault="00A56592" w:rsidP="00C3606E">
            <w:pPr>
              <w:pStyle w:val="TableCell"/>
              <w:keepNext w:val="0"/>
              <w:spacing w:before="60" w:after="60"/>
            </w:pPr>
            <w:r w:rsidRPr="001D6512">
              <w:t>EFLH secondary</w:t>
            </w:r>
          </w:p>
        </w:tc>
        <w:tc>
          <w:tcPr>
            <w:tcW w:w="646" w:type="pct"/>
          </w:tcPr>
          <w:p w:rsidR="00A56592" w:rsidRPr="001D6512" w:rsidRDefault="00A56592" w:rsidP="00C3606E">
            <w:pPr>
              <w:pStyle w:val="TableCell"/>
              <w:keepNext w:val="0"/>
              <w:spacing w:before="60" w:after="60"/>
            </w:pPr>
            <w:r w:rsidRPr="001D6512">
              <w:t>Fixed</w:t>
            </w:r>
          </w:p>
        </w:tc>
        <w:tc>
          <w:tcPr>
            <w:tcW w:w="2305" w:type="pct"/>
          </w:tcPr>
          <w:p w:rsidR="00D61CE3" w:rsidRPr="001D6512" w:rsidRDefault="00D61CE3" w:rsidP="00C3606E">
            <w:pPr>
              <w:pStyle w:val="TableCell"/>
              <w:keepNext w:val="0"/>
              <w:spacing w:before="60" w:after="60"/>
            </w:pPr>
            <w:smartTag w:uri="urn:schemas-microsoft-com:office:smarttags" w:element="City">
              <w:smartTag w:uri="urn:schemas-microsoft-com:office:smarttags" w:element="place">
                <w:r w:rsidRPr="001D6512">
                  <w:t>Allentown</w:t>
                </w:r>
              </w:smartTag>
            </w:smartTag>
            <w:r w:rsidRPr="001D6512">
              <w:t xml:space="preserve"> Cooling = 243 Hours</w:t>
            </w:r>
          </w:p>
          <w:p w:rsidR="00D61CE3" w:rsidRPr="001D6512" w:rsidRDefault="00D61CE3" w:rsidP="00C3606E">
            <w:pPr>
              <w:pStyle w:val="TableCell"/>
              <w:keepNext w:val="0"/>
              <w:spacing w:before="60" w:after="60"/>
            </w:pPr>
            <w:r w:rsidRPr="001D6512">
              <w:t>Allentown Heating = 1,671 Hours</w:t>
            </w:r>
          </w:p>
          <w:p w:rsidR="00D61CE3" w:rsidRPr="001D6512" w:rsidRDefault="00D61CE3" w:rsidP="00C3606E">
            <w:pPr>
              <w:pStyle w:val="TableCell"/>
              <w:keepNext w:val="0"/>
              <w:spacing w:before="60" w:after="60"/>
            </w:pPr>
            <w:smartTag w:uri="urn:schemas-microsoft-com:office:smarttags" w:element="City">
              <w:smartTag w:uri="urn:schemas-microsoft-com:office:smarttags" w:element="place">
                <w:r w:rsidRPr="001D6512">
                  <w:t>Erie</w:t>
                </w:r>
              </w:smartTag>
            </w:smartTag>
            <w:r w:rsidRPr="001D6512">
              <w:t xml:space="preserve"> Cooling = 149 Hours</w:t>
            </w:r>
          </w:p>
          <w:p w:rsidR="00D61CE3" w:rsidRPr="001D6512" w:rsidRDefault="00D61CE3" w:rsidP="00C3606E">
            <w:pPr>
              <w:pStyle w:val="TableCell"/>
              <w:keepNext w:val="0"/>
              <w:spacing w:before="60" w:after="60"/>
            </w:pPr>
            <w:r w:rsidRPr="001D6512">
              <w:t>Erie Heating = 2,138 Hours</w:t>
            </w:r>
          </w:p>
          <w:p w:rsidR="00D61CE3" w:rsidRPr="001D6512" w:rsidRDefault="00D61CE3" w:rsidP="00C3606E">
            <w:pPr>
              <w:pStyle w:val="TableCell"/>
              <w:keepNext w:val="0"/>
              <w:spacing w:before="60" w:after="60"/>
            </w:pPr>
            <w:smartTag w:uri="urn:schemas-microsoft-com:office:smarttags" w:element="City">
              <w:smartTag w:uri="urn:schemas-microsoft-com:office:smarttags" w:element="place">
                <w:r w:rsidRPr="001D6512">
                  <w:t>Harrisburg</w:t>
                </w:r>
              </w:smartTag>
            </w:smartTag>
            <w:r w:rsidRPr="001D6512">
              <w:t xml:space="preserve"> Cooling = 288 Hours</w:t>
            </w:r>
          </w:p>
          <w:p w:rsidR="00D61CE3" w:rsidRPr="001D6512" w:rsidRDefault="00D61CE3" w:rsidP="00C3606E">
            <w:pPr>
              <w:pStyle w:val="TableCell"/>
              <w:keepNext w:val="0"/>
              <w:spacing w:before="60" w:after="60"/>
            </w:pPr>
            <w:r w:rsidRPr="001D6512">
              <w:t>Harrisburg Heating = 1,681 Hours</w:t>
            </w:r>
          </w:p>
          <w:p w:rsidR="00D61CE3" w:rsidRPr="001D6512" w:rsidRDefault="00D61CE3" w:rsidP="00C3606E">
            <w:pPr>
              <w:pStyle w:val="TableCell"/>
              <w:keepNext w:val="0"/>
              <w:spacing w:before="60" w:after="60"/>
            </w:pPr>
            <w:smartTag w:uri="urn:schemas-microsoft-com:office:smarttags" w:element="City">
              <w:smartTag w:uri="urn:schemas-microsoft-com:office:smarttags" w:element="place">
                <w:r w:rsidRPr="001D6512">
                  <w:t>Philadelphia</w:t>
                </w:r>
              </w:smartTag>
            </w:smartTag>
            <w:r w:rsidRPr="001D6512">
              <w:t xml:space="preserve"> Cooling = 320 Hours</w:t>
            </w:r>
          </w:p>
          <w:p w:rsidR="00D61CE3" w:rsidRPr="001D6512" w:rsidRDefault="00D61CE3" w:rsidP="00C3606E">
            <w:pPr>
              <w:pStyle w:val="TableCell"/>
              <w:keepNext w:val="0"/>
              <w:spacing w:before="60" w:after="60"/>
            </w:pPr>
            <w:r w:rsidRPr="001D6512">
              <w:t>Philadelphia Heating = 1,565 Hours</w:t>
            </w:r>
          </w:p>
          <w:p w:rsidR="00D61CE3" w:rsidRPr="001D6512" w:rsidRDefault="00D61CE3" w:rsidP="00C3606E">
            <w:pPr>
              <w:pStyle w:val="TableCell"/>
              <w:keepNext w:val="0"/>
              <w:spacing w:before="60" w:after="60"/>
            </w:pPr>
            <w:smartTag w:uri="urn:schemas-microsoft-com:office:smarttags" w:element="City">
              <w:smartTag w:uri="urn:schemas-microsoft-com:office:smarttags" w:element="place">
                <w:r w:rsidRPr="001D6512">
                  <w:t>Pittsburgh</w:t>
                </w:r>
              </w:smartTag>
            </w:smartTag>
            <w:r w:rsidRPr="001D6512">
              <w:t xml:space="preserve"> Cooling = 228 Hours</w:t>
            </w:r>
          </w:p>
          <w:p w:rsidR="00D61CE3" w:rsidRPr="001D6512" w:rsidRDefault="00D61CE3" w:rsidP="00C3606E">
            <w:pPr>
              <w:pStyle w:val="TableCell"/>
              <w:keepNext w:val="0"/>
              <w:spacing w:before="60" w:after="60"/>
            </w:pPr>
            <w:r w:rsidRPr="001D6512">
              <w:t>Pittsburgh Heating = 1,670 Hours</w:t>
            </w:r>
          </w:p>
          <w:p w:rsidR="00D61CE3" w:rsidRPr="001D6512" w:rsidRDefault="00D61CE3" w:rsidP="00C3606E">
            <w:pPr>
              <w:pStyle w:val="TableCell"/>
              <w:keepNext w:val="0"/>
              <w:spacing w:before="60" w:after="60"/>
            </w:pPr>
            <w:smartTag w:uri="urn:schemas-microsoft-com:office:smarttags" w:element="City">
              <w:smartTag w:uri="urn:schemas-microsoft-com:office:smarttags" w:element="place">
                <w:r w:rsidRPr="001D6512">
                  <w:t>Scranton</w:t>
                </w:r>
              </w:smartTag>
            </w:smartTag>
            <w:r w:rsidRPr="001D6512">
              <w:t xml:space="preserve"> Cooling = 193 Hours</w:t>
            </w:r>
          </w:p>
          <w:p w:rsidR="00D61CE3" w:rsidRPr="001D6512" w:rsidRDefault="00D61CE3" w:rsidP="00C3606E">
            <w:pPr>
              <w:pStyle w:val="TableCell"/>
              <w:keepNext w:val="0"/>
              <w:spacing w:before="60" w:after="60"/>
            </w:pPr>
            <w:r w:rsidRPr="001D6512">
              <w:t>Scranton Heating = 1,806 Hours</w:t>
            </w:r>
          </w:p>
          <w:p w:rsidR="00D61CE3" w:rsidRPr="001D6512" w:rsidRDefault="00D61CE3" w:rsidP="00C3606E">
            <w:pPr>
              <w:pStyle w:val="TableCell"/>
              <w:keepNext w:val="0"/>
              <w:spacing w:before="60" w:after="60"/>
            </w:pPr>
            <w:smartTag w:uri="urn:schemas-microsoft-com:office:smarttags" w:element="City">
              <w:smartTag w:uri="urn:schemas-microsoft-com:office:smarttags" w:element="place">
                <w:r w:rsidRPr="001D6512">
                  <w:t>Williamsport</w:t>
                </w:r>
              </w:smartTag>
            </w:smartTag>
            <w:r w:rsidRPr="001D6512">
              <w:t xml:space="preserve"> Cooling = 204 Hours</w:t>
            </w:r>
          </w:p>
          <w:p w:rsidR="00A56592" w:rsidRPr="001D6512" w:rsidRDefault="00D61CE3" w:rsidP="00C3606E">
            <w:pPr>
              <w:pStyle w:val="TableCell"/>
              <w:keepNext w:val="0"/>
              <w:spacing w:before="60" w:after="60"/>
            </w:pPr>
            <w:r w:rsidRPr="001D6512">
              <w:t>Williamsport Heating = 1,750 hours</w:t>
            </w:r>
          </w:p>
        </w:tc>
        <w:tc>
          <w:tcPr>
            <w:tcW w:w="1233" w:type="pct"/>
          </w:tcPr>
          <w:p w:rsidR="00A56592" w:rsidRPr="001D6512" w:rsidRDefault="00A56592" w:rsidP="00C3606E">
            <w:pPr>
              <w:pStyle w:val="TableCell"/>
              <w:keepNext w:val="0"/>
              <w:spacing w:before="60" w:after="60"/>
            </w:pPr>
            <w:r w:rsidRPr="001D6512">
              <w:t>2, 3</w:t>
            </w:r>
          </w:p>
        </w:tc>
      </w:tr>
      <w:tr w:rsidR="00A56592" w:rsidRPr="00B00E9F" w:rsidTr="002F1B67">
        <w:trPr>
          <w:cantSplit/>
          <w:jc w:val="center"/>
        </w:trPr>
        <w:tc>
          <w:tcPr>
            <w:tcW w:w="815" w:type="pct"/>
          </w:tcPr>
          <w:p w:rsidR="00A56592" w:rsidRPr="001D6512" w:rsidRDefault="00A56592" w:rsidP="00C3606E">
            <w:pPr>
              <w:pStyle w:val="TableCell"/>
              <w:keepNext w:val="0"/>
              <w:spacing w:before="60" w:after="60"/>
            </w:pPr>
            <w:r w:rsidRPr="001D6512">
              <w:t>HSPF</w:t>
            </w:r>
            <w:r w:rsidRPr="001D6512">
              <w:rPr>
                <w:vertAlign w:val="subscript"/>
              </w:rPr>
              <w:t>b</w:t>
            </w:r>
          </w:p>
        </w:tc>
        <w:tc>
          <w:tcPr>
            <w:tcW w:w="646" w:type="pct"/>
          </w:tcPr>
          <w:p w:rsidR="00A56592" w:rsidRPr="001D6512" w:rsidRDefault="00A56592" w:rsidP="00C3606E">
            <w:pPr>
              <w:pStyle w:val="TableCell"/>
              <w:keepNext w:val="0"/>
              <w:spacing w:before="60" w:after="60"/>
            </w:pPr>
            <w:r w:rsidRPr="001D6512">
              <w:t>Fixed</w:t>
            </w:r>
          </w:p>
        </w:tc>
        <w:tc>
          <w:tcPr>
            <w:tcW w:w="2305" w:type="pct"/>
          </w:tcPr>
          <w:p w:rsidR="00A56592" w:rsidRPr="001D6512" w:rsidRDefault="00A56592" w:rsidP="00C3606E">
            <w:pPr>
              <w:pStyle w:val="TableCell"/>
              <w:keepNext w:val="0"/>
              <w:spacing w:before="60" w:after="60"/>
            </w:pPr>
            <w:r w:rsidRPr="001D6512">
              <w:t>Standard DHP: 7.7</w:t>
            </w:r>
          </w:p>
          <w:p w:rsidR="00A56592" w:rsidRPr="001D6512" w:rsidRDefault="00A56592" w:rsidP="00C3606E">
            <w:pPr>
              <w:pStyle w:val="TableCell"/>
              <w:keepNext w:val="0"/>
              <w:spacing w:before="60" w:after="60"/>
            </w:pPr>
            <w:r w:rsidRPr="001D6512">
              <w:t>Electric resistance: 3.413</w:t>
            </w:r>
          </w:p>
          <w:p w:rsidR="00A56592" w:rsidRPr="001D6512" w:rsidRDefault="00A56592" w:rsidP="00C3606E">
            <w:pPr>
              <w:pStyle w:val="TableCell"/>
              <w:keepNext w:val="0"/>
              <w:spacing w:before="60" w:after="60"/>
            </w:pPr>
            <w:r w:rsidRPr="001D6512">
              <w:t>ASHP: 7.7</w:t>
            </w:r>
          </w:p>
          <w:p w:rsidR="00A56592" w:rsidRPr="001D6512" w:rsidRDefault="00A56592" w:rsidP="00C3606E">
            <w:pPr>
              <w:pStyle w:val="TableCell"/>
              <w:keepNext w:val="0"/>
              <w:spacing w:before="60" w:after="60"/>
            </w:pPr>
            <w:r w:rsidRPr="001D6512">
              <w:t xml:space="preserve">Electric furnace: 3.242 </w:t>
            </w:r>
          </w:p>
          <w:p w:rsidR="00A56592" w:rsidRPr="001D6512" w:rsidRDefault="00A56592" w:rsidP="00C3606E">
            <w:pPr>
              <w:pStyle w:val="TableCell"/>
              <w:keepNext w:val="0"/>
              <w:spacing w:before="60" w:after="60"/>
            </w:pPr>
            <w:r w:rsidRPr="001D6512">
              <w:t>No existing or non-electric heating: use standard DHP: 7.7</w:t>
            </w:r>
          </w:p>
        </w:tc>
        <w:tc>
          <w:tcPr>
            <w:tcW w:w="1233" w:type="pct"/>
          </w:tcPr>
          <w:p w:rsidR="00A56592" w:rsidRPr="001D6512" w:rsidRDefault="00A56592" w:rsidP="00C3606E">
            <w:pPr>
              <w:pStyle w:val="TableCell"/>
              <w:keepNext w:val="0"/>
              <w:spacing w:before="60" w:after="60"/>
            </w:pPr>
            <w:r w:rsidRPr="001D6512">
              <w:t>4, 6</w:t>
            </w:r>
          </w:p>
        </w:tc>
      </w:tr>
      <w:tr w:rsidR="00A56592" w:rsidRPr="00B00E9F" w:rsidTr="002F1B67">
        <w:trPr>
          <w:cantSplit/>
          <w:jc w:val="center"/>
        </w:trPr>
        <w:tc>
          <w:tcPr>
            <w:tcW w:w="815" w:type="pct"/>
          </w:tcPr>
          <w:p w:rsidR="00A56592" w:rsidRPr="001D6512" w:rsidRDefault="00A56592" w:rsidP="00C3606E">
            <w:pPr>
              <w:pStyle w:val="TableCell"/>
              <w:keepNext w:val="0"/>
              <w:spacing w:before="60" w:after="60"/>
            </w:pPr>
            <w:r w:rsidRPr="001D6512">
              <w:lastRenderedPageBreak/>
              <w:t>SEER</w:t>
            </w:r>
            <w:r w:rsidRPr="001D6512">
              <w:rPr>
                <w:vertAlign w:val="subscript"/>
              </w:rPr>
              <w:t>b</w:t>
            </w:r>
          </w:p>
        </w:tc>
        <w:tc>
          <w:tcPr>
            <w:tcW w:w="646" w:type="pct"/>
          </w:tcPr>
          <w:p w:rsidR="00A56592" w:rsidRPr="001D6512" w:rsidRDefault="00A56592" w:rsidP="00C3606E">
            <w:pPr>
              <w:pStyle w:val="TableCell"/>
              <w:keepNext w:val="0"/>
              <w:spacing w:before="60" w:after="60"/>
            </w:pPr>
            <w:r w:rsidRPr="001D6512">
              <w:t>Fixed</w:t>
            </w:r>
          </w:p>
        </w:tc>
        <w:tc>
          <w:tcPr>
            <w:tcW w:w="2305" w:type="pct"/>
          </w:tcPr>
          <w:p w:rsidR="00A56592" w:rsidRPr="001D6512" w:rsidRDefault="00A56592" w:rsidP="00C3606E">
            <w:pPr>
              <w:pStyle w:val="TableCell"/>
              <w:keepNext w:val="0"/>
              <w:spacing w:before="60" w:after="60"/>
            </w:pPr>
            <w:r w:rsidRPr="001D6512">
              <w:t>DHP, ASHP, or central AC: 13</w:t>
            </w:r>
          </w:p>
          <w:p w:rsidR="00A56592" w:rsidRPr="001D6512" w:rsidRDefault="00A56592" w:rsidP="00C3606E">
            <w:pPr>
              <w:pStyle w:val="TableCell"/>
              <w:keepNext w:val="0"/>
              <w:spacing w:before="60" w:after="60"/>
            </w:pPr>
            <w:r w:rsidRPr="001D6512">
              <w:t>Room AC: 11</w:t>
            </w:r>
          </w:p>
          <w:p w:rsidR="00A56592" w:rsidRPr="001D6512" w:rsidRDefault="00A56592" w:rsidP="00C3606E">
            <w:pPr>
              <w:pStyle w:val="TableCell"/>
              <w:keepNext w:val="0"/>
              <w:spacing w:before="60" w:after="60"/>
            </w:pPr>
            <w:r w:rsidRPr="001D6512">
              <w:t>No existing cooling for primary space: use DHP, ASHP, or central AC: 13</w:t>
            </w:r>
          </w:p>
          <w:p w:rsidR="00A56592" w:rsidRPr="001D6512" w:rsidRDefault="00A56592" w:rsidP="00C3606E">
            <w:pPr>
              <w:pStyle w:val="TableCell"/>
              <w:keepNext w:val="0"/>
              <w:spacing w:before="60" w:after="60"/>
            </w:pPr>
            <w:r w:rsidRPr="001D6512">
              <w:t>No existing cooling for secondary space: use Room AC: 11</w:t>
            </w:r>
          </w:p>
        </w:tc>
        <w:tc>
          <w:tcPr>
            <w:tcW w:w="1233" w:type="pct"/>
          </w:tcPr>
          <w:p w:rsidR="00A56592" w:rsidRPr="001D6512" w:rsidRDefault="00A56592" w:rsidP="00C3606E">
            <w:pPr>
              <w:pStyle w:val="TableCell"/>
              <w:keepNext w:val="0"/>
              <w:spacing w:before="60" w:after="60"/>
            </w:pPr>
            <w:r w:rsidRPr="001D6512">
              <w:t>5, 6, 7</w:t>
            </w:r>
          </w:p>
        </w:tc>
      </w:tr>
      <w:tr w:rsidR="00A56592" w:rsidRPr="00B00E9F" w:rsidTr="002F1B67">
        <w:trPr>
          <w:cantSplit/>
          <w:jc w:val="center"/>
        </w:trPr>
        <w:tc>
          <w:tcPr>
            <w:tcW w:w="815" w:type="pct"/>
          </w:tcPr>
          <w:p w:rsidR="00A56592" w:rsidRPr="001D6512" w:rsidRDefault="00A56592" w:rsidP="00C3606E">
            <w:pPr>
              <w:pStyle w:val="TableCell"/>
              <w:keepNext w:val="0"/>
              <w:spacing w:before="60" w:after="60"/>
            </w:pPr>
            <w:r w:rsidRPr="001D6512">
              <w:t>HSPF</w:t>
            </w:r>
            <w:r w:rsidRPr="001D6512">
              <w:rPr>
                <w:vertAlign w:val="subscript"/>
              </w:rPr>
              <w:t>e</w:t>
            </w:r>
          </w:p>
        </w:tc>
        <w:tc>
          <w:tcPr>
            <w:tcW w:w="646" w:type="pct"/>
          </w:tcPr>
          <w:p w:rsidR="00A56592" w:rsidRPr="001D6512" w:rsidRDefault="00A56592" w:rsidP="00C3606E">
            <w:pPr>
              <w:pStyle w:val="TableCell"/>
              <w:keepNext w:val="0"/>
              <w:spacing w:before="60" w:after="60"/>
            </w:pPr>
            <w:r w:rsidRPr="001D6512">
              <w:t>Variable</w:t>
            </w:r>
          </w:p>
        </w:tc>
        <w:tc>
          <w:tcPr>
            <w:tcW w:w="2305" w:type="pct"/>
          </w:tcPr>
          <w:p w:rsidR="00A56592" w:rsidRPr="001D6512" w:rsidRDefault="00A56592" w:rsidP="00C3606E">
            <w:pPr>
              <w:pStyle w:val="TableCell"/>
              <w:keepNext w:val="0"/>
              <w:spacing w:before="60" w:after="60"/>
            </w:pPr>
            <w:r w:rsidRPr="001D6512">
              <w:t xml:space="preserve">Based on nameplate information. Should be at least ENERGY STAR. </w:t>
            </w:r>
          </w:p>
        </w:tc>
        <w:tc>
          <w:tcPr>
            <w:tcW w:w="1233" w:type="pct"/>
          </w:tcPr>
          <w:p w:rsidR="00A56592" w:rsidRPr="001D6512" w:rsidRDefault="00A56592" w:rsidP="00C3606E">
            <w:pPr>
              <w:pStyle w:val="TableCell"/>
              <w:keepNext w:val="0"/>
              <w:spacing w:before="60" w:after="60"/>
            </w:pPr>
            <w:r w:rsidRPr="001D6512">
              <w:t>AEPS Application; EDC Data Gathering</w:t>
            </w:r>
          </w:p>
        </w:tc>
      </w:tr>
      <w:tr w:rsidR="00A56592" w:rsidRPr="00B00E9F" w:rsidTr="002F1B67">
        <w:trPr>
          <w:cantSplit/>
          <w:jc w:val="center"/>
        </w:trPr>
        <w:tc>
          <w:tcPr>
            <w:tcW w:w="815" w:type="pct"/>
          </w:tcPr>
          <w:p w:rsidR="00A56592" w:rsidRPr="001D6512" w:rsidRDefault="00A56592" w:rsidP="00C3606E">
            <w:pPr>
              <w:pStyle w:val="TableCell"/>
              <w:keepNext w:val="0"/>
              <w:spacing w:before="60" w:after="60"/>
            </w:pPr>
            <w:r w:rsidRPr="001D6512">
              <w:t>SEER</w:t>
            </w:r>
            <w:r w:rsidRPr="001D6512">
              <w:rPr>
                <w:vertAlign w:val="subscript"/>
              </w:rPr>
              <w:t>e</w:t>
            </w:r>
          </w:p>
        </w:tc>
        <w:tc>
          <w:tcPr>
            <w:tcW w:w="646" w:type="pct"/>
          </w:tcPr>
          <w:p w:rsidR="00A56592" w:rsidRPr="001D6512" w:rsidRDefault="00A56592" w:rsidP="00C3606E">
            <w:pPr>
              <w:pStyle w:val="TableCell"/>
              <w:keepNext w:val="0"/>
              <w:spacing w:before="60" w:after="60"/>
            </w:pPr>
            <w:r w:rsidRPr="001D6512">
              <w:t>Variable</w:t>
            </w:r>
          </w:p>
        </w:tc>
        <w:tc>
          <w:tcPr>
            <w:tcW w:w="2305" w:type="pct"/>
          </w:tcPr>
          <w:p w:rsidR="00A56592" w:rsidRPr="001D6512" w:rsidRDefault="00A56592" w:rsidP="00C3606E">
            <w:pPr>
              <w:pStyle w:val="TableCell"/>
              <w:keepNext w:val="0"/>
              <w:spacing w:before="60" w:after="60"/>
            </w:pPr>
            <w:r w:rsidRPr="001D6512">
              <w:t xml:space="preserve">Based on nameplate information. Should be at least ENERGY STAR. </w:t>
            </w:r>
          </w:p>
        </w:tc>
        <w:tc>
          <w:tcPr>
            <w:tcW w:w="1233" w:type="pct"/>
          </w:tcPr>
          <w:p w:rsidR="00A56592" w:rsidRPr="001D6512" w:rsidRDefault="00A56592" w:rsidP="00C3606E">
            <w:pPr>
              <w:pStyle w:val="TableCell"/>
              <w:keepNext w:val="0"/>
              <w:spacing w:before="60" w:after="60"/>
            </w:pPr>
            <w:r w:rsidRPr="001D6512">
              <w:t>AEPS Application; EDC Data Gathering</w:t>
            </w:r>
          </w:p>
        </w:tc>
      </w:tr>
      <w:tr w:rsidR="00A56592" w:rsidRPr="00B00E9F" w:rsidTr="002F1B67">
        <w:trPr>
          <w:cantSplit/>
          <w:jc w:val="center"/>
        </w:trPr>
        <w:tc>
          <w:tcPr>
            <w:tcW w:w="815" w:type="pct"/>
          </w:tcPr>
          <w:p w:rsidR="00A56592" w:rsidRPr="001D6512" w:rsidRDefault="00A56592" w:rsidP="00C3606E">
            <w:pPr>
              <w:pStyle w:val="TableCell"/>
              <w:keepNext w:val="0"/>
              <w:spacing w:before="60" w:after="60"/>
            </w:pPr>
            <w:r w:rsidRPr="001D6512">
              <w:t>CF</w:t>
            </w:r>
          </w:p>
        </w:tc>
        <w:tc>
          <w:tcPr>
            <w:tcW w:w="646" w:type="pct"/>
          </w:tcPr>
          <w:p w:rsidR="00A56592" w:rsidRPr="001D6512" w:rsidRDefault="00A56592" w:rsidP="00C3606E">
            <w:pPr>
              <w:pStyle w:val="TableCell"/>
              <w:keepNext w:val="0"/>
              <w:spacing w:before="60" w:after="60"/>
            </w:pPr>
            <w:r w:rsidRPr="001D6512">
              <w:t>Fixed</w:t>
            </w:r>
          </w:p>
        </w:tc>
        <w:tc>
          <w:tcPr>
            <w:tcW w:w="2305" w:type="pct"/>
          </w:tcPr>
          <w:p w:rsidR="00A56592" w:rsidRPr="001D6512" w:rsidRDefault="00A56592" w:rsidP="00C3606E">
            <w:pPr>
              <w:pStyle w:val="TableCell"/>
              <w:keepNext w:val="0"/>
              <w:spacing w:before="60" w:after="60"/>
            </w:pPr>
            <w:r w:rsidRPr="001D6512">
              <w:t>70%</w:t>
            </w:r>
          </w:p>
        </w:tc>
        <w:tc>
          <w:tcPr>
            <w:tcW w:w="1233" w:type="pct"/>
          </w:tcPr>
          <w:p w:rsidR="00A56592" w:rsidRPr="001D6512" w:rsidRDefault="00A56592" w:rsidP="00C3606E">
            <w:pPr>
              <w:pStyle w:val="TableCell"/>
              <w:keepNext w:val="0"/>
              <w:spacing w:before="60" w:after="60"/>
            </w:pPr>
            <w:r w:rsidRPr="001D6512">
              <w:t>8</w:t>
            </w:r>
          </w:p>
        </w:tc>
      </w:tr>
      <w:tr w:rsidR="00A56592" w:rsidRPr="00B00E9F" w:rsidTr="002F1B67">
        <w:trPr>
          <w:cantSplit/>
          <w:jc w:val="center"/>
        </w:trPr>
        <w:tc>
          <w:tcPr>
            <w:tcW w:w="815" w:type="pct"/>
          </w:tcPr>
          <w:p w:rsidR="00A56592" w:rsidRPr="001D6512" w:rsidRDefault="00A56592" w:rsidP="00C3606E">
            <w:pPr>
              <w:pStyle w:val="TableCell"/>
              <w:keepNext w:val="0"/>
              <w:spacing w:before="60" w:after="60"/>
            </w:pPr>
            <w:r w:rsidRPr="001D6512">
              <w:t>EER</w:t>
            </w:r>
            <w:r w:rsidRPr="001D6512">
              <w:rPr>
                <w:vertAlign w:val="subscript"/>
              </w:rPr>
              <w:t>b</w:t>
            </w:r>
          </w:p>
        </w:tc>
        <w:tc>
          <w:tcPr>
            <w:tcW w:w="646" w:type="pct"/>
          </w:tcPr>
          <w:p w:rsidR="00A56592" w:rsidRPr="001D6512" w:rsidRDefault="00A56592" w:rsidP="00C3606E">
            <w:pPr>
              <w:pStyle w:val="TableCell"/>
              <w:keepNext w:val="0"/>
              <w:spacing w:before="60" w:after="60"/>
            </w:pPr>
            <w:r w:rsidRPr="001D6512">
              <w:t>Fixed</w:t>
            </w:r>
          </w:p>
        </w:tc>
        <w:tc>
          <w:tcPr>
            <w:tcW w:w="2305" w:type="pct"/>
          </w:tcPr>
          <w:p w:rsidR="00A56592" w:rsidRPr="001D6512" w:rsidRDefault="00A56592" w:rsidP="00C3606E">
            <w:pPr>
              <w:pStyle w:val="TableCell"/>
              <w:keepNext w:val="0"/>
              <w:spacing w:before="60" w:after="60"/>
            </w:pPr>
            <w:r w:rsidRPr="001D6512">
              <w:t>= (11.3/13) X SEER</w:t>
            </w:r>
            <w:r w:rsidRPr="001D6512">
              <w:rPr>
                <w:vertAlign w:val="subscript"/>
              </w:rPr>
              <w:t>b</w:t>
            </w:r>
            <w:r w:rsidRPr="001D6512">
              <w:t xml:space="preserve"> for  DHP or central AC</w:t>
            </w:r>
          </w:p>
          <w:p w:rsidR="00A56592" w:rsidRPr="001D6512" w:rsidRDefault="00A56592" w:rsidP="00C3606E">
            <w:pPr>
              <w:pStyle w:val="TableCell"/>
              <w:keepNext w:val="0"/>
              <w:spacing w:before="60" w:after="60"/>
            </w:pPr>
            <w:r w:rsidRPr="001D6512">
              <w:t>= 9.8 room AC</w:t>
            </w:r>
          </w:p>
        </w:tc>
        <w:tc>
          <w:tcPr>
            <w:tcW w:w="1233" w:type="pct"/>
          </w:tcPr>
          <w:p w:rsidR="00A56592" w:rsidRPr="001D6512" w:rsidRDefault="00A56592" w:rsidP="00C3606E">
            <w:pPr>
              <w:pStyle w:val="TableCell"/>
              <w:keepNext w:val="0"/>
              <w:spacing w:before="60" w:after="60"/>
            </w:pPr>
            <w:r w:rsidRPr="001D6512">
              <w:t>5,9</w:t>
            </w:r>
          </w:p>
        </w:tc>
      </w:tr>
      <w:tr w:rsidR="00FC60CE" w:rsidRPr="00B00E9F" w:rsidTr="002F1B67">
        <w:trPr>
          <w:cantSplit/>
          <w:jc w:val="center"/>
        </w:trPr>
        <w:tc>
          <w:tcPr>
            <w:tcW w:w="815" w:type="pct"/>
          </w:tcPr>
          <w:p w:rsidR="00FC60CE" w:rsidRPr="001D6512" w:rsidRDefault="00FC60CE" w:rsidP="005941D3">
            <w:pPr>
              <w:pStyle w:val="TableCell"/>
              <w:keepNext w:val="0"/>
              <w:spacing w:before="60" w:after="60"/>
            </w:pPr>
            <w:r w:rsidRPr="001D6512">
              <w:t>EER</w:t>
            </w:r>
            <w:r w:rsidRPr="001D6512">
              <w:rPr>
                <w:vertAlign w:val="subscript"/>
              </w:rPr>
              <w:t>e</w:t>
            </w:r>
          </w:p>
        </w:tc>
        <w:tc>
          <w:tcPr>
            <w:tcW w:w="646" w:type="pct"/>
          </w:tcPr>
          <w:p w:rsidR="00FC60CE" w:rsidRPr="001D6512" w:rsidRDefault="00FC60CE" w:rsidP="005941D3">
            <w:pPr>
              <w:pStyle w:val="TableCell"/>
              <w:keepNext w:val="0"/>
              <w:spacing w:before="60" w:after="60"/>
            </w:pPr>
            <w:r w:rsidRPr="001D6512">
              <w:t>Variable</w:t>
            </w:r>
          </w:p>
        </w:tc>
        <w:tc>
          <w:tcPr>
            <w:tcW w:w="2305" w:type="pct"/>
          </w:tcPr>
          <w:p w:rsidR="00F73002" w:rsidRPr="001D6512" w:rsidRDefault="00F73002" w:rsidP="00F73002">
            <w:pPr>
              <w:pStyle w:val="TableCell"/>
              <w:keepNext w:val="0"/>
              <w:spacing w:before="60" w:after="60"/>
            </w:pPr>
            <w:r w:rsidRPr="001D6512">
              <w:t>= (11.3/13) X SEER</w:t>
            </w:r>
            <w:r w:rsidRPr="001D6512">
              <w:rPr>
                <w:vertAlign w:val="subscript"/>
              </w:rPr>
              <w:t>e</w:t>
            </w:r>
          </w:p>
          <w:p w:rsidR="00FC60CE" w:rsidRPr="001D6512" w:rsidRDefault="00FC60CE" w:rsidP="005941D3">
            <w:pPr>
              <w:pStyle w:val="TableCell"/>
              <w:keepNext w:val="0"/>
              <w:spacing w:before="60" w:after="60"/>
            </w:pPr>
            <w:r w:rsidRPr="001D6512">
              <w:t>Based on nameplate information. Should be at least ENERGY STAR.</w:t>
            </w:r>
          </w:p>
        </w:tc>
        <w:tc>
          <w:tcPr>
            <w:tcW w:w="1233" w:type="pct"/>
          </w:tcPr>
          <w:p w:rsidR="00FC60CE" w:rsidRPr="001D6512" w:rsidRDefault="00FC60CE" w:rsidP="005941D3">
            <w:pPr>
              <w:pStyle w:val="TableCell"/>
              <w:keepNext w:val="0"/>
              <w:spacing w:before="60" w:after="60"/>
            </w:pPr>
            <w:r w:rsidRPr="001D6512">
              <w:t>AEPS Application; EDC Data Gathering</w:t>
            </w:r>
          </w:p>
        </w:tc>
      </w:tr>
      <w:tr w:rsidR="00FC60CE" w:rsidRPr="00B00E9F" w:rsidTr="002F1B67">
        <w:trPr>
          <w:cantSplit/>
          <w:jc w:val="center"/>
        </w:trPr>
        <w:tc>
          <w:tcPr>
            <w:tcW w:w="815" w:type="pct"/>
          </w:tcPr>
          <w:p w:rsidR="00FC60CE" w:rsidRPr="001D6512" w:rsidRDefault="00FC60CE" w:rsidP="00C3606E">
            <w:pPr>
              <w:pStyle w:val="TableCell"/>
              <w:spacing w:before="60" w:after="60"/>
            </w:pPr>
            <w:r w:rsidRPr="001D6512">
              <w:t>LF</w:t>
            </w:r>
          </w:p>
        </w:tc>
        <w:tc>
          <w:tcPr>
            <w:tcW w:w="646" w:type="pct"/>
          </w:tcPr>
          <w:p w:rsidR="00FC60CE" w:rsidRPr="001D6512" w:rsidRDefault="00FC60CE" w:rsidP="00C3606E">
            <w:pPr>
              <w:pStyle w:val="TableCell"/>
              <w:spacing w:before="60" w:after="60"/>
            </w:pPr>
            <w:r w:rsidRPr="001D6512">
              <w:t>Fixed</w:t>
            </w:r>
          </w:p>
        </w:tc>
        <w:tc>
          <w:tcPr>
            <w:tcW w:w="2305" w:type="pct"/>
          </w:tcPr>
          <w:p w:rsidR="00FC60CE" w:rsidRPr="001D6512" w:rsidRDefault="00FC60CE" w:rsidP="00C3606E">
            <w:pPr>
              <w:pStyle w:val="TableCell"/>
              <w:spacing w:before="60" w:after="60"/>
            </w:pPr>
            <w:r w:rsidRPr="001D6512">
              <w:t>25%</w:t>
            </w:r>
          </w:p>
        </w:tc>
        <w:tc>
          <w:tcPr>
            <w:tcW w:w="1233" w:type="pct"/>
          </w:tcPr>
          <w:p w:rsidR="00FC60CE" w:rsidRPr="001D6512" w:rsidRDefault="00FC60CE" w:rsidP="00C3606E">
            <w:pPr>
              <w:pStyle w:val="TableCell"/>
              <w:spacing w:before="60" w:after="60"/>
            </w:pPr>
            <w:r w:rsidRPr="001D6512">
              <w:t>10</w:t>
            </w:r>
          </w:p>
        </w:tc>
      </w:tr>
    </w:tbl>
    <w:p w:rsidR="005F63C6" w:rsidRDefault="005F63C6" w:rsidP="00C3606E">
      <w:pPr>
        <w:spacing w:after="0"/>
        <w:rPr>
          <w:rStyle w:val="BodyTextChar"/>
          <w:i/>
        </w:rPr>
      </w:pPr>
    </w:p>
    <w:p w:rsidR="00B72E70" w:rsidRPr="00BC5194" w:rsidRDefault="00B72E70" w:rsidP="00100EDF">
      <w:pPr>
        <w:rPr>
          <w:b/>
          <w:sz w:val="24"/>
          <w:szCs w:val="24"/>
        </w:rPr>
      </w:pPr>
      <w:r w:rsidRPr="00BC5194">
        <w:rPr>
          <w:rStyle w:val="BodyTextChar"/>
          <w:b/>
        </w:rPr>
        <w:t>Sources</w:t>
      </w:r>
      <w:r w:rsidRPr="00BC5194">
        <w:rPr>
          <w:b/>
        </w:rPr>
        <w:t>:</w:t>
      </w:r>
    </w:p>
    <w:p w:rsidR="00A56592" w:rsidRPr="00760993" w:rsidRDefault="00A56592" w:rsidP="0005632A">
      <w:pPr>
        <w:pStyle w:val="source1"/>
        <w:numPr>
          <w:ilvl w:val="0"/>
          <w:numId w:val="72"/>
        </w:numPr>
      </w:pPr>
      <w:r w:rsidRPr="00760993">
        <w:t xml:space="preserve">US Department of Energy, </w:t>
      </w:r>
      <w:r>
        <w:t>ENERGY STAR</w:t>
      </w:r>
      <w:r w:rsidRPr="00760993">
        <w:t xml:space="preserve"> Calculator.  Accessed 3/16/2009. From Pennsylvania’s Technical Reference Manual.</w:t>
      </w:r>
    </w:p>
    <w:p w:rsidR="00A56592" w:rsidRPr="00760993" w:rsidRDefault="00A56592" w:rsidP="00C3606E">
      <w:pPr>
        <w:pStyle w:val="source1"/>
      </w:pPr>
      <w:r w:rsidRPr="00760993">
        <w:t xml:space="preserve">Secondary cooling load hours based on room air conditioner “corrected” EFLH </w:t>
      </w:r>
      <w:r w:rsidR="00F11594" w:rsidRPr="00760993">
        <w:t>work paper</w:t>
      </w:r>
      <w:r w:rsidRPr="00760993">
        <w:t xml:space="preserve"> that adjusted the central cooling hours to room</w:t>
      </w:r>
      <w:r>
        <w:t xml:space="preserve"> AC</w:t>
      </w:r>
      <w:r w:rsidRPr="00760993">
        <w:t xml:space="preserve"> cooling hours</w:t>
      </w:r>
      <w:r>
        <w:t>; see Section 2.12 Room AC Retirement measure</w:t>
      </w:r>
      <w:r w:rsidRPr="00760993">
        <w:t>.</w:t>
      </w:r>
    </w:p>
    <w:p w:rsidR="00A56592" w:rsidRPr="00760993" w:rsidRDefault="00A56592" w:rsidP="00C3606E">
      <w:pPr>
        <w:pStyle w:val="source1"/>
      </w:pPr>
      <w:r w:rsidRPr="00760993">
        <w:t xml:space="preserve">Secondary heating hours based </w:t>
      </w:r>
      <w:r>
        <w:t xml:space="preserve">on a </w:t>
      </w:r>
      <w:r w:rsidRPr="00760993">
        <w:t xml:space="preserve">ratio </w:t>
      </w:r>
      <w:r>
        <w:t>of HDD base 68 and base 60 deg F</w:t>
      </w:r>
      <w:r w:rsidRPr="00760993">
        <w:t xml:space="preserve">. The ratio </w:t>
      </w:r>
      <w:r>
        <w:t>is used to reflect the heating requirement for secondary spaces is less than primary space as the thermostat set</w:t>
      </w:r>
      <w:r w:rsidR="00716DAB">
        <w:t xml:space="preserve"> </w:t>
      </w:r>
      <w:r>
        <w:t>point in these spaces is generally lowered during unoccupied time periods</w:t>
      </w:r>
      <w:r w:rsidRPr="00760993">
        <w:t xml:space="preserve">. </w:t>
      </w:r>
    </w:p>
    <w:p w:rsidR="00A56592" w:rsidRPr="00760993" w:rsidRDefault="00A56592" w:rsidP="00C3606E">
      <w:pPr>
        <w:pStyle w:val="source1"/>
      </w:pPr>
      <w:r w:rsidRPr="00760993">
        <w:t xml:space="preserve">COP = 3.413 HSPF for electric resistance heating. Electric furnace efficiency typically varies from 0.95 to 1.00 and thereby assumed a COP 0.95 = 3.242.      </w:t>
      </w:r>
    </w:p>
    <w:p w:rsidR="00A56592" w:rsidRPr="00760993" w:rsidRDefault="00A56592" w:rsidP="00C3606E">
      <w:pPr>
        <w:pStyle w:val="source1"/>
      </w:pPr>
      <w:r w:rsidRPr="00760993">
        <w:t xml:space="preserve">Federal Register, Vol. 66, No. 14, Monday, January 22, 2001/Rules and Regulations, p. 7170-7200. </w:t>
      </w:r>
    </w:p>
    <w:p w:rsidR="00A56592" w:rsidRDefault="00A56592" w:rsidP="00C3606E">
      <w:pPr>
        <w:pStyle w:val="source1"/>
      </w:pPr>
      <w:r w:rsidRPr="00760993">
        <w:t>Air-Conditioning, Heating, and Refrigeration Institute (AHRI); the directory of the available ductless mini-split heat pumps and corresponding efficiencies (lowest efficiency currently available).   Accessed 8/16/2010.</w:t>
      </w:r>
    </w:p>
    <w:p w:rsidR="00A56592" w:rsidRDefault="00A56592" w:rsidP="00C3606E">
      <w:pPr>
        <w:pStyle w:val="source1"/>
      </w:pPr>
      <w:r>
        <w:t>SEER based on average EER of 9.8 for room AC unit.</w:t>
      </w:r>
      <w:r w:rsidRPr="00774646">
        <w:t xml:space="preserve"> </w:t>
      </w:r>
      <w:r w:rsidRPr="00760993">
        <w:t>From Pennsylvania’s Technical Reference Manual.</w:t>
      </w:r>
    </w:p>
    <w:p w:rsidR="00A56592" w:rsidRPr="00760993" w:rsidRDefault="00A56592" w:rsidP="00C3606E">
      <w:pPr>
        <w:pStyle w:val="source1"/>
      </w:pPr>
      <w:r w:rsidRPr="00760993">
        <w:t>Based on an analysis of six different utilities by Proctor Engineering. From Pennsylvania’s Technical Reference Manual.</w:t>
      </w:r>
    </w:p>
    <w:p w:rsidR="00A56592" w:rsidRDefault="00A56592" w:rsidP="00C3606E">
      <w:pPr>
        <w:pStyle w:val="source1"/>
      </w:pPr>
      <w:r w:rsidRPr="00760993">
        <w:lastRenderedPageBreak/>
        <w:t>Average EER for SEER 13 unit. From Pennsylvania’s Technical Reference Manual.</w:t>
      </w:r>
    </w:p>
    <w:p w:rsidR="00A56592" w:rsidRPr="00760993" w:rsidRDefault="00A56592" w:rsidP="00C3606E">
      <w:pPr>
        <w:pStyle w:val="source1"/>
        <w:spacing w:after="200"/>
      </w:pPr>
      <w:r>
        <w:t>The load factor is used to account for inverter-based DHP units operating at partial loads. The value was chosen to align savings with what is seen in other jurisdictions, based on personal communication with Bruce Manclark, Delta-T, Inc., who is working with Northwest Energy Efficiency Alliance (NEEA) on the Northwest DHP Project &lt;</w:t>
      </w:r>
      <w:hyperlink r:id="rId28" w:history="1">
        <w:r w:rsidRPr="003A4B0F">
          <w:rPr>
            <w:rStyle w:val="Hyperlink"/>
            <w:rFonts w:cs="Arial"/>
          </w:rPr>
          <w:t>http://www.nwductless.com/</w:t>
        </w:r>
      </w:hyperlink>
      <w:r>
        <w:t>&gt;, and the results found in the “Ductless Mini Pilot Study” by KEMA, Inc., June 2009.</w:t>
      </w:r>
      <w:r w:rsidRPr="003A4B0F">
        <w:t xml:space="preserve"> </w:t>
      </w:r>
      <w:r w:rsidR="00F11594">
        <w:t>T</w:t>
      </w:r>
      <w:r>
        <w:t>his adjustment is required to account for partial load conditions and because the EFLH used are based on central ducted systems which may overestimate actual usage for baseboard systems.</w:t>
      </w:r>
    </w:p>
    <w:p w:rsidR="00B72E70" w:rsidRPr="00FA7E70" w:rsidRDefault="00B72E70" w:rsidP="00871FA2">
      <w:pPr>
        <w:pStyle w:val="Heading3"/>
      </w:pPr>
      <w:r>
        <w:t>Definition of Heating Zone</w:t>
      </w:r>
    </w:p>
    <w:p w:rsidR="00B72E70" w:rsidRDefault="00B72E70" w:rsidP="00C3606E">
      <w:pPr>
        <w:pStyle w:val="BodyText"/>
      </w:pPr>
      <w:r>
        <w:t>Definition of primary and secondary heating systems depends primarily on the location where the source heat is provided in the household, and shown in</w:t>
      </w:r>
      <w:r w:rsidR="00717EE4">
        <w:t xml:space="preserve"> </w:t>
      </w:r>
      <w:r w:rsidR="007A1FB6">
        <w:fldChar w:fldCharType="begin"/>
      </w:r>
      <w:r w:rsidR="00081415">
        <w:instrText xml:space="preserve"> REF _Ref274917883 \h </w:instrText>
      </w:r>
      <w:r w:rsidR="007A1FB6">
        <w:fldChar w:fldCharType="separate"/>
      </w:r>
      <w:r w:rsidR="00C0292F">
        <w:t xml:space="preserve">Table </w:t>
      </w:r>
      <w:r w:rsidR="00C0292F">
        <w:rPr>
          <w:noProof/>
        </w:rPr>
        <w:t>2</w:t>
      </w:r>
      <w:r w:rsidR="00C0292F">
        <w:noBreakHyphen/>
      </w:r>
      <w:r w:rsidR="00C0292F">
        <w:rPr>
          <w:noProof/>
        </w:rPr>
        <w:t>25</w:t>
      </w:r>
      <w:r w:rsidR="007A1FB6">
        <w:fldChar w:fldCharType="end"/>
      </w:r>
      <w:r>
        <w:t>.</w:t>
      </w:r>
    </w:p>
    <w:p w:rsidR="002F1B67" w:rsidRDefault="002F1B67" w:rsidP="00100EDF">
      <w:pPr>
        <w:pStyle w:val="Caption"/>
      </w:pPr>
      <w:bookmarkStart w:id="346" w:name="_Ref274917883"/>
      <w:bookmarkStart w:id="347" w:name="_Toc310875511"/>
      <w:r>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25</w:t>
      </w:r>
      <w:r w:rsidR="00274AB1">
        <w:rPr>
          <w:noProof/>
        </w:rPr>
        <w:fldChar w:fldCharType="end"/>
      </w:r>
      <w:bookmarkEnd w:id="346"/>
      <w:r>
        <w:t xml:space="preserve">: </w:t>
      </w:r>
      <w:r w:rsidR="00940A5E">
        <w:t xml:space="preserve">DHP – </w:t>
      </w:r>
      <w:r>
        <w:t>Heating Zones</w:t>
      </w:r>
      <w:bookmarkEnd w:id="347"/>
    </w:p>
    <w:tbl>
      <w:tblPr>
        <w:tblW w:w="864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3981"/>
        <w:gridCol w:w="4659"/>
      </w:tblGrid>
      <w:tr w:rsidR="00B72E70" w:rsidRPr="00755B6F" w:rsidTr="00F84A22">
        <w:tc>
          <w:tcPr>
            <w:tcW w:w="2304" w:type="pct"/>
            <w:tcBorders>
              <w:top w:val="single" w:sz="8" w:space="0" w:color="404040"/>
              <w:left w:val="single" w:sz="8" w:space="0" w:color="404040"/>
              <w:bottom w:val="single" w:sz="8" w:space="0" w:color="404040"/>
              <w:right w:val="single" w:sz="8" w:space="0" w:color="404040"/>
            </w:tcBorders>
            <w:shd w:val="clear" w:color="auto" w:fill="BFBFBF"/>
          </w:tcPr>
          <w:p w:rsidR="00726DEA" w:rsidRPr="001D6512" w:rsidRDefault="00B72E70" w:rsidP="00C3606E">
            <w:pPr>
              <w:pStyle w:val="TableCell"/>
              <w:spacing w:before="60" w:after="60"/>
              <w:rPr>
                <w:b/>
                <w:bCs/>
              </w:rPr>
            </w:pPr>
            <w:r w:rsidRPr="001D6512">
              <w:rPr>
                <w:b/>
                <w:bCs/>
              </w:rPr>
              <w:t>Component</w:t>
            </w:r>
          </w:p>
        </w:tc>
        <w:tc>
          <w:tcPr>
            <w:tcW w:w="2696" w:type="pct"/>
            <w:tcBorders>
              <w:top w:val="single" w:sz="8" w:space="0" w:color="404040"/>
              <w:left w:val="single" w:sz="8" w:space="0" w:color="404040"/>
              <w:bottom w:val="single" w:sz="8" w:space="0" w:color="404040"/>
              <w:right w:val="single" w:sz="8" w:space="0" w:color="404040"/>
            </w:tcBorders>
            <w:shd w:val="clear" w:color="auto" w:fill="BFBFBF"/>
          </w:tcPr>
          <w:p w:rsidR="00726DEA" w:rsidRPr="001D6512" w:rsidRDefault="00B72E70" w:rsidP="00C3606E">
            <w:pPr>
              <w:pStyle w:val="TableCell"/>
              <w:spacing w:before="60" w:after="60"/>
              <w:rPr>
                <w:b/>
                <w:bCs/>
              </w:rPr>
            </w:pPr>
            <w:r w:rsidRPr="001D6512">
              <w:rPr>
                <w:b/>
                <w:bCs/>
              </w:rPr>
              <w:t>Definition</w:t>
            </w:r>
          </w:p>
        </w:tc>
      </w:tr>
      <w:tr w:rsidR="00A56592" w:rsidRPr="00755B6F" w:rsidTr="00F84A22">
        <w:tc>
          <w:tcPr>
            <w:tcW w:w="2304" w:type="pct"/>
            <w:tcBorders>
              <w:top w:val="single" w:sz="8" w:space="0" w:color="404040"/>
              <w:left w:val="single" w:sz="8" w:space="0" w:color="404040"/>
              <w:bottom w:val="single" w:sz="8" w:space="0" w:color="404040"/>
              <w:right w:val="single" w:sz="8" w:space="0" w:color="404040"/>
            </w:tcBorders>
            <w:shd w:val="clear" w:color="auto" w:fill="FFFFFF"/>
          </w:tcPr>
          <w:p w:rsidR="00A56592" w:rsidRPr="001D6512" w:rsidRDefault="00A56592" w:rsidP="00C3606E">
            <w:pPr>
              <w:pStyle w:val="TableCell"/>
              <w:spacing w:before="60" w:after="60"/>
              <w:rPr>
                <w:b/>
                <w:bCs/>
                <w:color w:val="000000"/>
              </w:rPr>
            </w:pPr>
            <w:r w:rsidRPr="001D6512">
              <w:t>Primary Heating Zone</w:t>
            </w:r>
          </w:p>
        </w:tc>
        <w:tc>
          <w:tcPr>
            <w:tcW w:w="2696" w:type="pct"/>
            <w:tcBorders>
              <w:top w:val="single" w:sz="8" w:space="0" w:color="404040"/>
              <w:left w:val="single" w:sz="8" w:space="0" w:color="404040"/>
              <w:bottom w:val="single" w:sz="8" w:space="0" w:color="404040"/>
              <w:right w:val="single" w:sz="8" w:space="0" w:color="404040"/>
            </w:tcBorders>
            <w:shd w:val="clear" w:color="auto" w:fill="FFFFFF"/>
          </w:tcPr>
          <w:p w:rsidR="00A56592" w:rsidRPr="001D6512" w:rsidRDefault="00A56592" w:rsidP="00C3606E">
            <w:pPr>
              <w:pStyle w:val="TableCell"/>
              <w:pBdr>
                <w:right w:val="single" w:sz="8" w:space="0" w:color="auto"/>
              </w:pBdr>
              <w:spacing w:before="60" w:beforeAutospacing="1" w:after="60" w:afterAutospacing="1"/>
              <w:rPr>
                <w:color w:val="000000"/>
              </w:rPr>
            </w:pPr>
            <w:r w:rsidRPr="001D6512">
              <w:t>Living room</w:t>
            </w:r>
            <w:r w:rsidRPr="001D6512">
              <w:br/>
              <w:t xml:space="preserve">Dining room </w:t>
            </w:r>
            <w:r w:rsidRPr="001D6512">
              <w:br/>
              <w:t>House hallway</w:t>
            </w:r>
            <w:r w:rsidRPr="001D6512">
              <w:br/>
              <w:t>Kitchen areas</w:t>
            </w:r>
            <w:r w:rsidRPr="001D6512">
              <w:br/>
              <w:t>Family Room</w:t>
            </w:r>
            <w:r w:rsidRPr="001D6512">
              <w:br/>
              <w:t>Recreation Room</w:t>
            </w:r>
          </w:p>
        </w:tc>
      </w:tr>
      <w:tr w:rsidR="00A56592" w:rsidRPr="00755B6F" w:rsidTr="00F84A22">
        <w:trPr>
          <w:cantSplit/>
        </w:trPr>
        <w:tc>
          <w:tcPr>
            <w:tcW w:w="2304" w:type="pct"/>
            <w:tcBorders>
              <w:top w:val="single" w:sz="8" w:space="0" w:color="404040"/>
              <w:left w:val="single" w:sz="8" w:space="0" w:color="404040"/>
              <w:bottom w:val="single" w:sz="8" w:space="0" w:color="404040"/>
              <w:right w:val="single" w:sz="8" w:space="0" w:color="404040"/>
            </w:tcBorders>
            <w:shd w:val="clear" w:color="auto" w:fill="auto"/>
          </w:tcPr>
          <w:p w:rsidR="00A56592" w:rsidRPr="001D6512" w:rsidRDefault="00A56592" w:rsidP="00C3606E">
            <w:pPr>
              <w:pStyle w:val="TableCell"/>
              <w:keepNext w:val="0"/>
              <w:spacing w:before="60" w:after="60"/>
              <w:rPr>
                <w:b/>
                <w:bCs/>
                <w:color w:val="000000"/>
              </w:rPr>
            </w:pPr>
            <w:r w:rsidRPr="001D6512">
              <w:t>Secondary Heating Zone</w:t>
            </w:r>
          </w:p>
        </w:tc>
        <w:tc>
          <w:tcPr>
            <w:tcW w:w="2696" w:type="pct"/>
            <w:tcBorders>
              <w:top w:val="single" w:sz="8" w:space="0" w:color="404040"/>
              <w:left w:val="single" w:sz="8" w:space="0" w:color="404040"/>
              <w:bottom w:val="single" w:sz="8" w:space="0" w:color="404040"/>
              <w:right w:val="single" w:sz="8" w:space="0" w:color="404040"/>
            </w:tcBorders>
            <w:shd w:val="clear" w:color="auto" w:fill="auto"/>
          </w:tcPr>
          <w:p w:rsidR="00A56592" w:rsidRPr="001D6512" w:rsidRDefault="00A56592" w:rsidP="00C3606E">
            <w:pPr>
              <w:pStyle w:val="TableCell"/>
              <w:keepNext w:val="0"/>
              <w:spacing w:before="60" w:after="60"/>
              <w:rPr>
                <w:color w:val="000000"/>
              </w:rPr>
            </w:pPr>
            <w:r w:rsidRPr="001D6512">
              <w:t xml:space="preserve">Bedroom </w:t>
            </w:r>
            <w:r w:rsidRPr="001D6512">
              <w:br/>
              <w:t xml:space="preserve">Bathroom </w:t>
            </w:r>
            <w:r w:rsidRPr="001D6512">
              <w:br/>
              <w:t xml:space="preserve">Basement </w:t>
            </w:r>
            <w:r w:rsidRPr="001D6512">
              <w:br/>
              <w:t>Storage Room</w:t>
            </w:r>
            <w:r w:rsidRPr="001D6512">
              <w:br/>
              <w:t xml:space="preserve">Office/Study </w:t>
            </w:r>
            <w:r w:rsidRPr="001D6512">
              <w:br/>
              <w:t>Laundry/Mudroom</w:t>
            </w:r>
            <w:r w:rsidRPr="001D6512">
              <w:br/>
              <w:t>Sunroom/Seasonal Room</w:t>
            </w:r>
          </w:p>
        </w:tc>
      </w:tr>
    </w:tbl>
    <w:p w:rsidR="00E91ADD" w:rsidRDefault="00E91ADD" w:rsidP="005F63C6">
      <w:pPr>
        <w:pStyle w:val="BodyText"/>
        <w:spacing w:after="0"/>
      </w:pPr>
    </w:p>
    <w:p w:rsidR="00B72E70" w:rsidRPr="006F488A" w:rsidRDefault="00B72E70" w:rsidP="00871FA2">
      <w:pPr>
        <w:pStyle w:val="Heading3"/>
      </w:pPr>
      <w:r w:rsidRPr="006F488A">
        <w:t>Measure Life</w:t>
      </w:r>
    </w:p>
    <w:p w:rsidR="00B72E70" w:rsidRPr="006F488A" w:rsidRDefault="00B72E70" w:rsidP="00E91ADD">
      <w:pPr>
        <w:pStyle w:val="BodyText"/>
      </w:pPr>
      <w:r w:rsidRPr="006F488A">
        <w:t xml:space="preserve">According to an October 2008 report for the CA Database for Energy Efficiency Resources, a heat pump’s lifespan is </w:t>
      </w:r>
      <w:r w:rsidRPr="006F488A">
        <w:rPr>
          <w:b/>
        </w:rPr>
        <w:t>15 years</w:t>
      </w:r>
      <w:r>
        <w:rPr>
          <w:b/>
        </w:rPr>
        <w:t>.</w:t>
      </w:r>
      <w:r>
        <w:rPr>
          <w:rStyle w:val="FootnoteReference"/>
          <w:b/>
          <w:sz w:val="22"/>
        </w:rPr>
        <w:footnoteReference w:id="54"/>
      </w:r>
    </w:p>
    <w:p w:rsidR="00B72E70" w:rsidRPr="003C07C5" w:rsidRDefault="00B72E70" w:rsidP="00871FA2">
      <w:pPr>
        <w:pStyle w:val="Heading3"/>
      </w:pPr>
      <w:r w:rsidRPr="003C07C5">
        <w:t>Evaluation Protocols</w:t>
      </w:r>
    </w:p>
    <w:p w:rsidR="00332B89" w:rsidRDefault="00A56592" w:rsidP="00332B89">
      <w:r w:rsidRPr="003C07C5">
        <w:t xml:space="preserve">The most appropriate evaluation protocol for this measure is verification of installation coupled with assignment of stipulated energy savings. </w:t>
      </w:r>
      <w:r>
        <w:t>A sample of p</w:t>
      </w:r>
      <w:r w:rsidRPr="003C07C5">
        <w:t>re</w:t>
      </w:r>
      <w:r>
        <w:t>-</w:t>
      </w:r>
      <w:r w:rsidRPr="003C07C5">
        <w:t xml:space="preserve"> and post</w:t>
      </w:r>
      <w:r>
        <w:t>-metering</w:t>
      </w:r>
      <w:r w:rsidRPr="003C07C5">
        <w:t xml:space="preserve"> </w:t>
      </w:r>
      <w:r>
        <w:t xml:space="preserve">is </w:t>
      </w:r>
      <w:r w:rsidRPr="003C07C5">
        <w:t>recommended to verify heating and cooling savings.</w:t>
      </w:r>
    </w:p>
    <w:p w:rsidR="00CD05FA" w:rsidRDefault="00751C57" w:rsidP="00E568D4">
      <w:pPr>
        <w:pStyle w:val="Heading2"/>
      </w:pPr>
      <w:r>
        <w:br w:type="page"/>
      </w:r>
      <w:bookmarkStart w:id="348" w:name="_Toc295990632"/>
      <w:bookmarkStart w:id="349" w:name="_Toc295999400"/>
      <w:bookmarkStart w:id="350" w:name="_Toc298621143"/>
      <w:bookmarkStart w:id="351" w:name="_Toc298621222"/>
      <w:bookmarkStart w:id="352" w:name="_Toc298621409"/>
      <w:bookmarkStart w:id="353" w:name="_Toc303086199"/>
      <w:bookmarkStart w:id="354" w:name="_Toc310875417"/>
      <w:bookmarkEnd w:id="348"/>
      <w:bookmarkEnd w:id="349"/>
      <w:bookmarkEnd w:id="350"/>
      <w:bookmarkEnd w:id="351"/>
      <w:bookmarkEnd w:id="352"/>
      <w:bookmarkEnd w:id="353"/>
      <w:r>
        <w:lastRenderedPageBreak/>
        <w:t>Fuel Switching</w:t>
      </w:r>
      <w:r w:rsidR="000F6E91">
        <w:t>:</w:t>
      </w:r>
      <w:r>
        <w:t xml:space="preserve"> </w:t>
      </w:r>
      <w:r w:rsidR="00A50CDC">
        <w:t>Domestic Hot Water</w:t>
      </w:r>
      <w:r>
        <w:t xml:space="preserve"> Electric</w:t>
      </w:r>
      <w:r w:rsidRPr="00837206">
        <w:t xml:space="preserve"> </w:t>
      </w:r>
      <w:r>
        <w:t>to Gas</w:t>
      </w:r>
      <w:bookmarkEnd w:id="354"/>
    </w:p>
    <w:tbl>
      <w:tblPr>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2898"/>
        <w:gridCol w:w="5958"/>
      </w:tblGrid>
      <w:tr w:rsidR="00751C57" w:rsidRPr="00C465DB" w:rsidTr="00F84A22">
        <w:tc>
          <w:tcPr>
            <w:tcW w:w="2898" w:type="dxa"/>
            <w:tcBorders>
              <w:top w:val="single" w:sz="8" w:space="0" w:color="404040"/>
              <w:left w:val="single" w:sz="8" w:space="0" w:color="404040"/>
              <w:bottom w:val="single" w:sz="8" w:space="0" w:color="404040"/>
              <w:right w:val="single" w:sz="8" w:space="0" w:color="404040"/>
            </w:tcBorders>
            <w:shd w:val="clear" w:color="auto" w:fill="BFBFBF"/>
          </w:tcPr>
          <w:p w:rsidR="00CD05FA" w:rsidRPr="001D6512" w:rsidRDefault="00C67DA4" w:rsidP="00F84A22">
            <w:pPr>
              <w:pStyle w:val="TableCell"/>
              <w:spacing w:before="60" w:after="60"/>
              <w:rPr>
                <w:b/>
                <w:bCs/>
              </w:rPr>
            </w:pPr>
            <w:r w:rsidRPr="001D6512">
              <w:rPr>
                <w:b/>
                <w:bCs/>
              </w:rPr>
              <w:t>Measure Name</w:t>
            </w:r>
          </w:p>
        </w:tc>
        <w:tc>
          <w:tcPr>
            <w:tcW w:w="5958" w:type="dxa"/>
            <w:tcBorders>
              <w:top w:val="single" w:sz="8" w:space="0" w:color="404040"/>
              <w:left w:val="single" w:sz="8" w:space="0" w:color="404040"/>
              <w:bottom w:val="single" w:sz="8" w:space="0" w:color="404040"/>
              <w:right w:val="single" w:sz="8" w:space="0" w:color="404040"/>
            </w:tcBorders>
            <w:shd w:val="clear" w:color="auto" w:fill="BFBFBF"/>
          </w:tcPr>
          <w:p w:rsidR="00CD05FA" w:rsidRPr="001D6512" w:rsidRDefault="00C67DA4" w:rsidP="00F84A22">
            <w:pPr>
              <w:pStyle w:val="TableCell"/>
              <w:spacing w:before="60" w:after="60"/>
              <w:rPr>
                <w:b/>
                <w:bCs/>
              </w:rPr>
            </w:pPr>
            <w:r w:rsidRPr="001D6512">
              <w:rPr>
                <w:b/>
                <w:bCs/>
              </w:rPr>
              <w:t>Fuel Switching</w:t>
            </w:r>
            <w:r w:rsidR="000F6E91" w:rsidRPr="001D6512">
              <w:rPr>
                <w:b/>
                <w:bCs/>
              </w:rPr>
              <w:t>:</w:t>
            </w:r>
            <w:r w:rsidRPr="001D6512">
              <w:rPr>
                <w:b/>
                <w:bCs/>
              </w:rPr>
              <w:t xml:space="preserve"> DHW Electric to Gas</w:t>
            </w:r>
          </w:p>
        </w:tc>
      </w:tr>
      <w:tr w:rsidR="00751C57" w:rsidRPr="00C465DB" w:rsidTr="00F84A22">
        <w:tc>
          <w:tcPr>
            <w:tcW w:w="2898" w:type="dxa"/>
            <w:tcBorders>
              <w:top w:val="single" w:sz="8" w:space="0" w:color="404040"/>
              <w:left w:val="single" w:sz="8" w:space="0" w:color="404040"/>
              <w:bottom w:val="single" w:sz="8" w:space="0" w:color="404040"/>
              <w:right w:val="single" w:sz="8" w:space="0" w:color="404040"/>
            </w:tcBorders>
            <w:shd w:val="clear" w:color="auto" w:fill="FFFFFF"/>
          </w:tcPr>
          <w:p w:rsidR="00CD05FA" w:rsidRPr="001D6512" w:rsidRDefault="00751C57" w:rsidP="00F84A22">
            <w:pPr>
              <w:pStyle w:val="TableCell"/>
              <w:spacing w:before="60" w:after="60"/>
              <w:rPr>
                <w:b/>
                <w:bCs/>
                <w:sz w:val="20"/>
              </w:rPr>
            </w:pPr>
            <w:r w:rsidRPr="001D6512">
              <w:rPr>
                <w:b/>
                <w:bCs/>
                <w:color w:val="000000"/>
              </w:rPr>
              <w:t>Target Sector</w:t>
            </w:r>
          </w:p>
        </w:tc>
        <w:tc>
          <w:tcPr>
            <w:tcW w:w="5958" w:type="dxa"/>
            <w:tcBorders>
              <w:top w:val="single" w:sz="8" w:space="0" w:color="404040"/>
              <w:left w:val="single" w:sz="8" w:space="0" w:color="404040"/>
              <w:bottom w:val="single" w:sz="8" w:space="0" w:color="404040"/>
              <w:right w:val="single" w:sz="8" w:space="0" w:color="404040"/>
            </w:tcBorders>
            <w:shd w:val="clear" w:color="auto" w:fill="FFFFFF"/>
          </w:tcPr>
          <w:p w:rsidR="00CD05FA" w:rsidRPr="001D6512" w:rsidRDefault="00751C57" w:rsidP="00F84A22">
            <w:pPr>
              <w:pStyle w:val="TableCell"/>
              <w:spacing w:before="60" w:after="60"/>
              <w:rPr>
                <w:rFonts w:eastAsia="Arial Unicode MS" w:cs="Arial"/>
                <w:i/>
                <w:iCs/>
                <w:sz w:val="20"/>
                <w:szCs w:val="24"/>
              </w:rPr>
            </w:pPr>
            <w:r w:rsidRPr="001D6512">
              <w:rPr>
                <w:color w:val="000000"/>
              </w:rPr>
              <w:t>Residential</w:t>
            </w:r>
          </w:p>
        </w:tc>
      </w:tr>
      <w:tr w:rsidR="00751C57" w:rsidRPr="00C465DB" w:rsidTr="00F84A22">
        <w:tc>
          <w:tcPr>
            <w:tcW w:w="2898" w:type="dxa"/>
            <w:tcBorders>
              <w:top w:val="single" w:sz="8" w:space="0" w:color="404040"/>
              <w:left w:val="single" w:sz="8" w:space="0" w:color="404040"/>
              <w:bottom w:val="single" w:sz="8" w:space="0" w:color="404040"/>
              <w:right w:val="single" w:sz="8" w:space="0" w:color="404040"/>
            </w:tcBorders>
            <w:shd w:val="clear" w:color="auto" w:fill="auto"/>
          </w:tcPr>
          <w:p w:rsidR="00CD05FA" w:rsidRPr="001D6512" w:rsidRDefault="00751C57" w:rsidP="00F84A22">
            <w:pPr>
              <w:pStyle w:val="TableCell"/>
              <w:spacing w:before="60" w:after="60"/>
              <w:rPr>
                <w:b/>
                <w:bCs/>
                <w:sz w:val="20"/>
              </w:rPr>
            </w:pPr>
            <w:r w:rsidRPr="001D6512">
              <w:rPr>
                <w:b/>
                <w:bCs/>
                <w:color w:val="000000"/>
              </w:rPr>
              <w:t>Measure Unit</w:t>
            </w:r>
          </w:p>
        </w:tc>
        <w:tc>
          <w:tcPr>
            <w:tcW w:w="5958" w:type="dxa"/>
            <w:tcBorders>
              <w:top w:val="single" w:sz="8" w:space="0" w:color="404040"/>
              <w:left w:val="single" w:sz="8" w:space="0" w:color="404040"/>
              <w:bottom w:val="single" w:sz="8" w:space="0" w:color="404040"/>
              <w:right w:val="single" w:sz="8" w:space="0" w:color="404040"/>
            </w:tcBorders>
            <w:shd w:val="clear" w:color="auto" w:fill="auto"/>
          </w:tcPr>
          <w:p w:rsidR="00CD05FA" w:rsidRPr="001D6512" w:rsidRDefault="00751C57" w:rsidP="00F84A22">
            <w:pPr>
              <w:pStyle w:val="TableCell"/>
              <w:spacing w:before="60" w:after="60"/>
              <w:rPr>
                <w:rFonts w:eastAsia="Arial Unicode MS" w:cs="Arial"/>
                <w:i/>
                <w:iCs/>
                <w:sz w:val="20"/>
                <w:szCs w:val="24"/>
              </w:rPr>
            </w:pPr>
            <w:r w:rsidRPr="001D6512">
              <w:rPr>
                <w:color w:val="000000"/>
              </w:rPr>
              <w:t>Water Heater</w:t>
            </w:r>
          </w:p>
        </w:tc>
      </w:tr>
      <w:tr w:rsidR="00751C57" w:rsidRPr="00C465DB" w:rsidTr="00F84A22">
        <w:tc>
          <w:tcPr>
            <w:tcW w:w="2898" w:type="dxa"/>
            <w:tcBorders>
              <w:top w:val="single" w:sz="8" w:space="0" w:color="404040"/>
              <w:left w:val="single" w:sz="8" w:space="0" w:color="404040"/>
              <w:bottom w:val="single" w:sz="8" w:space="0" w:color="404040"/>
              <w:right w:val="single" w:sz="8" w:space="0" w:color="404040"/>
            </w:tcBorders>
            <w:shd w:val="clear" w:color="auto" w:fill="FFFFFF"/>
          </w:tcPr>
          <w:p w:rsidR="00CD05FA" w:rsidRPr="001D6512" w:rsidRDefault="00751C57" w:rsidP="00F84A22">
            <w:pPr>
              <w:pStyle w:val="TableCell"/>
              <w:spacing w:before="60" w:after="60"/>
              <w:rPr>
                <w:b/>
                <w:bCs/>
                <w:sz w:val="20"/>
              </w:rPr>
            </w:pPr>
            <w:r w:rsidRPr="001D6512">
              <w:rPr>
                <w:b/>
                <w:bCs/>
                <w:color w:val="000000"/>
              </w:rPr>
              <w:t>Unit Energy Savings</w:t>
            </w:r>
          </w:p>
        </w:tc>
        <w:tc>
          <w:tcPr>
            <w:tcW w:w="5958" w:type="dxa"/>
            <w:tcBorders>
              <w:top w:val="single" w:sz="8" w:space="0" w:color="404040"/>
              <w:left w:val="single" w:sz="8" w:space="0" w:color="404040"/>
              <w:bottom w:val="single" w:sz="8" w:space="0" w:color="404040"/>
              <w:right w:val="single" w:sz="8" w:space="0" w:color="404040"/>
            </w:tcBorders>
            <w:shd w:val="clear" w:color="auto" w:fill="FFFFFF"/>
          </w:tcPr>
          <w:p w:rsidR="00CD05FA" w:rsidRPr="001D6512" w:rsidRDefault="00751C57" w:rsidP="00F84A22">
            <w:pPr>
              <w:pStyle w:val="TableCell"/>
              <w:spacing w:before="60" w:after="60"/>
              <w:rPr>
                <w:rFonts w:eastAsia="Arial Unicode MS" w:cs="Arial"/>
                <w:i/>
                <w:iCs/>
                <w:sz w:val="20"/>
                <w:szCs w:val="24"/>
              </w:rPr>
            </w:pPr>
            <w:r w:rsidRPr="001D6512">
              <w:rPr>
                <w:color w:val="000000"/>
              </w:rPr>
              <w:t>4104 kWh</w:t>
            </w:r>
          </w:p>
        </w:tc>
      </w:tr>
      <w:tr w:rsidR="00751C57" w:rsidRPr="00C465DB" w:rsidTr="00F84A22">
        <w:tc>
          <w:tcPr>
            <w:tcW w:w="2898" w:type="dxa"/>
            <w:tcBorders>
              <w:top w:val="single" w:sz="8" w:space="0" w:color="404040"/>
              <w:left w:val="single" w:sz="8" w:space="0" w:color="404040"/>
              <w:bottom w:val="single" w:sz="8" w:space="0" w:color="404040"/>
              <w:right w:val="single" w:sz="8" w:space="0" w:color="404040"/>
            </w:tcBorders>
            <w:shd w:val="clear" w:color="auto" w:fill="auto"/>
          </w:tcPr>
          <w:p w:rsidR="00CD05FA" w:rsidRPr="001D6512" w:rsidRDefault="00751C57" w:rsidP="00F84A22">
            <w:pPr>
              <w:pStyle w:val="TableCell"/>
              <w:spacing w:before="60" w:after="60"/>
              <w:rPr>
                <w:b/>
                <w:bCs/>
                <w:sz w:val="20"/>
              </w:rPr>
            </w:pPr>
            <w:r w:rsidRPr="001D6512">
              <w:rPr>
                <w:b/>
                <w:bCs/>
                <w:color w:val="000000"/>
              </w:rPr>
              <w:t>Unit Peak Demand Reduction</w:t>
            </w:r>
          </w:p>
        </w:tc>
        <w:tc>
          <w:tcPr>
            <w:tcW w:w="5958" w:type="dxa"/>
            <w:tcBorders>
              <w:top w:val="single" w:sz="8" w:space="0" w:color="404040"/>
              <w:left w:val="single" w:sz="8" w:space="0" w:color="404040"/>
              <w:bottom w:val="single" w:sz="8" w:space="0" w:color="404040"/>
              <w:right w:val="single" w:sz="8" w:space="0" w:color="404040"/>
            </w:tcBorders>
            <w:shd w:val="clear" w:color="auto" w:fill="auto"/>
          </w:tcPr>
          <w:p w:rsidR="00CD05FA" w:rsidRPr="001D6512" w:rsidRDefault="00751C57" w:rsidP="00F84A22">
            <w:pPr>
              <w:pStyle w:val="TableCell"/>
              <w:spacing w:before="60" w:after="60"/>
              <w:rPr>
                <w:rFonts w:eastAsia="Arial Unicode MS" w:cs="Arial"/>
                <w:i/>
                <w:iCs/>
                <w:sz w:val="20"/>
                <w:szCs w:val="24"/>
              </w:rPr>
            </w:pPr>
            <w:r w:rsidRPr="001D6512">
              <w:rPr>
                <w:color w:val="000000"/>
              </w:rPr>
              <w:t>0.376 kW</w:t>
            </w:r>
          </w:p>
        </w:tc>
      </w:tr>
      <w:tr w:rsidR="00751C57" w:rsidRPr="00C465DB" w:rsidTr="00F84A22">
        <w:tc>
          <w:tcPr>
            <w:tcW w:w="2898" w:type="dxa"/>
            <w:tcBorders>
              <w:top w:val="single" w:sz="8" w:space="0" w:color="404040"/>
              <w:left w:val="single" w:sz="8" w:space="0" w:color="404040"/>
              <w:bottom w:val="single" w:sz="8" w:space="0" w:color="404040"/>
              <w:right w:val="single" w:sz="8" w:space="0" w:color="404040"/>
            </w:tcBorders>
            <w:shd w:val="clear" w:color="auto" w:fill="FFFFFF"/>
          </w:tcPr>
          <w:p w:rsidR="00CD05FA" w:rsidRPr="001D6512" w:rsidRDefault="00751C57" w:rsidP="00F84A22">
            <w:pPr>
              <w:pStyle w:val="TableCell"/>
              <w:spacing w:before="60" w:after="60"/>
              <w:rPr>
                <w:b/>
                <w:bCs/>
                <w:sz w:val="20"/>
              </w:rPr>
            </w:pPr>
            <w:r w:rsidRPr="001D6512">
              <w:rPr>
                <w:b/>
                <w:bCs/>
                <w:color w:val="000000"/>
              </w:rPr>
              <w:t>Gas Consumption Increase</w:t>
            </w:r>
          </w:p>
        </w:tc>
        <w:tc>
          <w:tcPr>
            <w:tcW w:w="5958" w:type="dxa"/>
            <w:tcBorders>
              <w:top w:val="single" w:sz="8" w:space="0" w:color="404040"/>
              <w:left w:val="single" w:sz="8" w:space="0" w:color="404040"/>
              <w:bottom w:val="single" w:sz="8" w:space="0" w:color="404040"/>
              <w:right w:val="single" w:sz="8" w:space="0" w:color="404040"/>
            </w:tcBorders>
            <w:shd w:val="clear" w:color="auto" w:fill="FFFFFF"/>
          </w:tcPr>
          <w:p w:rsidR="00CD05FA" w:rsidRPr="001D6512" w:rsidRDefault="00751C57" w:rsidP="00F84A22">
            <w:pPr>
              <w:pStyle w:val="TableCell"/>
              <w:spacing w:before="60" w:after="60"/>
              <w:rPr>
                <w:rFonts w:eastAsia="Arial Unicode MS" w:cs="Arial"/>
                <w:i/>
                <w:iCs/>
                <w:sz w:val="20"/>
                <w:szCs w:val="24"/>
              </w:rPr>
            </w:pPr>
            <w:r w:rsidRPr="001D6512">
              <w:rPr>
                <w:color w:val="000000"/>
              </w:rPr>
              <w:t>21.32 MMBtu</w:t>
            </w:r>
          </w:p>
        </w:tc>
      </w:tr>
      <w:tr w:rsidR="00751C57" w:rsidRPr="00C465DB" w:rsidTr="00F84A22">
        <w:tc>
          <w:tcPr>
            <w:tcW w:w="2898" w:type="dxa"/>
            <w:tcBorders>
              <w:top w:val="single" w:sz="8" w:space="0" w:color="404040"/>
              <w:left w:val="single" w:sz="8" w:space="0" w:color="404040"/>
              <w:bottom w:val="single" w:sz="8" w:space="0" w:color="404040"/>
              <w:right w:val="single" w:sz="8" w:space="0" w:color="404040"/>
            </w:tcBorders>
            <w:shd w:val="clear" w:color="auto" w:fill="auto"/>
          </w:tcPr>
          <w:p w:rsidR="00CD05FA" w:rsidRPr="001D6512" w:rsidRDefault="00751C57" w:rsidP="00F84A22">
            <w:pPr>
              <w:pStyle w:val="TableCell"/>
              <w:spacing w:before="60" w:after="60"/>
              <w:rPr>
                <w:b/>
                <w:bCs/>
                <w:sz w:val="20"/>
              </w:rPr>
            </w:pPr>
            <w:r w:rsidRPr="001D6512">
              <w:rPr>
                <w:b/>
                <w:bCs/>
                <w:color w:val="000000"/>
              </w:rPr>
              <w:t>Measure Life</w:t>
            </w:r>
          </w:p>
        </w:tc>
        <w:tc>
          <w:tcPr>
            <w:tcW w:w="5958" w:type="dxa"/>
            <w:tcBorders>
              <w:top w:val="single" w:sz="8" w:space="0" w:color="404040"/>
              <w:left w:val="single" w:sz="8" w:space="0" w:color="404040"/>
              <w:bottom w:val="single" w:sz="8" w:space="0" w:color="404040"/>
              <w:right w:val="single" w:sz="8" w:space="0" w:color="404040"/>
            </w:tcBorders>
            <w:shd w:val="clear" w:color="auto" w:fill="auto"/>
          </w:tcPr>
          <w:p w:rsidR="00CD05FA" w:rsidRPr="001D6512" w:rsidRDefault="00751C57" w:rsidP="00F84A22">
            <w:pPr>
              <w:pStyle w:val="TableCell"/>
              <w:spacing w:before="60" w:after="60"/>
              <w:rPr>
                <w:rFonts w:eastAsia="Arial Unicode MS" w:cs="Arial"/>
                <w:i/>
                <w:iCs/>
                <w:sz w:val="20"/>
                <w:szCs w:val="24"/>
              </w:rPr>
            </w:pPr>
            <w:r w:rsidRPr="001D6512">
              <w:rPr>
                <w:color w:val="000000"/>
              </w:rPr>
              <w:t>13 years</w:t>
            </w:r>
          </w:p>
        </w:tc>
      </w:tr>
    </w:tbl>
    <w:p w:rsidR="00CD05FA" w:rsidRDefault="00CD05FA">
      <w:pPr>
        <w:pStyle w:val="BodyText"/>
        <w:spacing w:after="0"/>
      </w:pPr>
    </w:p>
    <w:p w:rsidR="00CD05FA" w:rsidRDefault="00751C57">
      <w:pPr>
        <w:pStyle w:val="BodyText"/>
      </w:pPr>
      <w:r>
        <w:t>Natural gas water heaters generally offer the customer lower costs compared to standard electric water heaters.  Additionally, they typically see an overall energy savings when looking at the source energy of the electric unit versus the gas unit. Standard electric water heaters have energy factors of 0.904 and a federal standard efficiency gas water heater has an energy factor of 0.594 for a 40gal unit.</w:t>
      </w:r>
    </w:p>
    <w:p w:rsidR="00CD05FA" w:rsidRDefault="008F099F" w:rsidP="00871FA2">
      <w:pPr>
        <w:pStyle w:val="Heading3"/>
      </w:pPr>
      <w:r>
        <w:t>Eligibility</w:t>
      </w:r>
    </w:p>
    <w:p w:rsidR="00CD05FA" w:rsidRDefault="00751C57">
      <w:pPr>
        <w:pStyle w:val="BodyText"/>
      </w:pPr>
      <w:r w:rsidRPr="00837206">
        <w:t xml:space="preserve">This </w:t>
      </w:r>
      <w:r w:rsidR="00473894">
        <w:t>protocol</w:t>
      </w:r>
      <w:r w:rsidRPr="00837206">
        <w:t xml:space="preserve"> documents the energy savings attributed to </w:t>
      </w:r>
      <w:r>
        <w:t>converting from a standard electric</w:t>
      </w:r>
      <w:r w:rsidRPr="00837206">
        <w:t xml:space="preserve"> water heater with Energy Factor of </w:t>
      </w:r>
      <w:r>
        <w:t>0.904</w:t>
      </w:r>
      <w:r w:rsidRPr="00837206">
        <w:t xml:space="preserve"> or greater</w:t>
      </w:r>
      <w:r>
        <w:t xml:space="preserve"> to a standard natural gas water heater with Energy Factor of 0.594 or greater.</w:t>
      </w:r>
      <w:r w:rsidRPr="00837206">
        <w:t xml:space="preserve"> </w:t>
      </w:r>
      <w:r>
        <w:t xml:space="preserve"> The target sector primarily consists of single-family residences.</w:t>
      </w:r>
    </w:p>
    <w:p w:rsidR="00CD05FA" w:rsidRDefault="008F099F" w:rsidP="00871FA2">
      <w:pPr>
        <w:pStyle w:val="Heading3"/>
      </w:pPr>
      <w:r>
        <w:t>Algorithms</w:t>
      </w:r>
    </w:p>
    <w:p w:rsidR="00CD05FA" w:rsidRDefault="00751C57">
      <w:pPr>
        <w:pStyle w:val="BodyText"/>
      </w:pPr>
      <w:r>
        <w:t>The energy savings calculation utilizes average</w:t>
      </w:r>
      <w:r w:rsidRPr="00837206">
        <w:t xml:space="preserve"> performance data for available residential </w:t>
      </w:r>
      <w:r>
        <w:t xml:space="preserve">standard electric and natural gas </w:t>
      </w:r>
      <w:r w:rsidRPr="00837206">
        <w:t>water heaters and typical water usage for residential homes</w:t>
      </w:r>
      <w:r>
        <w:t>.</w:t>
      </w:r>
      <w:r w:rsidRPr="00837206">
        <w:t xml:space="preserve"> </w:t>
      </w:r>
      <w:r>
        <w:t xml:space="preserve">Because there is little electric energy associated with a natural gas water heater, the energy savings are the full energy utilization of the electric water heater.  </w:t>
      </w:r>
      <w:r w:rsidRPr="00837206">
        <w:t xml:space="preserve">The energy savings </w:t>
      </w:r>
      <w:r>
        <w:t>are</w:t>
      </w:r>
      <w:r w:rsidRPr="00837206">
        <w:t xml:space="preserve"> obtained through the following </w:t>
      </w:r>
      <w:r>
        <w:t>formula</w:t>
      </w:r>
      <w:r w:rsidRPr="00837206">
        <w:t>:</w:t>
      </w:r>
    </w:p>
    <w:p w:rsidR="00CD05FA" w:rsidRPr="003C7C58" w:rsidRDefault="003C7C58">
      <w:pPr>
        <w:pStyle w:val="Equation"/>
        <w:ind w:left="0" w:firstLine="0"/>
        <w:rPr>
          <w:i w:val="0"/>
        </w:rPr>
      </w:pPr>
      <m:oMathPara>
        <m:oMathParaPr>
          <m:jc m:val="left"/>
        </m:oMathParaPr>
        <m:oMath>
          <m:r>
            <m:rPr>
              <m:nor/>
            </m:rPr>
            <w:rPr>
              <w:rFonts w:cs="Arial"/>
            </w:rPr>
            <w:sym w:font="Symbol" w:char="F044"/>
          </m:r>
          <m:r>
            <m:rPr>
              <m:nor/>
            </m:rPr>
            <w:rPr>
              <w:rFonts w:cs="Arial"/>
            </w:rPr>
            <m:t>kWh</m:t>
          </m:r>
          <m:r>
            <m:rPr>
              <m:nor/>
            </m:rPr>
            <w:rPr>
              <w:rFonts w:ascii="Cambria Math"/>
            </w:rPr>
            <m:t xml:space="preserve">                                                       </m:t>
          </m:r>
          <m:r>
            <m:rPr>
              <m:nor/>
            </m:rPr>
            <w:rPr>
              <w:rFonts w:asciiTheme="minorHAnsi" w:hAnsiTheme="minorHAnsi"/>
              <w:i w:val="0"/>
            </w:rPr>
            <m:t>=</m:t>
          </m:r>
          <m:r>
            <m:rPr>
              <m:nor/>
            </m:rPr>
            <w:rPr>
              <w:rFonts w:ascii="Cambria Math"/>
            </w:rPr>
            <m:t xml:space="preserve">  </m:t>
          </m:r>
          <m:f>
            <m:fPr>
              <m:ctrlPr>
                <w:rPr>
                  <w:rFonts w:ascii="Cambria Math" w:hAnsi="Cambria Math"/>
                </w:rPr>
              </m:ctrlPr>
            </m:fPr>
            <m:num>
              <m:d>
                <m:dPr>
                  <m:begChr m:val="{"/>
                  <m:endChr m:val="}"/>
                  <m:ctrlPr>
                    <w:rPr>
                      <w:rFonts w:ascii="Cambria Math" w:hAnsi="Cambria Math"/>
                    </w:rPr>
                  </m:ctrlPr>
                </m:dPr>
                <m:e>
                  <m:d>
                    <m:dPr>
                      <m:ctrlPr>
                        <w:rPr>
                          <w:rFonts w:ascii="Cambria Math" w:hAnsi="Cambria Math"/>
                        </w:rPr>
                      </m:ctrlPr>
                    </m:dPr>
                    <m:e>
                      <m:f>
                        <m:fPr>
                          <m:ctrlPr>
                            <w:rPr>
                              <w:rFonts w:ascii="Cambria Math" w:hAnsi="Cambria Math"/>
                            </w:rPr>
                          </m:ctrlPr>
                        </m:fPr>
                        <m:num>
                          <m:r>
                            <m:rPr>
                              <m:nor/>
                            </m:rPr>
                            <w:rPr>
                              <w:rFonts w:asciiTheme="minorHAnsi" w:hAnsiTheme="minorHAnsi"/>
                              <w:i w:val="0"/>
                            </w:rPr>
                            <m:t>1</m:t>
                          </m:r>
                        </m:num>
                        <m:den>
                          <m:sSub>
                            <m:sSubPr>
                              <m:ctrlPr>
                                <w:rPr>
                                  <w:rFonts w:ascii="Cambria Math" w:hAnsi="Cambria Math"/>
                                </w:rPr>
                              </m:ctrlPr>
                            </m:sSubPr>
                            <m:e>
                              <m:r>
                                <m:rPr>
                                  <m:nor/>
                                </m:rPr>
                                <w:rPr>
                                  <w:rFonts w:asciiTheme="minorHAnsi" w:hAnsiTheme="minorHAnsi"/>
                                  <w:i w:val="0"/>
                                </w:rPr>
                                <m:t>EF</m:t>
                              </m:r>
                            </m:e>
                            <m:sub>
                              <m:r>
                                <m:rPr>
                                  <m:nor/>
                                </m:rPr>
                                <w:rPr>
                                  <w:rFonts w:asciiTheme="minorHAnsi" w:hAnsiTheme="minorHAnsi"/>
                                  <w:i w:val="0"/>
                                </w:rPr>
                                <m:t>Elec,bl</m:t>
                              </m:r>
                            </m:sub>
                          </m:sSub>
                        </m:den>
                      </m:f>
                    </m:e>
                  </m:d>
                  <m:r>
                    <m:rPr>
                      <m:nor/>
                    </m:rPr>
                    <w:rPr>
                      <w:rFonts w:asciiTheme="minorHAnsi" w:hAnsiTheme="minorHAnsi" w:hint="eastAsia"/>
                      <w:i w:val="0"/>
                    </w:rPr>
                    <m:t>×</m:t>
                  </m:r>
                  <m:d>
                    <m:dPr>
                      <m:ctrlPr>
                        <w:rPr>
                          <w:rFonts w:ascii="Cambria Math" w:hAnsi="Cambria Math"/>
                        </w:rPr>
                      </m:ctrlPr>
                    </m:dPr>
                    <m:e>
                      <m:r>
                        <m:rPr>
                          <m:nor/>
                        </m:rPr>
                        <w:rPr>
                          <w:rFonts w:asciiTheme="minorHAnsi" w:hAnsiTheme="minorHAnsi"/>
                          <w:i w:val="0"/>
                        </w:rPr>
                        <m:t>HW</m:t>
                      </m:r>
                      <m:r>
                        <m:rPr>
                          <m:nor/>
                        </m:rPr>
                        <w:rPr>
                          <w:rFonts w:asciiTheme="minorHAnsi" w:hAnsiTheme="minorHAnsi" w:hint="eastAsia"/>
                          <w:i w:val="0"/>
                        </w:rPr>
                        <m:t>×</m:t>
                      </m:r>
                      <m:r>
                        <m:rPr>
                          <m:nor/>
                        </m:rPr>
                        <w:rPr>
                          <w:rFonts w:asciiTheme="minorHAnsi" w:hAnsiTheme="minorHAnsi"/>
                          <w:i w:val="0"/>
                        </w:rPr>
                        <m:t>365</m:t>
                      </m:r>
                      <m:r>
                        <m:rPr>
                          <m:nor/>
                        </m:rPr>
                        <w:rPr>
                          <w:rFonts w:asciiTheme="minorHAnsi" w:hAnsiTheme="minorHAnsi" w:hint="eastAsia"/>
                          <w:i w:val="0"/>
                        </w:rPr>
                        <m:t>×</m:t>
                      </m:r>
                      <m:r>
                        <m:rPr>
                          <m:nor/>
                        </m:rPr>
                        <w:rPr>
                          <w:rFonts w:asciiTheme="minorHAnsi" w:hAnsiTheme="minorHAnsi"/>
                          <w:i w:val="0"/>
                        </w:rPr>
                        <m:t>8.3</m:t>
                      </m:r>
                      <m:f>
                        <m:fPr>
                          <m:ctrlPr>
                            <w:rPr>
                              <w:rFonts w:ascii="Cambria Math" w:hAnsi="Cambria Math"/>
                            </w:rPr>
                          </m:ctrlPr>
                        </m:fPr>
                        <m:num>
                          <m:r>
                            <m:rPr>
                              <m:nor/>
                            </m:rPr>
                            <w:rPr>
                              <w:rFonts w:asciiTheme="minorHAnsi" w:hAnsiTheme="minorHAnsi"/>
                              <w:i w:val="0"/>
                            </w:rPr>
                            <m:t>lb</m:t>
                          </m:r>
                        </m:num>
                        <m:den>
                          <m:r>
                            <m:rPr>
                              <m:nor/>
                            </m:rPr>
                            <w:rPr>
                              <w:rFonts w:asciiTheme="minorHAnsi" w:hAnsiTheme="minorHAnsi"/>
                              <w:i w:val="0"/>
                            </w:rPr>
                            <m:t>gal</m:t>
                          </m:r>
                        </m:den>
                      </m:f>
                      <m:r>
                        <m:rPr>
                          <m:nor/>
                        </m:rPr>
                        <w:rPr>
                          <w:rFonts w:asciiTheme="minorHAnsi" w:hAnsiTheme="minorHAnsi" w:hint="eastAsia"/>
                          <w:i w:val="0"/>
                        </w:rPr>
                        <m:t>×</m:t>
                      </m:r>
                      <m:d>
                        <m:dPr>
                          <m:ctrlPr>
                            <w:rPr>
                              <w:rFonts w:ascii="Cambria Math" w:hAnsi="Cambria Math"/>
                            </w:rPr>
                          </m:ctrlPr>
                        </m:dPr>
                        <m:e>
                          <m:sSub>
                            <m:sSubPr>
                              <m:ctrlPr>
                                <w:rPr>
                                  <w:rFonts w:ascii="Cambria Math" w:hAnsi="Cambria Math"/>
                                </w:rPr>
                              </m:ctrlPr>
                            </m:sSubPr>
                            <m:e>
                              <m:r>
                                <m:rPr>
                                  <m:nor/>
                                </m:rPr>
                                <w:rPr>
                                  <w:rFonts w:asciiTheme="minorHAnsi" w:hAnsiTheme="minorHAnsi"/>
                                  <w:i w:val="0"/>
                                </w:rPr>
                                <m:t>T</m:t>
                              </m:r>
                            </m:e>
                            <m:sub>
                              <m:r>
                                <m:rPr>
                                  <m:nor/>
                                </m:rPr>
                                <w:rPr>
                                  <w:rFonts w:asciiTheme="minorHAnsi" w:hAnsiTheme="minorHAnsi"/>
                                  <w:i w:val="0"/>
                                </w:rPr>
                                <m:t>hot</m:t>
                              </m:r>
                            </m:sub>
                          </m:sSub>
                          <m:r>
                            <m:rPr>
                              <m:nor/>
                            </m:rPr>
                            <w:rPr>
                              <w:rFonts w:asciiTheme="minorHAnsi" w:hAnsiTheme="minorHAnsi"/>
                              <w:i w:val="0"/>
                            </w:rPr>
                            <m:t>-</m:t>
                          </m:r>
                          <m:sSub>
                            <m:sSubPr>
                              <m:ctrlPr>
                                <w:rPr>
                                  <w:rFonts w:ascii="Cambria Math" w:hAnsi="Cambria Math"/>
                                </w:rPr>
                              </m:ctrlPr>
                            </m:sSubPr>
                            <m:e>
                              <m:r>
                                <m:rPr>
                                  <m:nor/>
                                </m:rPr>
                                <w:rPr>
                                  <w:rFonts w:asciiTheme="minorHAnsi" w:hAnsiTheme="minorHAnsi"/>
                                  <w:i w:val="0"/>
                                </w:rPr>
                                <m:t>T</m:t>
                              </m:r>
                            </m:e>
                            <m:sub>
                              <m:r>
                                <m:rPr>
                                  <m:nor/>
                                </m:rPr>
                                <w:rPr>
                                  <w:rFonts w:asciiTheme="minorHAnsi" w:hAnsiTheme="minorHAnsi"/>
                                  <w:i w:val="0"/>
                                </w:rPr>
                                <m:t>cold</m:t>
                              </m:r>
                            </m:sub>
                          </m:sSub>
                        </m:e>
                      </m:d>
                    </m:e>
                  </m:d>
                </m:e>
              </m:d>
            </m:num>
            <m:den>
              <m:r>
                <m:rPr>
                  <m:nor/>
                </m:rPr>
                <w:rPr>
                  <w:rFonts w:asciiTheme="minorHAnsi" w:hAnsiTheme="minorHAnsi"/>
                  <w:i w:val="0"/>
                </w:rPr>
                <m:t>3413</m:t>
              </m:r>
              <m:f>
                <m:fPr>
                  <m:ctrlPr>
                    <w:rPr>
                      <w:rFonts w:ascii="Cambria Math" w:hAnsi="Cambria Math"/>
                    </w:rPr>
                  </m:ctrlPr>
                </m:fPr>
                <m:num>
                  <m:r>
                    <m:rPr>
                      <m:nor/>
                    </m:rPr>
                    <w:rPr>
                      <w:rFonts w:asciiTheme="minorHAnsi" w:hAnsiTheme="minorHAnsi"/>
                      <w:i w:val="0"/>
                    </w:rPr>
                    <m:t>Btu</m:t>
                  </m:r>
                </m:num>
                <m:den>
                  <m:r>
                    <m:rPr>
                      <m:nor/>
                    </m:rPr>
                    <w:rPr>
                      <w:rFonts w:asciiTheme="minorHAnsi" w:hAnsiTheme="minorHAnsi"/>
                      <w:i w:val="0"/>
                    </w:rPr>
                    <m:t>kWh</m:t>
                  </m:r>
                </m:den>
              </m:f>
            </m:den>
          </m:f>
        </m:oMath>
      </m:oMathPara>
    </w:p>
    <w:p w:rsidR="00CD05FA" w:rsidRDefault="00751C57">
      <w:pPr>
        <w:pStyle w:val="BodyText"/>
      </w:pPr>
      <w:r>
        <w:t>Although there is a significant electric savings, there is an associated increase in natural gas energy consumption.  While this gas consumption does not count against PA Act 129 energy savings, it is expected to be used in the program TRC test. The increased natural gas energy is obtained through the following formula:</w:t>
      </w:r>
    </w:p>
    <w:p w:rsidR="00CD05FA" w:rsidRPr="003C7C58" w:rsidRDefault="00D74AE2">
      <w:pPr>
        <w:pStyle w:val="Equation"/>
        <w:ind w:left="0" w:firstLine="0"/>
        <w:rPr>
          <w:rFonts w:cs="Arial"/>
          <w:i w:val="0"/>
        </w:rPr>
      </w:pPr>
      <m:oMathPara>
        <m:oMathParaPr>
          <m:jc m:val="left"/>
        </m:oMathParaPr>
        <m:oMath>
          <m:r>
            <m:rPr>
              <m:nor/>
            </m:rPr>
            <w:rPr>
              <w:rFonts w:asciiTheme="minorHAnsi" w:hAnsiTheme="minorHAnsi" w:cs="Arial"/>
              <w:i w:val="0"/>
            </w:rPr>
            <m:t>Gas Consumption (MMBtu)</m:t>
          </m:r>
          <m:r>
            <m:rPr>
              <m:nor/>
            </m:rPr>
            <w:rPr>
              <w:rFonts w:asciiTheme="minorHAnsi" w:cs="Arial"/>
              <w:i w:val="0"/>
            </w:rPr>
            <m:t xml:space="preserve">          </m:t>
          </m:r>
          <m:r>
            <m:rPr>
              <m:nor/>
            </m:rPr>
            <w:rPr>
              <w:rFonts w:asciiTheme="minorHAnsi" w:hAnsiTheme="minorHAnsi" w:cs="Arial"/>
              <w:i w:val="0"/>
            </w:rPr>
            <m:t>=</m:t>
          </m:r>
          <m:r>
            <m:rPr>
              <m:nor/>
            </m:rPr>
            <w:rPr>
              <w:rFonts w:asciiTheme="minorHAnsi" w:cs="Arial"/>
              <w:i w:val="0"/>
            </w:rPr>
            <m:t xml:space="preserve"> </m:t>
          </m:r>
          <m:f>
            <m:fPr>
              <m:ctrlPr>
                <w:rPr>
                  <w:rFonts w:ascii="Cambria Math" w:hAnsi="Cambria Math" w:cs="Arial"/>
                </w:rPr>
              </m:ctrlPr>
            </m:fPr>
            <m:num>
              <m:d>
                <m:dPr>
                  <m:begChr m:val="{"/>
                  <m:endChr m:val="}"/>
                  <m:ctrlPr>
                    <w:rPr>
                      <w:rFonts w:ascii="Cambria Math" w:hAnsi="Cambria Math" w:cs="Arial"/>
                    </w:rPr>
                  </m:ctrlPr>
                </m:dPr>
                <m:e>
                  <m:d>
                    <m:dPr>
                      <m:ctrlPr>
                        <w:rPr>
                          <w:rFonts w:ascii="Cambria Math" w:hAnsi="Cambria Math" w:cs="Arial"/>
                        </w:rPr>
                      </m:ctrlPr>
                    </m:dPr>
                    <m:e>
                      <m:f>
                        <m:fPr>
                          <m:ctrlPr>
                            <w:rPr>
                              <w:rFonts w:ascii="Cambria Math" w:hAnsi="Cambria Math" w:cs="Arial"/>
                            </w:rPr>
                          </m:ctrlPr>
                        </m:fPr>
                        <m:num>
                          <m:r>
                            <m:rPr>
                              <m:nor/>
                            </m:rPr>
                            <w:rPr>
                              <w:rFonts w:asciiTheme="minorHAnsi" w:hAnsiTheme="minorHAnsi" w:cs="Arial"/>
                              <w:i w:val="0"/>
                            </w:rPr>
                            <m:t>1</m:t>
                          </m:r>
                        </m:num>
                        <m:den>
                          <m:sSub>
                            <m:sSubPr>
                              <m:ctrlPr>
                                <w:rPr>
                                  <w:rFonts w:ascii="Cambria Math" w:hAnsi="Cambria Math" w:cs="Arial"/>
                                </w:rPr>
                              </m:ctrlPr>
                            </m:sSubPr>
                            <m:e>
                              <m:r>
                                <m:rPr>
                                  <m:nor/>
                                </m:rPr>
                                <w:rPr>
                                  <w:rFonts w:asciiTheme="minorHAnsi" w:hAnsiTheme="minorHAnsi" w:cs="Arial"/>
                                  <w:i w:val="0"/>
                                </w:rPr>
                                <m:t>EF</m:t>
                              </m:r>
                            </m:e>
                            <m:sub>
                              <m:r>
                                <m:rPr>
                                  <m:nor/>
                                </m:rPr>
                                <w:rPr>
                                  <w:rFonts w:asciiTheme="minorHAnsi" w:hAnsiTheme="minorHAnsi" w:cs="Arial"/>
                                  <w:i w:val="0"/>
                                </w:rPr>
                                <m:t>NG,inst</m:t>
                              </m:r>
                            </m:sub>
                          </m:sSub>
                        </m:den>
                      </m:f>
                    </m:e>
                  </m:d>
                  <m:r>
                    <m:rPr>
                      <m:nor/>
                    </m:rPr>
                    <w:rPr>
                      <w:rFonts w:asciiTheme="minorHAnsi" w:hAnsiTheme="minorHAnsi" w:cs="Arial" w:hint="eastAsia"/>
                      <w:i w:val="0"/>
                    </w:rPr>
                    <m:t>×</m:t>
                  </m:r>
                  <m:d>
                    <m:dPr>
                      <m:ctrlPr>
                        <w:rPr>
                          <w:rFonts w:ascii="Cambria Math" w:hAnsi="Cambria Math" w:cs="Arial"/>
                        </w:rPr>
                      </m:ctrlPr>
                    </m:dPr>
                    <m:e>
                      <m:r>
                        <m:rPr>
                          <m:nor/>
                        </m:rPr>
                        <w:rPr>
                          <w:rFonts w:asciiTheme="minorHAnsi" w:hAnsiTheme="minorHAnsi" w:cs="Arial"/>
                          <w:i w:val="0"/>
                        </w:rPr>
                        <m:t>HW</m:t>
                      </m:r>
                      <m:r>
                        <m:rPr>
                          <m:nor/>
                        </m:rPr>
                        <w:rPr>
                          <w:rFonts w:asciiTheme="minorHAnsi" w:hAnsiTheme="minorHAnsi" w:cs="Arial" w:hint="eastAsia"/>
                          <w:i w:val="0"/>
                        </w:rPr>
                        <m:t>×</m:t>
                      </m:r>
                      <m:r>
                        <m:rPr>
                          <m:nor/>
                        </m:rPr>
                        <w:rPr>
                          <w:rFonts w:asciiTheme="minorHAnsi" w:hAnsiTheme="minorHAnsi" w:cs="Arial"/>
                          <w:i w:val="0"/>
                        </w:rPr>
                        <m:t>365</m:t>
                      </m:r>
                      <m:r>
                        <m:rPr>
                          <m:nor/>
                        </m:rPr>
                        <w:rPr>
                          <w:rFonts w:asciiTheme="minorHAnsi" w:hAnsiTheme="minorHAnsi" w:cs="Arial" w:hint="eastAsia"/>
                          <w:i w:val="0"/>
                        </w:rPr>
                        <m:t>×</m:t>
                      </m:r>
                      <m:r>
                        <m:rPr>
                          <m:nor/>
                        </m:rPr>
                        <w:rPr>
                          <w:rFonts w:asciiTheme="minorHAnsi" w:hAnsiTheme="minorHAnsi" w:cs="Arial"/>
                          <w:i w:val="0"/>
                        </w:rPr>
                        <m:t>8.3</m:t>
                      </m:r>
                      <m:f>
                        <m:fPr>
                          <m:ctrlPr>
                            <w:rPr>
                              <w:rFonts w:ascii="Cambria Math" w:hAnsi="Cambria Math" w:cs="Arial"/>
                            </w:rPr>
                          </m:ctrlPr>
                        </m:fPr>
                        <m:num>
                          <m:r>
                            <m:rPr>
                              <m:nor/>
                            </m:rPr>
                            <w:rPr>
                              <w:rFonts w:asciiTheme="minorHAnsi" w:hAnsiTheme="minorHAnsi" w:cs="Arial"/>
                              <w:i w:val="0"/>
                            </w:rPr>
                            <m:t>lb</m:t>
                          </m:r>
                        </m:num>
                        <m:den>
                          <m:r>
                            <m:rPr>
                              <m:nor/>
                            </m:rPr>
                            <w:rPr>
                              <w:rFonts w:asciiTheme="minorHAnsi" w:hAnsiTheme="minorHAnsi" w:cs="Arial"/>
                              <w:i w:val="0"/>
                            </w:rPr>
                            <m:t>gal</m:t>
                          </m:r>
                        </m:den>
                      </m:f>
                      <m:r>
                        <m:rPr>
                          <m:nor/>
                        </m:rPr>
                        <w:rPr>
                          <w:rFonts w:asciiTheme="minorHAnsi" w:hAnsiTheme="minorHAnsi" w:cs="Arial" w:hint="eastAsia"/>
                          <w:i w:val="0"/>
                        </w:rPr>
                        <m:t>×</m:t>
                      </m:r>
                      <m:d>
                        <m:dPr>
                          <m:ctrlPr>
                            <w:rPr>
                              <w:rFonts w:ascii="Cambria Math" w:hAnsi="Cambria Math" w:cs="Arial"/>
                            </w:rPr>
                          </m:ctrlPr>
                        </m:dPr>
                        <m:e>
                          <m:sSub>
                            <m:sSubPr>
                              <m:ctrlPr>
                                <w:rPr>
                                  <w:rFonts w:ascii="Cambria Math" w:hAnsi="Cambria Math" w:cs="Arial"/>
                                </w:rPr>
                              </m:ctrlPr>
                            </m:sSubPr>
                            <m:e>
                              <m:r>
                                <m:rPr>
                                  <m:nor/>
                                </m:rPr>
                                <w:rPr>
                                  <w:rFonts w:asciiTheme="minorHAnsi" w:hAnsiTheme="minorHAnsi" w:cs="Arial"/>
                                  <w:i w:val="0"/>
                                </w:rPr>
                                <m:t>T</m:t>
                              </m:r>
                            </m:e>
                            <m:sub>
                              <m:r>
                                <m:rPr>
                                  <m:nor/>
                                </m:rPr>
                                <w:rPr>
                                  <w:rFonts w:asciiTheme="minorHAnsi" w:hAnsiTheme="minorHAnsi" w:cs="Arial"/>
                                  <w:i w:val="0"/>
                                </w:rPr>
                                <m:t>hot</m:t>
                              </m:r>
                            </m:sub>
                          </m:sSub>
                          <m:r>
                            <m:rPr>
                              <m:nor/>
                            </m:rPr>
                            <w:rPr>
                              <w:rFonts w:asciiTheme="minorHAnsi" w:hAnsiTheme="minorHAnsi" w:cs="Arial"/>
                              <w:i w:val="0"/>
                            </w:rPr>
                            <m:t>-</m:t>
                          </m:r>
                          <m:sSub>
                            <m:sSubPr>
                              <m:ctrlPr>
                                <w:rPr>
                                  <w:rFonts w:ascii="Cambria Math" w:hAnsi="Cambria Math" w:cs="Arial"/>
                                </w:rPr>
                              </m:ctrlPr>
                            </m:sSubPr>
                            <m:e>
                              <m:r>
                                <m:rPr>
                                  <m:nor/>
                                </m:rPr>
                                <w:rPr>
                                  <w:rFonts w:asciiTheme="minorHAnsi" w:hAnsiTheme="minorHAnsi" w:cs="Arial"/>
                                  <w:i w:val="0"/>
                                </w:rPr>
                                <m:t>T</m:t>
                              </m:r>
                            </m:e>
                            <m:sub>
                              <m:r>
                                <m:rPr>
                                  <m:nor/>
                                </m:rPr>
                                <w:rPr>
                                  <w:rFonts w:asciiTheme="minorHAnsi" w:hAnsiTheme="minorHAnsi" w:cs="Arial"/>
                                  <w:i w:val="0"/>
                                </w:rPr>
                                <m:t>cold</m:t>
                              </m:r>
                            </m:sub>
                          </m:sSub>
                        </m:e>
                      </m:d>
                    </m:e>
                  </m:d>
                </m:e>
              </m:d>
            </m:num>
            <m:den>
              <m:r>
                <m:rPr>
                  <m:nor/>
                </m:rPr>
                <w:rPr>
                  <w:rFonts w:asciiTheme="minorHAnsi" w:hAnsiTheme="minorHAnsi" w:cs="Arial"/>
                  <w:i w:val="0"/>
                </w:rPr>
                <m:t>1,000,000</m:t>
              </m:r>
              <m:f>
                <m:fPr>
                  <m:ctrlPr>
                    <w:rPr>
                      <w:rFonts w:ascii="Cambria Math" w:hAnsi="Cambria Math" w:cs="Arial"/>
                    </w:rPr>
                  </m:ctrlPr>
                </m:fPr>
                <m:num>
                  <m:r>
                    <m:rPr>
                      <m:nor/>
                    </m:rPr>
                    <w:rPr>
                      <w:rFonts w:asciiTheme="minorHAnsi" w:hAnsiTheme="minorHAnsi" w:cs="Arial"/>
                      <w:i w:val="0"/>
                    </w:rPr>
                    <m:t>Btu</m:t>
                  </m:r>
                </m:num>
                <m:den>
                  <m:r>
                    <m:rPr>
                      <m:nor/>
                    </m:rPr>
                    <w:rPr>
                      <w:rFonts w:asciiTheme="minorHAnsi" w:hAnsiTheme="minorHAnsi" w:cs="Arial"/>
                      <w:i w:val="0"/>
                    </w:rPr>
                    <m:t>MMBtu</m:t>
                  </m:r>
                </m:den>
              </m:f>
            </m:den>
          </m:f>
        </m:oMath>
      </m:oMathPara>
    </w:p>
    <w:p w:rsidR="00CD05FA" w:rsidRDefault="00751C57">
      <w:pPr>
        <w:pStyle w:val="BodyText"/>
      </w:pPr>
      <w:r>
        <w:t xml:space="preserve">Demand savings result from the removal of the connected load of the electric water heater. </w:t>
      </w:r>
      <w:r w:rsidRPr="00DC5816">
        <w:t xml:space="preserve">The demand reduction is taken </w:t>
      </w:r>
      <w:r>
        <w:t>as the annual energy savings multiplied by the ratio of the average energy usage during noon and 8PM on summer weekdays to the total annual energy usage.</w:t>
      </w:r>
    </w:p>
    <w:p w:rsidR="00CD05FA" w:rsidRPr="00AA2C40" w:rsidRDefault="008F099F">
      <w:pPr>
        <w:pStyle w:val="Equation"/>
        <w:rPr>
          <w:rFonts w:cs="Arial"/>
          <w:szCs w:val="20"/>
        </w:rPr>
      </w:pPr>
      <w:r w:rsidRPr="00AA2C40">
        <w:rPr>
          <w:rFonts w:cs="Arial"/>
          <w:szCs w:val="20"/>
        </w:rPr>
        <w:lastRenderedPageBreak/>
        <w:sym w:font="Symbol" w:char="F044"/>
      </w:r>
      <w:r w:rsidRPr="00AA2C40">
        <w:rPr>
          <w:rFonts w:cs="Arial"/>
          <w:szCs w:val="20"/>
        </w:rPr>
        <w:t>kW</w:t>
      </w:r>
      <w:r w:rsidRPr="00AA2C40">
        <w:rPr>
          <w:rFonts w:cs="Arial"/>
          <w:szCs w:val="20"/>
          <w:vertAlign w:val="subscript"/>
        </w:rPr>
        <w:t>peak</w:t>
      </w:r>
      <w:r w:rsidRPr="00AA2C40">
        <w:rPr>
          <w:rFonts w:cs="Arial"/>
          <w:szCs w:val="20"/>
          <w:vertAlign w:val="subscript"/>
        </w:rPr>
        <w:tab/>
      </w:r>
      <w:r w:rsidR="00751C57" w:rsidRPr="00AA2C40">
        <w:rPr>
          <w:rFonts w:cs="Arial"/>
          <w:szCs w:val="20"/>
        </w:rPr>
        <w:tab/>
        <w:t>=</w:t>
      </w:r>
      <w:r w:rsidR="009D314F" w:rsidRPr="00AA2C40">
        <w:rPr>
          <w:rFonts w:cs="Arial"/>
          <w:szCs w:val="20"/>
        </w:rPr>
        <w:t xml:space="preserve"> </w:t>
      </w:r>
      <w:r w:rsidR="00751C57" w:rsidRPr="00AA2C40">
        <w:rPr>
          <w:rFonts w:cs="Arial"/>
          <w:szCs w:val="20"/>
        </w:rPr>
        <w:t>EnergyToDemandFactor × Energy Savings</w:t>
      </w:r>
    </w:p>
    <w:p w:rsidR="00CD05FA" w:rsidRDefault="00751C57">
      <w:pPr>
        <w:pStyle w:val="BodyText"/>
      </w:pPr>
      <w:r w:rsidRPr="002E6E9C">
        <w:t>The Energy to Demand Factor is defined below:</w:t>
      </w:r>
    </w:p>
    <w:p w:rsidR="00AA2C40" w:rsidRPr="003C7C58" w:rsidRDefault="003C7C58" w:rsidP="00AA2C40">
      <w:pPr>
        <w:pStyle w:val="Equation"/>
        <w:ind w:left="0" w:firstLine="0"/>
        <w:rPr>
          <w:i w:val="0"/>
        </w:rPr>
      </w:pPr>
      <m:oMathPara>
        <m:oMath>
          <m:r>
            <m:rPr>
              <m:nor/>
            </m:rPr>
            <m:t>EnergyToDemandFactor</m:t>
          </m:r>
          <m:r>
            <m:rPr>
              <m:nor/>
            </m:rPr>
            <w:rPr>
              <w:rFonts w:ascii="Cambria Math"/>
            </w:rPr>
            <m:t xml:space="preserve">               </m:t>
          </m:r>
          <m:r>
            <m:rPr>
              <m:nor/>
            </m:rPr>
            <m:t>=</m:t>
          </m:r>
          <m:f>
            <m:fPr>
              <m:ctrlPr>
                <w:rPr>
                  <w:rFonts w:ascii="Cambria Math" w:hAnsi="Cambria Math"/>
                </w:rPr>
              </m:ctrlPr>
            </m:fPr>
            <m:num>
              <m:r>
                <w:rPr>
                  <w:rFonts w:ascii="Cambria Math" w:hAnsi="Cambria Math"/>
                </w:rPr>
                <m:t xml:space="preserve"> </m:t>
              </m:r>
              <m:sSub>
                <m:sSubPr>
                  <m:ctrlPr>
                    <w:rPr>
                      <w:rFonts w:ascii="Cambria Math" w:hAnsi="Cambria Math"/>
                    </w:rPr>
                  </m:ctrlPr>
                </m:sSubPr>
                <m:e>
                  <m:r>
                    <m:rPr>
                      <m:nor/>
                    </m:rPr>
                    <m:t>Average Usage</m:t>
                  </m:r>
                </m:e>
                <m:sub>
                  <m:r>
                    <m:rPr>
                      <m:nor/>
                    </m:rPr>
                    <m:t>Summer WD Noon-8</m:t>
                  </m:r>
                </m:sub>
              </m:sSub>
            </m:num>
            <m:den>
              <m:r>
                <m:rPr>
                  <m:nor/>
                </m:rPr>
                <w:rPr>
                  <w:rFonts w:hAnsi="Cambria Math"/>
                </w:rPr>
                <m:t>Annual</m:t>
              </m:r>
              <m:r>
                <m:rPr>
                  <m:nor/>
                </m:rPr>
                <m:t xml:space="preserve"> </m:t>
              </m:r>
              <m:r>
                <m:rPr>
                  <m:nor/>
                </m:rPr>
                <w:rPr>
                  <w:rFonts w:hAnsi="Cambria Math"/>
                </w:rPr>
                <m:t>Energy Usage</m:t>
              </m:r>
            </m:den>
          </m:f>
        </m:oMath>
      </m:oMathPara>
    </w:p>
    <w:p w:rsidR="00CD05FA" w:rsidRDefault="00751C57" w:rsidP="00C3606E">
      <w:pPr>
        <w:pStyle w:val="BodyText"/>
      </w:pPr>
      <w:r w:rsidRPr="00E678F0">
        <w:t>The ratio of the average energy usage during noon and 8</w:t>
      </w:r>
      <w:r>
        <w:t xml:space="preserve"> </w:t>
      </w:r>
      <w:r w:rsidRPr="00E678F0">
        <w:t xml:space="preserve">PM on summer weekdays to the total annual energy usage is taken from load shape data collected for </w:t>
      </w:r>
      <w:r>
        <w:t xml:space="preserve">a </w:t>
      </w:r>
      <w:r w:rsidRPr="00E678F0">
        <w:t>water heater</w:t>
      </w:r>
      <w:r>
        <w:t xml:space="preserve"> and HVAC demand response study for PJM</w:t>
      </w:r>
      <w:r w:rsidR="009D314F">
        <w:rPr>
          <w:rStyle w:val="FootnoteReference"/>
        </w:rPr>
        <w:footnoteReference w:id="55"/>
      </w:r>
      <w:r w:rsidRPr="00E678F0">
        <w:t xml:space="preserve">.  </w:t>
      </w:r>
      <w:r>
        <w:t>The factor is constructed as follows:</w:t>
      </w:r>
    </w:p>
    <w:p w:rsidR="00CD05FA" w:rsidRDefault="00751C57" w:rsidP="0005632A">
      <w:pPr>
        <w:pStyle w:val="source1"/>
        <w:numPr>
          <w:ilvl w:val="0"/>
          <w:numId w:val="50"/>
        </w:numPr>
      </w:pPr>
      <w:r>
        <w:t>Obtain the average kW, as monitored for 82 water heaters in PJM territory</w:t>
      </w:r>
      <w:r w:rsidR="009D314F">
        <w:rPr>
          <w:rStyle w:val="FootnoteReference"/>
        </w:rPr>
        <w:footnoteReference w:id="56"/>
      </w:r>
      <w:r>
        <w:t xml:space="preserve">, for each hour of the typical day summer, winter, and spring/fall days.  Weight the results (91 summer days, 91 winter days, </w:t>
      </w:r>
      <w:r w:rsidR="00F11594">
        <w:t>and 183</w:t>
      </w:r>
      <w:r>
        <w:t xml:space="preserve"> spring/fall days) to obtain annual energy usage.</w:t>
      </w:r>
    </w:p>
    <w:p w:rsidR="00CD05FA" w:rsidRDefault="00751C57" w:rsidP="00C3606E">
      <w:pPr>
        <w:pStyle w:val="source1"/>
      </w:pPr>
      <w:r>
        <w:t xml:space="preserve">Obtain the average kW during noon to 8 PM on summer days from the same data.  </w:t>
      </w:r>
    </w:p>
    <w:p w:rsidR="00CD05FA" w:rsidRDefault="00751C57" w:rsidP="00C3606E">
      <w:pPr>
        <w:pStyle w:val="source1"/>
      </w:pPr>
      <w:r>
        <w:t xml:space="preserve">The average noon to 8 PM demand is converted to average </w:t>
      </w:r>
      <w:r w:rsidRPr="004933EA">
        <w:rPr>
          <w:i/>
        </w:rPr>
        <w:t>weekday</w:t>
      </w:r>
      <w:r>
        <w:t xml:space="preserve"> noon to 8 PM demand through comparison of weekday and weekend monitored loads from the same PJM study</w:t>
      </w:r>
      <w:r w:rsidR="009D314F">
        <w:rPr>
          <w:rStyle w:val="FootnoteReference"/>
        </w:rPr>
        <w:footnoteReference w:id="57"/>
      </w:r>
      <w:r w:rsidR="00B14E80">
        <w:t>.</w:t>
      </w:r>
    </w:p>
    <w:p w:rsidR="00CD05FA" w:rsidRDefault="00751C57" w:rsidP="00C3606E">
      <w:pPr>
        <w:pStyle w:val="source1"/>
        <w:rPr>
          <w:sz w:val="24"/>
        </w:rPr>
      </w:pPr>
      <w:r>
        <w:t xml:space="preserve">The ratio of the average weekday noon to 8 PM energy demand to the annual energy usage obtained in step 1.  The resulting number, 0.00009172, </w:t>
      </w:r>
      <w:r w:rsidRPr="002C6DCE">
        <w:t xml:space="preserve">is the </w:t>
      </w:r>
      <w:r w:rsidRPr="002C6DCE">
        <w:rPr>
          <w:i/>
        </w:rPr>
        <w:t>EnergyToDemandFactor</w:t>
      </w:r>
      <w:r>
        <w:rPr>
          <w:i/>
        </w:rPr>
        <w:t>.</w:t>
      </w:r>
    </w:p>
    <w:p w:rsidR="00CD05FA" w:rsidRDefault="00751C57" w:rsidP="00C3606E">
      <w:pPr>
        <w:pStyle w:val="BodyText"/>
      </w:pPr>
      <w:r>
        <w:t xml:space="preserve">The load shapes (fractions of annual energy usage that occur within each hour) during summer week days are plotted </w:t>
      </w:r>
      <w:r w:rsidR="005F63C6">
        <w:t xml:space="preserve">in </w:t>
      </w:r>
      <w:r w:rsidR="007A1FB6">
        <w:fldChar w:fldCharType="begin"/>
      </w:r>
      <w:r w:rsidR="00081415">
        <w:instrText xml:space="preserve"> REF _Ref275542464 \h </w:instrText>
      </w:r>
      <w:r w:rsidR="007A1FB6">
        <w:fldChar w:fldCharType="separate"/>
      </w:r>
      <w:r w:rsidR="00C0292F" w:rsidRPr="0007670E">
        <w:t xml:space="preserve">Figure </w:t>
      </w:r>
      <w:r w:rsidR="00C0292F">
        <w:rPr>
          <w:noProof/>
        </w:rPr>
        <w:t>2</w:t>
      </w:r>
      <w:r w:rsidR="00C0292F">
        <w:noBreakHyphen/>
      </w:r>
      <w:r w:rsidR="00C0292F">
        <w:rPr>
          <w:noProof/>
        </w:rPr>
        <w:t>8</w:t>
      </w:r>
      <w:r w:rsidR="007A1FB6">
        <w:fldChar w:fldCharType="end"/>
      </w:r>
      <w:r>
        <w:t>.</w:t>
      </w:r>
    </w:p>
    <w:p w:rsidR="00CD05FA" w:rsidRDefault="003C7C58" w:rsidP="00C3606E">
      <w:pPr>
        <w:keepNext/>
      </w:pPr>
      <w:r>
        <w:rPr>
          <w:noProof/>
        </w:rPr>
        <w:lastRenderedPageBreak/>
        <w:drawing>
          <wp:inline distT="0" distB="0" distL="0" distR="0">
            <wp:extent cx="5486400" cy="23812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extLst>
                        <a:ext uri="{28A0092B-C50C-407E-A947-70E740481C1C}">
                          <a14:useLocalDpi xmlns:a14="http://schemas.microsoft.com/office/drawing/2010/main" val="0"/>
                        </a:ext>
                      </a:extLst>
                    </a:blip>
                    <a:srcRect b="-15"/>
                    <a:stretch>
                      <a:fillRect/>
                    </a:stretch>
                  </pic:blipFill>
                  <pic:spPr bwMode="auto">
                    <a:xfrm>
                      <a:off x="0" y="0"/>
                      <a:ext cx="5486400" cy="2381250"/>
                    </a:xfrm>
                    <a:prstGeom prst="rect">
                      <a:avLst/>
                    </a:prstGeom>
                    <a:noFill/>
                    <a:ln>
                      <a:noFill/>
                    </a:ln>
                  </pic:spPr>
                </pic:pic>
              </a:graphicData>
            </a:graphic>
          </wp:inline>
        </w:drawing>
      </w:r>
    </w:p>
    <w:p w:rsidR="00B85BDF" w:rsidRDefault="0007670E" w:rsidP="00100EDF">
      <w:pPr>
        <w:pStyle w:val="Caption"/>
      </w:pPr>
      <w:bookmarkStart w:id="355" w:name="_Ref275542464"/>
      <w:r w:rsidRPr="0007670E">
        <w:t xml:space="preserve">Figure </w:t>
      </w:r>
      <w:r w:rsidR="007A1FB6">
        <w:fldChar w:fldCharType="begin"/>
      </w:r>
      <w:r w:rsidR="00D74AE2">
        <w:instrText xml:space="preserve"> STYLEREF 1 \s </w:instrText>
      </w:r>
      <w:r w:rsidR="007A1FB6">
        <w:fldChar w:fldCharType="separate"/>
      </w:r>
      <w:r w:rsidR="00C0292F">
        <w:rPr>
          <w:noProof/>
        </w:rPr>
        <w:t>2</w:t>
      </w:r>
      <w:r w:rsidR="007A1FB6">
        <w:fldChar w:fldCharType="end"/>
      </w:r>
      <w:r w:rsidR="008B139C">
        <w:noBreakHyphen/>
      </w:r>
      <w:r w:rsidR="007A1FB6">
        <w:fldChar w:fldCharType="begin"/>
      </w:r>
      <w:r w:rsidR="00D74AE2">
        <w:instrText xml:space="preserve"> SEQ Figure \* ARABIC \s 1 </w:instrText>
      </w:r>
      <w:r w:rsidR="007A1FB6">
        <w:fldChar w:fldCharType="separate"/>
      </w:r>
      <w:r w:rsidR="00C0292F">
        <w:rPr>
          <w:noProof/>
        </w:rPr>
        <w:t>8</w:t>
      </w:r>
      <w:r w:rsidR="007A1FB6">
        <w:fldChar w:fldCharType="end"/>
      </w:r>
      <w:bookmarkEnd w:id="355"/>
      <w:r w:rsidRPr="0007670E">
        <w:t>: Load shapes for hot water in residential buildings taken from a PJM.</w:t>
      </w:r>
    </w:p>
    <w:p w:rsidR="00CD05FA" w:rsidRDefault="00751C57" w:rsidP="00871FA2">
      <w:pPr>
        <w:pStyle w:val="Heading3"/>
      </w:pPr>
      <w:r>
        <w:t xml:space="preserve">Definition of </w:t>
      </w:r>
      <w:r w:rsidR="009F791F">
        <w:t>Terms</w:t>
      </w:r>
    </w:p>
    <w:p w:rsidR="00751C57" w:rsidRPr="008F099F" w:rsidRDefault="00751C57" w:rsidP="00C3606E">
      <w:pPr>
        <w:tabs>
          <w:tab w:val="left" w:pos="720"/>
        </w:tabs>
        <w:spacing w:before="120" w:after="240"/>
        <w:jc w:val="both"/>
      </w:pPr>
      <w:r w:rsidRPr="008F099F">
        <w:t xml:space="preserve">The parameters in the above equation are listed in </w:t>
      </w:r>
      <w:r w:rsidR="00274AB1">
        <w:fldChar w:fldCharType="begin"/>
      </w:r>
      <w:r w:rsidR="00274AB1">
        <w:instrText xml:space="preserve"> REF _Ref275509591 \h  \* MERGEFORMAT </w:instrText>
      </w:r>
      <w:r w:rsidR="00274AB1">
        <w:fldChar w:fldCharType="separate"/>
      </w:r>
      <w:r w:rsidR="00C0292F">
        <w:t xml:space="preserve">Table </w:t>
      </w:r>
      <w:r w:rsidR="00C0292F">
        <w:rPr>
          <w:noProof/>
        </w:rPr>
        <w:t>2</w:t>
      </w:r>
      <w:r w:rsidR="00C0292F">
        <w:rPr>
          <w:noProof/>
        </w:rPr>
        <w:noBreakHyphen/>
        <w:t>26</w:t>
      </w:r>
      <w:r w:rsidR="00274AB1">
        <w:fldChar w:fldCharType="end"/>
      </w:r>
      <w:r w:rsidR="009D314F" w:rsidRPr="008F099F">
        <w:rPr>
          <w:b/>
        </w:rPr>
        <w:t xml:space="preserve"> </w:t>
      </w:r>
      <w:r w:rsidRPr="008F099F">
        <w:t>below.</w:t>
      </w:r>
    </w:p>
    <w:p w:rsidR="00B85BDF" w:rsidRDefault="0007670E" w:rsidP="00100EDF">
      <w:pPr>
        <w:pStyle w:val="Caption"/>
      </w:pPr>
      <w:bookmarkStart w:id="356" w:name="_Ref275509591"/>
      <w:bookmarkStart w:id="357" w:name="_Toc310875512"/>
      <w:r>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26</w:t>
      </w:r>
      <w:r w:rsidR="00274AB1">
        <w:rPr>
          <w:noProof/>
        </w:rPr>
        <w:fldChar w:fldCharType="end"/>
      </w:r>
      <w:bookmarkEnd w:id="356"/>
      <w:r>
        <w:t>: Calculation Assumptions</w:t>
      </w:r>
      <w:r w:rsidR="009F791F">
        <w:t xml:space="preserve"> for Fuel Switching, Domestic Hot Water Electric to Gas</w:t>
      </w:r>
      <w:bookmarkEnd w:id="35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9"/>
        <w:gridCol w:w="1080"/>
        <w:gridCol w:w="1530"/>
        <w:gridCol w:w="1187"/>
      </w:tblGrid>
      <w:tr w:rsidR="00D43CE5" w:rsidRPr="00C465DB" w:rsidTr="00F84A22">
        <w:trPr>
          <w:jc w:val="center"/>
        </w:trPr>
        <w:tc>
          <w:tcPr>
            <w:tcW w:w="2856" w:type="pct"/>
            <w:shd w:val="clear" w:color="auto" w:fill="BFBFBF"/>
          </w:tcPr>
          <w:p w:rsidR="00751C57" w:rsidRPr="00F84A22" w:rsidRDefault="00751C57" w:rsidP="00C3606E">
            <w:pPr>
              <w:keepNext/>
              <w:tabs>
                <w:tab w:val="left" w:pos="720"/>
              </w:tabs>
              <w:spacing w:before="60" w:after="60"/>
              <w:jc w:val="center"/>
              <w:rPr>
                <w:b/>
                <w:sz w:val="18"/>
              </w:rPr>
            </w:pPr>
            <w:r w:rsidRPr="00F84A22">
              <w:rPr>
                <w:b/>
                <w:sz w:val="18"/>
              </w:rPr>
              <w:t>Component</w:t>
            </w:r>
          </w:p>
        </w:tc>
        <w:tc>
          <w:tcPr>
            <w:tcW w:w="610" w:type="pct"/>
            <w:shd w:val="clear" w:color="auto" w:fill="BFBFBF"/>
          </w:tcPr>
          <w:p w:rsidR="00751C57" w:rsidRPr="00F84A22" w:rsidRDefault="00751C57" w:rsidP="00C3606E">
            <w:pPr>
              <w:keepNext/>
              <w:tabs>
                <w:tab w:val="left" w:pos="720"/>
              </w:tabs>
              <w:spacing w:before="60" w:after="60"/>
              <w:jc w:val="center"/>
              <w:rPr>
                <w:b/>
                <w:sz w:val="18"/>
              </w:rPr>
            </w:pPr>
            <w:r w:rsidRPr="00F84A22">
              <w:rPr>
                <w:b/>
                <w:sz w:val="18"/>
              </w:rPr>
              <w:t>Type</w:t>
            </w:r>
          </w:p>
        </w:tc>
        <w:tc>
          <w:tcPr>
            <w:tcW w:w="864" w:type="pct"/>
            <w:shd w:val="clear" w:color="auto" w:fill="BFBFBF"/>
          </w:tcPr>
          <w:p w:rsidR="00751C57" w:rsidRPr="00F84A22" w:rsidRDefault="00751C57" w:rsidP="00C3606E">
            <w:pPr>
              <w:keepNext/>
              <w:tabs>
                <w:tab w:val="left" w:pos="720"/>
              </w:tabs>
              <w:spacing w:before="60" w:after="60"/>
              <w:jc w:val="center"/>
              <w:rPr>
                <w:b/>
                <w:sz w:val="18"/>
              </w:rPr>
            </w:pPr>
            <w:r w:rsidRPr="00F84A22">
              <w:rPr>
                <w:b/>
                <w:sz w:val="18"/>
              </w:rPr>
              <w:t>Values</w:t>
            </w:r>
          </w:p>
        </w:tc>
        <w:tc>
          <w:tcPr>
            <w:tcW w:w="670" w:type="pct"/>
            <w:shd w:val="clear" w:color="auto" w:fill="BFBFBF"/>
          </w:tcPr>
          <w:p w:rsidR="00AA3FCE" w:rsidRPr="00F84A22" w:rsidRDefault="00F92AD7" w:rsidP="00C3606E">
            <w:pPr>
              <w:keepNext/>
              <w:tabs>
                <w:tab w:val="left" w:pos="720"/>
              </w:tabs>
              <w:spacing w:before="60" w:after="60"/>
              <w:jc w:val="center"/>
              <w:rPr>
                <w:b/>
                <w:sz w:val="18"/>
              </w:rPr>
            </w:pPr>
            <w:r w:rsidRPr="00F84A22">
              <w:rPr>
                <w:b/>
                <w:sz w:val="18"/>
              </w:rPr>
              <w:t>Source</w:t>
            </w:r>
          </w:p>
        </w:tc>
      </w:tr>
      <w:tr w:rsidR="00D43CE5" w:rsidRPr="00C465DB" w:rsidTr="00F84A22">
        <w:trPr>
          <w:jc w:val="center"/>
        </w:trPr>
        <w:tc>
          <w:tcPr>
            <w:tcW w:w="2856" w:type="pct"/>
            <w:shd w:val="clear" w:color="auto" w:fill="auto"/>
          </w:tcPr>
          <w:p w:rsidR="00751C57" w:rsidRPr="00F84A22" w:rsidRDefault="00751C57" w:rsidP="00C3606E">
            <w:pPr>
              <w:keepNext/>
              <w:tabs>
                <w:tab w:val="left" w:pos="720"/>
              </w:tabs>
              <w:spacing w:before="60" w:after="60"/>
              <w:rPr>
                <w:sz w:val="18"/>
              </w:rPr>
            </w:pPr>
            <w:r w:rsidRPr="00F84A22">
              <w:rPr>
                <w:sz w:val="18"/>
              </w:rPr>
              <w:t>EF</w:t>
            </w:r>
            <w:r w:rsidRPr="00F84A22">
              <w:rPr>
                <w:sz w:val="18"/>
                <w:vertAlign w:val="subscript"/>
              </w:rPr>
              <w:t>elect,bl</w:t>
            </w:r>
            <w:r w:rsidRPr="00F84A22">
              <w:rPr>
                <w:sz w:val="18"/>
              </w:rPr>
              <w:t>, Energy Factor of baseline water heater</w:t>
            </w:r>
          </w:p>
        </w:tc>
        <w:tc>
          <w:tcPr>
            <w:tcW w:w="610" w:type="pct"/>
            <w:shd w:val="clear" w:color="auto" w:fill="auto"/>
          </w:tcPr>
          <w:p w:rsidR="00751C57" w:rsidRPr="00F84A22" w:rsidRDefault="00751C57" w:rsidP="00C3606E">
            <w:pPr>
              <w:keepNext/>
              <w:tabs>
                <w:tab w:val="left" w:pos="720"/>
              </w:tabs>
              <w:spacing w:before="60" w:after="60"/>
              <w:jc w:val="center"/>
              <w:rPr>
                <w:sz w:val="18"/>
              </w:rPr>
            </w:pPr>
            <w:r w:rsidRPr="00F84A22">
              <w:rPr>
                <w:sz w:val="18"/>
              </w:rPr>
              <w:t>Fixed</w:t>
            </w:r>
          </w:p>
        </w:tc>
        <w:tc>
          <w:tcPr>
            <w:tcW w:w="864" w:type="pct"/>
            <w:shd w:val="clear" w:color="auto" w:fill="auto"/>
          </w:tcPr>
          <w:p w:rsidR="00751C57" w:rsidRPr="00F84A22" w:rsidRDefault="00751C57" w:rsidP="00C3606E">
            <w:pPr>
              <w:keepNext/>
              <w:tabs>
                <w:tab w:val="left" w:pos="720"/>
              </w:tabs>
              <w:spacing w:before="60" w:after="60"/>
              <w:jc w:val="center"/>
              <w:rPr>
                <w:sz w:val="18"/>
              </w:rPr>
            </w:pPr>
            <w:r w:rsidRPr="00F84A22">
              <w:rPr>
                <w:sz w:val="18"/>
              </w:rPr>
              <w:t>0.904</w:t>
            </w:r>
          </w:p>
        </w:tc>
        <w:tc>
          <w:tcPr>
            <w:tcW w:w="670" w:type="pct"/>
            <w:shd w:val="clear" w:color="auto" w:fill="auto"/>
          </w:tcPr>
          <w:p w:rsidR="00751C57" w:rsidRPr="00F84A22" w:rsidRDefault="009D314F" w:rsidP="00C3606E">
            <w:pPr>
              <w:keepNext/>
              <w:tabs>
                <w:tab w:val="left" w:pos="720"/>
              </w:tabs>
              <w:spacing w:before="60" w:after="60"/>
              <w:jc w:val="center"/>
              <w:rPr>
                <w:sz w:val="18"/>
              </w:rPr>
            </w:pPr>
            <w:r w:rsidRPr="00F84A22">
              <w:rPr>
                <w:sz w:val="18"/>
              </w:rPr>
              <w:t>4</w:t>
            </w:r>
          </w:p>
        </w:tc>
      </w:tr>
      <w:tr w:rsidR="00D43CE5" w:rsidRPr="00C465DB" w:rsidTr="00F84A22">
        <w:trPr>
          <w:jc w:val="center"/>
        </w:trPr>
        <w:tc>
          <w:tcPr>
            <w:tcW w:w="2856" w:type="pct"/>
            <w:shd w:val="clear" w:color="auto" w:fill="auto"/>
          </w:tcPr>
          <w:p w:rsidR="00751C57" w:rsidRPr="00F84A22" w:rsidRDefault="00751C57" w:rsidP="00C3606E">
            <w:pPr>
              <w:keepNext/>
              <w:tabs>
                <w:tab w:val="left" w:pos="720"/>
              </w:tabs>
              <w:spacing w:before="60" w:after="60"/>
              <w:rPr>
                <w:sz w:val="18"/>
              </w:rPr>
            </w:pPr>
            <w:r w:rsidRPr="00F84A22">
              <w:rPr>
                <w:sz w:val="18"/>
              </w:rPr>
              <w:t>EF</w:t>
            </w:r>
            <w:r w:rsidRPr="00F84A22">
              <w:rPr>
                <w:sz w:val="18"/>
                <w:vertAlign w:val="subscript"/>
              </w:rPr>
              <w:t>NG,inst</w:t>
            </w:r>
            <w:r w:rsidRPr="00F84A22">
              <w:rPr>
                <w:sz w:val="18"/>
              </w:rPr>
              <w:t>, Energy Factor of installed natural gas water heater</w:t>
            </w:r>
          </w:p>
        </w:tc>
        <w:tc>
          <w:tcPr>
            <w:tcW w:w="610" w:type="pct"/>
            <w:shd w:val="clear" w:color="auto" w:fill="auto"/>
          </w:tcPr>
          <w:p w:rsidR="00751C57" w:rsidRPr="00F84A22" w:rsidRDefault="00751C57" w:rsidP="00C3606E">
            <w:pPr>
              <w:keepNext/>
              <w:tabs>
                <w:tab w:val="left" w:pos="720"/>
              </w:tabs>
              <w:spacing w:before="60" w:after="60"/>
              <w:jc w:val="center"/>
              <w:rPr>
                <w:sz w:val="18"/>
              </w:rPr>
            </w:pPr>
            <w:r w:rsidRPr="00F84A22">
              <w:rPr>
                <w:sz w:val="18"/>
              </w:rPr>
              <w:t>Variable</w:t>
            </w:r>
          </w:p>
        </w:tc>
        <w:tc>
          <w:tcPr>
            <w:tcW w:w="864" w:type="pct"/>
            <w:shd w:val="clear" w:color="auto" w:fill="auto"/>
          </w:tcPr>
          <w:p w:rsidR="00751C57" w:rsidRPr="00F84A22" w:rsidRDefault="00751C57" w:rsidP="00C3606E">
            <w:pPr>
              <w:keepNext/>
              <w:tabs>
                <w:tab w:val="left" w:pos="720"/>
              </w:tabs>
              <w:spacing w:before="60" w:after="60"/>
              <w:jc w:val="center"/>
              <w:rPr>
                <w:sz w:val="18"/>
              </w:rPr>
            </w:pPr>
            <w:r w:rsidRPr="00F84A22">
              <w:rPr>
                <w:sz w:val="18"/>
              </w:rPr>
              <w:t>&gt;=.594</w:t>
            </w:r>
          </w:p>
        </w:tc>
        <w:tc>
          <w:tcPr>
            <w:tcW w:w="670" w:type="pct"/>
            <w:shd w:val="clear" w:color="auto" w:fill="auto"/>
          </w:tcPr>
          <w:p w:rsidR="00751C57" w:rsidRPr="00F84A22" w:rsidRDefault="009D314F" w:rsidP="00C3606E">
            <w:pPr>
              <w:keepNext/>
              <w:tabs>
                <w:tab w:val="left" w:pos="720"/>
              </w:tabs>
              <w:spacing w:before="60" w:after="60"/>
              <w:jc w:val="center"/>
              <w:rPr>
                <w:sz w:val="18"/>
              </w:rPr>
            </w:pPr>
            <w:r w:rsidRPr="00F84A22">
              <w:rPr>
                <w:sz w:val="18"/>
              </w:rPr>
              <w:t>5</w:t>
            </w:r>
          </w:p>
        </w:tc>
      </w:tr>
      <w:tr w:rsidR="00D43CE5" w:rsidRPr="00C465DB" w:rsidTr="00F84A22">
        <w:trPr>
          <w:jc w:val="center"/>
        </w:trPr>
        <w:tc>
          <w:tcPr>
            <w:tcW w:w="2856" w:type="pct"/>
            <w:shd w:val="clear" w:color="auto" w:fill="auto"/>
          </w:tcPr>
          <w:p w:rsidR="00751C57" w:rsidRPr="00F84A22" w:rsidRDefault="00751C57" w:rsidP="00C3606E">
            <w:pPr>
              <w:keepNext/>
              <w:tabs>
                <w:tab w:val="left" w:pos="720"/>
              </w:tabs>
              <w:spacing w:before="60" w:after="60"/>
              <w:rPr>
                <w:sz w:val="18"/>
              </w:rPr>
            </w:pPr>
            <w:r w:rsidRPr="00F84A22">
              <w:rPr>
                <w:sz w:val="18"/>
              </w:rPr>
              <w:t>HW, Hot water used per day in gallons</w:t>
            </w:r>
          </w:p>
        </w:tc>
        <w:tc>
          <w:tcPr>
            <w:tcW w:w="610" w:type="pct"/>
            <w:shd w:val="clear" w:color="auto" w:fill="auto"/>
          </w:tcPr>
          <w:p w:rsidR="00751C57" w:rsidRPr="00F84A22" w:rsidRDefault="00751C57" w:rsidP="00C3606E">
            <w:pPr>
              <w:keepNext/>
              <w:tabs>
                <w:tab w:val="left" w:pos="720"/>
              </w:tabs>
              <w:spacing w:before="60" w:after="60"/>
              <w:jc w:val="center"/>
              <w:rPr>
                <w:sz w:val="18"/>
              </w:rPr>
            </w:pPr>
            <w:r w:rsidRPr="00F84A22">
              <w:rPr>
                <w:sz w:val="18"/>
              </w:rPr>
              <w:t>Fixed</w:t>
            </w:r>
          </w:p>
        </w:tc>
        <w:tc>
          <w:tcPr>
            <w:tcW w:w="864" w:type="pct"/>
            <w:shd w:val="clear" w:color="auto" w:fill="auto"/>
          </w:tcPr>
          <w:p w:rsidR="00751C57" w:rsidRPr="00F84A22" w:rsidRDefault="00751C57" w:rsidP="00C3606E">
            <w:pPr>
              <w:keepNext/>
              <w:tabs>
                <w:tab w:val="left" w:pos="720"/>
              </w:tabs>
              <w:spacing w:before="60" w:after="60"/>
              <w:jc w:val="center"/>
              <w:rPr>
                <w:sz w:val="18"/>
              </w:rPr>
            </w:pPr>
            <w:r w:rsidRPr="00F84A22">
              <w:rPr>
                <w:sz w:val="18"/>
              </w:rPr>
              <w:t>64.3 gallon/day</w:t>
            </w:r>
          </w:p>
        </w:tc>
        <w:tc>
          <w:tcPr>
            <w:tcW w:w="670" w:type="pct"/>
            <w:shd w:val="clear" w:color="auto" w:fill="auto"/>
          </w:tcPr>
          <w:p w:rsidR="00751C57" w:rsidRPr="00D43CE5" w:rsidRDefault="00C67DA4" w:rsidP="00C3606E">
            <w:pPr>
              <w:pBdr>
                <w:right w:val="single" w:sz="8" w:space="0" w:color="auto"/>
              </w:pBdr>
              <w:tabs>
                <w:tab w:val="left" w:pos="720"/>
              </w:tabs>
              <w:spacing w:before="60" w:beforeAutospacing="1" w:after="60" w:afterAutospacing="1"/>
              <w:jc w:val="center"/>
              <w:rPr>
                <w:sz w:val="18"/>
              </w:rPr>
            </w:pPr>
            <w:r w:rsidRPr="00D43CE5">
              <w:rPr>
                <w:sz w:val="18"/>
              </w:rPr>
              <w:t>6</w:t>
            </w:r>
          </w:p>
        </w:tc>
      </w:tr>
      <w:tr w:rsidR="00D43CE5" w:rsidRPr="00C465DB" w:rsidTr="00F84A22">
        <w:trPr>
          <w:trHeight w:val="77"/>
          <w:jc w:val="center"/>
        </w:trPr>
        <w:tc>
          <w:tcPr>
            <w:tcW w:w="2856" w:type="pct"/>
            <w:shd w:val="clear" w:color="auto" w:fill="auto"/>
          </w:tcPr>
          <w:p w:rsidR="00751C57" w:rsidRPr="00F84A22" w:rsidRDefault="00751C57" w:rsidP="00C3606E">
            <w:pPr>
              <w:keepNext/>
              <w:tabs>
                <w:tab w:val="left" w:pos="720"/>
              </w:tabs>
              <w:spacing w:before="60" w:after="60"/>
              <w:rPr>
                <w:sz w:val="18"/>
              </w:rPr>
            </w:pPr>
            <w:r w:rsidRPr="00F84A22">
              <w:rPr>
                <w:sz w:val="18"/>
              </w:rPr>
              <w:t>T</w:t>
            </w:r>
            <w:r w:rsidRPr="00F84A22">
              <w:rPr>
                <w:sz w:val="18"/>
                <w:vertAlign w:val="subscript"/>
              </w:rPr>
              <w:t>hot</w:t>
            </w:r>
            <w:r w:rsidRPr="00F84A22">
              <w:rPr>
                <w:sz w:val="18"/>
              </w:rPr>
              <w:t>, Temperature of hot water</w:t>
            </w:r>
          </w:p>
        </w:tc>
        <w:tc>
          <w:tcPr>
            <w:tcW w:w="610" w:type="pct"/>
            <w:shd w:val="clear" w:color="auto" w:fill="auto"/>
          </w:tcPr>
          <w:p w:rsidR="00751C57" w:rsidRPr="00F84A22" w:rsidRDefault="00751C57" w:rsidP="00C3606E">
            <w:pPr>
              <w:keepNext/>
              <w:tabs>
                <w:tab w:val="left" w:pos="720"/>
              </w:tabs>
              <w:spacing w:before="60" w:after="60"/>
              <w:jc w:val="center"/>
              <w:rPr>
                <w:sz w:val="18"/>
              </w:rPr>
            </w:pPr>
            <w:r w:rsidRPr="00F84A22">
              <w:rPr>
                <w:sz w:val="18"/>
              </w:rPr>
              <w:t>Fixed</w:t>
            </w:r>
          </w:p>
        </w:tc>
        <w:tc>
          <w:tcPr>
            <w:tcW w:w="864" w:type="pct"/>
            <w:shd w:val="clear" w:color="auto" w:fill="auto"/>
          </w:tcPr>
          <w:p w:rsidR="00751C57" w:rsidRPr="00F84A22" w:rsidRDefault="00751C57" w:rsidP="00C3606E">
            <w:pPr>
              <w:keepNext/>
              <w:tabs>
                <w:tab w:val="left" w:pos="720"/>
              </w:tabs>
              <w:spacing w:before="60" w:after="60"/>
              <w:jc w:val="center"/>
              <w:rPr>
                <w:sz w:val="18"/>
              </w:rPr>
            </w:pPr>
            <w:r w:rsidRPr="00F84A22">
              <w:rPr>
                <w:sz w:val="18"/>
              </w:rPr>
              <w:t>120 °F</w:t>
            </w:r>
          </w:p>
        </w:tc>
        <w:tc>
          <w:tcPr>
            <w:tcW w:w="670" w:type="pct"/>
            <w:shd w:val="clear" w:color="auto" w:fill="auto"/>
          </w:tcPr>
          <w:p w:rsidR="00751C57" w:rsidRPr="00D43CE5" w:rsidRDefault="00C67DA4" w:rsidP="00C3606E">
            <w:pPr>
              <w:pBdr>
                <w:right w:val="single" w:sz="8" w:space="0" w:color="auto"/>
              </w:pBdr>
              <w:tabs>
                <w:tab w:val="left" w:pos="720"/>
              </w:tabs>
              <w:spacing w:before="60" w:beforeAutospacing="1" w:after="60" w:afterAutospacing="1"/>
              <w:jc w:val="center"/>
              <w:rPr>
                <w:sz w:val="18"/>
              </w:rPr>
            </w:pPr>
            <w:r w:rsidRPr="00D43CE5">
              <w:rPr>
                <w:sz w:val="18"/>
              </w:rPr>
              <w:t>7</w:t>
            </w:r>
          </w:p>
        </w:tc>
      </w:tr>
      <w:tr w:rsidR="00D43CE5" w:rsidRPr="00C465DB" w:rsidTr="00F84A22">
        <w:trPr>
          <w:jc w:val="center"/>
        </w:trPr>
        <w:tc>
          <w:tcPr>
            <w:tcW w:w="2856" w:type="pct"/>
            <w:shd w:val="clear" w:color="auto" w:fill="auto"/>
          </w:tcPr>
          <w:p w:rsidR="00751C57" w:rsidRPr="00F84A22" w:rsidRDefault="00751C57" w:rsidP="00C3606E">
            <w:pPr>
              <w:keepNext/>
              <w:tabs>
                <w:tab w:val="left" w:pos="720"/>
              </w:tabs>
              <w:spacing w:before="60" w:after="60"/>
              <w:rPr>
                <w:sz w:val="18"/>
              </w:rPr>
            </w:pPr>
            <w:r w:rsidRPr="00F84A22">
              <w:rPr>
                <w:sz w:val="18"/>
              </w:rPr>
              <w:t>T</w:t>
            </w:r>
            <w:r w:rsidRPr="00F84A22">
              <w:rPr>
                <w:sz w:val="18"/>
                <w:vertAlign w:val="subscript"/>
              </w:rPr>
              <w:t>cold</w:t>
            </w:r>
            <w:r w:rsidRPr="00F84A22">
              <w:rPr>
                <w:sz w:val="18"/>
              </w:rPr>
              <w:t>, Temperature of cold water supply</w:t>
            </w:r>
          </w:p>
        </w:tc>
        <w:tc>
          <w:tcPr>
            <w:tcW w:w="610" w:type="pct"/>
            <w:shd w:val="clear" w:color="auto" w:fill="auto"/>
          </w:tcPr>
          <w:p w:rsidR="00751C57" w:rsidRPr="00F84A22" w:rsidRDefault="00751C57" w:rsidP="00C3606E">
            <w:pPr>
              <w:keepNext/>
              <w:tabs>
                <w:tab w:val="left" w:pos="720"/>
              </w:tabs>
              <w:spacing w:before="60" w:after="60"/>
              <w:jc w:val="center"/>
              <w:rPr>
                <w:sz w:val="18"/>
              </w:rPr>
            </w:pPr>
            <w:r w:rsidRPr="00F84A22">
              <w:rPr>
                <w:sz w:val="18"/>
              </w:rPr>
              <w:t>Fixed</w:t>
            </w:r>
          </w:p>
        </w:tc>
        <w:tc>
          <w:tcPr>
            <w:tcW w:w="864" w:type="pct"/>
            <w:shd w:val="clear" w:color="auto" w:fill="auto"/>
          </w:tcPr>
          <w:p w:rsidR="00751C57" w:rsidRPr="00F84A22" w:rsidRDefault="00751C57" w:rsidP="00C3606E">
            <w:pPr>
              <w:keepNext/>
              <w:tabs>
                <w:tab w:val="left" w:pos="720"/>
              </w:tabs>
              <w:spacing w:before="60" w:after="60"/>
              <w:jc w:val="center"/>
              <w:rPr>
                <w:sz w:val="18"/>
              </w:rPr>
            </w:pPr>
            <w:r w:rsidRPr="00F84A22">
              <w:rPr>
                <w:sz w:val="18"/>
              </w:rPr>
              <w:t>55 °F</w:t>
            </w:r>
          </w:p>
        </w:tc>
        <w:tc>
          <w:tcPr>
            <w:tcW w:w="670" w:type="pct"/>
            <w:shd w:val="clear" w:color="auto" w:fill="auto"/>
          </w:tcPr>
          <w:p w:rsidR="00751C57" w:rsidRPr="00D43CE5" w:rsidRDefault="00C67DA4" w:rsidP="00C3606E">
            <w:pPr>
              <w:pBdr>
                <w:right w:val="single" w:sz="8" w:space="0" w:color="auto"/>
              </w:pBdr>
              <w:tabs>
                <w:tab w:val="left" w:pos="720"/>
              </w:tabs>
              <w:spacing w:before="60" w:beforeAutospacing="1" w:after="60" w:afterAutospacing="1"/>
              <w:jc w:val="center"/>
              <w:rPr>
                <w:sz w:val="18"/>
              </w:rPr>
            </w:pPr>
            <w:r w:rsidRPr="00D43CE5">
              <w:rPr>
                <w:sz w:val="18"/>
              </w:rPr>
              <w:t>8</w:t>
            </w:r>
          </w:p>
        </w:tc>
      </w:tr>
      <w:tr w:rsidR="00D43CE5" w:rsidRPr="00C465DB" w:rsidTr="00F84A22">
        <w:trPr>
          <w:jc w:val="center"/>
        </w:trPr>
        <w:tc>
          <w:tcPr>
            <w:tcW w:w="2856" w:type="pct"/>
            <w:shd w:val="clear" w:color="auto" w:fill="auto"/>
          </w:tcPr>
          <w:p w:rsidR="00751C57" w:rsidRPr="00F84A22" w:rsidRDefault="00751C57" w:rsidP="00C3606E">
            <w:pPr>
              <w:keepNext/>
              <w:tabs>
                <w:tab w:val="left" w:pos="720"/>
              </w:tabs>
              <w:spacing w:before="60" w:after="60"/>
              <w:rPr>
                <w:sz w:val="18"/>
              </w:rPr>
            </w:pPr>
            <w:r w:rsidRPr="00F84A22">
              <w:rPr>
                <w:sz w:val="18"/>
              </w:rPr>
              <w:t>EnergyToDemandFactor</w:t>
            </w:r>
          </w:p>
        </w:tc>
        <w:tc>
          <w:tcPr>
            <w:tcW w:w="610" w:type="pct"/>
            <w:shd w:val="clear" w:color="auto" w:fill="auto"/>
          </w:tcPr>
          <w:p w:rsidR="00751C57" w:rsidRPr="00F84A22" w:rsidRDefault="00751C57" w:rsidP="00C3606E">
            <w:pPr>
              <w:keepNext/>
              <w:tabs>
                <w:tab w:val="left" w:pos="720"/>
              </w:tabs>
              <w:spacing w:before="60" w:after="60"/>
              <w:jc w:val="center"/>
              <w:rPr>
                <w:sz w:val="18"/>
              </w:rPr>
            </w:pPr>
            <w:r w:rsidRPr="00F84A22">
              <w:rPr>
                <w:sz w:val="18"/>
              </w:rPr>
              <w:t>Fixed</w:t>
            </w:r>
          </w:p>
        </w:tc>
        <w:tc>
          <w:tcPr>
            <w:tcW w:w="864" w:type="pct"/>
            <w:shd w:val="clear" w:color="auto" w:fill="auto"/>
          </w:tcPr>
          <w:p w:rsidR="00751C57" w:rsidRPr="00F84A22" w:rsidRDefault="00751C57" w:rsidP="00C3606E">
            <w:pPr>
              <w:keepNext/>
              <w:tabs>
                <w:tab w:val="left" w:pos="720"/>
              </w:tabs>
              <w:spacing w:before="60" w:after="60"/>
              <w:jc w:val="center"/>
              <w:rPr>
                <w:sz w:val="18"/>
              </w:rPr>
            </w:pPr>
            <w:r w:rsidRPr="00F84A22">
              <w:rPr>
                <w:sz w:val="18"/>
              </w:rPr>
              <w:t>0.00009172</w:t>
            </w:r>
          </w:p>
        </w:tc>
        <w:tc>
          <w:tcPr>
            <w:tcW w:w="670" w:type="pct"/>
            <w:shd w:val="clear" w:color="auto" w:fill="auto"/>
          </w:tcPr>
          <w:p w:rsidR="00751C57" w:rsidRPr="00F84A22" w:rsidRDefault="00751C57" w:rsidP="00C3606E">
            <w:pPr>
              <w:keepNext/>
              <w:tabs>
                <w:tab w:val="left" w:pos="720"/>
              </w:tabs>
              <w:spacing w:before="60" w:after="60"/>
              <w:jc w:val="center"/>
              <w:rPr>
                <w:sz w:val="18"/>
              </w:rPr>
            </w:pPr>
            <w:r w:rsidRPr="00F84A22">
              <w:rPr>
                <w:sz w:val="18"/>
              </w:rPr>
              <w:t>1-3</w:t>
            </w:r>
          </w:p>
        </w:tc>
      </w:tr>
    </w:tbl>
    <w:p w:rsidR="00CD05FA" w:rsidRDefault="00CD05FA" w:rsidP="00C3606E"/>
    <w:p w:rsidR="0007450F" w:rsidRPr="00BC5194" w:rsidRDefault="0007450F" w:rsidP="00100EDF">
      <w:pPr>
        <w:rPr>
          <w:b/>
        </w:rPr>
      </w:pPr>
      <w:r w:rsidRPr="00BC5194">
        <w:rPr>
          <w:b/>
        </w:rPr>
        <w:t>Sources:</w:t>
      </w:r>
    </w:p>
    <w:p w:rsidR="00CD05FA" w:rsidRDefault="009D314F" w:rsidP="0005632A">
      <w:pPr>
        <w:pStyle w:val="source1"/>
        <w:numPr>
          <w:ilvl w:val="0"/>
          <w:numId w:val="51"/>
        </w:numPr>
      </w:pPr>
      <w:r>
        <w:t>Deemed Savings Estimates for Legacy Air Conditioning and Water Heating Direct Load Control Programs in PJM Region. The report can be accessed online: http://www.pjm.com/~/media/committees-groups/working-groups/lrwg/20070301/20070301-pjm-deemed-savings-report.ashx</w:t>
      </w:r>
    </w:p>
    <w:p w:rsidR="00CD05FA" w:rsidRDefault="009D314F" w:rsidP="00C3606E">
      <w:pPr>
        <w:pStyle w:val="source1"/>
      </w:pPr>
      <w:r>
        <w:t>The average is over all 82 water heaters and over all summer, spring/fall, or winter days.  The  load shapes are taken from the fourth columns, labeled “Mean”, in tables 14,15, and 16 in pages 5-31 and 5-32</w:t>
      </w:r>
    </w:p>
    <w:p w:rsidR="00CD05FA" w:rsidRDefault="009D314F" w:rsidP="00C3606E">
      <w:pPr>
        <w:pStyle w:val="source1"/>
      </w:pPr>
      <w:r>
        <w:t>The 5th column, labeled “Mean” of Table 18 in page 5-34 is used to derive an adjustment factor that scales average summer usage to summer weekday usage.    The conversion factor is 0.925844.  A number smaller than one indicates that for residential homes, the hot water usage from noon to 8 PM is slightly higher is the weekends than on weekdays.</w:t>
      </w:r>
    </w:p>
    <w:p w:rsidR="00CD05FA" w:rsidRDefault="009D314F" w:rsidP="00C3606E">
      <w:pPr>
        <w:pStyle w:val="source1"/>
      </w:pPr>
      <w:r>
        <w:lastRenderedPageBreak/>
        <w:t>Federal Standards are 0.97 -0.00132 x Rated Storage in Gallons.  For a 50-gallon tank this is 0.904.  “Energy Conservation Program: Energy Conservation Standards for Residential Water Heaters, Direct Heating Equipment, and Pool Heaters” US Dept of Energy Docket Number: EE–2006–BT-STD–0129, p. 30</w:t>
      </w:r>
    </w:p>
    <w:p w:rsidR="00CD05FA" w:rsidRDefault="009D314F" w:rsidP="00C3606E">
      <w:pPr>
        <w:pStyle w:val="source1"/>
      </w:pPr>
      <w:r>
        <w:t>Federal Standards are 0.67 -0.0019 x Rated Storage in Gallons.  For a 40-gallon tank this is 0.594.  “Energy Conservation Program: Energy Conservation Standards for Residential Water Heaters, Direct Heating Equipment, and Pool Heaters” US Dept of Energy Docket Number: EE–2006–BT-STD–0129, p. 30</w:t>
      </w:r>
    </w:p>
    <w:p w:rsidR="00CD05FA" w:rsidRDefault="009D314F" w:rsidP="00C3606E">
      <w:pPr>
        <w:pStyle w:val="source1"/>
      </w:pPr>
      <w:r>
        <w:t>“Energy Conservation Program for Consumer Products: Test Procedure for Water Heaters”, Federal Register / Vol. 63, No. 90, p. 25996</w:t>
      </w:r>
    </w:p>
    <w:p w:rsidR="00CD05FA" w:rsidRDefault="009D314F" w:rsidP="00C3606E">
      <w:pPr>
        <w:pStyle w:val="source1"/>
      </w:pPr>
      <w:r>
        <w:t>Many states have plumbing codes that limit shower and bathtub water temperature to 120 °F.</w:t>
      </w:r>
    </w:p>
    <w:p w:rsidR="00CD05FA" w:rsidRDefault="009D314F" w:rsidP="00C3606E">
      <w:pPr>
        <w:pStyle w:val="source1"/>
        <w:spacing w:after="200"/>
      </w:pPr>
      <w:r>
        <w:t>Mid-Atlantic TRM, footnote #24</w:t>
      </w:r>
    </w:p>
    <w:p w:rsidR="00CD05FA" w:rsidRDefault="00751C57" w:rsidP="00871FA2">
      <w:pPr>
        <w:pStyle w:val="Heading3"/>
      </w:pPr>
      <w:r w:rsidRPr="00837206">
        <w:t>Deemed Savings</w:t>
      </w:r>
    </w:p>
    <w:p w:rsidR="00CD05FA" w:rsidRDefault="00751C57">
      <w:pPr>
        <w:pStyle w:val="BodyText"/>
      </w:pPr>
      <w:r w:rsidRPr="00837206">
        <w:t xml:space="preserve">The deemed savings for the installation of </w:t>
      </w:r>
      <w:r>
        <w:t xml:space="preserve">a natural gas </w:t>
      </w:r>
      <w:r w:rsidRPr="00837206">
        <w:t>water heater</w:t>
      </w:r>
      <w:r>
        <w:t xml:space="preserve"> in place of a standard electric water heater are listed </w:t>
      </w:r>
      <w:r w:rsidR="005F63C6">
        <w:t xml:space="preserve">in </w:t>
      </w:r>
      <w:r w:rsidR="007A1FB6">
        <w:fldChar w:fldCharType="begin"/>
      </w:r>
      <w:r w:rsidR="00081415">
        <w:instrText xml:space="preserve"> REF _Ref275542465 \h </w:instrText>
      </w:r>
      <w:r w:rsidR="007A1FB6">
        <w:fldChar w:fldCharType="separate"/>
      </w:r>
      <w:r w:rsidR="00C0292F" w:rsidRPr="00440C51">
        <w:t xml:space="preserve">Table </w:t>
      </w:r>
      <w:r w:rsidR="00C0292F">
        <w:rPr>
          <w:noProof/>
        </w:rPr>
        <w:t>2</w:t>
      </w:r>
      <w:r w:rsidR="00C0292F">
        <w:noBreakHyphen/>
      </w:r>
      <w:r w:rsidR="00C0292F">
        <w:rPr>
          <w:noProof/>
        </w:rPr>
        <w:t>27</w:t>
      </w:r>
      <w:r w:rsidR="007A1FB6">
        <w:fldChar w:fldCharType="end"/>
      </w:r>
      <w:r w:rsidR="005F63C6">
        <w:t xml:space="preserve"> </w:t>
      </w:r>
      <w:r>
        <w:t>below.</w:t>
      </w:r>
    </w:p>
    <w:p w:rsidR="00751C57" w:rsidRPr="00440C51" w:rsidRDefault="00751C57" w:rsidP="00100EDF">
      <w:pPr>
        <w:pStyle w:val="Caption"/>
      </w:pPr>
      <w:bookmarkStart w:id="358" w:name="_Ref275542465"/>
      <w:bookmarkStart w:id="359" w:name="_Toc310875513"/>
      <w:r w:rsidRPr="00440C51">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27</w:t>
      </w:r>
      <w:r w:rsidR="00274AB1">
        <w:rPr>
          <w:noProof/>
        </w:rPr>
        <w:fldChar w:fldCharType="end"/>
      </w:r>
      <w:bookmarkEnd w:id="358"/>
      <w:r w:rsidRPr="00440C51">
        <w:t>: Energy Savings and Demand Reductions</w:t>
      </w:r>
      <w:r w:rsidR="001A5E45">
        <w:t xml:space="preserve"> for Fuel Switching, Domestic Hot Water Electric to Gas</w:t>
      </w:r>
      <w:bookmarkEnd w:id="359"/>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1"/>
        <w:gridCol w:w="2879"/>
      </w:tblGrid>
      <w:tr w:rsidR="00751C57" w:rsidRPr="008C3A5C" w:rsidTr="00F84A22">
        <w:trPr>
          <w:jc w:val="center"/>
        </w:trPr>
        <w:tc>
          <w:tcPr>
            <w:tcW w:w="1667" w:type="pct"/>
            <w:shd w:val="clear" w:color="auto" w:fill="BFBFBF"/>
          </w:tcPr>
          <w:p w:rsidR="00CD05FA" w:rsidRPr="001D6512" w:rsidRDefault="00751C57" w:rsidP="00C3606E">
            <w:pPr>
              <w:pStyle w:val="TableCell"/>
              <w:spacing w:before="60" w:after="60"/>
              <w:rPr>
                <w:b/>
                <w:sz w:val="20"/>
              </w:rPr>
            </w:pPr>
            <w:r w:rsidRPr="001D6512">
              <w:rPr>
                <w:b/>
              </w:rPr>
              <w:t>Electric unit Energy Factor</w:t>
            </w:r>
          </w:p>
        </w:tc>
        <w:tc>
          <w:tcPr>
            <w:tcW w:w="1667" w:type="pct"/>
            <w:shd w:val="clear" w:color="auto" w:fill="BFBFBF"/>
          </w:tcPr>
          <w:p w:rsidR="00CD05FA" w:rsidRPr="001D6512" w:rsidRDefault="00751C57" w:rsidP="00C3606E">
            <w:pPr>
              <w:pStyle w:val="TableCell"/>
              <w:spacing w:before="60" w:after="60"/>
              <w:rPr>
                <w:b/>
                <w:sz w:val="20"/>
              </w:rPr>
            </w:pPr>
            <w:r w:rsidRPr="001D6512">
              <w:rPr>
                <w:b/>
              </w:rPr>
              <w:t>Energy Savings (kWh)</w:t>
            </w:r>
          </w:p>
        </w:tc>
        <w:tc>
          <w:tcPr>
            <w:tcW w:w="1666" w:type="pct"/>
            <w:shd w:val="clear" w:color="auto" w:fill="BFBFBF"/>
          </w:tcPr>
          <w:p w:rsidR="00CD05FA" w:rsidRPr="001D6512" w:rsidRDefault="00751C57" w:rsidP="00C3606E">
            <w:pPr>
              <w:pStyle w:val="TableCell"/>
              <w:spacing w:before="60" w:after="60"/>
              <w:rPr>
                <w:b/>
                <w:sz w:val="20"/>
              </w:rPr>
            </w:pPr>
            <w:r w:rsidRPr="001D6512">
              <w:rPr>
                <w:b/>
              </w:rPr>
              <w:t>Demand Reduction (kW)</w:t>
            </w:r>
          </w:p>
        </w:tc>
      </w:tr>
      <w:tr w:rsidR="00751C57" w:rsidRPr="008C3A5C" w:rsidTr="00F84A22">
        <w:trPr>
          <w:jc w:val="center"/>
        </w:trPr>
        <w:tc>
          <w:tcPr>
            <w:tcW w:w="1667" w:type="pct"/>
            <w:shd w:val="clear" w:color="auto" w:fill="auto"/>
          </w:tcPr>
          <w:p w:rsidR="00CD05FA" w:rsidRPr="001D6512" w:rsidRDefault="00751C57" w:rsidP="00C3606E">
            <w:pPr>
              <w:pStyle w:val="TableCell"/>
              <w:spacing w:before="60" w:after="60"/>
              <w:rPr>
                <w:color w:val="000000"/>
                <w:sz w:val="20"/>
              </w:rPr>
            </w:pPr>
            <w:r w:rsidRPr="001D6512">
              <w:rPr>
                <w:color w:val="000000"/>
              </w:rPr>
              <w:t>0.904</w:t>
            </w:r>
          </w:p>
        </w:tc>
        <w:tc>
          <w:tcPr>
            <w:tcW w:w="1667" w:type="pct"/>
            <w:shd w:val="clear" w:color="auto" w:fill="auto"/>
          </w:tcPr>
          <w:p w:rsidR="00CD05FA" w:rsidRPr="001D6512" w:rsidRDefault="00751C57" w:rsidP="00C3606E">
            <w:pPr>
              <w:pStyle w:val="TableCell"/>
              <w:spacing w:before="60" w:after="60"/>
              <w:rPr>
                <w:rFonts w:eastAsia="Arial Unicode MS" w:cs="Arial"/>
                <w:i/>
                <w:iCs/>
                <w:color w:val="000000"/>
                <w:sz w:val="20"/>
                <w:szCs w:val="24"/>
              </w:rPr>
            </w:pPr>
            <w:r w:rsidRPr="001D6512">
              <w:rPr>
                <w:color w:val="000000"/>
              </w:rPr>
              <w:t>4104</w:t>
            </w:r>
          </w:p>
        </w:tc>
        <w:tc>
          <w:tcPr>
            <w:tcW w:w="1666" w:type="pct"/>
            <w:shd w:val="clear" w:color="auto" w:fill="auto"/>
          </w:tcPr>
          <w:p w:rsidR="00CD05FA" w:rsidRPr="001D6512" w:rsidRDefault="00751C57" w:rsidP="00C3606E">
            <w:pPr>
              <w:pStyle w:val="TableCell"/>
              <w:spacing w:before="60" w:after="60"/>
              <w:rPr>
                <w:rFonts w:eastAsia="Arial Unicode MS" w:cs="Arial"/>
                <w:i/>
                <w:iCs/>
                <w:color w:val="000000"/>
                <w:sz w:val="20"/>
                <w:szCs w:val="24"/>
              </w:rPr>
            </w:pPr>
            <w:r w:rsidRPr="001D6512">
              <w:rPr>
                <w:color w:val="000000"/>
              </w:rPr>
              <w:t>0.376</w:t>
            </w:r>
          </w:p>
        </w:tc>
      </w:tr>
    </w:tbl>
    <w:p w:rsidR="00CD05FA" w:rsidRDefault="00CD05FA" w:rsidP="00C3606E">
      <w:pPr>
        <w:pStyle w:val="BodyText"/>
      </w:pPr>
    </w:p>
    <w:p w:rsidR="00CD05FA" w:rsidRDefault="00751C57" w:rsidP="00C3606E">
      <w:pPr>
        <w:pStyle w:val="BodyText"/>
      </w:pPr>
      <w:r w:rsidRPr="00837206">
        <w:t xml:space="preserve">The deemed </w:t>
      </w:r>
      <w:r>
        <w:t xml:space="preserve">gas consumption </w:t>
      </w:r>
      <w:r w:rsidRPr="00837206">
        <w:t xml:space="preserve">for the installation of </w:t>
      </w:r>
      <w:r>
        <w:t xml:space="preserve">a standard efficiency natural gas </w:t>
      </w:r>
      <w:r w:rsidRPr="00837206">
        <w:t>water heater</w:t>
      </w:r>
      <w:r>
        <w:t xml:space="preserve"> in place of a standard electric water heater is listed </w:t>
      </w:r>
      <w:r w:rsidR="00536AB7">
        <w:t xml:space="preserve">in </w:t>
      </w:r>
      <w:r w:rsidR="007A1FB6">
        <w:fldChar w:fldCharType="begin"/>
      </w:r>
      <w:r w:rsidR="00081415">
        <w:instrText xml:space="preserve"> REF _Ref275542466 \h </w:instrText>
      </w:r>
      <w:r w:rsidR="007A1FB6">
        <w:fldChar w:fldCharType="separate"/>
      </w:r>
      <w:r w:rsidR="00C0292F" w:rsidRPr="00440C51">
        <w:t xml:space="preserve">Table </w:t>
      </w:r>
      <w:r w:rsidR="00C0292F">
        <w:rPr>
          <w:noProof/>
        </w:rPr>
        <w:t>2</w:t>
      </w:r>
      <w:r w:rsidR="00C0292F">
        <w:noBreakHyphen/>
      </w:r>
      <w:r w:rsidR="00C0292F">
        <w:rPr>
          <w:noProof/>
        </w:rPr>
        <w:t>28</w:t>
      </w:r>
      <w:r w:rsidR="007A1FB6">
        <w:fldChar w:fldCharType="end"/>
      </w:r>
      <w:r w:rsidR="00536AB7">
        <w:t xml:space="preserve"> </w:t>
      </w:r>
      <w:r>
        <w:t>below.</w:t>
      </w:r>
    </w:p>
    <w:p w:rsidR="00751C57" w:rsidRPr="00440C51" w:rsidRDefault="00751C57" w:rsidP="00100EDF">
      <w:pPr>
        <w:pStyle w:val="Caption"/>
      </w:pPr>
      <w:bookmarkStart w:id="360" w:name="_Ref275542466"/>
      <w:bookmarkStart w:id="361" w:name="_Toc310875514"/>
      <w:r w:rsidRPr="00440C51">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28</w:t>
      </w:r>
      <w:r w:rsidR="00274AB1">
        <w:rPr>
          <w:noProof/>
        </w:rPr>
        <w:fldChar w:fldCharType="end"/>
      </w:r>
      <w:bookmarkEnd w:id="360"/>
      <w:r w:rsidRPr="00440C51">
        <w:t xml:space="preserve">: </w:t>
      </w:r>
      <w:r>
        <w:t>Gas Consumption</w:t>
      </w:r>
      <w:r w:rsidR="001A5E45">
        <w:t xml:space="preserve"> for Fuel Switching, Domestic Hot Water Electric to Gas</w:t>
      </w:r>
      <w:bookmarkEnd w:id="361"/>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751C57" w:rsidRPr="008C3A5C" w:rsidTr="00F84A22">
        <w:trPr>
          <w:jc w:val="center"/>
        </w:trPr>
        <w:tc>
          <w:tcPr>
            <w:tcW w:w="2500" w:type="pct"/>
            <w:shd w:val="clear" w:color="auto" w:fill="BFBFBF"/>
          </w:tcPr>
          <w:p w:rsidR="00CD05FA" w:rsidRPr="001D6512" w:rsidRDefault="00751C57" w:rsidP="00C3606E">
            <w:pPr>
              <w:pStyle w:val="TableCell"/>
              <w:spacing w:before="60" w:after="60"/>
              <w:rPr>
                <w:b/>
                <w:sz w:val="20"/>
              </w:rPr>
            </w:pPr>
            <w:r w:rsidRPr="001D6512">
              <w:rPr>
                <w:b/>
              </w:rPr>
              <w:t>Gas unit Energy Factor</w:t>
            </w:r>
          </w:p>
        </w:tc>
        <w:tc>
          <w:tcPr>
            <w:tcW w:w="2500" w:type="pct"/>
            <w:shd w:val="clear" w:color="auto" w:fill="BFBFBF"/>
          </w:tcPr>
          <w:p w:rsidR="00CD05FA" w:rsidRPr="001D6512" w:rsidRDefault="00751C57" w:rsidP="00C3606E">
            <w:pPr>
              <w:pStyle w:val="TableCell"/>
              <w:spacing w:before="60" w:after="60"/>
              <w:rPr>
                <w:b/>
                <w:sz w:val="20"/>
              </w:rPr>
            </w:pPr>
            <w:r w:rsidRPr="001D6512">
              <w:rPr>
                <w:b/>
              </w:rPr>
              <w:t>Gas Consumption (MMBtu)</w:t>
            </w:r>
          </w:p>
        </w:tc>
      </w:tr>
      <w:tr w:rsidR="00751C57" w:rsidRPr="008C3A5C" w:rsidTr="00F84A22">
        <w:trPr>
          <w:jc w:val="center"/>
        </w:trPr>
        <w:tc>
          <w:tcPr>
            <w:tcW w:w="2500" w:type="pct"/>
            <w:shd w:val="clear" w:color="auto" w:fill="auto"/>
          </w:tcPr>
          <w:p w:rsidR="00CD05FA" w:rsidRPr="001D6512" w:rsidRDefault="00751C57" w:rsidP="00C3606E">
            <w:pPr>
              <w:pStyle w:val="TableCell"/>
              <w:spacing w:before="60" w:after="60"/>
              <w:rPr>
                <w:color w:val="000000"/>
                <w:sz w:val="20"/>
              </w:rPr>
            </w:pPr>
            <w:r w:rsidRPr="001D6512">
              <w:rPr>
                <w:color w:val="000000"/>
              </w:rPr>
              <w:t>0.594</w:t>
            </w:r>
          </w:p>
        </w:tc>
        <w:tc>
          <w:tcPr>
            <w:tcW w:w="2500" w:type="pct"/>
            <w:shd w:val="clear" w:color="auto" w:fill="auto"/>
          </w:tcPr>
          <w:p w:rsidR="00CD05FA" w:rsidRPr="001D6512" w:rsidRDefault="00751C57" w:rsidP="00C3606E">
            <w:pPr>
              <w:pStyle w:val="TableCell"/>
              <w:spacing w:before="60" w:after="60"/>
              <w:rPr>
                <w:rFonts w:eastAsia="Arial Unicode MS" w:cs="Arial"/>
                <w:i/>
                <w:iCs/>
                <w:color w:val="000000"/>
                <w:sz w:val="20"/>
                <w:szCs w:val="24"/>
              </w:rPr>
            </w:pPr>
            <w:r w:rsidRPr="001D6512">
              <w:rPr>
                <w:color w:val="000000"/>
              </w:rPr>
              <w:t>21.32</w:t>
            </w:r>
          </w:p>
        </w:tc>
      </w:tr>
    </w:tbl>
    <w:p w:rsidR="00CD05FA" w:rsidRDefault="00CD05FA" w:rsidP="00C3606E"/>
    <w:p w:rsidR="00CD05FA" w:rsidRDefault="00751C57" w:rsidP="00871FA2">
      <w:pPr>
        <w:pStyle w:val="Heading3"/>
      </w:pPr>
      <w:r w:rsidRPr="00837206">
        <w:t>Measure Life</w:t>
      </w:r>
    </w:p>
    <w:p w:rsidR="00CD05FA" w:rsidRDefault="00751C57">
      <w:pPr>
        <w:pStyle w:val="BodyText"/>
      </w:pPr>
      <w:r>
        <w:t xml:space="preserve">According to an October 2008 report for the CA Database for Energy Efficiency Resources, a gas </w:t>
      </w:r>
      <w:r w:rsidRPr="00837206">
        <w:t xml:space="preserve">water heater’s lifespan is </w:t>
      </w:r>
      <w:r w:rsidRPr="00837206">
        <w:rPr>
          <w:b/>
        </w:rPr>
        <w:t>1</w:t>
      </w:r>
      <w:r>
        <w:rPr>
          <w:b/>
        </w:rPr>
        <w:t>3</w:t>
      </w:r>
      <w:r w:rsidRPr="00837206">
        <w:rPr>
          <w:b/>
        </w:rPr>
        <w:t xml:space="preserve"> years</w:t>
      </w:r>
      <w:r w:rsidR="009D314F">
        <w:rPr>
          <w:rStyle w:val="FootnoteReference"/>
          <w:b/>
        </w:rPr>
        <w:footnoteReference w:id="58"/>
      </w:r>
      <w:r w:rsidRPr="00837206">
        <w:t>.</w:t>
      </w:r>
    </w:p>
    <w:p w:rsidR="00CD05FA" w:rsidRDefault="00751C57" w:rsidP="00871FA2">
      <w:pPr>
        <w:pStyle w:val="Heading3"/>
      </w:pPr>
      <w:r w:rsidRPr="00837206">
        <w:t>Evaluation Protocols</w:t>
      </w:r>
    </w:p>
    <w:p w:rsidR="00CD05FA" w:rsidRDefault="00751C57">
      <w:pPr>
        <w:pStyle w:val="BodyText"/>
      </w:pPr>
      <w:r w:rsidRPr="00837206">
        <w:t>The most appropriate evaluation protocol for this measure is verification of installation coupled with assignment of stipulated energy savings.</w:t>
      </w:r>
    </w:p>
    <w:p w:rsidR="009D314F" w:rsidRDefault="009D314F">
      <w:pPr>
        <w:overflowPunct/>
        <w:autoSpaceDE/>
        <w:autoSpaceDN/>
        <w:adjustRightInd/>
        <w:spacing w:after="0" w:line="240" w:lineRule="auto"/>
        <w:textAlignment w:val="auto"/>
      </w:pPr>
    </w:p>
    <w:p w:rsidR="00CD05FA" w:rsidRDefault="00716DAB" w:rsidP="00E568D4">
      <w:pPr>
        <w:pStyle w:val="Heading2"/>
      </w:pPr>
      <w:r>
        <w:br w:type="page"/>
      </w:r>
      <w:bookmarkStart w:id="362" w:name="_Toc310875418"/>
      <w:r w:rsidR="009D314F">
        <w:lastRenderedPageBreak/>
        <w:t>Fuel Switching</w:t>
      </w:r>
      <w:r w:rsidR="006A4AFA">
        <w:t>:</w:t>
      </w:r>
      <w:r w:rsidR="009D314F">
        <w:t xml:space="preserve"> </w:t>
      </w:r>
      <w:r w:rsidR="009D314F" w:rsidRPr="008075FC">
        <w:t>Heat Pump</w:t>
      </w:r>
      <w:r w:rsidR="00761F5D" w:rsidRPr="008075FC">
        <w:t xml:space="preserve"> Water Heater</w:t>
      </w:r>
      <w:r w:rsidR="009D314F" w:rsidRPr="008075FC">
        <w:t xml:space="preserve"> to Gas</w:t>
      </w:r>
      <w:r w:rsidR="00CF3E49" w:rsidRPr="008075FC">
        <w:t xml:space="preserve"> Water</w:t>
      </w:r>
      <w:r w:rsidR="00CF3E49">
        <w:t xml:space="preserve"> Heater</w:t>
      </w:r>
      <w:bookmarkEnd w:id="36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5958"/>
      </w:tblGrid>
      <w:tr w:rsidR="009D314F" w:rsidRPr="00C465DB" w:rsidTr="00F84A22">
        <w:trPr>
          <w:jc w:val="center"/>
        </w:trPr>
        <w:tc>
          <w:tcPr>
            <w:tcW w:w="2898" w:type="dxa"/>
            <w:shd w:val="clear" w:color="auto" w:fill="BFBFBF"/>
          </w:tcPr>
          <w:p w:rsidR="00CD05FA" w:rsidRPr="001D6512" w:rsidRDefault="0038789E" w:rsidP="00F84A22">
            <w:pPr>
              <w:pStyle w:val="TableCell"/>
              <w:spacing w:before="60" w:after="60"/>
              <w:rPr>
                <w:b/>
                <w:sz w:val="20"/>
              </w:rPr>
            </w:pPr>
            <w:r w:rsidRPr="001D6512">
              <w:rPr>
                <w:b/>
              </w:rPr>
              <w:t>Measure Name</w:t>
            </w:r>
          </w:p>
        </w:tc>
        <w:tc>
          <w:tcPr>
            <w:tcW w:w="5958" w:type="dxa"/>
            <w:shd w:val="clear" w:color="auto" w:fill="BFBFBF"/>
          </w:tcPr>
          <w:p w:rsidR="00CD05FA" w:rsidRPr="001D6512" w:rsidRDefault="0038789E" w:rsidP="00761F5D">
            <w:pPr>
              <w:pStyle w:val="TableCell"/>
              <w:spacing w:before="60" w:after="60"/>
              <w:rPr>
                <w:b/>
                <w:sz w:val="20"/>
              </w:rPr>
            </w:pPr>
            <w:r w:rsidRPr="001D6512">
              <w:rPr>
                <w:b/>
              </w:rPr>
              <w:t>Fuel Switching</w:t>
            </w:r>
            <w:r w:rsidR="006A4AFA" w:rsidRPr="001D6512">
              <w:rPr>
                <w:b/>
              </w:rPr>
              <w:t>:</w:t>
            </w:r>
            <w:r w:rsidRPr="001D6512">
              <w:rPr>
                <w:b/>
              </w:rPr>
              <w:t xml:space="preserve"> Heat Pump </w:t>
            </w:r>
            <w:r w:rsidR="00761F5D" w:rsidRPr="001D6512">
              <w:rPr>
                <w:b/>
              </w:rPr>
              <w:t xml:space="preserve">Water Heater </w:t>
            </w:r>
            <w:r w:rsidRPr="001D6512">
              <w:rPr>
                <w:b/>
              </w:rPr>
              <w:t>to Gas</w:t>
            </w:r>
            <w:r w:rsidR="00652718" w:rsidRPr="001D6512">
              <w:rPr>
                <w:b/>
              </w:rPr>
              <w:t xml:space="preserve"> Water Heater</w:t>
            </w:r>
          </w:p>
        </w:tc>
      </w:tr>
      <w:tr w:rsidR="009D314F" w:rsidRPr="00C465DB" w:rsidTr="00F84A22">
        <w:trPr>
          <w:jc w:val="center"/>
        </w:trPr>
        <w:tc>
          <w:tcPr>
            <w:tcW w:w="2898" w:type="dxa"/>
            <w:shd w:val="clear" w:color="auto" w:fill="auto"/>
          </w:tcPr>
          <w:p w:rsidR="00CD05FA" w:rsidRPr="001D6512" w:rsidRDefault="009D314F" w:rsidP="00F84A22">
            <w:pPr>
              <w:pStyle w:val="TableCell"/>
              <w:spacing w:before="60" w:after="60"/>
              <w:rPr>
                <w:sz w:val="20"/>
              </w:rPr>
            </w:pPr>
            <w:r w:rsidRPr="001D6512">
              <w:t>Target Sector</w:t>
            </w:r>
          </w:p>
        </w:tc>
        <w:tc>
          <w:tcPr>
            <w:tcW w:w="5958" w:type="dxa"/>
            <w:shd w:val="clear" w:color="auto" w:fill="auto"/>
          </w:tcPr>
          <w:p w:rsidR="00CD05FA" w:rsidRPr="001D6512" w:rsidRDefault="009D314F" w:rsidP="00F84A22">
            <w:pPr>
              <w:pStyle w:val="TableCell"/>
              <w:spacing w:before="60" w:after="60"/>
              <w:rPr>
                <w:rFonts w:eastAsia="Arial Unicode MS" w:cs="Arial"/>
                <w:i/>
                <w:iCs/>
                <w:sz w:val="20"/>
                <w:szCs w:val="24"/>
              </w:rPr>
            </w:pPr>
            <w:r w:rsidRPr="001D6512">
              <w:t>Residential</w:t>
            </w:r>
          </w:p>
        </w:tc>
      </w:tr>
      <w:tr w:rsidR="009D314F" w:rsidRPr="00C465DB" w:rsidTr="00F84A22">
        <w:trPr>
          <w:jc w:val="center"/>
        </w:trPr>
        <w:tc>
          <w:tcPr>
            <w:tcW w:w="2898" w:type="dxa"/>
            <w:shd w:val="clear" w:color="auto" w:fill="auto"/>
          </w:tcPr>
          <w:p w:rsidR="00CD05FA" w:rsidRPr="001D6512" w:rsidRDefault="009D314F" w:rsidP="00F84A22">
            <w:pPr>
              <w:pStyle w:val="TableCell"/>
              <w:spacing w:before="60" w:after="60"/>
              <w:rPr>
                <w:sz w:val="20"/>
              </w:rPr>
            </w:pPr>
            <w:r w:rsidRPr="001D6512">
              <w:t>Measure Unit</w:t>
            </w:r>
          </w:p>
        </w:tc>
        <w:tc>
          <w:tcPr>
            <w:tcW w:w="5958" w:type="dxa"/>
            <w:shd w:val="clear" w:color="auto" w:fill="auto"/>
          </w:tcPr>
          <w:p w:rsidR="00CD05FA" w:rsidRPr="001D6512" w:rsidRDefault="009D314F" w:rsidP="00F84A22">
            <w:pPr>
              <w:pStyle w:val="TableCell"/>
              <w:spacing w:before="60" w:after="60"/>
              <w:rPr>
                <w:rFonts w:eastAsia="Arial Unicode MS" w:cs="Arial"/>
                <w:i/>
                <w:iCs/>
                <w:sz w:val="20"/>
                <w:szCs w:val="24"/>
              </w:rPr>
            </w:pPr>
            <w:r w:rsidRPr="001D6512">
              <w:t>Water Heater</w:t>
            </w:r>
          </w:p>
        </w:tc>
      </w:tr>
      <w:tr w:rsidR="009D314F" w:rsidRPr="00C465DB" w:rsidTr="00F84A22">
        <w:trPr>
          <w:jc w:val="center"/>
        </w:trPr>
        <w:tc>
          <w:tcPr>
            <w:tcW w:w="2898" w:type="dxa"/>
            <w:shd w:val="clear" w:color="auto" w:fill="auto"/>
          </w:tcPr>
          <w:p w:rsidR="00CD05FA" w:rsidRPr="001D6512" w:rsidRDefault="009D314F" w:rsidP="00F84A22">
            <w:pPr>
              <w:pStyle w:val="TableCell"/>
              <w:spacing w:before="60" w:after="60"/>
              <w:rPr>
                <w:sz w:val="20"/>
              </w:rPr>
            </w:pPr>
            <w:r w:rsidRPr="001D6512">
              <w:t>Unit Energy Savings</w:t>
            </w:r>
          </w:p>
        </w:tc>
        <w:tc>
          <w:tcPr>
            <w:tcW w:w="5958" w:type="dxa"/>
            <w:shd w:val="clear" w:color="auto" w:fill="auto"/>
          </w:tcPr>
          <w:p w:rsidR="00CD05FA" w:rsidRPr="001D6512" w:rsidRDefault="00FC60CE" w:rsidP="00F84A22">
            <w:pPr>
              <w:pStyle w:val="TableCell"/>
              <w:spacing w:before="60" w:after="60"/>
              <w:rPr>
                <w:rFonts w:eastAsia="Arial Unicode MS" w:cs="Arial"/>
                <w:i/>
                <w:iCs/>
                <w:sz w:val="20"/>
                <w:szCs w:val="24"/>
              </w:rPr>
            </w:pPr>
            <w:r w:rsidRPr="001D6512">
              <w:t xml:space="preserve">2208 </w:t>
            </w:r>
            <w:r w:rsidR="009D314F" w:rsidRPr="001D6512">
              <w:t>kWh</w:t>
            </w:r>
          </w:p>
        </w:tc>
      </w:tr>
      <w:tr w:rsidR="009D314F" w:rsidRPr="00C465DB" w:rsidTr="00F84A22">
        <w:trPr>
          <w:jc w:val="center"/>
        </w:trPr>
        <w:tc>
          <w:tcPr>
            <w:tcW w:w="2898" w:type="dxa"/>
            <w:shd w:val="clear" w:color="auto" w:fill="auto"/>
          </w:tcPr>
          <w:p w:rsidR="00CD05FA" w:rsidRPr="001D6512" w:rsidRDefault="009D314F" w:rsidP="00F84A22">
            <w:pPr>
              <w:pStyle w:val="TableCell"/>
              <w:spacing w:before="60" w:after="60"/>
              <w:rPr>
                <w:sz w:val="20"/>
              </w:rPr>
            </w:pPr>
            <w:r w:rsidRPr="001D6512">
              <w:t>Unit Peak Demand Reduction</w:t>
            </w:r>
          </w:p>
        </w:tc>
        <w:tc>
          <w:tcPr>
            <w:tcW w:w="5958" w:type="dxa"/>
            <w:shd w:val="clear" w:color="auto" w:fill="auto"/>
          </w:tcPr>
          <w:p w:rsidR="00CD05FA" w:rsidRPr="001D6512" w:rsidRDefault="00FC60CE" w:rsidP="00F84A22">
            <w:pPr>
              <w:pStyle w:val="TableCell"/>
              <w:spacing w:before="60" w:after="60"/>
              <w:rPr>
                <w:rFonts w:eastAsia="Arial Unicode MS" w:cs="Arial"/>
                <w:i/>
                <w:iCs/>
                <w:sz w:val="20"/>
                <w:szCs w:val="24"/>
              </w:rPr>
            </w:pPr>
            <w:r w:rsidRPr="001D6512">
              <w:t>0.203</w:t>
            </w:r>
            <w:r w:rsidR="009D314F" w:rsidRPr="001D6512">
              <w:t xml:space="preserve"> kW</w:t>
            </w:r>
          </w:p>
        </w:tc>
      </w:tr>
      <w:tr w:rsidR="009D314F" w:rsidRPr="00C465DB" w:rsidTr="00F84A22">
        <w:trPr>
          <w:jc w:val="center"/>
        </w:trPr>
        <w:tc>
          <w:tcPr>
            <w:tcW w:w="2898" w:type="dxa"/>
            <w:shd w:val="clear" w:color="auto" w:fill="auto"/>
          </w:tcPr>
          <w:p w:rsidR="00CD05FA" w:rsidRPr="001D6512" w:rsidRDefault="009D314F" w:rsidP="00F84A22">
            <w:pPr>
              <w:pStyle w:val="TableCell"/>
              <w:spacing w:before="60" w:after="60"/>
              <w:rPr>
                <w:sz w:val="20"/>
              </w:rPr>
            </w:pPr>
            <w:r w:rsidRPr="001D6512">
              <w:t>Gas Consumption Increase</w:t>
            </w:r>
          </w:p>
        </w:tc>
        <w:tc>
          <w:tcPr>
            <w:tcW w:w="5958" w:type="dxa"/>
            <w:shd w:val="clear" w:color="auto" w:fill="auto"/>
          </w:tcPr>
          <w:p w:rsidR="00CD05FA" w:rsidRPr="001D6512" w:rsidRDefault="009D314F" w:rsidP="00F84A22">
            <w:pPr>
              <w:pStyle w:val="TableCell"/>
              <w:spacing w:before="60" w:after="60"/>
              <w:rPr>
                <w:rFonts w:eastAsia="Arial Unicode MS" w:cs="Arial"/>
                <w:i/>
                <w:iCs/>
                <w:sz w:val="20"/>
                <w:szCs w:val="24"/>
              </w:rPr>
            </w:pPr>
            <w:r w:rsidRPr="001D6512">
              <w:t>21.32 MMBtu</w:t>
            </w:r>
          </w:p>
        </w:tc>
      </w:tr>
      <w:tr w:rsidR="009D314F" w:rsidRPr="00C465DB" w:rsidTr="00F84A22">
        <w:trPr>
          <w:jc w:val="center"/>
        </w:trPr>
        <w:tc>
          <w:tcPr>
            <w:tcW w:w="2898" w:type="dxa"/>
            <w:shd w:val="clear" w:color="auto" w:fill="auto"/>
          </w:tcPr>
          <w:p w:rsidR="00CD05FA" w:rsidRPr="001D6512" w:rsidRDefault="009D314F" w:rsidP="00F84A22">
            <w:pPr>
              <w:pStyle w:val="TableCell"/>
              <w:spacing w:before="60" w:after="60"/>
              <w:rPr>
                <w:sz w:val="20"/>
              </w:rPr>
            </w:pPr>
            <w:r w:rsidRPr="001D6512">
              <w:t>Measure Life</w:t>
            </w:r>
          </w:p>
        </w:tc>
        <w:tc>
          <w:tcPr>
            <w:tcW w:w="5958" w:type="dxa"/>
            <w:shd w:val="clear" w:color="auto" w:fill="auto"/>
          </w:tcPr>
          <w:p w:rsidR="00CD05FA" w:rsidRPr="001D6512" w:rsidRDefault="009D314F" w:rsidP="00F84A22">
            <w:pPr>
              <w:pStyle w:val="TableCell"/>
              <w:spacing w:before="60" w:after="60"/>
              <w:rPr>
                <w:rFonts w:eastAsia="Arial Unicode MS" w:cs="Arial"/>
                <w:i/>
                <w:iCs/>
                <w:sz w:val="20"/>
                <w:szCs w:val="24"/>
              </w:rPr>
            </w:pPr>
            <w:r w:rsidRPr="001D6512">
              <w:t>13 years</w:t>
            </w:r>
          </w:p>
        </w:tc>
      </w:tr>
    </w:tbl>
    <w:p w:rsidR="00CD05FA" w:rsidRDefault="00CD05FA" w:rsidP="00896814"/>
    <w:p w:rsidR="00CD05FA" w:rsidRDefault="009D314F">
      <w:pPr>
        <w:pStyle w:val="BodyText"/>
      </w:pPr>
      <w:r>
        <w:t>Natural gas water heaters reduce electric energy and demand compared to heat pump water heaters.  Standard heat pump water heaters have energy factors of 2.0 and a federal standard efficiency gas water heater has an energy factor of 0.594 for a 40gal unit.</w:t>
      </w:r>
    </w:p>
    <w:p w:rsidR="00CD05FA" w:rsidRDefault="008F099F" w:rsidP="00871FA2">
      <w:pPr>
        <w:pStyle w:val="Heading3"/>
      </w:pPr>
      <w:r>
        <w:t>Eligibility</w:t>
      </w:r>
    </w:p>
    <w:p w:rsidR="00CD05FA" w:rsidRDefault="009D314F">
      <w:pPr>
        <w:pStyle w:val="BodyText"/>
      </w:pPr>
      <w:r w:rsidRPr="00837206">
        <w:t xml:space="preserve">This </w:t>
      </w:r>
      <w:r w:rsidR="00473894">
        <w:t>protocol</w:t>
      </w:r>
      <w:r w:rsidRPr="00837206">
        <w:t xml:space="preserve"> documents the energy savings attributed to </w:t>
      </w:r>
      <w:r>
        <w:t>converting from a standard heat pump</w:t>
      </w:r>
      <w:r w:rsidRPr="00837206">
        <w:t xml:space="preserve"> water heater with Energy Factor of </w:t>
      </w:r>
      <w:r>
        <w:t xml:space="preserve">2.0 </w:t>
      </w:r>
      <w:r w:rsidRPr="00837206">
        <w:t>or greater</w:t>
      </w:r>
      <w:r>
        <w:t xml:space="preserve"> to a standard natural gas water heater with Energy Factor of 0.594 or greater.</w:t>
      </w:r>
      <w:r w:rsidRPr="00837206">
        <w:t xml:space="preserve"> </w:t>
      </w:r>
      <w:r>
        <w:t xml:space="preserve"> The target sector primarily consists of single-family residences.</w:t>
      </w:r>
    </w:p>
    <w:p w:rsidR="00CD05FA" w:rsidRDefault="008F099F" w:rsidP="00871FA2">
      <w:pPr>
        <w:pStyle w:val="Heading3"/>
      </w:pPr>
      <w:r>
        <w:t>Algorithms</w:t>
      </w:r>
    </w:p>
    <w:p w:rsidR="00CD05FA" w:rsidRDefault="009D314F">
      <w:pPr>
        <w:pStyle w:val="BodyText"/>
      </w:pPr>
      <w:r>
        <w:t>The energy savings calculation utilizes average</w:t>
      </w:r>
      <w:r w:rsidRPr="00837206">
        <w:t xml:space="preserve"> performance data for available residential </w:t>
      </w:r>
      <w:r>
        <w:t xml:space="preserve">standard heat pump </w:t>
      </w:r>
      <w:r w:rsidR="00CF3E49">
        <w:t xml:space="preserve">water heaters </w:t>
      </w:r>
      <w:r>
        <w:t xml:space="preserve">and natural gas </w:t>
      </w:r>
      <w:r w:rsidRPr="00837206">
        <w:t>water heaters and typical water usage for residential homes</w:t>
      </w:r>
      <w:r>
        <w:t>.</w:t>
      </w:r>
      <w:r w:rsidRPr="00837206">
        <w:t xml:space="preserve"> </w:t>
      </w:r>
      <w:r>
        <w:t xml:space="preserve">Because there is little electric energy associated with a natural gas water heater, the energy savings are the full energy utilization of the heat pump water heater.  </w:t>
      </w:r>
      <w:r w:rsidRPr="00837206">
        <w:t xml:space="preserve">The energy savings </w:t>
      </w:r>
      <w:r>
        <w:t>are</w:t>
      </w:r>
      <w:r w:rsidRPr="00837206">
        <w:t xml:space="preserve"> obtained through the following </w:t>
      </w:r>
      <w:r>
        <w:t>formula</w:t>
      </w:r>
      <w:r w:rsidRPr="00837206">
        <w:t>:</w:t>
      </w:r>
    </w:p>
    <w:p w:rsidR="00CD05FA" w:rsidRPr="003C7C58" w:rsidRDefault="003C7C58">
      <w:pPr>
        <w:pStyle w:val="Equation"/>
        <w:ind w:left="0" w:firstLine="0"/>
        <w:rPr>
          <w:i w:val="0"/>
        </w:rPr>
      </w:pPr>
      <m:oMathPara>
        <m:oMathParaPr>
          <m:jc m:val="left"/>
        </m:oMathParaPr>
        <m:oMath>
          <m:r>
            <m:rPr>
              <m:nor/>
            </m:rPr>
            <w:rPr>
              <w:rFonts w:cs="Arial"/>
            </w:rPr>
            <w:sym w:font="Symbol" w:char="F044"/>
          </m:r>
          <m:r>
            <m:rPr>
              <m:nor/>
            </m:rPr>
            <w:rPr>
              <w:rFonts w:cs="Arial"/>
            </w:rPr>
            <m:t>kWh</m:t>
          </m:r>
          <m:r>
            <m:rPr>
              <m:nor/>
            </m:rPr>
            <w:rPr>
              <w:rFonts w:ascii="Cambria Math"/>
            </w:rPr>
            <m:t xml:space="preserve">                                                      </m:t>
          </m:r>
          <m:r>
            <m:rPr>
              <m:nor/>
            </m:rPr>
            <w:rPr>
              <w:rFonts w:asciiTheme="minorHAnsi"/>
            </w:rPr>
            <m:t>=</m:t>
          </m:r>
          <m:r>
            <m:rPr>
              <m:nor/>
            </m:rPr>
            <w:rPr>
              <w:rFonts w:ascii="Cambria Math"/>
            </w:rPr>
            <m:t xml:space="preserve"> </m:t>
          </m:r>
          <m:f>
            <m:fPr>
              <m:ctrlPr>
                <w:rPr>
                  <w:rFonts w:ascii="Cambria Math" w:hAnsi="Cambria Math"/>
                </w:rPr>
              </m:ctrlPr>
            </m:fPr>
            <m:num>
              <m:d>
                <m:dPr>
                  <m:begChr m:val="{"/>
                  <m:endChr m:val="}"/>
                  <m:ctrlPr>
                    <w:rPr>
                      <w:rFonts w:ascii="Cambria Math" w:hAnsi="Cambria Math"/>
                    </w:rPr>
                  </m:ctrlPr>
                </m:dPr>
                <m:e>
                  <m:d>
                    <m:dPr>
                      <m:ctrlPr>
                        <w:rPr>
                          <w:rFonts w:ascii="Cambria Math" w:hAnsi="Cambria Math"/>
                        </w:rPr>
                      </m:ctrlPr>
                    </m:dPr>
                    <m:e>
                      <m:f>
                        <m:fPr>
                          <m:ctrlPr>
                            <w:rPr>
                              <w:rFonts w:ascii="Cambria Math" w:hAnsi="Cambria Math"/>
                            </w:rPr>
                          </m:ctrlPr>
                        </m:fPr>
                        <m:num>
                          <m:r>
                            <m:rPr>
                              <m:nor/>
                            </m:rPr>
                            <w:rPr>
                              <w:rFonts w:asciiTheme="minorHAnsi" w:hAnsiTheme="minorHAnsi"/>
                            </w:rPr>
                            <m:t>1</m:t>
                          </m:r>
                        </m:num>
                        <m:den>
                          <m:sSub>
                            <m:sSubPr>
                              <m:ctrlPr>
                                <w:rPr>
                                  <w:rFonts w:ascii="Cambria Math" w:hAnsi="Cambria Math"/>
                                </w:rPr>
                              </m:ctrlPr>
                            </m:sSubPr>
                            <m:e>
                              <m:r>
                                <m:rPr>
                                  <m:nor/>
                                </m:rPr>
                                <w:rPr>
                                  <w:rFonts w:asciiTheme="minorHAnsi" w:hAnsiTheme="minorHAnsi"/>
                                </w:rPr>
                                <m:t>EF</m:t>
                              </m:r>
                            </m:e>
                            <m:sub>
                              <m:r>
                                <m:rPr>
                                  <m:nor/>
                                </m:rPr>
                                <w:rPr>
                                  <w:rFonts w:asciiTheme="minorHAnsi" w:hAnsiTheme="minorHAnsi"/>
                                </w:rPr>
                                <m:t>HP,bl</m:t>
                              </m:r>
                            </m:sub>
                          </m:sSub>
                          <m:r>
                            <m:rPr>
                              <m:nor/>
                            </m:rPr>
                            <w:rPr>
                              <w:rFonts w:asciiTheme="minorHAnsi" w:hAnsiTheme="minorHAnsi" w:hint="eastAsia"/>
                            </w:rPr>
                            <m:t>×</m:t>
                          </m:r>
                          <m:sSub>
                            <m:sSubPr>
                              <m:ctrlPr>
                                <w:rPr>
                                  <w:rFonts w:ascii="Cambria Math" w:hAnsi="Cambria Math"/>
                                </w:rPr>
                              </m:ctrlPr>
                            </m:sSubPr>
                            <m:e>
                              <m:r>
                                <m:rPr>
                                  <m:nor/>
                                </m:rPr>
                                <w:rPr>
                                  <w:rFonts w:asciiTheme="minorHAnsi" w:hAnsiTheme="minorHAnsi"/>
                                </w:rPr>
                                <m:t>F</m:t>
                              </m:r>
                            </m:e>
                            <m:sub>
                              <m:r>
                                <m:rPr>
                                  <m:nor/>
                                </m:rPr>
                                <w:rPr>
                                  <w:rFonts w:asciiTheme="minorHAnsi" w:hAnsiTheme="minorHAnsi"/>
                                </w:rPr>
                                <m:t>Derate</m:t>
                              </m:r>
                            </m:sub>
                          </m:sSub>
                        </m:den>
                      </m:f>
                    </m:e>
                  </m:d>
                  <m:r>
                    <m:rPr>
                      <m:nor/>
                    </m:rPr>
                    <w:rPr>
                      <w:rFonts w:asciiTheme="minorHAnsi" w:hint="eastAsia"/>
                    </w:rPr>
                    <m:t>×</m:t>
                  </m:r>
                  <m:d>
                    <m:dPr>
                      <m:ctrlPr>
                        <w:rPr>
                          <w:rFonts w:ascii="Cambria Math" w:hAnsi="Cambria Math"/>
                        </w:rPr>
                      </m:ctrlPr>
                    </m:dPr>
                    <m:e>
                      <m:r>
                        <m:rPr>
                          <m:nor/>
                        </m:rPr>
                        <w:rPr>
                          <w:rFonts w:asciiTheme="minorHAnsi" w:hAnsiTheme="minorHAnsi"/>
                        </w:rPr>
                        <m:t>HW</m:t>
                      </m:r>
                      <m:r>
                        <m:rPr>
                          <m:nor/>
                        </m:rPr>
                        <w:rPr>
                          <w:rFonts w:asciiTheme="minorHAnsi" w:hint="eastAsia"/>
                        </w:rPr>
                        <m:t>×</m:t>
                      </m:r>
                      <m:r>
                        <m:rPr>
                          <m:nor/>
                        </m:rPr>
                        <w:rPr>
                          <w:rFonts w:asciiTheme="minorHAnsi" w:hAnsiTheme="minorHAnsi"/>
                        </w:rPr>
                        <m:t>365</m:t>
                      </m:r>
                      <m:r>
                        <m:rPr>
                          <m:nor/>
                        </m:rPr>
                        <w:rPr>
                          <w:rFonts w:asciiTheme="minorHAnsi" w:hint="eastAsia"/>
                        </w:rPr>
                        <m:t>×</m:t>
                      </m:r>
                      <m:r>
                        <m:rPr>
                          <m:nor/>
                        </m:rPr>
                        <w:rPr>
                          <w:rFonts w:asciiTheme="minorHAnsi" w:hAnsiTheme="minorHAnsi"/>
                        </w:rPr>
                        <m:t>8.3</m:t>
                      </m:r>
                      <m:f>
                        <m:fPr>
                          <m:ctrlPr>
                            <w:rPr>
                              <w:rFonts w:ascii="Cambria Math" w:hAnsi="Cambria Math"/>
                            </w:rPr>
                          </m:ctrlPr>
                        </m:fPr>
                        <m:num>
                          <m:r>
                            <m:rPr>
                              <m:nor/>
                            </m:rPr>
                            <w:rPr>
                              <w:rFonts w:asciiTheme="minorHAnsi" w:hAnsiTheme="minorHAnsi"/>
                            </w:rPr>
                            <m:t>lb</m:t>
                          </m:r>
                        </m:num>
                        <m:den>
                          <m:r>
                            <m:rPr>
                              <m:nor/>
                            </m:rPr>
                            <w:rPr>
                              <w:rFonts w:asciiTheme="minorHAnsi" w:hAnsiTheme="minorHAnsi"/>
                            </w:rPr>
                            <m:t>gal</m:t>
                          </m:r>
                        </m:den>
                      </m:f>
                      <m:r>
                        <m:rPr>
                          <m:nor/>
                        </m:rPr>
                        <w:rPr>
                          <w:rFonts w:asciiTheme="minorHAnsi" w:hint="eastAsia"/>
                        </w:rPr>
                        <m:t>×</m:t>
                      </m:r>
                      <m:d>
                        <m:dPr>
                          <m:ctrlPr>
                            <w:rPr>
                              <w:rFonts w:ascii="Cambria Math" w:hAnsi="Cambria Math"/>
                            </w:rPr>
                          </m:ctrlPr>
                        </m:dPr>
                        <m:e>
                          <m:sSub>
                            <m:sSubPr>
                              <m:ctrlPr>
                                <w:rPr>
                                  <w:rFonts w:ascii="Cambria Math" w:hAnsi="Cambria Math"/>
                                </w:rPr>
                              </m:ctrlPr>
                            </m:sSubPr>
                            <m:e>
                              <m:r>
                                <m:rPr>
                                  <m:nor/>
                                </m:rPr>
                                <w:rPr>
                                  <w:rFonts w:asciiTheme="minorHAnsi" w:hAnsiTheme="minorHAnsi"/>
                                </w:rPr>
                                <m:t>T</m:t>
                              </m:r>
                            </m:e>
                            <m:sub>
                              <m:r>
                                <m:rPr>
                                  <m:nor/>
                                </m:rPr>
                                <w:rPr>
                                  <w:rFonts w:asciiTheme="minorHAnsi" w:hAnsiTheme="minorHAnsi"/>
                                </w:rPr>
                                <m:t>hot</m:t>
                              </m:r>
                            </m:sub>
                          </m:sSub>
                          <m:r>
                            <m:rPr>
                              <m:nor/>
                            </m:rPr>
                            <w:rPr>
                              <w:rFonts w:asciiTheme="minorHAnsi" w:hAnsiTheme="minorHAnsi"/>
                            </w:rPr>
                            <m:t>-</m:t>
                          </m:r>
                          <m:sSub>
                            <m:sSubPr>
                              <m:ctrlPr>
                                <w:rPr>
                                  <w:rFonts w:ascii="Cambria Math" w:hAnsi="Cambria Math"/>
                                </w:rPr>
                              </m:ctrlPr>
                            </m:sSubPr>
                            <m:e>
                              <m:r>
                                <m:rPr>
                                  <m:nor/>
                                </m:rPr>
                                <w:rPr>
                                  <w:rFonts w:asciiTheme="minorHAnsi" w:hAnsiTheme="minorHAnsi"/>
                                </w:rPr>
                                <m:t>T</m:t>
                              </m:r>
                            </m:e>
                            <m:sub>
                              <m:r>
                                <m:rPr>
                                  <m:nor/>
                                </m:rPr>
                                <w:rPr>
                                  <w:rFonts w:asciiTheme="minorHAnsi" w:hAnsiTheme="minorHAnsi"/>
                                </w:rPr>
                                <m:t>cold</m:t>
                              </m:r>
                            </m:sub>
                          </m:sSub>
                        </m:e>
                      </m:d>
                    </m:e>
                  </m:d>
                </m:e>
              </m:d>
            </m:num>
            <m:den>
              <m:r>
                <m:rPr>
                  <m:nor/>
                </m:rPr>
                <w:rPr>
                  <w:rFonts w:asciiTheme="minorHAnsi" w:hAnsiTheme="minorHAnsi"/>
                </w:rPr>
                <m:t>3413</m:t>
              </m:r>
              <m:f>
                <m:fPr>
                  <m:ctrlPr>
                    <w:rPr>
                      <w:rFonts w:ascii="Cambria Math" w:hAnsi="Cambria Math"/>
                    </w:rPr>
                  </m:ctrlPr>
                </m:fPr>
                <m:num>
                  <m:r>
                    <m:rPr>
                      <m:nor/>
                    </m:rPr>
                    <w:rPr>
                      <w:rFonts w:asciiTheme="minorHAnsi" w:hAnsiTheme="minorHAnsi"/>
                    </w:rPr>
                    <m:t>Btu</m:t>
                  </m:r>
                </m:num>
                <m:den>
                  <m:r>
                    <m:rPr>
                      <m:nor/>
                    </m:rPr>
                    <w:rPr>
                      <w:rFonts w:asciiTheme="minorHAnsi" w:hAnsiTheme="minorHAnsi"/>
                    </w:rPr>
                    <m:t>kWh</m:t>
                  </m:r>
                </m:den>
              </m:f>
            </m:den>
          </m:f>
        </m:oMath>
      </m:oMathPara>
    </w:p>
    <w:p w:rsidR="00CD05FA" w:rsidRDefault="009D314F">
      <w:pPr>
        <w:pStyle w:val="BodyText"/>
      </w:pPr>
      <w:r>
        <w:t>Although there is a significant electric savings, there is an associated increase in natural gas energy consumption.  While this gas consumption does not count against PA Act 129 energy savings, it is expected to be used in the program TRC test. The increased natural gas energy is obtained through the following formula:</w:t>
      </w:r>
    </w:p>
    <w:p w:rsidR="00CD05FA" w:rsidRPr="003C7C58" w:rsidRDefault="00D74AE2">
      <w:pPr>
        <w:pStyle w:val="Equation"/>
        <w:ind w:left="0" w:firstLine="0"/>
        <w:rPr>
          <w:i w:val="0"/>
        </w:rPr>
      </w:pPr>
      <m:oMathPara>
        <m:oMathParaPr>
          <m:jc m:val="left"/>
        </m:oMathParaPr>
        <m:oMath>
          <m:r>
            <m:rPr>
              <m:nor/>
            </m:rPr>
            <w:rPr>
              <w:rFonts w:asciiTheme="minorHAnsi" w:hAnsiTheme="minorHAnsi"/>
            </w:rPr>
            <m:t>Gas Consumption (MMBtu)</m:t>
          </m:r>
          <m:r>
            <m:rPr>
              <m:nor/>
            </m:rPr>
            <w:rPr>
              <w:rFonts w:ascii="Cambria Math"/>
            </w:rPr>
            <m:t xml:space="preserve">           </m:t>
          </m:r>
          <m:r>
            <m:rPr>
              <m:nor/>
            </m:rPr>
            <w:rPr>
              <w:rFonts w:asciiTheme="minorHAnsi"/>
            </w:rPr>
            <m:t>=</m:t>
          </m:r>
          <m:f>
            <m:fPr>
              <m:ctrlPr>
                <w:rPr>
                  <w:rFonts w:ascii="Cambria Math" w:hAnsi="Cambria Math"/>
                </w:rPr>
              </m:ctrlPr>
            </m:fPr>
            <m:num>
              <m:d>
                <m:dPr>
                  <m:begChr m:val="{"/>
                  <m:endChr m:val="}"/>
                  <m:ctrlPr>
                    <w:rPr>
                      <w:rFonts w:ascii="Cambria Math" w:hAnsi="Cambria Math"/>
                    </w:rPr>
                  </m:ctrlPr>
                </m:dPr>
                <m:e>
                  <m:d>
                    <m:dPr>
                      <m:ctrlPr>
                        <w:rPr>
                          <w:rFonts w:ascii="Cambria Math" w:hAnsi="Cambria Math"/>
                        </w:rPr>
                      </m:ctrlPr>
                    </m:dPr>
                    <m:e>
                      <m:f>
                        <m:fPr>
                          <m:ctrlPr>
                            <w:rPr>
                              <w:rFonts w:ascii="Cambria Math" w:hAnsi="Cambria Math"/>
                            </w:rPr>
                          </m:ctrlPr>
                        </m:fPr>
                        <m:num>
                          <m:r>
                            <m:rPr>
                              <m:nor/>
                            </m:rPr>
                            <w:rPr>
                              <w:rFonts w:asciiTheme="minorHAnsi" w:hAnsiTheme="minorHAnsi"/>
                            </w:rPr>
                            <m:t>1</m:t>
                          </m:r>
                        </m:num>
                        <m:den>
                          <m:sSub>
                            <m:sSubPr>
                              <m:ctrlPr>
                                <w:rPr>
                                  <w:rFonts w:ascii="Cambria Math" w:hAnsi="Cambria Math"/>
                                </w:rPr>
                              </m:ctrlPr>
                            </m:sSubPr>
                            <m:e>
                              <m:r>
                                <m:rPr>
                                  <m:nor/>
                                </m:rPr>
                                <w:rPr>
                                  <w:rFonts w:asciiTheme="minorHAnsi" w:hAnsiTheme="minorHAnsi"/>
                                </w:rPr>
                                <m:t>EF</m:t>
                              </m:r>
                            </m:e>
                            <m:sub>
                              <m:r>
                                <m:rPr>
                                  <m:nor/>
                                </m:rPr>
                                <w:rPr>
                                  <w:rFonts w:asciiTheme="minorHAnsi" w:hAnsiTheme="minorHAnsi"/>
                                </w:rPr>
                                <m:t>NG,inst</m:t>
                              </m:r>
                            </m:sub>
                          </m:sSub>
                        </m:den>
                      </m:f>
                    </m:e>
                  </m:d>
                  <m:r>
                    <m:rPr>
                      <m:nor/>
                    </m:rPr>
                    <w:rPr>
                      <w:rFonts w:asciiTheme="minorHAnsi" w:hint="eastAsia"/>
                    </w:rPr>
                    <m:t>×</m:t>
                  </m:r>
                  <m:d>
                    <m:dPr>
                      <m:ctrlPr>
                        <w:rPr>
                          <w:rFonts w:ascii="Cambria Math" w:hAnsi="Cambria Math"/>
                        </w:rPr>
                      </m:ctrlPr>
                    </m:dPr>
                    <m:e>
                      <m:r>
                        <m:rPr>
                          <m:nor/>
                        </m:rPr>
                        <w:rPr>
                          <w:rFonts w:asciiTheme="minorHAnsi" w:hAnsiTheme="minorHAnsi"/>
                        </w:rPr>
                        <m:t>HW</m:t>
                      </m:r>
                      <m:r>
                        <m:rPr>
                          <m:nor/>
                        </m:rPr>
                        <w:rPr>
                          <w:rFonts w:asciiTheme="minorHAnsi" w:hint="eastAsia"/>
                        </w:rPr>
                        <m:t>×</m:t>
                      </m:r>
                      <m:r>
                        <m:rPr>
                          <m:nor/>
                        </m:rPr>
                        <w:rPr>
                          <w:rFonts w:asciiTheme="minorHAnsi" w:hAnsiTheme="minorHAnsi"/>
                        </w:rPr>
                        <m:t>365</m:t>
                      </m:r>
                      <m:r>
                        <m:rPr>
                          <m:nor/>
                        </m:rPr>
                        <w:rPr>
                          <w:rFonts w:asciiTheme="minorHAnsi" w:hint="eastAsia"/>
                        </w:rPr>
                        <m:t>×</m:t>
                      </m:r>
                      <m:r>
                        <m:rPr>
                          <m:nor/>
                        </m:rPr>
                        <w:rPr>
                          <w:rFonts w:asciiTheme="minorHAnsi" w:hAnsiTheme="minorHAnsi"/>
                        </w:rPr>
                        <m:t>8.3</m:t>
                      </m:r>
                      <m:f>
                        <m:fPr>
                          <m:ctrlPr>
                            <w:rPr>
                              <w:rFonts w:ascii="Cambria Math" w:hAnsi="Cambria Math"/>
                            </w:rPr>
                          </m:ctrlPr>
                        </m:fPr>
                        <m:num>
                          <m:r>
                            <m:rPr>
                              <m:nor/>
                            </m:rPr>
                            <w:rPr>
                              <w:rFonts w:asciiTheme="minorHAnsi" w:hAnsiTheme="minorHAnsi"/>
                            </w:rPr>
                            <m:t>lb</m:t>
                          </m:r>
                        </m:num>
                        <m:den>
                          <m:r>
                            <m:rPr>
                              <m:nor/>
                            </m:rPr>
                            <w:rPr>
                              <w:rFonts w:asciiTheme="minorHAnsi" w:hAnsiTheme="minorHAnsi"/>
                            </w:rPr>
                            <m:t>gal</m:t>
                          </m:r>
                        </m:den>
                      </m:f>
                      <m:r>
                        <m:rPr>
                          <m:nor/>
                        </m:rPr>
                        <w:rPr>
                          <w:rFonts w:asciiTheme="minorHAnsi" w:hint="eastAsia"/>
                        </w:rPr>
                        <m:t>×</m:t>
                      </m:r>
                      <m:d>
                        <m:dPr>
                          <m:ctrlPr>
                            <w:rPr>
                              <w:rFonts w:ascii="Cambria Math" w:hAnsi="Cambria Math"/>
                            </w:rPr>
                          </m:ctrlPr>
                        </m:dPr>
                        <m:e>
                          <m:sSub>
                            <m:sSubPr>
                              <m:ctrlPr>
                                <w:rPr>
                                  <w:rFonts w:ascii="Cambria Math" w:hAnsi="Cambria Math"/>
                                </w:rPr>
                              </m:ctrlPr>
                            </m:sSubPr>
                            <m:e>
                              <m:r>
                                <m:rPr>
                                  <m:nor/>
                                </m:rPr>
                                <w:rPr>
                                  <w:rFonts w:asciiTheme="minorHAnsi" w:hAnsiTheme="minorHAnsi"/>
                                </w:rPr>
                                <m:t>T</m:t>
                              </m:r>
                            </m:e>
                            <m:sub>
                              <m:r>
                                <m:rPr>
                                  <m:nor/>
                                </m:rPr>
                                <w:rPr>
                                  <w:rFonts w:asciiTheme="minorHAnsi" w:hAnsiTheme="minorHAnsi"/>
                                </w:rPr>
                                <m:t>hot</m:t>
                              </m:r>
                            </m:sub>
                          </m:sSub>
                          <m:r>
                            <m:rPr>
                              <m:nor/>
                            </m:rPr>
                            <w:rPr>
                              <w:rFonts w:asciiTheme="minorHAnsi" w:hAnsiTheme="minorHAnsi"/>
                            </w:rPr>
                            <m:t>-</m:t>
                          </m:r>
                          <m:sSub>
                            <m:sSubPr>
                              <m:ctrlPr>
                                <w:rPr>
                                  <w:rFonts w:ascii="Cambria Math" w:hAnsi="Cambria Math"/>
                                </w:rPr>
                              </m:ctrlPr>
                            </m:sSubPr>
                            <m:e>
                              <m:r>
                                <m:rPr>
                                  <m:nor/>
                                </m:rPr>
                                <w:rPr>
                                  <w:rFonts w:asciiTheme="minorHAnsi" w:hAnsiTheme="minorHAnsi"/>
                                </w:rPr>
                                <m:t>T</m:t>
                              </m:r>
                            </m:e>
                            <m:sub>
                              <m:r>
                                <m:rPr>
                                  <m:nor/>
                                </m:rPr>
                                <w:rPr>
                                  <w:rFonts w:asciiTheme="minorHAnsi" w:hAnsiTheme="minorHAnsi"/>
                                </w:rPr>
                                <m:t>cold</m:t>
                              </m:r>
                            </m:sub>
                          </m:sSub>
                        </m:e>
                      </m:d>
                    </m:e>
                  </m:d>
                </m:e>
              </m:d>
            </m:num>
            <m:den>
              <m:r>
                <m:rPr>
                  <m:nor/>
                </m:rPr>
                <w:rPr>
                  <w:rFonts w:asciiTheme="minorHAnsi" w:hAnsiTheme="minorHAnsi"/>
                </w:rPr>
                <m:t>1,000,000</m:t>
              </m:r>
              <m:f>
                <m:fPr>
                  <m:ctrlPr>
                    <w:rPr>
                      <w:rFonts w:ascii="Cambria Math" w:hAnsi="Cambria Math"/>
                    </w:rPr>
                  </m:ctrlPr>
                </m:fPr>
                <m:num>
                  <m:r>
                    <m:rPr>
                      <m:nor/>
                    </m:rPr>
                    <w:rPr>
                      <w:rFonts w:asciiTheme="minorHAnsi" w:hAnsiTheme="minorHAnsi"/>
                    </w:rPr>
                    <m:t>Btu</m:t>
                  </m:r>
                </m:num>
                <m:den>
                  <m:r>
                    <m:rPr>
                      <m:nor/>
                    </m:rPr>
                    <w:rPr>
                      <w:rFonts w:asciiTheme="minorHAnsi" w:hAnsiTheme="minorHAnsi"/>
                    </w:rPr>
                    <m:t>MMBtu</m:t>
                  </m:r>
                </m:den>
              </m:f>
            </m:den>
          </m:f>
        </m:oMath>
      </m:oMathPara>
    </w:p>
    <w:p w:rsidR="00CD05FA" w:rsidRDefault="009D314F">
      <w:pPr>
        <w:pStyle w:val="BodyText"/>
      </w:pPr>
      <w:r>
        <w:t xml:space="preserve">Demand savings result from the removal of the connected load of the heat pump water heater. </w:t>
      </w:r>
      <w:r w:rsidRPr="00DC5816">
        <w:t xml:space="preserve">The demand reduction is taken </w:t>
      </w:r>
      <w:r>
        <w:t>as the annual energy savings multiplied by the ratio of the average energy usage during noon and 8PM on summer weekdays to the total annual energy usage.</w:t>
      </w:r>
    </w:p>
    <w:p w:rsidR="00CD05FA" w:rsidRPr="003C7C58" w:rsidRDefault="00D74AE2">
      <w:pPr>
        <w:pStyle w:val="Equation"/>
        <w:ind w:left="0" w:firstLine="0"/>
      </w:pPr>
      <m:oMathPara>
        <m:oMathParaPr>
          <m:jc m:val="left"/>
        </m:oMathParaPr>
        <m:oMath>
          <m:r>
            <m:rPr>
              <m:nor/>
            </m:rPr>
            <w:rPr>
              <w:rFonts w:asciiTheme="minorHAnsi" w:hAnsiTheme="minorHAnsi"/>
            </w:rPr>
            <w:lastRenderedPageBreak/>
            <m:t>Demand Savings</m:t>
          </m:r>
          <m:r>
            <m:rPr>
              <m:nor/>
            </m:rPr>
            <w:rPr>
              <w:rFonts w:ascii="Cambria Math"/>
            </w:rPr>
            <m:t xml:space="preserve">                              </m:t>
          </m:r>
          <m:r>
            <m:rPr>
              <m:nor/>
            </m:rPr>
            <w:rPr>
              <w:rFonts w:asciiTheme="minorHAnsi"/>
            </w:rPr>
            <m:t xml:space="preserve">=EnergyToDemandFactor </m:t>
          </m:r>
        </m:oMath>
      </m:oMathPara>
    </w:p>
    <w:p w:rsidR="00CD05FA" w:rsidRDefault="009D314F">
      <w:pPr>
        <w:pStyle w:val="Equation"/>
        <w:ind w:left="0" w:firstLine="0"/>
      </w:pPr>
      <w:r w:rsidRPr="008F099F">
        <w:rPr>
          <w:i w:val="0"/>
        </w:rPr>
        <w:t>The Energy to Demand Factor is defined below:</w:t>
      </w:r>
    </w:p>
    <w:p w:rsidR="00CD05FA" w:rsidRPr="003C7C58" w:rsidRDefault="00D74AE2">
      <w:pPr>
        <w:pStyle w:val="Equation"/>
        <w:ind w:left="0" w:firstLine="0"/>
        <w:rPr>
          <w:i w:val="0"/>
        </w:rPr>
      </w:pPr>
      <m:oMathPara>
        <m:oMathParaPr>
          <m:jc m:val="left"/>
        </m:oMathParaPr>
        <m:oMath>
          <m:r>
            <m:rPr>
              <m:nor/>
            </m:rPr>
            <w:rPr>
              <w:rFonts w:asciiTheme="minorHAnsi"/>
            </w:rPr>
            <m:t>EnergyToDemandFactor</m:t>
          </m:r>
          <m:r>
            <m:rPr>
              <m:nor/>
            </m:rPr>
            <w:rPr>
              <w:rFonts w:ascii="Cambria Math"/>
            </w:rPr>
            <m:t xml:space="preserve">              </m:t>
          </m:r>
          <m:r>
            <m:rPr>
              <m:nor/>
            </m:rPr>
            <w:rPr>
              <w:rFonts w:asciiTheme="minorHAnsi"/>
            </w:rPr>
            <m:t>=</m:t>
          </m:r>
          <m:f>
            <m:fPr>
              <m:ctrlPr>
                <w:rPr>
                  <w:rFonts w:ascii="Cambria Math" w:hAnsi="Cambria Math"/>
                </w:rPr>
              </m:ctrlPr>
            </m:fPr>
            <m:num>
              <m:sSub>
                <m:sSubPr>
                  <m:ctrlPr>
                    <w:rPr>
                      <w:rFonts w:ascii="Cambria Math" w:hAnsi="Cambria Math"/>
                    </w:rPr>
                  </m:ctrlPr>
                </m:sSubPr>
                <m:e>
                  <m:r>
                    <m:rPr>
                      <m:nor/>
                    </m:rPr>
                    <w:rPr>
                      <w:rFonts w:asciiTheme="minorHAnsi"/>
                    </w:rPr>
                    <m:t>Average Usage</m:t>
                  </m:r>
                </m:e>
                <m:sub>
                  <m:r>
                    <m:rPr>
                      <m:nor/>
                    </m:rPr>
                    <w:rPr>
                      <w:rFonts w:asciiTheme="minorHAnsi"/>
                    </w:rPr>
                    <m:t>Summer WD Noon-8</m:t>
                  </m:r>
                </m:sub>
              </m:sSub>
            </m:num>
            <m:den>
              <m:r>
                <m:rPr>
                  <m:nor/>
                </m:rPr>
                <w:rPr>
                  <w:rFonts w:asciiTheme="minorHAnsi" w:hAnsi="Cambria Math"/>
                </w:rPr>
                <m:t>Annual</m:t>
              </m:r>
              <m:r>
                <m:rPr>
                  <m:nor/>
                </m:rPr>
                <w:rPr>
                  <w:rFonts w:asciiTheme="minorHAnsi"/>
                </w:rPr>
                <m:t xml:space="preserve"> </m:t>
              </m:r>
              <m:r>
                <m:rPr>
                  <m:nor/>
                </m:rPr>
                <w:rPr>
                  <w:rFonts w:asciiTheme="minorHAnsi" w:hAnsi="Cambria Math"/>
                </w:rPr>
                <m:t>Energy Usage</m:t>
              </m:r>
            </m:den>
          </m:f>
        </m:oMath>
      </m:oMathPara>
    </w:p>
    <w:p w:rsidR="00CD05FA" w:rsidRDefault="0007670E">
      <w:pPr>
        <w:pStyle w:val="BodyText"/>
      </w:pPr>
      <w:r>
        <w:t>The ratio of</w:t>
      </w:r>
      <w:r w:rsidR="009D314F" w:rsidRPr="00E678F0">
        <w:t xml:space="preserve"> the average energy usage during noon and 8</w:t>
      </w:r>
      <w:r w:rsidR="009D314F">
        <w:t xml:space="preserve"> </w:t>
      </w:r>
      <w:r w:rsidR="009D314F" w:rsidRPr="00E678F0">
        <w:t xml:space="preserve">PM on summer weekdays to the total annual energy usage is taken from load shape data collected for </w:t>
      </w:r>
      <w:r w:rsidR="009D314F">
        <w:t xml:space="preserve">a </w:t>
      </w:r>
      <w:r w:rsidR="009D314F" w:rsidRPr="00E678F0">
        <w:t>water heater</w:t>
      </w:r>
      <w:r w:rsidR="009D314F">
        <w:t xml:space="preserve"> and HVAC demand response study for PJM</w:t>
      </w:r>
      <w:r w:rsidR="00F92AD7">
        <w:rPr>
          <w:rStyle w:val="FootnoteReference"/>
        </w:rPr>
        <w:footnoteReference w:id="59"/>
      </w:r>
      <w:r w:rsidR="009D314F" w:rsidRPr="00E678F0">
        <w:t xml:space="preserve">.  </w:t>
      </w:r>
      <w:r w:rsidR="009D314F">
        <w:t>The factor is constructed as follows:</w:t>
      </w:r>
    </w:p>
    <w:p w:rsidR="00CD05FA" w:rsidRDefault="009D314F" w:rsidP="0005632A">
      <w:pPr>
        <w:pStyle w:val="source1"/>
        <w:numPr>
          <w:ilvl w:val="0"/>
          <w:numId w:val="52"/>
        </w:numPr>
      </w:pPr>
      <w:r>
        <w:t>Obtain the average kW, as monitored for 82 water heaters in PJM territory</w:t>
      </w:r>
      <w:r w:rsidR="00F92AD7">
        <w:rPr>
          <w:rStyle w:val="FootnoteReference"/>
        </w:rPr>
        <w:footnoteReference w:id="60"/>
      </w:r>
      <w:r>
        <w:t xml:space="preserve">, for each hour of the typical day summer, winter, and spring/fall days.  Weight the results (91 summer days, 91 winter days, </w:t>
      </w:r>
      <w:r w:rsidR="00F11594">
        <w:t>and 183</w:t>
      </w:r>
      <w:r>
        <w:t xml:space="preserve"> spring/fall days) to obtain annual energy usage.</w:t>
      </w:r>
    </w:p>
    <w:p w:rsidR="00CD05FA" w:rsidRDefault="009D314F">
      <w:pPr>
        <w:pStyle w:val="source1"/>
      </w:pPr>
      <w:r>
        <w:t xml:space="preserve">Obtain the average kW during noon to 8 PM on summer days from the same data.  </w:t>
      </w:r>
    </w:p>
    <w:p w:rsidR="00CD05FA" w:rsidRDefault="009D314F">
      <w:pPr>
        <w:pStyle w:val="source1"/>
      </w:pPr>
      <w:r>
        <w:t xml:space="preserve">The average noon to 8 PM demand is converted to average </w:t>
      </w:r>
      <w:r w:rsidRPr="004933EA">
        <w:rPr>
          <w:i/>
        </w:rPr>
        <w:t>weekday</w:t>
      </w:r>
      <w:r>
        <w:t xml:space="preserve"> noon to 8 PM demand through comparison of weekday and weekend monitored loads from the same PJM study</w:t>
      </w:r>
      <w:r w:rsidR="00F92AD7">
        <w:rPr>
          <w:rStyle w:val="FootnoteReference"/>
        </w:rPr>
        <w:footnoteReference w:id="61"/>
      </w:r>
      <w:r>
        <w:t xml:space="preserve">.  </w:t>
      </w:r>
    </w:p>
    <w:p w:rsidR="00CD05FA" w:rsidRDefault="009D314F">
      <w:pPr>
        <w:pStyle w:val="source1"/>
        <w:spacing w:after="200"/>
        <w:rPr>
          <w:sz w:val="24"/>
        </w:rPr>
      </w:pPr>
      <w:r>
        <w:t xml:space="preserve">The ratio of the average weekday noon to 8 PM energy demand to the annual energy usage obtained in step 1.  The resulting number, 0.00009172, </w:t>
      </w:r>
      <w:r w:rsidRPr="002C6DCE">
        <w:t xml:space="preserve">is the </w:t>
      </w:r>
      <w:r w:rsidRPr="002C6DCE">
        <w:rPr>
          <w:i/>
        </w:rPr>
        <w:t>EnergyToDemandFactor</w:t>
      </w:r>
      <w:r>
        <w:rPr>
          <w:i/>
        </w:rPr>
        <w:t>.</w:t>
      </w:r>
    </w:p>
    <w:p w:rsidR="00CD05FA" w:rsidRDefault="009D314F">
      <w:pPr>
        <w:pStyle w:val="BodyText"/>
      </w:pPr>
      <w:r>
        <w:t xml:space="preserve">The load shapes (fractions of annual energy usage that occur within each hour) during summer week days are plotted in </w:t>
      </w:r>
      <w:r w:rsidR="007A1FB6">
        <w:fldChar w:fldCharType="begin"/>
      </w:r>
      <w:r w:rsidR="00081415">
        <w:instrText xml:space="preserve"> REF _Ref275542467 \h </w:instrText>
      </w:r>
      <w:r w:rsidR="007A1FB6">
        <w:fldChar w:fldCharType="separate"/>
      </w:r>
      <w:r w:rsidR="00C0292F">
        <w:t xml:space="preserve">Figure </w:t>
      </w:r>
      <w:r w:rsidR="00C0292F">
        <w:rPr>
          <w:noProof/>
        </w:rPr>
        <w:t>2</w:t>
      </w:r>
      <w:r w:rsidR="00C0292F">
        <w:noBreakHyphen/>
      </w:r>
      <w:r w:rsidR="00C0292F">
        <w:rPr>
          <w:noProof/>
        </w:rPr>
        <w:t>9</w:t>
      </w:r>
      <w:r w:rsidR="007A1FB6">
        <w:fldChar w:fldCharType="end"/>
      </w:r>
    </w:p>
    <w:p w:rsidR="00726DEA" w:rsidRDefault="003C7C58">
      <w:pPr>
        <w:keepNext/>
        <w:tabs>
          <w:tab w:val="left" w:pos="720"/>
        </w:tabs>
        <w:spacing w:before="120"/>
        <w:jc w:val="both"/>
      </w:pPr>
      <w:r>
        <w:rPr>
          <w:noProof/>
          <w:sz w:val="22"/>
          <w:szCs w:val="22"/>
        </w:rPr>
        <w:lastRenderedPageBreak/>
        <w:drawing>
          <wp:inline distT="0" distB="0" distL="0" distR="0">
            <wp:extent cx="5486400" cy="23050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86400" cy="2305050"/>
                    </a:xfrm>
                    <a:prstGeom prst="rect">
                      <a:avLst/>
                    </a:prstGeom>
                    <a:noFill/>
                    <a:ln>
                      <a:noFill/>
                    </a:ln>
                  </pic:spPr>
                </pic:pic>
              </a:graphicData>
            </a:graphic>
          </wp:inline>
        </w:drawing>
      </w:r>
    </w:p>
    <w:p w:rsidR="00B85BDF" w:rsidRDefault="009D314F" w:rsidP="00100EDF">
      <w:pPr>
        <w:pStyle w:val="Caption"/>
        <w:rPr>
          <w:sz w:val="22"/>
          <w:szCs w:val="22"/>
        </w:rPr>
      </w:pPr>
      <w:bookmarkStart w:id="363" w:name="_Ref275542467"/>
      <w:r>
        <w:t xml:space="preserve">Figure </w:t>
      </w:r>
      <w:r w:rsidR="007A1FB6">
        <w:fldChar w:fldCharType="begin"/>
      </w:r>
      <w:r w:rsidR="008B139C">
        <w:instrText xml:space="preserve"> STYLEREF 1 \s </w:instrText>
      </w:r>
      <w:r w:rsidR="007A1FB6">
        <w:fldChar w:fldCharType="separate"/>
      </w:r>
      <w:r w:rsidR="00C0292F">
        <w:rPr>
          <w:noProof/>
        </w:rPr>
        <w:t>2</w:t>
      </w:r>
      <w:r w:rsidR="007A1FB6">
        <w:fldChar w:fldCharType="end"/>
      </w:r>
      <w:r w:rsidR="008B139C">
        <w:noBreakHyphen/>
      </w:r>
      <w:r w:rsidR="007A1FB6">
        <w:fldChar w:fldCharType="begin"/>
      </w:r>
      <w:r w:rsidR="008B139C">
        <w:instrText xml:space="preserve"> SEQ Figure \* ARABIC \s 1 </w:instrText>
      </w:r>
      <w:r w:rsidR="007A1FB6">
        <w:fldChar w:fldCharType="separate"/>
      </w:r>
      <w:r w:rsidR="00C0292F">
        <w:rPr>
          <w:noProof/>
        </w:rPr>
        <w:t>9</w:t>
      </w:r>
      <w:r w:rsidR="007A1FB6">
        <w:fldChar w:fldCharType="end"/>
      </w:r>
      <w:bookmarkEnd w:id="363"/>
      <w:r>
        <w:t xml:space="preserve">: </w:t>
      </w:r>
      <w:r w:rsidRPr="00440C51">
        <w:t>Load shapes for hot water in residential buildings taken from a PJM.</w:t>
      </w:r>
    </w:p>
    <w:p w:rsidR="00CD05FA" w:rsidRDefault="009D314F" w:rsidP="00871FA2">
      <w:pPr>
        <w:pStyle w:val="Heading3"/>
      </w:pPr>
      <w:r>
        <w:t xml:space="preserve">Definition of </w:t>
      </w:r>
      <w:r w:rsidR="008F099F">
        <w:t>Terms</w:t>
      </w:r>
    </w:p>
    <w:p w:rsidR="00CD05FA" w:rsidRDefault="009D314F" w:rsidP="00C3606E">
      <w:pPr>
        <w:pStyle w:val="BodyText"/>
      </w:pPr>
      <w:r>
        <w:t xml:space="preserve">The parameters in the above equation are listed in </w:t>
      </w:r>
      <w:r w:rsidR="007A1FB6">
        <w:fldChar w:fldCharType="begin"/>
      </w:r>
      <w:r w:rsidR="00081415">
        <w:instrText xml:space="preserve"> REF _Ref275510763 \h </w:instrText>
      </w:r>
      <w:r w:rsidR="007A1FB6">
        <w:fldChar w:fldCharType="separate"/>
      </w:r>
      <w:r w:rsidR="00C0292F" w:rsidRPr="00440C51">
        <w:t xml:space="preserve">Table </w:t>
      </w:r>
      <w:r w:rsidR="00C0292F">
        <w:rPr>
          <w:noProof/>
        </w:rPr>
        <w:t>2</w:t>
      </w:r>
      <w:r w:rsidR="00C0292F">
        <w:noBreakHyphen/>
      </w:r>
      <w:r w:rsidR="00C0292F">
        <w:rPr>
          <w:noProof/>
        </w:rPr>
        <w:t>29</w:t>
      </w:r>
      <w:r w:rsidR="007A1FB6">
        <w:fldChar w:fldCharType="end"/>
      </w:r>
      <w:r>
        <w:t>.</w:t>
      </w:r>
    </w:p>
    <w:p w:rsidR="00B85BDF" w:rsidRDefault="009D314F" w:rsidP="00C3606E">
      <w:pPr>
        <w:pStyle w:val="StyleCaptionCentered"/>
      </w:pPr>
      <w:bookmarkStart w:id="364" w:name="_Ref275510763"/>
      <w:bookmarkStart w:id="365" w:name="_Toc310875515"/>
      <w:r w:rsidRPr="00440C51">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29</w:t>
      </w:r>
      <w:r w:rsidR="00274AB1">
        <w:rPr>
          <w:noProof/>
        </w:rPr>
        <w:fldChar w:fldCharType="end"/>
      </w:r>
      <w:bookmarkEnd w:id="364"/>
      <w:r w:rsidRPr="00440C51">
        <w:t>: Calculation Assumptions</w:t>
      </w:r>
      <w:r w:rsidR="001A5E45">
        <w:t xml:space="preserve"> for Heat Pump</w:t>
      </w:r>
      <w:r w:rsidR="00AC4A78">
        <w:t xml:space="preserve"> Water Heater</w:t>
      </w:r>
      <w:r w:rsidR="001A5E45">
        <w:t xml:space="preserve"> to Gas</w:t>
      </w:r>
      <w:r w:rsidR="00BF7BAF">
        <w:t xml:space="preserve"> Water Heater</w:t>
      </w:r>
      <w:bookmarkEnd w:id="36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9"/>
        <w:gridCol w:w="1080"/>
        <w:gridCol w:w="1530"/>
        <w:gridCol w:w="1187"/>
      </w:tblGrid>
      <w:tr w:rsidR="00D43CE5" w:rsidRPr="00C465DB" w:rsidTr="00F84A22">
        <w:trPr>
          <w:jc w:val="center"/>
        </w:trPr>
        <w:tc>
          <w:tcPr>
            <w:tcW w:w="2856" w:type="pct"/>
            <w:shd w:val="clear" w:color="auto" w:fill="BFBFBF"/>
          </w:tcPr>
          <w:p w:rsidR="00CD05FA" w:rsidRPr="001D6512" w:rsidRDefault="009D314F" w:rsidP="00C3606E">
            <w:pPr>
              <w:pStyle w:val="TableCell"/>
              <w:spacing w:before="60" w:after="60"/>
              <w:rPr>
                <w:b/>
                <w:sz w:val="20"/>
              </w:rPr>
            </w:pPr>
            <w:r w:rsidRPr="001D6512">
              <w:rPr>
                <w:b/>
              </w:rPr>
              <w:t>Component</w:t>
            </w:r>
          </w:p>
        </w:tc>
        <w:tc>
          <w:tcPr>
            <w:tcW w:w="610" w:type="pct"/>
            <w:shd w:val="clear" w:color="auto" w:fill="BFBFBF"/>
          </w:tcPr>
          <w:p w:rsidR="00CD05FA" w:rsidRPr="001D6512" w:rsidRDefault="009D314F" w:rsidP="00C3606E">
            <w:pPr>
              <w:pStyle w:val="TableCell"/>
              <w:spacing w:before="60" w:after="60"/>
              <w:rPr>
                <w:b/>
                <w:sz w:val="20"/>
              </w:rPr>
            </w:pPr>
            <w:r w:rsidRPr="001D6512">
              <w:rPr>
                <w:b/>
              </w:rPr>
              <w:t>Type</w:t>
            </w:r>
          </w:p>
        </w:tc>
        <w:tc>
          <w:tcPr>
            <w:tcW w:w="864" w:type="pct"/>
            <w:shd w:val="clear" w:color="auto" w:fill="BFBFBF"/>
          </w:tcPr>
          <w:p w:rsidR="00CD05FA" w:rsidRPr="001D6512" w:rsidRDefault="009D314F" w:rsidP="00C3606E">
            <w:pPr>
              <w:pStyle w:val="TableCell"/>
              <w:spacing w:before="60" w:after="60"/>
              <w:rPr>
                <w:b/>
                <w:sz w:val="20"/>
              </w:rPr>
            </w:pPr>
            <w:r w:rsidRPr="001D6512">
              <w:rPr>
                <w:b/>
              </w:rPr>
              <w:t>Values</w:t>
            </w:r>
          </w:p>
        </w:tc>
        <w:tc>
          <w:tcPr>
            <w:tcW w:w="670" w:type="pct"/>
            <w:shd w:val="clear" w:color="auto" w:fill="BFBFBF"/>
          </w:tcPr>
          <w:p w:rsidR="00CD05FA" w:rsidRPr="001D6512" w:rsidRDefault="009D314F" w:rsidP="00C3606E">
            <w:pPr>
              <w:pStyle w:val="TableCell"/>
              <w:spacing w:before="60" w:after="60"/>
              <w:rPr>
                <w:b/>
                <w:sz w:val="20"/>
              </w:rPr>
            </w:pPr>
            <w:r w:rsidRPr="001D6512">
              <w:rPr>
                <w:b/>
              </w:rPr>
              <w:t>Source</w:t>
            </w:r>
          </w:p>
        </w:tc>
      </w:tr>
      <w:tr w:rsidR="00D43CE5" w:rsidRPr="00C465DB" w:rsidTr="00F84A22">
        <w:trPr>
          <w:jc w:val="center"/>
        </w:trPr>
        <w:tc>
          <w:tcPr>
            <w:tcW w:w="2856" w:type="pct"/>
            <w:shd w:val="clear" w:color="auto" w:fill="auto"/>
          </w:tcPr>
          <w:p w:rsidR="00CD05FA" w:rsidRPr="001D6512" w:rsidRDefault="009D314F" w:rsidP="00C3606E">
            <w:pPr>
              <w:pStyle w:val="TableCell"/>
              <w:spacing w:before="60" w:after="60"/>
              <w:rPr>
                <w:sz w:val="20"/>
              </w:rPr>
            </w:pPr>
            <w:r w:rsidRPr="001D6512">
              <w:t>EF</w:t>
            </w:r>
            <w:r w:rsidRPr="001D6512">
              <w:rPr>
                <w:vertAlign w:val="subscript"/>
              </w:rPr>
              <w:t>HP,bl</w:t>
            </w:r>
            <w:r w:rsidRPr="001D6512">
              <w:t xml:space="preserve"> , Energy Factor of baseline heat pump water heater</w:t>
            </w:r>
          </w:p>
        </w:tc>
        <w:tc>
          <w:tcPr>
            <w:tcW w:w="610" w:type="pct"/>
            <w:shd w:val="clear" w:color="auto" w:fill="auto"/>
          </w:tcPr>
          <w:p w:rsidR="00CD05FA" w:rsidRPr="001D6512" w:rsidRDefault="009D314F" w:rsidP="00C3606E">
            <w:pPr>
              <w:pStyle w:val="TableCell"/>
              <w:spacing w:before="60" w:after="60"/>
              <w:rPr>
                <w:rFonts w:eastAsia="Arial Unicode MS" w:cs="Arial"/>
                <w:i/>
                <w:iCs/>
                <w:sz w:val="20"/>
                <w:szCs w:val="24"/>
              </w:rPr>
            </w:pPr>
            <w:r w:rsidRPr="001D6512">
              <w:t>Fixed</w:t>
            </w:r>
          </w:p>
        </w:tc>
        <w:tc>
          <w:tcPr>
            <w:tcW w:w="864" w:type="pct"/>
            <w:shd w:val="clear" w:color="auto" w:fill="auto"/>
          </w:tcPr>
          <w:p w:rsidR="00CD05FA" w:rsidRPr="001D6512" w:rsidRDefault="009D314F" w:rsidP="00C3606E">
            <w:pPr>
              <w:pStyle w:val="TableCell"/>
              <w:spacing w:before="60" w:after="60"/>
              <w:rPr>
                <w:rFonts w:eastAsia="Arial Unicode MS" w:cs="Arial"/>
                <w:i/>
                <w:iCs/>
                <w:sz w:val="20"/>
                <w:szCs w:val="24"/>
              </w:rPr>
            </w:pPr>
            <w:r w:rsidRPr="001D6512">
              <w:t>≥ 2.0</w:t>
            </w:r>
          </w:p>
        </w:tc>
        <w:tc>
          <w:tcPr>
            <w:tcW w:w="670" w:type="pct"/>
            <w:shd w:val="clear" w:color="auto" w:fill="auto"/>
          </w:tcPr>
          <w:p w:rsidR="00CD05FA" w:rsidRPr="001D6512" w:rsidRDefault="00F92AD7" w:rsidP="00C3606E">
            <w:pPr>
              <w:pStyle w:val="TableCell"/>
              <w:spacing w:before="60" w:after="60"/>
              <w:rPr>
                <w:rFonts w:eastAsia="Arial Unicode MS" w:cs="Arial"/>
                <w:i/>
                <w:iCs/>
                <w:sz w:val="20"/>
                <w:szCs w:val="24"/>
              </w:rPr>
            </w:pPr>
            <w:r w:rsidRPr="001D6512">
              <w:t>4</w:t>
            </w:r>
          </w:p>
        </w:tc>
      </w:tr>
      <w:tr w:rsidR="00D43CE5" w:rsidRPr="00C465DB" w:rsidTr="00F84A22">
        <w:trPr>
          <w:jc w:val="center"/>
        </w:trPr>
        <w:tc>
          <w:tcPr>
            <w:tcW w:w="2856" w:type="pct"/>
            <w:shd w:val="clear" w:color="auto" w:fill="auto"/>
          </w:tcPr>
          <w:p w:rsidR="00CD05FA" w:rsidRPr="001D6512" w:rsidRDefault="009D314F" w:rsidP="00C3606E">
            <w:pPr>
              <w:pStyle w:val="TableCell"/>
              <w:spacing w:before="60" w:after="60"/>
              <w:rPr>
                <w:sz w:val="20"/>
              </w:rPr>
            </w:pPr>
            <w:r w:rsidRPr="001D6512">
              <w:t>EF</w:t>
            </w:r>
            <w:r w:rsidRPr="001D6512">
              <w:rPr>
                <w:vertAlign w:val="subscript"/>
              </w:rPr>
              <w:t xml:space="preserve">NG,inst </w:t>
            </w:r>
            <w:r w:rsidRPr="001D6512">
              <w:t>. Energy Factor of installed natural gas water heater</w:t>
            </w:r>
          </w:p>
        </w:tc>
        <w:tc>
          <w:tcPr>
            <w:tcW w:w="610" w:type="pct"/>
            <w:shd w:val="clear" w:color="auto" w:fill="auto"/>
          </w:tcPr>
          <w:p w:rsidR="00CD05FA" w:rsidRPr="001D6512" w:rsidRDefault="009D314F" w:rsidP="00C3606E">
            <w:pPr>
              <w:pStyle w:val="TableCell"/>
              <w:spacing w:before="60" w:after="60"/>
              <w:rPr>
                <w:rFonts w:eastAsia="Arial Unicode MS" w:cs="Arial"/>
                <w:i/>
                <w:iCs/>
                <w:sz w:val="20"/>
                <w:szCs w:val="24"/>
              </w:rPr>
            </w:pPr>
            <w:r w:rsidRPr="001D6512">
              <w:t>Variable</w:t>
            </w:r>
          </w:p>
        </w:tc>
        <w:tc>
          <w:tcPr>
            <w:tcW w:w="864" w:type="pct"/>
            <w:shd w:val="clear" w:color="auto" w:fill="auto"/>
          </w:tcPr>
          <w:p w:rsidR="00CD05FA" w:rsidRPr="001D6512" w:rsidRDefault="009D314F" w:rsidP="00C3606E">
            <w:pPr>
              <w:pStyle w:val="TableCell"/>
              <w:spacing w:before="60" w:after="60"/>
              <w:rPr>
                <w:rFonts w:eastAsia="Arial Unicode MS" w:cs="Arial"/>
                <w:i/>
                <w:iCs/>
                <w:sz w:val="20"/>
                <w:szCs w:val="24"/>
              </w:rPr>
            </w:pPr>
            <w:r w:rsidRPr="001D6512">
              <w:t>≥ 0.594</w:t>
            </w:r>
          </w:p>
        </w:tc>
        <w:tc>
          <w:tcPr>
            <w:tcW w:w="670" w:type="pct"/>
            <w:shd w:val="clear" w:color="auto" w:fill="auto"/>
          </w:tcPr>
          <w:p w:rsidR="00CD05FA" w:rsidRPr="001D6512" w:rsidRDefault="00F92AD7" w:rsidP="00C3606E">
            <w:pPr>
              <w:pStyle w:val="TableCell"/>
              <w:spacing w:before="60" w:after="60"/>
              <w:rPr>
                <w:rFonts w:eastAsia="Arial Unicode MS" w:cs="Arial"/>
                <w:i/>
                <w:iCs/>
                <w:sz w:val="20"/>
                <w:szCs w:val="24"/>
              </w:rPr>
            </w:pPr>
            <w:r w:rsidRPr="001D6512">
              <w:t>5</w:t>
            </w:r>
          </w:p>
        </w:tc>
      </w:tr>
      <w:tr w:rsidR="00D43CE5" w:rsidRPr="00C465DB" w:rsidTr="00F84A22">
        <w:trPr>
          <w:jc w:val="center"/>
        </w:trPr>
        <w:tc>
          <w:tcPr>
            <w:tcW w:w="2856" w:type="pct"/>
            <w:shd w:val="clear" w:color="auto" w:fill="auto"/>
          </w:tcPr>
          <w:p w:rsidR="00CD05FA" w:rsidRPr="001D6512" w:rsidRDefault="009D314F" w:rsidP="00C3606E">
            <w:pPr>
              <w:pStyle w:val="TableCell"/>
              <w:spacing w:before="60" w:after="60"/>
              <w:rPr>
                <w:sz w:val="20"/>
              </w:rPr>
            </w:pPr>
            <w:r w:rsidRPr="001D6512">
              <w:t>HW, Hot water used per day in gallons</w:t>
            </w:r>
          </w:p>
        </w:tc>
        <w:tc>
          <w:tcPr>
            <w:tcW w:w="610" w:type="pct"/>
            <w:shd w:val="clear" w:color="auto" w:fill="auto"/>
          </w:tcPr>
          <w:p w:rsidR="00CD05FA" w:rsidRPr="001D6512" w:rsidRDefault="009D314F" w:rsidP="00C3606E">
            <w:pPr>
              <w:pStyle w:val="TableCell"/>
              <w:spacing w:before="60" w:after="60"/>
              <w:rPr>
                <w:rFonts w:eastAsia="Arial Unicode MS" w:cs="Arial"/>
                <w:i/>
                <w:iCs/>
                <w:sz w:val="20"/>
                <w:szCs w:val="24"/>
              </w:rPr>
            </w:pPr>
            <w:r w:rsidRPr="001D6512">
              <w:t>Fixed</w:t>
            </w:r>
          </w:p>
        </w:tc>
        <w:tc>
          <w:tcPr>
            <w:tcW w:w="864" w:type="pct"/>
            <w:shd w:val="clear" w:color="auto" w:fill="auto"/>
          </w:tcPr>
          <w:p w:rsidR="00CD05FA" w:rsidRPr="001D6512" w:rsidRDefault="009D314F" w:rsidP="00C3606E">
            <w:pPr>
              <w:pStyle w:val="TableCell"/>
              <w:spacing w:before="60" w:after="60"/>
              <w:rPr>
                <w:rFonts w:eastAsia="Arial Unicode MS" w:cs="Arial"/>
                <w:i/>
                <w:iCs/>
                <w:sz w:val="20"/>
                <w:szCs w:val="24"/>
              </w:rPr>
            </w:pPr>
            <w:r w:rsidRPr="001D6512">
              <w:t>64.3 gallon/day</w:t>
            </w:r>
          </w:p>
        </w:tc>
        <w:tc>
          <w:tcPr>
            <w:tcW w:w="670" w:type="pct"/>
            <w:shd w:val="clear" w:color="auto" w:fill="auto"/>
          </w:tcPr>
          <w:p w:rsidR="00CD05FA" w:rsidRPr="001D6512" w:rsidRDefault="00F92AD7" w:rsidP="00C3606E">
            <w:pPr>
              <w:pStyle w:val="TableCell"/>
              <w:spacing w:before="60" w:after="60"/>
            </w:pPr>
            <w:r w:rsidRPr="001D6512">
              <w:t>6</w:t>
            </w:r>
          </w:p>
        </w:tc>
      </w:tr>
      <w:tr w:rsidR="00D43CE5" w:rsidRPr="00C465DB" w:rsidTr="00F84A22">
        <w:trPr>
          <w:trHeight w:val="77"/>
          <w:jc w:val="center"/>
        </w:trPr>
        <w:tc>
          <w:tcPr>
            <w:tcW w:w="2856" w:type="pct"/>
            <w:shd w:val="clear" w:color="auto" w:fill="auto"/>
          </w:tcPr>
          <w:p w:rsidR="00CD05FA" w:rsidRPr="001D6512" w:rsidRDefault="009D314F" w:rsidP="00C3606E">
            <w:pPr>
              <w:pStyle w:val="TableCell"/>
              <w:spacing w:before="60" w:after="60"/>
              <w:rPr>
                <w:sz w:val="20"/>
              </w:rPr>
            </w:pPr>
            <w:r w:rsidRPr="001D6512">
              <w:t>T</w:t>
            </w:r>
            <w:r w:rsidRPr="001D6512">
              <w:rPr>
                <w:vertAlign w:val="subscript"/>
              </w:rPr>
              <w:t>hot</w:t>
            </w:r>
            <w:r w:rsidRPr="001D6512">
              <w:t>, Temperature of hot water</w:t>
            </w:r>
          </w:p>
        </w:tc>
        <w:tc>
          <w:tcPr>
            <w:tcW w:w="610" w:type="pct"/>
            <w:shd w:val="clear" w:color="auto" w:fill="auto"/>
          </w:tcPr>
          <w:p w:rsidR="00CD05FA" w:rsidRPr="001D6512" w:rsidRDefault="009D314F" w:rsidP="00C3606E">
            <w:pPr>
              <w:pStyle w:val="TableCell"/>
              <w:spacing w:before="60" w:after="60"/>
              <w:rPr>
                <w:rFonts w:eastAsia="Arial Unicode MS" w:cs="Arial"/>
                <w:i/>
                <w:iCs/>
                <w:sz w:val="20"/>
                <w:szCs w:val="24"/>
              </w:rPr>
            </w:pPr>
            <w:r w:rsidRPr="001D6512">
              <w:t>Fixed</w:t>
            </w:r>
          </w:p>
        </w:tc>
        <w:tc>
          <w:tcPr>
            <w:tcW w:w="864" w:type="pct"/>
            <w:shd w:val="clear" w:color="auto" w:fill="auto"/>
          </w:tcPr>
          <w:p w:rsidR="00CD05FA" w:rsidRPr="001D6512" w:rsidRDefault="009D314F" w:rsidP="00C3606E">
            <w:pPr>
              <w:pStyle w:val="TableCell"/>
              <w:spacing w:before="60" w:after="60"/>
              <w:rPr>
                <w:rFonts w:eastAsia="Arial Unicode MS" w:cs="Arial"/>
                <w:i/>
                <w:iCs/>
                <w:sz w:val="20"/>
                <w:szCs w:val="24"/>
              </w:rPr>
            </w:pPr>
            <w:r w:rsidRPr="001D6512">
              <w:t>120 °F</w:t>
            </w:r>
          </w:p>
        </w:tc>
        <w:tc>
          <w:tcPr>
            <w:tcW w:w="670" w:type="pct"/>
            <w:shd w:val="clear" w:color="auto" w:fill="auto"/>
          </w:tcPr>
          <w:p w:rsidR="00CD05FA" w:rsidRPr="001D6512" w:rsidRDefault="00F92AD7" w:rsidP="00C3606E">
            <w:pPr>
              <w:pStyle w:val="TableCell"/>
              <w:spacing w:before="60" w:after="60"/>
            </w:pPr>
            <w:r w:rsidRPr="001D6512">
              <w:t>7</w:t>
            </w:r>
          </w:p>
        </w:tc>
      </w:tr>
      <w:tr w:rsidR="00D43CE5" w:rsidRPr="00C465DB" w:rsidTr="00F84A22">
        <w:trPr>
          <w:jc w:val="center"/>
        </w:trPr>
        <w:tc>
          <w:tcPr>
            <w:tcW w:w="2856" w:type="pct"/>
            <w:shd w:val="clear" w:color="auto" w:fill="auto"/>
          </w:tcPr>
          <w:p w:rsidR="00CD05FA" w:rsidRPr="001D6512" w:rsidRDefault="009D314F" w:rsidP="00C3606E">
            <w:pPr>
              <w:pStyle w:val="TableCell"/>
              <w:spacing w:before="60" w:after="60"/>
              <w:rPr>
                <w:sz w:val="20"/>
              </w:rPr>
            </w:pPr>
            <w:r w:rsidRPr="001D6512">
              <w:t>T</w:t>
            </w:r>
            <w:r w:rsidRPr="001D6512">
              <w:rPr>
                <w:vertAlign w:val="subscript"/>
              </w:rPr>
              <w:t>cold</w:t>
            </w:r>
            <w:r w:rsidRPr="001D6512">
              <w:t>, Temperature of cold water supply</w:t>
            </w:r>
          </w:p>
        </w:tc>
        <w:tc>
          <w:tcPr>
            <w:tcW w:w="610" w:type="pct"/>
            <w:shd w:val="clear" w:color="auto" w:fill="auto"/>
          </w:tcPr>
          <w:p w:rsidR="00CD05FA" w:rsidRPr="001D6512" w:rsidRDefault="009D314F" w:rsidP="00C3606E">
            <w:pPr>
              <w:pStyle w:val="TableCell"/>
              <w:spacing w:before="60" w:after="60"/>
              <w:rPr>
                <w:rFonts w:eastAsia="Arial Unicode MS" w:cs="Arial"/>
                <w:i/>
                <w:iCs/>
                <w:sz w:val="20"/>
                <w:szCs w:val="24"/>
              </w:rPr>
            </w:pPr>
            <w:r w:rsidRPr="001D6512">
              <w:t>Fixed</w:t>
            </w:r>
          </w:p>
        </w:tc>
        <w:tc>
          <w:tcPr>
            <w:tcW w:w="864" w:type="pct"/>
            <w:shd w:val="clear" w:color="auto" w:fill="auto"/>
          </w:tcPr>
          <w:p w:rsidR="00CD05FA" w:rsidRPr="001D6512" w:rsidRDefault="009D314F" w:rsidP="00C3606E">
            <w:pPr>
              <w:pStyle w:val="TableCell"/>
              <w:spacing w:before="60" w:after="60"/>
              <w:rPr>
                <w:rFonts w:eastAsia="Arial Unicode MS" w:cs="Arial"/>
                <w:i/>
                <w:iCs/>
                <w:sz w:val="20"/>
                <w:szCs w:val="24"/>
              </w:rPr>
            </w:pPr>
            <w:r w:rsidRPr="001D6512">
              <w:t>55 °F</w:t>
            </w:r>
          </w:p>
        </w:tc>
        <w:tc>
          <w:tcPr>
            <w:tcW w:w="670" w:type="pct"/>
            <w:shd w:val="clear" w:color="auto" w:fill="auto"/>
          </w:tcPr>
          <w:p w:rsidR="00CD05FA" w:rsidRPr="001D6512" w:rsidRDefault="00F92AD7" w:rsidP="00C3606E">
            <w:pPr>
              <w:pStyle w:val="TableCell"/>
              <w:spacing w:before="60" w:after="60"/>
            </w:pPr>
            <w:r w:rsidRPr="001D6512">
              <w:t>8</w:t>
            </w:r>
          </w:p>
        </w:tc>
      </w:tr>
      <w:tr w:rsidR="00D43CE5" w:rsidRPr="00C465DB" w:rsidTr="00F84A22">
        <w:trPr>
          <w:jc w:val="center"/>
        </w:trPr>
        <w:tc>
          <w:tcPr>
            <w:tcW w:w="2856" w:type="pct"/>
            <w:shd w:val="clear" w:color="auto" w:fill="auto"/>
          </w:tcPr>
          <w:p w:rsidR="00CD05FA" w:rsidRPr="001D6512" w:rsidRDefault="009D314F" w:rsidP="00C3606E">
            <w:pPr>
              <w:pStyle w:val="TableCell"/>
              <w:spacing w:before="60" w:after="60"/>
              <w:rPr>
                <w:sz w:val="20"/>
              </w:rPr>
            </w:pPr>
            <w:r w:rsidRPr="001D6512">
              <w:t>F</w:t>
            </w:r>
            <w:r w:rsidRPr="001D6512">
              <w:rPr>
                <w:vertAlign w:val="subscript"/>
              </w:rPr>
              <w:t>Derate</w:t>
            </w:r>
            <w:r w:rsidRPr="001D6512">
              <w:t xml:space="preserve">, COP De-rating factor </w:t>
            </w:r>
          </w:p>
        </w:tc>
        <w:tc>
          <w:tcPr>
            <w:tcW w:w="610" w:type="pct"/>
            <w:shd w:val="clear" w:color="auto" w:fill="auto"/>
          </w:tcPr>
          <w:p w:rsidR="00CD05FA" w:rsidRPr="001D6512" w:rsidRDefault="009D314F" w:rsidP="00C3606E">
            <w:pPr>
              <w:pStyle w:val="TableCell"/>
              <w:spacing w:before="60" w:after="60"/>
              <w:rPr>
                <w:rFonts w:eastAsia="Arial Unicode MS" w:cs="Arial"/>
                <w:i/>
                <w:iCs/>
                <w:sz w:val="20"/>
                <w:szCs w:val="24"/>
              </w:rPr>
            </w:pPr>
            <w:r w:rsidRPr="001D6512">
              <w:t>Fixed</w:t>
            </w:r>
          </w:p>
        </w:tc>
        <w:tc>
          <w:tcPr>
            <w:tcW w:w="864" w:type="pct"/>
            <w:shd w:val="clear" w:color="auto" w:fill="auto"/>
          </w:tcPr>
          <w:p w:rsidR="00CD05FA" w:rsidRPr="001D6512" w:rsidRDefault="009D314F" w:rsidP="00C3606E">
            <w:pPr>
              <w:pStyle w:val="TableCell"/>
              <w:spacing w:before="60" w:after="60"/>
              <w:rPr>
                <w:rFonts w:eastAsia="Arial Unicode MS" w:cs="Arial"/>
                <w:i/>
                <w:iCs/>
                <w:sz w:val="20"/>
                <w:szCs w:val="24"/>
              </w:rPr>
            </w:pPr>
            <w:r w:rsidRPr="001D6512">
              <w:t>0.84</w:t>
            </w:r>
          </w:p>
        </w:tc>
        <w:tc>
          <w:tcPr>
            <w:tcW w:w="670" w:type="pct"/>
            <w:shd w:val="clear" w:color="auto" w:fill="auto"/>
          </w:tcPr>
          <w:p w:rsidR="00CD05FA" w:rsidRPr="001D6512" w:rsidRDefault="009D314F" w:rsidP="00C3606E">
            <w:pPr>
              <w:pStyle w:val="TableCell"/>
              <w:spacing w:before="60" w:after="60"/>
              <w:rPr>
                <w:rFonts w:eastAsia="Arial Unicode MS" w:cs="Arial"/>
                <w:i/>
                <w:iCs/>
                <w:sz w:val="20"/>
                <w:szCs w:val="24"/>
              </w:rPr>
            </w:pPr>
            <w:r w:rsidRPr="001D6512">
              <w:t>9, and discussion below</w:t>
            </w:r>
          </w:p>
        </w:tc>
      </w:tr>
      <w:tr w:rsidR="00D43CE5" w:rsidRPr="00C465DB" w:rsidTr="00F84A22">
        <w:trPr>
          <w:jc w:val="center"/>
        </w:trPr>
        <w:tc>
          <w:tcPr>
            <w:tcW w:w="2856" w:type="pct"/>
            <w:shd w:val="clear" w:color="auto" w:fill="auto"/>
          </w:tcPr>
          <w:p w:rsidR="00CD05FA" w:rsidRPr="001D6512" w:rsidRDefault="009D314F" w:rsidP="00C3606E">
            <w:pPr>
              <w:pStyle w:val="TableCell"/>
              <w:spacing w:before="60" w:after="60"/>
              <w:rPr>
                <w:sz w:val="20"/>
              </w:rPr>
            </w:pPr>
            <w:r w:rsidRPr="001D6512">
              <w:t>EnergyToDemandFactor</w:t>
            </w:r>
          </w:p>
        </w:tc>
        <w:tc>
          <w:tcPr>
            <w:tcW w:w="610" w:type="pct"/>
            <w:shd w:val="clear" w:color="auto" w:fill="auto"/>
          </w:tcPr>
          <w:p w:rsidR="00CD05FA" w:rsidRPr="001D6512" w:rsidRDefault="009D314F" w:rsidP="00C3606E">
            <w:pPr>
              <w:pStyle w:val="TableCell"/>
              <w:spacing w:before="60" w:after="60"/>
              <w:rPr>
                <w:rFonts w:eastAsia="Arial Unicode MS" w:cs="Arial"/>
                <w:i/>
                <w:iCs/>
                <w:sz w:val="20"/>
                <w:szCs w:val="24"/>
              </w:rPr>
            </w:pPr>
            <w:r w:rsidRPr="001D6512">
              <w:t>Fixed</w:t>
            </w:r>
          </w:p>
        </w:tc>
        <w:tc>
          <w:tcPr>
            <w:tcW w:w="864" w:type="pct"/>
            <w:shd w:val="clear" w:color="auto" w:fill="auto"/>
          </w:tcPr>
          <w:p w:rsidR="00CD05FA" w:rsidRPr="001D6512" w:rsidRDefault="009D314F" w:rsidP="00C3606E">
            <w:pPr>
              <w:pStyle w:val="TableCell"/>
              <w:spacing w:before="60" w:after="60"/>
              <w:rPr>
                <w:rFonts w:eastAsia="Arial Unicode MS" w:cs="Arial"/>
                <w:i/>
                <w:iCs/>
                <w:sz w:val="20"/>
                <w:szCs w:val="24"/>
              </w:rPr>
            </w:pPr>
            <w:r w:rsidRPr="001D6512">
              <w:t>0.00009172</w:t>
            </w:r>
          </w:p>
        </w:tc>
        <w:tc>
          <w:tcPr>
            <w:tcW w:w="670" w:type="pct"/>
            <w:shd w:val="clear" w:color="auto" w:fill="auto"/>
          </w:tcPr>
          <w:p w:rsidR="00CD05FA" w:rsidRPr="001D6512" w:rsidRDefault="009D314F" w:rsidP="00C3606E">
            <w:pPr>
              <w:pStyle w:val="TableCell"/>
              <w:spacing w:before="60" w:after="60"/>
              <w:rPr>
                <w:rFonts w:eastAsia="Arial Unicode MS" w:cs="Arial"/>
                <w:i/>
                <w:iCs/>
                <w:sz w:val="20"/>
                <w:szCs w:val="24"/>
              </w:rPr>
            </w:pPr>
            <w:r w:rsidRPr="001D6512">
              <w:t>1-3</w:t>
            </w:r>
          </w:p>
        </w:tc>
      </w:tr>
    </w:tbl>
    <w:p w:rsidR="00CD05FA" w:rsidRDefault="00CD05FA" w:rsidP="00C3606E">
      <w:pPr>
        <w:spacing w:after="0"/>
      </w:pPr>
    </w:p>
    <w:p w:rsidR="00CD05FA" w:rsidRPr="00BC5194" w:rsidRDefault="00C67DA4" w:rsidP="00100EDF">
      <w:pPr>
        <w:rPr>
          <w:b/>
        </w:rPr>
      </w:pPr>
      <w:r w:rsidRPr="00BC5194">
        <w:rPr>
          <w:b/>
        </w:rPr>
        <w:t>Source</w:t>
      </w:r>
      <w:r w:rsidR="0007450F" w:rsidRPr="00BC5194">
        <w:rPr>
          <w:b/>
        </w:rPr>
        <w:t>s</w:t>
      </w:r>
      <w:r w:rsidR="00F92AD7" w:rsidRPr="00BC5194">
        <w:rPr>
          <w:b/>
        </w:rPr>
        <w:t>:</w:t>
      </w:r>
    </w:p>
    <w:p w:rsidR="00CD05FA" w:rsidRDefault="00F92AD7" w:rsidP="0005632A">
      <w:pPr>
        <w:pStyle w:val="source1"/>
        <w:numPr>
          <w:ilvl w:val="0"/>
          <w:numId w:val="53"/>
        </w:numPr>
      </w:pPr>
      <w:r w:rsidRPr="00F92AD7">
        <w:t xml:space="preserve">Deemed Savings Estimates for Legacy Air Conditioning and Water Heating Direct Load Control Programs in PJM Region. The report can be accessed online: </w:t>
      </w:r>
      <w:hyperlink r:id="rId29" w:history="1">
        <w:r w:rsidRPr="00002DB9">
          <w:rPr>
            <w:rStyle w:val="Hyperlink"/>
            <w:rFonts w:cs="Arial"/>
          </w:rPr>
          <w:t>http://www.pjm.com/~/media/committees-groups/working-groups/lrwg/20070301/20070301-pjm-deemed-savings-report.ashx</w:t>
        </w:r>
      </w:hyperlink>
    </w:p>
    <w:p w:rsidR="00CD05FA" w:rsidRDefault="00F92AD7" w:rsidP="0005632A">
      <w:pPr>
        <w:pStyle w:val="source1"/>
        <w:numPr>
          <w:ilvl w:val="0"/>
          <w:numId w:val="53"/>
        </w:numPr>
      </w:pPr>
      <w:r w:rsidRPr="00F92AD7">
        <w:t>The average is over all 82 water heaters and over all summer, spring/fall, or winter days.  The  load shapes are taken from the fourth columns, labeled “Mean”, in tables 14,15, and 16 in pages 5-31 and 5-32</w:t>
      </w:r>
    </w:p>
    <w:p w:rsidR="00CD05FA" w:rsidRDefault="00F92AD7" w:rsidP="0005632A">
      <w:pPr>
        <w:pStyle w:val="source1"/>
        <w:numPr>
          <w:ilvl w:val="0"/>
          <w:numId w:val="53"/>
        </w:numPr>
      </w:pPr>
      <w:r w:rsidRPr="00F92AD7">
        <w:t xml:space="preserve">The 5th column, labeled “Mean” of Table 18 in page 5-34 is used to derive an adjustment factor that scales average summer usage to summer weekday usage.    The conversion factor is 0.925844.  A number smaller than one indicates that for residential </w:t>
      </w:r>
      <w:r w:rsidRPr="00F92AD7">
        <w:lastRenderedPageBreak/>
        <w:t>homes, the hot water usage from noon to 8 PM is slightly higher is the weekends than on weekdays.</w:t>
      </w:r>
    </w:p>
    <w:p w:rsidR="00CD05FA" w:rsidRDefault="00F92AD7" w:rsidP="0005632A">
      <w:pPr>
        <w:pStyle w:val="source1"/>
        <w:numPr>
          <w:ilvl w:val="0"/>
          <w:numId w:val="53"/>
        </w:numPr>
      </w:pPr>
      <w:r w:rsidRPr="00F92AD7">
        <w:t xml:space="preserve">Heat pump water heater efficiencies have not been set in a Federal Standard.  However, the Federal Standard for water heaters does refer to a baseline efficiency for heat pump water heaters as EF = 2.0 “Energy Conservation Program: Energy Conservation Standards for Residential Water Heaters, Direct Heating Equipment, and Pool Heaters” US Dept of Energy Docket Number: </w:t>
      </w:r>
      <w:r w:rsidR="00C67DA4" w:rsidRPr="00C67DA4">
        <w:rPr>
          <w:b/>
        </w:rPr>
        <w:t>EE–2006–BT-STD–0129</w:t>
      </w:r>
      <w:r w:rsidRPr="00F92AD7">
        <w:t>.</w:t>
      </w:r>
    </w:p>
    <w:p w:rsidR="00CD05FA" w:rsidRDefault="00F92AD7" w:rsidP="0005632A">
      <w:pPr>
        <w:pStyle w:val="source1"/>
        <w:numPr>
          <w:ilvl w:val="0"/>
          <w:numId w:val="53"/>
        </w:numPr>
      </w:pPr>
      <w:r w:rsidRPr="00F92AD7">
        <w:t xml:space="preserve">Federal Standards are 0.67 -0.0019 x Rated Storage in Gallons.  For a 40-gallon tank this is 0.594.  “Energy Conservation Program: Energy Conservation Standards for Residential Water Heaters, Direct Heating Equipment, and Pool Heaters” US Dept of Energy Docket Number: </w:t>
      </w:r>
      <w:r w:rsidR="00C67DA4" w:rsidRPr="00C67DA4">
        <w:rPr>
          <w:b/>
        </w:rPr>
        <w:t xml:space="preserve">EE–2006–BT-STD–0129, </w:t>
      </w:r>
      <w:r w:rsidR="0007670E" w:rsidRPr="0007670E">
        <w:t>p. 30</w:t>
      </w:r>
    </w:p>
    <w:p w:rsidR="00CD05FA" w:rsidRDefault="00F92AD7" w:rsidP="0005632A">
      <w:pPr>
        <w:pStyle w:val="source1"/>
        <w:numPr>
          <w:ilvl w:val="0"/>
          <w:numId w:val="53"/>
        </w:numPr>
      </w:pPr>
      <w:r w:rsidRPr="00F92AD7">
        <w:t xml:space="preserve">“Energy Conservation Program for Consumer Products: Test Procedure for Water Heaters”, </w:t>
      </w:r>
      <w:r w:rsidR="00C67DA4" w:rsidRPr="00C67DA4">
        <w:rPr>
          <w:b/>
        </w:rPr>
        <w:t xml:space="preserve">Federal Register </w:t>
      </w:r>
      <w:r w:rsidRPr="00F92AD7">
        <w:t>/ Vol. 63, No. 90, p. 25996</w:t>
      </w:r>
    </w:p>
    <w:p w:rsidR="00F92AD7" w:rsidRDefault="00F92AD7" w:rsidP="0005632A">
      <w:pPr>
        <w:pStyle w:val="source1"/>
        <w:numPr>
          <w:ilvl w:val="0"/>
          <w:numId w:val="53"/>
        </w:numPr>
      </w:pPr>
      <w:r>
        <w:t>Many states have plumbing codes that limit shower and bathtub water temperature to 120 °F.</w:t>
      </w:r>
    </w:p>
    <w:p w:rsidR="00F92AD7" w:rsidRDefault="00F92AD7" w:rsidP="0005632A">
      <w:pPr>
        <w:pStyle w:val="source1"/>
        <w:numPr>
          <w:ilvl w:val="0"/>
          <w:numId w:val="53"/>
        </w:numPr>
      </w:pPr>
      <w:r>
        <w:t>Mid-Atlantic TRM, footnote #24</w:t>
      </w:r>
    </w:p>
    <w:p w:rsidR="00CD05FA" w:rsidRDefault="00F92AD7" w:rsidP="00C3606E">
      <w:pPr>
        <w:pStyle w:val="source1"/>
        <w:spacing w:after="200"/>
      </w:pPr>
      <w:r>
        <w:t xml:space="preserve">Based on TMY2 weather files from DOE2.com for Erie, Harrisburg, Pittsburgh, Wilkes-Barre, And Williamsport, the average annual </w:t>
      </w:r>
      <w:r w:rsidR="00F11594">
        <w:t>wet bulb</w:t>
      </w:r>
      <w:r>
        <w:t xml:space="preserve"> temperature is 45 </w:t>
      </w:r>
      <w:r>
        <w:sym w:font="Symbol" w:char="F0B1"/>
      </w:r>
      <w:r>
        <w:t xml:space="preserve"> 1.3 °F.  The </w:t>
      </w:r>
      <w:r w:rsidR="00F11594">
        <w:t>wet bulb</w:t>
      </w:r>
      <w:r>
        <w:t xml:space="preserve"> temperature in garages or attics, where the heat pumps are likely to be installed, are likely to be two or three degrees higher, but for simplicity, 45 °F is assumed to be the annual average </w:t>
      </w:r>
      <w:r w:rsidR="00F11594">
        <w:t>wet bulb</w:t>
      </w:r>
      <w:r>
        <w:t xml:space="preserve"> temperature.</w:t>
      </w:r>
    </w:p>
    <w:p w:rsidR="00CD05FA" w:rsidRDefault="009D314F" w:rsidP="00871FA2">
      <w:pPr>
        <w:pStyle w:val="Heading3"/>
      </w:pPr>
      <w:r>
        <w:t>Heat Pump Water Heater Energy Factor</w:t>
      </w:r>
    </w:p>
    <w:p w:rsidR="00B85BDF" w:rsidRDefault="009D314F" w:rsidP="00C3606E">
      <w:pPr>
        <w:pStyle w:val="BodyText"/>
      </w:pPr>
      <w:r w:rsidRPr="000F5920">
        <w:t>The Energy Factors are determined from a DOE testing procedure</w:t>
      </w:r>
      <w:r w:rsidR="006A4AFA">
        <w:t xml:space="preserve"> </w:t>
      </w:r>
      <w:r w:rsidRPr="000F5920">
        <w:t xml:space="preserve">that is carried out at 56 °F </w:t>
      </w:r>
      <w:r w:rsidR="00F11594" w:rsidRPr="000F5920">
        <w:t>wet bulb</w:t>
      </w:r>
      <w:r w:rsidRPr="000F5920">
        <w:t xml:space="preserve"> temperature. However, the average </w:t>
      </w:r>
      <w:r w:rsidR="00F11594" w:rsidRPr="000F5920">
        <w:t>wet bulb</w:t>
      </w:r>
      <w:r w:rsidRPr="000F5920">
        <w:t xml:space="preserve"> temperature in PA is closer to</w:t>
      </w:r>
      <w:r>
        <w:t xml:space="preserve"> 45 °F</w:t>
      </w:r>
      <w:r w:rsidR="00F92AD7">
        <w:rPr>
          <w:rStyle w:val="FootnoteReference"/>
        </w:rPr>
        <w:footnoteReference w:id="62"/>
      </w:r>
      <w:r>
        <w:t xml:space="preserve">.  </w:t>
      </w:r>
      <w:r w:rsidRPr="000F5920">
        <w:t>The heat pump performance</w:t>
      </w:r>
      <w:r>
        <w:t xml:space="preserve"> is temperature dependent.  The plot </w:t>
      </w:r>
      <w:r w:rsidR="00BA6B8F">
        <w:t xml:space="preserve">in </w:t>
      </w:r>
      <w:r w:rsidR="007A1FB6">
        <w:fldChar w:fldCharType="begin"/>
      </w:r>
      <w:r w:rsidR="00081415">
        <w:instrText xml:space="preserve"> REF _Ref276630732 \h </w:instrText>
      </w:r>
      <w:r w:rsidR="007A1FB6">
        <w:fldChar w:fldCharType="separate"/>
      </w:r>
      <w:r w:rsidR="00C0292F">
        <w:t xml:space="preserve">Figure </w:t>
      </w:r>
      <w:r w:rsidR="00C0292F">
        <w:rPr>
          <w:noProof/>
        </w:rPr>
        <w:t>2</w:t>
      </w:r>
      <w:r w:rsidR="00C0292F">
        <w:noBreakHyphen/>
      </w:r>
      <w:r w:rsidR="00C0292F">
        <w:rPr>
          <w:noProof/>
        </w:rPr>
        <w:t>10</w:t>
      </w:r>
      <w:r w:rsidR="007A1FB6">
        <w:fldChar w:fldCharType="end"/>
      </w:r>
      <w:r w:rsidR="00BA6B8F">
        <w:t xml:space="preserve"> </w:t>
      </w:r>
      <w:r>
        <w:t>shows relative coefficient of performance (COP) compared to the COP at rated conditions</w:t>
      </w:r>
      <w:r w:rsidR="00F92AD7">
        <w:rPr>
          <w:rStyle w:val="FootnoteReference"/>
        </w:rPr>
        <w:footnoteReference w:id="63"/>
      </w:r>
      <w:r>
        <w:t>.  According to the linear regression shown on the plot, the COP of a heat pump water heater at 45 °F is 0.84 of the COP at nominal rating conditions.  As such, a de-rating factor of 0.84 is applied to the nominal Energy Factor of the Heat Pump water heaters.</w:t>
      </w:r>
    </w:p>
    <w:p w:rsidR="00BA6B8F" w:rsidRDefault="003C7C58" w:rsidP="00C3606E">
      <w:pPr>
        <w:pStyle w:val="BodyTextIndent2"/>
        <w:keepNext/>
        <w:spacing w:before="240"/>
        <w:ind w:left="0"/>
        <w:jc w:val="center"/>
      </w:pPr>
      <w:r>
        <w:rPr>
          <w:noProof/>
        </w:rPr>
        <w:lastRenderedPageBreak/>
        <w:drawing>
          <wp:inline distT="0" distB="0" distL="0" distR="0">
            <wp:extent cx="4591050" cy="2962275"/>
            <wp:effectExtent l="0" t="0" r="0" b="9525"/>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91050" cy="2962275"/>
                    </a:xfrm>
                    <a:prstGeom prst="rect">
                      <a:avLst/>
                    </a:prstGeom>
                    <a:noFill/>
                    <a:ln>
                      <a:noFill/>
                    </a:ln>
                  </pic:spPr>
                </pic:pic>
              </a:graphicData>
            </a:graphic>
          </wp:inline>
        </w:drawing>
      </w:r>
    </w:p>
    <w:p w:rsidR="00CD05FA" w:rsidRDefault="00BA6B8F" w:rsidP="00100EDF">
      <w:pPr>
        <w:pStyle w:val="Caption"/>
      </w:pPr>
      <w:bookmarkStart w:id="366" w:name="_Ref276630732"/>
      <w:bookmarkStart w:id="367" w:name="_Ref276630727"/>
      <w:r>
        <w:t xml:space="preserve">Figure </w:t>
      </w:r>
      <w:r w:rsidR="007A1FB6">
        <w:fldChar w:fldCharType="begin"/>
      </w:r>
      <w:r w:rsidR="008B139C">
        <w:instrText xml:space="preserve"> STYLEREF 1 \s </w:instrText>
      </w:r>
      <w:r w:rsidR="007A1FB6">
        <w:fldChar w:fldCharType="separate"/>
      </w:r>
      <w:r w:rsidR="00C0292F">
        <w:rPr>
          <w:noProof/>
        </w:rPr>
        <w:t>2</w:t>
      </w:r>
      <w:r w:rsidR="007A1FB6">
        <w:fldChar w:fldCharType="end"/>
      </w:r>
      <w:r w:rsidR="008B139C">
        <w:noBreakHyphen/>
      </w:r>
      <w:r w:rsidR="007A1FB6">
        <w:fldChar w:fldCharType="begin"/>
      </w:r>
      <w:r w:rsidR="008B139C">
        <w:instrText xml:space="preserve"> SEQ Figure \* ARABIC \s 1 </w:instrText>
      </w:r>
      <w:r w:rsidR="007A1FB6">
        <w:fldChar w:fldCharType="separate"/>
      </w:r>
      <w:r w:rsidR="00C0292F">
        <w:rPr>
          <w:noProof/>
        </w:rPr>
        <w:t>10</w:t>
      </w:r>
      <w:r w:rsidR="007A1FB6">
        <w:fldChar w:fldCharType="end"/>
      </w:r>
      <w:bookmarkEnd w:id="366"/>
      <w:r>
        <w:t>: Dependence of COP on Outdoor Wet-Bulb Temperature</w:t>
      </w:r>
      <w:bookmarkEnd w:id="367"/>
    </w:p>
    <w:p w:rsidR="00CD05FA" w:rsidRDefault="009D314F" w:rsidP="00871FA2">
      <w:pPr>
        <w:pStyle w:val="Heading3"/>
      </w:pPr>
      <w:r w:rsidRPr="00837206">
        <w:t>Deemed Savings</w:t>
      </w:r>
    </w:p>
    <w:p w:rsidR="00CD05FA" w:rsidRDefault="009D314F" w:rsidP="00C3606E">
      <w:pPr>
        <w:pStyle w:val="BodyText"/>
      </w:pPr>
      <w:r w:rsidRPr="00837206">
        <w:t xml:space="preserve">The deemed savings for the installation of </w:t>
      </w:r>
      <w:r>
        <w:t xml:space="preserve">a natural gas </w:t>
      </w:r>
      <w:r w:rsidRPr="00837206">
        <w:t>water heater</w:t>
      </w:r>
      <w:r>
        <w:t xml:space="preserve"> in place of a standard heat pump water heater are listed </w:t>
      </w:r>
      <w:r w:rsidR="00536AB7">
        <w:t xml:space="preserve">in </w:t>
      </w:r>
      <w:r w:rsidR="007A1FB6">
        <w:fldChar w:fldCharType="begin"/>
      </w:r>
      <w:r w:rsidR="00081415">
        <w:instrText xml:space="preserve"> REF _Ref275542468 \h </w:instrText>
      </w:r>
      <w:r w:rsidR="007A1FB6">
        <w:fldChar w:fldCharType="separate"/>
      </w:r>
      <w:r w:rsidR="00C0292F">
        <w:t xml:space="preserve">Table </w:t>
      </w:r>
      <w:r w:rsidR="00C0292F">
        <w:rPr>
          <w:noProof/>
        </w:rPr>
        <w:t>2</w:t>
      </w:r>
      <w:r w:rsidR="00C0292F">
        <w:noBreakHyphen/>
      </w:r>
      <w:r w:rsidR="00C0292F">
        <w:rPr>
          <w:noProof/>
        </w:rPr>
        <w:t>30</w:t>
      </w:r>
      <w:r w:rsidR="007A1FB6">
        <w:fldChar w:fldCharType="end"/>
      </w:r>
      <w:r w:rsidR="00536AB7">
        <w:t xml:space="preserve"> </w:t>
      </w:r>
      <w:r>
        <w:t>below.</w:t>
      </w:r>
    </w:p>
    <w:p w:rsidR="00B85BDF" w:rsidRDefault="0007670E" w:rsidP="00C3606E">
      <w:pPr>
        <w:pStyle w:val="Caption"/>
      </w:pPr>
      <w:bookmarkStart w:id="368" w:name="_Ref275542468"/>
      <w:bookmarkStart w:id="369" w:name="_Toc310875516"/>
      <w:r>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30</w:t>
      </w:r>
      <w:r w:rsidR="00274AB1">
        <w:rPr>
          <w:noProof/>
        </w:rPr>
        <w:fldChar w:fldCharType="end"/>
      </w:r>
      <w:bookmarkEnd w:id="368"/>
      <w:r>
        <w:t>: Energy Savings and Demand Reductions</w:t>
      </w:r>
      <w:r w:rsidR="009F791F">
        <w:t xml:space="preserve"> for</w:t>
      </w:r>
      <w:r w:rsidR="001A5E45">
        <w:t xml:space="preserve"> Heat Pump</w:t>
      </w:r>
      <w:r w:rsidR="00AC4A78">
        <w:t xml:space="preserve"> Water Heater</w:t>
      </w:r>
      <w:r w:rsidR="001A5E45">
        <w:t xml:space="preserve"> to Gas</w:t>
      </w:r>
      <w:r w:rsidR="00CF3E49">
        <w:t xml:space="preserve"> Water Heater</w:t>
      </w:r>
      <w:bookmarkEnd w:id="369"/>
    </w:p>
    <w:tbl>
      <w:tblPr>
        <w:tblW w:w="864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2880"/>
        <w:gridCol w:w="2881"/>
        <w:gridCol w:w="2879"/>
      </w:tblGrid>
      <w:tr w:rsidR="009D314F" w:rsidRPr="008C3A5C" w:rsidTr="00F84A22">
        <w:tc>
          <w:tcPr>
            <w:tcW w:w="1667" w:type="pct"/>
            <w:tcBorders>
              <w:top w:val="single" w:sz="8" w:space="0" w:color="404040"/>
              <w:left w:val="single" w:sz="8" w:space="0" w:color="404040"/>
              <w:bottom w:val="single" w:sz="8" w:space="0" w:color="404040"/>
              <w:right w:val="single" w:sz="8" w:space="0" w:color="404040"/>
            </w:tcBorders>
            <w:shd w:val="clear" w:color="auto" w:fill="BFBFBF"/>
          </w:tcPr>
          <w:p w:rsidR="00CD05FA" w:rsidRPr="001D6512" w:rsidRDefault="009D314F" w:rsidP="00C3606E">
            <w:pPr>
              <w:pStyle w:val="TableCell"/>
              <w:spacing w:before="60" w:after="60"/>
              <w:rPr>
                <w:b/>
                <w:bCs/>
                <w:sz w:val="20"/>
              </w:rPr>
            </w:pPr>
            <w:r w:rsidRPr="001D6512">
              <w:rPr>
                <w:b/>
                <w:bCs/>
              </w:rPr>
              <w:t>Heat Pump unit Energy Factor</w:t>
            </w:r>
          </w:p>
        </w:tc>
        <w:tc>
          <w:tcPr>
            <w:tcW w:w="1667" w:type="pct"/>
            <w:tcBorders>
              <w:top w:val="single" w:sz="8" w:space="0" w:color="404040"/>
              <w:left w:val="single" w:sz="8" w:space="0" w:color="404040"/>
              <w:bottom w:val="single" w:sz="8" w:space="0" w:color="404040"/>
              <w:right w:val="single" w:sz="8" w:space="0" w:color="404040"/>
            </w:tcBorders>
            <w:shd w:val="clear" w:color="auto" w:fill="BFBFBF"/>
          </w:tcPr>
          <w:p w:rsidR="00CD05FA" w:rsidRPr="001D6512" w:rsidRDefault="009D314F" w:rsidP="00C3606E">
            <w:pPr>
              <w:pStyle w:val="TableCell"/>
              <w:spacing w:before="60" w:after="60"/>
              <w:rPr>
                <w:b/>
                <w:bCs/>
                <w:sz w:val="20"/>
              </w:rPr>
            </w:pPr>
            <w:r w:rsidRPr="001D6512">
              <w:rPr>
                <w:b/>
                <w:bCs/>
              </w:rPr>
              <w:t>Energy Savings (kWh)</w:t>
            </w:r>
          </w:p>
        </w:tc>
        <w:tc>
          <w:tcPr>
            <w:tcW w:w="1666" w:type="pct"/>
            <w:tcBorders>
              <w:top w:val="single" w:sz="8" w:space="0" w:color="404040"/>
              <w:left w:val="single" w:sz="8" w:space="0" w:color="404040"/>
              <w:bottom w:val="single" w:sz="8" w:space="0" w:color="404040"/>
              <w:right w:val="single" w:sz="8" w:space="0" w:color="404040"/>
            </w:tcBorders>
            <w:shd w:val="clear" w:color="auto" w:fill="BFBFBF"/>
          </w:tcPr>
          <w:p w:rsidR="00CD05FA" w:rsidRPr="001D6512" w:rsidRDefault="009D314F" w:rsidP="00C3606E">
            <w:pPr>
              <w:pStyle w:val="TableCell"/>
              <w:spacing w:before="60" w:after="60"/>
              <w:rPr>
                <w:b/>
                <w:bCs/>
                <w:sz w:val="20"/>
              </w:rPr>
            </w:pPr>
            <w:r w:rsidRPr="001D6512">
              <w:rPr>
                <w:b/>
                <w:bCs/>
              </w:rPr>
              <w:t>Demand Reduction (kW)</w:t>
            </w:r>
          </w:p>
        </w:tc>
      </w:tr>
      <w:tr w:rsidR="009D314F" w:rsidRPr="008C3A5C" w:rsidTr="00F84A22">
        <w:tc>
          <w:tcPr>
            <w:tcW w:w="1667" w:type="pct"/>
            <w:tcBorders>
              <w:top w:val="single" w:sz="8" w:space="0" w:color="404040"/>
              <w:left w:val="single" w:sz="8" w:space="0" w:color="404040"/>
              <w:bottom w:val="single" w:sz="8" w:space="0" w:color="404040"/>
              <w:right w:val="single" w:sz="8" w:space="0" w:color="404040"/>
            </w:tcBorders>
            <w:shd w:val="clear" w:color="auto" w:fill="FFFFFF"/>
          </w:tcPr>
          <w:p w:rsidR="00CD05FA" w:rsidRPr="001D6512" w:rsidRDefault="0038789E" w:rsidP="00C3606E">
            <w:pPr>
              <w:pStyle w:val="TableCell"/>
              <w:spacing w:before="60" w:after="60"/>
              <w:rPr>
                <w:b/>
                <w:bCs/>
                <w:sz w:val="20"/>
              </w:rPr>
            </w:pPr>
            <w:r w:rsidRPr="001D6512">
              <w:rPr>
                <w:b/>
                <w:bCs/>
                <w:color w:val="000000"/>
              </w:rPr>
              <w:t>2.0</w:t>
            </w:r>
          </w:p>
        </w:tc>
        <w:tc>
          <w:tcPr>
            <w:tcW w:w="1667" w:type="pct"/>
            <w:tcBorders>
              <w:top w:val="single" w:sz="8" w:space="0" w:color="404040"/>
              <w:left w:val="single" w:sz="8" w:space="0" w:color="404040"/>
              <w:bottom w:val="single" w:sz="8" w:space="0" w:color="404040"/>
              <w:right w:val="single" w:sz="8" w:space="0" w:color="404040"/>
            </w:tcBorders>
            <w:shd w:val="clear" w:color="auto" w:fill="FFFFFF"/>
          </w:tcPr>
          <w:p w:rsidR="00CD05FA" w:rsidRPr="001D6512" w:rsidRDefault="009D314F" w:rsidP="00C3606E">
            <w:pPr>
              <w:pStyle w:val="TableCell"/>
              <w:spacing w:before="60" w:after="60"/>
              <w:rPr>
                <w:rFonts w:eastAsia="Arial Unicode MS" w:cs="Arial"/>
                <w:i/>
                <w:iCs/>
                <w:sz w:val="20"/>
                <w:szCs w:val="24"/>
              </w:rPr>
            </w:pPr>
            <w:r w:rsidRPr="001D6512">
              <w:rPr>
                <w:color w:val="000000"/>
              </w:rPr>
              <w:t>2208</w:t>
            </w:r>
          </w:p>
        </w:tc>
        <w:tc>
          <w:tcPr>
            <w:tcW w:w="1666" w:type="pct"/>
            <w:tcBorders>
              <w:top w:val="single" w:sz="8" w:space="0" w:color="404040"/>
              <w:left w:val="single" w:sz="8" w:space="0" w:color="404040"/>
              <w:bottom w:val="single" w:sz="8" w:space="0" w:color="404040"/>
              <w:right w:val="single" w:sz="8" w:space="0" w:color="404040"/>
            </w:tcBorders>
            <w:shd w:val="clear" w:color="auto" w:fill="FFFFFF"/>
          </w:tcPr>
          <w:p w:rsidR="00CD05FA" w:rsidRPr="001D6512" w:rsidRDefault="009D314F" w:rsidP="00C3606E">
            <w:pPr>
              <w:pStyle w:val="TableCell"/>
              <w:spacing w:before="60" w:after="60"/>
              <w:rPr>
                <w:rFonts w:eastAsia="Arial Unicode MS" w:cs="Arial"/>
                <w:i/>
                <w:iCs/>
                <w:sz w:val="20"/>
                <w:szCs w:val="24"/>
              </w:rPr>
            </w:pPr>
            <w:r w:rsidRPr="001D6512">
              <w:rPr>
                <w:color w:val="000000"/>
              </w:rPr>
              <w:t>0.203</w:t>
            </w:r>
          </w:p>
        </w:tc>
      </w:tr>
    </w:tbl>
    <w:p w:rsidR="00CD05FA" w:rsidRDefault="00CD05FA" w:rsidP="00C3606E">
      <w:pPr>
        <w:pStyle w:val="BodyText"/>
      </w:pPr>
    </w:p>
    <w:p w:rsidR="00CD05FA" w:rsidRDefault="009D314F" w:rsidP="00C3606E">
      <w:pPr>
        <w:pStyle w:val="BodyText"/>
      </w:pPr>
      <w:r w:rsidRPr="00837206">
        <w:t xml:space="preserve">The deemed </w:t>
      </w:r>
      <w:r>
        <w:t xml:space="preserve">gas consumption </w:t>
      </w:r>
      <w:r w:rsidRPr="00837206">
        <w:t xml:space="preserve">for the installation of </w:t>
      </w:r>
      <w:r>
        <w:t xml:space="preserve">a standard efficiency natural gas </w:t>
      </w:r>
      <w:r w:rsidRPr="00837206">
        <w:t>water heater</w:t>
      </w:r>
      <w:r>
        <w:t xml:space="preserve"> in place of a standard heat pump water heater is listed </w:t>
      </w:r>
      <w:r w:rsidR="00536AB7">
        <w:t xml:space="preserve">in </w:t>
      </w:r>
      <w:r w:rsidR="007A1FB6">
        <w:fldChar w:fldCharType="begin"/>
      </w:r>
      <w:r w:rsidR="00081415">
        <w:instrText xml:space="preserve"> REF _Ref275542469 \h </w:instrText>
      </w:r>
      <w:r w:rsidR="007A1FB6">
        <w:fldChar w:fldCharType="separate"/>
      </w:r>
      <w:r w:rsidR="00C0292F" w:rsidRPr="00440C51">
        <w:t xml:space="preserve">Table </w:t>
      </w:r>
      <w:r w:rsidR="00C0292F">
        <w:rPr>
          <w:noProof/>
        </w:rPr>
        <w:t>2</w:t>
      </w:r>
      <w:r w:rsidR="00C0292F">
        <w:noBreakHyphen/>
      </w:r>
      <w:r w:rsidR="00C0292F">
        <w:rPr>
          <w:noProof/>
        </w:rPr>
        <w:t>31</w:t>
      </w:r>
      <w:r w:rsidR="007A1FB6">
        <w:fldChar w:fldCharType="end"/>
      </w:r>
      <w:r w:rsidR="00536AB7">
        <w:t xml:space="preserve"> </w:t>
      </w:r>
      <w:r>
        <w:t>below.</w:t>
      </w:r>
    </w:p>
    <w:p w:rsidR="00B85BDF" w:rsidRDefault="009D314F" w:rsidP="00C3606E">
      <w:pPr>
        <w:pStyle w:val="StyleCaptionCentered"/>
      </w:pPr>
      <w:bookmarkStart w:id="370" w:name="_Ref275542469"/>
      <w:bookmarkStart w:id="371" w:name="_Toc310875517"/>
      <w:r w:rsidRPr="00440C51">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31</w:t>
      </w:r>
      <w:r w:rsidR="00274AB1">
        <w:rPr>
          <w:noProof/>
        </w:rPr>
        <w:fldChar w:fldCharType="end"/>
      </w:r>
      <w:bookmarkEnd w:id="370"/>
      <w:r w:rsidRPr="00440C51">
        <w:t xml:space="preserve">: </w:t>
      </w:r>
      <w:r>
        <w:t>Gas Consumption</w:t>
      </w:r>
      <w:r w:rsidR="009F791F">
        <w:t xml:space="preserve"> for</w:t>
      </w:r>
      <w:r w:rsidR="001A5E45">
        <w:t xml:space="preserve"> Heat Pump </w:t>
      </w:r>
      <w:r w:rsidR="00AC4A78">
        <w:t xml:space="preserve">Water Heater </w:t>
      </w:r>
      <w:r w:rsidR="001A5E45">
        <w:t>to Gas</w:t>
      </w:r>
      <w:r w:rsidR="00CF3E49">
        <w:t xml:space="preserve"> Water Heater</w:t>
      </w:r>
      <w:bookmarkEnd w:id="371"/>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9D314F" w:rsidRPr="008C3A5C" w:rsidTr="00F84A22">
        <w:trPr>
          <w:jc w:val="center"/>
        </w:trPr>
        <w:tc>
          <w:tcPr>
            <w:tcW w:w="2500" w:type="pct"/>
            <w:shd w:val="clear" w:color="auto" w:fill="BFBFBF"/>
          </w:tcPr>
          <w:p w:rsidR="00CD05FA" w:rsidRPr="001D6512" w:rsidRDefault="009D314F" w:rsidP="008075FC">
            <w:pPr>
              <w:pStyle w:val="TableCell"/>
              <w:keepNext w:val="0"/>
              <w:spacing w:before="60" w:after="60"/>
              <w:rPr>
                <w:b/>
                <w:sz w:val="20"/>
              </w:rPr>
            </w:pPr>
            <w:r w:rsidRPr="001D6512">
              <w:rPr>
                <w:b/>
              </w:rPr>
              <w:t>Gas unit Energy Factor</w:t>
            </w:r>
          </w:p>
        </w:tc>
        <w:tc>
          <w:tcPr>
            <w:tcW w:w="2500" w:type="pct"/>
            <w:shd w:val="clear" w:color="auto" w:fill="BFBFBF"/>
          </w:tcPr>
          <w:p w:rsidR="00CD05FA" w:rsidRPr="001D6512" w:rsidRDefault="009D314F" w:rsidP="008075FC">
            <w:pPr>
              <w:pStyle w:val="TableCell"/>
              <w:keepNext w:val="0"/>
              <w:spacing w:before="60" w:after="60"/>
              <w:rPr>
                <w:b/>
                <w:sz w:val="20"/>
              </w:rPr>
            </w:pPr>
            <w:r w:rsidRPr="001D6512">
              <w:rPr>
                <w:b/>
              </w:rPr>
              <w:t>Gas Consumption (MMBtu)</w:t>
            </w:r>
          </w:p>
        </w:tc>
      </w:tr>
      <w:tr w:rsidR="009D314F" w:rsidRPr="008C3A5C" w:rsidTr="00F84A22">
        <w:trPr>
          <w:jc w:val="center"/>
        </w:trPr>
        <w:tc>
          <w:tcPr>
            <w:tcW w:w="2500" w:type="pct"/>
            <w:shd w:val="clear" w:color="auto" w:fill="auto"/>
          </w:tcPr>
          <w:p w:rsidR="00CD05FA" w:rsidRPr="001D6512" w:rsidRDefault="009D314F" w:rsidP="008075FC">
            <w:pPr>
              <w:pStyle w:val="TableCell"/>
              <w:keepNext w:val="0"/>
              <w:spacing w:before="60" w:after="60"/>
              <w:rPr>
                <w:color w:val="000000"/>
                <w:sz w:val="20"/>
              </w:rPr>
            </w:pPr>
            <w:r w:rsidRPr="001D6512">
              <w:rPr>
                <w:color w:val="000000"/>
              </w:rPr>
              <w:t>0.594</w:t>
            </w:r>
          </w:p>
        </w:tc>
        <w:tc>
          <w:tcPr>
            <w:tcW w:w="2500" w:type="pct"/>
            <w:shd w:val="clear" w:color="auto" w:fill="auto"/>
          </w:tcPr>
          <w:p w:rsidR="00CD05FA" w:rsidRPr="001D6512" w:rsidRDefault="009D314F" w:rsidP="008075FC">
            <w:pPr>
              <w:pStyle w:val="TableCell"/>
              <w:keepNext w:val="0"/>
              <w:spacing w:before="60" w:after="60"/>
              <w:rPr>
                <w:rFonts w:eastAsia="Arial Unicode MS" w:cs="Arial"/>
                <w:i/>
                <w:iCs/>
                <w:color w:val="000000"/>
                <w:sz w:val="20"/>
                <w:szCs w:val="24"/>
              </w:rPr>
            </w:pPr>
            <w:r w:rsidRPr="001D6512">
              <w:rPr>
                <w:color w:val="000000"/>
              </w:rPr>
              <w:t>21.32</w:t>
            </w:r>
          </w:p>
        </w:tc>
      </w:tr>
    </w:tbl>
    <w:p w:rsidR="00CD05FA" w:rsidRDefault="009D314F" w:rsidP="00871FA2">
      <w:pPr>
        <w:pStyle w:val="Heading3"/>
      </w:pPr>
      <w:r w:rsidRPr="00837206">
        <w:lastRenderedPageBreak/>
        <w:t>Measure Life</w:t>
      </w:r>
    </w:p>
    <w:p w:rsidR="00CD05FA" w:rsidRDefault="009D314F" w:rsidP="008075FC">
      <w:pPr>
        <w:pStyle w:val="BodyText"/>
        <w:keepNext/>
      </w:pPr>
      <w:r>
        <w:t xml:space="preserve">According to an October 2008 report for the CA Database for Energy Efficiency Resources, a gas </w:t>
      </w:r>
      <w:r w:rsidRPr="00837206">
        <w:t xml:space="preserve">water heater’s lifespan is </w:t>
      </w:r>
      <w:r w:rsidRPr="00837206">
        <w:rPr>
          <w:b/>
        </w:rPr>
        <w:t>1</w:t>
      </w:r>
      <w:r>
        <w:rPr>
          <w:b/>
        </w:rPr>
        <w:t>3</w:t>
      </w:r>
      <w:r w:rsidRPr="00837206">
        <w:rPr>
          <w:b/>
        </w:rPr>
        <w:t xml:space="preserve"> years</w:t>
      </w:r>
      <w:r w:rsidR="00F92AD7">
        <w:rPr>
          <w:rStyle w:val="FootnoteReference"/>
          <w:b/>
        </w:rPr>
        <w:footnoteReference w:id="64"/>
      </w:r>
      <w:r w:rsidRPr="00837206">
        <w:t>.</w:t>
      </w:r>
    </w:p>
    <w:p w:rsidR="00CD05FA" w:rsidRDefault="009D314F" w:rsidP="00871FA2">
      <w:pPr>
        <w:pStyle w:val="Heading3"/>
      </w:pPr>
      <w:r w:rsidRPr="00837206">
        <w:t>Evaluation Protocols</w:t>
      </w:r>
    </w:p>
    <w:p w:rsidR="00CD05FA" w:rsidRDefault="009D314F">
      <w:pPr>
        <w:pStyle w:val="BodyText"/>
      </w:pPr>
      <w:r w:rsidRPr="00837206">
        <w:t>The most appropriate evaluation protocol for this measure is verification of installation coupled with assignment of stipulated energy savings.</w:t>
      </w:r>
    </w:p>
    <w:p w:rsidR="00D45300" w:rsidRDefault="00D45300">
      <w:pPr>
        <w:overflowPunct/>
        <w:autoSpaceDE/>
        <w:autoSpaceDN/>
        <w:adjustRightInd/>
        <w:spacing w:after="0" w:line="240" w:lineRule="auto"/>
        <w:textAlignment w:val="auto"/>
      </w:pPr>
    </w:p>
    <w:p w:rsidR="00CD05FA" w:rsidRDefault="00716DAB" w:rsidP="00E568D4">
      <w:pPr>
        <w:pStyle w:val="Heading2"/>
      </w:pPr>
      <w:r>
        <w:br w:type="page"/>
      </w:r>
      <w:bookmarkStart w:id="372" w:name="_Toc310875419"/>
      <w:r w:rsidR="00D45300">
        <w:lastRenderedPageBreak/>
        <w:t>Fuel Switching</w:t>
      </w:r>
      <w:r w:rsidR="006A4AFA">
        <w:t>:</w:t>
      </w:r>
      <w:r w:rsidR="00D45300">
        <w:t xml:space="preserve"> Electric Heat to Gas Heat</w:t>
      </w:r>
      <w:bookmarkEnd w:id="372"/>
      <w:r w:rsidR="00D45300">
        <w:t xml:space="preserve">  </w:t>
      </w:r>
    </w:p>
    <w:p w:rsidR="00CD05FA" w:rsidRDefault="00D45300">
      <w:pPr>
        <w:pStyle w:val="BodyText"/>
      </w:pPr>
      <w:r w:rsidRPr="00CA3CEF">
        <w:t xml:space="preserve">This </w:t>
      </w:r>
      <w:r>
        <w:t>protocol</w:t>
      </w:r>
      <w:r w:rsidRPr="00CA3CEF">
        <w:t xml:space="preserve"> documents the energy savings attributed to converting from </w:t>
      </w:r>
      <w:r>
        <w:t>an existing electric heating system to a new natural gas furnace in a residential home</w:t>
      </w:r>
      <w:r w:rsidRPr="00650FB6">
        <w:t>.</w:t>
      </w:r>
      <w:r>
        <w:t xml:space="preserve">  </w:t>
      </w:r>
      <w:r w:rsidRPr="00CA3CEF">
        <w:t>The target sector primarily consists of single-family residences</w:t>
      </w:r>
      <w:r>
        <w:t>.</w:t>
      </w:r>
    </w:p>
    <w:p w:rsidR="00CD05FA" w:rsidRDefault="00D45300">
      <w:pPr>
        <w:pStyle w:val="BodyText"/>
      </w:pPr>
      <w:r w:rsidRPr="00650FB6">
        <w:t>The baseline for this measure is an existing residential home with an electric primary heating</w:t>
      </w:r>
      <w:r>
        <w:t xml:space="preserve"> source</w:t>
      </w:r>
      <w:r w:rsidRPr="00650FB6">
        <w:t>.</w:t>
      </w:r>
      <w:r>
        <w:t xml:space="preserve">  The heating source can be electric baseboards, electric furnace, or electric air source heat pump.</w:t>
      </w:r>
    </w:p>
    <w:p w:rsidR="00CD05FA" w:rsidRDefault="00D45300">
      <w:pPr>
        <w:pStyle w:val="BodyText"/>
      </w:pPr>
      <w:r>
        <w:t>The retrofit condition for this measure is the installation of a new standard efficiency natural gas furnace.</w:t>
      </w:r>
    </w:p>
    <w:p w:rsidR="00CD05FA" w:rsidRDefault="00D45300" w:rsidP="00871FA2">
      <w:pPr>
        <w:pStyle w:val="Heading3"/>
      </w:pPr>
      <w:r>
        <w:t>Algorithms</w:t>
      </w:r>
    </w:p>
    <w:p w:rsidR="00CD05FA" w:rsidRDefault="00D45300">
      <w:pPr>
        <w:pStyle w:val="BodyText"/>
      </w:pPr>
      <w:r>
        <w:t>T</w:t>
      </w:r>
      <w:r w:rsidRPr="00CA3CEF">
        <w:t xml:space="preserve">he energy savings are the full energy </w:t>
      </w:r>
      <w:r>
        <w:t xml:space="preserve">consumption </w:t>
      </w:r>
      <w:r w:rsidRPr="00CA3CEF">
        <w:t xml:space="preserve">of the electric </w:t>
      </w:r>
      <w:r>
        <w:t>heating source minus the energy consumption of the gas furnace blower motor</w:t>
      </w:r>
      <w:r w:rsidRPr="00CA3CEF">
        <w:t>.  The energy savings are obtained through the following formula</w:t>
      </w:r>
      <w:r>
        <w:t>s</w:t>
      </w:r>
      <w:r w:rsidRPr="00CA3CEF">
        <w:t>:</w:t>
      </w:r>
    </w:p>
    <w:p w:rsidR="00CD05FA" w:rsidRDefault="00D45300" w:rsidP="00E568D4">
      <w:pPr>
        <w:pStyle w:val="Heading4"/>
      </w:pPr>
      <w:r>
        <w:t>Heating savings with electric baseboards or electric furnace (assumes 100% efficiency):</w:t>
      </w:r>
    </w:p>
    <w:p w:rsidR="00CD05FA" w:rsidRDefault="00D45300">
      <w:pPr>
        <w:pStyle w:val="BodyText"/>
      </w:pPr>
      <w:r>
        <w:t>Energy Impact:</w:t>
      </w:r>
    </w:p>
    <w:p w:rsidR="00CD05FA" w:rsidRPr="003C7C58" w:rsidRDefault="00274AB1">
      <w:pPr>
        <w:pStyle w:val="Equation"/>
        <w:ind w:left="0" w:firstLine="0"/>
        <w:rPr>
          <w:i w:val="0"/>
        </w:rPr>
      </w:pPr>
      <m:oMathPara>
        <m:oMathParaPr>
          <m:jc m:val="left"/>
        </m:oMathParaPr>
        <m:oMath>
          <m:sSub>
            <m:sSubPr>
              <m:ctrlPr>
                <w:rPr>
                  <w:rFonts w:ascii="Cambria Math" w:hAnsi="Cambria Math"/>
                </w:rPr>
              </m:ctrlPr>
            </m:sSubPr>
            <m:e>
              <m:r>
                <m:rPr>
                  <m:nor/>
                </m:rPr>
                <w:rPr>
                  <w:rFonts w:asciiTheme="minorHAnsi" w:hAnsiTheme="minorHAnsi" w:hint="eastAsia"/>
                </w:rPr>
                <m:t>Δ</m:t>
              </m:r>
              <m:r>
                <m:rPr>
                  <m:nor/>
                </m:rPr>
                <w:rPr>
                  <w:rFonts w:asciiTheme="minorHAnsi" w:hAnsiTheme="minorHAnsi"/>
                </w:rPr>
                <m:t>kWh</m:t>
              </m:r>
            </m:e>
            <m:sub>
              <m:r>
                <m:rPr>
                  <m:nor/>
                </m:rPr>
                <w:rPr>
                  <w:rFonts w:asciiTheme="minorHAnsi" w:hAnsiTheme="minorHAnsi"/>
                </w:rPr>
                <m:t>elec heat</m:t>
              </m:r>
            </m:sub>
          </m:sSub>
          <m:r>
            <m:rPr>
              <m:nor/>
            </m:rPr>
            <w:rPr>
              <w:rFonts w:ascii="Cambria Math"/>
            </w:rPr>
            <m:t xml:space="preserve">                                        </m:t>
          </m:r>
          <m:r>
            <m:rPr>
              <m:nor/>
            </m:rPr>
            <w:rPr>
              <w:rFonts w:asciiTheme="minorHAnsi" w:hAnsiTheme="minorHAnsi"/>
            </w:rPr>
            <m:t>=</m:t>
          </m:r>
          <m:f>
            <m:fPr>
              <m:ctrlPr>
                <w:rPr>
                  <w:rFonts w:ascii="Cambria Math" w:hAnsi="Cambria Math"/>
                </w:rPr>
              </m:ctrlPr>
            </m:fPr>
            <m:num>
              <m:sSub>
                <m:sSubPr>
                  <m:ctrlPr>
                    <w:rPr>
                      <w:rFonts w:ascii="Cambria Math" w:hAnsi="Cambria Math"/>
                    </w:rPr>
                  </m:ctrlPr>
                </m:sSubPr>
                <m:e>
                  <m:r>
                    <m:rPr>
                      <m:nor/>
                    </m:rPr>
                    <w:rPr>
                      <w:rFonts w:asciiTheme="minorHAnsi" w:hAnsiTheme="minorHAnsi"/>
                    </w:rPr>
                    <m:t>CAPY</m:t>
                  </m:r>
                </m:e>
                <m:sub>
                  <m:r>
                    <m:rPr>
                      <m:nor/>
                    </m:rPr>
                    <w:rPr>
                      <w:rFonts w:asciiTheme="minorHAnsi" w:hAnsiTheme="minorHAnsi"/>
                    </w:rPr>
                    <m:t>elec heat</m:t>
                  </m:r>
                </m:sub>
              </m:sSub>
              <m:r>
                <m:rPr>
                  <m:nor/>
                </m:rPr>
                <w:rPr>
                  <w:rFonts w:asciiTheme="minorHAnsi" w:hAnsiTheme="minorHAnsi"/>
                </w:rPr>
                <m:t xml:space="preserve"> </m:t>
              </m:r>
              <m:r>
                <m:rPr>
                  <m:nor/>
                </m:rPr>
                <w:rPr>
                  <w:rFonts w:asciiTheme="minorHAnsi" w:hAnsiTheme="minorHAnsi" w:hint="eastAsia"/>
                </w:rPr>
                <m:t>×</m:t>
              </m:r>
              <m:sSub>
                <m:sSubPr>
                  <m:ctrlPr>
                    <w:rPr>
                      <w:rFonts w:ascii="Cambria Math" w:hAnsi="Cambria Math"/>
                    </w:rPr>
                  </m:ctrlPr>
                </m:sSubPr>
                <m:e>
                  <m:r>
                    <m:rPr>
                      <m:nor/>
                    </m:rPr>
                    <w:rPr>
                      <w:rFonts w:asciiTheme="minorHAnsi" w:hAnsiTheme="minorHAnsi"/>
                    </w:rPr>
                    <m:t>EFLH</m:t>
                  </m:r>
                </m:e>
                <m:sub>
                  <m:r>
                    <m:rPr>
                      <m:nor/>
                    </m:rPr>
                    <w:rPr>
                      <w:rFonts w:asciiTheme="minorHAnsi" w:hAnsiTheme="minorHAnsi"/>
                    </w:rPr>
                    <m:t>heat</m:t>
                  </m:r>
                </m:sub>
              </m:sSub>
            </m:num>
            <m:den>
              <m:r>
                <m:rPr>
                  <m:nor/>
                </m:rPr>
                <w:rPr>
                  <w:rFonts w:asciiTheme="minorHAnsi" w:hAnsiTheme="minorHAnsi"/>
                </w:rPr>
                <m:t>3412</m:t>
              </m:r>
              <m:f>
                <m:fPr>
                  <m:ctrlPr>
                    <w:rPr>
                      <w:rFonts w:ascii="Cambria Math" w:hAnsi="Cambria Math"/>
                    </w:rPr>
                  </m:ctrlPr>
                </m:fPr>
                <m:num>
                  <m:r>
                    <m:rPr>
                      <m:nor/>
                    </m:rPr>
                    <w:rPr>
                      <w:rFonts w:asciiTheme="minorHAnsi" w:hAnsiTheme="minorHAnsi"/>
                    </w:rPr>
                    <m:t>Btu</m:t>
                  </m:r>
                </m:num>
                <m:den>
                  <m:r>
                    <m:rPr>
                      <m:nor/>
                    </m:rPr>
                    <w:rPr>
                      <w:rFonts w:asciiTheme="minorHAnsi" w:hAnsiTheme="minorHAnsi"/>
                    </w:rPr>
                    <m:t>kWh</m:t>
                  </m:r>
                </m:den>
              </m:f>
            </m:den>
          </m:f>
          <m:r>
            <m:rPr>
              <m:nor/>
            </m:rPr>
            <w:rPr>
              <w:rFonts w:asciiTheme="minorHAnsi" w:hAnsiTheme="minorHAnsi"/>
            </w:rPr>
            <m:t>-</m:t>
          </m:r>
          <m:f>
            <m:fPr>
              <m:ctrlPr>
                <w:rPr>
                  <w:rFonts w:ascii="Cambria Math" w:hAnsi="Cambria Math"/>
                </w:rPr>
              </m:ctrlPr>
            </m:fPr>
            <m:num>
              <m:sSub>
                <m:sSubPr>
                  <m:ctrlPr>
                    <w:rPr>
                      <w:rFonts w:ascii="Cambria Math" w:hAnsi="Cambria Math"/>
                    </w:rPr>
                  </m:ctrlPr>
                </m:sSubPr>
                <m:e>
                  <m:r>
                    <m:rPr>
                      <m:nor/>
                    </m:rPr>
                    <w:rPr>
                      <w:rFonts w:asciiTheme="minorHAnsi" w:hAnsiTheme="minorHAnsi"/>
                    </w:rPr>
                    <m:t>HP</m:t>
                  </m:r>
                </m:e>
                <m:sub>
                  <m:r>
                    <m:rPr>
                      <m:nor/>
                    </m:rPr>
                    <w:rPr>
                      <w:rFonts w:asciiTheme="minorHAnsi" w:hAnsiTheme="minorHAnsi"/>
                    </w:rPr>
                    <m:t>motor</m:t>
                  </m:r>
                </m:sub>
              </m:sSub>
              <m:r>
                <m:rPr>
                  <m:nor/>
                </m:rPr>
                <w:rPr>
                  <w:rFonts w:asciiTheme="minorHAnsi" w:hAnsiTheme="minorHAnsi" w:hint="eastAsia"/>
                </w:rPr>
                <m:t>×</m:t>
              </m:r>
              <m:d>
                <m:dPr>
                  <m:ctrlPr>
                    <w:rPr>
                      <w:rFonts w:ascii="Cambria Math" w:hAnsi="Cambria Math"/>
                    </w:rPr>
                  </m:ctrlPr>
                </m:dPr>
                <m:e>
                  <m:r>
                    <m:rPr>
                      <m:nor/>
                    </m:rPr>
                    <w:rPr>
                      <w:rFonts w:asciiTheme="minorHAnsi" w:hAnsiTheme="minorHAnsi"/>
                    </w:rPr>
                    <m:t>746</m:t>
                  </m:r>
                  <m:f>
                    <m:fPr>
                      <m:ctrlPr>
                        <w:rPr>
                          <w:rFonts w:ascii="Cambria Math" w:hAnsi="Cambria Math"/>
                        </w:rPr>
                      </m:ctrlPr>
                    </m:fPr>
                    <m:num>
                      <m:r>
                        <m:rPr>
                          <m:nor/>
                        </m:rPr>
                        <w:rPr>
                          <w:rFonts w:asciiTheme="minorHAnsi" w:hAnsiTheme="minorHAnsi"/>
                        </w:rPr>
                        <m:t>W</m:t>
                      </m:r>
                    </m:num>
                    <m:den>
                      <m:r>
                        <m:rPr>
                          <m:nor/>
                        </m:rPr>
                        <w:rPr>
                          <w:rFonts w:asciiTheme="minorHAnsi" w:hAnsiTheme="minorHAnsi"/>
                        </w:rPr>
                        <m:t>HP</m:t>
                      </m:r>
                    </m:den>
                  </m:f>
                </m:e>
              </m:d>
              <m:r>
                <m:rPr>
                  <m:nor/>
                </m:rPr>
                <w:rPr>
                  <w:rFonts w:asciiTheme="minorHAnsi" w:hAnsiTheme="minorHAnsi" w:hint="eastAsia"/>
                </w:rPr>
                <m:t>×</m:t>
              </m:r>
              <m:sSub>
                <m:sSubPr>
                  <m:ctrlPr>
                    <w:rPr>
                      <w:rFonts w:ascii="Cambria Math" w:hAnsi="Cambria Math"/>
                    </w:rPr>
                  </m:ctrlPr>
                </m:sSubPr>
                <m:e>
                  <m:r>
                    <m:rPr>
                      <m:nor/>
                    </m:rPr>
                    <w:rPr>
                      <w:rFonts w:asciiTheme="minorHAnsi" w:hAnsiTheme="minorHAnsi"/>
                    </w:rPr>
                    <m:t>EFLH</m:t>
                  </m:r>
                </m:e>
                <m:sub>
                  <m:r>
                    <m:rPr>
                      <m:nor/>
                    </m:rPr>
                    <w:rPr>
                      <w:rFonts w:asciiTheme="minorHAnsi" w:hAnsiTheme="minorHAnsi"/>
                    </w:rPr>
                    <m:t>heat</m:t>
                  </m:r>
                </m:sub>
              </m:sSub>
            </m:num>
            <m:den>
              <m:sSub>
                <m:sSubPr>
                  <m:ctrlPr>
                    <w:rPr>
                      <w:rFonts w:ascii="Cambria Math" w:hAnsi="Cambria Math"/>
                    </w:rPr>
                  </m:ctrlPr>
                </m:sSubPr>
                <m:e>
                  <m:r>
                    <m:rPr>
                      <m:nor/>
                    </m:rPr>
                    <w:rPr>
                      <w:rFonts w:asciiTheme="minorHAnsi" w:hAnsiTheme="minorHAnsi" w:hint="eastAsia"/>
                    </w:rPr>
                    <m:t>η</m:t>
                  </m:r>
                </m:e>
                <m:sub>
                  <m:r>
                    <m:rPr>
                      <m:nor/>
                    </m:rPr>
                    <w:rPr>
                      <w:rFonts w:asciiTheme="minorHAnsi" w:hAnsiTheme="minorHAnsi"/>
                    </w:rPr>
                    <m:t>motor</m:t>
                  </m:r>
                </m:sub>
              </m:sSub>
              <m:r>
                <m:rPr>
                  <m:nor/>
                </m:rPr>
                <w:rPr>
                  <w:rFonts w:asciiTheme="minorHAnsi" w:hAnsiTheme="minorHAnsi" w:hint="eastAsia"/>
                </w:rPr>
                <m:t>×</m:t>
              </m:r>
              <m:r>
                <m:rPr>
                  <m:nor/>
                </m:rPr>
                <w:rPr>
                  <w:rFonts w:asciiTheme="minorHAnsi" w:hAnsiTheme="minorHAnsi"/>
                </w:rPr>
                <m:t>1000</m:t>
              </m:r>
              <m:f>
                <m:fPr>
                  <m:ctrlPr>
                    <w:rPr>
                      <w:rFonts w:ascii="Cambria Math" w:hAnsi="Cambria Math"/>
                    </w:rPr>
                  </m:ctrlPr>
                </m:fPr>
                <m:num>
                  <m:r>
                    <m:rPr>
                      <m:nor/>
                    </m:rPr>
                    <w:rPr>
                      <w:rFonts w:asciiTheme="minorHAnsi" w:hAnsiTheme="minorHAnsi"/>
                    </w:rPr>
                    <m:t>W</m:t>
                  </m:r>
                </m:num>
                <m:den>
                  <m:r>
                    <m:rPr>
                      <m:nor/>
                    </m:rPr>
                    <w:rPr>
                      <w:rFonts w:asciiTheme="minorHAnsi" w:hAnsiTheme="minorHAnsi"/>
                    </w:rPr>
                    <m:t>kW</m:t>
                  </m:r>
                </m:den>
              </m:f>
            </m:den>
          </m:f>
        </m:oMath>
      </m:oMathPara>
    </w:p>
    <w:p w:rsidR="00D45300" w:rsidRDefault="00D45300" w:rsidP="00D45300">
      <w:pPr>
        <w:pStyle w:val="ListParagraph"/>
        <w:ind w:left="1080" w:right="-360"/>
      </w:pPr>
    </w:p>
    <w:p w:rsidR="00CD05FA" w:rsidRDefault="00D45300" w:rsidP="00E568D4">
      <w:pPr>
        <w:pStyle w:val="Heading4"/>
      </w:pPr>
      <w:r>
        <w:t>Heating savings with electric air source heat pump:</w:t>
      </w:r>
    </w:p>
    <w:p w:rsidR="00CD05FA" w:rsidRDefault="00D45300">
      <w:pPr>
        <w:pStyle w:val="BodyText"/>
      </w:pPr>
      <w:r>
        <w:t>Energy Impact:</w:t>
      </w:r>
    </w:p>
    <w:p w:rsidR="00CD05FA" w:rsidRPr="003C7C58" w:rsidRDefault="00274AB1">
      <w:pPr>
        <w:pStyle w:val="Equation"/>
        <w:ind w:left="0" w:firstLine="0"/>
        <w:rPr>
          <w:i w:val="0"/>
        </w:rPr>
      </w:pPr>
      <m:oMathPara>
        <m:oMathParaPr>
          <m:jc m:val="left"/>
        </m:oMathParaPr>
        <m:oMath>
          <m:sSub>
            <m:sSubPr>
              <m:ctrlPr>
                <w:rPr>
                  <w:rFonts w:ascii="Cambria Math" w:hAnsi="Cambria Math"/>
                </w:rPr>
              </m:ctrlPr>
            </m:sSubPr>
            <m:e>
              <m:r>
                <m:rPr>
                  <m:nor/>
                </m:rPr>
                <w:rPr>
                  <w:rFonts w:asciiTheme="minorHAnsi" w:hAnsiTheme="minorHAnsi" w:hint="eastAsia"/>
                </w:rPr>
                <m:t>Δ</m:t>
              </m:r>
              <m:r>
                <m:rPr>
                  <m:nor/>
                </m:rPr>
                <w:rPr>
                  <w:rFonts w:asciiTheme="minorHAnsi" w:hAnsiTheme="minorHAnsi"/>
                </w:rPr>
                <m:t>kWh</m:t>
              </m:r>
            </m:e>
            <m:sub>
              <m:r>
                <m:rPr>
                  <m:nor/>
                </m:rPr>
                <w:rPr>
                  <w:rFonts w:asciiTheme="minorHAnsi" w:hAnsiTheme="minorHAnsi"/>
                </w:rPr>
                <m:t>ASHP heat</m:t>
              </m:r>
            </m:sub>
          </m:sSub>
          <m:r>
            <m:rPr>
              <m:nor/>
            </m:rPr>
            <w:rPr>
              <w:rFonts w:ascii="Cambria Math"/>
            </w:rPr>
            <m:t xml:space="preserve">                                     </m:t>
          </m:r>
          <m:r>
            <m:rPr>
              <m:nor/>
            </m:rPr>
            <w:rPr>
              <w:rFonts w:asciiTheme="minorHAnsi" w:hAnsiTheme="minorHAnsi"/>
            </w:rPr>
            <m:t>=</m:t>
          </m:r>
          <m:f>
            <m:fPr>
              <m:ctrlPr>
                <w:rPr>
                  <w:rFonts w:ascii="Cambria Math" w:hAnsi="Cambria Math"/>
                </w:rPr>
              </m:ctrlPr>
            </m:fPr>
            <m:num>
              <m:sSub>
                <m:sSubPr>
                  <m:ctrlPr>
                    <w:rPr>
                      <w:rFonts w:ascii="Cambria Math" w:hAnsi="Cambria Math"/>
                    </w:rPr>
                  </m:ctrlPr>
                </m:sSubPr>
                <m:e>
                  <m:r>
                    <m:rPr>
                      <m:nor/>
                    </m:rPr>
                    <w:rPr>
                      <w:rFonts w:asciiTheme="minorHAnsi" w:hAnsiTheme="minorHAnsi"/>
                    </w:rPr>
                    <m:t>CAPY</m:t>
                  </m:r>
                </m:e>
                <m:sub>
                  <m:r>
                    <m:rPr>
                      <m:nor/>
                    </m:rPr>
                    <w:rPr>
                      <w:rFonts w:asciiTheme="minorHAnsi" w:hAnsiTheme="minorHAnsi"/>
                    </w:rPr>
                    <m:t>ASHP heat</m:t>
                  </m:r>
                </m:sub>
              </m:sSub>
              <m:r>
                <m:rPr>
                  <m:nor/>
                </m:rPr>
                <w:rPr>
                  <w:rFonts w:asciiTheme="minorHAnsi" w:hAnsiTheme="minorHAnsi"/>
                </w:rPr>
                <m:t xml:space="preserve"> </m:t>
              </m:r>
              <m:r>
                <m:rPr>
                  <m:nor/>
                </m:rPr>
                <w:rPr>
                  <w:rFonts w:asciiTheme="minorHAnsi" w:hAnsiTheme="minorHAnsi" w:hint="eastAsia"/>
                </w:rPr>
                <m:t>×</m:t>
              </m:r>
              <m:sSub>
                <m:sSubPr>
                  <m:ctrlPr>
                    <w:rPr>
                      <w:rFonts w:ascii="Cambria Math" w:hAnsi="Cambria Math"/>
                    </w:rPr>
                  </m:ctrlPr>
                </m:sSubPr>
                <m:e>
                  <m:r>
                    <m:rPr>
                      <m:nor/>
                    </m:rPr>
                    <w:rPr>
                      <w:rFonts w:asciiTheme="minorHAnsi" w:hAnsiTheme="minorHAnsi"/>
                    </w:rPr>
                    <m:t>EFLH</m:t>
                  </m:r>
                </m:e>
                <m:sub>
                  <m:r>
                    <m:rPr>
                      <m:nor/>
                    </m:rPr>
                    <w:rPr>
                      <w:rFonts w:asciiTheme="minorHAnsi" w:hAnsiTheme="minorHAnsi"/>
                    </w:rPr>
                    <m:t>heat</m:t>
                  </m:r>
                </m:sub>
              </m:sSub>
            </m:num>
            <m:den>
              <m:sSub>
                <m:sSubPr>
                  <m:ctrlPr>
                    <w:rPr>
                      <w:rFonts w:ascii="Cambria Math" w:hAnsi="Cambria Math"/>
                    </w:rPr>
                  </m:ctrlPr>
                </m:sSubPr>
                <m:e>
                  <m:r>
                    <m:rPr>
                      <m:nor/>
                    </m:rPr>
                    <w:rPr>
                      <w:rFonts w:asciiTheme="minorHAnsi" w:hAnsiTheme="minorHAnsi"/>
                    </w:rPr>
                    <m:t>HSPF</m:t>
                  </m:r>
                </m:e>
                <m:sub>
                  <m:r>
                    <m:rPr>
                      <m:nor/>
                    </m:rPr>
                    <w:rPr>
                      <w:rFonts w:asciiTheme="minorHAnsi" w:hAnsiTheme="minorHAnsi"/>
                    </w:rPr>
                    <m:t>ASHP</m:t>
                  </m:r>
                </m:sub>
              </m:sSub>
              <m:r>
                <m:rPr>
                  <m:nor/>
                </m:rPr>
                <w:rPr>
                  <w:rFonts w:asciiTheme="minorHAnsi" w:hAnsiTheme="minorHAnsi" w:hint="eastAsia"/>
                </w:rPr>
                <m:t>×</m:t>
              </m:r>
              <m:r>
                <m:rPr>
                  <m:nor/>
                </m:rPr>
                <w:rPr>
                  <w:rFonts w:asciiTheme="minorHAnsi" w:hAnsiTheme="minorHAnsi"/>
                </w:rPr>
                <m:t>1000</m:t>
              </m:r>
              <m:f>
                <m:fPr>
                  <m:ctrlPr>
                    <w:rPr>
                      <w:rFonts w:ascii="Cambria Math" w:hAnsi="Cambria Math"/>
                    </w:rPr>
                  </m:ctrlPr>
                </m:fPr>
                <m:num>
                  <m:r>
                    <m:rPr>
                      <m:nor/>
                    </m:rPr>
                    <w:rPr>
                      <w:rFonts w:asciiTheme="minorHAnsi" w:hAnsiTheme="minorHAnsi"/>
                    </w:rPr>
                    <m:t>W</m:t>
                  </m:r>
                </m:num>
                <m:den>
                  <m:r>
                    <m:rPr>
                      <m:nor/>
                    </m:rPr>
                    <w:rPr>
                      <w:rFonts w:asciiTheme="minorHAnsi" w:hAnsiTheme="minorHAnsi"/>
                    </w:rPr>
                    <m:t>kW</m:t>
                  </m:r>
                </m:den>
              </m:f>
            </m:den>
          </m:f>
          <m:r>
            <m:rPr>
              <m:nor/>
            </m:rPr>
            <w:rPr>
              <w:rFonts w:asciiTheme="minorHAnsi" w:hAnsiTheme="minorHAnsi"/>
            </w:rPr>
            <m:t>-</m:t>
          </m:r>
          <m:f>
            <m:fPr>
              <m:ctrlPr>
                <w:rPr>
                  <w:rFonts w:ascii="Cambria Math" w:hAnsi="Cambria Math"/>
                </w:rPr>
              </m:ctrlPr>
            </m:fPr>
            <m:num>
              <m:sSub>
                <m:sSubPr>
                  <m:ctrlPr>
                    <w:rPr>
                      <w:rFonts w:ascii="Cambria Math" w:hAnsi="Cambria Math"/>
                    </w:rPr>
                  </m:ctrlPr>
                </m:sSubPr>
                <m:e>
                  <m:r>
                    <m:rPr>
                      <m:nor/>
                    </m:rPr>
                    <w:rPr>
                      <w:rFonts w:asciiTheme="minorHAnsi" w:hAnsiTheme="minorHAnsi"/>
                    </w:rPr>
                    <m:t>HP</m:t>
                  </m:r>
                </m:e>
                <m:sub>
                  <m:r>
                    <m:rPr>
                      <m:nor/>
                    </m:rPr>
                    <w:rPr>
                      <w:rFonts w:asciiTheme="minorHAnsi" w:hAnsiTheme="minorHAnsi"/>
                    </w:rPr>
                    <m:t>motor</m:t>
                  </m:r>
                </m:sub>
              </m:sSub>
              <m:r>
                <m:rPr>
                  <m:nor/>
                </m:rPr>
                <w:rPr>
                  <w:rFonts w:asciiTheme="minorHAnsi" w:hAnsiTheme="minorHAnsi" w:hint="eastAsia"/>
                </w:rPr>
                <m:t>×</m:t>
              </m:r>
              <m:d>
                <m:dPr>
                  <m:ctrlPr>
                    <w:rPr>
                      <w:rFonts w:ascii="Cambria Math" w:hAnsi="Cambria Math"/>
                    </w:rPr>
                  </m:ctrlPr>
                </m:dPr>
                <m:e>
                  <m:r>
                    <m:rPr>
                      <m:nor/>
                    </m:rPr>
                    <w:rPr>
                      <w:rFonts w:asciiTheme="minorHAnsi" w:hAnsiTheme="minorHAnsi"/>
                    </w:rPr>
                    <m:t>746</m:t>
                  </m:r>
                  <m:f>
                    <m:fPr>
                      <m:ctrlPr>
                        <w:rPr>
                          <w:rFonts w:ascii="Cambria Math" w:hAnsi="Cambria Math"/>
                        </w:rPr>
                      </m:ctrlPr>
                    </m:fPr>
                    <m:num>
                      <m:r>
                        <m:rPr>
                          <m:nor/>
                        </m:rPr>
                        <w:rPr>
                          <w:rFonts w:asciiTheme="minorHAnsi" w:hAnsiTheme="minorHAnsi"/>
                        </w:rPr>
                        <m:t>W</m:t>
                      </m:r>
                    </m:num>
                    <m:den>
                      <m:r>
                        <m:rPr>
                          <m:nor/>
                        </m:rPr>
                        <w:rPr>
                          <w:rFonts w:asciiTheme="minorHAnsi" w:hAnsiTheme="minorHAnsi"/>
                        </w:rPr>
                        <m:t>HP</m:t>
                      </m:r>
                    </m:den>
                  </m:f>
                </m:e>
              </m:d>
              <m:r>
                <m:rPr>
                  <m:nor/>
                </m:rPr>
                <w:rPr>
                  <w:rFonts w:asciiTheme="minorHAnsi" w:hAnsiTheme="minorHAnsi" w:hint="eastAsia"/>
                </w:rPr>
                <m:t>×</m:t>
              </m:r>
              <m:sSub>
                <m:sSubPr>
                  <m:ctrlPr>
                    <w:rPr>
                      <w:rFonts w:ascii="Cambria Math" w:hAnsi="Cambria Math"/>
                    </w:rPr>
                  </m:ctrlPr>
                </m:sSubPr>
                <m:e>
                  <m:r>
                    <m:rPr>
                      <m:nor/>
                    </m:rPr>
                    <w:rPr>
                      <w:rFonts w:asciiTheme="minorHAnsi" w:hAnsiTheme="minorHAnsi"/>
                    </w:rPr>
                    <m:t>EFLH</m:t>
                  </m:r>
                </m:e>
                <m:sub>
                  <m:r>
                    <m:rPr>
                      <m:nor/>
                    </m:rPr>
                    <w:rPr>
                      <w:rFonts w:asciiTheme="minorHAnsi" w:hAnsiTheme="minorHAnsi"/>
                    </w:rPr>
                    <m:t>heat</m:t>
                  </m:r>
                </m:sub>
              </m:sSub>
            </m:num>
            <m:den>
              <m:sSub>
                <m:sSubPr>
                  <m:ctrlPr>
                    <w:rPr>
                      <w:rFonts w:ascii="Cambria Math" w:hAnsi="Cambria Math"/>
                    </w:rPr>
                  </m:ctrlPr>
                </m:sSubPr>
                <m:e>
                  <m:r>
                    <m:rPr>
                      <m:nor/>
                    </m:rPr>
                    <w:rPr>
                      <w:rFonts w:asciiTheme="minorHAnsi" w:hAnsiTheme="minorHAnsi" w:hint="eastAsia"/>
                    </w:rPr>
                    <m:t>η</m:t>
                  </m:r>
                </m:e>
                <m:sub>
                  <m:r>
                    <m:rPr>
                      <m:nor/>
                    </m:rPr>
                    <w:rPr>
                      <w:rFonts w:asciiTheme="minorHAnsi" w:hAnsiTheme="minorHAnsi"/>
                    </w:rPr>
                    <m:t>motor</m:t>
                  </m:r>
                </m:sub>
              </m:sSub>
              <m:r>
                <m:rPr>
                  <m:nor/>
                </m:rPr>
                <w:rPr>
                  <w:rFonts w:asciiTheme="minorHAnsi" w:hAnsiTheme="minorHAnsi" w:hint="eastAsia"/>
                </w:rPr>
                <m:t>×</m:t>
              </m:r>
              <m:r>
                <m:rPr>
                  <m:nor/>
                </m:rPr>
                <w:rPr>
                  <w:rFonts w:asciiTheme="minorHAnsi" w:hAnsiTheme="minorHAnsi"/>
                </w:rPr>
                <m:t>1000</m:t>
              </m:r>
              <m:f>
                <m:fPr>
                  <m:ctrlPr>
                    <w:rPr>
                      <w:rFonts w:ascii="Cambria Math" w:hAnsi="Cambria Math"/>
                    </w:rPr>
                  </m:ctrlPr>
                </m:fPr>
                <m:num>
                  <m:r>
                    <m:rPr>
                      <m:nor/>
                    </m:rPr>
                    <w:rPr>
                      <w:rFonts w:asciiTheme="minorHAnsi" w:hAnsiTheme="minorHAnsi"/>
                    </w:rPr>
                    <m:t>W</m:t>
                  </m:r>
                </m:num>
                <m:den>
                  <m:r>
                    <m:rPr>
                      <m:nor/>
                    </m:rPr>
                    <w:rPr>
                      <w:rFonts w:asciiTheme="minorHAnsi" w:hAnsiTheme="minorHAnsi"/>
                    </w:rPr>
                    <m:t>kW</m:t>
                  </m:r>
                </m:den>
              </m:f>
            </m:den>
          </m:f>
        </m:oMath>
      </m:oMathPara>
    </w:p>
    <w:p w:rsidR="00D45300" w:rsidRDefault="00D45300" w:rsidP="00D45300">
      <w:pPr>
        <w:pStyle w:val="ListParagraph"/>
        <w:tabs>
          <w:tab w:val="left" w:pos="1080"/>
        </w:tabs>
        <w:ind w:left="1080" w:firstLine="360"/>
      </w:pPr>
    </w:p>
    <w:p w:rsidR="00CD05FA" w:rsidRDefault="00D45300">
      <w:pPr>
        <w:pStyle w:val="BodyText"/>
      </w:pPr>
      <w:r w:rsidRPr="00CA3CEF">
        <w:t>There are no peak demand savings as it is a heating only measure.</w:t>
      </w:r>
    </w:p>
    <w:p w:rsidR="00CD05FA" w:rsidRDefault="00D45300">
      <w:pPr>
        <w:pStyle w:val="BodyText"/>
      </w:pPr>
      <w:r w:rsidRPr="00CA3CEF">
        <w:t xml:space="preserve">Although there is a significant electric savings, there is </w:t>
      </w:r>
      <w:r>
        <w:t xml:space="preserve">also </w:t>
      </w:r>
      <w:r w:rsidRPr="00CA3CEF">
        <w:t>an associated increase in natural gas energy consumption.  While this gas consumption does not count against PA Act 129 energy savings, it is expected to be used in the program TRC test. The increased natural gas energy is obtained through the following formula</w:t>
      </w:r>
      <w:r>
        <w:t>s</w:t>
      </w:r>
      <w:r w:rsidRPr="00CA3CEF">
        <w:t>:</w:t>
      </w:r>
    </w:p>
    <w:p w:rsidR="00CD05FA" w:rsidRDefault="00D45300" w:rsidP="00E568D4">
      <w:pPr>
        <w:pStyle w:val="Heading4"/>
      </w:pPr>
      <w:r>
        <w:t>Gas consumption with natural gas furnace:</w:t>
      </w:r>
    </w:p>
    <w:p w:rsidR="00CD05FA" w:rsidRPr="003C7C58" w:rsidRDefault="00D74AE2">
      <w:pPr>
        <w:pStyle w:val="Equation"/>
        <w:ind w:left="0" w:firstLine="0"/>
        <w:rPr>
          <w:i w:val="0"/>
        </w:rPr>
      </w:pPr>
      <m:oMathPara>
        <m:oMathParaPr>
          <m:jc m:val="left"/>
        </m:oMathParaPr>
        <m:oMath>
          <m:r>
            <m:rPr>
              <m:nor/>
            </m:rPr>
            <w:rPr>
              <w:rFonts w:asciiTheme="minorHAnsi" w:hAnsiTheme="minorHAnsi"/>
            </w:rPr>
            <m:t>Gas Consumption (MMBtu)</m:t>
          </m:r>
          <m:r>
            <m:rPr>
              <m:nor/>
            </m:rPr>
            <w:rPr>
              <w:rFonts w:ascii="Cambria Math"/>
            </w:rPr>
            <m:t xml:space="preserve">          </m:t>
          </m:r>
          <m:r>
            <m:rPr>
              <m:nor/>
            </m:rPr>
            <w:rPr>
              <w:rFonts w:asciiTheme="minorHAnsi" w:hAnsiTheme="minorHAnsi"/>
            </w:rPr>
            <m:t>=</m:t>
          </m:r>
          <m:f>
            <m:fPr>
              <m:ctrlPr>
                <w:rPr>
                  <w:rFonts w:ascii="Cambria Math" w:hAnsi="Cambria Math"/>
                </w:rPr>
              </m:ctrlPr>
            </m:fPr>
            <m:num>
              <m:sSub>
                <m:sSubPr>
                  <m:ctrlPr>
                    <w:rPr>
                      <w:rFonts w:ascii="Cambria Math" w:hAnsi="Cambria Math"/>
                    </w:rPr>
                  </m:ctrlPr>
                </m:sSubPr>
                <m:e>
                  <m:r>
                    <m:rPr>
                      <m:nor/>
                    </m:rPr>
                    <w:rPr>
                      <w:rFonts w:asciiTheme="minorHAnsi" w:hAnsiTheme="minorHAnsi"/>
                    </w:rPr>
                    <m:t>CAPY</m:t>
                  </m:r>
                </m:e>
                <m:sub>
                  <m:r>
                    <m:rPr>
                      <m:nor/>
                    </m:rPr>
                    <w:rPr>
                      <w:rFonts w:asciiTheme="minorHAnsi" w:hAnsiTheme="minorHAnsi"/>
                    </w:rPr>
                    <m:t>Gas heat</m:t>
                  </m:r>
                </m:sub>
              </m:sSub>
              <m:r>
                <m:rPr>
                  <m:nor/>
                </m:rPr>
                <w:rPr>
                  <w:rFonts w:asciiTheme="minorHAnsi" w:hAnsiTheme="minorHAnsi" w:hint="eastAsia"/>
                </w:rPr>
                <m:t>×</m:t>
              </m:r>
              <m:sSub>
                <m:sSubPr>
                  <m:ctrlPr>
                    <w:rPr>
                      <w:rFonts w:ascii="Cambria Math" w:hAnsi="Cambria Math"/>
                    </w:rPr>
                  </m:ctrlPr>
                </m:sSubPr>
                <m:e>
                  <m:r>
                    <m:rPr>
                      <m:nor/>
                    </m:rPr>
                    <w:rPr>
                      <w:rFonts w:asciiTheme="minorHAnsi" w:hAnsiTheme="minorHAnsi"/>
                    </w:rPr>
                    <m:t>EFLH</m:t>
                  </m:r>
                </m:e>
                <m:sub>
                  <m:r>
                    <m:rPr>
                      <m:nor/>
                    </m:rPr>
                    <w:rPr>
                      <w:rFonts w:asciiTheme="minorHAnsi" w:hAnsiTheme="minorHAnsi"/>
                    </w:rPr>
                    <m:t>heat</m:t>
                  </m:r>
                </m:sub>
              </m:sSub>
            </m:num>
            <m:den>
              <m:sSub>
                <m:sSubPr>
                  <m:ctrlPr>
                    <w:rPr>
                      <w:rFonts w:ascii="Cambria Math" w:hAnsi="Cambria Math"/>
                    </w:rPr>
                  </m:ctrlPr>
                </m:sSubPr>
                <m:e>
                  <m:r>
                    <m:rPr>
                      <m:nor/>
                    </m:rPr>
                    <w:rPr>
                      <w:rFonts w:asciiTheme="minorHAnsi" w:hAnsiTheme="minorHAnsi"/>
                    </w:rPr>
                    <m:t>AFUE</m:t>
                  </m:r>
                </m:e>
                <m:sub>
                  <m:r>
                    <m:rPr>
                      <m:nor/>
                    </m:rPr>
                    <w:rPr>
                      <w:rFonts w:asciiTheme="minorHAnsi" w:hAnsiTheme="minorHAnsi"/>
                    </w:rPr>
                    <m:t>Gas heat</m:t>
                  </m:r>
                </m:sub>
              </m:sSub>
              <m:r>
                <m:rPr>
                  <m:nor/>
                </m:rPr>
                <w:rPr>
                  <w:rFonts w:asciiTheme="minorHAnsi" w:hAnsiTheme="minorHAnsi" w:hint="eastAsia"/>
                </w:rPr>
                <m:t>×</m:t>
              </m:r>
              <m:r>
                <m:rPr>
                  <m:nor/>
                </m:rPr>
                <w:rPr>
                  <w:rFonts w:asciiTheme="minorHAnsi" w:hAnsiTheme="minorHAnsi"/>
                </w:rPr>
                <m:t>1,000,000</m:t>
              </m:r>
              <m:f>
                <m:fPr>
                  <m:ctrlPr>
                    <w:rPr>
                      <w:rFonts w:ascii="Cambria Math" w:hAnsi="Cambria Math"/>
                    </w:rPr>
                  </m:ctrlPr>
                </m:fPr>
                <m:num>
                  <m:r>
                    <m:rPr>
                      <m:nor/>
                    </m:rPr>
                    <w:rPr>
                      <w:rFonts w:asciiTheme="minorHAnsi" w:hAnsiTheme="minorHAnsi"/>
                    </w:rPr>
                    <m:t>Btu</m:t>
                  </m:r>
                </m:num>
                <m:den>
                  <m:r>
                    <m:rPr>
                      <m:nor/>
                    </m:rPr>
                    <w:rPr>
                      <w:rFonts w:asciiTheme="minorHAnsi" w:hAnsiTheme="minorHAnsi"/>
                    </w:rPr>
                    <m:t>MMBtu</m:t>
                  </m:r>
                </m:den>
              </m:f>
            </m:den>
          </m:f>
        </m:oMath>
      </m:oMathPara>
    </w:p>
    <w:p w:rsidR="00CD05FA" w:rsidRDefault="00D45300" w:rsidP="00871FA2">
      <w:pPr>
        <w:pStyle w:val="Heading3"/>
      </w:pPr>
      <w:r>
        <w:lastRenderedPageBreak/>
        <w:t>Definition of Terms</w:t>
      </w:r>
    </w:p>
    <w:p w:rsidR="00CD05FA" w:rsidRPr="00AA2C40" w:rsidRDefault="00D45300">
      <w:pPr>
        <w:pStyle w:val="Equation"/>
        <w:rPr>
          <w:rFonts w:cs="Arial"/>
          <w:szCs w:val="20"/>
        </w:rPr>
      </w:pPr>
      <w:r w:rsidRPr="00AA2C40">
        <w:rPr>
          <w:rFonts w:cs="Arial"/>
          <w:szCs w:val="20"/>
        </w:rPr>
        <w:tab/>
        <w:t>CAPY</w:t>
      </w:r>
      <w:r w:rsidRPr="00AA2C40">
        <w:rPr>
          <w:rFonts w:cs="Arial"/>
          <w:szCs w:val="20"/>
          <w:vertAlign w:val="subscript"/>
        </w:rPr>
        <w:t>elec heat</w:t>
      </w:r>
      <w:r w:rsidRPr="00AA2C40">
        <w:rPr>
          <w:rFonts w:cs="Arial"/>
          <w:szCs w:val="20"/>
        </w:rPr>
        <w:t xml:space="preserve"> </w:t>
      </w:r>
      <w:r w:rsidRPr="00AA2C40">
        <w:rPr>
          <w:rFonts w:cs="Arial"/>
          <w:szCs w:val="20"/>
        </w:rPr>
        <w:tab/>
        <w:t>= Total heating capacity of existing electric baseboards or electric furnace (BtuH)</w:t>
      </w:r>
    </w:p>
    <w:p w:rsidR="00CD05FA" w:rsidRPr="00AA2C40" w:rsidRDefault="00D45300">
      <w:pPr>
        <w:pStyle w:val="Equation"/>
        <w:rPr>
          <w:rFonts w:cs="Arial"/>
          <w:szCs w:val="20"/>
        </w:rPr>
      </w:pPr>
      <w:r w:rsidRPr="00AA2C40">
        <w:rPr>
          <w:rFonts w:cs="Arial"/>
          <w:szCs w:val="20"/>
        </w:rPr>
        <w:tab/>
        <w:t>CAPY</w:t>
      </w:r>
      <w:r w:rsidRPr="00AA2C40">
        <w:rPr>
          <w:rFonts w:cs="Arial"/>
          <w:szCs w:val="20"/>
          <w:vertAlign w:val="subscript"/>
        </w:rPr>
        <w:t>ASHP heat</w:t>
      </w:r>
      <w:r w:rsidRPr="00AA2C40">
        <w:rPr>
          <w:rFonts w:cs="Arial"/>
          <w:szCs w:val="20"/>
        </w:rPr>
        <w:t xml:space="preserve"> </w:t>
      </w:r>
      <w:r w:rsidRPr="00AA2C40">
        <w:rPr>
          <w:rFonts w:cs="Arial"/>
          <w:szCs w:val="20"/>
        </w:rPr>
        <w:tab/>
        <w:t>= Total heating capacity of existing electric ASHP (BtuH)</w:t>
      </w:r>
    </w:p>
    <w:p w:rsidR="00CD05FA" w:rsidRPr="00AA2C40" w:rsidRDefault="00D45300">
      <w:pPr>
        <w:pStyle w:val="Equation"/>
        <w:rPr>
          <w:rFonts w:cs="Arial"/>
          <w:szCs w:val="20"/>
        </w:rPr>
      </w:pPr>
      <w:r w:rsidRPr="00AA2C40">
        <w:rPr>
          <w:rFonts w:cs="Arial"/>
          <w:szCs w:val="20"/>
        </w:rPr>
        <w:tab/>
        <w:t>CAPY</w:t>
      </w:r>
      <w:r w:rsidRPr="00AA2C40">
        <w:rPr>
          <w:rFonts w:cs="Arial"/>
          <w:szCs w:val="20"/>
          <w:vertAlign w:val="subscript"/>
        </w:rPr>
        <w:t>Gas heat</w:t>
      </w:r>
      <w:r w:rsidRPr="00AA2C40">
        <w:rPr>
          <w:rFonts w:cs="Arial"/>
          <w:szCs w:val="20"/>
        </w:rPr>
        <w:t xml:space="preserve"> </w:t>
      </w:r>
      <w:r w:rsidRPr="00AA2C40">
        <w:rPr>
          <w:rFonts w:cs="Arial"/>
          <w:szCs w:val="20"/>
        </w:rPr>
        <w:tab/>
        <w:t>= Total heating capacity of new natural gas furnace (BtuH)</w:t>
      </w:r>
    </w:p>
    <w:p w:rsidR="00CD05FA" w:rsidRPr="00AA2C40" w:rsidRDefault="00D45300">
      <w:pPr>
        <w:pStyle w:val="Equation"/>
        <w:rPr>
          <w:rFonts w:cs="Arial"/>
          <w:szCs w:val="20"/>
        </w:rPr>
      </w:pPr>
      <w:r w:rsidRPr="00AA2C40">
        <w:rPr>
          <w:rFonts w:cs="Arial"/>
          <w:szCs w:val="20"/>
        </w:rPr>
        <w:tab/>
        <w:t>EFLH</w:t>
      </w:r>
      <w:r w:rsidRPr="00AA2C40">
        <w:rPr>
          <w:rFonts w:cs="Arial"/>
          <w:szCs w:val="20"/>
          <w:vertAlign w:val="subscript"/>
        </w:rPr>
        <w:t>heat</w:t>
      </w:r>
      <w:r w:rsidRPr="00AA2C40">
        <w:rPr>
          <w:rFonts w:cs="Arial"/>
          <w:szCs w:val="20"/>
        </w:rPr>
        <w:t xml:space="preserve"> </w:t>
      </w:r>
      <w:r w:rsidRPr="00AA2C40">
        <w:rPr>
          <w:rFonts w:cs="Arial"/>
          <w:szCs w:val="20"/>
        </w:rPr>
        <w:tab/>
        <w:t>= Equivalent Full Load Heating hours</w:t>
      </w:r>
    </w:p>
    <w:p w:rsidR="00CD05FA" w:rsidRPr="00AA2C40" w:rsidRDefault="00D45300">
      <w:pPr>
        <w:pStyle w:val="Equation"/>
        <w:rPr>
          <w:rFonts w:cs="Arial"/>
          <w:szCs w:val="20"/>
        </w:rPr>
      </w:pPr>
      <w:r w:rsidRPr="00AA2C40">
        <w:rPr>
          <w:rFonts w:cs="Arial"/>
          <w:szCs w:val="20"/>
        </w:rPr>
        <w:tab/>
        <w:t>HSPF</w:t>
      </w:r>
      <w:r w:rsidRPr="00AA2C40">
        <w:rPr>
          <w:rFonts w:cs="Arial"/>
          <w:szCs w:val="20"/>
          <w:vertAlign w:val="subscript"/>
        </w:rPr>
        <w:t>ASHP</w:t>
      </w:r>
      <w:r w:rsidRPr="00AA2C40">
        <w:rPr>
          <w:rFonts w:cs="Arial"/>
          <w:szCs w:val="20"/>
        </w:rPr>
        <w:t xml:space="preserve"> </w:t>
      </w:r>
      <w:r w:rsidRPr="00AA2C40">
        <w:rPr>
          <w:rFonts w:cs="Arial"/>
          <w:szCs w:val="20"/>
        </w:rPr>
        <w:tab/>
        <w:t>= Heating Seasonal Performance Factor for existing heat pump (Btu/W▪hr)</w:t>
      </w:r>
    </w:p>
    <w:p w:rsidR="00CD05FA" w:rsidRPr="00AA2C40" w:rsidRDefault="00D45300">
      <w:pPr>
        <w:pStyle w:val="Equation"/>
        <w:rPr>
          <w:rFonts w:cs="Arial"/>
          <w:szCs w:val="20"/>
        </w:rPr>
      </w:pPr>
      <w:r w:rsidRPr="00AA2C40">
        <w:rPr>
          <w:rFonts w:cs="Arial"/>
          <w:szCs w:val="20"/>
        </w:rPr>
        <w:tab/>
        <w:t>AFUE</w:t>
      </w:r>
      <w:r w:rsidRPr="00AA2C40">
        <w:rPr>
          <w:rFonts w:cs="Arial"/>
          <w:szCs w:val="20"/>
          <w:vertAlign w:val="subscript"/>
        </w:rPr>
        <w:t>Gas heat</w:t>
      </w:r>
      <w:r w:rsidRPr="00AA2C40">
        <w:rPr>
          <w:rFonts w:cs="Arial"/>
          <w:szCs w:val="20"/>
        </w:rPr>
        <w:t xml:space="preserve"> </w:t>
      </w:r>
      <w:r w:rsidRPr="00AA2C40">
        <w:rPr>
          <w:rFonts w:cs="Arial"/>
          <w:szCs w:val="20"/>
        </w:rPr>
        <w:tab/>
        <w:t>= Annual Fuel Utilization Efficiency for the new gas furnace (%)</w:t>
      </w:r>
    </w:p>
    <w:p w:rsidR="00CD05FA" w:rsidRPr="00AA2C40" w:rsidRDefault="00D45300">
      <w:pPr>
        <w:pStyle w:val="Equation"/>
        <w:rPr>
          <w:rFonts w:cs="Arial"/>
          <w:szCs w:val="20"/>
        </w:rPr>
      </w:pPr>
      <w:r w:rsidRPr="00AA2C40">
        <w:rPr>
          <w:rFonts w:cs="Arial"/>
          <w:szCs w:val="20"/>
        </w:rPr>
        <w:tab/>
        <w:t>HP</w:t>
      </w:r>
      <w:r w:rsidRPr="00AA2C40">
        <w:rPr>
          <w:rFonts w:cs="Arial"/>
          <w:szCs w:val="20"/>
          <w:vertAlign w:val="subscript"/>
        </w:rPr>
        <w:t>motor</w:t>
      </w:r>
      <w:r w:rsidRPr="00AA2C40">
        <w:rPr>
          <w:rFonts w:cs="Arial"/>
          <w:szCs w:val="20"/>
        </w:rPr>
        <w:t xml:space="preserve"> </w:t>
      </w:r>
      <w:r w:rsidRPr="00AA2C40">
        <w:rPr>
          <w:rFonts w:cs="Arial"/>
          <w:szCs w:val="20"/>
        </w:rPr>
        <w:tab/>
        <w:t>= Gas furnace blower motor horsepower (hp)</w:t>
      </w:r>
    </w:p>
    <w:p w:rsidR="00CD05FA" w:rsidRPr="00AA2C40" w:rsidRDefault="00D45300">
      <w:pPr>
        <w:pStyle w:val="Equation"/>
        <w:rPr>
          <w:rFonts w:cs="Arial"/>
          <w:szCs w:val="20"/>
        </w:rPr>
      </w:pPr>
      <w:r w:rsidRPr="00AA2C40">
        <w:rPr>
          <w:rFonts w:cs="Arial"/>
          <w:szCs w:val="20"/>
        </w:rPr>
        <w:tab/>
        <w:t>η</w:t>
      </w:r>
      <w:r w:rsidRPr="00AA2C40">
        <w:rPr>
          <w:rFonts w:cs="Arial"/>
          <w:szCs w:val="20"/>
          <w:vertAlign w:val="subscript"/>
        </w:rPr>
        <w:t>motor</w:t>
      </w:r>
      <w:r w:rsidRPr="00AA2C40">
        <w:rPr>
          <w:rFonts w:cs="Arial"/>
          <w:szCs w:val="20"/>
        </w:rPr>
        <w:t xml:space="preserve"> </w:t>
      </w:r>
      <w:r w:rsidRPr="00AA2C40">
        <w:rPr>
          <w:rFonts w:cs="Arial"/>
          <w:szCs w:val="20"/>
        </w:rPr>
        <w:tab/>
        <w:t>= Efficiency of furnace blower motor</w:t>
      </w:r>
    </w:p>
    <w:p w:rsidR="00D45300" w:rsidRDefault="00D45300" w:rsidP="00D45300">
      <w:pPr>
        <w:spacing w:before="240"/>
      </w:pPr>
      <w:r>
        <w:t xml:space="preserve">The default values for each term are shown in </w:t>
      </w:r>
      <w:r w:rsidR="007A1FB6">
        <w:fldChar w:fldCharType="begin"/>
      </w:r>
      <w:r>
        <w:instrText xml:space="preserve"> REF _Ref275542454 \h </w:instrText>
      </w:r>
      <w:r w:rsidR="007A1FB6">
        <w:fldChar w:fldCharType="separate"/>
      </w:r>
      <w:r w:rsidR="00C0292F">
        <w:t xml:space="preserve">Table </w:t>
      </w:r>
      <w:r w:rsidR="00C0292F">
        <w:rPr>
          <w:noProof/>
        </w:rPr>
        <w:t>2</w:t>
      </w:r>
      <w:r w:rsidR="00C0292F">
        <w:noBreakHyphen/>
      </w:r>
      <w:r w:rsidR="00C0292F">
        <w:rPr>
          <w:noProof/>
        </w:rPr>
        <w:t>32</w:t>
      </w:r>
      <w:r w:rsidR="007A1FB6">
        <w:fldChar w:fldCharType="end"/>
      </w:r>
      <w:r>
        <w:t>.</w:t>
      </w:r>
    </w:p>
    <w:p w:rsidR="00B85BDF" w:rsidRDefault="00D45300" w:rsidP="00100EDF">
      <w:pPr>
        <w:pStyle w:val="Caption"/>
      </w:pPr>
      <w:bookmarkStart w:id="373" w:name="_Ref275542454"/>
      <w:bookmarkStart w:id="374" w:name="_Toc310875518"/>
      <w:r>
        <w:lastRenderedPageBreak/>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32</w:t>
      </w:r>
      <w:r w:rsidR="00274AB1">
        <w:rPr>
          <w:noProof/>
        </w:rPr>
        <w:fldChar w:fldCharType="end"/>
      </w:r>
      <w:bookmarkEnd w:id="373"/>
      <w:r>
        <w:t>: Default values for algorithm terms</w:t>
      </w:r>
      <w:r w:rsidR="001A5E45">
        <w:t>, Fuel Switching, Electric Heat to Gas Heat</w:t>
      </w:r>
      <w:bookmarkEnd w:id="374"/>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260"/>
        <w:gridCol w:w="2430"/>
        <w:gridCol w:w="4410"/>
      </w:tblGrid>
      <w:tr w:rsidR="00D43CE5" w:rsidTr="00F84A22">
        <w:tc>
          <w:tcPr>
            <w:tcW w:w="1368"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CD05FA" w:rsidRPr="001D6512" w:rsidRDefault="00D45300" w:rsidP="00C3606E">
            <w:pPr>
              <w:pStyle w:val="TableCell"/>
              <w:spacing w:before="60" w:after="60"/>
              <w:rPr>
                <w:b/>
                <w:sz w:val="20"/>
              </w:rPr>
            </w:pPr>
            <w:r w:rsidRPr="001D6512">
              <w:rPr>
                <w:b/>
              </w:rPr>
              <w:t>Term</w:t>
            </w:r>
          </w:p>
        </w:tc>
        <w:tc>
          <w:tcPr>
            <w:tcW w:w="126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CD05FA" w:rsidRPr="001D6512" w:rsidRDefault="00D45300" w:rsidP="00C3606E">
            <w:pPr>
              <w:pStyle w:val="TableCell"/>
              <w:spacing w:before="60" w:after="60"/>
              <w:rPr>
                <w:b/>
                <w:sz w:val="20"/>
              </w:rPr>
            </w:pPr>
            <w:r w:rsidRPr="001D6512">
              <w:rPr>
                <w:b/>
              </w:rPr>
              <w:t>Type</w:t>
            </w:r>
          </w:p>
        </w:tc>
        <w:tc>
          <w:tcPr>
            <w:tcW w:w="243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CD05FA" w:rsidRPr="001D6512" w:rsidRDefault="00D45300" w:rsidP="00C3606E">
            <w:pPr>
              <w:pStyle w:val="TableCell"/>
              <w:spacing w:before="60" w:after="60"/>
              <w:rPr>
                <w:b/>
                <w:sz w:val="20"/>
              </w:rPr>
            </w:pPr>
            <w:r w:rsidRPr="001D6512">
              <w:rPr>
                <w:b/>
              </w:rPr>
              <w:t>Value</w:t>
            </w:r>
          </w:p>
        </w:tc>
        <w:tc>
          <w:tcPr>
            <w:tcW w:w="441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CD05FA" w:rsidRPr="001D6512" w:rsidRDefault="00D45300" w:rsidP="00C3606E">
            <w:pPr>
              <w:pStyle w:val="TableCell"/>
              <w:spacing w:before="60" w:after="60"/>
              <w:rPr>
                <w:b/>
                <w:sz w:val="20"/>
              </w:rPr>
            </w:pPr>
            <w:r w:rsidRPr="001D6512">
              <w:rPr>
                <w:b/>
              </w:rPr>
              <w:t>Source</w:t>
            </w:r>
          </w:p>
        </w:tc>
      </w:tr>
      <w:tr w:rsidR="00D43CE5" w:rsidTr="00F84A22">
        <w:tc>
          <w:tcPr>
            <w:tcW w:w="1368" w:type="dxa"/>
            <w:shd w:val="clear" w:color="auto" w:fill="auto"/>
          </w:tcPr>
          <w:p w:rsidR="00CD05FA" w:rsidRPr="001D6512" w:rsidRDefault="00D45300" w:rsidP="00C3606E">
            <w:pPr>
              <w:pStyle w:val="TableCell"/>
              <w:spacing w:before="60" w:after="60"/>
              <w:rPr>
                <w:sz w:val="20"/>
              </w:rPr>
            </w:pPr>
            <w:r w:rsidRPr="001D6512">
              <w:t>CAPY</w:t>
            </w:r>
            <w:r w:rsidRPr="001D6512">
              <w:rPr>
                <w:vertAlign w:val="subscript"/>
              </w:rPr>
              <w:t>elec heat</w:t>
            </w:r>
          </w:p>
        </w:tc>
        <w:tc>
          <w:tcPr>
            <w:tcW w:w="1260" w:type="dxa"/>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Variable</w:t>
            </w:r>
          </w:p>
        </w:tc>
        <w:tc>
          <w:tcPr>
            <w:tcW w:w="2430" w:type="dxa"/>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Nameplate</w:t>
            </w:r>
          </w:p>
        </w:tc>
        <w:tc>
          <w:tcPr>
            <w:tcW w:w="4410" w:type="dxa"/>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EDC Data Gathering</w:t>
            </w:r>
          </w:p>
        </w:tc>
      </w:tr>
      <w:tr w:rsidR="00D43CE5" w:rsidTr="00F84A22">
        <w:tc>
          <w:tcPr>
            <w:tcW w:w="1368" w:type="dxa"/>
            <w:shd w:val="clear" w:color="auto" w:fill="auto"/>
          </w:tcPr>
          <w:p w:rsidR="00CD05FA" w:rsidRPr="001D6512" w:rsidRDefault="00D45300" w:rsidP="00C3606E">
            <w:pPr>
              <w:pStyle w:val="TableCell"/>
              <w:spacing w:before="60" w:after="60"/>
              <w:rPr>
                <w:sz w:val="20"/>
              </w:rPr>
            </w:pPr>
            <w:r w:rsidRPr="001D6512">
              <w:t>CAPY</w:t>
            </w:r>
            <w:r w:rsidRPr="001D6512">
              <w:rPr>
                <w:vertAlign w:val="subscript"/>
              </w:rPr>
              <w:t>ASHP heat</w:t>
            </w:r>
          </w:p>
        </w:tc>
        <w:tc>
          <w:tcPr>
            <w:tcW w:w="1260" w:type="dxa"/>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Variable</w:t>
            </w:r>
          </w:p>
        </w:tc>
        <w:tc>
          <w:tcPr>
            <w:tcW w:w="2430" w:type="dxa"/>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Nameplate</w:t>
            </w:r>
          </w:p>
        </w:tc>
        <w:tc>
          <w:tcPr>
            <w:tcW w:w="4410" w:type="dxa"/>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EDC Data Gathering</w:t>
            </w:r>
          </w:p>
        </w:tc>
      </w:tr>
      <w:tr w:rsidR="00D43CE5" w:rsidTr="00F84A22">
        <w:tc>
          <w:tcPr>
            <w:tcW w:w="1368" w:type="dxa"/>
            <w:shd w:val="clear" w:color="auto" w:fill="auto"/>
          </w:tcPr>
          <w:p w:rsidR="00CD05FA" w:rsidRPr="001D6512" w:rsidRDefault="00D45300" w:rsidP="00C3606E">
            <w:pPr>
              <w:pStyle w:val="TableCell"/>
              <w:spacing w:before="60" w:after="60"/>
              <w:rPr>
                <w:sz w:val="20"/>
              </w:rPr>
            </w:pPr>
            <w:r w:rsidRPr="001D6512">
              <w:t>CAPY</w:t>
            </w:r>
            <w:r w:rsidRPr="001D6512">
              <w:rPr>
                <w:vertAlign w:val="subscript"/>
              </w:rPr>
              <w:t>Gas heat</w:t>
            </w:r>
          </w:p>
        </w:tc>
        <w:tc>
          <w:tcPr>
            <w:tcW w:w="1260" w:type="dxa"/>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Variable</w:t>
            </w:r>
          </w:p>
        </w:tc>
        <w:tc>
          <w:tcPr>
            <w:tcW w:w="2430" w:type="dxa"/>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Nameplate</w:t>
            </w:r>
          </w:p>
        </w:tc>
        <w:tc>
          <w:tcPr>
            <w:tcW w:w="4410" w:type="dxa"/>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EDC Data Gathering</w:t>
            </w:r>
          </w:p>
        </w:tc>
      </w:tr>
      <w:tr w:rsidR="00D43CE5" w:rsidTr="00F84A22">
        <w:tc>
          <w:tcPr>
            <w:tcW w:w="1368" w:type="dxa"/>
            <w:shd w:val="clear" w:color="auto" w:fill="auto"/>
          </w:tcPr>
          <w:p w:rsidR="00CD05FA" w:rsidRPr="001D6512" w:rsidRDefault="00D45300" w:rsidP="00C3606E">
            <w:pPr>
              <w:pStyle w:val="TableCell"/>
              <w:spacing w:before="60" w:after="60"/>
              <w:rPr>
                <w:sz w:val="20"/>
              </w:rPr>
            </w:pPr>
            <w:r w:rsidRPr="001D6512">
              <w:t>EFLH</w:t>
            </w:r>
            <w:r w:rsidRPr="001D6512">
              <w:rPr>
                <w:vertAlign w:val="subscript"/>
              </w:rPr>
              <w:t>heat</w:t>
            </w:r>
          </w:p>
        </w:tc>
        <w:tc>
          <w:tcPr>
            <w:tcW w:w="1260" w:type="dxa"/>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Fixed</w:t>
            </w:r>
          </w:p>
        </w:tc>
        <w:tc>
          <w:tcPr>
            <w:tcW w:w="2430" w:type="dxa"/>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Allentown = 2492</w:t>
            </w:r>
          </w:p>
          <w:p w:rsidR="00CD05FA" w:rsidRPr="001D6512" w:rsidRDefault="00D45300" w:rsidP="00C3606E">
            <w:pPr>
              <w:pStyle w:val="TableCell"/>
              <w:spacing w:before="60" w:after="60"/>
              <w:rPr>
                <w:rFonts w:eastAsia="Arial Unicode MS" w:cs="Arial"/>
                <w:i/>
                <w:iCs/>
                <w:sz w:val="20"/>
                <w:szCs w:val="24"/>
              </w:rPr>
            </w:pPr>
            <w:r w:rsidRPr="001D6512">
              <w:t>Erie = 2901</w:t>
            </w:r>
          </w:p>
          <w:p w:rsidR="00CD05FA" w:rsidRPr="001D6512" w:rsidRDefault="00D45300" w:rsidP="00C3606E">
            <w:pPr>
              <w:pStyle w:val="TableCell"/>
              <w:spacing w:before="60" w:after="60"/>
              <w:rPr>
                <w:rFonts w:eastAsia="Arial Unicode MS" w:cs="Arial"/>
                <w:i/>
                <w:iCs/>
                <w:sz w:val="20"/>
                <w:szCs w:val="24"/>
              </w:rPr>
            </w:pPr>
            <w:r w:rsidRPr="001D6512">
              <w:t>Harrisburg = 2371</w:t>
            </w:r>
          </w:p>
          <w:p w:rsidR="00CD05FA" w:rsidRPr="001D6512" w:rsidRDefault="00D45300" w:rsidP="00C3606E">
            <w:pPr>
              <w:pStyle w:val="TableCell"/>
              <w:spacing w:before="60" w:after="60"/>
              <w:rPr>
                <w:rFonts w:eastAsia="Arial Unicode MS" w:cs="Arial"/>
                <w:i/>
                <w:iCs/>
                <w:sz w:val="20"/>
                <w:szCs w:val="24"/>
              </w:rPr>
            </w:pPr>
            <w:r w:rsidRPr="001D6512">
              <w:t>Philadelphia = 2328</w:t>
            </w:r>
          </w:p>
          <w:p w:rsidR="00CD05FA" w:rsidRPr="001D6512" w:rsidRDefault="00D45300" w:rsidP="00C3606E">
            <w:pPr>
              <w:pStyle w:val="TableCell"/>
              <w:spacing w:before="60" w:after="60"/>
              <w:rPr>
                <w:rFonts w:eastAsia="Arial Unicode MS" w:cs="Arial"/>
                <w:i/>
                <w:iCs/>
                <w:sz w:val="20"/>
                <w:szCs w:val="24"/>
              </w:rPr>
            </w:pPr>
            <w:r w:rsidRPr="001D6512">
              <w:t>Pittsburgh = 2380</w:t>
            </w:r>
          </w:p>
          <w:p w:rsidR="00CD05FA" w:rsidRPr="001D6512" w:rsidRDefault="00D45300" w:rsidP="00C3606E">
            <w:pPr>
              <w:pStyle w:val="TableCell"/>
              <w:spacing w:before="60" w:after="60"/>
              <w:rPr>
                <w:rFonts w:eastAsia="Arial Unicode MS" w:cs="Arial"/>
                <w:i/>
                <w:iCs/>
                <w:sz w:val="20"/>
                <w:szCs w:val="24"/>
              </w:rPr>
            </w:pPr>
            <w:r w:rsidRPr="001D6512">
              <w:t>Scranton = 2532</w:t>
            </w:r>
          </w:p>
          <w:p w:rsidR="00CD05FA" w:rsidRPr="001D6512" w:rsidRDefault="00D45300" w:rsidP="00C3606E">
            <w:pPr>
              <w:pStyle w:val="TableCell"/>
              <w:spacing w:before="60" w:after="60"/>
              <w:rPr>
                <w:rFonts w:eastAsia="Arial Unicode MS" w:cs="Arial"/>
                <w:i/>
                <w:iCs/>
                <w:sz w:val="20"/>
                <w:szCs w:val="24"/>
              </w:rPr>
            </w:pPr>
            <w:r w:rsidRPr="001D6512">
              <w:t>Williamsport = 2502</w:t>
            </w:r>
          </w:p>
        </w:tc>
        <w:tc>
          <w:tcPr>
            <w:tcW w:w="4410" w:type="dxa"/>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2010 PA TRM Table 2-1</w:t>
            </w:r>
          </w:p>
        </w:tc>
      </w:tr>
      <w:tr w:rsidR="00D43CE5" w:rsidTr="00F84A22">
        <w:tc>
          <w:tcPr>
            <w:tcW w:w="1368" w:type="dxa"/>
            <w:vMerge w:val="restart"/>
            <w:shd w:val="clear" w:color="auto" w:fill="auto"/>
          </w:tcPr>
          <w:p w:rsidR="00CD05FA" w:rsidRPr="001D6512" w:rsidRDefault="00D45300" w:rsidP="00C3606E">
            <w:pPr>
              <w:pStyle w:val="TableCell"/>
              <w:spacing w:before="60" w:after="60"/>
              <w:rPr>
                <w:sz w:val="20"/>
              </w:rPr>
            </w:pPr>
            <w:r w:rsidRPr="001D6512">
              <w:t>HSPF</w:t>
            </w:r>
            <w:r w:rsidRPr="001D6512">
              <w:rPr>
                <w:vertAlign w:val="subscript"/>
              </w:rPr>
              <w:t>ASHP</w:t>
            </w:r>
          </w:p>
        </w:tc>
        <w:tc>
          <w:tcPr>
            <w:tcW w:w="1260" w:type="dxa"/>
            <w:vMerge w:val="restart"/>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Variable</w:t>
            </w:r>
          </w:p>
        </w:tc>
        <w:tc>
          <w:tcPr>
            <w:tcW w:w="2430" w:type="dxa"/>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Default = 7.7</w:t>
            </w:r>
          </w:p>
        </w:tc>
        <w:tc>
          <w:tcPr>
            <w:tcW w:w="4410" w:type="dxa"/>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2010 PA TRM Table 2-1</w:t>
            </w:r>
          </w:p>
        </w:tc>
      </w:tr>
      <w:tr w:rsidR="00D43CE5" w:rsidTr="00F84A22">
        <w:tc>
          <w:tcPr>
            <w:tcW w:w="1368" w:type="dxa"/>
            <w:vMerge/>
            <w:shd w:val="clear" w:color="auto" w:fill="auto"/>
          </w:tcPr>
          <w:p w:rsidR="00CD05FA" w:rsidRPr="001D6512" w:rsidRDefault="00CD05FA" w:rsidP="00C3606E">
            <w:pPr>
              <w:pStyle w:val="TableCell"/>
              <w:spacing w:before="60" w:after="60"/>
              <w:rPr>
                <w:sz w:val="20"/>
              </w:rPr>
            </w:pPr>
          </w:p>
        </w:tc>
        <w:tc>
          <w:tcPr>
            <w:tcW w:w="1260" w:type="dxa"/>
            <w:vMerge/>
            <w:shd w:val="clear" w:color="auto" w:fill="auto"/>
          </w:tcPr>
          <w:p w:rsidR="00CD05FA" w:rsidRPr="001D6512" w:rsidRDefault="00CD05FA" w:rsidP="00C3606E">
            <w:pPr>
              <w:pStyle w:val="TableCell"/>
              <w:spacing w:before="60" w:after="60"/>
              <w:rPr>
                <w:sz w:val="20"/>
              </w:rPr>
            </w:pPr>
          </w:p>
        </w:tc>
        <w:tc>
          <w:tcPr>
            <w:tcW w:w="2430" w:type="dxa"/>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Nameplate</w:t>
            </w:r>
          </w:p>
        </w:tc>
        <w:tc>
          <w:tcPr>
            <w:tcW w:w="4410" w:type="dxa"/>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EDC Data Gathering</w:t>
            </w:r>
          </w:p>
        </w:tc>
      </w:tr>
      <w:tr w:rsidR="00D43CE5" w:rsidTr="00F84A22">
        <w:tc>
          <w:tcPr>
            <w:tcW w:w="1368" w:type="dxa"/>
            <w:vMerge w:val="restart"/>
            <w:shd w:val="clear" w:color="auto" w:fill="auto"/>
          </w:tcPr>
          <w:p w:rsidR="00CD05FA" w:rsidRPr="001D6512" w:rsidRDefault="00D45300" w:rsidP="00C3606E">
            <w:pPr>
              <w:pStyle w:val="TableCell"/>
              <w:spacing w:before="60" w:after="60"/>
              <w:rPr>
                <w:sz w:val="20"/>
              </w:rPr>
            </w:pPr>
            <w:r w:rsidRPr="001D6512">
              <w:t>AFUE</w:t>
            </w:r>
            <w:r w:rsidRPr="001D6512">
              <w:rPr>
                <w:vertAlign w:val="subscript"/>
              </w:rPr>
              <w:t>Gas heat</w:t>
            </w:r>
          </w:p>
        </w:tc>
        <w:tc>
          <w:tcPr>
            <w:tcW w:w="1260" w:type="dxa"/>
            <w:vMerge w:val="restart"/>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Variable</w:t>
            </w:r>
          </w:p>
        </w:tc>
        <w:tc>
          <w:tcPr>
            <w:tcW w:w="2430" w:type="dxa"/>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Default = 78%</w:t>
            </w:r>
          </w:p>
        </w:tc>
        <w:tc>
          <w:tcPr>
            <w:tcW w:w="4410" w:type="dxa"/>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IECC 2009 minimum efficiency</w:t>
            </w:r>
          </w:p>
        </w:tc>
      </w:tr>
      <w:tr w:rsidR="00D43CE5" w:rsidTr="00F84A22">
        <w:tc>
          <w:tcPr>
            <w:tcW w:w="1368" w:type="dxa"/>
            <w:vMerge/>
            <w:shd w:val="clear" w:color="auto" w:fill="auto"/>
          </w:tcPr>
          <w:p w:rsidR="00CD05FA" w:rsidRPr="001D6512" w:rsidRDefault="00CD05FA" w:rsidP="00C3606E">
            <w:pPr>
              <w:pStyle w:val="TableCell"/>
              <w:spacing w:before="60" w:after="60"/>
              <w:rPr>
                <w:sz w:val="20"/>
              </w:rPr>
            </w:pPr>
          </w:p>
        </w:tc>
        <w:tc>
          <w:tcPr>
            <w:tcW w:w="1260" w:type="dxa"/>
            <w:vMerge/>
            <w:shd w:val="clear" w:color="auto" w:fill="auto"/>
          </w:tcPr>
          <w:p w:rsidR="00CD05FA" w:rsidRPr="001D6512" w:rsidRDefault="00CD05FA" w:rsidP="00C3606E">
            <w:pPr>
              <w:pStyle w:val="TableCell"/>
              <w:spacing w:before="60" w:after="60"/>
              <w:rPr>
                <w:sz w:val="20"/>
              </w:rPr>
            </w:pPr>
          </w:p>
        </w:tc>
        <w:tc>
          <w:tcPr>
            <w:tcW w:w="2430" w:type="dxa"/>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Nameplate</w:t>
            </w:r>
          </w:p>
        </w:tc>
        <w:tc>
          <w:tcPr>
            <w:tcW w:w="4410" w:type="dxa"/>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EDC Data Gathering</w:t>
            </w:r>
          </w:p>
        </w:tc>
      </w:tr>
      <w:tr w:rsidR="00D43CE5" w:rsidTr="00F84A22">
        <w:tc>
          <w:tcPr>
            <w:tcW w:w="1368" w:type="dxa"/>
            <w:vMerge w:val="restart"/>
            <w:shd w:val="clear" w:color="auto" w:fill="auto"/>
          </w:tcPr>
          <w:p w:rsidR="00CD05FA" w:rsidRPr="001D6512" w:rsidRDefault="00D45300" w:rsidP="00C3606E">
            <w:pPr>
              <w:pStyle w:val="TableCell"/>
              <w:spacing w:before="60" w:after="60"/>
              <w:rPr>
                <w:sz w:val="20"/>
              </w:rPr>
            </w:pPr>
            <w:r w:rsidRPr="001D6512">
              <w:t>HP</w:t>
            </w:r>
            <w:r w:rsidRPr="001D6512">
              <w:rPr>
                <w:vertAlign w:val="subscript"/>
              </w:rPr>
              <w:t>motor</w:t>
            </w:r>
          </w:p>
        </w:tc>
        <w:tc>
          <w:tcPr>
            <w:tcW w:w="1260" w:type="dxa"/>
            <w:vMerge w:val="restart"/>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Variable</w:t>
            </w:r>
          </w:p>
        </w:tc>
        <w:tc>
          <w:tcPr>
            <w:tcW w:w="2430" w:type="dxa"/>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Default = ½ hp</w:t>
            </w:r>
          </w:p>
        </w:tc>
        <w:tc>
          <w:tcPr>
            <w:tcW w:w="4410" w:type="dxa"/>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Average blower motor capacity for gas furnace (typical range = ¼ hp to ¾ hp)</w:t>
            </w:r>
          </w:p>
        </w:tc>
      </w:tr>
      <w:tr w:rsidR="00D43CE5" w:rsidTr="00F84A22">
        <w:tc>
          <w:tcPr>
            <w:tcW w:w="1368" w:type="dxa"/>
            <w:vMerge/>
            <w:shd w:val="clear" w:color="auto" w:fill="auto"/>
          </w:tcPr>
          <w:p w:rsidR="00CD05FA" w:rsidRPr="001D6512" w:rsidRDefault="00CD05FA" w:rsidP="00C3606E">
            <w:pPr>
              <w:pStyle w:val="TableCell"/>
              <w:spacing w:before="60" w:after="60"/>
              <w:rPr>
                <w:sz w:val="20"/>
              </w:rPr>
            </w:pPr>
          </w:p>
        </w:tc>
        <w:tc>
          <w:tcPr>
            <w:tcW w:w="1260" w:type="dxa"/>
            <w:vMerge/>
            <w:shd w:val="clear" w:color="auto" w:fill="auto"/>
          </w:tcPr>
          <w:p w:rsidR="00CD05FA" w:rsidRPr="001D6512" w:rsidRDefault="00CD05FA" w:rsidP="00C3606E">
            <w:pPr>
              <w:pStyle w:val="TableCell"/>
              <w:spacing w:before="60" w:after="60"/>
              <w:rPr>
                <w:sz w:val="20"/>
              </w:rPr>
            </w:pPr>
          </w:p>
        </w:tc>
        <w:tc>
          <w:tcPr>
            <w:tcW w:w="2430" w:type="dxa"/>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Nameplate</w:t>
            </w:r>
          </w:p>
        </w:tc>
        <w:tc>
          <w:tcPr>
            <w:tcW w:w="4410" w:type="dxa"/>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EDC Data Gathering</w:t>
            </w:r>
          </w:p>
        </w:tc>
      </w:tr>
      <w:tr w:rsidR="00D43CE5" w:rsidTr="00F84A22">
        <w:tc>
          <w:tcPr>
            <w:tcW w:w="1368" w:type="dxa"/>
            <w:vMerge w:val="restart"/>
            <w:shd w:val="clear" w:color="auto" w:fill="auto"/>
          </w:tcPr>
          <w:p w:rsidR="00CD05FA" w:rsidRPr="001D6512" w:rsidRDefault="00D45300" w:rsidP="00C3606E">
            <w:pPr>
              <w:pStyle w:val="TableCell"/>
              <w:spacing w:before="60" w:after="60"/>
              <w:rPr>
                <w:sz w:val="20"/>
              </w:rPr>
            </w:pPr>
            <w:r w:rsidRPr="001D6512">
              <w:t>η</w:t>
            </w:r>
            <w:r w:rsidRPr="001D6512">
              <w:rPr>
                <w:vertAlign w:val="subscript"/>
              </w:rPr>
              <w:t>motor</w:t>
            </w:r>
          </w:p>
        </w:tc>
        <w:tc>
          <w:tcPr>
            <w:tcW w:w="1260" w:type="dxa"/>
            <w:vMerge w:val="restart"/>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Variable</w:t>
            </w:r>
          </w:p>
        </w:tc>
        <w:tc>
          <w:tcPr>
            <w:tcW w:w="2430" w:type="dxa"/>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Default = 0.50</w:t>
            </w:r>
          </w:p>
        </w:tc>
        <w:tc>
          <w:tcPr>
            <w:tcW w:w="4410" w:type="dxa"/>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Typical efficiency of ½ hp blower motor</w:t>
            </w:r>
          </w:p>
        </w:tc>
      </w:tr>
      <w:tr w:rsidR="00D43CE5" w:rsidTr="00F84A22">
        <w:tc>
          <w:tcPr>
            <w:tcW w:w="1368" w:type="dxa"/>
            <w:vMerge/>
            <w:shd w:val="clear" w:color="auto" w:fill="auto"/>
          </w:tcPr>
          <w:p w:rsidR="00CD05FA" w:rsidRPr="001D6512" w:rsidRDefault="00CD05FA" w:rsidP="00C3606E">
            <w:pPr>
              <w:pStyle w:val="TableCell"/>
              <w:spacing w:before="60" w:after="60"/>
              <w:rPr>
                <w:sz w:val="20"/>
              </w:rPr>
            </w:pPr>
          </w:p>
        </w:tc>
        <w:tc>
          <w:tcPr>
            <w:tcW w:w="1260" w:type="dxa"/>
            <w:vMerge/>
            <w:shd w:val="clear" w:color="auto" w:fill="auto"/>
          </w:tcPr>
          <w:p w:rsidR="00CD05FA" w:rsidRPr="001D6512" w:rsidRDefault="00CD05FA" w:rsidP="00C3606E">
            <w:pPr>
              <w:pStyle w:val="TableCell"/>
              <w:spacing w:before="60" w:after="60"/>
              <w:rPr>
                <w:sz w:val="20"/>
              </w:rPr>
            </w:pPr>
          </w:p>
        </w:tc>
        <w:tc>
          <w:tcPr>
            <w:tcW w:w="2430" w:type="dxa"/>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Nameplate</w:t>
            </w:r>
          </w:p>
        </w:tc>
        <w:tc>
          <w:tcPr>
            <w:tcW w:w="4410" w:type="dxa"/>
            <w:shd w:val="clear" w:color="auto" w:fill="auto"/>
          </w:tcPr>
          <w:p w:rsidR="00CD05FA" w:rsidRPr="001D6512" w:rsidRDefault="00D45300" w:rsidP="00C3606E">
            <w:pPr>
              <w:pStyle w:val="TableCell"/>
              <w:spacing w:before="60" w:after="60"/>
              <w:rPr>
                <w:rFonts w:eastAsia="Arial Unicode MS" w:cs="Arial"/>
                <w:i/>
                <w:iCs/>
                <w:sz w:val="20"/>
                <w:szCs w:val="24"/>
              </w:rPr>
            </w:pPr>
            <w:r w:rsidRPr="001D6512">
              <w:t>EDC Data Gathering</w:t>
            </w:r>
          </w:p>
        </w:tc>
      </w:tr>
    </w:tbl>
    <w:p w:rsidR="00D45300" w:rsidRDefault="00D45300" w:rsidP="00D45300">
      <w:pPr>
        <w:pStyle w:val="Caption"/>
      </w:pPr>
    </w:p>
    <w:p w:rsidR="00D45300" w:rsidRDefault="00D45300" w:rsidP="00871FA2">
      <w:pPr>
        <w:pStyle w:val="Heading3"/>
      </w:pPr>
      <w:r>
        <w:t>Measure Life</w:t>
      </w:r>
    </w:p>
    <w:p w:rsidR="00D45300" w:rsidRDefault="00D45300" w:rsidP="00726DEA">
      <w:pPr>
        <w:pStyle w:val="BodyText"/>
      </w:pPr>
      <w:r>
        <w:t>Measure life = 20 years</w:t>
      </w:r>
      <w:r>
        <w:rPr>
          <w:rStyle w:val="FootnoteReference"/>
        </w:rPr>
        <w:footnoteReference w:id="65"/>
      </w:r>
    </w:p>
    <w:p w:rsidR="00D45300" w:rsidRDefault="00D45300">
      <w:pPr>
        <w:overflowPunct/>
        <w:autoSpaceDE/>
        <w:autoSpaceDN/>
        <w:adjustRightInd/>
        <w:spacing w:after="0" w:line="240" w:lineRule="auto"/>
        <w:textAlignment w:val="auto"/>
      </w:pPr>
    </w:p>
    <w:p w:rsidR="00D45300" w:rsidRDefault="00D45300">
      <w:pPr>
        <w:overflowPunct/>
        <w:autoSpaceDE/>
        <w:autoSpaceDN/>
        <w:adjustRightInd/>
        <w:spacing w:after="0" w:line="240" w:lineRule="auto"/>
        <w:textAlignment w:val="auto"/>
      </w:pPr>
    </w:p>
    <w:p w:rsidR="00CE53CB" w:rsidRDefault="00CE53CB">
      <w:pPr>
        <w:overflowPunct/>
        <w:autoSpaceDE/>
        <w:autoSpaceDN/>
        <w:adjustRightInd/>
        <w:spacing w:after="0" w:line="240" w:lineRule="auto"/>
        <w:textAlignment w:val="auto"/>
      </w:pPr>
    </w:p>
    <w:p w:rsidR="00751C57" w:rsidRDefault="00716DAB" w:rsidP="00E568D4">
      <w:pPr>
        <w:pStyle w:val="Heading2"/>
      </w:pPr>
      <w:r>
        <w:br w:type="page"/>
      </w:r>
      <w:bookmarkStart w:id="375" w:name="_Toc310875420"/>
      <w:r w:rsidR="00751C57">
        <w:lastRenderedPageBreak/>
        <w:t>Ceiling / Attic and Wall Insulation</w:t>
      </w:r>
      <w:bookmarkEnd w:id="375"/>
      <w:r w:rsidR="00751C57">
        <w:t xml:space="preserve">  </w:t>
      </w:r>
    </w:p>
    <w:p w:rsidR="00751C57" w:rsidRPr="00650FB6" w:rsidRDefault="00751C57" w:rsidP="00751C57">
      <w:r w:rsidRPr="00650FB6">
        <w:t xml:space="preserve">This measure applies to installation/retrofit of new or additional insulation in a ceiling/attic, or walls of existing residential homes with a primary electric heating and/or cooling source.  The installation must achieve a finished ceiling/attic insulation rating of R-38 or higher, and/or </w:t>
      </w:r>
      <w:r>
        <w:t>must add</w:t>
      </w:r>
      <w:r w:rsidRPr="00650FB6">
        <w:t xml:space="preserve"> wall insulation </w:t>
      </w:r>
      <w:r>
        <w:t xml:space="preserve">of at least an </w:t>
      </w:r>
      <w:r w:rsidRPr="00650FB6">
        <w:t>R-6 or greater</w:t>
      </w:r>
      <w:r>
        <w:t xml:space="preserve"> rating</w:t>
      </w:r>
      <w:r w:rsidRPr="00650FB6">
        <w:t>.</w:t>
      </w:r>
    </w:p>
    <w:p w:rsidR="00751C57" w:rsidRPr="00650FB6" w:rsidRDefault="00751C57" w:rsidP="00751C57">
      <w:r w:rsidRPr="00650FB6">
        <w:t>The baseline for this measure is an existing residential home with a ceiling/attic insulation R-value less than or equal to R-30</w:t>
      </w:r>
      <w:r>
        <w:t xml:space="preserve">, and wall insulation R-value less than or equal to R-11, </w:t>
      </w:r>
      <w:r w:rsidRPr="00650FB6">
        <w:t>with an electric primary heating source and/or cooling source.</w:t>
      </w:r>
    </w:p>
    <w:p w:rsidR="00751C57" w:rsidRDefault="00751C57" w:rsidP="00871FA2">
      <w:pPr>
        <w:pStyle w:val="Heading3"/>
      </w:pPr>
      <w:r>
        <w:t>Algorithms</w:t>
      </w:r>
    </w:p>
    <w:p w:rsidR="00751C57" w:rsidRDefault="00751C57" w:rsidP="00751C57">
      <w:r>
        <w:t>The savings values are based on the following algorithms.</w:t>
      </w:r>
    </w:p>
    <w:p w:rsidR="00751C57" w:rsidRDefault="00751C57" w:rsidP="00E568D4">
      <w:pPr>
        <w:pStyle w:val="Heading4"/>
      </w:pPr>
      <w:r>
        <w:t>Cooling savings with central A/C:</w:t>
      </w:r>
    </w:p>
    <w:p w:rsidR="00751C57" w:rsidRPr="003C7C58" w:rsidRDefault="00274AB1" w:rsidP="00751C57">
      <w:pPr>
        <w:pStyle w:val="Equation"/>
        <w:ind w:left="0" w:firstLine="0"/>
      </w:pPr>
      <m:oMathPara>
        <m:oMathParaPr>
          <m:jc m:val="left"/>
        </m:oMathParaPr>
        <m:oMath>
          <m:sSub>
            <m:sSubPr>
              <m:ctrlPr>
                <w:rPr>
                  <w:rFonts w:ascii="Cambria Math" w:hAnsi="Cambria Math"/>
                </w:rPr>
              </m:ctrlPr>
            </m:sSubPr>
            <m:e>
              <m:r>
                <m:rPr>
                  <m:nor/>
                </m:rPr>
                <m:t>ΔkWh</m:t>
              </m:r>
            </m:e>
            <m:sub>
              <m:r>
                <m:rPr>
                  <m:nor/>
                </m:rPr>
                <m:t>CAC</m:t>
              </m:r>
            </m:sub>
          </m:sSub>
          <m:r>
            <m:rPr>
              <m:nor/>
            </m:rPr>
            <m:t xml:space="preserve"> </m:t>
          </m:r>
          <m:r>
            <m:rPr>
              <m:nor/>
            </m:rPr>
            <w:rPr>
              <w:rFonts w:ascii="Cambria Math"/>
            </w:rPr>
            <m:t xml:space="preserve">                                               </m:t>
          </m:r>
          <m:r>
            <m:rPr>
              <m:nor/>
            </m:rPr>
            <m:t>=</m:t>
          </m:r>
          <m:f>
            <m:fPr>
              <m:ctrlPr>
                <w:rPr>
                  <w:rFonts w:ascii="Cambria Math" w:hAnsi="Cambria Math"/>
                </w:rPr>
              </m:ctrlPr>
            </m:fPr>
            <m:num>
              <m:r>
                <m:rPr>
                  <m:nor/>
                </m:rPr>
                <m:t>CDD×24</m:t>
              </m:r>
              <m:f>
                <m:fPr>
                  <m:ctrlPr>
                    <w:rPr>
                      <w:rFonts w:ascii="Cambria Math" w:hAnsi="Cambria Math"/>
                    </w:rPr>
                  </m:ctrlPr>
                </m:fPr>
                <m:num>
                  <m:r>
                    <m:rPr>
                      <m:nor/>
                    </m:rPr>
                    <m:t>hr</m:t>
                  </m:r>
                </m:num>
                <m:den>
                  <m:r>
                    <m:rPr>
                      <m:nor/>
                    </m:rPr>
                    <m:t>day</m:t>
                  </m:r>
                </m:den>
              </m:f>
              <m:r>
                <m:rPr>
                  <m:nor/>
                </m:rPr>
                <m:t>×DUA</m:t>
              </m:r>
            </m:num>
            <m:den>
              <m:sSub>
                <m:sSubPr>
                  <m:ctrlPr>
                    <w:rPr>
                      <w:rFonts w:ascii="Cambria Math" w:hAnsi="Cambria Math"/>
                    </w:rPr>
                  </m:ctrlPr>
                </m:sSubPr>
                <m:e>
                  <m:r>
                    <m:rPr>
                      <m:nor/>
                    </m:rPr>
                    <m:t>SEER</m:t>
                  </m:r>
                </m:e>
                <m:sub>
                  <m:r>
                    <m:rPr>
                      <m:nor/>
                    </m:rPr>
                    <m:t>CAC</m:t>
                  </m:r>
                </m:sub>
              </m:sSub>
              <m:r>
                <m:rPr>
                  <m:nor/>
                </m:rPr>
                <m:t>×1000</m:t>
              </m:r>
              <m:f>
                <m:fPr>
                  <m:ctrlPr>
                    <w:rPr>
                      <w:rFonts w:ascii="Cambria Math" w:hAnsi="Cambria Math"/>
                    </w:rPr>
                  </m:ctrlPr>
                </m:fPr>
                <m:num>
                  <m:r>
                    <m:rPr>
                      <m:nor/>
                    </m:rPr>
                    <m:t>W</m:t>
                  </m:r>
                </m:num>
                <m:den>
                  <m:r>
                    <m:rPr>
                      <m:nor/>
                    </m:rPr>
                    <m:t>kW</m:t>
                  </m:r>
                </m:den>
              </m:f>
            </m:den>
          </m:f>
          <m:r>
            <m:rPr>
              <m:nor/>
            </m:rPr>
            <m:t>×</m:t>
          </m:r>
          <m:d>
            <m:dPr>
              <m:begChr m:val="["/>
              <m:endChr m:val="]"/>
              <m:ctrlPr>
                <w:rPr>
                  <w:rFonts w:ascii="Cambria Math" w:hAnsi="Cambria Math"/>
                </w:rPr>
              </m:ctrlPr>
            </m:dPr>
            <m:e>
              <m:sSub>
                <m:sSubPr>
                  <m:ctrlPr>
                    <w:rPr>
                      <w:rFonts w:ascii="Cambria Math" w:hAnsi="Cambria Math"/>
                    </w:rPr>
                  </m:ctrlPr>
                </m:sSubPr>
                <m:e>
                  <m:r>
                    <m:rPr>
                      <m:nor/>
                    </m:rPr>
                    <m:t>A</m:t>
                  </m:r>
                </m:e>
                <m:sub>
                  <m:r>
                    <m:rPr>
                      <m:nor/>
                    </m:rPr>
                    <m:t>roof</m:t>
                  </m:r>
                </m:sub>
              </m:sSub>
              <m:r>
                <m:rPr>
                  <m:nor/>
                </m:rPr>
                <m:t xml:space="preserve"> </m:t>
              </m:r>
              <m:d>
                <m:dPr>
                  <m:ctrlPr>
                    <w:rPr>
                      <w:rFonts w:ascii="Cambria Math" w:hAnsi="Cambria Math"/>
                    </w:rPr>
                  </m:ctrlPr>
                </m:dPr>
                <m:e>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roof,bl</m:t>
                          </m:r>
                        </m:sub>
                      </m:sSub>
                    </m:den>
                  </m:f>
                  <m:r>
                    <m:rPr>
                      <m:nor/>
                    </m:rPr>
                    <m:t>-</m:t>
                  </m:r>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roof,ee</m:t>
                          </m:r>
                        </m:sub>
                      </m:sSub>
                    </m:den>
                  </m:f>
                </m:e>
              </m:d>
              <m:r>
                <m:rPr>
                  <m:nor/>
                </m:rPr>
                <m:t>+</m:t>
              </m:r>
              <m:sSub>
                <m:sSubPr>
                  <m:ctrlPr>
                    <w:rPr>
                      <w:rFonts w:ascii="Cambria Math" w:hAnsi="Cambria Math"/>
                    </w:rPr>
                  </m:ctrlPr>
                </m:sSubPr>
                <m:e>
                  <m:r>
                    <m:rPr>
                      <m:nor/>
                    </m:rPr>
                    <m:t>A</m:t>
                  </m:r>
                </m:e>
                <m:sub>
                  <m:r>
                    <m:rPr>
                      <m:nor/>
                    </m:rPr>
                    <m:t>wall</m:t>
                  </m:r>
                </m:sub>
              </m:sSub>
              <m:d>
                <m:dPr>
                  <m:ctrlPr>
                    <w:rPr>
                      <w:rFonts w:ascii="Cambria Math" w:hAnsi="Cambria Math"/>
                    </w:rPr>
                  </m:ctrlPr>
                </m:dPr>
                <m:e>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wall,bl</m:t>
                          </m:r>
                        </m:sub>
                      </m:sSub>
                    </m:den>
                  </m:f>
                  <m:r>
                    <m:rPr>
                      <m:nor/>
                    </m:rPr>
                    <m:t>-</m:t>
                  </m:r>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wall,ee</m:t>
                          </m:r>
                        </m:sub>
                      </m:sSub>
                    </m:den>
                  </m:f>
                </m:e>
              </m:d>
            </m:e>
          </m:d>
        </m:oMath>
      </m:oMathPara>
    </w:p>
    <w:p w:rsidR="00751C57" w:rsidRPr="003C7C58" w:rsidRDefault="00274AB1" w:rsidP="00751C57">
      <w:pPr>
        <w:pStyle w:val="Equation"/>
        <w:ind w:left="0" w:firstLine="0"/>
      </w:pPr>
      <m:oMathPara>
        <m:oMathParaPr>
          <m:jc m:val="left"/>
        </m:oMathParaPr>
        <m:oMath>
          <m:sSub>
            <m:sSubPr>
              <m:ctrlPr>
                <w:rPr>
                  <w:rFonts w:ascii="Cambria Math" w:hAnsi="Cambria Math"/>
                </w:rPr>
              </m:ctrlPr>
            </m:sSubPr>
            <m:e>
              <m:r>
                <m:rPr>
                  <m:nor/>
                </m:rPr>
                <m:t>∆kW</m:t>
              </m:r>
            </m:e>
            <m:sub>
              <m:r>
                <m:rPr>
                  <m:nor/>
                </m:rPr>
                <w:rPr>
                  <w:rFonts w:ascii="Cambria Math"/>
                </w:rPr>
                <m:t>peak-</m:t>
              </m:r>
              <m:r>
                <m:rPr>
                  <m:nor/>
                </m:rPr>
                <m:t>CAC</m:t>
              </m:r>
            </m:sub>
          </m:sSub>
          <m:r>
            <m:rPr>
              <m:nor/>
            </m:rPr>
            <w:rPr>
              <w:rFonts w:ascii="Cambria Math"/>
            </w:rPr>
            <m:t xml:space="preserve">                                                  </m:t>
          </m:r>
          <m:r>
            <m:rPr>
              <m:nor/>
            </m:rPr>
            <m:t>=</m:t>
          </m:r>
          <m:r>
            <w:rPr>
              <w:rFonts w:ascii="Cambria Math" w:hAnsi="Cambria Math"/>
            </w:rPr>
            <m:t xml:space="preserve"> </m:t>
          </m:r>
          <m:f>
            <m:fPr>
              <m:ctrlPr>
                <w:rPr>
                  <w:rFonts w:ascii="Cambria Math" w:hAnsi="Cambria Math"/>
                </w:rPr>
              </m:ctrlPr>
            </m:fPr>
            <m:num>
              <m:sSub>
                <m:sSubPr>
                  <m:ctrlPr>
                    <w:rPr>
                      <w:rFonts w:ascii="Cambria Math" w:hAnsi="Cambria Math"/>
                    </w:rPr>
                  </m:ctrlPr>
                </m:sSubPr>
                <m:e>
                  <m:r>
                    <m:rPr>
                      <m:nor/>
                    </m:rPr>
                    <m:t>∆kWh</m:t>
                  </m:r>
                </m:e>
                <m:sub>
                  <m:r>
                    <m:rPr>
                      <m:nor/>
                    </m:rPr>
                    <m:t>CAC</m:t>
                  </m:r>
                </m:sub>
              </m:sSub>
            </m:num>
            <m:den>
              <m:sSub>
                <m:sSubPr>
                  <m:ctrlPr>
                    <w:rPr>
                      <w:rFonts w:ascii="Cambria Math" w:hAnsi="Cambria Math"/>
                    </w:rPr>
                  </m:ctrlPr>
                </m:sSubPr>
                <m:e>
                  <m:r>
                    <m:rPr>
                      <m:nor/>
                    </m:rPr>
                    <m:t>EFLH</m:t>
                  </m:r>
                </m:e>
                <m:sub>
                  <m:r>
                    <m:rPr>
                      <m:nor/>
                    </m:rPr>
                    <m:t>cool</m:t>
                  </m:r>
                </m:sub>
              </m:sSub>
            </m:den>
          </m:f>
          <m:r>
            <m:rPr>
              <m:nor/>
            </m:rPr>
            <w:rPr>
              <w:rFonts w:hint="eastAsia"/>
            </w:rPr>
            <m:t>×</m:t>
          </m:r>
          <m:sSub>
            <m:sSubPr>
              <m:ctrlPr>
                <w:rPr>
                  <w:rFonts w:ascii="Cambria Math" w:hAnsi="Cambria Math"/>
                </w:rPr>
              </m:ctrlPr>
            </m:sSubPr>
            <m:e>
              <m:r>
                <m:rPr>
                  <m:nor/>
                </m:rPr>
                <m:t>CF</m:t>
              </m:r>
            </m:e>
            <m:sub>
              <m:r>
                <m:rPr>
                  <m:nor/>
                </m:rPr>
                <m:t>CAC</m:t>
              </m:r>
            </m:sub>
          </m:sSub>
        </m:oMath>
      </m:oMathPara>
    </w:p>
    <w:p w:rsidR="00751C57" w:rsidRDefault="00751C57" w:rsidP="00E568D4">
      <w:pPr>
        <w:pStyle w:val="Heading4"/>
      </w:pPr>
      <w:r>
        <w:t>Cooling savings with room A/C:</w:t>
      </w:r>
    </w:p>
    <w:p w:rsidR="00751C57" w:rsidRPr="003C7C58" w:rsidRDefault="00274AB1" w:rsidP="00751C57">
      <w:pPr>
        <w:pStyle w:val="Equation"/>
        <w:ind w:left="0" w:firstLine="0"/>
        <w:jc w:val="both"/>
      </w:pPr>
      <m:oMathPara>
        <m:oMathParaPr>
          <m:jc m:val="left"/>
        </m:oMathParaPr>
        <m:oMath>
          <m:sSub>
            <m:sSubPr>
              <m:ctrlPr>
                <w:rPr>
                  <w:rFonts w:ascii="Cambria Math" w:hAnsi="Cambria Math"/>
                </w:rPr>
              </m:ctrlPr>
            </m:sSubPr>
            <m:e>
              <m:r>
                <m:rPr>
                  <m:nor/>
                </m:rPr>
                <m:t>ΔkWh</m:t>
              </m:r>
            </m:e>
            <m:sub>
              <m:r>
                <m:rPr>
                  <m:nor/>
                </m:rPr>
                <m:t>RAC</m:t>
              </m:r>
            </m:sub>
          </m:sSub>
          <m:r>
            <m:rPr>
              <m:nor/>
            </m:rPr>
            <w:rPr>
              <w:rFonts w:ascii="Cambria Math"/>
            </w:rPr>
            <m:t xml:space="preserve">                                           </m:t>
          </m:r>
          <m:r>
            <m:rPr>
              <m:nor/>
            </m:rPr>
            <m:t xml:space="preserve"> =</m:t>
          </m:r>
          <m:f>
            <m:fPr>
              <m:ctrlPr>
                <w:rPr>
                  <w:rFonts w:ascii="Cambria Math" w:hAnsi="Cambria Math"/>
                </w:rPr>
              </m:ctrlPr>
            </m:fPr>
            <m:num>
              <m:r>
                <m:rPr>
                  <m:nor/>
                </m:rPr>
                <m:t>CDD×24</m:t>
              </m:r>
              <m:f>
                <m:fPr>
                  <m:ctrlPr>
                    <w:rPr>
                      <w:rFonts w:ascii="Cambria Math" w:hAnsi="Cambria Math"/>
                    </w:rPr>
                  </m:ctrlPr>
                </m:fPr>
                <m:num>
                  <m:r>
                    <m:rPr>
                      <m:nor/>
                    </m:rPr>
                    <m:t>hr</m:t>
                  </m:r>
                </m:num>
                <m:den>
                  <m:r>
                    <m:rPr>
                      <m:nor/>
                    </m:rPr>
                    <m:t>day</m:t>
                  </m:r>
                </m:den>
              </m:f>
              <m:r>
                <m:rPr>
                  <m:nor/>
                </m:rPr>
                <m:t>×DUA×</m:t>
              </m:r>
              <m:sSub>
                <m:sSubPr>
                  <m:ctrlPr>
                    <w:rPr>
                      <w:rFonts w:ascii="Cambria Math" w:hAnsi="Cambria Math"/>
                    </w:rPr>
                  </m:ctrlPr>
                </m:sSubPr>
                <m:e>
                  <m:r>
                    <m:rPr>
                      <m:nor/>
                    </m:rPr>
                    <m:t>F</m:t>
                  </m:r>
                </m:e>
                <m:sub>
                  <m:r>
                    <m:rPr>
                      <m:nor/>
                    </m:rPr>
                    <m:t>Room AC</m:t>
                  </m:r>
                </m:sub>
              </m:sSub>
            </m:num>
            <m:den>
              <m:sSub>
                <m:sSubPr>
                  <m:ctrlPr>
                    <w:rPr>
                      <w:rFonts w:ascii="Cambria Math" w:hAnsi="Cambria Math"/>
                    </w:rPr>
                  </m:ctrlPr>
                </m:sSubPr>
                <m:e>
                  <m:acc>
                    <m:accPr>
                      <m:chr m:val="̅"/>
                      <m:ctrlPr>
                        <w:rPr>
                          <w:rFonts w:ascii="Cambria Math" w:hAnsi="Cambria Math"/>
                        </w:rPr>
                      </m:ctrlPr>
                    </m:accPr>
                    <m:e>
                      <m:r>
                        <m:rPr>
                          <m:nor/>
                        </m:rPr>
                        <m:t>EER</m:t>
                      </m:r>
                    </m:e>
                  </m:acc>
                </m:e>
                <m:sub>
                  <m:r>
                    <m:rPr>
                      <m:nor/>
                    </m:rPr>
                    <m:t>RAC</m:t>
                  </m:r>
                </m:sub>
              </m:sSub>
              <m:r>
                <m:rPr>
                  <m:nor/>
                </m:rPr>
                <m:t>×1000</m:t>
              </m:r>
              <m:f>
                <m:fPr>
                  <m:ctrlPr>
                    <w:rPr>
                      <w:rFonts w:ascii="Cambria Math" w:hAnsi="Cambria Math"/>
                    </w:rPr>
                  </m:ctrlPr>
                </m:fPr>
                <m:num>
                  <m:r>
                    <m:rPr>
                      <m:nor/>
                    </m:rPr>
                    <m:t>W</m:t>
                  </m:r>
                </m:num>
                <m:den>
                  <m:r>
                    <m:rPr>
                      <m:nor/>
                    </m:rPr>
                    <m:t>kW</m:t>
                  </m:r>
                </m:den>
              </m:f>
            </m:den>
          </m:f>
          <m:r>
            <m:rPr>
              <m:nor/>
            </m:rPr>
            <m:t>×</m:t>
          </m:r>
          <m:d>
            <m:dPr>
              <m:begChr m:val="["/>
              <m:endChr m:val="]"/>
              <m:ctrlPr>
                <w:rPr>
                  <w:rFonts w:ascii="Cambria Math" w:hAnsi="Cambria Math"/>
                </w:rPr>
              </m:ctrlPr>
            </m:dPr>
            <m:e>
              <m:sSub>
                <m:sSubPr>
                  <m:ctrlPr>
                    <w:rPr>
                      <w:rFonts w:ascii="Cambria Math" w:hAnsi="Cambria Math"/>
                    </w:rPr>
                  </m:ctrlPr>
                </m:sSubPr>
                <m:e>
                  <m:r>
                    <m:rPr>
                      <m:nor/>
                    </m:rPr>
                    <m:t>A</m:t>
                  </m:r>
                </m:e>
                <m:sub>
                  <m:r>
                    <m:rPr>
                      <m:nor/>
                    </m:rPr>
                    <m:t>roof</m:t>
                  </m:r>
                </m:sub>
              </m:sSub>
              <m:r>
                <m:rPr>
                  <m:nor/>
                </m:rPr>
                <m:t xml:space="preserve"> </m:t>
              </m:r>
              <m:d>
                <m:dPr>
                  <m:ctrlPr>
                    <w:rPr>
                      <w:rFonts w:ascii="Cambria Math" w:hAnsi="Cambria Math"/>
                    </w:rPr>
                  </m:ctrlPr>
                </m:dPr>
                <m:e>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roof,bl</m:t>
                          </m:r>
                        </m:sub>
                      </m:sSub>
                    </m:den>
                  </m:f>
                  <m:r>
                    <m:rPr>
                      <m:nor/>
                    </m:rPr>
                    <m:t>-</m:t>
                  </m:r>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roof,ee</m:t>
                          </m:r>
                        </m:sub>
                      </m:sSub>
                    </m:den>
                  </m:f>
                </m:e>
              </m:d>
              <m:r>
                <m:rPr>
                  <m:nor/>
                </m:rPr>
                <m:t>+</m:t>
              </m:r>
              <m:sSub>
                <m:sSubPr>
                  <m:ctrlPr>
                    <w:rPr>
                      <w:rFonts w:ascii="Cambria Math" w:hAnsi="Cambria Math"/>
                    </w:rPr>
                  </m:ctrlPr>
                </m:sSubPr>
                <m:e>
                  <m:r>
                    <m:rPr>
                      <m:nor/>
                    </m:rPr>
                    <m:t>A</m:t>
                  </m:r>
                </m:e>
                <m:sub>
                  <m:r>
                    <m:rPr>
                      <m:nor/>
                    </m:rPr>
                    <m:t>wall</m:t>
                  </m:r>
                </m:sub>
              </m:sSub>
              <m:d>
                <m:dPr>
                  <m:ctrlPr>
                    <w:rPr>
                      <w:rFonts w:ascii="Cambria Math" w:hAnsi="Cambria Math"/>
                    </w:rPr>
                  </m:ctrlPr>
                </m:dPr>
                <m:e>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wall,bl</m:t>
                          </m:r>
                        </m:sub>
                      </m:sSub>
                    </m:den>
                  </m:f>
                  <m:r>
                    <m:rPr>
                      <m:nor/>
                    </m:rPr>
                    <m:t>-</m:t>
                  </m:r>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wall,ee</m:t>
                          </m:r>
                        </m:sub>
                      </m:sSub>
                    </m:den>
                  </m:f>
                </m:e>
              </m:d>
            </m:e>
          </m:d>
        </m:oMath>
      </m:oMathPara>
    </w:p>
    <w:p w:rsidR="00751C57" w:rsidRPr="003C7C58" w:rsidRDefault="00274AB1" w:rsidP="00751C57">
      <w:pPr>
        <w:pStyle w:val="Equation"/>
        <w:ind w:left="0" w:firstLine="0"/>
        <w:rPr>
          <w:i w:val="0"/>
        </w:rPr>
      </w:pPr>
      <m:oMathPara>
        <m:oMathParaPr>
          <m:jc m:val="left"/>
        </m:oMathParaPr>
        <m:oMath>
          <m:sSub>
            <m:sSubPr>
              <m:ctrlPr>
                <w:rPr>
                  <w:rFonts w:ascii="Cambria Math" w:hAnsi="Cambria Math"/>
                </w:rPr>
              </m:ctrlPr>
            </m:sSubPr>
            <m:e>
              <m:r>
                <m:rPr>
                  <m:nor/>
                </m:rPr>
                <m:t>∆kW</m:t>
              </m:r>
            </m:e>
            <m:sub>
              <m:r>
                <m:rPr>
                  <m:nor/>
                </m:rPr>
                <w:rPr>
                  <w:rFonts w:ascii="Cambria Math"/>
                </w:rPr>
                <m:t>peak-</m:t>
              </m:r>
              <m:r>
                <m:rPr>
                  <m:nor/>
                </m:rPr>
                <m:t>RAC</m:t>
              </m:r>
            </m:sub>
          </m:sSub>
          <m:r>
            <m:rPr>
              <m:nor/>
            </m:rPr>
            <w:rPr>
              <w:rFonts w:ascii="Cambria Math"/>
            </w:rPr>
            <m:t xml:space="preserve">                                                 </m:t>
          </m:r>
          <m:r>
            <m:rPr>
              <m:nor/>
            </m:rPr>
            <m:t xml:space="preserve">= </m:t>
          </m:r>
          <m:f>
            <m:fPr>
              <m:ctrlPr>
                <w:rPr>
                  <w:rFonts w:ascii="Cambria Math" w:hAnsi="Cambria Math"/>
                </w:rPr>
              </m:ctrlPr>
            </m:fPr>
            <m:num>
              <m:sSub>
                <m:sSubPr>
                  <m:ctrlPr>
                    <w:rPr>
                      <w:rFonts w:ascii="Cambria Math" w:hAnsi="Cambria Math"/>
                    </w:rPr>
                  </m:ctrlPr>
                </m:sSubPr>
                <m:e>
                  <m:r>
                    <m:rPr>
                      <m:nor/>
                    </m:rPr>
                    <m:t>∆kWh</m:t>
                  </m:r>
                </m:e>
                <m:sub>
                  <m:r>
                    <m:rPr>
                      <m:nor/>
                    </m:rPr>
                    <m:t>RAC</m:t>
                  </m:r>
                </m:sub>
              </m:sSub>
            </m:num>
            <m:den>
              <m:sSub>
                <m:sSubPr>
                  <m:ctrlPr>
                    <w:rPr>
                      <w:rFonts w:ascii="Cambria Math" w:hAnsi="Cambria Math"/>
                    </w:rPr>
                  </m:ctrlPr>
                </m:sSubPr>
                <m:e>
                  <m:r>
                    <m:rPr>
                      <m:nor/>
                    </m:rPr>
                    <m:t>EFLH</m:t>
                  </m:r>
                </m:e>
                <m:sub>
                  <m:r>
                    <m:rPr>
                      <m:nor/>
                    </m:rPr>
                    <m:t>cool RAC</m:t>
                  </m:r>
                </m:sub>
              </m:sSub>
            </m:den>
          </m:f>
          <m:r>
            <m:rPr>
              <m:nor/>
            </m:rPr>
            <m:t>×</m:t>
          </m:r>
          <m:sSub>
            <m:sSubPr>
              <m:ctrlPr>
                <w:rPr>
                  <w:rFonts w:ascii="Cambria Math" w:hAnsi="Cambria Math"/>
                </w:rPr>
              </m:ctrlPr>
            </m:sSubPr>
            <m:e>
              <m:r>
                <m:rPr>
                  <m:nor/>
                </m:rPr>
                <m:t>CF</m:t>
              </m:r>
            </m:e>
            <m:sub>
              <m:r>
                <m:rPr>
                  <m:nor/>
                </m:rPr>
                <m:t>RAC</m:t>
              </m:r>
            </m:sub>
          </m:sSub>
        </m:oMath>
      </m:oMathPara>
    </w:p>
    <w:p w:rsidR="00751C57" w:rsidRDefault="00751C57" w:rsidP="00E568D4">
      <w:pPr>
        <w:pStyle w:val="Heading4"/>
      </w:pPr>
      <w:r>
        <w:t>Cooling savings with electric air-to-air heat pump:</w:t>
      </w:r>
    </w:p>
    <w:p w:rsidR="00751C57" w:rsidRPr="003C7C58" w:rsidRDefault="00274AB1" w:rsidP="00751C57">
      <w:pPr>
        <w:pStyle w:val="Equation"/>
        <w:ind w:left="0" w:firstLine="0"/>
        <w:rPr>
          <w:i w:val="0"/>
        </w:rPr>
      </w:pPr>
      <m:oMathPara>
        <m:oMathParaPr>
          <m:jc m:val="left"/>
        </m:oMathParaPr>
        <m:oMath>
          <m:sSub>
            <m:sSubPr>
              <m:ctrlPr>
                <w:rPr>
                  <w:rFonts w:ascii="Cambria Math" w:hAnsi="Cambria Math"/>
                </w:rPr>
              </m:ctrlPr>
            </m:sSubPr>
            <m:e>
              <m:r>
                <m:rPr>
                  <m:nor/>
                </m:rPr>
                <m:t>ΔkWh</m:t>
              </m:r>
            </m:e>
            <m:sub>
              <m:r>
                <m:rPr>
                  <m:nor/>
                </m:rPr>
                <m:t>ASHP cool</m:t>
              </m:r>
            </m:sub>
          </m:sSub>
          <m:r>
            <m:rPr>
              <m:nor/>
            </m:rPr>
            <m:t xml:space="preserve"> </m:t>
          </m:r>
          <m:r>
            <m:rPr>
              <m:nor/>
            </m:rPr>
            <w:rPr>
              <w:rFonts w:ascii="Cambria Math"/>
            </w:rPr>
            <m:t xml:space="preserve">                                    </m:t>
          </m:r>
          <m:r>
            <m:rPr>
              <m:nor/>
            </m:rPr>
            <m:t>=</m:t>
          </m:r>
          <m:f>
            <m:fPr>
              <m:ctrlPr>
                <w:rPr>
                  <w:rFonts w:ascii="Cambria Math" w:hAnsi="Cambria Math"/>
                </w:rPr>
              </m:ctrlPr>
            </m:fPr>
            <m:num>
              <m:r>
                <m:rPr>
                  <m:nor/>
                </m:rPr>
                <m:t>CDD×24</m:t>
              </m:r>
              <m:f>
                <m:fPr>
                  <m:ctrlPr>
                    <w:rPr>
                      <w:rFonts w:ascii="Cambria Math" w:hAnsi="Cambria Math"/>
                    </w:rPr>
                  </m:ctrlPr>
                </m:fPr>
                <m:num>
                  <m:r>
                    <m:rPr>
                      <m:nor/>
                    </m:rPr>
                    <m:t>hr</m:t>
                  </m:r>
                </m:num>
                <m:den>
                  <m:r>
                    <m:rPr>
                      <m:nor/>
                    </m:rPr>
                    <m:t>day</m:t>
                  </m:r>
                </m:den>
              </m:f>
              <m:r>
                <m:rPr>
                  <m:nor/>
                </m:rPr>
                <m:t>×DUA</m:t>
              </m:r>
            </m:num>
            <m:den>
              <m:sSub>
                <m:sSubPr>
                  <m:ctrlPr>
                    <w:rPr>
                      <w:rFonts w:ascii="Cambria Math" w:hAnsi="Cambria Math"/>
                    </w:rPr>
                  </m:ctrlPr>
                </m:sSubPr>
                <m:e>
                  <m:r>
                    <m:rPr>
                      <m:nor/>
                    </m:rPr>
                    <m:t>SEER</m:t>
                  </m:r>
                </m:e>
                <m:sub>
                  <m:r>
                    <m:rPr>
                      <m:nor/>
                    </m:rPr>
                    <m:t>ASHP</m:t>
                  </m:r>
                </m:sub>
              </m:sSub>
              <m:r>
                <m:rPr>
                  <m:nor/>
                </m:rPr>
                <m:t>×1000</m:t>
              </m:r>
              <m:f>
                <m:fPr>
                  <m:ctrlPr>
                    <w:rPr>
                      <w:rFonts w:ascii="Cambria Math" w:hAnsi="Cambria Math"/>
                    </w:rPr>
                  </m:ctrlPr>
                </m:fPr>
                <m:num>
                  <m:r>
                    <m:rPr>
                      <m:nor/>
                    </m:rPr>
                    <m:t>W</m:t>
                  </m:r>
                </m:num>
                <m:den>
                  <m:r>
                    <m:rPr>
                      <m:nor/>
                    </m:rPr>
                    <m:t>kW</m:t>
                  </m:r>
                </m:den>
              </m:f>
            </m:den>
          </m:f>
          <m:r>
            <m:rPr>
              <m:nor/>
            </m:rPr>
            <m:t>×</m:t>
          </m:r>
          <m:d>
            <m:dPr>
              <m:begChr m:val="["/>
              <m:endChr m:val="]"/>
              <m:ctrlPr>
                <w:rPr>
                  <w:rFonts w:ascii="Cambria Math" w:hAnsi="Cambria Math"/>
                </w:rPr>
              </m:ctrlPr>
            </m:dPr>
            <m:e>
              <m:sSub>
                <m:sSubPr>
                  <m:ctrlPr>
                    <w:rPr>
                      <w:rFonts w:ascii="Cambria Math" w:hAnsi="Cambria Math"/>
                    </w:rPr>
                  </m:ctrlPr>
                </m:sSubPr>
                <m:e>
                  <m:r>
                    <m:rPr>
                      <m:nor/>
                    </m:rPr>
                    <m:t>A</m:t>
                  </m:r>
                </m:e>
                <m:sub>
                  <m:r>
                    <m:rPr>
                      <m:nor/>
                    </m:rPr>
                    <m:t>roof</m:t>
                  </m:r>
                </m:sub>
              </m:sSub>
              <m:r>
                <m:rPr>
                  <m:nor/>
                </m:rPr>
                <m:t xml:space="preserve"> </m:t>
              </m:r>
              <m:d>
                <m:dPr>
                  <m:ctrlPr>
                    <w:rPr>
                      <w:rFonts w:ascii="Cambria Math" w:hAnsi="Cambria Math"/>
                    </w:rPr>
                  </m:ctrlPr>
                </m:dPr>
                <m:e>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roof,bl</m:t>
                          </m:r>
                        </m:sub>
                      </m:sSub>
                    </m:den>
                  </m:f>
                  <m:r>
                    <m:rPr>
                      <m:nor/>
                    </m:rPr>
                    <m:t>-</m:t>
                  </m:r>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roof,ee</m:t>
                          </m:r>
                        </m:sub>
                      </m:sSub>
                    </m:den>
                  </m:f>
                </m:e>
              </m:d>
              <m:r>
                <m:rPr>
                  <m:nor/>
                </m:rPr>
                <m:t>+</m:t>
              </m:r>
              <m:sSub>
                <m:sSubPr>
                  <m:ctrlPr>
                    <w:rPr>
                      <w:rFonts w:ascii="Cambria Math" w:hAnsi="Cambria Math"/>
                    </w:rPr>
                  </m:ctrlPr>
                </m:sSubPr>
                <m:e>
                  <m:r>
                    <m:rPr>
                      <m:nor/>
                    </m:rPr>
                    <m:t>A</m:t>
                  </m:r>
                </m:e>
                <m:sub>
                  <m:r>
                    <m:rPr>
                      <m:nor/>
                    </m:rPr>
                    <m:t>wall</m:t>
                  </m:r>
                </m:sub>
              </m:sSub>
              <m:d>
                <m:dPr>
                  <m:ctrlPr>
                    <w:rPr>
                      <w:rFonts w:ascii="Cambria Math" w:hAnsi="Cambria Math"/>
                    </w:rPr>
                  </m:ctrlPr>
                </m:dPr>
                <m:e>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wall,bl</m:t>
                          </m:r>
                        </m:sub>
                      </m:sSub>
                    </m:den>
                  </m:f>
                  <m:r>
                    <m:rPr>
                      <m:nor/>
                    </m:rPr>
                    <m:t>-</m:t>
                  </m:r>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wall,ee</m:t>
                          </m:r>
                        </m:sub>
                      </m:sSub>
                    </m:den>
                  </m:f>
                </m:e>
              </m:d>
            </m:e>
          </m:d>
        </m:oMath>
      </m:oMathPara>
    </w:p>
    <w:p w:rsidR="00751C57" w:rsidRPr="003C7C58" w:rsidRDefault="00274AB1" w:rsidP="00751C57">
      <w:pPr>
        <w:pStyle w:val="Equation"/>
        <w:ind w:left="0" w:firstLine="0"/>
        <w:rPr>
          <w:i w:val="0"/>
        </w:rPr>
      </w:pPr>
      <m:oMathPara>
        <m:oMathParaPr>
          <m:jc m:val="left"/>
        </m:oMathParaPr>
        <m:oMath>
          <m:sSub>
            <m:sSubPr>
              <m:ctrlPr>
                <w:rPr>
                  <w:rFonts w:ascii="Cambria Math" w:hAnsi="Cambria Math"/>
                </w:rPr>
              </m:ctrlPr>
            </m:sSubPr>
            <m:e>
              <m:r>
                <m:rPr>
                  <m:nor/>
                </m:rPr>
                <m:t>ΔkW</m:t>
              </m:r>
            </m:e>
            <m:sub>
              <m:r>
                <m:rPr>
                  <m:nor/>
                </m:rPr>
                <w:rPr>
                  <w:rFonts w:ascii="Cambria Math"/>
                </w:rPr>
                <m:t>peak-</m:t>
              </m:r>
              <m:r>
                <m:rPr>
                  <m:nor/>
                </m:rPr>
                <m:t>ASHP cool</m:t>
              </m:r>
            </m:sub>
          </m:sSub>
          <m:r>
            <m:rPr>
              <m:nor/>
            </m:rPr>
            <w:rPr>
              <w:rFonts w:ascii="Cambria Math"/>
            </w:rPr>
            <m:t xml:space="preserve">                                         </m:t>
          </m:r>
          <m:r>
            <m:rPr>
              <m:nor/>
            </m:rPr>
            <m:t>=</m:t>
          </m:r>
          <m:r>
            <w:rPr>
              <w:rFonts w:ascii="Cambria Math" w:hAnsi="Cambria Math"/>
            </w:rPr>
            <m:t xml:space="preserve"> </m:t>
          </m:r>
          <m:f>
            <m:fPr>
              <m:ctrlPr>
                <w:rPr>
                  <w:rFonts w:ascii="Cambria Math" w:hAnsi="Cambria Math"/>
                </w:rPr>
              </m:ctrlPr>
            </m:fPr>
            <m:num>
              <m:sSub>
                <m:sSubPr>
                  <m:ctrlPr>
                    <w:rPr>
                      <w:rFonts w:ascii="Cambria Math" w:hAnsi="Cambria Math"/>
                    </w:rPr>
                  </m:ctrlPr>
                </m:sSubPr>
                <m:e>
                  <m:r>
                    <m:rPr>
                      <m:nor/>
                    </m:rPr>
                    <m:t>ΔkWh</m:t>
                  </m:r>
                </m:e>
                <m:sub>
                  <m:r>
                    <m:rPr>
                      <m:nor/>
                    </m:rPr>
                    <m:t>ASHP cool</m:t>
                  </m:r>
                </m:sub>
              </m:sSub>
            </m:num>
            <m:den>
              <m:sSub>
                <m:sSubPr>
                  <m:ctrlPr>
                    <w:rPr>
                      <w:rFonts w:ascii="Cambria Math" w:hAnsi="Cambria Math"/>
                    </w:rPr>
                  </m:ctrlPr>
                </m:sSubPr>
                <m:e>
                  <m:r>
                    <m:rPr>
                      <m:nor/>
                    </m:rPr>
                    <m:t>EFLH</m:t>
                  </m:r>
                </m:e>
                <m:sub>
                  <m:r>
                    <m:rPr>
                      <m:nor/>
                    </m:rPr>
                    <m:t>cool</m:t>
                  </m:r>
                </m:sub>
              </m:sSub>
            </m:den>
          </m:f>
          <m:r>
            <m:rPr>
              <m:nor/>
            </m:rPr>
            <m:t>×</m:t>
          </m:r>
          <m:sSub>
            <m:sSubPr>
              <m:ctrlPr>
                <w:rPr>
                  <w:rFonts w:ascii="Cambria Math" w:hAnsi="Cambria Math"/>
                </w:rPr>
              </m:ctrlPr>
            </m:sSubPr>
            <m:e>
              <m:r>
                <m:rPr>
                  <m:nor/>
                </m:rPr>
                <m:t>CF</m:t>
              </m:r>
            </m:e>
            <m:sub>
              <m:r>
                <m:rPr>
                  <m:nor/>
                </m:rPr>
                <m:t>ASHP</m:t>
              </m:r>
            </m:sub>
          </m:sSub>
        </m:oMath>
      </m:oMathPara>
    </w:p>
    <w:p w:rsidR="00751C57" w:rsidRDefault="00751C57" w:rsidP="00E568D4">
      <w:pPr>
        <w:pStyle w:val="Heading4"/>
      </w:pPr>
      <w:r>
        <w:t>Heating savings with electric air-to-air heat pump:</w:t>
      </w:r>
    </w:p>
    <w:p w:rsidR="00751C57" w:rsidRPr="003C7C58" w:rsidRDefault="00274AB1" w:rsidP="00751C57">
      <w:pPr>
        <w:pStyle w:val="Equation"/>
        <w:ind w:left="0" w:firstLine="0"/>
        <w:rPr>
          <w:i w:val="0"/>
        </w:rPr>
      </w:pPr>
      <m:oMathPara>
        <m:oMathParaPr>
          <m:jc m:val="left"/>
        </m:oMathParaPr>
        <m:oMath>
          <m:sSub>
            <m:sSubPr>
              <m:ctrlPr>
                <w:rPr>
                  <w:rFonts w:ascii="Cambria Math" w:hAnsi="Cambria Math"/>
                </w:rPr>
              </m:ctrlPr>
            </m:sSubPr>
            <m:e>
              <m:r>
                <m:rPr>
                  <m:nor/>
                </m:rPr>
                <m:t>ΔkWh</m:t>
              </m:r>
            </m:e>
            <m:sub>
              <m:r>
                <m:rPr>
                  <m:nor/>
                </m:rPr>
                <m:t>ASHP heat</m:t>
              </m:r>
            </m:sub>
          </m:sSub>
          <m:r>
            <m:rPr>
              <m:nor/>
            </m:rPr>
            <m:t xml:space="preserve"> </m:t>
          </m:r>
          <m:r>
            <m:rPr>
              <m:nor/>
            </m:rPr>
            <w:rPr>
              <w:rFonts w:ascii="Cambria Math"/>
            </w:rPr>
            <m:t xml:space="preserve">                                      </m:t>
          </m:r>
          <m:r>
            <m:rPr>
              <m:nor/>
            </m:rPr>
            <m:t>=</m:t>
          </m:r>
          <m:f>
            <m:fPr>
              <m:ctrlPr>
                <w:rPr>
                  <w:rFonts w:ascii="Cambria Math" w:hAnsi="Cambria Math"/>
                </w:rPr>
              </m:ctrlPr>
            </m:fPr>
            <m:num>
              <m:r>
                <m:rPr>
                  <m:nor/>
                </m:rPr>
                <m:t>HDD×24</m:t>
              </m:r>
              <m:f>
                <m:fPr>
                  <m:ctrlPr>
                    <w:rPr>
                      <w:rFonts w:ascii="Cambria Math" w:hAnsi="Cambria Math"/>
                    </w:rPr>
                  </m:ctrlPr>
                </m:fPr>
                <m:num>
                  <m:r>
                    <m:rPr>
                      <m:nor/>
                    </m:rPr>
                    <m:t>hr</m:t>
                  </m:r>
                </m:num>
                <m:den>
                  <m:r>
                    <m:rPr>
                      <m:nor/>
                    </m:rPr>
                    <m:t>day</m:t>
                  </m:r>
                </m:den>
              </m:f>
            </m:num>
            <m:den>
              <m:sSub>
                <m:sSubPr>
                  <m:ctrlPr>
                    <w:rPr>
                      <w:rFonts w:ascii="Cambria Math" w:hAnsi="Cambria Math"/>
                    </w:rPr>
                  </m:ctrlPr>
                </m:sSubPr>
                <m:e>
                  <m:r>
                    <m:rPr>
                      <m:nor/>
                    </m:rPr>
                    <m:t>HSPF</m:t>
                  </m:r>
                </m:e>
                <m:sub>
                  <m:r>
                    <m:rPr>
                      <m:nor/>
                    </m:rPr>
                    <m:t>ASHP</m:t>
                  </m:r>
                </m:sub>
              </m:sSub>
              <m:r>
                <m:rPr>
                  <m:nor/>
                </m:rPr>
                <m:t>×1000</m:t>
              </m:r>
              <m:f>
                <m:fPr>
                  <m:ctrlPr>
                    <w:rPr>
                      <w:rFonts w:ascii="Cambria Math" w:hAnsi="Cambria Math"/>
                    </w:rPr>
                  </m:ctrlPr>
                </m:fPr>
                <m:num>
                  <m:r>
                    <m:rPr>
                      <m:nor/>
                    </m:rPr>
                    <m:t>W</m:t>
                  </m:r>
                </m:num>
                <m:den>
                  <m:r>
                    <m:rPr>
                      <m:nor/>
                    </m:rPr>
                    <m:t>kW</m:t>
                  </m:r>
                </m:den>
              </m:f>
            </m:den>
          </m:f>
          <m:r>
            <m:rPr>
              <m:nor/>
            </m:rPr>
            <m:t>×</m:t>
          </m:r>
          <m:d>
            <m:dPr>
              <m:begChr m:val="["/>
              <m:endChr m:val="]"/>
              <m:ctrlPr>
                <w:rPr>
                  <w:rFonts w:ascii="Cambria Math" w:hAnsi="Cambria Math"/>
                </w:rPr>
              </m:ctrlPr>
            </m:dPr>
            <m:e>
              <m:sSub>
                <m:sSubPr>
                  <m:ctrlPr>
                    <w:rPr>
                      <w:rFonts w:ascii="Cambria Math" w:hAnsi="Cambria Math"/>
                    </w:rPr>
                  </m:ctrlPr>
                </m:sSubPr>
                <m:e>
                  <m:r>
                    <m:rPr>
                      <m:nor/>
                    </m:rPr>
                    <m:t>A</m:t>
                  </m:r>
                </m:e>
                <m:sub>
                  <m:r>
                    <m:rPr>
                      <m:nor/>
                    </m:rPr>
                    <m:t>roof</m:t>
                  </m:r>
                </m:sub>
              </m:sSub>
              <m:r>
                <m:rPr>
                  <m:nor/>
                </m:rPr>
                <m:t xml:space="preserve"> </m:t>
              </m:r>
              <m:d>
                <m:dPr>
                  <m:ctrlPr>
                    <w:rPr>
                      <w:rFonts w:ascii="Cambria Math" w:hAnsi="Cambria Math"/>
                    </w:rPr>
                  </m:ctrlPr>
                </m:dPr>
                <m:e>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roof,bl</m:t>
                          </m:r>
                        </m:sub>
                      </m:sSub>
                    </m:den>
                  </m:f>
                  <m:r>
                    <m:rPr>
                      <m:nor/>
                    </m:rPr>
                    <m:t>-</m:t>
                  </m:r>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roof,ee</m:t>
                          </m:r>
                        </m:sub>
                      </m:sSub>
                    </m:den>
                  </m:f>
                </m:e>
              </m:d>
              <m:r>
                <m:rPr>
                  <m:nor/>
                </m:rPr>
                <m:t>+</m:t>
              </m:r>
              <m:sSub>
                <m:sSubPr>
                  <m:ctrlPr>
                    <w:rPr>
                      <w:rFonts w:ascii="Cambria Math" w:hAnsi="Cambria Math"/>
                    </w:rPr>
                  </m:ctrlPr>
                </m:sSubPr>
                <m:e>
                  <m:r>
                    <m:rPr>
                      <m:nor/>
                    </m:rPr>
                    <m:t>A</m:t>
                  </m:r>
                </m:e>
                <m:sub>
                  <m:r>
                    <m:rPr>
                      <m:nor/>
                    </m:rPr>
                    <m:t>wall</m:t>
                  </m:r>
                </m:sub>
              </m:sSub>
              <m:d>
                <m:dPr>
                  <m:ctrlPr>
                    <w:rPr>
                      <w:rFonts w:ascii="Cambria Math" w:hAnsi="Cambria Math"/>
                    </w:rPr>
                  </m:ctrlPr>
                </m:dPr>
                <m:e>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wall,bl</m:t>
                          </m:r>
                        </m:sub>
                      </m:sSub>
                    </m:den>
                  </m:f>
                  <m:r>
                    <m:rPr>
                      <m:nor/>
                    </m:rPr>
                    <m:t>-</m:t>
                  </m:r>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wall,ee</m:t>
                          </m:r>
                        </m:sub>
                      </m:sSub>
                    </m:den>
                  </m:f>
                </m:e>
              </m:d>
            </m:e>
          </m:d>
        </m:oMath>
      </m:oMathPara>
    </w:p>
    <w:p w:rsidR="00751C57" w:rsidRPr="003C7C58" w:rsidRDefault="00274AB1" w:rsidP="00751C57">
      <w:pPr>
        <w:pStyle w:val="Equation"/>
        <w:ind w:left="0" w:firstLine="0"/>
        <w:rPr>
          <w:i w:val="0"/>
        </w:rPr>
      </w:pPr>
      <m:oMathPara>
        <m:oMathParaPr>
          <m:jc m:val="left"/>
        </m:oMathParaPr>
        <m:oMath>
          <m:sSub>
            <m:sSubPr>
              <m:ctrlPr>
                <w:rPr>
                  <w:rFonts w:ascii="Cambria Math" w:hAnsi="Cambria Math"/>
                </w:rPr>
              </m:ctrlPr>
            </m:sSubPr>
            <m:e>
              <m:r>
                <m:rPr>
                  <m:nor/>
                </m:rPr>
                <m:t>ΔkW</m:t>
              </m:r>
            </m:e>
            <m:sub>
              <m:r>
                <m:rPr>
                  <m:nor/>
                </m:rPr>
                <w:rPr>
                  <w:rFonts w:ascii="Cambria Math"/>
                </w:rPr>
                <m:t>peak-</m:t>
              </m:r>
              <m:r>
                <m:rPr>
                  <m:nor/>
                </m:rPr>
                <m:t>ASHP heat</m:t>
              </m:r>
            </m:sub>
          </m:sSub>
          <m:r>
            <m:rPr>
              <m:nor/>
            </m:rPr>
            <w:rPr>
              <w:rFonts w:ascii="Cambria Math"/>
            </w:rPr>
            <m:t xml:space="preserve">                                           </m:t>
          </m:r>
          <m:r>
            <m:rPr>
              <m:nor/>
            </m:rPr>
            <m:t>= 0</m:t>
          </m:r>
        </m:oMath>
      </m:oMathPara>
    </w:p>
    <w:p w:rsidR="00751C57" w:rsidRDefault="00751C57" w:rsidP="00E568D4">
      <w:pPr>
        <w:pStyle w:val="Heading4"/>
      </w:pPr>
      <w:r>
        <w:lastRenderedPageBreak/>
        <w:t xml:space="preserve">Heating savings with electric baseboard or electric furnace heat </w:t>
      </w:r>
      <w:r w:rsidRPr="00104B9A">
        <w:t>(assumes 100% efficiency)</w:t>
      </w:r>
      <w:r>
        <w:t>:</w:t>
      </w:r>
    </w:p>
    <w:p w:rsidR="00751C57" w:rsidRPr="003C7C58" w:rsidRDefault="00274AB1" w:rsidP="00751C57">
      <w:pPr>
        <w:pStyle w:val="Equation"/>
        <w:ind w:left="0" w:firstLine="0"/>
        <w:rPr>
          <w:i w:val="0"/>
        </w:rPr>
      </w:pPr>
      <m:oMathPara>
        <m:oMathParaPr>
          <m:jc m:val="left"/>
        </m:oMathParaPr>
        <m:oMath>
          <m:sSub>
            <m:sSubPr>
              <m:ctrlPr>
                <w:rPr>
                  <w:rFonts w:ascii="Cambria Math" w:hAnsi="Cambria Math"/>
                </w:rPr>
              </m:ctrlPr>
            </m:sSubPr>
            <m:e>
              <m:r>
                <m:rPr>
                  <m:nor/>
                </m:rPr>
                <m:t>ΔkWh</m:t>
              </m:r>
            </m:e>
            <m:sub>
              <m:r>
                <m:rPr>
                  <m:nor/>
                </m:rPr>
                <m:t>elec heat</m:t>
              </m:r>
            </m:sub>
          </m:sSub>
          <m:r>
            <m:rPr>
              <m:nor/>
            </m:rPr>
            <m:t xml:space="preserve"> </m:t>
          </m:r>
          <m:r>
            <m:rPr>
              <m:nor/>
            </m:rPr>
            <w:rPr>
              <w:rFonts w:ascii="Cambria Math"/>
            </w:rPr>
            <m:t xml:space="preserve">                                          </m:t>
          </m:r>
          <m:r>
            <m:rPr>
              <m:nor/>
            </m:rPr>
            <m:t>=</m:t>
          </m:r>
          <m:f>
            <m:fPr>
              <m:ctrlPr>
                <w:rPr>
                  <w:rFonts w:ascii="Cambria Math" w:hAnsi="Cambria Math"/>
                </w:rPr>
              </m:ctrlPr>
            </m:fPr>
            <m:num>
              <m:r>
                <m:rPr>
                  <m:nor/>
                </m:rPr>
                <m:t>HDD×24</m:t>
              </m:r>
              <m:f>
                <m:fPr>
                  <m:ctrlPr>
                    <w:rPr>
                      <w:rFonts w:ascii="Cambria Math" w:hAnsi="Cambria Math"/>
                    </w:rPr>
                  </m:ctrlPr>
                </m:fPr>
                <m:num>
                  <m:r>
                    <m:rPr>
                      <m:nor/>
                    </m:rPr>
                    <m:t>hr</m:t>
                  </m:r>
                </m:num>
                <m:den>
                  <m:r>
                    <m:rPr>
                      <m:nor/>
                    </m:rPr>
                    <m:t>day</m:t>
                  </m:r>
                </m:den>
              </m:f>
            </m:num>
            <m:den>
              <m:r>
                <m:rPr>
                  <m:nor/>
                </m:rPr>
                <m:t>3412</m:t>
              </m:r>
              <m:f>
                <m:fPr>
                  <m:ctrlPr>
                    <w:rPr>
                      <w:rFonts w:ascii="Cambria Math" w:hAnsi="Cambria Math"/>
                    </w:rPr>
                  </m:ctrlPr>
                </m:fPr>
                <m:num>
                  <m:r>
                    <m:rPr>
                      <m:nor/>
                    </m:rPr>
                    <m:t>Btu</m:t>
                  </m:r>
                </m:num>
                <m:den>
                  <m:r>
                    <m:rPr>
                      <m:nor/>
                    </m:rPr>
                    <m:t>kWh</m:t>
                  </m:r>
                </m:den>
              </m:f>
            </m:den>
          </m:f>
          <m:r>
            <m:rPr>
              <m:nor/>
            </m:rPr>
            <m:t>×</m:t>
          </m:r>
          <m:d>
            <m:dPr>
              <m:begChr m:val="["/>
              <m:endChr m:val="]"/>
              <m:ctrlPr>
                <w:rPr>
                  <w:rFonts w:ascii="Cambria Math" w:hAnsi="Cambria Math"/>
                </w:rPr>
              </m:ctrlPr>
            </m:dPr>
            <m:e>
              <m:sSub>
                <m:sSubPr>
                  <m:ctrlPr>
                    <w:rPr>
                      <w:rFonts w:ascii="Cambria Math" w:hAnsi="Cambria Math"/>
                    </w:rPr>
                  </m:ctrlPr>
                </m:sSubPr>
                <m:e>
                  <m:r>
                    <m:rPr>
                      <m:nor/>
                    </m:rPr>
                    <m:t>A</m:t>
                  </m:r>
                </m:e>
                <m:sub>
                  <m:r>
                    <m:rPr>
                      <m:nor/>
                    </m:rPr>
                    <m:t>roof</m:t>
                  </m:r>
                </m:sub>
              </m:sSub>
              <m:r>
                <m:rPr>
                  <m:nor/>
                </m:rPr>
                <m:t xml:space="preserve"> </m:t>
              </m:r>
              <m:d>
                <m:dPr>
                  <m:ctrlPr>
                    <w:rPr>
                      <w:rFonts w:ascii="Cambria Math" w:hAnsi="Cambria Math"/>
                    </w:rPr>
                  </m:ctrlPr>
                </m:dPr>
                <m:e>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roof,bl</m:t>
                          </m:r>
                        </m:sub>
                      </m:sSub>
                    </m:den>
                  </m:f>
                  <m:r>
                    <m:rPr>
                      <m:nor/>
                    </m:rPr>
                    <m:t>-</m:t>
                  </m:r>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roof,ee</m:t>
                          </m:r>
                        </m:sub>
                      </m:sSub>
                    </m:den>
                  </m:f>
                </m:e>
              </m:d>
              <m:r>
                <m:rPr>
                  <m:nor/>
                </m:rPr>
                <m:t>+</m:t>
              </m:r>
              <m:sSub>
                <m:sSubPr>
                  <m:ctrlPr>
                    <w:rPr>
                      <w:rFonts w:ascii="Cambria Math" w:hAnsi="Cambria Math"/>
                    </w:rPr>
                  </m:ctrlPr>
                </m:sSubPr>
                <m:e>
                  <m:r>
                    <m:rPr>
                      <m:nor/>
                    </m:rPr>
                    <m:t>A</m:t>
                  </m:r>
                </m:e>
                <m:sub>
                  <m:r>
                    <m:rPr>
                      <m:nor/>
                    </m:rPr>
                    <m:t>wall</m:t>
                  </m:r>
                </m:sub>
              </m:sSub>
              <m:d>
                <m:dPr>
                  <m:ctrlPr>
                    <w:rPr>
                      <w:rFonts w:ascii="Cambria Math" w:hAnsi="Cambria Math"/>
                    </w:rPr>
                  </m:ctrlPr>
                </m:dPr>
                <m:e>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wall,bl</m:t>
                          </m:r>
                        </m:sub>
                      </m:sSub>
                    </m:den>
                  </m:f>
                  <m:r>
                    <m:rPr>
                      <m:nor/>
                    </m:rPr>
                    <m:t>-</m:t>
                  </m:r>
                  <m:f>
                    <m:fPr>
                      <m:ctrlPr>
                        <w:rPr>
                          <w:rFonts w:ascii="Cambria Math" w:hAnsi="Cambria Math"/>
                        </w:rPr>
                      </m:ctrlPr>
                    </m:fPr>
                    <m:num>
                      <m:r>
                        <m:rPr>
                          <m:nor/>
                        </m:rPr>
                        <m:t>1</m:t>
                      </m:r>
                    </m:num>
                    <m:den>
                      <m:sSub>
                        <m:sSubPr>
                          <m:ctrlPr>
                            <w:rPr>
                              <w:rFonts w:ascii="Cambria Math" w:hAnsi="Cambria Math"/>
                            </w:rPr>
                          </m:ctrlPr>
                        </m:sSubPr>
                        <m:e>
                          <m:r>
                            <m:rPr>
                              <m:nor/>
                            </m:rPr>
                            <m:t>R</m:t>
                          </m:r>
                        </m:e>
                        <m:sub>
                          <m:r>
                            <m:rPr>
                              <m:nor/>
                            </m:rPr>
                            <m:t>wall,ee</m:t>
                          </m:r>
                        </m:sub>
                      </m:sSub>
                    </m:den>
                  </m:f>
                </m:e>
              </m:d>
            </m:e>
          </m:d>
        </m:oMath>
      </m:oMathPara>
    </w:p>
    <w:p w:rsidR="00751C57" w:rsidRPr="003C7C58" w:rsidRDefault="00274AB1" w:rsidP="00751C57">
      <w:pPr>
        <w:pStyle w:val="Equation"/>
        <w:ind w:left="0" w:firstLine="0"/>
        <w:rPr>
          <w:rFonts w:cs="Arial"/>
          <w:i w:val="0"/>
        </w:rPr>
      </w:pPr>
      <m:oMathPara>
        <m:oMathParaPr>
          <m:jc m:val="left"/>
        </m:oMathParaPr>
        <m:oMath>
          <m:sSub>
            <m:sSubPr>
              <m:ctrlPr>
                <w:rPr>
                  <w:rFonts w:ascii="Cambria Math" w:hAnsi="Cambria Math" w:cs="Arial"/>
                </w:rPr>
              </m:ctrlPr>
            </m:sSubPr>
            <m:e>
              <m:r>
                <m:rPr>
                  <m:nor/>
                </m:rPr>
                <w:rPr>
                  <w:rFonts w:cs="Arial"/>
                </w:rPr>
                <m:t>∆kW</m:t>
              </m:r>
            </m:e>
            <m:sub>
              <m:r>
                <m:rPr>
                  <m:nor/>
                </m:rPr>
                <w:rPr>
                  <w:rFonts w:ascii="Cambria Math" w:cs="Arial"/>
                </w:rPr>
                <m:t>peak-</m:t>
              </m:r>
              <m:r>
                <m:rPr>
                  <m:nor/>
                </m:rPr>
                <w:rPr>
                  <w:rFonts w:cs="Arial"/>
                </w:rPr>
                <m:t>elec heat</m:t>
              </m:r>
            </m:sub>
          </m:sSub>
          <m:r>
            <m:rPr>
              <m:nor/>
            </m:rPr>
            <w:rPr>
              <w:rFonts w:cs="Arial"/>
            </w:rPr>
            <m:t xml:space="preserve">                                  = 0</m:t>
          </m:r>
        </m:oMath>
      </m:oMathPara>
    </w:p>
    <w:p w:rsidR="00751C57" w:rsidRDefault="00751C57" w:rsidP="00871FA2">
      <w:pPr>
        <w:pStyle w:val="Heading3"/>
      </w:pPr>
      <w:r>
        <w:t>Definition of Terms</w:t>
      </w:r>
    </w:p>
    <w:p w:rsidR="00751C57" w:rsidRPr="00AA2C40" w:rsidRDefault="00751C57" w:rsidP="00751C57">
      <w:pPr>
        <w:pStyle w:val="Equation"/>
        <w:rPr>
          <w:rFonts w:cs="Arial"/>
          <w:szCs w:val="20"/>
        </w:rPr>
      </w:pPr>
      <w:r w:rsidRPr="00AA2C40">
        <w:rPr>
          <w:rFonts w:cs="Arial"/>
          <w:szCs w:val="20"/>
        </w:rPr>
        <w:tab/>
        <w:t xml:space="preserve">CDD </w:t>
      </w:r>
      <w:r w:rsidRPr="00AA2C40">
        <w:rPr>
          <w:rFonts w:cs="Arial"/>
          <w:szCs w:val="20"/>
        </w:rPr>
        <w:tab/>
        <w:t>= Cooling Degree Days (Degrees F * Days)</w:t>
      </w:r>
    </w:p>
    <w:p w:rsidR="00751C57" w:rsidRPr="00AA2C40" w:rsidRDefault="00751C57" w:rsidP="00751C57">
      <w:pPr>
        <w:pStyle w:val="Equation"/>
        <w:rPr>
          <w:rFonts w:cs="Arial"/>
          <w:szCs w:val="20"/>
        </w:rPr>
      </w:pPr>
      <w:r w:rsidRPr="00AA2C40">
        <w:rPr>
          <w:rFonts w:cs="Arial"/>
          <w:szCs w:val="20"/>
        </w:rPr>
        <w:tab/>
        <w:t xml:space="preserve">HDD </w:t>
      </w:r>
      <w:r w:rsidRPr="00AA2C40">
        <w:rPr>
          <w:rFonts w:cs="Arial"/>
          <w:szCs w:val="20"/>
        </w:rPr>
        <w:tab/>
        <w:t xml:space="preserve">= Heating Degree Days (Degrees F * Days) </w:t>
      </w:r>
    </w:p>
    <w:p w:rsidR="00751C57" w:rsidRPr="00AA2C40" w:rsidRDefault="00751C57" w:rsidP="00751C57">
      <w:pPr>
        <w:pStyle w:val="Equation"/>
        <w:rPr>
          <w:rFonts w:cs="Arial"/>
          <w:szCs w:val="20"/>
        </w:rPr>
      </w:pPr>
      <w:r w:rsidRPr="00AA2C40">
        <w:rPr>
          <w:rFonts w:cs="Arial"/>
          <w:szCs w:val="20"/>
        </w:rPr>
        <w:tab/>
        <w:t xml:space="preserve">DUA </w:t>
      </w:r>
      <w:r w:rsidRPr="00AA2C40">
        <w:rPr>
          <w:rFonts w:cs="Arial"/>
          <w:szCs w:val="20"/>
        </w:rPr>
        <w:tab/>
        <w:t>= Discretionary Use Adjustment to account for the fact that people do not always operate their air conditioning system when the outside temperature is greater than 65F.</w:t>
      </w:r>
    </w:p>
    <w:p w:rsidR="00751C57" w:rsidRPr="00AA2C40" w:rsidRDefault="00751C57" w:rsidP="00751C57">
      <w:pPr>
        <w:pStyle w:val="Equation"/>
        <w:rPr>
          <w:rFonts w:cs="Arial"/>
          <w:szCs w:val="20"/>
        </w:rPr>
      </w:pPr>
      <w:r w:rsidRPr="00AA2C40">
        <w:rPr>
          <w:rFonts w:cs="Arial"/>
          <w:szCs w:val="20"/>
        </w:rPr>
        <w:tab/>
      </w:r>
      <w:r w:rsidR="007A1FB6" w:rsidRPr="00AA2C40">
        <w:rPr>
          <w:rFonts w:cs="Arial"/>
          <w:i w:val="0"/>
          <w:szCs w:val="20"/>
        </w:rPr>
        <w:fldChar w:fldCharType="begin"/>
      </w:r>
      <w:r w:rsidR="00F84A22" w:rsidRPr="00AA2C40">
        <w:rPr>
          <w:rFonts w:cs="Arial"/>
          <w:i w:val="0"/>
          <w:szCs w:val="20"/>
        </w:rPr>
        <w:instrText xml:space="preserve"> QUOTE </w:instrText>
      </w:r>
      <m:oMath>
        <m:sSub>
          <m:sSubPr>
            <m:ctrlPr>
              <w:rPr>
                <w:rFonts w:ascii="Cambria Math" w:hAnsi="Cambria Math"/>
              </w:rPr>
            </m:ctrlPr>
          </m:sSubPr>
          <m:e>
            <m:r>
              <w:rPr>
                <w:rFonts w:ascii="Cambria Math" w:hAnsi="Cambria Math"/>
              </w:rPr>
              <m:t>A</m:t>
            </m:r>
          </m:e>
          <m:sub>
            <m:r>
              <w:rPr>
                <w:rFonts w:ascii="Cambria Math" w:hAnsi="Cambria Math"/>
              </w:rPr>
              <m:t>roof</m:t>
            </m:r>
          </m:sub>
        </m:sSub>
      </m:oMath>
      <w:r w:rsidR="00F84A22" w:rsidRPr="00AA2C40">
        <w:rPr>
          <w:rFonts w:cs="Arial"/>
          <w:i w:val="0"/>
          <w:szCs w:val="20"/>
        </w:rPr>
        <w:instrText xml:space="preserve"> </w:instrText>
      </w:r>
      <w:r w:rsidR="007A1FB6" w:rsidRPr="00AA2C40">
        <w:rPr>
          <w:rFonts w:cs="Arial"/>
          <w:i w:val="0"/>
          <w:szCs w:val="20"/>
        </w:rPr>
        <w:fldChar w:fldCharType="separate"/>
      </w:r>
      <m:oMath>
        <m:sSub>
          <m:sSubPr>
            <m:ctrlPr>
              <w:rPr>
                <w:rFonts w:ascii="Cambria Math" w:hAnsi="Cambria Math"/>
              </w:rPr>
            </m:ctrlPr>
          </m:sSubPr>
          <m:e>
            <m:r>
              <w:rPr>
                <w:rFonts w:ascii="Cambria Math" w:hAnsi="Cambria Math"/>
              </w:rPr>
              <m:t>A</m:t>
            </m:r>
          </m:e>
          <m:sub>
            <m:r>
              <w:rPr>
                <w:rFonts w:ascii="Cambria Math" w:hAnsi="Cambria Math"/>
              </w:rPr>
              <m:t>roof</m:t>
            </m:r>
          </m:sub>
        </m:sSub>
      </m:oMath>
      <w:r w:rsidR="007A1FB6" w:rsidRPr="00AA2C40">
        <w:rPr>
          <w:rFonts w:cs="Arial"/>
          <w:i w:val="0"/>
          <w:szCs w:val="20"/>
        </w:rPr>
        <w:fldChar w:fldCharType="end"/>
      </w:r>
      <w:r w:rsidRPr="00AA2C40">
        <w:rPr>
          <w:rFonts w:cs="Arial"/>
          <w:szCs w:val="20"/>
        </w:rPr>
        <w:t xml:space="preserve"> </w:t>
      </w:r>
      <w:r w:rsidRPr="00AA2C40">
        <w:rPr>
          <w:rFonts w:cs="Arial"/>
          <w:szCs w:val="20"/>
        </w:rPr>
        <w:tab/>
        <w:t>= Area of the ceiling/attic with upgraded insulation (ft</w:t>
      </w:r>
      <w:r w:rsidRPr="00AA2C40">
        <w:rPr>
          <w:rFonts w:cs="Arial"/>
          <w:szCs w:val="20"/>
          <w:vertAlign w:val="superscript"/>
        </w:rPr>
        <w:t>2</w:t>
      </w:r>
      <w:r w:rsidRPr="00AA2C40">
        <w:rPr>
          <w:rFonts w:cs="Arial"/>
          <w:szCs w:val="20"/>
        </w:rPr>
        <w:t>)</w:t>
      </w:r>
    </w:p>
    <w:p w:rsidR="00751C57" w:rsidRPr="00AA2C40" w:rsidRDefault="00751C57" w:rsidP="00751C57">
      <w:pPr>
        <w:pStyle w:val="Equation"/>
        <w:rPr>
          <w:rFonts w:cs="Arial"/>
          <w:szCs w:val="20"/>
        </w:rPr>
      </w:pPr>
      <w:r w:rsidRPr="00AA2C40">
        <w:rPr>
          <w:rFonts w:cs="Arial"/>
          <w:szCs w:val="20"/>
        </w:rPr>
        <w:tab/>
      </w:r>
      <w:r w:rsidR="007A1FB6" w:rsidRPr="00AA2C40">
        <w:rPr>
          <w:rFonts w:cs="Arial"/>
          <w:i w:val="0"/>
          <w:szCs w:val="20"/>
        </w:rPr>
        <w:fldChar w:fldCharType="begin"/>
      </w:r>
      <w:r w:rsidR="00F84A22" w:rsidRPr="00AA2C40">
        <w:rPr>
          <w:rFonts w:cs="Arial"/>
          <w:i w:val="0"/>
          <w:szCs w:val="20"/>
        </w:rPr>
        <w:instrText xml:space="preserve"> QUOTE </w:instrText>
      </w:r>
      <m:oMath>
        <m:sSub>
          <m:sSubPr>
            <m:ctrlPr>
              <w:rPr>
                <w:rFonts w:ascii="Cambria Math" w:hAnsi="Cambria Math"/>
              </w:rPr>
            </m:ctrlPr>
          </m:sSubPr>
          <m:e>
            <m:r>
              <w:rPr>
                <w:rFonts w:ascii="Cambria Math" w:hAnsi="Cambria Math"/>
              </w:rPr>
              <m:t>A</m:t>
            </m:r>
          </m:e>
          <m:sub>
            <m:r>
              <w:rPr>
                <w:rFonts w:ascii="Cambria Math" w:hAnsi="Cambria Math"/>
              </w:rPr>
              <m:t>wall</m:t>
            </m:r>
          </m:sub>
        </m:sSub>
      </m:oMath>
      <w:r w:rsidR="00F84A22" w:rsidRPr="00AA2C40">
        <w:rPr>
          <w:rFonts w:cs="Arial"/>
          <w:i w:val="0"/>
          <w:szCs w:val="20"/>
        </w:rPr>
        <w:instrText xml:space="preserve"> </w:instrText>
      </w:r>
      <w:r w:rsidR="007A1FB6" w:rsidRPr="00AA2C40">
        <w:rPr>
          <w:rFonts w:cs="Arial"/>
          <w:i w:val="0"/>
          <w:szCs w:val="20"/>
        </w:rPr>
        <w:fldChar w:fldCharType="separate"/>
      </w:r>
      <m:oMath>
        <m:sSub>
          <m:sSubPr>
            <m:ctrlPr>
              <w:rPr>
                <w:rFonts w:ascii="Cambria Math" w:hAnsi="Cambria Math"/>
              </w:rPr>
            </m:ctrlPr>
          </m:sSubPr>
          <m:e>
            <m:r>
              <w:rPr>
                <w:rFonts w:ascii="Cambria Math" w:hAnsi="Cambria Math"/>
              </w:rPr>
              <m:t>A</m:t>
            </m:r>
          </m:e>
          <m:sub>
            <m:r>
              <w:rPr>
                <w:rFonts w:ascii="Cambria Math" w:hAnsi="Cambria Math"/>
              </w:rPr>
              <m:t>wall</m:t>
            </m:r>
          </m:sub>
        </m:sSub>
      </m:oMath>
      <w:r w:rsidR="007A1FB6" w:rsidRPr="00AA2C40">
        <w:rPr>
          <w:rFonts w:cs="Arial"/>
          <w:i w:val="0"/>
          <w:szCs w:val="20"/>
        </w:rPr>
        <w:fldChar w:fldCharType="end"/>
      </w:r>
      <w:r w:rsidRPr="00AA2C40">
        <w:rPr>
          <w:rFonts w:cs="Arial"/>
          <w:szCs w:val="20"/>
        </w:rPr>
        <w:t xml:space="preserve"> </w:t>
      </w:r>
      <w:r w:rsidRPr="00AA2C40">
        <w:rPr>
          <w:rFonts w:cs="Arial"/>
          <w:szCs w:val="20"/>
        </w:rPr>
        <w:tab/>
        <w:t>= Area of the wall with upgraded insulation (ft</w:t>
      </w:r>
      <w:r w:rsidRPr="00AA2C40">
        <w:rPr>
          <w:rFonts w:cs="Arial"/>
          <w:szCs w:val="20"/>
          <w:vertAlign w:val="superscript"/>
        </w:rPr>
        <w:t>2</w:t>
      </w:r>
      <w:r w:rsidRPr="00AA2C40">
        <w:rPr>
          <w:rFonts w:cs="Arial"/>
          <w:szCs w:val="20"/>
        </w:rPr>
        <w:t>)</w:t>
      </w:r>
    </w:p>
    <w:p w:rsidR="00751C57" w:rsidRPr="00AA2C40" w:rsidRDefault="00751C57" w:rsidP="00751C57">
      <w:pPr>
        <w:pStyle w:val="Equation"/>
        <w:rPr>
          <w:rFonts w:cs="Arial"/>
          <w:szCs w:val="20"/>
        </w:rPr>
      </w:pPr>
      <w:r w:rsidRPr="00AA2C40">
        <w:rPr>
          <w:rFonts w:cs="Arial"/>
          <w:szCs w:val="20"/>
        </w:rPr>
        <w:tab/>
      </w:r>
      <w:r w:rsidR="007A1FB6" w:rsidRPr="00AA2C40">
        <w:rPr>
          <w:rFonts w:cs="Arial"/>
          <w:i w:val="0"/>
          <w:szCs w:val="20"/>
        </w:rPr>
        <w:fldChar w:fldCharType="begin"/>
      </w:r>
      <w:r w:rsidR="00F84A22" w:rsidRPr="00AA2C40">
        <w:rPr>
          <w:rFonts w:cs="Arial"/>
          <w:i w:val="0"/>
          <w:szCs w:val="20"/>
        </w:rPr>
        <w:instrText xml:space="preserve"> QUOTE </w:instrText>
      </w:r>
      <m:oMath>
        <m:sSub>
          <m:sSubPr>
            <m:ctrlPr>
              <w:rPr>
                <w:rFonts w:ascii="Cambria Math" w:hAnsi="Cambria Math"/>
              </w:rPr>
            </m:ctrlPr>
          </m:sSubPr>
          <m:e>
            <m:r>
              <w:rPr>
                <w:rFonts w:ascii="Cambria Math" w:hAnsi="Cambria Math"/>
              </w:rPr>
              <m:t>R</m:t>
            </m:r>
          </m:e>
          <m:sub>
            <m:r>
              <w:rPr>
                <w:rFonts w:ascii="Cambria Math" w:hAnsi="Cambria Math"/>
              </w:rPr>
              <m:t>roof,bl</m:t>
            </m:r>
          </m:sub>
        </m:sSub>
      </m:oMath>
      <w:r w:rsidR="00F84A22" w:rsidRPr="00AA2C40">
        <w:rPr>
          <w:rFonts w:cs="Arial"/>
          <w:i w:val="0"/>
          <w:szCs w:val="20"/>
        </w:rPr>
        <w:instrText xml:space="preserve"> </w:instrText>
      </w:r>
      <w:r w:rsidR="007A1FB6" w:rsidRPr="00AA2C40">
        <w:rPr>
          <w:rFonts w:cs="Arial"/>
          <w:i w:val="0"/>
          <w:szCs w:val="20"/>
        </w:rPr>
        <w:fldChar w:fldCharType="separate"/>
      </w:r>
      <m:oMath>
        <m:sSub>
          <m:sSubPr>
            <m:ctrlPr>
              <w:rPr>
                <w:rFonts w:ascii="Cambria Math" w:hAnsi="Cambria Math"/>
              </w:rPr>
            </m:ctrlPr>
          </m:sSubPr>
          <m:e>
            <m:r>
              <w:rPr>
                <w:rFonts w:ascii="Cambria Math" w:hAnsi="Cambria Math"/>
              </w:rPr>
              <m:t>R</m:t>
            </m:r>
          </m:e>
          <m:sub>
            <m:r>
              <w:rPr>
                <w:rFonts w:ascii="Cambria Math" w:hAnsi="Cambria Math"/>
              </w:rPr>
              <m:t>roof,bl</m:t>
            </m:r>
          </m:sub>
        </m:sSub>
      </m:oMath>
      <w:r w:rsidR="007A1FB6" w:rsidRPr="00AA2C40">
        <w:rPr>
          <w:rFonts w:cs="Arial"/>
          <w:i w:val="0"/>
          <w:szCs w:val="20"/>
        </w:rPr>
        <w:fldChar w:fldCharType="end"/>
      </w:r>
      <w:r w:rsidRPr="00AA2C40">
        <w:rPr>
          <w:rFonts w:cs="Arial"/>
          <w:szCs w:val="20"/>
        </w:rPr>
        <w:tab/>
        <w:t>= Assembly R-value of ceiling/attic before retrofit (ft</w:t>
      </w:r>
      <w:r w:rsidRPr="00AA2C40">
        <w:rPr>
          <w:rFonts w:cs="Arial"/>
          <w:szCs w:val="20"/>
          <w:vertAlign w:val="superscript"/>
        </w:rPr>
        <w:t>2</w:t>
      </w:r>
      <w:r w:rsidRPr="00AA2C40">
        <w:rPr>
          <w:rFonts w:cs="Arial"/>
          <w:szCs w:val="20"/>
        </w:rPr>
        <w:t>*°F*hr/Btu)</w:t>
      </w:r>
    </w:p>
    <w:p w:rsidR="00751C57" w:rsidRPr="00AA2C40" w:rsidRDefault="00751C57" w:rsidP="00751C57">
      <w:pPr>
        <w:pStyle w:val="Equation"/>
        <w:rPr>
          <w:rFonts w:cs="Arial"/>
          <w:szCs w:val="20"/>
        </w:rPr>
      </w:pPr>
      <w:r w:rsidRPr="00AA2C40">
        <w:rPr>
          <w:rFonts w:cs="Arial"/>
          <w:szCs w:val="20"/>
        </w:rPr>
        <w:tab/>
      </w:r>
      <w:r w:rsidR="007A1FB6" w:rsidRPr="00AA2C40">
        <w:rPr>
          <w:rFonts w:cs="Arial"/>
          <w:i w:val="0"/>
          <w:szCs w:val="20"/>
        </w:rPr>
        <w:fldChar w:fldCharType="begin"/>
      </w:r>
      <w:r w:rsidR="00F84A22" w:rsidRPr="00AA2C40">
        <w:rPr>
          <w:rFonts w:cs="Arial"/>
          <w:i w:val="0"/>
          <w:szCs w:val="20"/>
        </w:rPr>
        <w:instrText xml:space="preserve"> QUOTE </w:instrText>
      </w:r>
      <m:oMath>
        <m:sSub>
          <m:sSubPr>
            <m:ctrlPr>
              <w:rPr>
                <w:rFonts w:ascii="Cambria Math" w:hAnsi="Cambria Math"/>
              </w:rPr>
            </m:ctrlPr>
          </m:sSubPr>
          <m:e>
            <m:r>
              <w:rPr>
                <w:rFonts w:ascii="Cambria Math" w:hAnsi="Cambria Math"/>
              </w:rPr>
              <m:t>R</m:t>
            </m:r>
          </m:e>
          <m:sub>
            <m:r>
              <w:rPr>
                <w:rFonts w:ascii="Cambria Math" w:hAnsi="Cambria Math"/>
              </w:rPr>
              <m:t>roof,ee</m:t>
            </m:r>
          </m:sub>
        </m:sSub>
      </m:oMath>
      <w:r w:rsidR="00F84A22" w:rsidRPr="00AA2C40">
        <w:rPr>
          <w:rFonts w:cs="Arial"/>
          <w:i w:val="0"/>
          <w:szCs w:val="20"/>
        </w:rPr>
        <w:instrText xml:space="preserve"> </w:instrText>
      </w:r>
      <w:r w:rsidR="007A1FB6" w:rsidRPr="00AA2C40">
        <w:rPr>
          <w:rFonts w:cs="Arial"/>
          <w:i w:val="0"/>
          <w:szCs w:val="20"/>
        </w:rPr>
        <w:fldChar w:fldCharType="separate"/>
      </w:r>
      <m:oMath>
        <m:sSub>
          <m:sSubPr>
            <m:ctrlPr>
              <w:rPr>
                <w:rFonts w:ascii="Cambria Math" w:hAnsi="Cambria Math"/>
              </w:rPr>
            </m:ctrlPr>
          </m:sSubPr>
          <m:e>
            <m:r>
              <w:rPr>
                <w:rFonts w:ascii="Cambria Math" w:hAnsi="Cambria Math"/>
              </w:rPr>
              <m:t>R</m:t>
            </m:r>
          </m:e>
          <m:sub>
            <m:r>
              <w:rPr>
                <w:rFonts w:ascii="Cambria Math" w:hAnsi="Cambria Math"/>
              </w:rPr>
              <m:t>roof,ee</m:t>
            </m:r>
          </m:sub>
        </m:sSub>
      </m:oMath>
      <w:r w:rsidR="007A1FB6" w:rsidRPr="00AA2C40">
        <w:rPr>
          <w:rFonts w:cs="Arial"/>
          <w:i w:val="0"/>
          <w:szCs w:val="20"/>
        </w:rPr>
        <w:fldChar w:fldCharType="end"/>
      </w:r>
      <w:r w:rsidRPr="00AA2C40">
        <w:rPr>
          <w:rFonts w:cs="Arial"/>
          <w:szCs w:val="20"/>
        </w:rPr>
        <w:tab/>
        <w:t>= Assembly R-value of ceiling/attic after retrofit (ft</w:t>
      </w:r>
      <w:r w:rsidRPr="00AA2C40">
        <w:rPr>
          <w:rFonts w:cs="Arial"/>
          <w:szCs w:val="20"/>
          <w:vertAlign w:val="superscript"/>
        </w:rPr>
        <w:t>2</w:t>
      </w:r>
      <w:r w:rsidRPr="00AA2C40">
        <w:rPr>
          <w:rFonts w:cs="Arial"/>
          <w:szCs w:val="20"/>
        </w:rPr>
        <w:t>*°F*hr/Btu)</w:t>
      </w:r>
    </w:p>
    <w:p w:rsidR="00751C57" w:rsidRPr="00AA2C40" w:rsidRDefault="00751C57" w:rsidP="00751C57">
      <w:pPr>
        <w:pStyle w:val="Equation"/>
        <w:rPr>
          <w:rFonts w:cs="Arial"/>
          <w:szCs w:val="20"/>
        </w:rPr>
      </w:pPr>
      <w:r w:rsidRPr="00AA2C40">
        <w:rPr>
          <w:rFonts w:cs="Arial"/>
          <w:szCs w:val="20"/>
        </w:rPr>
        <w:tab/>
      </w:r>
      <w:r w:rsidR="007A1FB6" w:rsidRPr="00AA2C40">
        <w:rPr>
          <w:rFonts w:cs="Arial"/>
          <w:i w:val="0"/>
          <w:szCs w:val="20"/>
        </w:rPr>
        <w:fldChar w:fldCharType="begin"/>
      </w:r>
      <w:r w:rsidR="00F84A22" w:rsidRPr="00AA2C40">
        <w:rPr>
          <w:rFonts w:cs="Arial"/>
          <w:i w:val="0"/>
          <w:szCs w:val="20"/>
        </w:rPr>
        <w:instrText xml:space="preserve"> QUOTE </w:instrText>
      </w:r>
      <m:oMath>
        <m:sSub>
          <m:sSubPr>
            <m:ctrlPr>
              <w:rPr>
                <w:rFonts w:ascii="Cambria Math" w:hAnsi="Cambria Math"/>
              </w:rPr>
            </m:ctrlPr>
          </m:sSubPr>
          <m:e>
            <m:r>
              <w:rPr>
                <w:rFonts w:ascii="Cambria Math" w:hAnsi="Cambria Math"/>
              </w:rPr>
              <m:t>R</m:t>
            </m:r>
          </m:e>
          <m:sub>
            <m:r>
              <w:rPr>
                <w:rFonts w:ascii="Cambria Math" w:hAnsi="Cambria Math"/>
              </w:rPr>
              <m:t>wall,bl</m:t>
            </m:r>
          </m:sub>
        </m:sSub>
      </m:oMath>
      <w:r w:rsidR="00F84A22" w:rsidRPr="00AA2C40">
        <w:rPr>
          <w:rFonts w:cs="Arial"/>
          <w:i w:val="0"/>
          <w:szCs w:val="20"/>
        </w:rPr>
        <w:instrText xml:space="preserve"> </w:instrText>
      </w:r>
      <w:r w:rsidR="007A1FB6" w:rsidRPr="00AA2C40">
        <w:rPr>
          <w:rFonts w:cs="Arial"/>
          <w:i w:val="0"/>
          <w:szCs w:val="20"/>
        </w:rPr>
        <w:fldChar w:fldCharType="separate"/>
      </w:r>
      <m:oMath>
        <m:sSub>
          <m:sSubPr>
            <m:ctrlPr>
              <w:rPr>
                <w:rFonts w:ascii="Cambria Math" w:hAnsi="Cambria Math"/>
              </w:rPr>
            </m:ctrlPr>
          </m:sSubPr>
          <m:e>
            <m:r>
              <w:rPr>
                <w:rFonts w:ascii="Cambria Math" w:hAnsi="Cambria Math"/>
              </w:rPr>
              <m:t>R</m:t>
            </m:r>
          </m:e>
          <m:sub>
            <m:r>
              <w:rPr>
                <w:rFonts w:ascii="Cambria Math" w:hAnsi="Cambria Math"/>
              </w:rPr>
              <m:t>wall,bl</m:t>
            </m:r>
          </m:sub>
        </m:sSub>
      </m:oMath>
      <w:r w:rsidR="007A1FB6" w:rsidRPr="00AA2C40">
        <w:rPr>
          <w:rFonts w:cs="Arial"/>
          <w:i w:val="0"/>
          <w:szCs w:val="20"/>
        </w:rPr>
        <w:fldChar w:fldCharType="end"/>
      </w:r>
      <w:r w:rsidRPr="00AA2C40">
        <w:rPr>
          <w:rFonts w:cs="Arial"/>
          <w:szCs w:val="20"/>
        </w:rPr>
        <w:tab/>
        <w:t>= Assembly R-value of wall before retrofit (ft</w:t>
      </w:r>
      <w:r w:rsidRPr="00AA2C40">
        <w:rPr>
          <w:rFonts w:cs="Arial"/>
          <w:szCs w:val="20"/>
          <w:vertAlign w:val="superscript"/>
        </w:rPr>
        <w:t>2</w:t>
      </w:r>
      <w:r w:rsidRPr="00AA2C40">
        <w:rPr>
          <w:rFonts w:cs="Arial"/>
          <w:szCs w:val="20"/>
        </w:rPr>
        <w:t>*°F*hr/Btu)</w:t>
      </w:r>
    </w:p>
    <w:p w:rsidR="00751C57" w:rsidRPr="00AA2C40" w:rsidRDefault="00751C57" w:rsidP="00751C57">
      <w:pPr>
        <w:pStyle w:val="Equation"/>
        <w:rPr>
          <w:rFonts w:cs="Arial"/>
          <w:szCs w:val="20"/>
        </w:rPr>
      </w:pPr>
      <w:r w:rsidRPr="00AA2C40">
        <w:rPr>
          <w:rFonts w:cs="Arial"/>
          <w:szCs w:val="20"/>
        </w:rPr>
        <w:tab/>
      </w:r>
      <w:r w:rsidR="007A1FB6" w:rsidRPr="00AA2C40">
        <w:rPr>
          <w:rFonts w:cs="Arial"/>
          <w:i w:val="0"/>
          <w:szCs w:val="20"/>
        </w:rPr>
        <w:fldChar w:fldCharType="begin"/>
      </w:r>
      <w:r w:rsidR="00F84A22" w:rsidRPr="00AA2C40">
        <w:rPr>
          <w:rFonts w:cs="Arial"/>
          <w:i w:val="0"/>
          <w:szCs w:val="20"/>
        </w:rPr>
        <w:instrText xml:space="preserve"> QUOTE </w:instrText>
      </w:r>
      <m:oMath>
        <m:sSub>
          <m:sSubPr>
            <m:ctrlPr>
              <w:rPr>
                <w:rFonts w:ascii="Cambria Math" w:hAnsi="Cambria Math"/>
              </w:rPr>
            </m:ctrlPr>
          </m:sSubPr>
          <m:e>
            <m:r>
              <w:rPr>
                <w:rFonts w:ascii="Cambria Math" w:hAnsi="Cambria Math"/>
              </w:rPr>
              <m:t>R</m:t>
            </m:r>
          </m:e>
          <m:sub>
            <m:r>
              <w:rPr>
                <w:rFonts w:ascii="Cambria Math" w:hAnsi="Cambria Math"/>
              </w:rPr>
              <m:t>wall,ee</m:t>
            </m:r>
          </m:sub>
        </m:sSub>
      </m:oMath>
      <w:r w:rsidR="00F84A22" w:rsidRPr="00AA2C40">
        <w:rPr>
          <w:rFonts w:cs="Arial"/>
          <w:i w:val="0"/>
          <w:szCs w:val="20"/>
        </w:rPr>
        <w:instrText xml:space="preserve"> </w:instrText>
      </w:r>
      <w:r w:rsidR="007A1FB6" w:rsidRPr="00AA2C40">
        <w:rPr>
          <w:rFonts w:cs="Arial"/>
          <w:i w:val="0"/>
          <w:szCs w:val="20"/>
        </w:rPr>
        <w:fldChar w:fldCharType="separate"/>
      </w:r>
      <m:oMath>
        <m:sSub>
          <m:sSubPr>
            <m:ctrlPr>
              <w:rPr>
                <w:rFonts w:ascii="Cambria Math" w:hAnsi="Cambria Math"/>
              </w:rPr>
            </m:ctrlPr>
          </m:sSubPr>
          <m:e>
            <m:r>
              <w:rPr>
                <w:rFonts w:ascii="Cambria Math" w:hAnsi="Cambria Math"/>
              </w:rPr>
              <m:t>R</m:t>
            </m:r>
          </m:e>
          <m:sub>
            <m:r>
              <w:rPr>
                <w:rFonts w:ascii="Cambria Math" w:hAnsi="Cambria Math"/>
              </w:rPr>
              <m:t>wall,ee</m:t>
            </m:r>
          </m:sub>
        </m:sSub>
      </m:oMath>
      <w:r w:rsidR="007A1FB6" w:rsidRPr="00AA2C40">
        <w:rPr>
          <w:rFonts w:cs="Arial"/>
          <w:i w:val="0"/>
          <w:szCs w:val="20"/>
        </w:rPr>
        <w:fldChar w:fldCharType="end"/>
      </w:r>
      <w:r w:rsidRPr="00AA2C40">
        <w:rPr>
          <w:rFonts w:cs="Arial"/>
          <w:szCs w:val="20"/>
        </w:rPr>
        <w:t xml:space="preserve"> </w:t>
      </w:r>
      <w:r w:rsidRPr="00AA2C40">
        <w:rPr>
          <w:rFonts w:cs="Arial"/>
          <w:szCs w:val="20"/>
        </w:rPr>
        <w:tab/>
        <w:t>= Assembly R-value of wall after retrofit (ft</w:t>
      </w:r>
      <w:r w:rsidRPr="00AA2C40">
        <w:rPr>
          <w:rFonts w:cs="Arial"/>
          <w:szCs w:val="20"/>
          <w:vertAlign w:val="superscript"/>
        </w:rPr>
        <w:t>2</w:t>
      </w:r>
      <w:r w:rsidRPr="00AA2C40">
        <w:rPr>
          <w:rFonts w:cs="Arial"/>
          <w:szCs w:val="20"/>
        </w:rPr>
        <w:t>*°F*hr/Btu)</w:t>
      </w:r>
    </w:p>
    <w:p w:rsidR="00751C57" w:rsidRPr="00AA2C40" w:rsidRDefault="00751C57" w:rsidP="00751C57">
      <w:pPr>
        <w:pStyle w:val="Equation"/>
        <w:rPr>
          <w:rFonts w:cs="Arial"/>
          <w:szCs w:val="20"/>
        </w:rPr>
      </w:pPr>
      <w:r w:rsidRPr="00AA2C40">
        <w:rPr>
          <w:rFonts w:cs="Arial"/>
          <w:szCs w:val="20"/>
        </w:rPr>
        <w:tab/>
        <w:t>SEER</w:t>
      </w:r>
      <w:r w:rsidRPr="00AA2C40">
        <w:rPr>
          <w:rFonts w:cs="Arial"/>
          <w:szCs w:val="20"/>
          <w:vertAlign w:val="subscript"/>
        </w:rPr>
        <w:t>CAC</w:t>
      </w:r>
      <w:r w:rsidRPr="00AA2C40">
        <w:rPr>
          <w:rFonts w:cs="Arial"/>
          <w:szCs w:val="20"/>
        </w:rPr>
        <w:t xml:space="preserve"> </w:t>
      </w:r>
      <w:r w:rsidRPr="00AA2C40">
        <w:rPr>
          <w:rFonts w:cs="Arial"/>
          <w:szCs w:val="20"/>
        </w:rPr>
        <w:tab/>
        <w:t>= Seasonal Energy Efficiency Ratio of existing home central air conditioner (Btu/W▪hr)</w:t>
      </w:r>
    </w:p>
    <w:p w:rsidR="00751C57" w:rsidRPr="00AA2C40" w:rsidRDefault="00751C57" w:rsidP="00751C57">
      <w:pPr>
        <w:pStyle w:val="Equation"/>
        <w:rPr>
          <w:rFonts w:cs="Arial"/>
          <w:szCs w:val="20"/>
        </w:rPr>
      </w:pPr>
      <w:r w:rsidRPr="00AA2C40">
        <w:rPr>
          <w:rFonts w:cs="Arial"/>
          <w:szCs w:val="20"/>
        </w:rPr>
        <w:tab/>
      </w:r>
      <w:r w:rsidR="007A1FB6" w:rsidRPr="00AA2C40">
        <w:rPr>
          <w:rFonts w:cs="Arial"/>
          <w:i w:val="0"/>
          <w:szCs w:val="20"/>
        </w:rPr>
        <w:fldChar w:fldCharType="begin"/>
      </w:r>
      <w:r w:rsidR="00F84A22" w:rsidRPr="00AA2C40">
        <w:rPr>
          <w:rFonts w:cs="Arial"/>
          <w:i w:val="0"/>
          <w:szCs w:val="20"/>
        </w:rPr>
        <w:instrText xml:space="preserve"> QUOTE </w:instrText>
      </w:r>
      <m:oMath>
        <m:sSub>
          <m:sSubPr>
            <m:ctrlPr>
              <w:rPr>
                <w:rFonts w:ascii="Cambria Math" w:hAnsi="Cambria Math"/>
              </w:rPr>
            </m:ctrlPr>
          </m:sSubPr>
          <m:e>
            <m:acc>
              <m:accPr>
                <m:chr m:val="̅"/>
                <m:ctrlPr>
                  <w:rPr>
                    <w:rFonts w:ascii="Cambria Math" w:hAnsi="Cambria Math"/>
                  </w:rPr>
                </m:ctrlPr>
              </m:accPr>
              <m:e>
                <m:r>
                  <w:rPr>
                    <w:rFonts w:ascii="Cambria Math" w:hAnsi="Cambria Math"/>
                  </w:rPr>
                  <m:t>EER</m:t>
                </m:r>
              </m:e>
            </m:acc>
          </m:e>
          <m:sub>
            <m:r>
              <w:rPr>
                <w:rFonts w:ascii="Cambria Math" w:hAnsi="Cambria Math"/>
              </w:rPr>
              <m:t>RAC</m:t>
            </m:r>
          </m:sub>
        </m:sSub>
      </m:oMath>
      <w:r w:rsidR="00F84A22" w:rsidRPr="00AA2C40">
        <w:rPr>
          <w:rFonts w:cs="Arial"/>
          <w:i w:val="0"/>
          <w:szCs w:val="20"/>
        </w:rPr>
        <w:instrText xml:space="preserve"> </w:instrText>
      </w:r>
      <w:r w:rsidR="007A1FB6" w:rsidRPr="00AA2C40">
        <w:rPr>
          <w:rFonts w:cs="Arial"/>
          <w:i w:val="0"/>
          <w:szCs w:val="20"/>
        </w:rPr>
        <w:fldChar w:fldCharType="separate"/>
      </w:r>
      <m:oMath>
        <m:sSub>
          <m:sSubPr>
            <m:ctrlPr>
              <w:rPr>
                <w:rFonts w:ascii="Cambria Math" w:hAnsi="Cambria Math"/>
              </w:rPr>
            </m:ctrlPr>
          </m:sSubPr>
          <m:e>
            <m:acc>
              <m:accPr>
                <m:chr m:val="̅"/>
                <m:ctrlPr>
                  <w:rPr>
                    <w:rFonts w:ascii="Cambria Math" w:hAnsi="Cambria Math"/>
                  </w:rPr>
                </m:ctrlPr>
              </m:accPr>
              <m:e>
                <m:r>
                  <w:rPr>
                    <w:rFonts w:ascii="Cambria Math" w:hAnsi="Cambria Math"/>
                  </w:rPr>
                  <m:t>EER</m:t>
                </m:r>
              </m:e>
            </m:acc>
          </m:e>
          <m:sub>
            <m:r>
              <w:rPr>
                <w:rFonts w:ascii="Cambria Math" w:hAnsi="Cambria Math"/>
              </w:rPr>
              <m:t>RAC</m:t>
            </m:r>
          </m:sub>
        </m:sSub>
      </m:oMath>
      <w:r w:rsidR="007A1FB6" w:rsidRPr="00AA2C40">
        <w:rPr>
          <w:rFonts w:cs="Arial"/>
          <w:i w:val="0"/>
          <w:szCs w:val="20"/>
        </w:rPr>
        <w:fldChar w:fldCharType="end"/>
      </w:r>
      <w:r w:rsidRPr="00AA2C40">
        <w:rPr>
          <w:rFonts w:cs="Arial"/>
          <w:szCs w:val="20"/>
        </w:rPr>
        <w:t xml:space="preserve"> </w:t>
      </w:r>
      <w:r w:rsidRPr="00AA2C40">
        <w:rPr>
          <w:rFonts w:cs="Arial"/>
          <w:szCs w:val="20"/>
        </w:rPr>
        <w:tab/>
        <w:t>= Average Energy Efficiency Ratio of existing room air conditioner (Btu/W▪hr)</w:t>
      </w:r>
    </w:p>
    <w:p w:rsidR="00751C57" w:rsidRPr="00AA2C40" w:rsidRDefault="00751C57" w:rsidP="00751C57">
      <w:pPr>
        <w:pStyle w:val="Equation"/>
        <w:rPr>
          <w:rFonts w:cs="Arial"/>
          <w:szCs w:val="20"/>
        </w:rPr>
      </w:pPr>
      <w:r w:rsidRPr="00AA2C40">
        <w:rPr>
          <w:rFonts w:cs="Arial"/>
          <w:szCs w:val="20"/>
        </w:rPr>
        <w:tab/>
        <w:t>SEER</w:t>
      </w:r>
      <w:r w:rsidRPr="00AA2C40">
        <w:rPr>
          <w:rFonts w:cs="Arial"/>
          <w:szCs w:val="20"/>
          <w:vertAlign w:val="subscript"/>
        </w:rPr>
        <w:t xml:space="preserve">ASHP </w:t>
      </w:r>
      <w:r w:rsidRPr="00AA2C40">
        <w:rPr>
          <w:rFonts w:cs="Arial"/>
          <w:szCs w:val="20"/>
          <w:vertAlign w:val="subscript"/>
        </w:rPr>
        <w:tab/>
      </w:r>
      <w:r w:rsidRPr="00AA2C40">
        <w:rPr>
          <w:rFonts w:cs="Arial"/>
          <w:szCs w:val="20"/>
        </w:rPr>
        <w:t>= Seasonal Energy Efficiency Ratio of existing home air source heat pump (Btu/W▪hr)</w:t>
      </w:r>
    </w:p>
    <w:p w:rsidR="00751C57" w:rsidRPr="00AA2C40" w:rsidRDefault="00751C57" w:rsidP="00751C57">
      <w:pPr>
        <w:pStyle w:val="Equation"/>
        <w:rPr>
          <w:rFonts w:cs="Arial"/>
          <w:szCs w:val="20"/>
        </w:rPr>
      </w:pPr>
      <w:r w:rsidRPr="00AA2C40">
        <w:rPr>
          <w:rFonts w:cs="Arial"/>
          <w:szCs w:val="20"/>
        </w:rPr>
        <w:tab/>
        <w:t>HSPF</w:t>
      </w:r>
      <w:r w:rsidRPr="00AA2C40">
        <w:rPr>
          <w:rFonts w:cs="Arial"/>
          <w:szCs w:val="20"/>
          <w:vertAlign w:val="subscript"/>
        </w:rPr>
        <w:t>ASHP</w:t>
      </w:r>
      <w:r w:rsidRPr="00AA2C40">
        <w:rPr>
          <w:rFonts w:cs="Arial"/>
          <w:szCs w:val="20"/>
          <w:vertAlign w:val="subscript"/>
        </w:rPr>
        <w:tab/>
      </w:r>
      <w:r w:rsidRPr="00AA2C40">
        <w:rPr>
          <w:rFonts w:cs="Arial"/>
          <w:szCs w:val="20"/>
        </w:rPr>
        <w:t>= Heating Seasonal Performance Factor for existing home heat pump (Btu/W▪hr)</w:t>
      </w:r>
    </w:p>
    <w:p w:rsidR="00751C57" w:rsidRPr="00AA2C40" w:rsidRDefault="00751C57" w:rsidP="00751C57">
      <w:pPr>
        <w:pStyle w:val="Equation"/>
        <w:rPr>
          <w:rFonts w:cs="Arial"/>
          <w:szCs w:val="20"/>
        </w:rPr>
      </w:pPr>
      <w:r w:rsidRPr="00AA2C40">
        <w:rPr>
          <w:rFonts w:cs="Arial"/>
          <w:szCs w:val="20"/>
        </w:rPr>
        <w:tab/>
        <w:t>CF</w:t>
      </w:r>
      <w:r w:rsidRPr="00AA2C40">
        <w:rPr>
          <w:rFonts w:cs="Arial"/>
          <w:szCs w:val="20"/>
          <w:vertAlign w:val="subscript"/>
        </w:rPr>
        <w:t>CAC</w:t>
      </w:r>
      <w:r w:rsidRPr="00AA2C40">
        <w:rPr>
          <w:rFonts w:cs="Arial"/>
          <w:szCs w:val="20"/>
        </w:rPr>
        <w:t xml:space="preserve"> </w:t>
      </w:r>
      <w:r w:rsidRPr="00AA2C40">
        <w:rPr>
          <w:rFonts w:cs="Arial"/>
          <w:szCs w:val="20"/>
        </w:rPr>
        <w:tab/>
        <w:t xml:space="preserve">= </w:t>
      </w:r>
      <w:r w:rsidR="005478EE" w:rsidRPr="00AA2C40">
        <w:rPr>
          <w:rFonts w:cs="Arial"/>
          <w:szCs w:val="20"/>
        </w:rPr>
        <w:t>Demand Coincidence Factor (See Section 1.4)</w:t>
      </w:r>
      <w:r w:rsidRPr="00AA2C40">
        <w:rPr>
          <w:rFonts w:cs="Arial"/>
          <w:szCs w:val="20"/>
        </w:rPr>
        <w:t xml:space="preserve"> for central AC systems</w:t>
      </w:r>
    </w:p>
    <w:p w:rsidR="00751C57" w:rsidRPr="00AA2C40" w:rsidRDefault="00751C57" w:rsidP="00751C57">
      <w:pPr>
        <w:pStyle w:val="Equation"/>
        <w:rPr>
          <w:rFonts w:cs="Arial"/>
          <w:szCs w:val="20"/>
        </w:rPr>
      </w:pPr>
      <w:r w:rsidRPr="00AA2C40">
        <w:rPr>
          <w:rFonts w:cs="Arial"/>
          <w:szCs w:val="20"/>
        </w:rPr>
        <w:tab/>
        <w:t>CF</w:t>
      </w:r>
      <w:r w:rsidRPr="00AA2C40">
        <w:rPr>
          <w:rFonts w:cs="Arial"/>
          <w:szCs w:val="20"/>
          <w:vertAlign w:val="subscript"/>
        </w:rPr>
        <w:t>RAC</w:t>
      </w:r>
      <w:r w:rsidRPr="00AA2C40">
        <w:rPr>
          <w:rFonts w:cs="Arial"/>
          <w:szCs w:val="20"/>
        </w:rPr>
        <w:t xml:space="preserve"> </w:t>
      </w:r>
      <w:r w:rsidRPr="00AA2C40">
        <w:rPr>
          <w:rFonts w:cs="Arial"/>
          <w:szCs w:val="20"/>
        </w:rPr>
        <w:tab/>
        <w:t xml:space="preserve">= </w:t>
      </w:r>
      <w:r w:rsidR="005478EE" w:rsidRPr="00AA2C40">
        <w:rPr>
          <w:rFonts w:cs="Arial"/>
          <w:szCs w:val="20"/>
        </w:rPr>
        <w:t>Demand Coincidence Factor (See Section 1.4)</w:t>
      </w:r>
      <w:r w:rsidRPr="00AA2C40">
        <w:rPr>
          <w:rFonts w:cs="Arial"/>
          <w:szCs w:val="20"/>
        </w:rPr>
        <w:t xml:space="preserve"> for Room AC systems</w:t>
      </w:r>
    </w:p>
    <w:p w:rsidR="00751C57" w:rsidRPr="00AA2C40" w:rsidRDefault="00751C57" w:rsidP="00751C57">
      <w:pPr>
        <w:pStyle w:val="Equation"/>
        <w:rPr>
          <w:rFonts w:cs="Arial"/>
          <w:szCs w:val="20"/>
        </w:rPr>
      </w:pPr>
      <w:r w:rsidRPr="00AA2C40">
        <w:rPr>
          <w:rFonts w:cs="Arial"/>
          <w:szCs w:val="20"/>
        </w:rPr>
        <w:tab/>
        <w:t>CF</w:t>
      </w:r>
      <w:r w:rsidRPr="00AA2C40">
        <w:rPr>
          <w:rFonts w:cs="Arial"/>
          <w:szCs w:val="20"/>
          <w:vertAlign w:val="subscript"/>
        </w:rPr>
        <w:t>ASHP</w:t>
      </w:r>
      <w:r w:rsidRPr="00AA2C40">
        <w:rPr>
          <w:rFonts w:cs="Arial"/>
          <w:szCs w:val="20"/>
        </w:rPr>
        <w:t xml:space="preserve"> </w:t>
      </w:r>
      <w:r w:rsidRPr="00AA2C40">
        <w:rPr>
          <w:rFonts w:cs="Arial"/>
          <w:szCs w:val="20"/>
        </w:rPr>
        <w:tab/>
        <w:t xml:space="preserve">= </w:t>
      </w:r>
      <w:r w:rsidR="005478EE" w:rsidRPr="00AA2C40">
        <w:rPr>
          <w:rFonts w:cs="Arial"/>
          <w:szCs w:val="20"/>
        </w:rPr>
        <w:t>Demand Coincidence Factor (See Section 1.4)</w:t>
      </w:r>
      <w:r w:rsidRPr="00AA2C40">
        <w:rPr>
          <w:rFonts w:cs="Arial"/>
          <w:szCs w:val="20"/>
        </w:rPr>
        <w:t xml:space="preserve"> for ASHP systems</w:t>
      </w:r>
    </w:p>
    <w:p w:rsidR="00751C57" w:rsidRPr="00AA2C40" w:rsidRDefault="00751C57" w:rsidP="00751C57">
      <w:pPr>
        <w:pStyle w:val="Equation"/>
        <w:rPr>
          <w:rFonts w:cs="Arial"/>
          <w:szCs w:val="20"/>
        </w:rPr>
      </w:pPr>
      <w:r w:rsidRPr="00AA2C40">
        <w:rPr>
          <w:rFonts w:cs="Arial"/>
          <w:szCs w:val="20"/>
        </w:rPr>
        <w:tab/>
        <w:t>EFLH</w:t>
      </w:r>
      <w:r w:rsidRPr="00AA2C40">
        <w:rPr>
          <w:rFonts w:cs="Arial"/>
          <w:szCs w:val="20"/>
          <w:vertAlign w:val="subscript"/>
        </w:rPr>
        <w:t>cool</w:t>
      </w:r>
      <w:r w:rsidRPr="00AA2C40">
        <w:rPr>
          <w:rFonts w:cs="Arial"/>
          <w:szCs w:val="20"/>
        </w:rPr>
        <w:t xml:space="preserve"> </w:t>
      </w:r>
      <w:r w:rsidRPr="00AA2C40">
        <w:rPr>
          <w:rFonts w:cs="Arial"/>
          <w:szCs w:val="20"/>
        </w:rPr>
        <w:tab/>
        <w:t>= Equivalent Full Load Cooling hours for Central AC and ASHP</w:t>
      </w:r>
    </w:p>
    <w:p w:rsidR="00751C57" w:rsidRPr="00AA2C40" w:rsidRDefault="00751C57" w:rsidP="00751C57">
      <w:pPr>
        <w:pStyle w:val="Equation"/>
        <w:rPr>
          <w:rFonts w:cs="Arial"/>
          <w:szCs w:val="20"/>
        </w:rPr>
      </w:pPr>
      <w:r w:rsidRPr="00AA2C40">
        <w:rPr>
          <w:rFonts w:cs="Arial"/>
          <w:szCs w:val="20"/>
        </w:rPr>
        <w:lastRenderedPageBreak/>
        <w:tab/>
        <w:t>EFLH</w:t>
      </w:r>
      <w:r w:rsidRPr="00AA2C40">
        <w:rPr>
          <w:rFonts w:cs="Arial"/>
          <w:szCs w:val="20"/>
          <w:vertAlign w:val="subscript"/>
        </w:rPr>
        <w:t>cool RAC</w:t>
      </w:r>
      <w:r w:rsidRPr="00AA2C40">
        <w:rPr>
          <w:rFonts w:cs="Arial"/>
          <w:szCs w:val="20"/>
        </w:rPr>
        <w:t xml:space="preserve"> </w:t>
      </w:r>
      <w:r w:rsidRPr="00AA2C40">
        <w:rPr>
          <w:rFonts w:cs="Arial"/>
          <w:szCs w:val="20"/>
        </w:rPr>
        <w:tab/>
        <w:t>= Equivalent Full Load Cooling hours for Room AC</w:t>
      </w:r>
    </w:p>
    <w:p w:rsidR="00751C57" w:rsidRPr="00AA2C40" w:rsidRDefault="00751C57" w:rsidP="00751C57">
      <w:pPr>
        <w:pStyle w:val="Equation"/>
        <w:rPr>
          <w:rFonts w:cs="Arial"/>
          <w:szCs w:val="20"/>
        </w:rPr>
      </w:pPr>
      <w:r w:rsidRPr="00AA2C40">
        <w:rPr>
          <w:rFonts w:cs="Arial"/>
          <w:szCs w:val="20"/>
        </w:rPr>
        <w:tab/>
        <w:t>F</w:t>
      </w:r>
      <w:r w:rsidRPr="00AA2C40">
        <w:rPr>
          <w:rFonts w:cs="Arial"/>
          <w:szCs w:val="20"/>
          <w:vertAlign w:val="subscript"/>
        </w:rPr>
        <w:t>Room AC</w:t>
      </w:r>
      <w:r w:rsidRPr="00AA2C40">
        <w:rPr>
          <w:rFonts w:cs="Arial"/>
          <w:szCs w:val="20"/>
        </w:rPr>
        <w:t xml:space="preserve"> </w:t>
      </w:r>
      <w:r w:rsidRPr="00AA2C40">
        <w:rPr>
          <w:rFonts w:cs="Arial"/>
          <w:szCs w:val="20"/>
        </w:rPr>
        <w:tab/>
        <w:t>= Adjustment factor to relate insulated area to area served by Room AC units</w:t>
      </w:r>
    </w:p>
    <w:p w:rsidR="00751C57" w:rsidRDefault="00751C57" w:rsidP="00C3606E">
      <w:pPr>
        <w:spacing w:before="240"/>
        <w:rPr>
          <w:rFonts w:ascii="Arial Narrow" w:hAnsi="Arial Narrow"/>
          <w:b/>
          <w:bCs/>
        </w:rPr>
      </w:pPr>
      <w:r>
        <w:t xml:space="preserve">The default values for each term are shown in </w:t>
      </w:r>
      <w:r w:rsidR="007A1FB6">
        <w:fldChar w:fldCharType="begin"/>
      </w:r>
      <w:r w:rsidR="00726DEA">
        <w:instrText xml:space="preserve"> REF _Ref275549490 \h </w:instrText>
      </w:r>
      <w:r w:rsidR="007A1FB6">
        <w:fldChar w:fldCharType="separate"/>
      </w:r>
      <w:r w:rsidR="00C0292F">
        <w:t xml:space="preserve">Table </w:t>
      </w:r>
      <w:r w:rsidR="00C0292F">
        <w:rPr>
          <w:noProof/>
        </w:rPr>
        <w:t>2</w:t>
      </w:r>
      <w:r w:rsidR="00C0292F">
        <w:noBreakHyphen/>
      </w:r>
      <w:r w:rsidR="00C0292F">
        <w:rPr>
          <w:noProof/>
        </w:rPr>
        <w:t>33</w:t>
      </w:r>
      <w:r w:rsidR="007A1FB6">
        <w:fldChar w:fldCharType="end"/>
      </w:r>
      <w:r>
        <w:t xml:space="preserve">.  The default values for heating and cooling days and hours are given in </w:t>
      </w:r>
      <w:r w:rsidR="007A1FB6">
        <w:fldChar w:fldCharType="begin"/>
      </w:r>
      <w:r w:rsidR="00726DEA">
        <w:instrText xml:space="preserve"> REF _Ref275549491 \h </w:instrText>
      </w:r>
      <w:r w:rsidR="007A1FB6">
        <w:fldChar w:fldCharType="separate"/>
      </w:r>
      <w:r w:rsidR="00C0292F">
        <w:t xml:space="preserve">Table </w:t>
      </w:r>
      <w:r w:rsidR="00C0292F">
        <w:rPr>
          <w:noProof/>
        </w:rPr>
        <w:t>2</w:t>
      </w:r>
      <w:r w:rsidR="00C0292F">
        <w:noBreakHyphen/>
      </w:r>
      <w:r w:rsidR="00C0292F">
        <w:rPr>
          <w:noProof/>
        </w:rPr>
        <w:t>34</w:t>
      </w:r>
      <w:r w:rsidR="007A1FB6">
        <w:fldChar w:fldCharType="end"/>
      </w:r>
      <w:r>
        <w:t>.</w:t>
      </w:r>
    </w:p>
    <w:p w:rsidR="00751C57" w:rsidRDefault="00751C57" w:rsidP="00100EDF">
      <w:pPr>
        <w:pStyle w:val="Caption"/>
      </w:pPr>
      <w:bookmarkStart w:id="376" w:name="_Ref275549490"/>
      <w:bookmarkStart w:id="377" w:name="_Toc310875519"/>
      <w:r>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33</w:t>
      </w:r>
      <w:r w:rsidR="00274AB1">
        <w:rPr>
          <w:noProof/>
        </w:rPr>
        <w:fldChar w:fldCharType="end"/>
      </w:r>
      <w:bookmarkEnd w:id="376"/>
      <w:r>
        <w:t xml:space="preserve">: </w:t>
      </w:r>
      <w:r w:rsidRPr="00C33AAB">
        <w:t>Default values for algorithm terms</w:t>
      </w:r>
      <w:r w:rsidR="001A5E45">
        <w:t>, Ceiling/Attic and Wall Insulation</w:t>
      </w:r>
      <w:bookmarkEnd w:id="3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194"/>
        <w:gridCol w:w="2427"/>
        <w:gridCol w:w="3920"/>
      </w:tblGrid>
      <w:tr w:rsidR="00751C57" w:rsidTr="00743796">
        <w:trPr>
          <w:tblHeader/>
        </w:trPr>
        <w:tc>
          <w:tcPr>
            <w:tcW w:w="742" w:type="pct"/>
            <w:tcBorders>
              <w:top w:val="single" w:sz="4" w:space="0" w:color="auto"/>
              <w:left w:val="single" w:sz="4" w:space="0" w:color="auto"/>
              <w:bottom w:val="single" w:sz="4" w:space="0" w:color="auto"/>
              <w:right w:val="single" w:sz="4" w:space="0" w:color="auto"/>
              <w:tl2br w:val="nil"/>
              <w:tr2bl w:val="nil"/>
            </w:tcBorders>
            <w:shd w:val="clear" w:color="auto" w:fill="BFBFBF"/>
          </w:tcPr>
          <w:p w:rsidR="00751C57" w:rsidRPr="001D6512" w:rsidRDefault="00751C57" w:rsidP="00C3606E">
            <w:pPr>
              <w:pStyle w:val="TableCell"/>
              <w:keepNext w:val="0"/>
              <w:spacing w:before="60" w:after="60"/>
              <w:rPr>
                <w:b/>
              </w:rPr>
            </w:pPr>
            <w:r w:rsidRPr="001D6512">
              <w:rPr>
                <w:b/>
              </w:rPr>
              <w:t>Term</w:t>
            </w:r>
          </w:p>
        </w:tc>
        <w:tc>
          <w:tcPr>
            <w:tcW w:w="674" w:type="pct"/>
            <w:tcBorders>
              <w:top w:val="single" w:sz="4" w:space="0" w:color="auto"/>
              <w:left w:val="single" w:sz="4" w:space="0" w:color="auto"/>
              <w:bottom w:val="single" w:sz="4" w:space="0" w:color="auto"/>
              <w:right w:val="single" w:sz="4" w:space="0" w:color="auto"/>
              <w:tl2br w:val="nil"/>
              <w:tr2bl w:val="nil"/>
            </w:tcBorders>
            <w:shd w:val="clear" w:color="auto" w:fill="BFBFBF"/>
          </w:tcPr>
          <w:p w:rsidR="00751C57" w:rsidRPr="001D6512" w:rsidRDefault="00751C57" w:rsidP="00C3606E">
            <w:pPr>
              <w:pStyle w:val="TableCell"/>
              <w:keepNext w:val="0"/>
              <w:spacing w:before="60" w:after="60"/>
              <w:rPr>
                <w:b/>
              </w:rPr>
            </w:pPr>
            <w:r w:rsidRPr="001D6512">
              <w:rPr>
                <w:b/>
              </w:rPr>
              <w:t>Type</w:t>
            </w:r>
          </w:p>
        </w:tc>
        <w:tc>
          <w:tcPr>
            <w:tcW w:w="1370" w:type="pct"/>
            <w:tcBorders>
              <w:top w:val="single" w:sz="4" w:space="0" w:color="auto"/>
              <w:left w:val="single" w:sz="4" w:space="0" w:color="auto"/>
              <w:bottom w:val="single" w:sz="4" w:space="0" w:color="auto"/>
              <w:right w:val="single" w:sz="4" w:space="0" w:color="auto"/>
              <w:tl2br w:val="nil"/>
              <w:tr2bl w:val="nil"/>
            </w:tcBorders>
            <w:shd w:val="clear" w:color="auto" w:fill="BFBFBF"/>
          </w:tcPr>
          <w:p w:rsidR="00751C57" w:rsidRPr="001D6512" w:rsidRDefault="00751C57" w:rsidP="00C3606E">
            <w:pPr>
              <w:pStyle w:val="TableCell"/>
              <w:keepNext w:val="0"/>
              <w:spacing w:before="60" w:after="60"/>
              <w:rPr>
                <w:b/>
              </w:rPr>
            </w:pPr>
            <w:r w:rsidRPr="001D6512">
              <w:rPr>
                <w:b/>
              </w:rPr>
              <w:t>Value</w:t>
            </w:r>
          </w:p>
        </w:tc>
        <w:tc>
          <w:tcPr>
            <w:tcW w:w="2213" w:type="pct"/>
            <w:tcBorders>
              <w:top w:val="single" w:sz="4" w:space="0" w:color="auto"/>
              <w:left w:val="single" w:sz="4" w:space="0" w:color="auto"/>
              <w:bottom w:val="single" w:sz="4" w:space="0" w:color="auto"/>
              <w:right w:val="single" w:sz="4" w:space="0" w:color="auto"/>
              <w:tl2br w:val="nil"/>
              <w:tr2bl w:val="nil"/>
            </w:tcBorders>
            <w:shd w:val="clear" w:color="auto" w:fill="BFBFBF"/>
          </w:tcPr>
          <w:p w:rsidR="00751C57" w:rsidRPr="001D6512" w:rsidRDefault="00751C57" w:rsidP="00C3606E">
            <w:pPr>
              <w:pStyle w:val="TableCell"/>
              <w:keepNext w:val="0"/>
              <w:spacing w:before="60" w:after="60"/>
              <w:rPr>
                <w:b/>
              </w:rPr>
            </w:pPr>
            <w:r w:rsidRPr="001D6512">
              <w:rPr>
                <w:b/>
              </w:rPr>
              <w:t>Source</w:t>
            </w:r>
          </w:p>
        </w:tc>
      </w:tr>
      <w:tr w:rsidR="00D43CE5" w:rsidTr="00743796">
        <w:tc>
          <w:tcPr>
            <w:tcW w:w="742" w:type="pct"/>
            <w:shd w:val="clear" w:color="auto" w:fill="auto"/>
          </w:tcPr>
          <w:p w:rsidR="00751C57" w:rsidRPr="001D6512" w:rsidRDefault="00751C57" w:rsidP="00C3606E">
            <w:pPr>
              <w:pStyle w:val="TableCell"/>
              <w:keepNext w:val="0"/>
              <w:spacing w:before="60" w:after="60"/>
              <w:rPr>
                <w:vertAlign w:val="subscript"/>
              </w:rPr>
            </w:pPr>
            <w:r w:rsidRPr="001D6512">
              <w:t>A</w:t>
            </w:r>
            <w:r w:rsidRPr="001D6512">
              <w:rPr>
                <w:vertAlign w:val="subscript"/>
              </w:rPr>
              <w:t>roof</w:t>
            </w:r>
          </w:p>
        </w:tc>
        <w:tc>
          <w:tcPr>
            <w:tcW w:w="674" w:type="pct"/>
            <w:shd w:val="clear" w:color="auto" w:fill="auto"/>
          </w:tcPr>
          <w:p w:rsidR="00751C57" w:rsidRPr="001D6512" w:rsidRDefault="00751C57" w:rsidP="00C3606E">
            <w:pPr>
              <w:pStyle w:val="TableCell"/>
              <w:keepNext w:val="0"/>
              <w:spacing w:before="60" w:after="60"/>
            </w:pPr>
            <w:r w:rsidRPr="001D6512">
              <w:t>Variable</w:t>
            </w:r>
          </w:p>
        </w:tc>
        <w:tc>
          <w:tcPr>
            <w:tcW w:w="1370" w:type="pct"/>
            <w:shd w:val="clear" w:color="auto" w:fill="auto"/>
          </w:tcPr>
          <w:p w:rsidR="00751C57" w:rsidRPr="001D6512" w:rsidRDefault="00751C57" w:rsidP="00C3606E">
            <w:pPr>
              <w:pStyle w:val="TableCell"/>
              <w:keepNext w:val="0"/>
              <w:spacing w:before="60" w:after="60"/>
            </w:pPr>
            <w:r w:rsidRPr="001D6512">
              <w:t>Varies</w:t>
            </w:r>
          </w:p>
        </w:tc>
        <w:tc>
          <w:tcPr>
            <w:tcW w:w="2213" w:type="pct"/>
            <w:shd w:val="clear" w:color="auto" w:fill="auto"/>
          </w:tcPr>
          <w:p w:rsidR="00751C57" w:rsidRPr="001D6512" w:rsidRDefault="00751C57" w:rsidP="00C3606E">
            <w:pPr>
              <w:pStyle w:val="TableCell"/>
              <w:keepNext w:val="0"/>
              <w:spacing w:before="60" w:after="60"/>
            </w:pPr>
            <w:r w:rsidRPr="001D6512">
              <w:t>EDC Data Gathering</w:t>
            </w:r>
          </w:p>
        </w:tc>
      </w:tr>
      <w:tr w:rsidR="00D43CE5" w:rsidTr="00743796">
        <w:tc>
          <w:tcPr>
            <w:tcW w:w="742" w:type="pct"/>
            <w:shd w:val="clear" w:color="auto" w:fill="auto"/>
          </w:tcPr>
          <w:p w:rsidR="00751C57" w:rsidRPr="001D6512" w:rsidRDefault="00751C57" w:rsidP="00C3606E">
            <w:pPr>
              <w:pStyle w:val="TableCell"/>
              <w:keepNext w:val="0"/>
              <w:spacing w:before="60" w:after="60"/>
              <w:rPr>
                <w:vertAlign w:val="subscript"/>
              </w:rPr>
            </w:pPr>
            <w:r w:rsidRPr="001D6512">
              <w:t>A</w:t>
            </w:r>
            <w:r w:rsidRPr="001D6512">
              <w:rPr>
                <w:vertAlign w:val="subscript"/>
              </w:rPr>
              <w:t>wall</w:t>
            </w:r>
          </w:p>
        </w:tc>
        <w:tc>
          <w:tcPr>
            <w:tcW w:w="674" w:type="pct"/>
            <w:shd w:val="clear" w:color="auto" w:fill="auto"/>
          </w:tcPr>
          <w:p w:rsidR="00751C57" w:rsidRPr="001D6512" w:rsidRDefault="00751C57" w:rsidP="00C3606E">
            <w:pPr>
              <w:pStyle w:val="TableCell"/>
              <w:keepNext w:val="0"/>
              <w:spacing w:before="60" w:after="60"/>
            </w:pPr>
            <w:r w:rsidRPr="001D6512">
              <w:t>Variable</w:t>
            </w:r>
          </w:p>
        </w:tc>
        <w:tc>
          <w:tcPr>
            <w:tcW w:w="1370" w:type="pct"/>
            <w:shd w:val="clear" w:color="auto" w:fill="auto"/>
          </w:tcPr>
          <w:p w:rsidR="00751C57" w:rsidRPr="001D6512" w:rsidRDefault="00751C57" w:rsidP="00C3606E">
            <w:pPr>
              <w:pStyle w:val="TableCell"/>
              <w:keepNext w:val="0"/>
              <w:spacing w:before="60" w:after="60"/>
            </w:pPr>
            <w:r w:rsidRPr="001D6512">
              <w:t>Varies</w:t>
            </w:r>
          </w:p>
        </w:tc>
        <w:tc>
          <w:tcPr>
            <w:tcW w:w="2213" w:type="pct"/>
            <w:shd w:val="clear" w:color="auto" w:fill="auto"/>
          </w:tcPr>
          <w:p w:rsidR="00751C57" w:rsidRPr="001D6512" w:rsidRDefault="00751C57" w:rsidP="00C3606E">
            <w:pPr>
              <w:pStyle w:val="TableCell"/>
              <w:keepNext w:val="0"/>
              <w:spacing w:before="60" w:after="60"/>
            </w:pPr>
            <w:r w:rsidRPr="001D6512">
              <w:t>EDC Data Gathering</w:t>
            </w:r>
          </w:p>
        </w:tc>
      </w:tr>
      <w:tr w:rsidR="00D43CE5" w:rsidTr="00743796">
        <w:tc>
          <w:tcPr>
            <w:tcW w:w="742" w:type="pct"/>
            <w:shd w:val="clear" w:color="auto" w:fill="auto"/>
          </w:tcPr>
          <w:p w:rsidR="00751C57" w:rsidRPr="001D6512" w:rsidRDefault="00751C57" w:rsidP="00C3606E">
            <w:pPr>
              <w:pStyle w:val="TableCell"/>
              <w:keepNext w:val="0"/>
              <w:spacing w:before="60" w:after="60"/>
            </w:pPr>
            <w:r w:rsidRPr="001D6512">
              <w:t>DUA</w:t>
            </w:r>
          </w:p>
        </w:tc>
        <w:tc>
          <w:tcPr>
            <w:tcW w:w="674" w:type="pct"/>
            <w:shd w:val="clear" w:color="auto" w:fill="auto"/>
          </w:tcPr>
          <w:p w:rsidR="00751C57" w:rsidRPr="001D6512" w:rsidRDefault="00751C57" w:rsidP="00C3606E">
            <w:pPr>
              <w:pStyle w:val="TableCell"/>
              <w:keepNext w:val="0"/>
              <w:spacing w:before="60" w:after="60"/>
            </w:pPr>
            <w:r w:rsidRPr="001D6512">
              <w:t>Fixed</w:t>
            </w:r>
          </w:p>
        </w:tc>
        <w:tc>
          <w:tcPr>
            <w:tcW w:w="1370" w:type="pct"/>
            <w:shd w:val="clear" w:color="auto" w:fill="auto"/>
          </w:tcPr>
          <w:p w:rsidR="00751C57" w:rsidRPr="001D6512" w:rsidRDefault="00751C57" w:rsidP="00C3606E">
            <w:pPr>
              <w:pStyle w:val="TableCell"/>
              <w:keepNext w:val="0"/>
              <w:spacing w:before="60" w:after="60"/>
            </w:pPr>
            <w:r w:rsidRPr="001D6512">
              <w:t>0.75</w:t>
            </w:r>
          </w:p>
        </w:tc>
        <w:tc>
          <w:tcPr>
            <w:tcW w:w="2213" w:type="pct"/>
            <w:shd w:val="clear" w:color="auto" w:fill="auto"/>
          </w:tcPr>
          <w:p w:rsidR="00751C57" w:rsidRPr="001D6512" w:rsidRDefault="00751C57" w:rsidP="00C3606E">
            <w:pPr>
              <w:pStyle w:val="TableCell"/>
              <w:keepNext w:val="0"/>
              <w:spacing w:before="60" w:after="60"/>
            </w:pPr>
            <w:r w:rsidRPr="001D6512">
              <w:t>OH TRM</w:t>
            </w:r>
            <w:r w:rsidRPr="001D6512">
              <w:rPr>
                <w:rStyle w:val="FootnoteReference"/>
              </w:rPr>
              <w:footnoteReference w:id="66"/>
            </w:r>
          </w:p>
        </w:tc>
      </w:tr>
      <w:tr w:rsidR="00D43CE5" w:rsidTr="00743796">
        <w:tc>
          <w:tcPr>
            <w:tcW w:w="742" w:type="pct"/>
            <w:vMerge w:val="restart"/>
            <w:shd w:val="clear" w:color="auto" w:fill="auto"/>
          </w:tcPr>
          <w:p w:rsidR="00751C57" w:rsidRPr="001D6512" w:rsidRDefault="00751C57" w:rsidP="00C3606E">
            <w:pPr>
              <w:pStyle w:val="TableCell"/>
              <w:keepNext w:val="0"/>
              <w:spacing w:before="60" w:after="60"/>
              <w:rPr>
                <w:vertAlign w:val="subscript"/>
              </w:rPr>
            </w:pPr>
            <w:r w:rsidRPr="001D6512">
              <w:t>R</w:t>
            </w:r>
            <w:r w:rsidRPr="001D6512">
              <w:rPr>
                <w:vertAlign w:val="subscript"/>
              </w:rPr>
              <w:t>roof,bl</w:t>
            </w:r>
            <w:r w:rsidRPr="001D6512">
              <w:rPr>
                <w:rStyle w:val="FootnoteReference"/>
              </w:rPr>
              <w:footnoteReference w:id="67"/>
            </w:r>
          </w:p>
        </w:tc>
        <w:tc>
          <w:tcPr>
            <w:tcW w:w="674" w:type="pct"/>
            <w:vMerge w:val="restart"/>
            <w:shd w:val="clear" w:color="auto" w:fill="auto"/>
          </w:tcPr>
          <w:p w:rsidR="00751C57" w:rsidRPr="001D6512" w:rsidRDefault="00751C57" w:rsidP="00C3606E">
            <w:pPr>
              <w:pStyle w:val="TableCell"/>
              <w:keepNext w:val="0"/>
              <w:spacing w:before="60" w:after="60"/>
            </w:pPr>
            <w:r w:rsidRPr="001D6512">
              <w:t>Variable</w:t>
            </w:r>
          </w:p>
        </w:tc>
        <w:tc>
          <w:tcPr>
            <w:tcW w:w="1370" w:type="pct"/>
            <w:shd w:val="clear" w:color="auto" w:fill="auto"/>
          </w:tcPr>
          <w:p w:rsidR="00751C57" w:rsidRPr="001D6512" w:rsidRDefault="00751C57" w:rsidP="00C3606E">
            <w:pPr>
              <w:pStyle w:val="TableCell"/>
              <w:keepNext w:val="0"/>
              <w:spacing w:before="60" w:after="60"/>
            </w:pPr>
            <w:r w:rsidRPr="001D6512">
              <w:t>5</w:t>
            </w:r>
          </w:p>
        </w:tc>
        <w:tc>
          <w:tcPr>
            <w:tcW w:w="2213" w:type="pct"/>
            <w:shd w:val="clear" w:color="auto" w:fill="auto"/>
          </w:tcPr>
          <w:p w:rsidR="00751C57" w:rsidRPr="001D6512" w:rsidRDefault="00751C57" w:rsidP="00C3606E">
            <w:pPr>
              <w:pStyle w:val="TableCell"/>
              <w:keepNext w:val="0"/>
              <w:spacing w:before="60" w:after="60"/>
            </w:pPr>
            <w:r w:rsidRPr="001D6512">
              <w:t>Un-insulated attic</w:t>
            </w:r>
          </w:p>
        </w:tc>
      </w:tr>
      <w:tr w:rsidR="00D43CE5" w:rsidTr="00743796">
        <w:tc>
          <w:tcPr>
            <w:tcW w:w="742" w:type="pct"/>
            <w:vMerge/>
            <w:shd w:val="clear" w:color="auto" w:fill="auto"/>
          </w:tcPr>
          <w:p w:rsidR="00751C57" w:rsidRPr="001D6512" w:rsidRDefault="00751C57" w:rsidP="00C3606E">
            <w:pPr>
              <w:pStyle w:val="TableCell"/>
              <w:keepNext w:val="0"/>
              <w:spacing w:before="60" w:after="60"/>
            </w:pPr>
          </w:p>
        </w:tc>
        <w:tc>
          <w:tcPr>
            <w:tcW w:w="674" w:type="pct"/>
            <w:vMerge/>
            <w:shd w:val="clear" w:color="auto" w:fill="auto"/>
          </w:tcPr>
          <w:p w:rsidR="00751C57" w:rsidRPr="001D6512" w:rsidRDefault="00751C57" w:rsidP="00C3606E">
            <w:pPr>
              <w:pStyle w:val="TableCell"/>
              <w:keepNext w:val="0"/>
              <w:spacing w:before="60" w:after="60"/>
            </w:pPr>
          </w:p>
        </w:tc>
        <w:tc>
          <w:tcPr>
            <w:tcW w:w="1370" w:type="pct"/>
            <w:shd w:val="clear" w:color="auto" w:fill="auto"/>
          </w:tcPr>
          <w:p w:rsidR="00751C57" w:rsidRPr="001D6512" w:rsidRDefault="00751C57" w:rsidP="00C3606E">
            <w:pPr>
              <w:pStyle w:val="TableCell"/>
              <w:keepNext w:val="0"/>
              <w:spacing w:before="60" w:after="60"/>
            </w:pPr>
            <w:r w:rsidRPr="001D6512">
              <w:t>16</w:t>
            </w:r>
          </w:p>
        </w:tc>
        <w:tc>
          <w:tcPr>
            <w:tcW w:w="2213" w:type="pct"/>
            <w:shd w:val="clear" w:color="auto" w:fill="auto"/>
          </w:tcPr>
          <w:p w:rsidR="00751C57" w:rsidRPr="001D6512" w:rsidRDefault="00751C57" w:rsidP="00C3606E">
            <w:pPr>
              <w:pStyle w:val="TableCell"/>
              <w:keepNext w:val="0"/>
              <w:spacing w:before="60" w:after="60"/>
            </w:pPr>
            <w:r w:rsidRPr="001D6512">
              <w:t>4.5” (R-13) of existing attic insulation</w:t>
            </w:r>
          </w:p>
        </w:tc>
      </w:tr>
      <w:tr w:rsidR="00D43CE5" w:rsidTr="00743796">
        <w:tc>
          <w:tcPr>
            <w:tcW w:w="742" w:type="pct"/>
            <w:vMerge/>
            <w:shd w:val="clear" w:color="auto" w:fill="auto"/>
          </w:tcPr>
          <w:p w:rsidR="00751C57" w:rsidRPr="001D6512" w:rsidRDefault="00751C57" w:rsidP="00C3606E">
            <w:pPr>
              <w:pStyle w:val="TableCell"/>
              <w:keepNext w:val="0"/>
              <w:spacing w:before="60" w:after="60"/>
            </w:pPr>
          </w:p>
        </w:tc>
        <w:tc>
          <w:tcPr>
            <w:tcW w:w="674" w:type="pct"/>
            <w:vMerge/>
            <w:shd w:val="clear" w:color="auto" w:fill="auto"/>
          </w:tcPr>
          <w:p w:rsidR="00751C57" w:rsidRPr="001D6512" w:rsidRDefault="00751C57" w:rsidP="00C3606E">
            <w:pPr>
              <w:pStyle w:val="TableCell"/>
              <w:keepNext w:val="0"/>
              <w:spacing w:before="60" w:after="60"/>
            </w:pPr>
          </w:p>
        </w:tc>
        <w:tc>
          <w:tcPr>
            <w:tcW w:w="1370" w:type="pct"/>
            <w:shd w:val="clear" w:color="auto" w:fill="auto"/>
          </w:tcPr>
          <w:p w:rsidR="00751C57" w:rsidRPr="001D6512" w:rsidRDefault="00751C57" w:rsidP="00C3606E">
            <w:pPr>
              <w:pStyle w:val="TableCell"/>
              <w:keepNext w:val="0"/>
              <w:spacing w:before="60" w:after="60"/>
            </w:pPr>
            <w:r w:rsidRPr="001D6512">
              <w:t>22</w:t>
            </w:r>
          </w:p>
        </w:tc>
        <w:tc>
          <w:tcPr>
            <w:tcW w:w="2213" w:type="pct"/>
            <w:shd w:val="clear" w:color="auto" w:fill="auto"/>
          </w:tcPr>
          <w:p w:rsidR="00751C57" w:rsidRPr="001D6512" w:rsidRDefault="00751C57" w:rsidP="00C3606E">
            <w:pPr>
              <w:pStyle w:val="TableCell"/>
              <w:keepNext w:val="0"/>
              <w:spacing w:before="60" w:after="60"/>
            </w:pPr>
            <w:r w:rsidRPr="001D6512">
              <w:t>6” (R-19) of existing attic insulation</w:t>
            </w:r>
          </w:p>
        </w:tc>
      </w:tr>
      <w:tr w:rsidR="00D43CE5" w:rsidTr="00743796">
        <w:tc>
          <w:tcPr>
            <w:tcW w:w="742" w:type="pct"/>
            <w:vMerge/>
            <w:shd w:val="clear" w:color="auto" w:fill="auto"/>
          </w:tcPr>
          <w:p w:rsidR="00751C57" w:rsidRPr="001D6512" w:rsidRDefault="00751C57" w:rsidP="00C3606E">
            <w:pPr>
              <w:pStyle w:val="TableCell"/>
              <w:keepNext w:val="0"/>
              <w:spacing w:before="60" w:after="60"/>
            </w:pPr>
          </w:p>
        </w:tc>
        <w:tc>
          <w:tcPr>
            <w:tcW w:w="674" w:type="pct"/>
            <w:vMerge/>
            <w:shd w:val="clear" w:color="auto" w:fill="auto"/>
          </w:tcPr>
          <w:p w:rsidR="00751C57" w:rsidRPr="001D6512" w:rsidRDefault="00751C57" w:rsidP="00C3606E">
            <w:pPr>
              <w:pStyle w:val="TableCell"/>
              <w:keepNext w:val="0"/>
              <w:spacing w:before="60" w:after="60"/>
            </w:pPr>
          </w:p>
        </w:tc>
        <w:tc>
          <w:tcPr>
            <w:tcW w:w="1370" w:type="pct"/>
            <w:shd w:val="clear" w:color="auto" w:fill="auto"/>
          </w:tcPr>
          <w:p w:rsidR="00751C57" w:rsidRPr="001D6512" w:rsidRDefault="00751C57" w:rsidP="00C3606E">
            <w:pPr>
              <w:pStyle w:val="TableCell"/>
              <w:keepNext w:val="0"/>
              <w:spacing w:before="60" w:after="60"/>
            </w:pPr>
            <w:r w:rsidRPr="001D6512">
              <w:t>30</w:t>
            </w:r>
          </w:p>
        </w:tc>
        <w:tc>
          <w:tcPr>
            <w:tcW w:w="2213" w:type="pct"/>
            <w:shd w:val="clear" w:color="auto" w:fill="auto"/>
          </w:tcPr>
          <w:p w:rsidR="00751C57" w:rsidRPr="001D6512" w:rsidRDefault="00751C57" w:rsidP="00C3606E">
            <w:pPr>
              <w:pStyle w:val="TableCell"/>
              <w:keepNext w:val="0"/>
              <w:spacing w:before="60" w:after="60"/>
            </w:pPr>
            <w:r w:rsidRPr="001D6512">
              <w:t>10” (R-30) of existing attic insulation</w:t>
            </w:r>
          </w:p>
        </w:tc>
      </w:tr>
      <w:tr w:rsidR="00D43CE5" w:rsidTr="00743796">
        <w:tc>
          <w:tcPr>
            <w:tcW w:w="742" w:type="pct"/>
            <w:vMerge w:val="restart"/>
            <w:shd w:val="clear" w:color="auto" w:fill="auto"/>
          </w:tcPr>
          <w:p w:rsidR="00751C57" w:rsidRPr="001D6512" w:rsidRDefault="00751C57" w:rsidP="00C3606E">
            <w:pPr>
              <w:pStyle w:val="TableCell"/>
              <w:keepNext w:val="0"/>
              <w:spacing w:before="60" w:after="60"/>
              <w:rPr>
                <w:vertAlign w:val="subscript"/>
              </w:rPr>
            </w:pPr>
            <w:r w:rsidRPr="001D6512">
              <w:t>R</w:t>
            </w:r>
            <w:r w:rsidRPr="001D6512">
              <w:rPr>
                <w:vertAlign w:val="subscript"/>
              </w:rPr>
              <w:t>roof,ee</w:t>
            </w:r>
            <w:r w:rsidRPr="001D6512">
              <w:rPr>
                <w:rStyle w:val="FootnoteReference"/>
              </w:rPr>
              <w:footnoteReference w:id="68"/>
            </w:r>
          </w:p>
        </w:tc>
        <w:tc>
          <w:tcPr>
            <w:tcW w:w="674" w:type="pct"/>
            <w:vMerge w:val="restart"/>
            <w:shd w:val="clear" w:color="auto" w:fill="auto"/>
          </w:tcPr>
          <w:p w:rsidR="00751C57" w:rsidRPr="001D6512" w:rsidRDefault="00751C57" w:rsidP="00C3606E">
            <w:pPr>
              <w:pStyle w:val="TableCell"/>
              <w:keepNext w:val="0"/>
              <w:spacing w:before="60" w:after="60"/>
            </w:pPr>
            <w:r w:rsidRPr="001D6512">
              <w:t>Variable</w:t>
            </w:r>
          </w:p>
        </w:tc>
        <w:tc>
          <w:tcPr>
            <w:tcW w:w="1370" w:type="pct"/>
            <w:shd w:val="clear" w:color="auto" w:fill="auto"/>
          </w:tcPr>
          <w:p w:rsidR="00751C57" w:rsidRPr="001D6512" w:rsidRDefault="00751C57" w:rsidP="00C3606E">
            <w:pPr>
              <w:pStyle w:val="TableCell"/>
              <w:keepNext w:val="0"/>
              <w:spacing w:before="60" w:after="60"/>
            </w:pPr>
            <w:r w:rsidRPr="001D6512">
              <w:t>38</w:t>
            </w:r>
          </w:p>
        </w:tc>
        <w:tc>
          <w:tcPr>
            <w:tcW w:w="2213" w:type="pct"/>
            <w:shd w:val="clear" w:color="auto" w:fill="auto"/>
          </w:tcPr>
          <w:p w:rsidR="00751C57" w:rsidRPr="001D6512" w:rsidRDefault="00751C57" w:rsidP="00C3606E">
            <w:pPr>
              <w:pStyle w:val="TableCell"/>
              <w:keepNext w:val="0"/>
              <w:spacing w:before="60" w:after="60"/>
            </w:pPr>
            <w:r w:rsidRPr="001D6512">
              <w:t>Retrofit to R-38 total attic insulation</w:t>
            </w:r>
          </w:p>
        </w:tc>
      </w:tr>
      <w:tr w:rsidR="00D43CE5" w:rsidTr="00743796">
        <w:tc>
          <w:tcPr>
            <w:tcW w:w="742" w:type="pct"/>
            <w:vMerge/>
            <w:shd w:val="clear" w:color="auto" w:fill="auto"/>
          </w:tcPr>
          <w:p w:rsidR="00751C57" w:rsidRPr="001D6512" w:rsidRDefault="00751C57" w:rsidP="00C3606E">
            <w:pPr>
              <w:pStyle w:val="TableCell"/>
              <w:keepNext w:val="0"/>
              <w:spacing w:before="60" w:after="60"/>
            </w:pPr>
          </w:p>
        </w:tc>
        <w:tc>
          <w:tcPr>
            <w:tcW w:w="674" w:type="pct"/>
            <w:vMerge/>
            <w:shd w:val="clear" w:color="auto" w:fill="auto"/>
          </w:tcPr>
          <w:p w:rsidR="00751C57" w:rsidRPr="001D6512" w:rsidRDefault="00751C57" w:rsidP="00C3606E">
            <w:pPr>
              <w:pStyle w:val="TableCell"/>
              <w:keepNext w:val="0"/>
              <w:spacing w:before="60" w:after="60"/>
            </w:pPr>
          </w:p>
        </w:tc>
        <w:tc>
          <w:tcPr>
            <w:tcW w:w="1370" w:type="pct"/>
            <w:shd w:val="clear" w:color="auto" w:fill="auto"/>
          </w:tcPr>
          <w:p w:rsidR="00751C57" w:rsidRPr="001D6512" w:rsidRDefault="00751C57" w:rsidP="00C3606E">
            <w:pPr>
              <w:pStyle w:val="TableCell"/>
              <w:keepNext w:val="0"/>
              <w:spacing w:before="60" w:after="60"/>
            </w:pPr>
            <w:r w:rsidRPr="001D6512">
              <w:t>49</w:t>
            </w:r>
          </w:p>
        </w:tc>
        <w:tc>
          <w:tcPr>
            <w:tcW w:w="2213" w:type="pct"/>
            <w:shd w:val="clear" w:color="auto" w:fill="auto"/>
          </w:tcPr>
          <w:p w:rsidR="00751C57" w:rsidRPr="001D6512" w:rsidRDefault="00751C57" w:rsidP="00C3606E">
            <w:pPr>
              <w:pStyle w:val="TableCell"/>
              <w:keepNext w:val="0"/>
              <w:spacing w:before="60" w:after="60"/>
            </w:pPr>
            <w:r w:rsidRPr="001D6512">
              <w:t>Retrofit to R-49 total attic insulation</w:t>
            </w:r>
          </w:p>
        </w:tc>
      </w:tr>
      <w:tr w:rsidR="00D43CE5" w:rsidTr="00743796">
        <w:tc>
          <w:tcPr>
            <w:tcW w:w="742" w:type="pct"/>
            <w:vMerge w:val="restart"/>
            <w:shd w:val="clear" w:color="auto" w:fill="auto"/>
          </w:tcPr>
          <w:p w:rsidR="00751C57" w:rsidRPr="001D6512" w:rsidRDefault="00751C57" w:rsidP="00C3606E">
            <w:pPr>
              <w:pStyle w:val="TableCell"/>
              <w:keepNext w:val="0"/>
              <w:spacing w:before="60" w:after="60"/>
            </w:pPr>
            <w:r w:rsidRPr="001D6512">
              <w:t>R</w:t>
            </w:r>
            <w:r w:rsidRPr="001D6512">
              <w:rPr>
                <w:vertAlign w:val="subscript"/>
              </w:rPr>
              <w:t>wall,bl</w:t>
            </w:r>
            <w:r w:rsidRPr="001D6512">
              <w:rPr>
                <w:rStyle w:val="FootnoteReference"/>
              </w:rPr>
              <w:footnoteReference w:id="69"/>
            </w:r>
          </w:p>
        </w:tc>
        <w:tc>
          <w:tcPr>
            <w:tcW w:w="674" w:type="pct"/>
            <w:vMerge w:val="restart"/>
            <w:shd w:val="clear" w:color="auto" w:fill="auto"/>
          </w:tcPr>
          <w:p w:rsidR="00751C57" w:rsidRPr="001D6512" w:rsidRDefault="00751C57" w:rsidP="00C3606E">
            <w:pPr>
              <w:pStyle w:val="TableCell"/>
              <w:keepNext w:val="0"/>
              <w:spacing w:before="60" w:after="60"/>
            </w:pPr>
            <w:r w:rsidRPr="001D6512">
              <w:t>Variable</w:t>
            </w:r>
          </w:p>
        </w:tc>
        <w:tc>
          <w:tcPr>
            <w:tcW w:w="1370" w:type="pct"/>
            <w:shd w:val="clear" w:color="auto" w:fill="auto"/>
          </w:tcPr>
          <w:p w:rsidR="00751C57" w:rsidRPr="001D6512" w:rsidRDefault="00751C57" w:rsidP="00C3606E">
            <w:pPr>
              <w:pStyle w:val="TableCell"/>
              <w:keepNext w:val="0"/>
              <w:spacing w:before="60" w:after="60"/>
            </w:pPr>
            <w:r w:rsidRPr="001D6512">
              <w:t>Default = 3.0</w:t>
            </w:r>
          </w:p>
        </w:tc>
        <w:tc>
          <w:tcPr>
            <w:tcW w:w="2213" w:type="pct"/>
            <w:shd w:val="clear" w:color="auto" w:fill="auto"/>
          </w:tcPr>
          <w:p w:rsidR="00751C57" w:rsidRPr="001D6512" w:rsidRDefault="00751C57" w:rsidP="00C3606E">
            <w:pPr>
              <w:pStyle w:val="TableCell"/>
              <w:keepNext w:val="0"/>
              <w:spacing w:before="60" w:after="60"/>
            </w:pPr>
            <w:r w:rsidRPr="001D6512">
              <w:t>Assumes existing, un-insulated wall with 2x4 studs @ 16” o.c., w/ wood/vinyl siding</w:t>
            </w:r>
          </w:p>
        </w:tc>
      </w:tr>
      <w:tr w:rsidR="00D43CE5" w:rsidTr="00743796">
        <w:tc>
          <w:tcPr>
            <w:tcW w:w="742" w:type="pct"/>
            <w:vMerge/>
            <w:shd w:val="clear" w:color="auto" w:fill="auto"/>
          </w:tcPr>
          <w:p w:rsidR="00751C57" w:rsidRPr="001D6512" w:rsidRDefault="00751C57" w:rsidP="00C3606E">
            <w:pPr>
              <w:pStyle w:val="TableCell"/>
              <w:keepNext w:val="0"/>
              <w:spacing w:before="60" w:after="60"/>
            </w:pPr>
          </w:p>
        </w:tc>
        <w:tc>
          <w:tcPr>
            <w:tcW w:w="674" w:type="pct"/>
            <w:vMerge/>
            <w:shd w:val="clear" w:color="auto" w:fill="auto"/>
          </w:tcPr>
          <w:p w:rsidR="00751C57" w:rsidRPr="001D6512" w:rsidRDefault="00751C57" w:rsidP="00C3606E">
            <w:pPr>
              <w:pStyle w:val="TableCell"/>
              <w:keepNext w:val="0"/>
              <w:spacing w:before="60" w:after="60"/>
            </w:pPr>
          </w:p>
        </w:tc>
        <w:tc>
          <w:tcPr>
            <w:tcW w:w="1370" w:type="pct"/>
            <w:shd w:val="clear" w:color="auto" w:fill="auto"/>
          </w:tcPr>
          <w:p w:rsidR="00751C57" w:rsidRPr="001D6512" w:rsidRDefault="00751C57" w:rsidP="00C3606E">
            <w:pPr>
              <w:pStyle w:val="TableCell"/>
              <w:keepNext w:val="0"/>
              <w:spacing w:before="60" w:after="60"/>
            </w:pPr>
            <w:r w:rsidRPr="001D6512">
              <w:t>Existing Assembly R-value</w:t>
            </w:r>
          </w:p>
        </w:tc>
        <w:tc>
          <w:tcPr>
            <w:tcW w:w="2213" w:type="pct"/>
            <w:shd w:val="clear" w:color="auto" w:fill="auto"/>
          </w:tcPr>
          <w:p w:rsidR="00751C57" w:rsidRPr="001D6512" w:rsidRDefault="00751C57" w:rsidP="00C3606E">
            <w:pPr>
              <w:pStyle w:val="TableCell"/>
              <w:keepNext w:val="0"/>
              <w:spacing w:before="60" w:after="60"/>
            </w:pPr>
            <w:r w:rsidRPr="001D6512">
              <w:t>EDC Data Gathering</w:t>
            </w:r>
          </w:p>
        </w:tc>
      </w:tr>
      <w:tr w:rsidR="00D43CE5" w:rsidTr="00743796">
        <w:tc>
          <w:tcPr>
            <w:tcW w:w="742" w:type="pct"/>
            <w:vMerge w:val="restart"/>
            <w:shd w:val="clear" w:color="auto" w:fill="auto"/>
          </w:tcPr>
          <w:p w:rsidR="00751C57" w:rsidRPr="001D6512" w:rsidRDefault="00751C57" w:rsidP="00C3606E">
            <w:pPr>
              <w:pStyle w:val="TableCell"/>
              <w:keepNext w:val="0"/>
              <w:spacing w:before="60" w:after="60"/>
              <w:rPr>
                <w:vertAlign w:val="subscript"/>
              </w:rPr>
            </w:pPr>
            <w:r w:rsidRPr="001D6512">
              <w:t>R</w:t>
            </w:r>
            <w:r w:rsidRPr="001D6512">
              <w:rPr>
                <w:vertAlign w:val="subscript"/>
              </w:rPr>
              <w:t>wall,ee</w:t>
            </w:r>
            <w:r w:rsidRPr="001D6512">
              <w:rPr>
                <w:rStyle w:val="FootnoteReference"/>
              </w:rPr>
              <w:footnoteReference w:id="70"/>
            </w:r>
          </w:p>
        </w:tc>
        <w:tc>
          <w:tcPr>
            <w:tcW w:w="674" w:type="pct"/>
            <w:vMerge w:val="restart"/>
            <w:shd w:val="clear" w:color="auto" w:fill="auto"/>
          </w:tcPr>
          <w:p w:rsidR="00751C57" w:rsidRPr="001D6512" w:rsidRDefault="00751C57" w:rsidP="00C3606E">
            <w:pPr>
              <w:pStyle w:val="TableCell"/>
              <w:keepNext w:val="0"/>
              <w:spacing w:before="60" w:after="60"/>
            </w:pPr>
            <w:r w:rsidRPr="001D6512">
              <w:t>Variable</w:t>
            </w:r>
          </w:p>
        </w:tc>
        <w:tc>
          <w:tcPr>
            <w:tcW w:w="1370" w:type="pct"/>
            <w:shd w:val="clear" w:color="auto" w:fill="auto"/>
          </w:tcPr>
          <w:p w:rsidR="00751C57" w:rsidRPr="001D6512" w:rsidRDefault="00751C57" w:rsidP="00C3606E">
            <w:pPr>
              <w:pStyle w:val="TableCell"/>
              <w:keepNext w:val="0"/>
              <w:spacing w:before="60" w:after="60"/>
            </w:pPr>
            <w:r w:rsidRPr="001D6512">
              <w:t>Default = 9.0</w:t>
            </w:r>
          </w:p>
        </w:tc>
        <w:tc>
          <w:tcPr>
            <w:tcW w:w="2213" w:type="pct"/>
            <w:shd w:val="clear" w:color="auto" w:fill="auto"/>
          </w:tcPr>
          <w:p w:rsidR="00751C57" w:rsidRPr="001D6512" w:rsidRDefault="00751C57" w:rsidP="00C3606E">
            <w:pPr>
              <w:pStyle w:val="TableCell"/>
              <w:keepNext w:val="0"/>
              <w:spacing w:before="60" w:after="60"/>
            </w:pPr>
            <w:r w:rsidRPr="001D6512">
              <w:t>Assumes adding R-6 per DOE recommendations</w:t>
            </w:r>
            <w:r w:rsidRPr="001D6512">
              <w:rPr>
                <w:rStyle w:val="FootnoteReference"/>
              </w:rPr>
              <w:footnoteReference w:id="71"/>
            </w:r>
            <w:r w:rsidRPr="001D6512">
              <w:t xml:space="preserve"> </w:t>
            </w:r>
          </w:p>
        </w:tc>
      </w:tr>
      <w:tr w:rsidR="00D43CE5" w:rsidTr="00743796">
        <w:tc>
          <w:tcPr>
            <w:tcW w:w="742" w:type="pct"/>
            <w:vMerge/>
            <w:shd w:val="clear" w:color="auto" w:fill="auto"/>
          </w:tcPr>
          <w:p w:rsidR="00751C57" w:rsidRPr="001D6512" w:rsidRDefault="00751C57" w:rsidP="00C3606E">
            <w:pPr>
              <w:pStyle w:val="TableCell"/>
              <w:keepNext w:val="0"/>
              <w:spacing w:before="60" w:after="60"/>
            </w:pPr>
          </w:p>
        </w:tc>
        <w:tc>
          <w:tcPr>
            <w:tcW w:w="674" w:type="pct"/>
            <w:vMerge/>
            <w:shd w:val="clear" w:color="auto" w:fill="auto"/>
          </w:tcPr>
          <w:p w:rsidR="00751C57" w:rsidRPr="001D6512" w:rsidRDefault="00751C57" w:rsidP="00C3606E">
            <w:pPr>
              <w:pStyle w:val="TableCell"/>
              <w:keepNext w:val="0"/>
              <w:spacing w:before="60" w:after="60"/>
            </w:pPr>
          </w:p>
        </w:tc>
        <w:tc>
          <w:tcPr>
            <w:tcW w:w="1370" w:type="pct"/>
            <w:shd w:val="clear" w:color="auto" w:fill="auto"/>
          </w:tcPr>
          <w:p w:rsidR="00751C57" w:rsidRPr="001D6512" w:rsidRDefault="00751C57" w:rsidP="00C3606E">
            <w:pPr>
              <w:pStyle w:val="TableCell"/>
              <w:keepNext w:val="0"/>
              <w:spacing w:before="60" w:after="60"/>
            </w:pPr>
            <w:r w:rsidRPr="001D6512">
              <w:t>Retrofit Assembly R-value</w:t>
            </w:r>
          </w:p>
        </w:tc>
        <w:tc>
          <w:tcPr>
            <w:tcW w:w="2213" w:type="pct"/>
            <w:shd w:val="clear" w:color="auto" w:fill="auto"/>
          </w:tcPr>
          <w:p w:rsidR="00751C57" w:rsidRPr="001D6512" w:rsidRDefault="00751C57" w:rsidP="00C3606E">
            <w:pPr>
              <w:pStyle w:val="TableCell"/>
              <w:keepNext w:val="0"/>
              <w:spacing w:before="60" w:after="60"/>
            </w:pPr>
            <w:r w:rsidRPr="001D6512">
              <w:t>EDC Data Gathering</w:t>
            </w:r>
          </w:p>
        </w:tc>
      </w:tr>
      <w:tr w:rsidR="00743796" w:rsidTr="00743796">
        <w:trPr>
          <w:cantSplit/>
        </w:trPr>
        <w:tc>
          <w:tcPr>
            <w:tcW w:w="742" w:type="pct"/>
            <w:vMerge w:val="restart"/>
            <w:shd w:val="clear" w:color="auto" w:fill="auto"/>
          </w:tcPr>
          <w:p w:rsidR="00743796" w:rsidRPr="001D6512" w:rsidRDefault="00743796" w:rsidP="00C3606E">
            <w:pPr>
              <w:pStyle w:val="TableCell"/>
              <w:keepNext w:val="0"/>
              <w:spacing w:before="60" w:after="60"/>
            </w:pPr>
            <w:r w:rsidRPr="001D6512">
              <w:lastRenderedPageBreak/>
              <w:t>SEER</w:t>
            </w:r>
            <w:r w:rsidRPr="001D6512">
              <w:rPr>
                <w:vertAlign w:val="subscript"/>
              </w:rPr>
              <w:t>CAC</w:t>
            </w:r>
          </w:p>
        </w:tc>
        <w:tc>
          <w:tcPr>
            <w:tcW w:w="674" w:type="pct"/>
            <w:vMerge w:val="restart"/>
            <w:shd w:val="clear" w:color="auto" w:fill="auto"/>
          </w:tcPr>
          <w:p w:rsidR="00743796" w:rsidRPr="001D6512" w:rsidRDefault="00743796" w:rsidP="00C3606E">
            <w:pPr>
              <w:pStyle w:val="TableCell"/>
              <w:keepNext w:val="0"/>
              <w:spacing w:before="60" w:after="60"/>
            </w:pPr>
            <w:r w:rsidRPr="001D6512">
              <w:t>Variable</w:t>
            </w:r>
          </w:p>
        </w:tc>
        <w:tc>
          <w:tcPr>
            <w:tcW w:w="1370" w:type="pct"/>
            <w:shd w:val="clear" w:color="auto" w:fill="auto"/>
          </w:tcPr>
          <w:p w:rsidR="00743796" w:rsidRPr="001D6512" w:rsidRDefault="00743796" w:rsidP="00C81DAB">
            <w:pPr>
              <w:pStyle w:val="TableCell"/>
              <w:spacing w:before="60" w:after="60"/>
            </w:pPr>
            <w:r w:rsidRPr="001D6512">
              <w:t>Default for equipment installed before 1/23/2006 = 10</w:t>
            </w:r>
          </w:p>
          <w:p w:rsidR="00743796" w:rsidRPr="001D6512" w:rsidRDefault="00743796" w:rsidP="00C3606E">
            <w:pPr>
              <w:pStyle w:val="TableCell"/>
              <w:keepNext w:val="0"/>
              <w:spacing w:before="60" w:after="60"/>
            </w:pPr>
            <w:r w:rsidRPr="001D6512">
              <w:t>Default for equipment installed after 1/23/2006 = 13</w:t>
            </w:r>
          </w:p>
        </w:tc>
        <w:tc>
          <w:tcPr>
            <w:tcW w:w="2213" w:type="pct"/>
            <w:shd w:val="clear" w:color="auto" w:fill="auto"/>
          </w:tcPr>
          <w:p w:rsidR="00743796" w:rsidRPr="001D6512" w:rsidRDefault="00743796" w:rsidP="00C81DAB">
            <w:pPr>
              <w:pStyle w:val="TableCell"/>
              <w:spacing w:before="60" w:after="60"/>
            </w:pPr>
            <w:r w:rsidRPr="001D6512">
              <w:t>Minimum Federal Standard for new Central Air Conditioners/Heat Pumps between 1990 and 2006</w:t>
            </w:r>
          </w:p>
          <w:p w:rsidR="00743796" w:rsidRPr="001D6512" w:rsidRDefault="00743796" w:rsidP="00C3606E">
            <w:pPr>
              <w:pStyle w:val="TableCell"/>
              <w:keepNext w:val="0"/>
              <w:spacing w:before="60" w:after="60"/>
            </w:pPr>
            <w:r w:rsidRPr="001D6512">
              <w:t>ASHRAE 90.1-2007</w:t>
            </w:r>
          </w:p>
        </w:tc>
      </w:tr>
      <w:tr w:rsidR="00743796" w:rsidTr="00743796">
        <w:tc>
          <w:tcPr>
            <w:tcW w:w="742" w:type="pct"/>
            <w:vMerge/>
            <w:shd w:val="clear" w:color="auto" w:fill="auto"/>
          </w:tcPr>
          <w:p w:rsidR="00743796" w:rsidRPr="001D6512" w:rsidRDefault="00743796" w:rsidP="00C3606E">
            <w:pPr>
              <w:pStyle w:val="TableCell"/>
              <w:keepNext w:val="0"/>
              <w:spacing w:before="60" w:after="60"/>
            </w:pPr>
          </w:p>
        </w:tc>
        <w:tc>
          <w:tcPr>
            <w:tcW w:w="674" w:type="pct"/>
            <w:vMerge/>
            <w:shd w:val="clear" w:color="auto" w:fill="auto"/>
          </w:tcPr>
          <w:p w:rsidR="00743796" w:rsidRPr="001D6512" w:rsidRDefault="00743796" w:rsidP="00C3606E">
            <w:pPr>
              <w:pStyle w:val="TableCell"/>
              <w:keepNext w:val="0"/>
              <w:spacing w:before="60" w:after="60"/>
            </w:pPr>
          </w:p>
        </w:tc>
        <w:tc>
          <w:tcPr>
            <w:tcW w:w="1370" w:type="pct"/>
            <w:shd w:val="clear" w:color="auto" w:fill="auto"/>
          </w:tcPr>
          <w:p w:rsidR="00743796" w:rsidRPr="001D6512" w:rsidDel="00A86958" w:rsidRDefault="00743796" w:rsidP="00C3606E">
            <w:pPr>
              <w:pStyle w:val="TableCell"/>
              <w:keepNext w:val="0"/>
              <w:spacing w:before="60" w:after="60"/>
            </w:pPr>
            <w:r w:rsidRPr="001D6512">
              <w:t>Nameplate</w:t>
            </w:r>
          </w:p>
        </w:tc>
        <w:tc>
          <w:tcPr>
            <w:tcW w:w="2213" w:type="pct"/>
            <w:shd w:val="clear" w:color="auto" w:fill="auto"/>
          </w:tcPr>
          <w:p w:rsidR="00743796" w:rsidRPr="001D6512" w:rsidRDefault="00743796" w:rsidP="00C3606E">
            <w:pPr>
              <w:pStyle w:val="TableCell"/>
              <w:keepNext w:val="0"/>
              <w:spacing w:before="60" w:after="60"/>
            </w:pPr>
            <w:r w:rsidRPr="001D6512">
              <w:t>EDC Data Gathering</w:t>
            </w:r>
          </w:p>
        </w:tc>
      </w:tr>
      <w:tr w:rsidR="00D43CE5" w:rsidTr="00743796">
        <w:tc>
          <w:tcPr>
            <w:tcW w:w="742" w:type="pct"/>
            <w:vMerge w:val="restart"/>
            <w:shd w:val="clear" w:color="auto" w:fill="auto"/>
          </w:tcPr>
          <w:p w:rsidR="00751C57" w:rsidRPr="003C7C58" w:rsidRDefault="00274AB1" w:rsidP="00C3606E">
            <w:pPr>
              <w:pStyle w:val="TableCell"/>
              <w:spacing w:before="60" w:after="60"/>
            </w:pPr>
            <m:oMathPara>
              <m:oMathParaPr>
                <m:jc m:val="left"/>
              </m:oMathParaP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EER</m:t>
                        </m:r>
                      </m:e>
                    </m:acc>
                  </m:e>
                  <m:sub>
                    <m:r>
                      <m:rPr>
                        <m:sty m:val="p"/>
                      </m:rPr>
                      <w:rPr>
                        <w:rFonts w:ascii="Cambria Math" w:hAnsi="Cambria Math"/>
                      </w:rPr>
                      <m:t>RAC</m:t>
                    </m:r>
                  </m:sub>
                </m:sSub>
              </m:oMath>
            </m:oMathPara>
          </w:p>
        </w:tc>
        <w:tc>
          <w:tcPr>
            <w:tcW w:w="674" w:type="pct"/>
            <w:vMerge w:val="restart"/>
            <w:shd w:val="clear" w:color="auto" w:fill="auto"/>
          </w:tcPr>
          <w:p w:rsidR="00751C57" w:rsidRPr="001D6512" w:rsidRDefault="00751C57" w:rsidP="00C3606E">
            <w:pPr>
              <w:pStyle w:val="TableCell"/>
              <w:spacing w:before="60" w:after="60"/>
            </w:pPr>
            <w:r w:rsidRPr="001D6512">
              <w:t>Variable</w:t>
            </w:r>
          </w:p>
        </w:tc>
        <w:tc>
          <w:tcPr>
            <w:tcW w:w="1370" w:type="pct"/>
            <w:shd w:val="clear" w:color="auto" w:fill="auto"/>
          </w:tcPr>
          <w:p w:rsidR="00751C57" w:rsidRPr="001D6512" w:rsidRDefault="00751C57" w:rsidP="00C3606E">
            <w:pPr>
              <w:pStyle w:val="TableCell"/>
              <w:spacing w:before="60" w:after="60"/>
            </w:pPr>
            <w:r w:rsidRPr="001D6512">
              <w:t>Default = 9.8</w:t>
            </w:r>
          </w:p>
        </w:tc>
        <w:tc>
          <w:tcPr>
            <w:tcW w:w="2213" w:type="pct"/>
            <w:shd w:val="clear" w:color="auto" w:fill="auto"/>
          </w:tcPr>
          <w:p w:rsidR="00751C57" w:rsidRPr="001D6512" w:rsidRDefault="00751C57" w:rsidP="00C3606E">
            <w:pPr>
              <w:pStyle w:val="TableCell"/>
              <w:spacing w:before="60" w:after="60"/>
            </w:pPr>
            <w:r w:rsidRPr="001D6512">
              <w:t>DOE Federal Test Procedure 10 CFR 430, Appendix F (Used in ES Calculator for baseline)</w:t>
            </w:r>
          </w:p>
        </w:tc>
      </w:tr>
      <w:tr w:rsidR="00D43CE5" w:rsidTr="00743796">
        <w:tc>
          <w:tcPr>
            <w:tcW w:w="742" w:type="pct"/>
            <w:vMerge/>
            <w:shd w:val="clear" w:color="auto" w:fill="auto"/>
          </w:tcPr>
          <w:p w:rsidR="00751C57" w:rsidRPr="001D6512" w:rsidRDefault="00751C57" w:rsidP="00C3606E">
            <w:pPr>
              <w:pStyle w:val="TableCell"/>
              <w:keepNext w:val="0"/>
              <w:spacing w:before="60" w:after="60"/>
            </w:pPr>
          </w:p>
        </w:tc>
        <w:tc>
          <w:tcPr>
            <w:tcW w:w="674" w:type="pct"/>
            <w:vMerge/>
            <w:shd w:val="clear" w:color="auto" w:fill="auto"/>
          </w:tcPr>
          <w:p w:rsidR="00751C57" w:rsidRPr="001D6512" w:rsidRDefault="00751C57" w:rsidP="00C3606E">
            <w:pPr>
              <w:pStyle w:val="TableCell"/>
              <w:keepNext w:val="0"/>
              <w:spacing w:before="60" w:after="60"/>
            </w:pPr>
          </w:p>
        </w:tc>
        <w:tc>
          <w:tcPr>
            <w:tcW w:w="1370" w:type="pct"/>
            <w:shd w:val="clear" w:color="auto" w:fill="auto"/>
          </w:tcPr>
          <w:p w:rsidR="00751C57" w:rsidRPr="001D6512" w:rsidRDefault="00751C57" w:rsidP="00C3606E">
            <w:pPr>
              <w:pStyle w:val="TableCell"/>
              <w:keepNext w:val="0"/>
              <w:spacing w:before="60" w:after="60"/>
            </w:pPr>
            <w:r w:rsidRPr="001D6512">
              <w:t>Nameplate</w:t>
            </w:r>
          </w:p>
        </w:tc>
        <w:tc>
          <w:tcPr>
            <w:tcW w:w="2213" w:type="pct"/>
            <w:shd w:val="clear" w:color="auto" w:fill="auto"/>
          </w:tcPr>
          <w:p w:rsidR="00751C57" w:rsidRPr="001D6512" w:rsidRDefault="00751C57" w:rsidP="00C3606E">
            <w:pPr>
              <w:pStyle w:val="TableCell"/>
              <w:keepNext w:val="0"/>
              <w:spacing w:before="60" w:after="60"/>
            </w:pPr>
            <w:r w:rsidRPr="001D6512">
              <w:t>EDC Data Gathering</w:t>
            </w:r>
          </w:p>
        </w:tc>
      </w:tr>
      <w:tr w:rsidR="00743796" w:rsidTr="00743796">
        <w:tc>
          <w:tcPr>
            <w:tcW w:w="742" w:type="pct"/>
            <w:vMerge w:val="restart"/>
            <w:shd w:val="clear" w:color="auto" w:fill="auto"/>
          </w:tcPr>
          <w:p w:rsidR="00743796" w:rsidRPr="001D6512" w:rsidRDefault="00743796" w:rsidP="00C3606E">
            <w:pPr>
              <w:pStyle w:val="TableCell"/>
              <w:keepNext w:val="0"/>
              <w:spacing w:before="60" w:after="60"/>
            </w:pPr>
            <w:r w:rsidRPr="001D6512">
              <w:t>SEER</w:t>
            </w:r>
            <w:r w:rsidRPr="001D6512">
              <w:rPr>
                <w:vertAlign w:val="subscript"/>
              </w:rPr>
              <w:t>ASHP</w:t>
            </w:r>
          </w:p>
        </w:tc>
        <w:tc>
          <w:tcPr>
            <w:tcW w:w="674" w:type="pct"/>
            <w:vMerge w:val="restart"/>
            <w:shd w:val="clear" w:color="auto" w:fill="auto"/>
          </w:tcPr>
          <w:p w:rsidR="00743796" w:rsidRPr="001D6512" w:rsidRDefault="00743796" w:rsidP="00C3606E">
            <w:pPr>
              <w:pStyle w:val="TableCell"/>
              <w:keepNext w:val="0"/>
              <w:spacing w:before="60" w:after="60"/>
            </w:pPr>
            <w:r w:rsidRPr="001D6512">
              <w:t>Variable</w:t>
            </w:r>
          </w:p>
        </w:tc>
        <w:tc>
          <w:tcPr>
            <w:tcW w:w="1370" w:type="pct"/>
            <w:shd w:val="clear" w:color="auto" w:fill="auto"/>
          </w:tcPr>
          <w:p w:rsidR="00743796" w:rsidRPr="001D6512" w:rsidRDefault="00743796" w:rsidP="00C81DAB">
            <w:pPr>
              <w:pStyle w:val="TableCell"/>
              <w:spacing w:before="60" w:after="60"/>
            </w:pPr>
            <w:r w:rsidRPr="001D6512">
              <w:t>Default for equipment installed before 1/23/2006 = 10</w:t>
            </w:r>
          </w:p>
          <w:p w:rsidR="00743796" w:rsidRPr="001D6512" w:rsidRDefault="00743796" w:rsidP="00C3606E">
            <w:pPr>
              <w:pStyle w:val="TableCell"/>
              <w:keepNext w:val="0"/>
              <w:spacing w:before="60" w:after="60"/>
            </w:pPr>
            <w:r w:rsidRPr="001D6512">
              <w:t>Default for equipment installed after 1/23/2006 = 13</w:t>
            </w:r>
          </w:p>
        </w:tc>
        <w:tc>
          <w:tcPr>
            <w:tcW w:w="2213" w:type="pct"/>
            <w:shd w:val="clear" w:color="auto" w:fill="auto"/>
          </w:tcPr>
          <w:p w:rsidR="00743796" w:rsidRPr="001D6512" w:rsidRDefault="00743796" w:rsidP="00C81DAB">
            <w:pPr>
              <w:pStyle w:val="TableCell"/>
              <w:spacing w:before="60" w:after="60"/>
            </w:pPr>
            <w:r w:rsidRPr="001D6512">
              <w:t>Minimum Federal Standard for new Central Air Conditioners/Heat Pumps between 1990 and 2006</w:t>
            </w:r>
          </w:p>
          <w:p w:rsidR="00743796" w:rsidRPr="001D6512" w:rsidRDefault="00743796" w:rsidP="00C3606E">
            <w:pPr>
              <w:pStyle w:val="TableCell"/>
              <w:keepNext w:val="0"/>
              <w:spacing w:before="60" w:after="60"/>
            </w:pPr>
            <w:r w:rsidRPr="001D6512">
              <w:t>ASHRAE 90.1-2007</w:t>
            </w:r>
          </w:p>
        </w:tc>
      </w:tr>
      <w:tr w:rsidR="00D43CE5" w:rsidTr="00743796">
        <w:tc>
          <w:tcPr>
            <w:tcW w:w="742" w:type="pct"/>
            <w:vMerge/>
            <w:shd w:val="clear" w:color="auto" w:fill="auto"/>
          </w:tcPr>
          <w:p w:rsidR="00751C57" w:rsidRPr="001D6512" w:rsidRDefault="00751C57" w:rsidP="00C3606E">
            <w:pPr>
              <w:pStyle w:val="TableCell"/>
              <w:keepNext w:val="0"/>
              <w:spacing w:before="60" w:after="60"/>
            </w:pPr>
          </w:p>
        </w:tc>
        <w:tc>
          <w:tcPr>
            <w:tcW w:w="674" w:type="pct"/>
            <w:vMerge/>
            <w:shd w:val="clear" w:color="auto" w:fill="auto"/>
          </w:tcPr>
          <w:p w:rsidR="00751C57" w:rsidRPr="001D6512" w:rsidRDefault="00751C57" w:rsidP="00C3606E">
            <w:pPr>
              <w:pStyle w:val="TableCell"/>
              <w:keepNext w:val="0"/>
              <w:spacing w:before="60" w:after="60"/>
            </w:pPr>
          </w:p>
        </w:tc>
        <w:tc>
          <w:tcPr>
            <w:tcW w:w="1370" w:type="pct"/>
            <w:shd w:val="clear" w:color="auto" w:fill="auto"/>
          </w:tcPr>
          <w:p w:rsidR="00751C57" w:rsidRPr="001D6512" w:rsidRDefault="00751C57" w:rsidP="00C3606E">
            <w:pPr>
              <w:pStyle w:val="TableCell"/>
              <w:keepNext w:val="0"/>
              <w:spacing w:before="60" w:after="60"/>
            </w:pPr>
            <w:r w:rsidRPr="001D6512">
              <w:t>Nameplate</w:t>
            </w:r>
          </w:p>
        </w:tc>
        <w:tc>
          <w:tcPr>
            <w:tcW w:w="2213" w:type="pct"/>
            <w:shd w:val="clear" w:color="auto" w:fill="auto"/>
          </w:tcPr>
          <w:p w:rsidR="00751C57" w:rsidRPr="001D6512" w:rsidRDefault="00751C57" w:rsidP="00C3606E">
            <w:pPr>
              <w:pStyle w:val="TableCell"/>
              <w:keepNext w:val="0"/>
              <w:spacing w:before="60" w:after="60"/>
            </w:pPr>
            <w:r w:rsidRPr="001D6512">
              <w:t>EDC Data Gathering</w:t>
            </w:r>
          </w:p>
        </w:tc>
      </w:tr>
      <w:tr w:rsidR="00743796" w:rsidTr="00743796">
        <w:tc>
          <w:tcPr>
            <w:tcW w:w="742" w:type="pct"/>
            <w:vMerge w:val="restart"/>
            <w:shd w:val="clear" w:color="auto" w:fill="auto"/>
          </w:tcPr>
          <w:p w:rsidR="00743796" w:rsidRPr="001D6512" w:rsidRDefault="00743796" w:rsidP="00C3606E">
            <w:pPr>
              <w:pStyle w:val="TableCell"/>
              <w:keepNext w:val="0"/>
              <w:spacing w:before="60" w:after="60"/>
            </w:pPr>
            <w:r w:rsidRPr="001D6512">
              <w:t>HSPF</w:t>
            </w:r>
            <w:r w:rsidRPr="001D6512">
              <w:rPr>
                <w:vertAlign w:val="subscript"/>
              </w:rPr>
              <w:t>ASHP</w:t>
            </w:r>
          </w:p>
        </w:tc>
        <w:tc>
          <w:tcPr>
            <w:tcW w:w="674" w:type="pct"/>
            <w:vMerge w:val="restart"/>
            <w:shd w:val="clear" w:color="auto" w:fill="auto"/>
          </w:tcPr>
          <w:p w:rsidR="00743796" w:rsidRPr="001D6512" w:rsidRDefault="00743796" w:rsidP="00C3606E">
            <w:pPr>
              <w:pStyle w:val="TableCell"/>
              <w:keepNext w:val="0"/>
              <w:spacing w:before="60" w:after="60"/>
            </w:pPr>
            <w:r w:rsidRPr="001D6512">
              <w:t>Variable</w:t>
            </w:r>
          </w:p>
        </w:tc>
        <w:tc>
          <w:tcPr>
            <w:tcW w:w="1370" w:type="pct"/>
            <w:shd w:val="clear" w:color="auto" w:fill="auto"/>
          </w:tcPr>
          <w:p w:rsidR="00743796" w:rsidRPr="001D6512" w:rsidRDefault="00743796" w:rsidP="00C81DAB">
            <w:pPr>
              <w:pStyle w:val="TableCell"/>
              <w:keepNext w:val="0"/>
              <w:spacing w:before="60" w:after="60"/>
            </w:pPr>
            <w:r w:rsidRPr="001D6512">
              <w:t>Default for equipment installed before 1/23/2006 = 6.8</w:t>
            </w:r>
          </w:p>
          <w:p w:rsidR="00743796" w:rsidRPr="001D6512" w:rsidRDefault="00743796" w:rsidP="00C3606E">
            <w:pPr>
              <w:pStyle w:val="TableCell"/>
              <w:keepNext w:val="0"/>
              <w:spacing w:before="60" w:after="60"/>
            </w:pPr>
            <w:r w:rsidRPr="001D6512">
              <w:t>Default for equipment installed after 1/23/2006 = 7.7</w:t>
            </w:r>
          </w:p>
        </w:tc>
        <w:tc>
          <w:tcPr>
            <w:tcW w:w="2213" w:type="pct"/>
            <w:shd w:val="clear" w:color="auto" w:fill="auto"/>
          </w:tcPr>
          <w:p w:rsidR="00743796" w:rsidRPr="001D6512" w:rsidRDefault="00743796" w:rsidP="00C81DAB">
            <w:pPr>
              <w:pStyle w:val="TableCell"/>
              <w:keepNext w:val="0"/>
              <w:spacing w:before="60" w:after="60"/>
            </w:pPr>
            <w:r w:rsidRPr="001D6512">
              <w:t>Minimum Federal Standard for new Central Air Conditioners/Heat Pumps between 1990 and 2006</w:t>
            </w:r>
          </w:p>
          <w:p w:rsidR="00743796" w:rsidRPr="001D6512" w:rsidRDefault="00743796" w:rsidP="00C3606E">
            <w:pPr>
              <w:pStyle w:val="TableCell"/>
              <w:keepNext w:val="0"/>
              <w:spacing w:before="60" w:after="60"/>
            </w:pPr>
            <w:r w:rsidRPr="001D6512">
              <w:t>ASHRAE 90.1-2007</w:t>
            </w:r>
          </w:p>
        </w:tc>
      </w:tr>
      <w:tr w:rsidR="00D43CE5" w:rsidTr="00743796">
        <w:tc>
          <w:tcPr>
            <w:tcW w:w="742" w:type="pct"/>
            <w:vMerge/>
            <w:shd w:val="clear" w:color="auto" w:fill="auto"/>
          </w:tcPr>
          <w:p w:rsidR="00751C57" w:rsidRPr="001D6512" w:rsidRDefault="00751C57" w:rsidP="00C3606E">
            <w:pPr>
              <w:pStyle w:val="TableCell"/>
              <w:keepNext w:val="0"/>
              <w:spacing w:before="60" w:after="60"/>
            </w:pPr>
          </w:p>
        </w:tc>
        <w:tc>
          <w:tcPr>
            <w:tcW w:w="674" w:type="pct"/>
            <w:vMerge/>
            <w:shd w:val="clear" w:color="auto" w:fill="auto"/>
          </w:tcPr>
          <w:p w:rsidR="00751C57" w:rsidRPr="001D6512" w:rsidRDefault="00751C57" w:rsidP="00C3606E">
            <w:pPr>
              <w:pStyle w:val="TableCell"/>
              <w:keepNext w:val="0"/>
              <w:spacing w:before="60" w:after="60"/>
            </w:pPr>
          </w:p>
        </w:tc>
        <w:tc>
          <w:tcPr>
            <w:tcW w:w="1370" w:type="pct"/>
            <w:shd w:val="clear" w:color="auto" w:fill="auto"/>
          </w:tcPr>
          <w:p w:rsidR="00751C57" w:rsidRPr="001D6512" w:rsidRDefault="00751C57" w:rsidP="00C3606E">
            <w:pPr>
              <w:pStyle w:val="TableCell"/>
              <w:keepNext w:val="0"/>
              <w:spacing w:before="60" w:after="60"/>
            </w:pPr>
            <w:r w:rsidRPr="001D6512">
              <w:t>Nameplate</w:t>
            </w:r>
          </w:p>
        </w:tc>
        <w:tc>
          <w:tcPr>
            <w:tcW w:w="2213" w:type="pct"/>
            <w:shd w:val="clear" w:color="auto" w:fill="auto"/>
          </w:tcPr>
          <w:p w:rsidR="00751C57" w:rsidRPr="001D6512" w:rsidRDefault="00751C57" w:rsidP="00C3606E">
            <w:pPr>
              <w:pStyle w:val="TableCell"/>
              <w:keepNext w:val="0"/>
              <w:spacing w:before="60" w:after="60"/>
            </w:pPr>
            <w:r w:rsidRPr="001D6512">
              <w:t>EDC Data Gathering</w:t>
            </w:r>
          </w:p>
        </w:tc>
      </w:tr>
      <w:tr w:rsidR="00D43CE5" w:rsidTr="00743796">
        <w:tc>
          <w:tcPr>
            <w:tcW w:w="742" w:type="pct"/>
            <w:shd w:val="clear" w:color="auto" w:fill="auto"/>
          </w:tcPr>
          <w:p w:rsidR="00751C57" w:rsidRPr="001D6512" w:rsidRDefault="00751C57" w:rsidP="00C3606E">
            <w:pPr>
              <w:pStyle w:val="TableCell"/>
              <w:keepNext w:val="0"/>
              <w:spacing w:before="60" w:after="60"/>
              <w:rPr>
                <w:vertAlign w:val="subscript"/>
              </w:rPr>
            </w:pPr>
            <w:r w:rsidRPr="001D6512">
              <w:t>CF</w:t>
            </w:r>
            <w:r w:rsidRPr="001D6512">
              <w:rPr>
                <w:vertAlign w:val="subscript"/>
              </w:rPr>
              <w:t>CAC</w:t>
            </w:r>
          </w:p>
        </w:tc>
        <w:tc>
          <w:tcPr>
            <w:tcW w:w="674" w:type="pct"/>
            <w:shd w:val="clear" w:color="auto" w:fill="auto"/>
          </w:tcPr>
          <w:p w:rsidR="00751C57" w:rsidRPr="001D6512" w:rsidRDefault="00751C57" w:rsidP="00C3606E">
            <w:pPr>
              <w:pStyle w:val="TableCell"/>
              <w:keepNext w:val="0"/>
              <w:spacing w:before="60" w:after="60"/>
            </w:pPr>
            <w:r w:rsidRPr="001D6512">
              <w:t>Fixed</w:t>
            </w:r>
          </w:p>
        </w:tc>
        <w:tc>
          <w:tcPr>
            <w:tcW w:w="1370" w:type="pct"/>
            <w:shd w:val="clear" w:color="auto" w:fill="auto"/>
          </w:tcPr>
          <w:p w:rsidR="00751C57" w:rsidRPr="001D6512" w:rsidRDefault="00751C57" w:rsidP="00C3606E">
            <w:pPr>
              <w:pStyle w:val="TableCell"/>
              <w:keepNext w:val="0"/>
              <w:spacing w:before="60" w:after="60"/>
            </w:pPr>
            <w:r w:rsidRPr="001D6512">
              <w:t>0.70</w:t>
            </w:r>
          </w:p>
        </w:tc>
        <w:tc>
          <w:tcPr>
            <w:tcW w:w="2213" w:type="pct"/>
            <w:shd w:val="clear" w:color="auto" w:fill="auto"/>
          </w:tcPr>
          <w:p w:rsidR="00751C57" w:rsidRPr="001D6512" w:rsidRDefault="00751C57" w:rsidP="00C3606E">
            <w:pPr>
              <w:pStyle w:val="TableCell"/>
              <w:keepNext w:val="0"/>
              <w:spacing w:before="60" w:after="60"/>
            </w:pPr>
            <w:r w:rsidRPr="001D6512">
              <w:t>Table 2-1</w:t>
            </w:r>
          </w:p>
        </w:tc>
      </w:tr>
      <w:tr w:rsidR="00D43CE5" w:rsidTr="00743796">
        <w:tc>
          <w:tcPr>
            <w:tcW w:w="742" w:type="pct"/>
            <w:shd w:val="clear" w:color="auto" w:fill="auto"/>
          </w:tcPr>
          <w:p w:rsidR="00751C57" w:rsidRPr="001D6512" w:rsidRDefault="00751C57" w:rsidP="00C3606E">
            <w:pPr>
              <w:pStyle w:val="TableCell"/>
              <w:keepNext w:val="0"/>
              <w:spacing w:before="60" w:after="60"/>
            </w:pPr>
            <w:r w:rsidRPr="001D6512">
              <w:t>CF</w:t>
            </w:r>
            <w:r w:rsidRPr="001D6512">
              <w:rPr>
                <w:vertAlign w:val="subscript"/>
              </w:rPr>
              <w:t>RAC</w:t>
            </w:r>
          </w:p>
        </w:tc>
        <w:tc>
          <w:tcPr>
            <w:tcW w:w="674" w:type="pct"/>
            <w:shd w:val="clear" w:color="auto" w:fill="auto"/>
          </w:tcPr>
          <w:p w:rsidR="00751C57" w:rsidRPr="001D6512" w:rsidRDefault="00751C57" w:rsidP="00C3606E">
            <w:pPr>
              <w:pStyle w:val="TableCell"/>
              <w:keepNext w:val="0"/>
              <w:spacing w:before="60" w:after="60"/>
            </w:pPr>
            <w:r w:rsidRPr="001D6512">
              <w:t>Fixed</w:t>
            </w:r>
          </w:p>
        </w:tc>
        <w:tc>
          <w:tcPr>
            <w:tcW w:w="1370" w:type="pct"/>
            <w:shd w:val="clear" w:color="auto" w:fill="auto"/>
          </w:tcPr>
          <w:p w:rsidR="00751C57" w:rsidRPr="001D6512" w:rsidRDefault="00751C57" w:rsidP="00C3606E">
            <w:pPr>
              <w:pStyle w:val="TableCell"/>
              <w:keepNext w:val="0"/>
              <w:spacing w:before="60" w:after="60"/>
            </w:pPr>
            <w:r w:rsidRPr="001D6512">
              <w:t>0.58</w:t>
            </w:r>
          </w:p>
        </w:tc>
        <w:tc>
          <w:tcPr>
            <w:tcW w:w="2213" w:type="pct"/>
            <w:shd w:val="clear" w:color="auto" w:fill="auto"/>
          </w:tcPr>
          <w:p w:rsidR="00751C57" w:rsidRPr="001D6512" w:rsidRDefault="00751C57" w:rsidP="00C3606E">
            <w:pPr>
              <w:pStyle w:val="TableCell"/>
              <w:keepNext w:val="0"/>
              <w:spacing w:before="60" w:after="60"/>
            </w:pPr>
            <w:r w:rsidRPr="001D6512">
              <w:t xml:space="preserve">Table </w:t>
            </w:r>
            <w:r w:rsidR="00506004" w:rsidRPr="001D6512">
              <w:t>2-41</w:t>
            </w:r>
          </w:p>
        </w:tc>
      </w:tr>
      <w:tr w:rsidR="00D43CE5" w:rsidTr="00743796">
        <w:tc>
          <w:tcPr>
            <w:tcW w:w="742" w:type="pct"/>
            <w:shd w:val="clear" w:color="auto" w:fill="auto"/>
          </w:tcPr>
          <w:p w:rsidR="00751C57" w:rsidRPr="001D6512" w:rsidRDefault="00751C57" w:rsidP="00C3606E">
            <w:pPr>
              <w:pStyle w:val="TableCell"/>
              <w:keepNext w:val="0"/>
              <w:spacing w:before="60" w:after="60"/>
              <w:rPr>
                <w:vertAlign w:val="subscript"/>
              </w:rPr>
            </w:pPr>
            <w:r w:rsidRPr="001D6512">
              <w:t>CF</w:t>
            </w:r>
            <w:r w:rsidRPr="001D6512">
              <w:rPr>
                <w:vertAlign w:val="subscript"/>
              </w:rPr>
              <w:t>ASHP</w:t>
            </w:r>
          </w:p>
        </w:tc>
        <w:tc>
          <w:tcPr>
            <w:tcW w:w="674" w:type="pct"/>
            <w:shd w:val="clear" w:color="auto" w:fill="auto"/>
          </w:tcPr>
          <w:p w:rsidR="00751C57" w:rsidRPr="001D6512" w:rsidRDefault="00751C57" w:rsidP="00C3606E">
            <w:pPr>
              <w:pStyle w:val="TableCell"/>
              <w:keepNext w:val="0"/>
              <w:spacing w:before="60" w:after="60"/>
            </w:pPr>
            <w:r w:rsidRPr="001D6512">
              <w:t>Fixed</w:t>
            </w:r>
          </w:p>
        </w:tc>
        <w:tc>
          <w:tcPr>
            <w:tcW w:w="1370" w:type="pct"/>
            <w:shd w:val="clear" w:color="auto" w:fill="auto"/>
          </w:tcPr>
          <w:p w:rsidR="00751C57" w:rsidRPr="001D6512" w:rsidRDefault="00751C57" w:rsidP="00C3606E">
            <w:pPr>
              <w:pStyle w:val="TableCell"/>
              <w:keepNext w:val="0"/>
              <w:spacing w:before="60" w:after="60"/>
            </w:pPr>
            <w:r w:rsidRPr="001D6512">
              <w:t>0.70</w:t>
            </w:r>
          </w:p>
        </w:tc>
        <w:tc>
          <w:tcPr>
            <w:tcW w:w="2213" w:type="pct"/>
            <w:shd w:val="clear" w:color="auto" w:fill="auto"/>
          </w:tcPr>
          <w:p w:rsidR="00751C57" w:rsidRPr="001D6512" w:rsidRDefault="00751C57" w:rsidP="00C3606E">
            <w:pPr>
              <w:pStyle w:val="TableCell"/>
              <w:keepNext w:val="0"/>
              <w:spacing w:before="60" w:after="60"/>
            </w:pPr>
            <w:r w:rsidRPr="001D6512">
              <w:t>Table 2-1</w:t>
            </w:r>
          </w:p>
        </w:tc>
      </w:tr>
      <w:tr w:rsidR="00D43CE5" w:rsidTr="00743796">
        <w:tc>
          <w:tcPr>
            <w:tcW w:w="742" w:type="pct"/>
            <w:shd w:val="clear" w:color="auto" w:fill="auto"/>
          </w:tcPr>
          <w:p w:rsidR="00751C57" w:rsidRPr="001D6512" w:rsidRDefault="00751C57" w:rsidP="00C3606E">
            <w:pPr>
              <w:pStyle w:val="TableCell"/>
              <w:keepNext w:val="0"/>
              <w:spacing w:before="60" w:after="60"/>
              <w:rPr>
                <w:vertAlign w:val="subscript"/>
              </w:rPr>
            </w:pPr>
            <w:r w:rsidRPr="001D6512">
              <w:t>F</w:t>
            </w:r>
            <w:r w:rsidRPr="001D6512">
              <w:rPr>
                <w:vertAlign w:val="subscript"/>
              </w:rPr>
              <w:t>Room,AC</w:t>
            </w:r>
          </w:p>
        </w:tc>
        <w:tc>
          <w:tcPr>
            <w:tcW w:w="674" w:type="pct"/>
            <w:shd w:val="clear" w:color="auto" w:fill="auto"/>
          </w:tcPr>
          <w:p w:rsidR="00751C57" w:rsidRPr="001D6512" w:rsidRDefault="00751C57" w:rsidP="00C3606E">
            <w:pPr>
              <w:pStyle w:val="TableCell"/>
              <w:keepNext w:val="0"/>
              <w:spacing w:before="60" w:after="60"/>
            </w:pPr>
            <w:r w:rsidRPr="001D6512">
              <w:t>Fixed</w:t>
            </w:r>
          </w:p>
        </w:tc>
        <w:tc>
          <w:tcPr>
            <w:tcW w:w="1370" w:type="pct"/>
            <w:shd w:val="clear" w:color="auto" w:fill="auto"/>
          </w:tcPr>
          <w:p w:rsidR="00751C57" w:rsidRPr="001D6512" w:rsidRDefault="00751C57" w:rsidP="00C3606E">
            <w:pPr>
              <w:pStyle w:val="TableCell"/>
              <w:keepNext w:val="0"/>
              <w:spacing w:before="60" w:after="60"/>
            </w:pPr>
            <w:r w:rsidRPr="001D6512">
              <w:t>0.38</w:t>
            </w:r>
          </w:p>
        </w:tc>
        <w:tc>
          <w:tcPr>
            <w:tcW w:w="2213" w:type="pct"/>
            <w:shd w:val="clear" w:color="auto" w:fill="auto"/>
          </w:tcPr>
          <w:p w:rsidR="00751C57" w:rsidRPr="001D6512" w:rsidRDefault="00751C57" w:rsidP="00C3606E">
            <w:pPr>
              <w:pStyle w:val="TableCell"/>
              <w:keepNext w:val="0"/>
              <w:spacing w:before="60" w:after="60"/>
            </w:pPr>
            <w:r w:rsidRPr="001D6512">
              <w:t>Calculated</w:t>
            </w:r>
            <w:r w:rsidRPr="001D6512">
              <w:rPr>
                <w:rStyle w:val="FootnoteReference"/>
              </w:rPr>
              <w:footnoteReference w:id="72"/>
            </w:r>
          </w:p>
        </w:tc>
      </w:tr>
    </w:tbl>
    <w:p w:rsidR="00751C57" w:rsidRDefault="00751C57" w:rsidP="00C3606E">
      <w:pPr>
        <w:pStyle w:val="Caption"/>
      </w:pPr>
      <w:bookmarkStart w:id="378" w:name="_Ref275549491"/>
      <w:bookmarkStart w:id="379" w:name="_Toc310875520"/>
      <w:r>
        <w:lastRenderedPageBreak/>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34</w:t>
      </w:r>
      <w:r w:rsidR="00274AB1">
        <w:rPr>
          <w:noProof/>
        </w:rPr>
        <w:fldChar w:fldCharType="end"/>
      </w:r>
      <w:bookmarkEnd w:id="378"/>
      <w:r>
        <w:t>: EFLH, CDD and HDD by City</w:t>
      </w:r>
      <w:bookmarkEnd w:id="37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9"/>
        <w:gridCol w:w="1261"/>
        <w:gridCol w:w="1536"/>
        <w:gridCol w:w="1536"/>
        <w:gridCol w:w="1534"/>
      </w:tblGrid>
      <w:tr w:rsidR="00751C57" w:rsidTr="00716DAB">
        <w:trPr>
          <w:trHeight w:val="317"/>
          <w:jc w:val="center"/>
        </w:trPr>
        <w:tc>
          <w:tcPr>
            <w:tcW w:w="1688" w:type="pct"/>
            <w:shd w:val="clear" w:color="auto" w:fill="BFBFBF"/>
            <w:vAlign w:val="bottom"/>
          </w:tcPr>
          <w:p w:rsidR="00751C57" w:rsidRPr="001D6512" w:rsidRDefault="00751C57" w:rsidP="00C3606E">
            <w:pPr>
              <w:pStyle w:val="TableCell"/>
              <w:spacing w:before="60" w:after="60"/>
              <w:rPr>
                <w:b/>
              </w:rPr>
            </w:pPr>
            <w:r w:rsidRPr="001D6512">
              <w:rPr>
                <w:b/>
              </w:rPr>
              <w:t>City</w:t>
            </w:r>
          </w:p>
        </w:tc>
        <w:tc>
          <w:tcPr>
            <w:tcW w:w="712" w:type="pct"/>
            <w:shd w:val="clear" w:color="auto" w:fill="BFBFBF"/>
            <w:vAlign w:val="bottom"/>
          </w:tcPr>
          <w:p w:rsidR="00751C57" w:rsidRPr="001D6512" w:rsidRDefault="00751C57" w:rsidP="00C3606E">
            <w:pPr>
              <w:pStyle w:val="TableCell"/>
              <w:spacing w:before="60" w:after="60"/>
              <w:rPr>
                <w:b/>
              </w:rPr>
            </w:pPr>
            <w:r w:rsidRPr="001D6512">
              <w:rPr>
                <w:b/>
              </w:rPr>
              <w:t>EFLH</w:t>
            </w:r>
            <w:r w:rsidRPr="001D6512">
              <w:rPr>
                <w:b/>
                <w:vertAlign w:val="subscript"/>
              </w:rPr>
              <w:t>cool</w:t>
            </w:r>
          </w:p>
          <w:p w:rsidR="00751C57" w:rsidRPr="001D6512" w:rsidRDefault="00751C57" w:rsidP="00C3606E">
            <w:pPr>
              <w:pStyle w:val="TableCell"/>
              <w:spacing w:before="60" w:after="60"/>
              <w:rPr>
                <w:b/>
              </w:rPr>
            </w:pPr>
            <w:r w:rsidRPr="001D6512">
              <w:rPr>
                <w:b/>
              </w:rPr>
              <w:t>(Hours)</w:t>
            </w:r>
            <w:r w:rsidRPr="001D6512">
              <w:rPr>
                <w:rStyle w:val="FootnoteReference"/>
                <w:b/>
              </w:rPr>
              <w:footnoteReference w:id="73"/>
            </w:r>
          </w:p>
        </w:tc>
        <w:tc>
          <w:tcPr>
            <w:tcW w:w="867" w:type="pct"/>
            <w:shd w:val="clear" w:color="auto" w:fill="BFBFBF"/>
            <w:vAlign w:val="bottom"/>
          </w:tcPr>
          <w:p w:rsidR="00751C57" w:rsidRPr="001D6512" w:rsidRDefault="00751C57" w:rsidP="00C3606E">
            <w:pPr>
              <w:pStyle w:val="TableCell"/>
              <w:spacing w:before="60" w:after="60"/>
              <w:rPr>
                <w:b/>
              </w:rPr>
            </w:pPr>
            <w:r w:rsidRPr="001D6512">
              <w:rPr>
                <w:b/>
              </w:rPr>
              <w:t>EFLH</w:t>
            </w:r>
            <w:r w:rsidRPr="001D6512">
              <w:rPr>
                <w:b/>
                <w:vertAlign w:val="subscript"/>
              </w:rPr>
              <w:t>cool RAC</w:t>
            </w:r>
          </w:p>
          <w:p w:rsidR="00751C57" w:rsidRPr="001D6512" w:rsidRDefault="00751C57" w:rsidP="00C3606E">
            <w:pPr>
              <w:pStyle w:val="TableCell"/>
              <w:spacing w:before="60" w:after="60"/>
              <w:rPr>
                <w:b/>
              </w:rPr>
            </w:pPr>
            <w:r w:rsidRPr="001D6512">
              <w:rPr>
                <w:b/>
              </w:rPr>
              <w:t>(Hours)</w:t>
            </w:r>
            <w:r w:rsidRPr="001D6512">
              <w:rPr>
                <w:rStyle w:val="FootnoteReference"/>
                <w:b/>
              </w:rPr>
              <w:footnoteReference w:id="74"/>
            </w:r>
          </w:p>
        </w:tc>
        <w:tc>
          <w:tcPr>
            <w:tcW w:w="867" w:type="pct"/>
            <w:shd w:val="clear" w:color="auto" w:fill="BFBFBF"/>
          </w:tcPr>
          <w:p w:rsidR="00751C57" w:rsidRPr="001D6512" w:rsidRDefault="00751C57" w:rsidP="00C3606E">
            <w:pPr>
              <w:pStyle w:val="TableCell"/>
              <w:spacing w:before="60" w:after="60"/>
              <w:rPr>
                <w:b/>
              </w:rPr>
            </w:pPr>
            <w:r w:rsidRPr="001D6512">
              <w:rPr>
                <w:b/>
              </w:rPr>
              <w:t>CDD (Base 65)</w:t>
            </w:r>
            <w:r w:rsidRPr="001D6512">
              <w:rPr>
                <w:rStyle w:val="FootnoteReference"/>
                <w:b/>
              </w:rPr>
              <w:footnoteReference w:id="75"/>
            </w:r>
          </w:p>
        </w:tc>
        <w:tc>
          <w:tcPr>
            <w:tcW w:w="867" w:type="pct"/>
            <w:shd w:val="clear" w:color="auto" w:fill="BFBFBF"/>
          </w:tcPr>
          <w:p w:rsidR="00751C57" w:rsidRPr="001D6512" w:rsidRDefault="00751C57" w:rsidP="00C3606E">
            <w:pPr>
              <w:pStyle w:val="TableCell"/>
              <w:spacing w:before="60" w:after="60"/>
              <w:rPr>
                <w:b/>
              </w:rPr>
            </w:pPr>
            <w:r w:rsidRPr="001D6512">
              <w:rPr>
                <w:b/>
              </w:rPr>
              <w:t>HDD (Base 65)</w:t>
            </w:r>
            <w:r w:rsidRPr="001D6512">
              <w:rPr>
                <w:rStyle w:val="FootnoteReference"/>
                <w:b/>
              </w:rPr>
              <w:footnoteReference w:id="76"/>
            </w:r>
          </w:p>
        </w:tc>
      </w:tr>
      <w:tr w:rsidR="00751C57" w:rsidTr="00716DAB">
        <w:trPr>
          <w:trHeight w:val="317"/>
          <w:jc w:val="center"/>
        </w:trPr>
        <w:tc>
          <w:tcPr>
            <w:tcW w:w="1688" w:type="pct"/>
            <w:vAlign w:val="center"/>
          </w:tcPr>
          <w:p w:rsidR="00751C57" w:rsidRPr="001D6512" w:rsidRDefault="00751C57" w:rsidP="00C3606E">
            <w:pPr>
              <w:pStyle w:val="TableCell"/>
              <w:spacing w:before="60" w:after="60"/>
            </w:pPr>
            <w:r w:rsidRPr="001D6512">
              <w:t>Allentown</w:t>
            </w:r>
          </w:p>
        </w:tc>
        <w:tc>
          <w:tcPr>
            <w:tcW w:w="712" w:type="pct"/>
          </w:tcPr>
          <w:p w:rsidR="00751C57" w:rsidRPr="001D6512" w:rsidRDefault="00751C57" w:rsidP="00C3606E">
            <w:pPr>
              <w:pStyle w:val="TableCell"/>
              <w:spacing w:before="60" w:after="60"/>
              <w:rPr>
                <w:color w:val="000000"/>
              </w:rPr>
            </w:pPr>
            <w:r w:rsidRPr="001D6512">
              <w:rPr>
                <w:color w:val="000000"/>
              </w:rPr>
              <w:t>784</w:t>
            </w:r>
          </w:p>
        </w:tc>
        <w:tc>
          <w:tcPr>
            <w:tcW w:w="867" w:type="pct"/>
            <w:vAlign w:val="center"/>
          </w:tcPr>
          <w:p w:rsidR="00751C57" w:rsidRPr="001D6512" w:rsidRDefault="00751C57" w:rsidP="00C3606E">
            <w:pPr>
              <w:pStyle w:val="TableCell"/>
              <w:spacing w:before="60" w:after="60"/>
              <w:rPr>
                <w:color w:val="000000"/>
              </w:rPr>
            </w:pPr>
            <w:r w:rsidRPr="001D6512">
              <w:rPr>
                <w:color w:val="000000"/>
              </w:rPr>
              <w:t>243</w:t>
            </w:r>
          </w:p>
        </w:tc>
        <w:tc>
          <w:tcPr>
            <w:tcW w:w="867" w:type="pct"/>
          </w:tcPr>
          <w:p w:rsidR="00751C57" w:rsidRPr="001D6512" w:rsidRDefault="00751C57" w:rsidP="00C3606E">
            <w:pPr>
              <w:pStyle w:val="TableCell"/>
              <w:spacing w:before="60" w:after="60"/>
              <w:rPr>
                <w:color w:val="000000"/>
              </w:rPr>
            </w:pPr>
            <w:r w:rsidRPr="001D6512">
              <w:rPr>
                <w:color w:val="000000"/>
              </w:rPr>
              <w:t>787</w:t>
            </w:r>
          </w:p>
        </w:tc>
        <w:tc>
          <w:tcPr>
            <w:tcW w:w="867" w:type="pct"/>
          </w:tcPr>
          <w:p w:rsidR="00751C57" w:rsidRPr="001D6512" w:rsidRDefault="00751C57" w:rsidP="00C3606E">
            <w:pPr>
              <w:pStyle w:val="TableCell"/>
              <w:spacing w:before="60" w:after="60"/>
              <w:rPr>
                <w:color w:val="000000"/>
              </w:rPr>
            </w:pPr>
            <w:r w:rsidRPr="001D6512">
              <w:rPr>
                <w:color w:val="000000"/>
              </w:rPr>
              <w:t>5830</w:t>
            </w:r>
          </w:p>
        </w:tc>
      </w:tr>
      <w:tr w:rsidR="00751C57" w:rsidTr="00716DAB">
        <w:trPr>
          <w:trHeight w:val="317"/>
          <w:jc w:val="center"/>
        </w:trPr>
        <w:tc>
          <w:tcPr>
            <w:tcW w:w="1688" w:type="pct"/>
            <w:vAlign w:val="center"/>
          </w:tcPr>
          <w:p w:rsidR="00751C57" w:rsidRPr="001D6512" w:rsidRDefault="00751C57" w:rsidP="00C3606E">
            <w:pPr>
              <w:pStyle w:val="TableCell"/>
              <w:spacing w:before="60" w:after="60"/>
            </w:pPr>
            <w:r w:rsidRPr="001D6512">
              <w:t>Erie</w:t>
            </w:r>
          </w:p>
        </w:tc>
        <w:tc>
          <w:tcPr>
            <w:tcW w:w="712" w:type="pct"/>
          </w:tcPr>
          <w:p w:rsidR="00751C57" w:rsidRPr="001D6512" w:rsidRDefault="00751C57" w:rsidP="00C3606E">
            <w:pPr>
              <w:pStyle w:val="TableCell"/>
              <w:spacing w:before="60" w:after="60"/>
              <w:rPr>
                <w:color w:val="000000"/>
              </w:rPr>
            </w:pPr>
            <w:r w:rsidRPr="001D6512">
              <w:rPr>
                <w:color w:val="000000"/>
              </w:rPr>
              <w:t>482</w:t>
            </w:r>
          </w:p>
        </w:tc>
        <w:tc>
          <w:tcPr>
            <w:tcW w:w="867" w:type="pct"/>
            <w:vAlign w:val="center"/>
          </w:tcPr>
          <w:p w:rsidR="00751C57" w:rsidRPr="001D6512" w:rsidRDefault="00751C57" w:rsidP="00C3606E">
            <w:pPr>
              <w:pStyle w:val="TableCell"/>
              <w:spacing w:before="60" w:after="60"/>
              <w:rPr>
                <w:color w:val="000000"/>
              </w:rPr>
            </w:pPr>
            <w:r w:rsidRPr="001D6512">
              <w:rPr>
                <w:color w:val="000000"/>
              </w:rPr>
              <w:t>149</w:t>
            </w:r>
          </w:p>
        </w:tc>
        <w:tc>
          <w:tcPr>
            <w:tcW w:w="867" w:type="pct"/>
          </w:tcPr>
          <w:p w:rsidR="00751C57" w:rsidRPr="001D6512" w:rsidRDefault="00751C57" w:rsidP="00C3606E">
            <w:pPr>
              <w:pStyle w:val="TableCell"/>
              <w:spacing w:before="60" w:after="60"/>
              <w:rPr>
                <w:color w:val="000000"/>
              </w:rPr>
            </w:pPr>
            <w:r w:rsidRPr="001D6512">
              <w:rPr>
                <w:color w:val="000000"/>
              </w:rPr>
              <w:t>620</w:t>
            </w:r>
          </w:p>
        </w:tc>
        <w:tc>
          <w:tcPr>
            <w:tcW w:w="867" w:type="pct"/>
          </w:tcPr>
          <w:p w:rsidR="00751C57" w:rsidRPr="001D6512" w:rsidRDefault="00751C57" w:rsidP="00C3606E">
            <w:pPr>
              <w:pStyle w:val="TableCell"/>
              <w:spacing w:before="60" w:after="60"/>
              <w:rPr>
                <w:color w:val="000000"/>
              </w:rPr>
            </w:pPr>
            <w:r w:rsidRPr="001D6512">
              <w:rPr>
                <w:color w:val="000000"/>
              </w:rPr>
              <w:t>6243</w:t>
            </w:r>
          </w:p>
        </w:tc>
      </w:tr>
      <w:tr w:rsidR="00751C57" w:rsidTr="00716DAB">
        <w:trPr>
          <w:trHeight w:val="317"/>
          <w:jc w:val="center"/>
        </w:trPr>
        <w:tc>
          <w:tcPr>
            <w:tcW w:w="1688" w:type="pct"/>
            <w:vAlign w:val="center"/>
          </w:tcPr>
          <w:p w:rsidR="00751C57" w:rsidRPr="001D6512" w:rsidRDefault="00751C57" w:rsidP="00C3606E">
            <w:pPr>
              <w:pStyle w:val="TableCell"/>
              <w:spacing w:before="60" w:after="60"/>
            </w:pPr>
            <w:r w:rsidRPr="001D6512">
              <w:t>Harrisburg</w:t>
            </w:r>
          </w:p>
        </w:tc>
        <w:tc>
          <w:tcPr>
            <w:tcW w:w="712" w:type="pct"/>
          </w:tcPr>
          <w:p w:rsidR="00751C57" w:rsidRPr="001D6512" w:rsidRDefault="00751C57" w:rsidP="00C3606E">
            <w:pPr>
              <w:pStyle w:val="TableCell"/>
              <w:spacing w:before="60" w:after="60"/>
              <w:rPr>
                <w:color w:val="000000"/>
              </w:rPr>
            </w:pPr>
            <w:r w:rsidRPr="001D6512">
              <w:rPr>
                <w:color w:val="000000"/>
              </w:rPr>
              <w:t>929</w:t>
            </w:r>
          </w:p>
        </w:tc>
        <w:tc>
          <w:tcPr>
            <w:tcW w:w="867" w:type="pct"/>
            <w:vAlign w:val="center"/>
          </w:tcPr>
          <w:p w:rsidR="00751C57" w:rsidRPr="001D6512" w:rsidRDefault="00751C57" w:rsidP="00C3606E">
            <w:pPr>
              <w:pStyle w:val="TableCell"/>
              <w:spacing w:before="60" w:after="60"/>
              <w:rPr>
                <w:color w:val="000000"/>
              </w:rPr>
            </w:pPr>
            <w:r w:rsidRPr="001D6512">
              <w:rPr>
                <w:color w:val="000000"/>
              </w:rPr>
              <w:t>288</w:t>
            </w:r>
          </w:p>
        </w:tc>
        <w:tc>
          <w:tcPr>
            <w:tcW w:w="867" w:type="pct"/>
          </w:tcPr>
          <w:p w:rsidR="00751C57" w:rsidRPr="001D6512" w:rsidRDefault="00751C57" w:rsidP="00C3606E">
            <w:pPr>
              <w:pStyle w:val="TableCell"/>
              <w:spacing w:before="60" w:after="60"/>
              <w:rPr>
                <w:color w:val="000000"/>
              </w:rPr>
            </w:pPr>
            <w:r w:rsidRPr="001D6512">
              <w:rPr>
                <w:color w:val="000000"/>
              </w:rPr>
              <w:t>955</w:t>
            </w:r>
          </w:p>
        </w:tc>
        <w:tc>
          <w:tcPr>
            <w:tcW w:w="867" w:type="pct"/>
          </w:tcPr>
          <w:p w:rsidR="00751C57" w:rsidRPr="001D6512" w:rsidRDefault="00751C57" w:rsidP="00C3606E">
            <w:pPr>
              <w:pStyle w:val="TableCell"/>
              <w:spacing w:before="60" w:after="60"/>
              <w:rPr>
                <w:color w:val="000000"/>
              </w:rPr>
            </w:pPr>
            <w:r w:rsidRPr="001D6512">
              <w:rPr>
                <w:color w:val="000000"/>
              </w:rPr>
              <w:t>5201</w:t>
            </w:r>
          </w:p>
        </w:tc>
      </w:tr>
      <w:tr w:rsidR="00751C57" w:rsidTr="00716DAB">
        <w:trPr>
          <w:trHeight w:val="317"/>
          <w:jc w:val="center"/>
        </w:trPr>
        <w:tc>
          <w:tcPr>
            <w:tcW w:w="1688" w:type="pct"/>
            <w:vAlign w:val="center"/>
          </w:tcPr>
          <w:p w:rsidR="00751C57" w:rsidRPr="001D6512" w:rsidRDefault="00751C57" w:rsidP="00C3606E">
            <w:pPr>
              <w:pStyle w:val="TableCell"/>
              <w:spacing w:before="60" w:after="60"/>
            </w:pPr>
            <w:r w:rsidRPr="001D6512">
              <w:t>Philadelphia</w:t>
            </w:r>
          </w:p>
        </w:tc>
        <w:tc>
          <w:tcPr>
            <w:tcW w:w="712" w:type="pct"/>
          </w:tcPr>
          <w:p w:rsidR="00751C57" w:rsidRPr="001D6512" w:rsidRDefault="00751C57" w:rsidP="00C3606E">
            <w:pPr>
              <w:pStyle w:val="TableCell"/>
              <w:spacing w:before="60" w:after="60"/>
              <w:rPr>
                <w:color w:val="000000"/>
              </w:rPr>
            </w:pPr>
            <w:r w:rsidRPr="001D6512">
              <w:rPr>
                <w:color w:val="000000"/>
              </w:rPr>
              <w:t>1032</w:t>
            </w:r>
          </w:p>
        </w:tc>
        <w:tc>
          <w:tcPr>
            <w:tcW w:w="867" w:type="pct"/>
            <w:vAlign w:val="center"/>
          </w:tcPr>
          <w:p w:rsidR="00751C57" w:rsidRPr="001D6512" w:rsidRDefault="00751C57" w:rsidP="00C3606E">
            <w:pPr>
              <w:pStyle w:val="TableCell"/>
              <w:spacing w:before="60" w:after="60"/>
              <w:rPr>
                <w:color w:val="000000"/>
              </w:rPr>
            </w:pPr>
            <w:r w:rsidRPr="001D6512">
              <w:rPr>
                <w:color w:val="000000"/>
              </w:rPr>
              <w:t>320</w:t>
            </w:r>
          </w:p>
        </w:tc>
        <w:tc>
          <w:tcPr>
            <w:tcW w:w="867" w:type="pct"/>
          </w:tcPr>
          <w:p w:rsidR="00751C57" w:rsidRPr="001D6512" w:rsidRDefault="00751C57" w:rsidP="00C3606E">
            <w:pPr>
              <w:pStyle w:val="TableCell"/>
              <w:spacing w:before="60" w:after="60"/>
              <w:rPr>
                <w:color w:val="000000"/>
              </w:rPr>
            </w:pPr>
            <w:r w:rsidRPr="001D6512">
              <w:rPr>
                <w:color w:val="000000"/>
              </w:rPr>
              <w:t>1235</w:t>
            </w:r>
          </w:p>
        </w:tc>
        <w:tc>
          <w:tcPr>
            <w:tcW w:w="867" w:type="pct"/>
          </w:tcPr>
          <w:p w:rsidR="00751C57" w:rsidRPr="001D6512" w:rsidRDefault="00751C57" w:rsidP="00C3606E">
            <w:pPr>
              <w:pStyle w:val="TableCell"/>
              <w:spacing w:before="60" w:after="60"/>
              <w:rPr>
                <w:color w:val="000000"/>
              </w:rPr>
            </w:pPr>
            <w:r w:rsidRPr="001D6512">
              <w:rPr>
                <w:color w:val="000000"/>
              </w:rPr>
              <w:t>4759</w:t>
            </w:r>
          </w:p>
        </w:tc>
      </w:tr>
      <w:tr w:rsidR="00751C57" w:rsidTr="00716DAB">
        <w:trPr>
          <w:trHeight w:val="317"/>
          <w:jc w:val="center"/>
        </w:trPr>
        <w:tc>
          <w:tcPr>
            <w:tcW w:w="1688" w:type="pct"/>
            <w:vAlign w:val="center"/>
          </w:tcPr>
          <w:p w:rsidR="00751C57" w:rsidRPr="001D6512" w:rsidRDefault="00751C57" w:rsidP="00C3606E">
            <w:pPr>
              <w:pStyle w:val="TableCell"/>
              <w:spacing w:before="60" w:after="60"/>
            </w:pPr>
            <w:r w:rsidRPr="001D6512">
              <w:t>Pittsburgh</w:t>
            </w:r>
          </w:p>
        </w:tc>
        <w:tc>
          <w:tcPr>
            <w:tcW w:w="712" w:type="pct"/>
          </w:tcPr>
          <w:p w:rsidR="00751C57" w:rsidRPr="001D6512" w:rsidRDefault="00751C57" w:rsidP="00C3606E">
            <w:pPr>
              <w:pStyle w:val="TableCell"/>
              <w:spacing w:before="60" w:after="60"/>
              <w:rPr>
                <w:color w:val="000000"/>
              </w:rPr>
            </w:pPr>
            <w:r w:rsidRPr="001D6512">
              <w:rPr>
                <w:color w:val="000000"/>
              </w:rPr>
              <w:t>737</w:t>
            </w:r>
          </w:p>
        </w:tc>
        <w:tc>
          <w:tcPr>
            <w:tcW w:w="867" w:type="pct"/>
            <w:vAlign w:val="center"/>
          </w:tcPr>
          <w:p w:rsidR="00751C57" w:rsidRPr="001D6512" w:rsidRDefault="00751C57" w:rsidP="00C3606E">
            <w:pPr>
              <w:pStyle w:val="TableCell"/>
              <w:spacing w:before="60" w:after="60"/>
              <w:rPr>
                <w:color w:val="000000"/>
              </w:rPr>
            </w:pPr>
            <w:r w:rsidRPr="001D6512">
              <w:rPr>
                <w:color w:val="000000"/>
              </w:rPr>
              <w:t>228</w:t>
            </w:r>
          </w:p>
        </w:tc>
        <w:tc>
          <w:tcPr>
            <w:tcW w:w="867" w:type="pct"/>
          </w:tcPr>
          <w:p w:rsidR="00751C57" w:rsidRPr="001D6512" w:rsidRDefault="00751C57" w:rsidP="00C3606E">
            <w:pPr>
              <w:pStyle w:val="TableCell"/>
              <w:spacing w:before="60" w:after="60"/>
              <w:rPr>
                <w:color w:val="000000"/>
              </w:rPr>
            </w:pPr>
            <w:r w:rsidRPr="001D6512">
              <w:rPr>
                <w:color w:val="000000"/>
              </w:rPr>
              <w:t>726</w:t>
            </w:r>
          </w:p>
        </w:tc>
        <w:tc>
          <w:tcPr>
            <w:tcW w:w="867" w:type="pct"/>
          </w:tcPr>
          <w:p w:rsidR="00751C57" w:rsidRPr="001D6512" w:rsidRDefault="00751C57" w:rsidP="00C3606E">
            <w:pPr>
              <w:pStyle w:val="TableCell"/>
              <w:spacing w:before="60" w:after="60"/>
              <w:rPr>
                <w:color w:val="000000"/>
              </w:rPr>
            </w:pPr>
            <w:r w:rsidRPr="001D6512">
              <w:rPr>
                <w:color w:val="000000"/>
              </w:rPr>
              <w:t>5829</w:t>
            </w:r>
          </w:p>
        </w:tc>
      </w:tr>
      <w:tr w:rsidR="00751C57" w:rsidTr="00716DAB">
        <w:trPr>
          <w:trHeight w:val="317"/>
          <w:jc w:val="center"/>
        </w:trPr>
        <w:tc>
          <w:tcPr>
            <w:tcW w:w="1688" w:type="pct"/>
            <w:vAlign w:val="center"/>
          </w:tcPr>
          <w:p w:rsidR="00751C57" w:rsidRPr="001D6512" w:rsidRDefault="00751C57" w:rsidP="00C3606E">
            <w:pPr>
              <w:pStyle w:val="TableCell"/>
              <w:spacing w:before="60" w:after="60"/>
            </w:pPr>
            <w:r w:rsidRPr="001D6512">
              <w:t>Scranton</w:t>
            </w:r>
          </w:p>
        </w:tc>
        <w:tc>
          <w:tcPr>
            <w:tcW w:w="712" w:type="pct"/>
          </w:tcPr>
          <w:p w:rsidR="00751C57" w:rsidRPr="001D6512" w:rsidRDefault="00751C57" w:rsidP="00C3606E">
            <w:pPr>
              <w:pStyle w:val="TableCell"/>
              <w:spacing w:before="60" w:after="60"/>
              <w:rPr>
                <w:color w:val="000000"/>
              </w:rPr>
            </w:pPr>
            <w:r w:rsidRPr="001D6512">
              <w:rPr>
                <w:color w:val="000000"/>
              </w:rPr>
              <w:t>621</w:t>
            </w:r>
          </w:p>
        </w:tc>
        <w:tc>
          <w:tcPr>
            <w:tcW w:w="867" w:type="pct"/>
            <w:vAlign w:val="center"/>
          </w:tcPr>
          <w:p w:rsidR="00751C57" w:rsidRPr="001D6512" w:rsidRDefault="00751C57" w:rsidP="00C3606E">
            <w:pPr>
              <w:pStyle w:val="TableCell"/>
              <w:spacing w:before="60" w:after="60"/>
              <w:rPr>
                <w:color w:val="000000"/>
              </w:rPr>
            </w:pPr>
            <w:r w:rsidRPr="001D6512">
              <w:rPr>
                <w:color w:val="000000"/>
              </w:rPr>
              <w:t>193</w:t>
            </w:r>
          </w:p>
        </w:tc>
        <w:tc>
          <w:tcPr>
            <w:tcW w:w="867" w:type="pct"/>
          </w:tcPr>
          <w:p w:rsidR="00751C57" w:rsidRPr="001D6512" w:rsidRDefault="00751C57" w:rsidP="00C3606E">
            <w:pPr>
              <w:pStyle w:val="TableCell"/>
              <w:spacing w:before="60" w:after="60"/>
              <w:rPr>
                <w:color w:val="000000"/>
              </w:rPr>
            </w:pPr>
            <w:r w:rsidRPr="001D6512">
              <w:rPr>
                <w:color w:val="000000"/>
              </w:rPr>
              <w:t>611</w:t>
            </w:r>
          </w:p>
        </w:tc>
        <w:tc>
          <w:tcPr>
            <w:tcW w:w="867" w:type="pct"/>
          </w:tcPr>
          <w:p w:rsidR="00751C57" w:rsidRPr="001D6512" w:rsidRDefault="00751C57" w:rsidP="00C3606E">
            <w:pPr>
              <w:pStyle w:val="TableCell"/>
              <w:spacing w:before="60" w:after="60"/>
              <w:rPr>
                <w:color w:val="000000"/>
              </w:rPr>
            </w:pPr>
            <w:r w:rsidRPr="001D6512">
              <w:rPr>
                <w:color w:val="000000"/>
              </w:rPr>
              <w:t>6234</w:t>
            </w:r>
          </w:p>
        </w:tc>
      </w:tr>
      <w:tr w:rsidR="00751C57" w:rsidTr="00716DAB">
        <w:trPr>
          <w:trHeight w:val="317"/>
          <w:jc w:val="center"/>
        </w:trPr>
        <w:tc>
          <w:tcPr>
            <w:tcW w:w="1688" w:type="pct"/>
            <w:vAlign w:val="center"/>
          </w:tcPr>
          <w:p w:rsidR="00751C57" w:rsidRPr="001D6512" w:rsidRDefault="00751C57" w:rsidP="00C3606E">
            <w:pPr>
              <w:pStyle w:val="TableCell"/>
              <w:spacing w:before="60" w:after="60"/>
            </w:pPr>
            <w:r w:rsidRPr="001D6512">
              <w:t>Williamsport</w:t>
            </w:r>
          </w:p>
        </w:tc>
        <w:tc>
          <w:tcPr>
            <w:tcW w:w="712" w:type="pct"/>
          </w:tcPr>
          <w:p w:rsidR="00751C57" w:rsidRPr="001D6512" w:rsidRDefault="00751C57" w:rsidP="00C3606E">
            <w:pPr>
              <w:pStyle w:val="TableCell"/>
              <w:spacing w:before="60" w:after="60"/>
              <w:rPr>
                <w:color w:val="000000"/>
              </w:rPr>
            </w:pPr>
            <w:r w:rsidRPr="001D6512">
              <w:rPr>
                <w:color w:val="000000"/>
              </w:rPr>
              <w:t>659</w:t>
            </w:r>
          </w:p>
        </w:tc>
        <w:tc>
          <w:tcPr>
            <w:tcW w:w="867" w:type="pct"/>
            <w:vAlign w:val="center"/>
          </w:tcPr>
          <w:p w:rsidR="00751C57" w:rsidRPr="001D6512" w:rsidRDefault="00751C57" w:rsidP="00C3606E">
            <w:pPr>
              <w:pStyle w:val="TableCell"/>
              <w:spacing w:before="60" w:after="60"/>
              <w:rPr>
                <w:color w:val="000000"/>
              </w:rPr>
            </w:pPr>
            <w:r w:rsidRPr="001D6512">
              <w:rPr>
                <w:color w:val="000000"/>
              </w:rPr>
              <w:t>204</w:t>
            </w:r>
          </w:p>
        </w:tc>
        <w:tc>
          <w:tcPr>
            <w:tcW w:w="867" w:type="pct"/>
          </w:tcPr>
          <w:p w:rsidR="00751C57" w:rsidRPr="001D6512" w:rsidRDefault="00751C57" w:rsidP="00C3606E">
            <w:pPr>
              <w:pStyle w:val="TableCell"/>
              <w:spacing w:before="60" w:after="60"/>
              <w:rPr>
                <w:color w:val="000000"/>
              </w:rPr>
            </w:pPr>
            <w:r w:rsidRPr="001D6512">
              <w:rPr>
                <w:color w:val="000000"/>
              </w:rPr>
              <w:t>709</w:t>
            </w:r>
          </w:p>
        </w:tc>
        <w:tc>
          <w:tcPr>
            <w:tcW w:w="867" w:type="pct"/>
          </w:tcPr>
          <w:p w:rsidR="00751C57" w:rsidRPr="001D6512" w:rsidRDefault="00751C57" w:rsidP="00C3606E">
            <w:pPr>
              <w:pStyle w:val="TableCell"/>
              <w:spacing w:before="60" w:after="60"/>
              <w:rPr>
                <w:color w:val="000000"/>
              </w:rPr>
            </w:pPr>
            <w:r w:rsidRPr="001D6512">
              <w:rPr>
                <w:color w:val="000000"/>
              </w:rPr>
              <w:t>6063</w:t>
            </w:r>
          </w:p>
        </w:tc>
      </w:tr>
    </w:tbl>
    <w:p w:rsidR="00751C57" w:rsidRPr="00D321D5" w:rsidRDefault="00751C57" w:rsidP="00751C57">
      <w:pPr>
        <w:pStyle w:val="Halfline"/>
        <w:spacing w:after="0" w:line="240" w:lineRule="auto"/>
        <w:rPr>
          <w:sz w:val="16"/>
          <w:szCs w:val="16"/>
        </w:rPr>
      </w:pPr>
    </w:p>
    <w:p w:rsidR="00751C57" w:rsidRDefault="00751C57" w:rsidP="00871FA2">
      <w:pPr>
        <w:pStyle w:val="Heading3"/>
      </w:pPr>
      <w:r>
        <w:t>Measure Life</w:t>
      </w:r>
    </w:p>
    <w:p w:rsidR="000E2727" w:rsidRDefault="00751C57">
      <w:pPr>
        <w:overflowPunct/>
        <w:autoSpaceDE/>
        <w:autoSpaceDN/>
        <w:adjustRightInd/>
        <w:spacing w:after="0" w:line="240" w:lineRule="auto"/>
        <w:textAlignment w:val="auto"/>
      </w:pPr>
      <w:r>
        <w:t>Measure life = 25 years</w:t>
      </w:r>
      <w:r>
        <w:rPr>
          <w:rStyle w:val="FootnoteReference"/>
        </w:rPr>
        <w:footnoteReference w:id="77"/>
      </w:r>
      <w:r>
        <w:t>.</w:t>
      </w:r>
    </w:p>
    <w:p w:rsidR="00CD05FA" w:rsidRDefault="001E6208" w:rsidP="00E568D4">
      <w:pPr>
        <w:pStyle w:val="Heading2"/>
      </w:pPr>
      <w:bookmarkStart w:id="380" w:name="_Toc271723501"/>
      <w:r>
        <w:br w:type="page"/>
      </w:r>
      <w:bookmarkStart w:id="381" w:name="_Toc310875421"/>
      <w:r w:rsidR="000E2727" w:rsidRPr="0040220B">
        <w:lastRenderedPageBreak/>
        <w:t>Refrigerator / Freezer Recycling and Replacement</w:t>
      </w:r>
      <w:bookmarkEnd w:id="380"/>
      <w:bookmarkEnd w:id="38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5958"/>
      </w:tblGrid>
      <w:tr w:rsidR="000E2727" w:rsidRPr="0040220B" w:rsidTr="00716DAB">
        <w:trPr>
          <w:jc w:val="center"/>
        </w:trPr>
        <w:tc>
          <w:tcPr>
            <w:tcW w:w="1636" w:type="pct"/>
            <w:shd w:val="clear" w:color="auto" w:fill="BFBFBF"/>
          </w:tcPr>
          <w:p w:rsidR="00CD05FA" w:rsidRPr="001D6512" w:rsidRDefault="0038789E" w:rsidP="00F84A22">
            <w:pPr>
              <w:pStyle w:val="TableCell"/>
              <w:spacing w:before="60" w:after="60"/>
              <w:rPr>
                <w:b/>
                <w:sz w:val="20"/>
              </w:rPr>
            </w:pPr>
            <w:r w:rsidRPr="001D6512">
              <w:rPr>
                <w:b/>
              </w:rPr>
              <w:t>Measure Name</w:t>
            </w:r>
          </w:p>
        </w:tc>
        <w:tc>
          <w:tcPr>
            <w:tcW w:w="3364" w:type="pct"/>
            <w:shd w:val="clear" w:color="auto" w:fill="BFBFBF"/>
          </w:tcPr>
          <w:p w:rsidR="00CD05FA" w:rsidRPr="001D6512" w:rsidRDefault="0038789E" w:rsidP="00916722">
            <w:pPr>
              <w:pStyle w:val="TableCell"/>
              <w:spacing w:before="60" w:after="60"/>
              <w:rPr>
                <w:b/>
                <w:sz w:val="20"/>
              </w:rPr>
            </w:pPr>
            <w:r w:rsidRPr="001D6512">
              <w:rPr>
                <w:b/>
              </w:rPr>
              <w:t>Refrigerator/Freezer Recycling and Replacement</w:t>
            </w:r>
          </w:p>
        </w:tc>
      </w:tr>
      <w:tr w:rsidR="000E2727" w:rsidRPr="0040220B" w:rsidTr="00716DAB">
        <w:trPr>
          <w:jc w:val="center"/>
        </w:trPr>
        <w:tc>
          <w:tcPr>
            <w:tcW w:w="1636" w:type="pct"/>
            <w:shd w:val="clear" w:color="auto" w:fill="auto"/>
          </w:tcPr>
          <w:p w:rsidR="00CD05FA" w:rsidRPr="001D6512" w:rsidRDefault="000E2727" w:rsidP="00F84A22">
            <w:pPr>
              <w:pStyle w:val="TableCell"/>
              <w:spacing w:before="60" w:after="60"/>
              <w:rPr>
                <w:sz w:val="20"/>
              </w:rPr>
            </w:pPr>
            <w:r w:rsidRPr="001D6512">
              <w:t>Target Sector</w:t>
            </w:r>
          </w:p>
        </w:tc>
        <w:tc>
          <w:tcPr>
            <w:tcW w:w="3364" w:type="pct"/>
            <w:shd w:val="clear" w:color="auto" w:fill="auto"/>
          </w:tcPr>
          <w:p w:rsidR="00CD05FA" w:rsidRPr="001D6512" w:rsidRDefault="000E2727" w:rsidP="00F84A22">
            <w:pPr>
              <w:pStyle w:val="TableCell"/>
              <w:spacing w:before="60" w:after="60"/>
              <w:rPr>
                <w:rFonts w:eastAsia="Arial Unicode MS" w:cs="Arial"/>
                <w:i/>
                <w:iCs/>
                <w:sz w:val="20"/>
                <w:szCs w:val="24"/>
              </w:rPr>
            </w:pPr>
            <w:r w:rsidRPr="001D6512">
              <w:t>Residential Establishments</w:t>
            </w:r>
          </w:p>
        </w:tc>
      </w:tr>
      <w:tr w:rsidR="000E2727" w:rsidRPr="0040220B" w:rsidTr="00716DAB">
        <w:trPr>
          <w:jc w:val="center"/>
        </w:trPr>
        <w:tc>
          <w:tcPr>
            <w:tcW w:w="1636" w:type="pct"/>
            <w:shd w:val="clear" w:color="auto" w:fill="auto"/>
          </w:tcPr>
          <w:p w:rsidR="00CD05FA" w:rsidRPr="001D6512" w:rsidRDefault="000E2727" w:rsidP="00F84A22">
            <w:pPr>
              <w:pStyle w:val="TableCell"/>
              <w:spacing w:before="60" w:after="60"/>
              <w:rPr>
                <w:sz w:val="20"/>
              </w:rPr>
            </w:pPr>
            <w:r w:rsidRPr="001D6512">
              <w:t>Measure Unit</w:t>
            </w:r>
          </w:p>
        </w:tc>
        <w:tc>
          <w:tcPr>
            <w:tcW w:w="3364" w:type="pct"/>
            <w:shd w:val="clear" w:color="auto" w:fill="auto"/>
          </w:tcPr>
          <w:p w:rsidR="00CD05FA" w:rsidRPr="001D6512" w:rsidRDefault="000E2727" w:rsidP="00F84A22">
            <w:pPr>
              <w:pStyle w:val="TableCell"/>
              <w:spacing w:before="60" w:after="60"/>
              <w:rPr>
                <w:rFonts w:eastAsia="Arial Unicode MS" w:cs="Arial"/>
                <w:i/>
                <w:iCs/>
                <w:sz w:val="20"/>
                <w:szCs w:val="24"/>
              </w:rPr>
            </w:pPr>
            <w:r w:rsidRPr="001D6512">
              <w:t>Refrigerator or Freezer</w:t>
            </w:r>
          </w:p>
        </w:tc>
      </w:tr>
      <w:tr w:rsidR="000E2727" w:rsidRPr="0040220B" w:rsidTr="00716DAB">
        <w:trPr>
          <w:jc w:val="center"/>
        </w:trPr>
        <w:tc>
          <w:tcPr>
            <w:tcW w:w="1636" w:type="pct"/>
            <w:shd w:val="clear" w:color="auto" w:fill="auto"/>
          </w:tcPr>
          <w:p w:rsidR="00CD05FA" w:rsidRPr="001D6512" w:rsidRDefault="000E2727" w:rsidP="00291814">
            <w:pPr>
              <w:pStyle w:val="TableCell"/>
              <w:spacing w:before="60" w:after="60"/>
              <w:rPr>
                <w:sz w:val="20"/>
              </w:rPr>
            </w:pPr>
            <w:r w:rsidRPr="001D6512">
              <w:t>Unit Annual Energy Savings</w:t>
            </w:r>
          </w:p>
        </w:tc>
        <w:tc>
          <w:tcPr>
            <w:tcW w:w="3364" w:type="pct"/>
            <w:shd w:val="clear" w:color="auto" w:fill="auto"/>
          </w:tcPr>
          <w:p w:rsidR="00CD05FA" w:rsidRDefault="000E2727" w:rsidP="00F84A22">
            <w:pPr>
              <w:pStyle w:val="TableCell"/>
              <w:spacing w:before="60" w:after="60"/>
            </w:pPr>
            <w:r w:rsidRPr="001D6512">
              <w:t>1205</w:t>
            </w:r>
            <w:r w:rsidR="00291814">
              <w:t xml:space="preserve"> </w:t>
            </w:r>
            <w:r w:rsidRPr="001D6512">
              <w:t>kWh</w:t>
            </w:r>
            <w:r w:rsidR="00291814">
              <w:t xml:space="preserve"> (Replace with ENERGY STAR Unit)</w:t>
            </w:r>
          </w:p>
          <w:p w:rsidR="00291814" w:rsidRPr="001D6512" w:rsidRDefault="00291814" w:rsidP="00F84A22">
            <w:pPr>
              <w:pStyle w:val="TableCell"/>
              <w:spacing w:before="60" w:after="60"/>
              <w:rPr>
                <w:rFonts w:eastAsia="Arial Unicode MS" w:cs="Arial"/>
                <w:i/>
                <w:iCs/>
                <w:sz w:val="20"/>
                <w:szCs w:val="24"/>
              </w:rPr>
            </w:pPr>
            <w:r>
              <w:t>1,091 kWh (Replace with non-ENERGY STAR Unit)</w:t>
            </w:r>
          </w:p>
        </w:tc>
      </w:tr>
      <w:tr w:rsidR="000E2727" w:rsidRPr="0040220B" w:rsidTr="00716DAB">
        <w:trPr>
          <w:jc w:val="center"/>
        </w:trPr>
        <w:tc>
          <w:tcPr>
            <w:tcW w:w="1636" w:type="pct"/>
            <w:shd w:val="clear" w:color="auto" w:fill="auto"/>
          </w:tcPr>
          <w:p w:rsidR="00CD05FA" w:rsidRPr="001D6512" w:rsidRDefault="000E2727" w:rsidP="00291814">
            <w:pPr>
              <w:pStyle w:val="TableCell"/>
              <w:spacing w:before="60" w:after="60"/>
              <w:rPr>
                <w:sz w:val="20"/>
              </w:rPr>
            </w:pPr>
            <w:r w:rsidRPr="001D6512">
              <w:t>Unit Peak Demand Reduction</w:t>
            </w:r>
          </w:p>
        </w:tc>
        <w:tc>
          <w:tcPr>
            <w:tcW w:w="3364" w:type="pct"/>
            <w:shd w:val="clear" w:color="auto" w:fill="auto"/>
          </w:tcPr>
          <w:p w:rsidR="00CD05FA" w:rsidRDefault="000E2727" w:rsidP="00F84A22">
            <w:pPr>
              <w:pStyle w:val="TableCell"/>
              <w:spacing w:before="60" w:after="60"/>
            </w:pPr>
            <w:r w:rsidRPr="001D6512">
              <w:t>0.1494kW</w:t>
            </w:r>
            <w:r w:rsidR="00291814">
              <w:t xml:space="preserve"> (Replace with ENERGY STAR Unit)</w:t>
            </w:r>
          </w:p>
          <w:p w:rsidR="00291814" w:rsidRPr="001D6512" w:rsidRDefault="00291814" w:rsidP="00F84A22">
            <w:pPr>
              <w:pStyle w:val="TableCell"/>
              <w:spacing w:before="60" w:after="60"/>
              <w:rPr>
                <w:rFonts w:eastAsia="Arial Unicode MS" w:cs="Arial"/>
                <w:i/>
                <w:iCs/>
                <w:sz w:val="20"/>
                <w:szCs w:val="24"/>
              </w:rPr>
            </w:pPr>
            <w:r w:rsidRPr="001D6512">
              <w:t>0,135 kW</w:t>
            </w:r>
            <w:r>
              <w:t xml:space="preserve"> (Replace with non-ENERGY STAR Unit)</w:t>
            </w:r>
          </w:p>
        </w:tc>
      </w:tr>
      <w:tr w:rsidR="000E2727" w:rsidRPr="0040220B" w:rsidTr="00716DAB">
        <w:trPr>
          <w:jc w:val="center"/>
        </w:trPr>
        <w:tc>
          <w:tcPr>
            <w:tcW w:w="1636" w:type="pct"/>
            <w:shd w:val="clear" w:color="auto" w:fill="auto"/>
          </w:tcPr>
          <w:p w:rsidR="00CD05FA" w:rsidRPr="001D6512" w:rsidRDefault="000E2727" w:rsidP="00F84A22">
            <w:pPr>
              <w:pStyle w:val="TableCell"/>
              <w:spacing w:before="60" w:after="60"/>
              <w:rPr>
                <w:sz w:val="20"/>
              </w:rPr>
            </w:pPr>
            <w:r w:rsidRPr="001D6512">
              <w:t>Measure Life</w:t>
            </w:r>
          </w:p>
        </w:tc>
        <w:tc>
          <w:tcPr>
            <w:tcW w:w="3364" w:type="pct"/>
            <w:shd w:val="clear" w:color="auto" w:fill="auto"/>
          </w:tcPr>
          <w:p w:rsidR="00CD05FA" w:rsidRPr="001D6512" w:rsidRDefault="000E2727" w:rsidP="00F84A22">
            <w:pPr>
              <w:pStyle w:val="TableCell"/>
              <w:spacing w:before="60" w:after="60"/>
              <w:rPr>
                <w:rFonts w:eastAsia="Arial Unicode MS" w:cs="Arial"/>
                <w:i/>
                <w:iCs/>
                <w:sz w:val="20"/>
                <w:szCs w:val="24"/>
              </w:rPr>
            </w:pPr>
            <w:r w:rsidRPr="001D6512">
              <w:t>7 years</w:t>
            </w:r>
          </w:p>
        </w:tc>
      </w:tr>
    </w:tbl>
    <w:p w:rsidR="00CD05FA" w:rsidRDefault="00CD05FA">
      <w:pPr>
        <w:pStyle w:val="BodyText"/>
      </w:pPr>
      <w:bookmarkStart w:id="382" w:name="_Toc268601543"/>
      <w:bookmarkStart w:id="383" w:name="_Toc268602080"/>
      <w:bookmarkStart w:id="384" w:name="_Toc268602865"/>
      <w:bookmarkStart w:id="385" w:name="_Toc268602995"/>
    </w:p>
    <w:bookmarkEnd w:id="382"/>
    <w:bookmarkEnd w:id="383"/>
    <w:bookmarkEnd w:id="384"/>
    <w:bookmarkEnd w:id="385"/>
    <w:p w:rsidR="00CD05FA" w:rsidRPr="00133427" w:rsidRDefault="000E2727">
      <w:pPr>
        <w:pStyle w:val="BodyText"/>
        <w:rPr>
          <w:rFonts w:eastAsia="Calibri"/>
        </w:rPr>
      </w:pPr>
      <w:r w:rsidRPr="0040220B">
        <w:rPr>
          <w:rFonts w:eastAsia="Calibri"/>
        </w:rPr>
        <w:t>This measure is the recycling and replacement before end of life of an existing refrigerator or freezer with a new refrigerator or freezer.</w:t>
      </w:r>
      <w:r w:rsidR="00916722">
        <w:rPr>
          <w:rFonts w:eastAsia="Calibri"/>
        </w:rPr>
        <w:t xml:space="preserve"> This protocol quantifies savings where the replacement refrigerator or freezer is ENERGY STAR and non-ENERGY STAR qualified.</w:t>
      </w:r>
      <w:r w:rsidR="00133427">
        <w:rPr>
          <w:rFonts w:eastAsia="Calibri"/>
        </w:rPr>
        <w:t xml:space="preserve"> </w:t>
      </w:r>
      <w:r w:rsidR="00133427" w:rsidRPr="00BB6D6D">
        <w:rPr>
          <w:rFonts w:eastAsia="Calibri"/>
        </w:rPr>
        <w:t>This protocol applies to both residential and non-residential sectors, as refrigerator usage and energy usage are assumed to be independent of customer rate class</w:t>
      </w:r>
      <w:r w:rsidR="00133427" w:rsidRPr="00BB6D6D">
        <w:rPr>
          <w:rStyle w:val="FootnoteReference"/>
          <w:rFonts w:eastAsia="Calibri"/>
        </w:rPr>
        <w:footnoteReference w:id="78"/>
      </w:r>
      <w:r w:rsidR="00133427" w:rsidRPr="00BB6D6D">
        <w:rPr>
          <w:rFonts w:eastAsia="Calibri"/>
        </w:rPr>
        <w:t xml:space="preserve">. </w:t>
      </w:r>
    </w:p>
    <w:p w:rsidR="00CD05FA" w:rsidRDefault="000E2727">
      <w:pPr>
        <w:pStyle w:val="BodyText"/>
        <w:rPr>
          <w:rFonts w:eastAsia="Calibri"/>
        </w:rPr>
      </w:pPr>
      <w:r w:rsidRPr="0040220B">
        <w:rPr>
          <w:rFonts w:eastAsia="Calibri"/>
        </w:rPr>
        <w:t>The deemed savings values for this measure can be applied to refrigerator and freezer early replacements meeting the following criteria:</w:t>
      </w:r>
    </w:p>
    <w:p w:rsidR="00CD05FA" w:rsidRPr="00100EDF" w:rsidRDefault="0007670E" w:rsidP="0005632A">
      <w:pPr>
        <w:pStyle w:val="source1"/>
        <w:numPr>
          <w:ilvl w:val="0"/>
          <w:numId w:val="73"/>
        </w:numPr>
        <w:rPr>
          <w:rFonts w:eastAsia="Calibri"/>
        </w:rPr>
      </w:pPr>
      <w:r w:rsidRPr="00100EDF">
        <w:rPr>
          <w:rFonts w:eastAsia="Calibri"/>
        </w:rPr>
        <w:t>Existing, working refrigerator or freezer 10-30 cubic feet in size (savings do not apply if unit is not working)</w:t>
      </w:r>
    </w:p>
    <w:p w:rsidR="00CD05FA" w:rsidRPr="00100EDF" w:rsidRDefault="000E2727" w:rsidP="0005632A">
      <w:pPr>
        <w:pStyle w:val="source1"/>
        <w:numPr>
          <w:ilvl w:val="0"/>
          <w:numId w:val="73"/>
        </w:numPr>
        <w:rPr>
          <w:rFonts w:eastAsia="Calibri"/>
        </w:rPr>
      </w:pPr>
      <w:bookmarkStart w:id="386" w:name="_Toc283738967"/>
      <w:bookmarkStart w:id="387" w:name="_Toc283739319"/>
      <w:bookmarkStart w:id="388" w:name="_Toc283739670"/>
      <w:bookmarkStart w:id="389" w:name="_Toc283740014"/>
      <w:bookmarkStart w:id="390" w:name="_Toc283740355"/>
      <w:bookmarkStart w:id="391" w:name="_Toc283740688"/>
      <w:bookmarkStart w:id="392" w:name="_Toc283741017"/>
      <w:bookmarkStart w:id="393" w:name="_Toc283741340"/>
      <w:bookmarkStart w:id="394" w:name="_Toc283741650"/>
      <w:bookmarkStart w:id="395" w:name="_Toc283741959"/>
      <w:bookmarkStart w:id="396" w:name="_Toc283742470"/>
      <w:bookmarkEnd w:id="386"/>
      <w:bookmarkEnd w:id="387"/>
      <w:bookmarkEnd w:id="388"/>
      <w:bookmarkEnd w:id="389"/>
      <w:bookmarkEnd w:id="390"/>
      <w:bookmarkEnd w:id="391"/>
      <w:bookmarkEnd w:id="392"/>
      <w:bookmarkEnd w:id="393"/>
      <w:bookmarkEnd w:id="394"/>
      <w:bookmarkEnd w:id="395"/>
      <w:bookmarkEnd w:id="396"/>
      <w:r w:rsidRPr="00100EDF">
        <w:rPr>
          <w:rFonts w:eastAsia="Calibri"/>
        </w:rPr>
        <w:t>Unit is a primary or secondary unit</w:t>
      </w:r>
    </w:p>
    <w:p w:rsidR="000E2727" w:rsidRPr="0040220B" w:rsidRDefault="000E2727" w:rsidP="00871FA2">
      <w:pPr>
        <w:pStyle w:val="Heading3"/>
      </w:pPr>
      <w:bookmarkStart w:id="397" w:name="_Toc268244800"/>
      <w:bookmarkStart w:id="398" w:name="_Toc268245149"/>
      <w:bookmarkStart w:id="399" w:name="_Toc268245218"/>
      <w:bookmarkStart w:id="400" w:name="_Toc268601544"/>
      <w:bookmarkStart w:id="401" w:name="_Toc268602081"/>
      <w:bookmarkStart w:id="402" w:name="_Toc268602866"/>
      <w:bookmarkStart w:id="403" w:name="_Toc268602996"/>
      <w:bookmarkStart w:id="404" w:name="_Toc268620680"/>
      <w:bookmarkStart w:id="405" w:name="_Toc269387143"/>
      <w:bookmarkStart w:id="406" w:name="_Toc269389114"/>
      <w:bookmarkStart w:id="407" w:name="_Toc270418847"/>
      <w:bookmarkStart w:id="408" w:name="_Toc270422660"/>
      <w:r w:rsidRPr="0040220B">
        <w:t>Algorithms</w:t>
      </w:r>
      <w:bookmarkEnd w:id="397"/>
      <w:bookmarkEnd w:id="398"/>
      <w:bookmarkEnd w:id="399"/>
      <w:bookmarkEnd w:id="400"/>
      <w:bookmarkEnd w:id="401"/>
      <w:bookmarkEnd w:id="402"/>
      <w:bookmarkEnd w:id="403"/>
      <w:bookmarkEnd w:id="404"/>
      <w:bookmarkEnd w:id="405"/>
      <w:bookmarkEnd w:id="406"/>
      <w:bookmarkEnd w:id="407"/>
      <w:bookmarkEnd w:id="408"/>
    </w:p>
    <w:p w:rsidR="00CD05FA" w:rsidRDefault="000E2727">
      <w:pPr>
        <w:pStyle w:val="BodyText"/>
        <w:rPr>
          <w:rFonts w:eastAsia="Calibri"/>
        </w:rPr>
      </w:pPr>
      <w:r w:rsidRPr="0040220B">
        <w:rPr>
          <w:rFonts w:eastAsia="Calibri"/>
        </w:rPr>
        <w:t>The deemed savings values are based on the following algorithms:</w:t>
      </w:r>
    </w:p>
    <w:p w:rsidR="00CD05FA" w:rsidRPr="00916722" w:rsidRDefault="000E2727">
      <w:pPr>
        <w:pStyle w:val="Equation"/>
        <w:rPr>
          <w:rFonts w:cs="Arial"/>
          <w:szCs w:val="20"/>
        </w:rPr>
      </w:pPr>
      <w:r w:rsidRPr="00AA2C40">
        <w:rPr>
          <w:rFonts w:cs="Arial"/>
          <w:szCs w:val="20"/>
        </w:rPr>
        <w:t>ΔkWh</w:t>
      </w:r>
      <w:r w:rsidR="00133427">
        <w:rPr>
          <w:rFonts w:cs="Arial"/>
          <w:szCs w:val="20"/>
        </w:rPr>
        <w:tab/>
      </w:r>
      <w:r w:rsidRPr="00AA2C40">
        <w:rPr>
          <w:rFonts w:cs="Arial"/>
          <w:szCs w:val="20"/>
        </w:rPr>
        <w:tab/>
        <w:t xml:space="preserve"> = </w:t>
      </w:r>
      <w:r w:rsidR="00916722" w:rsidRPr="00AA2C40">
        <w:rPr>
          <w:rFonts w:cs="Arial"/>
          <w:szCs w:val="20"/>
        </w:rPr>
        <w:t>kWh</w:t>
      </w:r>
      <w:r w:rsidR="00916722">
        <w:rPr>
          <w:rFonts w:cs="Arial"/>
          <w:szCs w:val="20"/>
          <w:vertAlign w:val="subscript"/>
        </w:rPr>
        <w:t>Recycled</w:t>
      </w:r>
      <w:r w:rsidR="00916722" w:rsidRPr="00AA2C40">
        <w:rPr>
          <w:rFonts w:cs="Arial"/>
          <w:szCs w:val="20"/>
        </w:rPr>
        <w:t xml:space="preserve"> </w:t>
      </w:r>
      <w:r w:rsidRPr="00AA2C40">
        <w:rPr>
          <w:rFonts w:cs="Arial"/>
          <w:szCs w:val="20"/>
        </w:rPr>
        <w:t xml:space="preserve">– </w:t>
      </w:r>
      <w:r w:rsidR="00916722" w:rsidRPr="00AA2C40">
        <w:rPr>
          <w:rFonts w:cs="Arial"/>
          <w:szCs w:val="20"/>
        </w:rPr>
        <w:t>kWh</w:t>
      </w:r>
      <w:r w:rsidR="00916722">
        <w:rPr>
          <w:rFonts w:cs="Arial"/>
          <w:szCs w:val="20"/>
          <w:vertAlign w:val="subscript"/>
        </w:rPr>
        <w:t>Replace</w:t>
      </w:r>
      <w:r w:rsidR="00186E88">
        <w:rPr>
          <w:rFonts w:cs="Arial"/>
          <w:szCs w:val="20"/>
          <w:vertAlign w:val="subscript"/>
        </w:rPr>
        <w:t>ment</w:t>
      </w:r>
    </w:p>
    <w:p w:rsidR="00CD05FA" w:rsidRPr="00AA2C40" w:rsidRDefault="000E2727">
      <w:pPr>
        <w:pStyle w:val="Equation"/>
        <w:rPr>
          <w:rFonts w:cs="Arial"/>
          <w:szCs w:val="20"/>
        </w:rPr>
      </w:pPr>
      <w:r w:rsidRPr="00AA2C40">
        <w:rPr>
          <w:rFonts w:cs="Arial"/>
          <w:szCs w:val="20"/>
        </w:rPr>
        <w:t>ΔkW</w:t>
      </w:r>
      <w:r w:rsidR="00133427">
        <w:rPr>
          <w:rFonts w:cs="Arial"/>
          <w:szCs w:val="20"/>
          <w:vertAlign w:val="subscript"/>
        </w:rPr>
        <w:t>peak</w:t>
      </w:r>
      <w:r w:rsidR="00133427">
        <w:rPr>
          <w:rFonts w:cs="Arial"/>
          <w:szCs w:val="20"/>
          <w:vertAlign w:val="subscript"/>
        </w:rPr>
        <w:tab/>
      </w:r>
      <w:r w:rsidRPr="00AA2C40">
        <w:rPr>
          <w:rFonts w:cs="Arial"/>
          <w:szCs w:val="20"/>
        </w:rPr>
        <w:tab/>
        <w:t>= ΔkWh</w:t>
      </w:r>
      <w:r w:rsidR="00133427">
        <w:rPr>
          <w:rFonts w:cs="Arial"/>
          <w:szCs w:val="20"/>
          <w:vertAlign w:val="subscript"/>
        </w:rPr>
        <w:t xml:space="preserve"> </w:t>
      </w:r>
      <w:r w:rsidRPr="00AA2C40">
        <w:rPr>
          <w:rFonts w:cs="Arial"/>
          <w:szCs w:val="20"/>
        </w:rPr>
        <w:t>/</w:t>
      </w:r>
      <w:r w:rsidR="00133427">
        <w:rPr>
          <w:rFonts w:cs="Arial"/>
          <w:szCs w:val="20"/>
        </w:rPr>
        <w:t xml:space="preserve"> </w:t>
      </w:r>
      <w:r w:rsidRPr="00AA2C40">
        <w:rPr>
          <w:rFonts w:cs="Arial"/>
          <w:szCs w:val="20"/>
        </w:rPr>
        <w:t>HOURS</w:t>
      </w:r>
      <w:r w:rsidRPr="00AA2C40">
        <w:rPr>
          <w:rFonts w:cs="Arial"/>
          <w:szCs w:val="20"/>
          <w:vertAlign w:val="subscript"/>
        </w:rPr>
        <w:t>RefRepl</w:t>
      </w:r>
      <w:r w:rsidRPr="00AA2C40">
        <w:rPr>
          <w:rFonts w:cs="Arial"/>
          <w:szCs w:val="20"/>
        </w:rPr>
        <w:t xml:space="preserve"> * CF</w:t>
      </w:r>
      <w:r w:rsidRPr="00AA2C40">
        <w:rPr>
          <w:rFonts w:cs="Arial"/>
          <w:szCs w:val="20"/>
          <w:vertAlign w:val="subscript"/>
        </w:rPr>
        <w:t>RefRepl</w:t>
      </w:r>
    </w:p>
    <w:p w:rsidR="00CD05FA" w:rsidRPr="00AA2C40" w:rsidRDefault="000E2727" w:rsidP="00871FA2">
      <w:pPr>
        <w:pStyle w:val="Heading3"/>
      </w:pPr>
      <w:bookmarkStart w:id="409" w:name="_Toc268244801"/>
      <w:bookmarkStart w:id="410" w:name="_Toc268245150"/>
      <w:bookmarkStart w:id="411" w:name="_Toc268245219"/>
      <w:bookmarkStart w:id="412" w:name="_Toc268601545"/>
      <w:bookmarkStart w:id="413" w:name="_Toc268602082"/>
      <w:bookmarkStart w:id="414" w:name="_Toc268602867"/>
      <w:bookmarkStart w:id="415" w:name="_Toc268602997"/>
      <w:bookmarkStart w:id="416" w:name="_Toc268620681"/>
      <w:bookmarkStart w:id="417" w:name="_Toc269387144"/>
      <w:bookmarkStart w:id="418" w:name="_Toc269389115"/>
      <w:bookmarkStart w:id="419" w:name="_Toc270418848"/>
      <w:bookmarkStart w:id="420" w:name="_Toc270422661"/>
      <w:r w:rsidRPr="00AA2C40">
        <w:t>Definition of Terms</w:t>
      </w:r>
      <w:bookmarkEnd w:id="409"/>
      <w:bookmarkEnd w:id="410"/>
      <w:bookmarkEnd w:id="411"/>
      <w:bookmarkEnd w:id="412"/>
      <w:bookmarkEnd w:id="413"/>
      <w:bookmarkEnd w:id="414"/>
      <w:bookmarkEnd w:id="415"/>
      <w:bookmarkEnd w:id="416"/>
      <w:bookmarkEnd w:id="417"/>
      <w:bookmarkEnd w:id="418"/>
      <w:bookmarkEnd w:id="419"/>
      <w:bookmarkEnd w:id="420"/>
    </w:p>
    <w:p w:rsidR="00CD05FA" w:rsidRPr="00AA2C40" w:rsidRDefault="000E2727" w:rsidP="00C3606E">
      <w:pPr>
        <w:pStyle w:val="BodyText"/>
        <w:rPr>
          <w:rFonts w:cs="Arial"/>
          <w:b/>
        </w:rPr>
      </w:pPr>
      <w:r w:rsidRPr="00AA2C40">
        <w:rPr>
          <w:rFonts w:eastAsia="Calibri" w:cs="Arial"/>
        </w:rPr>
        <w:t>The energy and demand savings shall be:</w:t>
      </w:r>
    </w:p>
    <w:p w:rsidR="00186E88" w:rsidRPr="00186E88" w:rsidRDefault="00186E88" w:rsidP="00C3606E">
      <w:pPr>
        <w:pStyle w:val="Equation"/>
        <w:rPr>
          <w:rFonts w:cs="Arial"/>
          <w:szCs w:val="20"/>
        </w:rPr>
      </w:pPr>
      <w:r>
        <w:rPr>
          <w:rFonts w:cs="Arial"/>
          <w:szCs w:val="20"/>
        </w:rPr>
        <w:tab/>
      </w:r>
      <w:r w:rsidRPr="00AA2C40">
        <w:rPr>
          <w:rFonts w:cs="Arial"/>
          <w:szCs w:val="20"/>
        </w:rPr>
        <w:t>kWh</w:t>
      </w:r>
      <w:r>
        <w:rPr>
          <w:rFonts w:cs="Arial"/>
          <w:szCs w:val="20"/>
          <w:vertAlign w:val="subscript"/>
        </w:rPr>
        <w:t>Recycled</w:t>
      </w:r>
      <w:r>
        <w:rPr>
          <w:rFonts w:cs="Arial"/>
          <w:szCs w:val="20"/>
        </w:rPr>
        <w:tab/>
        <w:t>= Annual energy consumption of the recycled appliance</w:t>
      </w:r>
    </w:p>
    <w:p w:rsidR="00186E88" w:rsidRPr="00186E88" w:rsidRDefault="00186E88" w:rsidP="00C3606E">
      <w:pPr>
        <w:pStyle w:val="Equation"/>
        <w:rPr>
          <w:rFonts w:cs="Arial"/>
          <w:szCs w:val="20"/>
        </w:rPr>
      </w:pPr>
      <w:r>
        <w:rPr>
          <w:rFonts w:cs="Arial"/>
          <w:szCs w:val="20"/>
          <w:vertAlign w:val="subscript"/>
        </w:rPr>
        <w:tab/>
      </w:r>
      <w:r w:rsidRPr="00AA2C40">
        <w:rPr>
          <w:rFonts w:cs="Arial"/>
          <w:szCs w:val="20"/>
        </w:rPr>
        <w:t>kWh</w:t>
      </w:r>
      <w:r>
        <w:rPr>
          <w:rFonts w:cs="Arial"/>
          <w:szCs w:val="20"/>
          <w:vertAlign w:val="subscript"/>
        </w:rPr>
        <w:t>Replacement</w:t>
      </w:r>
      <w:r>
        <w:rPr>
          <w:rFonts w:cs="Arial"/>
          <w:szCs w:val="20"/>
          <w:vertAlign w:val="subscript"/>
        </w:rPr>
        <w:tab/>
      </w:r>
      <w:r>
        <w:rPr>
          <w:rFonts w:cs="Arial"/>
          <w:szCs w:val="20"/>
        </w:rPr>
        <w:t>= Annual energy consumption of the replacement appliance</w:t>
      </w:r>
    </w:p>
    <w:p w:rsidR="00CD05FA" w:rsidRPr="00186E88" w:rsidRDefault="000E2727" w:rsidP="00C3606E">
      <w:pPr>
        <w:pStyle w:val="Equation"/>
        <w:rPr>
          <w:rFonts w:cs="Arial"/>
          <w:szCs w:val="20"/>
          <w:vertAlign w:val="superscript"/>
        </w:rPr>
      </w:pPr>
      <w:r w:rsidRPr="00AA2C40">
        <w:rPr>
          <w:rFonts w:cs="Arial"/>
          <w:szCs w:val="20"/>
        </w:rPr>
        <w:tab/>
        <w:t>HOURS</w:t>
      </w:r>
      <w:r w:rsidRPr="00AA2C40">
        <w:rPr>
          <w:rFonts w:cs="Arial"/>
          <w:szCs w:val="20"/>
          <w:vertAlign w:val="subscript"/>
        </w:rPr>
        <w:t>RefRepl</w:t>
      </w:r>
      <w:r w:rsidRPr="00AA2C40">
        <w:rPr>
          <w:rFonts w:cs="Arial"/>
          <w:szCs w:val="20"/>
        </w:rPr>
        <w:t xml:space="preserve"> </w:t>
      </w:r>
      <w:r w:rsidRPr="00AA2C40">
        <w:rPr>
          <w:rFonts w:cs="Arial"/>
          <w:szCs w:val="20"/>
        </w:rPr>
        <w:tab/>
        <w:t xml:space="preserve">= Average annual run </w:t>
      </w:r>
      <w:r w:rsidR="00186E88">
        <w:rPr>
          <w:rFonts w:cs="Arial"/>
          <w:szCs w:val="20"/>
        </w:rPr>
        <w:t>hours</w:t>
      </w:r>
    </w:p>
    <w:p w:rsidR="00186E88" w:rsidRPr="00186E88" w:rsidRDefault="00186E88" w:rsidP="00186E88">
      <w:pPr>
        <w:pStyle w:val="Equation"/>
        <w:rPr>
          <w:rFonts w:cs="Arial"/>
          <w:szCs w:val="20"/>
        </w:rPr>
      </w:pPr>
      <w:r w:rsidRPr="00AA2C40">
        <w:rPr>
          <w:rFonts w:cs="Arial"/>
          <w:szCs w:val="20"/>
        </w:rPr>
        <w:tab/>
        <w:t>CF</w:t>
      </w:r>
      <w:r w:rsidRPr="00AA2C40">
        <w:rPr>
          <w:rFonts w:cs="Arial"/>
          <w:szCs w:val="20"/>
          <w:vertAlign w:val="subscript"/>
        </w:rPr>
        <w:t>RefRepl</w:t>
      </w:r>
      <w:r w:rsidRPr="00AA2C40">
        <w:rPr>
          <w:rFonts w:cs="Arial"/>
          <w:szCs w:val="20"/>
        </w:rPr>
        <w:t xml:space="preserve"> </w:t>
      </w:r>
      <w:r w:rsidRPr="00AA2C40">
        <w:rPr>
          <w:rFonts w:cs="Arial"/>
          <w:szCs w:val="20"/>
        </w:rPr>
        <w:tab/>
        <w:t>= Demand Coinc</w:t>
      </w:r>
      <w:r>
        <w:rPr>
          <w:rFonts w:cs="Arial"/>
          <w:szCs w:val="20"/>
        </w:rPr>
        <w:t>idence Factor (See Section 1.4)</w:t>
      </w:r>
    </w:p>
    <w:p w:rsidR="00186E88" w:rsidRPr="00186E88" w:rsidRDefault="00186E88" w:rsidP="00C3606E">
      <w:pPr>
        <w:pStyle w:val="Equation"/>
        <w:rPr>
          <w:rFonts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440"/>
        <w:gridCol w:w="4051"/>
        <w:gridCol w:w="1727"/>
      </w:tblGrid>
      <w:tr w:rsidR="00186E88" w:rsidRPr="00877D9B" w:rsidTr="00133427">
        <w:trPr>
          <w:tblHeader/>
        </w:trPr>
        <w:tc>
          <w:tcPr>
            <w:tcW w:w="925" w:type="pct"/>
            <w:tcBorders>
              <w:top w:val="single" w:sz="4" w:space="0" w:color="auto"/>
              <w:left w:val="single" w:sz="4" w:space="0" w:color="auto"/>
              <w:bottom w:val="single" w:sz="4" w:space="0" w:color="auto"/>
              <w:right w:val="single" w:sz="4" w:space="0" w:color="auto"/>
              <w:tl2br w:val="nil"/>
              <w:tr2bl w:val="nil"/>
            </w:tcBorders>
            <w:shd w:val="clear" w:color="auto" w:fill="BFBFBF"/>
          </w:tcPr>
          <w:p w:rsidR="00186E88" w:rsidRPr="001D6512" w:rsidRDefault="00186E88" w:rsidP="0092733E">
            <w:pPr>
              <w:pStyle w:val="TableCell"/>
              <w:keepNext w:val="0"/>
              <w:spacing w:before="60" w:after="60"/>
              <w:rPr>
                <w:b/>
              </w:rPr>
            </w:pPr>
            <w:r w:rsidRPr="001D6512">
              <w:rPr>
                <w:b/>
              </w:rPr>
              <w:t>Term</w:t>
            </w:r>
          </w:p>
        </w:tc>
        <w:tc>
          <w:tcPr>
            <w:tcW w:w="813" w:type="pct"/>
            <w:tcBorders>
              <w:top w:val="single" w:sz="4" w:space="0" w:color="auto"/>
              <w:left w:val="single" w:sz="4" w:space="0" w:color="auto"/>
              <w:bottom w:val="single" w:sz="4" w:space="0" w:color="auto"/>
              <w:right w:val="single" w:sz="4" w:space="0" w:color="auto"/>
              <w:tl2br w:val="nil"/>
              <w:tr2bl w:val="nil"/>
            </w:tcBorders>
            <w:shd w:val="clear" w:color="auto" w:fill="BFBFBF"/>
          </w:tcPr>
          <w:p w:rsidR="00186E88" w:rsidRPr="001D6512" w:rsidRDefault="00186E88" w:rsidP="0092733E">
            <w:pPr>
              <w:pStyle w:val="TableCell"/>
              <w:keepNext w:val="0"/>
              <w:spacing w:before="60" w:after="60"/>
              <w:rPr>
                <w:b/>
              </w:rPr>
            </w:pPr>
            <w:r w:rsidRPr="001D6512">
              <w:rPr>
                <w:b/>
              </w:rPr>
              <w:t>Type</w:t>
            </w:r>
          </w:p>
        </w:tc>
        <w:tc>
          <w:tcPr>
            <w:tcW w:w="2287" w:type="pct"/>
            <w:tcBorders>
              <w:top w:val="single" w:sz="4" w:space="0" w:color="auto"/>
              <w:left w:val="single" w:sz="4" w:space="0" w:color="auto"/>
              <w:bottom w:val="single" w:sz="4" w:space="0" w:color="auto"/>
              <w:right w:val="single" w:sz="4" w:space="0" w:color="auto"/>
              <w:tl2br w:val="nil"/>
              <w:tr2bl w:val="nil"/>
            </w:tcBorders>
            <w:shd w:val="clear" w:color="auto" w:fill="BFBFBF"/>
          </w:tcPr>
          <w:p w:rsidR="00186E88" w:rsidRPr="001D6512" w:rsidRDefault="00186E88" w:rsidP="0092733E">
            <w:pPr>
              <w:pStyle w:val="TableCell"/>
              <w:keepNext w:val="0"/>
              <w:spacing w:before="60" w:after="60"/>
              <w:rPr>
                <w:b/>
              </w:rPr>
            </w:pPr>
            <w:r w:rsidRPr="001D6512">
              <w:rPr>
                <w:b/>
              </w:rPr>
              <w:t>Value</w:t>
            </w:r>
          </w:p>
        </w:tc>
        <w:tc>
          <w:tcPr>
            <w:tcW w:w="976" w:type="pct"/>
            <w:tcBorders>
              <w:top w:val="single" w:sz="4" w:space="0" w:color="auto"/>
              <w:left w:val="single" w:sz="4" w:space="0" w:color="auto"/>
              <w:bottom w:val="single" w:sz="4" w:space="0" w:color="auto"/>
              <w:right w:val="single" w:sz="4" w:space="0" w:color="auto"/>
              <w:tl2br w:val="nil"/>
              <w:tr2bl w:val="nil"/>
            </w:tcBorders>
            <w:shd w:val="clear" w:color="auto" w:fill="BFBFBF"/>
          </w:tcPr>
          <w:p w:rsidR="00186E88" w:rsidRPr="001D6512" w:rsidRDefault="00186E88" w:rsidP="0092733E">
            <w:pPr>
              <w:pStyle w:val="TableCell"/>
              <w:keepNext w:val="0"/>
              <w:spacing w:before="60" w:after="60"/>
              <w:rPr>
                <w:b/>
              </w:rPr>
            </w:pPr>
            <w:r w:rsidRPr="001D6512">
              <w:rPr>
                <w:b/>
              </w:rPr>
              <w:t>Source</w:t>
            </w:r>
          </w:p>
        </w:tc>
      </w:tr>
      <w:tr w:rsidR="00186E88" w:rsidRPr="00877D9B" w:rsidTr="00133427">
        <w:tc>
          <w:tcPr>
            <w:tcW w:w="925" w:type="pct"/>
            <w:shd w:val="clear" w:color="auto" w:fill="auto"/>
          </w:tcPr>
          <w:p w:rsidR="00186E88" w:rsidRPr="001D6512" w:rsidRDefault="00186E88" w:rsidP="0092733E">
            <w:pPr>
              <w:pStyle w:val="TableCell"/>
              <w:keepNext w:val="0"/>
              <w:spacing w:before="60" w:after="60"/>
              <w:rPr>
                <w:vertAlign w:val="subscript"/>
              </w:rPr>
            </w:pPr>
            <w:r w:rsidRPr="001D6512">
              <w:rPr>
                <w:rFonts w:cs="Arial"/>
              </w:rPr>
              <w:t>kWh</w:t>
            </w:r>
            <w:r w:rsidRPr="001D6512">
              <w:rPr>
                <w:rFonts w:cs="Arial"/>
                <w:vertAlign w:val="subscript"/>
              </w:rPr>
              <w:t>Recycled</w:t>
            </w:r>
          </w:p>
        </w:tc>
        <w:tc>
          <w:tcPr>
            <w:tcW w:w="813" w:type="pct"/>
            <w:shd w:val="clear" w:color="auto" w:fill="auto"/>
          </w:tcPr>
          <w:p w:rsidR="00186E88" w:rsidRPr="001D6512" w:rsidRDefault="00133427" w:rsidP="0092733E">
            <w:pPr>
              <w:pStyle w:val="TableCell"/>
              <w:keepNext w:val="0"/>
              <w:spacing w:before="60" w:after="60"/>
            </w:pPr>
            <w:r w:rsidRPr="001D6512">
              <w:t>Fixed</w:t>
            </w:r>
          </w:p>
        </w:tc>
        <w:tc>
          <w:tcPr>
            <w:tcW w:w="2287" w:type="pct"/>
            <w:shd w:val="clear" w:color="auto" w:fill="auto"/>
          </w:tcPr>
          <w:p w:rsidR="00186E88" w:rsidRPr="001D6512" w:rsidRDefault="00133427" w:rsidP="0092733E">
            <w:pPr>
              <w:pStyle w:val="TableCell"/>
              <w:keepNext w:val="0"/>
              <w:spacing w:before="60" w:after="60"/>
            </w:pPr>
            <w:r w:rsidRPr="001D6512">
              <w:t>1,659 kWh</w:t>
            </w:r>
          </w:p>
        </w:tc>
        <w:tc>
          <w:tcPr>
            <w:tcW w:w="976" w:type="pct"/>
            <w:shd w:val="clear" w:color="auto" w:fill="auto"/>
          </w:tcPr>
          <w:p w:rsidR="00186E88" w:rsidRPr="001D6512" w:rsidRDefault="00186E88" w:rsidP="0092733E">
            <w:pPr>
              <w:pStyle w:val="TableCell"/>
              <w:keepNext w:val="0"/>
              <w:spacing w:before="60" w:after="60"/>
            </w:pPr>
            <w:r w:rsidRPr="001D6512">
              <w:t>1</w:t>
            </w:r>
          </w:p>
        </w:tc>
      </w:tr>
      <w:tr w:rsidR="00186E88" w:rsidRPr="00877D9B" w:rsidTr="00133427">
        <w:tc>
          <w:tcPr>
            <w:tcW w:w="925" w:type="pct"/>
            <w:shd w:val="clear" w:color="auto" w:fill="auto"/>
          </w:tcPr>
          <w:p w:rsidR="00186E88" w:rsidRPr="001D6512" w:rsidRDefault="00186E88" w:rsidP="0092733E">
            <w:pPr>
              <w:pStyle w:val="TableCell"/>
              <w:keepNext w:val="0"/>
              <w:spacing w:before="60" w:after="60"/>
              <w:rPr>
                <w:vertAlign w:val="subscript"/>
              </w:rPr>
            </w:pPr>
            <w:r w:rsidRPr="001D6512">
              <w:rPr>
                <w:rFonts w:cs="Arial"/>
              </w:rPr>
              <w:t>kWh</w:t>
            </w:r>
            <w:r w:rsidRPr="001D6512">
              <w:rPr>
                <w:rFonts w:cs="Arial"/>
                <w:vertAlign w:val="subscript"/>
              </w:rPr>
              <w:t>Replacement</w:t>
            </w:r>
          </w:p>
        </w:tc>
        <w:tc>
          <w:tcPr>
            <w:tcW w:w="813" w:type="pct"/>
            <w:shd w:val="clear" w:color="auto" w:fill="auto"/>
          </w:tcPr>
          <w:p w:rsidR="00186E88" w:rsidRPr="001D6512" w:rsidRDefault="00133427" w:rsidP="0092733E">
            <w:pPr>
              <w:pStyle w:val="TableCell"/>
              <w:keepNext w:val="0"/>
              <w:spacing w:before="60" w:after="60"/>
            </w:pPr>
            <w:r w:rsidRPr="001D6512">
              <w:t>Fixed</w:t>
            </w:r>
          </w:p>
        </w:tc>
        <w:tc>
          <w:tcPr>
            <w:tcW w:w="2287" w:type="pct"/>
            <w:shd w:val="clear" w:color="auto" w:fill="auto"/>
          </w:tcPr>
          <w:p w:rsidR="00186E88" w:rsidRPr="001D6512" w:rsidRDefault="00186E88" w:rsidP="0092733E">
            <w:pPr>
              <w:pStyle w:val="TableCell"/>
              <w:keepNext w:val="0"/>
              <w:spacing w:before="60" w:after="60"/>
            </w:pPr>
            <w:r w:rsidRPr="001D6512">
              <w:t>ENERGY STAR</w:t>
            </w:r>
            <w:r w:rsidR="00133427" w:rsidRPr="001D6512">
              <w:t xml:space="preserve"> unit</w:t>
            </w:r>
            <w:r w:rsidRPr="001D6512">
              <w:t>: 454 kWh</w:t>
            </w:r>
          </w:p>
          <w:p w:rsidR="00186E88" w:rsidRPr="001D6512" w:rsidRDefault="00186E88" w:rsidP="0092733E">
            <w:pPr>
              <w:pStyle w:val="TableCell"/>
              <w:keepNext w:val="0"/>
              <w:spacing w:before="60" w:after="60"/>
            </w:pPr>
            <w:r w:rsidRPr="001D6512">
              <w:t>Non-ENERGY STAR</w:t>
            </w:r>
            <w:r w:rsidR="00133427" w:rsidRPr="001D6512">
              <w:t xml:space="preserve"> unit</w:t>
            </w:r>
            <w:r w:rsidRPr="001D6512">
              <w:t>: 568 kWh</w:t>
            </w:r>
          </w:p>
        </w:tc>
        <w:tc>
          <w:tcPr>
            <w:tcW w:w="976" w:type="pct"/>
            <w:shd w:val="clear" w:color="auto" w:fill="auto"/>
          </w:tcPr>
          <w:p w:rsidR="00186E88" w:rsidRPr="001D6512" w:rsidRDefault="00186E88" w:rsidP="0092733E">
            <w:pPr>
              <w:pStyle w:val="TableCell"/>
              <w:keepNext w:val="0"/>
              <w:spacing w:before="60" w:after="60"/>
            </w:pPr>
            <w:r w:rsidRPr="001D6512">
              <w:t>2</w:t>
            </w:r>
          </w:p>
        </w:tc>
      </w:tr>
      <w:tr w:rsidR="00186E88" w:rsidRPr="00877D9B" w:rsidTr="00133427">
        <w:tc>
          <w:tcPr>
            <w:tcW w:w="925" w:type="pct"/>
            <w:shd w:val="clear" w:color="auto" w:fill="auto"/>
          </w:tcPr>
          <w:p w:rsidR="00186E88" w:rsidRPr="001D6512" w:rsidRDefault="00186E88" w:rsidP="0092733E">
            <w:pPr>
              <w:pStyle w:val="TableCell"/>
              <w:keepNext w:val="0"/>
              <w:spacing w:before="60" w:after="60"/>
            </w:pPr>
            <w:r w:rsidRPr="001D6512">
              <w:rPr>
                <w:rFonts w:cs="Arial"/>
              </w:rPr>
              <w:t>HOURS</w:t>
            </w:r>
            <w:r w:rsidRPr="001D6512">
              <w:rPr>
                <w:rFonts w:cs="Arial"/>
                <w:vertAlign w:val="subscript"/>
              </w:rPr>
              <w:t>RefRepl</w:t>
            </w:r>
          </w:p>
        </w:tc>
        <w:tc>
          <w:tcPr>
            <w:tcW w:w="813" w:type="pct"/>
            <w:shd w:val="clear" w:color="auto" w:fill="auto"/>
          </w:tcPr>
          <w:p w:rsidR="00186E88" w:rsidRPr="001D6512" w:rsidRDefault="00186E88" w:rsidP="0092733E">
            <w:pPr>
              <w:pStyle w:val="TableCell"/>
              <w:keepNext w:val="0"/>
              <w:spacing w:before="60" w:after="60"/>
            </w:pPr>
            <w:r w:rsidRPr="001D6512">
              <w:t>Fixed</w:t>
            </w:r>
          </w:p>
        </w:tc>
        <w:tc>
          <w:tcPr>
            <w:tcW w:w="2287" w:type="pct"/>
            <w:shd w:val="clear" w:color="auto" w:fill="auto"/>
          </w:tcPr>
          <w:p w:rsidR="00186E88" w:rsidRPr="001D6512" w:rsidRDefault="00186E88" w:rsidP="0092733E">
            <w:pPr>
              <w:pStyle w:val="TableCell"/>
              <w:keepNext w:val="0"/>
              <w:spacing w:before="60" w:after="60"/>
            </w:pPr>
            <w:r w:rsidRPr="001D6512">
              <w:t>5,000</w:t>
            </w:r>
          </w:p>
        </w:tc>
        <w:tc>
          <w:tcPr>
            <w:tcW w:w="976" w:type="pct"/>
            <w:shd w:val="clear" w:color="auto" w:fill="auto"/>
          </w:tcPr>
          <w:p w:rsidR="00186E88" w:rsidRPr="001D6512" w:rsidRDefault="00186E88" w:rsidP="0092733E">
            <w:pPr>
              <w:pStyle w:val="TableCell"/>
              <w:keepNext w:val="0"/>
              <w:spacing w:before="60" w:after="60"/>
            </w:pPr>
            <w:r w:rsidRPr="001D6512">
              <w:t>3 and 4</w:t>
            </w:r>
          </w:p>
        </w:tc>
      </w:tr>
      <w:tr w:rsidR="00186E88" w:rsidRPr="00877D9B" w:rsidTr="00133427">
        <w:tc>
          <w:tcPr>
            <w:tcW w:w="925" w:type="pct"/>
            <w:shd w:val="clear" w:color="auto" w:fill="auto"/>
          </w:tcPr>
          <w:p w:rsidR="00186E88" w:rsidRPr="001D6512" w:rsidRDefault="00186E88" w:rsidP="0092733E">
            <w:pPr>
              <w:pStyle w:val="TableCell"/>
              <w:keepNext w:val="0"/>
              <w:spacing w:before="60" w:after="60"/>
              <w:rPr>
                <w:rFonts w:cs="Arial"/>
              </w:rPr>
            </w:pPr>
            <w:r w:rsidRPr="001D6512">
              <w:rPr>
                <w:rFonts w:cs="Arial"/>
              </w:rPr>
              <w:t>CF</w:t>
            </w:r>
            <w:r w:rsidRPr="001D6512">
              <w:rPr>
                <w:rFonts w:cs="Arial"/>
                <w:vertAlign w:val="subscript"/>
              </w:rPr>
              <w:t>RefRepl</w:t>
            </w:r>
          </w:p>
        </w:tc>
        <w:tc>
          <w:tcPr>
            <w:tcW w:w="813" w:type="pct"/>
            <w:shd w:val="clear" w:color="auto" w:fill="auto"/>
          </w:tcPr>
          <w:p w:rsidR="00186E88" w:rsidRPr="001D6512" w:rsidRDefault="00186E88" w:rsidP="0092733E">
            <w:pPr>
              <w:pStyle w:val="TableCell"/>
              <w:keepNext w:val="0"/>
              <w:spacing w:before="60" w:after="60"/>
            </w:pPr>
            <w:r w:rsidRPr="001D6512">
              <w:t>Fixed</w:t>
            </w:r>
          </w:p>
        </w:tc>
        <w:tc>
          <w:tcPr>
            <w:tcW w:w="2287" w:type="pct"/>
            <w:shd w:val="clear" w:color="auto" w:fill="auto"/>
          </w:tcPr>
          <w:p w:rsidR="00186E88" w:rsidRPr="001D6512" w:rsidRDefault="00186E88" w:rsidP="0092733E">
            <w:pPr>
              <w:pStyle w:val="TableCell"/>
              <w:keepNext w:val="0"/>
              <w:spacing w:before="60" w:after="60"/>
            </w:pPr>
            <w:r w:rsidRPr="001D6512">
              <w:t>0.620</w:t>
            </w:r>
          </w:p>
        </w:tc>
        <w:tc>
          <w:tcPr>
            <w:tcW w:w="976" w:type="pct"/>
            <w:shd w:val="clear" w:color="auto" w:fill="auto"/>
          </w:tcPr>
          <w:p w:rsidR="00186E88" w:rsidRPr="001D6512" w:rsidRDefault="00186E88" w:rsidP="0092733E">
            <w:pPr>
              <w:pStyle w:val="TableCell"/>
              <w:keepNext w:val="0"/>
              <w:spacing w:before="60" w:after="60"/>
            </w:pPr>
            <w:r w:rsidRPr="001D6512">
              <w:t>4</w:t>
            </w:r>
          </w:p>
        </w:tc>
      </w:tr>
    </w:tbl>
    <w:p w:rsidR="00186E88" w:rsidRDefault="00186E88" w:rsidP="00C3606E">
      <w:pPr>
        <w:pStyle w:val="BodyText"/>
      </w:pPr>
    </w:p>
    <w:p w:rsidR="00186E88" w:rsidRPr="00186E88" w:rsidRDefault="00186E88" w:rsidP="00C3606E">
      <w:pPr>
        <w:pStyle w:val="BodyText"/>
        <w:rPr>
          <w:b/>
        </w:rPr>
      </w:pPr>
      <w:r w:rsidRPr="00186E88">
        <w:rPr>
          <w:b/>
        </w:rPr>
        <w:t>Sources:</w:t>
      </w:r>
    </w:p>
    <w:p w:rsidR="00186E88" w:rsidRDefault="00133427" w:rsidP="0005632A">
      <w:pPr>
        <w:pStyle w:val="source1"/>
        <w:numPr>
          <w:ilvl w:val="0"/>
          <w:numId w:val="117"/>
        </w:numPr>
      </w:pPr>
      <w:r w:rsidRPr="00C67DA4">
        <w:t xml:space="preserve">Energy Star Refrigerator Retirement Calculator, accessed </w:t>
      </w:r>
      <w:r>
        <w:t>09/01</w:t>
      </w:r>
      <w:r w:rsidRPr="00C67DA4">
        <w:t xml:space="preserve">/2011 at </w:t>
      </w:r>
      <w:hyperlink r:id="rId30" w:history="1">
        <w:r w:rsidRPr="00476C5D">
          <w:rPr>
            <w:rStyle w:val="Hyperlink"/>
            <w:rFonts w:cs="Arial"/>
          </w:rPr>
          <w:t>http://www.energystar.gov/index.cfm?fuseaction=refrig.calculator</w:t>
        </w:r>
      </w:hyperlink>
      <w:r>
        <w:t xml:space="preserve">. </w:t>
      </w:r>
      <w:r w:rsidRPr="0040220B">
        <w:t xml:space="preserve">The combined average refrigerator and freezer annual kWh consumption for Pennsylvania is based upon the data contained in the PA EDC appliance recycling contractor (JACO) databases. Because the manufacturer annual kWh consumption data was recorded in less than 50% of appliance collections, it was not used to calculate an average. SWE utilized the recorded year of manufacture in the “JACO Databases” and the annual kWh consumption data by size and age contained in the </w:t>
      </w:r>
      <w:r>
        <w:t>ENERGY STAR</w:t>
      </w:r>
      <w:r w:rsidRPr="0040220B">
        <w:t xml:space="preserve"> Refrigerator Retirement Calculator.</w:t>
      </w:r>
      <w:r w:rsidR="00EB21D7">
        <w:t xml:space="preserve"> This value is subject to change based on further analysis of other evaluation reports on appliance recycling programs across the nation.</w:t>
      </w:r>
    </w:p>
    <w:p w:rsidR="00133427" w:rsidRDefault="00133427" w:rsidP="0005632A">
      <w:pPr>
        <w:pStyle w:val="source1"/>
        <w:numPr>
          <w:ilvl w:val="0"/>
          <w:numId w:val="117"/>
        </w:numPr>
      </w:pPr>
      <w:r w:rsidRPr="00C67DA4">
        <w:t>Energy Star Refrigerator</w:t>
      </w:r>
      <w:r>
        <w:t xml:space="preserve"> Savings</w:t>
      </w:r>
      <w:r w:rsidRPr="00C67DA4">
        <w:t xml:space="preserve"> Calculator, accessed </w:t>
      </w:r>
      <w:r>
        <w:t>09/01</w:t>
      </w:r>
      <w:r w:rsidRPr="00C67DA4">
        <w:t xml:space="preserve">/2011 at </w:t>
      </w:r>
      <w:hyperlink r:id="rId31" w:history="1">
        <w:r w:rsidRPr="00476C5D">
          <w:rPr>
            <w:rStyle w:val="Hyperlink"/>
            <w:rFonts w:cs="Arial"/>
          </w:rPr>
          <w:t>http://www.energystar.gov/ia/business/bulk_purchasing/bpsavings_calc/Consumer_Residential_Refrig_Sav_Calc.xls</w:t>
        </w:r>
      </w:hyperlink>
      <w:r>
        <w:t>. Values represent average energy consumption of all refrigerator configurations listed in the calculator based on default volume of 25.8 ft</w:t>
      </w:r>
      <w:r w:rsidRPr="00133427">
        <w:rPr>
          <w:vertAlign w:val="superscript"/>
        </w:rPr>
        <w:t>3</w:t>
      </w:r>
      <w:r>
        <w:t xml:space="preserve"> and federal minimum standards for non-ENERGY STAR units and ENERGY STAR standards for ENERGY STAR units.</w:t>
      </w:r>
    </w:p>
    <w:p w:rsidR="00186E88" w:rsidRDefault="00186E88" w:rsidP="0005632A">
      <w:pPr>
        <w:pStyle w:val="source1"/>
        <w:numPr>
          <w:ilvl w:val="0"/>
          <w:numId w:val="117"/>
        </w:numPr>
      </w:pPr>
      <w:r w:rsidRPr="00C67DA4">
        <w:t>Efficiency Vermont; Technical Reference User Manual (TRM).  2008.  TRM User Manual No. 2008-53.  Burli</w:t>
      </w:r>
      <w:r w:rsidR="000740AD">
        <w:t>n</w:t>
      </w:r>
      <w:r w:rsidRPr="00C67DA4">
        <w:t>gton, VT 05401.  July 18, 2008.</w:t>
      </w:r>
    </w:p>
    <w:p w:rsidR="00186E88" w:rsidRDefault="00186E88" w:rsidP="0005632A">
      <w:pPr>
        <w:pStyle w:val="source1"/>
        <w:numPr>
          <w:ilvl w:val="0"/>
          <w:numId w:val="117"/>
        </w:numPr>
      </w:pPr>
      <w:r w:rsidRPr="00C67DA4">
        <w:t>Mid Atlantic TRM Version 1.0. May 2010.  Prepared by Vermont Energy Investment Corporation.  Facilitated and managed by Northeast Energy Efficiency Partnerships.</w:t>
      </w:r>
    </w:p>
    <w:p w:rsidR="00E42D24" w:rsidRPr="00E42D24" w:rsidRDefault="00E42D24" w:rsidP="00100EDF">
      <w:pPr>
        <w:pStyle w:val="Caption"/>
      </w:pPr>
      <w:bookmarkStart w:id="421" w:name="_Toc310875521"/>
      <w:r w:rsidRPr="00896814">
        <w:t>Table</w:t>
      </w:r>
      <w:r w:rsidRPr="00E42D24">
        <w:t xml:space="preserv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35</w:t>
      </w:r>
      <w:r w:rsidR="00274AB1">
        <w:rPr>
          <w:noProof/>
        </w:rPr>
        <w:fldChar w:fldCharType="end"/>
      </w:r>
      <w:r w:rsidRPr="00E42D24">
        <w:t xml:space="preserve">: </w:t>
      </w:r>
      <w:r w:rsidR="001A5E45">
        <w:t>Refrigerator/Freezer Recycling and Replacement</w:t>
      </w:r>
      <w:r w:rsidR="00133427">
        <w:t xml:space="preserve"> Default Savings</w:t>
      </w:r>
      <w:bookmarkEnd w:id="421"/>
      <w:r w:rsidR="00133427">
        <w:t xml:space="preserve"> </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1395"/>
        <w:gridCol w:w="1395"/>
        <w:gridCol w:w="1246"/>
        <w:gridCol w:w="1247"/>
      </w:tblGrid>
      <w:tr w:rsidR="00133427" w:rsidRPr="0040220B" w:rsidTr="00133427">
        <w:trPr>
          <w:trHeight w:val="317"/>
        </w:trPr>
        <w:tc>
          <w:tcPr>
            <w:tcW w:w="4158" w:type="dxa"/>
            <w:tcBorders>
              <w:top w:val="single" w:sz="4" w:space="0" w:color="auto"/>
              <w:left w:val="single" w:sz="4" w:space="0" w:color="auto"/>
              <w:bottom w:val="single" w:sz="4" w:space="0" w:color="auto"/>
              <w:right w:val="single" w:sz="4" w:space="0" w:color="auto"/>
              <w:tl2br w:val="nil"/>
              <w:tr2bl w:val="nil"/>
            </w:tcBorders>
            <w:shd w:val="clear" w:color="auto" w:fill="BFBFBF"/>
            <w:vAlign w:val="center"/>
            <w:hideMark/>
          </w:tcPr>
          <w:p w:rsidR="00133427" w:rsidRPr="001D6512" w:rsidRDefault="00133427" w:rsidP="00C3606E">
            <w:pPr>
              <w:pStyle w:val="TableCell"/>
              <w:keepNext w:val="0"/>
              <w:spacing w:before="60" w:after="60"/>
              <w:rPr>
                <w:b/>
                <w:sz w:val="20"/>
              </w:rPr>
            </w:pPr>
            <w:r w:rsidRPr="001D6512">
              <w:rPr>
                <w:b/>
              </w:rPr>
              <w:t>Type</w:t>
            </w:r>
          </w:p>
        </w:tc>
        <w:tc>
          <w:tcPr>
            <w:tcW w:w="1395" w:type="dxa"/>
            <w:tcBorders>
              <w:top w:val="single" w:sz="4" w:space="0" w:color="auto"/>
              <w:left w:val="single" w:sz="4" w:space="0" w:color="auto"/>
              <w:bottom w:val="single" w:sz="4" w:space="0" w:color="auto"/>
              <w:right w:val="single" w:sz="4" w:space="0" w:color="auto"/>
              <w:tl2br w:val="nil"/>
              <w:tr2bl w:val="nil"/>
            </w:tcBorders>
            <w:shd w:val="clear" w:color="auto" w:fill="BFBFBF"/>
            <w:vAlign w:val="center"/>
            <w:hideMark/>
          </w:tcPr>
          <w:p w:rsidR="00133427" w:rsidRPr="001D6512" w:rsidRDefault="00133427" w:rsidP="00C3606E">
            <w:pPr>
              <w:pStyle w:val="TableCell"/>
              <w:keepNext w:val="0"/>
              <w:spacing w:before="60" w:after="60"/>
              <w:rPr>
                <w:b/>
                <w:sz w:val="20"/>
              </w:rPr>
            </w:pPr>
            <w:r w:rsidRPr="001D6512">
              <w:rPr>
                <w:b/>
              </w:rPr>
              <w:t>kWh</w:t>
            </w:r>
            <w:r w:rsidRPr="001D6512">
              <w:rPr>
                <w:b/>
                <w:vertAlign w:val="subscript"/>
              </w:rPr>
              <w:t>Recycled</w:t>
            </w:r>
          </w:p>
        </w:tc>
        <w:tc>
          <w:tcPr>
            <w:tcW w:w="1395" w:type="dxa"/>
            <w:tcBorders>
              <w:top w:val="single" w:sz="4" w:space="0" w:color="auto"/>
              <w:left w:val="single" w:sz="4" w:space="0" w:color="auto"/>
              <w:bottom w:val="single" w:sz="4" w:space="0" w:color="auto"/>
              <w:right w:val="single" w:sz="4" w:space="0" w:color="auto"/>
              <w:tl2br w:val="nil"/>
              <w:tr2bl w:val="nil"/>
            </w:tcBorders>
            <w:shd w:val="clear" w:color="auto" w:fill="BFBFBF"/>
            <w:vAlign w:val="center"/>
            <w:hideMark/>
          </w:tcPr>
          <w:p w:rsidR="00133427" w:rsidRPr="001D6512" w:rsidRDefault="00133427" w:rsidP="00C3606E">
            <w:pPr>
              <w:pStyle w:val="TableCell"/>
              <w:keepNext w:val="0"/>
              <w:spacing w:before="60" w:after="60"/>
              <w:rPr>
                <w:b/>
                <w:sz w:val="20"/>
              </w:rPr>
            </w:pPr>
            <w:r w:rsidRPr="001D6512">
              <w:rPr>
                <w:b/>
              </w:rPr>
              <w:t>kWh</w:t>
            </w:r>
            <w:r w:rsidRPr="001D6512">
              <w:rPr>
                <w:b/>
                <w:vertAlign w:val="subscript"/>
              </w:rPr>
              <w:t>Replacement</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BFBFBF"/>
            <w:vAlign w:val="center"/>
            <w:hideMark/>
          </w:tcPr>
          <w:p w:rsidR="00133427" w:rsidRPr="001D6512" w:rsidRDefault="00133427" w:rsidP="00C3606E">
            <w:pPr>
              <w:pStyle w:val="TableCell"/>
              <w:keepNext w:val="0"/>
              <w:spacing w:before="60" w:after="60"/>
              <w:rPr>
                <w:b/>
                <w:sz w:val="20"/>
              </w:rPr>
            </w:pPr>
            <w:r w:rsidRPr="001D6512">
              <w:rPr>
                <w:rFonts w:cs="Arial"/>
                <w:b/>
              </w:rPr>
              <w:t>ΔkWh</w:t>
            </w:r>
            <w:r w:rsidRPr="001D6512">
              <w:rPr>
                <w:rFonts w:cs="Arial"/>
                <w:b/>
              </w:rPr>
              <w:tab/>
            </w:r>
          </w:p>
        </w:tc>
        <w:tc>
          <w:tcPr>
            <w:tcW w:w="1247" w:type="dxa"/>
            <w:tcBorders>
              <w:top w:val="single" w:sz="4" w:space="0" w:color="auto"/>
              <w:left w:val="single" w:sz="4" w:space="0" w:color="auto"/>
              <w:bottom w:val="single" w:sz="4" w:space="0" w:color="auto"/>
              <w:right w:val="single" w:sz="4" w:space="0" w:color="auto"/>
              <w:tl2br w:val="nil"/>
              <w:tr2bl w:val="nil"/>
            </w:tcBorders>
            <w:shd w:val="clear" w:color="auto" w:fill="BFBFBF"/>
            <w:vAlign w:val="center"/>
          </w:tcPr>
          <w:p w:rsidR="00133427" w:rsidRPr="001D6512" w:rsidRDefault="00133427" w:rsidP="00C3606E">
            <w:pPr>
              <w:pStyle w:val="TableCell"/>
              <w:keepNext w:val="0"/>
              <w:spacing w:before="60" w:after="60"/>
              <w:rPr>
                <w:b/>
                <w:sz w:val="20"/>
              </w:rPr>
            </w:pPr>
            <w:r w:rsidRPr="001D6512">
              <w:rPr>
                <w:rFonts w:cs="Arial"/>
                <w:b/>
              </w:rPr>
              <w:t>ΔkW</w:t>
            </w:r>
            <w:r w:rsidRPr="001D6512">
              <w:rPr>
                <w:rFonts w:cs="Arial"/>
                <w:b/>
                <w:vertAlign w:val="subscript"/>
              </w:rPr>
              <w:t>peak</w:t>
            </w:r>
          </w:p>
        </w:tc>
      </w:tr>
      <w:tr w:rsidR="00133427" w:rsidRPr="0040220B" w:rsidTr="00133427">
        <w:trPr>
          <w:trHeight w:val="317"/>
        </w:trPr>
        <w:tc>
          <w:tcPr>
            <w:tcW w:w="4158" w:type="dxa"/>
            <w:shd w:val="clear" w:color="auto" w:fill="auto"/>
            <w:vAlign w:val="center"/>
            <w:hideMark/>
          </w:tcPr>
          <w:p w:rsidR="00133427" w:rsidRPr="001D6512" w:rsidRDefault="00133427" w:rsidP="00C3606E">
            <w:pPr>
              <w:pStyle w:val="TableCell"/>
              <w:keepNext w:val="0"/>
              <w:spacing w:before="60" w:after="60"/>
              <w:rPr>
                <w:sz w:val="20"/>
              </w:rPr>
            </w:pPr>
            <w:r w:rsidRPr="001D6512">
              <w:t>Appliance Replaced with ENERGY STAR Unit</w:t>
            </w:r>
          </w:p>
        </w:tc>
        <w:tc>
          <w:tcPr>
            <w:tcW w:w="1395" w:type="dxa"/>
            <w:shd w:val="clear" w:color="auto" w:fill="auto"/>
            <w:noWrap/>
            <w:vAlign w:val="center"/>
            <w:hideMark/>
          </w:tcPr>
          <w:p w:rsidR="00133427" w:rsidRPr="001D6512" w:rsidRDefault="00133427" w:rsidP="00133427">
            <w:pPr>
              <w:pStyle w:val="TableCell"/>
              <w:keepNext w:val="0"/>
              <w:spacing w:before="60" w:after="60"/>
              <w:rPr>
                <w:rFonts w:eastAsia="Arial Unicode MS" w:cs="Arial"/>
                <w:i/>
                <w:iCs/>
                <w:sz w:val="20"/>
                <w:szCs w:val="24"/>
              </w:rPr>
            </w:pPr>
            <w:r w:rsidRPr="001D6512">
              <w:t>1,659</w:t>
            </w:r>
          </w:p>
        </w:tc>
        <w:tc>
          <w:tcPr>
            <w:tcW w:w="1395" w:type="dxa"/>
            <w:shd w:val="clear" w:color="auto" w:fill="auto"/>
            <w:noWrap/>
            <w:vAlign w:val="center"/>
            <w:hideMark/>
          </w:tcPr>
          <w:p w:rsidR="00133427" w:rsidRPr="001D6512" w:rsidRDefault="00133427" w:rsidP="00133427">
            <w:pPr>
              <w:pStyle w:val="TableCell"/>
              <w:keepNext w:val="0"/>
              <w:spacing w:before="60" w:after="60"/>
              <w:rPr>
                <w:rFonts w:eastAsia="Arial Unicode MS" w:cs="Arial"/>
                <w:i/>
                <w:iCs/>
                <w:sz w:val="20"/>
                <w:szCs w:val="24"/>
              </w:rPr>
            </w:pPr>
            <w:r w:rsidRPr="001D6512">
              <w:t>454</w:t>
            </w:r>
          </w:p>
        </w:tc>
        <w:tc>
          <w:tcPr>
            <w:tcW w:w="1246" w:type="dxa"/>
            <w:shd w:val="clear" w:color="auto" w:fill="auto"/>
            <w:noWrap/>
            <w:vAlign w:val="center"/>
            <w:hideMark/>
          </w:tcPr>
          <w:p w:rsidR="00133427" w:rsidRPr="001D6512" w:rsidRDefault="00133427" w:rsidP="00C3606E">
            <w:pPr>
              <w:pStyle w:val="TableCell"/>
              <w:keepNext w:val="0"/>
              <w:spacing w:before="60" w:after="60"/>
              <w:rPr>
                <w:rFonts w:eastAsia="Arial Unicode MS" w:cs="Arial"/>
                <w:i/>
                <w:iCs/>
                <w:sz w:val="20"/>
                <w:szCs w:val="24"/>
              </w:rPr>
            </w:pPr>
            <w:r w:rsidRPr="001D6512">
              <w:t>1,205</w:t>
            </w:r>
          </w:p>
        </w:tc>
        <w:tc>
          <w:tcPr>
            <w:tcW w:w="1247" w:type="dxa"/>
            <w:shd w:val="clear" w:color="auto" w:fill="auto"/>
            <w:vAlign w:val="center"/>
          </w:tcPr>
          <w:p w:rsidR="00133427" w:rsidRPr="001D6512" w:rsidRDefault="00133427" w:rsidP="00C3606E">
            <w:pPr>
              <w:pStyle w:val="TableCell"/>
              <w:keepNext w:val="0"/>
              <w:spacing w:before="60" w:after="60"/>
              <w:rPr>
                <w:rFonts w:eastAsia="Arial Unicode MS" w:cs="Arial"/>
                <w:iCs/>
                <w:sz w:val="20"/>
                <w:szCs w:val="24"/>
              </w:rPr>
            </w:pPr>
            <w:r w:rsidRPr="001D6512">
              <w:rPr>
                <w:rFonts w:eastAsia="Arial Unicode MS" w:cs="Arial"/>
                <w:iCs/>
                <w:sz w:val="20"/>
                <w:szCs w:val="24"/>
              </w:rPr>
              <w:t>0.149</w:t>
            </w:r>
          </w:p>
        </w:tc>
      </w:tr>
      <w:tr w:rsidR="00133427" w:rsidRPr="0040220B" w:rsidTr="00133427">
        <w:trPr>
          <w:trHeight w:val="317"/>
        </w:trPr>
        <w:tc>
          <w:tcPr>
            <w:tcW w:w="4158" w:type="dxa"/>
            <w:shd w:val="clear" w:color="auto" w:fill="auto"/>
            <w:vAlign w:val="center"/>
          </w:tcPr>
          <w:p w:rsidR="00133427" w:rsidRPr="001D6512" w:rsidRDefault="00133427" w:rsidP="00C3606E">
            <w:pPr>
              <w:pStyle w:val="TableCell"/>
              <w:keepNext w:val="0"/>
              <w:spacing w:before="60" w:after="60"/>
            </w:pPr>
            <w:r w:rsidRPr="001D6512">
              <w:t>Appliance Replaced with non-ENERGY Star Unit</w:t>
            </w:r>
          </w:p>
        </w:tc>
        <w:tc>
          <w:tcPr>
            <w:tcW w:w="1395" w:type="dxa"/>
            <w:shd w:val="clear" w:color="auto" w:fill="auto"/>
            <w:noWrap/>
            <w:vAlign w:val="center"/>
          </w:tcPr>
          <w:p w:rsidR="00133427" w:rsidRPr="001D6512" w:rsidRDefault="00133427" w:rsidP="00C3606E">
            <w:pPr>
              <w:pStyle w:val="TableCell"/>
              <w:keepNext w:val="0"/>
              <w:spacing w:before="60" w:after="60"/>
            </w:pPr>
            <w:r w:rsidRPr="001D6512">
              <w:t>1,659</w:t>
            </w:r>
          </w:p>
        </w:tc>
        <w:tc>
          <w:tcPr>
            <w:tcW w:w="1395" w:type="dxa"/>
            <w:shd w:val="clear" w:color="auto" w:fill="auto"/>
            <w:noWrap/>
            <w:vAlign w:val="center"/>
          </w:tcPr>
          <w:p w:rsidR="00133427" w:rsidRPr="001D6512" w:rsidRDefault="00133427" w:rsidP="00C3606E">
            <w:pPr>
              <w:pStyle w:val="TableCell"/>
              <w:keepNext w:val="0"/>
              <w:spacing w:before="60" w:after="60"/>
            </w:pPr>
            <w:r w:rsidRPr="001D6512">
              <w:t>568</w:t>
            </w:r>
          </w:p>
        </w:tc>
        <w:tc>
          <w:tcPr>
            <w:tcW w:w="1246" w:type="dxa"/>
            <w:shd w:val="clear" w:color="auto" w:fill="auto"/>
            <w:noWrap/>
            <w:vAlign w:val="center"/>
          </w:tcPr>
          <w:p w:rsidR="00133427" w:rsidRPr="001D6512" w:rsidRDefault="00133427" w:rsidP="00C3606E">
            <w:pPr>
              <w:pStyle w:val="TableCell"/>
              <w:keepNext w:val="0"/>
              <w:spacing w:before="60" w:after="60"/>
            </w:pPr>
            <w:r w:rsidRPr="001D6512">
              <w:t>1,091</w:t>
            </w:r>
          </w:p>
        </w:tc>
        <w:tc>
          <w:tcPr>
            <w:tcW w:w="1247" w:type="dxa"/>
            <w:shd w:val="clear" w:color="auto" w:fill="auto"/>
            <w:vAlign w:val="center"/>
          </w:tcPr>
          <w:p w:rsidR="00133427" w:rsidRPr="001D6512" w:rsidRDefault="00133427" w:rsidP="00C3606E">
            <w:pPr>
              <w:pStyle w:val="TableCell"/>
              <w:keepNext w:val="0"/>
              <w:spacing w:before="60" w:after="60"/>
            </w:pPr>
            <w:r w:rsidRPr="001D6512">
              <w:t>0.135</w:t>
            </w:r>
          </w:p>
        </w:tc>
      </w:tr>
    </w:tbl>
    <w:p w:rsidR="00CD05FA" w:rsidRDefault="00CD05FA" w:rsidP="00C3606E">
      <w:pPr>
        <w:rPr>
          <w:rFonts w:eastAsia="Calibri"/>
        </w:rPr>
      </w:pPr>
    </w:p>
    <w:p w:rsidR="00CD05FA" w:rsidRDefault="000E2727" w:rsidP="00871FA2">
      <w:pPr>
        <w:pStyle w:val="Heading3"/>
      </w:pPr>
      <w:bookmarkStart w:id="422" w:name="_Toc268244802"/>
      <w:bookmarkStart w:id="423" w:name="_Toc268245151"/>
      <w:bookmarkStart w:id="424" w:name="_Toc268245220"/>
      <w:bookmarkStart w:id="425" w:name="_Toc268601546"/>
      <w:bookmarkStart w:id="426" w:name="_Toc268602083"/>
      <w:bookmarkStart w:id="427" w:name="_Toc268602868"/>
      <w:bookmarkStart w:id="428" w:name="_Toc268602998"/>
      <w:bookmarkStart w:id="429" w:name="_Toc268620682"/>
      <w:bookmarkStart w:id="430" w:name="_Toc269387145"/>
      <w:bookmarkStart w:id="431" w:name="_Toc269389116"/>
      <w:bookmarkStart w:id="432" w:name="_Toc270418849"/>
      <w:bookmarkStart w:id="433" w:name="_Toc270422662"/>
      <w:r w:rsidRPr="0040220B">
        <w:t>Measure Life</w:t>
      </w:r>
      <w:bookmarkEnd w:id="422"/>
      <w:bookmarkEnd w:id="423"/>
      <w:bookmarkEnd w:id="424"/>
      <w:bookmarkEnd w:id="425"/>
      <w:bookmarkEnd w:id="426"/>
      <w:bookmarkEnd w:id="427"/>
      <w:bookmarkEnd w:id="428"/>
      <w:bookmarkEnd w:id="429"/>
      <w:bookmarkEnd w:id="430"/>
      <w:bookmarkEnd w:id="431"/>
      <w:bookmarkEnd w:id="432"/>
      <w:bookmarkEnd w:id="433"/>
    </w:p>
    <w:p w:rsidR="00CD05FA" w:rsidRDefault="000E2727">
      <w:pPr>
        <w:pStyle w:val="BodyText"/>
        <w:rPr>
          <w:rFonts w:eastAsia="Calibri"/>
        </w:rPr>
      </w:pPr>
      <w:r w:rsidRPr="0040220B">
        <w:rPr>
          <w:rFonts w:eastAsia="Calibri"/>
        </w:rPr>
        <w:t>Refrigerator/Freezer Replacement programs:  Measure Life = 7 yrs</w:t>
      </w:r>
    </w:p>
    <w:p w:rsidR="00CD05FA" w:rsidRPr="00896814" w:rsidRDefault="000E2727" w:rsidP="00865117">
      <w:pPr>
        <w:keepNext/>
        <w:rPr>
          <w:rFonts w:eastAsia="Calibri"/>
          <w:b/>
        </w:rPr>
      </w:pPr>
      <w:r w:rsidRPr="00896814">
        <w:rPr>
          <w:rFonts w:eastAsia="Calibri"/>
          <w:b/>
        </w:rPr>
        <w:lastRenderedPageBreak/>
        <w:t xml:space="preserve">Measure Life Rationale </w:t>
      </w:r>
    </w:p>
    <w:p w:rsidR="00CD05FA" w:rsidRDefault="000E2727">
      <w:pPr>
        <w:pStyle w:val="BodyText"/>
        <w:rPr>
          <w:rFonts w:eastAsia="Calibri"/>
        </w:rPr>
      </w:pPr>
      <w:r w:rsidRPr="0040220B">
        <w:rPr>
          <w:rFonts w:eastAsia="Calibri"/>
        </w:rPr>
        <w:t>The 2010 PA TRM specifies a Measure Life of 13 years for refrigerator replacement and 8 years for refrigerator retirement (Appendix A). It is assumed that the TRM listed measure life is either an Effective Useful Life (EUL) or Remaining Useful Life (RUL), as appropriate to the measure. Survey results from a study of the low-income program for SDG&amp;E (2006)</w:t>
      </w:r>
      <w:r w:rsidRPr="0040220B">
        <w:rPr>
          <w:rFonts w:eastAsia="Calibri"/>
          <w:vertAlign w:val="superscript"/>
        </w:rPr>
        <w:footnoteReference w:id="79"/>
      </w:r>
      <w:r w:rsidRPr="0040220B">
        <w:rPr>
          <w:rFonts w:eastAsia="Calibri"/>
        </w:rPr>
        <w:t xml:space="preserve"> found that among the program’s target population, refrigerators are likely to be replaced less frequently than among average customers.  Southern California Edison uses an EUL of 18 years for its Low-Income Refrigerator Replacement measure which reflects the less frequent replacement cycle among low-income households.  The PA TRM limits measure savings to a maximum of 15 yrs.</w:t>
      </w:r>
    </w:p>
    <w:p w:rsidR="00CD05FA" w:rsidRDefault="000E2727">
      <w:pPr>
        <w:pStyle w:val="BodyText"/>
        <w:rPr>
          <w:rFonts w:eastAsia="Calibri"/>
        </w:rPr>
      </w:pPr>
      <w:r w:rsidRPr="0040220B">
        <w:rPr>
          <w:rFonts w:eastAsia="Calibri"/>
        </w:rPr>
        <w:t xml:space="preserve">Due to the nature of a Refrigerator/Freezer Early Replacement Program, measure savings should be calculated over the life of the </w:t>
      </w:r>
      <w:r w:rsidR="00325EF4">
        <w:rPr>
          <w:rFonts w:eastAsia="Calibri"/>
        </w:rPr>
        <w:t>ENERGY STAR</w:t>
      </w:r>
      <w:r w:rsidRPr="0040220B">
        <w:rPr>
          <w:rFonts w:eastAsia="Calibri"/>
        </w:rPr>
        <w:t xml:space="preserve"> replacement unit.  These savings should be calculated over two periods, the RUL of the existing unit, and the remainder of the measure life beyond the RUL.  For the RUL of the existing unit, the energy savings would be equal to the full savings difference between the existing baseline unit and the </w:t>
      </w:r>
      <w:r w:rsidR="00325EF4">
        <w:rPr>
          <w:rFonts w:eastAsia="Calibri"/>
        </w:rPr>
        <w:t>ENERGY STAR</w:t>
      </w:r>
      <w:r w:rsidRPr="0040220B">
        <w:rPr>
          <w:rFonts w:eastAsia="Calibri"/>
        </w:rPr>
        <w:t xml:space="preserve"> unit, and for the remainder of the measure life the savings would be equal to the difference between a Federal Standard unit and the </w:t>
      </w:r>
      <w:r w:rsidR="00325EF4">
        <w:rPr>
          <w:rFonts w:eastAsia="Calibri"/>
        </w:rPr>
        <w:t>ENERGY STAR</w:t>
      </w:r>
      <w:r w:rsidRPr="0040220B">
        <w:rPr>
          <w:rFonts w:eastAsia="Calibri"/>
        </w:rPr>
        <w:t xml:space="preserve"> unit.  The RUL can be assumed to be 1/3 of the measure EUL.</w:t>
      </w:r>
    </w:p>
    <w:p w:rsidR="00CD05FA" w:rsidRDefault="000E2727">
      <w:pPr>
        <w:pStyle w:val="BodyText"/>
        <w:rPr>
          <w:rFonts w:eastAsia="Calibri"/>
        </w:rPr>
      </w:pPr>
      <w:r w:rsidRPr="0040220B">
        <w:rPr>
          <w:rFonts w:eastAsia="Calibri"/>
        </w:rPr>
        <w:t xml:space="preserve">As an example, Low-Income programs use a measure life of 18 years and an RUL of 6 yrs (1/3*18).  The measure savings for the RUL of 6 yrs would be equal to the full savings.  The savings for the remainder of 12 years would reflect savings from normal replacement of an </w:t>
      </w:r>
      <w:r w:rsidR="00325EF4">
        <w:rPr>
          <w:rFonts w:eastAsia="Calibri"/>
        </w:rPr>
        <w:t>ENERGY STAR</w:t>
      </w:r>
      <w:r w:rsidRPr="0040220B">
        <w:rPr>
          <w:rFonts w:eastAsia="Calibri"/>
        </w:rPr>
        <w:t xml:space="preserve"> refrigerator over a Federal Standard baseline, as defined in the TRM.</w:t>
      </w:r>
    </w:p>
    <w:p w:rsidR="00CD05FA" w:rsidRPr="00AA2C40" w:rsidRDefault="000E2727">
      <w:pPr>
        <w:pStyle w:val="Equation"/>
        <w:rPr>
          <w:rFonts w:cs="Arial"/>
          <w:szCs w:val="20"/>
        </w:rPr>
      </w:pPr>
      <w:r w:rsidRPr="00AA2C40">
        <w:rPr>
          <w:rFonts w:cs="Arial"/>
          <w:szCs w:val="20"/>
        </w:rPr>
        <w:t xml:space="preserve">Example Measure savings over lifetime </w:t>
      </w:r>
      <w:r w:rsidRPr="00AA2C40">
        <w:rPr>
          <w:rFonts w:cs="Arial"/>
          <w:szCs w:val="20"/>
        </w:rPr>
        <w:br/>
        <w:t xml:space="preserve">= </w:t>
      </w:r>
      <w:r w:rsidRPr="00AA2C40">
        <w:rPr>
          <w:rFonts w:cs="Arial"/>
          <w:color w:val="000000"/>
          <w:szCs w:val="20"/>
        </w:rPr>
        <w:t>1205</w:t>
      </w:r>
      <w:r w:rsidRPr="00AA2C40">
        <w:rPr>
          <w:rFonts w:cs="Arial"/>
          <w:szCs w:val="20"/>
        </w:rPr>
        <w:t xml:space="preserve"> kWh/yr * 6 yrs + 100 kWh/yr (ES side mount freezer w/ door ice) * 12 yrs = 8430 kWh/measure lifetime</w:t>
      </w:r>
    </w:p>
    <w:p w:rsidR="00CD05FA" w:rsidRDefault="000E2727">
      <w:pPr>
        <w:pStyle w:val="BodyText"/>
        <w:rPr>
          <w:rFonts w:eastAsia="Calibri"/>
        </w:rPr>
      </w:pPr>
      <w:r w:rsidRPr="0040220B">
        <w:rPr>
          <w:rFonts w:eastAsia="Calibri"/>
        </w:rPr>
        <w:t>For non-Low-Income specific programs, the measure life would be 13 years and an RUL of 4 yrs (1/3*</w:t>
      </w:r>
      <w:r w:rsidR="000740AD" w:rsidRPr="0040220B">
        <w:rPr>
          <w:rFonts w:eastAsia="Calibri"/>
        </w:rPr>
        <w:t>1</w:t>
      </w:r>
      <w:r w:rsidR="000740AD">
        <w:rPr>
          <w:rFonts w:eastAsia="Calibri"/>
        </w:rPr>
        <w:t>3</w:t>
      </w:r>
      <w:r w:rsidRPr="0040220B">
        <w:rPr>
          <w:rFonts w:eastAsia="Calibri"/>
        </w:rPr>
        <w:t xml:space="preserve">).  The measure savings for the RUL of 4 yrs would be equal to the full savings.  The savings for the remainder of 9 years would reflect savings from normal replacement of an </w:t>
      </w:r>
      <w:r w:rsidR="00325EF4">
        <w:rPr>
          <w:rFonts w:eastAsia="Calibri"/>
        </w:rPr>
        <w:t>ENERGY STAR</w:t>
      </w:r>
      <w:r w:rsidRPr="0040220B">
        <w:rPr>
          <w:rFonts w:eastAsia="Calibri"/>
        </w:rPr>
        <w:t xml:space="preserve"> refrigerator over a Federal Standard baseline, as defined in the TRM.</w:t>
      </w:r>
    </w:p>
    <w:p w:rsidR="00CD05FA" w:rsidRPr="00AA2C40" w:rsidRDefault="000E2727">
      <w:pPr>
        <w:pStyle w:val="Equation"/>
        <w:rPr>
          <w:rFonts w:cs="Arial"/>
          <w:szCs w:val="20"/>
        </w:rPr>
      </w:pPr>
      <w:r w:rsidRPr="00AA2C40">
        <w:rPr>
          <w:rFonts w:cs="Arial"/>
          <w:szCs w:val="20"/>
        </w:rPr>
        <w:t xml:space="preserve">Example Measure savings over lifetime </w:t>
      </w:r>
      <w:r w:rsidRPr="00AA2C40">
        <w:rPr>
          <w:rFonts w:cs="Arial"/>
          <w:szCs w:val="20"/>
        </w:rPr>
        <w:br/>
        <w:t>= 1205 kWh/yr * 4 yrs + 100 kWh/yr (ES side mount freezer w/ door ice) * 9 yrs = 5720 kWh/measure lifetime</w:t>
      </w:r>
    </w:p>
    <w:p w:rsidR="00CD05FA" w:rsidRDefault="000E2727">
      <w:pPr>
        <w:pStyle w:val="BodyText"/>
        <w:rPr>
          <w:rFonts w:eastAsia="Calibri"/>
        </w:rPr>
      </w:pPr>
      <w:r w:rsidRPr="0040220B">
        <w:rPr>
          <w:rFonts w:eastAsia="Calibri"/>
        </w:rPr>
        <w:t>To simplify the programs and remove the need to calculate two different savings, a compromise value for measure life of 7 years for both Low-Income specific and non-Low Income specific programs can be used with full savings over this entire period.  This provides an equivalent savings as the Low-Income specific dual period methodology for an EUL of 18 yrs and a RUL of 6 yrs.</w:t>
      </w:r>
    </w:p>
    <w:p w:rsidR="00CD05FA" w:rsidRPr="00AA2C40" w:rsidRDefault="000E2727">
      <w:pPr>
        <w:pStyle w:val="Equation"/>
        <w:rPr>
          <w:rFonts w:cs="Arial"/>
          <w:szCs w:val="20"/>
        </w:rPr>
      </w:pPr>
      <w:r w:rsidRPr="00AA2C40">
        <w:rPr>
          <w:rFonts w:cs="Arial"/>
          <w:szCs w:val="20"/>
        </w:rPr>
        <w:t xml:space="preserve">Example Measure savings over lifetime </w:t>
      </w:r>
      <w:r w:rsidRPr="00AA2C40">
        <w:rPr>
          <w:rFonts w:cs="Arial"/>
          <w:szCs w:val="20"/>
        </w:rPr>
        <w:br/>
        <w:t>= 1205 kWh/yr * 7 yrs = 8435 kWh/measure lifetime</w:t>
      </w:r>
    </w:p>
    <w:p w:rsidR="00CD05FA" w:rsidRDefault="00165C8E" w:rsidP="00E568D4">
      <w:pPr>
        <w:pStyle w:val="Heading2"/>
      </w:pPr>
      <w:r>
        <w:br w:type="page"/>
      </w:r>
      <w:bookmarkStart w:id="434" w:name="_Toc310875422"/>
      <w:r w:rsidR="000E2727" w:rsidRPr="009B5FA4">
        <w:lastRenderedPageBreak/>
        <w:t>Refrigerator</w:t>
      </w:r>
      <w:r w:rsidR="00A658FF">
        <w:t xml:space="preserve"> </w:t>
      </w:r>
      <w:r w:rsidR="000E2727" w:rsidRPr="009B5FA4">
        <w:t>/</w:t>
      </w:r>
      <w:r w:rsidR="00A658FF">
        <w:t xml:space="preserve"> </w:t>
      </w:r>
      <w:r w:rsidR="000E2727" w:rsidRPr="009B5FA4">
        <w:t>Freezer Retirement (and Recycling)</w:t>
      </w:r>
      <w:bookmarkEnd w:id="434"/>
      <w:r w:rsidR="000E2727" w:rsidRPr="009B5FA4">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5958"/>
      </w:tblGrid>
      <w:tr w:rsidR="000E2727" w:rsidRPr="009B5FA4" w:rsidTr="00F84A22">
        <w:tc>
          <w:tcPr>
            <w:tcW w:w="2898"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CD05FA" w:rsidRPr="001D6512" w:rsidRDefault="0038789E" w:rsidP="00F84A22">
            <w:pPr>
              <w:pStyle w:val="TableCell"/>
              <w:spacing w:before="60" w:after="60"/>
              <w:rPr>
                <w:b/>
                <w:sz w:val="20"/>
              </w:rPr>
            </w:pPr>
            <w:r w:rsidRPr="001D6512">
              <w:rPr>
                <w:b/>
              </w:rPr>
              <w:t>Measure Name</w:t>
            </w:r>
          </w:p>
        </w:tc>
        <w:tc>
          <w:tcPr>
            <w:tcW w:w="5958"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CD05FA" w:rsidRPr="001D6512" w:rsidRDefault="0038789E" w:rsidP="00F84A22">
            <w:pPr>
              <w:pStyle w:val="TableCell"/>
              <w:spacing w:before="60" w:after="60"/>
              <w:rPr>
                <w:b/>
                <w:sz w:val="20"/>
              </w:rPr>
            </w:pPr>
            <w:r w:rsidRPr="001D6512">
              <w:rPr>
                <w:b/>
              </w:rPr>
              <w:t>Refrigerator/Freezer Retirement (and recycling)</w:t>
            </w:r>
          </w:p>
        </w:tc>
      </w:tr>
      <w:tr w:rsidR="000E2727" w:rsidRPr="009B5FA4" w:rsidTr="00F84A22">
        <w:tc>
          <w:tcPr>
            <w:tcW w:w="2898" w:type="dxa"/>
            <w:shd w:val="clear" w:color="auto" w:fill="auto"/>
          </w:tcPr>
          <w:p w:rsidR="00CD05FA" w:rsidRPr="001D6512" w:rsidRDefault="000E2727" w:rsidP="00F84A22">
            <w:pPr>
              <w:pStyle w:val="TableCell"/>
              <w:spacing w:before="60" w:after="60"/>
              <w:rPr>
                <w:sz w:val="20"/>
              </w:rPr>
            </w:pPr>
            <w:r w:rsidRPr="001D6512">
              <w:t>Target Sector</w:t>
            </w:r>
          </w:p>
        </w:tc>
        <w:tc>
          <w:tcPr>
            <w:tcW w:w="5958" w:type="dxa"/>
            <w:shd w:val="clear" w:color="auto" w:fill="auto"/>
          </w:tcPr>
          <w:p w:rsidR="00CD05FA" w:rsidRPr="001D6512" w:rsidRDefault="000E2727" w:rsidP="00F84A22">
            <w:pPr>
              <w:pStyle w:val="TableCell"/>
              <w:spacing w:before="60" w:after="60"/>
              <w:rPr>
                <w:rFonts w:eastAsia="Arial Unicode MS" w:cs="Arial"/>
                <w:i/>
                <w:iCs/>
                <w:sz w:val="20"/>
                <w:szCs w:val="24"/>
              </w:rPr>
            </w:pPr>
            <w:r w:rsidRPr="001D6512">
              <w:t>Residential Establishments</w:t>
            </w:r>
          </w:p>
        </w:tc>
      </w:tr>
      <w:tr w:rsidR="000E2727" w:rsidRPr="009B5FA4" w:rsidTr="00F84A22">
        <w:tc>
          <w:tcPr>
            <w:tcW w:w="2898" w:type="dxa"/>
            <w:shd w:val="clear" w:color="auto" w:fill="auto"/>
          </w:tcPr>
          <w:p w:rsidR="00CD05FA" w:rsidRPr="001D6512" w:rsidRDefault="000E2727" w:rsidP="00F84A22">
            <w:pPr>
              <w:pStyle w:val="TableCell"/>
              <w:spacing w:before="60" w:after="60"/>
              <w:rPr>
                <w:sz w:val="20"/>
              </w:rPr>
            </w:pPr>
            <w:r w:rsidRPr="001D6512">
              <w:t>Measure Unit</w:t>
            </w:r>
          </w:p>
        </w:tc>
        <w:tc>
          <w:tcPr>
            <w:tcW w:w="5958" w:type="dxa"/>
            <w:shd w:val="clear" w:color="auto" w:fill="auto"/>
          </w:tcPr>
          <w:p w:rsidR="00CD05FA" w:rsidRPr="001D6512" w:rsidRDefault="000E2727" w:rsidP="00F84A22">
            <w:pPr>
              <w:pStyle w:val="TableCell"/>
              <w:spacing w:before="60" w:after="60"/>
              <w:rPr>
                <w:rFonts w:eastAsia="Arial Unicode MS" w:cs="Arial"/>
                <w:i/>
                <w:iCs/>
                <w:sz w:val="20"/>
                <w:szCs w:val="24"/>
              </w:rPr>
            </w:pPr>
            <w:r w:rsidRPr="001D6512">
              <w:t>Refrigerator or Freezer</w:t>
            </w:r>
          </w:p>
        </w:tc>
      </w:tr>
      <w:tr w:rsidR="000E2727" w:rsidRPr="009B5FA4" w:rsidTr="00F84A22">
        <w:tc>
          <w:tcPr>
            <w:tcW w:w="2898" w:type="dxa"/>
            <w:shd w:val="clear" w:color="auto" w:fill="auto"/>
          </w:tcPr>
          <w:p w:rsidR="00CD05FA" w:rsidRPr="001D6512" w:rsidRDefault="000E2727" w:rsidP="00F84A22">
            <w:pPr>
              <w:pStyle w:val="TableCell"/>
              <w:spacing w:before="60" w:after="60"/>
              <w:rPr>
                <w:sz w:val="20"/>
              </w:rPr>
            </w:pPr>
            <w:r w:rsidRPr="001D6512">
              <w:t>Unit Annual Energy Savings</w:t>
            </w:r>
          </w:p>
        </w:tc>
        <w:tc>
          <w:tcPr>
            <w:tcW w:w="5958" w:type="dxa"/>
            <w:shd w:val="clear" w:color="auto" w:fill="auto"/>
          </w:tcPr>
          <w:p w:rsidR="00CD05FA" w:rsidRPr="001D6512" w:rsidRDefault="000E2727" w:rsidP="00F84A22">
            <w:pPr>
              <w:pStyle w:val="TableCell"/>
              <w:spacing w:before="60" w:after="60"/>
              <w:rPr>
                <w:rFonts w:eastAsia="Arial Unicode MS" w:cs="Arial"/>
                <w:i/>
                <w:iCs/>
                <w:sz w:val="20"/>
                <w:szCs w:val="24"/>
              </w:rPr>
            </w:pPr>
            <w:r w:rsidRPr="001D6512">
              <w:t>1659kWh</w:t>
            </w:r>
          </w:p>
        </w:tc>
      </w:tr>
      <w:tr w:rsidR="000E2727" w:rsidRPr="009B5FA4" w:rsidTr="00F84A22">
        <w:tc>
          <w:tcPr>
            <w:tcW w:w="2898" w:type="dxa"/>
            <w:shd w:val="clear" w:color="auto" w:fill="auto"/>
          </w:tcPr>
          <w:p w:rsidR="00CD05FA" w:rsidRPr="001D6512" w:rsidRDefault="000E2727" w:rsidP="00F84A22">
            <w:pPr>
              <w:pStyle w:val="TableCell"/>
              <w:spacing w:before="60" w:after="60"/>
              <w:rPr>
                <w:sz w:val="20"/>
              </w:rPr>
            </w:pPr>
            <w:r w:rsidRPr="001D6512">
              <w:t>Unit Peak Demand Reduction</w:t>
            </w:r>
          </w:p>
        </w:tc>
        <w:tc>
          <w:tcPr>
            <w:tcW w:w="5958" w:type="dxa"/>
            <w:shd w:val="clear" w:color="auto" w:fill="auto"/>
          </w:tcPr>
          <w:p w:rsidR="00CD05FA" w:rsidRPr="001D6512" w:rsidRDefault="000E2727" w:rsidP="00F84A22">
            <w:pPr>
              <w:pStyle w:val="TableCell"/>
              <w:spacing w:before="60" w:after="60"/>
              <w:rPr>
                <w:rFonts w:eastAsia="Arial Unicode MS" w:cs="Arial"/>
                <w:i/>
                <w:iCs/>
                <w:sz w:val="20"/>
                <w:szCs w:val="24"/>
              </w:rPr>
            </w:pPr>
            <w:r w:rsidRPr="001D6512">
              <w:t>0.2057kW</w:t>
            </w:r>
          </w:p>
        </w:tc>
      </w:tr>
      <w:tr w:rsidR="000E2727" w:rsidRPr="009B5FA4" w:rsidTr="00F84A22">
        <w:tc>
          <w:tcPr>
            <w:tcW w:w="2898" w:type="dxa"/>
            <w:shd w:val="clear" w:color="auto" w:fill="auto"/>
          </w:tcPr>
          <w:p w:rsidR="00CD05FA" w:rsidRPr="001D6512" w:rsidRDefault="000E2727" w:rsidP="00F84A22">
            <w:pPr>
              <w:pStyle w:val="TableCell"/>
              <w:spacing w:before="60" w:after="60"/>
              <w:rPr>
                <w:sz w:val="20"/>
              </w:rPr>
            </w:pPr>
            <w:r w:rsidRPr="001D6512">
              <w:t>Measure Life</w:t>
            </w:r>
          </w:p>
        </w:tc>
        <w:tc>
          <w:tcPr>
            <w:tcW w:w="5958" w:type="dxa"/>
            <w:shd w:val="clear" w:color="auto" w:fill="auto"/>
          </w:tcPr>
          <w:p w:rsidR="00CD05FA" w:rsidRPr="001D6512" w:rsidRDefault="000E2727" w:rsidP="00F84A22">
            <w:pPr>
              <w:pStyle w:val="TableCell"/>
              <w:spacing w:before="60" w:after="60"/>
              <w:rPr>
                <w:rFonts w:eastAsia="Arial Unicode MS" w:cs="Arial"/>
                <w:i/>
                <w:iCs/>
                <w:sz w:val="20"/>
                <w:szCs w:val="24"/>
              </w:rPr>
            </w:pPr>
            <w:r w:rsidRPr="001D6512">
              <w:t>8 years</w:t>
            </w:r>
            <w:r w:rsidRPr="001D6512">
              <w:rPr>
                <w:rStyle w:val="FootnoteReference"/>
                <w:rFonts w:ascii="Calibri" w:hAnsi="Calibri"/>
                <w:sz w:val="20"/>
              </w:rPr>
              <w:footnoteReference w:id="80"/>
            </w:r>
          </w:p>
        </w:tc>
      </w:tr>
    </w:tbl>
    <w:p w:rsidR="00983B90" w:rsidRPr="00F84A22" w:rsidRDefault="00983B90" w:rsidP="00983B90"/>
    <w:p w:rsidR="00CD05FA" w:rsidRDefault="000E2727">
      <w:pPr>
        <w:pStyle w:val="BodyText"/>
        <w:rPr>
          <w:rFonts w:eastAsia="Calibri"/>
        </w:rPr>
      </w:pPr>
      <w:r w:rsidRPr="009B5FA4">
        <w:rPr>
          <w:rFonts w:eastAsia="Calibri"/>
        </w:rPr>
        <w:t xml:space="preserve">This measure is the retirement of an existing refrigerator or freezer </w:t>
      </w:r>
      <w:r w:rsidRPr="009B5FA4">
        <w:rPr>
          <w:rFonts w:eastAsia="Calibri"/>
          <w:u w:val="single"/>
        </w:rPr>
        <w:t>without replacement</w:t>
      </w:r>
      <w:r w:rsidRPr="009B5FA4">
        <w:rPr>
          <w:rFonts w:eastAsia="Calibri"/>
        </w:rPr>
        <w:t>.</w:t>
      </w:r>
      <w:r w:rsidR="008E076F">
        <w:rPr>
          <w:rFonts w:eastAsia="Calibri"/>
        </w:rPr>
        <w:t xml:space="preserve"> </w:t>
      </w:r>
      <w:r w:rsidR="008E076F" w:rsidRPr="00BB6D6D">
        <w:rPr>
          <w:rFonts w:eastAsia="Calibri"/>
        </w:rPr>
        <w:t>This protocol applies to both residential and non-residential sectors, as refrigerator usage and energy usage are assumed to be independent of customer rate class</w:t>
      </w:r>
      <w:r w:rsidR="008E076F" w:rsidRPr="00BB6D6D">
        <w:rPr>
          <w:rStyle w:val="FootnoteReference"/>
          <w:rFonts w:eastAsia="Calibri"/>
        </w:rPr>
        <w:footnoteReference w:id="81"/>
      </w:r>
      <w:r w:rsidR="008E076F" w:rsidRPr="00BB6D6D">
        <w:rPr>
          <w:rFonts w:eastAsia="Calibri"/>
        </w:rPr>
        <w:t>.</w:t>
      </w:r>
    </w:p>
    <w:p w:rsidR="00CD05FA" w:rsidRDefault="000E2727">
      <w:pPr>
        <w:pStyle w:val="BodyText"/>
        <w:rPr>
          <w:rFonts w:eastAsia="Calibri"/>
        </w:rPr>
      </w:pPr>
      <w:r w:rsidRPr="009B5FA4">
        <w:rPr>
          <w:rFonts w:eastAsia="Calibri"/>
        </w:rPr>
        <w:t>The deemed savings values for this measure can be applied to refrigerator and freezer retirements meeting the following criteria:</w:t>
      </w:r>
    </w:p>
    <w:p w:rsidR="00CD05FA" w:rsidRDefault="0007670E" w:rsidP="0005632A">
      <w:pPr>
        <w:pStyle w:val="source1"/>
        <w:numPr>
          <w:ilvl w:val="0"/>
          <w:numId w:val="54"/>
        </w:numPr>
      </w:pPr>
      <w:r w:rsidRPr="0007670E">
        <w:rPr>
          <w:rFonts w:eastAsia="Calibri"/>
        </w:rPr>
        <w:t>Existing, working refrigerator or freezer 10-30 cubic feet in size (savings do not apply if unit is not working)</w:t>
      </w:r>
    </w:p>
    <w:p w:rsidR="00CD05FA" w:rsidRDefault="000E2727" w:rsidP="00871FA2">
      <w:pPr>
        <w:pStyle w:val="Heading3"/>
      </w:pPr>
      <w:r w:rsidRPr="009B5FA4">
        <w:t>Algorithms</w:t>
      </w:r>
    </w:p>
    <w:p w:rsidR="00CD05FA" w:rsidRDefault="000E2727">
      <w:pPr>
        <w:pStyle w:val="BodyText"/>
        <w:rPr>
          <w:rFonts w:eastAsia="Calibri"/>
        </w:rPr>
      </w:pPr>
      <w:r w:rsidRPr="009B5FA4">
        <w:rPr>
          <w:rFonts w:eastAsia="Calibri"/>
        </w:rPr>
        <w:t>To determine resource savings, per unit estimates in the algorithms will be multiplied by the number of appliance units.  The general form of the equation for the Refrigerator/Freezer Retirement savings algorithm is:</w:t>
      </w:r>
    </w:p>
    <w:p w:rsidR="00CD05FA" w:rsidRPr="00165C8E" w:rsidRDefault="000E2727">
      <w:pPr>
        <w:pStyle w:val="Equation"/>
        <w:rPr>
          <w:rFonts w:cs="Arial"/>
          <w:szCs w:val="20"/>
        </w:rPr>
      </w:pPr>
      <w:r w:rsidRPr="00165C8E">
        <w:rPr>
          <w:rFonts w:cs="Arial"/>
          <w:szCs w:val="20"/>
        </w:rPr>
        <w:t>Number of Units X Savings per Unit</w:t>
      </w:r>
    </w:p>
    <w:p w:rsidR="00CD05FA" w:rsidRDefault="000E2727">
      <w:pPr>
        <w:rPr>
          <w:rFonts w:eastAsia="Calibri"/>
        </w:rPr>
      </w:pPr>
      <w:r w:rsidRPr="009B5FA4">
        <w:rPr>
          <w:rFonts w:eastAsia="Calibri"/>
        </w:rPr>
        <w:t>The deemed savings values are based on the following algorithms</w:t>
      </w:r>
      <w:r>
        <w:rPr>
          <w:rFonts w:eastAsia="Calibri"/>
        </w:rPr>
        <w:t xml:space="preserve"> or data research</w:t>
      </w:r>
      <w:r w:rsidRPr="009B5FA4">
        <w:rPr>
          <w:rFonts w:eastAsia="Calibri"/>
        </w:rPr>
        <w:t>:</w:t>
      </w:r>
    </w:p>
    <w:p w:rsidR="00CD05FA" w:rsidRPr="00165C8E" w:rsidRDefault="00D12DD6">
      <w:pPr>
        <w:pStyle w:val="Equation"/>
        <w:rPr>
          <w:rFonts w:cs="Arial"/>
          <w:szCs w:val="20"/>
        </w:rPr>
      </w:pPr>
      <w:r w:rsidRPr="00165C8E">
        <w:rPr>
          <w:rFonts w:cs="Arial"/>
          <w:szCs w:val="20"/>
        </w:rPr>
        <w:sym w:font="Symbol" w:char="F044"/>
      </w:r>
      <w:r w:rsidRPr="00165C8E">
        <w:rPr>
          <w:rFonts w:cs="Arial"/>
          <w:szCs w:val="20"/>
        </w:rPr>
        <w:t>kWh</w:t>
      </w:r>
      <w:r w:rsidRPr="00165C8E">
        <w:rPr>
          <w:rFonts w:cs="Arial"/>
          <w:szCs w:val="20"/>
        </w:rPr>
        <w:tab/>
      </w:r>
      <w:r w:rsidR="00CB79AB" w:rsidRPr="00165C8E">
        <w:rPr>
          <w:rFonts w:cs="Arial"/>
          <w:szCs w:val="20"/>
        </w:rPr>
        <w:tab/>
      </w:r>
      <w:r w:rsidR="000E2727" w:rsidRPr="00165C8E">
        <w:rPr>
          <w:rFonts w:cs="Arial"/>
          <w:szCs w:val="20"/>
        </w:rPr>
        <w:t>= kWh</w:t>
      </w:r>
      <w:r w:rsidR="000E2727" w:rsidRPr="00165C8E">
        <w:rPr>
          <w:rFonts w:cs="Arial"/>
          <w:szCs w:val="20"/>
          <w:vertAlign w:val="subscript"/>
        </w:rPr>
        <w:t xml:space="preserve">RetFridge </w:t>
      </w:r>
    </w:p>
    <w:p w:rsidR="00CD05FA" w:rsidRPr="00165C8E" w:rsidRDefault="00D12DD6">
      <w:pPr>
        <w:pStyle w:val="Equation"/>
        <w:rPr>
          <w:rFonts w:cs="Arial"/>
          <w:szCs w:val="20"/>
        </w:rPr>
      </w:pPr>
      <w:r w:rsidRPr="00165C8E">
        <w:rPr>
          <w:rFonts w:cs="Arial"/>
          <w:szCs w:val="20"/>
        </w:rPr>
        <w:sym w:font="Symbol" w:char="F044"/>
      </w:r>
      <w:r w:rsidRPr="00165C8E">
        <w:rPr>
          <w:rFonts w:cs="Arial"/>
          <w:szCs w:val="20"/>
        </w:rPr>
        <w:t>kW</w:t>
      </w:r>
      <w:r w:rsidRPr="00165C8E">
        <w:rPr>
          <w:rFonts w:cs="Arial"/>
          <w:szCs w:val="20"/>
          <w:vertAlign w:val="subscript"/>
        </w:rPr>
        <w:t>peak</w:t>
      </w:r>
      <w:r w:rsidRPr="00165C8E" w:rsidDel="00D12DD6">
        <w:rPr>
          <w:rFonts w:cs="Arial"/>
          <w:szCs w:val="20"/>
        </w:rPr>
        <w:t xml:space="preserve"> </w:t>
      </w:r>
      <w:r w:rsidRPr="00165C8E">
        <w:rPr>
          <w:rFonts w:cs="Arial"/>
          <w:szCs w:val="20"/>
        </w:rPr>
        <w:tab/>
      </w:r>
      <w:r w:rsidR="000E2727" w:rsidRPr="00165C8E">
        <w:rPr>
          <w:rFonts w:cs="Arial"/>
          <w:szCs w:val="20"/>
        </w:rPr>
        <w:t>= kW</w:t>
      </w:r>
      <w:r w:rsidR="000E2727" w:rsidRPr="00165C8E">
        <w:rPr>
          <w:rFonts w:cs="Arial"/>
          <w:szCs w:val="20"/>
          <w:vertAlign w:val="subscript"/>
        </w:rPr>
        <w:t xml:space="preserve">RetFridge </w:t>
      </w:r>
      <w:r w:rsidR="000E2727" w:rsidRPr="00165C8E">
        <w:rPr>
          <w:rFonts w:cs="Arial"/>
          <w:szCs w:val="20"/>
        </w:rPr>
        <w:t>/ hours * CF</w:t>
      </w:r>
      <w:r w:rsidR="000E2727" w:rsidRPr="00165C8E">
        <w:rPr>
          <w:rFonts w:cs="Arial"/>
          <w:szCs w:val="20"/>
          <w:vertAlign w:val="subscript"/>
        </w:rPr>
        <w:t>RetFridge</w:t>
      </w:r>
      <w:r w:rsidR="000E2727" w:rsidRPr="00165C8E">
        <w:rPr>
          <w:rFonts w:cs="Arial"/>
          <w:szCs w:val="20"/>
        </w:rPr>
        <w:t xml:space="preserve"> </w:t>
      </w:r>
    </w:p>
    <w:p w:rsidR="008834E2" w:rsidRDefault="008834E2" w:rsidP="00871FA2">
      <w:pPr>
        <w:pStyle w:val="Heading3"/>
      </w:pPr>
      <w:r w:rsidRPr="009B5FA4">
        <w:t>Definition of Terms</w:t>
      </w:r>
    </w:p>
    <w:p w:rsidR="008834E2" w:rsidRPr="00165C8E" w:rsidRDefault="008834E2" w:rsidP="008834E2">
      <w:pPr>
        <w:pStyle w:val="Equation"/>
        <w:rPr>
          <w:rFonts w:cs="Arial"/>
          <w:szCs w:val="20"/>
        </w:rPr>
      </w:pPr>
      <w:r w:rsidRPr="00165C8E">
        <w:rPr>
          <w:rFonts w:cs="Arial"/>
          <w:szCs w:val="20"/>
        </w:rPr>
        <w:t>kWh</w:t>
      </w:r>
      <w:r w:rsidRPr="00165C8E">
        <w:rPr>
          <w:rFonts w:cs="Arial"/>
          <w:szCs w:val="20"/>
          <w:vertAlign w:val="subscript"/>
        </w:rPr>
        <w:t>RetFridge</w:t>
      </w:r>
      <w:r w:rsidRPr="00165C8E">
        <w:rPr>
          <w:rFonts w:cs="Arial"/>
          <w:szCs w:val="20"/>
        </w:rPr>
        <w:t xml:space="preserve"> </w:t>
      </w:r>
      <w:r w:rsidRPr="00165C8E">
        <w:rPr>
          <w:rFonts w:cs="Arial"/>
          <w:szCs w:val="20"/>
        </w:rPr>
        <w:tab/>
        <w:t>= Gross annual energy savings per unit retired appliance</w:t>
      </w:r>
    </w:p>
    <w:p w:rsidR="008834E2" w:rsidRPr="00165C8E" w:rsidRDefault="008834E2" w:rsidP="008834E2">
      <w:pPr>
        <w:pStyle w:val="Equation"/>
        <w:rPr>
          <w:rFonts w:cs="Arial"/>
          <w:szCs w:val="20"/>
        </w:rPr>
      </w:pPr>
      <w:r w:rsidRPr="00165C8E">
        <w:rPr>
          <w:rFonts w:cs="Arial"/>
          <w:szCs w:val="20"/>
        </w:rPr>
        <w:t>kW</w:t>
      </w:r>
      <w:r w:rsidRPr="00165C8E">
        <w:rPr>
          <w:rFonts w:cs="Arial"/>
          <w:szCs w:val="20"/>
          <w:vertAlign w:val="subscript"/>
        </w:rPr>
        <w:t>RetFridge</w:t>
      </w:r>
      <w:r w:rsidRPr="00165C8E">
        <w:rPr>
          <w:rFonts w:cs="Arial"/>
          <w:szCs w:val="20"/>
        </w:rPr>
        <w:t xml:space="preserve"> </w:t>
      </w:r>
      <w:r w:rsidR="005478EE" w:rsidRPr="00165C8E">
        <w:rPr>
          <w:rFonts w:cs="Arial"/>
          <w:szCs w:val="20"/>
        </w:rPr>
        <w:tab/>
      </w:r>
      <w:r w:rsidRPr="00165C8E">
        <w:rPr>
          <w:rFonts w:cs="Arial"/>
          <w:szCs w:val="20"/>
        </w:rPr>
        <w:t>= Summer demand savings per retired refrigerator/freezer</w:t>
      </w:r>
    </w:p>
    <w:p w:rsidR="008834E2" w:rsidRPr="00165C8E" w:rsidRDefault="008834E2" w:rsidP="008834E2">
      <w:pPr>
        <w:pStyle w:val="Equation"/>
        <w:rPr>
          <w:rFonts w:cs="Arial"/>
          <w:szCs w:val="20"/>
        </w:rPr>
      </w:pPr>
      <w:r w:rsidRPr="00165C8E">
        <w:rPr>
          <w:rFonts w:cs="Arial"/>
          <w:szCs w:val="20"/>
        </w:rPr>
        <w:t>CF</w:t>
      </w:r>
      <w:r w:rsidRPr="00165C8E">
        <w:rPr>
          <w:rFonts w:cs="Arial"/>
          <w:szCs w:val="20"/>
          <w:vertAlign w:val="subscript"/>
        </w:rPr>
        <w:t>RetFridge</w:t>
      </w:r>
      <w:r w:rsidRPr="00165C8E">
        <w:rPr>
          <w:rFonts w:cs="Arial"/>
          <w:szCs w:val="20"/>
          <w:vertAlign w:val="subscript"/>
        </w:rPr>
        <w:tab/>
      </w:r>
      <w:r w:rsidRPr="00165C8E">
        <w:rPr>
          <w:rFonts w:cs="Arial"/>
          <w:szCs w:val="20"/>
        </w:rPr>
        <w:t xml:space="preserve">= </w:t>
      </w:r>
      <w:r w:rsidR="005478EE" w:rsidRPr="00165C8E">
        <w:rPr>
          <w:rFonts w:cs="Arial"/>
          <w:szCs w:val="20"/>
        </w:rPr>
        <w:t>Demand Coincidence Factor (See Section 1.4)</w:t>
      </w:r>
    </w:p>
    <w:p w:rsidR="008834E2" w:rsidRPr="00896814" w:rsidRDefault="008834E2" w:rsidP="00100EDF">
      <w:pPr>
        <w:rPr>
          <w:rFonts w:eastAsia="Calibri"/>
          <w:b/>
        </w:rPr>
      </w:pPr>
      <w:r w:rsidRPr="00896814">
        <w:rPr>
          <w:rFonts w:eastAsia="Calibri"/>
          <w:b/>
        </w:rPr>
        <w:t>Where:</w:t>
      </w:r>
    </w:p>
    <w:p w:rsidR="008834E2" w:rsidRPr="00165C8E" w:rsidRDefault="008834E2" w:rsidP="008834E2">
      <w:pPr>
        <w:pStyle w:val="Equation"/>
        <w:rPr>
          <w:rFonts w:cs="Arial"/>
          <w:szCs w:val="20"/>
        </w:rPr>
      </w:pPr>
      <w:r w:rsidRPr="00165C8E">
        <w:rPr>
          <w:rFonts w:cs="Arial"/>
          <w:szCs w:val="20"/>
        </w:rPr>
        <w:tab/>
        <w:t>kWhRetFridge</w:t>
      </w:r>
      <w:r w:rsidRPr="00165C8E">
        <w:rPr>
          <w:rFonts w:cs="Arial"/>
          <w:szCs w:val="20"/>
        </w:rPr>
        <w:tab/>
        <w:t>=1659 kWh</w:t>
      </w:r>
    </w:p>
    <w:p w:rsidR="008834E2" w:rsidRPr="00165C8E" w:rsidRDefault="008834E2" w:rsidP="008834E2">
      <w:pPr>
        <w:pStyle w:val="Equation"/>
        <w:rPr>
          <w:rFonts w:cs="Arial"/>
          <w:szCs w:val="20"/>
        </w:rPr>
      </w:pPr>
      <w:r w:rsidRPr="00165C8E">
        <w:rPr>
          <w:rFonts w:cs="Arial"/>
          <w:szCs w:val="20"/>
        </w:rPr>
        <w:lastRenderedPageBreak/>
        <w:tab/>
        <w:t>CFRetFridge</w:t>
      </w:r>
      <w:r w:rsidRPr="00165C8E">
        <w:rPr>
          <w:rFonts w:cs="Arial"/>
          <w:szCs w:val="20"/>
        </w:rPr>
        <w:tab/>
        <w:t xml:space="preserve">=0.620 </w:t>
      </w:r>
    </w:p>
    <w:p w:rsidR="008834E2" w:rsidRPr="00165C8E" w:rsidRDefault="008834E2" w:rsidP="008834E2">
      <w:pPr>
        <w:pStyle w:val="Equation"/>
        <w:rPr>
          <w:rFonts w:cs="Arial"/>
          <w:szCs w:val="20"/>
        </w:rPr>
      </w:pPr>
      <w:r w:rsidRPr="00165C8E">
        <w:rPr>
          <w:rFonts w:cs="Arial"/>
          <w:szCs w:val="20"/>
        </w:rPr>
        <w:tab/>
        <w:t>hours</w:t>
      </w:r>
      <w:r w:rsidRPr="00165C8E">
        <w:rPr>
          <w:rFonts w:cs="Arial"/>
          <w:szCs w:val="20"/>
        </w:rPr>
        <w:tab/>
        <w:t>=5000</w:t>
      </w:r>
    </w:p>
    <w:p w:rsidR="00CD05FA" w:rsidRDefault="000E2727" w:rsidP="00C3606E">
      <w:pPr>
        <w:pStyle w:val="BodyText"/>
        <w:rPr>
          <w:rFonts w:eastAsia="Calibri" w:cs="Arial"/>
          <w:b/>
          <w:bCs/>
          <w:szCs w:val="24"/>
        </w:rPr>
      </w:pPr>
      <w:r w:rsidRPr="009B5FA4">
        <w:rPr>
          <w:rFonts w:eastAsia="Calibri"/>
          <w:szCs w:val="24"/>
        </w:rPr>
        <w:t xml:space="preserve">Unit savings are the product of average fridge/freezer consumption (gross annual savings). </w:t>
      </w:r>
      <w:r w:rsidRPr="009B5FA4">
        <w:t>The combined average refrigerator and freezer annual kWh consumption for Pennsylvania is based upon the data contained in the PA EDC appliance recycling contractor (JACO) databases. Because the manufacturer annual kWh consumption data was recorded in less than 50% of appliance collections, it was not used to calculate an average. SWE utilized the recorded year of manufacture in the “JACO Databases” and the annu</w:t>
      </w:r>
      <w:r>
        <w:t>al kWh consumption data by size, a</w:t>
      </w:r>
      <w:r w:rsidRPr="009B5FA4">
        <w:t>ge</w:t>
      </w:r>
      <w:r>
        <w:t xml:space="preserve"> and refrigerator/freezer type</w:t>
      </w:r>
      <w:r w:rsidRPr="009B5FA4">
        <w:t xml:space="preserve"> contained in the </w:t>
      </w:r>
      <w:r w:rsidR="00325EF4">
        <w:t>ENERGY STAR</w:t>
      </w:r>
      <w:r w:rsidRPr="009B5FA4">
        <w:t xml:space="preserve"> Refrigerator Retirement Calculator.</w:t>
      </w:r>
      <w:r>
        <w:t xml:space="preserve"> 203 incomplete or erroneous records, from a total 18479 records (1%) were removed from the sample prior to calculating the average annual kWh consumption.</w:t>
      </w:r>
      <w:r w:rsidRPr="00F84A22">
        <w:rPr>
          <w:rStyle w:val="FootnoteReference"/>
          <w:rFonts w:ascii="Calibri" w:hAnsi="Calibri"/>
          <w:color w:val="000000"/>
          <w:sz w:val="22"/>
          <w:szCs w:val="22"/>
        </w:rPr>
        <w:footnoteReference w:id="82"/>
      </w:r>
    </w:p>
    <w:p w:rsidR="00B85BDF" w:rsidRDefault="00CB79AB" w:rsidP="00100EDF">
      <w:pPr>
        <w:pStyle w:val="Caption"/>
      </w:pPr>
      <w:bookmarkStart w:id="435" w:name="_Toc310875522"/>
      <w:r>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36</w:t>
      </w:r>
      <w:r w:rsidR="00274AB1">
        <w:rPr>
          <w:noProof/>
        </w:rPr>
        <w:fldChar w:fldCharType="end"/>
      </w:r>
      <w:r>
        <w:t xml:space="preserve">: </w:t>
      </w:r>
      <w:r w:rsidR="001A5E45">
        <w:t xml:space="preserve">Refrigerator/Freezer Retirement </w:t>
      </w:r>
      <w:r w:rsidRPr="00CB79AB">
        <w:t>Energy and Demand Savings</w:t>
      </w:r>
      <w:bookmarkEnd w:id="435"/>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318"/>
        <w:gridCol w:w="1710"/>
      </w:tblGrid>
      <w:tr w:rsidR="00CB79AB" w:rsidRPr="00CB79AB" w:rsidTr="00F84A22">
        <w:trPr>
          <w:trHeight w:val="800"/>
        </w:trPr>
        <w:tc>
          <w:tcPr>
            <w:tcW w:w="126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CD05FA" w:rsidRPr="001D6512" w:rsidRDefault="00CD05FA" w:rsidP="00C3606E">
            <w:pPr>
              <w:pStyle w:val="TableCell"/>
              <w:spacing w:before="60" w:after="60"/>
              <w:rPr>
                <w:rFonts w:cs="Arial"/>
                <w:b/>
                <w:bCs/>
                <w:smallCaps/>
                <w:kern w:val="32"/>
                <w:sz w:val="20"/>
                <w:szCs w:val="18"/>
              </w:rPr>
            </w:pPr>
          </w:p>
        </w:tc>
        <w:tc>
          <w:tcPr>
            <w:tcW w:w="6318" w:type="dxa"/>
            <w:tcBorders>
              <w:top w:val="single" w:sz="4" w:space="0" w:color="auto"/>
              <w:left w:val="single" w:sz="4" w:space="0" w:color="auto"/>
              <w:bottom w:val="single" w:sz="4" w:space="0" w:color="auto"/>
              <w:right w:val="single" w:sz="4" w:space="0" w:color="auto"/>
              <w:tl2br w:val="nil"/>
              <w:tr2bl w:val="nil"/>
            </w:tcBorders>
            <w:shd w:val="clear" w:color="auto" w:fill="BFBFBF"/>
            <w:hideMark/>
          </w:tcPr>
          <w:p w:rsidR="00CD05FA" w:rsidRPr="001D6512" w:rsidRDefault="00C67DA4" w:rsidP="00C3606E">
            <w:pPr>
              <w:pStyle w:val="TableCell"/>
              <w:spacing w:before="60" w:after="60"/>
              <w:rPr>
                <w:rFonts w:cs="Arial"/>
                <w:b/>
                <w:sz w:val="20"/>
                <w:szCs w:val="18"/>
              </w:rPr>
            </w:pPr>
            <w:r w:rsidRPr="001D6512">
              <w:rPr>
                <w:rFonts w:cs="Arial"/>
                <w:b/>
                <w:szCs w:val="18"/>
              </w:rPr>
              <w:t>Source/Reference</w:t>
            </w:r>
          </w:p>
        </w:tc>
        <w:tc>
          <w:tcPr>
            <w:tcW w:w="1710" w:type="dxa"/>
            <w:tcBorders>
              <w:top w:val="single" w:sz="4" w:space="0" w:color="auto"/>
              <w:left w:val="single" w:sz="4" w:space="0" w:color="auto"/>
              <w:bottom w:val="single" w:sz="4" w:space="0" w:color="auto"/>
              <w:right w:val="single" w:sz="4" w:space="0" w:color="auto"/>
              <w:tl2br w:val="nil"/>
              <w:tr2bl w:val="nil"/>
            </w:tcBorders>
            <w:shd w:val="clear" w:color="auto" w:fill="BFBFBF"/>
            <w:hideMark/>
          </w:tcPr>
          <w:p w:rsidR="00CD05FA" w:rsidRPr="001D6512" w:rsidRDefault="00C67DA4" w:rsidP="00C3606E">
            <w:pPr>
              <w:pStyle w:val="TableCell"/>
              <w:spacing w:before="60" w:after="60"/>
              <w:rPr>
                <w:rFonts w:cs="Arial"/>
                <w:b/>
                <w:sz w:val="20"/>
                <w:szCs w:val="18"/>
              </w:rPr>
            </w:pPr>
            <w:r w:rsidRPr="001D6512">
              <w:rPr>
                <w:rFonts w:cs="Arial"/>
                <w:b/>
                <w:szCs w:val="18"/>
              </w:rPr>
              <w:t>Energy and Demand Savings</w:t>
            </w:r>
          </w:p>
        </w:tc>
      </w:tr>
      <w:tr w:rsidR="00CB79AB" w:rsidRPr="00CB79AB" w:rsidTr="00F84A22">
        <w:trPr>
          <w:trHeight w:val="563"/>
        </w:trPr>
        <w:tc>
          <w:tcPr>
            <w:tcW w:w="1260" w:type="dxa"/>
            <w:shd w:val="clear" w:color="auto" w:fill="auto"/>
          </w:tcPr>
          <w:p w:rsidR="00CD05FA" w:rsidRPr="001D6512" w:rsidRDefault="00C67DA4" w:rsidP="00C3606E">
            <w:pPr>
              <w:pStyle w:val="TableCell"/>
              <w:spacing w:before="60" w:after="60"/>
              <w:rPr>
                <w:rFonts w:cs="Arial"/>
                <w:sz w:val="20"/>
                <w:szCs w:val="18"/>
              </w:rPr>
            </w:pPr>
            <w:r w:rsidRPr="001D6512">
              <w:rPr>
                <w:rFonts w:eastAsia="Calibri" w:cs="Arial"/>
                <w:szCs w:val="18"/>
              </w:rPr>
              <w:t>kWh</w:t>
            </w:r>
            <w:r w:rsidRPr="001D6512">
              <w:rPr>
                <w:rFonts w:eastAsia="Calibri" w:cs="Arial"/>
                <w:szCs w:val="18"/>
                <w:vertAlign w:val="subscript"/>
              </w:rPr>
              <w:t>RetFridge</w:t>
            </w:r>
          </w:p>
        </w:tc>
        <w:tc>
          <w:tcPr>
            <w:tcW w:w="6318" w:type="dxa"/>
            <w:shd w:val="clear" w:color="auto" w:fill="auto"/>
            <w:hideMark/>
          </w:tcPr>
          <w:p w:rsidR="00CD05FA" w:rsidRPr="001D6512" w:rsidRDefault="00C67DA4" w:rsidP="00C3606E">
            <w:pPr>
              <w:pStyle w:val="TableCell"/>
              <w:spacing w:before="60" w:after="60"/>
              <w:rPr>
                <w:rFonts w:eastAsia="Arial Unicode MS" w:cs="Arial"/>
                <w:i/>
                <w:iCs/>
                <w:sz w:val="20"/>
                <w:szCs w:val="18"/>
              </w:rPr>
            </w:pPr>
            <w:r w:rsidRPr="001D6512">
              <w:rPr>
                <w:rFonts w:cs="Arial"/>
                <w:szCs w:val="18"/>
              </w:rPr>
              <w:t>Combined average refrigerator and freezer annual kWh consumption for Pennsylvania (based on all available PA EDC appliance recycling databases from JACO)</w:t>
            </w:r>
          </w:p>
        </w:tc>
        <w:tc>
          <w:tcPr>
            <w:tcW w:w="1710" w:type="dxa"/>
            <w:shd w:val="clear" w:color="auto" w:fill="auto"/>
            <w:noWrap/>
            <w:hideMark/>
          </w:tcPr>
          <w:p w:rsidR="00CD05FA" w:rsidRPr="001D6512" w:rsidRDefault="00C67DA4" w:rsidP="00C3606E">
            <w:pPr>
              <w:pStyle w:val="TableCell"/>
              <w:spacing w:before="60" w:after="60"/>
              <w:rPr>
                <w:rFonts w:eastAsia="Arial Unicode MS" w:cs="Arial"/>
                <w:i/>
                <w:iCs/>
                <w:sz w:val="20"/>
                <w:szCs w:val="18"/>
              </w:rPr>
            </w:pPr>
            <w:r w:rsidRPr="001D6512">
              <w:rPr>
                <w:rFonts w:cs="Arial"/>
                <w:szCs w:val="18"/>
              </w:rPr>
              <w:t>1</w:t>
            </w:r>
            <w:r w:rsidR="00133427" w:rsidRPr="001D6512">
              <w:rPr>
                <w:rFonts w:cs="Arial"/>
                <w:szCs w:val="18"/>
              </w:rPr>
              <w:t>,</w:t>
            </w:r>
            <w:r w:rsidRPr="001D6512">
              <w:rPr>
                <w:rFonts w:cs="Arial"/>
                <w:szCs w:val="18"/>
              </w:rPr>
              <w:t>659kWh</w:t>
            </w:r>
            <w:r w:rsidRPr="001D6512">
              <w:rPr>
                <w:rStyle w:val="FootnoteReference"/>
                <w:rFonts w:cs="Arial"/>
                <w:color w:val="000000"/>
                <w:szCs w:val="18"/>
              </w:rPr>
              <w:footnoteReference w:id="83"/>
            </w:r>
          </w:p>
        </w:tc>
      </w:tr>
      <w:tr w:rsidR="00CB79AB" w:rsidRPr="00CB79AB" w:rsidTr="00F84A22">
        <w:trPr>
          <w:trHeight w:val="563"/>
        </w:trPr>
        <w:tc>
          <w:tcPr>
            <w:tcW w:w="1260" w:type="dxa"/>
            <w:shd w:val="clear" w:color="auto" w:fill="auto"/>
          </w:tcPr>
          <w:p w:rsidR="00CD05FA" w:rsidRPr="001D6512" w:rsidRDefault="00C67DA4" w:rsidP="00C3606E">
            <w:pPr>
              <w:pStyle w:val="TableCell"/>
              <w:spacing w:before="60" w:after="60"/>
              <w:rPr>
                <w:rFonts w:eastAsia="Calibri" w:cs="Arial"/>
                <w:i/>
                <w:iCs/>
                <w:sz w:val="20"/>
                <w:szCs w:val="18"/>
              </w:rPr>
            </w:pPr>
            <w:r w:rsidRPr="001D6512">
              <w:rPr>
                <w:rFonts w:eastAsia="Calibri" w:cs="Arial"/>
                <w:szCs w:val="18"/>
              </w:rPr>
              <w:t>kW</w:t>
            </w:r>
            <w:r w:rsidRPr="001D6512">
              <w:rPr>
                <w:rFonts w:eastAsia="Calibri" w:cs="Arial"/>
                <w:szCs w:val="18"/>
                <w:vertAlign w:val="subscript"/>
              </w:rPr>
              <w:t>RetFridge =</w:t>
            </w:r>
          </w:p>
        </w:tc>
        <w:tc>
          <w:tcPr>
            <w:tcW w:w="6318" w:type="dxa"/>
            <w:shd w:val="clear" w:color="auto" w:fill="auto"/>
            <w:hideMark/>
          </w:tcPr>
          <w:p w:rsidR="00CD05FA" w:rsidRPr="001D6512" w:rsidRDefault="00C67DA4" w:rsidP="00C3606E">
            <w:pPr>
              <w:pStyle w:val="TableCell"/>
              <w:spacing w:before="60" w:after="60"/>
              <w:rPr>
                <w:rFonts w:eastAsia="Arial Unicode MS" w:cs="Arial"/>
                <w:i/>
                <w:iCs/>
                <w:sz w:val="20"/>
                <w:szCs w:val="18"/>
              </w:rPr>
            </w:pPr>
            <w:r w:rsidRPr="001D6512">
              <w:rPr>
                <w:rFonts w:eastAsia="Calibri" w:cs="Arial"/>
                <w:szCs w:val="18"/>
              </w:rPr>
              <w:t>1659kWh/5000hours * 0.620</w:t>
            </w:r>
          </w:p>
        </w:tc>
        <w:tc>
          <w:tcPr>
            <w:tcW w:w="1710" w:type="dxa"/>
            <w:shd w:val="clear" w:color="auto" w:fill="auto"/>
            <w:noWrap/>
            <w:hideMark/>
          </w:tcPr>
          <w:p w:rsidR="00CD05FA" w:rsidRPr="001D6512" w:rsidRDefault="00133427" w:rsidP="00C3606E">
            <w:pPr>
              <w:pStyle w:val="TableCell"/>
              <w:spacing w:before="60" w:after="60"/>
              <w:rPr>
                <w:rFonts w:eastAsia="Arial Unicode MS" w:cs="Arial"/>
                <w:i/>
                <w:iCs/>
                <w:sz w:val="20"/>
                <w:szCs w:val="18"/>
              </w:rPr>
            </w:pPr>
            <w:r w:rsidRPr="001D6512">
              <w:rPr>
                <w:rFonts w:eastAsia="Calibri" w:cs="Arial"/>
                <w:szCs w:val="18"/>
              </w:rPr>
              <w:t>0</w:t>
            </w:r>
            <w:r w:rsidR="00C67DA4" w:rsidRPr="001D6512">
              <w:rPr>
                <w:rFonts w:eastAsia="Calibri" w:cs="Arial"/>
                <w:szCs w:val="18"/>
              </w:rPr>
              <w:t>.2057kW</w:t>
            </w:r>
          </w:p>
        </w:tc>
      </w:tr>
    </w:tbl>
    <w:p w:rsidR="00CE53CB" w:rsidRDefault="00CE53CB" w:rsidP="00D847CD">
      <w:pPr>
        <w:pStyle w:val="BodyText"/>
      </w:pPr>
    </w:p>
    <w:p w:rsidR="00CB79AB" w:rsidRDefault="00CB79AB">
      <w:pPr>
        <w:overflowPunct/>
        <w:autoSpaceDE/>
        <w:autoSpaceDN/>
        <w:adjustRightInd/>
        <w:spacing w:after="0" w:line="240" w:lineRule="auto"/>
        <w:textAlignment w:val="auto"/>
      </w:pPr>
    </w:p>
    <w:p w:rsidR="0060580C" w:rsidRDefault="00716DAB" w:rsidP="00E568D4">
      <w:pPr>
        <w:pStyle w:val="Heading2"/>
      </w:pPr>
      <w:r>
        <w:br w:type="page"/>
      </w:r>
      <w:bookmarkStart w:id="436" w:name="_Toc310875423"/>
      <w:r w:rsidR="0060580C">
        <w:lastRenderedPageBreak/>
        <w:t>Residential New Construction</w:t>
      </w:r>
      <w:bookmarkEnd w:id="436"/>
    </w:p>
    <w:p w:rsidR="00EA43AA" w:rsidRDefault="00EA43AA" w:rsidP="00EA43AA">
      <w:pPr>
        <w:pStyle w:val="Heading3"/>
      </w:pPr>
      <w:r>
        <w:t>Algorithms</w:t>
      </w:r>
    </w:p>
    <w:p w:rsidR="00EA43AA" w:rsidRPr="000E610E" w:rsidRDefault="00EA43AA" w:rsidP="00EA43AA">
      <w:pPr>
        <w:pStyle w:val="Heading4"/>
      </w:pPr>
      <w:r w:rsidRPr="00D00E58">
        <w:t>Insulation Up-Grades, Efficient Windows, Air Sealing, Efficient HVAC Equipment and Duct Sealing</w:t>
      </w:r>
      <w:r>
        <w:t>:</w:t>
      </w:r>
    </w:p>
    <w:p w:rsidR="00EA43AA" w:rsidRDefault="00EA43AA" w:rsidP="00EA43AA">
      <w:r>
        <w:t>Energy savings due to improvements in Residential New Construction will be a direct output of accredited Home Energy Ratings (HERS) software that meets the applicable Mortgage Industry National Home Energy Rating System Standards.  REM/Rate</w:t>
      </w:r>
      <w:r>
        <w:rPr>
          <w:rStyle w:val="FootnoteReference"/>
        </w:rPr>
        <w:footnoteReference w:id="84"/>
      </w:r>
      <w:r>
        <w:t xml:space="preserve"> is cited here as an example of an accredited software which has a module that compares the energy characteristics of the energy efficient home to the baseline/reference home and calculates savings.</w:t>
      </w:r>
      <w:r w:rsidRPr="00B66015">
        <w:t xml:space="preserve"> </w:t>
      </w:r>
      <w:r>
        <w:t>For residential new construction, the building thermal envelope and/or system characteristics shall be based on the current state adopted 2009 International Residential Code (IRC 2009).</w:t>
      </w:r>
    </w:p>
    <w:p w:rsidR="00EA43AA" w:rsidRDefault="00EA43AA" w:rsidP="00EA43AA">
      <w:r>
        <w:t>The system peak electric demand savings will be calculated from the software output with the following savings’ algorithms, which are based on compliance and certification of the energy efficient home to the EPA’s ENERGY STAR for New Homes’ program standard:</w:t>
      </w:r>
    </w:p>
    <w:p w:rsidR="00EA43AA" w:rsidRPr="00165C8E" w:rsidRDefault="00EA43AA" w:rsidP="00EA43AA">
      <w:pPr>
        <w:pStyle w:val="Equation"/>
        <w:rPr>
          <w:rFonts w:cs="Arial"/>
          <w:szCs w:val="20"/>
        </w:rPr>
      </w:pPr>
      <w:r w:rsidRPr="00165C8E">
        <w:rPr>
          <w:rFonts w:cs="Arial"/>
          <w:szCs w:val="20"/>
        </w:rPr>
        <w:t xml:space="preserve">Peak demand of the baseline home </w:t>
      </w:r>
      <w:r w:rsidRPr="00165C8E">
        <w:rPr>
          <w:rFonts w:cs="Arial"/>
          <w:szCs w:val="20"/>
        </w:rPr>
        <w:br/>
        <w:t>= (PLb X OFb) / (SEERb X BLEER X 1,000).</w:t>
      </w:r>
    </w:p>
    <w:p w:rsidR="00EA43AA" w:rsidRPr="00165C8E" w:rsidRDefault="00EA43AA" w:rsidP="00EA43AA">
      <w:pPr>
        <w:pStyle w:val="Equation"/>
        <w:rPr>
          <w:rFonts w:cs="Arial"/>
          <w:szCs w:val="20"/>
        </w:rPr>
      </w:pPr>
      <w:r w:rsidRPr="00165C8E">
        <w:rPr>
          <w:rFonts w:cs="Arial"/>
          <w:szCs w:val="20"/>
        </w:rPr>
        <w:t xml:space="preserve">Peak demand of the qualifying home </w:t>
      </w:r>
      <w:r w:rsidRPr="00165C8E">
        <w:rPr>
          <w:rFonts w:cs="Arial"/>
          <w:szCs w:val="20"/>
        </w:rPr>
        <w:br/>
        <w:t>= (PLq X OFq) / (EERq X 1,000).</w:t>
      </w:r>
    </w:p>
    <w:p w:rsidR="00EA43AA" w:rsidRPr="00165C8E" w:rsidRDefault="00EA43AA" w:rsidP="00EA43AA">
      <w:pPr>
        <w:pStyle w:val="Equation"/>
        <w:rPr>
          <w:rFonts w:cs="Arial"/>
          <w:szCs w:val="20"/>
        </w:rPr>
      </w:pPr>
      <w:r w:rsidRPr="00165C8E">
        <w:rPr>
          <w:rFonts w:cs="Arial"/>
          <w:szCs w:val="20"/>
        </w:rPr>
        <w:t xml:space="preserve">Coincident system peak electric demand savings </w:t>
      </w:r>
      <w:r w:rsidRPr="00165C8E">
        <w:rPr>
          <w:rFonts w:cs="Arial"/>
          <w:szCs w:val="20"/>
        </w:rPr>
        <w:br/>
        <w:t>= (Peak demand of the baseline home – Peak demand of the qualifying home) X CF.</w:t>
      </w:r>
    </w:p>
    <w:p w:rsidR="00EA43AA" w:rsidRPr="000E610E" w:rsidRDefault="00EA43AA" w:rsidP="00EA43AA">
      <w:pPr>
        <w:pStyle w:val="Heading4"/>
      </w:pPr>
      <w:r w:rsidRPr="008F1617">
        <w:t>Lighting and Appliances</w:t>
      </w:r>
      <w:r>
        <w:t>:</w:t>
      </w:r>
    </w:p>
    <w:p w:rsidR="00EA43AA" w:rsidRDefault="00EA43AA" w:rsidP="00EA43AA">
      <w:r>
        <w:t>Quantification of additional saving due to the addition of high-efficiency lighting and clothes washers will be based on the algorithms presented for these appliances in Section 2: Residential Measures of this Manual.</w:t>
      </w:r>
    </w:p>
    <w:p w:rsidR="00EA43AA" w:rsidRPr="000E610E" w:rsidRDefault="00EA43AA" w:rsidP="00EA43AA">
      <w:pPr>
        <w:pStyle w:val="Heading4"/>
      </w:pPr>
      <w:r w:rsidRPr="008F1617">
        <w:t>Ventilation Equipment</w:t>
      </w:r>
      <w:r>
        <w:t>:</w:t>
      </w:r>
    </w:p>
    <w:p w:rsidR="00EA43AA" w:rsidRDefault="00EA43AA" w:rsidP="00EA43AA">
      <w:r>
        <w:t>Additional energy savings of 175 kWh and peak-demand saving of 60 Watts will be added to the output of the home energy rating software to account for the installation of high-efficiency ventilation equipment.  These values are based on a baseline fan of 80 Watts and an efficient fan of 20 Watts running for eight-hours per day.</w:t>
      </w:r>
      <w:r>
        <w:rPr>
          <w:rStyle w:val="FootnoteReference"/>
        </w:rPr>
        <w:footnoteReference w:id="85"/>
      </w:r>
    </w:p>
    <w:p w:rsidR="00EA43AA" w:rsidRPr="008F1617" w:rsidRDefault="00EA43AA" w:rsidP="00EA43AA">
      <w:pPr>
        <w:pStyle w:val="Heading3"/>
      </w:pPr>
      <w:r w:rsidRPr="008F1617">
        <w:t>Definition of Terms</w:t>
      </w:r>
    </w:p>
    <w:p w:rsidR="00EA43AA" w:rsidRPr="00165C8E" w:rsidRDefault="00EA43AA" w:rsidP="00EA43AA">
      <w:pPr>
        <w:pStyle w:val="Equation"/>
        <w:rPr>
          <w:rFonts w:cs="Arial"/>
          <w:szCs w:val="20"/>
        </w:rPr>
      </w:pPr>
      <w:r w:rsidRPr="00165C8E">
        <w:rPr>
          <w:rFonts w:cs="Arial"/>
          <w:szCs w:val="20"/>
        </w:rPr>
        <w:tab/>
        <w:t xml:space="preserve">PLb </w:t>
      </w:r>
      <w:r w:rsidRPr="00165C8E">
        <w:rPr>
          <w:rFonts w:cs="Arial"/>
          <w:szCs w:val="20"/>
        </w:rPr>
        <w:tab/>
        <w:t>= Peak load of the baseline home in Btuh.</w:t>
      </w:r>
    </w:p>
    <w:p w:rsidR="00EA43AA" w:rsidRPr="00165C8E" w:rsidRDefault="00EA43AA" w:rsidP="00EA43AA">
      <w:pPr>
        <w:pStyle w:val="Equation"/>
        <w:rPr>
          <w:rFonts w:cs="Arial"/>
          <w:szCs w:val="20"/>
        </w:rPr>
      </w:pPr>
      <w:r w:rsidRPr="00165C8E">
        <w:rPr>
          <w:rFonts w:cs="Arial"/>
          <w:szCs w:val="20"/>
        </w:rPr>
        <w:tab/>
        <w:t xml:space="preserve">OFb </w:t>
      </w:r>
      <w:r w:rsidRPr="00165C8E">
        <w:rPr>
          <w:rFonts w:cs="Arial"/>
          <w:szCs w:val="20"/>
        </w:rPr>
        <w:tab/>
        <w:t xml:space="preserve">= </w:t>
      </w:r>
      <w:r>
        <w:rPr>
          <w:rFonts w:cs="Arial"/>
          <w:szCs w:val="20"/>
        </w:rPr>
        <w:t>O</w:t>
      </w:r>
      <w:r w:rsidRPr="00165C8E">
        <w:rPr>
          <w:rFonts w:cs="Arial"/>
          <w:szCs w:val="20"/>
        </w:rPr>
        <w:t>ver-sizing factor for the HVAC unit in the baseline home.</w:t>
      </w:r>
    </w:p>
    <w:p w:rsidR="00EA43AA" w:rsidRPr="00165C8E" w:rsidRDefault="00EA43AA" w:rsidP="00EA43AA">
      <w:pPr>
        <w:pStyle w:val="Equation"/>
        <w:rPr>
          <w:rFonts w:cs="Arial"/>
          <w:szCs w:val="20"/>
        </w:rPr>
      </w:pPr>
      <w:r w:rsidRPr="00165C8E">
        <w:rPr>
          <w:rFonts w:cs="Arial"/>
          <w:szCs w:val="20"/>
        </w:rPr>
        <w:tab/>
        <w:t xml:space="preserve">SEERb </w:t>
      </w:r>
      <w:r w:rsidRPr="00165C8E">
        <w:rPr>
          <w:rFonts w:cs="Arial"/>
          <w:szCs w:val="20"/>
        </w:rPr>
        <w:tab/>
        <w:t>= Seasonal Energy Efficiency Ratio of the baseline unit.</w:t>
      </w:r>
    </w:p>
    <w:p w:rsidR="00EA43AA" w:rsidRPr="00165C8E" w:rsidRDefault="00EA43AA" w:rsidP="00EA43AA">
      <w:pPr>
        <w:pStyle w:val="Equation"/>
        <w:rPr>
          <w:rFonts w:cs="Arial"/>
          <w:szCs w:val="20"/>
        </w:rPr>
      </w:pPr>
      <w:r w:rsidRPr="00165C8E">
        <w:rPr>
          <w:rFonts w:cs="Arial"/>
          <w:szCs w:val="20"/>
        </w:rPr>
        <w:lastRenderedPageBreak/>
        <w:tab/>
        <w:t xml:space="preserve">BLEER </w:t>
      </w:r>
      <w:r w:rsidRPr="00165C8E">
        <w:rPr>
          <w:rFonts w:cs="Arial"/>
          <w:szCs w:val="20"/>
        </w:rPr>
        <w:tab/>
        <w:t>= Factor to convert baseline SEERb to EERb.</w:t>
      </w:r>
    </w:p>
    <w:p w:rsidR="00EA43AA" w:rsidRPr="00165C8E" w:rsidRDefault="00EA43AA" w:rsidP="00EA43AA">
      <w:pPr>
        <w:pStyle w:val="Equation"/>
        <w:rPr>
          <w:rFonts w:cs="Arial"/>
          <w:szCs w:val="20"/>
        </w:rPr>
      </w:pPr>
      <w:r w:rsidRPr="00165C8E">
        <w:rPr>
          <w:rFonts w:cs="Arial"/>
          <w:szCs w:val="20"/>
        </w:rPr>
        <w:tab/>
        <w:t xml:space="preserve">PLq </w:t>
      </w:r>
      <w:r w:rsidRPr="00165C8E">
        <w:rPr>
          <w:rFonts w:cs="Arial"/>
          <w:szCs w:val="20"/>
        </w:rPr>
        <w:tab/>
        <w:t xml:space="preserve">= </w:t>
      </w:r>
      <w:r>
        <w:rPr>
          <w:rFonts w:cs="Arial"/>
          <w:szCs w:val="20"/>
        </w:rPr>
        <w:t>A</w:t>
      </w:r>
      <w:r w:rsidRPr="00165C8E">
        <w:rPr>
          <w:rFonts w:cs="Arial"/>
          <w:szCs w:val="20"/>
        </w:rPr>
        <w:t>ctual predicted peak load for the program qualifying home constructed, in Btuh.</w:t>
      </w:r>
    </w:p>
    <w:p w:rsidR="00EA43AA" w:rsidRPr="00165C8E" w:rsidRDefault="00EA43AA" w:rsidP="00EA43AA">
      <w:pPr>
        <w:pStyle w:val="Equation"/>
        <w:rPr>
          <w:rFonts w:cs="Arial"/>
          <w:szCs w:val="20"/>
        </w:rPr>
      </w:pPr>
      <w:r w:rsidRPr="00165C8E">
        <w:rPr>
          <w:rFonts w:cs="Arial"/>
          <w:szCs w:val="20"/>
        </w:rPr>
        <w:tab/>
        <w:t xml:space="preserve">OFq </w:t>
      </w:r>
      <w:r w:rsidRPr="00165C8E">
        <w:rPr>
          <w:rFonts w:cs="Arial"/>
          <w:szCs w:val="20"/>
        </w:rPr>
        <w:tab/>
        <w:t xml:space="preserve">= </w:t>
      </w:r>
      <w:r>
        <w:rPr>
          <w:rFonts w:cs="Arial"/>
          <w:szCs w:val="20"/>
        </w:rPr>
        <w:t>O</w:t>
      </w:r>
      <w:r w:rsidRPr="00165C8E">
        <w:rPr>
          <w:rFonts w:cs="Arial"/>
          <w:szCs w:val="20"/>
        </w:rPr>
        <w:t>ver-sizing factor for the HVAC unit in the program qualifying home.</w:t>
      </w:r>
    </w:p>
    <w:p w:rsidR="00EA43AA" w:rsidRPr="00165C8E" w:rsidRDefault="00EA43AA" w:rsidP="00EA43AA">
      <w:pPr>
        <w:pStyle w:val="Equation"/>
        <w:rPr>
          <w:rFonts w:cs="Arial"/>
          <w:szCs w:val="20"/>
        </w:rPr>
      </w:pPr>
      <w:r w:rsidRPr="00165C8E">
        <w:rPr>
          <w:rFonts w:cs="Arial"/>
          <w:szCs w:val="20"/>
        </w:rPr>
        <w:tab/>
        <w:t xml:space="preserve">EERq </w:t>
      </w:r>
      <w:r w:rsidRPr="00165C8E">
        <w:rPr>
          <w:rFonts w:cs="Arial"/>
          <w:szCs w:val="20"/>
        </w:rPr>
        <w:tab/>
        <w:t>= EER associated with the HVAC system in the qualifying home.</w:t>
      </w:r>
    </w:p>
    <w:p w:rsidR="00EA43AA" w:rsidRDefault="00EA43AA" w:rsidP="00EA43AA">
      <w:pPr>
        <w:pStyle w:val="Equation"/>
      </w:pPr>
      <w:r w:rsidRPr="00165C8E">
        <w:rPr>
          <w:rFonts w:cs="Arial"/>
          <w:szCs w:val="20"/>
        </w:rPr>
        <w:tab/>
        <w:t xml:space="preserve">CF </w:t>
      </w:r>
      <w:r w:rsidRPr="00165C8E">
        <w:rPr>
          <w:rFonts w:cs="Arial"/>
          <w:szCs w:val="20"/>
        </w:rPr>
        <w:tab/>
        <w:t>= Demand Coincidence Factor (See Section 1.4)</w:t>
      </w:r>
    </w:p>
    <w:p w:rsidR="00EA43AA" w:rsidRDefault="00EA43AA" w:rsidP="00EA43AA">
      <w:r>
        <w:t>A summary of the input values and their data sources follows:</w:t>
      </w:r>
    </w:p>
    <w:p w:rsidR="00EA43AA" w:rsidRDefault="00EA43AA" w:rsidP="00EA43AA">
      <w:pPr>
        <w:pStyle w:val="Caption"/>
      </w:pPr>
      <w:bookmarkStart w:id="437" w:name="_Toc310875523"/>
      <w:r>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37</w:t>
      </w:r>
      <w:r w:rsidR="00274AB1">
        <w:rPr>
          <w:noProof/>
        </w:rPr>
        <w:fldChar w:fldCharType="end"/>
      </w:r>
      <w:r>
        <w:t>: Residential New Construction – References</w:t>
      </w:r>
      <w:bookmarkEnd w:id="437"/>
    </w:p>
    <w:tbl>
      <w:tblPr>
        <w:tblW w:w="7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1260"/>
        <w:gridCol w:w="2340"/>
        <w:gridCol w:w="2003"/>
      </w:tblGrid>
      <w:tr w:rsidR="00EA43AA" w:rsidTr="001364C8">
        <w:trPr>
          <w:trHeight w:val="317"/>
          <w:jc w:val="center"/>
        </w:trPr>
        <w:tc>
          <w:tcPr>
            <w:tcW w:w="1710" w:type="dxa"/>
            <w:shd w:val="clear" w:color="auto" w:fill="BFBFBF"/>
            <w:vAlign w:val="center"/>
          </w:tcPr>
          <w:p w:rsidR="00EA43AA" w:rsidRPr="001D6512" w:rsidRDefault="00EA43AA" w:rsidP="001364C8">
            <w:pPr>
              <w:pStyle w:val="TableCell"/>
              <w:spacing w:before="60" w:after="60"/>
              <w:rPr>
                <w:b/>
              </w:rPr>
            </w:pPr>
            <w:r w:rsidRPr="001D6512">
              <w:rPr>
                <w:b/>
              </w:rPr>
              <w:t>Component</w:t>
            </w:r>
          </w:p>
        </w:tc>
        <w:tc>
          <w:tcPr>
            <w:tcW w:w="1260" w:type="dxa"/>
            <w:shd w:val="clear" w:color="auto" w:fill="BFBFBF"/>
            <w:vAlign w:val="center"/>
          </w:tcPr>
          <w:p w:rsidR="00EA43AA" w:rsidRPr="001D6512" w:rsidRDefault="00EA43AA" w:rsidP="001364C8">
            <w:pPr>
              <w:pStyle w:val="TableCell"/>
              <w:spacing w:before="60" w:after="60"/>
              <w:rPr>
                <w:b/>
              </w:rPr>
            </w:pPr>
            <w:r w:rsidRPr="001D6512">
              <w:rPr>
                <w:b/>
              </w:rPr>
              <w:t>Type</w:t>
            </w:r>
          </w:p>
        </w:tc>
        <w:tc>
          <w:tcPr>
            <w:tcW w:w="2340" w:type="dxa"/>
            <w:shd w:val="clear" w:color="auto" w:fill="BFBFBF"/>
            <w:vAlign w:val="center"/>
          </w:tcPr>
          <w:p w:rsidR="00EA43AA" w:rsidRPr="001D6512" w:rsidRDefault="00EA43AA" w:rsidP="001364C8">
            <w:pPr>
              <w:pStyle w:val="TableCell"/>
              <w:spacing w:before="60" w:after="60"/>
              <w:rPr>
                <w:b/>
              </w:rPr>
            </w:pPr>
            <w:r w:rsidRPr="001D6512">
              <w:rPr>
                <w:b/>
              </w:rPr>
              <w:t>Value</w:t>
            </w:r>
          </w:p>
        </w:tc>
        <w:tc>
          <w:tcPr>
            <w:tcW w:w="2003" w:type="dxa"/>
            <w:shd w:val="clear" w:color="auto" w:fill="BFBFBF"/>
            <w:vAlign w:val="center"/>
          </w:tcPr>
          <w:p w:rsidR="00EA43AA" w:rsidRPr="001D6512" w:rsidRDefault="00EA43AA" w:rsidP="001364C8">
            <w:pPr>
              <w:pStyle w:val="TableCell"/>
              <w:spacing w:before="60" w:after="60"/>
              <w:rPr>
                <w:b/>
              </w:rPr>
            </w:pPr>
            <w:r w:rsidRPr="001D6512">
              <w:rPr>
                <w:b/>
              </w:rPr>
              <w:t>Sources</w:t>
            </w:r>
          </w:p>
        </w:tc>
      </w:tr>
      <w:tr w:rsidR="00EA43AA" w:rsidTr="001364C8">
        <w:trPr>
          <w:trHeight w:val="317"/>
          <w:jc w:val="center"/>
        </w:trPr>
        <w:tc>
          <w:tcPr>
            <w:tcW w:w="1710" w:type="dxa"/>
            <w:vAlign w:val="center"/>
          </w:tcPr>
          <w:p w:rsidR="00EA43AA" w:rsidRPr="001D6512" w:rsidRDefault="00EA43AA" w:rsidP="001364C8">
            <w:pPr>
              <w:pStyle w:val="TableCell"/>
              <w:spacing w:before="60" w:after="60"/>
            </w:pPr>
            <w:r w:rsidRPr="001D6512">
              <w:t>PLb</w:t>
            </w:r>
          </w:p>
        </w:tc>
        <w:tc>
          <w:tcPr>
            <w:tcW w:w="1260" w:type="dxa"/>
            <w:vAlign w:val="center"/>
          </w:tcPr>
          <w:p w:rsidR="00EA43AA" w:rsidRPr="001D6512" w:rsidRDefault="00EA43AA" w:rsidP="001364C8">
            <w:pPr>
              <w:pStyle w:val="TableCell"/>
              <w:spacing w:before="60" w:after="60"/>
            </w:pPr>
            <w:r w:rsidRPr="001D6512">
              <w:t>Variable</w:t>
            </w:r>
          </w:p>
        </w:tc>
        <w:tc>
          <w:tcPr>
            <w:tcW w:w="2340" w:type="dxa"/>
            <w:vAlign w:val="center"/>
          </w:tcPr>
          <w:p w:rsidR="00EA43AA" w:rsidRPr="001D6512" w:rsidRDefault="00EA43AA" w:rsidP="001364C8">
            <w:pPr>
              <w:pStyle w:val="TableCell"/>
              <w:spacing w:before="60" w:after="60"/>
            </w:pPr>
            <w:r w:rsidRPr="001D6512">
              <w:t>EDC Calculated</w:t>
            </w:r>
          </w:p>
        </w:tc>
        <w:tc>
          <w:tcPr>
            <w:tcW w:w="2003" w:type="dxa"/>
            <w:vAlign w:val="center"/>
          </w:tcPr>
          <w:p w:rsidR="00EA43AA" w:rsidRPr="001D6512" w:rsidRDefault="00EA43AA" w:rsidP="001364C8">
            <w:pPr>
              <w:pStyle w:val="TableCell"/>
              <w:spacing w:before="60" w:after="60"/>
            </w:pPr>
            <w:r w:rsidRPr="001D6512">
              <w:t>1, Software Output</w:t>
            </w:r>
          </w:p>
        </w:tc>
      </w:tr>
      <w:tr w:rsidR="00EA43AA" w:rsidTr="001364C8">
        <w:trPr>
          <w:trHeight w:val="317"/>
          <w:jc w:val="center"/>
        </w:trPr>
        <w:tc>
          <w:tcPr>
            <w:tcW w:w="1710" w:type="dxa"/>
            <w:vAlign w:val="center"/>
          </w:tcPr>
          <w:p w:rsidR="00EA43AA" w:rsidRPr="001D6512" w:rsidRDefault="00EA43AA" w:rsidP="001364C8">
            <w:pPr>
              <w:pStyle w:val="TableCell"/>
              <w:spacing w:before="60" w:after="60"/>
            </w:pPr>
            <w:r w:rsidRPr="001D6512">
              <w:t>OF</w:t>
            </w:r>
            <w:r w:rsidRPr="001D6512">
              <w:rPr>
                <w:i/>
              </w:rPr>
              <w:t>b</w:t>
            </w:r>
          </w:p>
        </w:tc>
        <w:tc>
          <w:tcPr>
            <w:tcW w:w="1260" w:type="dxa"/>
            <w:vAlign w:val="center"/>
          </w:tcPr>
          <w:p w:rsidR="00EA43AA" w:rsidRPr="001D6512" w:rsidRDefault="00EA43AA" w:rsidP="001364C8">
            <w:pPr>
              <w:pStyle w:val="TableCell"/>
              <w:spacing w:before="60" w:after="60"/>
            </w:pPr>
            <w:r w:rsidRPr="001D6512">
              <w:t>Fixed</w:t>
            </w:r>
          </w:p>
        </w:tc>
        <w:tc>
          <w:tcPr>
            <w:tcW w:w="2340" w:type="dxa"/>
            <w:vAlign w:val="center"/>
          </w:tcPr>
          <w:p w:rsidR="00EA43AA" w:rsidRPr="001D6512" w:rsidRDefault="00EA43AA" w:rsidP="001364C8">
            <w:pPr>
              <w:pStyle w:val="TableCell"/>
              <w:spacing w:before="60" w:after="60"/>
            </w:pPr>
            <w:r w:rsidRPr="001D6512">
              <w:t>1.6</w:t>
            </w:r>
          </w:p>
        </w:tc>
        <w:tc>
          <w:tcPr>
            <w:tcW w:w="2003" w:type="dxa"/>
            <w:vAlign w:val="center"/>
          </w:tcPr>
          <w:p w:rsidR="00EA43AA" w:rsidRPr="001D6512" w:rsidRDefault="00EA43AA" w:rsidP="001364C8">
            <w:pPr>
              <w:pStyle w:val="TableCell"/>
              <w:spacing w:before="60" w:after="60"/>
            </w:pPr>
            <w:r w:rsidRPr="001D6512">
              <w:t>2</w:t>
            </w:r>
          </w:p>
        </w:tc>
      </w:tr>
      <w:tr w:rsidR="00EA43AA" w:rsidTr="001364C8">
        <w:trPr>
          <w:trHeight w:val="317"/>
          <w:jc w:val="center"/>
        </w:trPr>
        <w:tc>
          <w:tcPr>
            <w:tcW w:w="1710" w:type="dxa"/>
            <w:vAlign w:val="center"/>
          </w:tcPr>
          <w:p w:rsidR="00EA43AA" w:rsidRPr="001D6512" w:rsidRDefault="00EA43AA" w:rsidP="001364C8">
            <w:pPr>
              <w:pStyle w:val="TableCell"/>
              <w:spacing w:before="60" w:after="60"/>
            </w:pPr>
            <w:r w:rsidRPr="001D6512">
              <w:t>SEER</w:t>
            </w:r>
            <w:r w:rsidRPr="001D6512">
              <w:rPr>
                <w:i/>
              </w:rPr>
              <w:t>b</w:t>
            </w:r>
          </w:p>
        </w:tc>
        <w:tc>
          <w:tcPr>
            <w:tcW w:w="1260" w:type="dxa"/>
            <w:vAlign w:val="center"/>
          </w:tcPr>
          <w:p w:rsidR="00EA43AA" w:rsidRPr="001D6512" w:rsidRDefault="00EA43AA" w:rsidP="001364C8">
            <w:pPr>
              <w:pStyle w:val="TableCell"/>
              <w:spacing w:before="60" w:after="60"/>
            </w:pPr>
            <w:r w:rsidRPr="001D6512">
              <w:t>Fixed</w:t>
            </w:r>
          </w:p>
        </w:tc>
        <w:tc>
          <w:tcPr>
            <w:tcW w:w="2340" w:type="dxa"/>
            <w:vAlign w:val="center"/>
          </w:tcPr>
          <w:p w:rsidR="00EA43AA" w:rsidRPr="001D6512" w:rsidRDefault="00EA43AA" w:rsidP="001364C8">
            <w:pPr>
              <w:pStyle w:val="TableCell"/>
              <w:spacing w:before="60" w:after="60"/>
            </w:pPr>
            <w:r w:rsidRPr="001D6512">
              <w:t>13</w:t>
            </w:r>
          </w:p>
        </w:tc>
        <w:tc>
          <w:tcPr>
            <w:tcW w:w="2003" w:type="dxa"/>
            <w:vAlign w:val="center"/>
          </w:tcPr>
          <w:p w:rsidR="00EA43AA" w:rsidRPr="001D6512" w:rsidRDefault="00EA43AA" w:rsidP="001364C8">
            <w:pPr>
              <w:pStyle w:val="TableCell"/>
              <w:spacing w:before="60" w:after="60"/>
            </w:pPr>
            <w:r w:rsidRPr="001D6512">
              <w:t>3</w:t>
            </w:r>
          </w:p>
        </w:tc>
      </w:tr>
      <w:tr w:rsidR="00EA43AA" w:rsidTr="001364C8">
        <w:trPr>
          <w:trHeight w:val="317"/>
          <w:jc w:val="center"/>
        </w:trPr>
        <w:tc>
          <w:tcPr>
            <w:tcW w:w="1710" w:type="dxa"/>
            <w:vAlign w:val="center"/>
          </w:tcPr>
          <w:p w:rsidR="00EA43AA" w:rsidRPr="001D6512" w:rsidRDefault="00EA43AA" w:rsidP="001364C8">
            <w:pPr>
              <w:pStyle w:val="TableCell"/>
              <w:spacing w:before="60" w:after="60"/>
            </w:pPr>
            <w:r w:rsidRPr="001D6512">
              <w:t>BLEER</w:t>
            </w:r>
          </w:p>
        </w:tc>
        <w:tc>
          <w:tcPr>
            <w:tcW w:w="1260" w:type="dxa"/>
            <w:vAlign w:val="center"/>
          </w:tcPr>
          <w:p w:rsidR="00EA43AA" w:rsidRPr="001D6512" w:rsidRDefault="00EA43AA" w:rsidP="001364C8">
            <w:pPr>
              <w:pStyle w:val="TableCell"/>
              <w:spacing w:before="60" w:after="60"/>
            </w:pPr>
            <w:r w:rsidRPr="001D6512">
              <w:t>Fixed</w:t>
            </w:r>
          </w:p>
        </w:tc>
        <w:tc>
          <w:tcPr>
            <w:tcW w:w="2340" w:type="dxa"/>
            <w:vAlign w:val="center"/>
          </w:tcPr>
          <w:p w:rsidR="00EA43AA" w:rsidRPr="001D6512" w:rsidRDefault="00EA43AA" w:rsidP="001364C8">
            <w:pPr>
              <w:pStyle w:val="TableCell"/>
              <w:spacing w:before="60" w:after="60"/>
            </w:pPr>
            <w:r w:rsidRPr="001D6512">
              <w:t>(11.3/13)</w:t>
            </w:r>
          </w:p>
        </w:tc>
        <w:tc>
          <w:tcPr>
            <w:tcW w:w="2003" w:type="dxa"/>
            <w:vAlign w:val="center"/>
          </w:tcPr>
          <w:p w:rsidR="00EA43AA" w:rsidRPr="001D6512" w:rsidRDefault="00EA43AA" w:rsidP="001364C8">
            <w:pPr>
              <w:pStyle w:val="TableCell"/>
              <w:spacing w:before="60" w:after="60"/>
            </w:pPr>
            <w:r w:rsidRPr="001D6512">
              <w:t>4</w:t>
            </w:r>
          </w:p>
        </w:tc>
      </w:tr>
      <w:tr w:rsidR="00EA43AA" w:rsidTr="001364C8">
        <w:trPr>
          <w:trHeight w:val="317"/>
          <w:jc w:val="center"/>
        </w:trPr>
        <w:tc>
          <w:tcPr>
            <w:tcW w:w="1710" w:type="dxa"/>
            <w:vAlign w:val="center"/>
          </w:tcPr>
          <w:p w:rsidR="00EA43AA" w:rsidRPr="001D6512" w:rsidRDefault="00EA43AA" w:rsidP="001364C8">
            <w:pPr>
              <w:pStyle w:val="TableCell"/>
              <w:spacing w:before="60" w:after="60"/>
            </w:pPr>
            <w:r w:rsidRPr="001D6512">
              <w:t>PL</w:t>
            </w:r>
            <w:r w:rsidRPr="001D6512">
              <w:rPr>
                <w:i/>
              </w:rPr>
              <w:t>q</w:t>
            </w:r>
          </w:p>
        </w:tc>
        <w:tc>
          <w:tcPr>
            <w:tcW w:w="1260" w:type="dxa"/>
            <w:vAlign w:val="center"/>
          </w:tcPr>
          <w:p w:rsidR="00EA43AA" w:rsidRPr="001D6512" w:rsidRDefault="00EA43AA" w:rsidP="001364C8">
            <w:pPr>
              <w:pStyle w:val="TableCell"/>
              <w:spacing w:before="60" w:after="60"/>
            </w:pPr>
            <w:r w:rsidRPr="001D6512">
              <w:t>Variable</w:t>
            </w:r>
          </w:p>
        </w:tc>
        <w:tc>
          <w:tcPr>
            <w:tcW w:w="2340" w:type="dxa"/>
            <w:vAlign w:val="center"/>
          </w:tcPr>
          <w:p w:rsidR="00EA43AA" w:rsidRPr="001D6512" w:rsidRDefault="00EA43AA" w:rsidP="001364C8">
            <w:pPr>
              <w:pStyle w:val="TableCell"/>
              <w:spacing w:before="60" w:after="60"/>
            </w:pPr>
            <w:r w:rsidRPr="001D6512">
              <w:t>EDC Calculated</w:t>
            </w:r>
          </w:p>
        </w:tc>
        <w:tc>
          <w:tcPr>
            <w:tcW w:w="2003" w:type="dxa"/>
            <w:vAlign w:val="center"/>
          </w:tcPr>
          <w:p w:rsidR="00EA43AA" w:rsidRPr="001D6512" w:rsidRDefault="00EA43AA" w:rsidP="001364C8">
            <w:pPr>
              <w:pStyle w:val="TableCell"/>
              <w:spacing w:before="60" w:after="60"/>
            </w:pPr>
            <w:r w:rsidRPr="001D6512">
              <w:t>5, Software Output</w:t>
            </w:r>
          </w:p>
        </w:tc>
      </w:tr>
      <w:tr w:rsidR="00EA43AA" w:rsidTr="001364C8">
        <w:trPr>
          <w:trHeight w:val="317"/>
          <w:jc w:val="center"/>
        </w:trPr>
        <w:tc>
          <w:tcPr>
            <w:tcW w:w="1710" w:type="dxa"/>
            <w:vAlign w:val="center"/>
          </w:tcPr>
          <w:p w:rsidR="00EA43AA" w:rsidRPr="001D6512" w:rsidRDefault="00EA43AA" w:rsidP="001364C8">
            <w:pPr>
              <w:pStyle w:val="TableCell"/>
              <w:spacing w:before="60" w:after="60"/>
            </w:pPr>
            <w:r w:rsidRPr="001D6512">
              <w:t>OF</w:t>
            </w:r>
            <w:r w:rsidRPr="001D6512">
              <w:rPr>
                <w:i/>
              </w:rPr>
              <w:t>q</w:t>
            </w:r>
          </w:p>
        </w:tc>
        <w:tc>
          <w:tcPr>
            <w:tcW w:w="1260" w:type="dxa"/>
            <w:vAlign w:val="center"/>
          </w:tcPr>
          <w:p w:rsidR="00EA43AA" w:rsidRPr="001D6512" w:rsidRDefault="00EA43AA" w:rsidP="001364C8">
            <w:pPr>
              <w:pStyle w:val="TableCell"/>
              <w:spacing w:before="60" w:after="60"/>
            </w:pPr>
            <w:r w:rsidRPr="001D6512">
              <w:t>Fixed</w:t>
            </w:r>
          </w:p>
        </w:tc>
        <w:tc>
          <w:tcPr>
            <w:tcW w:w="2340" w:type="dxa"/>
            <w:vAlign w:val="center"/>
          </w:tcPr>
          <w:p w:rsidR="00EA43AA" w:rsidRPr="001D6512" w:rsidRDefault="00EA43AA" w:rsidP="001364C8">
            <w:pPr>
              <w:pStyle w:val="TableCell"/>
              <w:spacing w:before="60" w:after="60"/>
            </w:pPr>
            <w:r w:rsidRPr="001D6512">
              <w:t>1.15</w:t>
            </w:r>
          </w:p>
        </w:tc>
        <w:tc>
          <w:tcPr>
            <w:tcW w:w="2003" w:type="dxa"/>
            <w:vAlign w:val="center"/>
          </w:tcPr>
          <w:p w:rsidR="00EA43AA" w:rsidRPr="001D6512" w:rsidRDefault="00EA43AA" w:rsidP="001364C8">
            <w:pPr>
              <w:pStyle w:val="TableCell"/>
              <w:spacing w:before="60" w:after="60"/>
            </w:pPr>
            <w:r w:rsidRPr="001D6512">
              <w:t>6</w:t>
            </w:r>
          </w:p>
        </w:tc>
      </w:tr>
      <w:tr w:rsidR="00EA43AA" w:rsidTr="001364C8">
        <w:trPr>
          <w:trHeight w:val="317"/>
          <w:jc w:val="center"/>
        </w:trPr>
        <w:tc>
          <w:tcPr>
            <w:tcW w:w="1710" w:type="dxa"/>
            <w:vAlign w:val="center"/>
          </w:tcPr>
          <w:p w:rsidR="00EA43AA" w:rsidRPr="001D6512" w:rsidRDefault="00EA43AA" w:rsidP="001364C8">
            <w:pPr>
              <w:pStyle w:val="TableCell"/>
              <w:spacing w:before="60" w:after="60"/>
            </w:pPr>
            <w:r w:rsidRPr="001D6512">
              <w:t>EER</w:t>
            </w:r>
            <w:r w:rsidRPr="001D6512">
              <w:rPr>
                <w:i/>
              </w:rPr>
              <w:t>q</w:t>
            </w:r>
          </w:p>
        </w:tc>
        <w:tc>
          <w:tcPr>
            <w:tcW w:w="1260" w:type="dxa"/>
            <w:vAlign w:val="center"/>
          </w:tcPr>
          <w:p w:rsidR="00EA43AA" w:rsidRPr="001D6512" w:rsidRDefault="00EA43AA" w:rsidP="001364C8">
            <w:pPr>
              <w:pStyle w:val="TableCell"/>
              <w:spacing w:before="60" w:after="60"/>
            </w:pPr>
            <w:r w:rsidRPr="001D6512">
              <w:t>Variable</w:t>
            </w:r>
          </w:p>
        </w:tc>
        <w:tc>
          <w:tcPr>
            <w:tcW w:w="2340" w:type="dxa"/>
            <w:vAlign w:val="center"/>
          </w:tcPr>
          <w:p w:rsidR="00EA43AA" w:rsidRPr="001D6512" w:rsidRDefault="00EA43AA" w:rsidP="001364C8">
            <w:pPr>
              <w:pStyle w:val="TableCell"/>
              <w:spacing w:before="60" w:after="60"/>
              <w:rPr>
                <w:u w:val="single"/>
              </w:rPr>
            </w:pPr>
            <w:r w:rsidRPr="001D6512">
              <w:t>EDC Data Gathering</w:t>
            </w:r>
          </w:p>
        </w:tc>
        <w:tc>
          <w:tcPr>
            <w:tcW w:w="2003" w:type="dxa"/>
            <w:vAlign w:val="center"/>
          </w:tcPr>
          <w:p w:rsidR="00EA43AA" w:rsidRPr="001D6512" w:rsidRDefault="00EA43AA" w:rsidP="001364C8">
            <w:pPr>
              <w:pStyle w:val="TableCell"/>
              <w:spacing w:before="60" w:after="60"/>
            </w:pPr>
            <w:r w:rsidRPr="001D6512">
              <w:rPr>
                <w:highlight w:val="lightGray"/>
              </w:rPr>
              <w:t>AEPS Application</w:t>
            </w:r>
            <w:r w:rsidRPr="001D6512">
              <w:t>; EDC’s Data Gathering</w:t>
            </w:r>
          </w:p>
        </w:tc>
      </w:tr>
      <w:tr w:rsidR="00EA43AA" w:rsidTr="001364C8">
        <w:trPr>
          <w:trHeight w:val="317"/>
          <w:jc w:val="center"/>
        </w:trPr>
        <w:tc>
          <w:tcPr>
            <w:tcW w:w="1710" w:type="dxa"/>
            <w:vAlign w:val="center"/>
          </w:tcPr>
          <w:p w:rsidR="00EA43AA" w:rsidRPr="001D6512" w:rsidRDefault="00EA43AA" w:rsidP="001364C8">
            <w:pPr>
              <w:pStyle w:val="TableCell"/>
              <w:spacing w:before="60" w:after="60"/>
            </w:pPr>
            <w:r w:rsidRPr="001D6512">
              <w:t>CF</w:t>
            </w:r>
          </w:p>
        </w:tc>
        <w:tc>
          <w:tcPr>
            <w:tcW w:w="1260" w:type="dxa"/>
            <w:vAlign w:val="center"/>
          </w:tcPr>
          <w:p w:rsidR="00EA43AA" w:rsidRPr="001D6512" w:rsidRDefault="00EA43AA" w:rsidP="001364C8">
            <w:pPr>
              <w:pStyle w:val="TableCell"/>
              <w:spacing w:before="60" w:after="60"/>
            </w:pPr>
            <w:r w:rsidRPr="001D6512">
              <w:t>Fixed</w:t>
            </w:r>
          </w:p>
        </w:tc>
        <w:tc>
          <w:tcPr>
            <w:tcW w:w="2340" w:type="dxa"/>
            <w:vAlign w:val="center"/>
          </w:tcPr>
          <w:p w:rsidR="00EA43AA" w:rsidRPr="001D6512" w:rsidRDefault="00EA43AA" w:rsidP="001364C8">
            <w:pPr>
              <w:pStyle w:val="TableCell"/>
              <w:spacing w:before="60" w:after="60"/>
            </w:pPr>
            <w:r w:rsidRPr="001D6512">
              <w:t>0.70</w:t>
            </w:r>
          </w:p>
        </w:tc>
        <w:tc>
          <w:tcPr>
            <w:tcW w:w="2003" w:type="dxa"/>
            <w:vAlign w:val="center"/>
          </w:tcPr>
          <w:p w:rsidR="00EA43AA" w:rsidRPr="001D6512" w:rsidRDefault="00EA43AA" w:rsidP="001364C8">
            <w:pPr>
              <w:pStyle w:val="TableCell"/>
              <w:spacing w:before="60" w:after="60"/>
            </w:pPr>
            <w:r w:rsidRPr="001D6512">
              <w:t>7</w:t>
            </w:r>
          </w:p>
        </w:tc>
      </w:tr>
    </w:tbl>
    <w:p w:rsidR="00EA43AA" w:rsidRDefault="00EA43AA" w:rsidP="00EA43AA"/>
    <w:p w:rsidR="00EA43AA" w:rsidRDefault="00EA43AA" w:rsidP="00EA43AA">
      <w:r w:rsidRPr="00C46FD5">
        <w:rPr>
          <w:b/>
        </w:rPr>
        <w:t>Sources</w:t>
      </w:r>
      <w:r>
        <w:t>:</w:t>
      </w:r>
    </w:p>
    <w:p w:rsidR="00EA43AA" w:rsidRDefault="00EA43AA" w:rsidP="0005632A">
      <w:pPr>
        <w:pStyle w:val="source1"/>
        <w:numPr>
          <w:ilvl w:val="0"/>
          <w:numId w:val="120"/>
        </w:numPr>
      </w:pPr>
      <w:r>
        <w:t>Calculation of peak load of baseline home from the home energy rating tool based on the reference home energy characteristics.</w:t>
      </w:r>
    </w:p>
    <w:p w:rsidR="00EA43AA" w:rsidRDefault="00EA43AA" w:rsidP="00EA43AA">
      <w:pPr>
        <w:pStyle w:val="source1"/>
      </w:pPr>
      <w:r>
        <w:t>PSE&amp;G 1997 Residential New Construction baseline study.</w:t>
      </w:r>
    </w:p>
    <w:p w:rsidR="00EA43AA" w:rsidRPr="00E165C7" w:rsidRDefault="00EA43AA" w:rsidP="00EA43AA">
      <w:pPr>
        <w:pStyle w:val="source1"/>
        <w:rPr>
          <w:szCs w:val="24"/>
        </w:rPr>
      </w:pPr>
      <w:r w:rsidRPr="00E165C7">
        <w:rPr>
          <w:szCs w:val="24"/>
        </w:rPr>
        <w:t>Federal Register, Vol. 66, No. 14, Monday, January 22, 2001/Rules and Regulations, p. 7170-7200</w:t>
      </w:r>
    </w:p>
    <w:p w:rsidR="00EA43AA" w:rsidRDefault="00EA43AA" w:rsidP="00EA43AA">
      <w:pPr>
        <w:pStyle w:val="source1"/>
      </w:pPr>
      <w:r>
        <w:t>Ratio to calculate EER from SEER based average EER for SEER 13 units.</w:t>
      </w:r>
    </w:p>
    <w:p w:rsidR="00EA43AA" w:rsidRDefault="00EA43AA" w:rsidP="00EA43AA">
      <w:pPr>
        <w:pStyle w:val="source1"/>
      </w:pPr>
      <w:r>
        <w:t>Calculation of peak load of energy efficient home from the home energy rating tool based on the specified home energy characteristics.</w:t>
      </w:r>
    </w:p>
    <w:p w:rsidR="00EA43AA" w:rsidRDefault="00EA43AA" w:rsidP="00EA43AA">
      <w:pPr>
        <w:pStyle w:val="source1"/>
      </w:pPr>
      <w:r>
        <w:t>Program guideline for qualifying home.</w:t>
      </w:r>
    </w:p>
    <w:p w:rsidR="00EA43AA" w:rsidRDefault="00EA43AA" w:rsidP="00EA43AA">
      <w:pPr>
        <w:pStyle w:val="source1"/>
        <w:spacing w:after="200"/>
      </w:pPr>
      <w:r>
        <w:t>Based on an analysis of six different utilities by Proctor Engineering.</w:t>
      </w:r>
    </w:p>
    <w:p w:rsidR="00EA43AA" w:rsidRDefault="00EA43AA" w:rsidP="00EA43AA">
      <w:pPr>
        <w:pStyle w:val="source1"/>
        <w:numPr>
          <w:ilvl w:val="0"/>
          <w:numId w:val="0"/>
        </w:numPr>
        <w:spacing w:after="200"/>
        <w:ind w:left="720"/>
      </w:pPr>
    </w:p>
    <w:p w:rsidR="00EA43AA" w:rsidRDefault="00EA43AA" w:rsidP="00EA43AA">
      <w:r>
        <w:lastRenderedPageBreak/>
        <w:t>The following table lists the building envelope characteristics of the baseline reference home based on IRC 2009 for the three climate zones in Pennsylvania..</w:t>
      </w:r>
    </w:p>
    <w:p w:rsidR="00EA43AA" w:rsidRDefault="00EA43AA" w:rsidP="00EA43AA">
      <w:pPr>
        <w:pStyle w:val="Caption"/>
      </w:pPr>
      <w:bookmarkStart w:id="438" w:name="_Toc310875524"/>
      <w:r>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38</w:t>
      </w:r>
      <w:r w:rsidR="00274AB1">
        <w:rPr>
          <w:noProof/>
        </w:rPr>
        <w:fldChar w:fldCharType="end"/>
      </w:r>
      <w:r>
        <w:t xml:space="preserve">: Baseline </w:t>
      </w:r>
      <w:r w:rsidRPr="00EA43AA">
        <w:t>Insulation and Fenestration Requirements by Component</w:t>
      </w:r>
      <w:r w:rsidDel="00756816">
        <w:t xml:space="preserve"> </w:t>
      </w:r>
      <w:r>
        <w:t>(E</w:t>
      </w:r>
      <w:r w:rsidRPr="00EA43AA">
        <w:t>quivalent U-Factors)</w:t>
      </w:r>
      <w:bookmarkEnd w:id="438"/>
      <w:r w:rsidRPr="00EA43AA">
        <w:t xml:space="preserve"> </w:t>
      </w:r>
    </w:p>
    <w:tbl>
      <w:tblPr>
        <w:tblW w:w="8640" w:type="dxa"/>
        <w:tblCellMar>
          <w:left w:w="0" w:type="dxa"/>
          <w:right w:w="0" w:type="dxa"/>
        </w:tblCellMar>
        <w:tblLook w:val="04A0" w:firstRow="1" w:lastRow="0" w:firstColumn="1" w:lastColumn="0" w:noHBand="0" w:noVBand="1"/>
      </w:tblPr>
      <w:tblGrid>
        <w:gridCol w:w="799"/>
        <w:gridCol w:w="1145"/>
        <w:gridCol w:w="836"/>
        <w:gridCol w:w="742"/>
        <w:gridCol w:w="897"/>
        <w:gridCol w:w="897"/>
        <w:gridCol w:w="724"/>
        <w:gridCol w:w="893"/>
        <w:gridCol w:w="812"/>
        <w:gridCol w:w="895"/>
      </w:tblGrid>
      <w:tr w:rsidR="00EA43AA" w:rsidRPr="006F7E66" w:rsidTr="00EA43AA">
        <w:trPr>
          <w:trHeight w:val="730"/>
        </w:trPr>
        <w:tc>
          <w:tcPr>
            <w:tcW w:w="870" w:type="dxa"/>
            <w:tcBorders>
              <w:top w:val="single" w:sz="8" w:space="0" w:color="auto"/>
              <w:left w:val="single" w:sz="8" w:space="0" w:color="auto"/>
              <w:bottom w:val="single" w:sz="8" w:space="0" w:color="auto"/>
              <w:right w:val="single" w:sz="8" w:space="0" w:color="auto"/>
            </w:tcBorders>
            <w:shd w:val="clear" w:color="auto" w:fill="D9D9D9"/>
            <w:vAlign w:val="bottom"/>
            <w:hideMark/>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sidRPr="006F7E66">
              <w:rPr>
                <w:rFonts w:cs="Arial"/>
                <w:b/>
                <w:bCs/>
                <w:sz w:val="18"/>
                <w:szCs w:val="18"/>
              </w:rPr>
              <w:t>C</w:t>
            </w:r>
            <w:r>
              <w:rPr>
                <w:rFonts w:cs="Arial"/>
                <w:b/>
                <w:bCs/>
                <w:sz w:val="18"/>
                <w:szCs w:val="18"/>
              </w:rPr>
              <w:t>limate Zone</w:t>
            </w:r>
          </w:p>
        </w:tc>
        <w:tc>
          <w:tcPr>
            <w:tcW w:w="1170" w:type="dxa"/>
            <w:tcBorders>
              <w:top w:val="single" w:sz="8" w:space="0" w:color="auto"/>
              <w:left w:val="nil"/>
              <w:bottom w:val="single" w:sz="8" w:space="0" w:color="auto"/>
              <w:right w:val="single" w:sz="8" w:space="0" w:color="auto"/>
            </w:tcBorders>
            <w:shd w:val="clear" w:color="auto" w:fill="D9D9D9"/>
            <w:vAlign w:val="bottom"/>
            <w:hideMark/>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sidRPr="006F7E66">
              <w:rPr>
                <w:rFonts w:cs="Arial"/>
                <w:b/>
                <w:bCs/>
                <w:sz w:val="18"/>
                <w:szCs w:val="18"/>
              </w:rPr>
              <w:t>F</w:t>
            </w:r>
            <w:r>
              <w:rPr>
                <w:rFonts w:cs="Arial"/>
                <w:b/>
                <w:bCs/>
                <w:sz w:val="18"/>
                <w:szCs w:val="18"/>
              </w:rPr>
              <w:t>enestration U-Factor</w:t>
            </w:r>
          </w:p>
        </w:tc>
        <w:tc>
          <w:tcPr>
            <w:tcW w:w="900" w:type="dxa"/>
            <w:tcBorders>
              <w:top w:val="single" w:sz="8" w:space="0" w:color="auto"/>
              <w:left w:val="nil"/>
              <w:bottom w:val="single" w:sz="8" w:space="0" w:color="auto"/>
              <w:right w:val="single" w:sz="8" w:space="0" w:color="auto"/>
            </w:tcBorders>
            <w:shd w:val="clear" w:color="auto" w:fill="D9D9D9"/>
            <w:vAlign w:val="bottom"/>
            <w:hideMark/>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sidRPr="006F7E66">
              <w:rPr>
                <w:rFonts w:cs="Arial"/>
                <w:b/>
                <w:bCs/>
                <w:sz w:val="18"/>
                <w:szCs w:val="18"/>
              </w:rPr>
              <w:t>S</w:t>
            </w:r>
            <w:r>
              <w:rPr>
                <w:rFonts w:cs="Arial"/>
                <w:b/>
                <w:bCs/>
                <w:sz w:val="18"/>
                <w:szCs w:val="18"/>
              </w:rPr>
              <w:t>kylight U-Factor</w:t>
            </w:r>
          </w:p>
        </w:tc>
        <w:tc>
          <w:tcPr>
            <w:tcW w:w="810" w:type="dxa"/>
            <w:tcBorders>
              <w:top w:val="single" w:sz="8" w:space="0" w:color="auto"/>
              <w:left w:val="nil"/>
              <w:bottom w:val="single" w:sz="8" w:space="0" w:color="auto"/>
              <w:right w:val="single" w:sz="8" w:space="0" w:color="auto"/>
            </w:tcBorders>
            <w:shd w:val="clear" w:color="auto" w:fill="D9D9D9"/>
            <w:vAlign w:val="bottom"/>
            <w:hideMark/>
          </w:tcPr>
          <w:p w:rsidR="00184796" w:rsidRDefault="00EA43AA">
            <w:pPr>
              <w:overflowPunct/>
              <w:autoSpaceDE/>
              <w:autoSpaceDN/>
              <w:adjustRightInd/>
              <w:spacing w:after="0" w:line="240" w:lineRule="auto"/>
              <w:jc w:val="center"/>
              <w:textAlignment w:val="auto"/>
            </w:pPr>
            <w:r w:rsidRPr="006F7E66">
              <w:rPr>
                <w:rFonts w:cs="Arial"/>
                <w:b/>
                <w:bCs/>
                <w:sz w:val="18"/>
                <w:szCs w:val="18"/>
              </w:rPr>
              <w:t>C</w:t>
            </w:r>
            <w:r>
              <w:rPr>
                <w:rFonts w:cs="Arial"/>
                <w:b/>
                <w:bCs/>
                <w:sz w:val="18"/>
                <w:szCs w:val="18"/>
              </w:rPr>
              <w:t>eiling U-Factor</w:t>
            </w:r>
          </w:p>
        </w:tc>
        <w:tc>
          <w:tcPr>
            <w:tcW w:w="1080" w:type="dxa"/>
            <w:tcBorders>
              <w:top w:val="single" w:sz="8" w:space="0" w:color="auto"/>
              <w:left w:val="nil"/>
              <w:bottom w:val="single" w:sz="8" w:space="0" w:color="auto"/>
              <w:right w:val="single" w:sz="8" w:space="0" w:color="auto"/>
            </w:tcBorders>
            <w:shd w:val="clear" w:color="auto" w:fill="D9D9D9"/>
            <w:vAlign w:val="bottom"/>
            <w:hideMark/>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sidRPr="006F7E66">
              <w:rPr>
                <w:rFonts w:cs="Arial"/>
                <w:b/>
                <w:bCs/>
                <w:sz w:val="18"/>
                <w:szCs w:val="18"/>
              </w:rPr>
              <w:t>F</w:t>
            </w:r>
            <w:r>
              <w:rPr>
                <w:rFonts w:cs="Arial"/>
                <w:b/>
                <w:bCs/>
                <w:sz w:val="18"/>
                <w:szCs w:val="18"/>
              </w:rPr>
              <w:t>rame Wall U-Factor</w:t>
            </w:r>
          </w:p>
        </w:tc>
        <w:tc>
          <w:tcPr>
            <w:tcW w:w="1080" w:type="dxa"/>
            <w:tcBorders>
              <w:top w:val="single" w:sz="8" w:space="0" w:color="auto"/>
              <w:left w:val="nil"/>
              <w:bottom w:val="single" w:sz="8" w:space="0" w:color="auto"/>
              <w:right w:val="single" w:sz="8" w:space="0" w:color="auto"/>
            </w:tcBorders>
            <w:shd w:val="clear" w:color="auto" w:fill="D9D9D9"/>
            <w:vAlign w:val="bottom"/>
            <w:hideMark/>
          </w:tcPr>
          <w:p w:rsidR="00184796" w:rsidRDefault="00EA43AA">
            <w:pPr>
              <w:overflowPunct/>
              <w:autoSpaceDE/>
              <w:autoSpaceDN/>
              <w:adjustRightInd/>
              <w:spacing w:after="0" w:line="240" w:lineRule="auto"/>
              <w:jc w:val="center"/>
              <w:textAlignment w:val="auto"/>
            </w:pPr>
            <w:r>
              <w:rPr>
                <w:rFonts w:cs="Arial"/>
                <w:b/>
                <w:bCs/>
                <w:sz w:val="18"/>
                <w:szCs w:val="18"/>
              </w:rPr>
              <w:t>Mass Wall U-Factor</w:t>
            </w:r>
          </w:p>
        </w:tc>
        <w:tc>
          <w:tcPr>
            <w:tcW w:w="810" w:type="dxa"/>
            <w:tcBorders>
              <w:top w:val="single" w:sz="8" w:space="0" w:color="auto"/>
              <w:left w:val="nil"/>
              <w:bottom w:val="single" w:sz="8" w:space="0" w:color="auto"/>
              <w:right w:val="single" w:sz="8" w:space="0" w:color="auto"/>
            </w:tcBorders>
            <w:shd w:val="clear" w:color="auto" w:fill="D9D9D9"/>
            <w:vAlign w:val="bottom"/>
            <w:hideMark/>
          </w:tcPr>
          <w:p w:rsidR="00EA43AA" w:rsidRDefault="00EA43AA" w:rsidP="001364C8">
            <w:pPr>
              <w:overflowPunct/>
              <w:autoSpaceDE/>
              <w:autoSpaceDN/>
              <w:adjustRightInd/>
              <w:spacing w:after="0" w:line="240" w:lineRule="auto"/>
              <w:jc w:val="center"/>
              <w:textAlignment w:val="auto"/>
              <w:rPr>
                <w:rFonts w:cs="Arial"/>
                <w:b/>
                <w:bCs/>
                <w:sz w:val="18"/>
                <w:szCs w:val="18"/>
              </w:rPr>
            </w:pPr>
            <w:r w:rsidRPr="006F7E66">
              <w:rPr>
                <w:rFonts w:cs="Arial"/>
                <w:b/>
                <w:bCs/>
                <w:sz w:val="18"/>
                <w:szCs w:val="18"/>
              </w:rPr>
              <w:t>F</w:t>
            </w:r>
            <w:r>
              <w:rPr>
                <w:rFonts w:cs="Arial"/>
                <w:b/>
                <w:bCs/>
                <w:sz w:val="18"/>
                <w:szCs w:val="18"/>
              </w:rPr>
              <w:t xml:space="preserve">loor </w:t>
            </w:r>
          </w:p>
          <w:p w:rsidR="00EA43AA" w:rsidRPr="006F7E66" w:rsidRDefault="00EA43AA" w:rsidP="001364C8">
            <w:pPr>
              <w:overflowPunct/>
              <w:autoSpaceDE/>
              <w:autoSpaceDN/>
              <w:adjustRightInd/>
              <w:spacing w:after="0" w:line="240" w:lineRule="auto"/>
              <w:jc w:val="center"/>
              <w:textAlignment w:val="auto"/>
              <w:rPr>
                <w:rFonts w:cs="Arial"/>
                <w:sz w:val="18"/>
                <w:szCs w:val="18"/>
              </w:rPr>
            </w:pPr>
            <w:r>
              <w:rPr>
                <w:rFonts w:cs="Arial"/>
                <w:b/>
                <w:bCs/>
                <w:sz w:val="18"/>
                <w:szCs w:val="18"/>
              </w:rPr>
              <w:t>U-Factor</w:t>
            </w:r>
          </w:p>
        </w:tc>
        <w:tc>
          <w:tcPr>
            <w:tcW w:w="900" w:type="dxa"/>
            <w:tcBorders>
              <w:top w:val="single" w:sz="8" w:space="0" w:color="auto"/>
              <w:left w:val="nil"/>
              <w:bottom w:val="single" w:sz="8" w:space="0" w:color="auto"/>
              <w:right w:val="single" w:sz="8" w:space="0" w:color="auto"/>
            </w:tcBorders>
            <w:shd w:val="clear" w:color="auto" w:fill="D9D9D9"/>
            <w:vAlign w:val="bottom"/>
            <w:hideMark/>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sidRPr="006F7E66">
              <w:rPr>
                <w:rFonts w:cs="Arial"/>
                <w:b/>
                <w:bCs/>
                <w:sz w:val="18"/>
                <w:szCs w:val="18"/>
              </w:rPr>
              <w:t>B</w:t>
            </w:r>
            <w:r>
              <w:rPr>
                <w:rFonts w:cs="Arial"/>
                <w:b/>
                <w:bCs/>
                <w:sz w:val="18"/>
                <w:szCs w:val="18"/>
              </w:rPr>
              <w:t xml:space="preserve">asement Wall </w:t>
            </w:r>
            <w:r w:rsidRPr="006F7E66">
              <w:rPr>
                <w:rFonts w:cs="Arial"/>
                <w:b/>
                <w:bCs/>
                <w:i/>
                <w:iCs/>
                <w:sz w:val="18"/>
                <w:szCs w:val="18"/>
              </w:rPr>
              <w:br/>
            </w:r>
            <w:r w:rsidRPr="00EB45B0">
              <w:rPr>
                <w:rFonts w:cs="Arial"/>
                <w:b/>
                <w:bCs/>
                <w:iCs/>
                <w:sz w:val="18"/>
                <w:szCs w:val="18"/>
              </w:rPr>
              <w:t>U</w:t>
            </w:r>
            <w:r w:rsidRPr="006F7E66">
              <w:rPr>
                <w:rFonts w:cs="Arial"/>
                <w:b/>
                <w:bCs/>
                <w:i/>
                <w:iCs/>
                <w:sz w:val="18"/>
                <w:szCs w:val="18"/>
              </w:rPr>
              <w:t>-</w:t>
            </w:r>
            <w:r w:rsidRPr="006F7E66">
              <w:rPr>
                <w:rFonts w:cs="Arial"/>
                <w:b/>
                <w:bCs/>
                <w:sz w:val="18"/>
                <w:szCs w:val="18"/>
              </w:rPr>
              <w:t>F</w:t>
            </w:r>
            <w:r>
              <w:rPr>
                <w:rFonts w:cs="Arial"/>
                <w:b/>
                <w:bCs/>
                <w:sz w:val="18"/>
                <w:szCs w:val="18"/>
              </w:rPr>
              <w:t>actor</w:t>
            </w:r>
          </w:p>
        </w:tc>
        <w:tc>
          <w:tcPr>
            <w:tcW w:w="900" w:type="dxa"/>
            <w:tcBorders>
              <w:top w:val="single" w:sz="8" w:space="0" w:color="auto"/>
              <w:left w:val="nil"/>
              <w:bottom w:val="single" w:sz="8" w:space="0" w:color="auto"/>
              <w:right w:val="single" w:sz="4" w:space="0" w:color="auto"/>
            </w:tcBorders>
            <w:shd w:val="clear" w:color="auto" w:fill="D9D9D9"/>
          </w:tcPr>
          <w:p w:rsidR="00EA43AA" w:rsidRDefault="00EA43AA" w:rsidP="001364C8">
            <w:pPr>
              <w:overflowPunct/>
              <w:autoSpaceDE/>
              <w:autoSpaceDN/>
              <w:adjustRightInd/>
              <w:spacing w:after="0" w:line="240" w:lineRule="auto"/>
              <w:jc w:val="center"/>
              <w:textAlignment w:val="auto"/>
              <w:rPr>
                <w:rFonts w:cs="Arial"/>
                <w:b/>
                <w:bCs/>
                <w:sz w:val="18"/>
                <w:szCs w:val="18"/>
              </w:rPr>
            </w:pPr>
            <w:r>
              <w:rPr>
                <w:rFonts w:cs="Arial"/>
                <w:b/>
                <w:bCs/>
                <w:sz w:val="18"/>
                <w:szCs w:val="18"/>
              </w:rPr>
              <w:t xml:space="preserve">Slab </w:t>
            </w:r>
          </w:p>
          <w:p w:rsidR="00EA43AA" w:rsidRPr="006F7E66" w:rsidRDefault="00EA43AA" w:rsidP="001364C8">
            <w:pPr>
              <w:overflowPunct/>
              <w:autoSpaceDE/>
              <w:autoSpaceDN/>
              <w:adjustRightInd/>
              <w:spacing w:after="0" w:line="240" w:lineRule="auto"/>
              <w:jc w:val="center"/>
              <w:textAlignment w:val="auto"/>
              <w:rPr>
                <w:rFonts w:cs="Arial"/>
                <w:b/>
                <w:bCs/>
                <w:sz w:val="18"/>
                <w:szCs w:val="18"/>
              </w:rPr>
            </w:pPr>
            <w:r>
              <w:rPr>
                <w:rFonts w:cs="Arial"/>
                <w:b/>
                <w:bCs/>
                <w:sz w:val="18"/>
                <w:szCs w:val="18"/>
              </w:rPr>
              <w:t>R-Value &amp;Depth</w:t>
            </w:r>
          </w:p>
        </w:tc>
        <w:tc>
          <w:tcPr>
            <w:tcW w:w="1080" w:type="dxa"/>
            <w:tcBorders>
              <w:top w:val="single" w:sz="8" w:space="0" w:color="auto"/>
              <w:left w:val="single" w:sz="4" w:space="0" w:color="auto"/>
              <w:bottom w:val="single" w:sz="8" w:space="0" w:color="auto"/>
              <w:right w:val="single" w:sz="8" w:space="0" w:color="auto"/>
            </w:tcBorders>
            <w:shd w:val="clear" w:color="auto" w:fill="D9D9D9"/>
            <w:vAlign w:val="bottom"/>
            <w:hideMark/>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sidRPr="006F7E66">
              <w:rPr>
                <w:rFonts w:cs="Arial"/>
                <w:b/>
                <w:bCs/>
                <w:sz w:val="18"/>
                <w:szCs w:val="18"/>
              </w:rPr>
              <w:t>C</w:t>
            </w:r>
            <w:r>
              <w:rPr>
                <w:rFonts w:cs="Arial"/>
                <w:b/>
                <w:bCs/>
                <w:sz w:val="18"/>
                <w:szCs w:val="18"/>
              </w:rPr>
              <w:t>rawl Space Wall U-Factor</w:t>
            </w:r>
          </w:p>
        </w:tc>
      </w:tr>
      <w:tr w:rsidR="00EA43AA" w:rsidRPr="006F7E66" w:rsidTr="001364C8">
        <w:trPr>
          <w:trHeight w:val="283"/>
        </w:trPr>
        <w:tc>
          <w:tcPr>
            <w:tcW w:w="870" w:type="dxa"/>
            <w:tcBorders>
              <w:top w:val="nil"/>
              <w:left w:val="single" w:sz="8" w:space="0" w:color="auto"/>
              <w:bottom w:val="single" w:sz="8" w:space="0" w:color="auto"/>
              <w:right w:val="single" w:sz="8" w:space="0" w:color="auto"/>
            </w:tcBorders>
            <w:vAlign w:val="center"/>
            <w:hideMark/>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sidRPr="006F7E66">
              <w:rPr>
                <w:rFonts w:cs="Arial"/>
                <w:sz w:val="18"/>
                <w:szCs w:val="18"/>
              </w:rPr>
              <w:t>4</w:t>
            </w:r>
            <w:r>
              <w:rPr>
                <w:rFonts w:cs="Arial"/>
                <w:sz w:val="18"/>
                <w:szCs w:val="18"/>
              </w:rPr>
              <w:t>A</w:t>
            </w:r>
          </w:p>
        </w:tc>
        <w:tc>
          <w:tcPr>
            <w:tcW w:w="1170" w:type="dxa"/>
            <w:tcBorders>
              <w:top w:val="nil"/>
              <w:left w:val="nil"/>
              <w:bottom w:val="single" w:sz="8" w:space="0" w:color="auto"/>
              <w:right w:val="single" w:sz="8" w:space="0" w:color="auto"/>
            </w:tcBorders>
            <w:vAlign w:val="center"/>
            <w:hideMark/>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sidRPr="006F7E66">
              <w:rPr>
                <w:rFonts w:cs="Arial"/>
                <w:sz w:val="18"/>
                <w:szCs w:val="18"/>
              </w:rPr>
              <w:t>0.35</w:t>
            </w:r>
          </w:p>
        </w:tc>
        <w:tc>
          <w:tcPr>
            <w:tcW w:w="900" w:type="dxa"/>
            <w:tcBorders>
              <w:top w:val="nil"/>
              <w:left w:val="nil"/>
              <w:bottom w:val="single" w:sz="8" w:space="0" w:color="auto"/>
              <w:right w:val="single" w:sz="8" w:space="0" w:color="auto"/>
            </w:tcBorders>
            <w:vAlign w:val="center"/>
            <w:hideMark/>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sidRPr="006F7E66">
              <w:rPr>
                <w:rFonts w:cs="Arial"/>
                <w:sz w:val="18"/>
                <w:szCs w:val="18"/>
              </w:rPr>
              <w:t>0.60</w:t>
            </w:r>
          </w:p>
        </w:tc>
        <w:tc>
          <w:tcPr>
            <w:tcW w:w="810" w:type="dxa"/>
            <w:tcBorders>
              <w:top w:val="nil"/>
              <w:left w:val="nil"/>
              <w:bottom w:val="single" w:sz="8" w:space="0" w:color="auto"/>
              <w:right w:val="single" w:sz="8" w:space="0" w:color="auto"/>
            </w:tcBorders>
            <w:vAlign w:val="center"/>
            <w:hideMark/>
          </w:tcPr>
          <w:p w:rsidR="00184796" w:rsidRDefault="00EA43AA">
            <w:pPr>
              <w:overflowPunct/>
              <w:autoSpaceDE/>
              <w:autoSpaceDN/>
              <w:adjustRightInd/>
              <w:spacing w:after="0" w:line="240" w:lineRule="auto"/>
              <w:jc w:val="center"/>
              <w:textAlignment w:val="auto"/>
              <w:rPr>
                <w:i/>
              </w:rPr>
            </w:pPr>
            <w:r w:rsidRPr="006F7E66">
              <w:rPr>
                <w:rFonts w:cs="Arial"/>
                <w:sz w:val="18"/>
                <w:szCs w:val="18"/>
              </w:rPr>
              <w:t>0.030</w:t>
            </w:r>
          </w:p>
        </w:tc>
        <w:tc>
          <w:tcPr>
            <w:tcW w:w="1080" w:type="dxa"/>
            <w:tcBorders>
              <w:top w:val="nil"/>
              <w:left w:val="nil"/>
              <w:bottom w:val="single" w:sz="8" w:space="0" w:color="auto"/>
              <w:right w:val="single" w:sz="8" w:space="0" w:color="auto"/>
            </w:tcBorders>
            <w:vAlign w:val="center"/>
            <w:hideMark/>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sidRPr="006F7E66">
              <w:rPr>
                <w:rFonts w:cs="Arial"/>
                <w:sz w:val="18"/>
                <w:szCs w:val="18"/>
              </w:rPr>
              <w:t>0.082</w:t>
            </w:r>
          </w:p>
        </w:tc>
        <w:tc>
          <w:tcPr>
            <w:tcW w:w="1080" w:type="dxa"/>
            <w:tcBorders>
              <w:top w:val="nil"/>
              <w:left w:val="nil"/>
              <w:bottom w:val="single" w:sz="8" w:space="0" w:color="auto"/>
              <w:right w:val="single" w:sz="8" w:space="0" w:color="auto"/>
            </w:tcBorders>
            <w:vAlign w:val="center"/>
            <w:hideMark/>
          </w:tcPr>
          <w:p w:rsidR="00184796" w:rsidRDefault="00EA43AA">
            <w:pPr>
              <w:overflowPunct/>
              <w:autoSpaceDE/>
              <w:autoSpaceDN/>
              <w:adjustRightInd/>
              <w:spacing w:after="0" w:line="240" w:lineRule="auto"/>
              <w:jc w:val="center"/>
              <w:textAlignment w:val="auto"/>
              <w:rPr>
                <w:i/>
              </w:rPr>
            </w:pPr>
            <w:r>
              <w:rPr>
                <w:sz w:val="18"/>
              </w:rPr>
              <w:t>0.141</w:t>
            </w:r>
          </w:p>
        </w:tc>
        <w:tc>
          <w:tcPr>
            <w:tcW w:w="810" w:type="dxa"/>
            <w:tcBorders>
              <w:top w:val="nil"/>
              <w:left w:val="nil"/>
              <w:bottom w:val="single" w:sz="8" w:space="0" w:color="auto"/>
              <w:right w:val="single" w:sz="8" w:space="0" w:color="auto"/>
            </w:tcBorders>
            <w:vAlign w:val="center"/>
            <w:hideMark/>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sidRPr="006F7E66">
              <w:rPr>
                <w:rFonts w:cs="Arial"/>
                <w:sz w:val="18"/>
                <w:szCs w:val="18"/>
              </w:rPr>
              <w:t>0.047</w:t>
            </w:r>
          </w:p>
        </w:tc>
        <w:tc>
          <w:tcPr>
            <w:tcW w:w="900" w:type="dxa"/>
            <w:tcBorders>
              <w:top w:val="nil"/>
              <w:left w:val="nil"/>
              <w:bottom w:val="single" w:sz="8" w:space="0" w:color="auto"/>
              <w:right w:val="single" w:sz="8" w:space="0" w:color="auto"/>
            </w:tcBorders>
            <w:vAlign w:val="center"/>
            <w:hideMark/>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sidRPr="006F7E66">
              <w:rPr>
                <w:rFonts w:cs="Arial"/>
                <w:sz w:val="18"/>
                <w:szCs w:val="18"/>
              </w:rPr>
              <w:t>0.059</w:t>
            </w:r>
          </w:p>
        </w:tc>
        <w:tc>
          <w:tcPr>
            <w:tcW w:w="900" w:type="dxa"/>
            <w:tcBorders>
              <w:top w:val="single" w:sz="8" w:space="0" w:color="auto"/>
              <w:left w:val="nil"/>
              <w:bottom w:val="single" w:sz="8" w:space="0" w:color="auto"/>
              <w:right w:val="single" w:sz="4" w:space="0" w:color="auto"/>
            </w:tcBorders>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Pr>
                <w:rFonts w:cs="Arial"/>
                <w:sz w:val="18"/>
                <w:szCs w:val="18"/>
              </w:rPr>
              <w:t>10, 2 ft</w:t>
            </w:r>
          </w:p>
        </w:tc>
        <w:tc>
          <w:tcPr>
            <w:tcW w:w="1080" w:type="dxa"/>
            <w:tcBorders>
              <w:top w:val="nil"/>
              <w:left w:val="single" w:sz="4" w:space="0" w:color="auto"/>
              <w:bottom w:val="single" w:sz="8" w:space="0" w:color="auto"/>
              <w:right w:val="single" w:sz="8" w:space="0" w:color="auto"/>
            </w:tcBorders>
            <w:vAlign w:val="center"/>
            <w:hideMark/>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sidRPr="006F7E66">
              <w:rPr>
                <w:rFonts w:cs="Arial"/>
                <w:sz w:val="18"/>
                <w:szCs w:val="18"/>
              </w:rPr>
              <w:t>0.065</w:t>
            </w:r>
          </w:p>
        </w:tc>
      </w:tr>
      <w:tr w:rsidR="00EA43AA" w:rsidRPr="006F7E66" w:rsidTr="001364C8">
        <w:trPr>
          <w:trHeight w:val="288"/>
        </w:trPr>
        <w:tc>
          <w:tcPr>
            <w:tcW w:w="870" w:type="dxa"/>
            <w:tcBorders>
              <w:top w:val="nil"/>
              <w:left w:val="single" w:sz="8" w:space="0" w:color="auto"/>
              <w:bottom w:val="single" w:sz="8" w:space="0" w:color="auto"/>
              <w:right w:val="single" w:sz="8" w:space="0" w:color="auto"/>
            </w:tcBorders>
            <w:vAlign w:val="center"/>
            <w:hideMark/>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sidRPr="006F7E66">
              <w:rPr>
                <w:rFonts w:cs="Arial"/>
                <w:sz w:val="18"/>
                <w:szCs w:val="18"/>
              </w:rPr>
              <w:t>5</w:t>
            </w:r>
            <w:r>
              <w:rPr>
                <w:rFonts w:cs="Arial"/>
                <w:sz w:val="18"/>
                <w:szCs w:val="18"/>
              </w:rPr>
              <w:t>A</w:t>
            </w:r>
            <w:r w:rsidRPr="006F7E66">
              <w:rPr>
                <w:rFonts w:cs="Arial"/>
                <w:sz w:val="18"/>
                <w:szCs w:val="18"/>
              </w:rPr>
              <w:t xml:space="preserve"> </w:t>
            </w:r>
          </w:p>
        </w:tc>
        <w:tc>
          <w:tcPr>
            <w:tcW w:w="1170" w:type="dxa"/>
            <w:tcBorders>
              <w:top w:val="nil"/>
              <w:left w:val="nil"/>
              <w:bottom w:val="single" w:sz="8" w:space="0" w:color="auto"/>
              <w:right w:val="single" w:sz="8" w:space="0" w:color="auto"/>
            </w:tcBorders>
            <w:vAlign w:val="center"/>
            <w:hideMark/>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sidRPr="006F7E66">
              <w:rPr>
                <w:rFonts w:cs="Arial"/>
                <w:sz w:val="18"/>
                <w:szCs w:val="18"/>
              </w:rPr>
              <w:t>0.35</w:t>
            </w:r>
          </w:p>
        </w:tc>
        <w:tc>
          <w:tcPr>
            <w:tcW w:w="900" w:type="dxa"/>
            <w:tcBorders>
              <w:top w:val="nil"/>
              <w:left w:val="nil"/>
              <w:bottom w:val="single" w:sz="8" w:space="0" w:color="auto"/>
              <w:right w:val="single" w:sz="8" w:space="0" w:color="auto"/>
            </w:tcBorders>
            <w:vAlign w:val="center"/>
            <w:hideMark/>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sidRPr="006F7E66">
              <w:rPr>
                <w:rFonts w:cs="Arial"/>
                <w:sz w:val="18"/>
                <w:szCs w:val="18"/>
              </w:rPr>
              <w:t>0.60</w:t>
            </w:r>
          </w:p>
        </w:tc>
        <w:tc>
          <w:tcPr>
            <w:tcW w:w="810" w:type="dxa"/>
            <w:tcBorders>
              <w:top w:val="nil"/>
              <w:left w:val="nil"/>
              <w:bottom w:val="single" w:sz="8" w:space="0" w:color="auto"/>
              <w:right w:val="single" w:sz="8" w:space="0" w:color="auto"/>
            </w:tcBorders>
            <w:vAlign w:val="center"/>
            <w:hideMark/>
          </w:tcPr>
          <w:p w:rsidR="00184796" w:rsidRDefault="00EA43AA">
            <w:pPr>
              <w:overflowPunct/>
              <w:autoSpaceDE/>
              <w:autoSpaceDN/>
              <w:adjustRightInd/>
              <w:spacing w:after="0" w:line="240" w:lineRule="auto"/>
              <w:jc w:val="center"/>
              <w:textAlignment w:val="auto"/>
              <w:rPr>
                <w:i/>
              </w:rPr>
            </w:pPr>
            <w:r w:rsidRPr="006F7E66">
              <w:rPr>
                <w:rFonts w:cs="Arial"/>
                <w:sz w:val="18"/>
                <w:szCs w:val="18"/>
              </w:rPr>
              <w:t>0.030</w:t>
            </w:r>
          </w:p>
        </w:tc>
        <w:tc>
          <w:tcPr>
            <w:tcW w:w="1080" w:type="dxa"/>
            <w:tcBorders>
              <w:top w:val="nil"/>
              <w:left w:val="nil"/>
              <w:bottom w:val="single" w:sz="8" w:space="0" w:color="auto"/>
              <w:right w:val="single" w:sz="8" w:space="0" w:color="auto"/>
            </w:tcBorders>
            <w:vAlign w:val="center"/>
            <w:hideMark/>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sidRPr="006F7E66">
              <w:rPr>
                <w:rFonts w:cs="Arial"/>
                <w:sz w:val="18"/>
                <w:szCs w:val="18"/>
              </w:rPr>
              <w:t>0.060</w:t>
            </w:r>
          </w:p>
        </w:tc>
        <w:tc>
          <w:tcPr>
            <w:tcW w:w="1080" w:type="dxa"/>
            <w:tcBorders>
              <w:top w:val="nil"/>
              <w:left w:val="nil"/>
              <w:bottom w:val="single" w:sz="8" w:space="0" w:color="auto"/>
              <w:right w:val="single" w:sz="8" w:space="0" w:color="auto"/>
            </w:tcBorders>
            <w:vAlign w:val="center"/>
            <w:hideMark/>
          </w:tcPr>
          <w:p w:rsidR="00184796" w:rsidRDefault="00EA43AA">
            <w:pPr>
              <w:overflowPunct/>
              <w:autoSpaceDE/>
              <w:autoSpaceDN/>
              <w:adjustRightInd/>
              <w:spacing w:after="0" w:line="240" w:lineRule="auto"/>
              <w:jc w:val="center"/>
              <w:textAlignment w:val="auto"/>
              <w:rPr>
                <w:i/>
              </w:rPr>
            </w:pPr>
            <w:r w:rsidRPr="006F7E66">
              <w:rPr>
                <w:rFonts w:cs="Arial"/>
                <w:sz w:val="18"/>
                <w:szCs w:val="18"/>
              </w:rPr>
              <w:t>0.082</w:t>
            </w:r>
          </w:p>
        </w:tc>
        <w:tc>
          <w:tcPr>
            <w:tcW w:w="810" w:type="dxa"/>
            <w:tcBorders>
              <w:top w:val="nil"/>
              <w:left w:val="nil"/>
              <w:bottom w:val="single" w:sz="8" w:space="0" w:color="auto"/>
              <w:right w:val="single" w:sz="8" w:space="0" w:color="auto"/>
            </w:tcBorders>
            <w:vAlign w:val="center"/>
            <w:hideMark/>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sidRPr="006F7E66">
              <w:rPr>
                <w:rFonts w:cs="Arial"/>
                <w:sz w:val="18"/>
                <w:szCs w:val="18"/>
              </w:rPr>
              <w:t>0.033</w:t>
            </w:r>
          </w:p>
        </w:tc>
        <w:tc>
          <w:tcPr>
            <w:tcW w:w="900" w:type="dxa"/>
            <w:tcBorders>
              <w:top w:val="nil"/>
              <w:left w:val="nil"/>
              <w:bottom w:val="single" w:sz="8" w:space="0" w:color="auto"/>
              <w:right w:val="single" w:sz="8" w:space="0" w:color="auto"/>
            </w:tcBorders>
            <w:vAlign w:val="center"/>
            <w:hideMark/>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sidRPr="006F7E66">
              <w:rPr>
                <w:rFonts w:cs="Arial"/>
                <w:sz w:val="18"/>
                <w:szCs w:val="18"/>
              </w:rPr>
              <w:t>0.059</w:t>
            </w:r>
          </w:p>
        </w:tc>
        <w:tc>
          <w:tcPr>
            <w:tcW w:w="900" w:type="dxa"/>
            <w:tcBorders>
              <w:top w:val="single" w:sz="8" w:space="0" w:color="auto"/>
              <w:left w:val="nil"/>
              <w:bottom w:val="single" w:sz="8" w:space="0" w:color="auto"/>
              <w:right w:val="single" w:sz="4" w:space="0" w:color="auto"/>
            </w:tcBorders>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Pr>
                <w:rFonts w:cs="Arial"/>
                <w:sz w:val="18"/>
                <w:szCs w:val="18"/>
              </w:rPr>
              <w:t>10, 2 ft</w:t>
            </w:r>
          </w:p>
        </w:tc>
        <w:tc>
          <w:tcPr>
            <w:tcW w:w="1080" w:type="dxa"/>
            <w:tcBorders>
              <w:top w:val="nil"/>
              <w:left w:val="single" w:sz="4" w:space="0" w:color="auto"/>
              <w:bottom w:val="single" w:sz="8" w:space="0" w:color="auto"/>
              <w:right w:val="single" w:sz="8" w:space="0" w:color="auto"/>
            </w:tcBorders>
            <w:vAlign w:val="center"/>
            <w:hideMark/>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sidRPr="006F7E66">
              <w:rPr>
                <w:rFonts w:cs="Arial"/>
                <w:sz w:val="18"/>
                <w:szCs w:val="18"/>
              </w:rPr>
              <w:t>0.065</w:t>
            </w:r>
          </w:p>
        </w:tc>
      </w:tr>
      <w:tr w:rsidR="00EA43AA" w:rsidRPr="006F7E66" w:rsidTr="001364C8">
        <w:trPr>
          <w:trHeight w:val="283"/>
        </w:trPr>
        <w:tc>
          <w:tcPr>
            <w:tcW w:w="870" w:type="dxa"/>
            <w:tcBorders>
              <w:top w:val="nil"/>
              <w:left w:val="single" w:sz="8" w:space="0" w:color="auto"/>
              <w:bottom w:val="single" w:sz="8" w:space="0" w:color="auto"/>
              <w:right w:val="single" w:sz="8" w:space="0" w:color="auto"/>
            </w:tcBorders>
            <w:vAlign w:val="center"/>
            <w:hideMark/>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sidRPr="006F7E66">
              <w:rPr>
                <w:rFonts w:cs="Arial"/>
                <w:sz w:val="18"/>
                <w:szCs w:val="18"/>
              </w:rPr>
              <w:t>6</w:t>
            </w:r>
            <w:r>
              <w:rPr>
                <w:rFonts w:cs="Arial"/>
                <w:sz w:val="18"/>
                <w:szCs w:val="18"/>
              </w:rPr>
              <w:t>A</w:t>
            </w:r>
          </w:p>
        </w:tc>
        <w:tc>
          <w:tcPr>
            <w:tcW w:w="1170" w:type="dxa"/>
            <w:tcBorders>
              <w:top w:val="nil"/>
              <w:left w:val="nil"/>
              <w:bottom w:val="single" w:sz="8" w:space="0" w:color="auto"/>
              <w:right w:val="single" w:sz="8" w:space="0" w:color="auto"/>
            </w:tcBorders>
            <w:vAlign w:val="center"/>
            <w:hideMark/>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sidRPr="006F7E66">
              <w:rPr>
                <w:rFonts w:cs="Arial"/>
                <w:sz w:val="18"/>
                <w:szCs w:val="18"/>
              </w:rPr>
              <w:t>0.35</w:t>
            </w:r>
          </w:p>
        </w:tc>
        <w:tc>
          <w:tcPr>
            <w:tcW w:w="900" w:type="dxa"/>
            <w:tcBorders>
              <w:top w:val="nil"/>
              <w:left w:val="nil"/>
              <w:bottom w:val="single" w:sz="8" w:space="0" w:color="auto"/>
              <w:right w:val="single" w:sz="8" w:space="0" w:color="auto"/>
            </w:tcBorders>
            <w:vAlign w:val="center"/>
            <w:hideMark/>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sidRPr="006F7E66">
              <w:rPr>
                <w:rFonts w:cs="Arial"/>
                <w:sz w:val="18"/>
                <w:szCs w:val="18"/>
              </w:rPr>
              <w:t>0.60</w:t>
            </w:r>
          </w:p>
        </w:tc>
        <w:tc>
          <w:tcPr>
            <w:tcW w:w="810" w:type="dxa"/>
            <w:tcBorders>
              <w:top w:val="nil"/>
              <w:left w:val="nil"/>
              <w:bottom w:val="single" w:sz="8" w:space="0" w:color="auto"/>
              <w:right w:val="single" w:sz="8" w:space="0" w:color="auto"/>
            </w:tcBorders>
            <w:vAlign w:val="center"/>
            <w:hideMark/>
          </w:tcPr>
          <w:p w:rsidR="00184796" w:rsidRDefault="00EA43AA">
            <w:pPr>
              <w:overflowPunct/>
              <w:autoSpaceDE/>
              <w:autoSpaceDN/>
              <w:adjustRightInd/>
              <w:spacing w:after="0" w:line="240" w:lineRule="auto"/>
              <w:jc w:val="center"/>
              <w:textAlignment w:val="auto"/>
              <w:rPr>
                <w:i/>
              </w:rPr>
            </w:pPr>
            <w:r w:rsidRPr="006F7E66">
              <w:rPr>
                <w:rFonts w:cs="Arial"/>
                <w:sz w:val="18"/>
                <w:szCs w:val="18"/>
              </w:rPr>
              <w:t>0.026</w:t>
            </w:r>
          </w:p>
        </w:tc>
        <w:tc>
          <w:tcPr>
            <w:tcW w:w="1080" w:type="dxa"/>
            <w:tcBorders>
              <w:top w:val="nil"/>
              <w:left w:val="nil"/>
              <w:bottom w:val="single" w:sz="8" w:space="0" w:color="auto"/>
              <w:right w:val="single" w:sz="8" w:space="0" w:color="auto"/>
            </w:tcBorders>
            <w:vAlign w:val="center"/>
            <w:hideMark/>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sidRPr="006F7E66">
              <w:rPr>
                <w:rFonts w:cs="Arial"/>
                <w:sz w:val="18"/>
                <w:szCs w:val="18"/>
              </w:rPr>
              <w:t>0.060</w:t>
            </w:r>
          </w:p>
        </w:tc>
        <w:tc>
          <w:tcPr>
            <w:tcW w:w="1080" w:type="dxa"/>
            <w:tcBorders>
              <w:top w:val="nil"/>
              <w:left w:val="nil"/>
              <w:bottom w:val="single" w:sz="8" w:space="0" w:color="auto"/>
              <w:right w:val="single" w:sz="8" w:space="0" w:color="auto"/>
            </w:tcBorders>
            <w:vAlign w:val="center"/>
            <w:hideMark/>
          </w:tcPr>
          <w:p w:rsidR="00184796" w:rsidRDefault="00EA43AA">
            <w:pPr>
              <w:overflowPunct/>
              <w:autoSpaceDE/>
              <w:autoSpaceDN/>
              <w:adjustRightInd/>
              <w:spacing w:after="0" w:line="240" w:lineRule="auto"/>
              <w:jc w:val="center"/>
              <w:textAlignment w:val="auto"/>
              <w:rPr>
                <w:i/>
              </w:rPr>
            </w:pPr>
            <w:r w:rsidRPr="006F7E66">
              <w:rPr>
                <w:rFonts w:cs="Arial"/>
                <w:sz w:val="18"/>
                <w:szCs w:val="18"/>
              </w:rPr>
              <w:t>0.060</w:t>
            </w:r>
          </w:p>
        </w:tc>
        <w:tc>
          <w:tcPr>
            <w:tcW w:w="810" w:type="dxa"/>
            <w:tcBorders>
              <w:top w:val="nil"/>
              <w:left w:val="nil"/>
              <w:bottom w:val="single" w:sz="8" w:space="0" w:color="auto"/>
              <w:right w:val="single" w:sz="8" w:space="0" w:color="auto"/>
            </w:tcBorders>
            <w:vAlign w:val="center"/>
            <w:hideMark/>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sidRPr="006F7E66">
              <w:rPr>
                <w:rFonts w:cs="Arial"/>
                <w:sz w:val="18"/>
                <w:szCs w:val="18"/>
              </w:rPr>
              <w:t>0.033</w:t>
            </w:r>
          </w:p>
        </w:tc>
        <w:tc>
          <w:tcPr>
            <w:tcW w:w="900" w:type="dxa"/>
            <w:tcBorders>
              <w:top w:val="nil"/>
              <w:left w:val="nil"/>
              <w:bottom w:val="single" w:sz="8" w:space="0" w:color="auto"/>
              <w:right w:val="single" w:sz="8" w:space="0" w:color="auto"/>
            </w:tcBorders>
            <w:vAlign w:val="center"/>
            <w:hideMark/>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sidRPr="006F7E66">
              <w:rPr>
                <w:rFonts w:cs="Arial"/>
                <w:sz w:val="18"/>
                <w:szCs w:val="18"/>
              </w:rPr>
              <w:t>0.059</w:t>
            </w:r>
          </w:p>
        </w:tc>
        <w:tc>
          <w:tcPr>
            <w:tcW w:w="900" w:type="dxa"/>
            <w:tcBorders>
              <w:top w:val="single" w:sz="8" w:space="0" w:color="auto"/>
              <w:left w:val="nil"/>
              <w:bottom w:val="single" w:sz="8" w:space="0" w:color="auto"/>
              <w:right w:val="single" w:sz="4" w:space="0" w:color="auto"/>
            </w:tcBorders>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Pr>
                <w:rFonts w:cs="Arial"/>
                <w:sz w:val="18"/>
                <w:szCs w:val="18"/>
              </w:rPr>
              <w:t>10, 4 ft</w:t>
            </w:r>
          </w:p>
        </w:tc>
        <w:tc>
          <w:tcPr>
            <w:tcW w:w="1080" w:type="dxa"/>
            <w:tcBorders>
              <w:top w:val="nil"/>
              <w:left w:val="single" w:sz="4" w:space="0" w:color="auto"/>
              <w:bottom w:val="single" w:sz="8" w:space="0" w:color="auto"/>
              <w:right w:val="single" w:sz="8" w:space="0" w:color="auto"/>
            </w:tcBorders>
            <w:vAlign w:val="center"/>
            <w:hideMark/>
          </w:tcPr>
          <w:p w:rsidR="00EA43AA" w:rsidRPr="006F7E66" w:rsidRDefault="00EA43AA" w:rsidP="001364C8">
            <w:pPr>
              <w:overflowPunct/>
              <w:autoSpaceDE/>
              <w:autoSpaceDN/>
              <w:adjustRightInd/>
              <w:spacing w:after="0" w:line="240" w:lineRule="auto"/>
              <w:jc w:val="center"/>
              <w:textAlignment w:val="auto"/>
              <w:rPr>
                <w:rFonts w:cs="Arial"/>
                <w:sz w:val="18"/>
                <w:szCs w:val="18"/>
              </w:rPr>
            </w:pPr>
            <w:r w:rsidRPr="006F7E66">
              <w:rPr>
                <w:rFonts w:cs="Arial"/>
                <w:sz w:val="18"/>
                <w:szCs w:val="18"/>
              </w:rPr>
              <w:t>0.065</w:t>
            </w:r>
          </w:p>
        </w:tc>
      </w:tr>
    </w:tbl>
    <w:p w:rsidR="00EA43AA" w:rsidRDefault="00EA43AA" w:rsidP="00EA43AA"/>
    <w:p w:rsidR="00EA43AA" w:rsidRPr="00EA43AA" w:rsidRDefault="00EA43AA" w:rsidP="00EA43AA">
      <w:pPr>
        <w:rPr>
          <w:b/>
        </w:rPr>
      </w:pPr>
      <w:r w:rsidRPr="00EA43AA">
        <w:rPr>
          <w:b/>
        </w:rPr>
        <w:t xml:space="preserve">Sources: </w:t>
      </w:r>
    </w:p>
    <w:p w:rsidR="00EA43AA" w:rsidRDefault="00EA43AA" w:rsidP="0005632A">
      <w:pPr>
        <w:pStyle w:val="source1"/>
        <w:numPr>
          <w:ilvl w:val="0"/>
          <w:numId w:val="119"/>
        </w:numPr>
      </w:pPr>
      <w:r>
        <w:t>2009 International Residential Code Table N1102.1.2.  Table N1102.1.2 Equivalent U-Factors presents the R-Value requirements of Table N1102.1.1 in an equivalent U-Factor format.  Users may choose to follow Table N1102.1.1 instead.  IRC 2009 supersedes this table in case of discrepancy. Additional requirements per Section N1102 of IRC 2009 must be followed even if not listed here.</w:t>
      </w:r>
    </w:p>
    <w:p w:rsidR="00EA43AA" w:rsidRDefault="00EA43AA" w:rsidP="00EA43AA"/>
    <w:p w:rsidR="00184796" w:rsidRDefault="00EA43AA" w:rsidP="00865117">
      <w:pPr>
        <w:pStyle w:val="Caption"/>
      </w:pPr>
      <w:bookmarkStart w:id="439" w:name="_Toc310875525"/>
      <w:r w:rsidRPr="00EA43AA">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w:instrText>
      </w:r>
      <w:r w:rsidR="00274AB1">
        <w:instrText xml:space="preserve"> 1 </w:instrText>
      </w:r>
      <w:r w:rsidR="00274AB1">
        <w:fldChar w:fldCharType="separate"/>
      </w:r>
      <w:r w:rsidR="00C0292F">
        <w:rPr>
          <w:noProof/>
        </w:rPr>
        <w:t>39</w:t>
      </w:r>
      <w:r w:rsidR="00274AB1">
        <w:rPr>
          <w:noProof/>
        </w:rPr>
        <w:fldChar w:fldCharType="end"/>
      </w:r>
      <w:r w:rsidRPr="00EA43AA">
        <w:t>: Energy Star</w:t>
      </w:r>
      <w:r w:rsidR="00E13B20">
        <w:t xml:space="preserve"> Homes</w:t>
      </w:r>
      <w:r w:rsidRPr="00EA43AA">
        <w:t xml:space="preserve"> -</w:t>
      </w:r>
      <w:r w:rsidR="00E13B20">
        <w:t xml:space="preserve"> User Defined Reference </w:t>
      </w:r>
      <w:r w:rsidRPr="00EA43AA">
        <w:t>Home</w:t>
      </w:r>
      <w:bookmarkEnd w:id="439"/>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516"/>
        <w:gridCol w:w="5108"/>
        <w:gridCol w:w="1141"/>
      </w:tblGrid>
      <w:tr w:rsidR="00EA43AA" w:rsidRPr="00016642" w:rsidTr="00EA43AA">
        <w:trPr>
          <w:cantSplit/>
          <w:trHeight w:val="317"/>
          <w:tblHeader/>
          <w:jc w:val="center"/>
        </w:trPr>
        <w:tc>
          <w:tcPr>
            <w:tcW w:w="1435" w:type="pct"/>
            <w:shd w:val="clear" w:color="auto" w:fill="BFBFBF"/>
            <w:tcMar>
              <w:left w:w="115" w:type="dxa"/>
              <w:right w:w="115" w:type="dxa"/>
            </w:tcMar>
            <w:vAlign w:val="center"/>
          </w:tcPr>
          <w:p w:rsidR="00184796" w:rsidRDefault="00EA43AA">
            <w:pPr>
              <w:pStyle w:val="TableCell"/>
              <w:keepNext w:val="0"/>
              <w:spacing w:before="60" w:after="60"/>
              <w:rPr>
                <w:rFonts w:eastAsia="Arial Unicode MS"/>
                <w:b/>
              </w:rPr>
            </w:pPr>
            <w:r w:rsidRPr="001D6512">
              <w:rPr>
                <w:b/>
              </w:rPr>
              <w:t xml:space="preserve"> </w:t>
            </w:r>
            <w:r w:rsidR="00D74AE2" w:rsidRPr="00D74AE2">
              <w:rPr>
                <w:b/>
              </w:rPr>
              <w:t>Data Point</w:t>
            </w:r>
          </w:p>
        </w:tc>
        <w:tc>
          <w:tcPr>
            <w:tcW w:w="2913" w:type="pct"/>
            <w:shd w:val="clear" w:color="auto" w:fill="BFBFBF"/>
            <w:tcMar>
              <w:left w:w="115" w:type="dxa"/>
              <w:right w:w="115" w:type="dxa"/>
            </w:tcMar>
            <w:vAlign w:val="center"/>
          </w:tcPr>
          <w:p w:rsidR="00184796" w:rsidRDefault="00D74AE2">
            <w:pPr>
              <w:pStyle w:val="TableCell"/>
              <w:keepNext w:val="0"/>
              <w:spacing w:before="60" w:after="60"/>
              <w:rPr>
                <w:rFonts w:eastAsia="Arial Unicode MS"/>
                <w:b/>
              </w:rPr>
            </w:pPr>
            <w:r w:rsidRPr="00D74AE2">
              <w:rPr>
                <w:b/>
              </w:rPr>
              <w:t>Value</w:t>
            </w:r>
            <w:r w:rsidR="00EA43AA" w:rsidRPr="001D6512">
              <w:rPr>
                <w:rStyle w:val="FootnoteReference"/>
              </w:rPr>
              <w:footnoteReference w:id="86"/>
            </w:r>
          </w:p>
        </w:tc>
        <w:tc>
          <w:tcPr>
            <w:tcW w:w="651" w:type="pct"/>
            <w:shd w:val="clear" w:color="auto" w:fill="BFBFBF"/>
          </w:tcPr>
          <w:p w:rsidR="00EA43AA" w:rsidRPr="001D6512" w:rsidDel="00F5233A" w:rsidRDefault="00EA43AA" w:rsidP="00EA43AA">
            <w:pPr>
              <w:pStyle w:val="TableCell"/>
              <w:keepNext w:val="0"/>
              <w:spacing w:before="60" w:after="60"/>
              <w:jc w:val="center"/>
              <w:rPr>
                <w:b/>
              </w:rPr>
            </w:pPr>
            <w:r w:rsidRPr="001D6512">
              <w:rPr>
                <w:b/>
              </w:rPr>
              <w:t>Source</w:t>
            </w:r>
          </w:p>
        </w:tc>
      </w:tr>
      <w:tr w:rsidR="00EA43AA" w:rsidRPr="00016642" w:rsidTr="00EA43AA">
        <w:trPr>
          <w:cantSplit/>
          <w:trHeight w:val="317"/>
          <w:jc w:val="center"/>
        </w:trPr>
        <w:tc>
          <w:tcPr>
            <w:tcW w:w="1435" w:type="pct"/>
            <w:tcMar>
              <w:left w:w="115" w:type="dxa"/>
              <w:right w:w="115" w:type="dxa"/>
            </w:tcMar>
          </w:tcPr>
          <w:p w:rsidR="00EA43AA" w:rsidRPr="001D6512" w:rsidRDefault="00EA43AA" w:rsidP="001364C8">
            <w:pPr>
              <w:pStyle w:val="TableCell"/>
              <w:keepNext w:val="0"/>
              <w:spacing w:before="60" w:after="60"/>
            </w:pPr>
            <w:r w:rsidRPr="001D6512">
              <w:t>Air Infiltration Rate</w:t>
            </w:r>
          </w:p>
        </w:tc>
        <w:tc>
          <w:tcPr>
            <w:tcW w:w="2913" w:type="pct"/>
            <w:tcMar>
              <w:left w:w="115" w:type="dxa"/>
              <w:right w:w="115" w:type="dxa"/>
            </w:tcMar>
          </w:tcPr>
          <w:p w:rsidR="00631E76" w:rsidRDefault="00EA43AA" w:rsidP="00631E76">
            <w:pPr>
              <w:pStyle w:val="TableCell"/>
              <w:keepNext w:val="0"/>
              <w:spacing w:before="60" w:after="60"/>
            </w:pPr>
            <w:r w:rsidRPr="001D6512">
              <w:t>0.30</w:t>
            </w:r>
            <w:r w:rsidR="00631E76" w:rsidRPr="001D6512">
              <w:t xml:space="preserve"> </w:t>
            </w:r>
            <w:r w:rsidRPr="001D6512">
              <w:t>ACH</w:t>
            </w:r>
            <w:r w:rsidR="00631E76" w:rsidRPr="001D6512">
              <w:t xml:space="preserve"> </w:t>
            </w:r>
            <w:r w:rsidRPr="001D6512">
              <w:t xml:space="preserve">for windows, skylights, sliding glass doors </w:t>
            </w:r>
          </w:p>
          <w:p w:rsidR="00EA43AA" w:rsidRPr="001D6512" w:rsidRDefault="00EA43AA" w:rsidP="00631E76">
            <w:pPr>
              <w:pStyle w:val="TableCell"/>
              <w:keepNext w:val="0"/>
              <w:spacing w:before="60" w:after="60"/>
            </w:pPr>
            <w:r w:rsidRPr="001D6512">
              <w:t>0.50 ACH for swinging doors</w:t>
            </w:r>
          </w:p>
        </w:tc>
        <w:tc>
          <w:tcPr>
            <w:tcW w:w="651" w:type="pct"/>
          </w:tcPr>
          <w:p w:rsidR="00EA43AA" w:rsidRPr="001D6512" w:rsidRDefault="00EA43AA" w:rsidP="001364C8">
            <w:pPr>
              <w:pStyle w:val="TableCell"/>
              <w:keepNext w:val="0"/>
              <w:spacing w:before="60" w:after="60"/>
              <w:jc w:val="center"/>
            </w:pPr>
            <w:r w:rsidRPr="001D6512">
              <w:t>1</w:t>
            </w:r>
          </w:p>
        </w:tc>
      </w:tr>
      <w:tr w:rsidR="00EA43AA" w:rsidRPr="00016642" w:rsidTr="00EA43AA">
        <w:trPr>
          <w:cantSplit/>
          <w:trHeight w:val="317"/>
          <w:jc w:val="center"/>
        </w:trPr>
        <w:tc>
          <w:tcPr>
            <w:tcW w:w="1435" w:type="pct"/>
            <w:tcMar>
              <w:left w:w="115" w:type="dxa"/>
              <w:right w:w="115" w:type="dxa"/>
            </w:tcMar>
          </w:tcPr>
          <w:p w:rsidR="00EA43AA" w:rsidRPr="001D6512" w:rsidRDefault="00EA43AA" w:rsidP="001364C8">
            <w:pPr>
              <w:pStyle w:val="TableCell"/>
              <w:keepNext w:val="0"/>
              <w:spacing w:before="60" w:after="60"/>
            </w:pPr>
            <w:r w:rsidRPr="001D6512">
              <w:t>Duct Leakage</w:t>
            </w:r>
          </w:p>
        </w:tc>
        <w:tc>
          <w:tcPr>
            <w:tcW w:w="2913" w:type="pct"/>
            <w:tcMar>
              <w:left w:w="115" w:type="dxa"/>
              <w:right w:w="115" w:type="dxa"/>
            </w:tcMar>
          </w:tcPr>
          <w:p w:rsidR="00EA43AA" w:rsidRPr="001D6512" w:rsidRDefault="004E7A29" w:rsidP="00245777">
            <w:pPr>
              <w:pStyle w:val="TableCell"/>
              <w:keepNext w:val="0"/>
              <w:spacing w:before="60" w:after="60"/>
            </w:pPr>
            <w:r w:rsidRPr="001D6512">
              <w:t>12 cfm25 (12 cubic feet per minute per 100 square feet of conditioned space when tested at 25</w:t>
            </w:r>
            <w:r w:rsidR="00525C64" w:rsidRPr="001D6512">
              <w:t xml:space="preserve"> pascals)</w:t>
            </w:r>
          </w:p>
        </w:tc>
        <w:tc>
          <w:tcPr>
            <w:tcW w:w="651" w:type="pct"/>
          </w:tcPr>
          <w:p w:rsidR="00EA43AA" w:rsidRPr="001D6512" w:rsidRDefault="00EA43AA" w:rsidP="001364C8">
            <w:pPr>
              <w:pStyle w:val="TableCell"/>
              <w:keepNext w:val="0"/>
              <w:spacing w:before="60" w:after="60"/>
              <w:jc w:val="center"/>
            </w:pPr>
            <w:r w:rsidRPr="001D6512">
              <w:t>1</w:t>
            </w:r>
          </w:p>
        </w:tc>
      </w:tr>
      <w:tr w:rsidR="00EA43AA" w:rsidRPr="00016642" w:rsidTr="00EA43AA">
        <w:trPr>
          <w:cantSplit/>
          <w:trHeight w:val="317"/>
          <w:jc w:val="center"/>
        </w:trPr>
        <w:tc>
          <w:tcPr>
            <w:tcW w:w="1435" w:type="pct"/>
            <w:tcMar>
              <w:left w:w="115" w:type="dxa"/>
              <w:right w:w="115" w:type="dxa"/>
            </w:tcMar>
          </w:tcPr>
          <w:p w:rsidR="00EA43AA" w:rsidRPr="001D6512" w:rsidRDefault="00EA43AA" w:rsidP="001364C8">
            <w:pPr>
              <w:pStyle w:val="TableCell"/>
              <w:keepNext w:val="0"/>
              <w:spacing w:before="60" w:after="60"/>
            </w:pPr>
            <w:r w:rsidRPr="001D6512">
              <w:t>Duct Insulation</w:t>
            </w:r>
          </w:p>
        </w:tc>
        <w:tc>
          <w:tcPr>
            <w:tcW w:w="2913" w:type="pct"/>
            <w:tcMar>
              <w:left w:w="115" w:type="dxa"/>
              <w:right w:w="115" w:type="dxa"/>
            </w:tcMar>
          </w:tcPr>
          <w:p w:rsidR="00EA43AA" w:rsidRPr="001D6512" w:rsidRDefault="00EA43AA" w:rsidP="001364C8">
            <w:pPr>
              <w:pStyle w:val="TableCell"/>
              <w:keepNext w:val="0"/>
              <w:spacing w:before="60" w:after="60"/>
            </w:pPr>
            <w:r w:rsidRPr="001D6512">
              <w:t>Supply ducts in attics shall be insulated to a minimum of R-8. All other ducts insulated to a minimum of R-6.</w:t>
            </w:r>
          </w:p>
        </w:tc>
        <w:tc>
          <w:tcPr>
            <w:tcW w:w="651" w:type="pct"/>
          </w:tcPr>
          <w:p w:rsidR="00EA43AA" w:rsidRPr="001D6512" w:rsidRDefault="00EA43AA" w:rsidP="001364C8">
            <w:pPr>
              <w:pStyle w:val="TableCell"/>
              <w:keepNext w:val="0"/>
              <w:spacing w:before="60" w:after="60"/>
              <w:jc w:val="center"/>
            </w:pPr>
            <w:r w:rsidRPr="001D6512">
              <w:t>1</w:t>
            </w:r>
          </w:p>
        </w:tc>
      </w:tr>
      <w:tr w:rsidR="00496AFF" w:rsidRPr="00016642" w:rsidTr="00EA43AA">
        <w:trPr>
          <w:cantSplit/>
          <w:trHeight w:val="317"/>
          <w:jc w:val="center"/>
        </w:trPr>
        <w:tc>
          <w:tcPr>
            <w:tcW w:w="1435" w:type="pct"/>
            <w:tcMar>
              <w:left w:w="115" w:type="dxa"/>
              <w:right w:w="115" w:type="dxa"/>
            </w:tcMar>
          </w:tcPr>
          <w:p w:rsidR="00496AFF" w:rsidRPr="001D6512" w:rsidRDefault="00496AFF" w:rsidP="001364C8">
            <w:pPr>
              <w:pStyle w:val="TableCell"/>
              <w:keepNext w:val="0"/>
              <w:spacing w:before="60" w:after="60"/>
            </w:pPr>
            <w:r w:rsidRPr="001D6512">
              <w:t>Duct Location</w:t>
            </w:r>
          </w:p>
        </w:tc>
        <w:tc>
          <w:tcPr>
            <w:tcW w:w="2913" w:type="pct"/>
            <w:tcMar>
              <w:left w:w="115" w:type="dxa"/>
              <w:right w:w="115" w:type="dxa"/>
            </w:tcMar>
          </w:tcPr>
          <w:p w:rsidR="00496AFF" w:rsidRPr="001D6512" w:rsidRDefault="00496AFF" w:rsidP="001364C8">
            <w:pPr>
              <w:pStyle w:val="TableCell"/>
              <w:keepNext w:val="0"/>
              <w:spacing w:before="60" w:after="60"/>
            </w:pPr>
            <w:r w:rsidRPr="001D6512">
              <w:t>50% in conditioned space, 50% unconditioned space</w:t>
            </w:r>
          </w:p>
        </w:tc>
        <w:tc>
          <w:tcPr>
            <w:tcW w:w="651" w:type="pct"/>
          </w:tcPr>
          <w:p w:rsidR="00496AFF" w:rsidRPr="001D6512" w:rsidRDefault="00C14BA6" w:rsidP="001364C8">
            <w:pPr>
              <w:pStyle w:val="TableCell"/>
              <w:keepNext w:val="0"/>
              <w:spacing w:before="60" w:after="60"/>
              <w:jc w:val="center"/>
            </w:pPr>
            <w:r w:rsidRPr="001D6512">
              <w:t>Program Design</w:t>
            </w:r>
          </w:p>
        </w:tc>
      </w:tr>
      <w:tr w:rsidR="00EA43AA" w:rsidRPr="00016642" w:rsidTr="00EA43AA">
        <w:trPr>
          <w:cantSplit/>
          <w:trHeight w:val="317"/>
          <w:jc w:val="center"/>
        </w:trPr>
        <w:tc>
          <w:tcPr>
            <w:tcW w:w="1435" w:type="pct"/>
            <w:tcMar>
              <w:left w:w="115" w:type="dxa"/>
              <w:right w:w="115" w:type="dxa"/>
            </w:tcMar>
          </w:tcPr>
          <w:p w:rsidR="00EA43AA" w:rsidRPr="001D6512" w:rsidRDefault="00EA43AA" w:rsidP="001364C8">
            <w:pPr>
              <w:pStyle w:val="TableCell"/>
              <w:keepNext w:val="0"/>
              <w:spacing w:before="60" w:after="60"/>
            </w:pPr>
            <w:r w:rsidRPr="001D6512">
              <w:t>Mechanical Ventilation</w:t>
            </w:r>
          </w:p>
        </w:tc>
        <w:tc>
          <w:tcPr>
            <w:tcW w:w="2913" w:type="pct"/>
            <w:tcMar>
              <w:left w:w="115" w:type="dxa"/>
              <w:right w:w="115" w:type="dxa"/>
            </w:tcMar>
          </w:tcPr>
          <w:p w:rsidR="00EA43AA" w:rsidRPr="001D6512" w:rsidRDefault="00EA43AA" w:rsidP="001364C8">
            <w:pPr>
              <w:pStyle w:val="TableCell"/>
              <w:keepNext w:val="0"/>
              <w:spacing w:before="60" w:after="60"/>
            </w:pPr>
            <w:r w:rsidRPr="001D6512">
              <w:t>None</w:t>
            </w:r>
          </w:p>
        </w:tc>
        <w:tc>
          <w:tcPr>
            <w:tcW w:w="651" w:type="pct"/>
          </w:tcPr>
          <w:p w:rsidR="00EA43AA" w:rsidRPr="001D6512" w:rsidRDefault="00EA43AA" w:rsidP="001364C8">
            <w:pPr>
              <w:pStyle w:val="TableCell"/>
              <w:keepNext w:val="0"/>
              <w:spacing w:before="60" w:after="60"/>
              <w:jc w:val="center"/>
            </w:pPr>
            <w:r w:rsidRPr="001D6512">
              <w:t>1</w:t>
            </w:r>
          </w:p>
        </w:tc>
      </w:tr>
      <w:tr w:rsidR="00EA43AA" w:rsidRPr="00016642" w:rsidTr="00EA43AA">
        <w:trPr>
          <w:cantSplit/>
          <w:trHeight w:val="317"/>
          <w:jc w:val="center"/>
        </w:trPr>
        <w:tc>
          <w:tcPr>
            <w:tcW w:w="1435" w:type="pct"/>
            <w:tcMar>
              <w:left w:w="115" w:type="dxa"/>
              <w:right w:w="115" w:type="dxa"/>
            </w:tcMar>
          </w:tcPr>
          <w:p w:rsidR="00EA43AA" w:rsidRPr="001D6512" w:rsidRDefault="00EA43AA" w:rsidP="001364C8">
            <w:pPr>
              <w:pStyle w:val="TableCell"/>
              <w:keepNext w:val="0"/>
              <w:spacing w:before="60" w:after="60"/>
            </w:pPr>
            <w:r w:rsidRPr="001D6512">
              <w:t>Lighting Systems</w:t>
            </w:r>
          </w:p>
        </w:tc>
        <w:tc>
          <w:tcPr>
            <w:tcW w:w="2913" w:type="pct"/>
            <w:tcMar>
              <w:left w:w="115" w:type="dxa"/>
              <w:right w:w="115" w:type="dxa"/>
            </w:tcMar>
          </w:tcPr>
          <w:p w:rsidR="00EA43AA" w:rsidRPr="001D6512" w:rsidRDefault="00EA43AA" w:rsidP="001364C8">
            <w:pPr>
              <w:pStyle w:val="TableCell"/>
              <w:keepNext w:val="0"/>
              <w:spacing w:before="60" w:after="60"/>
            </w:pPr>
            <w:r w:rsidRPr="001D6512">
              <w:t>Minimum 50% of permanent installed fixtures to be high-efficacy lamps</w:t>
            </w:r>
          </w:p>
        </w:tc>
        <w:tc>
          <w:tcPr>
            <w:tcW w:w="651" w:type="pct"/>
          </w:tcPr>
          <w:p w:rsidR="00EA43AA" w:rsidRPr="001D6512" w:rsidRDefault="00EA43AA" w:rsidP="001364C8">
            <w:pPr>
              <w:pStyle w:val="TableCell"/>
              <w:keepNext w:val="0"/>
              <w:spacing w:before="60" w:after="60"/>
              <w:jc w:val="center"/>
            </w:pPr>
            <w:r w:rsidRPr="001D6512">
              <w:t>1</w:t>
            </w:r>
          </w:p>
        </w:tc>
      </w:tr>
      <w:tr w:rsidR="00EA43AA" w:rsidRPr="00016642" w:rsidTr="00EA43AA">
        <w:trPr>
          <w:cantSplit/>
          <w:trHeight w:val="317"/>
          <w:jc w:val="center"/>
        </w:trPr>
        <w:tc>
          <w:tcPr>
            <w:tcW w:w="1435" w:type="pct"/>
            <w:tcMar>
              <w:left w:w="115" w:type="dxa"/>
              <w:right w:w="115" w:type="dxa"/>
            </w:tcMar>
          </w:tcPr>
          <w:p w:rsidR="00EA43AA" w:rsidRPr="001D6512" w:rsidRDefault="00EA43AA" w:rsidP="001364C8">
            <w:pPr>
              <w:pStyle w:val="TableCell"/>
              <w:keepNext w:val="0"/>
              <w:spacing w:before="60" w:after="60"/>
            </w:pPr>
            <w:r w:rsidRPr="001D6512">
              <w:t>Appliances</w:t>
            </w:r>
          </w:p>
        </w:tc>
        <w:tc>
          <w:tcPr>
            <w:tcW w:w="2913" w:type="pct"/>
            <w:tcMar>
              <w:left w:w="115" w:type="dxa"/>
              <w:right w:w="115" w:type="dxa"/>
            </w:tcMar>
          </w:tcPr>
          <w:p w:rsidR="00EA43AA" w:rsidRPr="001D6512" w:rsidRDefault="00EA43AA" w:rsidP="001364C8">
            <w:pPr>
              <w:pStyle w:val="TableCell"/>
              <w:keepNext w:val="0"/>
              <w:spacing w:before="60" w:after="60"/>
            </w:pPr>
            <w:r w:rsidRPr="001D6512">
              <w:t>Use Default</w:t>
            </w:r>
          </w:p>
        </w:tc>
        <w:tc>
          <w:tcPr>
            <w:tcW w:w="651" w:type="pct"/>
          </w:tcPr>
          <w:p w:rsidR="00EA43AA" w:rsidRPr="001D6512" w:rsidRDefault="00EA43AA" w:rsidP="001364C8">
            <w:pPr>
              <w:pStyle w:val="TableCell"/>
              <w:keepNext w:val="0"/>
              <w:spacing w:before="60" w:after="60"/>
              <w:jc w:val="center"/>
            </w:pPr>
          </w:p>
        </w:tc>
      </w:tr>
      <w:tr w:rsidR="00EA43AA" w:rsidRPr="00016642" w:rsidTr="00EA43AA">
        <w:trPr>
          <w:cantSplit/>
          <w:trHeight w:val="317"/>
          <w:jc w:val="center"/>
        </w:trPr>
        <w:tc>
          <w:tcPr>
            <w:tcW w:w="1435" w:type="pct"/>
            <w:tcMar>
              <w:left w:w="115" w:type="dxa"/>
              <w:right w:w="115" w:type="dxa"/>
            </w:tcMar>
          </w:tcPr>
          <w:p w:rsidR="00EA43AA" w:rsidRPr="001D6512" w:rsidRDefault="00EA43AA" w:rsidP="001364C8">
            <w:pPr>
              <w:pStyle w:val="TableCell"/>
              <w:keepNext w:val="0"/>
              <w:spacing w:before="60" w:after="60"/>
            </w:pPr>
            <w:r w:rsidRPr="001D6512">
              <w:t>Setback Thermostat</w:t>
            </w:r>
          </w:p>
        </w:tc>
        <w:tc>
          <w:tcPr>
            <w:tcW w:w="2913" w:type="pct"/>
            <w:tcMar>
              <w:left w:w="115" w:type="dxa"/>
              <w:right w:w="115" w:type="dxa"/>
            </w:tcMar>
          </w:tcPr>
          <w:p w:rsidR="00EA43AA" w:rsidRPr="001D6512" w:rsidRDefault="00EA43AA" w:rsidP="001364C8">
            <w:pPr>
              <w:pStyle w:val="TableCell"/>
              <w:keepNext w:val="0"/>
              <w:spacing w:before="60" w:after="60"/>
            </w:pPr>
            <w:r w:rsidRPr="001D6512">
              <w:t xml:space="preserve">Maintain zone temperature down to 55 </w:t>
            </w:r>
            <w:r w:rsidRPr="001D6512">
              <w:rPr>
                <w:vertAlign w:val="superscript"/>
              </w:rPr>
              <w:t>o</w:t>
            </w:r>
            <w:r w:rsidRPr="001D6512">
              <w:t xml:space="preserve">F (13 </w:t>
            </w:r>
            <w:r w:rsidRPr="001D6512">
              <w:rPr>
                <w:vertAlign w:val="superscript"/>
              </w:rPr>
              <w:t>o</w:t>
            </w:r>
            <w:r w:rsidRPr="001D6512">
              <w:t>C) or up to 85</w:t>
            </w:r>
            <w:r w:rsidRPr="001D6512">
              <w:rPr>
                <w:vertAlign w:val="superscript"/>
              </w:rPr>
              <w:t xml:space="preserve"> o</w:t>
            </w:r>
            <w:r w:rsidRPr="001D6512">
              <w:t xml:space="preserve">F (29 </w:t>
            </w:r>
            <w:r w:rsidRPr="001D6512">
              <w:rPr>
                <w:vertAlign w:val="superscript"/>
              </w:rPr>
              <w:t>o</w:t>
            </w:r>
            <w:r w:rsidRPr="001D6512">
              <w:t>C)</w:t>
            </w:r>
          </w:p>
        </w:tc>
        <w:tc>
          <w:tcPr>
            <w:tcW w:w="651" w:type="pct"/>
          </w:tcPr>
          <w:p w:rsidR="00EA43AA" w:rsidRPr="001D6512" w:rsidRDefault="00EA43AA" w:rsidP="001364C8">
            <w:pPr>
              <w:pStyle w:val="TableCell"/>
              <w:keepNext w:val="0"/>
              <w:spacing w:before="60" w:after="60"/>
              <w:jc w:val="center"/>
            </w:pPr>
            <w:r w:rsidRPr="001D6512">
              <w:t>1</w:t>
            </w:r>
          </w:p>
        </w:tc>
      </w:tr>
      <w:tr w:rsidR="00EA49AD" w:rsidRPr="00016642" w:rsidTr="00EA43AA">
        <w:trPr>
          <w:cantSplit/>
          <w:trHeight w:val="317"/>
          <w:jc w:val="center"/>
        </w:trPr>
        <w:tc>
          <w:tcPr>
            <w:tcW w:w="1435" w:type="pct"/>
            <w:tcMar>
              <w:left w:w="115" w:type="dxa"/>
              <w:right w:w="115" w:type="dxa"/>
            </w:tcMar>
          </w:tcPr>
          <w:p w:rsidR="00EA49AD" w:rsidRPr="001D6512" w:rsidRDefault="00EA49AD" w:rsidP="001364C8">
            <w:pPr>
              <w:pStyle w:val="TableCell"/>
              <w:keepNext w:val="0"/>
              <w:spacing w:before="60" w:after="60"/>
            </w:pPr>
            <w:r w:rsidRPr="001D6512">
              <w:t>Temperature Set Points</w:t>
            </w:r>
          </w:p>
        </w:tc>
        <w:tc>
          <w:tcPr>
            <w:tcW w:w="2913" w:type="pct"/>
            <w:tcMar>
              <w:left w:w="115" w:type="dxa"/>
              <w:right w:w="115" w:type="dxa"/>
            </w:tcMar>
          </w:tcPr>
          <w:p w:rsidR="00EA49AD" w:rsidRPr="001D6512" w:rsidRDefault="00EA49AD" w:rsidP="001364C8">
            <w:pPr>
              <w:pStyle w:val="TableCell"/>
              <w:keepNext w:val="0"/>
              <w:spacing w:before="60" w:after="60"/>
            </w:pPr>
            <w:r w:rsidRPr="001D6512">
              <w:t>Heating: 70°F</w:t>
            </w:r>
          </w:p>
          <w:p w:rsidR="00EA49AD" w:rsidRPr="001D6512" w:rsidRDefault="00EA49AD" w:rsidP="001364C8">
            <w:pPr>
              <w:pStyle w:val="TableCell"/>
              <w:keepNext w:val="0"/>
              <w:spacing w:before="60" w:after="60"/>
            </w:pPr>
            <w:r w:rsidRPr="001D6512">
              <w:t>Cooling: 78°F</w:t>
            </w:r>
          </w:p>
        </w:tc>
        <w:tc>
          <w:tcPr>
            <w:tcW w:w="651" w:type="pct"/>
          </w:tcPr>
          <w:p w:rsidR="00EA49AD" w:rsidRPr="001D6512" w:rsidRDefault="00EA49AD" w:rsidP="001364C8">
            <w:pPr>
              <w:pStyle w:val="TableCell"/>
              <w:keepNext w:val="0"/>
              <w:spacing w:before="60" w:after="60"/>
              <w:jc w:val="center"/>
            </w:pPr>
            <w:r w:rsidRPr="001D6512">
              <w:t>1</w:t>
            </w:r>
          </w:p>
        </w:tc>
      </w:tr>
      <w:tr w:rsidR="00EA43AA" w:rsidRPr="00016642" w:rsidTr="00EA43AA">
        <w:trPr>
          <w:cantSplit/>
          <w:trHeight w:val="317"/>
          <w:jc w:val="center"/>
        </w:trPr>
        <w:tc>
          <w:tcPr>
            <w:tcW w:w="1435" w:type="pct"/>
            <w:tcBorders>
              <w:bottom w:val="nil"/>
            </w:tcBorders>
            <w:tcMar>
              <w:left w:w="115" w:type="dxa"/>
              <w:right w:w="115" w:type="dxa"/>
            </w:tcMar>
            <w:vAlign w:val="center"/>
          </w:tcPr>
          <w:p w:rsidR="00EA43AA" w:rsidRPr="001D6512" w:rsidRDefault="00EA43AA" w:rsidP="001364C8">
            <w:pPr>
              <w:pStyle w:val="TableCell"/>
              <w:keepNext w:val="0"/>
              <w:spacing w:before="60" w:after="60"/>
              <w:rPr>
                <w:rFonts w:eastAsia="Arial Unicode MS"/>
              </w:rPr>
            </w:pPr>
            <w:r w:rsidRPr="001D6512">
              <w:lastRenderedPageBreak/>
              <w:t>Heating Efficiency</w:t>
            </w:r>
          </w:p>
        </w:tc>
        <w:tc>
          <w:tcPr>
            <w:tcW w:w="2913" w:type="pct"/>
            <w:tcBorders>
              <w:bottom w:val="nil"/>
            </w:tcBorders>
            <w:tcMar>
              <w:left w:w="115" w:type="dxa"/>
              <w:right w:w="115" w:type="dxa"/>
            </w:tcMar>
            <w:vAlign w:val="center"/>
          </w:tcPr>
          <w:p w:rsidR="00EA43AA" w:rsidRPr="001D6512" w:rsidRDefault="00EA43AA" w:rsidP="001364C8">
            <w:pPr>
              <w:pStyle w:val="TableCell"/>
              <w:keepNext w:val="0"/>
              <w:spacing w:before="60" w:after="60"/>
              <w:rPr>
                <w:rFonts w:eastAsia="Arial Unicode MS"/>
              </w:rPr>
            </w:pPr>
            <w:r w:rsidRPr="001D6512">
              <w:t> </w:t>
            </w:r>
          </w:p>
        </w:tc>
        <w:tc>
          <w:tcPr>
            <w:tcW w:w="651" w:type="pct"/>
            <w:tcBorders>
              <w:bottom w:val="nil"/>
            </w:tcBorders>
          </w:tcPr>
          <w:p w:rsidR="00EA43AA" w:rsidRPr="001D6512" w:rsidRDefault="00EA43AA" w:rsidP="001364C8">
            <w:pPr>
              <w:pStyle w:val="TableCell"/>
              <w:keepNext w:val="0"/>
              <w:spacing w:before="60" w:after="60"/>
              <w:jc w:val="center"/>
            </w:pPr>
          </w:p>
        </w:tc>
      </w:tr>
      <w:tr w:rsidR="00EA43AA" w:rsidRPr="00016642" w:rsidTr="00EA43AA">
        <w:trPr>
          <w:cantSplit/>
          <w:trHeight w:val="259"/>
          <w:jc w:val="center"/>
        </w:trPr>
        <w:tc>
          <w:tcPr>
            <w:tcW w:w="1435" w:type="pct"/>
            <w:tcBorders>
              <w:top w:val="nil"/>
              <w:bottom w:val="nil"/>
            </w:tcBorders>
            <w:tcMar>
              <w:left w:w="115" w:type="dxa"/>
              <w:right w:w="115" w:type="dxa"/>
            </w:tcMar>
            <w:vAlign w:val="center"/>
          </w:tcPr>
          <w:p w:rsidR="00EA43AA" w:rsidRPr="001D6512" w:rsidRDefault="00EA43AA" w:rsidP="001364C8">
            <w:pPr>
              <w:pStyle w:val="TableCell"/>
              <w:keepNext w:val="0"/>
              <w:spacing w:before="60" w:after="60"/>
              <w:rPr>
                <w:rFonts w:eastAsia="Arial Unicode MS"/>
              </w:rPr>
            </w:pPr>
            <w:r w:rsidRPr="001D6512">
              <w:t xml:space="preserve">    Furnace</w:t>
            </w:r>
          </w:p>
        </w:tc>
        <w:tc>
          <w:tcPr>
            <w:tcW w:w="2913" w:type="pct"/>
            <w:tcBorders>
              <w:top w:val="nil"/>
              <w:bottom w:val="nil"/>
            </w:tcBorders>
            <w:tcMar>
              <w:left w:w="115" w:type="dxa"/>
              <w:right w:w="115" w:type="dxa"/>
            </w:tcMar>
            <w:vAlign w:val="center"/>
          </w:tcPr>
          <w:p w:rsidR="00EA43AA" w:rsidRPr="001D6512" w:rsidRDefault="00EA43AA" w:rsidP="001364C8">
            <w:pPr>
              <w:pStyle w:val="TableCell"/>
              <w:keepNext w:val="0"/>
              <w:spacing w:before="60" w:after="60"/>
              <w:rPr>
                <w:rFonts w:eastAsia="Arial Unicode MS"/>
              </w:rPr>
            </w:pPr>
            <w:r w:rsidRPr="001D6512">
              <w:t xml:space="preserve">80% AFUE </w:t>
            </w:r>
          </w:p>
        </w:tc>
        <w:tc>
          <w:tcPr>
            <w:tcW w:w="651" w:type="pct"/>
            <w:tcBorders>
              <w:top w:val="nil"/>
              <w:bottom w:val="nil"/>
            </w:tcBorders>
          </w:tcPr>
          <w:p w:rsidR="00EA43AA" w:rsidRPr="001D6512" w:rsidRDefault="00EA43AA" w:rsidP="001364C8">
            <w:pPr>
              <w:pStyle w:val="TableCell"/>
              <w:keepNext w:val="0"/>
              <w:spacing w:before="60" w:after="60"/>
              <w:jc w:val="center"/>
            </w:pPr>
            <w:r w:rsidRPr="001D6512">
              <w:t>2</w:t>
            </w:r>
          </w:p>
        </w:tc>
      </w:tr>
      <w:tr w:rsidR="00EA43AA" w:rsidRPr="00016642" w:rsidTr="00EA43AA">
        <w:trPr>
          <w:cantSplit/>
          <w:trHeight w:val="259"/>
          <w:jc w:val="center"/>
        </w:trPr>
        <w:tc>
          <w:tcPr>
            <w:tcW w:w="1435" w:type="pct"/>
            <w:tcBorders>
              <w:top w:val="nil"/>
              <w:bottom w:val="nil"/>
            </w:tcBorders>
            <w:tcMar>
              <w:left w:w="115" w:type="dxa"/>
              <w:right w:w="115" w:type="dxa"/>
            </w:tcMar>
            <w:vAlign w:val="center"/>
          </w:tcPr>
          <w:p w:rsidR="00EA43AA" w:rsidRPr="001D6512" w:rsidRDefault="00EA43AA" w:rsidP="001364C8">
            <w:pPr>
              <w:pStyle w:val="TableCell"/>
              <w:keepNext w:val="0"/>
              <w:spacing w:before="60" w:after="60"/>
              <w:rPr>
                <w:rFonts w:eastAsia="Arial Unicode MS"/>
              </w:rPr>
            </w:pPr>
            <w:r w:rsidRPr="001D6512">
              <w:t xml:space="preserve">    Boiler</w:t>
            </w:r>
          </w:p>
        </w:tc>
        <w:tc>
          <w:tcPr>
            <w:tcW w:w="2913" w:type="pct"/>
            <w:tcBorders>
              <w:top w:val="nil"/>
              <w:bottom w:val="nil"/>
            </w:tcBorders>
            <w:tcMar>
              <w:left w:w="115" w:type="dxa"/>
              <w:right w:w="115" w:type="dxa"/>
            </w:tcMar>
            <w:vAlign w:val="center"/>
          </w:tcPr>
          <w:p w:rsidR="00EA43AA" w:rsidRPr="001D6512" w:rsidRDefault="00EA43AA" w:rsidP="001364C8">
            <w:pPr>
              <w:pStyle w:val="TableCell"/>
              <w:keepNext w:val="0"/>
              <w:spacing w:before="60" w:after="60"/>
              <w:rPr>
                <w:rFonts w:eastAsia="Arial Unicode MS"/>
                <w:bCs/>
              </w:rPr>
            </w:pPr>
            <w:r w:rsidRPr="001D6512">
              <w:rPr>
                <w:bCs/>
              </w:rPr>
              <w:t>80% AFUE</w:t>
            </w:r>
          </w:p>
        </w:tc>
        <w:tc>
          <w:tcPr>
            <w:tcW w:w="651" w:type="pct"/>
            <w:tcBorders>
              <w:top w:val="nil"/>
              <w:bottom w:val="nil"/>
            </w:tcBorders>
          </w:tcPr>
          <w:p w:rsidR="00EA43AA" w:rsidRPr="001D6512" w:rsidRDefault="00EA43AA" w:rsidP="001364C8">
            <w:pPr>
              <w:pStyle w:val="TableCell"/>
              <w:keepNext w:val="0"/>
              <w:spacing w:before="60" w:after="60"/>
              <w:jc w:val="center"/>
              <w:rPr>
                <w:bCs/>
              </w:rPr>
            </w:pPr>
            <w:r w:rsidRPr="001D6512">
              <w:rPr>
                <w:bCs/>
              </w:rPr>
              <w:t>2</w:t>
            </w:r>
          </w:p>
        </w:tc>
      </w:tr>
      <w:tr w:rsidR="00EA43AA" w:rsidRPr="00016642" w:rsidTr="00EA43AA">
        <w:trPr>
          <w:cantSplit/>
          <w:trHeight w:val="259"/>
          <w:jc w:val="center"/>
        </w:trPr>
        <w:tc>
          <w:tcPr>
            <w:tcW w:w="1435" w:type="pct"/>
            <w:tcBorders>
              <w:top w:val="nil"/>
              <w:bottom w:val="nil"/>
            </w:tcBorders>
            <w:tcMar>
              <w:left w:w="115" w:type="dxa"/>
              <w:right w:w="115" w:type="dxa"/>
            </w:tcMar>
            <w:vAlign w:val="center"/>
          </w:tcPr>
          <w:p w:rsidR="00EA43AA" w:rsidRPr="001D6512" w:rsidRDefault="00EA43AA" w:rsidP="001364C8">
            <w:pPr>
              <w:pStyle w:val="TableCell"/>
              <w:keepNext w:val="0"/>
              <w:spacing w:before="60" w:after="60"/>
              <w:rPr>
                <w:rFonts w:eastAsia="Arial Unicode MS"/>
              </w:rPr>
            </w:pPr>
            <w:r w:rsidRPr="001D6512">
              <w:t xml:space="preserve">    Combo Water Heater</w:t>
            </w:r>
          </w:p>
        </w:tc>
        <w:tc>
          <w:tcPr>
            <w:tcW w:w="2913" w:type="pct"/>
            <w:tcBorders>
              <w:top w:val="nil"/>
              <w:bottom w:val="nil"/>
            </w:tcBorders>
            <w:tcMar>
              <w:left w:w="115" w:type="dxa"/>
              <w:right w:w="115" w:type="dxa"/>
            </w:tcMar>
            <w:vAlign w:val="center"/>
          </w:tcPr>
          <w:p w:rsidR="00EA43AA" w:rsidRPr="001D6512" w:rsidRDefault="00EA43AA" w:rsidP="001364C8">
            <w:pPr>
              <w:pStyle w:val="TableCell"/>
              <w:keepNext w:val="0"/>
              <w:spacing w:before="60" w:after="60"/>
              <w:rPr>
                <w:rFonts w:eastAsia="Arial Unicode MS"/>
                <w:iCs/>
              </w:rPr>
            </w:pPr>
            <w:r w:rsidRPr="001D6512">
              <w:rPr>
                <w:iCs/>
              </w:rPr>
              <w:t>76% AFUE (recovery efficiency)</w:t>
            </w:r>
          </w:p>
        </w:tc>
        <w:tc>
          <w:tcPr>
            <w:tcW w:w="651" w:type="pct"/>
            <w:tcBorders>
              <w:top w:val="nil"/>
              <w:bottom w:val="nil"/>
            </w:tcBorders>
          </w:tcPr>
          <w:p w:rsidR="00EA43AA" w:rsidRPr="001D6512" w:rsidRDefault="00EA43AA" w:rsidP="001364C8">
            <w:pPr>
              <w:pStyle w:val="TableCell"/>
              <w:keepNext w:val="0"/>
              <w:spacing w:before="60" w:after="60"/>
              <w:jc w:val="center"/>
              <w:rPr>
                <w:iCs/>
              </w:rPr>
            </w:pPr>
            <w:r w:rsidRPr="001D6512">
              <w:rPr>
                <w:iCs/>
              </w:rPr>
              <w:t>2</w:t>
            </w:r>
          </w:p>
        </w:tc>
      </w:tr>
      <w:tr w:rsidR="00EA43AA" w:rsidRPr="00016642" w:rsidTr="00EA43AA">
        <w:trPr>
          <w:cantSplit/>
          <w:trHeight w:val="259"/>
          <w:jc w:val="center"/>
        </w:trPr>
        <w:tc>
          <w:tcPr>
            <w:tcW w:w="1435" w:type="pct"/>
            <w:tcBorders>
              <w:top w:val="nil"/>
              <w:bottom w:val="nil"/>
            </w:tcBorders>
            <w:tcMar>
              <w:left w:w="115" w:type="dxa"/>
              <w:right w:w="115" w:type="dxa"/>
            </w:tcMar>
            <w:vAlign w:val="center"/>
          </w:tcPr>
          <w:p w:rsidR="00EA43AA" w:rsidRPr="001D6512" w:rsidRDefault="00EA43AA" w:rsidP="001364C8">
            <w:pPr>
              <w:pStyle w:val="TableCell"/>
              <w:keepNext w:val="0"/>
              <w:spacing w:before="60" w:after="60"/>
              <w:rPr>
                <w:rFonts w:eastAsia="Arial Unicode MS"/>
              </w:rPr>
            </w:pPr>
            <w:r w:rsidRPr="001D6512">
              <w:t xml:space="preserve">    Air Source Heat Pump</w:t>
            </w:r>
          </w:p>
        </w:tc>
        <w:tc>
          <w:tcPr>
            <w:tcW w:w="2913" w:type="pct"/>
            <w:tcBorders>
              <w:top w:val="nil"/>
              <w:bottom w:val="nil"/>
            </w:tcBorders>
            <w:tcMar>
              <w:left w:w="115" w:type="dxa"/>
              <w:right w:w="115" w:type="dxa"/>
            </w:tcMar>
            <w:vAlign w:val="center"/>
          </w:tcPr>
          <w:p w:rsidR="00EA43AA" w:rsidRPr="001D6512" w:rsidRDefault="00EA43AA" w:rsidP="001364C8">
            <w:pPr>
              <w:pStyle w:val="TableCell"/>
              <w:keepNext w:val="0"/>
              <w:spacing w:before="60" w:after="60"/>
              <w:rPr>
                <w:rFonts w:eastAsia="Arial Unicode MS"/>
                <w:bCs/>
              </w:rPr>
            </w:pPr>
            <w:r w:rsidRPr="001D6512">
              <w:rPr>
                <w:bCs/>
              </w:rPr>
              <w:t>7.7 HSPF</w:t>
            </w:r>
          </w:p>
        </w:tc>
        <w:tc>
          <w:tcPr>
            <w:tcW w:w="651" w:type="pct"/>
            <w:tcBorders>
              <w:top w:val="nil"/>
              <w:bottom w:val="nil"/>
            </w:tcBorders>
          </w:tcPr>
          <w:p w:rsidR="00EA43AA" w:rsidRPr="001D6512" w:rsidRDefault="00EA43AA" w:rsidP="001364C8">
            <w:pPr>
              <w:pStyle w:val="TableCell"/>
              <w:keepNext w:val="0"/>
              <w:spacing w:before="60" w:after="60"/>
              <w:jc w:val="center"/>
              <w:rPr>
                <w:bCs/>
              </w:rPr>
            </w:pPr>
            <w:r w:rsidRPr="001D6512">
              <w:rPr>
                <w:bCs/>
              </w:rPr>
              <w:t>1</w:t>
            </w:r>
          </w:p>
        </w:tc>
      </w:tr>
      <w:tr w:rsidR="00EA43AA" w:rsidRPr="00016642" w:rsidTr="00EA43AA">
        <w:trPr>
          <w:cantSplit/>
          <w:trHeight w:val="259"/>
          <w:jc w:val="center"/>
        </w:trPr>
        <w:tc>
          <w:tcPr>
            <w:tcW w:w="1435" w:type="pct"/>
            <w:tcBorders>
              <w:top w:val="nil"/>
              <w:bottom w:val="nil"/>
            </w:tcBorders>
            <w:tcMar>
              <w:left w:w="115" w:type="dxa"/>
              <w:right w:w="115" w:type="dxa"/>
            </w:tcMar>
            <w:vAlign w:val="center"/>
          </w:tcPr>
          <w:p w:rsidR="00EA43AA" w:rsidRPr="001D6512" w:rsidRDefault="00EA43AA" w:rsidP="001364C8">
            <w:pPr>
              <w:pStyle w:val="TableCell"/>
              <w:keepNext w:val="0"/>
              <w:spacing w:before="60" w:after="60"/>
              <w:rPr>
                <w:rFonts w:eastAsia="Arial Unicode MS"/>
              </w:rPr>
            </w:pPr>
            <w:r w:rsidRPr="001D6512">
              <w:t xml:space="preserve">    Geothermal Heat Pump</w:t>
            </w:r>
          </w:p>
        </w:tc>
        <w:tc>
          <w:tcPr>
            <w:tcW w:w="2913" w:type="pct"/>
            <w:tcBorders>
              <w:top w:val="nil"/>
              <w:bottom w:val="nil"/>
            </w:tcBorders>
            <w:tcMar>
              <w:left w:w="115" w:type="dxa"/>
              <w:right w:w="115" w:type="dxa"/>
            </w:tcMar>
            <w:vAlign w:val="center"/>
          </w:tcPr>
          <w:p w:rsidR="00EA43AA" w:rsidRPr="001D6512" w:rsidRDefault="00A30DBE" w:rsidP="00245777">
            <w:pPr>
              <w:pStyle w:val="TableCell"/>
              <w:keepNext w:val="0"/>
              <w:spacing w:before="60" w:after="60"/>
              <w:rPr>
                <w:rFonts w:eastAsia="Arial Unicode MS"/>
              </w:rPr>
            </w:pPr>
            <w:r w:rsidRPr="001D6512">
              <w:rPr>
                <w:bCs/>
              </w:rPr>
              <w:t>7.7 HSPF</w:t>
            </w:r>
          </w:p>
        </w:tc>
        <w:tc>
          <w:tcPr>
            <w:tcW w:w="651" w:type="pct"/>
            <w:tcBorders>
              <w:top w:val="nil"/>
              <w:bottom w:val="nil"/>
            </w:tcBorders>
          </w:tcPr>
          <w:p w:rsidR="00EA43AA" w:rsidRPr="001D6512" w:rsidRDefault="00EA43AA" w:rsidP="001364C8">
            <w:pPr>
              <w:pStyle w:val="TableCell"/>
              <w:keepNext w:val="0"/>
              <w:spacing w:before="60" w:after="60"/>
              <w:jc w:val="center"/>
              <w:rPr>
                <w:bCs/>
              </w:rPr>
            </w:pPr>
            <w:r w:rsidRPr="001D6512">
              <w:rPr>
                <w:bCs/>
              </w:rPr>
              <w:t>1</w:t>
            </w:r>
          </w:p>
        </w:tc>
      </w:tr>
      <w:tr w:rsidR="00EA43AA" w:rsidRPr="00016642" w:rsidTr="00EA43AA">
        <w:trPr>
          <w:cantSplit/>
          <w:trHeight w:val="259"/>
          <w:jc w:val="center"/>
        </w:trPr>
        <w:tc>
          <w:tcPr>
            <w:tcW w:w="1435" w:type="pct"/>
            <w:tcBorders>
              <w:top w:val="nil"/>
              <w:bottom w:val="single" w:sz="8" w:space="0" w:color="auto"/>
            </w:tcBorders>
            <w:tcMar>
              <w:left w:w="115" w:type="dxa"/>
              <w:right w:w="115" w:type="dxa"/>
            </w:tcMar>
            <w:vAlign w:val="center"/>
          </w:tcPr>
          <w:p w:rsidR="00EA43AA" w:rsidRPr="001D6512" w:rsidRDefault="00EA43AA" w:rsidP="001364C8">
            <w:pPr>
              <w:pStyle w:val="TableCell"/>
              <w:keepNext w:val="0"/>
              <w:spacing w:before="60" w:after="60"/>
              <w:rPr>
                <w:rFonts w:eastAsia="Arial Unicode MS"/>
              </w:rPr>
            </w:pPr>
            <w:r w:rsidRPr="001D6512">
              <w:t xml:space="preserve">    PTAC / PTHP</w:t>
            </w:r>
          </w:p>
        </w:tc>
        <w:tc>
          <w:tcPr>
            <w:tcW w:w="2913" w:type="pct"/>
            <w:tcBorders>
              <w:top w:val="nil"/>
              <w:bottom w:val="single" w:sz="8" w:space="0" w:color="auto"/>
            </w:tcBorders>
            <w:tcMar>
              <w:left w:w="115" w:type="dxa"/>
              <w:right w:w="115" w:type="dxa"/>
            </w:tcMar>
            <w:vAlign w:val="center"/>
          </w:tcPr>
          <w:p w:rsidR="00EA43AA" w:rsidRPr="001D6512" w:rsidRDefault="00EA43AA" w:rsidP="001364C8">
            <w:pPr>
              <w:pStyle w:val="TableCell"/>
              <w:keepNext w:val="0"/>
              <w:spacing w:before="60" w:after="60"/>
              <w:rPr>
                <w:rFonts w:eastAsia="Arial Unicode MS"/>
                <w:i/>
              </w:rPr>
            </w:pPr>
            <w:r w:rsidRPr="001D6512">
              <w:rPr>
                <w:iCs/>
              </w:rPr>
              <w:t>Not differentiated from air source HP</w:t>
            </w:r>
          </w:p>
        </w:tc>
        <w:tc>
          <w:tcPr>
            <w:tcW w:w="651" w:type="pct"/>
            <w:tcBorders>
              <w:top w:val="nil"/>
              <w:bottom w:val="single" w:sz="8" w:space="0" w:color="auto"/>
            </w:tcBorders>
          </w:tcPr>
          <w:p w:rsidR="00EA43AA" w:rsidRPr="001D6512" w:rsidRDefault="00EA43AA" w:rsidP="001364C8">
            <w:pPr>
              <w:pStyle w:val="TableCell"/>
              <w:keepNext w:val="0"/>
              <w:spacing w:before="60" w:after="60"/>
              <w:jc w:val="center"/>
              <w:rPr>
                <w:iCs/>
              </w:rPr>
            </w:pPr>
            <w:r w:rsidRPr="001D6512">
              <w:rPr>
                <w:iCs/>
              </w:rPr>
              <w:t>1</w:t>
            </w:r>
          </w:p>
        </w:tc>
      </w:tr>
      <w:tr w:rsidR="00EA43AA" w:rsidRPr="00016642" w:rsidTr="00EA43AA">
        <w:trPr>
          <w:cantSplit/>
          <w:trHeight w:val="317"/>
          <w:jc w:val="center"/>
        </w:trPr>
        <w:tc>
          <w:tcPr>
            <w:tcW w:w="1435" w:type="pct"/>
            <w:tcBorders>
              <w:bottom w:val="nil"/>
            </w:tcBorders>
            <w:tcMar>
              <w:left w:w="115" w:type="dxa"/>
              <w:right w:w="115" w:type="dxa"/>
            </w:tcMar>
            <w:vAlign w:val="center"/>
          </w:tcPr>
          <w:p w:rsidR="00EA43AA" w:rsidRPr="001D6512" w:rsidRDefault="00EA43AA" w:rsidP="001364C8">
            <w:pPr>
              <w:pStyle w:val="TableCell"/>
              <w:keepNext w:val="0"/>
              <w:spacing w:before="60" w:after="60"/>
              <w:rPr>
                <w:rFonts w:eastAsia="Arial Unicode MS"/>
              </w:rPr>
            </w:pPr>
            <w:r w:rsidRPr="001D6512">
              <w:t>Cooling Efficiency</w:t>
            </w:r>
          </w:p>
        </w:tc>
        <w:tc>
          <w:tcPr>
            <w:tcW w:w="2913" w:type="pct"/>
            <w:tcBorders>
              <w:bottom w:val="nil"/>
            </w:tcBorders>
            <w:tcMar>
              <w:left w:w="115" w:type="dxa"/>
              <w:right w:w="115" w:type="dxa"/>
            </w:tcMar>
            <w:vAlign w:val="center"/>
          </w:tcPr>
          <w:p w:rsidR="00EA43AA" w:rsidRPr="001D6512" w:rsidRDefault="00EA43AA" w:rsidP="001364C8">
            <w:pPr>
              <w:pStyle w:val="TableCell"/>
              <w:keepNext w:val="0"/>
              <w:spacing w:before="60" w:after="60"/>
              <w:rPr>
                <w:rFonts w:eastAsia="Arial Unicode MS"/>
              </w:rPr>
            </w:pPr>
            <w:r w:rsidRPr="001D6512">
              <w:t> </w:t>
            </w:r>
          </w:p>
        </w:tc>
        <w:tc>
          <w:tcPr>
            <w:tcW w:w="651" w:type="pct"/>
            <w:tcBorders>
              <w:bottom w:val="nil"/>
            </w:tcBorders>
          </w:tcPr>
          <w:p w:rsidR="00EA43AA" w:rsidRPr="001D6512" w:rsidRDefault="00EA43AA" w:rsidP="001364C8">
            <w:pPr>
              <w:pStyle w:val="TableCell"/>
              <w:keepNext w:val="0"/>
              <w:spacing w:before="60" w:after="60"/>
              <w:jc w:val="center"/>
            </w:pPr>
          </w:p>
        </w:tc>
      </w:tr>
      <w:tr w:rsidR="00EA43AA" w:rsidRPr="00016642" w:rsidTr="00EA43AA">
        <w:trPr>
          <w:cantSplit/>
          <w:trHeight w:val="259"/>
          <w:jc w:val="center"/>
        </w:trPr>
        <w:tc>
          <w:tcPr>
            <w:tcW w:w="1435" w:type="pct"/>
            <w:tcBorders>
              <w:top w:val="nil"/>
              <w:bottom w:val="nil"/>
            </w:tcBorders>
            <w:tcMar>
              <w:left w:w="115" w:type="dxa"/>
              <w:right w:w="115" w:type="dxa"/>
            </w:tcMar>
            <w:vAlign w:val="center"/>
          </w:tcPr>
          <w:p w:rsidR="00EA43AA" w:rsidRPr="001D6512" w:rsidRDefault="00EA43AA" w:rsidP="001364C8">
            <w:pPr>
              <w:pStyle w:val="TableCell"/>
              <w:keepNext w:val="0"/>
              <w:spacing w:before="60" w:after="60"/>
              <w:rPr>
                <w:rFonts w:eastAsia="Arial Unicode MS"/>
              </w:rPr>
            </w:pPr>
            <w:r w:rsidRPr="001D6512">
              <w:t xml:space="preserve">    Central Air Conditioning</w:t>
            </w:r>
          </w:p>
        </w:tc>
        <w:tc>
          <w:tcPr>
            <w:tcW w:w="2913" w:type="pct"/>
            <w:tcBorders>
              <w:top w:val="nil"/>
              <w:bottom w:val="nil"/>
            </w:tcBorders>
            <w:tcMar>
              <w:left w:w="115" w:type="dxa"/>
              <w:right w:w="115" w:type="dxa"/>
            </w:tcMar>
            <w:vAlign w:val="center"/>
          </w:tcPr>
          <w:p w:rsidR="00EA43AA" w:rsidRPr="001D6512" w:rsidRDefault="00EA43AA" w:rsidP="001364C8">
            <w:pPr>
              <w:pStyle w:val="TableCell"/>
              <w:keepNext w:val="0"/>
              <w:spacing w:before="60" w:after="60"/>
              <w:rPr>
                <w:rFonts w:eastAsia="Arial Unicode MS"/>
              </w:rPr>
            </w:pPr>
            <w:r w:rsidRPr="001D6512">
              <w:t>13.0 SEER</w:t>
            </w:r>
          </w:p>
        </w:tc>
        <w:tc>
          <w:tcPr>
            <w:tcW w:w="651" w:type="pct"/>
            <w:tcBorders>
              <w:top w:val="nil"/>
              <w:bottom w:val="nil"/>
            </w:tcBorders>
          </w:tcPr>
          <w:p w:rsidR="00EA43AA" w:rsidRPr="001D6512" w:rsidRDefault="00EA43AA" w:rsidP="001364C8">
            <w:pPr>
              <w:pStyle w:val="TableCell"/>
              <w:keepNext w:val="0"/>
              <w:spacing w:before="60" w:after="60"/>
              <w:jc w:val="center"/>
            </w:pPr>
            <w:r w:rsidRPr="001D6512">
              <w:t>1</w:t>
            </w:r>
          </w:p>
        </w:tc>
      </w:tr>
      <w:tr w:rsidR="00EA43AA" w:rsidRPr="00016642" w:rsidTr="00EA43AA">
        <w:trPr>
          <w:cantSplit/>
          <w:trHeight w:val="259"/>
          <w:jc w:val="center"/>
        </w:trPr>
        <w:tc>
          <w:tcPr>
            <w:tcW w:w="1435" w:type="pct"/>
            <w:tcBorders>
              <w:top w:val="nil"/>
              <w:bottom w:val="nil"/>
            </w:tcBorders>
            <w:tcMar>
              <w:left w:w="115" w:type="dxa"/>
              <w:right w:w="115" w:type="dxa"/>
            </w:tcMar>
            <w:vAlign w:val="center"/>
          </w:tcPr>
          <w:p w:rsidR="00EA43AA" w:rsidRPr="001D6512" w:rsidRDefault="00EA43AA" w:rsidP="001364C8">
            <w:pPr>
              <w:pStyle w:val="TableCell"/>
              <w:keepNext w:val="0"/>
              <w:spacing w:before="60" w:after="60"/>
              <w:rPr>
                <w:rFonts w:eastAsia="Arial Unicode MS"/>
              </w:rPr>
            </w:pPr>
            <w:r w:rsidRPr="001D6512">
              <w:t xml:space="preserve">    Air Source Heat Pump</w:t>
            </w:r>
          </w:p>
        </w:tc>
        <w:tc>
          <w:tcPr>
            <w:tcW w:w="2913" w:type="pct"/>
            <w:tcBorders>
              <w:top w:val="nil"/>
              <w:bottom w:val="nil"/>
            </w:tcBorders>
            <w:tcMar>
              <w:left w:w="115" w:type="dxa"/>
              <w:right w:w="115" w:type="dxa"/>
            </w:tcMar>
            <w:vAlign w:val="center"/>
          </w:tcPr>
          <w:p w:rsidR="00EA43AA" w:rsidRPr="001D6512" w:rsidRDefault="00EA43AA" w:rsidP="001364C8">
            <w:pPr>
              <w:pStyle w:val="TableCell"/>
              <w:keepNext w:val="0"/>
              <w:spacing w:before="60" w:after="60"/>
              <w:rPr>
                <w:rFonts w:eastAsia="Arial Unicode MS"/>
              </w:rPr>
            </w:pPr>
            <w:r w:rsidRPr="001D6512">
              <w:t>13.0 SEER</w:t>
            </w:r>
          </w:p>
        </w:tc>
        <w:tc>
          <w:tcPr>
            <w:tcW w:w="651" w:type="pct"/>
            <w:tcBorders>
              <w:top w:val="nil"/>
              <w:bottom w:val="nil"/>
            </w:tcBorders>
          </w:tcPr>
          <w:p w:rsidR="00EA43AA" w:rsidRPr="001D6512" w:rsidRDefault="00EA43AA" w:rsidP="001364C8">
            <w:pPr>
              <w:pStyle w:val="TableCell"/>
              <w:keepNext w:val="0"/>
              <w:spacing w:before="60" w:after="60"/>
              <w:jc w:val="center"/>
            </w:pPr>
            <w:r w:rsidRPr="001D6512">
              <w:t>1</w:t>
            </w:r>
          </w:p>
        </w:tc>
      </w:tr>
      <w:tr w:rsidR="00EA43AA" w:rsidRPr="00016642" w:rsidTr="00EA43AA">
        <w:trPr>
          <w:cantSplit/>
          <w:trHeight w:val="259"/>
          <w:jc w:val="center"/>
        </w:trPr>
        <w:tc>
          <w:tcPr>
            <w:tcW w:w="1435" w:type="pct"/>
            <w:tcBorders>
              <w:top w:val="nil"/>
              <w:bottom w:val="nil"/>
            </w:tcBorders>
            <w:tcMar>
              <w:left w:w="115" w:type="dxa"/>
              <w:right w:w="115" w:type="dxa"/>
            </w:tcMar>
            <w:vAlign w:val="center"/>
          </w:tcPr>
          <w:p w:rsidR="00EA43AA" w:rsidRPr="001D6512" w:rsidRDefault="00EA43AA" w:rsidP="001364C8">
            <w:pPr>
              <w:pStyle w:val="TableCell"/>
              <w:keepNext w:val="0"/>
              <w:spacing w:before="60" w:after="60"/>
              <w:rPr>
                <w:rFonts w:eastAsia="Arial Unicode MS"/>
              </w:rPr>
            </w:pPr>
            <w:r w:rsidRPr="001D6512">
              <w:t xml:space="preserve">    Geothermal Heat Pump</w:t>
            </w:r>
          </w:p>
        </w:tc>
        <w:tc>
          <w:tcPr>
            <w:tcW w:w="2913" w:type="pct"/>
            <w:tcBorders>
              <w:top w:val="nil"/>
              <w:bottom w:val="nil"/>
            </w:tcBorders>
            <w:tcMar>
              <w:left w:w="115" w:type="dxa"/>
              <w:right w:w="115" w:type="dxa"/>
            </w:tcMar>
            <w:vAlign w:val="center"/>
          </w:tcPr>
          <w:p w:rsidR="00EA43AA" w:rsidRPr="001D6512" w:rsidRDefault="00EA43AA" w:rsidP="001364C8">
            <w:pPr>
              <w:pStyle w:val="TableCell"/>
              <w:keepNext w:val="0"/>
              <w:spacing w:before="60" w:after="60"/>
              <w:rPr>
                <w:rFonts w:eastAsia="Arial Unicode MS"/>
                <w:bCs/>
              </w:rPr>
            </w:pPr>
            <w:r w:rsidRPr="001D6512">
              <w:rPr>
                <w:bCs/>
              </w:rPr>
              <w:t xml:space="preserve"> </w:t>
            </w:r>
            <w:r w:rsidR="00A30DBE" w:rsidRPr="001D6512">
              <w:rPr>
                <w:bCs/>
              </w:rPr>
              <w:t>13 SEER (11.2 EER)</w:t>
            </w:r>
          </w:p>
        </w:tc>
        <w:tc>
          <w:tcPr>
            <w:tcW w:w="651" w:type="pct"/>
            <w:tcBorders>
              <w:top w:val="nil"/>
              <w:bottom w:val="nil"/>
            </w:tcBorders>
          </w:tcPr>
          <w:p w:rsidR="00EA43AA" w:rsidRPr="001D6512" w:rsidRDefault="00EA43AA" w:rsidP="001364C8">
            <w:pPr>
              <w:pStyle w:val="TableCell"/>
              <w:keepNext w:val="0"/>
              <w:spacing w:before="60" w:after="60"/>
              <w:jc w:val="center"/>
              <w:rPr>
                <w:bCs/>
              </w:rPr>
            </w:pPr>
            <w:r w:rsidRPr="001D6512">
              <w:rPr>
                <w:bCs/>
              </w:rPr>
              <w:t>1</w:t>
            </w:r>
          </w:p>
        </w:tc>
      </w:tr>
      <w:tr w:rsidR="00EA43AA" w:rsidRPr="00016642" w:rsidTr="00EA43AA">
        <w:trPr>
          <w:cantSplit/>
          <w:trHeight w:val="259"/>
          <w:jc w:val="center"/>
        </w:trPr>
        <w:tc>
          <w:tcPr>
            <w:tcW w:w="1435" w:type="pct"/>
            <w:tcBorders>
              <w:top w:val="nil"/>
              <w:bottom w:val="nil"/>
            </w:tcBorders>
            <w:tcMar>
              <w:left w:w="115" w:type="dxa"/>
              <w:right w:w="115" w:type="dxa"/>
            </w:tcMar>
            <w:vAlign w:val="center"/>
          </w:tcPr>
          <w:p w:rsidR="00EA43AA" w:rsidRPr="001D6512" w:rsidRDefault="00EA43AA" w:rsidP="001364C8">
            <w:pPr>
              <w:pStyle w:val="TableCell"/>
              <w:keepNext w:val="0"/>
              <w:spacing w:before="60" w:after="60"/>
              <w:rPr>
                <w:rFonts w:eastAsia="Arial Unicode MS"/>
              </w:rPr>
            </w:pPr>
            <w:r w:rsidRPr="001D6512">
              <w:t xml:space="preserve">    PTAC / PTHP</w:t>
            </w:r>
          </w:p>
        </w:tc>
        <w:tc>
          <w:tcPr>
            <w:tcW w:w="2913" w:type="pct"/>
            <w:tcBorders>
              <w:top w:val="nil"/>
              <w:bottom w:val="nil"/>
            </w:tcBorders>
            <w:tcMar>
              <w:left w:w="115" w:type="dxa"/>
              <w:right w:w="115" w:type="dxa"/>
            </w:tcMar>
            <w:vAlign w:val="center"/>
          </w:tcPr>
          <w:p w:rsidR="00EA43AA" w:rsidRPr="001D6512" w:rsidRDefault="00EA43AA" w:rsidP="001364C8">
            <w:pPr>
              <w:pStyle w:val="TableCell"/>
              <w:keepNext w:val="0"/>
              <w:spacing w:before="60" w:after="60"/>
              <w:rPr>
                <w:rFonts w:eastAsia="Arial Unicode MS"/>
                <w:i/>
              </w:rPr>
            </w:pPr>
            <w:r w:rsidRPr="001D6512">
              <w:rPr>
                <w:iCs/>
              </w:rPr>
              <w:t>Not differentiated from central AC</w:t>
            </w:r>
          </w:p>
        </w:tc>
        <w:tc>
          <w:tcPr>
            <w:tcW w:w="651" w:type="pct"/>
            <w:tcBorders>
              <w:top w:val="nil"/>
              <w:bottom w:val="nil"/>
            </w:tcBorders>
          </w:tcPr>
          <w:p w:rsidR="00EA43AA" w:rsidRPr="001D6512" w:rsidRDefault="00EA43AA" w:rsidP="001364C8">
            <w:pPr>
              <w:pStyle w:val="TableCell"/>
              <w:keepNext w:val="0"/>
              <w:spacing w:before="60" w:after="60"/>
              <w:jc w:val="center"/>
              <w:rPr>
                <w:iCs/>
              </w:rPr>
            </w:pPr>
            <w:r w:rsidRPr="001D6512">
              <w:rPr>
                <w:iCs/>
              </w:rPr>
              <w:t>1</w:t>
            </w:r>
          </w:p>
        </w:tc>
      </w:tr>
      <w:tr w:rsidR="00EA43AA" w:rsidRPr="00016642" w:rsidTr="00EA43AA">
        <w:trPr>
          <w:cantSplit/>
          <w:trHeight w:val="259"/>
          <w:jc w:val="center"/>
        </w:trPr>
        <w:tc>
          <w:tcPr>
            <w:tcW w:w="1435" w:type="pct"/>
            <w:tcBorders>
              <w:top w:val="nil"/>
              <w:bottom w:val="single" w:sz="8" w:space="0" w:color="auto"/>
            </w:tcBorders>
            <w:tcMar>
              <w:left w:w="115" w:type="dxa"/>
              <w:right w:w="115" w:type="dxa"/>
            </w:tcMar>
            <w:vAlign w:val="center"/>
          </w:tcPr>
          <w:p w:rsidR="00EA43AA" w:rsidRPr="001D6512" w:rsidRDefault="00EA43AA" w:rsidP="001364C8">
            <w:pPr>
              <w:pStyle w:val="TableCell"/>
              <w:keepNext w:val="0"/>
              <w:spacing w:before="60" w:after="60"/>
              <w:rPr>
                <w:rFonts w:eastAsia="Arial Unicode MS"/>
              </w:rPr>
            </w:pPr>
            <w:r w:rsidRPr="001D6512">
              <w:t xml:space="preserve">    Window Air Conditioners</w:t>
            </w:r>
          </w:p>
        </w:tc>
        <w:tc>
          <w:tcPr>
            <w:tcW w:w="2913" w:type="pct"/>
            <w:tcBorders>
              <w:top w:val="nil"/>
              <w:bottom w:val="single" w:sz="8" w:space="0" w:color="auto"/>
            </w:tcBorders>
            <w:tcMar>
              <w:left w:w="115" w:type="dxa"/>
              <w:right w:w="115" w:type="dxa"/>
            </w:tcMar>
            <w:vAlign w:val="center"/>
          </w:tcPr>
          <w:p w:rsidR="00EA43AA" w:rsidRPr="001D6512" w:rsidRDefault="00EA43AA" w:rsidP="001364C8">
            <w:pPr>
              <w:pStyle w:val="TableCell"/>
              <w:keepNext w:val="0"/>
              <w:spacing w:before="60" w:after="60"/>
              <w:rPr>
                <w:rFonts w:eastAsia="Arial Unicode MS"/>
                <w:bCs/>
              </w:rPr>
            </w:pPr>
            <w:r w:rsidRPr="001D6512">
              <w:rPr>
                <w:iCs/>
              </w:rPr>
              <w:t>Not differentiated from central AC</w:t>
            </w:r>
          </w:p>
        </w:tc>
        <w:tc>
          <w:tcPr>
            <w:tcW w:w="651" w:type="pct"/>
            <w:tcBorders>
              <w:top w:val="nil"/>
              <w:bottom w:val="single" w:sz="8" w:space="0" w:color="auto"/>
            </w:tcBorders>
          </w:tcPr>
          <w:p w:rsidR="00EA43AA" w:rsidRPr="001D6512" w:rsidRDefault="00EA43AA" w:rsidP="001364C8">
            <w:pPr>
              <w:pStyle w:val="TableCell"/>
              <w:keepNext w:val="0"/>
              <w:spacing w:before="60" w:after="60"/>
              <w:jc w:val="center"/>
              <w:rPr>
                <w:iCs/>
              </w:rPr>
            </w:pPr>
            <w:r w:rsidRPr="001D6512">
              <w:rPr>
                <w:iCs/>
              </w:rPr>
              <w:t>1</w:t>
            </w:r>
          </w:p>
        </w:tc>
      </w:tr>
      <w:tr w:rsidR="00EA43AA" w:rsidRPr="00016642" w:rsidTr="00EA43AA">
        <w:trPr>
          <w:cantSplit/>
          <w:trHeight w:val="317"/>
          <w:jc w:val="center"/>
        </w:trPr>
        <w:tc>
          <w:tcPr>
            <w:tcW w:w="1435" w:type="pct"/>
            <w:tcBorders>
              <w:bottom w:val="nil"/>
            </w:tcBorders>
            <w:tcMar>
              <w:left w:w="115" w:type="dxa"/>
              <w:right w:w="115" w:type="dxa"/>
            </w:tcMar>
            <w:vAlign w:val="center"/>
          </w:tcPr>
          <w:p w:rsidR="00184796" w:rsidRDefault="00EA43AA">
            <w:pPr>
              <w:pStyle w:val="TableCell"/>
              <w:keepNext w:val="0"/>
              <w:spacing w:before="60" w:after="60"/>
              <w:rPr>
                <w:rFonts w:eastAsia="Arial Unicode MS"/>
                <w:i/>
              </w:rPr>
            </w:pPr>
            <w:r w:rsidRPr="001D6512">
              <w:t>Domestic WH Efficiency</w:t>
            </w:r>
          </w:p>
        </w:tc>
        <w:tc>
          <w:tcPr>
            <w:tcW w:w="2913" w:type="pct"/>
            <w:tcBorders>
              <w:bottom w:val="nil"/>
            </w:tcBorders>
            <w:tcMar>
              <w:left w:w="115" w:type="dxa"/>
              <w:right w:w="115" w:type="dxa"/>
            </w:tcMar>
            <w:vAlign w:val="center"/>
          </w:tcPr>
          <w:p w:rsidR="00184796" w:rsidRDefault="00EA43AA">
            <w:pPr>
              <w:pStyle w:val="TableCell"/>
              <w:keepNext w:val="0"/>
              <w:spacing w:before="60" w:after="60"/>
              <w:rPr>
                <w:rFonts w:eastAsia="Arial Unicode MS"/>
                <w:i/>
              </w:rPr>
            </w:pPr>
            <w:r w:rsidRPr="001D6512">
              <w:t> </w:t>
            </w:r>
          </w:p>
        </w:tc>
        <w:tc>
          <w:tcPr>
            <w:tcW w:w="651" w:type="pct"/>
            <w:tcBorders>
              <w:bottom w:val="nil"/>
            </w:tcBorders>
          </w:tcPr>
          <w:p w:rsidR="00EA43AA" w:rsidRPr="001D6512" w:rsidRDefault="00EA43AA" w:rsidP="001364C8">
            <w:pPr>
              <w:pStyle w:val="TableCell"/>
              <w:keepNext w:val="0"/>
              <w:spacing w:before="60" w:after="60"/>
              <w:jc w:val="center"/>
            </w:pPr>
          </w:p>
        </w:tc>
      </w:tr>
      <w:tr w:rsidR="00EA43AA" w:rsidRPr="00016642" w:rsidTr="00EA43AA">
        <w:trPr>
          <w:cantSplit/>
          <w:trHeight w:val="259"/>
          <w:jc w:val="center"/>
        </w:trPr>
        <w:tc>
          <w:tcPr>
            <w:tcW w:w="1435" w:type="pct"/>
            <w:tcBorders>
              <w:top w:val="nil"/>
              <w:bottom w:val="nil"/>
            </w:tcBorders>
            <w:tcMar>
              <w:left w:w="115" w:type="dxa"/>
              <w:right w:w="115" w:type="dxa"/>
            </w:tcMar>
            <w:vAlign w:val="center"/>
          </w:tcPr>
          <w:p w:rsidR="00184796" w:rsidRDefault="00EA43AA">
            <w:pPr>
              <w:pStyle w:val="TableCell"/>
              <w:keepNext w:val="0"/>
              <w:spacing w:before="60" w:after="60"/>
              <w:rPr>
                <w:rFonts w:eastAsia="Arial Unicode MS"/>
              </w:rPr>
            </w:pPr>
            <w:r w:rsidRPr="001D6512">
              <w:t xml:space="preserve">    Electric</w:t>
            </w:r>
          </w:p>
        </w:tc>
        <w:tc>
          <w:tcPr>
            <w:tcW w:w="2913" w:type="pct"/>
            <w:tcBorders>
              <w:top w:val="nil"/>
              <w:bottom w:val="nil"/>
            </w:tcBorders>
            <w:tcMar>
              <w:left w:w="115" w:type="dxa"/>
              <w:right w:w="115" w:type="dxa"/>
            </w:tcMar>
            <w:vAlign w:val="center"/>
          </w:tcPr>
          <w:p w:rsidR="00184796" w:rsidRDefault="00EA43AA">
            <w:pPr>
              <w:pStyle w:val="TableCell"/>
              <w:keepNext w:val="0"/>
              <w:spacing w:before="60" w:after="60"/>
              <w:rPr>
                <w:rFonts w:eastAsia="Arial Unicode MS"/>
                <w:i/>
              </w:rPr>
            </w:pPr>
            <w:r w:rsidRPr="001D6512">
              <w:rPr>
                <w:bCs/>
              </w:rPr>
              <w:t xml:space="preserve">EF = 0.97 - (0.00132 * gallons)  </w:t>
            </w:r>
          </w:p>
        </w:tc>
        <w:tc>
          <w:tcPr>
            <w:tcW w:w="651" w:type="pct"/>
            <w:tcBorders>
              <w:top w:val="nil"/>
              <w:bottom w:val="nil"/>
            </w:tcBorders>
          </w:tcPr>
          <w:p w:rsidR="00EA43AA" w:rsidRPr="001D6512" w:rsidRDefault="00EA43AA" w:rsidP="001364C8">
            <w:pPr>
              <w:pStyle w:val="TableCell"/>
              <w:keepNext w:val="0"/>
              <w:spacing w:before="60" w:after="60"/>
              <w:jc w:val="center"/>
              <w:rPr>
                <w:bCs/>
              </w:rPr>
            </w:pPr>
            <w:r w:rsidRPr="001D6512">
              <w:rPr>
                <w:bCs/>
              </w:rPr>
              <w:t>3</w:t>
            </w:r>
          </w:p>
        </w:tc>
      </w:tr>
      <w:tr w:rsidR="00EA43AA" w:rsidRPr="00016642" w:rsidTr="00EA43AA">
        <w:trPr>
          <w:cantSplit/>
          <w:trHeight w:val="259"/>
          <w:jc w:val="center"/>
        </w:trPr>
        <w:tc>
          <w:tcPr>
            <w:tcW w:w="1435" w:type="pct"/>
            <w:tcBorders>
              <w:top w:val="nil"/>
            </w:tcBorders>
            <w:tcMar>
              <w:left w:w="115" w:type="dxa"/>
              <w:right w:w="115" w:type="dxa"/>
            </w:tcMar>
            <w:vAlign w:val="center"/>
          </w:tcPr>
          <w:p w:rsidR="00184796" w:rsidRDefault="00EA43AA">
            <w:pPr>
              <w:pStyle w:val="TableCell"/>
              <w:keepNext w:val="0"/>
              <w:spacing w:before="60" w:after="60"/>
              <w:rPr>
                <w:rFonts w:eastAsia="Arial Unicode MS"/>
              </w:rPr>
            </w:pPr>
            <w:r w:rsidRPr="001D6512">
              <w:t xml:space="preserve">    Natural Gas</w:t>
            </w:r>
          </w:p>
        </w:tc>
        <w:tc>
          <w:tcPr>
            <w:tcW w:w="2913" w:type="pct"/>
            <w:tcBorders>
              <w:top w:val="nil"/>
            </w:tcBorders>
            <w:tcMar>
              <w:left w:w="115" w:type="dxa"/>
              <w:right w:w="115" w:type="dxa"/>
            </w:tcMar>
            <w:vAlign w:val="center"/>
          </w:tcPr>
          <w:p w:rsidR="00184796" w:rsidRDefault="00EA43AA">
            <w:pPr>
              <w:pStyle w:val="TableCell"/>
              <w:keepNext w:val="0"/>
              <w:spacing w:before="60" w:after="60"/>
              <w:rPr>
                <w:rFonts w:eastAsia="Arial Unicode MS"/>
                <w:i/>
              </w:rPr>
            </w:pPr>
            <w:r w:rsidRPr="001D6512">
              <w:t xml:space="preserve">EF = 0.67 - (0.0019 * gallons)  </w:t>
            </w:r>
          </w:p>
        </w:tc>
        <w:tc>
          <w:tcPr>
            <w:tcW w:w="651" w:type="pct"/>
            <w:tcBorders>
              <w:top w:val="nil"/>
            </w:tcBorders>
          </w:tcPr>
          <w:p w:rsidR="00EA43AA" w:rsidRPr="001D6512" w:rsidRDefault="00EA43AA" w:rsidP="001364C8">
            <w:pPr>
              <w:pStyle w:val="TableCell"/>
              <w:keepNext w:val="0"/>
              <w:spacing w:before="60" w:after="60"/>
              <w:jc w:val="center"/>
            </w:pPr>
            <w:r w:rsidRPr="001D6512">
              <w:t>3</w:t>
            </w:r>
          </w:p>
        </w:tc>
      </w:tr>
      <w:tr w:rsidR="00EA43AA" w:rsidRPr="00016642" w:rsidTr="00EA43AA">
        <w:trPr>
          <w:cantSplit/>
          <w:trHeight w:val="317"/>
          <w:jc w:val="center"/>
        </w:trPr>
        <w:tc>
          <w:tcPr>
            <w:tcW w:w="1435" w:type="pct"/>
            <w:tcMar>
              <w:left w:w="115" w:type="dxa"/>
              <w:right w:w="115" w:type="dxa"/>
            </w:tcMar>
            <w:vAlign w:val="center"/>
          </w:tcPr>
          <w:p w:rsidR="00EA43AA" w:rsidRPr="001D6512" w:rsidRDefault="00EA43AA" w:rsidP="001364C8">
            <w:pPr>
              <w:pStyle w:val="TableCell"/>
              <w:keepNext w:val="0"/>
              <w:spacing w:before="60" w:after="60"/>
              <w:rPr>
                <w:rFonts w:eastAsia="Arial Unicode MS"/>
              </w:rPr>
            </w:pPr>
            <w:r w:rsidRPr="001D6512">
              <w:t>Additional Water Heater Tank Insulation</w:t>
            </w:r>
          </w:p>
        </w:tc>
        <w:tc>
          <w:tcPr>
            <w:tcW w:w="2913" w:type="pct"/>
            <w:tcMar>
              <w:left w:w="115" w:type="dxa"/>
              <w:right w:w="115" w:type="dxa"/>
            </w:tcMar>
            <w:vAlign w:val="center"/>
          </w:tcPr>
          <w:p w:rsidR="00EA43AA" w:rsidRPr="001D6512" w:rsidRDefault="00EA43AA" w:rsidP="001364C8">
            <w:pPr>
              <w:pStyle w:val="TableCell"/>
              <w:keepNext w:val="0"/>
              <w:spacing w:before="60" w:after="60"/>
              <w:rPr>
                <w:rFonts w:eastAsia="Arial Unicode MS"/>
                <w:iCs/>
              </w:rPr>
            </w:pPr>
            <w:r w:rsidRPr="001D6512">
              <w:rPr>
                <w:iCs/>
              </w:rPr>
              <w:t>None</w:t>
            </w:r>
          </w:p>
        </w:tc>
        <w:tc>
          <w:tcPr>
            <w:tcW w:w="651" w:type="pct"/>
          </w:tcPr>
          <w:p w:rsidR="00EA43AA" w:rsidRPr="001D6512" w:rsidRDefault="00EA43AA" w:rsidP="001364C8">
            <w:pPr>
              <w:pStyle w:val="TableCell"/>
              <w:keepNext w:val="0"/>
              <w:spacing w:before="60" w:after="60"/>
              <w:jc w:val="center"/>
              <w:rPr>
                <w:iCs/>
              </w:rPr>
            </w:pPr>
          </w:p>
        </w:tc>
      </w:tr>
    </w:tbl>
    <w:p w:rsidR="00EA43AA" w:rsidRDefault="00EA43AA" w:rsidP="00EA43AA">
      <w:pPr>
        <w:pStyle w:val="BodyText"/>
      </w:pPr>
    </w:p>
    <w:p w:rsidR="00EA43AA" w:rsidRPr="00EA43AA" w:rsidRDefault="00EA43AA" w:rsidP="00EA43AA">
      <w:pPr>
        <w:rPr>
          <w:b/>
        </w:rPr>
      </w:pPr>
      <w:r w:rsidRPr="00EA43AA">
        <w:rPr>
          <w:b/>
        </w:rPr>
        <w:t>Sources:</w:t>
      </w:r>
    </w:p>
    <w:p w:rsidR="00EA43AA" w:rsidRPr="00E723E7" w:rsidRDefault="00EA43AA" w:rsidP="0005632A">
      <w:pPr>
        <w:pStyle w:val="source1"/>
        <w:numPr>
          <w:ilvl w:val="0"/>
          <w:numId w:val="118"/>
        </w:numPr>
      </w:pPr>
      <w:r w:rsidRPr="00E723E7">
        <w:t>2009 International Residential Code (IRC 2009, Sections N1102 – N1104)</w:t>
      </w:r>
    </w:p>
    <w:p w:rsidR="00EA43AA" w:rsidRPr="00E723E7" w:rsidRDefault="00EA43AA" w:rsidP="0005632A">
      <w:pPr>
        <w:pStyle w:val="source1"/>
        <w:numPr>
          <w:ilvl w:val="0"/>
          <w:numId w:val="27"/>
        </w:numPr>
      </w:pPr>
      <w:r w:rsidRPr="00E723E7">
        <w:t>Federal Register / Vol. 73, No. 145 / Monday, July 28, 2008 / Rules and Regulations, p. 43611-43613, 10 CFR Part 430, “Energy Conservation Program for Consumer Products: Energy Conservation Standards for Residential Furnaces and Boilers.”</w:t>
      </w:r>
    </w:p>
    <w:p w:rsidR="00EA43AA" w:rsidRPr="00E723E7" w:rsidRDefault="00EA43AA" w:rsidP="00EA43AA">
      <w:pPr>
        <w:pStyle w:val="source1"/>
      </w:pPr>
      <w:r w:rsidRPr="00E723E7">
        <w:t>Federal Register / Vol. 75, No. 73 / Friday, April 16, 2010 / Rules and Regulations, p. 20112-20236, 10 CFR Part 430, “Energy Conservation Program: Energy Conservation Standards for Residential Water Heaters, Direct Heating Equipment, and Pool Heaters; Final Rule.”</w:t>
      </w:r>
    </w:p>
    <w:p w:rsidR="00CB79AB" w:rsidRDefault="00CB79AB">
      <w:pPr>
        <w:overflowPunct/>
        <w:autoSpaceDE/>
        <w:autoSpaceDN/>
        <w:adjustRightInd/>
        <w:spacing w:after="0" w:line="240" w:lineRule="auto"/>
        <w:textAlignment w:val="auto"/>
      </w:pPr>
    </w:p>
    <w:p w:rsidR="00CB79AB" w:rsidRPr="008F1617" w:rsidRDefault="001E6208" w:rsidP="00E568D4">
      <w:pPr>
        <w:pStyle w:val="Heading2"/>
      </w:pPr>
      <w:r>
        <w:br w:type="page"/>
      </w:r>
      <w:bookmarkStart w:id="440" w:name="_Toc310875424"/>
      <w:r w:rsidR="00CB79AB" w:rsidRPr="008F1617">
        <w:lastRenderedPageBreak/>
        <w:t>ENERGY STAR Appliances</w:t>
      </w:r>
      <w:bookmarkEnd w:id="440"/>
    </w:p>
    <w:p w:rsidR="00CB79AB" w:rsidRDefault="00CB79AB" w:rsidP="00871FA2">
      <w:pPr>
        <w:pStyle w:val="Heading3"/>
      </w:pPr>
      <w:r>
        <w:t>Algorithms</w:t>
      </w:r>
    </w:p>
    <w:p w:rsidR="00CB79AB" w:rsidRDefault="00CB79AB" w:rsidP="00CB79AB">
      <w:pPr>
        <w:pStyle w:val="BodyText"/>
      </w:pPr>
      <w:r>
        <w:t>The general form of the equation for the ENERGY STAR Appliance measure savings’ algorithms is:</w:t>
      </w:r>
    </w:p>
    <w:p w:rsidR="00CB79AB" w:rsidRDefault="00CB79AB" w:rsidP="00CB79AB">
      <w:pPr>
        <w:pStyle w:val="Equation"/>
      </w:pPr>
      <w:r>
        <w:t>Total Savings</w:t>
      </w:r>
      <w:r>
        <w:tab/>
        <w:t xml:space="preserve"> = Number of Units x Savings per Unit</w:t>
      </w:r>
    </w:p>
    <w:p w:rsidR="00CB79AB" w:rsidRDefault="00CB79AB" w:rsidP="00CB79AB">
      <w:r>
        <w:t>To determine resource savings, the per</w:t>
      </w:r>
      <w:r w:rsidR="00F11594">
        <w:t>-</w:t>
      </w:r>
      <w:r>
        <w:t>unit estimates in the algorithms will be multiplied by the number of appliance units.  The number of units will be determined using market assessments and market tracking.  Some of these market tracking mechanisms are under development.  Per unit savings’ estimates are derived primarily from a 2000 Market Update Report by RLW for National Grid’s appliance program and from previous NEEP screening tool assumptions (clothes washers).</w:t>
      </w:r>
    </w:p>
    <w:p w:rsidR="00CB79AB" w:rsidRPr="000E610E" w:rsidRDefault="00CB79AB" w:rsidP="00E568D4">
      <w:pPr>
        <w:pStyle w:val="Heading4"/>
      </w:pPr>
      <w:r>
        <w:t>ENERGY STAR Refrigerators</w:t>
      </w:r>
      <w:r w:rsidR="000E610E">
        <w:t>:</w:t>
      </w:r>
    </w:p>
    <w:p w:rsidR="00CB79AB" w:rsidRPr="00165C8E" w:rsidRDefault="00D12DD6" w:rsidP="00CB79AB">
      <w:pPr>
        <w:pStyle w:val="Equation"/>
        <w:rPr>
          <w:rFonts w:cs="Arial"/>
          <w:szCs w:val="20"/>
        </w:rPr>
      </w:pPr>
      <w:r w:rsidRPr="00165C8E">
        <w:rPr>
          <w:rFonts w:cs="Arial"/>
          <w:szCs w:val="20"/>
        </w:rPr>
        <w:sym w:font="Symbol" w:char="F044"/>
      </w:r>
      <w:r w:rsidRPr="00165C8E">
        <w:rPr>
          <w:rFonts w:cs="Arial"/>
          <w:szCs w:val="20"/>
        </w:rPr>
        <w:t>kWh</w:t>
      </w:r>
      <w:r w:rsidRPr="00165C8E">
        <w:rPr>
          <w:rFonts w:cs="Arial"/>
          <w:szCs w:val="20"/>
        </w:rPr>
        <w:tab/>
      </w:r>
      <w:r w:rsidR="00CB79AB" w:rsidRPr="00165C8E">
        <w:rPr>
          <w:rFonts w:cs="Arial"/>
          <w:szCs w:val="20"/>
        </w:rPr>
        <w:tab/>
        <w:t>= ESav</w:t>
      </w:r>
      <w:r w:rsidR="00CB79AB" w:rsidRPr="00165C8E">
        <w:rPr>
          <w:rFonts w:cs="Arial"/>
          <w:szCs w:val="20"/>
          <w:vertAlign w:val="subscript"/>
        </w:rPr>
        <w:t>REF</w:t>
      </w:r>
      <w:r w:rsidR="00CB79AB" w:rsidRPr="00165C8E">
        <w:rPr>
          <w:rFonts w:cs="Arial"/>
          <w:szCs w:val="20"/>
        </w:rPr>
        <w:t xml:space="preserve"> </w:t>
      </w:r>
    </w:p>
    <w:p w:rsidR="00CB79AB" w:rsidRPr="00165C8E" w:rsidRDefault="00D12DD6" w:rsidP="00CB79AB">
      <w:pPr>
        <w:pStyle w:val="Equation"/>
        <w:rPr>
          <w:rFonts w:cs="Arial"/>
          <w:szCs w:val="20"/>
          <w:vertAlign w:val="subscript"/>
        </w:rPr>
      </w:pPr>
      <w:r w:rsidRPr="00165C8E">
        <w:rPr>
          <w:rFonts w:cs="Arial"/>
          <w:szCs w:val="20"/>
        </w:rPr>
        <w:sym w:font="Symbol" w:char="F044"/>
      </w:r>
      <w:r w:rsidRPr="00165C8E">
        <w:rPr>
          <w:rFonts w:cs="Arial"/>
          <w:szCs w:val="20"/>
        </w:rPr>
        <w:t>kW</w:t>
      </w:r>
      <w:r w:rsidRPr="00165C8E">
        <w:rPr>
          <w:rFonts w:cs="Arial"/>
          <w:szCs w:val="20"/>
          <w:vertAlign w:val="subscript"/>
        </w:rPr>
        <w:t>peak</w:t>
      </w:r>
      <w:r w:rsidRPr="00165C8E">
        <w:rPr>
          <w:rFonts w:cs="Arial"/>
          <w:szCs w:val="20"/>
          <w:vertAlign w:val="subscript"/>
        </w:rPr>
        <w:tab/>
      </w:r>
      <w:r w:rsidR="00CB79AB" w:rsidRPr="00165C8E">
        <w:rPr>
          <w:rFonts w:cs="Arial"/>
          <w:szCs w:val="20"/>
        </w:rPr>
        <w:tab/>
        <w:t>= DSav</w:t>
      </w:r>
      <w:r w:rsidR="00CB79AB" w:rsidRPr="00165C8E">
        <w:rPr>
          <w:rFonts w:cs="Arial"/>
          <w:szCs w:val="20"/>
          <w:vertAlign w:val="subscript"/>
        </w:rPr>
        <w:t>REF</w:t>
      </w:r>
      <w:r w:rsidR="00CB79AB" w:rsidRPr="00165C8E">
        <w:rPr>
          <w:rFonts w:cs="Arial"/>
          <w:szCs w:val="20"/>
        </w:rPr>
        <w:t xml:space="preserve"> X CF</w:t>
      </w:r>
      <w:r w:rsidR="00CB79AB" w:rsidRPr="00165C8E">
        <w:rPr>
          <w:rFonts w:cs="Arial"/>
          <w:szCs w:val="20"/>
          <w:vertAlign w:val="subscript"/>
        </w:rPr>
        <w:t>REF</w:t>
      </w:r>
    </w:p>
    <w:p w:rsidR="00CB79AB" w:rsidRPr="000E610E" w:rsidRDefault="00CB79AB" w:rsidP="00E568D4">
      <w:pPr>
        <w:pStyle w:val="Heading4"/>
      </w:pPr>
      <w:r>
        <w:t>ENERGY STAR Clothes Washers</w:t>
      </w:r>
      <w:r w:rsidR="000E610E">
        <w:t>:</w:t>
      </w:r>
    </w:p>
    <w:p w:rsidR="00CB79AB" w:rsidRPr="00165C8E" w:rsidRDefault="00D12DD6" w:rsidP="00CB79AB">
      <w:pPr>
        <w:pStyle w:val="Equation"/>
        <w:rPr>
          <w:rFonts w:cs="Arial"/>
          <w:szCs w:val="20"/>
        </w:rPr>
      </w:pPr>
      <w:r w:rsidRPr="00165C8E">
        <w:rPr>
          <w:rFonts w:cs="Arial"/>
          <w:szCs w:val="20"/>
        </w:rPr>
        <w:sym w:font="Symbol" w:char="F044"/>
      </w:r>
      <w:r w:rsidRPr="00165C8E">
        <w:rPr>
          <w:rFonts w:cs="Arial"/>
          <w:szCs w:val="20"/>
        </w:rPr>
        <w:t>kWh</w:t>
      </w:r>
      <w:r w:rsidRPr="00165C8E">
        <w:rPr>
          <w:rFonts w:cs="Arial"/>
          <w:szCs w:val="20"/>
        </w:rPr>
        <w:tab/>
      </w:r>
      <w:r w:rsidR="00CB79AB" w:rsidRPr="00165C8E">
        <w:rPr>
          <w:rFonts w:cs="Arial"/>
          <w:szCs w:val="20"/>
        </w:rPr>
        <w:tab/>
        <w:t>= ESav</w:t>
      </w:r>
      <w:r w:rsidR="00CB79AB" w:rsidRPr="00165C8E">
        <w:rPr>
          <w:rFonts w:cs="Arial"/>
          <w:szCs w:val="20"/>
          <w:vertAlign w:val="subscript"/>
        </w:rPr>
        <w:t>CW</w:t>
      </w:r>
      <w:r w:rsidR="00CB79AB" w:rsidRPr="00165C8E">
        <w:rPr>
          <w:rFonts w:cs="Arial"/>
          <w:szCs w:val="20"/>
        </w:rPr>
        <w:t xml:space="preserve"> </w:t>
      </w:r>
    </w:p>
    <w:p w:rsidR="00CB79AB" w:rsidRPr="00165C8E" w:rsidRDefault="00D12DD6" w:rsidP="00CB79AB">
      <w:pPr>
        <w:pStyle w:val="Equation"/>
        <w:rPr>
          <w:rFonts w:cs="Arial"/>
          <w:szCs w:val="20"/>
          <w:vertAlign w:val="subscript"/>
        </w:rPr>
      </w:pPr>
      <w:r w:rsidRPr="00165C8E">
        <w:rPr>
          <w:rFonts w:cs="Arial"/>
          <w:szCs w:val="20"/>
        </w:rPr>
        <w:sym w:font="Symbol" w:char="F044"/>
      </w:r>
      <w:r w:rsidRPr="00165C8E">
        <w:rPr>
          <w:rFonts w:cs="Arial"/>
          <w:szCs w:val="20"/>
        </w:rPr>
        <w:t>kW</w:t>
      </w:r>
      <w:r w:rsidRPr="00165C8E">
        <w:rPr>
          <w:rFonts w:cs="Arial"/>
          <w:szCs w:val="20"/>
          <w:vertAlign w:val="subscript"/>
        </w:rPr>
        <w:t>peak</w:t>
      </w:r>
      <w:r w:rsidRPr="00165C8E">
        <w:rPr>
          <w:rFonts w:cs="Arial"/>
          <w:szCs w:val="20"/>
          <w:vertAlign w:val="subscript"/>
        </w:rPr>
        <w:tab/>
      </w:r>
      <w:r w:rsidR="00CB79AB" w:rsidRPr="00165C8E">
        <w:rPr>
          <w:rFonts w:cs="Arial"/>
          <w:szCs w:val="20"/>
        </w:rPr>
        <w:tab/>
        <w:t>= DSav</w:t>
      </w:r>
      <w:r w:rsidR="00CB79AB" w:rsidRPr="00165C8E">
        <w:rPr>
          <w:rFonts w:cs="Arial"/>
          <w:szCs w:val="20"/>
          <w:vertAlign w:val="subscript"/>
        </w:rPr>
        <w:t>CW</w:t>
      </w:r>
      <w:r w:rsidR="00CB79AB" w:rsidRPr="00165C8E">
        <w:rPr>
          <w:rFonts w:cs="Arial"/>
          <w:szCs w:val="20"/>
        </w:rPr>
        <w:t xml:space="preserve"> X CF</w:t>
      </w:r>
      <w:r w:rsidR="00CB79AB" w:rsidRPr="00165C8E">
        <w:rPr>
          <w:rFonts w:cs="Arial"/>
          <w:szCs w:val="20"/>
          <w:vertAlign w:val="subscript"/>
        </w:rPr>
        <w:t>CW</w:t>
      </w:r>
    </w:p>
    <w:p w:rsidR="00CB79AB" w:rsidRPr="000E610E" w:rsidRDefault="00CB79AB" w:rsidP="00E568D4">
      <w:pPr>
        <w:pStyle w:val="Heading4"/>
      </w:pPr>
      <w:r>
        <w:t>ENERGY STAR Dishwashers</w:t>
      </w:r>
      <w:r w:rsidR="000E610E">
        <w:t>:</w:t>
      </w:r>
    </w:p>
    <w:p w:rsidR="00CB79AB" w:rsidRPr="00165C8E" w:rsidRDefault="00D12DD6" w:rsidP="00CB79AB">
      <w:pPr>
        <w:pStyle w:val="Equation"/>
        <w:rPr>
          <w:rFonts w:cs="Arial"/>
          <w:szCs w:val="20"/>
        </w:rPr>
      </w:pPr>
      <w:r w:rsidRPr="00165C8E">
        <w:rPr>
          <w:rFonts w:cs="Arial"/>
          <w:szCs w:val="20"/>
        </w:rPr>
        <w:sym w:font="Symbol" w:char="F044"/>
      </w:r>
      <w:r w:rsidRPr="00165C8E">
        <w:rPr>
          <w:rFonts w:cs="Arial"/>
          <w:szCs w:val="20"/>
        </w:rPr>
        <w:t>kWh</w:t>
      </w:r>
      <w:r w:rsidRPr="00165C8E">
        <w:rPr>
          <w:rFonts w:cs="Arial"/>
          <w:szCs w:val="20"/>
        </w:rPr>
        <w:tab/>
      </w:r>
      <w:r w:rsidR="00CB79AB" w:rsidRPr="00165C8E">
        <w:rPr>
          <w:rFonts w:cs="Arial"/>
          <w:szCs w:val="20"/>
        </w:rPr>
        <w:tab/>
        <w:t>= ESav</w:t>
      </w:r>
      <w:r w:rsidR="00CB79AB" w:rsidRPr="00165C8E">
        <w:rPr>
          <w:rFonts w:cs="Arial"/>
          <w:szCs w:val="20"/>
          <w:vertAlign w:val="subscript"/>
        </w:rPr>
        <w:t>DW</w:t>
      </w:r>
      <w:r w:rsidR="00CB79AB" w:rsidRPr="00165C8E">
        <w:rPr>
          <w:rFonts w:cs="Arial"/>
          <w:szCs w:val="20"/>
        </w:rPr>
        <w:t xml:space="preserve"> </w:t>
      </w:r>
    </w:p>
    <w:p w:rsidR="00CB79AB" w:rsidRPr="00165C8E" w:rsidRDefault="00D12DD6" w:rsidP="00CB79AB">
      <w:pPr>
        <w:pStyle w:val="Equation"/>
        <w:rPr>
          <w:rFonts w:cs="Arial"/>
          <w:szCs w:val="20"/>
          <w:vertAlign w:val="subscript"/>
        </w:rPr>
      </w:pPr>
      <w:r w:rsidRPr="00165C8E">
        <w:rPr>
          <w:rFonts w:cs="Arial"/>
          <w:szCs w:val="20"/>
        </w:rPr>
        <w:sym w:font="Symbol" w:char="F044"/>
      </w:r>
      <w:r w:rsidRPr="00165C8E">
        <w:rPr>
          <w:rFonts w:cs="Arial"/>
          <w:szCs w:val="20"/>
        </w:rPr>
        <w:t>kW</w:t>
      </w:r>
      <w:r w:rsidRPr="00165C8E">
        <w:rPr>
          <w:rFonts w:cs="Arial"/>
          <w:szCs w:val="20"/>
          <w:vertAlign w:val="subscript"/>
        </w:rPr>
        <w:t>peak</w:t>
      </w:r>
      <w:r w:rsidRPr="00165C8E">
        <w:rPr>
          <w:rFonts w:cs="Arial"/>
          <w:szCs w:val="20"/>
          <w:vertAlign w:val="subscript"/>
        </w:rPr>
        <w:tab/>
      </w:r>
      <w:r w:rsidR="00CB79AB" w:rsidRPr="00165C8E">
        <w:rPr>
          <w:rFonts w:cs="Arial"/>
          <w:szCs w:val="20"/>
        </w:rPr>
        <w:tab/>
        <w:t>= DSav</w:t>
      </w:r>
      <w:r w:rsidR="00F11594">
        <w:rPr>
          <w:rFonts w:cs="Arial"/>
          <w:szCs w:val="20"/>
          <w:vertAlign w:val="subscript"/>
        </w:rPr>
        <w:t>DW</w:t>
      </w:r>
      <w:r w:rsidR="00CB79AB" w:rsidRPr="00165C8E">
        <w:rPr>
          <w:rFonts w:cs="Arial"/>
          <w:szCs w:val="20"/>
        </w:rPr>
        <w:t xml:space="preserve"> X CF</w:t>
      </w:r>
      <w:r w:rsidR="00CB79AB" w:rsidRPr="00165C8E">
        <w:rPr>
          <w:rFonts w:cs="Arial"/>
          <w:szCs w:val="20"/>
          <w:vertAlign w:val="subscript"/>
        </w:rPr>
        <w:t>DW</w:t>
      </w:r>
    </w:p>
    <w:p w:rsidR="00CB79AB" w:rsidRPr="000E610E" w:rsidRDefault="00CB79AB" w:rsidP="00E568D4">
      <w:pPr>
        <w:pStyle w:val="Heading4"/>
      </w:pPr>
      <w:r w:rsidRPr="00851266">
        <w:t>ENERGY</w:t>
      </w:r>
      <w:r>
        <w:t xml:space="preserve"> STAR Dehumidifiers</w:t>
      </w:r>
      <w:r w:rsidR="000E610E">
        <w:t>:</w:t>
      </w:r>
    </w:p>
    <w:p w:rsidR="00CB79AB" w:rsidRPr="00165C8E" w:rsidRDefault="00D12DD6" w:rsidP="00CB79AB">
      <w:pPr>
        <w:pStyle w:val="Equation"/>
        <w:rPr>
          <w:rFonts w:cs="Arial"/>
          <w:szCs w:val="20"/>
        </w:rPr>
      </w:pPr>
      <w:r w:rsidRPr="00165C8E">
        <w:rPr>
          <w:rFonts w:cs="Arial"/>
          <w:szCs w:val="20"/>
        </w:rPr>
        <w:sym w:font="Symbol" w:char="F044"/>
      </w:r>
      <w:r w:rsidRPr="00165C8E">
        <w:rPr>
          <w:rFonts w:cs="Arial"/>
          <w:szCs w:val="20"/>
        </w:rPr>
        <w:t>kWh</w:t>
      </w:r>
      <w:r w:rsidRPr="00165C8E">
        <w:rPr>
          <w:rFonts w:cs="Arial"/>
          <w:szCs w:val="20"/>
        </w:rPr>
        <w:tab/>
      </w:r>
      <w:r w:rsidR="00CB79AB" w:rsidRPr="00165C8E">
        <w:rPr>
          <w:rFonts w:cs="Arial"/>
          <w:szCs w:val="20"/>
        </w:rPr>
        <w:tab/>
        <w:t>= ESav</w:t>
      </w:r>
      <w:r w:rsidR="00CB79AB" w:rsidRPr="00165C8E">
        <w:rPr>
          <w:rFonts w:cs="Arial"/>
          <w:szCs w:val="20"/>
          <w:vertAlign w:val="subscript"/>
        </w:rPr>
        <w:t>DH</w:t>
      </w:r>
    </w:p>
    <w:p w:rsidR="00CB79AB" w:rsidRPr="00165C8E" w:rsidRDefault="00D12DD6" w:rsidP="00CB79AB">
      <w:pPr>
        <w:pStyle w:val="Equation"/>
        <w:rPr>
          <w:rFonts w:cs="Arial"/>
          <w:szCs w:val="20"/>
          <w:vertAlign w:val="subscript"/>
        </w:rPr>
      </w:pPr>
      <w:r w:rsidRPr="00165C8E">
        <w:rPr>
          <w:rFonts w:cs="Arial"/>
          <w:szCs w:val="20"/>
        </w:rPr>
        <w:sym w:font="Symbol" w:char="F044"/>
      </w:r>
      <w:r w:rsidRPr="00165C8E">
        <w:rPr>
          <w:rFonts w:cs="Arial"/>
          <w:szCs w:val="20"/>
        </w:rPr>
        <w:t>kW</w:t>
      </w:r>
      <w:r w:rsidRPr="00165C8E">
        <w:rPr>
          <w:rFonts w:cs="Arial"/>
          <w:szCs w:val="20"/>
          <w:vertAlign w:val="subscript"/>
        </w:rPr>
        <w:t>peak</w:t>
      </w:r>
      <w:r w:rsidRPr="00165C8E">
        <w:rPr>
          <w:rFonts w:cs="Arial"/>
          <w:szCs w:val="20"/>
          <w:vertAlign w:val="subscript"/>
        </w:rPr>
        <w:tab/>
      </w:r>
      <w:r w:rsidR="00CB79AB" w:rsidRPr="00165C8E">
        <w:rPr>
          <w:rFonts w:cs="Arial"/>
          <w:szCs w:val="20"/>
        </w:rPr>
        <w:tab/>
        <w:t>= DSav</w:t>
      </w:r>
      <w:r w:rsidR="00CB79AB" w:rsidRPr="00165C8E">
        <w:rPr>
          <w:rFonts w:cs="Arial"/>
          <w:szCs w:val="20"/>
          <w:vertAlign w:val="subscript"/>
        </w:rPr>
        <w:t>DH</w:t>
      </w:r>
      <w:r w:rsidR="00CB79AB" w:rsidRPr="00165C8E">
        <w:rPr>
          <w:rFonts w:cs="Arial"/>
          <w:szCs w:val="20"/>
        </w:rPr>
        <w:t xml:space="preserve"> X CF</w:t>
      </w:r>
      <w:r w:rsidR="00CB79AB" w:rsidRPr="00165C8E">
        <w:rPr>
          <w:rFonts w:cs="Arial"/>
          <w:szCs w:val="20"/>
          <w:vertAlign w:val="subscript"/>
        </w:rPr>
        <w:t>DH</w:t>
      </w:r>
    </w:p>
    <w:p w:rsidR="00CB79AB" w:rsidRPr="000E610E" w:rsidRDefault="00CB79AB" w:rsidP="00E568D4">
      <w:pPr>
        <w:pStyle w:val="Heading4"/>
      </w:pPr>
      <w:r>
        <w:t>ENERGY STAR Room Air Conditioners</w:t>
      </w:r>
      <w:r w:rsidR="000E610E">
        <w:t>:</w:t>
      </w:r>
    </w:p>
    <w:p w:rsidR="00CB79AB" w:rsidRPr="00165C8E" w:rsidRDefault="00D12DD6" w:rsidP="00CB79AB">
      <w:pPr>
        <w:pStyle w:val="Equation"/>
        <w:rPr>
          <w:rFonts w:cs="Arial"/>
          <w:szCs w:val="20"/>
        </w:rPr>
      </w:pPr>
      <w:r w:rsidRPr="00165C8E">
        <w:rPr>
          <w:rFonts w:cs="Arial"/>
          <w:szCs w:val="20"/>
        </w:rPr>
        <w:sym w:font="Symbol" w:char="F044"/>
      </w:r>
      <w:r w:rsidRPr="00165C8E">
        <w:rPr>
          <w:rFonts w:cs="Arial"/>
          <w:szCs w:val="20"/>
        </w:rPr>
        <w:t>kWh</w:t>
      </w:r>
      <w:r w:rsidRPr="00165C8E">
        <w:rPr>
          <w:rFonts w:cs="Arial"/>
          <w:szCs w:val="20"/>
        </w:rPr>
        <w:tab/>
      </w:r>
      <w:r w:rsidR="00CB79AB" w:rsidRPr="00165C8E">
        <w:rPr>
          <w:rFonts w:cs="Arial"/>
          <w:szCs w:val="20"/>
        </w:rPr>
        <w:tab/>
        <w:t xml:space="preserve"> = ESav</w:t>
      </w:r>
      <w:r w:rsidR="00CB79AB" w:rsidRPr="00165C8E">
        <w:rPr>
          <w:rFonts w:cs="Arial"/>
          <w:szCs w:val="20"/>
          <w:vertAlign w:val="subscript"/>
        </w:rPr>
        <w:t>RAC</w:t>
      </w:r>
      <w:r w:rsidR="00CB79AB" w:rsidRPr="00165C8E">
        <w:rPr>
          <w:rFonts w:cs="Arial"/>
          <w:szCs w:val="20"/>
        </w:rPr>
        <w:t xml:space="preserve"> </w:t>
      </w:r>
    </w:p>
    <w:p w:rsidR="00CB79AB" w:rsidRPr="00165C8E" w:rsidRDefault="00D12DD6" w:rsidP="00CB79AB">
      <w:pPr>
        <w:pStyle w:val="Equation"/>
        <w:rPr>
          <w:rFonts w:cs="Arial"/>
          <w:szCs w:val="20"/>
          <w:vertAlign w:val="subscript"/>
        </w:rPr>
      </w:pPr>
      <w:r w:rsidRPr="00165C8E">
        <w:rPr>
          <w:rFonts w:cs="Arial"/>
          <w:szCs w:val="20"/>
        </w:rPr>
        <w:sym w:font="Symbol" w:char="F044"/>
      </w:r>
      <w:r w:rsidRPr="00165C8E">
        <w:rPr>
          <w:rFonts w:cs="Arial"/>
          <w:szCs w:val="20"/>
        </w:rPr>
        <w:t>kW</w:t>
      </w:r>
      <w:r w:rsidRPr="00165C8E">
        <w:rPr>
          <w:rFonts w:cs="Arial"/>
          <w:szCs w:val="20"/>
          <w:vertAlign w:val="subscript"/>
        </w:rPr>
        <w:t>peak</w:t>
      </w:r>
      <w:r w:rsidRPr="00165C8E">
        <w:rPr>
          <w:rFonts w:cs="Arial"/>
          <w:szCs w:val="20"/>
          <w:vertAlign w:val="subscript"/>
        </w:rPr>
        <w:tab/>
      </w:r>
      <w:r w:rsidR="00CB79AB" w:rsidRPr="00165C8E">
        <w:rPr>
          <w:rFonts w:cs="Arial"/>
          <w:szCs w:val="20"/>
        </w:rPr>
        <w:tab/>
        <w:t xml:space="preserve"> = DSav</w:t>
      </w:r>
      <w:r w:rsidR="00CB79AB" w:rsidRPr="00165C8E">
        <w:rPr>
          <w:rFonts w:cs="Arial"/>
          <w:szCs w:val="20"/>
          <w:vertAlign w:val="subscript"/>
        </w:rPr>
        <w:t>RAC</w:t>
      </w:r>
      <w:r w:rsidR="00CB79AB" w:rsidRPr="00165C8E">
        <w:rPr>
          <w:rFonts w:cs="Arial"/>
          <w:szCs w:val="20"/>
        </w:rPr>
        <w:t xml:space="preserve"> X CF</w:t>
      </w:r>
      <w:r w:rsidR="00CB79AB" w:rsidRPr="00165C8E">
        <w:rPr>
          <w:rFonts w:cs="Arial"/>
          <w:szCs w:val="20"/>
          <w:vertAlign w:val="subscript"/>
        </w:rPr>
        <w:t>RAC</w:t>
      </w:r>
    </w:p>
    <w:p w:rsidR="00CB79AB" w:rsidRPr="000E610E" w:rsidRDefault="00CB79AB" w:rsidP="00E568D4">
      <w:pPr>
        <w:pStyle w:val="Heading4"/>
      </w:pPr>
      <w:r w:rsidRPr="00EC7E5D">
        <w:t>ENERGY STAR Freezer</w:t>
      </w:r>
      <w:r w:rsidR="000E610E">
        <w:t>:</w:t>
      </w:r>
    </w:p>
    <w:p w:rsidR="00743796" w:rsidRPr="00743796" w:rsidRDefault="00743796" w:rsidP="00743796">
      <w:pPr>
        <w:pStyle w:val="Equation"/>
        <w:rPr>
          <w:rFonts w:cs="Arial"/>
          <w:szCs w:val="20"/>
        </w:rPr>
      </w:pPr>
      <w:r w:rsidRPr="00165C8E">
        <w:rPr>
          <w:rFonts w:cs="Arial"/>
          <w:szCs w:val="20"/>
        </w:rPr>
        <w:sym w:font="Symbol" w:char="F044"/>
      </w:r>
      <w:r w:rsidRPr="00165C8E">
        <w:rPr>
          <w:rFonts w:cs="Arial"/>
          <w:szCs w:val="20"/>
        </w:rPr>
        <w:t>kWh</w:t>
      </w:r>
      <w:r w:rsidRPr="00165C8E">
        <w:rPr>
          <w:rFonts w:cs="Arial"/>
          <w:szCs w:val="20"/>
        </w:rPr>
        <w:tab/>
      </w:r>
      <w:r w:rsidRPr="00165C8E">
        <w:rPr>
          <w:rFonts w:cs="Arial"/>
          <w:szCs w:val="20"/>
        </w:rPr>
        <w:tab/>
        <w:t xml:space="preserve"> = ESav</w:t>
      </w:r>
      <w:r>
        <w:rPr>
          <w:rFonts w:cs="Arial"/>
          <w:szCs w:val="20"/>
          <w:vertAlign w:val="subscript"/>
        </w:rPr>
        <w:t>FRE</w:t>
      </w:r>
    </w:p>
    <w:p w:rsidR="00743796" w:rsidRPr="00743796" w:rsidRDefault="00743796" w:rsidP="00743796">
      <w:pPr>
        <w:pStyle w:val="Equation"/>
        <w:rPr>
          <w:rFonts w:cs="Arial"/>
          <w:szCs w:val="20"/>
          <w:vertAlign w:val="subscript"/>
        </w:rPr>
      </w:pPr>
      <w:r w:rsidRPr="00165C8E">
        <w:rPr>
          <w:rFonts w:cs="Arial"/>
          <w:szCs w:val="20"/>
        </w:rPr>
        <w:sym w:font="Symbol" w:char="F044"/>
      </w:r>
      <w:r w:rsidRPr="00165C8E">
        <w:rPr>
          <w:rFonts w:cs="Arial"/>
          <w:szCs w:val="20"/>
        </w:rPr>
        <w:t>kW</w:t>
      </w:r>
      <w:r w:rsidRPr="00165C8E">
        <w:rPr>
          <w:rFonts w:cs="Arial"/>
          <w:szCs w:val="20"/>
          <w:vertAlign w:val="subscript"/>
        </w:rPr>
        <w:t>peak</w:t>
      </w:r>
      <w:r w:rsidRPr="00165C8E">
        <w:rPr>
          <w:rFonts w:cs="Arial"/>
          <w:szCs w:val="20"/>
          <w:vertAlign w:val="subscript"/>
        </w:rPr>
        <w:tab/>
      </w:r>
      <w:r w:rsidRPr="00165C8E">
        <w:rPr>
          <w:rFonts w:cs="Arial"/>
          <w:szCs w:val="20"/>
        </w:rPr>
        <w:tab/>
        <w:t xml:space="preserve"> = D</w:t>
      </w:r>
      <w:r>
        <w:rPr>
          <w:rFonts w:cs="Arial"/>
          <w:szCs w:val="20"/>
        </w:rPr>
        <w:t>S</w:t>
      </w:r>
      <w:r w:rsidRPr="00165C8E">
        <w:rPr>
          <w:rFonts w:cs="Arial"/>
          <w:szCs w:val="20"/>
        </w:rPr>
        <w:t>av</w:t>
      </w:r>
      <w:r>
        <w:rPr>
          <w:rFonts w:cs="Arial"/>
          <w:szCs w:val="20"/>
          <w:vertAlign w:val="subscript"/>
        </w:rPr>
        <w:t>FRE</w:t>
      </w:r>
      <w:r w:rsidRPr="00165C8E">
        <w:rPr>
          <w:rFonts w:cs="Arial"/>
          <w:szCs w:val="20"/>
        </w:rPr>
        <w:t xml:space="preserve"> X CF</w:t>
      </w:r>
      <w:r>
        <w:rPr>
          <w:rFonts w:cs="Arial"/>
          <w:szCs w:val="20"/>
          <w:vertAlign w:val="subscript"/>
        </w:rPr>
        <w:t>FRE</w:t>
      </w:r>
    </w:p>
    <w:p w:rsidR="00CB79AB" w:rsidRDefault="00CB79AB" w:rsidP="00871FA2">
      <w:pPr>
        <w:pStyle w:val="Heading3"/>
      </w:pPr>
      <w:r w:rsidRPr="008F1617">
        <w:t>Definition of Terms</w:t>
      </w:r>
    </w:p>
    <w:p w:rsidR="00CB79AB" w:rsidRPr="00165C8E" w:rsidRDefault="00CB79AB" w:rsidP="00CB79AB">
      <w:pPr>
        <w:pStyle w:val="Equation"/>
        <w:rPr>
          <w:rFonts w:cs="Arial"/>
          <w:szCs w:val="20"/>
        </w:rPr>
      </w:pPr>
      <w:r w:rsidRPr="00165C8E">
        <w:rPr>
          <w:rFonts w:cs="Arial"/>
          <w:szCs w:val="20"/>
        </w:rPr>
        <w:tab/>
        <w:t>ESav</w:t>
      </w:r>
      <w:r w:rsidRPr="00165C8E">
        <w:rPr>
          <w:rFonts w:cs="Arial"/>
          <w:szCs w:val="20"/>
          <w:vertAlign w:val="subscript"/>
        </w:rPr>
        <w:t>REF</w:t>
      </w:r>
      <w:r w:rsidRPr="00165C8E">
        <w:rPr>
          <w:rFonts w:cs="Arial"/>
          <w:szCs w:val="20"/>
        </w:rPr>
        <w:t xml:space="preserve"> </w:t>
      </w:r>
      <w:r w:rsidRPr="00165C8E">
        <w:rPr>
          <w:rFonts w:cs="Arial"/>
          <w:szCs w:val="20"/>
        </w:rPr>
        <w:tab/>
        <w:t xml:space="preserve">= Electricity savings per purchased </w:t>
      </w:r>
      <w:r w:rsidR="00325EF4" w:rsidRPr="00165C8E">
        <w:rPr>
          <w:rFonts w:cs="Arial"/>
          <w:smallCaps/>
          <w:szCs w:val="20"/>
        </w:rPr>
        <w:t>ENERGY STAR</w:t>
      </w:r>
      <w:r w:rsidRPr="00165C8E">
        <w:rPr>
          <w:rFonts w:cs="Arial"/>
          <w:smallCaps/>
          <w:szCs w:val="20"/>
        </w:rPr>
        <w:t xml:space="preserve"> </w:t>
      </w:r>
      <w:r w:rsidRPr="00165C8E">
        <w:rPr>
          <w:rFonts w:cs="Arial"/>
          <w:szCs w:val="20"/>
        </w:rPr>
        <w:t>refrigerator.</w:t>
      </w:r>
    </w:p>
    <w:p w:rsidR="00CB79AB" w:rsidRPr="00165C8E" w:rsidRDefault="00CB79AB" w:rsidP="00CB79AB">
      <w:pPr>
        <w:pStyle w:val="Equation"/>
        <w:rPr>
          <w:rFonts w:cs="Arial"/>
          <w:szCs w:val="20"/>
        </w:rPr>
      </w:pPr>
      <w:r w:rsidRPr="00165C8E">
        <w:rPr>
          <w:rFonts w:cs="Arial"/>
          <w:szCs w:val="20"/>
        </w:rPr>
        <w:lastRenderedPageBreak/>
        <w:tab/>
        <w:t>DSav</w:t>
      </w:r>
      <w:r w:rsidRPr="00165C8E">
        <w:rPr>
          <w:rFonts w:cs="Arial"/>
          <w:szCs w:val="20"/>
          <w:vertAlign w:val="subscript"/>
        </w:rPr>
        <w:t xml:space="preserve">REF  </w:t>
      </w:r>
      <w:r w:rsidRPr="00165C8E">
        <w:rPr>
          <w:rFonts w:cs="Arial"/>
          <w:szCs w:val="20"/>
          <w:vertAlign w:val="subscript"/>
        </w:rPr>
        <w:tab/>
      </w:r>
      <w:r w:rsidRPr="00165C8E">
        <w:rPr>
          <w:rFonts w:cs="Arial"/>
          <w:szCs w:val="20"/>
        </w:rPr>
        <w:t xml:space="preserve">= Summer demand savings per purchased </w:t>
      </w:r>
      <w:r w:rsidR="00325EF4" w:rsidRPr="00165C8E">
        <w:rPr>
          <w:rFonts w:cs="Arial"/>
          <w:smallCaps/>
          <w:szCs w:val="20"/>
        </w:rPr>
        <w:t>ENERGY STAR</w:t>
      </w:r>
      <w:r w:rsidRPr="00165C8E">
        <w:rPr>
          <w:rFonts w:cs="Arial"/>
          <w:smallCaps/>
          <w:szCs w:val="20"/>
        </w:rPr>
        <w:t xml:space="preserve"> </w:t>
      </w:r>
      <w:r w:rsidRPr="00165C8E">
        <w:rPr>
          <w:rFonts w:cs="Arial"/>
          <w:szCs w:val="20"/>
        </w:rPr>
        <w:t>refrigerator.</w:t>
      </w:r>
    </w:p>
    <w:p w:rsidR="00CB79AB" w:rsidRPr="00165C8E" w:rsidRDefault="00CB79AB" w:rsidP="00CB79AB">
      <w:pPr>
        <w:pStyle w:val="Equation"/>
        <w:rPr>
          <w:rFonts w:cs="Arial"/>
          <w:szCs w:val="20"/>
        </w:rPr>
      </w:pPr>
      <w:r w:rsidRPr="00165C8E">
        <w:rPr>
          <w:rFonts w:cs="Arial"/>
          <w:szCs w:val="20"/>
        </w:rPr>
        <w:tab/>
        <w:t>ESav</w:t>
      </w:r>
      <w:r w:rsidRPr="00165C8E">
        <w:rPr>
          <w:rFonts w:cs="Arial"/>
          <w:szCs w:val="20"/>
          <w:vertAlign w:val="subscript"/>
        </w:rPr>
        <w:t>CW</w:t>
      </w:r>
      <w:r w:rsidRPr="00165C8E">
        <w:rPr>
          <w:rFonts w:cs="Arial"/>
          <w:szCs w:val="20"/>
        </w:rPr>
        <w:t xml:space="preserve"> </w:t>
      </w:r>
      <w:r w:rsidRPr="00165C8E">
        <w:rPr>
          <w:rFonts w:cs="Arial"/>
          <w:szCs w:val="20"/>
        </w:rPr>
        <w:tab/>
        <w:t xml:space="preserve">= Electricity savings per purchased </w:t>
      </w:r>
      <w:r w:rsidR="00325EF4" w:rsidRPr="00165C8E">
        <w:rPr>
          <w:rFonts w:cs="Arial"/>
          <w:smallCaps/>
          <w:szCs w:val="20"/>
        </w:rPr>
        <w:t>ENERGY STAR</w:t>
      </w:r>
      <w:r w:rsidRPr="00165C8E">
        <w:rPr>
          <w:rFonts w:cs="Arial"/>
          <w:smallCaps/>
          <w:szCs w:val="20"/>
        </w:rPr>
        <w:t xml:space="preserve"> </w:t>
      </w:r>
      <w:r w:rsidRPr="00165C8E">
        <w:rPr>
          <w:rFonts w:cs="Arial"/>
          <w:szCs w:val="20"/>
        </w:rPr>
        <w:t>clothes washer.</w:t>
      </w:r>
    </w:p>
    <w:p w:rsidR="00CB79AB" w:rsidRPr="00165C8E" w:rsidRDefault="00CB79AB" w:rsidP="00CB79AB">
      <w:pPr>
        <w:pStyle w:val="Equation"/>
        <w:rPr>
          <w:rFonts w:cs="Arial"/>
          <w:szCs w:val="20"/>
        </w:rPr>
      </w:pPr>
      <w:r w:rsidRPr="00165C8E">
        <w:rPr>
          <w:rFonts w:cs="Arial"/>
          <w:szCs w:val="20"/>
        </w:rPr>
        <w:tab/>
        <w:t>DSav</w:t>
      </w:r>
      <w:r w:rsidRPr="00165C8E">
        <w:rPr>
          <w:rFonts w:cs="Arial"/>
          <w:szCs w:val="20"/>
          <w:vertAlign w:val="subscript"/>
        </w:rPr>
        <w:t xml:space="preserve">CW </w:t>
      </w:r>
      <w:r w:rsidRPr="00165C8E">
        <w:rPr>
          <w:rFonts w:cs="Arial"/>
          <w:szCs w:val="20"/>
          <w:vertAlign w:val="subscript"/>
        </w:rPr>
        <w:tab/>
      </w:r>
      <w:r w:rsidRPr="00165C8E">
        <w:rPr>
          <w:rFonts w:cs="Arial"/>
          <w:szCs w:val="20"/>
        </w:rPr>
        <w:t xml:space="preserve">= Summer demand savings per purchased </w:t>
      </w:r>
      <w:r w:rsidR="00325EF4" w:rsidRPr="00165C8E">
        <w:rPr>
          <w:rFonts w:cs="Arial"/>
          <w:smallCaps/>
          <w:szCs w:val="20"/>
        </w:rPr>
        <w:t>ENERGY STAR</w:t>
      </w:r>
      <w:r w:rsidRPr="00165C8E">
        <w:rPr>
          <w:rFonts w:cs="Arial"/>
          <w:smallCaps/>
          <w:szCs w:val="20"/>
        </w:rPr>
        <w:t xml:space="preserve"> </w:t>
      </w:r>
      <w:r w:rsidRPr="00165C8E">
        <w:rPr>
          <w:rFonts w:cs="Arial"/>
          <w:szCs w:val="20"/>
        </w:rPr>
        <w:t>clothes washer.</w:t>
      </w:r>
    </w:p>
    <w:p w:rsidR="00CB79AB" w:rsidRPr="00165C8E" w:rsidRDefault="00CB79AB" w:rsidP="00CB79AB">
      <w:pPr>
        <w:pStyle w:val="Equation"/>
        <w:rPr>
          <w:rFonts w:cs="Arial"/>
          <w:szCs w:val="20"/>
        </w:rPr>
      </w:pPr>
      <w:r w:rsidRPr="00165C8E">
        <w:rPr>
          <w:rFonts w:cs="Arial"/>
          <w:szCs w:val="20"/>
        </w:rPr>
        <w:tab/>
        <w:t>ESav</w:t>
      </w:r>
      <w:r w:rsidRPr="00165C8E">
        <w:rPr>
          <w:rFonts w:cs="Arial"/>
          <w:szCs w:val="20"/>
          <w:vertAlign w:val="subscript"/>
        </w:rPr>
        <w:t>DW</w:t>
      </w:r>
      <w:r w:rsidRPr="00165C8E">
        <w:rPr>
          <w:rFonts w:cs="Arial"/>
          <w:szCs w:val="20"/>
        </w:rPr>
        <w:t xml:space="preserve"> </w:t>
      </w:r>
      <w:r w:rsidRPr="00165C8E">
        <w:rPr>
          <w:rFonts w:cs="Arial"/>
          <w:szCs w:val="20"/>
        </w:rPr>
        <w:tab/>
        <w:t xml:space="preserve">= Electricity savings per purchased </w:t>
      </w:r>
      <w:r w:rsidR="00325EF4" w:rsidRPr="00165C8E">
        <w:rPr>
          <w:rFonts w:cs="Arial"/>
          <w:smallCaps/>
          <w:szCs w:val="20"/>
        </w:rPr>
        <w:t>ENERGY STAR</w:t>
      </w:r>
      <w:r w:rsidRPr="00165C8E">
        <w:rPr>
          <w:rFonts w:cs="Arial"/>
          <w:smallCaps/>
          <w:szCs w:val="20"/>
        </w:rPr>
        <w:t xml:space="preserve"> </w:t>
      </w:r>
      <w:r w:rsidRPr="00165C8E">
        <w:rPr>
          <w:rFonts w:cs="Arial"/>
          <w:szCs w:val="20"/>
        </w:rPr>
        <w:t>dishwasher.</w:t>
      </w:r>
    </w:p>
    <w:p w:rsidR="00CB79AB" w:rsidRPr="00165C8E" w:rsidRDefault="00CB79AB" w:rsidP="00CB79AB">
      <w:pPr>
        <w:pStyle w:val="Equation"/>
        <w:rPr>
          <w:rFonts w:cs="Arial"/>
          <w:szCs w:val="20"/>
        </w:rPr>
      </w:pPr>
      <w:r w:rsidRPr="00165C8E">
        <w:rPr>
          <w:rFonts w:cs="Arial"/>
          <w:szCs w:val="20"/>
        </w:rPr>
        <w:tab/>
        <w:t>DSav</w:t>
      </w:r>
      <w:r w:rsidRPr="00165C8E">
        <w:rPr>
          <w:rFonts w:cs="Arial"/>
          <w:szCs w:val="20"/>
          <w:vertAlign w:val="subscript"/>
        </w:rPr>
        <w:t xml:space="preserve">DW </w:t>
      </w:r>
      <w:r w:rsidRPr="00165C8E">
        <w:rPr>
          <w:rFonts w:cs="Arial"/>
          <w:szCs w:val="20"/>
          <w:vertAlign w:val="subscript"/>
        </w:rPr>
        <w:tab/>
      </w:r>
      <w:r w:rsidRPr="00165C8E">
        <w:rPr>
          <w:rFonts w:cs="Arial"/>
          <w:szCs w:val="20"/>
        </w:rPr>
        <w:t xml:space="preserve">= Summer demand savings per purchased </w:t>
      </w:r>
      <w:r w:rsidR="00325EF4" w:rsidRPr="00165C8E">
        <w:rPr>
          <w:rFonts w:cs="Arial"/>
          <w:smallCaps/>
          <w:szCs w:val="20"/>
        </w:rPr>
        <w:t>ENERGY STAR</w:t>
      </w:r>
      <w:r w:rsidRPr="00165C8E">
        <w:rPr>
          <w:rFonts w:cs="Arial"/>
          <w:smallCaps/>
          <w:szCs w:val="20"/>
        </w:rPr>
        <w:t xml:space="preserve"> </w:t>
      </w:r>
      <w:r w:rsidRPr="00165C8E">
        <w:rPr>
          <w:rFonts w:cs="Arial"/>
          <w:szCs w:val="20"/>
        </w:rPr>
        <w:t>dishwasher.</w:t>
      </w:r>
    </w:p>
    <w:p w:rsidR="00CB79AB" w:rsidRPr="00165C8E" w:rsidRDefault="00CB79AB" w:rsidP="00CB79AB">
      <w:pPr>
        <w:pStyle w:val="Equation"/>
        <w:rPr>
          <w:rFonts w:cs="Arial"/>
          <w:szCs w:val="20"/>
        </w:rPr>
      </w:pPr>
      <w:r w:rsidRPr="00165C8E">
        <w:rPr>
          <w:rFonts w:cs="Arial"/>
          <w:szCs w:val="20"/>
        </w:rPr>
        <w:tab/>
        <w:t>ESav</w:t>
      </w:r>
      <w:r w:rsidRPr="00165C8E">
        <w:rPr>
          <w:rFonts w:cs="Arial"/>
          <w:szCs w:val="20"/>
          <w:vertAlign w:val="subscript"/>
        </w:rPr>
        <w:t>DH</w:t>
      </w:r>
      <w:r w:rsidRPr="00165C8E">
        <w:rPr>
          <w:rFonts w:cs="Arial"/>
          <w:szCs w:val="20"/>
        </w:rPr>
        <w:t xml:space="preserve"> </w:t>
      </w:r>
      <w:r w:rsidRPr="00165C8E">
        <w:rPr>
          <w:rFonts w:cs="Arial"/>
          <w:szCs w:val="20"/>
        </w:rPr>
        <w:tab/>
        <w:t xml:space="preserve">= Electricity savings per purchased </w:t>
      </w:r>
      <w:r w:rsidR="00325EF4" w:rsidRPr="00165C8E">
        <w:rPr>
          <w:rFonts w:cs="Arial"/>
          <w:szCs w:val="20"/>
        </w:rPr>
        <w:t>ENERGY STAR</w:t>
      </w:r>
      <w:r w:rsidRPr="00165C8E">
        <w:rPr>
          <w:rFonts w:cs="Arial"/>
          <w:szCs w:val="20"/>
        </w:rPr>
        <w:t xml:space="preserve"> dehumidifier</w:t>
      </w:r>
    </w:p>
    <w:p w:rsidR="00CB79AB" w:rsidRPr="00165C8E" w:rsidRDefault="00CB79AB" w:rsidP="00CB79AB">
      <w:pPr>
        <w:pStyle w:val="Equation"/>
        <w:rPr>
          <w:rFonts w:cs="Arial"/>
          <w:szCs w:val="20"/>
        </w:rPr>
      </w:pPr>
      <w:r w:rsidRPr="00165C8E">
        <w:rPr>
          <w:rFonts w:cs="Arial"/>
          <w:szCs w:val="20"/>
        </w:rPr>
        <w:tab/>
        <w:t>DSav</w:t>
      </w:r>
      <w:r w:rsidRPr="00165C8E">
        <w:rPr>
          <w:rFonts w:cs="Arial"/>
          <w:szCs w:val="20"/>
          <w:vertAlign w:val="subscript"/>
        </w:rPr>
        <w:t>DH</w:t>
      </w:r>
      <w:r w:rsidRPr="00165C8E">
        <w:rPr>
          <w:rFonts w:cs="Arial"/>
          <w:szCs w:val="20"/>
        </w:rPr>
        <w:t xml:space="preserve"> </w:t>
      </w:r>
      <w:r w:rsidRPr="00165C8E">
        <w:rPr>
          <w:rFonts w:cs="Arial"/>
          <w:szCs w:val="20"/>
        </w:rPr>
        <w:tab/>
        <w:t xml:space="preserve">= Summer demand savings per purchased </w:t>
      </w:r>
      <w:r w:rsidR="00325EF4" w:rsidRPr="00165C8E">
        <w:rPr>
          <w:rFonts w:cs="Arial"/>
          <w:szCs w:val="20"/>
        </w:rPr>
        <w:t>ENERGY STAR</w:t>
      </w:r>
      <w:r w:rsidRPr="00165C8E">
        <w:rPr>
          <w:rFonts w:cs="Arial"/>
          <w:szCs w:val="20"/>
        </w:rPr>
        <w:t xml:space="preserve"> dehumidifier</w:t>
      </w:r>
    </w:p>
    <w:p w:rsidR="00CB79AB" w:rsidRPr="00165C8E" w:rsidRDefault="00CB79AB" w:rsidP="00CB79AB">
      <w:pPr>
        <w:pStyle w:val="Equation"/>
        <w:rPr>
          <w:rFonts w:cs="Arial"/>
          <w:szCs w:val="20"/>
        </w:rPr>
      </w:pPr>
      <w:r w:rsidRPr="00165C8E">
        <w:rPr>
          <w:rFonts w:cs="Arial"/>
          <w:szCs w:val="20"/>
        </w:rPr>
        <w:tab/>
        <w:t>ESav</w:t>
      </w:r>
      <w:r w:rsidRPr="00165C8E">
        <w:rPr>
          <w:rFonts w:cs="Arial"/>
          <w:szCs w:val="20"/>
          <w:vertAlign w:val="subscript"/>
        </w:rPr>
        <w:t>RAC</w:t>
      </w:r>
      <w:r w:rsidRPr="00165C8E">
        <w:rPr>
          <w:rFonts w:cs="Arial"/>
          <w:szCs w:val="20"/>
        </w:rPr>
        <w:t xml:space="preserve"> </w:t>
      </w:r>
      <w:r w:rsidRPr="00165C8E">
        <w:rPr>
          <w:rFonts w:cs="Arial"/>
          <w:szCs w:val="20"/>
        </w:rPr>
        <w:tab/>
        <w:t xml:space="preserve">= Electricity savings per purchased </w:t>
      </w:r>
      <w:r w:rsidR="00325EF4" w:rsidRPr="00165C8E">
        <w:rPr>
          <w:rFonts w:cs="Arial"/>
          <w:smallCaps/>
          <w:szCs w:val="20"/>
        </w:rPr>
        <w:t>ENERGY STAR</w:t>
      </w:r>
      <w:r w:rsidRPr="00165C8E">
        <w:rPr>
          <w:rFonts w:cs="Arial"/>
          <w:smallCaps/>
          <w:szCs w:val="20"/>
        </w:rPr>
        <w:t xml:space="preserve"> </w:t>
      </w:r>
      <w:r w:rsidRPr="00165C8E">
        <w:rPr>
          <w:rFonts w:cs="Arial"/>
          <w:szCs w:val="20"/>
        </w:rPr>
        <w:t>room AC.</w:t>
      </w:r>
    </w:p>
    <w:p w:rsidR="00CB79AB" w:rsidRDefault="00CB79AB" w:rsidP="00CB79AB">
      <w:pPr>
        <w:pStyle w:val="Equation"/>
        <w:rPr>
          <w:rFonts w:cs="Arial"/>
          <w:szCs w:val="20"/>
        </w:rPr>
      </w:pPr>
      <w:r w:rsidRPr="00165C8E">
        <w:rPr>
          <w:rFonts w:cs="Arial"/>
          <w:szCs w:val="20"/>
        </w:rPr>
        <w:tab/>
        <w:t>DSav</w:t>
      </w:r>
      <w:r w:rsidRPr="00165C8E">
        <w:rPr>
          <w:rFonts w:cs="Arial"/>
          <w:szCs w:val="20"/>
          <w:vertAlign w:val="subscript"/>
        </w:rPr>
        <w:t xml:space="preserve">RAC </w:t>
      </w:r>
      <w:r w:rsidRPr="00165C8E">
        <w:rPr>
          <w:rFonts w:cs="Arial"/>
          <w:szCs w:val="20"/>
          <w:vertAlign w:val="subscript"/>
        </w:rPr>
        <w:tab/>
      </w:r>
      <w:r w:rsidRPr="00165C8E">
        <w:rPr>
          <w:rFonts w:cs="Arial"/>
          <w:szCs w:val="20"/>
        </w:rPr>
        <w:t xml:space="preserve">= Summer demand savings per purchased </w:t>
      </w:r>
      <w:r w:rsidR="00325EF4" w:rsidRPr="00165C8E">
        <w:rPr>
          <w:rFonts w:cs="Arial"/>
          <w:smallCaps/>
          <w:szCs w:val="20"/>
        </w:rPr>
        <w:t>ENERGY STAR</w:t>
      </w:r>
      <w:r w:rsidRPr="00165C8E">
        <w:rPr>
          <w:rFonts w:cs="Arial"/>
          <w:smallCaps/>
          <w:szCs w:val="20"/>
        </w:rPr>
        <w:t xml:space="preserve"> </w:t>
      </w:r>
      <w:r w:rsidRPr="00165C8E">
        <w:rPr>
          <w:rFonts w:cs="Arial"/>
          <w:szCs w:val="20"/>
        </w:rPr>
        <w:t>room AC.</w:t>
      </w:r>
    </w:p>
    <w:p w:rsidR="00743796" w:rsidRPr="00165C8E" w:rsidRDefault="00743796" w:rsidP="00743796">
      <w:pPr>
        <w:pStyle w:val="Equation"/>
        <w:rPr>
          <w:rFonts w:cs="Arial"/>
          <w:szCs w:val="20"/>
        </w:rPr>
      </w:pPr>
      <w:r w:rsidRPr="00165C8E">
        <w:rPr>
          <w:rFonts w:cs="Arial"/>
          <w:szCs w:val="20"/>
        </w:rPr>
        <w:tab/>
        <w:t>E</w:t>
      </w:r>
      <w:r>
        <w:rPr>
          <w:rFonts w:cs="Arial"/>
          <w:szCs w:val="20"/>
        </w:rPr>
        <w:t>S</w:t>
      </w:r>
      <w:r w:rsidRPr="00165C8E">
        <w:rPr>
          <w:rFonts w:cs="Arial"/>
          <w:szCs w:val="20"/>
        </w:rPr>
        <w:t>av</w:t>
      </w:r>
      <w:r>
        <w:rPr>
          <w:rFonts w:cs="Arial"/>
          <w:szCs w:val="20"/>
          <w:vertAlign w:val="subscript"/>
        </w:rPr>
        <w:t>FRE</w:t>
      </w:r>
      <w:r w:rsidRPr="00165C8E">
        <w:rPr>
          <w:rFonts w:cs="Arial"/>
          <w:szCs w:val="20"/>
        </w:rPr>
        <w:t xml:space="preserve"> </w:t>
      </w:r>
      <w:r w:rsidRPr="00165C8E">
        <w:rPr>
          <w:rFonts w:cs="Arial"/>
          <w:szCs w:val="20"/>
        </w:rPr>
        <w:tab/>
        <w:t xml:space="preserve">= Electricity savings per purchased </w:t>
      </w:r>
      <w:r w:rsidRPr="00165C8E">
        <w:rPr>
          <w:rFonts w:cs="Arial"/>
          <w:smallCaps/>
          <w:szCs w:val="20"/>
        </w:rPr>
        <w:t xml:space="preserve">ENERGY STAR </w:t>
      </w:r>
      <w:r>
        <w:rPr>
          <w:rFonts w:cs="Arial"/>
          <w:szCs w:val="20"/>
        </w:rPr>
        <w:t>freezer</w:t>
      </w:r>
      <w:r w:rsidRPr="00165C8E">
        <w:rPr>
          <w:rFonts w:cs="Arial"/>
          <w:szCs w:val="20"/>
        </w:rPr>
        <w:t>.</w:t>
      </w:r>
    </w:p>
    <w:p w:rsidR="00743796" w:rsidRPr="00165C8E" w:rsidRDefault="00743796" w:rsidP="00743796">
      <w:pPr>
        <w:pStyle w:val="Equation"/>
        <w:rPr>
          <w:rFonts w:cs="Arial"/>
          <w:szCs w:val="20"/>
        </w:rPr>
      </w:pPr>
      <w:r w:rsidRPr="00165C8E">
        <w:rPr>
          <w:rFonts w:cs="Arial"/>
          <w:szCs w:val="20"/>
        </w:rPr>
        <w:tab/>
        <w:t>D</w:t>
      </w:r>
      <w:r>
        <w:rPr>
          <w:rFonts w:cs="Arial"/>
          <w:szCs w:val="20"/>
        </w:rPr>
        <w:t>S</w:t>
      </w:r>
      <w:r w:rsidRPr="00165C8E">
        <w:rPr>
          <w:rFonts w:cs="Arial"/>
          <w:szCs w:val="20"/>
        </w:rPr>
        <w:t>av</w:t>
      </w:r>
      <w:r>
        <w:rPr>
          <w:rFonts w:cs="Arial"/>
          <w:szCs w:val="20"/>
          <w:vertAlign w:val="subscript"/>
        </w:rPr>
        <w:t>FRE</w:t>
      </w:r>
      <w:r w:rsidRPr="00165C8E">
        <w:rPr>
          <w:rFonts w:cs="Arial"/>
          <w:szCs w:val="20"/>
          <w:vertAlign w:val="subscript"/>
        </w:rPr>
        <w:t xml:space="preserve"> </w:t>
      </w:r>
      <w:r w:rsidRPr="00165C8E">
        <w:rPr>
          <w:rFonts w:cs="Arial"/>
          <w:szCs w:val="20"/>
          <w:vertAlign w:val="subscript"/>
        </w:rPr>
        <w:tab/>
      </w:r>
      <w:r w:rsidRPr="00165C8E">
        <w:rPr>
          <w:rFonts w:cs="Arial"/>
          <w:szCs w:val="20"/>
        </w:rPr>
        <w:t xml:space="preserve">= Summer demand savings per purchased </w:t>
      </w:r>
      <w:r w:rsidRPr="00165C8E">
        <w:rPr>
          <w:rFonts w:cs="Arial"/>
          <w:smallCaps/>
          <w:szCs w:val="20"/>
        </w:rPr>
        <w:t xml:space="preserve">ENERGY STAR </w:t>
      </w:r>
      <w:r>
        <w:rPr>
          <w:rFonts w:cs="Arial"/>
          <w:szCs w:val="20"/>
        </w:rPr>
        <w:t>freezer</w:t>
      </w:r>
      <w:r w:rsidRPr="00165C8E">
        <w:rPr>
          <w:rFonts w:cs="Arial"/>
          <w:szCs w:val="20"/>
        </w:rPr>
        <w:t>.</w:t>
      </w:r>
    </w:p>
    <w:p w:rsidR="00CB79AB" w:rsidRPr="00165C8E" w:rsidRDefault="00CB79AB" w:rsidP="00100EDF">
      <w:pPr>
        <w:pStyle w:val="Equation"/>
        <w:rPr>
          <w:rFonts w:cs="Arial"/>
          <w:szCs w:val="20"/>
        </w:rPr>
      </w:pPr>
      <w:r w:rsidRPr="00165C8E">
        <w:rPr>
          <w:rFonts w:cs="Arial"/>
          <w:szCs w:val="20"/>
        </w:rPr>
        <w:tab/>
        <w:t>CF</w:t>
      </w:r>
      <w:r w:rsidRPr="00165C8E">
        <w:rPr>
          <w:rFonts w:cs="Arial"/>
          <w:szCs w:val="20"/>
          <w:vertAlign w:val="subscript"/>
        </w:rPr>
        <w:t xml:space="preserve">REF, </w:t>
      </w:r>
      <w:r w:rsidRPr="00165C8E">
        <w:rPr>
          <w:rFonts w:cs="Arial"/>
          <w:szCs w:val="20"/>
        </w:rPr>
        <w:t>CF</w:t>
      </w:r>
      <w:r w:rsidRPr="00165C8E">
        <w:rPr>
          <w:rFonts w:cs="Arial"/>
          <w:szCs w:val="20"/>
          <w:vertAlign w:val="subscript"/>
        </w:rPr>
        <w:t xml:space="preserve">CW, </w:t>
      </w:r>
      <w:r w:rsidRPr="00165C8E">
        <w:rPr>
          <w:rFonts w:cs="Arial"/>
          <w:szCs w:val="20"/>
        </w:rPr>
        <w:t>CF</w:t>
      </w:r>
      <w:r w:rsidRPr="00165C8E">
        <w:rPr>
          <w:rFonts w:cs="Arial"/>
          <w:szCs w:val="20"/>
          <w:vertAlign w:val="subscript"/>
        </w:rPr>
        <w:t>DW</w:t>
      </w:r>
      <w:r w:rsidRPr="00165C8E">
        <w:rPr>
          <w:rFonts w:cs="Arial"/>
          <w:szCs w:val="20"/>
        </w:rPr>
        <w:t xml:space="preserve">, </w:t>
      </w:r>
    </w:p>
    <w:p w:rsidR="00CB79AB" w:rsidRPr="00165C8E" w:rsidRDefault="00CB79AB" w:rsidP="00C3606E">
      <w:pPr>
        <w:pStyle w:val="Equation"/>
        <w:rPr>
          <w:rFonts w:cs="Arial"/>
          <w:szCs w:val="20"/>
        </w:rPr>
      </w:pPr>
      <w:r w:rsidRPr="00165C8E">
        <w:rPr>
          <w:rFonts w:cs="Arial"/>
          <w:szCs w:val="20"/>
        </w:rPr>
        <w:tab/>
        <w:t>CF</w:t>
      </w:r>
      <w:r w:rsidRPr="00165C8E">
        <w:rPr>
          <w:rFonts w:cs="Arial"/>
          <w:szCs w:val="20"/>
          <w:vertAlign w:val="subscript"/>
        </w:rPr>
        <w:t>DH</w:t>
      </w:r>
      <w:r w:rsidRPr="00165C8E">
        <w:rPr>
          <w:rFonts w:cs="Arial"/>
          <w:szCs w:val="20"/>
        </w:rPr>
        <w:t>, CF</w:t>
      </w:r>
      <w:r w:rsidRPr="00165C8E">
        <w:rPr>
          <w:rFonts w:cs="Arial"/>
          <w:szCs w:val="20"/>
          <w:vertAlign w:val="subscript"/>
        </w:rPr>
        <w:t>RAC</w:t>
      </w:r>
      <w:r w:rsidR="00743796" w:rsidRPr="00165C8E">
        <w:rPr>
          <w:rFonts w:cs="Arial"/>
          <w:szCs w:val="20"/>
        </w:rPr>
        <w:t>, CF</w:t>
      </w:r>
      <w:r w:rsidR="00743796">
        <w:rPr>
          <w:rFonts w:cs="Arial"/>
          <w:szCs w:val="20"/>
          <w:vertAlign w:val="subscript"/>
        </w:rPr>
        <w:t>FRE</w:t>
      </w:r>
      <w:r w:rsidRPr="00165C8E">
        <w:rPr>
          <w:rFonts w:cs="Arial"/>
          <w:szCs w:val="20"/>
        </w:rPr>
        <w:t xml:space="preserve"> </w:t>
      </w:r>
      <w:r w:rsidRPr="00165C8E">
        <w:rPr>
          <w:rFonts w:cs="Arial"/>
          <w:szCs w:val="20"/>
        </w:rPr>
        <w:tab/>
        <w:t xml:space="preserve">= </w:t>
      </w:r>
      <w:r w:rsidR="005478EE" w:rsidRPr="00165C8E">
        <w:rPr>
          <w:rFonts w:cs="Arial"/>
          <w:szCs w:val="20"/>
        </w:rPr>
        <w:t xml:space="preserve">Demand Coincidence Factor (See Section 1.4). </w:t>
      </w:r>
      <w:r w:rsidRPr="00165C8E">
        <w:rPr>
          <w:rFonts w:cs="Arial"/>
          <w:szCs w:val="20"/>
        </w:rPr>
        <w:t>The coincidence of average appliance demand to summer system peak equals 1 for demand impacts for all appliances reflecting embedded coincidence in the DSav factor (except for room air conditioners where the CF is 58%).</w:t>
      </w:r>
    </w:p>
    <w:p w:rsidR="00CB79AB" w:rsidRDefault="00CB79AB" w:rsidP="00C3606E"/>
    <w:p w:rsidR="00CB79AB" w:rsidRDefault="00CB79AB" w:rsidP="00100EDF">
      <w:pPr>
        <w:pStyle w:val="Caption"/>
      </w:pPr>
      <w:bookmarkStart w:id="441" w:name="_Toc310875526"/>
      <w:r>
        <w:lastRenderedPageBreak/>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40</w:t>
      </w:r>
      <w:r w:rsidR="00274AB1">
        <w:rPr>
          <w:noProof/>
        </w:rPr>
        <w:fldChar w:fldCharType="end"/>
      </w:r>
      <w:r>
        <w:t>: ENERGY STAR Appliances - References</w:t>
      </w:r>
      <w:bookmarkEnd w:id="44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592"/>
        <w:gridCol w:w="1031"/>
        <w:gridCol w:w="3094"/>
        <w:gridCol w:w="1153"/>
      </w:tblGrid>
      <w:tr w:rsidR="00CB79AB" w:rsidRPr="0044128E" w:rsidTr="00A1079C">
        <w:trPr>
          <w:cantSplit/>
          <w:trHeight w:val="317"/>
          <w:tblHeader/>
          <w:jc w:val="center"/>
        </w:trPr>
        <w:tc>
          <w:tcPr>
            <w:tcW w:w="2025" w:type="pct"/>
            <w:shd w:val="clear" w:color="auto" w:fill="BFBFBF"/>
            <w:vAlign w:val="center"/>
          </w:tcPr>
          <w:p w:rsidR="00CB79AB" w:rsidRPr="001D6512" w:rsidRDefault="00CB79AB" w:rsidP="00C3606E">
            <w:pPr>
              <w:pStyle w:val="TableCell"/>
              <w:spacing w:before="60" w:after="60"/>
              <w:rPr>
                <w:b/>
              </w:rPr>
            </w:pPr>
            <w:r w:rsidRPr="001D6512">
              <w:rPr>
                <w:b/>
              </w:rPr>
              <w:t>Component</w:t>
            </w:r>
          </w:p>
        </w:tc>
        <w:tc>
          <w:tcPr>
            <w:tcW w:w="581" w:type="pct"/>
            <w:shd w:val="clear" w:color="auto" w:fill="BFBFBF"/>
            <w:vAlign w:val="center"/>
          </w:tcPr>
          <w:p w:rsidR="00CB79AB" w:rsidRPr="001D6512" w:rsidRDefault="00CB79AB" w:rsidP="00C3606E">
            <w:pPr>
              <w:pStyle w:val="TableCell"/>
              <w:spacing w:before="60" w:after="60"/>
              <w:rPr>
                <w:b/>
              </w:rPr>
            </w:pPr>
            <w:r w:rsidRPr="001D6512">
              <w:rPr>
                <w:b/>
              </w:rPr>
              <w:t>Type</w:t>
            </w:r>
          </w:p>
        </w:tc>
        <w:tc>
          <w:tcPr>
            <w:tcW w:w="1744" w:type="pct"/>
            <w:shd w:val="clear" w:color="auto" w:fill="BFBFBF"/>
            <w:vAlign w:val="center"/>
          </w:tcPr>
          <w:p w:rsidR="00CB79AB" w:rsidRPr="001D6512" w:rsidRDefault="00CB79AB" w:rsidP="00C3606E">
            <w:pPr>
              <w:pStyle w:val="TableCell"/>
              <w:spacing w:before="60" w:after="60"/>
              <w:rPr>
                <w:b/>
              </w:rPr>
            </w:pPr>
            <w:r w:rsidRPr="001D6512">
              <w:rPr>
                <w:b/>
              </w:rPr>
              <w:t>Value</w:t>
            </w:r>
          </w:p>
        </w:tc>
        <w:tc>
          <w:tcPr>
            <w:tcW w:w="650" w:type="pct"/>
            <w:shd w:val="clear" w:color="auto" w:fill="BFBFBF"/>
            <w:vAlign w:val="center"/>
          </w:tcPr>
          <w:p w:rsidR="00CB79AB" w:rsidRPr="001D6512" w:rsidRDefault="00CB79AB" w:rsidP="00C3606E">
            <w:pPr>
              <w:pStyle w:val="TableCell"/>
              <w:spacing w:before="60" w:after="60"/>
              <w:rPr>
                <w:b/>
              </w:rPr>
            </w:pPr>
            <w:r w:rsidRPr="001D6512">
              <w:rPr>
                <w:b/>
              </w:rPr>
              <w:t>Sources</w:t>
            </w:r>
          </w:p>
        </w:tc>
      </w:tr>
      <w:tr w:rsidR="00CB79AB" w:rsidRPr="0044128E" w:rsidTr="00A1079C">
        <w:trPr>
          <w:cantSplit/>
          <w:trHeight w:val="317"/>
          <w:jc w:val="center"/>
        </w:trPr>
        <w:tc>
          <w:tcPr>
            <w:tcW w:w="2025" w:type="pct"/>
            <w:vAlign w:val="center"/>
          </w:tcPr>
          <w:p w:rsidR="00CB79AB" w:rsidRPr="001D6512" w:rsidRDefault="00CB79AB" w:rsidP="00C3606E">
            <w:pPr>
              <w:pStyle w:val="TableCell"/>
              <w:spacing w:before="60" w:after="60"/>
            </w:pPr>
            <w:r w:rsidRPr="001D6512">
              <w:t>ESav</w:t>
            </w:r>
            <w:r w:rsidRPr="001D6512">
              <w:rPr>
                <w:vertAlign w:val="subscript"/>
              </w:rPr>
              <w:t>REF</w:t>
            </w:r>
          </w:p>
        </w:tc>
        <w:tc>
          <w:tcPr>
            <w:tcW w:w="581" w:type="pct"/>
            <w:vAlign w:val="center"/>
          </w:tcPr>
          <w:p w:rsidR="00CB79AB" w:rsidRPr="001D6512" w:rsidRDefault="00CB79AB" w:rsidP="00C3606E">
            <w:pPr>
              <w:pStyle w:val="TableCell"/>
              <w:spacing w:before="60" w:after="60"/>
            </w:pPr>
            <w:r w:rsidRPr="001D6512">
              <w:t>Fixed</w:t>
            </w:r>
          </w:p>
        </w:tc>
        <w:tc>
          <w:tcPr>
            <w:tcW w:w="1744" w:type="pct"/>
            <w:vAlign w:val="center"/>
          </w:tcPr>
          <w:p w:rsidR="00CB79AB" w:rsidRPr="001D6512" w:rsidRDefault="006D2E98" w:rsidP="005567B6">
            <w:pPr>
              <w:pStyle w:val="TableCell"/>
              <w:spacing w:before="60" w:after="60"/>
            </w:pPr>
            <w:r w:rsidRPr="001D6512">
              <w:rPr>
                <w:rFonts w:ascii="PalatinoLinotype" w:hAnsi="PalatinoLinotype" w:cs="PalatinoLinotype"/>
              </w:rPr>
              <w:t xml:space="preserve">See </w:t>
            </w:r>
            <w:r w:rsidR="007A1FB6" w:rsidRPr="001D6512">
              <w:rPr>
                <w:rFonts w:ascii="PalatinoLinotype" w:hAnsi="PalatinoLinotype" w:cs="PalatinoLinotype"/>
              </w:rPr>
              <w:fldChar w:fldCharType="begin"/>
            </w:r>
            <w:r w:rsidR="005567B6" w:rsidRPr="001D6512">
              <w:rPr>
                <w:rFonts w:ascii="PalatinoLinotype" w:hAnsi="PalatinoLinotype" w:cs="PalatinoLinotype"/>
              </w:rPr>
              <w:instrText xml:space="preserve"> REF _Ref295412025 \h </w:instrText>
            </w:r>
            <w:r w:rsidR="007A1FB6" w:rsidRPr="001D6512">
              <w:rPr>
                <w:rFonts w:ascii="PalatinoLinotype" w:hAnsi="PalatinoLinotype" w:cs="PalatinoLinotype"/>
              </w:rPr>
            </w:r>
            <w:r w:rsidR="007A1FB6" w:rsidRPr="001D6512">
              <w:rPr>
                <w:rFonts w:ascii="PalatinoLinotype" w:hAnsi="PalatinoLinotype" w:cs="PalatinoLinotype"/>
              </w:rPr>
              <w:fldChar w:fldCharType="separate"/>
            </w:r>
            <w:r w:rsidR="00C0292F">
              <w:t xml:space="preserve">Table </w:t>
            </w:r>
            <w:r w:rsidR="00C0292F">
              <w:rPr>
                <w:noProof/>
              </w:rPr>
              <w:t>2</w:t>
            </w:r>
            <w:r w:rsidR="00C0292F">
              <w:noBreakHyphen/>
            </w:r>
            <w:r w:rsidR="00C0292F">
              <w:rPr>
                <w:noProof/>
              </w:rPr>
              <w:t>41</w:t>
            </w:r>
            <w:r w:rsidR="007A1FB6" w:rsidRPr="001D6512">
              <w:rPr>
                <w:rFonts w:ascii="PalatinoLinotype" w:hAnsi="PalatinoLinotype" w:cs="PalatinoLinotype"/>
              </w:rPr>
              <w:fldChar w:fldCharType="end"/>
            </w:r>
          </w:p>
        </w:tc>
        <w:tc>
          <w:tcPr>
            <w:tcW w:w="650" w:type="pct"/>
            <w:vAlign w:val="center"/>
          </w:tcPr>
          <w:p w:rsidR="00CB79AB" w:rsidRPr="001D6512" w:rsidRDefault="00245C20" w:rsidP="00C3606E">
            <w:pPr>
              <w:pStyle w:val="TableCell"/>
              <w:spacing w:before="60" w:after="60"/>
            </w:pPr>
            <w:r w:rsidRPr="001D6512">
              <w:t>9</w:t>
            </w:r>
          </w:p>
        </w:tc>
      </w:tr>
      <w:tr w:rsidR="00CB79AB" w:rsidRPr="0044128E" w:rsidTr="00A1079C">
        <w:trPr>
          <w:cantSplit/>
          <w:trHeight w:val="317"/>
          <w:jc w:val="center"/>
        </w:trPr>
        <w:tc>
          <w:tcPr>
            <w:tcW w:w="2025" w:type="pct"/>
            <w:vAlign w:val="center"/>
          </w:tcPr>
          <w:p w:rsidR="00CB79AB" w:rsidRPr="001D6512" w:rsidRDefault="00CB79AB" w:rsidP="00C3606E">
            <w:pPr>
              <w:pStyle w:val="TableCell"/>
              <w:spacing w:before="60" w:after="60"/>
            </w:pPr>
            <w:r w:rsidRPr="001D6512">
              <w:t>DSav</w:t>
            </w:r>
            <w:r w:rsidRPr="001D6512">
              <w:rPr>
                <w:vertAlign w:val="subscript"/>
              </w:rPr>
              <w:t>REF</w:t>
            </w:r>
          </w:p>
        </w:tc>
        <w:tc>
          <w:tcPr>
            <w:tcW w:w="581" w:type="pct"/>
            <w:vAlign w:val="center"/>
          </w:tcPr>
          <w:p w:rsidR="00CB79AB" w:rsidRPr="001D6512" w:rsidRDefault="00CB79AB" w:rsidP="00C3606E">
            <w:pPr>
              <w:pStyle w:val="TableCell"/>
              <w:spacing w:before="60" w:after="60"/>
            </w:pPr>
            <w:r w:rsidRPr="001D6512">
              <w:t>Fixed</w:t>
            </w:r>
          </w:p>
        </w:tc>
        <w:tc>
          <w:tcPr>
            <w:tcW w:w="1744" w:type="pct"/>
            <w:vAlign w:val="center"/>
          </w:tcPr>
          <w:p w:rsidR="00CB79AB" w:rsidRPr="001D6512" w:rsidRDefault="00CB79AB" w:rsidP="00C3606E">
            <w:pPr>
              <w:pStyle w:val="TableCell"/>
              <w:spacing w:before="60" w:after="60"/>
            </w:pPr>
            <w:r w:rsidRPr="001D6512">
              <w:t>0.0125 kW</w:t>
            </w:r>
          </w:p>
        </w:tc>
        <w:tc>
          <w:tcPr>
            <w:tcW w:w="650" w:type="pct"/>
            <w:vAlign w:val="center"/>
          </w:tcPr>
          <w:p w:rsidR="00CB79AB" w:rsidRPr="001D6512" w:rsidRDefault="00CB79AB" w:rsidP="00C3606E">
            <w:pPr>
              <w:pStyle w:val="TableCell"/>
              <w:spacing w:before="60" w:after="60"/>
            </w:pPr>
            <w:r w:rsidRPr="001D6512">
              <w:t>1</w:t>
            </w:r>
          </w:p>
        </w:tc>
      </w:tr>
      <w:tr w:rsidR="00CB79AB" w:rsidRPr="0044128E" w:rsidTr="00A1079C">
        <w:trPr>
          <w:cantSplit/>
          <w:trHeight w:val="317"/>
          <w:jc w:val="center"/>
        </w:trPr>
        <w:tc>
          <w:tcPr>
            <w:tcW w:w="2025" w:type="pct"/>
            <w:vAlign w:val="center"/>
          </w:tcPr>
          <w:p w:rsidR="00CB79AB" w:rsidRPr="001D6512" w:rsidRDefault="00CB79AB" w:rsidP="00C3606E">
            <w:pPr>
              <w:pStyle w:val="TableCell"/>
              <w:spacing w:before="60" w:after="60"/>
            </w:pPr>
            <w:r w:rsidRPr="001D6512">
              <w:t>ESav</w:t>
            </w:r>
            <w:r w:rsidRPr="001D6512">
              <w:rPr>
                <w:vertAlign w:val="subscript"/>
              </w:rPr>
              <w:t>CW</w:t>
            </w:r>
          </w:p>
        </w:tc>
        <w:tc>
          <w:tcPr>
            <w:tcW w:w="581" w:type="pct"/>
            <w:vAlign w:val="center"/>
          </w:tcPr>
          <w:p w:rsidR="00CB79AB" w:rsidRPr="001D6512" w:rsidRDefault="00CB79AB" w:rsidP="00C3606E">
            <w:pPr>
              <w:pStyle w:val="TableCell"/>
              <w:spacing w:before="60" w:after="60"/>
            </w:pPr>
            <w:r w:rsidRPr="001D6512">
              <w:t>Fixed</w:t>
            </w:r>
          </w:p>
        </w:tc>
        <w:tc>
          <w:tcPr>
            <w:tcW w:w="1744" w:type="pct"/>
            <w:vAlign w:val="center"/>
          </w:tcPr>
          <w:p w:rsidR="00CB79AB" w:rsidRPr="001D6512" w:rsidRDefault="006D2E98" w:rsidP="00C3606E">
            <w:pPr>
              <w:pStyle w:val="TableCell"/>
              <w:spacing w:before="60" w:after="60"/>
            </w:pPr>
            <w:r w:rsidRPr="001D6512">
              <w:rPr>
                <w:rFonts w:ascii="PalatinoLinotype" w:hAnsi="PalatinoLinotype" w:cs="PalatinoLinotype"/>
              </w:rPr>
              <w:t xml:space="preserve">See </w:t>
            </w:r>
            <w:r w:rsidR="007A1FB6" w:rsidRPr="001D6512">
              <w:rPr>
                <w:rFonts w:ascii="PalatinoLinotype" w:hAnsi="PalatinoLinotype" w:cs="PalatinoLinotype"/>
              </w:rPr>
              <w:fldChar w:fldCharType="begin"/>
            </w:r>
            <w:r w:rsidR="005567B6" w:rsidRPr="001D6512">
              <w:rPr>
                <w:rFonts w:ascii="PalatinoLinotype" w:hAnsi="PalatinoLinotype" w:cs="PalatinoLinotype"/>
              </w:rPr>
              <w:instrText xml:space="preserve"> REF _Ref295412025 \h </w:instrText>
            </w:r>
            <w:r w:rsidR="007A1FB6" w:rsidRPr="001D6512">
              <w:rPr>
                <w:rFonts w:ascii="PalatinoLinotype" w:hAnsi="PalatinoLinotype" w:cs="PalatinoLinotype"/>
              </w:rPr>
            </w:r>
            <w:r w:rsidR="007A1FB6" w:rsidRPr="001D6512">
              <w:rPr>
                <w:rFonts w:ascii="PalatinoLinotype" w:hAnsi="PalatinoLinotype" w:cs="PalatinoLinotype"/>
              </w:rPr>
              <w:fldChar w:fldCharType="separate"/>
            </w:r>
            <w:r w:rsidR="00C0292F">
              <w:t xml:space="preserve">Table </w:t>
            </w:r>
            <w:r w:rsidR="00C0292F">
              <w:rPr>
                <w:noProof/>
              </w:rPr>
              <w:t>2</w:t>
            </w:r>
            <w:r w:rsidR="00C0292F">
              <w:noBreakHyphen/>
            </w:r>
            <w:r w:rsidR="00C0292F">
              <w:rPr>
                <w:noProof/>
              </w:rPr>
              <w:t>41</w:t>
            </w:r>
            <w:r w:rsidR="007A1FB6" w:rsidRPr="001D6512">
              <w:rPr>
                <w:rFonts w:ascii="PalatinoLinotype" w:hAnsi="PalatinoLinotype" w:cs="PalatinoLinotype"/>
              </w:rPr>
              <w:fldChar w:fldCharType="end"/>
            </w:r>
          </w:p>
        </w:tc>
        <w:tc>
          <w:tcPr>
            <w:tcW w:w="650" w:type="pct"/>
            <w:vAlign w:val="center"/>
          </w:tcPr>
          <w:p w:rsidR="00CB79AB" w:rsidRPr="001D6512" w:rsidRDefault="00245C20" w:rsidP="00C3606E">
            <w:pPr>
              <w:pStyle w:val="TableCell"/>
              <w:spacing w:before="60" w:after="60"/>
            </w:pPr>
            <w:r w:rsidRPr="001D6512">
              <w:t>9</w:t>
            </w:r>
          </w:p>
        </w:tc>
      </w:tr>
      <w:tr w:rsidR="00CB79AB" w:rsidRPr="0044128E" w:rsidTr="00A1079C">
        <w:trPr>
          <w:cantSplit/>
          <w:trHeight w:val="317"/>
          <w:jc w:val="center"/>
        </w:trPr>
        <w:tc>
          <w:tcPr>
            <w:tcW w:w="2025" w:type="pct"/>
            <w:vAlign w:val="center"/>
          </w:tcPr>
          <w:p w:rsidR="00CB79AB" w:rsidRPr="001D6512" w:rsidRDefault="00CB79AB" w:rsidP="00C3606E">
            <w:pPr>
              <w:pStyle w:val="TableCell"/>
              <w:spacing w:before="60" w:after="60"/>
            </w:pPr>
            <w:r w:rsidRPr="001D6512">
              <w:t>DSav</w:t>
            </w:r>
            <w:r w:rsidRPr="001D6512">
              <w:rPr>
                <w:vertAlign w:val="subscript"/>
              </w:rPr>
              <w:t>CW</w:t>
            </w:r>
          </w:p>
        </w:tc>
        <w:tc>
          <w:tcPr>
            <w:tcW w:w="581" w:type="pct"/>
            <w:vAlign w:val="center"/>
          </w:tcPr>
          <w:p w:rsidR="00CB79AB" w:rsidRPr="001D6512" w:rsidRDefault="00CB79AB" w:rsidP="00C3606E">
            <w:pPr>
              <w:pStyle w:val="TableCell"/>
              <w:spacing w:before="60" w:after="60"/>
            </w:pPr>
            <w:r w:rsidRPr="001D6512">
              <w:t>Fixed</w:t>
            </w:r>
          </w:p>
        </w:tc>
        <w:tc>
          <w:tcPr>
            <w:tcW w:w="1744" w:type="pct"/>
            <w:vAlign w:val="center"/>
          </w:tcPr>
          <w:p w:rsidR="00CB79AB" w:rsidRPr="001D6512" w:rsidRDefault="00CB79AB" w:rsidP="00C3606E">
            <w:pPr>
              <w:pStyle w:val="TableCell"/>
              <w:spacing w:before="60" w:after="60"/>
            </w:pPr>
            <w:r w:rsidRPr="001D6512">
              <w:t>0.0147 kW</w:t>
            </w:r>
          </w:p>
        </w:tc>
        <w:tc>
          <w:tcPr>
            <w:tcW w:w="650" w:type="pct"/>
            <w:vAlign w:val="center"/>
          </w:tcPr>
          <w:p w:rsidR="00CB79AB" w:rsidRPr="001D6512" w:rsidRDefault="00CB79AB" w:rsidP="00C3606E">
            <w:pPr>
              <w:pStyle w:val="TableCell"/>
              <w:spacing w:before="60" w:after="60"/>
            </w:pPr>
            <w:r w:rsidRPr="001D6512">
              <w:t>3</w:t>
            </w:r>
          </w:p>
        </w:tc>
      </w:tr>
      <w:tr w:rsidR="00CB79AB" w:rsidRPr="0044128E" w:rsidTr="00A1079C">
        <w:trPr>
          <w:cantSplit/>
          <w:trHeight w:val="317"/>
          <w:jc w:val="center"/>
        </w:trPr>
        <w:tc>
          <w:tcPr>
            <w:tcW w:w="2025" w:type="pct"/>
            <w:vAlign w:val="center"/>
          </w:tcPr>
          <w:p w:rsidR="00CB79AB" w:rsidRPr="001D6512" w:rsidRDefault="00CB79AB" w:rsidP="00C3606E">
            <w:pPr>
              <w:pStyle w:val="TableCell"/>
              <w:spacing w:before="60" w:after="60"/>
            </w:pPr>
            <w:r w:rsidRPr="001D6512">
              <w:t>ESav</w:t>
            </w:r>
            <w:r w:rsidRPr="001D6512">
              <w:rPr>
                <w:vertAlign w:val="subscript"/>
              </w:rPr>
              <w:t>DW</w:t>
            </w:r>
          </w:p>
        </w:tc>
        <w:tc>
          <w:tcPr>
            <w:tcW w:w="581" w:type="pct"/>
            <w:vAlign w:val="center"/>
          </w:tcPr>
          <w:p w:rsidR="00CB79AB" w:rsidRPr="001D6512" w:rsidRDefault="00CB79AB" w:rsidP="00C3606E">
            <w:pPr>
              <w:pStyle w:val="TableCell"/>
              <w:spacing w:before="60" w:after="60"/>
            </w:pPr>
            <w:r w:rsidRPr="001D6512">
              <w:t>Fixed</w:t>
            </w:r>
          </w:p>
        </w:tc>
        <w:tc>
          <w:tcPr>
            <w:tcW w:w="1744" w:type="pct"/>
            <w:vAlign w:val="center"/>
          </w:tcPr>
          <w:p w:rsidR="00CB79AB" w:rsidRPr="001D6512" w:rsidRDefault="006D2E98" w:rsidP="00C3606E">
            <w:pPr>
              <w:pStyle w:val="TableCell"/>
              <w:spacing w:before="60" w:after="60"/>
            </w:pPr>
            <w:r w:rsidRPr="001D6512">
              <w:rPr>
                <w:rFonts w:ascii="PalatinoLinotype" w:hAnsi="PalatinoLinotype" w:cs="PalatinoLinotype"/>
              </w:rPr>
              <w:t xml:space="preserve">See </w:t>
            </w:r>
            <w:r w:rsidR="007A1FB6" w:rsidRPr="001D6512">
              <w:rPr>
                <w:rFonts w:ascii="PalatinoLinotype" w:hAnsi="PalatinoLinotype" w:cs="PalatinoLinotype"/>
              </w:rPr>
              <w:fldChar w:fldCharType="begin"/>
            </w:r>
            <w:r w:rsidR="005567B6" w:rsidRPr="001D6512">
              <w:rPr>
                <w:rFonts w:ascii="PalatinoLinotype" w:hAnsi="PalatinoLinotype" w:cs="PalatinoLinotype"/>
              </w:rPr>
              <w:instrText xml:space="preserve"> REF _Ref295412025 \h </w:instrText>
            </w:r>
            <w:r w:rsidR="007A1FB6" w:rsidRPr="001D6512">
              <w:rPr>
                <w:rFonts w:ascii="PalatinoLinotype" w:hAnsi="PalatinoLinotype" w:cs="PalatinoLinotype"/>
              </w:rPr>
            </w:r>
            <w:r w:rsidR="007A1FB6" w:rsidRPr="001D6512">
              <w:rPr>
                <w:rFonts w:ascii="PalatinoLinotype" w:hAnsi="PalatinoLinotype" w:cs="PalatinoLinotype"/>
              </w:rPr>
              <w:fldChar w:fldCharType="separate"/>
            </w:r>
            <w:r w:rsidR="00C0292F">
              <w:t xml:space="preserve">Table </w:t>
            </w:r>
            <w:r w:rsidR="00C0292F">
              <w:rPr>
                <w:noProof/>
              </w:rPr>
              <w:t>2</w:t>
            </w:r>
            <w:r w:rsidR="00C0292F">
              <w:noBreakHyphen/>
            </w:r>
            <w:r w:rsidR="00C0292F">
              <w:rPr>
                <w:noProof/>
              </w:rPr>
              <w:t>41</w:t>
            </w:r>
            <w:r w:rsidR="007A1FB6" w:rsidRPr="001D6512">
              <w:rPr>
                <w:rFonts w:ascii="PalatinoLinotype" w:hAnsi="PalatinoLinotype" w:cs="PalatinoLinotype"/>
              </w:rPr>
              <w:fldChar w:fldCharType="end"/>
            </w:r>
          </w:p>
        </w:tc>
        <w:tc>
          <w:tcPr>
            <w:tcW w:w="650" w:type="pct"/>
            <w:vAlign w:val="center"/>
          </w:tcPr>
          <w:p w:rsidR="00CB79AB" w:rsidRPr="001D6512" w:rsidRDefault="00245C20" w:rsidP="00C3606E">
            <w:pPr>
              <w:pStyle w:val="TableCell"/>
              <w:spacing w:before="60" w:after="60"/>
            </w:pPr>
            <w:r w:rsidRPr="001D6512">
              <w:t>9</w:t>
            </w:r>
          </w:p>
        </w:tc>
      </w:tr>
      <w:tr w:rsidR="00CB79AB" w:rsidRPr="0044128E" w:rsidTr="00A1079C">
        <w:trPr>
          <w:cantSplit/>
          <w:trHeight w:val="317"/>
          <w:jc w:val="center"/>
        </w:trPr>
        <w:tc>
          <w:tcPr>
            <w:tcW w:w="2025" w:type="pct"/>
            <w:vAlign w:val="center"/>
          </w:tcPr>
          <w:p w:rsidR="00CB79AB" w:rsidRPr="001D6512" w:rsidRDefault="00CB79AB" w:rsidP="00C3606E">
            <w:pPr>
              <w:pStyle w:val="TableCell"/>
              <w:spacing w:before="60" w:after="60"/>
            </w:pPr>
            <w:r w:rsidRPr="001D6512">
              <w:t>DSav</w:t>
            </w:r>
            <w:r w:rsidRPr="001D6512">
              <w:rPr>
                <w:vertAlign w:val="subscript"/>
              </w:rPr>
              <w:t>DW</w:t>
            </w:r>
          </w:p>
        </w:tc>
        <w:tc>
          <w:tcPr>
            <w:tcW w:w="581" w:type="pct"/>
            <w:vAlign w:val="center"/>
          </w:tcPr>
          <w:p w:rsidR="00CB79AB" w:rsidRPr="001D6512" w:rsidRDefault="00CB79AB" w:rsidP="00C3606E">
            <w:pPr>
              <w:pStyle w:val="TableCell"/>
              <w:spacing w:before="60" w:after="60"/>
            </w:pPr>
            <w:r w:rsidRPr="001D6512">
              <w:t>Fixed</w:t>
            </w:r>
          </w:p>
        </w:tc>
        <w:tc>
          <w:tcPr>
            <w:tcW w:w="1744" w:type="pct"/>
            <w:vAlign w:val="center"/>
          </w:tcPr>
          <w:p w:rsidR="00CB79AB" w:rsidRPr="001D6512" w:rsidRDefault="00CB79AB" w:rsidP="00C3606E">
            <w:pPr>
              <w:pStyle w:val="TableCell"/>
              <w:spacing w:before="60" w:after="60"/>
            </w:pPr>
            <w:r w:rsidRPr="001D6512">
              <w:t>0.0225</w:t>
            </w:r>
          </w:p>
        </w:tc>
        <w:tc>
          <w:tcPr>
            <w:tcW w:w="650" w:type="pct"/>
            <w:vAlign w:val="center"/>
          </w:tcPr>
          <w:p w:rsidR="00CB79AB" w:rsidRPr="001D6512" w:rsidRDefault="00CB79AB" w:rsidP="00C3606E">
            <w:pPr>
              <w:pStyle w:val="TableCell"/>
              <w:spacing w:before="60" w:after="60"/>
            </w:pPr>
            <w:r w:rsidRPr="001D6512">
              <w:t>4</w:t>
            </w:r>
          </w:p>
        </w:tc>
      </w:tr>
      <w:tr w:rsidR="00CB79AB" w:rsidRPr="0044128E" w:rsidTr="00A1079C">
        <w:trPr>
          <w:cantSplit/>
          <w:trHeight w:val="317"/>
          <w:jc w:val="center"/>
        </w:trPr>
        <w:tc>
          <w:tcPr>
            <w:tcW w:w="2025" w:type="pct"/>
            <w:vAlign w:val="center"/>
          </w:tcPr>
          <w:p w:rsidR="00CB79AB" w:rsidRPr="001D6512" w:rsidRDefault="00CB79AB" w:rsidP="00C3606E">
            <w:pPr>
              <w:pStyle w:val="TableCell"/>
              <w:spacing w:before="60" w:after="60"/>
            </w:pPr>
            <w:r w:rsidRPr="001D6512">
              <w:t>ESav</w:t>
            </w:r>
            <w:r w:rsidRPr="001D6512">
              <w:rPr>
                <w:vertAlign w:val="subscript"/>
              </w:rPr>
              <w:t>DH</w:t>
            </w:r>
          </w:p>
        </w:tc>
        <w:tc>
          <w:tcPr>
            <w:tcW w:w="581" w:type="pct"/>
            <w:vAlign w:val="center"/>
          </w:tcPr>
          <w:p w:rsidR="00CB79AB" w:rsidRPr="001D6512" w:rsidRDefault="00CB79AB" w:rsidP="00C3606E">
            <w:pPr>
              <w:pStyle w:val="TableCell"/>
              <w:spacing w:before="60" w:after="60"/>
            </w:pPr>
            <w:r w:rsidRPr="001D6512">
              <w:t>Fixed</w:t>
            </w:r>
          </w:p>
        </w:tc>
        <w:tc>
          <w:tcPr>
            <w:tcW w:w="1744" w:type="pct"/>
            <w:vAlign w:val="center"/>
          </w:tcPr>
          <w:p w:rsidR="00CB79AB" w:rsidRPr="001D6512" w:rsidRDefault="006D2E98" w:rsidP="00C3606E">
            <w:pPr>
              <w:pStyle w:val="TableCell"/>
              <w:spacing w:before="60" w:after="60"/>
            </w:pPr>
            <w:r w:rsidRPr="001D6512">
              <w:rPr>
                <w:rFonts w:ascii="PalatinoLinotype" w:hAnsi="PalatinoLinotype" w:cs="PalatinoLinotype"/>
              </w:rPr>
              <w:t xml:space="preserve">See </w:t>
            </w:r>
            <w:r w:rsidR="007A1FB6" w:rsidRPr="001D6512">
              <w:rPr>
                <w:rFonts w:ascii="PalatinoLinotype" w:hAnsi="PalatinoLinotype" w:cs="PalatinoLinotype"/>
              </w:rPr>
              <w:fldChar w:fldCharType="begin"/>
            </w:r>
            <w:r w:rsidR="005567B6" w:rsidRPr="001D6512">
              <w:rPr>
                <w:rFonts w:ascii="PalatinoLinotype" w:hAnsi="PalatinoLinotype" w:cs="PalatinoLinotype"/>
              </w:rPr>
              <w:instrText xml:space="preserve"> REF _Ref295412025 \h </w:instrText>
            </w:r>
            <w:r w:rsidR="007A1FB6" w:rsidRPr="001D6512">
              <w:rPr>
                <w:rFonts w:ascii="PalatinoLinotype" w:hAnsi="PalatinoLinotype" w:cs="PalatinoLinotype"/>
              </w:rPr>
            </w:r>
            <w:r w:rsidR="007A1FB6" w:rsidRPr="001D6512">
              <w:rPr>
                <w:rFonts w:ascii="PalatinoLinotype" w:hAnsi="PalatinoLinotype" w:cs="PalatinoLinotype"/>
              </w:rPr>
              <w:fldChar w:fldCharType="separate"/>
            </w:r>
            <w:r w:rsidR="00C0292F">
              <w:t xml:space="preserve">Table </w:t>
            </w:r>
            <w:r w:rsidR="00C0292F">
              <w:rPr>
                <w:noProof/>
              </w:rPr>
              <w:t>2</w:t>
            </w:r>
            <w:r w:rsidR="00C0292F">
              <w:noBreakHyphen/>
            </w:r>
            <w:r w:rsidR="00C0292F">
              <w:rPr>
                <w:noProof/>
              </w:rPr>
              <w:t>41</w:t>
            </w:r>
            <w:r w:rsidR="007A1FB6" w:rsidRPr="001D6512">
              <w:rPr>
                <w:rFonts w:ascii="PalatinoLinotype" w:hAnsi="PalatinoLinotype" w:cs="PalatinoLinotype"/>
              </w:rPr>
              <w:fldChar w:fldCharType="end"/>
            </w:r>
          </w:p>
        </w:tc>
        <w:tc>
          <w:tcPr>
            <w:tcW w:w="650" w:type="pct"/>
            <w:vAlign w:val="center"/>
          </w:tcPr>
          <w:p w:rsidR="00CB79AB" w:rsidRPr="001D6512" w:rsidRDefault="00245C20" w:rsidP="00C3606E">
            <w:pPr>
              <w:pStyle w:val="TableCell"/>
              <w:spacing w:before="60" w:after="60"/>
            </w:pPr>
            <w:r w:rsidRPr="001D6512">
              <w:t>9</w:t>
            </w:r>
          </w:p>
        </w:tc>
      </w:tr>
      <w:tr w:rsidR="00CB79AB" w:rsidRPr="0044128E" w:rsidTr="00A1079C">
        <w:trPr>
          <w:cantSplit/>
          <w:trHeight w:val="317"/>
          <w:jc w:val="center"/>
        </w:trPr>
        <w:tc>
          <w:tcPr>
            <w:tcW w:w="2025" w:type="pct"/>
            <w:vAlign w:val="center"/>
          </w:tcPr>
          <w:p w:rsidR="00CB79AB" w:rsidRPr="001D6512" w:rsidRDefault="00CB79AB" w:rsidP="00C3606E">
            <w:pPr>
              <w:pStyle w:val="TableCell"/>
              <w:spacing w:before="60" w:after="60"/>
            </w:pPr>
            <w:r w:rsidRPr="001D6512">
              <w:t>DSav</w:t>
            </w:r>
            <w:r w:rsidRPr="001D6512">
              <w:rPr>
                <w:vertAlign w:val="subscript"/>
              </w:rPr>
              <w:t>DH</w:t>
            </w:r>
          </w:p>
        </w:tc>
        <w:tc>
          <w:tcPr>
            <w:tcW w:w="581" w:type="pct"/>
            <w:vAlign w:val="center"/>
          </w:tcPr>
          <w:p w:rsidR="00CB79AB" w:rsidRPr="001D6512" w:rsidRDefault="00CB79AB" w:rsidP="00C3606E">
            <w:pPr>
              <w:pStyle w:val="TableCell"/>
              <w:spacing w:before="60" w:after="60"/>
            </w:pPr>
            <w:r w:rsidRPr="001D6512">
              <w:t>Fixed</w:t>
            </w:r>
          </w:p>
        </w:tc>
        <w:tc>
          <w:tcPr>
            <w:tcW w:w="1744" w:type="pct"/>
            <w:vAlign w:val="center"/>
          </w:tcPr>
          <w:p w:rsidR="00CB79AB" w:rsidRPr="001D6512" w:rsidRDefault="00743796" w:rsidP="00C3606E">
            <w:pPr>
              <w:pStyle w:val="TableCell"/>
              <w:spacing w:before="60" w:after="60"/>
            </w:pPr>
            <w:r w:rsidRPr="001D6512">
              <w:t>0</w:t>
            </w:r>
            <w:r w:rsidR="00CB79AB" w:rsidRPr="001D6512">
              <w:t>.0098 kW</w:t>
            </w:r>
          </w:p>
        </w:tc>
        <w:tc>
          <w:tcPr>
            <w:tcW w:w="650" w:type="pct"/>
            <w:vAlign w:val="center"/>
          </w:tcPr>
          <w:p w:rsidR="00CB79AB" w:rsidRPr="001D6512" w:rsidRDefault="00245C20" w:rsidP="00C3606E">
            <w:pPr>
              <w:pStyle w:val="TableCell"/>
              <w:spacing w:before="60" w:after="60"/>
            </w:pPr>
            <w:r w:rsidRPr="001D6512">
              <w:t>7</w:t>
            </w:r>
          </w:p>
        </w:tc>
      </w:tr>
      <w:tr w:rsidR="00CB79AB" w:rsidRPr="0044128E" w:rsidTr="00A1079C">
        <w:trPr>
          <w:cantSplit/>
          <w:trHeight w:val="317"/>
          <w:jc w:val="center"/>
        </w:trPr>
        <w:tc>
          <w:tcPr>
            <w:tcW w:w="2025" w:type="pct"/>
            <w:vAlign w:val="center"/>
          </w:tcPr>
          <w:p w:rsidR="00CB79AB" w:rsidRPr="001D6512" w:rsidRDefault="00CB79AB" w:rsidP="00C3606E">
            <w:pPr>
              <w:pStyle w:val="TableCell"/>
              <w:spacing w:before="60" w:after="60"/>
            </w:pPr>
            <w:r w:rsidRPr="001D6512">
              <w:t>ESav</w:t>
            </w:r>
            <w:r w:rsidRPr="001D6512">
              <w:rPr>
                <w:vertAlign w:val="subscript"/>
              </w:rPr>
              <w:t>RAC</w:t>
            </w:r>
          </w:p>
        </w:tc>
        <w:tc>
          <w:tcPr>
            <w:tcW w:w="581" w:type="pct"/>
            <w:vAlign w:val="center"/>
          </w:tcPr>
          <w:p w:rsidR="00CB79AB" w:rsidRPr="001D6512" w:rsidRDefault="00CB79AB" w:rsidP="00C3606E">
            <w:pPr>
              <w:pStyle w:val="TableCell"/>
              <w:spacing w:before="60" w:after="60"/>
            </w:pPr>
            <w:r w:rsidRPr="001D6512">
              <w:t>Fixed</w:t>
            </w:r>
          </w:p>
        </w:tc>
        <w:tc>
          <w:tcPr>
            <w:tcW w:w="1744" w:type="pct"/>
            <w:vAlign w:val="center"/>
          </w:tcPr>
          <w:p w:rsidR="00CB79AB" w:rsidRPr="001D6512" w:rsidRDefault="006D2E98" w:rsidP="00C3606E">
            <w:pPr>
              <w:pStyle w:val="TableCell"/>
              <w:spacing w:before="60" w:after="60"/>
            </w:pPr>
            <w:r w:rsidRPr="001D6512">
              <w:rPr>
                <w:rFonts w:ascii="PalatinoLinotype" w:hAnsi="PalatinoLinotype" w:cs="PalatinoLinotype"/>
              </w:rPr>
              <w:t xml:space="preserve">See </w:t>
            </w:r>
            <w:r w:rsidR="007A1FB6" w:rsidRPr="001D6512">
              <w:rPr>
                <w:rFonts w:ascii="PalatinoLinotype" w:hAnsi="PalatinoLinotype" w:cs="PalatinoLinotype"/>
              </w:rPr>
              <w:fldChar w:fldCharType="begin"/>
            </w:r>
            <w:r w:rsidR="005567B6" w:rsidRPr="001D6512">
              <w:rPr>
                <w:rFonts w:ascii="PalatinoLinotype" w:hAnsi="PalatinoLinotype" w:cs="PalatinoLinotype"/>
              </w:rPr>
              <w:instrText xml:space="preserve"> REF _Ref295412025 \h </w:instrText>
            </w:r>
            <w:r w:rsidR="007A1FB6" w:rsidRPr="001D6512">
              <w:rPr>
                <w:rFonts w:ascii="PalatinoLinotype" w:hAnsi="PalatinoLinotype" w:cs="PalatinoLinotype"/>
              </w:rPr>
            </w:r>
            <w:r w:rsidR="007A1FB6" w:rsidRPr="001D6512">
              <w:rPr>
                <w:rFonts w:ascii="PalatinoLinotype" w:hAnsi="PalatinoLinotype" w:cs="PalatinoLinotype"/>
              </w:rPr>
              <w:fldChar w:fldCharType="separate"/>
            </w:r>
            <w:r w:rsidR="00C0292F">
              <w:t xml:space="preserve">Table </w:t>
            </w:r>
            <w:r w:rsidR="00C0292F">
              <w:rPr>
                <w:noProof/>
              </w:rPr>
              <w:t>2</w:t>
            </w:r>
            <w:r w:rsidR="00C0292F">
              <w:noBreakHyphen/>
            </w:r>
            <w:r w:rsidR="00C0292F">
              <w:rPr>
                <w:noProof/>
              </w:rPr>
              <w:t>41</w:t>
            </w:r>
            <w:r w:rsidR="007A1FB6" w:rsidRPr="001D6512">
              <w:rPr>
                <w:rFonts w:ascii="PalatinoLinotype" w:hAnsi="PalatinoLinotype" w:cs="PalatinoLinotype"/>
              </w:rPr>
              <w:fldChar w:fldCharType="end"/>
            </w:r>
          </w:p>
        </w:tc>
        <w:tc>
          <w:tcPr>
            <w:tcW w:w="650" w:type="pct"/>
            <w:vAlign w:val="center"/>
          </w:tcPr>
          <w:p w:rsidR="00CB79AB" w:rsidRPr="001D6512" w:rsidRDefault="00245C20" w:rsidP="00C3606E">
            <w:pPr>
              <w:pStyle w:val="TableCell"/>
              <w:spacing w:before="60" w:after="60"/>
            </w:pPr>
            <w:r w:rsidRPr="001D6512">
              <w:t>9</w:t>
            </w:r>
          </w:p>
        </w:tc>
      </w:tr>
      <w:tr w:rsidR="00CB79AB" w:rsidRPr="0044128E" w:rsidTr="00A1079C">
        <w:trPr>
          <w:cantSplit/>
          <w:trHeight w:val="317"/>
          <w:jc w:val="center"/>
        </w:trPr>
        <w:tc>
          <w:tcPr>
            <w:tcW w:w="2025" w:type="pct"/>
            <w:vAlign w:val="center"/>
          </w:tcPr>
          <w:p w:rsidR="00CB79AB" w:rsidRPr="001D6512" w:rsidRDefault="00CB79AB" w:rsidP="00C3606E">
            <w:pPr>
              <w:pStyle w:val="TableCell"/>
              <w:spacing w:before="60" w:after="60"/>
            </w:pPr>
            <w:r w:rsidRPr="001D6512">
              <w:t>DSav</w:t>
            </w:r>
            <w:r w:rsidRPr="001D6512">
              <w:rPr>
                <w:vertAlign w:val="subscript"/>
              </w:rPr>
              <w:t>RAC</w:t>
            </w:r>
          </w:p>
        </w:tc>
        <w:tc>
          <w:tcPr>
            <w:tcW w:w="581" w:type="pct"/>
            <w:vAlign w:val="center"/>
          </w:tcPr>
          <w:p w:rsidR="00CB79AB" w:rsidRPr="001D6512" w:rsidRDefault="00CB79AB" w:rsidP="00C3606E">
            <w:pPr>
              <w:pStyle w:val="TableCell"/>
              <w:spacing w:before="60" w:after="60"/>
            </w:pPr>
            <w:r w:rsidRPr="001D6512">
              <w:t>Fixed</w:t>
            </w:r>
          </w:p>
        </w:tc>
        <w:tc>
          <w:tcPr>
            <w:tcW w:w="1744" w:type="pct"/>
            <w:vAlign w:val="center"/>
          </w:tcPr>
          <w:p w:rsidR="00CB79AB" w:rsidRPr="001D6512" w:rsidRDefault="00CB79AB" w:rsidP="00C3606E">
            <w:pPr>
              <w:pStyle w:val="TableCell"/>
              <w:spacing w:before="60" w:after="60"/>
            </w:pPr>
            <w:r w:rsidRPr="001D6512">
              <w:t>0.1018 kW</w:t>
            </w:r>
          </w:p>
        </w:tc>
        <w:tc>
          <w:tcPr>
            <w:tcW w:w="650" w:type="pct"/>
            <w:vAlign w:val="center"/>
          </w:tcPr>
          <w:p w:rsidR="00CB79AB" w:rsidRPr="001D6512" w:rsidRDefault="00245C20" w:rsidP="00C3606E">
            <w:pPr>
              <w:pStyle w:val="TableCell"/>
              <w:spacing w:before="60" w:after="60"/>
            </w:pPr>
            <w:r w:rsidRPr="001D6512">
              <w:t>5</w:t>
            </w:r>
          </w:p>
        </w:tc>
      </w:tr>
      <w:tr w:rsidR="00CB79AB" w:rsidRPr="0044128E" w:rsidTr="00A1079C">
        <w:trPr>
          <w:cantSplit/>
          <w:trHeight w:val="317"/>
          <w:jc w:val="center"/>
        </w:trPr>
        <w:tc>
          <w:tcPr>
            <w:tcW w:w="2025" w:type="pct"/>
            <w:vAlign w:val="center"/>
          </w:tcPr>
          <w:p w:rsidR="00CB79AB" w:rsidRPr="001D6512" w:rsidRDefault="00CB79AB" w:rsidP="00743796">
            <w:pPr>
              <w:pStyle w:val="TableCell"/>
              <w:spacing w:before="60" w:after="60"/>
            </w:pPr>
            <w:r w:rsidRPr="001D6512">
              <w:t>CF</w:t>
            </w:r>
            <w:r w:rsidRPr="001D6512">
              <w:rPr>
                <w:vertAlign w:val="subscript"/>
              </w:rPr>
              <w:t xml:space="preserve">REF, </w:t>
            </w:r>
            <w:r w:rsidRPr="001D6512">
              <w:t>CF</w:t>
            </w:r>
            <w:r w:rsidRPr="001D6512">
              <w:rPr>
                <w:vertAlign w:val="subscript"/>
              </w:rPr>
              <w:t xml:space="preserve">CW, </w:t>
            </w:r>
            <w:r w:rsidRPr="001D6512">
              <w:t>CF</w:t>
            </w:r>
            <w:r w:rsidRPr="001D6512">
              <w:rPr>
                <w:vertAlign w:val="subscript"/>
              </w:rPr>
              <w:t>DW</w:t>
            </w:r>
            <w:r w:rsidRPr="001D6512">
              <w:t>, CF</w:t>
            </w:r>
            <w:r w:rsidRPr="001D6512">
              <w:rPr>
                <w:vertAlign w:val="subscript"/>
              </w:rPr>
              <w:t>DH</w:t>
            </w:r>
            <w:r w:rsidRPr="001D6512">
              <w:t>, CF</w:t>
            </w:r>
            <w:r w:rsidRPr="001D6512">
              <w:rPr>
                <w:vertAlign w:val="subscript"/>
              </w:rPr>
              <w:t>RAC</w:t>
            </w:r>
            <w:r w:rsidR="00743796" w:rsidRPr="001D6512">
              <w:t>, CF</w:t>
            </w:r>
            <w:r w:rsidR="00743796" w:rsidRPr="001D6512">
              <w:rPr>
                <w:vertAlign w:val="subscript"/>
              </w:rPr>
              <w:t>FRE</w:t>
            </w:r>
          </w:p>
        </w:tc>
        <w:tc>
          <w:tcPr>
            <w:tcW w:w="581" w:type="pct"/>
            <w:vAlign w:val="center"/>
          </w:tcPr>
          <w:p w:rsidR="00CB79AB" w:rsidRPr="001D6512" w:rsidRDefault="00CB79AB" w:rsidP="00C3606E">
            <w:pPr>
              <w:pStyle w:val="TableCell"/>
              <w:spacing w:before="60" w:after="60"/>
            </w:pPr>
            <w:r w:rsidRPr="001D6512">
              <w:t>Fixed</w:t>
            </w:r>
          </w:p>
        </w:tc>
        <w:tc>
          <w:tcPr>
            <w:tcW w:w="1744" w:type="pct"/>
            <w:vAlign w:val="center"/>
          </w:tcPr>
          <w:p w:rsidR="00CB79AB" w:rsidRPr="001D6512" w:rsidRDefault="00CB79AB" w:rsidP="00C3606E">
            <w:pPr>
              <w:pStyle w:val="TableCell"/>
              <w:spacing w:before="60" w:after="60"/>
            </w:pPr>
            <w:r w:rsidRPr="001D6512">
              <w:t>1.0, 1.0, 1.0, 1.0, 0.58</w:t>
            </w:r>
            <w:r w:rsidR="00743796" w:rsidRPr="001D6512">
              <w:t>, 1.0</w:t>
            </w:r>
          </w:p>
        </w:tc>
        <w:tc>
          <w:tcPr>
            <w:tcW w:w="650" w:type="pct"/>
            <w:vAlign w:val="center"/>
          </w:tcPr>
          <w:p w:rsidR="00CB79AB" w:rsidRPr="001D6512" w:rsidRDefault="00245C20" w:rsidP="00C3606E">
            <w:pPr>
              <w:pStyle w:val="TableCell"/>
              <w:spacing w:before="60" w:after="60"/>
            </w:pPr>
            <w:r w:rsidRPr="001D6512">
              <w:t>6</w:t>
            </w:r>
          </w:p>
        </w:tc>
      </w:tr>
      <w:tr w:rsidR="00743796" w:rsidRPr="0044128E" w:rsidDel="00743796" w:rsidTr="00A1079C">
        <w:trPr>
          <w:cantSplit/>
          <w:trHeight w:val="317"/>
          <w:jc w:val="center"/>
        </w:trPr>
        <w:tc>
          <w:tcPr>
            <w:tcW w:w="2025" w:type="pct"/>
            <w:vAlign w:val="center"/>
          </w:tcPr>
          <w:p w:rsidR="00743796" w:rsidRPr="001D6512" w:rsidDel="00743796" w:rsidRDefault="00743796" w:rsidP="00C3606E">
            <w:pPr>
              <w:pStyle w:val="TableCell"/>
              <w:keepNext w:val="0"/>
              <w:spacing w:before="60" w:after="60"/>
            </w:pPr>
            <w:r w:rsidRPr="001D6512">
              <w:t>ESav</w:t>
            </w:r>
            <w:r w:rsidRPr="001D6512">
              <w:rPr>
                <w:vertAlign w:val="subscript"/>
              </w:rPr>
              <w:t>FRE</w:t>
            </w:r>
          </w:p>
        </w:tc>
        <w:tc>
          <w:tcPr>
            <w:tcW w:w="581" w:type="pct"/>
            <w:vAlign w:val="center"/>
          </w:tcPr>
          <w:p w:rsidR="00743796" w:rsidRPr="001D6512" w:rsidDel="00743796" w:rsidRDefault="00743796" w:rsidP="00C3606E">
            <w:pPr>
              <w:pStyle w:val="TableCell"/>
              <w:keepNext w:val="0"/>
              <w:spacing w:before="60" w:after="60"/>
            </w:pPr>
            <w:r w:rsidRPr="001D6512">
              <w:t>Fixed</w:t>
            </w:r>
          </w:p>
        </w:tc>
        <w:tc>
          <w:tcPr>
            <w:tcW w:w="1744" w:type="pct"/>
            <w:vAlign w:val="center"/>
          </w:tcPr>
          <w:p w:rsidR="00743796" w:rsidRPr="001D6512" w:rsidDel="00743796" w:rsidRDefault="00743796" w:rsidP="00C3606E">
            <w:pPr>
              <w:pStyle w:val="TableCell"/>
              <w:keepNext w:val="0"/>
              <w:spacing w:before="60" w:after="60"/>
            </w:pPr>
            <w:r w:rsidRPr="001D6512">
              <w:t xml:space="preserve">See </w:t>
            </w:r>
            <w:r w:rsidR="007A1FB6" w:rsidRPr="001D6512">
              <w:rPr>
                <w:rFonts w:ascii="PalatinoLinotype" w:hAnsi="PalatinoLinotype" w:cs="PalatinoLinotype"/>
              </w:rPr>
              <w:fldChar w:fldCharType="begin"/>
            </w:r>
            <w:r w:rsidRPr="001D6512">
              <w:rPr>
                <w:rFonts w:ascii="PalatinoLinotype" w:hAnsi="PalatinoLinotype" w:cs="PalatinoLinotype"/>
              </w:rPr>
              <w:instrText xml:space="preserve"> REF _Ref295412025 \h </w:instrText>
            </w:r>
            <w:r w:rsidR="007A1FB6" w:rsidRPr="001D6512">
              <w:rPr>
                <w:rFonts w:ascii="PalatinoLinotype" w:hAnsi="PalatinoLinotype" w:cs="PalatinoLinotype"/>
              </w:rPr>
            </w:r>
            <w:r w:rsidR="007A1FB6" w:rsidRPr="001D6512">
              <w:rPr>
                <w:rFonts w:ascii="PalatinoLinotype" w:hAnsi="PalatinoLinotype" w:cs="PalatinoLinotype"/>
              </w:rPr>
              <w:fldChar w:fldCharType="separate"/>
            </w:r>
            <w:r w:rsidR="00C0292F">
              <w:t xml:space="preserve">Table </w:t>
            </w:r>
            <w:r w:rsidR="00C0292F">
              <w:rPr>
                <w:noProof/>
              </w:rPr>
              <w:t>2</w:t>
            </w:r>
            <w:r w:rsidR="00C0292F">
              <w:noBreakHyphen/>
            </w:r>
            <w:r w:rsidR="00C0292F">
              <w:rPr>
                <w:noProof/>
              </w:rPr>
              <w:t>41</w:t>
            </w:r>
            <w:r w:rsidR="007A1FB6" w:rsidRPr="001D6512">
              <w:rPr>
                <w:rFonts w:ascii="PalatinoLinotype" w:hAnsi="PalatinoLinotype" w:cs="PalatinoLinotype"/>
              </w:rPr>
              <w:fldChar w:fldCharType="end"/>
            </w:r>
          </w:p>
        </w:tc>
        <w:tc>
          <w:tcPr>
            <w:tcW w:w="650" w:type="pct"/>
            <w:vAlign w:val="center"/>
          </w:tcPr>
          <w:p w:rsidR="00743796" w:rsidRPr="001D6512" w:rsidDel="00743796" w:rsidRDefault="00743796" w:rsidP="00C3606E">
            <w:pPr>
              <w:pStyle w:val="TableCell"/>
              <w:keepNext w:val="0"/>
              <w:spacing w:before="60" w:after="60"/>
            </w:pPr>
            <w:r w:rsidRPr="001D6512">
              <w:t>9</w:t>
            </w:r>
          </w:p>
        </w:tc>
      </w:tr>
      <w:tr w:rsidR="00743796" w:rsidRPr="0044128E" w:rsidDel="00743796" w:rsidTr="00A1079C">
        <w:trPr>
          <w:cantSplit/>
          <w:trHeight w:val="317"/>
          <w:jc w:val="center"/>
        </w:trPr>
        <w:tc>
          <w:tcPr>
            <w:tcW w:w="2025" w:type="pct"/>
            <w:vAlign w:val="center"/>
          </w:tcPr>
          <w:p w:rsidR="00743796" w:rsidRPr="001D6512" w:rsidDel="00743796" w:rsidRDefault="00743796" w:rsidP="00C3606E">
            <w:pPr>
              <w:pStyle w:val="TableCell"/>
              <w:keepNext w:val="0"/>
              <w:spacing w:before="60" w:after="60"/>
            </w:pPr>
            <w:r w:rsidRPr="001D6512">
              <w:t>DSav</w:t>
            </w:r>
            <w:r w:rsidRPr="001D6512">
              <w:rPr>
                <w:vertAlign w:val="subscript"/>
              </w:rPr>
              <w:t>FRE</w:t>
            </w:r>
          </w:p>
        </w:tc>
        <w:tc>
          <w:tcPr>
            <w:tcW w:w="581" w:type="pct"/>
            <w:vAlign w:val="center"/>
          </w:tcPr>
          <w:p w:rsidR="00743796" w:rsidRPr="001D6512" w:rsidDel="00743796" w:rsidRDefault="00743796" w:rsidP="00C3606E">
            <w:pPr>
              <w:pStyle w:val="TableCell"/>
              <w:keepNext w:val="0"/>
              <w:spacing w:before="60" w:after="60"/>
            </w:pPr>
            <w:r w:rsidRPr="001D6512">
              <w:t>Fixed</w:t>
            </w:r>
          </w:p>
        </w:tc>
        <w:tc>
          <w:tcPr>
            <w:tcW w:w="1744" w:type="pct"/>
            <w:vAlign w:val="center"/>
          </w:tcPr>
          <w:p w:rsidR="00743796" w:rsidRPr="001D6512" w:rsidDel="00743796" w:rsidRDefault="00743796" w:rsidP="00C3606E">
            <w:pPr>
              <w:pStyle w:val="TableCell"/>
              <w:keepNext w:val="0"/>
              <w:spacing w:before="60" w:after="60"/>
            </w:pPr>
            <w:r w:rsidRPr="001D6512">
              <w:t>0.0113</w:t>
            </w:r>
          </w:p>
        </w:tc>
        <w:tc>
          <w:tcPr>
            <w:tcW w:w="650" w:type="pct"/>
            <w:vAlign w:val="center"/>
          </w:tcPr>
          <w:p w:rsidR="00743796" w:rsidRPr="001D6512" w:rsidDel="00743796" w:rsidRDefault="00743796" w:rsidP="00C3606E">
            <w:pPr>
              <w:pStyle w:val="TableCell"/>
              <w:keepNext w:val="0"/>
              <w:spacing w:before="60" w:after="60"/>
            </w:pPr>
            <w:r w:rsidRPr="001D6512">
              <w:t>8</w:t>
            </w:r>
          </w:p>
        </w:tc>
      </w:tr>
    </w:tbl>
    <w:p w:rsidR="00CB79AB" w:rsidRDefault="00CB79AB" w:rsidP="00C3606E"/>
    <w:p w:rsidR="00CB79AB" w:rsidRDefault="00CB79AB" w:rsidP="00C3606E">
      <w:r w:rsidRPr="00C46FD5">
        <w:rPr>
          <w:b/>
        </w:rPr>
        <w:t>Sources</w:t>
      </w:r>
      <w:r>
        <w:t>:</w:t>
      </w:r>
    </w:p>
    <w:p w:rsidR="00CB79AB" w:rsidRDefault="00325EF4" w:rsidP="0005632A">
      <w:pPr>
        <w:pStyle w:val="source1"/>
        <w:numPr>
          <w:ilvl w:val="0"/>
          <w:numId w:val="36"/>
        </w:numPr>
      </w:pPr>
      <w:r>
        <w:t>ENERGY STAR</w:t>
      </w:r>
      <w:r w:rsidR="00CB79AB" w:rsidRPr="00762704">
        <w:t xml:space="preserve"> Refrigerator Savings Calculator (Calculator updated: 2/15/05;</w:t>
      </w:r>
      <w:r w:rsidR="00CB79AB">
        <w:t xml:space="preserve"> </w:t>
      </w:r>
      <w:r w:rsidR="00CB79AB" w:rsidRPr="0013750D">
        <w:t>Constants updated 05/07</w:t>
      </w:r>
      <w:r w:rsidR="00CB79AB">
        <w:t>). Demand savings derived using refrigerator load shape.</w:t>
      </w:r>
    </w:p>
    <w:p w:rsidR="00CB79AB" w:rsidRDefault="00CB79AB" w:rsidP="00C3606E">
      <w:pPr>
        <w:pStyle w:val="source1"/>
      </w:pPr>
      <w:r>
        <w:t>Time period allocation factors used in cost-effectiveness analysis.  From residential appliance load shapes.</w:t>
      </w:r>
    </w:p>
    <w:p w:rsidR="00CB79AB" w:rsidRDefault="00CB79AB" w:rsidP="00C3606E">
      <w:pPr>
        <w:pStyle w:val="source1"/>
      </w:pPr>
      <w:r>
        <w:t>Energy and water savings based on Consortium for Energy Efficiency estimates. Assumes 75% of participants have gas water heating and 60% have gas drying (the balance being electric). Demand savings derived using NEEP screening clothes washer load shape.</w:t>
      </w:r>
    </w:p>
    <w:p w:rsidR="00CB79AB" w:rsidRDefault="00CB79AB" w:rsidP="00C3606E">
      <w:pPr>
        <w:pStyle w:val="source1"/>
      </w:pPr>
      <w:r>
        <w:t>Energy and water savings from RLW Market Update.  Assumes 37% electric hot water market share and 63% gas hot water market share.  Demand savings derived using dishwasher load shape.</w:t>
      </w:r>
    </w:p>
    <w:p w:rsidR="00CB79AB" w:rsidRDefault="00CB79AB" w:rsidP="00C3606E">
      <w:pPr>
        <w:pStyle w:val="source1"/>
      </w:pPr>
      <w:r>
        <w:t>Average demand savings based on engineering estimate.</w:t>
      </w:r>
    </w:p>
    <w:p w:rsidR="00CB79AB" w:rsidRDefault="00CB79AB" w:rsidP="00C3606E">
      <w:pPr>
        <w:pStyle w:val="source1"/>
      </w:pPr>
      <w:r>
        <w:t>Coincidence factors already embedded in summer peak demand reduction estimates with the exception of RAC.  RAC CF is based on data from PEPCO.</w:t>
      </w:r>
    </w:p>
    <w:p w:rsidR="00CB79AB" w:rsidRDefault="00CB79AB" w:rsidP="00C3606E">
      <w:pPr>
        <w:pStyle w:val="source1"/>
      </w:pPr>
      <w:r>
        <w:t>Conservatively assumes same kW/kWh ratio as Refrigerators.</w:t>
      </w:r>
    </w:p>
    <w:p w:rsidR="00CB79AB" w:rsidRDefault="00CB79AB" w:rsidP="00C3606E">
      <w:pPr>
        <w:pStyle w:val="source1"/>
      </w:pPr>
      <w:r>
        <w:t>Efficiency Vermont</w:t>
      </w:r>
      <w:r w:rsidRPr="00B350D1">
        <w:t>. Technical Reference User Manual: Measure Savings Algorithms and Cost Assumptions (July 2008).</w:t>
      </w:r>
    </w:p>
    <w:p w:rsidR="00CB79AB" w:rsidRDefault="00CB79AB" w:rsidP="00C3606E">
      <w:pPr>
        <w:pStyle w:val="source1"/>
      </w:pPr>
      <w:r>
        <w:t xml:space="preserve"> </w:t>
      </w:r>
      <w:r w:rsidR="005F5E8B">
        <w:t>V</w:t>
      </w:r>
      <w:r>
        <w:t xml:space="preserve">alues are taken from the </w:t>
      </w:r>
      <w:r w:rsidR="00325EF4">
        <w:t>ENERGY STAR</w:t>
      </w:r>
      <w:r>
        <w:t xml:space="preserve"> Savings Calculators</w:t>
      </w:r>
      <w:r w:rsidR="005F5E8B">
        <w:t xml:space="preserve"> or</w:t>
      </w:r>
      <w:r w:rsidR="001C73F8">
        <w:t>,</w:t>
      </w:r>
      <w:r w:rsidR="005F5E8B">
        <w:t xml:space="preserve"> </w:t>
      </w:r>
      <w:r w:rsidR="001C73F8">
        <w:t xml:space="preserve">if a given configuration is not listed in the ENERGY STAR Savings Calculator, </w:t>
      </w:r>
      <w:r w:rsidR="005F5E8B">
        <w:t xml:space="preserve">an average of all models of a given configuration from ENERGY STAR Refrigerators Qualified Products </w:t>
      </w:r>
      <w:r w:rsidR="005F5E8B">
        <w:lastRenderedPageBreak/>
        <w:t>list</w:t>
      </w:r>
      <w:r w:rsidR="001C73F8">
        <w:t>.  The ENERGY STAR Savings Calculator and ENERGY STAR Refrigerators Qualified Products list can be found</w:t>
      </w:r>
      <w:r>
        <w:t xml:space="preserve"> at </w:t>
      </w:r>
      <w:hyperlink r:id="rId32" w:history="1">
        <w:r w:rsidR="00743796" w:rsidRPr="004D7207">
          <w:rPr>
            <w:rStyle w:val="Hyperlink"/>
            <w:rFonts w:cs="Arial"/>
          </w:rPr>
          <w:t>www.energystar.gov</w:t>
        </w:r>
      </w:hyperlink>
      <w:r>
        <w:t>.</w:t>
      </w:r>
    </w:p>
    <w:p w:rsidR="00CB79AB" w:rsidRDefault="00CB79AB" w:rsidP="00100EDF">
      <w:pPr>
        <w:pStyle w:val="Caption"/>
      </w:pPr>
      <w:bookmarkStart w:id="442" w:name="_Ref295412025"/>
      <w:bookmarkStart w:id="443" w:name="_Toc310875527"/>
      <w:r>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41</w:t>
      </w:r>
      <w:r w:rsidR="00274AB1">
        <w:rPr>
          <w:noProof/>
        </w:rPr>
        <w:fldChar w:fldCharType="end"/>
      </w:r>
      <w:bookmarkEnd w:id="442"/>
      <w:r>
        <w:t xml:space="preserve">: Energy Savings from </w:t>
      </w:r>
      <w:r w:rsidR="00325EF4">
        <w:t>ENERGY STAR</w:t>
      </w:r>
      <w:bookmarkEnd w:id="443"/>
      <w:r>
        <w:t xml:space="preserve">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7"/>
        <w:gridCol w:w="2603"/>
      </w:tblGrid>
      <w:tr w:rsidR="00CB79AB" w:rsidTr="001364C8">
        <w:trPr>
          <w:trHeight w:val="317"/>
          <w:tblHeader/>
          <w:jc w:val="center"/>
        </w:trPr>
        <w:tc>
          <w:tcPr>
            <w:tcW w:w="6037" w:type="dxa"/>
            <w:tcBorders>
              <w:bottom w:val="single" w:sz="4" w:space="0" w:color="auto"/>
            </w:tcBorders>
            <w:shd w:val="clear" w:color="auto" w:fill="BFBFBF"/>
            <w:vAlign w:val="center"/>
          </w:tcPr>
          <w:p w:rsidR="00CB79AB" w:rsidRPr="001D6512" w:rsidRDefault="00CB79AB" w:rsidP="00C3606E">
            <w:pPr>
              <w:pStyle w:val="TableCell"/>
              <w:spacing w:before="60" w:after="60"/>
              <w:rPr>
                <w:b/>
              </w:rPr>
            </w:pPr>
            <w:r w:rsidRPr="001D6512">
              <w:rPr>
                <w:b/>
              </w:rPr>
              <w:t>Measure</w:t>
            </w:r>
          </w:p>
        </w:tc>
        <w:tc>
          <w:tcPr>
            <w:tcW w:w="2603" w:type="dxa"/>
            <w:tcBorders>
              <w:bottom w:val="single" w:sz="4" w:space="0" w:color="auto"/>
            </w:tcBorders>
            <w:shd w:val="clear" w:color="auto" w:fill="BFBFBF"/>
            <w:vAlign w:val="center"/>
          </w:tcPr>
          <w:p w:rsidR="00CB79AB" w:rsidRPr="001D6512" w:rsidRDefault="00CB79AB" w:rsidP="00C3606E">
            <w:pPr>
              <w:pStyle w:val="TableCell"/>
              <w:spacing w:before="60" w:after="60"/>
              <w:rPr>
                <w:b/>
              </w:rPr>
            </w:pPr>
            <w:r w:rsidRPr="001D6512">
              <w:rPr>
                <w:b/>
              </w:rPr>
              <w:t>Energy Savings</w:t>
            </w:r>
          </w:p>
        </w:tc>
      </w:tr>
      <w:tr w:rsidR="00CB79AB" w:rsidTr="001364C8">
        <w:trPr>
          <w:trHeight w:val="317"/>
          <w:jc w:val="center"/>
        </w:trPr>
        <w:tc>
          <w:tcPr>
            <w:tcW w:w="6037" w:type="dxa"/>
            <w:tcBorders>
              <w:bottom w:val="single" w:sz="4" w:space="0" w:color="auto"/>
              <w:right w:val="nil"/>
            </w:tcBorders>
            <w:shd w:val="clear" w:color="auto" w:fill="D9D9D9"/>
            <w:vAlign w:val="center"/>
          </w:tcPr>
          <w:p w:rsidR="00CB79AB" w:rsidRPr="001D6512" w:rsidRDefault="00CB79AB" w:rsidP="00C3606E">
            <w:pPr>
              <w:pStyle w:val="TableCell"/>
              <w:spacing w:before="60" w:after="60"/>
            </w:pPr>
            <w:r w:rsidRPr="001D6512">
              <w:t>Refrigerator</w:t>
            </w:r>
          </w:p>
        </w:tc>
        <w:tc>
          <w:tcPr>
            <w:tcW w:w="2603" w:type="dxa"/>
            <w:tcBorders>
              <w:left w:val="nil"/>
              <w:bottom w:val="single" w:sz="4" w:space="0" w:color="auto"/>
            </w:tcBorders>
            <w:shd w:val="clear" w:color="auto" w:fill="D9D9D9"/>
            <w:vAlign w:val="center"/>
          </w:tcPr>
          <w:p w:rsidR="00CB79AB" w:rsidRPr="001D6512" w:rsidRDefault="00CB79AB" w:rsidP="00C3606E">
            <w:pPr>
              <w:pStyle w:val="TableCell"/>
              <w:spacing w:before="60" w:after="60"/>
            </w:pPr>
          </w:p>
        </w:tc>
      </w:tr>
      <w:tr w:rsidR="005F6651" w:rsidTr="001364C8">
        <w:trPr>
          <w:trHeight w:val="317"/>
          <w:jc w:val="center"/>
        </w:trPr>
        <w:tc>
          <w:tcPr>
            <w:tcW w:w="6037" w:type="dxa"/>
            <w:tcBorders>
              <w:top w:val="single" w:sz="4" w:space="0" w:color="auto"/>
            </w:tcBorders>
            <w:vAlign w:val="center"/>
          </w:tcPr>
          <w:p w:rsidR="005F6651" w:rsidRPr="001D6512" w:rsidRDefault="005F6651" w:rsidP="00C3606E">
            <w:pPr>
              <w:pStyle w:val="TableCell"/>
              <w:spacing w:before="60" w:after="60"/>
            </w:pPr>
            <w:r w:rsidRPr="001D6512">
              <w:t>Manual Defrost</w:t>
            </w:r>
          </w:p>
        </w:tc>
        <w:tc>
          <w:tcPr>
            <w:tcW w:w="2603" w:type="dxa"/>
            <w:tcBorders>
              <w:top w:val="single" w:sz="4" w:space="0" w:color="auto"/>
            </w:tcBorders>
            <w:vAlign w:val="center"/>
          </w:tcPr>
          <w:p w:rsidR="005F6651" w:rsidRPr="001D6512" w:rsidRDefault="005F6651" w:rsidP="00C3606E">
            <w:pPr>
              <w:pStyle w:val="TableCell"/>
              <w:spacing w:before="60" w:after="60"/>
            </w:pPr>
            <w:r w:rsidRPr="001D6512">
              <w:t>95 kWh</w:t>
            </w:r>
          </w:p>
        </w:tc>
      </w:tr>
      <w:tr w:rsidR="005F6651" w:rsidTr="005F6651">
        <w:trPr>
          <w:trHeight w:val="317"/>
          <w:jc w:val="center"/>
        </w:trPr>
        <w:tc>
          <w:tcPr>
            <w:tcW w:w="6037" w:type="dxa"/>
            <w:vAlign w:val="center"/>
          </w:tcPr>
          <w:p w:rsidR="005F6651" w:rsidRPr="001D6512" w:rsidRDefault="005F6651" w:rsidP="00C3606E">
            <w:pPr>
              <w:pStyle w:val="TableCell"/>
              <w:spacing w:before="60" w:after="60"/>
            </w:pPr>
            <w:r w:rsidRPr="001D6512">
              <w:t>Partial Automatic Defrost</w:t>
            </w:r>
          </w:p>
        </w:tc>
        <w:tc>
          <w:tcPr>
            <w:tcW w:w="2603" w:type="dxa"/>
            <w:vAlign w:val="center"/>
          </w:tcPr>
          <w:p w:rsidR="005F6651" w:rsidRPr="001D6512" w:rsidRDefault="005F6651" w:rsidP="00C3606E">
            <w:pPr>
              <w:pStyle w:val="TableCell"/>
              <w:spacing w:before="60" w:after="60"/>
            </w:pPr>
            <w:r w:rsidRPr="001D6512">
              <w:t>95 kWh</w:t>
            </w:r>
          </w:p>
        </w:tc>
      </w:tr>
      <w:tr w:rsidR="005F6651" w:rsidTr="005F6651">
        <w:trPr>
          <w:trHeight w:val="317"/>
          <w:jc w:val="center"/>
        </w:trPr>
        <w:tc>
          <w:tcPr>
            <w:tcW w:w="6037" w:type="dxa"/>
            <w:vAlign w:val="center"/>
          </w:tcPr>
          <w:p w:rsidR="005F6651" w:rsidRPr="001D6512" w:rsidRDefault="005F6651" w:rsidP="00C3606E">
            <w:pPr>
              <w:pStyle w:val="TableCell"/>
              <w:spacing w:before="60" w:after="60"/>
            </w:pPr>
            <w:r w:rsidRPr="001D6512">
              <w:t>Top mount freezer without door ice</w:t>
            </w:r>
          </w:p>
        </w:tc>
        <w:tc>
          <w:tcPr>
            <w:tcW w:w="2603" w:type="dxa"/>
            <w:vAlign w:val="center"/>
          </w:tcPr>
          <w:p w:rsidR="005F6651" w:rsidRPr="001D6512" w:rsidRDefault="005F6651" w:rsidP="00C3606E">
            <w:pPr>
              <w:pStyle w:val="TableCell"/>
              <w:spacing w:before="60" w:after="60"/>
            </w:pPr>
            <w:r w:rsidRPr="001D6512">
              <w:t>106 kWh</w:t>
            </w:r>
          </w:p>
        </w:tc>
      </w:tr>
      <w:tr w:rsidR="005F6651" w:rsidTr="005F6651">
        <w:trPr>
          <w:trHeight w:val="317"/>
          <w:jc w:val="center"/>
        </w:trPr>
        <w:tc>
          <w:tcPr>
            <w:tcW w:w="6037" w:type="dxa"/>
            <w:vAlign w:val="center"/>
          </w:tcPr>
          <w:p w:rsidR="005F6651" w:rsidRPr="001D6512" w:rsidRDefault="005F6651" w:rsidP="00C3606E">
            <w:pPr>
              <w:pStyle w:val="TableCell"/>
              <w:spacing w:before="60" w:after="60"/>
            </w:pPr>
            <w:r w:rsidRPr="001D6512">
              <w:t>Side mount freezer without door ice</w:t>
            </w:r>
          </w:p>
        </w:tc>
        <w:tc>
          <w:tcPr>
            <w:tcW w:w="2603" w:type="dxa"/>
            <w:vAlign w:val="center"/>
          </w:tcPr>
          <w:p w:rsidR="005F6651" w:rsidRPr="001D6512" w:rsidRDefault="005F6651" w:rsidP="00C3606E">
            <w:pPr>
              <w:pStyle w:val="TableCell"/>
              <w:spacing w:before="60" w:after="60"/>
            </w:pPr>
            <w:r w:rsidRPr="001D6512">
              <w:t>127 kWh</w:t>
            </w:r>
          </w:p>
        </w:tc>
      </w:tr>
      <w:tr w:rsidR="005F6651" w:rsidTr="005F6651">
        <w:trPr>
          <w:trHeight w:val="317"/>
          <w:jc w:val="center"/>
        </w:trPr>
        <w:tc>
          <w:tcPr>
            <w:tcW w:w="6037" w:type="dxa"/>
            <w:vAlign w:val="center"/>
          </w:tcPr>
          <w:p w:rsidR="005F6651" w:rsidRPr="001D6512" w:rsidRDefault="005F6651" w:rsidP="00C3606E">
            <w:pPr>
              <w:pStyle w:val="TableCell"/>
              <w:spacing w:before="60" w:after="60"/>
            </w:pPr>
            <w:r w:rsidRPr="001D6512">
              <w:t>Bottom mount freezer without door ice</w:t>
            </w:r>
          </w:p>
        </w:tc>
        <w:tc>
          <w:tcPr>
            <w:tcW w:w="2603" w:type="dxa"/>
            <w:vAlign w:val="center"/>
          </w:tcPr>
          <w:p w:rsidR="005F6651" w:rsidRPr="001D6512" w:rsidRDefault="005F6651" w:rsidP="00C3606E">
            <w:pPr>
              <w:pStyle w:val="TableCell"/>
              <w:spacing w:before="60" w:after="60"/>
            </w:pPr>
            <w:r w:rsidRPr="001D6512">
              <w:t>116 kWh</w:t>
            </w:r>
          </w:p>
        </w:tc>
      </w:tr>
      <w:tr w:rsidR="005F5E8B" w:rsidTr="005F6651">
        <w:trPr>
          <w:trHeight w:val="317"/>
          <w:jc w:val="center"/>
        </w:trPr>
        <w:tc>
          <w:tcPr>
            <w:tcW w:w="6037" w:type="dxa"/>
            <w:vAlign w:val="center"/>
          </w:tcPr>
          <w:p w:rsidR="005F5E8B" w:rsidRPr="001D6512" w:rsidRDefault="005F5E8B" w:rsidP="00C3606E">
            <w:pPr>
              <w:pStyle w:val="TableCell"/>
              <w:spacing w:before="60" w:after="60"/>
            </w:pPr>
            <w:r w:rsidRPr="001D6512">
              <w:t>Bottom mount freezer with door ice</w:t>
            </w:r>
          </w:p>
        </w:tc>
        <w:tc>
          <w:tcPr>
            <w:tcW w:w="2603" w:type="dxa"/>
            <w:vAlign w:val="center"/>
          </w:tcPr>
          <w:p w:rsidR="005F5E8B" w:rsidRPr="001D6512" w:rsidRDefault="005F5E8B" w:rsidP="00C3606E">
            <w:pPr>
              <w:pStyle w:val="TableCell"/>
              <w:spacing w:before="60" w:after="60"/>
            </w:pPr>
            <w:r w:rsidRPr="001D6512">
              <w:t>154 kWh</w:t>
            </w:r>
          </w:p>
        </w:tc>
      </w:tr>
      <w:tr w:rsidR="005F6651" w:rsidTr="00631E76">
        <w:trPr>
          <w:trHeight w:val="317"/>
          <w:jc w:val="center"/>
        </w:trPr>
        <w:tc>
          <w:tcPr>
            <w:tcW w:w="6037" w:type="dxa"/>
            <w:tcBorders>
              <w:bottom w:val="single" w:sz="4" w:space="0" w:color="auto"/>
            </w:tcBorders>
            <w:vAlign w:val="center"/>
          </w:tcPr>
          <w:p w:rsidR="005F6651" w:rsidRPr="001D6512" w:rsidRDefault="005F6651" w:rsidP="00C3606E">
            <w:pPr>
              <w:pStyle w:val="TableCell"/>
              <w:spacing w:before="60" w:after="60"/>
            </w:pPr>
            <w:r w:rsidRPr="001D6512">
              <w:t>Top mount freezer with door ice</w:t>
            </w:r>
          </w:p>
        </w:tc>
        <w:tc>
          <w:tcPr>
            <w:tcW w:w="2603" w:type="dxa"/>
            <w:tcBorders>
              <w:bottom w:val="single" w:sz="4" w:space="0" w:color="auto"/>
            </w:tcBorders>
            <w:vAlign w:val="center"/>
          </w:tcPr>
          <w:p w:rsidR="005F6651" w:rsidRPr="001D6512" w:rsidRDefault="005F6651" w:rsidP="00C3606E">
            <w:pPr>
              <w:pStyle w:val="TableCell"/>
              <w:spacing w:before="60" w:after="60"/>
            </w:pPr>
            <w:r w:rsidRPr="001D6512">
              <w:t>124 kWh</w:t>
            </w:r>
          </w:p>
        </w:tc>
      </w:tr>
      <w:tr w:rsidR="005F6651" w:rsidTr="00631E76">
        <w:trPr>
          <w:trHeight w:val="317"/>
          <w:jc w:val="center"/>
        </w:trPr>
        <w:tc>
          <w:tcPr>
            <w:tcW w:w="6037" w:type="dxa"/>
            <w:tcBorders>
              <w:bottom w:val="single" w:sz="4" w:space="0" w:color="auto"/>
            </w:tcBorders>
            <w:vAlign w:val="center"/>
          </w:tcPr>
          <w:p w:rsidR="005F6651" w:rsidRPr="001D6512" w:rsidRDefault="005F6651" w:rsidP="00C3606E">
            <w:pPr>
              <w:pStyle w:val="TableCell"/>
              <w:spacing w:before="60" w:after="60"/>
            </w:pPr>
            <w:r w:rsidRPr="001D6512">
              <w:t>Side mount freezer with door ice</w:t>
            </w:r>
          </w:p>
        </w:tc>
        <w:tc>
          <w:tcPr>
            <w:tcW w:w="2603" w:type="dxa"/>
            <w:tcBorders>
              <w:bottom w:val="single" w:sz="4" w:space="0" w:color="auto"/>
            </w:tcBorders>
            <w:vAlign w:val="center"/>
          </w:tcPr>
          <w:p w:rsidR="005F6651" w:rsidRPr="001D6512" w:rsidRDefault="005F6651" w:rsidP="00C3606E">
            <w:pPr>
              <w:pStyle w:val="TableCell"/>
              <w:spacing w:before="60" w:after="60"/>
            </w:pPr>
            <w:r w:rsidRPr="001D6512">
              <w:t>133 kWh</w:t>
            </w:r>
          </w:p>
        </w:tc>
      </w:tr>
      <w:tr w:rsidR="005F5E8B" w:rsidTr="00631E76">
        <w:trPr>
          <w:trHeight w:val="317"/>
          <w:jc w:val="center"/>
        </w:trPr>
        <w:tc>
          <w:tcPr>
            <w:tcW w:w="6037" w:type="dxa"/>
            <w:tcBorders>
              <w:bottom w:val="single" w:sz="4" w:space="0" w:color="auto"/>
            </w:tcBorders>
            <w:vAlign w:val="center"/>
          </w:tcPr>
          <w:p w:rsidR="005F5E8B" w:rsidRPr="001D6512" w:rsidRDefault="005F5E8B" w:rsidP="00C3606E">
            <w:pPr>
              <w:pStyle w:val="TableCell"/>
              <w:spacing w:before="60" w:after="60"/>
            </w:pPr>
            <w:r w:rsidRPr="001D6512">
              <w:t>Refrigerator only - single door without ice</w:t>
            </w:r>
          </w:p>
        </w:tc>
        <w:tc>
          <w:tcPr>
            <w:tcW w:w="2603" w:type="dxa"/>
            <w:tcBorders>
              <w:bottom w:val="single" w:sz="4" w:space="0" w:color="auto"/>
            </w:tcBorders>
            <w:vAlign w:val="center"/>
          </w:tcPr>
          <w:p w:rsidR="005F5E8B" w:rsidRPr="001D6512" w:rsidRDefault="005F5E8B" w:rsidP="00C3606E">
            <w:pPr>
              <w:pStyle w:val="TableCell"/>
              <w:spacing w:before="60" w:after="60"/>
            </w:pPr>
            <w:r w:rsidRPr="001D6512">
              <w:t>104 kWh</w:t>
            </w:r>
          </w:p>
        </w:tc>
      </w:tr>
      <w:tr w:rsidR="005F5E8B" w:rsidTr="001364C8">
        <w:trPr>
          <w:trHeight w:val="317"/>
          <w:jc w:val="center"/>
        </w:trPr>
        <w:tc>
          <w:tcPr>
            <w:tcW w:w="6037" w:type="dxa"/>
            <w:tcBorders>
              <w:bottom w:val="double" w:sz="4" w:space="0" w:color="auto"/>
            </w:tcBorders>
            <w:vAlign w:val="center"/>
          </w:tcPr>
          <w:p w:rsidR="005F5E8B" w:rsidRPr="001D6512" w:rsidRDefault="005F5E8B" w:rsidP="00C3606E">
            <w:pPr>
              <w:pStyle w:val="TableCell"/>
              <w:spacing w:before="60" w:after="60"/>
            </w:pPr>
            <w:r w:rsidRPr="001D6512">
              <w:t>Refrigerator/Freezer – single door</w:t>
            </w:r>
          </w:p>
        </w:tc>
        <w:tc>
          <w:tcPr>
            <w:tcW w:w="2603" w:type="dxa"/>
            <w:tcBorders>
              <w:bottom w:val="double" w:sz="4" w:space="0" w:color="auto"/>
            </w:tcBorders>
            <w:vAlign w:val="center"/>
          </w:tcPr>
          <w:p w:rsidR="005F5E8B" w:rsidRPr="001D6512" w:rsidRDefault="005F5E8B" w:rsidP="00C3606E">
            <w:pPr>
              <w:pStyle w:val="TableCell"/>
              <w:spacing w:before="60" w:after="60"/>
            </w:pPr>
            <w:r w:rsidRPr="001D6512">
              <w:t>105 kWh</w:t>
            </w:r>
          </w:p>
        </w:tc>
      </w:tr>
      <w:tr w:rsidR="00CB79AB" w:rsidTr="001364C8">
        <w:trPr>
          <w:trHeight w:val="317"/>
          <w:jc w:val="center"/>
        </w:trPr>
        <w:tc>
          <w:tcPr>
            <w:tcW w:w="6037" w:type="dxa"/>
            <w:tcBorders>
              <w:top w:val="double" w:sz="4" w:space="0" w:color="auto"/>
              <w:bottom w:val="single" w:sz="4" w:space="0" w:color="auto"/>
              <w:right w:val="nil"/>
            </w:tcBorders>
            <w:shd w:val="clear" w:color="auto" w:fill="D9D9D9"/>
            <w:vAlign w:val="center"/>
          </w:tcPr>
          <w:p w:rsidR="00CB79AB" w:rsidRPr="001D6512" w:rsidRDefault="00CB79AB" w:rsidP="00C3606E">
            <w:pPr>
              <w:pStyle w:val="TableCell"/>
              <w:spacing w:before="60" w:after="60"/>
            </w:pPr>
            <w:r w:rsidRPr="001D6512">
              <w:t>Freezers</w:t>
            </w:r>
          </w:p>
        </w:tc>
        <w:tc>
          <w:tcPr>
            <w:tcW w:w="2603" w:type="dxa"/>
            <w:tcBorders>
              <w:top w:val="double" w:sz="4" w:space="0" w:color="auto"/>
              <w:left w:val="nil"/>
              <w:bottom w:val="single" w:sz="4" w:space="0" w:color="auto"/>
            </w:tcBorders>
            <w:shd w:val="clear" w:color="auto" w:fill="D9D9D9"/>
            <w:vAlign w:val="center"/>
          </w:tcPr>
          <w:p w:rsidR="00CB79AB" w:rsidRPr="001D6512" w:rsidRDefault="00CB79AB" w:rsidP="00C3606E">
            <w:pPr>
              <w:pStyle w:val="TableCell"/>
              <w:spacing w:before="60" w:after="60"/>
            </w:pPr>
          </w:p>
        </w:tc>
      </w:tr>
      <w:tr w:rsidR="005F6651" w:rsidTr="001364C8">
        <w:trPr>
          <w:trHeight w:val="317"/>
          <w:jc w:val="center"/>
        </w:trPr>
        <w:tc>
          <w:tcPr>
            <w:tcW w:w="6037" w:type="dxa"/>
            <w:tcBorders>
              <w:top w:val="single" w:sz="4" w:space="0" w:color="auto"/>
            </w:tcBorders>
            <w:vAlign w:val="center"/>
          </w:tcPr>
          <w:p w:rsidR="005F6651" w:rsidRPr="001D6512" w:rsidRDefault="005F6651" w:rsidP="00C3606E">
            <w:pPr>
              <w:pStyle w:val="TableCell"/>
              <w:spacing w:before="60" w:after="60"/>
            </w:pPr>
            <w:r w:rsidRPr="001D6512">
              <w:t>Upright with manual defrost</w:t>
            </w:r>
          </w:p>
        </w:tc>
        <w:tc>
          <w:tcPr>
            <w:tcW w:w="2603" w:type="dxa"/>
            <w:tcBorders>
              <w:top w:val="single" w:sz="4" w:space="0" w:color="auto"/>
            </w:tcBorders>
            <w:vAlign w:val="center"/>
          </w:tcPr>
          <w:p w:rsidR="005F6651" w:rsidRPr="001D6512" w:rsidRDefault="005F6651" w:rsidP="00C3606E">
            <w:pPr>
              <w:pStyle w:val="TableCell"/>
              <w:spacing w:before="60" w:after="60"/>
            </w:pPr>
            <w:r w:rsidRPr="001D6512">
              <w:t>47 kWh</w:t>
            </w:r>
          </w:p>
        </w:tc>
      </w:tr>
      <w:tr w:rsidR="005F6651" w:rsidTr="005F6651">
        <w:trPr>
          <w:trHeight w:val="317"/>
          <w:jc w:val="center"/>
        </w:trPr>
        <w:tc>
          <w:tcPr>
            <w:tcW w:w="6037" w:type="dxa"/>
            <w:vAlign w:val="center"/>
          </w:tcPr>
          <w:p w:rsidR="005F6651" w:rsidRPr="001D6512" w:rsidRDefault="005F6651" w:rsidP="00C3606E">
            <w:pPr>
              <w:pStyle w:val="TableCell"/>
              <w:spacing w:before="60" w:after="60"/>
            </w:pPr>
            <w:r w:rsidRPr="001D6512">
              <w:t>Upright with automatic defrost</w:t>
            </w:r>
          </w:p>
        </w:tc>
        <w:tc>
          <w:tcPr>
            <w:tcW w:w="2603" w:type="dxa"/>
            <w:vAlign w:val="center"/>
          </w:tcPr>
          <w:p w:rsidR="005F6651" w:rsidRPr="001D6512" w:rsidRDefault="005F6651" w:rsidP="00C3606E">
            <w:pPr>
              <w:pStyle w:val="TableCell"/>
              <w:spacing w:before="60" w:after="60"/>
            </w:pPr>
            <w:r w:rsidRPr="001D6512">
              <w:t>67 kWh</w:t>
            </w:r>
          </w:p>
        </w:tc>
      </w:tr>
      <w:tr w:rsidR="005F6651" w:rsidTr="005F6651">
        <w:trPr>
          <w:trHeight w:val="317"/>
          <w:jc w:val="center"/>
        </w:trPr>
        <w:tc>
          <w:tcPr>
            <w:tcW w:w="6037" w:type="dxa"/>
            <w:vAlign w:val="center"/>
          </w:tcPr>
          <w:p w:rsidR="005F6651" w:rsidRPr="001D6512" w:rsidRDefault="005F6651" w:rsidP="00C3606E">
            <w:pPr>
              <w:pStyle w:val="TableCell"/>
              <w:spacing w:before="60" w:after="60"/>
            </w:pPr>
            <w:r w:rsidRPr="001D6512">
              <w:t>Chest Freezer</w:t>
            </w:r>
          </w:p>
        </w:tc>
        <w:tc>
          <w:tcPr>
            <w:tcW w:w="2603" w:type="dxa"/>
            <w:vAlign w:val="center"/>
          </w:tcPr>
          <w:p w:rsidR="005F6651" w:rsidRPr="001D6512" w:rsidRDefault="005F6651" w:rsidP="00C3606E">
            <w:pPr>
              <w:pStyle w:val="TableCell"/>
              <w:spacing w:before="60" w:after="60"/>
            </w:pPr>
            <w:r w:rsidRPr="001D6512">
              <w:t>42 kWh</w:t>
            </w:r>
          </w:p>
        </w:tc>
      </w:tr>
      <w:tr w:rsidR="005F6651" w:rsidTr="005F6651">
        <w:trPr>
          <w:trHeight w:val="317"/>
          <w:jc w:val="center"/>
        </w:trPr>
        <w:tc>
          <w:tcPr>
            <w:tcW w:w="6037" w:type="dxa"/>
            <w:vAlign w:val="center"/>
          </w:tcPr>
          <w:p w:rsidR="005F6651" w:rsidRPr="001D6512" w:rsidRDefault="005F6651" w:rsidP="00C3606E">
            <w:pPr>
              <w:pStyle w:val="TableCell"/>
              <w:spacing w:before="60" w:after="60"/>
            </w:pPr>
            <w:r w:rsidRPr="001D6512">
              <w:t>Compact Upright with manual defrost</w:t>
            </w:r>
          </w:p>
        </w:tc>
        <w:tc>
          <w:tcPr>
            <w:tcW w:w="2603" w:type="dxa"/>
            <w:vAlign w:val="center"/>
          </w:tcPr>
          <w:p w:rsidR="005F6651" w:rsidRPr="001D6512" w:rsidRDefault="005F6651" w:rsidP="00C3606E">
            <w:pPr>
              <w:pStyle w:val="TableCell"/>
              <w:spacing w:before="60" w:after="60"/>
            </w:pPr>
            <w:r w:rsidRPr="001D6512">
              <w:t>53kWh</w:t>
            </w:r>
          </w:p>
        </w:tc>
      </w:tr>
      <w:tr w:rsidR="005F6651" w:rsidTr="001364C8">
        <w:trPr>
          <w:trHeight w:val="317"/>
          <w:jc w:val="center"/>
        </w:trPr>
        <w:tc>
          <w:tcPr>
            <w:tcW w:w="6037" w:type="dxa"/>
            <w:tcBorders>
              <w:bottom w:val="single" w:sz="4" w:space="0" w:color="auto"/>
            </w:tcBorders>
            <w:vAlign w:val="center"/>
          </w:tcPr>
          <w:p w:rsidR="005F6651" w:rsidRPr="001D6512" w:rsidRDefault="005F6651" w:rsidP="00C3606E">
            <w:pPr>
              <w:pStyle w:val="TableCell"/>
              <w:spacing w:before="60" w:after="60"/>
            </w:pPr>
            <w:r w:rsidRPr="001D6512">
              <w:t>Compact Upright with automatic defrost</w:t>
            </w:r>
          </w:p>
        </w:tc>
        <w:tc>
          <w:tcPr>
            <w:tcW w:w="2603" w:type="dxa"/>
            <w:tcBorders>
              <w:bottom w:val="single" w:sz="4" w:space="0" w:color="auto"/>
            </w:tcBorders>
            <w:vAlign w:val="center"/>
          </w:tcPr>
          <w:p w:rsidR="005F6651" w:rsidRPr="001D6512" w:rsidRDefault="005F6651" w:rsidP="00C3606E">
            <w:pPr>
              <w:pStyle w:val="TableCell"/>
              <w:spacing w:before="60" w:after="60"/>
            </w:pPr>
            <w:r w:rsidRPr="001D6512">
              <w:t>71 kWh</w:t>
            </w:r>
          </w:p>
        </w:tc>
      </w:tr>
      <w:tr w:rsidR="005F6651" w:rsidTr="001364C8">
        <w:trPr>
          <w:trHeight w:val="317"/>
          <w:jc w:val="center"/>
        </w:trPr>
        <w:tc>
          <w:tcPr>
            <w:tcW w:w="6037" w:type="dxa"/>
            <w:tcBorders>
              <w:bottom w:val="double" w:sz="4" w:space="0" w:color="auto"/>
            </w:tcBorders>
            <w:vAlign w:val="center"/>
          </w:tcPr>
          <w:p w:rsidR="005F6651" w:rsidRPr="001D6512" w:rsidRDefault="005F6651" w:rsidP="00C3606E">
            <w:pPr>
              <w:pStyle w:val="TableCell"/>
              <w:spacing w:before="60" w:after="60"/>
            </w:pPr>
            <w:r w:rsidRPr="001D6512">
              <w:t>Compact Chest Freezer</w:t>
            </w:r>
          </w:p>
        </w:tc>
        <w:tc>
          <w:tcPr>
            <w:tcW w:w="2603" w:type="dxa"/>
            <w:tcBorders>
              <w:bottom w:val="double" w:sz="4" w:space="0" w:color="auto"/>
            </w:tcBorders>
            <w:vAlign w:val="center"/>
          </w:tcPr>
          <w:p w:rsidR="005F6651" w:rsidRPr="001D6512" w:rsidRDefault="005F6651" w:rsidP="00C3606E">
            <w:pPr>
              <w:pStyle w:val="TableCell"/>
              <w:spacing w:before="60" w:after="60"/>
            </w:pPr>
            <w:r w:rsidRPr="001D6512">
              <w:t>45kWh</w:t>
            </w:r>
          </w:p>
        </w:tc>
      </w:tr>
      <w:tr w:rsidR="00CB79AB" w:rsidTr="001364C8">
        <w:trPr>
          <w:trHeight w:val="317"/>
          <w:jc w:val="center"/>
        </w:trPr>
        <w:tc>
          <w:tcPr>
            <w:tcW w:w="6037" w:type="dxa"/>
            <w:tcBorders>
              <w:top w:val="double" w:sz="4" w:space="0" w:color="auto"/>
              <w:bottom w:val="single" w:sz="4" w:space="0" w:color="auto"/>
              <w:right w:val="nil"/>
            </w:tcBorders>
            <w:shd w:val="clear" w:color="auto" w:fill="D9D9D9"/>
            <w:vAlign w:val="center"/>
          </w:tcPr>
          <w:p w:rsidR="00CB79AB" w:rsidRPr="001D6512" w:rsidRDefault="00CB79AB" w:rsidP="00C3606E">
            <w:pPr>
              <w:pStyle w:val="TableCell"/>
              <w:spacing w:before="60" w:after="60"/>
            </w:pPr>
            <w:r w:rsidRPr="001D6512">
              <w:t>Dehumidifier</w:t>
            </w:r>
          </w:p>
        </w:tc>
        <w:tc>
          <w:tcPr>
            <w:tcW w:w="2603" w:type="dxa"/>
            <w:tcBorders>
              <w:top w:val="double" w:sz="4" w:space="0" w:color="auto"/>
              <w:left w:val="nil"/>
              <w:bottom w:val="single" w:sz="4" w:space="0" w:color="auto"/>
            </w:tcBorders>
            <w:shd w:val="clear" w:color="auto" w:fill="D9D9D9"/>
            <w:vAlign w:val="center"/>
          </w:tcPr>
          <w:p w:rsidR="00CB79AB" w:rsidRPr="001D6512" w:rsidRDefault="00CB79AB" w:rsidP="00C3606E">
            <w:pPr>
              <w:pStyle w:val="TableCell"/>
              <w:spacing w:before="60" w:after="60"/>
            </w:pPr>
          </w:p>
        </w:tc>
      </w:tr>
      <w:tr w:rsidR="00CB79AB" w:rsidTr="001364C8">
        <w:trPr>
          <w:trHeight w:val="317"/>
          <w:jc w:val="center"/>
        </w:trPr>
        <w:tc>
          <w:tcPr>
            <w:tcW w:w="6037" w:type="dxa"/>
            <w:tcBorders>
              <w:top w:val="single" w:sz="4" w:space="0" w:color="auto"/>
            </w:tcBorders>
            <w:vAlign w:val="center"/>
          </w:tcPr>
          <w:p w:rsidR="00CB79AB" w:rsidRPr="001D6512" w:rsidRDefault="00CB79AB" w:rsidP="00C3606E">
            <w:pPr>
              <w:pStyle w:val="TableCell"/>
              <w:spacing w:before="60" w:after="60"/>
            </w:pPr>
            <w:r w:rsidRPr="001D6512">
              <w:t>1-25 pints/day</w:t>
            </w:r>
          </w:p>
        </w:tc>
        <w:tc>
          <w:tcPr>
            <w:tcW w:w="2603" w:type="dxa"/>
            <w:tcBorders>
              <w:top w:val="single" w:sz="4" w:space="0" w:color="auto"/>
            </w:tcBorders>
            <w:vAlign w:val="center"/>
          </w:tcPr>
          <w:p w:rsidR="00CB79AB" w:rsidRPr="001D6512" w:rsidRDefault="00CB79AB" w:rsidP="00C3606E">
            <w:pPr>
              <w:pStyle w:val="TableCell"/>
              <w:spacing w:before="60" w:after="60"/>
            </w:pPr>
            <w:r w:rsidRPr="001D6512">
              <w:t>54 kWh</w:t>
            </w:r>
          </w:p>
        </w:tc>
      </w:tr>
      <w:tr w:rsidR="00CB79AB" w:rsidTr="005F6651">
        <w:trPr>
          <w:trHeight w:val="317"/>
          <w:jc w:val="center"/>
        </w:trPr>
        <w:tc>
          <w:tcPr>
            <w:tcW w:w="6037" w:type="dxa"/>
            <w:vAlign w:val="center"/>
          </w:tcPr>
          <w:p w:rsidR="00CB79AB" w:rsidRPr="001D6512" w:rsidRDefault="00CB79AB" w:rsidP="00C3606E">
            <w:pPr>
              <w:pStyle w:val="TableCell"/>
              <w:spacing w:before="60" w:after="60"/>
            </w:pPr>
            <w:r w:rsidRPr="001D6512">
              <w:t>25-35 pints/day</w:t>
            </w:r>
          </w:p>
        </w:tc>
        <w:tc>
          <w:tcPr>
            <w:tcW w:w="2603" w:type="dxa"/>
            <w:vAlign w:val="center"/>
          </w:tcPr>
          <w:p w:rsidR="00CB79AB" w:rsidRPr="001D6512" w:rsidRDefault="00CB79AB" w:rsidP="00C3606E">
            <w:pPr>
              <w:pStyle w:val="TableCell"/>
              <w:spacing w:before="60" w:after="60"/>
            </w:pPr>
            <w:r w:rsidRPr="001D6512">
              <w:t>117 kWh</w:t>
            </w:r>
          </w:p>
        </w:tc>
      </w:tr>
      <w:tr w:rsidR="00CB79AB" w:rsidTr="005F6651">
        <w:trPr>
          <w:trHeight w:val="317"/>
          <w:jc w:val="center"/>
        </w:trPr>
        <w:tc>
          <w:tcPr>
            <w:tcW w:w="6037" w:type="dxa"/>
            <w:vAlign w:val="center"/>
          </w:tcPr>
          <w:p w:rsidR="00CB79AB" w:rsidRPr="001D6512" w:rsidRDefault="00CB79AB" w:rsidP="00C3606E">
            <w:pPr>
              <w:pStyle w:val="TableCell"/>
              <w:spacing w:before="60" w:after="60"/>
            </w:pPr>
            <w:r w:rsidRPr="001D6512">
              <w:t>35-45 pints/day</w:t>
            </w:r>
          </w:p>
        </w:tc>
        <w:tc>
          <w:tcPr>
            <w:tcW w:w="2603" w:type="dxa"/>
            <w:vAlign w:val="center"/>
          </w:tcPr>
          <w:p w:rsidR="00CB79AB" w:rsidRPr="001D6512" w:rsidRDefault="00CB79AB" w:rsidP="00C3606E">
            <w:pPr>
              <w:pStyle w:val="TableCell"/>
              <w:spacing w:before="60" w:after="60"/>
            </w:pPr>
            <w:r w:rsidRPr="001D6512">
              <w:t>213 kWh</w:t>
            </w:r>
          </w:p>
        </w:tc>
      </w:tr>
      <w:tr w:rsidR="00CB79AB" w:rsidTr="005F6651">
        <w:trPr>
          <w:trHeight w:val="317"/>
          <w:jc w:val="center"/>
        </w:trPr>
        <w:tc>
          <w:tcPr>
            <w:tcW w:w="6037" w:type="dxa"/>
            <w:vAlign w:val="center"/>
          </w:tcPr>
          <w:p w:rsidR="00CB79AB" w:rsidRPr="001D6512" w:rsidRDefault="00CB79AB" w:rsidP="00C3606E">
            <w:pPr>
              <w:pStyle w:val="TableCell"/>
              <w:spacing w:before="60" w:after="60"/>
            </w:pPr>
            <w:r w:rsidRPr="001D6512">
              <w:t>45-54 pints/day</w:t>
            </w:r>
          </w:p>
        </w:tc>
        <w:tc>
          <w:tcPr>
            <w:tcW w:w="2603" w:type="dxa"/>
            <w:vAlign w:val="center"/>
          </w:tcPr>
          <w:p w:rsidR="00CB79AB" w:rsidRPr="001D6512" w:rsidRDefault="00CB79AB" w:rsidP="00C3606E">
            <w:pPr>
              <w:pStyle w:val="TableCell"/>
              <w:spacing w:before="60" w:after="60"/>
            </w:pPr>
            <w:r w:rsidRPr="001D6512">
              <w:t>297 kWh</w:t>
            </w:r>
          </w:p>
        </w:tc>
      </w:tr>
      <w:tr w:rsidR="00CB79AB" w:rsidTr="001364C8">
        <w:trPr>
          <w:trHeight w:val="317"/>
          <w:jc w:val="center"/>
        </w:trPr>
        <w:tc>
          <w:tcPr>
            <w:tcW w:w="6037" w:type="dxa"/>
            <w:tcBorders>
              <w:bottom w:val="single" w:sz="4" w:space="0" w:color="auto"/>
            </w:tcBorders>
            <w:vAlign w:val="center"/>
          </w:tcPr>
          <w:p w:rsidR="00CB79AB" w:rsidRPr="001D6512" w:rsidRDefault="00CB79AB" w:rsidP="00C3606E">
            <w:pPr>
              <w:pStyle w:val="TableCell"/>
              <w:spacing w:before="60" w:after="60"/>
            </w:pPr>
            <w:r w:rsidRPr="001D6512">
              <w:t>54-75 pints/day</w:t>
            </w:r>
          </w:p>
        </w:tc>
        <w:tc>
          <w:tcPr>
            <w:tcW w:w="2603" w:type="dxa"/>
            <w:tcBorders>
              <w:bottom w:val="single" w:sz="4" w:space="0" w:color="auto"/>
            </w:tcBorders>
            <w:vAlign w:val="center"/>
          </w:tcPr>
          <w:p w:rsidR="00CB79AB" w:rsidRPr="001D6512" w:rsidRDefault="004904B9" w:rsidP="00C3606E">
            <w:pPr>
              <w:pStyle w:val="TableCell"/>
              <w:spacing w:before="60" w:after="60"/>
            </w:pPr>
            <w:r w:rsidRPr="001D6512">
              <w:t xml:space="preserve">185 </w:t>
            </w:r>
            <w:r w:rsidR="00CB79AB" w:rsidRPr="001D6512">
              <w:t>kWh</w:t>
            </w:r>
          </w:p>
        </w:tc>
      </w:tr>
      <w:tr w:rsidR="00CB79AB" w:rsidTr="001364C8">
        <w:trPr>
          <w:trHeight w:val="317"/>
          <w:jc w:val="center"/>
        </w:trPr>
        <w:tc>
          <w:tcPr>
            <w:tcW w:w="6037" w:type="dxa"/>
            <w:tcBorders>
              <w:bottom w:val="double" w:sz="4" w:space="0" w:color="auto"/>
            </w:tcBorders>
            <w:vAlign w:val="center"/>
          </w:tcPr>
          <w:p w:rsidR="00CB79AB" w:rsidRPr="001D6512" w:rsidRDefault="00CB79AB" w:rsidP="00C3606E">
            <w:pPr>
              <w:pStyle w:val="TableCell"/>
              <w:keepNext w:val="0"/>
              <w:spacing w:before="60" w:after="60"/>
            </w:pPr>
            <w:r w:rsidRPr="001D6512">
              <w:t>75-185 pints/day</w:t>
            </w:r>
          </w:p>
        </w:tc>
        <w:tc>
          <w:tcPr>
            <w:tcW w:w="2603" w:type="dxa"/>
            <w:tcBorders>
              <w:bottom w:val="double" w:sz="4" w:space="0" w:color="auto"/>
            </w:tcBorders>
            <w:vAlign w:val="center"/>
          </w:tcPr>
          <w:p w:rsidR="00CB79AB" w:rsidRPr="001D6512" w:rsidRDefault="00CB79AB" w:rsidP="00C3606E">
            <w:pPr>
              <w:pStyle w:val="TableCell"/>
              <w:keepNext w:val="0"/>
              <w:spacing w:before="60" w:after="60"/>
            </w:pPr>
            <w:r w:rsidRPr="001D6512">
              <w:t>374 kWh</w:t>
            </w:r>
          </w:p>
        </w:tc>
      </w:tr>
      <w:tr w:rsidR="00CB79AB" w:rsidTr="001364C8">
        <w:trPr>
          <w:trHeight w:val="317"/>
          <w:jc w:val="center"/>
        </w:trPr>
        <w:tc>
          <w:tcPr>
            <w:tcW w:w="6037" w:type="dxa"/>
            <w:tcBorders>
              <w:top w:val="double" w:sz="4" w:space="0" w:color="auto"/>
              <w:bottom w:val="single" w:sz="4" w:space="0" w:color="auto"/>
              <w:right w:val="nil"/>
            </w:tcBorders>
            <w:shd w:val="clear" w:color="auto" w:fill="D9D9D9"/>
            <w:vAlign w:val="center"/>
          </w:tcPr>
          <w:p w:rsidR="00CB79AB" w:rsidRPr="001D6512" w:rsidRDefault="00CB79AB" w:rsidP="00865117">
            <w:pPr>
              <w:pStyle w:val="TableCell"/>
              <w:spacing w:before="60" w:after="60"/>
            </w:pPr>
            <w:r w:rsidRPr="001D6512">
              <w:lastRenderedPageBreak/>
              <w:t>Room Air Conditioner (Load hours in parentheses)</w:t>
            </w:r>
          </w:p>
        </w:tc>
        <w:tc>
          <w:tcPr>
            <w:tcW w:w="2603" w:type="dxa"/>
            <w:tcBorders>
              <w:top w:val="double" w:sz="4" w:space="0" w:color="auto"/>
              <w:left w:val="nil"/>
              <w:bottom w:val="single" w:sz="4" w:space="0" w:color="auto"/>
              <w:right w:val="single" w:sz="4" w:space="0" w:color="auto"/>
            </w:tcBorders>
            <w:shd w:val="clear" w:color="auto" w:fill="D9D9D9"/>
            <w:vAlign w:val="center"/>
          </w:tcPr>
          <w:p w:rsidR="00CB79AB" w:rsidRPr="001D6512" w:rsidRDefault="00CB79AB" w:rsidP="00865117">
            <w:pPr>
              <w:pStyle w:val="TableCell"/>
              <w:spacing w:before="60" w:after="60"/>
            </w:pPr>
          </w:p>
        </w:tc>
      </w:tr>
      <w:tr w:rsidR="00CB79AB" w:rsidTr="001364C8">
        <w:trPr>
          <w:trHeight w:val="317"/>
          <w:jc w:val="center"/>
        </w:trPr>
        <w:tc>
          <w:tcPr>
            <w:tcW w:w="6037" w:type="dxa"/>
            <w:tcBorders>
              <w:top w:val="single" w:sz="4" w:space="0" w:color="auto"/>
            </w:tcBorders>
            <w:vAlign w:val="center"/>
          </w:tcPr>
          <w:p w:rsidR="00CB79AB" w:rsidRPr="001D6512" w:rsidRDefault="00CB79AB" w:rsidP="00865117">
            <w:pPr>
              <w:pStyle w:val="TableCell"/>
              <w:spacing w:before="60" w:after="60"/>
            </w:pPr>
            <w:r w:rsidRPr="001D6512">
              <w:t>Allentown</w:t>
            </w:r>
          </w:p>
        </w:tc>
        <w:tc>
          <w:tcPr>
            <w:tcW w:w="2603" w:type="dxa"/>
            <w:tcBorders>
              <w:top w:val="single" w:sz="4" w:space="0" w:color="auto"/>
            </w:tcBorders>
            <w:vAlign w:val="center"/>
          </w:tcPr>
          <w:p w:rsidR="00CB79AB" w:rsidRPr="001D6512" w:rsidRDefault="00CB79AB" w:rsidP="00865117">
            <w:pPr>
              <w:pStyle w:val="TableCell"/>
              <w:spacing w:before="60" w:after="60"/>
            </w:pPr>
            <w:r w:rsidRPr="001D6512">
              <w:t>74 kWh (784 hours)</w:t>
            </w:r>
          </w:p>
        </w:tc>
      </w:tr>
      <w:tr w:rsidR="00CB79AB" w:rsidTr="005F6651">
        <w:trPr>
          <w:trHeight w:val="317"/>
          <w:jc w:val="center"/>
        </w:trPr>
        <w:tc>
          <w:tcPr>
            <w:tcW w:w="6037" w:type="dxa"/>
            <w:vAlign w:val="center"/>
          </w:tcPr>
          <w:p w:rsidR="00CB79AB" w:rsidRPr="001D6512" w:rsidRDefault="00CB79AB" w:rsidP="00865117">
            <w:pPr>
              <w:pStyle w:val="TableCell"/>
              <w:spacing w:before="60" w:after="60"/>
            </w:pPr>
            <w:r w:rsidRPr="001D6512">
              <w:t>Erie</w:t>
            </w:r>
          </w:p>
        </w:tc>
        <w:tc>
          <w:tcPr>
            <w:tcW w:w="2603" w:type="dxa"/>
            <w:vAlign w:val="center"/>
          </w:tcPr>
          <w:p w:rsidR="00CB79AB" w:rsidRPr="001D6512" w:rsidRDefault="00CB79AB" w:rsidP="00865117">
            <w:pPr>
              <w:pStyle w:val="TableCell"/>
              <w:spacing w:before="60" w:after="60"/>
            </w:pPr>
            <w:r w:rsidRPr="001D6512">
              <w:t>46 kWh (482 hours)</w:t>
            </w:r>
          </w:p>
        </w:tc>
      </w:tr>
      <w:tr w:rsidR="00CB79AB" w:rsidTr="005F6651">
        <w:trPr>
          <w:trHeight w:val="317"/>
          <w:jc w:val="center"/>
        </w:trPr>
        <w:tc>
          <w:tcPr>
            <w:tcW w:w="6037" w:type="dxa"/>
            <w:vAlign w:val="center"/>
          </w:tcPr>
          <w:p w:rsidR="00CB79AB" w:rsidRPr="001D6512" w:rsidRDefault="00CB79AB" w:rsidP="00865117">
            <w:pPr>
              <w:pStyle w:val="TableCell"/>
              <w:spacing w:before="60" w:after="60"/>
            </w:pPr>
            <w:r w:rsidRPr="001D6512">
              <w:t>Harrisburg</w:t>
            </w:r>
          </w:p>
        </w:tc>
        <w:tc>
          <w:tcPr>
            <w:tcW w:w="2603" w:type="dxa"/>
            <w:vAlign w:val="center"/>
          </w:tcPr>
          <w:p w:rsidR="00CB79AB" w:rsidRPr="001D6512" w:rsidRDefault="00CB79AB" w:rsidP="00865117">
            <w:pPr>
              <w:pStyle w:val="TableCell"/>
              <w:spacing w:before="60" w:after="60"/>
            </w:pPr>
            <w:r w:rsidRPr="001D6512">
              <w:t>88 kWh (929 hours)</w:t>
            </w:r>
          </w:p>
        </w:tc>
      </w:tr>
      <w:tr w:rsidR="00CB79AB" w:rsidTr="005F6651">
        <w:trPr>
          <w:trHeight w:val="317"/>
          <w:jc w:val="center"/>
        </w:trPr>
        <w:tc>
          <w:tcPr>
            <w:tcW w:w="6037" w:type="dxa"/>
            <w:vAlign w:val="center"/>
          </w:tcPr>
          <w:p w:rsidR="00CB79AB" w:rsidRPr="001D6512" w:rsidRDefault="00CB79AB" w:rsidP="00865117">
            <w:pPr>
              <w:pStyle w:val="TableCell"/>
              <w:spacing w:before="60" w:after="60"/>
            </w:pPr>
            <w:r w:rsidRPr="001D6512">
              <w:t>Philadelphia</w:t>
            </w:r>
          </w:p>
        </w:tc>
        <w:tc>
          <w:tcPr>
            <w:tcW w:w="2603" w:type="dxa"/>
            <w:vAlign w:val="center"/>
          </w:tcPr>
          <w:p w:rsidR="00CB79AB" w:rsidRPr="001D6512" w:rsidRDefault="00CB79AB" w:rsidP="00865117">
            <w:pPr>
              <w:pStyle w:val="TableCell"/>
              <w:spacing w:before="60" w:after="60"/>
            </w:pPr>
            <w:r w:rsidRPr="001D6512">
              <w:t>98 kWh (1032 hours)</w:t>
            </w:r>
          </w:p>
        </w:tc>
      </w:tr>
      <w:tr w:rsidR="00CB79AB" w:rsidTr="005F6651">
        <w:trPr>
          <w:trHeight w:val="317"/>
          <w:jc w:val="center"/>
        </w:trPr>
        <w:tc>
          <w:tcPr>
            <w:tcW w:w="6037" w:type="dxa"/>
            <w:vAlign w:val="center"/>
          </w:tcPr>
          <w:p w:rsidR="00CB79AB" w:rsidRPr="001D6512" w:rsidRDefault="00CB79AB" w:rsidP="001364C8">
            <w:pPr>
              <w:pStyle w:val="TableCell"/>
              <w:keepNext w:val="0"/>
              <w:spacing w:before="60" w:after="60"/>
            </w:pPr>
            <w:r w:rsidRPr="001D6512">
              <w:t>Pittsburgh</w:t>
            </w:r>
          </w:p>
        </w:tc>
        <w:tc>
          <w:tcPr>
            <w:tcW w:w="2603" w:type="dxa"/>
            <w:vAlign w:val="center"/>
          </w:tcPr>
          <w:p w:rsidR="00CB79AB" w:rsidRPr="001D6512" w:rsidRDefault="00CB79AB" w:rsidP="001364C8">
            <w:pPr>
              <w:pStyle w:val="TableCell"/>
              <w:keepNext w:val="0"/>
              <w:spacing w:before="60" w:after="60"/>
            </w:pPr>
            <w:r w:rsidRPr="001D6512">
              <w:t>70 kWh (737 hours)</w:t>
            </w:r>
          </w:p>
        </w:tc>
      </w:tr>
      <w:tr w:rsidR="00CB79AB" w:rsidTr="005F6651">
        <w:trPr>
          <w:trHeight w:val="317"/>
          <w:jc w:val="center"/>
        </w:trPr>
        <w:tc>
          <w:tcPr>
            <w:tcW w:w="6037" w:type="dxa"/>
            <w:vAlign w:val="center"/>
          </w:tcPr>
          <w:p w:rsidR="00CB79AB" w:rsidRPr="001D6512" w:rsidRDefault="00CB79AB" w:rsidP="001364C8">
            <w:pPr>
              <w:pStyle w:val="TableCell"/>
              <w:keepNext w:val="0"/>
              <w:spacing w:before="60" w:after="60"/>
            </w:pPr>
            <w:r w:rsidRPr="001D6512">
              <w:t>Scranton</w:t>
            </w:r>
          </w:p>
        </w:tc>
        <w:tc>
          <w:tcPr>
            <w:tcW w:w="2603" w:type="dxa"/>
            <w:vAlign w:val="center"/>
          </w:tcPr>
          <w:p w:rsidR="00CB79AB" w:rsidRPr="001D6512" w:rsidRDefault="00CB79AB" w:rsidP="001364C8">
            <w:pPr>
              <w:pStyle w:val="TableCell"/>
              <w:keepNext w:val="0"/>
              <w:spacing w:before="60" w:after="60"/>
            </w:pPr>
            <w:r w:rsidRPr="001D6512">
              <w:t>59 kWh (621 hours)</w:t>
            </w:r>
          </w:p>
        </w:tc>
      </w:tr>
      <w:tr w:rsidR="00CB79AB" w:rsidTr="005F6651">
        <w:trPr>
          <w:trHeight w:val="317"/>
          <w:jc w:val="center"/>
        </w:trPr>
        <w:tc>
          <w:tcPr>
            <w:tcW w:w="6037" w:type="dxa"/>
            <w:tcBorders>
              <w:bottom w:val="single" w:sz="4" w:space="0" w:color="auto"/>
            </w:tcBorders>
            <w:vAlign w:val="center"/>
          </w:tcPr>
          <w:p w:rsidR="00CB79AB" w:rsidRPr="001D6512" w:rsidRDefault="00CB79AB" w:rsidP="001364C8">
            <w:pPr>
              <w:pStyle w:val="TableCell"/>
              <w:keepNext w:val="0"/>
              <w:spacing w:before="60" w:after="60"/>
            </w:pPr>
            <w:r w:rsidRPr="001D6512">
              <w:t>Williamsport</w:t>
            </w:r>
          </w:p>
        </w:tc>
        <w:tc>
          <w:tcPr>
            <w:tcW w:w="2603" w:type="dxa"/>
            <w:tcBorders>
              <w:bottom w:val="single" w:sz="4" w:space="0" w:color="auto"/>
            </w:tcBorders>
            <w:vAlign w:val="center"/>
          </w:tcPr>
          <w:p w:rsidR="00CB79AB" w:rsidRPr="001D6512" w:rsidRDefault="00CB79AB" w:rsidP="001364C8">
            <w:pPr>
              <w:pStyle w:val="TableCell"/>
              <w:keepNext w:val="0"/>
              <w:spacing w:before="60" w:after="60"/>
            </w:pPr>
            <w:r w:rsidRPr="001D6512">
              <w:t>62 kWh (659 hours)</w:t>
            </w:r>
          </w:p>
        </w:tc>
      </w:tr>
      <w:tr w:rsidR="00CB79AB" w:rsidTr="001364C8">
        <w:trPr>
          <w:trHeight w:val="317"/>
          <w:jc w:val="center"/>
        </w:trPr>
        <w:tc>
          <w:tcPr>
            <w:tcW w:w="6037" w:type="dxa"/>
            <w:tcBorders>
              <w:bottom w:val="single" w:sz="4" w:space="0" w:color="auto"/>
              <w:right w:val="nil"/>
            </w:tcBorders>
            <w:shd w:val="clear" w:color="auto" w:fill="D9D9D9"/>
            <w:vAlign w:val="center"/>
          </w:tcPr>
          <w:p w:rsidR="00CB79AB" w:rsidRPr="001D6512" w:rsidRDefault="00CB79AB" w:rsidP="00C3606E">
            <w:pPr>
              <w:pStyle w:val="TableCell"/>
              <w:spacing w:before="60" w:after="60"/>
            </w:pPr>
            <w:r w:rsidRPr="001D6512">
              <w:t>Dishwasher</w:t>
            </w:r>
          </w:p>
        </w:tc>
        <w:tc>
          <w:tcPr>
            <w:tcW w:w="2603" w:type="dxa"/>
            <w:tcBorders>
              <w:left w:val="nil"/>
              <w:bottom w:val="single" w:sz="4" w:space="0" w:color="auto"/>
            </w:tcBorders>
            <w:shd w:val="clear" w:color="auto" w:fill="D9D9D9"/>
            <w:vAlign w:val="center"/>
          </w:tcPr>
          <w:p w:rsidR="00CB79AB" w:rsidRPr="001D6512" w:rsidRDefault="00CB79AB" w:rsidP="00C3606E">
            <w:pPr>
              <w:pStyle w:val="TableCell"/>
              <w:spacing w:before="60" w:after="60"/>
            </w:pPr>
          </w:p>
        </w:tc>
      </w:tr>
      <w:tr w:rsidR="00CB79AB" w:rsidTr="001364C8">
        <w:trPr>
          <w:trHeight w:val="317"/>
          <w:jc w:val="center"/>
        </w:trPr>
        <w:tc>
          <w:tcPr>
            <w:tcW w:w="6037" w:type="dxa"/>
            <w:tcBorders>
              <w:top w:val="single" w:sz="4" w:space="0" w:color="auto"/>
            </w:tcBorders>
            <w:vAlign w:val="center"/>
          </w:tcPr>
          <w:p w:rsidR="00CB79AB" w:rsidRPr="001D6512" w:rsidRDefault="00CB79AB" w:rsidP="00EA43AA">
            <w:pPr>
              <w:pStyle w:val="TableCell"/>
              <w:spacing w:before="60" w:after="60"/>
            </w:pPr>
            <w:r w:rsidRPr="001D6512">
              <w:t>With Gas Water Heater</w:t>
            </w:r>
          </w:p>
        </w:tc>
        <w:tc>
          <w:tcPr>
            <w:tcW w:w="2603" w:type="dxa"/>
            <w:tcBorders>
              <w:top w:val="single" w:sz="4" w:space="0" w:color="auto"/>
            </w:tcBorders>
            <w:vAlign w:val="center"/>
          </w:tcPr>
          <w:p w:rsidR="00CB79AB" w:rsidRPr="001D6512" w:rsidRDefault="00CB79AB" w:rsidP="00C3606E">
            <w:pPr>
              <w:pStyle w:val="TableCell"/>
              <w:spacing w:before="60" w:after="60"/>
            </w:pPr>
            <w:r w:rsidRPr="001D6512">
              <w:t>77 kWh</w:t>
            </w:r>
          </w:p>
        </w:tc>
      </w:tr>
      <w:tr w:rsidR="00CB79AB" w:rsidTr="001364C8">
        <w:trPr>
          <w:trHeight w:val="317"/>
          <w:jc w:val="center"/>
        </w:trPr>
        <w:tc>
          <w:tcPr>
            <w:tcW w:w="6037" w:type="dxa"/>
            <w:tcBorders>
              <w:bottom w:val="single" w:sz="4" w:space="0" w:color="auto"/>
            </w:tcBorders>
            <w:vAlign w:val="center"/>
          </w:tcPr>
          <w:p w:rsidR="00CB79AB" w:rsidRPr="001D6512" w:rsidRDefault="00CB79AB" w:rsidP="00EA43AA">
            <w:pPr>
              <w:pStyle w:val="TableCell"/>
              <w:spacing w:before="60" w:after="60"/>
            </w:pPr>
            <w:r w:rsidRPr="001D6512">
              <w:t>With Electric Water Heater</w:t>
            </w:r>
          </w:p>
        </w:tc>
        <w:tc>
          <w:tcPr>
            <w:tcW w:w="2603" w:type="dxa"/>
            <w:tcBorders>
              <w:bottom w:val="single" w:sz="4" w:space="0" w:color="auto"/>
            </w:tcBorders>
            <w:vAlign w:val="center"/>
          </w:tcPr>
          <w:p w:rsidR="00CB79AB" w:rsidRPr="001D6512" w:rsidRDefault="00CB79AB" w:rsidP="00C3606E">
            <w:pPr>
              <w:pStyle w:val="TableCell"/>
              <w:spacing w:before="60" w:after="60"/>
            </w:pPr>
            <w:r w:rsidRPr="001D6512">
              <w:t>137 kWh</w:t>
            </w:r>
          </w:p>
        </w:tc>
      </w:tr>
      <w:tr w:rsidR="00CB79AB" w:rsidTr="001364C8">
        <w:trPr>
          <w:trHeight w:val="317"/>
          <w:jc w:val="center"/>
        </w:trPr>
        <w:tc>
          <w:tcPr>
            <w:tcW w:w="6037" w:type="dxa"/>
            <w:tcBorders>
              <w:top w:val="double" w:sz="4" w:space="0" w:color="auto"/>
              <w:bottom w:val="single" w:sz="4" w:space="0" w:color="auto"/>
              <w:right w:val="nil"/>
            </w:tcBorders>
            <w:shd w:val="clear" w:color="auto" w:fill="D9D9D9"/>
            <w:vAlign w:val="center"/>
          </w:tcPr>
          <w:p w:rsidR="00CB79AB" w:rsidRPr="001D6512" w:rsidRDefault="00CB79AB" w:rsidP="00C3606E">
            <w:pPr>
              <w:pStyle w:val="TableCell"/>
              <w:spacing w:before="60" w:after="60"/>
            </w:pPr>
            <w:r w:rsidRPr="001D6512">
              <w:t>Clothes Washer</w:t>
            </w:r>
          </w:p>
        </w:tc>
        <w:tc>
          <w:tcPr>
            <w:tcW w:w="2603" w:type="dxa"/>
            <w:tcBorders>
              <w:top w:val="double" w:sz="4" w:space="0" w:color="auto"/>
              <w:left w:val="nil"/>
              <w:bottom w:val="single" w:sz="4" w:space="0" w:color="auto"/>
            </w:tcBorders>
            <w:shd w:val="clear" w:color="auto" w:fill="D9D9D9"/>
            <w:vAlign w:val="center"/>
          </w:tcPr>
          <w:p w:rsidR="00CB79AB" w:rsidRPr="001D6512" w:rsidRDefault="00CB79AB" w:rsidP="00C3606E">
            <w:pPr>
              <w:pStyle w:val="TableCell"/>
              <w:spacing w:before="60" w:after="60"/>
            </w:pPr>
          </w:p>
        </w:tc>
      </w:tr>
      <w:tr w:rsidR="005F6651" w:rsidTr="001364C8">
        <w:trPr>
          <w:trHeight w:val="317"/>
          <w:jc w:val="center"/>
        </w:trPr>
        <w:tc>
          <w:tcPr>
            <w:tcW w:w="6037" w:type="dxa"/>
            <w:tcBorders>
              <w:top w:val="single" w:sz="4" w:space="0" w:color="auto"/>
            </w:tcBorders>
            <w:vAlign w:val="center"/>
          </w:tcPr>
          <w:p w:rsidR="005F6651" w:rsidRPr="001D6512" w:rsidRDefault="005F6651" w:rsidP="00EA43AA">
            <w:pPr>
              <w:pStyle w:val="TableCell"/>
              <w:spacing w:before="60" w:after="60"/>
            </w:pPr>
            <w:r w:rsidRPr="001D6512">
              <w:t>Gas Water Heater and Gas Dryer or No Dryer</w:t>
            </w:r>
          </w:p>
        </w:tc>
        <w:tc>
          <w:tcPr>
            <w:tcW w:w="2603" w:type="dxa"/>
            <w:tcBorders>
              <w:top w:val="single" w:sz="4" w:space="0" w:color="auto"/>
            </w:tcBorders>
            <w:vAlign w:val="center"/>
          </w:tcPr>
          <w:p w:rsidR="005F6651" w:rsidRPr="001D6512" w:rsidRDefault="00EA43AA" w:rsidP="00C3606E">
            <w:pPr>
              <w:pStyle w:val="TableCell"/>
              <w:spacing w:before="60" w:after="60"/>
            </w:pPr>
            <w:r w:rsidRPr="001D6512">
              <w:t>24</w:t>
            </w:r>
            <w:r w:rsidR="005F6651" w:rsidRPr="001D6512">
              <w:t xml:space="preserve"> kWh</w:t>
            </w:r>
          </w:p>
        </w:tc>
      </w:tr>
      <w:tr w:rsidR="005F6651" w:rsidTr="005F6651">
        <w:trPr>
          <w:trHeight w:val="317"/>
          <w:jc w:val="center"/>
        </w:trPr>
        <w:tc>
          <w:tcPr>
            <w:tcW w:w="6037" w:type="dxa"/>
            <w:vAlign w:val="center"/>
          </w:tcPr>
          <w:p w:rsidR="005F6651" w:rsidRPr="001D6512" w:rsidRDefault="005F6651" w:rsidP="00EA43AA">
            <w:pPr>
              <w:pStyle w:val="TableCell"/>
              <w:spacing w:before="60" w:after="60"/>
            </w:pPr>
            <w:r w:rsidRPr="001D6512">
              <w:t>Gas Water Heater and Electric Dryer</w:t>
            </w:r>
          </w:p>
        </w:tc>
        <w:tc>
          <w:tcPr>
            <w:tcW w:w="2603" w:type="dxa"/>
            <w:vAlign w:val="center"/>
          </w:tcPr>
          <w:p w:rsidR="005F6651" w:rsidRPr="001D6512" w:rsidRDefault="005F6651" w:rsidP="00C3606E">
            <w:pPr>
              <w:pStyle w:val="TableCell"/>
              <w:spacing w:before="60" w:after="60"/>
            </w:pPr>
            <w:r w:rsidRPr="001D6512">
              <w:t>97 kWh</w:t>
            </w:r>
          </w:p>
        </w:tc>
      </w:tr>
      <w:tr w:rsidR="005F6651" w:rsidTr="005F6651">
        <w:trPr>
          <w:trHeight w:val="317"/>
          <w:jc w:val="center"/>
        </w:trPr>
        <w:tc>
          <w:tcPr>
            <w:tcW w:w="6037" w:type="dxa"/>
            <w:vAlign w:val="center"/>
          </w:tcPr>
          <w:p w:rsidR="005F6651" w:rsidRPr="001D6512" w:rsidRDefault="005F6651" w:rsidP="00EA43AA">
            <w:pPr>
              <w:pStyle w:val="TableCell"/>
              <w:spacing w:before="60" w:after="60"/>
            </w:pPr>
            <w:r w:rsidRPr="001D6512">
              <w:t>Electric Water Heater and Electric Dryer</w:t>
            </w:r>
          </w:p>
        </w:tc>
        <w:tc>
          <w:tcPr>
            <w:tcW w:w="2603" w:type="dxa"/>
            <w:vAlign w:val="center"/>
          </w:tcPr>
          <w:p w:rsidR="005F6651" w:rsidRPr="001D6512" w:rsidRDefault="005F6651" w:rsidP="00C3606E">
            <w:pPr>
              <w:pStyle w:val="TableCell"/>
              <w:spacing w:before="60" w:after="60"/>
            </w:pPr>
            <w:r w:rsidRPr="001D6512">
              <w:t>224 kWh</w:t>
            </w:r>
          </w:p>
        </w:tc>
      </w:tr>
      <w:tr w:rsidR="005F6651" w:rsidTr="005F6651">
        <w:trPr>
          <w:trHeight w:val="317"/>
          <w:jc w:val="center"/>
        </w:trPr>
        <w:tc>
          <w:tcPr>
            <w:tcW w:w="6037" w:type="dxa"/>
            <w:vAlign w:val="center"/>
          </w:tcPr>
          <w:p w:rsidR="005F6651" w:rsidRPr="001D6512" w:rsidRDefault="005F6651" w:rsidP="00EA43AA">
            <w:pPr>
              <w:pStyle w:val="TableCell"/>
              <w:spacing w:before="60" w:after="60"/>
            </w:pPr>
            <w:r w:rsidRPr="001D6512">
              <w:t>Electric Water Heater and Gas Dryer or No Dryer</w:t>
            </w:r>
          </w:p>
        </w:tc>
        <w:tc>
          <w:tcPr>
            <w:tcW w:w="2603" w:type="dxa"/>
            <w:vAlign w:val="center"/>
          </w:tcPr>
          <w:p w:rsidR="005F6651" w:rsidRPr="001D6512" w:rsidRDefault="005F6651" w:rsidP="00C3606E">
            <w:pPr>
              <w:pStyle w:val="TableCell"/>
              <w:spacing w:before="60" w:after="60"/>
            </w:pPr>
            <w:r w:rsidRPr="001D6512">
              <w:t>141 kWh</w:t>
            </w:r>
          </w:p>
        </w:tc>
      </w:tr>
    </w:tbl>
    <w:p w:rsidR="00CB79AB" w:rsidRDefault="00CB79AB" w:rsidP="00C3606E"/>
    <w:p w:rsidR="00791069" w:rsidRDefault="001C1A07" w:rsidP="001C1A07">
      <w:r>
        <w:t xml:space="preserve">For dishwashers and clothes washers where fuel mix is unknown, calculate default savings using </w:t>
      </w:r>
      <w:r w:rsidR="00572294">
        <w:t xml:space="preserve">the algorithms below and </w:t>
      </w:r>
      <w:r>
        <w:t xml:space="preserve">EDC specific </w:t>
      </w:r>
      <w:r w:rsidR="00572294">
        <w:t>saturation values</w:t>
      </w:r>
      <w:r>
        <w:t xml:space="preserve"> derived from residential appliance saturation study information</w:t>
      </w:r>
      <w:r w:rsidR="00572294">
        <w:t xml:space="preserve"> (or similar studies)</w:t>
      </w:r>
      <w:r>
        <w:t xml:space="preserve">. For EDCs where </w:t>
      </w:r>
      <w:r w:rsidR="00572294">
        <w:t>saturation</w:t>
      </w:r>
      <w:r>
        <w:t xml:space="preserve"> information is not accessible, use </w:t>
      </w:r>
      <w:r w:rsidR="00572294">
        <w:t xml:space="preserve">a </w:t>
      </w:r>
      <w:r>
        <w:t>simple average</w:t>
      </w:r>
      <w:r w:rsidR="00572294">
        <w:t xml:space="preserve"> (107 kWh for dishwashers and 122 kWh for clothes washers)</w:t>
      </w:r>
      <w:r>
        <w:t>.</w:t>
      </w:r>
      <w:r w:rsidR="001364C8">
        <w:rPr>
          <w:rStyle w:val="FootnoteReference"/>
        </w:rPr>
        <w:footnoteReference w:id="87"/>
      </w:r>
    </w:p>
    <w:p w:rsidR="001C1A07" w:rsidRPr="001364C8" w:rsidRDefault="001C1A07" w:rsidP="001C1A07">
      <w:pPr>
        <w:pStyle w:val="Equation"/>
        <w:rPr>
          <w:vertAlign w:val="subscript"/>
        </w:rPr>
      </w:pPr>
      <w:r w:rsidRPr="00877D9B">
        <w:t>ESav</w:t>
      </w:r>
      <w:r w:rsidRPr="00877D9B">
        <w:rPr>
          <w:vertAlign w:val="subscript"/>
        </w:rPr>
        <w:t>DW</w:t>
      </w:r>
      <w:r>
        <w:t xml:space="preserve"> </w:t>
      </w:r>
      <w:r>
        <w:tab/>
        <w:t>= 77 x %</w:t>
      </w:r>
      <w:r w:rsidR="001364C8">
        <w:t>G</w:t>
      </w:r>
      <w:r>
        <w:t>WH</w:t>
      </w:r>
      <w:r w:rsidR="001364C8">
        <w:rPr>
          <w:vertAlign w:val="subscript"/>
        </w:rPr>
        <w:t>DW</w:t>
      </w:r>
      <w:r>
        <w:t xml:space="preserve"> + 137 x %</w:t>
      </w:r>
      <w:r w:rsidR="001364C8">
        <w:t>E</w:t>
      </w:r>
      <w:r>
        <w:t>WH</w:t>
      </w:r>
      <w:r w:rsidR="001364C8">
        <w:rPr>
          <w:vertAlign w:val="subscript"/>
        </w:rPr>
        <w:t>DW</w:t>
      </w:r>
    </w:p>
    <w:p w:rsidR="001C1A07" w:rsidRPr="00572294" w:rsidRDefault="001C1A07" w:rsidP="001C1A07">
      <w:pPr>
        <w:pStyle w:val="Equation"/>
      </w:pPr>
      <w:r w:rsidRPr="00877D9B">
        <w:t>ESav</w:t>
      </w:r>
      <w:r>
        <w:rPr>
          <w:vertAlign w:val="subscript"/>
        </w:rPr>
        <w:t>C</w:t>
      </w:r>
      <w:r w:rsidRPr="00877D9B">
        <w:rPr>
          <w:vertAlign w:val="subscript"/>
        </w:rPr>
        <w:t>W</w:t>
      </w:r>
      <w:r>
        <w:tab/>
      </w:r>
      <w:r>
        <w:tab/>
        <w:t>= 24 x %GWH-GD</w:t>
      </w:r>
      <w:r w:rsidR="001364C8">
        <w:rPr>
          <w:vertAlign w:val="subscript"/>
        </w:rPr>
        <w:t>CW</w:t>
      </w:r>
      <w:r>
        <w:t xml:space="preserve"> + 97 x %GWH-ED</w:t>
      </w:r>
      <w:r w:rsidR="001364C8">
        <w:rPr>
          <w:vertAlign w:val="subscript"/>
        </w:rPr>
        <w:t>CW</w:t>
      </w:r>
      <w:r>
        <w:t xml:space="preserve"> + 141 x %EWH-GD</w:t>
      </w:r>
      <w:r w:rsidR="001364C8">
        <w:rPr>
          <w:vertAlign w:val="subscript"/>
        </w:rPr>
        <w:t>CW</w:t>
      </w:r>
      <w:r>
        <w:t xml:space="preserve"> +</w:t>
      </w:r>
      <w:r w:rsidR="00572294">
        <w:t xml:space="preserve"> </w:t>
      </w:r>
      <w:r>
        <w:t>224 x %EWH-ED</w:t>
      </w:r>
      <w:r w:rsidR="001364C8">
        <w:rPr>
          <w:vertAlign w:val="subscript"/>
        </w:rPr>
        <w:t>CW</w:t>
      </w:r>
    </w:p>
    <w:p w:rsidR="001C1A07" w:rsidRDefault="001C1A07" w:rsidP="001C1A07">
      <w:r>
        <w:t>Where:</w:t>
      </w:r>
    </w:p>
    <w:p w:rsidR="001C1A07" w:rsidRDefault="001C1A07" w:rsidP="001C1A07">
      <w:pPr>
        <w:pStyle w:val="Equation"/>
      </w:pPr>
      <w:r>
        <w:tab/>
        <w:t>%</w:t>
      </w:r>
      <w:r w:rsidR="001364C8">
        <w:t>G</w:t>
      </w:r>
      <w:r>
        <w:t>WH</w:t>
      </w:r>
      <w:r w:rsidR="001364C8">
        <w:rPr>
          <w:vertAlign w:val="subscript"/>
        </w:rPr>
        <w:t>DW</w:t>
      </w:r>
      <w:r>
        <w:tab/>
        <w:t xml:space="preserve">= Percent </w:t>
      </w:r>
      <w:r w:rsidR="001364C8">
        <w:t>of dishwashers with non-electric water heater</w:t>
      </w:r>
    </w:p>
    <w:p w:rsidR="001364C8" w:rsidRDefault="001364C8" w:rsidP="001C1A07">
      <w:pPr>
        <w:pStyle w:val="Equation"/>
      </w:pPr>
      <w:r>
        <w:tab/>
        <w:t>%EWH</w:t>
      </w:r>
      <w:r>
        <w:rPr>
          <w:vertAlign w:val="subscript"/>
        </w:rPr>
        <w:t>DW</w:t>
      </w:r>
      <w:r>
        <w:tab/>
        <w:t>= Percent of dishwashers with electric water heater</w:t>
      </w:r>
    </w:p>
    <w:p w:rsidR="001364C8" w:rsidRDefault="001364C8" w:rsidP="001C1A07">
      <w:pPr>
        <w:pStyle w:val="Equation"/>
      </w:pPr>
      <w:r>
        <w:tab/>
        <w:t>%GWH-GD</w:t>
      </w:r>
      <w:r>
        <w:rPr>
          <w:vertAlign w:val="subscript"/>
        </w:rPr>
        <w:t>CW</w:t>
      </w:r>
      <w:r>
        <w:tab/>
        <w:t xml:space="preserve">= Percent of clothes washers with gas water heater and non-electric </w:t>
      </w:r>
      <w:r w:rsidR="00572294">
        <w:t>or no dryer fuel</w:t>
      </w:r>
    </w:p>
    <w:p w:rsidR="001364C8" w:rsidRDefault="001364C8" w:rsidP="001364C8">
      <w:pPr>
        <w:pStyle w:val="Equation"/>
      </w:pPr>
      <w:r>
        <w:lastRenderedPageBreak/>
        <w:tab/>
        <w:t>%GWH-ED</w:t>
      </w:r>
      <w:r>
        <w:rPr>
          <w:vertAlign w:val="subscript"/>
        </w:rPr>
        <w:t>CW</w:t>
      </w:r>
      <w:r>
        <w:tab/>
        <w:t>= Percent of clothes washers with gas water heater and electric dryer fuel</w:t>
      </w:r>
    </w:p>
    <w:p w:rsidR="001364C8" w:rsidRDefault="001364C8" w:rsidP="001364C8">
      <w:pPr>
        <w:pStyle w:val="Equation"/>
      </w:pPr>
      <w:r>
        <w:tab/>
        <w:t>%EWH-GD</w:t>
      </w:r>
      <w:r>
        <w:rPr>
          <w:vertAlign w:val="subscript"/>
        </w:rPr>
        <w:t>CW</w:t>
      </w:r>
      <w:r>
        <w:tab/>
        <w:t xml:space="preserve">= Percent of clothes washers with gas water heater and non-electric </w:t>
      </w:r>
      <w:r w:rsidR="00572294">
        <w:t>or no dryer fuel</w:t>
      </w:r>
    </w:p>
    <w:p w:rsidR="001364C8" w:rsidRPr="001364C8" w:rsidRDefault="001364C8" w:rsidP="00572294">
      <w:pPr>
        <w:pStyle w:val="Equation"/>
      </w:pPr>
      <w:r>
        <w:tab/>
        <w:t>%EWH-ED</w:t>
      </w:r>
      <w:r>
        <w:rPr>
          <w:vertAlign w:val="subscript"/>
        </w:rPr>
        <w:t>CW</w:t>
      </w:r>
      <w:r>
        <w:tab/>
        <w:t>= Percent of clothes washers with gas water heater and electric dryer fuel</w:t>
      </w:r>
    </w:p>
    <w:p w:rsidR="00CB79AB" w:rsidRPr="008F1617" w:rsidRDefault="001E6208" w:rsidP="00E568D4">
      <w:pPr>
        <w:pStyle w:val="Heading2"/>
      </w:pPr>
      <w:r>
        <w:br w:type="page"/>
      </w:r>
      <w:bookmarkStart w:id="444" w:name="_Ref303086637"/>
      <w:bookmarkStart w:id="445" w:name="_Toc310875425"/>
      <w:r w:rsidR="00CB79AB" w:rsidRPr="008F1617">
        <w:lastRenderedPageBreak/>
        <w:t>ENERGY STAR Lighting</w:t>
      </w:r>
      <w:bookmarkEnd w:id="444"/>
      <w:bookmarkEnd w:id="445"/>
    </w:p>
    <w:p w:rsidR="00CB79AB" w:rsidRPr="008F1617" w:rsidRDefault="00CB79AB" w:rsidP="00871FA2">
      <w:pPr>
        <w:pStyle w:val="Heading3"/>
      </w:pPr>
      <w:r w:rsidRPr="008F1617">
        <w:t>Algorithms</w:t>
      </w:r>
    </w:p>
    <w:p w:rsidR="00CB79AB" w:rsidRDefault="00CB79AB" w:rsidP="00CB79AB">
      <w:r>
        <w:t>Savings from installation of screw-in ENERGY STAR CFLs, ENERGY STAR fluorescent torchieres, ENERGY STAR indoor fixtures and ENERGY STAR outdoor fixtures are based on a straightforward algorithm that calculates the difference between existing and new wattage and the average daily hours of usage for the lighting unit being replaced.  An “in-service” rate is used to reflect the fact that not all lighting products purchased are actually installed.</w:t>
      </w:r>
    </w:p>
    <w:p w:rsidR="00CB79AB" w:rsidRDefault="00CB79AB" w:rsidP="00CB79AB">
      <w:r>
        <w:t>The general form of the equation for the ENERGY STAR or other high-efficiency lighting energy savings algorithm is:</w:t>
      </w:r>
    </w:p>
    <w:p w:rsidR="00CB79AB" w:rsidRPr="00165C8E" w:rsidRDefault="00CB79AB" w:rsidP="00CB79AB">
      <w:pPr>
        <w:pStyle w:val="Equation"/>
        <w:rPr>
          <w:rFonts w:cs="Arial"/>
          <w:szCs w:val="20"/>
        </w:rPr>
      </w:pPr>
      <w:r w:rsidRPr="00165C8E">
        <w:rPr>
          <w:rFonts w:cs="Arial"/>
          <w:szCs w:val="20"/>
        </w:rPr>
        <w:t xml:space="preserve">Total Savings </w:t>
      </w:r>
      <w:r w:rsidRPr="00165C8E">
        <w:rPr>
          <w:rFonts w:cs="Arial"/>
          <w:szCs w:val="20"/>
        </w:rPr>
        <w:tab/>
        <w:t>= Number of Units X Savings per Unit</w:t>
      </w:r>
    </w:p>
    <w:p w:rsidR="00CB79AB" w:rsidRDefault="00CB79AB" w:rsidP="00CB79AB">
      <w:r>
        <w:t>Per unit savings estimates are derived primarily from a 2004 Nexus Market Research report evaluating similar retail lighting programs in New England (MA, RI and VT)</w:t>
      </w:r>
    </w:p>
    <w:p w:rsidR="00CB79AB" w:rsidRDefault="00CB79AB" w:rsidP="00CB79AB"/>
    <w:p w:rsidR="00CB79AB" w:rsidRPr="000E610E" w:rsidRDefault="00CB79AB" w:rsidP="00E568D4">
      <w:pPr>
        <w:pStyle w:val="Heading4"/>
      </w:pPr>
      <w:r w:rsidRPr="00D53EFE">
        <w:t>ENERGY STAR CFL Bulbs</w:t>
      </w:r>
      <w:r>
        <w:t xml:space="preserve"> (screw-in)</w:t>
      </w:r>
      <w:r w:rsidR="000E610E">
        <w:t>:</w:t>
      </w:r>
    </w:p>
    <w:p w:rsidR="00CB79AB" w:rsidRPr="00165C8E" w:rsidRDefault="00D12DD6" w:rsidP="00CB79AB">
      <w:pPr>
        <w:pStyle w:val="Equation"/>
        <w:rPr>
          <w:rFonts w:cs="Arial"/>
          <w:szCs w:val="20"/>
        </w:rPr>
      </w:pPr>
      <w:r w:rsidRPr="00165C8E">
        <w:rPr>
          <w:rFonts w:cs="Arial"/>
          <w:szCs w:val="20"/>
        </w:rPr>
        <w:sym w:font="Symbol" w:char="F044"/>
      </w:r>
      <w:r w:rsidRPr="00165C8E">
        <w:rPr>
          <w:rFonts w:cs="Arial"/>
          <w:szCs w:val="20"/>
        </w:rPr>
        <w:t>kWh</w:t>
      </w:r>
      <w:r w:rsidRPr="00165C8E">
        <w:rPr>
          <w:rFonts w:cs="Arial"/>
          <w:szCs w:val="20"/>
        </w:rPr>
        <w:tab/>
      </w:r>
      <w:r w:rsidR="00CB79AB" w:rsidRPr="00165C8E">
        <w:rPr>
          <w:rFonts w:cs="Arial"/>
          <w:szCs w:val="20"/>
        </w:rPr>
        <w:tab/>
        <w:t xml:space="preserve">= </w:t>
      </w:r>
      <w:r w:rsidR="005F6651">
        <w:rPr>
          <w:rFonts w:cs="Arial"/>
          <w:szCs w:val="20"/>
        </w:rPr>
        <w:t>(Watts</w:t>
      </w:r>
      <w:r w:rsidR="005F6651">
        <w:rPr>
          <w:rFonts w:cs="Arial"/>
          <w:szCs w:val="20"/>
          <w:vertAlign w:val="subscript"/>
        </w:rPr>
        <w:t xml:space="preserve">base </w:t>
      </w:r>
      <w:r w:rsidR="005F6651">
        <w:rPr>
          <w:rFonts w:cs="Arial"/>
          <w:szCs w:val="20"/>
        </w:rPr>
        <w:t>– Watts</w:t>
      </w:r>
      <w:r w:rsidR="005F6651">
        <w:rPr>
          <w:rFonts w:cs="Arial"/>
          <w:szCs w:val="20"/>
          <w:vertAlign w:val="subscript"/>
        </w:rPr>
        <w:t>CFL</w:t>
      </w:r>
      <w:r w:rsidR="005F6651" w:rsidRPr="005F6651">
        <w:rPr>
          <w:rFonts w:cs="Arial"/>
          <w:szCs w:val="20"/>
        </w:rPr>
        <w:t>)</w:t>
      </w:r>
      <w:r w:rsidR="005F6651" w:rsidRPr="00165C8E">
        <w:rPr>
          <w:rFonts w:cs="Arial"/>
          <w:szCs w:val="20"/>
        </w:rPr>
        <w:t xml:space="preserve"> </w:t>
      </w:r>
      <w:r w:rsidR="00CB79AB" w:rsidRPr="00165C8E">
        <w:rPr>
          <w:rFonts w:cs="Arial"/>
          <w:szCs w:val="20"/>
        </w:rPr>
        <w:t>X CFL</w:t>
      </w:r>
      <w:r w:rsidR="00CB79AB" w:rsidRPr="00165C8E">
        <w:rPr>
          <w:rFonts w:cs="Arial"/>
          <w:szCs w:val="20"/>
          <w:vertAlign w:val="subscript"/>
        </w:rPr>
        <w:t>hours</w:t>
      </w:r>
      <w:r w:rsidR="00CB79AB" w:rsidRPr="00165C8E">
        <w:rPr>
          <w:rFonts w:cs="Arial"/>
          <w:szCs w:val="20"/>
        </w:rPr>
        <w:t xml:space="preserve"> X 365</w:t>
      </w:r>
      <w:r w:rsidR="005F6651">
        <w:rPr>
          <w:rFonts w:cs="Arial"/>
          <w:szCs w:val="20"/>
        </w:rPr>
        <w:t xml:space="preserve"> </w:t>
      </w:r>
      <w:r w:rsidR="00CB79AB" w:rsidRPr="00165C8E">
        <w:rPr>
          <w:rFonts w:cs="Arial"/>
          <w:szCs w:val="20"/>
        </w:rPr>
        <w:t>/</w:t>
      </w:r>
      <w:r w:rsidR="005F6651">
        <w:rPr>
          <w:rFonts w:cs="Arial"/>
          <w:szCs w:val="20"/>
        </w:rPr>
        <w:t xml:space="preserve"> </w:t>
      </w:r>
      <w:r w:rsidR="00CB79AB" w:rsidRPr="00165C8E">
        <w:rPr>
          <w:rFonts w:cs="Arial"/>
          <w:szCs w:val="20"/>
        </w:rPr>
        <w:t>1000 X  ISR</w:t>
      </w:r>
      <w:r w:rsidR="00CB79AB" w:rsidRPr="00165C8E">
        <w:rPr>
          <w:rFonts w:cs="Arial"/>
          <w:szCs w:val="20"/>
          <w:vertAlign w:val="subscript"/>
        </w:rPr>
        <w:t>CFL</w:t>
      </w:r>
    </w:p>
    <w:p w:rsidR="00CB79AB" w:rsidRPr="00165C8E" w:rsidRDefault="00D12DD6" w:rsidP="00CB79AB">
      <w:pPr>
        <w:pStyle w:val="Equation"/>
        <w:rPr>
          <w:rFonts w:cs="Arial"/>
          <w:szCs w:val="20"/>
        </w:rPr>
      </w:pPr>
      <w:r w:rsidRPr="00165C8E">
        <w:rPr>
          <w:rFonts w:cs="Arial"/>
          <w:szCs w:val="20"/>
        </w:rPr>
        <w:sym w:font="Symbol" w:char="F044"/>
      </w:r>
      <w:r w:rsidRPr="00165C8E">
        <w:rPr>
          <w:rFonts w:cs="Arial"/>
          <w:szCs w:val="20"/>
        </w:rPr>
        <w:t>kW</w:t>
      </w:r>
      <w:r w:rsidRPr="00165C8E">
        <w:rPr>
          <w:rFonts w:cs="Arial"/>
          <w:szCs w:val="20"/>
          <w:vertAlign w:val="subscript"/>
        </w:rPr>
        <w:t>peak</w:t>
      </w:r>
      <w:r w:rsidR="00CB79AB" w:rsidRPr="00165C8E">
        <w:rPr>
          <w:rFonts w:cs="Arial"/>
          <w:szCs w:val="20"/>
        </w:rPr>
        <w:tab/>
      </w:r>
      <w:r w:rsidRPr="00165C8E">
        <w:rPr>
          <w:rFonts w:cs="Arial"/>
          <w:szCs w:val="20"/>
        </w:rPr>
        <w:tab/>
      </w:r>
      <w:r w:rsidR="00CB79AB" w:rsidRPr="00165C8E">
        <w:rPr>
          <w:rFonts w:cs="Arial"/>
          <w:szCs w:val="20"/>
        </w:rPr>
        <w:t xml:space="preserve">= </w:t>
      </w:r>
      <w:r w:rsidR="005F6651">
        <w:rPr>
          <w:rFonts w:cs="Arial"/>
          <w:szCs w:val="20"/>
        </w:rPr>
        <w:t>(Watts</w:t>
      </w:r>
      <w:r w:rsidR="005F6651">
        <w:rPr>
          <w:rFonts w:cs="Arial"/>
          <w:szCs w:val="20"/>
          <w:vertAlign w:val="subscript"/>
        </w:rPr>
        <w:t xml:space="preserve">base </w:t>
      </w:r>
      <w:r w:rsidR="005F6651">
        <w:rPr>
          <w:rFonts w:cs="Arial"/>
          <w:szCs w:val="20"/>
        </w:rPr>
        <w:t>– Watts</w:t>
      </w:r>
      <w:r w:rsidR="005F6651">
        <w:rPr>
          <w:rFonts w:cs="Arial"/>
          <w:szCs w:val="20"/>
          <w:vertAlign w:val="subscript"/>
        </w:rPr>
        <w:t>CFL</w:t>
      </w:r>
      <w:r w:rsidR="005F6651" w:rsidRPr="005F6651">
        <w:rPr>
          <w:rFonts w:cs="Arial"/>
          <w:szCs w:val="20"/>
        </w:rPr>
        <w:t>)</w:t>
      </w:r>
      <w:r w:rsidR="00572294">
        <w:rPr>
          <w:rFonts w:cs="Arial"/>
          <w:szCs w:val="20"/>
        </w:rPr>
        <w:t xml:space="preserve"> </w:t>
      </w:r>
      <w:r w:rsidR="00CB79AB" w:rsidRPr="00165C8E">
        <w:rPr>
          <w:rFonts w:cs="Arial"/>
          <w:szCs w:val="20"/>
        </w:rPr>
        <w:t>/</w:t>
      </w:r>
      <w:r w:rsidR="00572294">
        <w:rPr>
          <w:rFonts w:cs="Arial"/>
          <w:szCs w:val="20"/>
        </w:rPr>
        <w:t xml:space="preserve"> </w:t>
      </w:r>
      <w:r w:rsidR="00CB79AB" w:rsidRPr="00165C8E">
        <w:rPr>
          <w:rFonts w:cs="Arial"/>
          <w:szCs w:val="20"/>
        </w:rPr>
        <w:t>1000 X CF X ISR</w:t>
      </w:r>
      <w:r w:rsidR="00CB79AB" w:rsidRPr="00165C8E">
        <w:rPr>
          <w:rFonts w:cs="Arial"/>
          <w:szCs w:val="20"/>
          <w:vertAlign w:val="subscript"/>
        </w:rPr>
        <w:t>CFL</w:t>
      </w:r>
    </w:p>
    <w:p w:rsidR="00CB79AB" w:rsidRPr="000E610E" w:rsidRDefault="00CB79AB" w:rsidP="00E568D4">
      <w:pPr>
        <w:pStyle w:val="Heading4"/>
      </w:pPr>
      <w:r w:rsidRPr="00D53EFE">
        <w:t>ENERGY STAR Torchieres</w:t>
      </w:r>
      <w:r w:rsidR="000E610E">
        <w:t>:</w:t>
      </w:r>
    </w:p>
    <w:p w:rsidR="00CB79AB" w:rsidRPr="00165C8E" w:rsidRDefault="00D12DD6" w:rsidP="00CB79AB">
      <w:pPr>
        <w:pStyle w:val="Equation"/>
        <w:rPr>
          <w:rFonts w:cs="Arial"/>
          <w:szCs w:val="20"/>
        </w:rPr>
      </w:pPr>
      <w:r w:rsidRPr="00165C8E">
        <w:rPr>
          <w:rFonts w:cs="Arial"/>
          <w:szCs w:val="20"/>
        </w:rPr>
        <w:sym w:font="Symbol" w:char="F044"/>
      </w:r>
      <w:r w:rsidRPr="00165C8E">
        <w:rPr>
          <w:rFonts w:cs="Arial"/>
          <w:szCs w:val="20"/>
        </w:rPr>
        <w:t>kWh</w:t>
      </w:r>
      <w:r w:rsidRPr="00165C8E">
        <w:rPr>
          <w:rFonts w:cs="Arial"/>
          <w:szCs w:val="20"/>
        </w:rPr>
        <w:tab/>
      </w:r>
      <w:r w:rsidR="00CB79AB" w:rsidRPr="00165C8E">
        <w:rPr>
          <w:rFonts w:cs="Arial"/>
          <w:szCs w:val="20"/>
        </w:rPr>
        <w:tab/>
        <w:t>= Torch</w:t>
      </w:r>
      <w:r w:rsidR="00CB79AB" w:rsidRPr="00165C8E">
        <w:rPr>
          <w:rFonts w:cs="Arial"/>
          <w:szCs w:val="20"/>
          <w:vertAlign w:val="subscript"/>
        </w:rPr>
        <w:t>watts</w:t>
      </w:r>
      <w:r w:rsidR="00CB79AB" w:rsidRPr="00165C8E">
        <w:rPr>
          <w:rFonts w:cs="Arial"/>
          <w:szCs w:val="20"/>
        </w:rPr>
        <w:t xml:space="preserve"> X Torch</w:t>
      </w:r>
      <w:r w:rsidR="00CB79AB" w:rsidRPr="00165C8E">
        <w:rPr>
          <w:rFonts w:cs="Arial"/>
          <w:szCs w:val="20"/>
          <w:vertAlign w:val="subscript"/>
        </w:rPr>
        <w:t>hours</w:t>
      </w:r>
      <w:r w:rsidR="00CB79AB" w:rsidRPr="00165C8E">
        <w:rPr>
          <w:rFonts w:cs="Arial"/>
          <w:szCs w:val="20"/>
        </w:rPr>
        <w:t xml:space="preserve"> X 365</w:t>
      </w:r>
      <w:r w:rsidR="00572294">
        <w:rPr>
          <w:rFonts w:cs="Arial"/>
          <w:szCs w:val="20"/>
        </w:rPr>
        <w:t xml:space="preserve"> </w:t>
      </w:r>
      <w:r w:rsidR="00CB79AB" w:rsidRPr="00165C8E">
        <w:rPr>
          <w:rFonts w:cs="Arial"/>
          <w:szCs w:val="20"/>
        </w:rPr>
        <w:t>/</w:t>
      </w:r>
      <w:r w:rsidR="00572294">
        <w:rPr>
          <w:rFonts w:cs="Arial"/>
          <w:szCs w:val="20"/>
        </w:rPr>
        <w:t xml:space="preserve"> </w:t>
      </w:r>
      <w:r w:rsidR="00CB79AB" w:rsidRPr="00165C8E">
        <w:rPr>
          <w:rFonts w:cs="Arial"/>
          <w:szCs w:val="20"/>
        </w:rPr>
        <w:t>1000 X ISR</w:t>
      </w:r>
      <w:r w:rsidR="00CB79AB" w:rsidRPr="00165C8E">
        <w:rPr>
          <w:rFonts w:cs="Arial"/>
          <w:szCs w:val="20"/>
          <w:vertAlign w:val="subscript"/>
        </w:rPr>
        <w:t>Torch</w:t>
      </w:r>
    </w:p>
    <w:p w:rsidR="00CB79AB" w:rsidRPr="00165C8E" w:rsidRDefault="00D12DD6" w:rsidP="00CB79AB">
      <w:pPr>
        <w:pStyle w:val="Equation"/>
        <w:rPr>
          <w:rFonts w:cs="Arial"/>
          <w:szCs w:val="20"/>
        </w:rPr>
      </w:pPr>
      <w:r w:rsidRPr="00165C8E">
        <w:rPr>
          <w:rFonts w:cs="Arial"/>
          <w:szCs w:val="20"/>
        </w:rPr>
        <w:sym w:font="Symbol" w:char="F044"/>
      </w:r>
      <w:r w:rsidRPr="00165C8E">
        <w:rPr>
          <w:rFonts w:cs="Arial"/>
          <w:szCs w:val="20"/>
        </w:rPr>
        <w:t>kW</w:t>
      </w:r>
      <w:r w:rsidRPr="00165C8E">
        <w:rPr>
          <w:rFonts w:cs="Arial"/>
          <w:szCs w:val="20"/>
          <w:vertAlign w:val="subscript"/>
        </w:rPr>
        <w:t>peak</w:t>
      </w:r>
      <w:r w:rsidRPr="00165C8E">
        <w:rPr>
          <w:rFonts w:cs="Arial"/>
          <w:szCs w:val="20"/>
          <w:vertAlign w:val="subscript"/>
        </w:rPr>
        <w:tab/>
      </w:r>
      <w:r w:rsidR="00CB79AB" w:rsidRPr="00165C8E">
        <w:rPr>
          <w:rFonts w:cs="Arial"/>
          <w:szCs w:val="20"/>
        </w:rPr>
        <w:tab/>
        <w:t>= Torch</w:t>
      </w:r>
      <w:r w:rsidR="00CB79AB" w:rsidRPr="00165C8E">
        <w:rPr>
          <w:rFonts w:cs="Arial"/>
          <w:szCs w:val="20"/>
          <w:vertAlign w:val="subscript"/>
        </w:rPr>
        <w:t>watts</w:t>
      </w:r>
      <w:r w:rsidR="00572294">
        <w:rPr>
          <w:rFonts w:cs="Arial"/>
          <w:szCs w:val="20"/>
        </w:rPr>
        <w:t xml:space="preserve"> </w:t>
      </w:r>
      <w:r w:rsidR="00CB79AB" w:rsidRPr="00165C8E">
        <w:rPr>
          <w:rFonts w:cs="Arial"/>
          <w:szCs w:val="20"/>
        </w:rPr>
        <w:t>/</w:t>
      </w:r>
      <w:r w:rsidR="00572294">
        <w:rPr>
          <w:rFonts w:cs="Arial"/>
          <w:szCs w:val="20"/>
        </w:rPr>
        <w:t xml:space="preserve"> </w:t>
      </w:r>
      <w:r w:rsidR="00CB79AB" w:rsidRPr="00165C8E">
        <w:rPr>
          <w:rFonts w:cs="Arial"/>
          <w:szCs w:val="20"/>
        </w:rPr>
        <w:t>1000 X CF X ISR</w:t>
      </w:r>
      <w:r w:rsidR="00CB79AB" w:rsidRPr="00165C8E">
        <w:rPr>
          <w:rFonts w:cs="Arial"/>
          <w:szCs w:val="20"/>
          <w:vertAlign w:val="subscript"/>
        </w:rPr>
        <w:t>Torch</w:t>
      </w:r>
    </w:p>
    <w:p w:rsidR="00CB79AB" w:rsidRPr="000E610E" w:rsidRDefault="00CB79AB" w:rsidP="00E568D4">
      <w:pPr>
        <w:pStyle w:val="Heading4"/>
      </w:pPr>
      <w:r w:rsidRPr="00D53EFE">
        <w:t>ENERGY STAR Indoor Fixture</w:t>
      </w:r>
      <w:r>
        <w:t xml:space="preserve"> (hard-wired, pin-based)</w:t>
      </w:r>
      <w:r w:rsidR="000E610E">
        <w:t>:</w:t>
      </w:r>
    </w:p>
    <w:p w:rsidR="00CB79AB" w:rsidRPr="00165C8E" w:rsidRDefault="00D12DD6" w:rsidP="00CB79AB">
      <w:pPr>
        <w:pStyle w:val="Equation"/>
        <w:rPr>
          <w:rFonts w:cs="Arial"/>
          <w:szCs w:val="20"/>
        </w:rPr>
      </w:pPr>
      <w:r w:rsidRPr="00165C8E">
        <w:rPr>
          <w:rFonts w:cs="Arial"/>
          <w:szCs w:val="20"/>
        </w:rPr>
        <w:sym w:font="Symbol" w:char="F044"/>
      </w:r>
      <w:r w:rsidRPr="00165C8E">
        <w:rPr>
          <w:rFonts w:cs="Arial"/>
          <w:szCs w:val="20"/>
        </w:rPr>
        <w:t>kWh</w:t>
      </w:r>
      <w:r w:rsidRPr="00165C8E">
        <w:rPr>
          <w:rFonts w:cs="Arial"/>
          <w:szCs w:val="20"/>
        </w:rPr>
        <w:tab/>
      </w:r>
      <w:r w:rsidR="00CB79AB" w:rsidRPr="00165C8E">
        <w:rPr>
          <w:rFonts w:cs="Arial"/>
          <w:szCs w:val="20"/>
        </w:rPr>
        <w:tab/>
        <w:t>= IF</w:t>
      </w:r>
      <w:r w:rsidR="00CB79AB" w:rsidRPr="00165C8E">
        <w:rPr>
          <w:rFonts w:cs="Arial"/>
          <w:szCs w:val="20"/>
          <w:vertAlign w:val="subscript"/>
        </w:rPr>
        <w:t>watts</w:t>
      </w:r>
      <w:r w:rsidR="00CB79AB" w:rsidRPr="00165C8E">
        <w:rPr>
          <w:rFonts w:cs="Arial"/>
          <w:szCs w:val="20"/>
        </w:rPr>
        <w:t xml:space="preserve"> X IF</w:t>
      </w:r>
      <w:r w:rsidR="00CB79AB" w:rsidRPr="00165C8E">
        <w:rPr>
          <w:rFonts w:cs="Arial"/>
          <w:szCs w:val="20"/>
          <w:vertAlign w:val="subscript"/>
        </w:rPr>
        <w:t>hours</w:t>
      </w:r>
      <w:r w:rsidR="00CB79AB" w:rsidRPr="00165C8E">
        <w:rPr>
          <w:rFonts w:cs="Arial"/>
          <w:szCs w:val="20"/>
        </w:rPr>
        <w:t xml:space="preserve"> X 365</w:t>
      </w:r>
      <w:r w:rsidR="00572294">
        <w:rPr>
          <w:rFonts w:cs="Arial"/>
          <w:szCs w:val="20"/>
        </w:rPr>
        <w:t xml:space="preserve"> </w:t>
      </w:r>
      <w:r w:rsidR="00CB79AB" w:rsidRPr="00165C8E">
        <w:rPr>
          <w:rFonts w:cs="Arial"/>
          <w:szCs w:val="20"/>
        </w:rPr>
        <w:t>/</w:t>
      </w:r>
      <w:r w:rsidR="00572294">
        <w:rPr>
          <w:rFonts w:cs="Arial"/>
          <w:szCs w:val="20"/>
        </w:rPr>
        <w:t xml:space="preserve"> </w:t>
      </w:r>
      <w:r w:rsidR="00CB79AB" w:rsidRPr="00165C8E">
        <w:rPr>
          <w:rFonts w:cs="Arial"/>
          <w:szCs w:val="20"/>
        </w:rPr>
        <w:t>1000 X ISR</w:t>
      </w:r>
      <w:r w:rsidR="00CB79AB" w:rsidRPr="00165C8E">
        <w:rPr>
          <w:rFonts w:cs="Arial"/>
          <w:szCs w:val="20"/>
          <w:vertAlign w:val="subscript"/>
        </w:rPr>
        <w:t>IF</w:t>
      </w:r>
    </w:p>
    <w:p w:rsidR="00CB79AB" w:rsidRPr="00165C8E" w:rsidRDefault="00D12DD6" w:rsidP="00CB79AB">
      <w:pPr>
        <w:pStyle w:val="Equation"/>
        <w:rPr>
          <w:rFonts w:cs="Arial"/>
          <w:szCs w:val="20"/>
        </w:rPr>
      </w:pPr>
      <w:r w:rsidRPr="00165C8E">
        <w:rPr>
          <w:rFonts w:cs="Arial"/>
          <w:szCs w:val="20"/>
        </w:rPr>
        <w:sym w:font="Symbol" w:char="F044"/>
      </w:r>
      <w:r w:rsidRPr="00165C8E">
        <w:rPr>
          <w:rFonts w:cs="Arial"/>
          <w:szCs w:val="20"/>
        </w:rPr>
        <w:t>kW</w:t>
      </w:r>
      <w:r w:rsidRPr="00165C8E">
        <w:rPr>
          <w:rFonts w:cs="Arial"/>
          <w:szCs w:val="20"/>
          <w:vertAlign w:val="subscript"/>
        </w:rPr>
        <w:t>peak</w:t>
      </w:r>
      <w:r w:rsidRPr="00165C8E">
        <w:rPr>
          <w:rFonts w:cs="Arial"/>
          <w:szCs w:val="20"/>
          <w:vertAlign w:val="subscript"/>
        </w:rPr>
        <w:tab/>
      </w:r>
      <w:r w:rsidR="00CB79AB" w:rsidRPr="00165C8E">
        <w:rPr>
          <w:rFonts w:cs="Arial"/>
          <w:szCs w:val="20"/>
        </w:rPr>
        <w:tab/>
        <w:t>= IF</w:t>
      </w:r>
      <w:r w:rsidR="00CB79AB" w:rsidRPr="00165C8E">
        <w:rPr>
          <w:rFonts w:cs="Arial"/>
          <w:szCs w:val="20"/>
          <w:vertAlign w:val="subscript"/>
        </w:rPr>
        <w:t>watts</w:t>
      </w:r>
      <w:r w:rsidR="00572294">
        <w:rPr>
          <w:rFonts w:cs="Arial"/>
          <w:szCs w:val="20"/>
        </w:rPr>
        <w:t xml:space="preserve"> </w:t>
      </w:r>
      <w:r w:rsidR="00CB79AB" w:rsidRPr="00165C8E">
        <w:rPr>
          <w:rFonts w:cs="Arial"/>
          <w:szCs w:val="20"/>
        </w:rPr>
        <w:t>/</w:t>
      </w:r>
      <w:r w:rsidR="00572294">
        <w:rPr>
          <w:rFonts w:cs="Arial"/>
          <w:szCs w:val="20"/>
        </w:rPr>
        <w:t xml:space="preserve"> </w:t>
      </w:r>
      <w:r w:rsidR="00CB79AB" w:rsidRPr="00165C8E">
        <w:rPr>
          <w:rFonts w:cs="Arial"/>
          <w:szCs w:val="20"/>
        </w:rPr>
        <w:t>1000 X CF X ISR</w:t>
      </w:r>
      <w:r w:rsidR="00CB79AB" w:rsidRPr="00165C8E">
        <w:rPr>
          <w:rFonts w:cs="Arial"/>
          <w:szCs w:val="20"/>
          <w:vertAlign w:val="subscript"/>
        </w:rPr>
        <w:t>IF</w:t>
      </w:r>
    </w:p>
    <w:p w:rsidR="00CB79AB" w:rsidRPr="000E610E" w:rsidRDefault="00CB79AB" w:rsidP="00E568D4">
      <w:pPr>
        <w:pStyle w:val="Heading4"/>
      </w:pPr>
      <w:r w:rsidRPr="00D53EFE">
        <w:t>ENERGY STAR Outdoor Fixture</w:t>
      </w:r>
      <w:r>
        <w:t xml:space="preserve"> (hard wired, pin-based)</w:t>
      </w:r>
      <w:r w:rsidR="000E610E">
        <w:t>:</w:t>
      </w:r>
    </w:p>
    <w:p w:rsidR="00CB79AB" w:rsidRPr="00165C8E" w:rsidRDefault="00D12DD6" w:rsidP="00CB79AB">
      <w:pPr>
        <w:pStyle w:val="Equation"/>
        <w:rPr>
          <w:rFonts w:cs="Arial"/>
          <w:szCs w:val="20"/>
        </w:rPr>
      </w:pPr>
      <w:r w:rsidRPr="00165C8E">
        <w:rPr>
          <w:rFonts w:cs="Arial"/>
          <w:szCs w:val="20"/>
        </w:rPr>
        <w:sym w:font="Symbol" w:char="F044"/>
      </w:r>
      <w:r w:rsidRPr="00165C8E">
        <w:rPr>
          <w:rFonts w:cs="Arial"/>
          <w:szCs w:val="20"/>
        </w:rPr>
        <w:t>kWh</w:t>
      </w:r>
      <w:r w:rsidRPr="00165C8E">
        <w:rPr>
          <w:rFonts w:cs="Arial"/>
          <w:szCs w:val="20"/>
        </w:rPr>
        <w:tab/>
      </w:r>
      <w:r w:rsidR="00CB79AB" w:rsidRPr="00165C8E">
        <w:rPr>
          <w:rFonts w:cs="Arial"/>
          <w:szCs w:val="20"/>
        </w:rPr>
        <w:tab/>
        <w:t>= OF</w:t>
      </w:r>
      <w:r w:rsidR="00CB79AB" w:rsidRPr="00165C8E">
        <w:rPr>
          <w:rFonts w:cs="Arial"/>
          <w:szCs w:val="20"/>
          <w:vertAlign w:val="subscript"/>
        </w:rPr>
        <w:t>watts</w:t>
      </w:r>
      <w:r w:rsidR="00CB79AB" w:rsidRPr="00165C8E">
        <w:rPr>
          <w:rFonts w:cs="Arial"/>
          <w:szCs w:val="20"/>
        </w:rPr>
        <w:t xml:space="preserve"> X OF</w:t>
      </w:r>
      <w:r w:rsidR="00CB79AB" w:rsidRPr="00165C8E">
        <w:rPr>
          <w:rFonts w:cs="Arial"/>
          <w:szCs w:val="20"/>
          <w:vertAlign w:val="subscript"/>
        </w:rPr>
        <w:t>hours</w:t>
      </w:r>
      <w:r w:rsidR="00CB79AB" w:rsidRPr="00165C8E">
        <w:rPr>
          <w:rFonts w:cs="Arial"/>
          <w:szCs w:val="20"/>
        </w:rPr>
        <w:t xml:space="preserve"> X 365</w:t>
      </w:r>
      <w:r w:rsidR="00572294">
        <w:rPr>
          <w:rFonts w:cs="Arial"/>
          <w:szCs w:val="20"/>
        </w:rPr>
        <w:t xml:space="preserve"> </w:t>
      </w:r>
      <w:r w:rsidR="00CB79AB" w:rsidRPr="00165C8E">
        <w:rPr>
          <w:rFonts w:cs="Arial"/>
          <w:szCs w:val="20"/>
        </w:rPr>
        <w:t>/</w:t>
      </w:r>
      <w:r w:rsidR="00572294">
        <w:rPr>
          <w:rFonts w:cs="Arial"/>
          <w:szCs w:val="20"/>
        </w:rPr>
        <w:t xml:space="preserve"> </w:t>
      </w:r>
      <w:r w:rsidR="00CB79AB" w:rsidRPr="00165C8E">
        <w:rPr>
          <w:rFonts w:cs="Arial"/>
          <w:szCs w:val="20"/>
        </w:rPr>
        <w:t>1000 X ISR</w:t>
      </w:r>
      <w:r w:rsidR="00CB79AB" w:rsidRPr="00165C8E">
        <w:rPr>
          <w:rFonts w:cs="Arial"/>
          <w:szCs w:val="20"/>
          <w:vertAlign w:val="subscript"/>
        </w:rPr>
        <w:t>OF</w:t>
      </w:r>
    </w:p>
    <w:p w:rsidR="00CB79AB" w:rsidRPr="00165C8E" w:rsidRDefault="00D12DD6" w:rsidP="00CB79AB">
      <w:pPr>
        <w:pStyle w:val="Equation"/>
        <w:rPr>
          <w:rFonts w:cs="Arial"/>
          <w:szCs w:val="20"/>
        </w:rPr>
      </w:pPr>
      <w:r w:rsidRPr="00165C8E">
        <w:rPr>
          <w:rFonts w:cs="Arial"/>
          <w:szCs w:val="20"/>
        </w:rPr>
        <w:sym w:font="Symbol" w:char="F044"/>
      </w:r>
      <w:r w:rsidRPr="00165C8E">
        <w:rPr>
          <w:rFonts w:cs="Arial"/>
          <w:szCs w:val="20"/>
        </w:rPr>
        <w:t>kW</w:t>
      </w:r>
      <w:r w:rsidRPr="00165C8E">
        <w:rPr>
          <w:rFonts w:cs="Arial"/>
          <w:szCs w:val="20"/>
          <w:vertAlign w:val="subscript"/>
        </w:rPr>
        <w:t>peak</w:t>
      </w:r>
      <w:r w:rsidRPr="00165C8E">
        <w:rPr>
          <w:rFonts w:cs="Arial"/>
          <w:szCs w:val="20"/>
          <w:vertAlign w:val="subscript"/>
        </w:rPr>
        <w:tab/>
      </w:r>
      <w:r w:rsidR="00CB79AB" w:rsidRPr="00165C8E">
        <w:rPr>
          <w:rFonts w:cs="Arial"/>
          <w:szCs w:val="20"/>
        </w:rPr>
        <w:tab/>
        <w:t>= OF</w:t>
      </w:r>
      <w:r w:rsidR="00CB79AB" w:rsidRPr="00165C8E">
        <w:rPr>
          <w:rFonts w:cs="Arial"/>
          <w:szCs w:val="20"/>
          <w:vertAlign w:val="subscript"/>
        </w:rPr>
        <w:t>watts</w:t>
      </w:r>
      <w:r w:rsidR="00572294">
        <w:rPr>
          <w:rFonts w:cs="Arial"/>
          <w:szCs w:val="20"/>
        </w:rPr>
        <w:t xml:space="preserve"> </w:t>
      </w:r>
      <w:r w:rsidR="00CB79AB" w:rsidRPr="00165C8E">
        <w:rPr>
          <w:rFonts w:cs="Arial"/>
          <w:szCs w:val="20"/>
        </w:rPr>
        <w:t>/</w:t>
      </w:r>
      <w:r w:rsidR="00572294">
        <w:rPr>
          <w:rFonts w:cs="Arial"/>
          <w:szCs w:val="20"/>
        </w:rPr>
        <w:t xml:space="preserve"> </w:t>
      </w:r>
      <w:r w:rsidR="00CB79AB" w:rsidRPr="00165C8E">
        <w:rPr>
          <w:rFonts w:cs="Arial"/>
          <w:szCs w:val="20"/>
        </w:rPr>
        <w:t>1000 X CF X ISR</w:t>
      </w:r>
      <w:r w:rsidR="00CB79AB" w:rsidRPr="00165C8E">
        <w:rPr>
          <w:rFonts w:cs="Arial"/>
          <w:szCs w:val="20"/>
          <w:vertAlign w:val="subscript"/>
        </w:rPr>
        <w:t>OF</w:t>
      </w:r>
    </w:p>
    <w:p w:rsidR="00CB79AB" w:rsidRPr="000E610E" w:rsidRDefault="00CB79AB" w:rsidP="00E568D4">
      <w:pPr>
        <w:pStyle w:val="Heading4"/>
      </w:pPr>
      <w:r w:rsidRPr="00D53EFE">
        <w:t>Ceiling Fan with ENERGY STAR Light Fixture</w:t>
      </w:r>
      <w:r w:rsidR="000E610E">
        <w:t>:</w:t>
      </w:r>
    </w:p>
    <w:p w:rsidR="00CB79AB" w:rsidRPr="00165C8E" w:rsidRDefault="00D12DD6" w:rsidP="00CB79AB">
      <w:pPr>
        <w:pStyle w:val="Equation"/>
        <w:rPr>
          <w:rFonts w:cs="Arial"/>
          <w:szCs w:val="20"/>
        </w:rPr>
      </w:pPr>
      <w:r w:rsidRPr="00165C8E">
        <w:rPr>
          <w:rFonts w:cs="Arial"/>
          <w:szCs w:val="20"/>
        </w:rPr>
        <w:sym w:font="Symbol" w:char="F044"/>
      </w:r>
      <w:r w:rsidRPr="00165C8E">
        <w:rPr>
          <w:rFonts w:cs="Arial"/>
          <w:szCs w:val="20"/>
        </w:rPr>
        <w:t>kWh</w:t>
      </w:r>
      <w:r w:rsidRPr="00165C8E">
        <w:rPr>
          <w:rFonts w:cs="Arial"/>
          <w:szCs w:val="20"/>
        </w:rPr>
        <w:tab/>
      </w:r>
      <w:r w:rsidR="00CB79AB" w:rsidRPr="00165C8E">
        <w:rPr>
          <w:rFonts w:cs="Arial"/>
          <w:szCs w:val="20"/>
          <w:vertAlign w:val="subscript"/>
        </w:rPr>
        <w:tab/>
      </w:r>
      <w:r w:rsidR="00CB79AB" w:rsidRPr="00165C8E">
        <w:rPr>
          <w:rFonts w:cs="Arial"/>
          <w:szCs w:val="20"/>
        </w:rPr>
        <w:t xml:space="preserve">=180 kWh </w:t>
      </w:r>
    </w:p>
    <w:p w:rsidR="00CB79AB" w:rsidRPr="00165C8E" w:rsidRDefault="00D12DD6" w:rsidP="00CB79AB">
      <w:pPr>
        <w:pStyle w:val="Equation"/>
        <w:rPr>
          <w:rFonts w:cs="Arial"/>
          <w:szCs w:val="20"/>
        </w:rPr>
      </w:pPr>
      <w:r w:rsidRPr="00165C8E">
        <w:rPr>
          <w:rFonts w:cs="Arial"/>
          <w:szCs w:val="20"/>
        </w:rPr>
        <w:sym w:font="Symbol" w:char="F044"/>
      </w:r>
      <w:r w:rsidRPr="00165C8E">
        <w:rPr>
          <w:rFonts w:cs="Arial"/>
          <w:szCs w:val="20"/>
        </w:rPr>
        <w:t>kW</w:t>
      </w:r>
      <w:r w:rsidRPr="00165C8E">
        <w:rPr>
          <w:rFonts w:cs="Arial"/>
          <w:szCs w:val="20"/>
          <w:vertAlign w:val="subscript"/>
        </w:rPr>
        <w:t>peak</w:t>
      </w:r>
      <w:r w:rsidRPr="00165C8E">
        <w:rPr>
          <w:rFonts w:cs="Arial"/>
          <w:szCs w:val="20"/>
          <w:vertAlign w:val="subscript"/>
        </w:rPr>
        <w:tab/>
      </w:r>
      <w:r w:rsidR="00CB79AB" w:rsidRPr="00165C8E">
        <w:rPr>
          <w:rFonts w:cs="Arial"/>
          <w:szCs w:val="20"/>
          <w:vertAlign w:val="subscript"/>
        </w:rPr>
        <w:tab/>
      </w:r>
      <w:r w:rsidR="00CB79AB" w:rsidRPr="00165C8E">
        <w:rPr>
          <w:rFonts w:cs="Arial"/>
          <w:szCs w:val="20"/>
        </w:rPr>
        <w:t>= 0.01968</w:t>
      </w:r>
    </w:p>
    <w:p w:rsidR="00CB79AB" w:rsidRDefault="00CB79AB" w:rsidP="00871FA2">
      <w:pPr>
        <w:pStyle w:val="Heading3"/>
      </w:pPr>
      <w:r w:rsidRPr="00526FC4">
        <w:lastRenderedPageBreak/>
        <w:t>Definition of Terms</w:t>
      </w:r>
    </w:p>
    <w:p w:rsidR="00CB79AB" w:rsidRDefault="00CB79AB" w:rsidP="00A77672">
      <w:pPr>
        <w:pStyle w:val="Equation"/>
        <w:keepNext/>
        <w:rPr>
          <w:rFonts w:cs="Arial"/>
          <w:szCs w:val="20"/>
        </w:rPr>
      </w:pPr>
      <w:r w:rsidRPr="00165C8E">
        <w:rPr>
          <w:rFonts w:cs="Arial"/>
          <w:szCs w:val="20"/>
        </w:rPr>
        <w:tab/>
      </w:r>
      <w:r w:rsidR="005F6651">
        <w:rPr>
          <w:rFonts w:cs="Arial"/>
          <w:szCs w:val="20"/>
        </w:rPr>
        <w:t>Watts</w:t>
      </w:r>
      <w:r w:rsidR="005F6651">
        <w:rPr>
          <w:rFonts w:cs="Arial"/>
          <w:szCs w:val="20"/>
          <w:vertAlign w:val="subscript"/>
        </w:rPr>
        <w:t>base</w:t>
      </w:r>
      <w:r w:rsidRPr="00165C8E">
        <w:rPr>
          <w:rFonts w:cs="Arial"/>
          <w:szCs w:val="20"/>
        </w:rPr>
        <w:tab/>
        <w:t xml:space="preserve">= </w:t>
      </w:r>
      <w:r w:rsidR="005F6651">
        <w:rPr>
          <w:rFonts w:cs="Arial"/>
          <w:szCs w:val="20"/>
        </w:rPr>
        <w:t>Wattage of baseline case for CFL</w:t>
      </w:r>
      <w:r w:rsidR="00D55DE0">
        <w:rPr>
          <w:rFonts w:cs="Arial"/>
          <w:szCs w:val="20"/>
        </w:rPr>
        <w:t xml:space="preserve">. For general service lamps prior to EISA 2007 standards, use equivalent incandescent bulb wattage. For general service lamps past EISA 2007 standards, use new standards to determine wattage. See </w:t>
      </w:r>
      <w:r w:rsidR="007A1FB6">
        <w:fldChar w:fldCharType="begin"/>
      </w:r>
      <w:r w:rsidR="00D55DE0">
        <w:instrText xml:space="preserve"> REF _Ref285799707 \h </w:instrText>
      </w:r>
      <w:r w:rsidR="007A1FB6">
        <w:fldChar w:fldCharType="separate"/>
      </w:r>
      <w:r w:rsidR="00C0292F" w:rsidRPr="0042295A">
        <w:t xml:space="preserve">Table </w:t>
      </w:r>
      <w:r w:rsidR="00C0292F">
        <w:rPr>
          <w:noProof/>
        </w:rPr>
        <w:t>2</w:t>
      </w:r>
      <w:r w:rsidR="00C0292F">
        <w:noBreakHyphen/>
      </w:r>
      <w:r w:rsidR="00C0292F">
        <w:rPr>
          <w:noProof/>
        </w:rPr>
        <w:t>43</w:t>
      </w:r>
      <w:r w:rsidR="007A1FB6">
        <w:fldChar w:fldCharType="end"/>
      </w:r>
      <w:r w:rsidR="00D55DE0">
        <w:t>.</w:t>
      </w:r>
    </w:p>
    <w:p w:rsidR="005F6651" w:rsidRPr="005F6651" w:rsidRDefault="005F6651" w:rsidP="005F6651">
      <w:pPr>
        <w:pStyle w:val="Equation"/>
        <w:rPr>
          <w:rFonts w:cs="Arial"/>
          <w:szCs w:val="20"/>
        </w:rPr>
      </w:pPr>
      <w:r w:rsidRPr="00165C8E">
        <w:rPr>
          <w:rFonts w:cs="Arial"/>
          <w:szCs w:val="20"/>
        </w:rPr>
        <w:tab/>
      </w:r>
      <w:r>
        <w:rPr>
          <w:rFonts w:cs="Arial"/>
          <w:szCs w:val="20"/>
        </w:rPr>
        <w:t>Watts</w:t>
      </w:r>
      <w:r>
        <w:rPr>
          <w:rFonts w:cs="Arial"/>
          <w:szCs w:val="20"/>
          <w:vertAlign w:val="subscript"/>
        </w:rPr>
        <w:t>CFL</w:t>
      </w:r>
      <w:r w:rsidRPr="00165C8E">
        <w:rPr>
          <w:rFonts w:cs="Arial"/>
          <w:szCs w:val="20"/>
        </w:rPr>
        <w:tab/>
        <w:t xml:space="preserve">= </w:t>
      </w:r>
      <w:r>
        <w:rPr>
          <w:rFonts w:cs="Arial"/>
          <w:szCs w:val="20"/>
        </w:rPr>
        <w:t>Wattage of CFL</w:t>
      </w:r>
    </w:p>
    <w:p w:rsidR="00CB79AB" w:rsidRPr="00165C8E" w:rsidRDefault="00CB79AB" w:rsidP="00CB79AB">
      <w:pPr>
        <w:pStyle w:val="Equation"/>
        <w:rPr>
          <w:rFonts w:cs="Arial"/>
          <w:szCs w:val="20"/>
        </w:rPr>
      </w:pPr>
      <w:r w:rsidRPr="00165C8E">
        <w:rPr>
          <w:rFonts w:cs="Arial"/>
          <w:szCs w:val="20"/>
        </w:rPr>
        <w:tab/>
        <w:t>CFL</w:t>
      </w:r>
      <w:r w:rsidRPr="00165C8E">
        <w:rPr>
          <w:rFonts w:cs="Arial"/>
          <w:szCs w:val="20"/>
          <w:vertAlign w:val="subscript"/>
        </w:rPr>
        <w:t>hours</w:t>
      </w:r>
      <w:r w:rsidRPr="00165C8E">
        <w:rPr>
          <w:rFonts w:cs="Arial"/>
          <w:szCs w:val="20"/>
        </w:rPr>
        <w:t xml:space="preserve"> </w:t>
      </w:r>
      <w:r w:rsidRPr="00165C8E">
        <w:rPr>
          <w:rFonts w:cs="Arial"/>
          <w:szCs w:val="20"/>
        </w:rPr>
        <w:tab/>
        <w:t>= Average hours of use per day per CFL</w:t>
      </w:r>
    </w:p>
    <w:p w:rsidR="00CB79AB" w:rsidRPr="00FF69CD" w:rsidRDefault="00CB79AB" w:rsidP="00CB79AB">
      <w:pPr>
        <w:pStyle w:val="Equation"/>
        <w:rPr>
          <w:rFonts w:cs="Arial"/>
          <w:szCs w:val="20"/>
        </w:rPr>
      </w:pPr>
      <w:r w:rsidRPr="00165C8E">
        <w:rPr>
          <w:rFonts w:cs="Arial"/>
          <w:szCs w:val="20"/>
        </w:rPr>
        <w:tab/>
        <w:t>ISR</w:t>
      </w:r>
      <w:r w:rsidRPr="00165C8E">
        <w:rPr>
          <w:rFonts w:cs="Arial"/>
          <w:szCs w:val="20"/>
          <w:vertAlign w:val="subscript"/>
        </w:rPr>
        <w:t>CFL</w:t>
      </w:r>
      <w:r w:rsidRPr="00165C8E">
        <w:rPr>
          <w:rFonts w:cs="Arial"/>
          <w:szCs w:val="20"/>
        </w:rPr>
        <w:t xml:space="preserve"> </w:t>
      </w:r>
      <w:r w:rsidRPr="00165C8E">
        <w:rPr>
          <w:rFonts w:cs="Arial"/>
          <w:szCs w:val="20"/>
        </w:rPr>
        <w:tab/>
        <w:t>= In-service rate per CFL</w:t>
      </w:r>
      <w:r w:rsidR="00FF69CD">
        <w:rPr>
          <w:rFonts w:cs="Arial"/>
          <w:szCs w:val="20"/>
        </w:rPr>
        <w:t xml:space="preserve">. </w:t>
      </w:r>
    </w:p>
    <w:p w:rsidR="00CB79AB" w:rsidRPr="00165C8E" w:rsidRDefault="00CB79AB" w:rsidP="00CB79AB">
      <w:pPr>
        <w:pStyle w:val="Equation"/>
        <w:rPr>
          <w:rFonts w:cs="Arial"/>
          <w:szCs w:val="20"/>
        </w:rPr>
      </w:pPr>
      <w:r w:rsidRPr="00165C8E">
        <w:rPr>
          <w:rFonts w:cs="Arial"/>
          <w:szCs w:val="20"/>
        </w:rPr>
        <w:tab/>
        <w:t>Torch</w:t>
      </w:r>
      <w:r w:rsidRPr="00165C8E">
        <w:rPr>
          <w:rFonts w:cs="Arial"/>
          <w:szCs w:val="20"/>
          <w:vertAlign w:val="subscript"/>
        </w:rPr>
        <w:t>watts</w:t>
      </w:r>
      <w:r w:rsidRPr="00165C8E">
        <w:rPr>
          <w:rFonts w:cs="Arial"/>
          <w:szCs w:val="20"/>
        </w:rPr>
        <w:t xml:space="preserve"> </w:t>
      </w:r>
      <w:r w:rsidRPr="00165C8E">
        <w:rPr>
          <w:rFonts w:cs="Arial"/>
          <w:szCs w:val="20"/>
        </w:rPr>
        <w:tab/>
        <w:t xml:space="preserve">= Average delta watts per purchased </w:t>
      </w:r>
      <w:r w:rsidR="00325EF4" w:rsidRPr="00165C8E">
        <w:rPr>
          <w:rFonts w:cs="Arial"/>
          <w:smallCaps/>
          <w:szCs w:val="20"/>
        </w:rPr>
        <w:t>ENERGY STAR</w:t>
      </w:r>
      <w:r w:rsidRPr="00165C8E">
        <w:rPr>
          <w:rFonts w:cs="Arial"/>
          <w:smallCaps/>
          <w:szCs w:val="20"/>
        </w:rPr>
        <w:t xml:space="preserve"> </w:t>
      </w:r>
      <w:r w:rsidRPr="00165C8E">
        <w:rPr>
          <w:rFonts w:cs="Arial"/>
          <w:szCs w:val="20"/>
        </w:rPr>
        <w:t>torchiere</w:t>
      </w:r>
    </w:p>
    <w:p w:rsidR="00CB79AB" w:rsidRPr="00165C8E" w:rsidRDefault="00CB79AB" w:rsidP="00CB79AB">
      <w:pPr>
        <w:pStyle w:val="Equation"/>
        <w:rPr>
          <w:rFonts w:cs="Arial"/>
          <w:szCs w:val="20"/>
        </w:rPr>
      </w:pPr>
      <w:r w:rsidRPr="00165C8E">
        <w:rPr>
          <w:rFonts w:cs="Arial"/>
          <w:szCs w:val="20"/>
        </w:rPr>
        <w:tab/>
        <w:t>Torch</w:t>
      </w:r>
      <w:r w:rsidRPr="00165C8E">
        <w:rPr>
          <w:rFonts w:cs="Arial"/>
          <w:szCs w:val="20"/>
          <w:vertAlign w:val="subscript"/>
        </w:rPr>
        <w:t>hours</w:t>
      </w:r>
      <w:r w:rsidRPr="00165C8E">
        <w:rPr>
          <w:rFonts w:cs="Arial"/>
          <w:szCs w:val="20"/>
        </w:rPr>
        <w:t xml:space="preserve"> </w:t>
      </w:r>
      <w:r w:rsidRPr="00165C8E">
        <w:rPr>
          <w:rFonts w:cs="Arial"/>
          <w:szCs w:val="20"/>
        </w:rPr>
        <w:tab/>
        <w:t>= Average hours of use per day per torchiere</w:t>
      </w:r>
    </w:p>
    <w:p w:rsidR="00CB79AB" w:rsidRPr="00F11594" w:rsidRDefault="00CB79AB" w:rsidP="00CB79AB">
      <w:pPr>
        <w:pStyle w:val="Equation"/>
        <w:rPr>
          <w:rFonts w:cs="Arial"/>
          <w:szCs w:val="20"/>
        </w:rPr>
      </w:pPr>
      <w:r w:rsidRPr="00165C8E">
        <w:rPr>
          <w:rFonts w:cs="Arial"/>
          <w:szCs w:val="20"/>
        </w:rPr>
        <w:tab/>
        <w:t>ISR</w:t>
      </w:r>
      <w:r w:rsidRPr="00165C8E">
        <w:rPr>
          <w:rFonts w:cs="Arial"/>
          <w:szCs w:val="20"/>
          <w:vertAlign w:val="subscript"/>
        </w:rPr>
        <w:t>Torch</w:t>
      </w:r>
      <w:r w:rsidRPr="00165C8E">
        <w:rPr>
          <w:rFonts w:cs="Arial"/>
          <w:szCs w:val="20"/>
        </w:rPr>
        <w:t xml:space="preserve"> </w:t>
      </w:r>
      <w:r w:rsidRPr="00165C8E">
        <w:rPr>
          <w:rFonts w:cs="Arial"/>
          <w:szCs w:val="20"/>
        </w:rPr>
        <w:tab/>
        <w:t>= In-service rate per Torchier</w:t>
      </w:r>
      <w:r w:rsidR="00F11594">
        <w:rPr>
          <w:rFonts w:cs="Arial"/>
          <w:szCs w:val="20"/>
        </w:rPr>
        <w:t>e</w:t>
      </w:r>
    </w:p>
    <w:p w:rsidR="00CB79AB" w:rsidRPr="00165C8E" w:rsidRDefault="00CB79AB" w:rsidP="00CB79AB">
      <w:pPr>
        <w:pStyle w:val="Equation"/>
        <w:rPr>
          <w:rFonts w:cs="Arial"/>
          <w:szCs w:val="20"/>
        </w:rPr>
      </w:pPr>
      <w:r w:rsidRPr="00165C8E">
        <w:rPr>
          <w:rFonts w:cs="Arial"/>
          <w:szCs w:val="20"/>
        </w:rPr>
        <w:tab/>
        <w:t>IF</w:t>
      </w:r>
      <w:r w:rsidRPr="00165C8E">
        <w:rPr>
          <w:rFonts w:cs="Arial"/>
          <w:szCs w:val="20"/>
          <w:vertAlign w:val="subscript"/>
        </w:rPr>
        <w:t>watts</w:t>
      </w:r>
      <w:r w:rsidRPr="00165C8E">
        <w:rPr>
          <w:rFonts w:cs="Arial"/>
          <w:szCs w:val="20"/>
        </w:rPr>
        <w:t xml:space="preserve"> </w:t>
      </w:r>
      <w:r w:rsidRPr="00165C8E">
        <w:rPr>
          <w:rFonts w:cs="Arial"/>
          <w:szCs w:val="20"/>
        </w:rPr>
        <w:tab/>
        <w:t xml:space="preserve">= Average delta watts per purchased </w:t>
      </w:r>
      <w:r w:rsidR="00325EF4" w:rsidRPr="00165C8E">
        <w:rPr>
          <w:rFonts w:cs="Arial"/>
          <w:smallCaps/>
          <w:szCs w:val="20"/>
        </w:rPr>
        <w:t>ENERGY STAR</w:t>
      </w:r>
      <w:r w:rsidRPr="00165C8E">
        <w:rPr>
          <w:rFonts w:cs="Arial"/>
          <w:smallCaps/>
          <w:szCs w:val="20"/>
        </w:rPr>
        <w:t xml:space="preserve"> </w:t>
      </w:r>
      <w:r w:rsidRPr="00165C8E">
        <w:rPr>
          <w:rFonts w:cs="Arial"/>
          <w:szCs w:val="20"/>
        </w:rPr>
        <w:t>Indoor Fixture</w:t>
      </w:r>
    </w:p>
    <w:p w:rsidR="00CB79AB" w:rsidRPr="00165C8E" w:rsidRDefault="00CB79AB" w:rsidP="00CB79AB">
      <w:pPr>
        <w:pStyle w:val="Equation"/>
        <w:rPr>
          <w:rFonts w:cs="Arial"/>
          <w:szCs w:val="20"/>
        </w:rPr>
      </w:pPr>
      <w:r w:rsidRPr="00165C8E">
        <w:rPr>
          <w:rFonts w:cs="Arial"/>
          <w:szCs w:val="20"/>
        </w:rPr>
        <w:tab/>
        <w:t>IF</w:t>
      </w:r>
      <w:r w:rsidRPr="00165C8E">
        <w:rPr>
          <w:rFonts w:cs="Arial"/>
          <w:szCs w:val="20"/>
          <w:vertAlign w:val="subscript"/>
        </w:rPr>
        <w:t>hours</w:t>
      </w:r>
      <w:r w:rsidRPr="00165C8E">
        <w:rPr>
          <w:rFonts w:cs="Arial"/>
          <w:szCs w:val="20"/>
        </w:rPr>
        <w:t xml:space="preserve"> </w:t>
      </w:r>
      <w:r w:rsidRPr="00165C8E">
        <w:rPr>
          <w:rFonts w:cs="Arial"/>
          <w:szCs w:val="20"/>
        </w:rPr>
        <w:tab/>
        <w:t>= Average hours of use per day per Indoor Fixture</w:t>
      </w:r>
    </w:p>
    <w:p w:rsidR="00CB79AB" w:rsidRPr="00165C8E" w:rsidRDefault="00CB79AB" w:rsidP="00CB79AB">
      <w:pPr>
        <w:pStyle w:val="Equation"/>
        <w:rPr>
          <w:rFonts w:cs="Arial"/>
          <w:szCs w:val="20"/>
        </w:rPr>
      </w:pPr>
      <w:r w:rsidRPr="00165C8E">
        <w:rPr>
          <w:rFonts w:cs="Arial"/>
          <w:szCs w:val="20"/>
        </w:rPr>
        <w:tab/>
        <w:t>ISR</w:t>
      </w:r>
      <w:r w:rsidRPr="00165C8E">
        <w:rPr>
          <w:rFonts w:cs="Arial"/>
          <w:szCs w:val="20"/>
          <w:vertAlign w:val="subscript"/>
        </w:rPr>
        <w:t>IF</w:t>
      </w:r>
      <w:r w:rsidRPr="00165C8E">
        <w:rPr>
          <w:rFonts w:cs="Arial"/>
          <w:szCs w:val="20"/>
        </w:rPr>
        <w:t xml:space="preserve"> </w:t>
      </w:r>
      <w:r w:rsidRPr="00165C8E">
        <w:rPr>
          <w:rFonts w:cs="Arial"/>
          <w:szCs w:val="20"/>
        </w:rPr>
        <w:tab/>
        <w:t>= In-service rate per Indoor Fixture</w:t>
      </w:r>
    </w:p>
    <w:p w:rsidR="00CB79AB" w:rsidRPr="00165C8E" w:rsidRDefault="00CB79AB" w:rsidP="00CB79AB">
      <w:pPr>
        <w:pStyle w:val="Equation"/>
        <w:rPr>
          <w:rFonts w:cs="Arial"/>
          <w:szCs w:val="20"/>
        </w:rPr>
      </w:pPr>
      <w:r w:rsidRPr="00165C8E">
        <w:rPr>
          <w:rFonts w:cs="Arial"/>
          <w:szCs w:val="20"/>
        </w:rPr>
        <w:tab/>
        <w:t>OF</w:t>
      </w:r>
      <w:r w:rsidRPr="00165C8E">
        <w:rPr>
          <w:rFonts w:cs="Arial"/>
          <w:szCs w:val="20"/>
          <w:vertAlign w:val="subscript"/>
        </w:rPr>
        <w:t>watts</w:t>
      </w:r>
      <w:r w:rsidRPr="00165C8E">
        <w:rPr>
          <w:rFonts w:cs="Arial"/>
          <w:szCs w:val="20"/>
        </w:rPr>
        <w:t xml:space="preserve"> </w:t>
      </w:r>
      <w:r w:rsidRPr="00165C8E">
        <w:rPr>
          <w:rFonts w:cs="Arial"/>
          <w:szCs w:val="20"/>
        </w:rPr>
        <w:tab/>
        <w:t xml:space="preserve">= Average delta watts per purchased </w:t>
      </w:r>
      <w:r w:rsidR="00325EF4" w:rsidRPr="00165C8E">
        <w:rPr>
          <w:rFonts w:cs="Arial"/>
          <w:smallCaps/>
          <w:szCs w:val="20"/>
        </w:rPr>
        <w:t>ENERGY STAR</w:t>
      </w:r>
      <w:r w:rsidRPr="00165C8E">
        <w:rPr>
          <w:rFonts w:cs="Arial"/>
          <w:smallCaps/>
          <w:szCs w:val="20"/>
        </w:rPr>
        <w:t xml:space="preserve"> </w:t>
      </w:r>
      <w:r w:rsidRPr="00165C8E">
        <w:rPr>
          <w:rFonts w:cs="Arial"/>
          <w:szCs w:val="20"/>
        </w:rPr>
        <w:t>Outdoor Fixture</w:t>
      </w:r>
    </w:p>
    <w:p w:rsidR="00CB79AB" w:rsidRPr="00165C8E" w:rsidRDefault="00CB79AB" w:rsidP="00CB79AB">
      <w:pPr>
        <w:pStyle w:val="Equation"/>
        <w:rPr>
          <w:rFonts w:cs="Arial"/>
          <w:szCs w:val="20"/>
        </w:rPr>
      </w:pPr>
      <w:r w:rsidRPr="00165C8E">
        <w:rPr>
          <w:rFonts w:cs="Arial"/>
          <w:szCs w:val="20"/>
        </w:rPr>
        <w:tab/>
        <w:t>OF</w:t>
      </w:r>
      <w:r w:rsidRPr="00165C8E">
        <w:rPr>
          <w:rFonts w:cs="Arial"/>
          <w:szCs w:val="20"/>
          <w:vertAlign w:val="subscript"/>
        </w:rPr>
        <w:t>hours</w:t>
      </w:r>
      <w:r w:rsidRPr="00165C8E">
        <w:rPr>
          <w:rFonts w:cs="Arial"/>
          <w:szCs w:val="20"/>
        </w:rPr>
        <w:t xml:space="preserve"> </w:t>
      </w:r>
      <w:r w:rsidRPr="00165C8E">
        <w:rPr>
          <w:rFonts w:cs="Arial"/>
          <w:szCs w:val="20"/>
        </w:rPr>
        <w:tab/>
        <w:t>= Average hours of use per day per Outdoor Fixture</w:t>
      </w:r>
    </w:p>
    <w:p w:rsidR="00CB79AB" w:rsidRPr="00165C8E" w:rsidRDefault="00F47DC4" w:rsidP="00CB79AB">
      <w:pPr>
        <w:pStyle w:val="Equation"/>
        <w:rPr>
          <w:rFonts w:cs="Arial"/>
          <w:szCs w:val="20"/>
        </w:rPr>
      </w:pPr>
      <w:r w:rsidRPr="00165C8E">
        <w:rPr>
          <w:rFonts w:cs="Arial"/>
          <w:szCs w:val="20"/>
        </w:rPr>
        <w:tab/>
      </w:r>
      <w:r w:rsidR="00CB79AB" w:rsidRPr="00165C8E">
        <w:rPr>
          <w:rFonts w:cs="Arial"/>
          <w:szCs w:val="20"/>
        </w:rPr>
        <w:t>ISR</w:t>
      </w:r>
      <w:r w:rsidR="00CB79AB" w:rsidRPr="00165C8E">
        <w:rPr>
          <w:rFonts w:cs="Arial"/>
          <w:szCs w:val="20"/>
          <w:vertAlign w:val="subscript"/>
        </w:rPr>
        <w:t>OF</w:t>
      </w:r>
      <w:r w:rsidR="00CB79AB" w:rsidRPr="00165C8E">
        <w:rPr>
          <w:rFonts w:cs="Arial"/>
          <w:szCs w:val="20"/>
        </w:rPr>
        <w:t xml:space="preserve"> </w:t>
      </w:r>
      <w:r w:rsidRPr="00165C8E">
        <w:rPr>
          <w:rFonts w:cs="Arial"/>
          <w:szCs w:val="20"/>
        </w:rPr>
        <w:tab/>
      </w:r>
      <w:r w:rsidR="00CB79AB" w:rsidRPr="00165C8E">
        <w:rPr>
          <w:rFonts w:cs="Arial"/>
          <w:szCs w:val="20"/>
        </w:rPr>
        <w:t>= In-service rate per Outdoor Fixture</w:t>
      </w:r>
    </w:p>
    <w:p w:rsidR="00CB79AB" w:rsidRPr="00165C8E" w:rsidRDefault="00CB79AB" w:rsidP="00CB79AB">
      <w:pPr>
        <w:pStyle w:val="Equation"/>
        <w:rPr>
          <w:rFonts w:cs="Arial"/>
          <w:szCs w:val="20"/>
        </w:rPr>
      </w:pPr>
      <w:r w:rsidRPr="00165C8E">
        <w:rPr>
          <w:rFonts w:cs="Arial"/>
          <w:szCs w:val="20"/>
        </w:rPr>
        <w:tab/>
        <w:t xml:space="preserve">CF </w:t>
      </w:r>
      <w:r w:rsidRPr="00165C8E">
        <w:rPr>
          <w:rFonts w:cs="Arial"/>
          <w:szCs w:val="20"/>
        </w:rPr>
        <w:tab/>
        <w:t xml:space="preserve">= </w:t>
      </w:r>
      <w:r w:rsidR="005478EE" w:rsidRPr="00165C8E">
        <w:rPr>
          <w:rFonts w:cs="Arial"/>
          <w:szCs w:val="20"/>
        </w:rPr>
        <w:t>Demand Coincidence Factor (See Section 1.4)</w:t>
      </w:r>
    </w:p>
    <w:p w:rsidR="00CB79AB" w:rsidRPr="00165C8E" w:rsidRDefault="00CB79AB" w:rsidP="00CB79AB">
      <w:pPr>
        <w:pStyle w:val="Equation"/>
        <w:rPr>
          <w:rFonts w:cs="Arial"/>
          <w:szCs w:val="20"/>
        </w:rPr>
      </w:pPr>
      <w:r w:rsidRPr="00165C8E">
        <w:rPr>
          <w:rFonts w:cs="Arial"/>
          <w:szCs w:val="20"/>
        </w:rPr>
        <w:tab/>
      </w:r>
      <w:r w:rsidRPr="00165C8E">
        <w:rPr>
          <w:rFonts w:cs="Arial"/>
          <w:szCs w:val="20"/>
        </w:rPr>
        <w:sym w:font="Symbol" w:char="F044"/>
      </w:r>
      <w:r w:rsidRPr="00165C8E">
        <w:rPr>
          <w:rFonts w:cs="Arial"/>
          <w:szCs w:val="20"/>
        </w:rPr>
        <w:t>kWh</w:t>
      </w:r>
      <w:r w:rsidRPr="00165C8E">
        <w:rPr>
          <w:rFonts w:cs="Arial"/>
          <w:szCs w:val="20"/>
          <w:vertAlign w:val="subscript"/>
        </w:rPr>
        <w:t xml:space="preserve"> </w:t>
      </w:r>
      <w:r w:rsidRPr="00165C8E">
        <w:rPr>
          <w:rFonts w:cs="Arial"/>
          <w:szCs w:val="20"/>
          <w:vertAlign w:val="subscript"/>
        </w:rPr>
        <w:tab/>
      </w:r>
      <w:r w:rsidRPr="00165C8E">
        <w:rPr>
          <w:rFonts w:cs="Arial"/>
          <w:szCs w:val="20"/>
        </w:rPr>
        <w:t>= Gross customer annual kWh savings for the measure</w:t>
      </w:r>
    </w:p>
    <w:p w:rsidR="00CB79AB" w:rsidRPr="00165C8E" w:rsidRDefault="00CB79AB" w:rsidP="00CB79AB">
      <w:pPr>
        <w:pStyle w:val="Equation"/>
        <w:rPr>
          <w:rFonts w:cs="Arial"/>
          <w:szCs w:val="20"/>
        </w:rPr>
      </w:pPr>
      <w:r w:rsidRPr="00165C8E">
        <w:rPr>
          <w:rFonts w:cs="Arial"/>
          <w:szCs w:val="20"/>
        </w:rPr>
        <w:tab/>
      </w:r>
      <w:r w:rsidRPr="00165C8E">
        <w:rPr>
          <w:rFonts w:cs="Arial"/>
          <w:szCs w:val="20"/>
        </w:rPr>
        <w:sym w:font="Symbol" w:char="F044"/>
      </w:r>
      <w:r w:rsidRPr="00165C8E">
        <w:rPr>
          <w:rFonts w:cs="Arial"/>
          <w:szCs w:val="20"/>
        </w:rPr>
        <w:t>kW</w:t>
      </w:r>
      <w:r w:rsidRPr="00165C8E">
        <w:rPr>
          <w:rFonts w:cs="Arial"/>
          <w:szCs w:val="20"/>
          <w:vertAlign w:val="subscript"/>
        </w:rPr>
        <w:t xml:space="preserve"> </w:t>
      </w:r>
      <w:r w:rsidRPr="00165C8E">
        <w:rPr>
          <w:rFonts w:cs="Arial"/>
          <w:szCs w:val="20"/>
          <w:vertAlign w:val="subscript"/>
        </w:rPr>
        <w:tab/>
      </w:r>
      <w:r w:rsidRPr="00165C8E">
        <w:rPr>
          <w:rFonts w:cs="Arial"/>
          <w:szCs w:val="20"/>
        </w:rPr>
        <w:t>= Gross customer connected load kW savings for the measure</w:t>
      </w:r>
    </w:p>
    <w:p w:rsidR="00CB79AB" w:rsidRDefault="00CB79AB" w:rsidP="00100EDF">
      <w:pPr>
        <w:pStyle w:val="Caption"/>
      </w:pPr>
      <w:bookmarkStart w:id="446" w:name="_Toc310875528"/>
      <w:r>
        <w:lastRenderedPageBreak/>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42</w:t>
      </w:r>
      <w:r w:rsidR="00274AB1">
        <w:rPr>
          <w:noProof/>
        </w:rPr>
        <w:fldChar w:fldCharType="end"/>
      </w:r>
      <w:r>
        <w:t>: ENERGY STAR Lighting - References</w:t>
      </w:r>
      <w:bookmarkEnd w:id="446"/>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
      <w:tblGrid>
        <w:gridCol w:w="2160"/>
        <w:gridCol w:w="1530"/>
        <w:gridCol w:w="2790"/>
        <w:gridCol w:w="2160"/>
      </w:tblGrid>
      <w:tr w:rsidR="00D43CE5" w:rsidRPr="006E01C9" w:rsidTr="005F6651">
        <w:trPr>
          <w:trHeight w:val="317"/>
          <w:jc w:val="center"/>
        </w:trPr>
        <w:tc>
          <w:tcPr>
            <w:tcW w:w="2160" w:type="dxa"/>
            <w:shd w:val="clear" w:color="auto" w:fill="BFBFBF"/>
          </w:tcPr>
          <w:p w:rsidR="00CB79AB" w:rsidRPr="001D6512" w:rsidRDefault="00CB79AB" w:rsidP="00C3606E">
            <w:pPr>
              <w:pStyle w:val="TableCell"/>
              <w:spacing w:before="60" w:after="60"/>
              <w:rPr>
                <w:b/>
              </w:rPr>
            </w:pPr>
            <w:r w:rsidRPr="001D6512">
              <w:rPr>
                <w:b/>
              </w:rPr>
              <w:t>Component</w:t>
            </w:r>
          </w:p>
        </w:tc>
        <w:tc>
          <w:tcPr>
            <w:tcW w:w="1530" w:type="dxa"/>
            <w:shd w:val="clear" w:color="auto" w:fill="BFBFBF"/>
          </w:tcPr>
          <w:p w:rsidR="00CB79AB" w:rsidRPr="001D6512" w:rsidRDefault="00CB79AB" w:rsidP="00C3606E">
            <w:pPr>
              <w:pStyle w:val="TableCell"/>
              <w:spacing w:before="60" w:after="60"/>
              <w:rPr>
                <w:b/>
              </w:rPr>
            </w:pPr>
            <w:r w:rsidRPr="001D6512">
              <w:rPr>
                <w:b/>
              </w:rPr>
              <w:t>Type</w:t>
            </w:r>
          </w:p>
        </w:tc>
        <w:tc>
          <w:tcPr>
            <w:tcW w:w="2790" w:type="dxa"/>
            <w:shd w:val="clear" w:color="auto" w:fill="BFBFBF"/>
          </w:tcPr>
          <w:p w:rsidR="00CB79AB" w:rsidRPr="001D6512" w:rsidRDefault="00CB79AB" w:rsidP="00C3606E">
            <w:pPr>
              <w:pStyle w:val="TableCell"/>
              <w:spacing w:before="60" w:after="60"/>
              <w:rPr>
                <w:b/>
              </w:rPr>
            </w:pPr>
            <w:r w:rsidRPr="001D6512">
              <w:rPr>
                <w:b/>
              </w:rPr>
              <w:t>Value</w:t>
            </w:r>
          </w:p>
        </w:tc>
        <w:tc>
          <w:tcPr>
            <w:tcW w:w="2160" w:type="dxa"/>
            <w:shd w:val="clear" w:color="auto" w:fill="BFBFBF"/>
          </w:tcPr>
          <w:p w:rsidR="00CB79AB" w:rsidRPr="001D6512" w:rsidRDefault="00CB79AB" w:rsidP="00C3606E">
            <w:pPr>
              <w:pStyle w:val="TableCell"/>
              <w:spacing w:before="60" w:after="60"/>
              <w:rPr>
                <w:b/>
              </w:rPr>
            </w:pPr>
            <w:r w:rsidRPr="001D6512">
              <w:rPr>
                <w:b/>
              </w:rPr>
              <w:t>Sources</w:t>
            </w:r>
          </w:p>
        </w:tc>
      </w:tr>
      <w:tr w:rsidR="00D43CE5" w:rsidRPr="00B36FB8" w:rsidTr="005F6651">
        <w:trPr>
          <w:trHeight w:val="317"/>
          <w:jc w:val="center"/>
        </w:trPr>
        <w:tc>
          <w:tcPr>
            <w:tcW w:w="2160" w:type="dxa"/>
            <w:shd w:val="clear" w:color="auto" w:fill="auto"/>
          </w:tcPr>
          <w:p w:rsidR="00CB79AB" w:rsidRPr="001D6512" w:rsidRDefault="005F6651" w:rsidP="00C3606E">
            <w:pPr>
              <w:pStyle w:val="TableCell"/>
              <w:spacing w:before="60" w:after="60"/>
              <w:rPr>
                <w:vertAlign w:val="subscript"/>
              </w:rPr>
            </w:pPr>
            <w:r w:rsidRPr="001D6512">
              <w:t>Watts</w:t>
            </w:r>
            <w:r w:rsidRPr="001D6512">
              <w:rPr>
                <w:vertAlign w:val="subscript"/>
              </w:rPr>
              <w:t>base</w:t>
            </w:r>
          </w:p>
        </w:tc>
        <w:tc>
          <w:tcPr>
            <w:tcW w:w="1530" w:type="dxa"/>
            <w:shd w:val="clear" w:color="auto" w:fill="auto"/>
          </w:tcPr>
          <w:p w:rsidR="00CB79AB" w:rsidRPr="001D6512" w:rsidRDefault="005F6651" w:rsidP="00C3606E">
            <w:pPr>
              <w:pStyle w:val="TableCell"/>
              <w:spacing w:before="60" w:after="60"/>
            </w:pPr>
            <w:r w:rsidRPr="001D6512">
              <w:t>Variable</w:t>
            </w:r>
          </w:p>
        </w:tc>
        <w:tc>
          <w:tcPr>
            <w:tcW w:w="2790" w:type="dxa"/>
            <w:shd w:val="clear" w:color="auto" w:fill="auto"/>
          </w:tcPr>
          <w:p w:rsidR="00CB79AB" w:rsidRPr="001D6512" w:rsidRDefault="005F6651" w:rsidP="00C3606E">
            <w:pPr>
              <w:pStyle w:val="TableCell"/>
              <w:spacing w:before="60" w:after="60"/>
            </w:pPr>
            <w:r w:rsidRPr="001D6512">
              <w:t xml:space="preserve">See </w:t>
            </w:r>
            <w:r w:rsidR="007A1FB6" w:rsidRPr="001D6512">
              <w:fldChar w:fldCharType="begin"/>
            </w:r>
            <w:r w:rsidRPr="001D6512">
              <w:instrText xml:space="preserve"> REF _Ref285799707 \h </w:instrText>
            </w:r>
            <w:r w:rsidR="007A1FB6" w:rsidRPr="001D6512">
              <w:fldChar w:fldCharType="separate"/>
            </w:r>
            <w:r w:rsidR="00C0292F" w:rsidRPr="0042295A">
              <w:t xml:space="preserve">Table </w:t>
            </w:r>
            <w:r w:rsidR="00C0292F">
              <w:rPr>
                <w:noProof/>
              </w:rPr>
              <w:t>2</w:t>
            </w:r>
            <w:r w:rsidR="00C0292F">
              <w:noBreakHyphen/>
            </w:r>
            <w:r w:rsidR="00C0292F">
              <w:rPr>
                <w:noProof/>
              </w:rPr>
              <w:t>43</w:t>
            </w:r>
            <w:r w:rsidR="007A1FB6" w:rsidRPr="001D6512">
              <w:fldChar w:fldCharType="end"/>
            </w:r>
          </w:p>
        </w:tc>
        <w:tc>
          <w:tcPr>
            <w:tcW w:w="2160" w:type="dxa"/>
            <w:shd w:val="clear" w:color="auto" w:fill="auto"/>
          </w:tcPr>
          <w:p w:rsidR="00CB79AB" w:rsidRPr="001D6512" w:rsidRDefault="007A1FB6" w:rsidP="00C3606E">
            <w:pPr>
              <w:pStyle w:val="TableCell"/>
              <w:spacing w:before="60" w:after="60"/>
            </w:pPr>
            <w:r w:rsidRPr="001D6512">
              <w:fldChar w:fldCharType="begin"/>
            </w:r>
            <w:r w:rsidR="005F6651" w:rsidRPr="001D6512">
              <w:instrText xml:space="preserve"> REF _Ref285799707 \h </w:instrText>
            </w:r>
            <w:r w:rsidRPr="001D6512">
              <w:fldChar w:fldCharType="separate"/>
            </w:r>
            <w:r w:rsidR="00C0292F" w:rsidRPr="0042295A">
              <w:t xml:space="preserve">Table </w:t>
            </w:r>
            <w:r w:rsidR="00C0292F">
              <w:rPr>
                <w:noProof/>
              </w:rPr>
              <w:t>2</w:t>
            </w:r>
            <w:r w:rsidR="00C0292F">
              <w:noBreakHyphen/>
            </w:r>
            <w:r w:rsidR="00C0292F">
              <w:rPr>
                <w:noProof/>
              </w:rPr>
              <w:t>43</w:t>
            </w:r>
            <w:r w:rsidRPr="001D6512">
              <w:fldChar w:fldCharType="end"/>
            </w:r>
          </w:p>
        </w:tc>
      </w:tr>
      <w:tr w:rsidR="005F6651" w:rsidRPr="00B36FB8" w:rsidTr="005F6651">
        <w:trPr>
          <w:trHeight w:val="317"/>
          <w:jc w:val="center"/>
        </w:trPr>
        <w:tc>
          <w:tcPr>
            <w:tcW w:w="2160" w:type="dxa"/>
            <w:shd w:val="clear" w:color="auto" w:fill="auto"/>
          </w:tcPr>
          <w:p w:rsidR="005F6651" w:rsidRPr="001D6512" w:rsidDel="005F6651" w:rsidRDefault="005F6651" w:rsidP="00C3606E">
            <w:pPr>
              <w:pStyle w:val="TableCell"/>
              <w:spacing w:before="60" w:after="60"/>
              <w:rPr>
                <w:vertAlign w:val="subscript"/>
              </w:rPr>
            </w:pPr>
            <w:r w:rsidRPr="001D6512">
              <w:t>Watts</w:t>
            </w:r>
            <w:r w:rsidRPr="001D6512">
              <w:rPr>
                <w:vertAlign w:val="subscript"/>
              </w:rPr>
              <w:t>CFL</w:t>
            </w:r>
          </w:p>
        </w:tc>
        <w:tc>
          <w:tcPr>
            <w:tcW w:w="1530" w:type="dxa"/>
            <w:shd w:val="clear" w:color="auto" w:fill="auto"/>
          </w:tcPr>
          <w:p w:rsidR="005F6651" w:rsidRPr="001D6512" w:rsidDel="005F6651" w:rsidRDefault="005F6651" w:rsidP="00C3606E">
            <w:pPr>
              <w:pStyle w:val="TableCell"/>
              <w:spacing w:before="60" w:after="60"/>
            </w:pPr>
            <w:r w:rsidRPr="001D6512">
              <w:t>Variable</w:t>
            </w:r>
          </w:p>
        </w:tc>
        <w:tc>
          <w:tcPr>
            <w:tcW w:w="2790" w:type="dxa"/>
            <w:shd w:val="clear" w:color="auto" w:fill="auto"/>
          </w:tcPr>
          <w:p w:rsidR="005F6651" w:rsidRPr="001D6512" w:rsidRDefault="005F6651" w:rsidP="00C3606E">
            <w:pPr>
              <w:pStyle w:val="TableCell"/>
              <w:spacing w:before="60" w:after="60"/>
            </w:pPr>
            <w:r w:rsidRPr="001D6512">
              <w:t>Data Gathering</w:t>
            </w:r>
          </w:p>
        </w:tc>
        <w:tc>
          <w:tcPr>
            <w:tcW w:w="2160" w:type="dxa"/>
            <w:shd w:val="clear" w:color="auto" w:fill="auto"/>
          </w:tcPr>
          <w:p w:rsidR="005F6651" w:rsidRPr="001D6512" w:rsidRDefault="005F6651" w:rsidP="00C3606E">
            <w:pPr>
              <w:pStyle w:val="TableCell"/>
              <w:spacing w:before="60" w:after="60"/>
            </w:pPr>
            <w:r w:rsidRPr="001D6512">
              <w:t>Data Gathering</w:t>
            </w:r>
          </w:p>
        </w:tc>
      </w:tr>
      <w:tr w:rsidR="005F6651" w:rsidRPr="00B36FB8" w:rsidTr="005F6651">
        <w:trPr>
          <w:trHeight w:val="317"/>
          <w:jc w:val="center"/>
        </w:trPr>
        <w:tc>
          <w:tcPr>
            <w:tcW w:w="2160" w:type="dxa"/>
            <w:shd w:val="clear" w:color="auto" w:fill="auto"/>
          </w:tcPr>
          <w:p w:rsidR="005F6651" w:rsidRPr="001D6512" w:rsidRDefault="005F6651" w:rsidP="00C3606E">
            <w:pPr>
              <w:pStyle w:val="TableCell"/>
              <w:spacing w:before="60" w:after="60"/>
            </w:pPr>
            <w:r w:rsidRPr="001D6512">
              <w:t>CFL</w:t>
            </w:r>
            <w:r w:rsidRPr="001D6512">
              <w:rPr>
                <w:vertAlign w:val="subscript"/>
              </w:rPr>
              <w:t>hours</w:t>
            </w:r>
          </w:p>
        </w:tc>
        <w:tc>
          <w:tcPr>
            <w:tcW w:w="1530" w:type="dxa"/>
            <w:shd w:val="clear" w:color="auto" w:fill="auto"/>
          </w:tcPr>
          <w:p w:rsidR="005F6651" w:rsidRPr="001D6512" w:rsidRDefault="005F6651" w:rsidP="00C3606E">
            <w:pPr>
              <w:pStyle w:val="TableCell"/>
              <w:spacing w:before="60" w:after="60"/>
            </w:pPr>
            <w:r w:rsidRPr="001D6512">
              <w:t>Fixed</w:t>
            </w:r>
          </w:p>
        </w:tc>
        <w:tc>
          <w:tcPr>
            <w:tcW w:w="2790" w:type="dxa"/>
            <w:shd w:val="clear" w:color="auto" w:fill="auto"/>
          </w:tcPr>
          <w:p w:rsidR="005F6651" w:rsidRPr="001D6512" w:rsidRDefault="005F6651" w:rsidP="00C3606E">
            <w:pPr>
              <w:pStyle w:val="TableCell"/>
              <w:spacing w:before="60" w:after="60"/>
            </w:pPr>
            <w:r w:rsidRPr="001D6512">
              <w:t>3.0</w:t>
            </w:r>
          </w:p>
        </w:tc>
        <w:tc>
          <w:tcPr>
            <w:tcW w:w="2160" w:type="dxa"/>
            <w:shd w:val="clear" w:color="auto" w:fill="auto"/>
          </w:tcPr>
          <w:p w:rsidR="005F6651" w:rsidRPr="001D6512" w:rsidRDefault="005F6651" w:rsidP="00C3606E">
            <w:pPr>
              <w:pStyle w:val="TableCell"/>
              <w:spacing w:before="60" w:after="60"/>
            </w:pPr>
            <w:r w:rsidRPr="001D6512">
              <w:t>6</w:t>
            </w:r>
          </w:p>
        </w:tc>
      </w:tr>
      <w:tr w:rsidR="005F6651" w:rsidRPr="00B36FB8" w:rsidTr="005F6651">
        <w:trPr>
          <w:trHeight w:val="317"/>
          <w:jc w:val="center"/>
        </w:trPr>
        <w:tc>
          <w:tcPr>
            <w:tcW w:w="2160" w:type="dxa"/>
            <w:shd w:val="clear" w:color="auto" w:fill="auto"/>
          </w:tcPr>
          <w:p w:rsidR="005F6651" w:rsidRPr="001D6512" w:rsidRDefault="005F6651" w:rsidP="00C3606E">
            <w:pPr>
              <w:pStyle w:val="TableCell"/>
              <w:spacing w:before="60" w:after="60"/>
            </w:pPr>
            <w:r w:rsidRPr="001D6512">
              <w:t>ISR</w:t>
            </w:r>
            <w:r w:rsidRPr="001D6512">
              <w:rPr>
                <w:vertAlign w:val="subscript"/>
              </w:rPr>
              <w:t>CFL</w:t>
            </w:r>
          </w:p>
        </w:tc>
        <w:tc>
          <w:tcPr>
            <w:tcW w:w="1530" w:type="dxa"/>
            <w:shd w:val="clear" w:color="auto" w:fill="auto"/>
          </w:tcPr>
          <w:p w:rsidR="005F6651" w:rsidRPr="001D6512" w:rsidRDefault="005F6651" w:rsidP="00C3606E">
            <w:pPr>
              <w:pStyle w:val="TableCell"/>
              <w:spacing w:before="60" w:after="60"/>
            </w:pPr>
            <w:r w:rsidRPr="001D6512">
              <w:t>Fixed</w:t>
            </w:r>
          </w:p>
        </w:tc>
        <w:tc>
          <w:tcPr>
            <w:tcW w:w="2790" w:type="dxa"/>
            <w:shd w:val="clear" w:color="auto" w:fill="auto"/>
          </w:tcPr>
          <w:p w:rsidR="00FF69CD" w:rsidRPr="001D6512" w:rsidRDefault="005F6651" w:rsidP="00C3606E">
            <w:pPr>
              <w:pStyle w:val="TableCell"/>
              <w:spacing w:before="60" w:after="60"/>
            </w:pPr>
            <w:r w:rsidRPr="001D6512">
              <w:t>84%</w:t>
            </w:r>
            <w:r w:rsidR="00FF69CD" w:rsidRPr="001D6512">
              <w:rPr>
                <w:rStyle w:val="FootnoteReference"/>
              </w:rPr>
              <w:footnoteReference w:id="88"/>
            </w:r>
          </w:p>
        </w:tc>
        <w:tc>
          <w:tcPr>
            <w:tcW w:w="2160" w:type="dxa"/>
            <w:shd w:val="clear" w:color="auto" w:fill="auto"/>
          </w:tcPr>
          <w:p w:rsidR="005F6651" w:rsidRPr="001D6512" w:rsidRDefault="005F6651" w:rsidP="00C3606E">
            <w:pPr>
              <w:pStyle w:val="TableCell"/>
              <w:spacing w:before="60" w:after="60"/>
            </w:pPr>
            <w:r w:rsidRPr="001D6512">
              <w:t>3</w:t>
            </w:r>
          </w:p>
        </w:tc>
      </w:tr>
      <w:tr w:rsidR="005F6651" w:rsidRPr="00B36FB8" w:rsidTr="005F6651">
        <w:trPr>
          <w:trHeight w:val="317"/>
          <w:jc w:val="center"/>
        </w:trPr>
        <w:tc>
          <w:tcPr>
            <w:tcW w:w="2160" w:type="dxa"/>
            <w:shd w:val="clear" w:color="auto" w:fill="auto"/>
          </w:tcPr>
          <w:p w:rsidR="005F6651" w:rsidRPr="001D6512" w:rsidRDefault="005F6651" w:rsidP="00C3606E">
            <w:pPr>
              <w:pStyle w:val="TableCell"/>
              <w:spacing w:before="60" w:after="60"/>
            </w:pPr>
            <w:r w:rsidRPr="001D6512">
              <w:t>Torch</w:t>
            </w:r>
            <w:r w:rsidRPr="001D6512">
              <w:rPr>
                <w:vertAlign w:val="subscript"/>
              </w:rPr>
              <w:t>watts</w:t>
            </w:r>
          </w:p>
        </w:tc>
        <w:tc>
          <w:tcPr>
            <w:tcW w:w="1530" w:type="dxa"/>
            <w:shd w:val="clear" w:color="auto" w:fill="auto"/>
          </w:tcPr>
          <w:p w:rsidR="005F6651" w:rsidRPr="001D6512" w:rsidRDefault="005F6651" w:rsidP="00C3606E">
            <w:pPr>
              <w:pStyle w:val="TableCell"/>
              <w:spacing w:before="60" w:after="60"/>
            </w:pPr>
            <w:r w:rsidRPr="001D6512">
              <w:t>Fixed</w:t>
            </w:r>
          </w:p>
        </w:tc>
        <w:tc>
          <w:tcPr>
            <w:tcW w:w="2790" w:type="dxa"/>
            <w:shd w:val="clear" w:color="auto" w:fill="auto"/>
          </w:tcPr>
          <w:p w:rsidR="005F6651" w:rsidRPr="001D6512" w:rsidRDefault="005F6651" w:rsidP="00C3606E">
            <w:pPr>
              <w:pStyle w:val="TableCell"/>
              <w:spacing w:before="60" w:after="60"/>
            </w:pPr>
            <w:r w:rsidRPr="001D6512">
              <w:t>115.8</w:t>
            </w:r>
          </w:p>
        </w:tc>
        <w:tc>
          <w:tcPr>
            <w:tcW w:w="2160" w:type="dxa"/>
            <w:shd w:val="clear" w:color="auto" w:fill="auto"/>
          </w:tcPr>
          <w:p w:rsidR="005F6651" w:rsidRPr="001D6512" w:rsidRDefault="005F6651" w:rsidP="00C3606E">
            <w:pPr>
              <w:pStyle w:val="TableCell"/>
              <w:spacing w:before="60" w:after="60"/>
            </w:pPr>
            <w:r w:rsidRPr="001D6512">
              <w:t>1</w:t>
            </w:r>
          </w:p>
        </w:tc>
      </w:tr>
      <w:tr w:rsidR="005F6651" w:rsidRPr="00B36FB8" w:rsidTr="005F6651">
        <w:trPr>
          <w:trHeight w:val="317"/>
          <w:jc w:val="center"/>
        </w:trPr>
        <w:tc>
          <w:tcPr>
            <w:tcW w:w="2160" w:type="dxa"/>
            <w:shd w:val="clear" w:color="auto" w:fill="auto"/>
          </w:tcPr>
          <w:p w:rsidR="005F6651" w:rsidRPr="001D6512" w:rsidRDefault="005F6651" w:rsidP="00C3606E">
            <w:pPr>
              <w:pStyle w:val="TableCell"/>
              <w:spacing w:before="60" w:after="60"/>
            </w:pPr>
            <w:r w:rsidRPr="001D6512">
              <w:t>Torch</w:t>
            </w:r>
            <w:r w:rsidRPr="001D6512">
              <w:rPr>
                <w:vertAlign w:val="subscript"/>
              </w:rPr>
              <w:t>hours</w:t>
            </w:r>
          </w:p>
        </w:tc>
        <w:tc>
          <w:tcPr>
            <w:tcW w:w="1530" w:type="dxa"/>
            <w:shd w:val="clear" w:color="auto" w:fill="auto"/>
          </w:tcPr>
          <w:p w:rsidR="005F6651" w:rsidRPr="001D6512" w:rsidRDefault="005F6651" w:rsidP="00C3606E">
            <w:pPr>
              <w:pStyle w:val="TableCell"/>
              <w:spacing w:before="60" w:after="60"/>
            </w:pPr>
            <w:r w:rsidRPr="001D6512">
              <w:t>Fixed</w:t>
            </w:r>
          </w:p>
        </w:tc>
        <w:tc>
          <w:tcPr>
            <w:tcW w:w="2790" w:type="dxa"/>
            <w:shd w:val="clear" w:color="auto" w:fill="auto"/>
          </w:tcPr>
          <w:p w:rsidR="005F6651" w:rsidRPr="001D6512" w:rsidRDefault="005F6651" w:rsidP="00C3606E">
            <w:pPr>
              <w:pStyle w:val="TableCell"/>
              <w:spacing w:before="60" w:after="60"/>
            </w:pPr>
            <w:r w:rsidRPr="001D6512">
              <w:t>3.0</w:t>
            </w:r>
          </w:p>
        </w:tc>
        <w:tc>
          <w:tcPr>
            <w:tcW w:w="2160" w:type="dxa"/>
            <w:shd w:val="clear" w:color="auto" w:fill="auto"/>
          </w:tcPr>
          <w:p w:rsidR="005F6651" w:rsidRPr="001D6512" w:rsidRDefault="005F6651" w:rsidP="00C3606E">
            <w:pPr>
              <w:pStyle w:val="TableCell"/>
              <w:spacing w:before="60" w:after="60"/>
            </w:pPr>
            <w:r w:rsidRPr="001D6512">
              <w:t>2</w:t>
            </w:r>
          </w:p>
        </w:tc>
      </w:tr>
      <w:tr w:rsidR="005F6651" w:rsidRPr="00B36FB8" w:rsidTr="005F6651">
        <w:trPr>
          <w:trHeight w:val="317"/>
          <w:jc w:val="center"/>
        </w:trPr>
        <w:tc>
          <w:tcPr>
            <w:tcW w:w="2160" w:type="dxa"/>
            <w:shd w:val="clear" w:color="auto" w:fill="auto"/>
          </w:tcPr>
          <w:p w:rsidR="005F6651" w:rsidRPr="001D6512" w:rsidRDefault="005F6651" w:rsidP="00C3606E">
            <w:pPr>
              <w:pStyle w:val="TableCell"/>
              <w:spacing w:before="60" w:after="60"/>
            </w:pPr>
            <w:r w:rsidRPr="001D6512">
              <w:t>ISR</w:t>
            </w:r>
            <w:r w:rsidRPr="001D6512">
              <w:rPr>
                <w:vertAlign w:val="subscript"/>
              </w:rPr>
              <w:t>Torch</w:t>
            </w:r>
          </w:p>
        </w:tc>
        <w:tc>
          <w:tcPr>
            <w:tcW w:w="1530" w:type="dxa"/>
            <w:shd w:val="clear" w:color="auto" w:fill="auto"/>
          </w:tcPr>
          <w:p w:rsidR="005F6651" w:rsidRPr="001D6512" w:rsidRDefault="005F6651" w:rsidP="00C3606E">
            <w:pPr>
              <w:pStyle w:val="TableCell"/>
              <w:spacing w:before="60" w:after="60"/>
            </w:pPr>
            <w:r w:rsidRPr="001D6512">
              <w:t>Fixed</w:t>
            </w:r>
          </w:p>
        </w:tc>
        <w:tc>
          <w:tcPr>
            <w:tcW w:w="2790" w:type="dxa"/>
            <w:shd w:val="clear" w:color="auto" w:fill="auto"/>
          </w:tcPr>
          <w:p w:rsidR="005F6651" w:rsidRPr="001D6512" w:rsidRDefault="005F6651" w:rsidP="00C3606E">
            <w:pPr>
              <w:pStyle w:val="TableCell"/>
              <w:spacing w:before="60" w:after="60"/>
            </w:pPr>
            <w:r w:rsidRPr="001D6512">
              <w:t>83%</w:t>
            </w:r>
          </w:p>
        </w:tc>
        <w:tc>
          <w:tcPr>
            <w:tcW w:w="2160" w:type="dxa"/>
            <w:shd w:val="clear" w:color="auto" w:fill="auto"/>
          </w:tcPr>
          <w:p w:rsidR="005F6651" w:rsidRPr="001D6512" w:rsidRDefault="005F6651" w:rsidP="00C3606E">
            <w:pPr>
              <w:pStyle w:val="TableCell"/>
              <w:spacing w:before="60" w:after="60"/>
            </w:pPr>
            <w:r w:rsidRPr="001D6512">
              <w:t>3</w:t>
            </w:r>
          </w:p>
        </w:tc>
      </w:tr>
      <w:tr w:rsidR="005F6651" w:rsidRPr="00B36FB8" w:rsidTr="005F6651">
        <w:trPr>
          <w:trHeight w:val="317"/>
          <w:jc w:val="center"/>
        </w:trPr>
        <w:tc>
          <w:tcPr>
            <w:tcW w:w="2160" w:type="dxa"/>
            <w:shd w:val="clear" w:color="auto" w:fill="auto"/>
          </w:tcPr>
          <w:p w:rsidR="005F6651" w:rsidRPr="001D6512" w:rsidRDefault="005F6651" w:rsidP="00C3606E">
            <w:pPr>
              <w:pStyle w:val="TableCell"/>
              <w:spacing w:before="60" w:after="60"/>
            </w:pPr>
            <w:r w:rsidRPr="001D6512">
              <w:t>IF</w:t>
            </w:r>
            <w:r w:rsidRPr="001D6512">
              <w:rPr>
                <w:vertAlign w:val="subscript"/>
              </w:rPr>
              <w:t>watts</w:t>
            </w:r>
          </w:p>
        </w:tc>
        <w:tc>
          <w:tcPr>
            <w:tcW w:w="1530" w:type="dxa"/>
            <w:shd w:val="clear" w:color="auto" w:fill="auto"/>
          </w:tcPr>
          <w:p w:rsidR="005F6651" w:rsidRPr="001D6512" w:rsidRDefault="005F6651" w:rsidP="00C3606E">
            <w:pPr>
              <w:pStyle w:val="TableCell"/>
              <w:spacing w:before="60" w:after="60"/>
            </w:pPr>
            <w:r w:rsidRPr="001D6512">
              <w:t>Fixed</w:t>
            </w:r>
          </w:p>
        </w:tc>
        <w:tc>
          <w:tcPr>
            <w:tcW w:w="2790" w:type="dxa"/>
            <w:shd w:val="clear" w:color="auto" w:fill="auto"/>
          </w:tcPr>
          <w:p w:rsidR="005F6651" w:rsidRPr="001D6512" w:rsidRDefault="005F6651" w:rsidP="00C3606E">
            <w:pPr>
              <w:pStyle w:val="TableCell"/>
              <w:spacing w:before="60" w:after="60"/>
            </w:pPr>
            <w:r w:rsidRPr="001D6512">
              <w:t>48.7</w:t>
            </w:r>
          </w:p>
        </w:tc>
        <w:tc>
          <w:tcPr>
            <w:tcW w:w="2160" w:type="dxa"/>
            <w:shd w:val="clear" w:color="auto" w:fill="auto"/>
          </w:tcPr>
          <w:p w:rsidR="005F6651" w:rsidRPr="001D6512" w:rsidRDefault="005F6651" w:rsidP="00C3606E">
            <w:pPr>
              <w:pStyle w:val="TableCell"/>
              <w:spacing w:before="60" w:after="60"/>
            </w:pPr>
            <w:r w:rsidRPr="001D6512">
              <w:t>1</w:t>
            </w:r>
          </w:p>
        </w:tc>
      </w:tr>
      <w:tr w:rsidR="005F6651" w:rsidRPr="00B36FB8" w:rsidTr="005F6651">
        <w:trPr>
          <w:trHeight w:val="317"/>
          <w:jc w:val="center"/>
        </w:trPr>
        <w:tc>
          <w:tcPr>
            <w:tcW w:w="2160" w:type="dxa"/>
            <w:shd w:val="clear" w:color="auto" w:fill="auto"/>
          </w:tcPr>
          <w:p w:rsidR="005F6651" w:rsidRPr="001D6512" w:rsidRDefault="005F6651" w:rsidP="00C3606E">
            <w:pPr>
              <w:pStyle w:val="TableCell"/>
              <w:spacing w:before="60" w:after="60"/>
            </w:pPr>
            <w:r w:rsidRPr="001D6512">
              <w:t>IF</w:t>
            </w:r>
            <w:r w:rsidRPr="001D6512">
              <w:rPr>
                <w:vertAlign w:val="subscript"/>
              </w:rPr>
              <w:t>hours</w:t>
            </w:r>
          </w:p>
        </w:tc>
        <w:tc>
          <w:tcPr>
            <w:tcW w:w="1530" w:type="dxa"/>
            <w:shd w:val="clear" w:color="auto" w:fill="auto"/>
          </w:tcPr>
          <w:p w:rsidR="005F6651" w:rsidRPr="001D6512" w:rsidRDefault="005F6651" w:rsidP="00C3606E">
            <w:pPr>
              <w:pStyle w:val="TableCell"/>
              <w:spacing w:before="60" w:after="60"/>
            </w:pPr>
            <w:r w:rsidRPr="001D6512">
              <w:t>Fixed</w:t>
            </w:r>
          </w:p>
        </w:tc>
        <w:tc>
          <w:tcPr>
            <w:tcW w:w="2790" w:type="dxa"/>
            <w:shd w:val="clear" w:color="auto" w:fill="auto"/>
          </w:tcPr>
          <w:p w:rsidR="005F6651" w:rsidRPr="001D6512" w:rsidRDefault="005F6651" w:rsidP="00C3606E">
            <w:pPr>
              <w:pStyle w:val="TableCell"/>
              <w:spacing w:before="60" w:after="60"/>
            </w:pPr>
            <w:r w:rsidRPr="001D6512">
              <w:t>2.6</w:t>
            </w:r>
          </w:p>
        </w:tc>
        <w:tc>
          <w:tcPr>
            <w:tcW w:w="2160" w:type="dxa"/>
            <w:shd w:val="clear" w:color="auto" w:fill="auto"/>
          </w:tcPr>
          <w:p w:rsidR="005F6651" w:rsidRPr="001D6512" w:rsidRDefault="005F6651" w:rsidP="00C3606E">
            <w:pPr>
              <w:pStyle w:val="TableCell"/>
              <w:spacing w:before="60" w:after="60"/>
            </w:pPr>
            <w:r w:rsidRPr="001D6512">
              <w:t>2</w:t>
            </w:r>
          </w:p>
        </w:tc>
      </w:tr>
      <w:tr w:rsidR="005F6651" w:rsidRPr="00B36FB8" w:rsidTr="005F6651">
        <w:trPr>
          <w:trHeight w:val="317"/>
          <w:jc w:val="center"/>
        </w:trPr>
        <w:tc>
          <w:tcPr>
            <w:tcW w:w="2160" w:type="dxa"/>
            <w:shd w:val="clear" w:color="auto" w:fill="auto"/>
          </w:tcPr>
          <w:p w:rsidR="005F6651" w:rsidRPr="001D6512" w:rsidRDefault="005F6651" w:rsidP="00C3606E">
            <w:pPr>
              <w:pStyle w:val="TableCell"/>
              <w:spacing w:before="60" w:after="60"/>
            </w:pPr>
            <w:r w:rsidRPr="001D6512">
              <w:t>ISR</w:t>
            </w:r>
            <w:r w:rsidRPr="001D6512">
              <w:rPr>
                <w:vertAlign w:val="subscript"/>
              </w:rPr>
              <w:t>IF</w:t>
            </w:r>
          </w:p>
        </w:tc>
        <w:tc>
          <w:tcPr>
            <w:tcW w:w="1530" w:type="dxa"/>
            <w:shd w:val="clear" w:color="auto" w:fill="auto"/>
          </w:tcPr>
          <w:p w:rsidR="005F6651" w:rsidRPr="001D6512" w:rsidRDefault="005F6651" w:rsidP="00C3606E">
            <w:pPr>
              <w:pStyle w:val="TableCell"/>
              <w:spacing w:before="60" w:after="60"/>
            </w:pPr>
            <w:r w:rsidRPr="001D6512">
              <w:t>Fixed</w:t>
            </w:r>
          </w:p>
        </w:tc>
        <w:tc>
          <w:tcPr>
            <w:tcW w:w="2790" w:type="dxa"/>
            <w:shd w:val="clear" w:color="auto" w:fill="auto"/>
          </w:tcPr>
          <w:p w:rsidR="005F6651" w:rsidRPr="001D6512" w:rsidRDefault="005F6651" w:rsidP="00C3606E">
            <w:pPr>
              <w:pStyle w:val="TableCell"/>
              <w:spacing w:before="60" w:after="60"/>
            </w:pPr>
            <w:r w:rsidRPr="001D6512">
              <w:t>95%</w:t>
            </w:r>
          </w:p>
        </w:tc>
        <w:tc>
          <w:tcPr>
            <w:tcW w:w="2160" w:type="dxa"/>
            <w:shd w:val="clear" w:color="auto" w:fill="auto"/>
          </w:tcPr>
          <w:p w:rsidR="005F6651" w:rsidRPr="001D6512" w:rsidRDefault="005F6651" w:rsidP="00C3606E">
            <w:pPr>
              <w:pStyle w:val="TableCell"/>
              <w:spacing w:before="60" w:after="60"/>
            </w:pPr>
            <w:r w:rsidRPr="001D6512">
              <w:t>3</w:t>
            </w:r>
          </w:p>
        </w:tc>
      </w:tr>
      <w:tr w:rsidR="005F6651" w:rsidRPr="00B36FB8" w:rsidTr="005F6651">
        <w:trPr>
          <w:trHeight w:val="317"/>
          <w:jc w:val="center"/>
        </w:trPr>
        <w:tc>
          <w:tcPr>
            <w:tcW w:w="2160" w:type="dxa"/>
            <w:shd w:val="clear" w:color="auto" w:fill="auto"/>
          </w:tcPr>
          <w:p w:rsidR="005F6651" w:rsidRPr="001D6512" w:rsidRDefault="005F6651" w:rsidP="00C3606E">
            <w:pPr>
              <w:pStyle w:val="TableCell"/>
              <w:spacing w:before="60" w:after="60"/>
            </w:pPr>
            <w:r w:rsidRPr="001D6512">
              <w:t>OF</w:t>
            </w:r>
            <w:r w:rsidRPr="001D6512">
              <w:rPr>
                <w:vertAlign w:val="subscript"/>
              </w:rPr>
              <w:t>watts</w:t>
            </w:r>
          </w:p>
        </w:tc>
        <w:tc>
          <w:tcPr>
            <w:tcW w:w="1530" w:type="dxa"/>
            <w:shd w:val="clear" w:color="auto" w:fill="auto"/>
          </w:tcPr>
          <w:p w:rsidR="005F6651" w:rsidRPr="001D6512" w:rsidRDefault="005F6651" w:rsidP="00C3606E">
            <w:pPr>
              <w:pStyle w:val="TableCell"/>
              <w:spacing w:before="60" w:after="60"/>
            </w:pPr>
            <w:r w:rsidRPr="001D6512">
              <w:t>Fixed</w:t>
            </w:r>
          </w:p>
        </w:tc>
        <w:tc>
          <w:tcPr>
            <w:tcW w:w="2790" w:type="dxa"/>
            <w:shd w:val="clear" w:color="auto" w:fill="auto"/>
          </w:tcPr>
          <w:p w:rsidR="005F6651" w:rsidRPr="001D6512" w:rsidRDefault="005F6651" w:rsidP="00C3606E">
            <w:pPr>
              <w:pStyle w:val="TableCell"/>
              <w:spacing w:before="60" w:after="60"/>
            </w:pPr>
            <w:r w:rsidRPr="001D6512">
              <w:t>94.7</w:t>
            </w:r>
          </w:p>
        </w:tc>
        <w:tc>
          <w:tcPr>
            <w:tcW w:w="2160" w:type="dxa"/>
            <w:shd w:val="clear" w:color="auto" w:fill="auto"/>
          </w:tcPr>
          <w:p w:rsidR="005F6651" w:rsidRPr="001D6512" w:rsidRDefault="005F6651" w:rsidP="00C3606E">
            <w:pPr>
              <w:pStyle w:val="TableCell"/>
              <w:spacing w:before="60" w:after="60"/>
            </w:pPr>
            <w:r w:rsidRPr="001D6512">
              <w:t>1</w:t>
            </w:r>
          </w:p>
        </w:tc>
      </w:tr>
      <w:tr w:rsidR="005F6651" w:rsidRPr="00B36FB8" w:rsidTr="005F6651">
        <w:trPr>
          <w:trHeight w:val="317"/>
          <w:jc w:val="center"/>
        </w:trPr>
        <w:tc>
          <w:tcPr>
            <w:tcW w:w="2160" w:type="dxa"/>
            <w:shd w:val="clear" w:color="auto" w:fill="auto"/>
          </w:tcPr>
          <w:p w:rsidR="005F6651" w:rsidRPr="001D6512" w:rsidRDefault="005F6651" w:rsidP="00C3606E">
            <w:pPr>
              <w:pStyle w:val="TableCell"/>
              <w:spacing w:before="60" w:after="60"/>
            </w:pPr>
            <w:r w:rsidRPr="001D6512">
              <w:t>OF</w:t>
            </w:r>
            <w:r w:rsidRPr="001D6512">
              <w:rPr>
                <w:vertAlign w:val="subscript"/>
              </w:rPr>
              <w:t>hours</w:t>
            </w:r>
          </w:p>
        </w:tc>
        <w:tc>
          <w:tcPr>
            <w:tcW w:w="1530" w:type="dxa"/>
            <w:shd w:val="clear" w:color="auto" w:fill="auto"/>
          </w:tcPr>
          <w:p w:rsidR="005F6651" w:rsidRPr="001D6512" w:rsidRDefault="005F6651" w:rsidP="00C3606E">
            <w:pPr>
              <w:pStyle w:val="TableCell"/>
              <w:spacing w:before="60" w:after="60"/>
            </w:pPr>
            <w:r w:rsidRPr="001D6512">
              <w:t>Fixed</w:t>
            </w:r>
          </w:p>
        </w:tc>
        <w:tc>
          <w:tcPr>
            <w:tcW w:w="2790" w:type="dxa"/>
            <w:shd w:val="clear" w:color="auto" w:fill="auto"/>
          </w:tcPr>
          <w:p w:rsidR="005F6651" w:rsidRPr="001D6512" w:rsidRDefault="005F6651" w:rsidP="00C3606E">
            <w:pPr>
              <w:pStyle w:val="TableCell"/>
              <w:spacing w:before="60" w:after="60"/>
            </w:pPr>
            <w:r w:rsidRPr="001D6512">
              <w:t>4.5</w:t>
            </w:r>
          </w:p>
        </w:tc>
        <w:tc>
          <w:tcPr>
            <w:tcW w:w="2160" w:type="dxa"/>
            <w:shd w:val="clear" w:color="auto" w:fill="auto"/>
          </w:tcPr>
          <w:p w:rsidR="005F6651" w:rsidRPr="001D6512" w:rsidRDefault="005F6651" w:rsidP="00C3606E">
            <w:pPr>
              <w:pStyle w:val="TableCell"/>
              <w:spacing w:before="60" w:after="60"/>
            </w:pPr>
            <w:r w:rsidRPr="001D6512">
              <w:t>2</w:t>
            </w:r>
          </w:p>
        </w:tc>
      </w:tr>
      <w:tr w:rsidR="005F6651" w:rsidRPr="00B36FB8" w:rsidTr="005F6651">
        <w:trPr>
          <w:trHeight w:val="317"/>
          <w:jc w:val="center"/>
        </w:trPr>
        <w:tc>
          <w:tcPr>
            <w:tcW w:w="2160" w:type="dxa"/>
            <w:shd w:val="clear" w:color="auto" w:fill="auto"/>
          </w:tcPr>
          <w:p w:rsidR="005F6651" w:rsidRPr="001D6512" w:rsidRDefault="005F6651" w:rsidP="00C3606E">
            <w:pPr>
              <w:pStyle w:val="TableCell"/>
              <w:spacing w:before="60" w:after="60"/>
            </w:pPr>
            <w:r w:rsidRPr="001D6512">
              <w:t>ISR</w:t>
            </w:r>
            <w:r w:rsidRPr="001D6512">
              <w:rPr>
                <w:vertAlign w:val="subscript"/>
              </w:rPr>
              <w:t>OF</w:t>
            </w:r>
          </w:p>
        </w:tc>
        <w:tc>
          <w:tcPr>
            <w:tcW w:w="1530" w:type="dxa"/>
            <w:shd w:val="clear" w:color="auto" w:fill="auto"/>
          </w:tcPr>
          <w:p w:rsidR="005F6651" w:rsidRPr="001D6512" w:rsidRDefault="005F6651" w:rsidP="00C3606E">
            <w:pPr>
              <w:pStyle w:val="TableCell"/>
              <w:spacing w:before="60" w:after="60"/>
            </w:pPr>
            <w:r w:rsidRPr="001D6512">
              <w:t>Fixed</w:t>
            </w:r>
          </w:p>
        </w:tc>
        <w:tc>
          <w:tcPr>
            <w:tcW w:w="2790" w:type="dxa"/>
            <w:shd w:val="clear" w:color="auto" w:fill="auto"/>
          </w:tcPr>
          <w:p w:rsidR="005F6651" w:rsidRPr="001D6512" w:rsidRDefault="005F6651" w:rsidP="00C3606E">
            <w:pPr>
              <w:pStyle w:val="TableCell"/>
              <w:spacing w:before="60" w:after="60"/>
            </w:pPr>
            <w:r w:rsidRPr="001D6512">
              <w:t>87%</w:t>
            </w:r>
          </w:p>
        </w:tc>
        <w:tc>
          <w:tcPr>
            <w:tcW w:w="2160" w:type="dxa"/>
            <w:shd w:val="clear" w:color="auto" w:fill="auto"/>
          </w:tcPr>
          <w:p w:rsidR="005F6651" w:rsidRPr="001D6512" w:rsidRDefault="005F6651" w:rsidP="00C3606E">
            <w:pPr>
              <w:pStyle w:val="TableCell"/>
              <w:spacing w:before="60" w:after="60"/>
            </w:pPr>
            <w:r w:rsidRPr="001D6512">
              <w:t>3</w:t>
            </w:r>
          </w:p>
        </w:tc>
      </w:tr>
      <w:tr w:rsidR="005F6651" w:rsidRPr="00B36FB8" w:rsidTr="005F6651">
        <w:trPr>
          <w:trHeight w:val="317"/>
          <w:jc w:val="center"/>
        </w:trPr>
        <w:tc>
          <w:tcPr>
            <w:tcW w:w="2160" w:type="dxa"/>
            <w:shd w:val="clear" w:color="auto" w:fill="auto"/>
          </w:tcPr>
          <w:p w:rsidR="005F6651" w:rsidRPr="001D6512" w:rsidRDefault="005F6651" w:rsidP="00C3606E">
            <w:pPr>
              <w:pStyle w:val="TableCell"/>
              <w:spacing w:before="60" w:after="60"/>
            </w:pPr>
            <w:r w:rsidRPr="001D6512">
              <w:t>CF</w:t>
            </w:r>
          </w:p>
        </w:tc>
        <w:tc>
          <w:tcPr>
            <w:tcW w:w="1530" w:type="dxa"/>
            <w:shd w:val="clear" w:color="auto" w:fill="auto"/>
          </w:tcPr>
          <w:p w:rsidR="005F6651" w:rsidRPr="001D6512" w:rsidRDefault="005F6651" w:rsidP="00C3606E">
            <w:pPr>
              <w:pStyle w:val="TableCell"/>
              <w:spacing w:before="60" w:after="60"/>
            </w:pPr>
            <w:r w:rsidRPr="001D6512">
              <w:t>Fixed</w:t>
            </w:r>
          </w:p>
        </w:tc>
        <w:tc>
          <w:tcPr>
            <w:tcW w:w="2790" w:type="dxa"/>
            <w:shd w:val="clear" w:color="auto" w:fill="auto"/>
          </w:tcPr>
          <w:p w:rsidR="005F6651" w:rsidRPr="001D6512" w:rsidRDefault="005F6651" w:rsidP="00C3606E">
            <w:pPr>
              <w:pStyle w:val="TableCell"/>
              <w:spacing w:before="60" w:after="60"/>
            </w:pPr>
            <w:r w:rsidRPr="001D6512">
              <w:t>5%</w:t>
            </w:r>
          </w:p>
        </w:tc>
        <w:tc>
          <w:tcPr>
            <w:tcW w:w="2160" w:type="dxa"/>
            <w:shd w:val="clear" w:color="auto" w:fill="auto"/>
          </w:tcPr>
          <w:p w:rsidR="005F6651" w:rsidRPr="001D6512" w:rsidRDefault="005F6651" w:rsidP="00C3606E">
            <w:pPr>
              <w:pStyle w:val="TableCell"/>
              <w:spacing w:before="60" w:after="60"/>
            </w:pPr>
            <w:r w:rsidRPr="001D6512">
              <w:t>4</w:t>
            </w:r>
          </w:p>
        </w:tc>
      </w:tr>
      <w:tr w:rsidR="005F6651" w:rsidRPr="00B36FB8" w:rsidTr="005F6651">
        <w:trPr>
          <w:trHeight w:val="317"/>
          <w:jc w:val="center"/>
        </w:trPr>
        <w:tc>
          <w:tcPr>
            <w:tcW w:w="2160" w:type="dxa"/>
            <w:shd w:val="clear" w:color="auto" w:fill="auto"/>
          </w:tcPr>
          <w:p w:rsidR="005F6651" w:rsidRPr="001D6512" w:rsidRDefault="005F6651" w:rsidP="00C3606E">
            <w:pPr>
              <w:pStyle w:val="TableCell"/>
              <w:spacing w:before="60" w:after="60"/>
            </w:pPr>
            <w:r w:rsidRPr="001D6512">
              <w:sym w:font="Symbol" w:char="F044"/>
            </w:r>
            <w:r w:rsidRPr="001D6512">
              <w:t>kWh</w:t>
            </w:r>
          </w:p>
        </w:tc>
        <w:tc>
          <w:tcPr>
            <w:tcW w:w="1530" w:type="dxa"/>
            <w:shd w:val="clear" w:color="auto" w:fill="auto"/>
          </w:tcPr>
          <w:p w:rsidR="005F6651" w:rsidRPr="001D6512" w:rsidRDefault="005F6651" w:rsidP="00C3606E">
            <w:pPr>
              <w:pStyle w:val="TableCell"/>
              <w:spacing w:before="60" w:after="60"/>
            </w:pPr>
            <w:r w:rsidRPr="001D6512">
              <w:t>Fixed</w:t>
            </w:r>
          </w:p>
        </w:tc>
        <w:tc>
          <w:tcPr>
            <w:tcW w:w="2790" w:type="dxa"/>
            <w:shd w:val="clear" w:color="auto" w:fill="auto"/>
          </w:tcPr>
          <w:p w:rsidR="005F6651" w:rsidRPr="001D6512" w:rsidRDefault="005F6651" w:rsidP="00C3606E">
            <w:pPr>
              <w:pStyle w:val="TableCell"/>
              <w:spacing w:before="60" w:after="60"/>
            </w:pPr>
            <w:r w:rsidRPr="001D6512">
              <w:t>180 kWh</w:t>
            </w:r>
          </w:p>
        </w:tc>
        <w:tc>
          <w:tcPr>
            <w:tcW w:w="2160" w:type="dxa"/>
            <w:shd w:val="clear" w:color="auto" w:fill="auto"/>
          </w:tcPr>
          <w:p w:rsidR="005F6651" w:rsidRPr="001D6512" w:rsidRDefault="005F6651" w:rsidP="00C3606E">
            <w:pPr>
              <w:pStyle w:val="TableCell"/>
              <w:spacing w:before="60" w:after="60"/>
            </w:pPr>
            <w:r w:rsidRPr="001D6512">
              <w:t>5</w:t>
            </w:r>
          </w:p>
        </w:tc>
      </w:tr>
      <w:tr w:rsidR="005F6651" w:rsidRPr="00B36FB8" w:rsidTr="005F6651">
        <w:trPr>
          <w:trHeight w:val="317"/>
          <w:jc w:val="center"/>
        </w:trPr>
        <w:tc>
          <w:tcPr>
            <w:tcW w:w="2160" w:type="dxa"/>
            <w:shd w:val="clear" w:color="auto" w:fill="auto"/>
          </w:tcPr>
          <w:p w:rsidR="005F6651" w:rsidRPr="001D6512" w:rsidRDefault="005F6651" w:rsidP="00C3606E">
            <w:pPr>
              <w:pStyle w:val="TableCell"/>
              <w:spacing w:before="60" w:after="60"/>
            </w:pPr>
            <w:r w:rsidRPr="001D6512">
              <w:sym w:font="Symbol" w:char="F044"/>
            </w:r>
            <w:r w:rsidRPr="001D6512">
              <w:t>kW</w:t>
            </w:r>
          </w:p>
        </w:tc>
        <w:tc>
          <w:tcPr>
            <w:tcW w:w="1530" w:type="dxa"/>
            <w:shd w:val="clear" w:color="auto" w:fill="auto"/>
          </w:tcPr>
          <w:p w:rsidR="005F6651" w:rsidRPr="001D6512" w:rsidRDefault="005F6651" w:rsidP="00C3606E">
            <w:pPr>
              <w:pStyle w:val="TableCell"/>
              <w:spacing w:before="60" w:after="60"/>
            </w:pPr>
            <w:r w:rsidRPr="001D6512">
              <w:t>Fixed</w:t>
            </w:r>
          </w:p>
        </w:tc>
        <w:tc>
          <w:tcPr>
            <w:tcW w:w="2790" w:type="dxa"/>
            <w:shd w:val="clear" w:color="auto" w:fill="auto"/>
          </w:tcPr>
          <w:p w:rsidR="005F6651" w:rsidRPr="001D6512" w:rsidRDefault="005F6651" w:rsidP="00C3606E">
            <w:pPr>
              <w:pStyle w:val="TableCell"/>
              <w:spacing w:before="60" w:after="60"/>
            </w:pPr>
            <w:r w:rsidRPr="001D6512">
              <w:t>0.01968</w:t>
            </w:r>
          </w:p>
        </w:tc>
        <w:tc>
          <w:tcPr>
            <w:tcW w:w="2160" w:type="dxa"/>
            <w:shd w:val="clear" w:color="auto" w:fill="auto"/>
          </w:tcPr>
          <w:p w:rsidR="005F6651" w:rsidRPr="001D6512" w:rsidRDefault="005F6651" w:rsidP="00C3606E">
            <w:pPr>
              <w:pStyle w:val="TableCell"/>
              <w:spacing w:before="60" w:after="60"/>
            </w:pPr>
            <w:r w:rsidRPr="001D6512">
              <w:t>5</w:t>
            </w:r>
          </w:p>
        </w:tc>
      </w:tr>
    </w:tbl>
    <w:p w:rsidR="00CB79AB" w:rsidRDefault="00CB79AB" w:rsidP="00C3606E">
      <w:pPr>
        <w:spacing w:after="0"/>
      </w:pPr>
    </w:p>
    <w:p w:rsidR="00CB79AB" w:rsidRPr="00BC5194" w:rsidRDefault="00CB79AB" w:rsidP="00100EDF">
      <w:pPr>
        <w:rPr>
          <w:b/>
        </w:rPr>
      </w:pPr>
      <w:r w:rsidRPr="00BC5194">
        <w:rPr>
          <w:b/>
        </w:rPr>
        <w:t>Sources:</w:t>
      </w:r>
    </w:p>
    <w:p w:rsidR="00CB79AB" w:rsidRDefault="00CB79AB" w:rsidP="0005632A">
      <w:pPr>
        <w:pStyle w:val="source1"/>
        <w:numPr>
          <w:ilvl w:val="0"/>
          <w:numId w:val="37"/>
        </w:numPr>
      </w:pPr>
      <w:r>
        <w:t>Nexus Market Research, “Impact Evaluation of the Massachusetts, Rhode Island and Vermont 2003 Residential Lighting Programs”, Final Report, October 1, 2004, p. 43 (Table 4-9)</w:t>
      </w:r>
    </w:p>
    <w:p w:rsidR="00CB79AB" w:rsidRDefault="00F11594" w:rsidP="00C3606E">
      <w:pPr>
        <w:pStyle w:val="source1"/>
      </w:pPr>
      <w:r>
        <w:t>Ibid.</w:t>
      </w:r>
      <w:r w:rsidR="00CB79AB">
        <w:t xml:space="preserve"> p. 104 (Table 9-7).  This table adjusts for differences between logged sample and the much larger telephone survey sample and should, therefore, have less bias.</w:t>
      </w:r>
    </w:p>
    <w:p w:rsidR="00CB79AB" w:rsidRDefault="00F11594" w:rsidP="00C3606E">
      <w:pPr>
        <w:pStyle w:val="source1"/>
      </w:pPr>
      <w:r>
        <w:t>Ibid.</w:t>
      </w:r>
      <w:r w:rsidR="00CB79AB">
        <w:t xml:space="preserve"> p. 42 (Table 4-7).  These values reflect both actual installations and the % of units planned to be installed within a year from the logged sample.   The logged % is used because the adjusted values (to account for differences between logging and telephone survey samples) were not available for both installs and planned installs.  However, this seems appropriate because the % actual installed in the logged sample from this table is essentially identical to the % after adjusting for differences between the logged group and the telephone sample (p. 100, Table 9-3).</w:t>
      </w:r>
    </w:p>
    <w:p w:rsidR="00CB79AB" w:rsidRDefault="00CB79AB" w:rsidP="00C3606E">
      <w:pPr>
        <w:pStyle w:val="source1"/>
      </w:pPr>
      <w:r>
        <w:lastRenderedPageBreak/>
        <w:t>RLW Analytics, “Development of Common Demand Impacts for Energy Efficiency Measures/Programs for the ISO Forward Capacity Market (FCM)”, prepared for the New England State Program Working Group (SPWG), March 25, 2007, p. IV.</w:t>
      </w:r>
    </w:p>
    <w:p w:rsidR="00CB79AB" w:rsidRDefault="00CB79AB" w:rsidP="00C3606E">
      <w:pPr>
        <w:pStyle w:val="source1"/>
      </w:pPr>
      <w:r>
        <w:t>Efficiency Vermont</w:t>
      </w:r>
      <w:r w:rsidRPr="00B350D1">
        <w:t>. Technical Reference User Manual: Measure Savings Algorithms and Cost Assumptions (July 2008).</w:t>
      </w:r>
    </w:p>
    <w:p w:rsidR="00D12DD6" w:rsidRPr="005F6651" w:rsidRDefault="00D61CE3" w:rsidP="00C3606E">
      <w:pPr>
        <w:pStyle w:val="source1"/>
        <w:overflowPunct/>
        <w:autoSpaceDE/>
        <w:autoSpaceDN/>
        <w:spacing w:after="0" w:line="240" w:lineRule="auto"/>
        <w:textAlignment w:val="auto"/>
        <w:rPr>
          <w:b/>
          <w:bCs/>
          <w:iCs/>
          <w:sz w:val="24"/>
          <w:szCs w:val="28"/>
        </w:rPr>
      </w:pPr>
      <w:r>
        <w:t xml:space="preserve">US Department of Energy, Energy Star Calculator.  Accessed 3-16-2009. </w:t>
      </w:r>
    </w:p>
    <w:p w:rsidR="005F6651" w:rsidRDefault="005F6651" w:rsidP="005F6651"/>
    <w:p w:rsidR="005F6651" w:rsidRDefault="005F6651" w:rsidP="005F6651">
      <w:pPr>
        <w:pStyle w:val="Caption"/>
      </w:pPr>
      <w:bookmarkStart w:id="447" w:name="_Ref285799707"/>
      <w:bookmarkStart w:id="448" w:name="_Toc310875529"/>
      <w:bookmarkStart w:id="449" w:name="_Ref285722229"/>
      <w:r w:rsidRPr="0042295A">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w:instrText>
      </w:r>
      <w:r w:rsidR="00274AB1">
        <w:instrText xml:space="preserve">\* ARABIC \s 1 </w:instrText>
      </w:r>
      <w:r w:rsidR="00274AB1">
        <w:fldChar w:fldCharType="separate"/>
      </w:r>
      <w:r w:rsidR="00C0292F">
        <w:rPr>
          <w:noProof/>
        </w:rPr>
        <w:t>43</w:t>
      </w:r>
      <w:r w:rsidR="00274AB1">
        <w:rPr>
          <w:noProof/>
        </w:rPr>
        <w:fldChar w:fldCharType="end"/>
      </w:r>
      <w:bookmarkEnd w:id="447"/>
      <w:r w:rsidRPr="0042295A">
        <w:t xml:space="preserve">. </w:t>
      </w:r>
      <w:r w:rsidR="00D55DE0">
        <w:t>Baseline Wattage by Lumen Output of CFL</w:t>
      </w:r>
      <w:r w:rsidR="0019409B">
        <w:rPr>
          <w:rStyle w:val="FootnoteReference"/>
        </w:rPr>
        <w:footnoteReference w:id="89"/>
      </w:r>
      <w:bookmarkEnd w:id="448"/>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4"/>
        <w:gridCol w:w="1674"/>
        <w:gridCol w:w="1836"/>
        <w:gridCol w:w="1836"/>
        <w:gridCol w:w="1836"/>
      </w:tblGrid>
      <w:tr w:rsidR="005F6651" w:rsidRPr="00BB6778" w:rsidTr="00C81DAB">
        <w:trPr>
          <w:trHeight w:val="20"/>
          <w:jc w:val="center"/>
        </w:trPr>
        <w:tc>
          <w:tcPr>
            <w:tcW w:w="1674" w:type="dxa"/>
            <w:shd w:val="clear" w:color="auto" w:fill="D9D9D9"/>
            <w:noWrap/>
            <w:vAlign w:val="bottom"/>
          </w:tcPr>
          <w:bookmarkEnd w:id="449"/>
          <w:p w:rsidR="005F6651" w:rsidRDefault="005F6651" w:rsidP="00C81DAB">
            <w:pPr>
              <w:pStyle w:val="Caption"/>
              <w:spacing w:before="60" w:after="60"/>
            </w:pPr>
            <w:r w:rsidRPr="0042295A">
              <w:t>Minimum Lumens</w:t>
            </w:r>
          </w:p>
          <w:p w:rsidR="005F6651" w:rsidRDefault="005F6651" w:rsidP="00C81DAB">
            <w:pPr>
              <w:pStyle w:val="Caption"/>
              <w:spacing w:before="60" w:after="60"/>
            </w:pPr>
            <w:r w:rsidRPr="0042295A">
              <w:t>(a)</w:t>
            </w:r>
          </w:p>
        </w:tc>
        <w:tc>
          <w:tcPr>
            <w:tcW w:w="1674" w:type="dxa"/>
            <w:shd w:val="clear" w:color="auto" w:fill="D9D9D9"/>
            <w:noWrap/>
            <w:vAlign w:val="bottom"/>
          </w:tcPr>
          <w:p w:rsidR="005F6651" w:rsidRDefault="005F6651" w:rsidP="00C81DAB">
            <w:pPr>
              <w:pStyle w:val="Caption"/>
              <w:spacing w:before="60" w:after="60"/>
            </w:pPr>
            <w:r w:rsidRPr="0042295A">
              <w:t>Maximum Lumens</w:t>
            </w:r>
          </w:p>
          <w:p w:rsidR="005F6651" w:rsidRDefault="005F6651" w:rsidP="00C81DAB">
            <w:pPr>
              <w:pStyle w:val="Caption"/>
              <w:spacing w:before="60" w:after="60"/>
            </w:pPr>
            <w:r w:rsidRPr="0042295A">
              <w:t>(b)</w:t>
            </w:r>
          </w:p>
        </w:tc>
        <w:tc>
          <w:tcPr>
            <w:tcW w:w="1836" w:type="dxa"/>
            <w:shd w:val="clear" w:color="auto" w:fill="D9D9D9"/>
            <w:vAlign w:val="bottom"/>
          </w:tcPr>
          <w:p w:rsidR="005F6651" w:rsidRDefault="005F6651" w:rsidP="00C81DAB">
            <w:pPr>
              <w:pStyle w:val="Caption"/>
              <w:spacing w:before="60" w:after="60"/>
            </w:pPr>
            <w:r>
              <w:t>Incandescent Equivalent</w:t>
            </w:r>
          </w:p>
          <w:p w:rsidR="005F6651" w:rsidRDefault="005F6651" w:rsidP="00C81DAB">
            <w:pPr>
              <w:pStyle w:val="Caption"/>
              <w:spacing w:before="60" w:after="60"/>
            </w:pPr>
            <w:r>
              <w:t>Watts</w:t>
            </w:r>
            <w:r>
              <w:rPr>
                <w:vertAlign w:val="subscript"/>
              </w:rPr>
              <w:t>Base</w:t>
            </w:r>
            <w:r>
              <w:t xml:space="preserve"> </w:t>
            </w:r>
            <w:r>
              <w:br/>
              <w:t>(Pre-EISA 2007)</w:t>
            </w:r>
          </w:p>
          <w:p w:rsidR="005F6651" w:rsidRDefault="005F6651" w:rsidP="00C81DAB">
            <w:pPr>
              <w:pStyle w:val="Caption"/>
              <w:spacing w:before="60" w:after="60"/>
            </w:pPr>
            <w:r w:rsidRPr="0042295A">
              <w:t xml:space="preserve"> (c)</w:t>
            </w:r>
          </w:p>
        </w:tc>
        <w:tc>
          <w:tcPr>
            <w:tcW w:w="1836" w:type="dxa"/>
            <w:shd w:val="clear" w:color="auto" w:fill="D9D9D9"/>
            <w:vAlign w:val="bottom"/>
          </w:tcPr>
          <w:p w:rsidR="005F6651" w:rsidRDefault="005F6651" w:rsidP="00C81DAB">
            <w:pPr>
              <w:pStyle w:val="Caption"/>
              <w:spacing w:before="60" w:after="60"/>
            </w:pPr>
            <w:r>
              <w:t>Watts</w:t>
            </w:r>
            <w:r>
              <w:rPr>
                <w:vertAlign w:val="subscript"/>
              </w:rPr>
              <w:t>Base</w:t>
            </w:r>
            <w:r>
              <w:t xml:space="preserve"> </w:t>
            </w:r>
            <w:r>
              <w:br/>
              <w:t>(Post-EISA 2007)</w:t>
            </w:r>
          </w:p>
          <w:p w:rsidR="005F6651" w:rsidRDefault="005F6651" w:rsidP="00C81DAB">
            <w:pPr>
              <w:keepNext/>
              <w:spacing w:before="60" w:after="60"/>
              <w:jc w:val="center"/>
            </w:pPr>
            <w:r w:rsidRPr="00994897">
              <w:rPr>
                <w:b/>
              </w:rPr>
              <w:t>(d)</w:t>
            </w:r>
          </w:p>
        </w:tc>
        <w:tc>
          <w:tcPr>
            <w:tcW w:w="1836" w:type="dxa"/>
            <w:shd w:val="clear" w:color="auto" w:fill="D9D9D9"/>
            <w:vAlign w:val="bottom"/>
          </w:tcPr>
          <w:p w:rsidR="005F6651" w:rsidRDefault="005F6651" w:rsidP="00C81DAB">
            <w:pPr>
              <w:pStyle w:val="Caption"/>
              <w:spacing w:before="60" w:after="60"/>
            </w:pPr>
            <w:r>
              <w:t>Post-EISA 2007 Effective Date</w:t>
            </w:r>
          </w:p>
          <w:p w:rsidR="005F6651" w:rsidRDefault="005F6651" w:rsidP="00C81DAB">
            <w:pPr>
              <w:keepNext/>
              <w:spacing w:before="60" w:after="60"/>
              <w:jc w:val="center"/>
            </w:pPr>
            <w:r w:rsidRPr="00994897">
              <w:rPr>
                <w:b/>
              </w:rPr>
              <w:t>(e)</w:t>
            </w:r>
          </w:p>
        </w:tc>
      </w:tr>
      <w:tr w:rsidR="005F6651" w:rsidRPr="00BB6778" w:rsidTr="00C81DAB">
        <w:trPr>
          <w:trHeight w:val="20"/>
          <w:jc w:val="center"/>
        </w:trPr>
        <w:tc>
          <w:tcPr>
            <w:tcW w:w="1674" w:type="dxa"/>
            <w:noWrap/>
            <w:vAlign w:val="bottom"/>
          </w:tcPr>
          <w:p w:rsidR="005F6651" w:rsidRDefault="005F6651" w:rsidP="00C81DAB">
            <w:pPr>
              <w:spacing w:before="60" w:after="60"/>
              <w:jc w:val="center"/>
            </w:pPr>
            <w:r w:rsidRPr="00D9109D">
              <w:t>1490</w:t>
            </w:r>
          </w:p>
        </w:tc>
        <w:tc>
          <w:tcPr>
            <w:tcW w:w="1674" w:type="dxa"/>
            <w:noWrap/>
            <w:vAlign w:val="bottom"/>
          </w:tcPr>
          <w:p w:rsidR="005F6651" w:rsidRDefault="005F6651" w:rsidP="00C81DAB">
            <w:pPr>
              <w:spacing w:before="60" w:after="60"/>
              <w:jc w:val="center"/>
            </w:pPr>
            <w:r w:rsidRPr="00D9109D">
              <w:t>2600</w:t>
            </w:r>
          </w:p>
        </w:tc>
        <w:tc>
          <w:tcPr>
            <w:tcW w:w="1836" w:type="dxa"/>
            <w:vAlign w:val="bottom"/>
          </w:tcPr>
          <w:p w:rsidR="005F6651" w:rsidRDefault="005F6651" w:rsidP="00C81DAB">
            <w:pPr>
              <w:spacing w:before="60" w:after="60"/>
              <w:jc w:val="center"/>
            </w:pPr>
            <w:r w:rsidRPr="00D9109D">
              <w:t>100</w:t>
            </w:r>
          </w:p>
        </w:tc>
        <w:tc>
          <w:tcPr>
            <w:tcW w:w="1836" w:type="dxa"/>
          </w:tcPr>
          <w:p w:rsidR="005F6651" w:rsidRPr="00D9109D" w:rsidRDefault="005F6651" w:rsidP="00C81DAB">
            <w:pPr>
              <w:spacing w:before="60" w:after="60"/>
              <w:jc w:val="center"/>
            </w:pPr>
            <w:r>
              <w:t>72</w:t>
            </w:r>
          </w:p>
        </w:tc>
        <w:tc>
          <w:tcPr>
            <w:tcW w:w="1836" w:type="dxa"/>
          </w:tcPr>
          <w:p w:rsidR="005F6651" w:rsidRDefault="005F6651" w:rsidP="00C81DAB">
            <w:pPr>
              <w:spacing w:before="60" w:after="60"/>
              <w:jc w:val="center"/>
            </w:pPr>
            <w:r>
              <w:t>2012 TRM</w:t>
            </w:r>
          </w:p>
        </w:tc>
      </w:tr>
      <w:tr w:rsidR="005F6651" w:rsidRPr="00BB6778" w:rsidTr="00C81DAB">
        <w:trPr>
          <w:trHeight w:val="20"/>
          <w:jc w:val="center"/>
        </w:trPr>
        <w:tc>
          <w:tcPr>
            <w:tcW w:w="1674" w:type="dxa"/>
            <w:noWrap/>
            <w:vAlign w:val="bottom"/>
          </w:tcPr>
          <w:p w:rsidR="005F6651" w:rsidRDefault="005F6651" w:rsidP="00C81DAB">
            <w:pPr>
              <w:spacing w:before="60" w:after="60"/>
              <w:jc w:val="center"/>
            </w:pPr>
            <w:r w:rsidRPr="00D9109D">
              <w:t>1050</w:t>
            </w:r>
          </w:p>
        </w:tc>
        <w:tc>
          <w:tcPr>
            <w:tcW w:w="1674" w:type="dxa"/>
            <w:noWrap/>
            <w:vAlign w:val="bottom"/>
          </w:tcPr>
          <w:p w:rsidR="005F6651" w:rsidRDefault="005F6651" w:rsidP="00C81DAB">
            <w:pPr>
              <w:spacing w:before="60" w:after="60"/>
              <w:jc w:val="center"/>
            </w:pPr>
            <w:r w:rsidRPr="00D9109D">
              <w:t>1489</w:t>
            </w:r>
          </w:p>
        </w:tc>
        <w:tc>
          <w:tcPr>
            <w:tcW w:w="1836" w:type="dxa"/>
            <w:vAlign w:val="bottom"/>
          </w:tcPr>
          <w:p w:rsidR="005F6651" w:rsidRDefault="005F6651" w:rsidP="00C81DAB">
            <w:pPr>
              <w:spacing w:before="60" w:after="60"/>
              <w:jc w:val="center"/>
            </w:pPr>
            <w:r w:rsidRPr="00D9109D">
              <w:t>75</w:t>
            </w:r>
          </w:p>
        </w:tc>
        <w:tc>
          <w:tcPr>
            <w:tcW w:w="1836" w:type="dxa"/>
          </w:tcPr>
          <w:p w:rsidR="005F6651" w:rsidRPr="00D9109D" w:rsidRDefault="005F6651" w:rsidP="00C81DAB">
            <w:pPr>
              <w:spacing w:before="60" w:after="60"/>
              <w:jc w:val="center"/>
            </w:pPr>
            <w:r>
              <w:t>53</w:t>
            </w:r>
          </w:p>
        </w:tc>
        <w:tc>
          <w:tcPr>
            <w:tcW w:w="1836" w:type="dxa"/>
          </w:tcPr>
          <w:p w:rsidR="005F6651" w:rsidRDefault="005F6651" w:rsidP="00C81DAB">
            <w:pPr>
              <w:spacing w:before="60" w:after="60"/>
              <w:jc w:val="center"/>
            </w:pPr>
            <w:r>
              <w:t>2013 TRM</w:t>
            </w:r>
          </w:p>
        </w:tc>
      </w:tr>
      <w:tr w:rsidR="005F6651" w:rsidRPr="00BB6778" w:rsidTr="00C81DAB">
        <w:trPr>
          <w:trHeight w:val="20"/>
          <w:jc w:val="center"/>
        </w:trPr>
        <w:tc>
          <w:tcPr>
            <w:tcW w:w="1674" w:type="dxa"/>
            <w:noWrap/>
            <w:vAlign w:val="bottom"/>
          </w:tcPr>
          <w:p w:rsidR="005F6651" w:rsidRDefault="005F6651" w:rsidP="00C81DAB">
            <w:pPr>
              <w:spacing w:before="60" w:after="60"/>
              <w:jc w:val="center"/>
            </w:pPr>
            <w:r w:rsidRPr="00D9109D">
              <w:t>750</w:t>
            </w:r>
          </w:p>
        </w:tc>
        <w:tc>
          <w:tcPr>
            <w:tcW w:w="1674" w:type="dxa"/>
            <w:noWrap/>
            <w:vAlign w:val="bottom"/>
          </w:tcPr>
          <w:p w:rsidR="005F6651" w:rsidRDefault="005F6651" w:rsidP="00C81DAB">
            <w:pPr>
              <w:spacing w:before="60" w:after="60"/>
              <w:jc w:val="center"/>
            </w:pPr>
            <w:r w:rsidRPr="00D9109D">
              <w:t>1049</w:t>
            </w:r>
          </w:p>
        </w:tc>
        <w:tc>
          <w:tcPr>
            <w:tcW w:w="1836" w:type="dxa"/>
            <w:vAlign w:val="bottom"/>
          </w:tcPr>
          <w:p w:rsidR="005F6651" w:rsidRDefault="005F6651" w:rsidP="00C81DAB">
            <w:pPr>
              <w:spacing w:before="60" w:after="60"/>
              <w:jc w:val="center"/>
            </w:pPr>
            <w:r w:rsidRPr="00D9109D">
              <w:t>60</w:t>
            </w:r>
          </w:p>
        </w:tc>
        <w:tc>
          <w:tcPr>
            <w:tcW w:w="1836" w:type="dxa"/>
          </w:tcPr>
          <w:p w:rsidR="005F6651" w:rsidRPr="00D9109D" w:rsidRDefault="005F6651" w:rsidP="00C81DAB">
            <w:pPr>
              <w:spacing w:before="60" w:after="60"/>
              <w:jc w:val="center"/>
            </w:pPr>
            <w:r>
              <w:t>43</w:t>
            </w:r>
          </w:p>
        </w:tc>
        <w:tc>
          <w:tcPr>
            <w:tcW w:w="1836" w:type="dxa"/>
          </w:tcPr>
          <w:p w:rsidR="005F6651" w:rsidRDefault="005F6651" w:rsidP="00A77672">
            <w:pPr>
              <w:spacing w:before="60" w:after="60"/>
              <w:jc w:val="center"/>
            </w:pPr>
            <w:r>
              <w:t>201</w:t>
            </w:r>
            <w:r w:rsidR="00A77672">
              <w:t>4</w:t>
            </w:r>
            <w:r>
              <w:t xml:space="preserve"> TRM</w:t>
            </w:r>
          </w:p>
        </w:tc>
      </w:tr>
      <w:tr w:rsidR="005F6651" w:rsidRPr="00BB6778" w:rsidTr="00C81DAB">
        <w:trPr>
          <w:trHeight w:val="20"/>
          <w:jc w:val="center"/>
        </w:trPr>
        <w:tc>
          <w:tcPr>
            <w:tcW w:w="1674" w:type="dxa"/>
            <w:noWrap/>
            <w:vAlign w:val="bottom"/>
          </w:tcPr>
          <w:p w:rsidR="005F6651" w:rsidRDefault="005F6651" w:rsidP="00C81DAB">
            <w:pPr>
              <w:spacing w:before="60" w:after="60"/>
              <w:jc w:val="center"/>
            </w:pPr>
            <w:r w:rsidRPr="00D9109D">
              <w:t>310</w:t>
            </w:r>
          </w:p>
        </w:tc>
        <w:tc>
          <w:tcPr>
            <w:tcW w:w="1674" w:type="dxa"/>
            <w:noWrap/>
            <w:vAlign w:val="bottom"/>
          </w:tcPr>
          <w:p w:rsidR="005F6651" w:rsidRDefault="005F6651" w:rsidP="00C81DAB">
            <w:pPr>
              <w:spacing w:before="60" w:after="60"/>
              <w:jc w:val="center"/>
            </w:pPr>
            <w:r w:rsidRPr="00D9109D">
              <w:t>749</w:t>
            </w:r>
          </w:p>
        </w:tc>
        <w:tc>
          <w:tcPr>
            <w:tcW w:w="1836" w:type="dxa"/>
            <w:vAlign w:val="bottom"/>
          </w:tcPr>
          <w:p w:rsidR="005F6651" w:rsidRDefault="005F6651" w:rsidP="00C81DAB">
            <w:pPr>
              <w:spacing w:before="60" w:after="60"/>
              <w:jc w:val="center"/>
            </w:pPr>
            <w:r w:rsidRPr="00D9109D">
              <w:t>40</w:t>
            </w:r>
          </w:p>
        </w:tc>
        <w:tc>
          <w:tcPr>
            <w:tcW w:w="1836" w:type="dxa"/>
          </w:tcPr>
          <w:p w:rsidR="005F6651" w:rsidRPr="00D9109D" w:rsidRDefault="005F6651" w:rsidP="00C81DAB">
            <w:pPr>
              <w:spacing w:before="60" w:after="60"/>
              <w:jc w:val="center"/>
            </w:pPr>
            <w:r>
              <w:t>29</w:t>
            </w:r>
          </w:p>
        </w:tc>
        <w:tc>
          <w:tcPr>
            <w:tcW w:w="1836" w:type="dxa"/>
          </w:tcPr>
          <w:p w:rsidR="005F6651" w:rsidRDefault="005F6651" w:rsidP="00C81DAB">
            <w:pPr>
              <w:spacing w:before="60" w:after="60"/>
              <w:jc w:val="center"/>
            </w:pPr>
            <w:r>
              <w:t>2014 TRM</w:t>
            </w:r>
          </w:p>
        </w:tc>
      </w:tr>
    </w:tbl>
    <w:p w:rsidR="005F6651" w:rsidRDefault="005F6651" w:rsidP="005F6651"/>
    <w:p w:rsidR="005F6651" w:rsidRDefault="00D55DE0" w:rsidP="005F6651">
      <w:r>
        <w:t>To determine the Watts</w:t>
      </w:r>
      <w:r>
        <w:rPr>
          <w:vertAlign w:val="subscript"/>
        </w:rPr>
        <w:t xml:space="preserve">Base </w:t>
      </w:r>
      <w:r>
        <w:t>for a</w:t>
      </w:r>
      <w:r w:rsidR="002751ED">
        <w:t xml:space="preserve"> non-specialty</w:t>
      </w:r>
      <w:r>
        <w:t xml:space="preserve"> CFL,</w:t>
      </w:r>
      <w:r w:rsidR="00EB1B26">
        <w:rPr>
          <w:rStyle w:val="FootnoteReference"/>
        </w:rPr>
        <w:footnoteReference w:id="90"/>
      </w:r>
      <w:r>
        <w:t>,, follow these steps:</w:t>
      </w:r>
    </w:p>
    <w:p w:rsidR="00D55DE0" w:rsidRDefault="00D55DE0" w:rsidP="0005632A">
      <w:pPr>
        <w:numPr>
          <w:ilvl w:val="0"/>
          <w:numId w:val="76"/>
        </w:numPr>
        <w:spacing w:after="0"/>
      </w:pPr>
      <w:r>
        <w:t>Identify the CFL’s rated lumen output</w:t>
      </w:r>
    </w:p>
    <w:p w:rsidR="00D55DE0" w:rsidRDefault="00D55DE0" w:rsidP="0005632A">
      <w:pPr>
        <w:numPr>
          <w:ilvl w:val="0"/>
          <w:numId w:val="76"/>
        </w:numPr>
        <w:spacing w:after="0"/>
      </w:pPr>
      <w:r>
        <w:t xml:space="preserve">In </w:t>
      </w:r>
      <w:r w:rsidR="007A1FB6">
        <w:fldChar w:fldCharType="begin"/>
      </w:r>
      <w:r>
        <w:instrText xml:space="preserve"> REF _Ref285799707 \h </w:instrText>
      </w:r>
      <w:r w:rsidR="007A1FB6">
        <w:fldChar w:fldCharType="separate"/>
      </w:r>
      <w:r w:rsidR="00C0292F" w:rsidRPr="0042295A">
        <w:t xml:space="preserve">Table </w:t>
      </w:r>
      <w:r w:rsidR="00C0292F">
        <w:rPr>
          <w:noProof/>
        </w:rPr>
        <w:t>2</w:t>
      </w:r>
      <w:r w:rsidR="00C0292F">
        <w:noBreakHyphen/>
      </w:r>
      <w:r w:rsidR="00C0292F">
        <w:rPr>
          <w:noProof/>
        </w:rPr>
        <w:t>43</w:t>
      </w:r>
      <w:r w:rsidR="007A1FB6">
        <w:fldChar w:fldCharType="end"/>
      </w:r>
      <w:r>
        <w:t>, find the lumen range into which the CFL falls (see columns (a) and (b).</w:t>
      </w:r>
    </w:p>
    <w:p w:rsidR="00D55DE0" w:rsidRPr="00D55DE0" w:rsidRDefault="00D55DE0" w:rsidP="0005632A">
      <w:pPr>
        <w:numPr>
          <w:ilvl w:val="0"/>
          <w:numId w:val="76"/>
        </w:numPr>
        <w:spacing w:after="0"/>
      </w:pPr>
      <w:r>
        <w:t>Find the baseline wattage (Watts</w:t>
      </w:r>
      <w:r>
        <w:rPr>
          <w:vertAlign w:val="subscript"/>
        </w:rPr>
        <w:t>Base</w:t>
      </w:r>
      <w:r>
        <w:t>) in column (c) or column (d). Values in column (c) are used for Watts</w:t>
      </w:r>
      <w:r>
        <w:rPr>
          <w:vertAlign w:val="subscript"/>
        </w:rPr>
        <w:t>Base</w:t>
      </w:r>
      <w:r>
        <w:t xml:space="preserve"> until the TRM listed under column (e) is effective. Afterwards, values in column (d) are used for Watts</w:t>
      </w:r>
      <w:r>
        <w:rPr>
          <w:vertAlign w:val="subscript"/>
        </w:rPr>
        <w:t>Base</w:t>
      </w:r>
      <w:r>
        <w:t>.</w:t>
      </w:r>
    </w:p>
    <w:p w:rsidR="00C5406E" w:rsidRDefault="00C5406E" w:rsidP="00C5406E"/>
    <w:p w:rsidR="00CB79AB" w:rsidRPr="00D53EFE" w:rsidRDefault="001E6208" w:rsidP="00E568D4">
      <w:pPr>
        <w:pStyle w:val="Heading2"/>
      </w:pPr>
      <w:r>
        <w:br w:type="page"/>
      </w:r>
      <w:bookmarkStart w:id="450" w:name="_Toc310875426"/>
      <w:r w:rsidR="00CB79AB" w:rsidRPr="00D53EFE">
        <w:lastRenderedPageBreak/>
        <w:t>ENERGY STAR Windows</w:t>
      </w:r>
      <w:bookmarkEnd w:id="450"/>
    </w:p>
    <w:p w:rsidR="00CB79AB" w:rsidRDefault="00CB79AB" w:rsidP="00871FA2">
      <w:pPr>
        <w:pStyle w:val="Heading3"/>
      </w:pPr>
      <w:r>
        <w:t>Algorithms</w:t>
      </w:r>
    </w:p>
    <w:p w:rsidR="00CB79AB" w:rsidRDefault="00CB79AB" w:rsidP="00CB79AB">
      <w:r>
        <w:t>The general form of the equation for the ENERGY STAR or other high-efficiency windows energy savings’ algorithms is:</w:t>
      </w:r>
    </w:p>
    <w:p w:rsidR="00CB79AB" w:rsidRPr="00165C8E" w:rsidRDefault="00CB79AB" w:rsidP="00CB79AB">
      <w:pPr>
        <w:pStyle w:val="Equation"/>
        <w:rPr>
          <w:rFonts w:cs="Arial"/>
          <w:szCs w:val="20"/>
        </w:rPr>
      </w:pPr>
      <w:r w:rsidRPr="00165C8E">
        <w:rPr>
          <w:rFonts w:cs="Arial"/>
          <w:szCs w:val="20"/>
        </w:rPr>
        <w:t xml:space="preserve">Total Savings </w:t>
      </w:r>
      <w:r w:rsidRPr="00165C8E">
        <w:rPr>
          <w:rFonts w:cs="Arial"/>
          <w:szCs w:val="20"/>
        </w:rPr>
        <w:tab/>
        <w:t>= Square Feet of Window Area X Savings per Square Foot</w:t>
      </w:r>
    </w:p>
    <w:p w:rsidR="00CB79AB" w:rsidRDefault="00F11594" w:rsidP="00CB79AB">
      <w:r>
        <w:t xml:space="preserve">To determine resource savings, the per-square-foot estimates in the algorithms will be multiplied by the number of square feet of window area.  </w:t>
      </w:r>
      <w:r w:rsidR="00CB79AB">
        <w:t xml:space="preserve">The number of square feet of window area will be determined using market assessments and market tracking.  Some of these market tracking mechanisms are under development.  </w:t>
      </w:r>
      <w:r>
        <w:t>The per-unit energy and demand savings estimates are based on prior building simulations of windows.</w:t>
      </w:r>
    </w:p>
    <w:p w:rsidR="00CB79AB" w:rsidRDefault="00CB79AB" w:rsidP="00CB79AB">
      <w:r>
        <w:t xml:space="preserve">Savings’ estimates for </w:t>
      </w:r>
      <w:r w:rsidR="00325EF4">
        <w:rPr>
          <w:smallCaps/>
        </w:rPr>
        <w:t>ENERGY STAR</w:t>
      </w:r>
      <w:r>
        <w:t xml:space="preserve"> Windows are based on modeling a typical 2,500 square foot home using REM Rate, the home energy rating tool.</w:t>
      </w:r>
      <w:r>
        <w:rPr>
          <w:rStyle w:val="FootnoteReference"/>
        </w:rPr>
        <w:footnoteReference w:id="91"/>
      </w:r>
      <w:r>
        <w:t xml:space="preserve">  Savings are per square foot of qualifying window area.  Savings will vary based on heating and cooling system type and fuel.  These fuel and HVAC system market shares will need to be estimated from prior market research efforts or from future program evaluation results.</w:t>
      </w:r>
    </w:p>
    <w:p w:rsidR="00CB79AB" w:rsidRPr="000E610E" w:rsidRDefault="00CB79AB" w:rsidP="00E568D4">
      <w:pPr>
        <w:pStyle w:val="Heading4"/>
      </w:pPr>
      <w:r w:rsidRPr="00D53EFE">
        <w:t>Heat Pump HVAC System</w:t>
      </w:r>
      <w:r w:rsidR="000E610E">
        <w:t>:</w:t>
      </w:r>
    </w:p>
    <w:p w:rsidR="00CB79AB" w:rsidRPr="00165C8E" w:rsidRDefault="00F47DC4" w:rsidP="00CB79AB">
      <w:pPr>
        <w:pStyle w:val="Equation"/>
        <w:rPr>
          <w:rFonts w:cs="Arial"/>
          <w:szCs w:val="20"/>
        </w:rPr>
      </w:pPr>
      <w:r w:rsidRPr="00165C8E">
        <w:rPr>
          <w:rFonts w:cs="Arial"/>
          <w:szCs w:val="20"/>
        </w:rPr>
        <w:sym w:font="Symbol" w:char="F044"/>
      </w:r>
      <w:r w:rsidRPr="00165C8E">
        <w:rPr>
          <w:rFonts w:cs="Arial"/>
          <w:szCs w:val="20"/>
        </w:rPr>
        <w:t>kWh</w:t>
      </w:r>
      <w:r w:rsidRPr="00165C8E">
        <w:rPr>
          <w:rFonts w:cs="Arial"/>
          <w:szCs w:val="20"/>
        </w:rPr>
        <w:tab/>
      </w:r>
      <w:r w:rsidR="00CB79AB" w:rsidRPr="00165C8E">
        <w:rPr>
          <w:rFonts w:cs="Arial"/>
          <w:szCs w:val="20"/>
        </w:rPr>
        <w:tab/>
        <w:t>= ESav</w:t>
      </w:r>
      <w:r w:rsidR="00CB79AB" w:rsidRPr="00165C8E">
        <w:rPr>
          <w:rFonts w:cs="Arial"/>
          <w:szCs w:val="20"/>
          <w:vertAlign w:val="subscript"/>
        </w:rPr>
        <w:t>HP</w:t>
      </w:r>
      <w:r w:rsidR="00CB79AB" w:rsidRPr="00165C8E">
        <w:rPr>
          <w:rFonts w:cs="Arial"/>
          <w:szCs w:val="20"/>
        </w:rPr>
        <w:t xml:space="preserve"> </w:t>
      </w:r>
    </w:p>
    <w:p w:rsidR="00CB79AB" w:rsidRPr="00165C8E" w:rsidRDefault="00F47DC4" w:rsidP="00CB79AB">
      <w:pPr>
        <w:pStyle w:val="Equation"/>
        <w:rPr>
          <w:rFonts w:cs="Arial"/>
          <w:szCs w:val="20"/>
        </w:rPr>
      </w:pPr>
      <w:r w:rsidRPr="00165C8E">
        <w:rPr>
          <w:rFonts w:cs="Arial"/>
          <w:szCs w:val="20"/>
        </w:rPr>
        <w:sym w:font="Symbol" w:char="F044"/>
      </w:r>
      <w:r w:rsidRPr="00165C8E">
        <w:rPr>
          <w:rFonts w:cs="Arial"/>
          <w:szCs w:val="20"/>
        </w:rPr>
        <w:t>kW</w:t>
      </w:r>
      <w:r w:rsidRPr="00165C8E">
        <w:rPr>
          <w:rFonts w:cs="Arial"/>
          <w:szCs w:val="20"/>
          <w:vertAlign w:val="subscript"/>
        </w:rPr>
        <w:t>peak</w:t>
      </w:r>
      <w:r w:rsidR="00CB79AB" w:rsidRPr="00165C8E">
        <w:rPr>
          <w:rFonts w:cs="Arial"/>
          <w:szCs w:val="20"/>
        </w:rPr>
        <w:tab/>
      </w:r>
      <w:r w:rsidRPr="00165C8E">
        <w:rPr>
          <w:rFonts w:cs="Arial"/>
          <w:szCs w:val="20"/>
        </w:rPr>
        <w:tab/>
      </w:r>
      <w:r w:rsidR="00CB79AB" w:rsidRPr="00165C8E">
        <w:rPr>
          <w:rFonts w:cs="Arial"/>
          <w:szCs w:val="20"/>
        </w:rPr>
        <w:t>= DSav</w:t>
      </w:r>
      <w:r w:rsidR="00CB79AB" w:rsidRPr="00165C8E">
        <w:rPr>
          <w:rFonts w:cs="Arial"/>
          <w:szCs w:val="20"/>
          <w:vertAlign w:val="subscript"/>
        </w:rPr>
        <w:t xml:space="preserve">HP </w:t>
      </w:r>
      <w:r w:rsidR="00CB79AB" w:rsidRPr="00165C8E">
        <w:rPr>
          <w:rFonts w:cs="Arial"/>
          <w:szCs w:val="20"/>
        </w:rPr>
        <w:t>X CF</w:t>
      </w:r>
    </w:p>
    <w:p w:rsidR="00CB79AB" w:rsidRPr="000E610E" w:rsidRDefault="00CB79AB" w:rsidP="00E568D4">
      <w:pPr>
        <w:pStyle w:val="Heading4"/>
      </w:pPr>
      <w:r w:rsidRPr="00D53EFE">
        <w:t>Electric Heat/Central Air Conditioning</w:t>
      </w:r>
      <w:r w:rsidR="000E610E">
        <w:t>:</w:t>
      </w:r>
    </w:p>
    <w:p w:rsidR="00CB79AB" w:rsidRPr="00165C8E" w:rsidRDefault="00F47DC4" w:rsidP="00CB79AB">
      <w:pPr>
        <w:pStyle w:val="Equation"/>
        <w:rPr>
          <w:rFonts w:cs="Arial"/>
          <w:szCs w:val="20"/>
        </w:rPr>
      </w:pPr>
      <w:r w:rsidRPr="00165C8E">
        <w:rPr>
          <w:rFonts w:cs="Arial"/>
          <w:szCs w:val="20"/>
        </w:rPr>
        <w:sym w:font="Symbol" w:char="F044"/>
      </w:r>
      <w:r w:rsidRPr="00165C8E">
        <w:rPr>
          <w:rFonts w:cs="Arial"/>
          <w:szCs w:val="20"/>
        </w:rPr>
        <w:t>kWh</w:t>
      </w:r>
      <w:r w:rsidRPr="00165C8E">
        <w:rPr>
          <w:rFonts w:cs="Arial"/>
          <w:szCs w:val="20"/>
        </w:rPr>
        <w:tab/>
      </w:r>
      <w:r w:rsidR="00CB79AB" w:rsidRPr="00165C8E">
        <w:rPr>
          <w:rFonts w:cs="Arial"/>
          <w:szCs w:val="20"/>
        </w:rPr>
        <w:tab/>
        <w:t>= ESav</w:t>
      </w:r>
      <w:r w:rsidR="00CB79AB" w:rsidRPr="00165C8E">
        <w:rPr>
          <w:rFonts w:cs="Arial"/>
          <w:szCs w:val="20"/>
          <w:vertAlign w:val="subscript"/>
        </w:rPr>
        <w:t>RES/CAC</w:t>
      </w:r>
    </w:p>
    <w:p w:rsidR="00CB79AB" w:rsidRPr="00165C8E" w:rsidRDefault="00F47DC4" w:rsidP="00CB79AB">
      <w:pPr>
        <w:pStyle w:val="Equation"/>
        <w:rPr>
          <w:rFonts w:cs="Arial"/>
          <w:szCs w:val="20"/>
          <w:vertAlign w:val="subscript"/>
        </w:rPr>
      </w:pPr>
      <w:r w:rsidRPr="00165C8E">
        <w:rPr>
          <w:rFonts w:cs="Arial"/>
          <w:szCs w:val="20"/>
        </w:rPr>
        <w:sym w:font="Symbol" w:char="F044"/>
      </w:r>
      <w:r w:rsidRPr="00165C8E">
        <w:rPr>
          <w:rFonts w:cs="Arial"/>
          <w:szCs w:val="20"/>
        </w:rPr>
        <w:t>kW</w:t>
      </w:r>
      <w:r w:rsidRPr="00165C8E">
        <w:rPr>
          <w:rFonts w:cs="Arial"/>
          <w:szCs w:val="20"/>
          <w:vertAlign w:val="subscript"/>
        </w:rPr>
        <w:t>peak</w:t>
      </w:r>
      <w:r w:rsidRPr="00165C8E">
        <w:rPr>
          <w:rFonts w:cs="Arial"/>
          <w:szCs w:val="20"/>
          <w:vertAlign w:val="subscript"/>
        </w:rPr>
        <w:tab/>
      </w:r>
      <w:r w:rsidR="00CB79AB" w:rsidRPr="00165C8E">
        <w:rPr>
          <w:rFonts w:cs="Arial"/>
          <w:szCs w:val="20"/>
        </w:rPr>
        <w:tab/>
        <w:t>= DSav</w:t>
      </w:r>
      <w:r w:rsidR="00CB79AB" w:rsidRPr="00165C8E">
        <w:rPr>
          <w:rFonts w:cs="Arial"/>
          <w:szCs w:val="20"/>
          <w:vertAlign w:val="subscript"/>
        </w:rPr>
        <w:t xml:space="preserve">CAC </w:t>
      </w:r>
      <w:r w:rsidR="00CB79AB" w:rsidRPr="00165C8E">
        <w:rPr>
          <w:rFonts w:cs="Arial"/>
          <w:szCs w:val="20"/>
        </w:rPr>
        <w:t>X CF</w:t>
      </w:r>
    </w:p>
    <w:p w:rsidR="00CB79AB" w:rsidRPr="000E610E" w:rsidRDefault="00CB79AB" w:rsidP="00E568D4">
      <w:pPr>
        <w:pStyle w:val="Heading4"/>
      </w:pPr>
      <w:r w:rsidRPr="00D53EFE">
        <w:t>Electric Heat/No Central Air Conditioning</w:t>
      </w:r>
      <w:r w:rsidR="000E610E">
        <w:t>:</w:t>
      </w:r>
    </w:p>
    <w:p w:rsidR="00CB79AB" w:rsidRPr="00165C8E" w:rsidRDefault="00F47DC4" w:rsidP="00CB79AB">
      <w:pPr>
        <w:pStyle w:val="Equation"/>
        <w:rPr>
          <w:rFonts w:cs="Arial"/>
          <w:szCs w:val="20"/>
        </w:rPr>
      </w:pPr>
      <w:r w:rsidRPr="00165C8E">
        <w:rPr>
          <w:rFonts w:cs="Arial"/>
          <w:szCs w:val="20"/>
        </w:rPr>
        <w:sym w:font="Symbol" w:char="F044"/>
      </w:r>
      <w:r w:rsidRPr="00165C8E">
        <w:rPr>
          <w:rFonts w:cs="Arial"/>
          <w:szCs w:val="20"/>
        </w:rPr>
        <w:t>kWh</w:t>
      </w:r>
      <w:r w:rsidRPr="00165C8E">
        <w:rPr>
          <w:rFonts w:cs="Arial"/>
          <w:szCs w:val="20"/>
        </w:rPr>
        <w:tab/>
      </w:r>
      <w:r w:rsidR="00CB79AB" w:rsidRPr="00165C8E">
        <w:rPr>
          <w:rFonts w:cs="Arial"/>
          <w:szCs w:val="20"/>
        </w:rPr>
        <w:tab/>
        <w:t>= ESav</w:t>
      </w:r>
      <w:r w:rsidR="00CB79AB" w:rsidRPr="00165C8E">
        <w:rPr>
          <w:rFonts w:cs="Arial"/>
          <w:szCs w:val="20"/>
          <w:vertAlign w:val="subscript"/>
        </w:rPr>
        <w:t>RES/NOCAC</w:t>
      </w:r>
    </w:p>
    <w:p w:rsidR="00CB79AB" w:rsidRPr="00165C8E" w:rsidRDefault="00F47DC4" w:rsidP="00CB79AB">
      <w:pPr>
        <w:pStyle w:val="Equation"/>
        <w:rPr>
          <w:rFonts w:cs="Arial"/>
          <w:szCs w:val="20"/>
          <w:vertAlign w:val="subscript"/>
        </w:rPr>
      </w:pPr>
      <w:r w:rsidRPr="00165C8E">
        <w:rPr>
          <w:rFonts w:cs="Arial"/>
          <w:szCs w:val="20"/>
        </w:rPr>
        <w:sym w:font="Symbol" w:char="F044"/>
      </w:r>
      <w:r w:rsidRPr="00165C8E">
        <w:rPr>
          <w:rFonts w:cs="Arial"/>
          <w:szCs w:val="20"/>
        </w:rPr>
        <w:t>kW</w:t>
      </w:r>
      <w:r w:rsidRPr="00165C8E">
        <w:rPr>
          <w:rFonts w:cs="Arial"/>
          <w:szCs w:val="20"/>
          <w:vertAlign w:val="subscript"/>
        </w:rPr>
        <w:t>peak</w:t>
      </w:r>
      <w:r w:rsidRPr="00165C8E">
        <w:rPr>
          <w:rFonts w:cs="Arial"/>
          <w:szCs w:val="20"/>
          <w:vertAlign w:val="subscript"/>
        </w:rPr>
        <w:tab/>
      </w:r>
      <w:r w:rsidR="00CB79AB" w:rsidRPr="00165C8E">
        <w:rPr>
          <w:rFonts w:cs="Arial"/>
          <w:szCs w:val="20"/>
        </w:rPr>
        <w:tab/>
        <w:t>= DSav</w:t>
      </w:r>
      <w:r w:rsidR="00CB79AB" w:rsidRPr="00165C8E">
        <w:rPr>
          <w:rFonts w:cs="Arial"/>
          <w:szCs w:val="20"/>
          <w:vertAlign w:val="subscript"/>
        </w:rPr>
        <w:t xml:space="preserve">NOCAC </w:t>
      </w:r>
      <w:r w:rsidR="00CB79AB" w:rsidRPr="00165C8E">
        <w:rPr>
          <w:rFonts w:cs="Arial"/>
          <w:szCs w:val="20"/>
        </w:rPr>
        <w:t>X CF</w:t>
      </w:r>
    </w:p>
    <w:p w:rsidR="00CB79AB" w:rsidRPr="00D53EFE" w:rsidRDefault="00CB79AB" w:rsidP="00871FA2">
      <w:pPr>
        <w:pStyle w:val="Heading3"/>
      </w:pPr>
      <w:r w:rsidRPr="00D53EFE">
        <w:t>Definition of Terms</w:t>
      </w:r>
    </w:p>
    <w:p w:rsidR="00CB79AB" w:rsidRPr="00165C8E" w:rsidRDefault="00CB79AB" w:rsidP="00CB79AB">
      <w:pPr>
        <w:pStyle w:val="Equation"/>
        <w:rPr>
          <w:rFonts w:cs="Arial"/>
          <w:szCs w:val="20"/>
        </w:rPr>
      </w:pPr>
      <w:r>
        <w:tab/>
      </w:r>
      <w:r w:rsidRPr="00165C8E">
        <w:rPr>
          <w:rFonts w:cs="Arial"/>
          <w:szCs w:val="20"/>
        </w:rPr>
        <w:t>ESav</w:t>
      </w:r>
      <w:r w:rsidRPr="00165C8E">
        <w:rPr>
          <w:rFonts w:cs="Arial"/>
          <w:szCs w:val="20"/>
          <w:vertAlign w:val="subscript"/>
        </w:rPr>
        <w:t>HP</w:t>
      </w:r>
      <w:r w:rsidRPr="00165C8E">
        <w:rPr>
          <w:rFonts w:cs="Arial"/>
          <w:b/>
          <w:szCs w:val="20"/>
        </w:rPr>
        <w:t xml:space="preserve"> </w:t>
      </w:r>
      <w:r w:rsidRPr="00165C8E">
        <w:rPr>
          <w:rFonts w:cs="Arial"/>
          <w:b/>
          <w:szCs w:val="20"/>
        </w:rPr>
        <w:tab/>
      </w:r>
      <w:r w:rsidRPr="00165C8E">
        <w:rPr>
          <w:rFonts w:cs="Arial"/>
          <w:szCs w:val="20"/>
        </w:rPr>
        <w:t>= Electricity savings (heating and cooling) with heat pump installed.</w:t>
      </w:r>
    </w:p>
    <w:p w:rsidR="00CB79AB" w:rsidRPr="00165C8E" w:rsidRDefault="00CB79AB" w:rsidP="00CB79AB">
      <w:pPr>
        <w:pStyle w:val="Equation"/>
        <w:rPr>
          <w:rFonts w:cs="Arial"/>
          <w:szCs w:val="20"/>
        </w:rPr>
      </w:pPr>
      <w:r w:rsidRPr="00165C8E">
        <w:rPr>
          <w:rFonts w:cs="Arial"/>
          <w:szCs w:val="20"/>
        </w:rPr>
        <w:tab/>
        <w:t>ESav</w:t>
      </w:r>
      <w:r w:rsidRPr="00165C8E">
        <w:rPr>
          <w:rFonts w:cs="Arial"/>
          <w:szCs w:val="20"/>
          <w:vertAlign w:val="subscript"/>
        </w:rPr>
        <w:t xml:space="preserve">RES/CAC </w:t>
      </w:r>
      <w:r w:rsidRPr="00165C8E">
        <w:rPr>
          <w:rFonts w:cs="Arial"/>
          <w:szCs w:val="20"/>
          <w:vertAlign w:val="subscript"/>
        </w:rPr>
        <w:tab/>
      </w:r>
      <w:r w:rsidRPr="00165C8E">
        <w:rPr>
          <w:rFonts w:cs="Arial"/>
          <w:szCs w:val="20"/>
        </w:rPr>
        <w:t>= Electricity savings with electric resistance heating and central AC installed.</w:t>
      </w:r>
    </w:p>
    <w:p w:rsidR="00CB79AB" w:rsidRPr="00165C8E" w:rsidRDefault="00CB79AB" w:rsidP="00CB79AB">
      <w:pPr>
        <w:pStyle w:val="Equation"/>
        <w:rPr>
          <w:rFonts w:cs="Arial"/>
          <w:szCs w:val="20"/>
        </w:rPr>
      </w:pPr>
      <w:r w:rsidRPr="00165C8E">
        <w:rPr>
          <w:rFonts w:cs="Arial"/>
          <w:szCs w:val="20"/>
        </w:rPr>
        <w:tab/>
        <w:t>ESav</w:t>
      </w:r>
      <w:r w:rsidRPr="00165C8E">
        <w:rPr>
          <w:rFonts w:cs="Arial"/>
          <w:szCs w:val="20"/>
          <w:vertAlign w:val="subscript"/>
        </w:rPr>
        <w:t xml:space="preserve">RES/NOCAC </w:t>
      </w:r>
      <w:r w:rsidRPr="00165C8E">
        <w:rPr>
          <w:rFonts w:cs="Arial"/>
          <w:szCs w:val="20"/>
          <w:vertAlign w:val="subscript"/>
        </w:rPr>
        <w:tab/>
      </w:r>
      <w:r w:rsidRPr="00165C8E">
        <w:rPr>
          <w:rFonts w:cs="Arial"/>
          <w:szCs w:val="20"/>
        </w:rPr>
        <w:t>= Electricity savings with electric resistance heating and no central AC installed.</w:t>
      </w:r>
    </w:p>
    <w:p w:rsidR="00CB79AB" w:rsidRPr="00165C8E" w:rsidRDefault="00CB79AB" w:rsidP="00CB79AB">
      <w:pPr>
        <w:pStyle w:val="Equation"/>
        <w:rPr>
          <w:rFonts w:cs="Arial"/>
          <w:szCs w:val="20"/>
        </w:rPr>
      </w:pPr>
      <w:r w:rsidRPr="00165C8E">
        <w:rPr>
          <w:rFonts w:cs="Arial"/>
          <w:szCs w:val="20"/>
        </w:rPr>
        <w:lastRenderedPageBreak/>
        <w:tab/>
        <w:t>DSav</w:t>
      </w:r>
      <w:r w:rsidRPr="00165C8E">
        <w:rPr>
          <w:rFonts w:cs="Arial"/>
          <w:szCs w:val="20"/>
          <w:vertAlign w:val="subscript"/>
        </w:rPr>
        <w:t>HP</w:t>
      </w:r>
      <w:r w:rsidRPr="00165C8E">
        <w:rPr>
          <w:rFonts w:cs="Arial"/>
          <w:b/>
          <w:szCs w:val="20"/>
        </w:rPr>
        <w:t xml:space="preserve"> </w:t>
      </w:r>
      <w:r w:rsidRPr="00165C8E">
        <w:rPr>
          <w:rFonts w:cs="Arial"/>
          <w:b/>
          <w:szCs w:val="20"/>
        </w:rPr>
        <w:tab/>
      </w:r>
      <w:r w:rsidRPr="00165C8E">
        <w:rPr>
          <w:rFonts w:cs="Arial"/>
          <w:szCs w:val="20"/>
        </w:rPr>
        <w:t>= Summer demand savings with heat pump installed.</w:t>
      </w:r>
    </w:p>
    <w:p w:rsidR="00CB79AB" w:rsidRPr="00165C8E" w:rsidRDefault="00CB79AB" w:rsidP="00CB79AB">
      <w:pPr>
        <w:pStyle w:val="Equation"/>
        <w:rPr>
          <w:rFonts w:cs="Arial"/>
          <w:szCs w:val="20"/>
        </w:rPr>
      </w:pPr>
      <w:r w:rsidRPr="00165C8E">
        <w:rPr>
          <w:rFonts w:cs="Arial"/>
          <w:szCs w:val="20"/>
        </w:rPr>
        <w:tab/>
        <w:t>DSav</w:t>
      </w:r>
      <w:r w:rsidRPr="00165C8E">
        <w:rPr>
          <w:rFonts w:cs="Arial"/>
          <w:szCs w:val="20"/>
          <w:vertAlign w:val="subscript"/>
        </w:rPr>
        <w:t xml:space="preserve">CAC </w:t>
      </w:r>
      <w:r w:rsidRPr="00165C8E">
        <w:rPr>
          <w:rFonts w:cs="Arial"/>
          <w:szCs w:val="20"/>
          <w:vertAlign w:val="subscript"/>
        </w:rPr>
        <w:tab/>
      </w:r>
      <w:r w:rsidRPr="00165C8E">
        <w:rPr>
          <w:rFonts w:cs="Arial"/>
          <w:szCs w:val="20"/>
        </w:rPr>
        <w:t>= Summer demand savings with central AC installed.</w:t>
      </w:r>
    </w:p>
    <w:p w:rsidR="00CB79AB" w:rsidRPr="00165C8E" w:rsidRDefault="00CB79AB" w:rsidP="00CB79AB">
      <w:pPr>
        <w:pStyle w:val="Equation"/>
        <w:rPr>
          <w:rFonts w:cs="Arial"/>
          <w:szCs w:val="20"/>
        </w:rPr>
      </w:pPr>
      <w:r w:rsidRPr="00165C8E">
        <w:rPr>
          <w:rFonts w:cs="Arial"/>
          <w:szCs w:val="20"/>
        </w:rPr>
        <w:tab/>
        <w:t>DSav</w:t>
      </w:r>
      <w:r w:rsidRPr="00165C8E">
        <w:rPr>
          <w:rFonts w:cs="Arial"/>
          <w:szCs w:val="20"/>
          <w:vertAlign w:val="subscript"/>
        </w:rPr>
        <w:t xml:space="preserve">NOCAC </w:t>
      </w:r>
      <w:r w:rsidRPr="00165C8E">
        <w:rPr>
          <w:rFonts w:cs="Arial"/>
          <w:szCs w:val="20"/>
          <w:vertAlign w:val="subscript"/>
        </w:rPr>
        <w:tab/>
      </w:r>
      <w:r w:rsidRPr="00165C8E">
        <w:rPr>
          <w:rFonts w:cs="Arial"/>
          <w:szCs w:val="20"/>
        </w:rPr>
        <w:t>= Summer demand savings with no central AC installed.</w:t>
      </w:r>
    </w:p>
    <w:p w:rsidR="00CB79AB" w:rsidRPr="00165C8E" w:rsidRDefault="00CB79AB" w:rsidP="00CB79AB">
      <w:pPr>
        <w:pStyle w:val="Equation"/>
        <w:rPr>
          <w:rFonts w:cs="Arial"/>
          <w:szCs w:val="20"/>
        </w:rPr>
      </w:pPr>
      <w:r w:rsidRPr="00165C8E">
        <w:rPr>
          <w:rFonts w:cs="Arial"/>
          <w:szCs w:val="20"/>
        </w:rPr>
        <w:tab/>
        <w:t xml:space="preserve">CF </w:t>
      </w:r>
      <w:r w:rsidRPr="00165C8E">
        <w:rPr>
          <w:rFonts w:cs="Arial"/>
          <w:szCs w:val="20"/>
        </w:rPr>
        <w:tab/>
        <w:t xml:space="preserve">=  </w:t>
      </w:r>
      <w:r w:rsidR="005478EE" w:rsidRPr="00165C8E">
        <w:rPr>
          <w:rFonts w:cs="Arial"/>
          <w:szCs w:val="20"/>
        </w:rPr>
        <w:t>Demand Coincidence Factor (See Section 1.4)</w:t>
      </w:r>
    </w:p>
    <w:p w:rsidR="00CB79AB" w:rsidRDefault="00CB79AB" w:rsidP="00100EDF">
      <w:pPr>
        <w:pStyle w:val="Caption"/>
      </w:pPr>
      <w:bookmarkStart w:id="451" w:name="_Toc310875530"/>
      <w:r>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44</w:t>
      </w:r>
      <w:r w:rsidR="00274AB1">
        <w:rPr>
          <w:noProof/>
        </w:rPr>
        <w:fldChar w:fldCharType="end"/>
      </w:r>
      <w:r>
        <w:t>: ENERGY STAR Windows - References</w:t>
      </w:r>
      <w:bookmarkEnd w:id="451"/>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975"/>
        <w:gridCol w:w="2643"/>
        <w:gridCol w:w="1117"/>
      </w:tblGrid>
      <w:tr w:rsidR="00CB79AB" w:rsidRPr="00700AE2" w:rsidTr="00A1079C">
        <w:trPr>
          <w:cantSplit/>
          <w:trHeight w:val="317"/>
          <w:tblHeader/>
          <w:jc w:val="center"/>
        </w:trPr>
        <w:tc>
          <w:tcPr>
            <w:tcW w:w="3690" w:type="dxa"/>
            <w:shd w:val="clear" w:color="auto" w:fill="BFBFBF"/>
            <w:vAlign w:val="center"/>
          </w:tcPr>
          <w:p w:rsidR="00CB79AB" w:rsidRPr="001D6512" w:rsidRDefault="00CB79AB" w:rsidP="00C3606E">
            <w:pPr>
              <w:pStyle w:val="TableCell"/>
              <w:spacing w:before="60" w:after="60"/>
              <w:rPr>
                <w:b/>
              </w:rPr>
            </w:pPr>
            <w:r w:rsidRPr="001D6512">
              <w:rPr>
                <w:b/>
              </w:rPr>
              <w:t>Component</w:t>
            </w:r>
          </w:p>
        </w:tc>
        <w:tc>
          <w:tcPr>
            <w:tcW w:w="921" w:type="dxa"/>
            <w:shd w:val="clear" w:color="auto" w:fill="BFBFBF"/>
            <w:vAlign w:val="center"/>
          </w:tcPr>
          <w:p w:rsidR="00CB79AB" w:rsidRPr="001D6512" w:rsidRDefault="00CB79AB" w:rsidP="00C3606E">
            <w:pPr>
              <w:pStyle w:val="TableCell"/>
              <w:spacing w:before="60" w:after="60"/>
              <w:rPr>
                <w:b/>
              </w:rPr>
            </w:pPr>
            <w:r w:rsidRPr="001D6512">
              <w:rPr>
                <w:b/>
              </w:rPr>
              <w:t>Type</w:t>
            </w:r>
          </w:p>
        </w:tc>
        <w:tc>
          <w:tcPr>
            <w:tcW w:w="2497" w:type="dxa"/>
            <w:shd w:val="clear" w:color="auto" w:fill="BFBFBF"/>
            <w:vAlign w:val="center"/>
          </w:tcPr>
          <w:p w:rsidR="00CB79AB" w:rsidRPr="001D6512" w:rsidRDefault="00CB79AB" w:rsidP="00C3606E">
            <w:pPr>
              <w:pStyle w:val="TableCell"/>
              <w:spacing w:before="60" w:after="60"/>
              <w:rPr>
                <w:b/>
              </w:rPr>
            </w:pPr>
            <w:r w:rsidRPr="001D6512">
              <w:rPr>
                <w:b/>
              </w:rPr>
              <w:t>Value</w:t>
            </w:r>
          </w:p>
        </w:tc>
        <w:tc>
          <w:tcPr>
            <w:tcW w:w="1055" w:type="dxa"/>
            <w:shd w:val="clear" w:color="auto" w:fill="BFBFBF"/>
            <w:vAlign w:val="center"/>
          </w:tcPr>
          <w:p w:rsidR="00CB79AB" w:rsidRPr="001D6512" w:rsidRDefault="00CB79AB" w:rsidP="00C3606E">
            <w:pPr>
              <w:pStyle w:val="TableCell"/>
              <w:spacing w:before="60" w:after="60"/>
              <w:rPr>
                <w:b/>
              </w:rPr>
            </w:pPr>
            <w:r w:rsidRPr="001D6512">
              <w:rPr>
                <w:b/>
              </w:rPr>
              <w:t>Sources</w:t>
            </w:r>
          </w:p>
        </w:tc>
      </w:tr>
      <w:tr w:rsidR="00CB79AB" w:rsidRPr="00700AE2" w:rsidTr="00A1079C">
        <w:trPr>
          <w:cantSplit/>
          <w:trHeight w:val="317"/>
          <w:jc w:val="center"/>
        </w:trPr>
        <w:tc>
          <w:tcPr>
            <w:tcW w:w="3690" w:type="dxa"/>
            <w:vAlign w:val="center"/>
          </w:tcPr>
          <w:p w:rsidR="00CB79AB" w:rsidRPr="001D6512" w:rsidRDefault="00CB79AB" w:rsidP="00C3606E">
            <w:pPr>
              <w:pStyle w:val="TableCell"/>
              <w:spacing w:before="60" w:after="60"/>
            </w:pPr>
            <w:r w:rsidRPr="001D6512">
              <w:t>ESav</w:t>
            </w:r>
            <w:r w:rsidRPr="001D6512">
              <w:rPr>
                <w:vertAlign w:val="subscript"/>
              </w:rPr>
              <w:t>HP</w:t>
            </w:r>
          </w:p>
        </w:tc>
        <w:tc>
          <w:tcPr>
            <w:tcW w:w="921" w:type="dxa"/>
            <w:vAlign w:val="center"/>
          </w:tcPr>
          <w:p w:rsidR="00CB79AB" w:rsidRPr="001D6512" w:rsidRDefault="00CB79AB" w:rsidP="00C3606E">
            <w:pPr>
              <w:pStyle w:val="TableCell"/>
              <w:spacing w:before="60" w:after="60"/>
            </w:pPr>
            <w:r w:rsidRPr="001D6512">
              <w:t>Fixed</w:t>
            </w:r>
          </w:p>
        </w:tc>
        <w:tc>
          <w:tcPr>
            <w:tcW w:w="2497" w:type="dxa"/>
            <w:vAlign w:val="center"/>
          </w:tcPr>
          <w:p w:rsidR="00CB79AB" w:rsidRPr="001D6512" w:rsidRDefault="00CB79AB" w:rsidP="00C3606E">
            <w:pPr>
              <w:pStyle w:val="TableCell"/>
              <w:spacing w:before="60" w:after="60"/>
            </w:pPr>
            <w:r w:rsidRPr="001D6512">
              <w:t>2.2395 kWh/ft</w:t>
            </w:r>
            <w:r w:rsidRPr="001D6512">
              <w:rPr>
                <w:vertAlign w:val="superscript"/>
              </w:rPr>
              <w:t>2</w:t>
            </w:r>
          </w:p>
        </w:tc>
        <w:tc>
          <w:tcPr>
            <w:tcW w:w="1055" w:type="dxa"/>
            <w:vAlign w:val="center"/>
          </w:tcPr>
          <w:p w:rsidR="00CB79AB" w:rsidRPr="001D6512" w:rsidRDefault="00CB79AB" w:rsidP="00C3606E">
            <w:pPr>
              <w:pStyle w:val="TableCell"/>
              <w:spacing w:before="60" w:after="60"/>
            </w:pPr>
            <w:r w:rsidRPr="001D6512">
              <w:t>1</w:t>
            </w:r>
          </w:p>
        </w:tc>
      </w:tr>
      <w:tr w:rsidR="00CB79AB" w:rsidRPr="00700AE2" w:rsidTr="00A1079C">
        <w:trPr>
          <w:cantSplit/>
          <w:trHeight w:val="317"/>
          <w:jc w:val="center"/>
        </w:trPr>
        <w:tc>
          <w:tcPr>
            <w:tcW w:w="3690" w:type="dxa"/>
            <w:vAlign w:val="center"/>
          </w:tcPr>
          <w:p w:rsidR="00CB79AB" w:rsidRPr="001D6512" w:rsidRDefault="00CB79AB" w:rsidP="00C3606E">
            <w:pPr>
              <w:pStyle w:val="TableCell"/>
              <w:spacing w:before="60" w:after="60"/>
            </w:pPr>
            <w:r w:rsidRPr="001D6512">
              <w:t>HP Time Period Allocation Factors</w:t>
            </w:r>
          </w:p>
        </w:tc>
        <w:tc>
          <w:tcPr>
            <w:tcW w:w="921" w:type="dxa"/>
            <w:vAlign w:val="center"/>
          </w:tcPr>
          <w:p w:rsidR="00CB79AB" w:rsidRPr="001D6512" w:rsidRDefault="00CB79AB" w:rsidP="00C3606E">
            <w:pPr>
              <w:pStyle w:val="TableCell"/>
              <w:spacing w:before="60" w:after="60"/>
            </w:pPr>
            <w:r w:rsidRPr="001D6512">
              <w:t>Fixed</w:t>
            </w:r>
          </w:p>
        </w:tc>
        <w:tc>
          <w:tcPr>
            <w:tcW w:w="2497" w:type="dxa"/>
            <w:vAlign w:val="center"/>
          </w:tcPr>
          <w:p w:rsidR="00CB79AB" w:rsidRPr="001D6512" w:rsidRDefault="00CB79AB" w:rsidP="00C3606E">
            <w:pPr>
              <w:pStyle w:val="TableCell"/>
              <w:spacing w:before="60" w:after="60"/>
            </w:pPr>
            <w:r w:rsidRPr="001D6512">
              <w:t>Summer/On-Peak 10%</w:t>
            </w:r>
          </w:p>
          <w:p w:rsidR="00CB79AB" w:rsidRPr="001D6512" w:rsidRDefault="00CB79AB" w:rsidP="00C3606E">
            <w:pPr>
              <w:pStyle w:val="TableCell"/>
              <w:spacing w:before="60" w:after="60"/>
            </w:pPr>
            <w:r w:rsidRPr="001D6512">
              <w:t>Summer/Off-Peak 7%</w:t>
            </w:r>
          </w:p>
          <w:p w:rsidR="00CB79AB" w:rsidRPr="001D6512" w:rsidRDefault="00CB79AB" w:rsidP="00C3606E">
            <w:pPr>
              <w:pStyle w:val="TableCell"/>
              <w:spacing w:before="60" w:after="60"/>
            </w:pPr>
            <w:r w:rsidRPr="001D6512">
              <w:t>Winter/On-Peak 40%</w:t>
            </w:r>
          </w:p>
          <w:p w:rsidR="00CB79AB" w:rsidRPr="001D6512" w:rsidRDefault="00CB79AB" w:rsidP="00C3606E">
            <w:pPr>
              <w:pStyle w:val="TableCell"/>
              <w:spacing w:before="60" w:after="60"/>
            </w:pPr>
            <w:r w:rsidRPr="001D6512">
              <w:t>Winter/Off-Peak 44%</w:t>
            </w:r>
          </w:p>
        </w:tc>
        <w:tc>
          <w:tcPr>
            <w:tcW w:w="1055" w:type="dxa"/>
            <w:vAlign w:val="center"/>
          </w:tcPr>
          <w:p w:rsidR="00CB79AB" w:rsidRPr="001D6512" w:rsidRDefault="00CB79AB" w:rsidP="00C3606E">
            <w:pPr>
              <w:pStyle w:val="TableCell"/>
              <w:spacing w:before="60" w:after="60"/>
            </w:pPr>
            <w:r w:rsidRPr="001D6512">
              <w:t>2</w:t>
            </w:r>
          </w:p>
        </w:tc>
      </w:tr>
      <w:tr w:rsidR="00CB79AB" w:rsidRPr="00700AE2" w:rsidTr="00A1079C">
        <w:trPr>
          <w:cantSplit/>
          <w:trHeight w:val="317"/>
          <w:jc w:val="center"/>
        </w:trPr>
        <w:tc>
          <w:tcPr>
            <w:tcW w:w="3690" w:type="dxa"/>
            <w:vAlign w:val="center"/>
          </w:tcPr>
          <w:p w:rsidR="00CB79AB" w:rsidRPr="001D6512" w:rsidRDefault="00CB79AB" w:rsidP="00C3606E">
            <w:pPr>
              <w:pStyle w:val="TableCell"/>
              <w:spacing w:before="60" w:after="60"/>
            </w:pPr>
            <w:r w:rsidRPr="001D6512">
              <w:t>ESav</w:t>
            </w:r>
            <w:r w:rsidRPr="001D6512">
              <w:rPr>
                <w:vertAlign w:val="subscript"/>
              </w:rPr>
              <w:t>RES/CAC</w:t>
            </w:r>
          </w:p>
        </w:tc>
        <w:tc>
          <w:tcPr>
            <w:tcW w:w="921" w:type="dxa"/>
            <w:vAlign w:val="center"/>
          </w:tcPr>
          <w:p w:rsidR="00CB79AB" w:rsidRPr="001D6512" w:rsidRDefault="00CB79AB" w:rsidP="00C3606E">
            <w:pPr>
              <w:pStyle w:val="TableCell"/>
              <w:spacing w:before="60" w:after="60"/>
            </w:pPr>
            <w:r w:rsidRPr="001D6512">
              <w:t>Fixed</w:t>
            </w:r>
          </w:p>
        </w:tc>
        <w:tc>
          <w:tcPr>
            <w:tcW w:w="2497" w:type="dxa"/>
            <w:vAlign w:val="center"/>
          </w:tcPr>
          <w:p w:rsidR="00CB79AB" w:rsidRPr="001D6512" w:rsidRDefault="00CB79AB" w:rsidP="00C3606E">
            <w:pPr>
              <w:pStyle w:val="TableCell"/>
              <w:spacing w:before="60" w:after="60"/>
            </w:pPr>
            <w:r w:rsidRPr="001D6512">
              <w:t>4.0 kWh/ft</w:t>
            </w:r>
            <w:r w:rsidRPr="001D6512">
              <w:rPr>
                <w:vertAlign w:val="superscript"/>
              </w:rPr>
              <w:t>2</w:t>
            </w:r>
          </w:p>
        </w:tc>
        <w:tc>
          <w:tcPr>
            <w:tcW w:w="1055" w:type="dxa"/>
            <w:vAlign w:val="center"/>
          </w:tcPr>
          <w:p w:rsidR="00CB79AB" w:rsidRPr="001D6512" w:rsidRDefault="00CB79AB" w:rsidP="00C3606E">
            <w:pPr>
              <w:pStyle w:val="TableCell"/>
              <w:spacing w:before="60" w:after="60"/>
            </w:pPr>
            <w:r w:rsidRPr="001D6512">
              <w:t>1</w:t>
            </w:r>
          </w:p>
        </w:tc>
      </w:tr>
      <w:tr w:rsidR="00CB79AB" w:rsidRPr="00700AE2" w:rsidTr="00A1079C">
        <w:trPr>
          <w:cantSplit/>
          <w:trHeight w:val="317"/>
          <w:jc w:val="center"/>
        </w:trPr>
        <w:tc>
          <w:tcPr>
            <w:tcW w:w="3690" w:type="dxa"/>
            <w:vAlign w:val="center"/>
          </w:tcPr>
          <w:p w:rsidR="00CB79AB" w:rsidRPr="001D6512" w:rsidRDefault="00CB79AB" w:rsidP="00C3606E">
            <w:pPr>
              <w:pStyle w:val="TableCell"/>
              <w:spacing w:before="60" w:after="60"/>
            </w:pPr>
            <w:r w:rsidRPr="001D6512">
              <w:t>Res/CAC Time Period Allocation Factors</w:t>
            </w:r>
          </w:p>
        </w:tc>
        <w:tc>
          <w:tcPr>
            <w:tcW w:w="921" w:type="dxa"/>
            <w:vAlign w:val="center"/>
          </w:tcPr>
          <w:p w:rsidR="00CB79AB" w:rsidRPr="001D6512" w:rsidRDefault="00CB79AB" w:rsidP="00C3606E">
            <w:pPr>
              <w:pStyle w:val="TableCell"/>
              <w:spacing w:before="60" w:after="60"/>
            </w:pPr>
            <w:r w:rsidRPr="001D6512">
              <w:t>Fixed</w:t>
            </w:r>
          </w:p>
        </w:tc>
        <w:tc>
          <w:tcPr>
            <w:tcW w:w="2497" w:type="dxa"/>
            <w:vAlign w:val="center"/>
          </w:tcPr>
          <w:p w:rsidR="00CB79AB" w:rsidRPr="001D6512" w:rsidRDefault="00CB79AB" w:rsidP="00C3606E">
            <w:pPr>
              <w:pStyle w:val="TableCell"/>
              <w:spacing w:before="60" w:after="60"/>
            </w:pPr>
            <w:r w:rsidRPr="001D6512">
              <w:t>Summer/On-Peak 10%</w:t>
            </w:r>
          </w:p>
          <w:p w:rsidR="00CB79AB" w:rsidRPr="001D6512" w:rsidRDefault="00CB79AB" w:rsidP="00C3606E">
            <w:pPr>
              <w:pStyle w:val="TableCell"/>
              <w:spacing w:before="60" w:after="60"/>
            </w:pPr>
            <w:r w:rsidRPr="001D6512">
              <w:t>Summer/Off-Peak 7%</w:t>
            </w:r>
          </w:p>
          <w:p w:rsidR="00CB79AB" w:rsidRPr="001D6512" w:rsidRDefault="00CB79AB" w:rsidP="00C3606E">
            <w:pPr>
              <w:pStyle w:val="TableCell"/>
              <w:spacing w:before="60" w:after="60"/>
            </w:pPr>
            <w:r w:rsidRPr="001D6512">
              <w:t>Winter/On-Peak 40%</w:t>
            </w:r>
          </w:p>
          <w:p w:rsidR="00CB79AB" w:rsidRPr="001D6512" w:rsidRDefault="00CB79AB" w:rsidP="00C3606E">
            <w:pPr>
              <w:pStyle w:val="TableCell"/>
              <w:spacing w:before="60" w:after="60"/>
            </w:pPr>
            <w:r w:rsidRPr="001D6512">
              <w:t>Winter/Off-Peak 44%</w:t>
            </w:r>
          </w:p>
        </w:tc>
        <w:tc>
          <w:tcPr>
            <w:tcW w:w="1055" w:type="dxa"/>
            <w:vAlign w:val="center"/>
          </w:tcPr>
          <w:p w:rsidR="00CB79AB" w:rsidRPr="001D6512" w:rsidRDefault="00CB79AB" w:rsidP="00C3606E">
            <w:pPr>
              <w:pStyle w:val="TableCell"/>
              <w:spacing w:before="60" w:after="60"/>
            </w:pPr>
            <w:r w:rsidRPr="001D6512">
              <w:t>2</w:t>
            </w:r>
          </w:p>
        </w:tc>
      </w:tr>
      <w:tr w:rsidR="00CB79AB" w:rsidRPr="00700AE2" w:rsidTr="00A1079C">
        <w:trPr>
          <w:cantSplit/>
          <w:trHeight w:val="317"/>
          <w:jc w:val="center"/>
        </w:trPr>
        <w:tc>
          <w:tcPr>
            <w:tcW w:w="3690" w:type="dxa"/>
            <w:vAlign w:val="center"/>
          </w:tcPr>
          <w:p w:rsidR="00CB79AB" w:rsidRPr="001D6512" w:rsidRDefault="00CB79AB" w:rsidP="00C3606E">
            <w:pPr>
              <w:pStyle w:val="TableCell"/>
              <w:spacing w:before="60" w:after="60"/>
            </w:pPr>
            <w:r w:rsidRPr="001D6512">
              <w:t>ESav</w:t>
            </w:r>
            <w:r w:rsidRPr="001D6512">
              <w:rPr>
                <w:vertAlign w:val="subscript"/>
              </w:rPr>
              <w:t>RES/NOCAC</w:t>
            </w:r>
          </w:p>
        </w:tc>
        <w:tc>
          <w:tcPr>
            <w:tcW w:w="921" w:type="dxa"/>
            <w:vAlign w:val="center"/>
          </w:tcPr>
          <w:p w:rsidR="00CB79AB" w:rsidRPr="001D6512" w:rsidRDefault="00CB79AB" w:rsidP="00C3606E">
            <w:pPr>
              <w:pStyle w:val="TableCell"/>
              <w:spacing w:before="60" w:after="60"/>
            </w:pPr>
            <w:r w:rsidRPr="001D6512">
              <w:t>Fixed</w:t>
            </w:r>
          </w:p>
        </w:tc>
        <w:tc>
          <w:tcPr>
            <w:tcW w:w="2497" w:type="dxa"/>
            <w:vAlign w:val="center"/>
          </w:tcPr>
          <w:p w:rsidR="00CB79AB" w:rsidRPr="001D6512" w:rsidRDefault="00CB79AB" w:rsidP="00C3606E">
            <w:pPr>
              <w:pStyle w:val="TableCell"/>
              <w:spacing w:before="60" w:after="60"/>
            </w:pPr>
            <w:r w:rsidRPr="001D6512">
              <w:t>3.97 kWh/ft</w:t>
            </w:r>
            <w:r w:rsidRPr="001D6512">
              <w:rPr>
                <w:vertAlign w:val="superscript"/>
              </w:rPr>
              <w:t>2</w:t>
            </w:r>
          </w:p>
        </w:tc>
        <w:tc>
          <w:tcPr>
            <w:tcW w:w="1055" w:type="dxa"/>
            <w:vAlign w:val="center"/>
          </w:tcPr>
          <w:p w:rsidR="00CB79AB" w:rsidRPr="001D6512" w:rsidRDefault="00CB79AB" w:rsidP="00C3606E">
            <w:pPr>
              <w:pStyle w:val="TableCell"/>
              <w:spacing w:before="60" w:after="60"/>
            </w:pPr>
            <w:r w:rsidRPr="001D6512">
              <w:t>1</w:t>
            </w:r>
          </w:p>
        </w:tc>
      </w:tr>
      <w:tr w:rsidR="00CB79AB" w:rsidRPr="00700AE2" w:rsidTr="00A1079C">
        <w:trPr>
          <w:cantSplit/>
          <w:trHeight w:val="317"/>
          <w:jc w:val="center"/>
        </w:trPr>
        <w:tc>
          <w:tcPr>
            <w:tcW w:w="3690" w:type="dxa"/>
            <w:vAlign w:val="center"/>
          </w:tcPr>
          <w:p w:rsidR="00CB79AB" w:rsidRPr="001D6512" w:rsidRDefault="00CB79AB" w:rsidP="00C3606E">
            <w:pPr>
              <w:pStyle w:val="TableCell"/>
              <w:spacing w:before="60" w:after="60"/>
            </w:pPr>
            <w:r w:rsidRPr="001D6512">
              <w:t>Res/No CAC Time Period Allocation Factors</w:t>
            </w:r>
          </w:p>
        </w:tc>
        <w:tc>
          <w:tcPr>
            <w:tcW w:w="921" w:type="dxa"/>
            <w:vAlign w:val="center"/>
          </w:tcPr>
          <w:p w:rsidR="00CB79AB" w:rsidRPr="001D6512" w:rsidRDefault="00CB79AB" w:rsidP="00C3606E">
            <w:pPr>
              <w:pStyle w:val="TableCell"/>
              <w:spacing w:before="60" w:after="60"/>
            </w:pPr>
            <w:r w:rsidRPr="001D6512">
              <w:t>Fixed</w:t>
            </w:r>
          </w:p>
        </w:tc>
        <w:tc>
          <w:tcPr>
            <w:tcW w:w="2497" w:type="dxa"/>
            <w:vAlign w:val="center"/>
          </w:tcPr>
          <w:p w:rsidR="00CB79AB" w:rsidRPr="001D6512" w:rsidRDefault="00CB79AB" w:rsidP="00C3606E">
            <w:pPr>
              <w:pStyle w:val="TableCell"/>
              <w:spacing w:before="60" w:after="60"/>
            </w:pPr>
            <w:r w:rsidRPr="001D6512">
              <w:t>Summer/On-Peak 3%</w:t>
            </w:r>
          </w:p>
          <w:p w:rsidR="00CB79AB" w:rsidRPr="001D6512" w:rsidRDefault="00CB79AB" w:rsidP="00C3606E">
            <w:pPr>
              <w:pStyle w:val="TableCell"/>
              <w:spacing w:before="60" w:after="60"/>
            </w:pPr>
            <w:r w:rsidRPr="001D6512">
              <w:t>Summer/Off-Peak 3%</w:t>
            </w:r>
          </w:p>
          <w:p w:rsidR="00CB79AB" w:rsidRPr="001D6512" w:rsidRDefault="00CB79AB" w:rsidP="00C3606E">
            <w:pPr>
              <w:pStyle w:val="TableCell"/>
              <w:spacing w:before="60" w:after="60"/>
            </w:pPr>
            <w:r w:rsidRPr="001D6512">
              <w:t>Winter/On-Peak 45%</w:t>
            </w:r>
          </w:p>
          <w:p w:rsidR="00CB79AB" w:rsidRPr="001D6512" w:rsidRDefault="00CB79AB" w:rsidP="00C3606E">
            <w:pPr>
              <w:pStyle w:val="TableCell"/>
              <w:spacing w:before="60" w:after="60"/>
            </w:pPr>
            <w:r w:rsidRPr="001D6512">
              <w:t>Winter/Off-Peak 49%</w:t>
            </w:r>
          </w:p>
        </w:tc>
        <w:tc>
          <w:tcPr>
            <w:tcW w:w="1055" w:type="dxa"/>
            <w:vAlign w:val="center"/>
          </w:tcPr>
          <w:p w:rsidR="00CB79AB" w:rsidRPr="001D6512" w:rsidRDefault="00CB79AB" w:rsidP="00C3606E">
            <w:pPr>
              <w:pStyle w:val="TableCell"/>
              <w:spacing w:before="60" w:after="60"/>
            </w:pPr>
            <w:r w:rsidRPr="001D6512">
              <w:t>2</w:t>
            </w:r>
          </w:p>
        </w:tc>
      </w:tr>
      <w:tr w:rsidR="00CB79AB" w:rsidRPr="00700AE2" w:rsidTr="00A1079C">
        <w:trPr>
          <w:cantSplit/>
          <w:trHeight w:val="317"/>
          <w:jc w:val="center"/>
        </w:trPr>
        <w:tc>
          <w:tcPr>
            <w:tcW w:w="3690" w:type="dxa"/>
            <w:vAlign w:val="center"/>
          </w:tcPr>
          <w:p w:rsidR="00CB79AB" w:rsidRPr="001D6512" w:rsidRDefault="00CB79AB" w:rsidP="00C3606E">
            <w:pPr>
              <w:pStyle w:val="TableCell"/>
              <w:spacing w:before="60" w:after="60"/>
            </w:pPr>
            <w:r w:rsidRPr="001D6512">
              <w:t>DSav</w:t>
            </w:r>
            <w:r w:rsidRPr="001D6512">
              <w:rPr>
                <w:vertAlign w:val="subscript"/>
              </w:rPr>
              <w:t>HP</w:t>
            </w:r>
          </w:p>
        </w:tc>
        <w:tc>
          <w:tcPr>
            <w:tcW w:w="921" w:type="dxa"/>
            <w:vAlign w:val="center"/>
          </w:tcPr>
          <w:p w:rsidR="00CB79AB" w:rsidRPr="001D6512" w:rsidRDefault="00CB79AB" w:rsidP="00C3606E">
            <w:pPr>
              <w:pStyle w:val="TableCell"/>
              <w:spacing w:before="60" w:after="60"/>
            </w:pPr>
            <w:r w:rsidRPr="001D6512">
              <w:t>Fixed</w:t>
            </w:r>
          </w:p>
        </w:tc>
        <w:tc>
          <w:tcPr>
            <w:tcW w:w="2497" w:type="dxa"/>
            <w:vAlign w:val="center"/>
          </w:tcPr>
          <w:p w:rsidR="00CB79AB" w:rsidRPr="001D6512" w:rsidRDefault="00CB79AB" w:rsidP="00C3606E">
            <w:pPr>
              <w:pStyle w:val="TableCell"/>
              <w:spacing w:before="60" w:after="60"/>
            </w:pPr>
            <w:r w:rsidRPr="001D6512">
              <w:t>0.000602 kW/ft</w:t>
            </w:r>
            <w:r w:rsidRPr="001D6512">
              <w:rPr>
                <w:vertAlign w:val="superscript"/>
              </w:rPr>
              <w:t>2</w:t>
            </w:r>
          </w:p>
        </w:tc>
        <w:tc>
          <w:tcPr>
            <w:tcW w:w="1055" w:type="dxa"/>
            <w:vAlign w:val="center"/>
          </w:tcPr>
          <w:p w:rsidR="00CB79AB" w:rsidRPr="001D6512" w:rsidRDefault="00CB79AB" w:rsidP="00C3606E">
            <w:pPr>
              <w:pStyle w:val="TableCell"/>
              <w:spacing w:before="60" w:after="60"/>
            </w:pPr>
            <w:r w:rsidRPr="001D6512">
              <w:t>1</w:t>
            </w:r>
          </w:p>
        </w:tc>
      </w:tr>
      <w:tr w:rsidR="00CB79AB" w:rsidRPr="00700AE2" w:rsidTr="00A1079C">
        <w:trPr>
          <w:cantSplit/>
          <w:trHeight w:val="317"/>
          <w:jc w:val="center"/>
        </w:trPr>
        <w:tc>
          <w:tcPr>
            <w:tcW w:w="3690" w:type="dxa"/>
            <w:vAlign w:val="center"/>
          </w:tcPr>
          <w:p w:rsidR="00CB79AB" w:rsidRPr="001D6512" w:rsidRDefault="00CB79AB" w:rsidP="00C3606E">
            <w:pPr>
              <w:pStyle w:val="TableCell"/>
              <w:spacing w:before="60" w:after="60"/>
            </w:pPr>
            <w:r w:rsidRPr="001D6512">
              <w:t>DSav</w:t>
            </w:r>
            <w:r w:rsidRPr="001D6512">
              <w:rPr>
                <w:vertAlign w:val="subscript"/>
              </w:rPr>
              <w:t>CAC</w:t>
            </w:r>
          </w:p>
        </w:tc>
        <w:tc>
          <w:tcPr>
            <w:tcW w:w="921" w:type="dxa"/>
            <w:vAlign w:val="center"/>
          </w:tcPr>
          <w:p w:rsidR="00CB79AB" w:rsidRPr="001D6512" w:rsidRDefault="00CB79AB" w:rsidP="00C3606E">
            <w:pPr>
              <w:pStyle w:val="TableCell"/>
              <w:spacing w:before="60" w:after="60"/>
            </w:pPr>
            <w:r w:rsidRPr="001D6512">
              <w:t>Fixed</w:t>
            </w:r>
          </w:p>
        </w:tc>
        <w:tc>
          <w:tcPr>
            <w:tcW w:w="2497" w:type="dxa"/>
            <w:vAlign w:val="center"/>
          </w:tcPr>
          <w:p w:rsidR="00CB79AB" w:rsidRPr="001D6512" w:rsidRDefault="00CB79AB" w:rsidP="00C3606E">
            <w:pPr>
              <w:pStyle w:val="TableCell"/>
              <w:spacing w:before="60" w:after="60"/>
            </w:pPr>
            <w:r w:rsidRPr="001D6512">
              <w:t>0.000602 kW/ft</w:t>
            </w:r>
            <w:r w:rsidRPr="001D6512">
              <w:rPr>
                <w:vertAlign w:val="superscript"/>
              </w:rPr>
              <w:t>2</w:t>
            </w:r>
          </w:p>
        </w:tc>
        <w:tc>
          <w:tcPr>
            <w:tcW w:w="1055" w:type="dxa"/>
            <w:vAlign w:val="center"/>
          </w:tcPr>
          <w:p w:rsidR="00CB79AB" w:rsidRPr="001D6512" w:rsidRDefault="00CB79AB" w:rsidP="00C3606E">
            <w:pPr>
              <w:pStyle w:val="TableCell"/>
              <w:spacing w:before="60" w:after="60"/>
            </w:pPr>
            <w:r w:rsidRPr="001D6512">
              <w:t>1</w:t>
            </w:r>
          </w:p>
        </w:tc>
      </w:tr>
      <w:tr w:rsidR="00CB79AB" w:rsidRPr="00700AE2" w:rsidTr="00A1079C">
        <w:trPr>
          <w:cantSplit/>
          <w:trHeight w:val="317"/>
          <w:jc w:val="center"/>
        </w:trPr>
        <w:tc>
          <w:tcPr>
            <w:tcW w:w="3690" w:type="dxa"/>
            <w:vAlign w:val="center"/>
          </w:tcPr>
          <w:p w:rsidR="00CB79AB" w:rsidRPr="001D6512" w:rsidRDefault="00CB79AB" w:rsidP="00C3606E">
            <w:pPr>
              <w:pStyle w:val="TableCell"/>
              <w:spacing w:before="60" w:after="60"/>
            </w:pPr>
            <w:r w:rsidRPr="001D6512">
              <w:t>DSav</w:t>
            </w:r>
            <w:r w:rsidRPr="001D6512">
              <w:rPr>
                <w:vertAlign w:val="subscript"/>
              </w:rPr>
              <w:t>NOCAC</w:t>
            </w:r>
          </w:p>
        </w:tc>
        <w:tc>
          <w:tcPr>
            <w:tcW w:w="921" w:type="dxa"/>
            <w:vAlign w:val="center"/>
          </w:tcPr>
          <w:p w:rsidR="00CB79AB" w:rsidRPr="001D6512" w:rsidRDefault="00CB79AB" w:rsidP="00C3606E">
            <w:pPr>
              <w:pStyle w:val="TableCell"/>
              <w:spacing w:before="60" w:after="60"/>
            </w:pPr>
            <w:r w:rsidRPr="001D6512">
              <w:t>Fixed</w:t>
            </w:r>
          </w:p>
        </w:tc>
        <w:tc>
          <w:tcPr>
            <w:tcW w:w="2497" w:type="dxa"/>
            <w:vAlign w:val="center"/>
          </w:tcPr>
          <w:p w:rsidR="00CB79AB" w:rsidRPr="001D6512" w:rsidRDefault="00CB79AB" w:rsidP="00C3606E">
            <w:pPr>
              <w:pStyle w:val="TableCell"/>
              <w:spacing w:before="60" w:after="60"/>
            </w:pPr>
            <w:r w:rsidRPr="001D6512">
              <w:t>0.00 kW/ft</w:t>
            </w:r>
            <w:r w:rsidRPr="001D6512">
              <w:rPr>
                <w:vertAlign w:val="superscript"/>
              </w:rPr>
              <w:t>2</w:t>
            </w:r>
          </w:p>
        </w:tc>
        <w:tc>
          <w:tcPr>
            <w:tcW w:w="1055" w:type="dxa"/>
            <w:vAlign w:val="center"/>
          </w:tcPr>
          <w:p w:rsidR="00CB79AB" w:rsidRPr="001D6512" w:rsidRDefault="00CB79AB" w:rsidP="00C3606E">
            <w:pPr>
              <w:pStyle w:val="TableCell"/>
              <w:spacing w:before="60" w:after="60"/>
            </w:pPr>
            <w:r w:rsidRPr="001D6512">
              <w:t>1</w:t>
            </w:r>
          </w:p>
        </w:tc>
      </w:tr>
      <w:tr w:rsidR="00CB79AB" w:rsidRPr="00700AE2" w:rsidTr="00A1079C">
        <w:trPr>
          <w:cantSplit/>
          <w:trHeight w:val="317"/>
          <w:jc w:val="center"/>
        </w:trPr>
        <w:tc>
          <w:tcPr>
            <w:tcW w:w="3690" w:type="dxa"/>
            <w:vAlign w:val="center"/>
          </w:tcPr>
          <w:p w:rsidR="00CB79AB" w:rsidRPr="001D6512" w:rsidRDefault="00CB79AB" w:rsidP="00C3606E">
            <w:pPr>
              <w:pStyle w:val="TableCell"/>
              <w:spacing w:before="60" w:after="60"/>
            </w:pPr>
            <w:r w:rsidRPr="001D6512">
              <w:t>CF</w:t>
            </w:r>
          </w:p>
        </w:tc>
        <w:tc>
          <w:tcPr>
            <w:tcW w:w="921" w:type="dxa"/>
            <w:vAlign w:val="center"/>
          </w:tcPr>
          <w:p w:rsidR="00CB79AB" w:rsidRPr="001D6512" w:rsidRDefault="00CB79AB" w:rsidP="00C3606E">
            <w:pPr>
              <w:pStyle w:val="TableCell"/>
              <w:spacing w:before="60" w:after="60"/>
            </w:pPr>
            <w:r w:rsidRPr="001D6512">
              <w:t>Fixed</w:t>
            </w:r>
          </w:p>
        </w:tc>
        <w:tc>
          <w:tcPr>
            <w:tcW w:w="2497" w:type="dxa"/>
            <w:vAlign w:val="center"/>
          </w:tcPr>
          <w:p w:rsidR="00CB79AB" w:rsidRPr="001D6512" w:rsidRDefault="00CB79AB" w:rsidP="00C3606E">
            <w:pPr>
              <w:pStyle w:val="TableCell"/>
              <w:spacing w:before="60" w:after="60"/>
            </w:pPr>
            <w:r w:rsidRPr="001D6512">
              <w:t>0.75</w:t>
            </w:r>
          </w:p>
        </w:tc>
        <w:tc>
          <w:tcPr>
            <w:tcW w:w="1055" w:type="dxa"/>
            <w:vAlign w:val="center"/>
          </w:tcPr>
          <w:p w:rsidR="00CB79AB" w:rsidRPr="001D6512" w:rsidRDefault="00CB79AB" w:rsidP="00C3606E">
            <w:pPr>
              <w:pStyle w:val="TableCell"/>
              <w:spacing w:before="60" w:after="60"/>
            </w:pPr>
            <w:r w:rsidRPr="001D6512">
              <w:t>3</w:t>
            </w:r>
          </w:p>
        </w:tc>
      </w:tr>
    </w:tbl>
    <w:p w:rsidR="00CB79AB" w:rsidRDefault="00CB79AB" w:rsidP="00C3606E">
      <w:pPr>
        <w:spacing w:after="0"/>
      </w:pPr>
    </w:p>
    <w:p w:rsidR="00CB79AB" w:rsidRPr="00BC5194" w:rsidRDefault="00CB79AB" w:rsidP="00100EDF">
      <w:pPr>
        <w:rPr>
          <w:b/>
        </w:rPr>
      </w:pPr>
      <w:r w:rsidRPr="00BC5194">
        <w:rPr>
          <w:b/>
        </w:rPr>
        <w:t>Sources:</w:t>
      </w:r>
    </w:p>
    <w:p w:rsidR="00CB79AB" w:rsidRDefault="00CB79AB" w:rsidP="00173C8E">
      <w:pPr>
        <w:numPr>
          <w:ilvl w:val="0"/>
          <w:numId w:val="1"/>
        </w:numPr>
      </w:pPr>
      <w:r>
        <w:t xml:space="preserve">From REMRATE Modeling of a typical 2,500 sq. ft. NJ home.  </w:t>
      </w:r>
      <w:r w:rsidR="00F11594">
        <w:t xml:space="preserve">Savings expressed on a per-square-foot of window area basis.  </w:t>
      </w:r>
      <w:r>
        <w:t xml:space="preserve">New Brunswick climate data.  </w:t>
      </w:r>
    </w:p>
    <w:p w:rsidR="00CB79AB" w:rsidRDefault="00CB79AB" w:rsidP="00173C8E">
      <w:pPr>
        <w:numPr>
          <w:ilvl w:val="0"/>
          <w:numId w:val="1"/>
        </w:numPr>
      </w:pPr>
      <w:r>
        <w:t>Time period allocation factors used in cost-effectiveness analysis.</w:t>
      </w:r>
    </w:p>
    <w:p w:rsidR="00CB79AB" w:rsidRDefault="00CB79AB" w:rsidP="00173C8E">
      <w:pPr>
        <w:numPr>
          <w:ilvl w:val="0"/>
          <w:numId w:val="1"/>
        </w:numPr>
      </w:pPr>
      <w:r>
        <w:t>Based on reduction in peak cooling load.</w:t>
      </w:r>
    </w:p>
    <w:p w:rsidR="00CB79AB" w:rsidRDefault="00CB79AB" w:rsidP="00173C8E">
      <w:pPr>
        <w:numPr>
          <w:ilvl w:val="0"/>
          <w:numId w:val="1"/>
        </w:numPr>
        <w:overflowPunct/>
        <w:autoSpaceDE/>
        <w:autoSpaceDN/>
        <w:adjustRightInd/>
        <w:spacing w:after="0" w:line="240" w:lineRule="auto"/>
        <w:textAlignment w:val="auto"/>
      </w:pPr>
      <w:r>
        <w:t>Prorated based on 12% of the annual degree days falling in the summer period and 88% of the annual degree days falling in the winter period.</w:t>
      </w:r>
    </w:p>
    <w:p w:rsidR="00791069" w:rsidRDefault="00791069" w:rsidP="00C3606E">
      <w:pPr>
        <w:overflowPunct/>
        <w:autoSpaceDE/>
        <w:autoSpaceDN/>
        <w:adjustRightInd/>
        <w:spacing w:after="0" w:line="240" w:lineRule="auto"/>
        <w:textAlignment w:val="auto"/>
        <w:rPr>
          <w:rFonts w:cs="Arial"/>
          <w:b/>
          <w:bCs/>
          <w:iCs/>
          <w:sz w:val="24"/>
          <w:szCs w:val="28"/>
        </w:rPr>
      </w:pPr>
    </w:p>
    <w:p w:rsidR="00CB79AB" w:rsidRDefault="001E6208" w:rsidP="00E568D4">
      <w:pPr>
        <w:pStyle w:val="Heading2"/>
      </w:pPr>
      <w:r>
        <w:br w:type="page"/>
      </w:r>
      <w:bookmarkStart w:id="452" w:name="_Toc310875427"/>
      <w:r w:rsidR="00CB79AB">
        <w:lastRenderedPageBreak/>
        <w:t>ENERGY STAR Audit</w:t>
      </w:r>
      <w:bookmarkEnd w:id="452"/>
    </w:p>
    <w:p w:rsidR="00CB79AB" w:rsidRDefault="00CB79AB" w:rsidP="00871FA2">
      <w:pPr>
        <w:pStyle w:val="Heading3"/>
      </w:pPr>
      <w:r>
        <w:t>Algorithms</w:t>
      </w:r>
    </w:p>
    <w:p w:rsidR="00E42D24" w:rsidRDefault="00CB79AB" w:rsidP="00CB79AB">
      <w:r>
        <w:t>No algorithm was developed to measure energy savings for this program.  The purpose of the program is to provide information and tools that residential customers can use to make decisions about what actions to take to improve energy efficiency in their homes.  Many measure installations that are likely to produce significant energy savings are covered in other programs.  These savings are captured in the measured savings for those programs.  The savings produced by this program that are not captured in other programs would be difficult to isolate and relatively expensive to measure.</w:t>
      </w:r>
    </w:p>
    <w:p w:rsidR="00E42D24" w:rsidRDefault="00E42D24">
      <w:pPr>
        <w:overflowPunct/>
        <w:autoSpaceDE/>
        <w:autoSpaceDN/>
        <w:adjustRightInd/>
        <w:spacing w:after="0" w:line="240" w:lineRule="auto"/>
        <w:textAlignment w:val="auto"/>
      </w:pPr>
    </w:p>
    <w:p w:rsidR="00CB79AB" w:rsidRDefault="00CB79AB" w:rsidP="00CB79AB"/>
    <w:p w:rsidR="00CB79AB" w:rsidRDefault="00165C8E" w:rsidP="00E568D4">
      <w:pPr>
        <w:pStyle w:val="Heading2"/>
      </w:pPr>
      <w:r>
        <w:br w:type="page"/>
      </w:r>
      <w:bookmarkStart w:id="453" w:name="_Toc310875428"/>
      <w:r w:rsidR="00CB79AB" w:rsidRPr="00D53EFE">
        <w:lastRenderedPageBreak/>
        <w:t>Home Performance with ENERGY STAR</w:t>
      </w:r>
      <w:bookmarkEnd w:id="453"/>
      <w:r w:rsidR="00CB79AB" w:rsidRPr="00D53EFE">
        <w:t xml:space="preserve"> </w:t>
      </w:r>
    </w:p>
    <w:p w:rsidR="00CB79AB" w:rsidRDefault="00CB79AB" w:rsidP="00CB79AB">
      <w:pPr>
        <w:pStyle w:val="BodyText"/>
      </w:pPr>
      <w:r>
        <w:t xml:space="preserve">In order to implement Home Performance with </w:t>
      </w:r>
      <w:r w:rsidR="00325EF4">
        <w:t>ENERGY STAR</w:t>
      </w:r>
      <w:r>
        <w:t>, there are various standards a program implementer must adhere to in order to deliver the program.  The program implementer must use software that meets a national standard for savings calculations from whole-house approaches such as home performance.  The software program implementer  must adhere to at least one of the following standards:</w:t>
      </w:r>
    </w:p>
    <w:p w:rsidR="00CB79AB" w:rsidRDefault="00CB79AB" w:rsidP="0005632A">
      <w:pPr>
        <w:pStyle w:val="source1"/>
        <w:numPr>
          <w:ilvl w:val="0"/>
          <w:numId w:val="38"/>
        </w:numPr>
      </w:pPr>
      <w:r>
        <w:t>A software tool whose performance has passed testing according to the National Renewable Energy Laboratory’s HERS BESTEST software energy simulation testing protocol.</w:t>
      </w:r>
      <w:r>
        <w:rPr>
          <w:rStyle w:val="FootnoteReference"/>
        </w:rPr>
        <w:footnoteReference w:id="92"/>
      </w:r>
    </w:p>
    <w:p w:rsidR="00CB79AB" w:rsidRDefault="00CB79AB" w:rsidP="00CB79AB">
      <w:pPr>
        <w:pStyle w:val="source1"/>
      </w:pPr>
      <w:r>
        <w:t>Software approved by the US Department of Energy’s Weatherization Assistance Program.</w:t>
      </w:r>
      <w:r>
        <w:rPr>
          <w:rStyle w:val="FootnoteReference"/>
        </w:rPr>
        <w:footnoteReference w:id="93"/>
      </w:r>
    </w:p>
    <w:p w:rsidR="00CB79AB" w:rsidRDefault="00CB79AB" w:rsidP="00CB79AB">
      <w:pPr>
        <w:pStyle w:val="source1"/>
        <w:spacing w:after="200"/>
      </w:pPr>
      <w:r>
        <w:t>RESNET approved rating software.</w:t>
      </w:r>
      <w:r>
        <w:rPr>
          <w:rStyle w:val="FootnoteReference"/>
        </w:rPr>
        <w:footnoteReference w:id="94"/>
      </w:r>
    </w:p>
    <w:p w:rsidR="00CB79AB" w:rsidRDefault="00CB79AB" w:rsidP="00CB79AB">
      <w:pPr>
        <w:pStyle w:val="BodyText"/>
      </w:pPr>
      <w:r>
        <w:t xml:space="preserve">There are numerous software packages that comply with these standards.  Some examples of the software packages are REM/Rate, EnergyGauge, TREAT, and HomeCheck.  The HomeCheck software is described below as an example of a software that can be used to determine if a home qualifies for Home Performance with </w:t>
      </w:r>
      <w:r w:rsidR="00325EF4">
        <w:t>ENERGY STAR</w:t>
      </w:r>
      <w:r>
        <w:t>.</w:t>
      </w:r>
    </w:p>
    <w:p w:rsidR="00CB79AB" w:rsidRDefault="00CB79AB" w:rsidP="00871FA2">
      <w:pPr>
        <w:pStyle w:val="Heading3"/>
      </w:pPr>
      <w:r w:rsidRPr="00D53EFE">
        <w:t>HomeCheck Software Example</w:t>
      </w:r>
    </w:p>
    <w:p w:rsidR="00CB79AB" w:rsidRDefault="00CB79AB" w:rsidP="00CB79AB">
      <w:pPr>
        <w:pStyle w:val="BodyText"/>
      </w:pPr>
      <w:r>
        <w:t xml:space="preserve">Conservation Services Group (CSG) implements Home Performance with </w:t>
      </w:r>
      <w:r w:rsidR="00325EF4">
        <w:t>ENERGY STAR</w:t>
      </w:r>
      <w:r>
        <w:t xml:space="preserve"> in several states. CSG has developed proprietary software known as HomeCheck which is designed to enable an energy auditor to collect information about a customer’s site and based on what is found through the energy audit, recommend energy savings measures and demonstrate the costs and savings associated with those recommendations.  The HomeCheck software is also used to estimate the energy savings that are reported for this program.</w:t>
      </w:r>
    </w:p>
    <w:p w:rsidR="00CB79AB" w:rsidRDefault="00CB79AB" w:rsidP="00CB79AB">
      <w:r>
        <w:t xml:space="preserve">CSG has provided a description of the methods and inputs utilized in the HomeCheck software to estimate energy savings.  CSG has also provided a copy of an evaluation report prepared by Nexant which assessed the energy savings from participants in the Home Performance with </w:t>
      </w:r>
      <w:r w:rsidR="00325EF4">
        <w:t>ENERGY STAR</w:t>
      </w:r>
      <w:r>
        <w:t xml:space="preserve"> Program managed by the New York State Energy Research and Development Authority (NYSERDA)</w:t>
      </w:r>
      <w:r>
        <w:rPr>
          <w:rStyle w:val="FootnoteReference"/>
        </w:rPr>
        <w:footnoteReference w:id="95"/>
      </w:r>
      <w:r>
        <w:t>.  The report concluded that the savings estimated by HomeCheck and reported to NYSERDA were in general agreement with the savings estimates that resulted from the evaluation.</w:t>
      </w:r>
    </w:p>
    <w:p w:rsidR="00CB79AB" w:rsidRPr="007F5F72" w:rsidRDefault="00CB79AB" w:rsidP="00CB79AB">
      <w:r>
        <w:t xml:space="preserve">These algorithms incorporate the HomeCheck software by reference which will be utilized for estimating energy savings for Home Performance with </w:t>
      </w:r>
      <w:r w:rsidR="00325EF4">
        <w:t>ENERGY STAR</w:t>
      </w:r>
      <w:r>
        <w:t xml:space="preserve">.  The following is a summary of the HomeCheck software which was provided by CSG:  </w:t>
      </w:r>
      <w:r w:rsidRPr="007F5F72">
        <w:t xml:space="preserve">CSG’s HomeCheck software was designed to streamline the delivery of energy efficiency programs. The software provides the </w:t>
      </w:r>
      <w:r w:rsidRPr="007F5F72">
        <w:lastRenderedPageBreak/>
        <w:t xml:space="preserve">energy efficiency specialist with an easy-to-use guide for data collection, site and HVAC testing </w:t>
      </w:r>
      <w:r>
        <w:t>algorithm</w:t>
      </w:r>
      <w:r w:rsidRPr="007F5F72">
        <w:t xml:space="preserve">s, eligible efficiency measures, and estimated energy savings. The software is designed to enable an auditor to collect information about customers’ sites and then, based on what he/she finds through the audit, recommend energy-saving measures, demonstrate the costs and savings associated with those recommendations. It also enables an auditor/technician to track the delivery of services and installation of measures at a site. </w:t>
      </w:r>
    </w:p>
    <w:p w:rsidR="00CB79AB" w:rsidRPr="007F5F72" w:rsidRDefault="00CB79AB" w:rsidP="00CB79AB">
      <w:r w:rsidRPr="007F5F72">
        <w:t xml:space="preserve">This software is a part of an end-to-end solution for delivering high-volume retrofit programs, covering administrative functions such as customer relationship management, inspection scheduling, sub-contractor arranging, invoicing and reporting. The range of existing components of the site that can be assessed for potential upgrades is extensive and incorporates potential modifications to almost all energy using aspects of the home. The incorporation of building shell, equipment, distribution systems, lighting, appliances, diagnostic testing and indoor air quality represents a very broad and comprehensive ability to view the needs of a home. </w:t>
      </w:r>
    </w:p>
    <w:p w:rsidR="00CB79AB" w:rsidRPr="007F5F72" w:rsidRDefault="00CB79AB" w:rsidP="00CB79AB">
      <w:pPr>
        <w:pStyle w:val="BodyText"/>
      </w:pPr>
      <w:r w:rsidRPr="007F5F72">
        <w:t xml:space="preserve">The software is designed to combine two approaches to assessing energy savings opportunities at the site. One is a measure specific energy loss calculation, identifying the change in use of BTU’s achieved by modifying a component of the site. Second, is the correlation between energy savings from various building improvements, and existing energy use patterns at </w:t>
      </w:r>
      <w:r>
        <w:t>a</w:t>
      </w:r>
      <w:r w:rsidRPr="007F5F72">
        <w:t xml:space="preserve"> site.</w:t>
      </w:r>
      <w:r>
        <w:t xml:space="preserve"> </w:t>
      </w:r>
      <w:r w:rsidRPr="007F5F72">
        <w:t xml:space="preserve">The use of both calculated savings and the analysis of existing energy use patterns, when possible, provides the most accurate prescription of the impact of changes at the site for an existing customer considering improvements on a retrofit basis. </w:t>
      </w:r>
    </w:p>
    <w:p w:rsidR="00CB79AB" w:rsidRDefault="00CB79AB" w:rsidP="00CB79AB">
      <w:pPr>
        <w:pStyle w:val="BodyText"/>
        <w:rPr>
          <w:b/>
          <w:bCs/>
        </w:rPr>
      </w:pPr>
      <w:r w:rsidRPr="007F5F72">
        <w:t>This software is not designed to provide a load calculation for new equipment or a HERS rating to compare a site to a standard reference site. It is designed to guide facilities in planning improvements at the site with the goal of improved economics, comfort and safety. The software calculates various economic evaluations such as first year savings, simple payback, measure life cost-effectiveness, and Savings-to-Investment ratio (SIR)</w:t>
      </w:r>
      <w:r>
        <w:t>.</w:t>
      </w:r>
    </w:p>
    <w:p w:rsidR="00CB79AB" w:rsidRPr="007F5F72" w:rsidRDefault="00CB79AB" w:rsidP="00871FA2">
      <w:pPr>
        <w:pStyle w:val="Heading3"/>
      </w:pPr>
      <w:r w:rsidRPr="007F5F72">
        <w:t xml:space="preserve">Site-Level Parameters and Calculations </w:t>
      </w:r>
    </w:p>
    <w:p w:rsidR="00CB79AB" w:rsidRPr="007F5F72" w:rsidRDefault="00CB79AB" w:rsidP="00CB79AB">
      <w:r w:rsidRPr="007F5F72">
        <w:t xml:space="preserve">There are a number of calculations and methodologies that apply across measures and form the basis for calculating savings potentials at a site. </w:t>
      </w:r>
    </w:p>
    <w:p w:rsidR="00CB79AB" w:rsidRDefault="00CB79AB" w:rsidP="00871FA2">
      <w:pPr>
        <w:pStyle w:val="Heading3"/>
      </w:pPr>
      <w:r w:rsidRPr="007F5F72">
        <w:t xml:space="preserve">Heating Degree Days and Cooling Degree Hours </w:t>
      </w:r>
    </w:p>
    <w:p w:rsidR="00CB79AB" w:rsidRPr="007F5F72" w:rsidRDefault="00CB79AB" w:rsidP="00CB79AB">
      <w:r w:rsidRPr="007F5F72">
        <w:t xml:space="preserve">Heat transfer calculations depend fundamentally on the temperature difference between inside and outside temperature. This temperature difference is often summarized on a seasonal basis using fixed heating degree-days (HDD) and cooling degree-hours </w:t>
      </w:r>
      <w:r w:rsidR="00F26013">
        <w:t>(</w:t>
      </w:r>
      <w:r w:rsidRPr="007F5F72">
        <w:t>CDH). The standard reference temperature</w:t>
      </w:r>
      <w:r>
        <w:rPr>
          <w:color w:val="0000FF"/>
        </w:rPr>
        <w:t xml:space="preserve"> </w:t>
      </w:r>
      <w:r w:rsidRPr="007F5F72">
        <w:t>for calculating HDD</w:t>
      </w:r>
      <w:r>
        <w:t xml:space="preserve"> (the outside temperature at which the heating system is required)</w:t>
      </w:r>
      <w:r w:rsidRPr="007F5F72">
        <w:t>, for example, has historically been 65°F. Modern houses have larger internal gains and more efficient thermal building envelopes th</w:t>
      </w:r>
      <w:r>
        <w:t>a</w:t>
      </w:r>
      <w:r w:rsidRPr="007F5F72">
        <w:t>n houses did when the 65°F standard was developed, leading to lower effective reference temperatures. This fact has been recognized in ASHRAE Fundamentals, which provides a variable-based degree-day method for calculating energy usage. CSG</w:t>
      </w:r>
      <w:r>
        <w:t>’</w:t>
      </w:r>
      <w:r w:rsidRPr="007F5F72">
        <w:t xml:space="preserve">s Building Model calculates both HDD and CDH based on the specific characteristics and location of the site being treated. </w:t>
      </w:r>
    </w:p>
    <w:p w:rsidR="00CB79AB" w:rsidRDefault="00CB79AB" w:rsidP="00871FA2">
      <w:pPr>
        <w:pStyle w:val="Heading3"/>
      </w:pPr>
      <w:r w:rsidRPr="00736AB8">
        <w:lastRenderedPageBreak/>
        <w:t xml:space="preserve">Building Loads, Other Parameters, and the Building Model </w:t>
      </w:r>
    </w:p>
    <w:p w:rsidR="00CB79AB" w:rsidRPr="00736AB8" w:rsidRDefault="00CB79AB" w:rsidP="00CB79AB">
      <w:r>
        <w:t>CSG is</w:t>
      </w:r>
      <w:r w:rsidRPr="00736AB8">
        <w:t xml:space="preserve"> of the opinion that, in practice, detailed building load simulation tools are quite limited in their potential to improve upon simpler approaches due to their reliance on many factors that are not measurable or known, as well as limitations to the actual models themselves. Key to these limitations is the Human Factor (e.g., sleeping with the windows open; extensive use of high-volume extractor fans, etc.) that is virtually impossible to model. As such, the basic concept behind the model was to develop a series of location specific lookup tables that would take the place of performing hourly calculations while allowing the model to perform for any location. The data in these tables would then be used along with a minimum set of technical data to calculate heating and cooling building loads. </w:t>
      </w:r>
    </w:p>
    <w:p w:rsidR="00CB79AB" w:rsidRPr="00736AB8" w:rsidRDefault="00CB79AB" w:rsidP="00CB79AB">
      <w:pPr>
        <w:pStyle w:val="BodyText"/>
      </w:pPr>
      <w:r w:rsidRPr="00736AB8">
        <w:t xml:space="preserve">In summary, the model uses: </w:t>
      </w:r>
    </w:p>
    <w:p w:rsidR="00CB79AB" w:rsidRPr="00736AB8" w:rsidRDefault="00CB79AB" w:rsidP="0005632A">
      <w:pPr>
        <w:pStyle w:val="source1"/>
        <w:numPr>
          <w:ilvl w:val="0"/>
          <w:numId w:val="39"/>
        </w:numPr>
      </w:pPr>
      <w:r w:rsidRPr="00736AB8">
        <w:t xml:space="preserve">Lookup tables for various parameters that contain the following values for each of the 239 TMY2 weather stations: </w:t>
      </w:r>
    </w:p>
    <w:p w:rsidR="00CB79AB" w:rsidRPr="00736AB8" w:rsidRDefault="00CB79AB" w:rsidP="00F26013">
      <w:pPr>
        <w:pStyle w:val="source2"/>
        <w:ind w:left="1440" w:hanging="720"/>
      </w:pPr>
      <w:r w:rsidRPr="00736AB8">
        <w:t>Various heating and cooling infiltration factors</w:t>
      </w:r>
      <w:r>
        <w:t>.</w:t>
      </w:r>
      <w:r w:rsidRPr="00736AB8">
        <w:t xml:space="preserve"> </w:t>
      </w:r>
      <w:r w:rsidRPr="00736AB8">
        <w:tab/>
      </w:r>
    </w:p>
    <w:p w:rsidR="00CB79AB" w:rsidRPr="00736AB8" w:rsidRDefault="00CB79AB" w:rsidP="00F26013">
      <w:pPr>
        <w:pStyle w:val="source2"/>
        <w:ind w:left="1440" w:hanging="720"/>
      </w:pPr>
      <w:r w:rsidRPr="00736AB8">
        <w:t>Heating degree days and heating hours for a temperature range of 40 to 72°F</w:t>
      </w:r>
      <w:r>
        <w:t>.</w:t>
      </w:r>
      <w:r w:rsidRPr="00736AB8">
        <w:t xml:space="preserve"> </w:t>
      </w:r>
    </w:p>
    <w:p w:rsidR="00CB79AB" w:rsidRPr="00736AB8" w:rsidRDefault="00CB79AB" w:rsidP="00F26013">
      <w:pPr>
        <w:pStyle w:val="source2"/>
        <w:ind w:left="1440" w:hanging="720"/>
      </w:pPr>
      <w:r w:rsidRPr="00736AB8">
        <w:t>Cooling degree hours and cooling hours for a temperature range of 68 to 84°F</w:t>
      </w:r>
      <w:r>
        <w:t>.</w:t>
      </w:r>
      <w:r w:rsidRPr="00736AB8">
        <w:t xml:space="preserve"> </w:t>
      </w:r>
    </w:p>
    <w:p w:rsidR="00CB79AB" w:rsidRPr="00736AB8" w:rsidRDefault="00CB79AB" w:rsidP="00F26013">
      <w:pPr>
        <w:pStyle w:val="source2"/>
        <w:spacing w:after="200"/>
        <w:ind w:left="1440" w:hanging="720"/>
      </w:pPr>
      <w:r w:rsidRPr="00736AB8">
        <w:t>Heating and cooling season solar gain factors</w:t>
      </w:r>
      <w:r>
        <w:t>.</w:t>
      </w:r>
      <w:r w:rsidRPr="00736AB8">
        <w:t xml:space="preserve"> </w:t>
      </w:r>
    </w:p>
    <w:p w:rsidR="00CB79AB" w:rsidRPr="00736AB8" w:rsidRDefault="00CB79AB" w:rsidP="00CB79AB">
      <w:pPr>
        <w:pStyle w:val="source1"/>
      </w:pPr>
      <w:r w:rsidRPr="00736AB8">
        <w:t xml:space="preserve">Simple engineering algorithms based on accepted thermodynamic principles, adjusted to reflect known errors, the latest research and measured results </w:t>
      </w:r>
    </w:p>
    <w:p w:rsidR="00CB79AB" w:rsidRPr="009136A8" w:rsidRDefault="00CB79AB" w:rsidP="00CB79AB">
      <w:pPr>
        <w:pStyle w:val="source1"/>
      </w:pPr>
      <w:r w:rsidRPr="009136A8">
        <w:t>Heating season iterative calculations to account for the feedback loop between conditioned hours, degree days, average “system on” indoor and outdoor temperatures and the building</w:t>
      </w:r>
    </w:p>
    <w:p w:rsidR="00CB79AB" w:rsidRPr="009136A8" w:rsidRDefault="00CB79AB" w:rsidP="00CB79AB">
      <w:pPr>
        <w:pStyle w:val="source1"/>
        <w:spacing w:after="200"/>
      </w:pPr>
      <w:r w:rsidRPr="009136A8">
        <w:t>The thermal behavior of homes is complex and commonly accepted algorithms will on occasion predict unreasonably high savings, HomeCheck uses a proprietary methodology to identify and adjust these cases.  This methodology imposes limits on savings projected by industry standard calculations, to account for interactivities and other factors that are difficult to model.  These limits are based on CSG’s measured experience in a wide variety of actual installations.</w:t>
      </w:r>
    </w:p>
    <w:p w:rsidR="00CB79AB" w:rsidRDefault="00CB79AB" w:rsidP="00871FA2">
      <w:pPr>
        <w:pStyle w:val="Heading3"/>
      </w:pPr>
      <w:r w:rsidRPr="009136A8">
        <w:t xml:space="preserve">Usage Analysis </w:t>
      </w:r>
    </w:p>
    <w:p w:rsidR="00CB79AB" w:rsidRPr="007F5F72" w:rsidRDefault="00CB79AB" w:rsidP="00CB79AB">
      <w:r w:rsidRPr="007F5F72">
        <w:t xml:space="preserve">The estimation of robust building loads through the modeling of a building is not always reliable. Thus, in addition to modeling the building, HomeCheck calculates a normalized annual consumption for heating and cooling, calculated from actual fuel consumption and weather data using a Seasonal Swing methodology. This methodology uses historic local weather data and site-specific usage to calculate heating and cooling loads. The methodology uses 30-year weather data to determine spring and fall shoulder periods when no heating or cooling is likely to be in use. The entered billing history is broken out into daily fuel consumption, and these daily consumption data along with the shoulder periods is used to calculate base load usage and summer and winter seasonal swing fuel consumption. </w:t>
      </w:r>
    </w:p>
    <w:p w:rsidR="00CB79AB" w:rsidRDefault="00CB79AB" w:rsidP="00871FA2">
      <w:pPr>
        <w:pStyle w:val="Heading3"/>
      </w:pPr>
      <w:r w:rsidRPr="003D2C45">
        <w:lastRenderedPageBreak/>
        <w:t xml:space="preserve">Multiple HVAC Systems </w:t>
      </w:r>
    </w:p>
    <w:p w:rsidR="00CB79AB" w:rsidRPr="007F5F72" w:rsidRDefault="00CB79AB" w:rsidP="00CB79AB">
      <w:r>
        <w:t>HVAC syst</w:t>
      </w:r>
      <w:r w:rsidR="00F26013">
        <w:t>e</w:t>
      </w:r>
      <w:r w:rsidRPr="007F5F72">
        <w:t>m and distribution seasonal efficiencies are used in all therma</w:t>
      </w:r>
      <w:r>
        <w:t>l-</w:t>
      </w:r>
      <w:r w:rsidRPr="007F5F72">
        <w:t xml:space="preserve">shell measure algorithms. HVAC system and distribution seasonal efficiencies and thermostat load reduction adjustments are used when calculating the effect of interactivity between mechanical and architectural measures. If a site has multiple HVAC systems, weighted average seasonal efficiencies and thermostat load reduction adjustments are calculated based on the relative contributions (in terms of percent of total load) of each system. </w:t>
      </w:r>
    </w:p>
    <w:p w:rsidR="00CB79AB" w:rsidRDefault="00CB79AB" w:rsidP="00871FA2">
      <w:pPr>
        <w:pStyle w:val="Heading3"/>
      </w:pPr>
      <w:r w:rsidRPr="003D2C45">
        <w:t xml:space="preserve">Multiple Heating Fuels </w:t>
      </w:r>
    </w:p>
    <w:p w:rsidR="00CB79AB" w:rsidRPr="007F5F72" w:rsidRDefault="00CB79AB" w:rsidP="00CB79AB">
      <w:r w:rsidRPr="007F5F72">
        <w:t>It is not unusual to find homes with multiple HVAC systems using different fuel types. In these cases</w:t>
      </w:r>
      <w:r>
        <w:t>,</w:t>
      </w:r>
      <w:r w:rsidRPr="007F5F72">
        <w:t xml:space="preserve"> it is necessary to aggregate the NACs for all fuel sources for use in shell savings algorithms. This is achieved by assigning a percentage contribution to total NAC for each system, converting this into</w:t>
      </w:r>
      <w:r>
        <w:t xml:space="preserve"> BTU’</w:t>
      </w:r>
      <w:r w:rsidRPr="007F5F72">
        <w:t xml:space="preserve">s, and aggregating the result. Estimated first year savings for thermal shell measures are then disaggregated into the component fuel types based on the pre-retrofit relative contributions of fuel types. </w:t>
      </w:r>
    </w:p>
    <w:p w:rsidR="00CB79AB" w:rsidRDefault="00CB79AB" w:rsidP="00871FA2">
      <w:pPr>
        <w:pStyle w:val="Heading3"/>
      </w:pPr>
      <w:r w:rsidRPr="003D2C45">
        <w:t>Interactivity</w:t>
      </w:r>
    </w:p>
    <w:p w:rsidR="00CB79AB" w:rsidRPr="007F5F72" w:rsidRDefault="00CB79AB" w:rsidP="00CB79AB">
      <w:r w:rsidRPr="007F5F72">
        <w:t xml:space="preserve">To account for interactivity between architectural and mechanical measures, CSG’s HomeCheck employs the following methodology, in order: </w:t>
      </w:r>
    </w:p>
    <w:p w:rsidR="00CB79AB" w:rsidRPr="007F5F72" w:rsidRDefault="00CB79AB" w:rsidP="0005632A">
      <w:pPr>
        <w:pStyle w:val="source1"/>
        <w:numPr>
          <w:ilvl w:val="0"/>
          <w:numId w:val="40"/>
        </w:numPr>
      </w:pPr>
      <w:r w:rsidRPr="007F5F72">
        <w:t xml:space="preserve"> </w:t>
      </w:r>
      <w:r w:rsidR="00F11594" w:rsidRPr="007F5F72">
        <w:t>Non</w:t>
      </w:r>
      <w:r w:rsidR="00F11594">
        <w:t>-</w:t>
      </w:r>
      <w:r w:rsidR="00F11594" w:rsidRPr="007F5F72">
        <w:t>interacted</w:t>
      </w:r>
      <w:r w:rsidRPr="007F5F72">
        <w:t xml:space="preserve"> first year savings are calculated for each individual measure</w:t>
      </w:r>
      <w:r>
        <w:t>.</w:t>
      </w:r>
    </w:p>
    <w:p w:rsidR="00CB79AB" w:rsidRPr="007F5F72" w:rsidRDefault="00CB79AB" w:rsidP="00CB79AB">
      <w:pPr>
        <w:pStyle w:val="source1"/>
      </w:pPr>
      <w:r w:rsidRPr="007F5F72">
        <w:t xml:space="preserve"> Non-interacted SIR (RawSIR) is calculated for each measure</w:t>
      </w:r>
      <w:r>
        <w:t>.</w:t>
      </w:r>
    </w:p>
    <w:p w:rsidR="00CB79AB" w:rsidRPr="007F5F72" w:rsidRDefault="00CB79AB" w:rsidP="00CB79AB">
      <w:pPr>
        <w:pStyle w:val="source1"/>
      </w:pPr>
      <w:r w:rsidRPr="007F5F72">
        <w:t xml:space="preserve"> Measures are ranked in descending order of RawSIR</w:t>
      </w:r>
      <w:r>
        <w:t>,</w:t>
      </w:r>
    </w:p>
    <w:p w:rsidR="00CB79AB" w:rsidRPr="007F5F72" w:rsidRDefault="00CB79AB" w:rsidP="00CB79AB">
      <w:pPr>
        <w:pStyle w:val="source1"/>
      </w:pPr>
      <w:r w:rsidRPr="007F5F72">
        <w:t xml:space="preserve"> Starting with the most cost-effective measure (as defined by RawSIR), first year savings are adjusted for each measure as follows: </w:t>
      </w:r>
    </w:p>
    <w:p w:rsidR="00CB79AB" w:rsidRPr="007F5F72" w:rsidRDefault="00CB79AB" w:rsidP="00CB79AB">
      <w:pPr>
        <w:pStyle w:val="source2"/>
      </w:pPr>
      <w:r w:rsidRPr="007F5F72">
        <w:t>Mechanical measures (such as thermostats, HVAC system upgrades or distribution system upgrades) are adjusted to account for the load reduction from measures with a higher RawSIR</w:t>
      </w:r>
      <w:r>
        <w:t>.</w:t>
      </w:r>
    </w:p>
    <w:p w:rsidR="00CB79AB" w:rsidRPr="007F5F72" w:rsidRDefault="00CB79AB" w:rsidP="00CB79AB">
      <w:pPr>
        <w:pStyle w:val="source2"/>
      </w:pPr>
      <w:r w:rsidRPr="007F5F72">
        <w:t xml:space="preserve">Architectural measures are adjusted to account for overall HVAC system efficiency changes and thermostat load reduction changes. Architectural measures with a higher RawSIR than that of HVAC system measures are calculated using the existing efficiencies. Those with RawSIR’s lower than that of heating equipment use the new heating efficiencies. </w:t>
      </w:r>
    </w:p>
    <w:p w:rsidR="00CB79AB" w:rsidRPr="007F5F72" w:rsidRDefault="00CB79AB" w:rsidP="00CB79AB">
      <w:pPr>
        <w:pStyle w:val="source1"/>
      </w:pPr>
      <w:r w:rsidRPr="007F5F72">
        <w:t xml:space="preserve">Interacted SIR is then calculated for each measure, along with cumulative SIR for the entire job. </w:t>
      </w:r>
    </w:p>
    <w:p w:rsidR="00CB79AB" w:rsidRPr="007F5F72" w:rsidRDefault="00CB79AB" w:rsidP="00CB79AB">
      <w:pPr>
        <w:pStyle w:val="source1"/>
      </w:pPr>
      <w:r w:rsidRPr="007F5F72">
        <w:t>All measures are then re-ranked in descending order of SIR</w:t>
      </w:r>
      <w:r>
        <w:t>.</w:t>
      </w:r>
      <w:r w:rsidRPr="007F5F72">
        <w:t xml:space="preserve"> </w:t>
      </w:r>
    </w:p>
    <w:p w:rsidR="00CD05FA" w:rsidRDefault="00CB79AB">
      <w:pPr>
        <w:pStyle w:val="source1"/>
      </w:pPr>
      <w:r w:rsidRPr="007F5F72">
        <w:t>The process is repeated, replacing RawSIR with SIR until the order of measures does not change</w:t>
      </w:r>
      <w:r>
        <w:t>.</w:t>
      </w:r>
      <w:r w:rsidRPr="007F5F72">
        <w:t xml:space="preserve"> </w:t>
      </w:r>
    </w:p>
    <w:p w:rsidR="00CB79AB" w:rsidRDefault="00CB79AB" w:rsidP="00871FA2">
      <w:pPr>
        <w:pStyle w:val="Heading3"/>
      </w:pPr>
      <w:r>
        <w:t>Lighting</w:t>
      </w:r>
    </w:p>
    <w:p w:rsidR="00A1079C" w:rsidRDefault="00CB79AB" w:rsidP="00865117">
      <w:r>
        <w:t xml:space="preserve">Quantification of additional savings due to the addition of high efficiency lighting will be based on the applicable algorithms presented for these appliances in the </w:t>
      </w:r>
      <w:r w:rsidR="00325EF4">
        <w:t>ENERGY STAR</w:t>
      </w:r>
      <w:r>
        <w:t xml:space="preserve"> Lighting Algorithms section found in </w:t>
      </w:r>
      <w:r w:rsidR="00325EF4">
        <w:t>ENERGY STAR</w:t>
      </w:r>
      <w:r>
        <w:t xml:space="preserve"> Products.</w:t>
      </w:r>
    </w:p>
    <w:p w:rsidR="00CD05FA" w:rsidRDefault="001E6208" w:rsidP="00E568D4">
      <w:pPr>
        <w:pStyle w:val="Heading2"/>
      </w:pPr>
      <w:r>
        <w:br w:type="page"/>
      </w:r>
      <w:bookmarkStart w:id="454" w:name="_Toc310875429"/>
      <w:r w:rsidR="00A1079C">
        <w:lastRenderedPageBreak/>
        <w:t>ENERGY STAR Televisions (Versions 4.1 and 5.1)</w:t>
      </w:r>
      <w:bookmarkEnd w:id="454"/>
    </w:p>
    <w:p w:rsidR="00CD05FA" w:rsidRDefault="00A1079C">
      <w:pPr>
        <w:pStyle w:val="BodyText"/>
      </w:pPr>
      <w:r>
        <w:t>This measure applies to the purchase of an ENERGY STAR TV meeting Version 4.1 or Version 5.1 standards.  Version 4.1 standards are effective as of May 1, 2010, and Version 5.1 standards are effective as of May 1, 2012.</w:t>
      </w:r>
    </w:p>
    <w:p w:rsidR="00CD05FA" w:rsidRDefault="00A1079C">
      <w:pPr>
        <w:pStyle w:val="BodyText"/>
      </w:pPr>
      <w:r>
        <w:t>The baseline equipment is a TV meeting ENERGY STAR Version 3.0 requirements</w:t>
      </w:r>
      <w:r>
        <w:rPr>
          <w:rStyle w:val="FootnoteReference"/>
        </w:rPr>
        <w:footnoteReference w:id="96"/>
      </w:r>
      <w:r>
        <w:t>.</w:t>
      </w:r>
    </w:p>
    <w:p w:rsidR="00CD05FA" w:rsidRDefault="00A1079C" w:rsidP="00871FA2">
      <w:pPr>
        <w:pStyle w:val="Heading3"/>
      </w:pPr>
      <w:r>
        <w:t>Algorithms</w:t>
      </w:r>
    </w:p>
    <w:p w:rsidR="00A1079C" w:rsidRDefault="00A1079C" w:rsidP="00A1079C">
      <w:r>
        <w:t>Energy Savings (per TV):</w:t>
      </w:r>
    </w:p>
    <w:p w:rsidR="00CD05FA" w:rsidRPr="003C7C58" w:rsidRDefault="003C7C58">
      <w:pPr>
        <w:pStyle w:val="Equation"/>
        <w:ind w:left="0" w:firstLine="0"/>
        <w:rPr>
          <w:i w:val="0"/>
        </w:rPr>
      </w:pPr>
      <m:oMathPara>
        <m:oMath>
          <m:r>
            <m:rPr>
              <m:nor/>
            </m:rPr>
            <m:t>∆kWh</m:t>
          </m:r>
          <m:r>
            <m:rPr>
              <m:nor/>
            </m:rPr>
            <w:rPr>
              <w:rFonts w:ascii="Cambria Math"/>
            </w:rPr>
            <m:t xml:space="preserve">                                                      </m:t>
          </m:r>
          <m:r>
            <m:rPr>
              <m:nor/>
            </m:rPr>
            <m:t>=</m:t>
          </m:r>
          <m:d>
            <m:dPr>
              <m:begChr m:val="["/>
              <m:endChr m:val="]"/>
              <m:ctrlPr>
                <w:rPr>
                  <w:rFonts w:ascii="Cambria Math" w:hAnsi="Cambria Math"/>
                </w:rPr>
              </m:ctrlPr>
            </m:dPr>
            <m:e>
              <m:r>
                <w:rPr>
                  <w:rFonts w:ascii="Cambria Math" w:hAnsi="Cambria Math"/>
                </w:rPr>
                <m:t xml:space="preserve">  </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m:rPr>
                              <m:nor/>
                            </m:rPr>
                            <m:t>W</m:t>
                          </m:r>
                        </m:e>
                        <m:sub>
                          <m:r>
                            <m:rPr>
                              <m:nor/>
                            </m:rPr>
                            <m:t>base, active</m:t>
                          </m:r>
                        </m:sub>
                      </m:sSub>
                      <m:r>
                        <m:rPr>
                          <m:nor/>
                        </m:rPr>
                        <m:t>-</m:t>
                      </m:r>
                      <m:r>
                        <w:rPr>
                          <w:rFonts w:ascii="Cambria Math" w:hAnsi="Cambria Math"/>
                        </w:rPr>
                        <m:t xml:space="preserve"> </m:t>
                      </m:r>
                      <m:sSub>
                        <m:sSubPr>
                          <m:ctrlPr>
                            <w:rPr>
                              <w:rFonts w:ascii="Cambria Math" w:hAnsi="Cambria Math"/>
                            </w:rPr>
                          </m:ctrlPr>
                        </m:sSubPr>
                        <m:e>
                          <m:r>
                            <m:rPr>
                              <m:nor/>
                            </m:rPr>
                            <m:t>W</m:t>
                          </m:r>
                        </m:e>
                        <m:sub>
                          <m:r>
                            <m:rPr>
                              <m:nor/>
                            </m:rPr>
                            <m:t>ES, active</m:t>
                          </m:r>
                        </m:sub>
                      </m:sSub>
                    </m:e>
                  </m:d>
                </m:num>
                <m:den>
                  <m:r>
                    <m:rPr>
                      <m:nor/>
                    </m:rPr>
                    <m:t>1000</m:t>
                  </m:r>
                </m:den>
              </m:f>
              <m:r>
                <m:rPr>
                  <m:nor/>
                </m:rPr>
                <w:rPr>
                  <w:rFonts w:hint="eastAsia"/>
                </w:rPr>
                <m:t>×</m:t>
              </m:r>
              <m:r>
                <w:rPr>
                  <w:rFonts w:ascii="Cambria Math" w:hAnsi="Cambria Math"/>
                </w:rPr>
                <m:t xml:space="preserve"> </m:t>
              </m:r>
              <m:sSub>
                <m:sSubPr>
                  <m:ctrlPr>
                    <w:rPr>
                      <w:rFonts w:ascii="Cambria Math" w:hAnsi="Cambria Math"/>
                    </w:rPr>
                  </m:ctrlPr>
                </m:sSubPr>
                <m:e>
                  <m:r>
                    <m:rPr>
                      <m:nor/>
                    </m:rPr>
                    <m:t>HOURS</m:t>
                  </m:r>
                </m:e>
                <m:sub>
                  <m:r>
                    <m:rPr>
                      <m:nor/>
                    </m:rPr>
                    <m:t>active</m:t>
                  </m:r>
                </m:sub>
              </m:sSub>
              <m:r>
                <m:rPr>
                  <m:nor/>
                </m:rPr>
                <m:t xml:space="preserve"> </m:t>
              </m:r>
              <m:r>
                <m:rPr>
                  <m:nor/>
                </m:rPr>
                <w:rPr>
                  <w:rFonts w:hint="eastAsia"/>
                </w:rPr>
                <m:t>×</m:t>
              </m:r>
              <m:r>
                <m:rPr>
                  <m:nor/>
                </m:rPr>
                <m:t>365</m:t>
              </m:r>
            </m:e>
          </m:d>
        </m:oMath>
      </m:oMathPara>
    </w:p>
    <w:p w:rsidR="00A1079C" w:rsidRDefault="00A1079C" w:rsidP="00A1079C">
      <w:r>
        <w:t>Coincident Demand Savings (per TV):</w:t>
      </w:r>
    </w:p>
    <w:p w:rsidR="00CD05FA" w:rsidRPr="003C7C58" w:rsidRDefault="003C7C58" w:rsidP="00165C8E">
      <w:pPr>
        <w:pStyle w:val="Equation"/>
        <w:ind w:left="0" w:firstLine="0"/>
        <w:rPr>
          <w:i w:val="0"/>
          <w:szCs w:val="20"/>
        </w:rPr>
      </w:pPr>
      <m:oMathPara>
        <m:oMath>
          <m:r>
            <m:rPr>
              <m:nor/>
            </m:rPr>
            <m:t>∆kW</m:t>
          </m:r>
          <m:r>
            <m:rPr>
              <m:nor/>
            </m:rPr>
            <w:rPr>
              <w:rFonts w:ascii="Cambria Math"/>
            </w:rPr>
            <m:t xml:space="preserve">                                                        </m:t>
          </m:r>
          <m:r>
            <m:rPr>
              <m:nor/>
            </m:rPr>
            <m:t>=</m:t>
          </m:r>
          <m:r>
            <w:rPr>
              <w:rFonts w:ascii="Cambria Math" w:hAnsi="Cambria Math"/>
            </w:rPr>
            <m:t xml:space="preserve"> </m:t>
          </m:r>
          <m:d>
            <m:dPr>
              <m:begChr m:val="["/>
              <m:endChr m:val="]"/>
              <m:ctrlPr>
                <w:rPr>
                  <w:rFonts w:ascii="Cambria Math" w:hAnsi="Cambria Math"/>
                </w:rPr>
              </m:ctrlPr>
            </m:dPr>
            <m:e>
              <m:f>
                <m:fPr>
                  <m:ctrlPr>
                    <w:rPr>
                      <w:rFonts w:ascii="Cambria Math" w:hAnsi="Cambria Math"/>
                    </w:rPr>
                  </m:ctrlPr>
                </m:fPr>
                <m:num>
                  <m:r>
                    <w:rPr>
                      <w:rFonts w:ascii="Cambria Math" w:hAnsi="Cambria Math"/>
                    </w:rPr>
                    <m:t xml:space="preserve">  </m:t>
                  </m:r>
                  <m:d>
                    <m:dPr>
                      <m:ctrlPr>
                        <w:rPr>
                          <w:rFonts w:ascii="Cambria Math" w:hAnsi="Cambria Math"/>
                        </w:rPr>
                      </m:ctrlPr>
                    </m:dPr>
                    <m:e>
                      <m:sSub>
                        <m:sSubPr>
                          <m:ctrlPr>
                            <w:rPr>
                              <w:rFonts w:ascii="Cambria Math" w:hAnsi="Cambria Math"/>
                            </w:rPr>
                          </m:ctrlPr>
                        </m:sSubPr>
                        <m:e>
                          <m:r>
                            <m:rPr>
                              <m:nor/>
                            </m:rPr>
                            <m:t>W</m:t>
                          </m:r>
                        </m:e>
                        <m:sub>
                          <m:r>
                            <m:rPr>
                              <m:nor/>
                            </m:rPr>
                            <m:t>base,active</m:t>
                          </m:r>
                        </m:sub>
                      </m:sSub>
                      <m:r>
                        <m:rPr>
                          <m:nor/>
                        </m:rPr>
                        <m:t>-</m:t>
                      </m:r>
                      <m:r>
                        <w:rPr>
                          <w:rFonts w:ascii="Cambria Math" w:hAnsi="Cambria Math"/>
                        </w:rPr>
                        <m:t xml:space="preserve"> </m:t>
                      </m:r>
                      <m:sSub>
                        <m:sSubPr>
                          <m:ctrlPr>
                            <w:rPr>
                              <w:rFonts w:ascii="Cambria Math" w:hAnsi="Cambria Math"/>
                            </w:rPr>
                          </m:ctrlPr>
                        </m:sSubPr>
                        <m:e>
                          <m:r>
                            <m:rPr>
                              <m:nor/>
                            </m:rPr>
                            <m:t>W</m:t>
                          </m:r>
                        </m:e>
                        <m:sub>
                          <m:r>
                            <m:rPr>
                              <m:nor/>
                            </m:rPr>
                            <m:t>ES, active</m:t>
                          </m:r>
                        </m:sub>
                      </m:sSub>
                    </m:e>
                  </m:d>
                </m:num>
                <m:den>
                  <m:r>
                    <m:rPr>
                      <m:nor/>
                    </m:rPr>
                    <m:t>1000</m:t>
                  </m:r>
                </m:den>
              </m:f>
              <m:r>
                <m:rPr>
                  <m:nor/>
                </m:rPr>
                <m:t xml:space="preserve"> </m:t>
              </m:r>
              <m:r>
                <m:rPr>
                  <m:nor/>
                </m:rPr>
                <w:rPr>
                  <w:rFonts w:hint="eastAsia"/>
                </w:rPr>
                <m:t>×</m:t>
              </m:r>
              <m:r>
                <m:rPr>
                  <m:nor/>
                </m:rPr>
                <m:t>CF</m:t>
              </m:r>
            </m:e>
          </m:d>
        </m:oMath>
      </m:oMathPara>
    </w:p>
    <w:p w:rsidR="00A1079C" w:rsidRDefault="00A1079C" w:rsidP="00A1079C">
      <w:r>
        <w:t xml:space="preserve">Savings calculations are based on power consumption while the TV is in active mode only, as requirements for standby power are the same for both baseline and new units. </w:t>
      </w:r>
    </w:p>
    <w:p w:rsidR="00CD05FA" w:rsidRDefault="00A1079C" w:rsidP="00871FA2">
      <w:pPr>
        <w:pStyle w:val="Heading3"/>
      </w:pPr>
      <w:r>
        <w:t>Definition of Terms</w:t>
      </w:r>
    </w:p>
    <w:p w:rsidR="00CD05FA" w:rsidRPr="00165C8E" w:rsidRDefault="00A1079C" w:rsidP="00C3606E">
      <w:pPr>
        <w:pStyle w:val="Equation"/>
        <w:rPr>
          <w:rFonts w:cs="Arial"/>
          <w:szCs w:val="20"/>
        </w:rPr>
      </w:pPr>
      <w:r w:rsidRPr="00165C8E">
        <w:rPr>
          <w:rFonts w:cs="Arial"/>
          <w:szCs w:val="20"/>
        </w:rPr>
        <w:tab/>
        <w:t>W</w:t>
      </w:r>
      <w:r w:rsidRPr="00165C8E">
        <w:rPr>
          <w:rFonts w:cs="Arial"/>
          <w:szCs w:val="20"/>
          <w:vertAlign w:val="subscript"/>
        </w:rPr>
        <w:t>base,active</w:t>
      </w:r>
      <w:r w:rsidRPr="00165C8E">
        <w:rPr>
          <w:rFonts w:cs="Arial"/>
          <w:szCs w:val="20"/>
        </w:rPr>
        <w:t xml:space="preserve"> </w:t>
      </w:r>
      <w:r w:rsidRPr="00165C8E">
        <w:rPr>
          <w:rFonts w:cs="Arial"/>
          <w:szCs w:val="20"/>
        </w:rPr>
        <w:tab/>
        <w:t>= power use (in Watts) of baseline TV while in active mode (i.e. turned on and operating).</w:t>
      </w:r>
    </w:p>
    <w:p w:rsidR="00CD05FA" w:rsidRPr="00165C8E" w:rsidRDefault="00A1079C" w:rsidP="00C3606E">
      <w:pPr>
        <w:pStyle w:val="Equation"/>
        <w:rPr>
          <w:rFonts w:cs="Arial"/>
          <w:szCs w:val="20"/>
        </w:rPr>
      </w:pPr>
      <w:r w:rsidRPr="00165C8E">
        <w:rPr>
          <w:rFonts w:cs="Arial"/>
          <w:szCs w:val="20"/>
        </w:rPr>
        <w:tab/>
        <w:t>W</w:t>
      </w:r>
      <w:r w:rsidRPr="00165C8E">
        <w:rPr>
          <w:rFonts w:cs="Arial"/>
          <w:szCs w:val="20"/>
          <w:vertAlign w:val="subscript"/>
        </w:rPr>
        <w:t>ES,active</w:t>
      </w:r>
      <w:r w:rsidRPr="00165C8E">
        <w:rPr>
          <w:rFonts w:cs="Arial"/>
          <w:szCs w:val="20"/>
        </w:rPr>
        <w:t xml:space="preserve"> </w:t>
      </w:r>
      <w:r w:rsidRPr="00165C8E">
        <w:rPr>
          <w:rFonts w:cs="Arial"/>
          <w:szCs w:val="20"/>
        </w:rPr>
        <w:tab/>
        <w:t>= power use (in Watts) of ENERGY STAR Version 4.1 or 5.1 TV while in active mode (i.e. turned on and operating).</w:t>
      </w:r>
    </w:p>
    <w:p w:rsidR="00CD05FA" w:rsidRPr="00165C8E" w:rsidRDefault="00A1079C" w:rsidP="00C3606E">
      <w:pPr>
        <w:pStyle w:val="Equation"/>
        <w:rPr>
          <w:rFonts w:cs="Arial"/>
          <w:szCs w:val="20"/>
        </w:rPr>
      </w:pPr>
      <w:r w:rsidRPr="00165C8E">
        <w:rPr>
          <w:rFonts w:cs="Arial"/>
          <w:szCs w:val="20"/>
        </w:rPr>
        <w:tab/>
        <w:t>HOURS</w:t>
      </w:r>
      <w:r w:rsidRPr="00165C8E">
        <w:rPr>
          <w:rFonts w:cs="Arial"/>
          <w:szCs w:val="20"/>
          <w:vertAlign w:val="subscript"/>
        </w:rPr>
        <w:t>active</w:t>
      </w:r>
      <w:r w:rsidRPr="00165C8E">
        <w:rPr>
          <w:rFonts w:cs="Arial"/>
          <w:szCs w:val="20"/>
        </w:rPr>
        <w:t xml:space="preserve"> </w:t>
      </w:r>
      <w:r w:rsidRPr="00165C8E">
        <w:rPr>
          <w:rFonts w:cs="Arial"/>
          <w:szCs w:val="20"/>
        </w:rPr>
        <w:tab/>
        <w:t>= number of hours per day that a typical TV is active (turned on and in use).</w:t>
      </w:r>
    </w:p>
    <w:p w:rsidR="00CD05FA" w:rsidRPr="00165C8E" w:rsidRDefault="00A1079C" w:rsidP="00C3606E">
      <w:pPr>
        <w:pStyle w:val="Equation"/>
        <w:rPr>
          <w:rFonts w:cs="Arial"/>
          <w:szCs w:val="20"/>
        </w:rPr>
      </w:pPr>
      <w:r w:rsidRPr="00165C8E">
        <w:rPr>
          <w:rFonts w:cs="Arial"/>
          <w:szCs w:val="20"/>
        </w:rPr>
        <w:tab/>
        <w:t>CF</w:t>
      </w:r>
      <w:r w:rsidRPr="00165C8E">
        <w:rPr>
          <w:rFonts w:cs="Arial"/>
          <w:szCs w:val="20"/>
        </w:rPr>
        <w:tab/>
        <w:t xml:space="preserve">= </w:t>
      </w:r>
      <w:r w:rsidR="005478EE" w:rsidRPr="00165C8E">
        <w:rPr>
          <w:rFonts w:cs="Arial"/>
          <w:szCs w:val="20"/>
        </w:rPr>
        <w:t>Demand Coincidence Factor (See Section 1.4)</w:t>
      </w:r>
    </w:p>
    <w:p w:rsidR="00CD05FA" w:rsidRPr="00165C8E" w:rsidRDefault="00A1079C" w:rsidP="00C3606E">
      <w:pPr>
        <w:pStyle w:val="Equation"/>
        <w:rPr>
          <w:rFonts w:cs="Arial"/>
          <w:szCs w:val="20"/>
        </w:rPr>
      </w:pPr>
      <w:r w:rsidRPr="00165C8E">
        <w:rPr>
          <w:rFonts w:cs="Arial"/>
          <w:szCs w:val="20"/>
        </w:rPr>
        <w:tab/>
        <w:t xml:space="preserve">365 </w:t>
      </w:r>
      <w:r w:rsidRPr="00165C8E">
        <w:rPr>
          <w:rFonts w:cs="Arial"/>
          <w:szCs w:val="20"/>
        </w:rPr>
        <w:tab/>
        <w:t>= days per year.</w:t>
      </w:r>
    </w:p>
    <w:p w:rsidR="00B85BDF" w:rsidRDefault="00A1079C" w:rsidP="00100EDF">
      <w:pPr>
        <w:pStyle w:val="Caption"/>
      </w:pPr>
      <w:bookmarkStart w:id="455" w:name="_Toc310875531"/>
      <w:r>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45</w:t>
      </w:r>
      <w:r w:rsidR="00274AB1">
        <w:rPr>
          <w:noProof/>
        </w:rPr>
        <w:fldChar w:fldCharType="end"/>
      </w:r>
      <w:r>
        <w:t xml:space="preserve">: </w:t>
      </w:r>
      <w:r w:rsidRPr="004A2609">
        <w:t>ENERGY STAR TVs - References</w:t>
      </w:r>
      <w:bookmarkEnd w:id="4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188"/>
        <w:gridCol w:w="2193"/>
        <w:gridCol w:w="2211"/>
      </w:tblGrid>
      <w:tr w:rsidR="00D43CE5" w:rsidTr="00F84A22">
        <w:tc>
          <w:tcPr>
            <w:tcW w:w="2264"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CD05FA" w:rsidRPr="001D6512" w:rsidRDefault="00A1079C" w:rsidP="00C3606E">
            <w:pPr>
              <w:pStyle w:val="TableCell"/>
              <w:spacing w:before="60" w:after="60"/>
              <w:rPr>
                <w:b/>
                <w:sz w:val="20"/>
              </w:rPr>
            </w:pPr>
            <w:r w:rsidRPr="001D6512">
              <w:rPr>
                <w:b/>
              </w:rPr>
              <w:t>Component</w:t>
            </w:r>
          </w:p>
        </w:tc>
        <w:tc>
          <w:tcPr>
            <w:tcW w:w="2188"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CD05FA" w:rsidRPr="001D6512" w:rsidRDefault="00A1079C" w:rsidP="00C3606E">
            <w:pPr>
              <w:pStyle w:val="TableCell"/>
              <w:spacing w:before="60" w:after="60"/>
              <w:rPr>
                <w:b/>
                <w:sz w:val="20"/>
              </w:rPr>
            </w:pPr>
            <w:r w:rsidRPr="001D6512">
              <w:rPr>
                <w:b/>
              </w:rPr>
              <w:t>Type</w:t>
            </w:r>
          </w:p>
        </w:tc>
        <w:tc>
          <w:tcPr>
            <w:tcW w:w="2193"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CD05FA" w:rsidRPr="001D6512" w:rsidRDefault="00A1079C" w:rsidP="00C3606E">
            <w:pPr>
              <w:pStyle w:val="TableCell"/>
              <w:spacing w:before="60" w:after="60"/>
              <w:rPr>
                <w:b/>
                <w:sz w:val="20"/>
              </w:rPr>
            </w:pPr>
            <w:r w:rsidRPr="001D6512">
              <w:rPr>
                <w:b/>
              </w:rPr>
              <w:t>Value</w:t>
            </w:r>
          </w:p>
        </w:tc>
        <w:tc>
          <w:tcPr>
            <w:tcW w:w="2211"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CD05FA" w:rsidRPr="001D6512" w:rsidRDefault="00A1079C" w:rsidP="00C3606E">
            <w:pPr>
              <w:pStyle w:val="TableCell"/>
              <w:spacing w:before="60" w:after="60"/>
              <w:rPr>
                <w:b/>
                <w:sz w:val="20"/>
              </w:rPr>
            </w:pPr>
            <w:r w:rsidRPr="001D6512">
              <w:rPr>
                <w:b/>
              </w:rPr>
              <w:t>Source</w:t>
            </w:r>
          </w:p>
        </w:tc>
      </w:tr>
      <w:tr w:rsidR="00D43CE5" w:rsidTr="00F84A22">
        <w:tc>
          <w:tcPr>
            <w:tcW w:w="2264" w:type="dxa"/>
            <w:shd w:val="clear" w:color="auto" w:fill="auto"/>
          </w:tcPr>
          <w:p w:rsidR="00CD05FA" w:rsidRPr="001D6512" w:rsidRDefault="00A1079C" w:rsidP="00C3606E">
            <w:pPr>
              <w:pStyle w:val="TableCell"/>
              <w:spacing w:before="60" w:after="60"/>
              <w:rPr>
                <w:sz w:val="20"/>
              </w:rPr>
            </w:pPr>
            <w:r w:rsidRPr="001D6512">
              <w:t>CF</w:t>
            </w:r>
          </w:p>
        </w:tc>
        <w:tc>
          <w:tcPr>
            <w:tcW w:w="2188"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Fixed</w:t>
            </w:r>
          </w:p>
        </w:tc>
        <w:tc>
          <w:tcPr>
            <w:tcW w:w="2193"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0.28</w:t>
            </w:r>
          </w:p>
        </w:tc>
        <w:tc>
          <w:tcPr>
            <w:tcW w:w="2211"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1</w:t>
            </w:r>
          </w:p>
        </w:tc>
      </w:tr>
      <w:tr w:rsidR="00D43CE5" w:rsidTr="00F84A22">
        <w:tc>
          <w:tcPr>
            <w:tcW w:w="2264" w:type="dxa"/>
            <w:shd w:val="clear" w:color="auto" w:fill="auto"/>
          </w:tcPr>
          <w:p w:rsidR="00CD05FA" w:rsidRPr="001D6512" w:rsidRDefault="00A1079C" w:rsidP="00C3606E">
            <w:pPr>
              <w:pStyle w:val="TableCell"/>
              <w:spacing w:before="60" w:after="60"/>
              <w:rPr>
                <w:sz w:val="20"/>
              </w:rPr>
            </w:pPr>
            <w:r w:rsidRPr="001D6512">
              <w:t>HOURS</w:t>
            </w:r>
            <w:r w:rsidRPr="001D6512">
              <w:rPr>
                <w:vertAlign w:val="subscript"/>
              </w:rPr>
              <w:t>active</w:t>
            </w:r>
          </w:p>
        </w:tc>
        <w:tc>
          <w:tcPr>
            <w:tcW w:w="2188"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Fixed</w:t>
            </w:r>
          </w:p>
        </w:tc>
        <w:tc>
          <w:tcPr>
            <w:tcW w:w="2193"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5</w:t>
            </w:r>
          </w:p>
        </w:tc>
        <w:tc>
          <w:tcPr>
            <w:tcW w:w="2211"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2</w:t>
            </w:r>
          </w:p>
        </w:tc>
      </w:tr>
    </w:tbl>
    <w:p w:rsidR="00A1079C" w:rsidRDefault="00A1079C" w:rsidP="00C3606E">
      <w:pPr>
        <w:spacing w:after="0"/>
      </w:pPr>
    </w:p>
    <w:p w:rsidR="00A1079C" w:rsidRDefault="00C67DA4" w:rsidP="00C3606E">
      <w:pPr>
        <w:keepNext/>
        <w:spacing w:after="0"/>
      </w:pPr>
      <w:r w:rsidRPr="00C46FD5">
        <w:rPr>
          <w:b/>
        </w:rPr>
        <w:t>Sources</w:t>
      </w:r>
      <w:r w:rsidR="00A1079C">
        <w:t>:</w:t>
      </w:r>
    </w:p>
    <w:p w:rsidR="00CD05FA" w:rsidRDefault="00A1079C" w:rsidP="0005632A">
      <w:pPr>
        <w:pStyle w:val="source1"/>
        <w:numPr>
          <w:ilvl w:val="0"/>
          <w:numId w:val="56"/>
        </w:numPr>
      </w:pPr>
      <w:r>
        <w:t xml:space="preserve">Deemed Savings Technical Assumptions, Program: ENERGY STAR Retailer Incentive Pilot Program, accessed October 2010, </w:t>
      </w:r>
      <w:hyperlink r:id="rId33" w:history="1">
        <w:r w:rsidRPr="00D6128D">
          <w:rPr>
            <w:rStyle w:val="Hyperlink"/>
          </w:rPr>
          <w:t>http://www.xcelenergy.com/SiteCollectionDocuments/docs/ES-Retailer-Incentive-60-day-Tech-Assumptions.pdf</w:t>
        </w:r>
      </w:hyperlink>
    </w:p>
    <w:p w:rsidR="00CD05FA" w:rsidRDefault="00A1079C" w:rsidP="00C3606E">
      <w:pPr>
        <w:pStyle w:val="source1"/>
      </w:pPr>
      <w:r>
        <w:t xml:space="preserve">Calculations assume TV is in active mode (or turned on) for 5 hours per day and standby mode for 19 hours per day. Based on assumptions from ENERGY STAR Calculator, </w:t>
      </w:r>
      <w:r w:rsidRPr="002D2DE8">
        <w:rPr>
          <w:i/>
        </w:rPr>
        <w:t>Life Cycle Cost Estimate for 100 ENERGY STAR Qualified Television(s)</w:t>
      </w:r>
      <w:r>
        <w:t xml:space="preserve">, accessed October 2010, </w:t>
      </w:r>
      <w:hyperlink r:id="rId34" w:history="1">
        <w:r w:rsidRPr="0079256F">
          <w:rPr>
            <w:rStyle w:val="Hyperlink"/>
          </w:rPr>
          <w:t>http://www.energystar.gov/ia/business/bulk_purchasing/bpsavings_calc/Calc_Televisions_Bulk.xls</w:t>
        </w:r>
      </w:hyperlink>
    </w:p>
    <w:p w:rsidR="00A1079C" w:rsidRDefault="00A1079C" w:rsidP="00C3606E"/>
    <w:p w:rsidR="00B85BDF" w:rsidRDefault="00A1079C" w:rsidP="00100EDF">
      <w:pPr>
        <w:pStyle w:val="Caption"/>
      </w:pPr>
      <w:bookmarkStart w:id="456" w:name="_Ref275257317"/>
      <w:bookmarkStart w:id="457" w:name="_Toc310875532"/>
      <w:r w:rsidRPr="005102DC">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46</w:t>
      </w:r>
      <w:r w:rsidR="00274AB1">
        <w:rPr>
          <w:noProof/>
        </w:rPr>
        <w:fldChar w:fldCharType="end"/>
      </w:r>
      <w:bookmarkEnd w:id="456"/>
      <w:r w:rsidRPr="005102DC">
        <w:t xml:space="preserve">: ENERGY STAR TVs Version 4.1 and 5.1 </w:t>
      </w:r>
      <w:r>
        <w:t>m</w:t>
      </w:r>
      <w:r w:rsidRPr="005102DC">
        <w:t>aximum power consumption</w:t>
      </w:r>
      <w:bookmarkEnd w:id="4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2959"/>
        <w:gridCol w:w="2959"/>
      </w:tblGrid>
      <w:tr w:rsidR="00D43CE5" w:rsidTr="00F84A22">
        <w:tc>
          <w:tcPr>
            <w:tcW w:w="3192"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CD05FA" w:rsidRPr="001D6512" w:rsidRDefault="00A1079C" w:rsidP="00C3606E">
            <w:pPr>
              <w:pStyle w:val="TableCell"/>
              <w:spacing w:before="60" w:after="60"/>
              <w:rPr>
                <w:b/>
                <w:sz w:val="20"/>
              </w:rPr>
            </w:pPr>
            <w:r w:rsidRPr="001D6512">
              <w:rPr>
                <w:b/>
              </w:rPr>
              <w:t>Screen Area</w:t>
            </w:r>
            <w:r w:rsidRPr="001D6512">
              <w:rPr>
                <w:rStyle w:val="FootnoteReference"/>
                <w:b/>
              </w:rPr>
              <w:footnoteReference w:id="97"/>
            </w:r>
            <w:r w:rsidRPr="001D6512">
              <w:rPr>
                <w:b/>
              </w:rPr>
              <w:t xml:space="preserve"> (square inches)</w:t>
            </w:r>
          </w:p>
        </w:tc>
        <w:tc>
          <w:tcPr>
            <w:tcW w:w="3192"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CD05FA" w:rsidRPr="001D6512" w:rsidRDefault="00A1079C" w:rsidP="00C3606E">
            <w:pPr>
              <w:pStyle w:val="TableCell"/>
              <w:spacing w:before="60" w:after="60"/>
              <w:rPr>
                <w:b/>
                <w:sz w:val="20"/>
              </w:rPr>
            </w:pPr>
            <w:r w:rsidRPr="001D6512">
              <w:rPr>
                <w:b/>
              </w:rPr>
              <w:t>Maximum Active Power (W</w:t>
            </w:r>
            <w:r w:rsidRPr="001D6512">
              <w:rPr>
                <w:b/>
                <w:vertAlign w:val="subscript"/>
              </w:rPr>
              <w:t>ES,active</w:t>
            </w:r>
            <w:r w:rsidRPr="001D6512">
              <w:rPr>
                <w:b/>
              </w:rPr>
              <w:t>)</w:t>
            </w:r>
          </w:p>
          <w:p w:rsidR="00CD05FA" w:rsidRPr="001D6512" w:rsidRDefault="00A1079C" w:rsidP="00C3606E">
            <w:pPr>
              <w:pStyle w:val="TableCell"/>
              <w:spacing w:before="60" w:after="60"/>
              <w:rPr>
                <w:b/>
                <w:sz w:val="20"/>
              </w:rPr>
            </w:pPr>
            <w:r w:rsidRPr="001D6512">
              <w:rPr>
                <w:b/>
              </w:rPr>
              <w:t>Version 4.1</w:t>
            </w:r>
            <w:r w:rsidRPr="001D6512">
              <w:rPr>
                <w:rStyle w:val="FootnoteReference"/>
                <w:b/>
              </w:rPr>
              <w:footnoteReference w:id="98"/>
            </w:r>
          </w:p>
        </w:tc>
        <w:tc>
          <w:tcPr>
            <w:tcW w:w="3192"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CD05FA" w:rsidRPr="001D6512" w:rsidRDefault="00A1079C" w:rsidP="00C3606E">
            <w:pPr>
              <w:pStyle w:val="TableCell"/>
              <w:spacing w:before="60" w:after="60"/>
              <w:rPr>
                <w:b/>
                <w:sz w:val="20"/>
              </w:rPr>
            </w:pPr>
            <w:r w:rsidRPr="001D6512">
              <w:rPr>
                <w:b/>
              </w:rPr>
              <w:t>Maximum Active Power (W</w:t>
            </w:r>
            <w:r w:rsidRPr="001D6512">
              <w:rPr>
                <w:b/>
                <w:vertAlign w:val="subscript"/>
              </w:rPr>
              <w:t>ES,active</w:t>
            </w:r>
            <w:r w:rsidRPr="001D6512">
              <w:rPr>
                <w:b/>
              </w:rPr>
              <w:t>)</w:t>
            </w:r>
          </w:p>
          <w:p w:rsidR="00CD05FA" w:rsidRPr="001D6512" w:rsidRDefault="00A1079C" w:rsidP="00C3606E">
            <w:pPr>
              <w:pStyle w:val="TableCell"/>
              <w:spacing w:before="60" w:after="60"/>
              <w:rPr>
                <w:b/>
                <w:sz w:val="20"/>
              </w:rPr>
            </w:pPr>
            <w:r w:rsidRPr="001D6512">
              <w:rPr>
                <w:b/>
              </w:rPr>
              <w:t>Version 5.1</w:t>
            </w:r>
            <w:r w:rsidRPr="001D6512">
              <w:rPr>
                <w:rStyle w:val="FootnoteReference"/>
                <w:b/>
              </w:rPr>
              <w:footnoteReference w:id="99"/>
            </w:r>
          </w:p>
        </w:tc>
      </w:tr>
      <w:tr w:rsidR="00A1079C" w:rsidTr="00F84A22">
        <w:tc>
          <w:tcPr>
            <w:tcW w:w="3192" w:type="dxa"/>
            <w:shd w:val="clear" w:color="auto" w:fill="auto"/>
          </w:tcPr>
          <w:p w:rsidR="00CD05FA" w:rsidRPr="001D6512" w:rsidRDefault="00A1079C" w:rsidP="00C3606E">
            <w:pPr>
              <w:pStyle w:val="TableCell"/>
              <w:spacing w:before="60" w:after="60"/>
              <w:rPr>
                <w:sz w:val="20"/>
              </w:rPr>
            </w:pPr>
            <w:r w:rsidRPr="001D6512">
              <w:t>A &lt; 275</w:t>
            </w:r>
          </w:p>
        </w:tc>
        <w:tc>
          <w:tcPr>
            <w:tcW w:w="3192"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P</w:t>
            </w:r>
            <w:r w:rsidRPr="001D6512">
              <w:rPr>
                <w:vertAlign w:val="subscript"/>
              </w:rPr>
              <w:t>max</w:t>
            </w:r>
            <w:r w:rsidRPr="001D6512">
              <w:t xml:space="preserve"> = 0.190 * A +5</w:t>
            </w:r>
          </w:p>
        </w:tc>
        <w:tc>
          <w:tcPr>
            <w:tcW w:w="3192"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P</w:t>
            </w:r>
            <w:r w:rsidRPr="001D6512">
              <w:rPr>
                <w:vertAlign w:val="subscript"/>
              </w:rPr>
              <w:t>max</w:t>
            </w:r>
            <w:r w:rsidRPr="001D6512">
              <w:t xml:space="preserve"> = 0.130 * A +5</w:t>
            </w:r>
          </w:p>
        </w:tc>
      </w:tr>
      <w:tr w:rsidR="00A1079C" w:rsidTr="00F84A22">
        <w:tc>
          <w:tcPr>
            <w:tcW w:w="3192" w:type="dxa"/>
            <w:shd w:val="clear" w:color="auto" w:fill="auto"/>
          </w:tcPr>
          <w:p w:rsidR="00CD05FA" w:rsidRPr="001D6512" w:rsidRDefault="00A1079C" w:rsidP="00C3606E">
            <w:pPr>
              <w:pStyle w:val="TableCell"/>
              <w:spacing w:before="60" w:after="60"/>
              <w:rPr>
                <w:sz w:val="20"/>
              </w:rPr>
            </w:pPr>
            <w:r w:rsidRPr="001D6512">
              <w:t>275 ≤ A ≤ 1068</w:t>
            </w:r>
          </w:p>
        </w:tc>
        <w:tc>
          <w:tcPr>
            <w:tcW w:w="3192"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P</w:t>
            </w:r>
            <w:r w:rsidRPr="001D6512">
              <w:rPr>
                <w:vertAlign w:val="subscript"/>
              </w:rPr>
              <w:t>max</w:t>
            </w:r>
            <w:r w:rsidRPr="001D6512">
              <w:t xml:space="preserve"> = 0.120 * A +25</w:t>
            </w:r>
          </w:p>
        </w:tc>
        <w:tc>
          <w:tcPr>
            <w:tcW w:w="3192"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P</w:t>
            </w:r>
            <w:r w:rsidRPr="001D6512">
              <w:rPr>
                <w:vertAlign w:val="subscript"/>
              </w:rPr>
              <w:t>max</w:t>
            </w:r>
            <w:r w:rsidRPr="001D6512">
              <w:t xml:space="preserve"> = 0.084 * A +18</w:t>
            </w:r>
          </w:p>
        </w:tc>
      </w:tr>
      <w:tr w:rsidR="00A1079C" w:rsidTr="00F84A22">
        <w:tc>
          <w:tcPr>
            <w:tcW w:w="3192" w:type="dxa"/>
            <w:shd w:val="clear" w:color="auto" w:fill="auto"/>
          </w:tcPr>
          <w:p w:rsidR="00CD05FA" w:rsidRPr="001D6512" w:rsidRDefault="00A1079C" w:rsidP="00C3606E">
            <w:pPr>
              <w:pStyle w:val="TableCell"/>
              <w:spacing w:before="60" w:after="60"/>
              <w:rPr>
                <w:sz w:val="20"/>
              </w:rPr>
            </w:pPr>
            <w:r w:rsidRPr="001D6512">
              <w:t xml:space="preserve">A &gt; 1068 </w:t>
            </w:r>
          </w:p>
        </w:tc>
        <w:tc>
          <w:tcPr>
            <w:tcW w:w="3192"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P</w:t>
            </w:r>
            <w:r w:rsidRPr="001D6512">
              <w:rPr>
                <w:vertAlign w:val="subscript"/>
              </w:rPr>
              <w:t>max</w:t>
            </w:r>
            <w:r w:rsidRPr="001D6512">
              <w:t xml:space="preserve"> = 0.120 * A +25</w:t>
            </w:r>
          </w:p>
        </w:tc>
        <w:tc>
          <w:tcPr>
            <w:tcW w:w="3192"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P</w:t>
            </w:r>
            <w:r w:rsidRPr="001D6512">
              <w:rPr>
                <w:vertAlign w:val="subscript"/>
              </w:rPr>
              <w:t>max</w:t>
            </w:r>
            <w:r w:rsidRPr="001D6512">
              <w:t xml:space="preserve"> = 108</w:t>
            </w:r>
          </w:p>
        </w:tc>
      </w:tr>
    </w:tbl>
    <w:p w:rsidR="00A1079C" w:rsidRDefault="00A1079C" w:rsidP="00C3606E"/>
    <w:p w:rsidR="00B85BDF" w:rsidRDefault="00A1079C" w:rsidP="00100EDF">
      <w:pPr>
        <w:pStyle w:val="Caption"/>
      </w:pPr>
      <w:bookmarkStart w:id="458" w:name="_Ref275256585"/>
      <w:bookmarkStart w:id="459" w:name="_Toc310875533"/>
      <w:r w:rsidRPr="009107CB">
        <w:lastRenderedPageBreak/>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47</w:t>
      </w:r>
      <w:r w:rsidR="00274AB1">
        <w:rPr>
          <w:noProof/>
        </w:rPr>
        <w:fldChar w:fldCharType="end"/>
      </w:r>
      <w:bookmarkEnd w:id="458"/>
      <w:r w:rsidRPr="009107CB">
        <w:t xml:space="preserve">: </w:t>
      </w:r>
      <w:r>
        <w:t xml:space="preserve">TV </w:t>
      </w:r>
      <w:r w:rsidRPr="009107CB">
        <w:t>power consumption</w:t>
      </w:r>
      <w:bookmarkEnd w:id="4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2220"/>
        <w:gridCol w:w="2378"/>
        <w:gridCol w:w="2378"/>
      </w:tblGrid>
      <w:tr w:rsidR="00D43CE5" w:rsidTr="00F84A22">
        <w:tc>
          <w:tcPr>
            <w:tcW w:w="1998"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CD05FA" w:rsidRPr="001D6512" w:rsidRDefault="00A1079C" w:rsidP="00C3606E">
            <w:pPr>
              <w:pStyle w:val="TableCell"/>
              <w:spacing w:before="60" w:after="60"/>
              <w:rPr>
                <w:b/>
                <w:sz w:val="20"/>
              </w:rPr>
            </w:pPr>
            <w:r w:rsidRPr="001D6512">
              <w:rPr>
                <w:b/>
              </w:rPr>
              <w:t>Diagonal Screen Size (inches)</w:t>
            </w:r>
            <w:r w:rsidRPr="001D6512">
              <w:rPr>
                <w:rStyle w:val="FootnoteReference"/>
                <w:b/>
              </w:rPr>
              <w:footnoteReference w:id="100"/>
            </w:r>
          </w:p>
        </w:tc>
        <w:tc>
          <w:tcPr>
            <w:tcW w:w="234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CD05FA" w:rsidRPr="001D6512" w:rsidRDefault="00A1079C" w:rsidP="00C3606E">
            <w:pPr>
              <w:pStyle w:val="TableCell"/>
              <w:spacing w:before="60" w:after="60"/>
              <w:rPr>
                <w:b/>
                <w:sz w:val="20"/>
              </w:rPr>
            </w:pPr>
            <w:r w:rsidRPr="001D6512">
              <w:rPr>
                <w:b/>
              </w:rPr>
              <w:t>Baseline Active Power Consumption [W</w:t>
            </w:r>
            <w:r w:rsidRPr="001D6512">
              <w:rPr>
                <w:b/>
                <w:vertAlign w:val="subscript"/>
              </w:rPr>
              <w:t>base,active</w:t>
            </w:r>
            <w:r w:rsidRPr="001D6512">
              <w:rPr>
                <w:b/>
              </w:rPr>
              <w:t>]</w:t>
            </w:r>
            <w:r w:rsidRPr="001D6512">
              <w:rPr>
                <w:rStyle w:val="FootnoteReference"/>
                <w:b/>
              </w:rPr>
              <w:footnoteReference w:id="101"/>
            </w:r>
          </w:p>
        </w:tc>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CD05FA" w:rsidRPr="001D6512" w:rsidRDefault="00A1079C" w:rsidP="00C3606E">
            <w:pPr>
              <w:pStyle w:val="TableCell"/>
              <w:spacing w:before="60" w:after="60"/>
              <w:rPr>
                <w:b/>
                <w:sz w:val="20"/>
              </w:rPr>
            </w:pPr>
            <w:r w:rsidRPr="001D6512">
              <w:rPr>
                <w:b/>
              </w:rPr>
              <w:t>ENERGY STAR V. 4.1 Active Power Consumption [W</w:t>
            </w:r>
            <w:r w:rsidRPr="001D6512">
              <w:rPr>
                <w:b/>
                <w:vertAlign w:val="subscript"/>
              </w:rPr>
              <w:t>ES,active</w:t>
            </w:r>
            <w:r w:rsidRPr="001D6512">
              <w:rPr>
                <w:b/>
              </w:rPr>
              <w:t>]</w:t>
            </w:r>
            <w:r w:rsidRPr="001D6512">
              <w:rPr>
                <w:rStyle w:val="FootnoteReference"/>
                <w:b/>
              </w:rPr>
              <w:footnoteReference w:id="102"/>
            </w:r>
          </w:p>
        </w:tc>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CD05FA" w:rsidRPr="001D6512" w:rsidRDefault="00A1079C" w:rsidP="00C3606E">
            <w:pPr>
              <w:pStyle w:val="TableCell"/>
              <w:spacing w:before="60" w:after="60"/>
              <w:rPr>
                <w:b/>
                <w:sz w:val="20"/>
              </w:rPr>
            </w:pPr>
            <w:r w:rsidRPr="001D6512">
              <w:rPr>
                <w:b/>
              </w:rPr>
              <w:t>ENERGY STAR V. 5.1 Active Power Consumption [W</w:t>
            </w:r>
            <w:r w:rsidRPr="001D6512">
              <w:rPr>
                <w:b/>
                <w:vertAlign w:val="subscript"/>
              </w:rPr>
              <w:t>ES,active</w:t>
            </w:r>
            <w:r w:rsidRPr="001D6512">
              <w:rPr>
                <w:b/>
              </w:rPr>
              <w:t>]</w:t>
            </w:r>
            <w:r w:rsidRPr="001D6512">
              <w:rPr>
                <w:rStyle w:val="FootnoteReference"/>
                <w:b/>
              </w:rPr>
              <w:footnoteReference w:id="103"/>
            </w:r>
          </w:p>
        </w:tc>
      </w:tr>
      <w:tr w:rsidR="00D43CE5" w:rsidTr="00F84A22">
        <w:tc>
          <w:tcPr>
            <w:tcW w:w="1998" w:type="dxa"/>
            <w:shd w:val="clear" w:color="auto" w:fill="auto"/>
          </w:tcPr>
          <w:p w:rsidR="00CD05FA" w:rsidRPr="001D6512" w:rsidRDefault="00A1079C" w:rsidP="00C3606E">
            <w:pPr>
              <w:pStyle w:val="TableCell"/>
              <w:spacing w:before="60" w:after="60"/>
              <w:rPr>
                <w:sz w:val="20"/>
              </w:rPr>
            </w:pPr>
            <w:r w:rsidRPr="001D6512">
              <w:t>&lt; 20</w:t>
            </w:r>
          </w:p>
        </w:tc>
        <w:tc>
          <w:tcPr>
            <w:tcW w:w="2340"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51</w:t>
            </w:r>
          </w:p>
        </w:tc>
        <w:tc>
          <w:tcPr>
            <w:tcW w:w="2520"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23</w:t>
            </w:r>
          </w:p>
        </w:tc>
        <w:tc>
          <w:tcPr>
            <w:tcW w:w="2520"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17</w:t>
            </w:r>
          </w:p>
        </w:tc>
      </w:tr>
      <w:tr w:rsidR="00D43CE5" w:rsidTr="00F84A22">
        <w:tc>
          <w:tcPr>
            <w:tcW w:w="1998" w:type="dxa"/>
            <w:shd w:val="clear" w:color="auto" w:fill="auto"/>
          </w:tcPr>
          <w:p w:rsidR="00CD05FA" w:rsidRPr="001D6512" w:rsidRDefault="00A1079C" w:rsidP="00C3606E">
            <w:pPr>
              <w:pStyle w:val="TableCell"/>
              <w:spacing w:before="60" w:after="60"/>
              <w:rPr>
                <w:sz w:val="20"/>
              </w:rPr>
            </w:pPr>
            <w:r w:rsidRPr="001D6512">
              <w:t>20 &lt; 30</w:t>
            </w:r>
          </w:p>
        </w:tc>
        <w:tc>
          <w:tcPr>
            <w:tcW w:w="2340"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85</w:t>
            </w:r>
          </w:p>
        </w:tc>
        <w:tc>
          <w:tcPr>
            <w:tcW w:w="2520"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56</w:t>
            </w:r>
          </w:p>
        </w:tc>
        <w:tc>
          <w:tcPr>
            <w:tcW w:w="2520"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40</w:t>
            </w:r>
          </w:p>
        </w:tc>
      </w:tr>
      <w:tr w:rsidR="00D43CE5" w:rsidTr="00F84A22">
        <w:tc>
          <w:tcPr>
            <w:tcW w:w="1998" w:type="dxa"/>
            <w:shd w:val="clear" w:color="auto" w:fill="auto"/>
          </w:tcPr>
          <w:p w:rsidR="00CD05FA" w:rsidRPr="001D6512" w:rsidRDefault="00A1079C" w:rsidP="00C3606E">
            <w:pPr>
              <w:pStyle w:val="TableCell"/>
              <w:spacing w:before="60" w:after="60"/>
              <w:rPr>
                <w:sz w:val="20"/>
              </w:rPr>
            </w:pPr>
            <w:r w:rsidRPr="001D6512">
              <w:t>30 &lt; 40</w:t>
            </w:r>
          </w:p>
        </w:tc>
        <w:tc>
          <w:tcPr>
            <w:tcW w:w="2340"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137</w:t>
            </w:r>
          </w:p>
        </w:tc>
        <w:tc>
          <w:tcPr>
            <w:tcW w:w="2520"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88</w:t>
            </w:r>
          </w:p>
        </w:tc>
        <w:tc>
          <w:tcPr>
            <w:tcW w:w="2520"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62</w:t>
            </w:r>
          </w:p>
        </w:tc>
      </w:tr>
      <w:tr w:rsidR="00D43CE5" w:rsidTr="00F84A22">
        <w:tc>
          <w:tcPr>
            <w:tcW w:w="1998" w:type="dxa"/>
            <w:shd w:val="clear" w:color="auto" w:fill="auto"/>
          </w:tcPr>
          <w:p w:rsidR="00CD05FA" w:rsidRPr="001D6512" w:rsidRDefault="00A1079C" w:rsidP="00C3606E">
            <w:pPr>
              <w:pStyle w:val="TableCell"/>
              <w:spacing w:before="60" w:after="60"/>
              <w:rPr>
                <w:sz w:val="20"/>
              </w:rPr>
            </w:pPr>
            <w:r w:rsidRPr="001D6512">
              <w:t>40 &lt; 50</w:t>
            </w:r>
          </w:p>
        </w:tc>
        <w:tc>
          <w:tcPr>
            <w:tcW w:w="2340"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235</w:t>
            </w:r>
          </w:p>
        </w:tc>
        <w:tc>
          <w:tcPr>
            <w:tcW w:w="2520"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129</w:t>
            </w:r>
          </w:p>
        </w:tc>
        <w:tc>
          <w:tcPr>
            <w:tcW w:w="2520"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91</w:t>
            </w:r>
          </w:p>
        </w:tc>
      </w:tr>
      <w:tr w:rsidR="00D43CE5" w:rsidTr="00F84A22">
        <w:tc>
          <w:tcPr>
            <w:tcW w:w="1998" w:type="dxa"/>
            <w:shd w:val="clear" w:color="auto" w:fill="auto"/>
          </w:tcPr>
          <w:p w:rsidR="00CD05FA" w:rsidRPr="001D6512" w:rsidRDefault="00A1079C" w:rsidP="00C3606E">
            <w:pPr>
              <w:pStyle w:val="TableCell"/>
              <w:spacing w:before="60" w:after="60"/>
              <w:rPr>
                <w:sz w:val="20"/>
              </w:rPr>
            </w:pPr>
            <w:r w:rsidRPr="001D6512">
              <w:t xml:space="preserve">50 &lt; 60 </w:t>
            </w:r>
          </w:p>
        </w:tc>
        <w:tc>
          <w:tcPr>
            <w:tcW w:w="2340"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353</w:t>
            </w:r>
          </w:p>
        </w:tc>
        <w:tc>
          <w:tcPr>
            <w:tcW w:w="2520"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180</w:t>
            </w:r>
          </w:p>
        </w:tc>
        <w:tc>
          <w:tcPr>
            <w:tcW w:w="2520"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108*</w:t>
            </w:r>
          </w:p>
        </w:tc>
      </w:tr>
      <w:tr w:rsidR="00D43CE5" w:rsidTr="00F84A22">
        <w:tc>
          <w:tcPr>
            <w:tcW w:w="1998" w:type="dxa"/>
            <w:shd w:val="clear" w:color="auto" w:fill="auto"/>
          </w:tcPr>
          <w:p w:rsidR="00CD05FA" w:rsidRPr="001D6512" w:rsidRDefault="00A1079C" w:rsidP="00C3606E">
            <w:pPr>
              <w:pStyle w:val="TableCell"/>
              <w:spacing w:before="60" w:after="60"/>
              <w:rPr>
                <w:sz w:val="20"/>
              </w:rPr>
            </w:pPr>
            <w:r w:rsidRPr="001D6512">
              <w:t>≥ 60</w:t>
            </w:r>
          </w:p>
        </w:tc>
        <w:tc>
          <w:tcPr>
            <w:tcW w:w="2340"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391</w:t>
            </w:r>
          </w:p>
        </w:tc>
        <w:tc>
          <w:tcPr>
            <w:tcW w:w="2520"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210</w:t>
            </w:r>
          </w:p>
        </w:tc>
        <w:tc>
          <w:tcPr>
            <w:tcW w:w="2520" w:type="dxa"/>
            <w:shd w:val="clear" w:color="auto" w:fill="auto"/>
          </w:tcPr>
          <w:p w:rsidR="00CD05FA" w:rsidRPr="001D6512" w:rsidRDefault="00A1079C" w:rsidP="00C3606E">
            <w:pPr>
              <w:pStyle w:val="TableCell"/>
              <w:spacing w:before="60" w:after="60"/>
              <w:rPr>
                <w:rFonts w:eastAsia="Arial Unicode MS" w:cs="Arial"/>
                <w:i/>
                <w:iCs/>
                <w:sz w:val="20"/>
                <w:szCs w:val="24"/>
              </w:rPr>
            </w:pPr>
            <w:r w:rsidRPr="001D6512">
              <w:t>108*</w:t>
            </w:r>
          </w:p>
        </w:tc>
      </w:tr>
    </w:tbl>
    <w:p w:rsidR="00A1079C" w:rsidRDefault="00A1079C" w:rsidP="00C3606E">
      <w:r>
        <w:t>* P</w:t>
      </w:r>
      <w:r w:rsidRPr="002F6206">
        <w:rPr>
          <w:vertAlign w:val="subscript"/>
        </w:rPr>
        <w:t>max</w:t>
      </w:r>
      <w:r>
        <w:t xml:space="preserve"> = 108W</w:t>
      </w:r>
    </w:p>
    <w:p w:rsidR="00CD05FA" w:rsidRDefault="00A1079C" w:rsidP="00871FA2">
      <w:pPr>
        <w:pStyle w:val="Heading3"/>
      </w:pPr>
      <w:r>
        <w:t>Deemed Savings</w:t>
      </w:r>
    </w:p>
    <w:p w:rsidR="00A1079C" w:rsidRDefault="00A1079C" w:rsidP="00C3606E">
      <w:r>
        <w:t xml:space="preserve">Deemed annual energy savings for ENERGY STAR Version 4.1 and 5.1 TVs are given in </w:t>
      </w:r>
      <w:r w:rsidR="007A1FB6">
        <w:fldChar w:fldCharType="begin"/>
      </w:r>
      <w:r>
        <w:instrText xml:space="preserve"> REF _Ref275251571 \h </w:instrText>
      </w:r>
      <w:r w:rsidR="007A1FB6">
        <w:fldChar w:fldCharType="separate"/>
      </w:r>
      <w:r w:rsidR="00C0292F" w:rsidRPr="009107CB">
        <w:t xml:space="preserve">Table </w:t>
      </w:r>
      <w:r w:rsidR="00C0292F">
        <w:rPr>
          <w:noProof/>
        </w:rPr>
        <w:t>2</w:t>
      </w:r>
      <w:r w:rsidR="00C0292F">
        <w:noBreakHyphen/>
      </w:r>
      <w:r w:rsidR="00C0292F">
        <w:rPr>
          <w:noProof/>
        </w:rPr>
        <w:t>48</w:t>
      </w:r>
      <w:r w:rsidR="007A1FB6">
        <w:fldChar w:fldCharType="end"/>
      </w:r>
      <w:r>
        <w:t xml:space="preserve">. Coincident demand savings are given in </w:t>
      </w:r>
      <w:r w:rsidR="007A1FB6">
        <w:fldChar w:fldCharType="begin"/>
      </w:r>
      <w:r>
        <w:instrText xml:space="preserve"> REF _Ref275259972 \h </w:instrText>
      </w:r>
      <w:r w:rsidR="007A1FB6">
        <w:fldChar w:fldCharType="separate"/>
      </w:r>
      <w:r w:rsidR="00C0292F" w:rsidRPr="002E4645">
        <w:t xml:space="preserve">Table </w:t>
      </w:r>
      <w:r w:rsidR="00C0292F">
        <w:rPr>
          <w:noProof/>
        </w:rPr>
        <w:t>2</w:t>
      </w:r>
      <w:r w:rsidR="00C0292F">
        <w:noBreakHyphen/>
      </w:r>
      <w:r w:rsidR="00C0292F">
        <w:rPr>
          <w:noProof/>
        </w:rPr>
        <w:t>49</w:t>
      </w:r>
      <w:r w:rsidR="007A1FB6">
        <w:fldChar w:fldCharType="end"/>
      </w:r>
      <w:r>
        <w:t xml:space="preserve">. </w:t>
      </w:r>
    </w:p>
    <w:p w:rsidR="00A1079C" w:rsidRPr="009107CB" w:rsidRDefault="00A1079C" w:rsidP="00100EDF">
      <w:pPr>
        <w:pStyle w:val="Caption"/>
      </w:pPr>
      <w:bookmarkStart w:id="460" w:name="_Ref275251571"/>
      <w:bookmarkStart w:id="461" w:name="_Toc310875534"/>
      <w:r w:rsidRPr="009107CB">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48</w:t>
      </w:r>
      <w:r w:rsidR="00274AB1">
        <w:rPr>
          <w:noProof/>
        </w:rPr>
        <w:fldChar w:fldCharType="end"/>
      </w:r>
      <w:bookmarkEnd w:id="460"/>
      <w:r w:rsidRPr="009107CB">
        <w:t xml:space="preserve">: </w:t>
      </w:r>
      <w:r>
        <w:t xml:space="preserve">Deemed </w:t>
      </w:r>
      <w:r w:rsidRPr="009107CB">
        <w:t>energy savings for ENERGY STAR Version 4.1 and 5.1 TV</w:t>
      </w:r>
      <w:r>
        <w:t>s</w:t>
      </w:r>
      <w:r w:rsidRPr="009107CB">
        <w:t>.</w:t>
      </w:r>
      <w:bookmarkEnd w:id="4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3147"/>
        <w:gridCol w:w="3061"/>
      </w:tblGrid>
      <w:tr w:rsidR="00D43CE5" w:rsidTr="00F84A22">
        <w:tc>
          <w:tcPr>
            <w:tcW w:w="2718" w:type="dxa"/>
            <w:shd w:val="clear" w:color="auto" w:fill="BFBFBF"/>
          </w:tcPr>
          <w:p w:rsidR="00CD05FA" w:rsidRPr="001D6512" w:rsidRDefault="00C67DA4" w:rsidP="00C3606E">
            <w:pPr>
              <w:pStyle w:val="TableCell"/>
              <w:spacing w:before="60" w:after="60"/>
              <w:rPr>
                <w:b/>
              </w:rPr>
            </w:pPr>
            <w:r w:rsidRPr="001D6512">
              <w:rPr>
                <w:b/>
              </w:rPr>
              <w:t>Diagonal Screen Size (inches)</w:t>
            </w:r>
            <w:r w:rsidR="0007670E" w:rsidRPr="001D6512">
              <w:rPr>
                <w:rStyle w:val="FootnoteReference"/>
                <w:b/>
              </w:rPr>
              <w:footnoteReference w:id="104"/>
            </w:r>
          </w:p>
        </w:tc>
        <w:tc>
          <w:tcPr>
            <w:tcW w:w="3240" w:type="dxa"/>
            <w:shd w:val="clear" w:color="auto" w:fill="BFBFBF"/>
          </w:tcPr>
          <w:p w:rsidR="00CD05FA" w:rsidRPr="001D6512" w:rsidRDefault="00C67DA4" w:rsidP="00C3606E">
            <w:pPr>
              <w:pStyle w:val="TableCell"/>
              <w:spacing w:before="60" w:after="60"/>
              <w:rPr>
                <w:b/>
              </w:rPr>
            </w:pPr>
            <w:r w:rsidRPr="001D6512">
              <w:rPr>
                <w:b/>
              </w:rPr>
              <w:t>Energy Savings</w:t>
            </w:r>
          </w:p>
          <w:p w:rsidR="00CD05FA" w:rsidRPr="001D6512" w:rsidRDefault="00C67DA4" w:rsidP="00C3606E">
            <w:pPr>
              <w:pStyle w:val="TableCell"/>
              <w:spacing w:before="60" w:after="60"/>
              <w:rPr>
                <w:b/>
              </w:rPr>
            </w:pPr>
            <w:r w:rsidRPr="001D6512">
              <w:rPr>
                <w:b/>
              </w:rPr>
              <w:t>ENERGY STAR V. 4.1 TVs (kWh/year)</w:t>
            </w:r>
          </w:p>
        </w:tc>
        <w:tc>
          <w:tcPr>
            <w:tcW w:w="3150" w:type="dxa"/>
            <w:shd w:val="clear" w:color="auto" w:fill="BFBFBF"/>
          </w:tcPr>
          <w:p w:rsidR="00CD05FA" w:rsidRPr="001D6512" w:rsidRDefault="00C67DA4" w:rsidP="00C3606E">
            <w:pPr>
              <w:pStyle w:val="TableCell"/>
              <w:spacing w:before="60" w:after="60"/>
              <w:rPr>
                <w:b/>
              </w:rPr>
            </w:pPr>
            <w:r w:rsidRPr="001D6512">
              <w:rPr>
                <w:b/>
              </w:rPr>
              <w:t>Energy Savings</w:t>
            </w:r>
          </w:p>
          <w:p w:rsidR="00CD05FA" w:rsidRPr="001D6512" w:rsidRDefault="00C67DA4" w:rsidP="00C3606E">
            <w:pPr>
              <w:pStyle w:val="TableCell"/>
              <w:spacing w:before="60" w:after="60"/>
              <w:rPr>
                <w:b/>
              </w:rPr>
            </w:pPr>
            <w:r w:rsidRPr="001D6512">
              <w:rPr>
                <w:b/>
              </w:rPr>
              <w:t>ENERGY STAR V. 5.1 TVs (kWh/year)</w:t>
            </w:r>
          </w:p>
        </w:tc>
      </w:tr>
      <w:tr w:rsidR="00A1079C" w:rsidTr="00F84A22">
        <w:tc>
          <w:tcPr>
            <w:tcW w:w="2718" w:type="dxa"/>
            <w:shd w:val="clear" w:color="auto" w:fill="auto"/>
          </w:tcPr>
          <w:p w:rsidR="00CD05FA" w:rsidRPr="001D6512" w:rsidRDefault="00A1079C" w:rsidP="00C3606E">
            <w:pPr>
              <w:pStyle w:val="TableCell"/>
              <w:spacing w:before="60" w:after="60"/>
            </w:pPr>
            <w:r w:rsidRPr="001D6512">
              <w:t>&lt; 20</w:t>
            </w:r>
          </w:p>
        </w:tc>
        <w:tc>
          <w:tcPr>
            <w:tcW w:w="3240" w:type="dxa"/>
            <w:shd w:val="clear" w:color="auto" w:fill="auto"/>
            <w:vAlign w:val="bottom"/>
          </w:tcPr>
          <w:p w:rsidR="00CD05FA" w:rsidRPr="001D6512" w:rsidRDefault="00A1079C" w:rsidP="00C3606E">
            <w:pPr>
              <w:pStyle w:val="TableCell"/>
              <w:spacing w:before="60" w:after="60"/>
              <w:rPr>
                <w:rFonts w:eastAsia="Arial Unicode MS" w:cs="Arial"/>
                <w:i/>
                <w:iCs/>
                <w:color w:val="000000"/>
                <w:szCs w:val="24"/>
              </w:rPr>
            </w:pPr>
            <w:r w:rsidRPr="001D6512">
              <w:rPr>
                <w:color w:val="000000"/>
              </w:rPr>
              <w:t>51</w:t>
            </w:r>
          </w:p>
        </w:tc>
        <w:tc>
          <w:tcPr>
            <w:tcW w:w="3150" w:type="dxa"/>
            <w:shd w:val="clear" w:color="auto" w:fill="auto"/>
            <w:vAlign w:val="bottom"/>
          </w:tcPr>
          <w:p w:rsidR="00CD05FA" w:rsidRPr="001D6512" w:rsidRDefault="00A1079C" w:rsidP="00C3606E">
            <w:pPr>
              <w:pStyle w:val="TableCell"/>
              <w:spacing w:before="60" w:after="60"/>
              <w:rPr>
                <w:rFonts w:eastAsia="Arial Unicode MS" w:cs="Arial"/>
                <w:i/>
                <w:iCs/>
                <w:color w:val="000000"/>
                <w:szCs w:val="24"/>
              </w:rPr>
            </w:pPr>
            <w:r w:rsidRPr="001D6512">
              <w:rPr>
                <w:color w:val="000000"/>
              </w:rPr>
              <w:t>62</w:t>
            </w:r>
          </w:p>
        </w:tc>
      </w:tr>
      <w:tr w:rsidR="00A1079C" w:rsidTr="00F84A22">
        <w:tc>
          <w:tcPr>
            <w:tcW w:w="2718" w:type="dxa"/>
            <w:shd w:val="clear" w:color="auto" w:fill="auto"/>
          </w:tcPr>
          <w:p w:rsidR="00CD05FA" w:rsidRPr="001D6512" w:rsidRDefault="00A1079C" w:rsidP="00C3606E">
            <w:pPr>
              <w:pStyle w:val="TableCell"/>
              <w:spacing w:before="60" w:after="60"/>
              <w:rPr>
                <w:rFonts w:eastAsia="Arial Unicode MS" w:cs="Arial"/>
                <w:i/>
                <w:iCs/>
                <w:szCs w:val="24"/>
              </w:rPr>
            </w:pPr>
            <w:r w:rsidRPr="001D6512">
              <w:t>20 &lt; 30</w:t>
            </w:r>
          </w:p>
        </w:tc>
        <w:tc>
          <w:tcPr>
            <w:tcW w:w="3240" w:type="dxa"/>
            <w:shd w:val="clear" w:color="auto" w:fill="auto"/>
            <w:vAlign w:val="bottom"/>
          </w:tcPr>
          <w:p w:rsidR="00CD05FA" w:rsidRPr="001D6512" w:rsidRDefault="00A1079C" w:rsidP="00C3606E">
            <w:pPr>
              <w:pStyle w:val="TableCell"/>
              <w:spacing w:before="60" w:after="60"/>
              <w:rPr>
                <w:rFonts w:eastAsia="Arial Unicode MS" w:cs="Arial"/>
                <w:i/>
                <w:iCs/>
                <w:color w:val="000000"/>
                <w:szCs w:val="24"/>
              </w:rPr>
            </w:pPr>
            <w:r w:rsidRPr="001D6512">
              <w:rPr>
                <w:color w:val="000000"/>
              </w:rPr>
              <w:t>54</w:t>
            </w:r>
          </w:p>
        </w:tc>
        <w:tc>
          <w:tcPr>
            <w:tcW w:w="3150" w:type="dxa"/>
            <w:shd w:val="clear" w:color="auto" w:fill="auto"/>
            <w:vAlign w:val="bottom"/>
          </w:tcPr>
          <w:p w:rsidR="00CD05FA" w:rsidRPr="001D6512" w:rsidRDefault="00A1079C" w:rsidP="00C3606E">
            <w:pPr>
              <w:pStyle w:val="TableCell"/>
              <w:spacing w:before="60" w:after="60"/>
              <w:rPr>
                <w:rFonts w:eastAsia="Arial Unicode MS" w:cs="Arial"/>
                <w:i/>
                <w:iCs/>
                <w:color w:val="000000"/>
                <w:szCs w:val="24"/>
              </w:rPr>
            </w:pPr>
            <w:r w:rsidRPr="001D6512">
              <w:rPr>
                <w:color w:val="000000"/>
              </w:rPr>
              <w:t>83</w:t>
            </w:r>
          </w:p>
        </w:tc>
      </w:tr>
      <w:tr w:rsidR="00A1079C" w:rsidTr="00F84A22">
        <w:tc>
          <w:tcPr>
            <w:tcW w:w="2718" w:type="dxa"/>
            <w:shd w:val="clear" w:color="auto" w:fill="auto"/>
          </w:tcPr>
          <w:p w:rsidR="00CD05FA" w:rsidRPr="001D6512" w:rsidRDefault="00A1079C" w:rsidP="00C3606E">
            <w:pPr>
              <w:pStyle w:val="TableCell"/>
              <w:spacing w:before="60" w:after="60"/>
              <w:rPr>
                <w:rFonts w:eastAsia="Arial Unicode MS" w:cs="Arial"/>
                <w:i/>
                <w:iCs/>
                <w:szCs w:val="24"/>
              </w:rPr>
            </w:pPr>
            <w:r w:rsidRPr="001D6512">
              <w:t>30 &lt; 40</w:t>
            </w:r>
          </w:p>
        </w:tc>
        <w:tc>
          <w:tcPr>
            <w:tcW w:w="3240" w:type="dxa"/>
            <w:shd w:val="clear" w:color="auto" w:fill="auto"/>
            <w:vAlign w:val="bottom"/>
          </w:tcPr>
          <w:p w:rsidR="00CD05FA" w:rsidRPr="001D6512" w:rsidRDefault="00A1079C" w:rsidP="00C3606E">
            <w:pPr>
              <w:pStyle w:val="TableCell"/>
              <w:spacing w:before="60" w:after="60"/>
              <w:rPr>
                <w:rFonts w:eastAsia="Arial Unicode MS" w:cs="Arial"/>
                <w:i/>
                <w:iCs/>
                <w:color w:val="000000"/>
                <w:szCs w:val="24"/>
              </w:rPr>
            </w:pPr>
            <w:r w:rsidRPr="001D6512">
              <w:rPr>
                <w:color w:val="000000"/>
              </w:rPr>
              <w:t>89</w:t>
            </w:r>
          </w:p>
        </w:tc>
        <w:tc>
          <w:tcPr>
            <w:tcW w:w="3150" w:type="dxa"/>
            <w:shd w:val="clear" w:color="auto" w:fill="auto"/>
            <w:vAlign w:val="bottom"/>
          </w:tcPr>
          <w:p w:rsidR="00CD05FA" w:rsidRPr="001D6512" w:rsidRDefault="00A1079C" w:rsidP="00C3606E">
            <w:pPr>
              <w:pStyle w:val="TableCell"/>
              <w:spacing w:before="60" w:after="60"/>
              <w:rPr>
                <w:rFonts w:eastAsia="Arial Unicode MS" w:cs="Arial"/>
                <w:i/>
                <w:iCs/>
                <w:color w:val="000000"/>
                <w:szCs w:val="24"/>
              </w:rPr>
            </w:pPr>
            <w:r w:rsidRPr="001D6512">
              <w:rPr>
                <w:color w:val="000000"/>
              </w:rPr>
              <w:t>136</w:t>
            </w:r>
          </w:p>
        </w:tc>
      </w:tr>
      <w:tr w:rsidR="00A1079C" w:rsidTr="00F84A22">
        <w:tc>
          <w:tcPr>
            <w:tcW w:w="2718" w:type="dxa"/>
            <w:shd w:val="clear" w:color="auto" w:fill="auto"/>
          </w:tcPr>
          <w:p w:rsidR="00CD05FA" w:rsidRPr="001D6512" w:rsidRDefault="00A1079C" w:rsidP="00C3606E">
            <w:pPr>
              <w:pStyle w:val="TableCell"/>
              <w:spacing w:before="60" w:after="60"/>
              <w:rPr>
                <w:rFonts w:eastAsia="Arial Unicode MS" w:cs="Arial"/>
                <w:i/>
                <w:iCs/>
                <w:szCs w:val="24"/>
              </w:rPr>
            </w:pPr>
            <w:r w:rsidRPr="001D6512">
              <w:t>40 &lt; 50</w:t>
            </w:r>
          </w:p>
        </w:tc>
        <w:tc>
          <w:tcPr>
            <w:tcW w:w="3240" w:type="dxa"/>
            <w:shd w:val="clear" w:color="auto" w:fill="auto"/>
            <w:vAlign w:val="bottom"/>
          </w:tcPr>
          <w:p w:rsidR="00CD05FA" w:rsidRPr="001D6512" w:rsidRDefault="00A1079C" w:rsidP="00C3606E">
            <w:pPr>
              <w:pStyle w:val="TableCell"/>
              <w:spacing w:before="60" w:after="60"/>
              <w:rPr>
                <w:rFonts w:eastAsia="Arial Unicode MS" w:cs="Arial"/>
                <w:i/>
                <w:iCs/>
                <w:color w:val="000000"/>
                <w:szCs w:val="24"/>
              </w:rPr>
            </w:pPr>
            <w:r w:rsidRPr="001D6512">
              <w:rPr>
                <w:color w:val="000000"/>
              </w:rPr>
              <w:t>193</w:t>
            </w:r>
          </w:p>
        </w:tc>
        <w:tc>
          <w:tcPr>
            <w:tcW w:w="3150" w:type="dxa"/>
            <w:shd w:val="clear" w:color="auto" w:fill="auto"/>
            <w:vAlign w:val="bottom"/>
          </w:tcPr>
          <w:p w:rsidR="00CD05FA" w:rsidRPr="001D6512" w:rsidRDefault="00A1079C" w:rsidP="00C3606E">
            <w:pPr>
              <w:pStyle w:val="TableCell"/>
              <w:spacing w:before="60" w:after="60"/>
              <w:rPr>
                <w:rFonts w:eastAsia="Arial Unicode MS" w:cs="Arial"/>
                <w:i/>
                <w:iCs/>
                <w:color w:val="000000"/>
                <w:szCs w:val="24"/>
              </w:rPr>
            </w:pPr>
            <w:r w:rsidRPr="001D6512">
              <w:rPr>
                <w:color w:val="000000"/>
              </w:rPr>
              <w:t>263</w:t>
            </w:r>
          </w:p>
        </w:tc>
      </w:tr>
      <w:tr w:rsidR="00A1079C" w:rsidTr="00F84A22">
        <w:tc>
          <w:tcPr>
            <w:tcW w:w="2718" w:type="dxa"/>
            <w:shd w:val="clear" w:color="auto" w:fill="auto"/>
          </w:tcPr>
          <w:p w:rsidR="00CD05FA" w:rsidRPr="001D6512" w:rsidRDefault="00A1079C" w:rsidP="00C3606E">
            <w:pPr>
              <w:pStyle w:val="TableCell"/>
              <w:spacing w:before="60" w:after="60"/>
              <w:rPr>
                <w:rFonts w:eastAsia="Arial Unicode MS" w:cs="Arial"/>
                <w:i/>
                <w:iCs/>
                <w:szCs w:val="24"/>
              </w:rPr>
            </w:pPr>
            <w:r w:rsidRPr="001D6512">
              <w:t xml:space="preserve">50 &lt; 60 </w:t>
            </w:r>
          </w:p>
        </w:tc>
        <w:tc>
          <w:tcPr>
            <w:tcW w:w="3240" w:type="dxa"/>
            <w:shd w:val="clear" w:color="auto" w:fill="auto"/>
            <w:vAlign w:val="bottom"/>
          </w:tcPr>
          <w:p w:rsidR="00CD05FA" w:rsidRPr="001D6512" w:rsidRDefault="00A1079C" w:rsidP="00C3606E">
            <w:pPr>
              <w:pStyle w:val="TableCell"/>
              <w:spacing w:before="60" w:after="60"/>
              <w:rPr>
                <w:rFonts w:eastAsia="Arial Unicode MS" w:cs="Arial"/>
                <w:i/>
                <w:iCs/>
                <w:color w:val="000000"/>
                <w:szCs w:val="24"/>
              </w:rPr>
            </w:pPr>
            <w:r w:rsidRPr="001D6512">
              <w:rPr>
                <w:color w:val="000000"/>
              </w:rPr>
              <w:t>315</w:t>
            </w:r>
          </w:p>
        </w:tc>
        <w:tc>
          <w:tcPr>
            <w:tcW w:w="3150" w:type="dxa"/>
            <w:shd w:val="clear" w:color="auto" w:fill="auto"/>
            <w:vAlign w:val="bottom"/>
          </w:tcPr>
          <w:p w:rsidR="00CD05FA" w:rsidRPr="001D6512" w:rsidRDefault="00A1079C" w:rsidP="00C3606E">
            <w:pPr>
              <w:pStyle w:val="TableCell"/>
              <w:spacing w:before="60" w:after="60"/>
              <w:rPr>
                <w:rFonts w:eastAsia="Arial Unicode MS" w:cs="Arial"/>
                <w:i/>
                <w:iCs/>
                <w:color w:val="000000"/>
                <w:szCs w:val="24"/>
              </w:rPr>
            </w:pPr>
            <w:r w:rsidRPr="001D6512">
              <w:rPr>
                <w:color w:val="000000"/>
              </w:rPr>
              <w:t>446</w:t>
            </w:r>
          </w:p>
        </w:tc>
      </w:tr>
      <w:tr w:rsidR="00A1079C" w:rsidTr="00F84A22">
        <w:tc>
          <w:tcPr>
            <w:tcW w:w="2718" w:type="dxa"/>
            <w:shd w:val="clear" w:color="auto" w:fill="auto"/>
          </w:tcPr>
          <w:p w:rsidR="00CD05FA" w:rsidRPr="001D6512" w:rsidRDefault="00A1079C" w:rsidP="00C3606E">
            <w:pPr>
              <w:pStyle w:val="TableCell"/>
              <w:spacing w:before="60" w:after="60"/>
              <w:rPr>
                <w:rFonts w:eastAsia="Arial Unicode MS" w:cs="Arial"/>
                <w:i/>
                <w:iCs/>
                <w:szCs w:val="24"/>
              </w:rPr>
            </w:pPr>
            <w:r w:rsidRPr="001D6512">
              <w:t>≥ 60</w:t>
            </w:r>
          </w:p>
        </w:tc>
        <w:tc>
          <w:tcPr>
            <w:tcW w:w="3240" w:type="dxa"/>
            <w:shd w:val="clear" w:color="auto" w:fill="auto"/>
            <w:vAlign w:val="bottom"/>
          </w:tcPr>
          <w:p w:rsidR="00CD05FA" w:rsidRPr="001D6512" w:rsidRDefault="00A1079C" w:rsidP="00C3606E">
            <w:pPr>
              <w:pStyle w:val="TableCell"/>
              <w:spacing w:before="60" w:after="60"/>
              <w:rPr>
                <w:rFonts w:eastAsia="Arial Unicode MS" w:cs="Arial"/>
                <w:i/>
                <w:iCs/>
                <w:color w:val="000000"/>
                <w:szCs w:val="24"/>
              </w:rPr>
            </w:pPr>
            <w:r w:rsidRPr="001D6512">
              <w:rPr>
                <w:color w:val="000000"/>
              </w:rPr>
              <w:t>331</w:t>
            </w:r>
          </w:p>
        </w:tc>
        <w:tc>
          <w:tcPr>
            <w:tcW w:w="3150" w:type="dxa"/>
            <w:shd w:val="clear" w:color="auto" w:fill="auto"/>
            <w:vAlign w:val="bottom"/>
          </w:tcPr>
          <w:p w:rsidR="00CD05FA" w:rsidRPr="001D6512" w:rsidRDefault="00A1079C" w:rsidP="00C3606E">
            <w:pPr>
              <w:pStyle w:val="TableCell"/>
              <w:spacing w:before="60" w:after="60"/>
              <w:rPr>
                <w:rFonts w:eastAsia="Arial Unicode MS" w:cs="Arial"/>
                <w:i/>
                <w:iCs/>
                <w:color w:val="000000"/>
                <w:szCs w:val="24"/>
              </w:rPr>
            </w:pPr>
            <w:r w:rsidRPr="001D6512">
              <w:rPr>
                <w:color w:val="000000"/>
              </w:rPr>
              <w:t>516</w:t>
            </w:r>
          </w:p>
        </w:tc>
      </w:tr>
    </w:tbl>
    <w:p w:rsidR="00A1079C" w:rsidRDefault="00A1079C" w:rsidP="00C3606E">
      <w:pPr>
        <w:spacing w:after="0"/>
      </w:pPr>
    </w:p>
    <w:p w:rsidR="00A1079C" w:rsidRPr="002E4645" w:rsidRDefault="00A1079C" w:rsidP="00100EDF">
      <w:pPr>
        <w:pStyle w:val="Caption"/>
      </w:pPr>
      <w:bookmarkStart w:id="462" w:name="_Ref275259972"/>
      <w:bookmarkStart w:id="463" w:name="_Toc310875535"/>
      <w:r w:rsidRPr="002E4645">
        <w:lastRenderedPageBreak/>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49</w:t>
      </w:r>
      <w:r w:rsidR="00274AB1">
        <w:rPr>
          <w:noProof/>
        </w:rPr>
        <w:fldChar w:fldCharType="end"/>
      </w:r>
      <w:bookmarkEnd w:id="462"/>
      <w:r w:rsidRPr="002E4645">
        <w:t xml:space="preserve">: </w:t>
      </w:r>
      <w:r>
        <w:t xml:space="preserve">Deemed </w:t>
      </w:r>
      <w:r w:rsidRPr="002E4645">
        <w:t>coincident demand savings for ENERGY STAR Version 4.1 and 5.1 TVs.</w:t>
      </w:r>
      <w:bookmarkEnd w:id="4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3139"/>
        <w:gridCol w:w="3139"/>
      </w:tblGrid>
      <w:tr w:rsidR="00D43CE5" w:rsidTr="00F84A22">
        <w:tc>
          <w:tcPr>
            <w:tcW w:w="2718" w:type="dxa"/>
            <w:shd w:val="clear" w:color="auto" w:fill="BFBFBF"/>
          </w:tcPr>
          <w:p w:rsidR="00CD05FA" w:rsidRPr="001D6512" w:rsidRDefault="00C67DA4" w:rsidP="00C3606E">
            <w:pPr>
              <w:pStyle w:val="TableCell"/>
              <w:spacing w:before="60" w:after="60"/>
              <w:rPr>
                <w:b/>
              </w:rPr>
            </w:pPr>
            <w:r w:rsidRPr="001D6512">
              <w:rPr>
                <w:b/>
              </w:rPr>
              <w:t>Diagonal Screen Size (inches)</w:t>
            </w:r>
            <w:r w:rsidR="0007670E" w:rsidRPr="001D6512">
              <w:rPr>
                <w:rStyle w:val="FootnoteReference"/>
                <w:b/>
              </w:rPr>
              <w:footnoteReference w:id="105"/>
            </w:r>
          </w:p>
        </w:tc>
        <w:tc>
          <w:tcPr>
            <w:tcW w:w="3330" w:type="dxa"/>
            <w:shd w:val="clear" w:color="auto" w:fill="BFBFBF"/>
          </w:tcPr>
          <w:p w:rsidR="00CD05FA" w:rsidRPr="001D6512" w:rsidRDefault="00C67DA4" w:rsidP="00C3606E">
            <w:pPr>
              <w:pStyle w:val="TableCell"/>
              <w:spacing w:before="60" w:after="60"/>
              <w:rPr>
                <w:b/>
              </w:rPr>
            </w:pPr>
            <w:r w:rsidRPr="001D6512">
              <w:rPr>
                <w:b/>
              </w:rPr>
              <w:t>Coincident Demand Savings ENERGY STAR V. 4.1 (kW)</w:t>
            </w:r>
          </w:p>
        </w:tc>
        <w:tc>
          <w:tcPr>
            <w:tcW w:w="3330" w:type="dxa"/>
            <w:shd w:val="clear" w:color="auto" w:fill="BFBFBF"/>
          </w:tcPr>
          <w:p w:rsidR="00CD05FA" w:rsidRPr="001D6512" w:rsidRDefault="00C67DA4" w:rsidP="00C3606E">
            <w:pPr>
              <w:pStyle w:val="TableCell"/>
              <w:spacing w:before="60" w:after="60"/>
              <w:rPr>
                <w:b/>
              </w:rPr>
            </w:pPr>
            <w:r w:rsidRPr="001D6512">
              <w:rPr>
                <w:b/>
              </w:rPr>
              <w:t>Coincident Demand Savings ENERGY STAR V. 5.1 (kW)</w:t>
            </w:r>
          </w:p>
        </w:tc>
      </w:tr>
      <w:tr w:rsidR="00A1079C" w:rsidTr="00F84A22">
        <w:tc>
          <w:tcPr>
            <w:tcW w:w="2718" w:type="dxa"/>
            <w:shd w:val="clear" w:color="auto" w:fill="auto"/>
          </w:tcPr>
          <w:p w:rsidR="00CD05FA" w:rsidRPr="001D6512" w:rsidRDefault="00A1079C" w:rsidP="00C3606E">
            <w:pPr>
              <w:pStyle w:val="TableCell"/>
              <w:spacing w:before="60" w:after="60"/>
            </w:pPr>
            <w:r w:rsidRPr="001D6512">
              <w:t>&lt; 20</w:t>
            </w:r>
          </w:p>
        </w:tc>
        <w:tc>
          <w:tcPr>
            <w:tcW w:w="3330" w:type="dxa"/>
            <w:shd w:val="clear" w:color="auto" w:fill="auto"/>
            <w:vAlign w:val="bottom"/>
          </w:tcPr>
          <w:p w:rsidR="00CD05FA" w:rsidRPr="001D6512" w:rsidRDefault="00A1079C" w:rsidP="00C3606E">
            <w:pPr>
              <w:pStyle w:val="TableCell"/>
              <w:spacing w:before="60" w:after="60"/>
              <w:rPr>
                <w:rFonts w:eastAsia="Arial Unicode MS" w:cs="Arial"/>
                <w:i/>
                <w:iCs/>
                <w:color w:val="000000"/>
                <w:szCs w:val="24"/>
              </w:rPr>
            </w:pPr>
            <w:r w:rsidRPr="001D6512">
              <w:rPr>
                <w:color w:val="000000"/>
              </w:rPr>
              <w:t>0.008</w:t>
            </w:r>
          </w:p>
        </w:tc>
        <w:tc>
          <w:tcPr>
            <w:tcW w:w="3330" w:type="dxa"/>
            <w:shd w:val="clear" w:color="auto" w:fill="auto"/>
            <w:vAlign w:val="bottom"/>
          </w:tcPr>
          <w:p w:rsidR="00CD05FA" w:rsidRPr="001D6512" w:rsidRDefault="00A1079C" w:rsidP="00C3606E">
            <w:pPr>
              <w:pStyle w:val="TableCell"/>
              <w:spacing w:before="60" w:after="60"/>
              <w:rPr>
                <w:rFonts w:eastAsia="Arial Unicode MS" w:cs="Arial"/>
                <w:i/>
                <w:iCs/>
                <w:color w:val="000000"/>
                <w:szCs w:val="24"/>
              </w:rPr>
            </w:pPr>
            <w:r w:rsidRPr="001D6512">
              <w:rPr>
                <w:color w:val="000000"/>
              </w:rPr>
              <w:t>0.009</w:t>
            </w:r>
          </w:p>
        </w:tc>
      </w:tr>
      <w:tr w:rsidR="00A1079C" w:rsidTr="00F84A22">
        <w:tc>
          <w:tcPr>
            <w:tcW w:w="2718" w:type="dxa"/>
            <w:shd w:val="clear" w:color="auto" w:fill="auto"/>
          </w:tcPr>
          <w:p w:rsidR="00CD05FA" w:rsidRPr="001D6512" w:rsidRDefault="00A1079C" w:rsidP="00C3606E">
            <w:pPr>
              <w:pStyle w:val="TableCell"/>
              <w:spacing w:before="60" w:after="60"/>
              <w:rPr>
                <w:rFonts w:eastAsia="Arial Unicode MS" w:cs="Arial"/>
                <w:i/>
                <w:iCs/>
                <w:szCs w:val="24"/>
              </w:rPr>
            </w:pPr>
            <w:r w:rsidRPr="001D6512">
              <w:t>20 &lt; 30</w:t>
            </w:r>
          </w:p>
        </w:tc>
        <w:tc>
          <w:tcPr>
            <w:tcW w:w="3330" w:type="dxa"/>
            <w:shd w:val="clear" w:color="auto" w:fill="auto"/>
            <w:vAlign w:val="bottom"/>
          </w:tcPr>
          <w:p w:rsidR="00CD05FA" w:rsidRPr="001D6512" w:rsidRDefault="00A1079C" w:rsidP="00C3606E">
            <w:pPr>
              <w:pStyle w:val="TableCell"/>
              <w:spacing w:before="60" w:after="60"/>
              <w:rPr>
                <w:rFonts w:eastAsia="Arial Unicode MS" w:cs="Arial"/>
                <w:i/>
                <w:iCs/>
                <w:color w:val="000000"/>
                <w:szCs w:val="24"/>
              </w:rPr>
            </w:pPr>
            <w:r w:rsidRPr="001D6512">
              <w:rPr>
                <w:color w:val="000000"/>
              </w:rPr>
              <w:t>0.008</w:t>
            </w:r>
          </w:p>
        </w:tc>
        <w:tc>
          <w:tcPr>
            <w:tcW w:w="3330" w:type="dxa"/>
            <w:shd w:val="clear" w:color="auto" w:fill="auto"/>
            <w:vAlign w:val="bottom"/>
          </w:tcPr>
          <w:p w:rsidR="00CD05FA" w:rsidRPr="001D6512" w:rsidRDefault="00A1079C" w:rsidP="00C3606E">
            <w:pPr>
              <w:pStyle w:val="TableCell"/>
              <w:spacing w:before="60" w:after="60"/>
              <w:rPr>
                <w:rFonts w:eastAsia="Arial Unicode MS" w:cs="Arial"/>
                <w:i/>
                <w:iCs/>
                <w:color w:val="000000"/>
                <w:szCs w:val="24"/>
              </w:rPr>
            </w:pPr>
            <w:r w:rsidRPr="001D6512">
              <w:rPr>
                <w:color w:val="000000"/>
              </w:rPr>
              <w:t>0.013</w:t>
            </w:r>
          </w:p>
        </w:tc>
      </w:tr>
      <w:tr w:rsidR="00A1079C" w:rsidTr="00F84A22">
        <w:tc>
          <w:tcPr>
            <w:tcW w:w="2718" w:type="dxa"/>
            <w:shd w:val="clear" w:color="auto" w:fill="auto"/>
          </w:tcPr>
          <w:p w:rsidR="00CD05FA" w:rsidRPr="001D6512" w:rsidRDefault="00A1079C" w:rsidP="00C3606E">
            <w:pPr>
              <w:pStyle w:val="TableCell"/>
              <w:spacing w:before="60" w:after="60"/>
              <w:rPr>
                <w:rFonts w:eastAsia="Arial Unicode MS" w:cs="Arial"/>
                <w:i/>
                <w:iCs/>
                <w:szCs w:val="24"/>
              </w:rPr>
            </w:pPr>
            <w:r w:rsidRPr="001D6512">
              <w:t>30 &lt; 40</w:t>
            </w:r>
          </w:p>
        </w:tc>
        <w:tc>
          <w:tcPr>
            <w:tcW w:w="3330" w:type="dxa"/>
            <w:shd w:val="clear" w:color="auto" w:fill="auto"/>
            <w:vAlign w:val="bottom"/>
          </w:tcPr>
          <w:p w:rsidR="00CD05FA" w:rsidRPr="001D6512" w:rsidRDefault="00A1079C" w:rsidP="00C3606E">
            <w:pPr>
              <w:pStyle w:val="TableCell"/>
              <w:spacing w:before="60" w:after="60"/>
              <w:rPr>
                <w:rFonts w:eastAsia="Arial Unicode MS" w:cs="Arial"/>
                <w:i/>
                <w:iCs/>
                <w:color w:val="000000"/>
                <w:szCs w:val="24"/>
              </w:rPr>
            </w:pPr>
            <w:r w:rsidRPr="001D6512">
              <w:rPr>
                <w:color w:val="000000"/>
              </w:rPr>
              <w:t>0.014</w:t>
            </w:r>
          </w:p>
        </w:tc>
        <w:tc>
          <w:tcPr>
            <w:tcW w:w="3330" w:type="dxa"/>
            <w:shd w:val="clear" w:color="auto" w:fill="auto"/>
            <w:vAlign w:val="bottom"/>
          </w:tcPr>
          <w:p w:rsidR="00CD05FA" w:rsidRPr="001D6512" w:rsidRDefault="00A1079C" w:rsidP="00C3606E">
            <w:pPr>
              <w:pStyle w:val="TableCell"/>
              <w:spacing w:before="60" w:after="60"/>
              <w:rPr>
                <w:rFonts w:eastAsia="Arial Unicode MS" w:cs="Arial"/>
                <w:i/>
                <w:iCs/>
                <w:color w:val="000000"/>
                <w:szCs w:val="24"/>
              </w:rPr>
            </w:pPr>
            <w:r w:rsidRPr="001D6512">
              <w:rPr>
                <w:color w:val="000000"/>
              </w:rPr>
              <w:t>0.021</w:t>
            </w:r>
          </w:p>
        </w:tc>
      </w:tr>
      <w:tr w:rsidR="00A1079C" w:rsidTr="00F84A22">
        <w:tc>
          <w:tcPr>
            <w:tcW w:w="2718" w:type="dxa"/>
            <w:shd w:val="clear" w:color="auto" w:fill="auto"/>
          </w:tcPr>
          <w:p w:rsidR="00CD05FA" w:rsidRPr="001D6512" w:rsidRDefault="00A1079C" w:rsidP="00C3606E">
            <w:pPr>
              <w:pStyle w:val="TableCell"/>
              <w:spacing w:before="60" w:after="60"/>
              <w:rPr>
                <w:rFonts w:eastAsia="Arial Unicode MS" w:cs="Arial"/>
                <w:i/>
                <w:iCs/>
                <w:szCs w:val="24"/>
              </w:rPr>
            </w:pPr>
            <w:r w:rsidRPr="001D6512">
              <w:t>40 &lt; 50</w:t>
            </w:r>
          </w:p>
        </w:tc>
        <w:tc>
          <w:tcPr>
            <w:tcW w:w="3330" w:type="dxa"/>
            <w:shd w:val="clear" w:color="auto" w:fill="auto"/>
            <w:vAlign w:val="bottom"/>
          </w:tcPr>
          <w:p w:rsidR="00CD05FA" w:rsidRPr="001D6512" w:rsidRDefault="00A1079C" w:rsidP="00C3606E">
            <w:pPr>
              <w:pStyle w:val="TableCell"/>
              <w:spacing w:before="60" w:after="60"/>
              <w:rPr>
                <w:rFonts w:eastAsia="Arial Unicode MS" w:cs="Arial"/>
                <w:i/>
                <w:iCs/>
                <w:color w:val="000000"/>
                <w:szCs w:val="24"/>
              </w:rPr>
            </w:pPr>
            <w:r w:rsidRPr="001D6512">
              <w:rPr>
                <w:color w:val="000000"/>
              </w:rPr>
              <w:t>0.030</w:t>
            </w:r>
          </w:p>
        </w:tc>
        <w:tc>
          <w:tcPr>
            <w:tcW w:w="3330" w:type="dxa"/>
            <w:shd w:val="clear" w:color="auto" w:fill="auto"/>
            <w:vAlign w:val="bottom"/>
          </w:tcPr>
          <w:p w:rsidR="00CD05FA" w:rsidRPr="001D6512" w:rsidRDefault="00A1079C" w:rsidP="00C3606E">
            <w:pPr>
              <w:pStyle w:val="TableCell"/>
              <w:spacing w:before="60" w:after="60"/>
              <w:rPr>
                <w:rFonts w:eastAsia="Arial Unicode MS" w:cs="Arial"/>
                <w:i/>
                <w:iCs/>
                <w:color w:val="000000"/>
                <w:szCs w:val="24"/>
              </w:rPr>
            </w:pPr>
            <w:r w:rsidRPr="001D6512">
              <w:rPr>
                <w:color w:val="000000"/>
              </w:rPr>
              <w:t>0.040</w:t>
            </w:r>
          </w:p>
        </w:tc>
      </w:tr>
      <w:tr w:rsidR="00A1079C" w:rsidTr="00F84A22">
        <w:tc>
          <w:tcPr>
            <w:tcW w:w="2718" w:type="dxa"/>
            <w:shd w:val="clear" w:color="auto" w:fill="auto"/>
          </w:tcPr>
          <w:p w:rsidR="00CD05FA" w:rsidRPr="001D6512" w:rsidRDefault="00A1079C" w:rsidP="00C3606E">
            <w:pPr>
              <w:pStyle w:val="TableCell"/>
              <w:spacing w:before="60" w:after="60"/>
              <w:rPr>
                <w:rFonts w:eastAsia="Arial Unicode MS" w:cs="Arial"/>
                <w:i/>
                <w:iCs/>
                <w:szCs w:val="24"/>
              </w:rPr>
            </w:pPr>
            <w:r w:rsidRPr="001D6512">
              <w:t xml:space="preserve">50 &lt; 60 </w:t>
            </w:r>
          </w:p>
        </w:tc>
        <w:tc>
          <w:tcPr>
            <w:tcW w:w="3330" w:type="dxa"/>
            <w:shd w:val="clear" w:color="auto" w:fill="auto"/>
            <w:vAlign w:val="bottom"/>
          </w:tcPr>
          <w:p w:rsidR="00CD05FA" w:rsidRPr="001D6512" w:rsidRDefault="00A1079C" w:rsidP="00C3606E">
            <w:pPr>
              <w:pStyle w:val="TableCell"/>
              <w:spacing w:before="60" w:after="60"/>
              <w:rPr>
                <w:rFonts w:eastAsia="Arial Unicode MS" w:cs="Arial"/>
                <w:i/>
                <w:iCs/>
                <w:color w:val="000000"/>
                <w:szCs w:val="24"/>
              </w:rPr>
            </w:pPr>
            <w:r w:rsidRPr="001D6512">
              <w:rPr>
                <w:color w:val="000000"/>
              </w:rPr>
              <w:t>0.048</w:t>
            </w:r>
          </w:p>
        </w:tc>
        <w:tc>
          <w:tcPr>
            <w:tcW w:w="3330" w:type="dxa"/>
            <w:shd w:val="clear" w:color="auto" w:fill="auto"/>
            <w:vAlign w:val="bottom"/>
          </w:tcPr>
          <w:p w:rsidR="00CD05FA" w:rsidRPr="001D6512" w:rsidRDefault="00A1079C" w:rsidP="00C3606E">
            <w:pPr>
              <w:pStyle w:val="TableCell"/>
              <w:spacing w:before="60" w:after="60"/>
              <w:rPr>
                <w:rFonts w:eastAsia="Arial Unicode MS" w:cs="Arial"/>
                <w:i/>
                <w:iCs/>
                <w:color w:val="000000"/>
                <w:szCs w:val="24"/>
              </w:rPr>
            </w:pPr>
            <w:r w:rsidRPr="001D6512">
              <w:rPr>
                <w:color w:val="000000"/>
              </w:rPr>
              <w:t>0.068</w:t>
            </w:r>
          </w:p>
        </w:tc>
      </w:tr>
      <w:tr w:rsidR="00A1079C" w:rsidTr="00F84A22">
        <w:tc>
          <w:tcPr>
            <w:tcW w:w="2718" w:type="dxa"/>
            <w:shd w:val="clear" w:color="auto" w:fill="auto"/>
          </w:tcPr>
          <w:p w:rsidR="00CD05FA" w:rsidRPr="001D6512" w:rsidRDefault="00A1079C" w:rsidP="00C3606E">
            <w:pPr>
              <w:pStyle w:val="TableCell"/>
              <w:spacing w:before="60" w:after="60"/>
              <w:rPr>
                <w:rFonts w:eastAsia="Arial Unicode MS" w:cs="Arial"/>
                <w:i/>
                <w:iCs/>
                <w:szCs w:val="24"/>
              </w:rPr>
            </w:pPr>
            <w:r w:rsidRPr="001D6512">
              <w:t>≥ 60</w:t>
            </w:r>
          </w:p>
        </w:tc>
        <w:tc>
          <w:tcPr>
            <w:tcW w:w="3330" w:type="dxa"/>
            <w:shd w:val="clear" w:color="auto" w:fill="auto"/>
            <w:vAlign w:val="bottom"/>
          </w:tcPr>
          <w:p w:rsidR="00CD05FA" w:rsidRPr="001D6512" w:rsidRDefault="00A1079C" w:rsidP="00C3606E">
            <w:pPr>
              <w:pStyle w:val="TableCell"/>
              <w:spacing w:before="60" w:after="60"/>
              <w:rPr>
                <w:rFonts w:eastAsia="Arial Unicode MS" w:cs="Arial"/>
                <w:i/>
                <w:iCs/>
                <w:color w:val="000000"/>
                <w:szCs w:val="24"/>
              </w:rPr>
            </w:pPr>
            <w:r w:rsidRPr="001D6512">
              <w:rPr>
                <w:color w:val="000000"/>
              </w:rPr>
              <w:t>0.051</w:t>
            </w:r>
          </w:p>
        </w:tc>
        <w:tc>
          <w:tcPr>
            <w:tcW w:w="3330" w:type="dxa"/>
            <w:shd w:val="clear" w:color="auto" w:fill="auto"/>
            <w:vAlign w:val="bottom"/>
          </w:tcPr>
          <w:p w:rsidR="00CD05FA" w:rsidRPr="001D6512" w:rsidRDefault="00A1079C" w:rsidP="00C3606E">
            <w:pPr>
              <w:pStyle w:val="TableCell"/>
              <w:spacing w:before="60" w:after="60"/>
              <w:rPr>
                <w:rFonts w:eastAsia="Arial Unicode MS" w:cs="Arial"/>
                <w:i/>
                <w:iCs/>
                <w:color w:val="000000"/>
                <w:szCs w:val="24"/>
              </w:rPr>
            </w:pPr>
            <w:r w:rsidRPr="001D6512">
              <w:rPr>
                <w:color w:val="000000"/>
              </w:rPr>
              <w:t>0.079</w:t>
            </w:r>
          </w:p>
        </w:tc>
      </w:tr>
    </w:tbl>
    <w:p w:rsidR="00A1079C" w:rsidRDefault="00A1079C">
      <w:pPr>
        <w:overflowPunct/>
        <w:autoSpaceDE/>
        <w:autoSpaceDN/>
        <w:adjustRightInd/>
        <w:spacing w:after="0" w:line="240" w:lineRule="auto"/>
        <w:textAlignment w:val="auto"/>
        <w:rPr>
          <w:rFonts w:cs="Arial"/>
          <w:b/>
          <w:bCs/>
          <w:szCs w:val="26"/>
        </w:rPr>
      </w:pPr>
    </w:p>
    <w:p w:rsidR="00CD05FA" w:rsidRDefault="00A1079C" w:rsidP="00871FA2">
      <w:pPr>
        <w:pStyle w:val="Heading3"/>
      </w:pPr>
      <w:r>
        <w:t>Measure Life</w:t>
      </w:r>
    </w:p>
    <w:p w:rsidR="003B22BC" w:rsidRDefault="00A1079C" w:rsidP="005D7F62">
      <w:r>
        <w:t>Measure life = 15 years</w:t>
      </w:r>
      <w:r>
        <w:rPr>
          <w:rStyle w:val="FootnoteReference"/>
        </w:rPr>
        <w:footnoteReference w:id="106"/>
      </w:r>
    </w:p>
    <w:p w:rsidR="00D55DE0" w:rsidRDefault="00D55DE0" w:rsidP="00D55DE0">
      <w:pPr>
        <w:pStyle w:val="Heading2"/>
      </w:pPr>
      <w:r>
        <w:br w:type="page"/>
      </w:r>
      <w:bookmarkStart w:id="464" w:name="_Toc310875430"/>
      <w:r w:rsidRPr="00BC4C0D">
        <w:lastRenderedPageBreak/>
        <w:t xml:space="preserve">ENERGY </w:t>
      </w:r>
      <w:r w:rsidRPr="003B22BC">
        <w:t>STAR</w:t>
      </w:r>
      <w:r w:rsidRPr="00BC4C0D">
        <w:t xml:space="preserve"> Office Equipment</w:t>
      </w:r>
      <w:bookmarkEnd w:id="464"/>
    </w:p>
    <w:p w:rsidR="00D55DE0" w:rsidRPr="006211B6" w:rsidRDefault="00D55DE0" w:rsidP="00D55DE0">
      <w:r>
        <w:rPr>
          <w:rFonts w:ascii="PalatinoLinotype" w:hAnsi="PalatinoLinotype" w:cs="PalatinoLinotype"/>
        </w:rPr>
        <w:t xml:space="preserve">This protocol estimates savings for installing ENERGY STAR office equipment </w:t>
      </w:r>
      <w:r w:rsidRPr="00750794">
        <w:t xml:space="preserve">compared to </w:t>
      </w:r>
      <w:r>
        <w:t xml:space="preserve">standard efficiency equipment in residential applications. </w:t>
      </w:r>
      <w:r w:rsidRPr="00750794">
        <w:t xml:space="preserve">The measurement of energy and demand savings is based </w:t>
      </w:r>
      <w:r>
        <w:t>on a deemed savings value multiplied by the quantity of the measure.</w:t>
      </w:r>
    </w:p>
    <w:p w:rsidR="00D55DE0" w:rsidRPr="00BC4C0D" w:rsidRDefault="00D55DE0" w:rsidP="00871FA2">
      <w:pPr>
        <w:pStyle w:val="Heading3"/>
      </w:pPr>
      <w:r w:rsidRPr="00BC4C0D">
        <w:t>Algorithms</w:t>
      </w:r>
    </w:p>
    <w:p w:rsidR="00D55DE0" w:rsidRPr="00BC4C0D" w:rsidRDefault="00D55DE0" w:rsidP="00D55DE0">
      <w:pPr>
        <w:pStyle w:val="BodyText"/>
      </w:pPr>
      <w:r w:rsidRPr="00BC4C0D">
        <w:t xml:space="preserve">The general form of the equation for the ENERGY STAR </w:t>
      </w:r>
      <w:r>
        <w:t>Office Equipment</w:t>
      </w:r>
      <w:r w:rsidRPr="00BC4C0D">
        <w:t xml:space="preserve"> measure savings’ algorithms is:</w:t>
      </w:r>
    </w:p>
    <w:p w:rsidR="00D55DE0" w:rsidRPr="00BC4C0D" w:rsidRDefault="00D55DE0" w:rsidP="00D55DE0">
      <w:pPr>
        <w:pStyle w:val="Equation"/>
      </w:pPr>
      <w:r w:rsidRPr="00BC4C0D">
        <w:t>Number of Units X Savings per Unit</w:t>
      </w:r>
    </w:p>
    <w:p w:rsidR="00D55DE0" w:rsidRDefault="00D55DE0" w:rsidP="00D55DE0">
      <w:pPr>
        <w:pStyle w:val="BodyText"/>
      </w:pPr>
      <w:r w:rsidRPr="00BC4C0D">
        <w:t>To determine resource savings, the per unit estimates in the algorithms will be mult</w:t>
      </w:r>
      <w:r>
        <w:t>iplied by the number of units. Per unit savings are primarily derived from the June 2010 release of the ENERGY STAR calculator for office equipment.</w:t>
      </w:r>
    </w:p>
    <w:p w:rsidR="00D55DE0" w:rsidRPr="00BC4C0D" w:rsidRDefault="00D55DE0" w:rsidP="00D55DE0">
      <w:pPr>
        <w:pStyle w:val="Heading4"/>
      </w:pPr>
      <w:r>
        <w:t xml:space="preserve">ENERGY STAR </w:t>
      </w:r>
      <w:r w:rsidRPr="00BC4C0D">
        <w:t>Computer</w:t>
      </w:r>
    </w:p>
    <w:p w:rsidR="00D55DE0" w:rsidRPr="005021BC" w:rsidRDefault="00D55DE0" w:rsidP="00D55DE0">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rPr>
        <w:tab/>
      </w:r>
      <w:r w:rsidRPr="005021BC">
        <w:rPr>
          <w:rFonts w:cs="Arial"/>
          <w:szCs w:val="20"/>
        </w:rPr>
        <w:tab/>
        <w:t>= ESav</w:t>
      </w:r>
      <w:r w:rsidRPr="005021BC">
        <w:rPr>
          <w:rFonts w:cs="Arial"/>
          <w:szCs w:val="20"/>
          <w:vertAlign w:val="subscript"/>
        </w:rPr>
        <w:t>COM</w:t>
      </w:r>
    </w:p>
    <w:p w:rsidR="00D55DE0" w:rsidRPr="005021BC" w:rsidRDefault="00D55DE0" w:rsidP="00D55DE0">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Pr>
          <w:rFonts w:cs="Arial"/>
          <w:szCs w:val="20"/>
        </w:rPr>
        <w:tab/>
      </w:r>
      <w:r w:rsidRPr="005021BC">
        <w:rPr>
          <w:rFonts w:cs="Arial"/>
          <w:szCs w:val="20"/>
        </w:rPr>
        <w:tab/>
        <w:t xml:space="preserve"> = DSav</w:t>
      </w:r>
      <w:r w:rsidRPr="005021BC">
        <w:rPr>
          <w:rFonts w:cs="Arial"/>
          <w:szCs w:val="20"/>
          <w:vertAlign w:val="subscript"/>
        </w:rPr>
        <w:t>COM</w:t>
      </w:r>
      <w:r w:rsidRPr="005021BC">
        <w:rPr>
          <w:rFonts w:cs="Arial"/>
          <w:szCs w:val="20"/>
        </w:rPr>
        <w:t xml:space="preserve"> x CF</w:t>
      </w:r>
      <w:r w:rsidRPr="005021BC">
        <w:rPr>
          <w:rFonts w:cs="Arial"/>
          <w:szCs w:val="20"/>
          <w:vertAlign w:val="subscript"/>
        </w:rPr>
        <w:t>COM</w:t>
      </w:r>
    </w:p>
    <w:p w:rsidR="00D55DE0" w:rsidRDefault="00D55DE0" w:rsidP="00D55DE0">
      <w:pPr>
        <w:pStyle w:val="Heading4"/>
      </w:pPr>
      <w:r>
        <w:t>ENERGY STAR Fax Machine</w:t>
      </w:r>
    </w:p>
    <w:p w:rsidR="00D55DE0" w:rsidRPr="005021BC" w:rsidRDefault="00D55DE0" w:rsidP="00D55DE0">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rPr>
        <w:tab/>
      </w:r>
      <w:r w:rsidRPr="005021BC">
        <w:rPr>
          <w:rFonts w:cs="Arial"/>
          <w:szCs w:val="20"/>
        </w:rPr>
        <w:tab/>
        <w:t>= ESav</w:t>
      </w:r>
      <w:r w:rsidRPr="005021BC">
        <w:rPr>
          <w:rFonts w:cs="Arial"/>
          <w:szCs w:val="20"/>
          <w:vertAlign w:val="subscript"/>
        </w:rPr>
        <w:t>FAX</w:t>
      </w:r>
    </w:p>
    <w:p w:rsidR="00D55DE0" w:rsidRPr="005021BC" w:rsidRDefault="00D55DE0" w:rsidP="00D55DE0">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Pr>
          <w:rFonts w:cs="Arial"/>
          <w:szCs w:val="20"/>
        </w:rPr>
        <w:tab/>
      </w:r>
      <w:r w:rsidRPr="005021BC">
        <w:rPr>
          <w:rFonts w:cs="Arial"/>
          <w:szCs w:val="20"/>
        </w:rPr>
        <w:tab/>
        <w:t>= DSav</w:t>
      </w:r>
      <w:r w:rsidRPr="005021BC">
        <w:rPr>
          <w:rFonts w:cs="Arial"/>
          <w:szCs w:val="20"/>
          <w:vertAlign w:val="subscript"/>
        </w:rPr>
        <w:t>FAX</w:t>
      </w:r>
      <w:r w:rsidRPr="005021BC">
        <w:rPr>
          <w:rFonts w:cs="Arial"/>
          <w:szCs w:val="20"/>
        </w:rPr>
        <w:t xml:space="preserve"> x CF</w:t>
      </w:r>
      <w:r w:rsidRPr="005021BC">
        <w:rPr>
          <w:rFonts w:cs="Arial"/>
          <w:szCs w:val="20"/>
          <w:vertAlign w:val="subscript"/>
        </w:rPr>
        <w:t>FAX</w:t>
      </w:r>
    </w:p>
    <w:p w:rsidR="00D55DE0" w:rsidRDefault="00D55DE0" w:rsidP="00D55DE0">
      <w:pPr>
        <w:pStyle w:val="Heading4"/>
      </w:pPr>
      <w:r>
        <w:t>ENERGY STAR Copier</w:t>
      </w:r>
    </w:p>
    <w:p w:rsidR="00D55DE0" w:rsidRPr="005021BC" w:rsidRDefault="00D55DE0" w:rsidP="00D55DE0">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rPr>
        <w:tab/>
      </w:r>
      <w:r w:rsidRPr="005021BC">
        <w:rPr>
          <w:rFonts w:cs="Arial"/>
          <w:szCs w:val="20"/>
        </w:rPr>
        <w:tab/>
        <w:t>= ESav</w:t>
      </w:r>
      <w:r w:rsidRPr="005021BC">
        <w:rPr>
          <w:rFonts w:cs="Arial"/>
          <w:szCs w:val="20"/>
          <w:vertAlign w:val="subscript"/>
        </w:rPr>
        <w:t>COP</w:t>
      </w:r>
    </w:p>
    <w:p w:rsidR="00D55DE0" w:rsidRPr="005021BC" w:rsidRDefault="00D55DE0" w:rsidP="00D55DE0">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Pr>
          <w:rFonts w:cs="Arial"/>
          <w:szCs w:val="20"/>
        </w:rPr>
        <w:tab/>
      </w:r>
      <w:r w:rsidRPr="005021BC">
        <w:rPr>
          <w:rFonts w:cs="Arial"/>
          <w:szCs w:val="20"/>
        </w:rPr>
        <w:tab/>
        <w:t xml:space="preserve"> = DSav</w:t>
      </w:r>
      <w:r w:rsidRPr="005021BC">
        <w:rPr>
          <w:rFonts w:cs="Arial"/>
          <w:szCs w:val="20"/>
          <w:vertAlign w:val="subscript"/>
        </w:rPr>
        <w:t>COP</w:t>
      </w:r>
      <w:r w:rsidRPr="005021BC">
        <w:rPr>
          <w:rFonts w:cs="Arial"/>
          <w:szCs w:val="20"/>
        </w:rPr>
        <w:t xml:space="preserve"> x CF</w:t>
      </w:r>
      <w:r w:rsidRPr="005021BC">
        <w:rPr>
          <w:rFonts w:cs="Arial"/>
          <w:szCs w:val="20"/>
          <w:vertAlign w:val="subscript"/>
        </w:rPr>
        <w:t>COP</w:t>
      </w:r>
    </w:p>
    <w:p w:rsidR="00D55DE0" w:rsidRPr="008D45C5" w:rsidRDefault="00D55DE0" w:rsidP="00D55DE0">
      <w:pPr>
        <w:pStyle w:val="Heading4"/>
      </w:pPr>
      <w:r>
        <w:t>ENERGY STAR Printer</w:t>
      </w:r>
    </w:p>
    <w:p w:rsidR="00D55DE0" w:rsidRPr="005021BC" w:rsidRDefault="00D55DE0" w:rsidP="00D55DE0">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rPr>
        <w:tab/>
      </w:r>
      <w:r w:rsidRPr="005021BC">
        <w:rPr>
          <w:rFonts w:cs="Arial"/>
          <w:szCs w:val="20"/>
        </w:rPr>
        <w:tab/>
        <w:t>= ESav</w:t>
      </w:r>
      <w:r w:rsidRPr="005021BC">
        <w:rPr>
          <w:rFonts w:cs="Arial"/>
          <w:szCs w:val="20"/>
          <w:vertAlign w:val="subscript"/>
        </w:rPr>
        <w:t>PRI</w:t>
      </w:r>
    </w:p>
    <w:p w:rsidR="00D55DE0" w:rsidRPr="005021BC" w:rsidRDefault="00D55DE0" w:rsidP="00D55DE0">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Pr>
          <w:rFonts w:cs="Arial"/>
          <w:szCs w:val="20"/>
        </w:rPr>
        <w:tab/>
      </w:r>
      <w:r w:rsidRPr="005021BC">
        <w:rPr>
          <w:rFonts w:cs="Arial"/>
          <w:szCs w:val="20"/>
        </w:rPr>
        <w:tab/>
        <w:t>= DSav</w:t>
      </w:r>
      <w:r w:rsidRPr="005021BC">
        <w:rPr>
          <w:rFonts w:cs="Arial"/>
          <w:szCs w:val="20"/>
          <w:vertAlign w:val="subscript"/>
        </w:rPr>
        <w:t>PRI</w:t>
      </w:r>
      <w:r w:rsidRPr="005021BC">
        <w:rPr>
          <w:rFonts w:cs="Arial"/>
          <w:szCs w:val="20"/>
        </w:rPr>
        <w:t xml:space="preserve"> x CF</w:t>
      </w:r>
      <w:r w:rsidRPr="005021BC">
        <w:rPr>
          <w:rFonts w:cs="Arial"/>
          <w:szCs w:val="20"/>
          <w:vertAlign w:val="subscript"/>
        </w:rPr>
        <w:t>PRI</w:t>
      </w:r>
    </w:p>
    <w:p w:rsidR="00D55DE0" w:rsidRPr="008D45C5" w:rsidRDefault="00D55DE0" w:rsidP="00D55DE0">
      <w:pPr>
        <w:pStyle w:val="Heading4"/>
      </w:pPr>
      <w:r>
        <w:t>ENERGY STAR Multifunction</w:t>
      </w:r>
    </w:p>
    <w:p w:rsidR="00D55DE0" w:rsidRPr="005021BC" w:rsidRDefault="00D55DE0" w:rsidP="00D55DE0">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rPr>
        <w:tab/>
      </w:r>
      <w:r w:rsidRPr="005021BC">
        <w:rPr>
          <w:rFonts w:cs="Arial"/>
          <w:szCs w:val="20"/>
        </w:rPr>
        <w:tab/>
        <w:t>= ESav</w:t>
      </w:r>
      <w:r w:rsidRPr="005021BC">
        <w:rPr>
          <w:rFonts w:cs="Arial"/>
          <w:szCs w:val="20"/>
          <w:vertAlign w:val="subscript"/>
        </w:rPr>
        <w:t>MUL</w:t>
      </w:r>
    </w:p>
    <w:p w:rsidR="00D55DE0" w:rsidRPr="005021BC" w:rsidRDefault="00D55DE0" w:rsidP="00D55DE0">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Pr>
          <w:rFonts w:cs="Arial"/>
          <w:szCs w:val="20"/>
        </w:rPr>
        <w:tab/>
      </w:r>
      <w:r w:rsidRPr="005021BC">
        <w:rPr>
          <w:rFonts w:cs="Arial"/>
          <w:szCs w:val="20"/>
        </w:rPr>
        <w:tab/>
        <w:t>= DSav</w:t>
      </w:r>
      <w:r w:rsidRPr="005021BC">
        <w:rPr>
          <w:rFonts w:cs="Arial"/>
          <w:szCs w:val="20"/>
          <w:vertAlign w:val="subscript"/>
        </w:rPr>
        <w:t>MUL</w:t>
      </w:r>
      <w:r w:rsidRPr="005021BC">
        <w:rPr>
          <w:rFonts w:cs="Arial"/>
          <w:szCs w:val="20"/>
        </w:rPr>
        <w:t xml:space="preserve"> x CF</w:t>
      </w:r>
      <w:r w:rsidRPr="005021BC">
        <w:rPr>
          <w:rFonts w:cs="Arial"/>
          <w:szCs w:val="20"/>
          <w:vertAlign w:val="subscript"/>
        </w:rPr>
        <w:t>MUL</w:t>
      </w:r>
    </w:p>
    <w:p w:rsidR="00D55DE0" w:rsidRPr="008D45C5" w:rsidRDefault="00D55DE0" w:rsidP="00D55DE0">
      <w:pPr>
        <w:pStyle w:val="Heading4"/>
      </w:pPr>
      <w:r>
        <w:t>ENERGY STAR Monitor</w:t>
      </w:r>
    </w:p>
    <w:p w:rsidR="00D55DE0" w:rsidRPr="005021BC" w:rsidRDefault="00D55DE0" w:rsidP="00D55DE0">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rPr>
        <w:tab/>
      </w:r>
      <w:r w:rsidRPr="005021BC">
        <w:rPr>
          <w:rFonts w:cs="Arial"/>
          <w:szCs w:val="20"/>
        </w:rPr>
        <w:tab/>
        <w:t>= ESav</w:t>
      </w:r>
      <w:r w:rsidRPr="005021BC">
        <w:rPr>
          <w:rFonts w:cs="Arial"/>
          <w:szCs w:val="20"/>
          <w:vertAlign w:val="subscript"/>
        </w:rPr>
        <w:t>MON</w:t>
      </w:r>
    </w:p>
    <w:p w:rsidR="00D55DE0" w:rsidRPr="005021BC" w:rsidRDefault="00D55DE0" w:rsidP="00D55DE0">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Pr>
          <w:rFonts w:cs="Arial"/>
          <w:szCs w:val="20"/>
        </w:rPr>
        <w:tab/>
      </w:r>
      <w:r w:rsidRPr="005021BC">
        <w:rPr>
          <w:rFonts w:cs="Arial"/>
          <w:szCs w:val="20"/>
        </w:rPr>
        <w:tab/>
        <w:t>= DSav</w:t>
      </w:r>
      <w:r w:rsidRPr="005021BC">
        <w:rPr>
          <w:rFonts w:cs="Arial"/>
          <w:szCs w:val="20"/>
          <w:vertAlign w:val="subscript"/>
        </w:rPr>
        <w:t>MON</w:t>
      </w:r>
      <w:r w:rsidRPr="005021BC">
        <w:rPr>
          <w:rFonts w:cs="Arial"/>
          <w:szCs w:val="20"/>
        </w:rPr>
        <w:t xml:space="preserve"> x CF</w:t>
      </w:r>
      <w:r w:rsidRPr="005021BC">
        <w:rPr>
          <w:rFonts w:cs="Arial"/>
          <w:szCs w:val="20"/>
          <w:vertAlign w:val="subscript"/>
        </w:rPr>
        <w:t>MON</w:t>
      </w:r>
    </w:p>
    <w:p w:rsidR="00D55DE0" w:rsidRPr="00BC4C0D" w:rsidRDefault="00D55DE0" w:rsidP="00871FA2">
      <w:pPr>
        <w:pStyle w:val="Heading3"/>
      </w:pPr>
      <w:r w:rsidRPr="00BC4C0D">
        <w:lastRenderedPageBreak/>
        <w:t>Definition of Terms</w:t>
      </w:r>
    </w:p>
    <w:p w:rsidR="00D55DE0" w:rsidRPr="005021BC" w:rsidRDefault="00D55DE0" w:rsidP="00D55DE0">
      <w:pPr>
        <w:pStyle w:val="Equation"/>
        <w:keepNext/>
        <w:rPr>
          <w:rFonts w:cs="Arial"/>
          <w:szCs w:val="20"/>
        </w:rPr>
      </w:pPr>
      <w:r w:rsidRPr="005021BC">
        <w:rPr>
          <w:rFonts w:cs="Arial"/>
          <w:szCs w:val="20"/>
        </w:rPr>
        <w:tab/>
        <w:t>ESav</w:t>
      </w:r>
      <w:r w:rsidRPr="005021BC">
        <w:rPr>
          <w:rFonts w:cs="Arial"/>
          <w:szCs w:val="20"/>
          <w:vertAlign w:val="subscript"/>
        </w:rPr>
        <w:t>COM</w:t>
      </w:r>
      <w:r w:rsidRPr="005021BC">
        <w:rPr>
          <w:rFonts w:cs="Arial"/>
          <w:szCs w:val="20"/>
        </w:rPr>
        <w:t xml:space="preserve"> </w:t>
      </w:r>
      <w:r w:rsidRPr="005021BC">
        <w:rPr>
          <w:rFonts w:cs="Arial"/>
          <w:szCs w:val="20"/>
        </w:rPr>
        <w:tab/>
        <w:t>= Electricity savings per purchased ENERGY STAR computer.</w:t>
      </w:r>
    </w:p>
    <w:p w:rsidR="00D55DE0" w:rsidRPr="005021BC" w:rsidRDefault="00D55DE0" w:rsidP="00D55DE0">
      <w:pPr>
        <w:pStyle w:val="Equation"/>
        <w:keepNext/>
        <w:rPr>
          <w:rFonts w:cs="Arial"/>
          <w:szCs w:val="20"/>
        </w:rPr>
      </w:pPr>
      <w:r w:rsidRPr="005021BC">
        <w:rPr>
          <w:rFonts w:cs="Arial"/>
          <w:szCs w:val="20"/>
        </w:rPr>
        <w:tab/>
        <w:t>DSav</w:t>
      </w:r>
      <w:r w:rsidRPr="005021BC">
        <w:rPr>
          <w:rFonts w:cs="Arial"/>
          <w:szCs w:val="20"/>
          <w:vertAlign w:val="subscript"/>
        </w:rPr>
        <w:t>COM</w:t>
      </w:r>
      <w:r w:rsidRPr="005021BC">
        <w:rPr>
          <w:rFonts w:cs="Arial"/>
          <w:szCs w:val="20"/>
        </w:rPr>
        <w:t xml:space="preserve"> </w:t>
      </w:r>
      <w:r w:rsidRPr="005021BC">
        <w:rPr>
          <w:rFonts w:cs="Arial"/>
          <w:szCs w:val="20"/>
        </w:rPr>
        <w:tab/>
        <w:t>= Summer demand savings per purchased ENERGY STAR computer.</w:t>
      </w:r>
    </w:p>
    <w:p w:rsidR="00D55DE0" w:rsidRPr="005021BC" w:rsidRDefault="00D55DE0" w:rsidP="00D55DE0">
      <w:pPr>
        <w:pStyle w:val="Equation"/>
        <w:rPr>
          <w:rFonts w:cs="Arial"/>
          <w:szCs w:val="20"/>
        </w:rPr>
      </w:pPr>
      <w:r w:rsidRPr="005021BC">
        <w:rPr>
          <w:rFonts w:cs="Arial"/>
          <w:szCs w:val="20"/>
        </w:rPr>
        <w:tab/>
        <w:t>ESav</w:t>
      </w:r>
      <w:r w:rsidRPr="005021BC">
        <w:rPr>
          <w:rFonts w:cs="Arial"/>
          <w:szCs w:val="20"/>
          <w:vertAlign w:val="subscript"/>
        </w:rPr>
        <w:t>FAX</w:t>
      </w:r>
      <w:r w:rsidRPr="005021BC">
        <w:rPr>
          <w:rFonts w:cs="Arial"/>
          <w:szCs w:val="20"/>
        </w:rPr>
        <w:t xml:space="preserve"> </w:t>
      </w:r>
      <w:r w:rsidRPr="005021BC">
        <w:rPr>
          <w:rFonts w:cs="Arial"/>
          <w:szCs w:val="20"/>
        </w:rPr>
        <w:tab/>
        <w:t>= Electricity savings per purchased ENERGY STAR fax machine.</w:t>
      </w:r>
    </w:p>
    <w:p w:rsidR="00D55DE0" w:rsidRPr="005021BC" w:rsidRDefault="00D55DE0" w:rsidP="00D55DE0">
      <w:pPr>
        <w:pStyle w:val="Equation"/>
        <w:rPr>
          <w:rFonts w:cs="Arial"/>
          <w:szCs w:val="20"/>
        </w:rPr>
      </w:pPr>
      <w:r w:rsidRPr="005021BC">
        <w:rPr>
          <w:rFonts w:cs="Arial"/>
          <w:szCs w:val="20"/>
        </w:rPr>
        <w:tab/>
        <w:t>DSav</w:t>
      </w:r>
      <w:r w:rsidRPr="005021BC">
        <w:rPr>
          <w:rFonts w:cs="Arial"/>
          <w:szCs w:val="20"/>
          <w:vertAlign w:val="subscript"/>
        </w:rPr>
        <w:t>FAX</w:t>
      </w:r>
      <w:r w:rsidRPr="005021BC">
        <w:rPr>
          <w:rFonts w:cs="Arial"/>
          <w:szCs w:val="20"/>
        </w:rPr>
        <w:t xml:space="preserve"> </w:t>
      </w:r>
      <w:r w:rsidRPr="005021BC">
        <w:rPr>
          <w:rFonts w:cs="Arial"/>
          <w:szCs w:val="20"/>
        </w:rPr>
        <w:tab/>
        <w:t>= Summer demand savings per purchased ENERGY STAR fax machine.</w:t>
      </w:r>
    </w:p>
    <w:p w:rsidR="00D55DE0" w:rsidRPr="005021BC" w:rsidRDefault="00D55DE0" w:rsidP="00D55DE0">
      <w:pPr>
        <w:pStyle w:val="Equation"/>
        <w:rPr>
          <w:rFonts w:cs="Arial"/>
          <w:szCs w:val="20"/>
        </w:rPr>
      </w:pPr>
      <w:r w:rsidRPr="005021BC">
        <w:rPr>
          <w:rFonts w:cs="Arial"/>
          <w:szCs w:val="20"/>
        </w:rPr>
        <w:tab/>
        <w:t>ESav</w:t>
      </w:r>
      <w:r w:rsidRPr="005021BC">
        <w:rPr>
          <w:rFonts w:cs="Arial"/>
          <w:szCs w:val="20"/>
          <w:vertAlign w:val="subscript"/>
        </w:rPr>
        <w:t>COP</w:t>
      </w:r>
      <w:r w:rsidRPr="005021BC">
        <w:rPr>
          <w:rFonts w:cs="Arial"/>
          <w:szCs w:val="20"/>
          <w:vertAlign w:val="subscript"/>
        </w:rPr>
        <w:tab/>
      </w:r>
      <w:r w:rsidRPr="005021BC">
        <w:rPr>
          <w:rFonts w:cs="Arial"/>
          <w:szCs w:val="20"/>
        </w:rPr>
        <w:t>= Electricity savings per purchased ENERGY STAR copier.</w:t>
      </w:r>
    </w:p>
    <w:p w:rsidR="00D55DE0" w:rsidRPr="005021BC" w:rsidRDefault="00D55DE0" w:rsidP="00D55DE0">
      <w:pPr>
        <w:pStyle w:val="Equation"/>
        <w:rPr>
          <w:rFonts w:cs="Arial"/>
          <w:szCs w:val="20"/>
        </w:rPr>
      </w:pPr>
      <w:r w:rsidRPr="005021BC">
        <w:rPr>
          <w:rFonts w:cs="Arial"/>
          <w:szCs w:val="20"/>
        </w:rPr>
        <w:tab/>
        <w:t>DSav</w:t>
      </w:r>
      <w:r w:rsidRPr="005021BC">
        <w:rPr>
          <w:rFonts w:cs="Arial"/>
          <w:szCs w:val="20"/>
          <w:vertAlign w:val="subscript"/>
        </w:rPr>
        <w:t>COP</w:t>
      </w:r>
      <w:r w:rsidRPr="005021BC">
        <w:rPr>
          <w:rFonts w:cs="Arial"/>
          <w:szCs w:val="20"/>
        </w:rPr>
        <w:t xml:space="preserve"> </w:t>
      </w:r>
      <w:r w:rsidRPr="005021BC">
        <w:rPr>
          <w:rFonts w:cs="Arial"/>
          <w:szCs w:val="20"/>
        </w:rPr>
        <w:tab/>
        <w:t>= Summer demand savings per purchased ENERGY STAR copier.</w:t>
      </w:r>
    </w:p>
    <w:p w:rsidR="00D55DE0" w:rsidRPr="005021BC" w:rsidRDefault="00D55DE0" w:rsidP="00D55DE0">
      <w:pPr>
        <w:pStyle w:val="Equation"/>
        <w:rPr>
          <w:rFonts w:cs="Arial"/>
          <w:szCs w:val="20"/>
        </w:rPr>
      </w:pPr>
      <w:r w:rsidRPr="005021BC">
        <w:rPr>
          <w:rFonts w:cs="Arial"/>
          <w:szCs w:val="20"/>
        </w:rPr>
        <w:tab/>
        <w:t>ESav</w:t>
      </w:r>
      <w:r w:rsidRPr="005021BC">
        <w:rPr>
          <w:rFonts w:cs="Arial"/>
          <w:szCs w:val="20"/>
          <w:vertAlign w:val="subscript"/>
        </w:rPr>
        <w:t>PRI</w:t>
      </w:r>
      <w:r w:rsidRPr="005021BC">
        <w:rPr>
          <w:rFonts w:cs="Arial"/>
          <w:szCs w:val="20"/>
          <w:vertAlign w:val="subscript"/>
        </w:rPr>
        <w:tab/>
      </w:r>
      <w:r w:rsidRPr="005021BC">
        <w:rPr>
          <w:rFonts w:cs="Arial"/>
          <w:szCs w:val="20"/>
        </w:rPr>
        <w:t>= Electricity savings per purchased ENERGY STAR printer.</w:t>
      </w:r>
    </w:p>
    <w:p w:rsidR="00D55DE0" w:rsidRPr="005021BC" w:rsidRDefault="00D55DE0" w:rsidP="00D55DE0">
      <w:pPr>
        <w:pStyle w:val="Equation"/>
        <w:rPr>
          <w:rFonts w:cs="Arial"/>
          <w:szCs w:val="20"/>
        </w:rPr>
      </w:pPr>
      <w:r w:rsidRPr="005021BC">
        <w:rPr>
          <w:rFonts w:cs="Arial"/>
          <w:szCs w:val="20"/>
        </w:rPr>
        <w:tab/>
        <w:t>DSav</w:t>
      </w:r>
      <w:r w:rsidRPr="005021BC">
        <w:rPr>
          <w:rFonts w:cs="Arial"/>
          <w:szCs w:val="20"/>
          <w:vertAlign w:val="subscript"/>
        </w:rPr>
        <w:t>PRI</w:t>
      </w:r>
      <w:r w:rsidRPr="005021BC">
        <w:rPr>
          <w:rFonts w:cs="Arial"/>
          <w:szCs w:val="20"/>
        </w:rPr>
        <w:t xml:space="preserve"> </w:t>
      </w:r>
      <w:r w:rsidRPr="005021BC">
        <w:rPr>
          <w:rFonts w:cs="Arial"/>
          <w:szCs w:val="20"/>
        </w:rPr>
        <w:tab/>
        <w:t>= Summer demand savings per purchased ENERGY STAR printer.</w:t>
      </w:r>
    </w:p>
    <w:p w:rsidR="00D55DE0" w:rsidRPr="005021BC" w:rsidRDefault="00D55DE0" w:rsidP="00D55DE0">
      <w:pPr>
        <w:pStyle w:val="Equation"/>
        <w:rPr>
          <w:rFonts w:cs="Arial"/>
          <w:szCs w:val="20"/>
        </w:rPr>
      </w:pPr>
      <w:r w:rsidRPr="005021BC">
        <w:rPr>
          <w:rFonts w:cs="Arial"/>
          <w:szCs w:val="20"/>
        </w:rPr>
        <w:tab/>
        <w:t>ESav</w:t>
      </w:r>
      <w:r w:rsidRPr="005021BC">
        <w:rPr>
          <w:rFonts w:cs="Arial"/>
          <w:szCs w:val="20"/>
          <w:vertAlign w:val="subscript"/>
        </w:rPr>
        <w:t>MUL</w:t>
      </w:r>
      <w:r w:rsidRPr="005021BC">
        <w:rPr>
          <w:rFonts w:cs="Arial"/>
          <w:szCs w:val="20"/>
        </w:rPr>
        <w:t xml:space="preserve"> </w:t>
      </w:r>
      <w:r w:rsidRPr="005021BC">
        <w:rPr>
          <w:rFonts w:cs="Arial"/>
          <w:szCs w:val="20"/>
        </w:rPr>
        <w:tab/>
        <w:t>= Electricity savings per purchased ENERGY STAR multifunction machine.</w:t>
      </w:r>
    </w:p>
    <w:p w:rsidR="00D55DE0" w:rsidRPr="005021BC" w:rsidRDefault="00D55DE0" w:rsidP="00D55DE0">
      <w:pPr>
        <w:pStyle w:val="Equation"/>
        <w:rPr>
          <w:rFonts w:cs="Arial"/>
          <w:szCs w:val="20"/>
        </w:rPr>
      </w:pPr>
      <w:r w:rsidRPr="005021BC">
        <w:rPr>
          <w:rFonts w:cs="Arial"/>
          <w:szCs w:val="20"/>
        </w:rPr>
        <w:tab/>
        <w:t>DSav</w:t>
      </w:r>
      <w:r w:rsidRPr="005021BC">
        <w:rPr>
          <w:rFonts w:cs="Arial"/>
          <w:szCs w:val="20"/>
          <w:vertAlign w:val="subscript"/>
        </w:rPr>
        <w:t>MUL</w:t>
      </w:r>
      <w:r w:rsidRPr="005021BC">
        <w:rPr>
          <w:rFonts w:cs="Arial"/>
          <w:szCs w:val="20"/>
        </w:rPr>
        <w:t xml:space="preserve"> </w:t>
      </w:r>
      <w:r w:rsidRPr="005021BC">
        <w:rPr>
          <w:rFonts w:cs="Arial"/>
          <w:szCs w:val="20"/>
        </w:rPr>
        <w:tab/>
        <w:t>= Summer demand savings per purchased ENERGY STAR multifunction machine.</w:t>
      </w:r>
    </w:p>
    <w:p w:rsidR="00D55DE0" w:rsidRPr="005021BC" w:rsidRDefault="00D55DE0" w:rsidP="00D55DE0">
      <w:pPr>
        <w:pStyle w:val="Equation"/>
        <w:rPr>
          <w:rFonts w:cs="Arial"/>
          <w:szCs w:val="20"/>
        </w:rPr>
      </w:pPr>
      <w:r w:rsidRPr="005021BC">
        <w:rPr>
          <w:rFonts w:cs="Arial"/>
          <w:szCs w:val="20"/>
        </w:rPr>
        <w:tab/>
        <w:t>ESav</w:t>
      </w:r>
      <w:r w:rsidRPr="005021BC">
        <w:rPr>
          <w:rFonts w:cs="Arial"/>
          <w:szCs w:val="20"/>
          <w:vertAlign w:val="subscript"/>
        </w:rPr>
        <w:t>MON</w:t>
      </w:r>
      <w:r w:rsidRPr="005021BC">
        <w:rPr>
          <w:rFonts w:cs="Arial"/>
          <w:szCs w:val="20"/>
        </w:rPr>
        <w:t xml:space="preserve"> </w:t>
      </w:r>
      <w:r w:rsidRPr="005021BC">
        <w:rPr>
          <w:rFonts w:cs="Arial"/>
          <w:szCs w:val="20"/>
        </w:rPr>
        <w:tab/>
        <w:t>= Electricity savings per purchased ENERGY STAR monitor.</w:t>
      </w:r>
    </w:p>
    <w:p w:rsidR="00D55DE0" w:rsidRPr="005021BC" w:rsidRDefault="00D55DE0" w:rsidP="00D55DE0">
      <w:pPr>
        <w:pStyle w:val="Equation"/>
        <w:rPr>
          <w:rFonts w:cs="Arial"/>
          <w:szCs w:val="20"/>
        </w:rPr>
      </w:pPr>
      <w:r w:rsidRPr="005021BC">
        <w:rPr>
          <w:rFonts w:cs="Arial"/>
          <w:szCs w:val="20"/>
        </w:rPr>
        <w:tab/>
        <w:t>DSav</w:t>
      </w:r>
      <w:r w:rsidRPr="005021BC">
        <w:rPr>
          <w:rFonts w:cs="Arial"/>
          <w:szCs w:val="20"/>
          <w:vertAlign w:val="subscript"/>
        </w:rPr>
        <w:t>MON</w:t>
      </w:r>
      <w:r w:rsidRPr="005021BC">
        <w:rPr>
          <w:rFonts w:cs="Arial"/>
          <w:szCs w:val="20"/>
        </w:rPr>
        <w:t xml:space="preserve"> </w:t>
      </w:r>
      <w:r w:rsidRPr="005021BC">
        <w:rPr>
          <w:rFonts w:cs="Arial"/>
          <w:szCs w:val="20"/>
        </w:rPr>
        <w:tab/>
        <w:t>= Summer demand savings per purchased ENERGY STAR monitor.</w:t>
      </w:r>
    </w:p>
    <w:p w:rsidR="00D55DE0" w:rsidRPr="005021BC" w:rsidRDefault="00D55DE0" w:rsidP="00D55DE0">
      <w:pPr>
        <w:pStyle w:val="Equation"/>
        <w:rPr>
          <w:rFonts w:cs="Arial"/>
          <w:szCs w:val="20"/>
        </w:rPr>
      </w:pPr>
      <w:r w:rsidRPr="005021BC">
        <w:rPr>
          <w:rFonts w:cs="Arial"/>
          <w:szCs w:val="20"/>
        </w:rPr>
        <w:tab/>
        <w:t>CF</w:t>
      </w:r>
      <w:r w:rsidRPr="005021BC">
        <w:rPr>
          <w:rFonts w:cs="Arial"/>
          <w:szCs w:val="20"/>
          <w:vertAlign w:val="subscript"/>
        </w:rPr>
        <w:t>COM</w:t>
      </w:r>
      <w:r w:rsidRPr="005021BC">
        <w:rPr>
          <w:rFonts w:cs="Arial"/>
          <w:szCs w:val="20"/>
        </w:rPr>
        <w:t>, CF</w:t>
      </w:r>
      <w:r w:rsidRPr="005021BC">
        <w:rPr>
          <w:rFonts w:cs="Arial"/>
          <w:szCs w:val="20"/>
          <w:vertAlign w:val="subscript"/>
        </w:rPr>
        <w:t>FAX</w:t>
      </w:r>
      <w:r w:rsidRPr="005021BC">
        <w:rPr>
          <w:rFonts w:cs="Arial"/>
          <w:szCs w:val="20"/>
        </w:rPr>
        <w:t>, CF</w:t>
      </w:r>
      <w:r w:rsidRPr="005021BC">
        <w:rPr>
          <w:rFonts w:cs="Arial"/>
          <w:szCs w:val="20"/>
          <w:vertAlign w:val="subscript"/>
        </w:rPr>
        <w:t>COP</w:t>
      </w:r>
      <w:r w:rsidRPr="005021BC">
        <w:rPr>
          <w:rFonts w:cs="Arial"/>
          <w:szCs w:val="20"/>
        </w:rPr>
        <w:t xml:space="preserve">, </w:t>
      </w:r>
    </w:p>
    <w:p w:rsidR="00D55DE0" w:rsidRPr="005021BC" w:rsidRDefault="00D55DE0" w:rsidP="00D55DE0">
      <w:pPr>
        <w:pStyle w:val="Equation"/>
        <w:rPr>
          <w:rFonts w:cs="Arial"/>
          <w:szCs w:val="20"/>
        </w:rPr>
      </w:pPr>
      <w:r w:rsidRPr="005021BC">
        <w:rPr>
          <w:rFonts w:cs="Arial"/>
          <w:szCs w:val="20"/>
        </w:rPr>
        <w:tab/>
        <w:t>CF</w:t>
      </w:r>
      <w:r w:rsidRPr="005021BC">
        <w:rPr>
          <w:rFonts w:cs="Arial"/>
          <w:szCs w:val="20"/>
          <w:vertAlign w:val="subscript"/>
        </w:rPr>
        <w:t>PRI</w:t>
      </w:r>
      <w:r w:rsidRPr="005021BC">
        <w:rPr>
          <w:rFonts w:cs="Arial"/>
          <w:szCs w:val="20"/>
        </w:rPr>
        <w:t>, CF</w:t>
      </w:r>
      <w:r w:rsidRPr="005021BC">
        <w:rPr>
          <w:rFonts w:cs="Arial"/>
          <w:szCs w:val="20"/>
          <w:vertAlign w:val="subscript"/>
        </w:rPr>
        <w:t>MUL</w:t>
      </w:r>
      <w:r w:rsidRPr="005021BC">
        <w:rPr>
          <w:rFonts w:cs="Arial"/>
          <w:szCs w:val="20"/>
        </w:rPr>
        <w:t>, CF</w:t>
      </w:r>
      <w:r w:rsidRPr="005021BC">
        <w:rPr>
          <w:rFonts w:cs="Arial"/>
          <w:szCs w:val="20"/>
          <w:vertAlign w:val="subscript"/>
        </w:rPr>
        <w:t>MON</w:t>
      </w:r>
      <w:r w:rsidRPr="005021BC">
        <w:rPr>
          <w:rFonts w:cs="Arial"/>
          <w:szCs w:val="20"/>
        </w:rPr>
        <w:t xml:space="preserve"> </w:t>
      </w:r>
      <w:r w:rsidRPr="005021BC">
        <w:rPr>
          <w:rFonts w:cs="Arial"/>
          <w:szCs w:val="20"/>
        </w:rPr>
        <w:tab/>
        <w:t>= Demand Coincidence Factor (See Section 1.4). The coincidence of average office equipment demand to summer system peak equals 1 for demand impacts for all office equipment reflecting embedded coincidence in the DSav factor.</w:t>
      </w:r>
    </w:p>
    <w:p w:rsidR="00D55DE0" w:rsidRPr="00BC4C0D" w:rsidRDefault="00D55DE0" w:rsidP="00D55DE0"/>
    <w:p w:rsidR="00D55DE0" w:rsidRDefault="00D55DE0" w:rsidP="00D55DE0">
      <w:pPr>
        <w:pStyle w:val="Caption"/>
      </w:pPr>
      <w:bookmarkStart w:id="465" w:name="_Toc310875536"/>
      <w:r>
        <w:lastRenderedPageBreak/>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50</w:t>
      </w:r>
      <w:r w:rsidR="00274AB1">
        <w:rPr>
          <w:noProof/>
        </w:rPr>
        <w:fldChar w:fldCharType="end"/>
      </w:r>
      <w:r>
        <w:t>: ENERGY STAR</w:t>
      </w:r>
      <w:r w:rsidRPr="00532479">
        <w:t xml:space="preserve"> Office Equipment - References</w:t>
      </w:r>
      <w:bookmarkEnd w:id="4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7"/>
        <w:gridCol w:w="1080"/>
        <w:gridCol w:w="3510"/>
        <w:gridCol w:w="1107"/>
      </w:tblGrid>
      <w:tr w:rsidR="00D55DE0" w:rsidRPr="00382D2E" w:rsidTr="00C81DAB">
        <w:trPr>
          <w:cantSplit/>
          <w:tblHeader/>
          <w:jc w:val="center"/>
        </w:trPr>
        <w:tc>
          <w:tcPr>
            <w:tcW w:w="2817" w:type="dxa"/>
            <w:shd w:val="clear" w:color="auto" w:fill="BFBFBF"/>
          </w:tcPr>
          <w:p w:rsidR="00D55DE0" w:rsidRPr="001D6512" w:rsidRDefault="00D55DE0" w:rsidP="00C81DAB">
            <w:pPr>
              <w:pStyle w:val="TableCell"/>
              <w:spacing w:before="60" w:after="60"/>
              <w:rPr>
                <w:b/>
              </w:rPr>
            </w:pPr>
            <w:r w:rsidRPr="001D6512">
              <w:rPr>
                <w:b/>
              </w:rPr>
              <w:t>Component</w:t>
            </w:r>
          </w:p>
        </w:tc>
        <w:tc>
          <w:tcPr>
            <w:tcW w:w="1080" w:type="dxa"/>
            <w:shd w:val="clear" w:color="auto" w:fill="BFBFBF"/>
          </w:tcPr>
          <w:p w:rsidR="00D55DE0" w:rsidRPr="001D6512" w:rsidRDefault="00D55DE0" w:rsidP="00C81DAB">
            <w:pPr>
              <w:pStyle w:val="TableCell"/>
              <w:spacing w:before="60" w:after="60"/>
              <w:rPr>
                <w:b/>
              </w:rPr>
            </w:pPr>
            <w:r w:rsidRPr="001D6512">
              <w:rPr>
                <w:b/>
              </w:rPr>
              <w:t>Type</w:t>
            </w:r>
          </w:p>
        </w:tc>
        <w:tc>
          <w:tcPr>
            <w:tcW w:w="3510" w:type="dxa"/>
            <w:shd w:val="clear" w:color="auto" w:fill="BFBFBF"/>
          </w:tcPr>
          <w:p w:rsidR="00D55DE0" w:rsidRPr="001D6512" w:rsidRDefault="00D55DE0" w:rsidP="00C81DAB">
            <w:pPr>
              <w:pStyle w:val="TableCell"/>
              <w:spacing w:before="60" w:after="60"/>
              <w:rPr>
                <w:b/>
              </w:rPr>
            </w:pPr>
            <w:r w:rsidRPr="001D6512">
              <w:rPr>
                <w:b/>
              </w:rPr>
              <w:t>Value</w:t>
            </w:r>
          </w:p>
        </w:tc>
        <w:tc>
          <w:tcPr>
            <w:tcW w:w="1107" w:type="dxa"/>
            <w:shd w:val="clear" w:color="auto" w:fill="BFBFBF"/>
          </w:tcPr>
          <w:p w:rsidR="00D55DE0" w:rsidRPr="001D6512" w:rsidRDefault="00D55DE0" w:rsidP="00C81DAB">
            <w:pPr>
              <w:pStyle w:val="TableCell"/>
              <w:spacing w:before="60" w:after="60"/>
              <w:rPr>
                <w:b/>
              </w:rPr>
            </w:pPr>
            <w:r w:rsidRPr="001D6512">
              <w:rPr>
                <w:b/>
              </w:rPr>
              <w:t>Sources</w:t>
            </w:r>
          </w:p>
        </w:tc>
      </w:tr>
      <w:tr w:rsidR="00D55DE0" w:rsidRPr="00382D2E" w:rsidTr="00C81DAB">
        <w:trPr>
          <w:cantSplit/>
          <w:jc w:val="center"/>
        </w:trPr>
        <w:tc>
          <w:tcPr>
            <w:tcW w:w="2817" w:type="dxa"/>
          </w:tcPr>
          <w:p w:rsidR="00D55DE0" w:rsidRPr="001D6512" w:rsidRDefault="00D55DE0" w:rsidP="00C81DAB">
            <w:pPr>
              <w:pStyle w:val="TableCell"/>
              <w:spacing w:before="60" w:after="60"/>
            </w:pPr>
            <w:r w:rsidRPr="001D6512">
              <w:t>ESav</w:t>
            </w:r>
            <w:r w:rsidRPr="001D6512">
              <w:rPr>
                <w:vertAlign w:val="subscript"/>
              </w:rPr>
              <w:t>COM</w:t>
            </w:r>
          </w:p>
          <w:p w:rsidR="00D55DE0" w:rsidRPr="001D6512" w:rsidRDefault="00D55DE0" w:rsidP="00C81DAB">
            <w:pPr>
              <w:pStyle w:val="TableCell"/>
              <w:spacing w:before="60" w:after="60"/>
            </w:pPr>
            <w:r w:rsidRPr="001D6512">
              <w:t>ESav</w:t>
            </w:r>
            <w:r w:rsidRPr="001D6512">
              <w:rPr>
                <w:vertAlign w:val="subscript"/>
              </w:rPr>
              <w:t>FAX</w:t>
            </w:r>
          </w:p>
          <w:p w:rsidR="00D55DE0" w:rsidRPr="001D6512" w:rsidRDefault="00D55DE0" w:rsidP="00C81DAB">
            <w:pPr>
              <w:pStyle w:val="TableCell"/>
              <w:spacing w:before="60" w:after="60"/>
            </w:pPr>
            <w:r w:rsidRPr="001D6512">
              <w:t>ESav</w:t>
            </w:r>
            <w:r w:rsidRPr="001D6512">
              <w:rPr>
                <w:vertAlign w:val="subscript"/>
              </w:rPr>
              <w:t>COP</w:t>
            </w:r>
          </w:p>
          <w:p w:rsidR="00D55DE0" w:rsidRPr="001D6512" w:rsidRDefault="00D55DE0" w:rsidP="00C81DAB">
            <w:pPr>
              <w:pStyle w:val="TableCell"/>
              <w:spacing w:before="60" w:after="60"/>
            </w:pPr>
            <w:r w:rsidRPr="001D6512">
              <w:t>ESav</w:t>
            </w:r>
            <w:r w:rsidRPr="001D6512">
              <w:rPr>
                <w:vertAlign w:val="subscript"/>
              </w:rPr>
              <w:t>PRI</w:t>
            </w:r>
          </w:p>
          <w:p w:rsidR="00D55DE0" w:rsidRPr="001D6512" w:rsidRDefault="00D55DE0" w:rsidP="00C81DAB">
            <w:pPr>
              <w:pStyle w:val="TableCell"/>
              <w:spacing w:before="60" w:after="60"/>
            </w:pPr>
            <w:r w:rsidRPr="001D6512">
              <w:t>ESav</w:t>
            </w:r>
            <w:r w:rsidRPr="001D6512">
              <w:rPr>
                <w:vertAlign w:val="subscript"/>
              </w:rPr>
              <w:t>MUL</w:t>
            </w:r>
          </w:p>
          <w:p w:rsidR="00D55DE0" w:rsidRPr="001D6512" w:rsidRDefault="00D55DE0" w:rsidP="00C81DAB">
            <w:pPr>
              <w:pStyle w:val="TableCell"/>
              <w:spacing w:before="60" w:after="60"/>
            </w:pPr>
            <w:r w:rsidRPr="001D6512">
              <w:t>ESav</w:t>
            </w:r>
            <w:r w:rsidRPr="001D6512">
              <w:rPr>
                <w:vertAlign w:val="subscript"/>
              </w:rPr>
              <w:t>MON</w:t>
            </w:r>
          </w:p>
        </w:tc>
        <w:tc>
          <w:tcPr>
            <w:tcW w:w="1080" w:type="dxa"/>
          </w:tcPr>
          <w:p w:rsidR="00D55DE0" w:rsidRPr="001D6512" w:rsidRDefault="00D55DE0" w:rsidP="00C81DAB">
            <w:pPr>
              <w:pStyle w:val="TableCell"/>
              <w:spacing w:before="60" w:after="60"/>
            </w:pPr>
            <w:r w:rsidRPr="001D6512">
              <w:t>Fixed</w:t>
            </w:r>
          </w:p>
        </w:tc>
        <w:tc>
          <w:tcPr>
            <w:tcW w:w="3510" w:type="dxa"/>
          </w:tcPr>
          <w:p w:rsidR="00D55DE0" w:rsidRPr="001D6512" w:rsidRDefault="00D55DE0" w:rsidP="00D55DE0">
            <w:pPr>
              <w:pStyle w:val="TableCell"/>
              <w:spacing w:before="60" w:after="60"/>
            </w:pPr>
            <w:r w:rsidRPr="001D6512">
              <w:t xml:space="preserve">see </w:t>
            </w:r>
            <w:r w:rsidR="007A1FB6" w:rsidRPr="001D6512">
              <w:fldChar w:fldCharType="begin"/>
            </w:r>
            <w:r w:rsidRPr="001D6512">
              <w:instrText xml:space="preserve"> REF _Ref298525851 \h </w:instrText>
            </w:r>
            <w:r w:rsidR="007A1FB6" w:rsidRPr="001D6512">
              <w:fldChar w:fldCharType="separate"/>
            </w:r>
            <w:r w:rsidR="00C0292F">
              <w:t xml:space="preserve">Table </w:t>
            </w:r>
            <w:r w:rsidR="00C0292F">
              <w:rPr>
                <w:noProof/>
              </w:rPr>
              <w:t>2</w:t>
            </w:r>
            <w:r w:rsidR="00C0292F">
              <w:noBreakHyphen/>
            </w:r>
            <w:r w:rsidR="00C0292F">
              <w:rPr>
                <w:noProof/>
              </w:rPr>
              <w:t>51</w:t>
            </w:r>
            <w:r w:rsidR="007A1FB6" w:rsidRPr="001D6512">
              <w:fldChar w:fldCharType="end"/>
            </w:r>
          </w:p>
        </w:tc>
        <w:tc>
          <w:tcPr>
            <w:tcW w:w="1107" w:type="dxa"/>
          </w:tcPr>
          <w:p w:rsidR="00D55DE0" w:rsidRPr="001D6512" w:rsidRDefault="00D55DE0" w:rsidP="00C81DAB">
            <w:pPr>
              <w:pStyle w:val="TableCell"/>
              <w:spacing w:before="60" w:after="60"/>
            </w:pPr>
            <w:r w:rsidRPr="001D6512">
              <w:t>1</w:t>
            </w:r>
          </w:p>
        </w:tc>
      </w:tr>
      <w:tr w:rsidR="00D55DE0" w:rsidRPr="00382D2E" w:rsidTr="00C81DAB">
        <w:trPr>
          <w:cantSplit/>
          <w:trHeight w:val="1484"/>
          <w:jc w:val="center"/>
        </w:trPr>
        <w:tc>
          <w:tcPr>
            <w:tcW w:w="2817" w:type="dxa"/>
          </w:tcPr>
          <w:p w:rsidR="00D55DE0" w:rsidRPr="001D6512" w:rsidRDefault="00D55DE0" w:rsidP="00C81DAB">
            <w:pPr>
              <w:pStyle w:val="TableCell"/>
              <w:spacing w:before="60" w:after="60"/>
            </w:pPr>
            <w:r w:rsidRPr="001D6512">
              <w:t>DSav</w:t>
            </w:r>
            <w:r w:rsidRPr="001D6512">
              <w:rPr>
                <w:vertAlign w:val="subscript"/>
              </w:rPr>
              <w:t>COM</w:t>
            </w:r>
          </w:p>
          <w:p w:rsidR="00D55DE0" w:rsidRPr="001D6512" w:rsidRDefault="00D55DE0" w:rsidP="00C81DAB">
            <w:pPr>
              <w:pStyle w:val="TableCell"/>
              <w:spacing w:before="60" w:after="60"/>
            </w:pPr>
            <w:r w:rsidRPr="001D6512">
              <w:t>DSav</w:t>
            </w:r>
            <w:r w:rsidRPr="001D6512">
              <w:rPr>
                <w:vertAlign w:val="subscript"/>
              </w:rPr>
              <w:t>FAX</w:t>
            </w:r>
          </w:p>
          <w:p w:rsidR="00D55DE0" w:rsidRPr="001D6512" w:rsidRDefault="00D55DE0" w:rsidP="00C81DAB">
            <w:pPr>
              <w:pStyle w:val="TableCell"/>
              <w:spacing w:before="60" w:after="60"/>
            </w:pPr>
            <w:r w:rsidRPr="001D6512">
              <w:t>DSav</w:t>
            </w:r>
            <w:r w:rsidRPr="001D6512">
              <w:rPr>
                <w:vertAlign w:val="subscript"/>
              </w:rPr>
              <w:t>COP</w:t>
            </w:r>
          </w:p>
          <w:p w:rsidR="00D55DE0" w:rsidRPr="001D6512" w:rsidRDefault="00D55DE0" w:rsidP="00C81DAB">
            <w:pPr>
              <w:pStyle w:val="TableCell"/>
              <w:spacing w:before="60" w:after="60"/>
            </w:pPr>
            <w:r w:rsidRPr="001D6512">
              <w:t>DSav</w:t>
            </w:r>
            <w:r w:rsidRPr="001D6512">
              <w:rPr>
                <w:vertAlign w:val="subscript"/>
              </w:rPr>
              <w:t>PRI</w:t>
            </w:r>
          </w:p>
          <w:p w:rsidR="00D55DE0" w:rsidRPr="001D6512" w:rsidRDefault="00D55DE0" w:rsidP="00C81DAB">
            <w:pPr>
              <w:pStyle w:val="TableCell"/>
              <w:spacing w:before="60" w:after="60"/>
            </w:pPr>
            <w:r w:rsidRPr="001D6512">
              <w:t>DSav</w:t>
            </w:r>
            <w:r w:rsidRPr="001D6512">
              <w:rPr>
                <w:vertAlign w:val="subscript"/>
              </w:rPr>
              <w:t>MUL</w:t>
            </w:r>
          </w:p>
          <w:p w:rsidR="00D55DE0" w:rsidRPr="001D6512" w:rsidRDefault="00D55DE0" w:rsidP="00C81DAB">
            <w:pPr>
              <w:pStyle w:val="TableCell"/>
              <w:spacing w:before="60" w:after="60"/>
            </w:pPr>
            <w:r w:rsidRPr="001D6512">
              <w:t>DSav</w:t>
            </w:r>
            <w:r w:rsidRPr="001D6512">
              <w:rPr>
                <w:vertAlign w:val="subscript"/>
              </w:rPr>
              <w:t>MON</w:t>
            </w:r>
          </w:p>
        </w:tc>
        <w:tc>
          <w:tcPr>
            <w:tcW w:w="1080" w:type="dxa"/>
          </w:tcPr>
          <w:p w:rsidR="00D55DE0" w:rsidRPr="001D6512" w:rsidRDefault="00D55DE0" w:rsidP="00C81DAB">
            <w:pPr>
              <w:pStyle w:val="TableCell"/>
              <w:spacing w:before="60" w:after="60"/>
            </w:pPr>
            <w:r w:rsidRPr="001D6512">
              <w:t>Fixed</w:t>
            </w:r>
          </w:p>
        </w:tc>
        <w:tc>
          <w:tcPr>
            <w:tcW w:w="3510" w:type="dxa"/>
          </w:tcPr>
          <w:p w:rsidR="00D55DE0" w:rsidRPr="001D6512" w:rsidRDefault="00D55DE0" w:rsidP="00C81DAB">
            <w:pPr>
              <w:pStyle w:val="TableCell"/>
              <w:spacing w:before="60" w:after="60"/>
            </w:pPr>
            <w:r w:rsidRPr="001D6512">
              <w:t xml:space="preserve">see </w:t>
            </w:r>
            <w:r w:rsidR="007A1FB6" w:rsidRPr="001D6512">
              <w:fldChar w:fldCharType="begin"/>
            </w:r>
            <w:r w:rsidRPr="001D6512">
              <w:instrText xml:space="preserve"> REF _Ref298525851 \h </w:instrText>
            </w:r>
            <w:r w:rsidR="007A1FB6" w:rsidRPr="001D6512">
              <w:fldChar w:fldCharType="separate"/>
            </w:r>
            <w:r w:rsidR="00C0292F">
              <w:t xml:space="preserve">Table </w:t>
            </w:r>
            <w:r w:rsidR="00C0292F">
              <w:rPr>
                <w:noProof/>
              </w:rPr>
              <w:t>2</w:t>
            </w:r>
            <w:r w:rsidR="00C0292F">
              <w:noBreakHyphen/>
            </w:r>
            <w:r w:rsidR="00C0292F">
              <w:rPr>
                <w:noProof/>
              </w:rPr>
              <w:t>51</w:t>
            </w:r>
            <w:r w:rsidR="007A1FB6" w:rsidRPr="001D6512">
              <w:fldChar w:fldCharType="end"/>
            </w:r>
          </w:p>
        </w:tc>
        <w:tc>
          <w:tcPr>
            <w:tcW w:w="1107" w:type="dxa"/>
          </w:tcPr>
          <w:p w:rsidR="00D55DE0" w:rsidRPr="001D6512" w:rsidRDefault="00D55DE0" w:rsidP="00C81DAB">
            <w:pPr>
              <w:pStyle w:val="TableCell"/>
              <w:spacing w:before="60" w:after="60"/>
            </w:pPr>
            <w:r w:rsidRPr="001D6512">
              <w:t>2</w:t>
            </w:r>
          </w:p>
        </w:tc>
      </w:tr>
      <w:tr w:rsidR="00D55DE0" w:rsidRPr="00382D2E" w:rsidTr="00C81DAB">
        <w:trPr>
          <w:cantSplit/>
          <w:jc w:val="center"/>
        </w:trPr>
        <w:tc>
          <w:tcPr>
            <w:tcW w:w="2817" w:type="dxa"/>
          </w:tcPr>
          <w:p w:rsidR="00D55DE0" w:rsidRPr="001D6512" w:rsidRDefault="00D55DE0" w:rsidP="00C81DAB">
            <w:pPr>
              <w:pStyle w:val="TableCell"/>
              <w:spacing w:before="60" w:after="60"/>
            </w:pPr>
            <w:r w:rsidRPr="001D6512">
              <w:t>CF</w:t>
            </w:r>
            <w:r w:rsidRPr="001D6512">
              <w:rPr>
                <w:vertAlign w:val="subscript"/>
              </w:rPr>
              <w:t>COM</w:t>
            </w:r>
            <w:r w:rsidRPr="001D6512">
              <w:t>,CF</w:t>
            </w:r>
            <w:r w:rsidRPr="001D6512">
              <w:rPr>
                <w:vertAlign w:val="subscript"/>
              </w:rPr>
              <w:t>FAX</w:t>
            </w:r>
            <w:r w:rsidRPr="001D6512">
              <w:t>,CF</w:t>
            </w:r>
            <w:r w:rsidRPr="001D6512">
              <w:rPr>
                <w:vertAlign w:val="subscript"/>
              </w:rPr>
              <w:t>COP</w:t>
            </w:r>
            <w:r w:rsidRPr="001D6512">
              <w:t>,CF</w:t>
            </w:r>
            <w:r w:rsidRPr="001D6512">
              <w:rPr>
                <w:vertAlign w:val="subscript"/>
              </w:rPr>
              <w:t>PRI</w:t>
            </w:r>
            <w:r w:rsidRPr="001D6512">
              <w:t>,CF</w:t>
            </w:r>
            <w:r w:rsidRPr="001D6512">
              <w:rPr>
                <w:vertAlign w:val="subscript"/>
              </w:rPr>
              <w:t>MUL</w:t>
            </w:r>
            <w:r w:rsidRPr="001D6512">
              <w:t>,CF</w:t>
            </w:r>
            <w:r w:rsidRPr="001D6512">
              <w:rPr>
                <w:vertAlign w:val="subscript"/>
              </w:rPr>
              <w:t>MON</w:t>
            </w:r>
          </w:p>
        </w:tc>
        <w:tc>
          <w:tcPr>
            <w:tcW w:w="1080" w:type="dxa"/>
          </w:tcPr>
          <w:p w:rsidR="00D55DE0" w:rsidRPr="001D6512" w:rsidRDefault="00D55DE0" w:rsidP="00C81DAB">
            <w:pPr>
              <w:pStyle w:val="TableCell"/>
              <w:spacing w:before="60" w:after="60"/>
            </w:pPr>
            <w:r w:rsidRPr="001D6512">
              <w:t>Fixed</w:t>
            </w:r>
          </w:p>
        </w:tc>
        <w:tc>
          <w:tcPr>
            <w:tcW w:w="3510" w:type="dxa"/>
          </w:tcPr>
          <w:p w:rsidR="00D55DE0" w:rsidRPr="001D6512" w:rsidRDefault="00D55DE0" w:rsidP="00C81DAB">
            <w:pPr>
              <w:pStyle w:val="TableCell"/>
              <w:spacing w:before="60" w:after="60"/>
            </w:pPr>
            <w:r w:rsidRPr="001D6512">
              <w:t>1.0, 1.0, 1.0, 1.0, 1.0, 1.0</w:t>
            </w:r>
          </w:p>
        </w:tc>
        <w:tc>
          <w:tcPr>
            <w:tcW w:w="1107" w:type="dxa"/>
          </w:tcPr>
          <w:p w:rsidR="00D55DE0" w:rsidRPr="001D6512" w:rsidRDefault="00D55DE0" w:rsidP="00C81DAB">
            <w:pPr>
              <w:pStyle w:val="TableCell"/>
              <w:spacing w:before="60" w:after="60"/>
            </w:pPr>
            <w:r w:rsidRPr="001D6512">
              <w:t>3</w:t>
            </w:r>
          </w:p>
        </w:tc>
      </w:tr>
    </w:tbl>
    <w:p w:rsidR="00D55DE0" w:rsidRDefault="00D55DE0" w:rsidP="00D55DE0">
      <w:pPr>
        <w:spacing w:after="0"/>
      </w:pPr>
    </w:p>
    <w:p w:rsidR="00D55DE0" w:rsidRPr="00BC5194" w:rsidRDefault="00D55DE0" w:rsidP="00D55DE0">
      <w:pPr>
        <w:rPr>
          <w:b/>
        </w:rPr>
      </w:pPr>
      <w:r w:rsidRPr="00BC5194">
        <w:rPr>
          <w:b/>
        </w:rPr>
        <w:t>Sources:</w:t>
      </w:r>
    </w:p>
    <w:p w:rsidR="00D55DE0" w:rsidRPr="00382D2E" w:rsidRDefault="00D55DE0" w:rsidP="0005632A">
      <w:pPr>
        <w:pStyle w:val="source1"/>
        <w:numPr>
          <w:ilvl w:val="0"/>
          <w:numId w:val="41"/>
        </w:numPr>
      </w:pPr>
      <w:r>
        <w:t>ENERGY STAR</w:t>
      </w:r>
      <w:r w:rsidRPr="00382D2E">
        <w:t xml:space="preserve"> Office Equipment Savings Calculator (Calculator updated: June 2010). Default values were used.</w:t>
      </w:r>
    </w:p>
    <w:p w:rsidR="00D55DE0" w:rsidRPr="00382D2E" w:rsidRDefault="00D55DE0" w:rsidP="00D55DE0">
      <w:pPr>
        <w:pStyle w:val="source1"/>
      </w:pPr>
      <w:r w:rsidRPr="00382D2E">
        <w:t xml:space="preserve">Using a </w:t>
      </w:r>
      <w:r>
        <w:t>residential</w:t>
      </w:r>
      <w:r w:rsidRPr="00382D2E">
        <w:t xml:space="preserve"> office equipment load shape, the percentage of total savings that occur during the top 100 system hours was calculated and multiplied by the energy savings.</w:t>
      </w:r>
    </w:p>
    <w:p w:rsidR="00D55DE0" w:rsidRDefault="00D55DE0" w:rsidP="00D55DE0">
      <w:pPr>
        <w:pStyle w:val="source1"/>
      </w:pPr>
      <w:r w:rsidRPr="00382D2E">
        <w:t>Coincidence factors already embedded in summer peak demand reduction estimates.</w:t>
      </w:r>
    </w:p>
    <w:p w:rsidR="00D55DE0" w:rsidRDefault="00D55DE0" w:rsidP="00D55DE0">
      <w:pPr>
        <w:pStyle w:val="Caption"/>
      </w:pPr>
      <w:bookmarkStart w:id="466" w:name="_Ref298525851"/>
      <w:bookmarkStart w:id="467" w:name="_Toc310875537"/>
      <w:r>
        <w:lastRenderedPageBreak/>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51</w:t>
      </w:r>
      <w:r w:rsidR="00274AB1">
        <w:rPr>
          <w:noProof/>
        </w:rPr>
        <w:fldChar w:fldCharType="end"/>
      </w:r>
      <w:bookmarkEnd w:id="466"/>
      <w:r>
        <w:t>: ENERGY STAR Office Equipment Energy and Demand Savings Values</w:t>
      </w:r>
      <w:bookmarkEnd w:id="467"/>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422"/>
        <w:gridCol w:w="2424"/>
      </w:tblGrid>
      <w:tr w:rsidR="00D55DE0" w:rsidRPr="00382D2E" w:rsidTr="00C81DAB">
        <w:trPr>
          <w:tblHeader/>
          <w:jc w:val="center"/>
        </w:trPr>
        <w:tc>
          <w:tcPr>
            <w:tcW w:w="3794" w:type="dxa"/>
            <w:shd w:val="clear" w:color="auto" w:fill="BFBFBF"/>
          </w:tcPr>
          <w:p w:rsidR="00D55DE0" w:rsidRPr="001D6512" w:rsidRDefault="00D55DE0" w:rsidP="00C81DAB">
            <w:pPr>
              <w:pStyle w:val="TableCell"/>
              <w:spacing w:before="60" w:after="60"/>
              <w:rPr>
                <w:b/>
              </w:rPr>
            </w:pPr>
            <w:r w:rsidRPr="001D6512">
              <w:rPr>
                <w:b/>
              </w:rPr>
              <w:t>Measure</w:t>
            </w:r>
          </w:p>
        </w:tc>
        <w:tc>
          <w:tcPr>
            <w:tcW w:w="2422" w:type="dxa"/>
            <w:shd w:val="clear" w:color="auto" w:fill="BFBFBF"/>
          </w:tcPr>
          <w:p w:rsidR="00D55DE0" w:rsidRPr="001D6512" w:rsidRDefault="00D55DE0" w:rsidP="00C81DAB">
            <w:pPr>
              <w:pStyle w:val="TableCell"/>
              <w:spacing w:before="60" w:after="60"/>
              <w:rPr>
                <w:b/>
              </w:rPr>
            </w:pPr>
            <w:r w:rsidRPr="001D6512">
              <w:rPr>
                <w:b/>
              </w:rPr>
              <w:t>Energy Savings (ESav)</w:t>
            </w:r>
          </w:p>
        </w:tc>
        <w:tc>
          <w:tcPr>
            <w:tcW w:w="2424" w:type="dxa"/>
            <w:shd w:val="clear" w:color="auto" w:fill="BFBFBF"/>
          </w:tcPr>
          <w:p w:rsidR="00D55DE0" w:rsidRPr="001D6512" w:rsidRDefault="00D55DE0" w:rsidP="00C81DAB">
            <w:pPr>
              <w:pStyle w:val="TableCell"/>
              <w:spacing w:before="60" w:after="60"/>
              <w:rPr>
                <w:b/>
              </w:rPr>
            </w:pPr>
            <w:r w:rsidRPr="001D6512">
              <w:rPr>
                <w:b/>
              </w:rPr>
              <w:t>Demand Savings (DSav)</w:t>
            </w:r>
          </w:p>
        </w:tc>
      </w:tr>
      <w:tr w:rsidR="00D55DE0" w:rsidRPr="00382D2E" w:rsidTr="00C81DAB">
        <w:trPr>
          <w:jc w:val="center"/>
        </w:trPr>
        <w:tc>
          <w:tcPr>
            <w:tcW w:w="3794" w:type="dxa"/>
          </w:tcPr>
          <w:p w:rsidR="00D55DE0" w:rsidRPr="001D6512" w:rsidRDefault="00D55DE0" w:rsidP="00C81DAB">
            <w:pPr>
              <w:pStyle w:val="TableCell"/>
              <w:spacing w:before="60" w:after="60"/>
            </w:pPr>
            <w:r w:rsidRPr="001D6512">
              <w:t xml:space="preserve">Computer </w:t>
            </w:r>
          </w:p>
        </w:tc>
        <w:tc>
          <w:tcPr>
            <w:tcW w:w="2422" w:type="dxa"/>
          </w:tcPr>
          <w:p w:rsidR="00D55DE0" w:rsidRPr="001D6512" w:rsidRDefault="008C3C19" w:rsidP="00C81DAB">
            <w:pPr>
              <w:pStyle w:val="TableCell"/>
              <w:spacing w:before="60" w:after="60"/>
            </w:pPr>
            <w:r w:rsidRPr="001D6512">
              <w:t>77</w:t>
            </w:r>
            <w:r w:rsidR="00D55DE0" w:rsidRPr="001D6512">
              <w:t xml:space="preserve"> kWh</w:t>
            </w:r>
          </w:p>
        </w:tc>
        <w:tc>
          <w:tcPr>
            <w:tcW w:w="2424" w:type="dxa"/>
          </w:tcPr>
          <w:p w:rsidR="00D55DE0" w:rsidRPr="001D6512" w:rsidRDefault="00D55DE0" w:rsidP="008C3C19">
            <w:pPr>
              <w:pStyle w:val="TableCell"/>
              <w:spacing w:before="60" w:after="60"/>
            </w:pPr>
            <w:r w:rsidRPr="001D6512">
              <w:t>0.01</w:t>
            </w:r>
            <w:r w:rsidR="008C3C19" w:rsidRPr="001D6512">
              <w:t xml:space="preserve">00  </w:t>
            </w:r>
            <w:r w:rsidRPr="001D6512">
              <w:t>kW</w:t>
            </w:r>
          </w:p>
        </w:tc>
      </w:tr>
      <w:tr w:rsidR="00D55DE0" w:rsidRPr="00382D2E" w:rsidTr="00C81DAB">
        <w:trPr>
          <w:jc w:val="center"/>
        </w:trPr>
        <w:tc>
          <w:tcPr>
            <w:tcW w:w="3794" w:type="dxa"/>
            <w:tcBorders>
              <w:bottom w:val="single" w:sz="4" w:space="0" w:color="auto"/>
            </w:tcBorders>
          </w:tcPr>
          <w:p w:rsidR="00D55DE0" w:rsidRPr="001D6512" w:rsidRDefault="00D55DE0" w:rsidP="00C81DAB">
            <w:pPr>
              <w:pStyle w:val="TableCell"/>
              <w:spacing w:before="60" w:after="60"/>
            </w:pPr>
            <w:r w:rsidRPr="001D6512">
              <w:t>Fax Machine (laser)</w:t>
            </w:r>
          </w:p>
        </w:tc>
        <w:tc>
          <w:tcPr>
            <w:tcW w:w="2422" w:type="dxa"/>
            <w:tcBorders>
              <w:bottom w:val="single" w:sz="4" w:space="0" w:color="auto"/>
            </w:tcBorders>
          </w:tcPr>
          <w:p w:rsidR="00D55DE0" w:rsidRPr="001D6512" w:rsidRDefault="00D55DE0" w:rsidP="00C81DAB">
            <w:pPr>
              <w:pStyle w:val="TableCell"/>
              <w:spacing w:before="60" w:after="60"/>
            </w:pPr>
            <w:r w:rsidRPr="001D6512">
              <w:t>78   kWh</w:t>
            </w:r>
          </w:p>
        </w:tc>
        <w:tc>
          <w:tcPr>
            <w:tcW w:w="2424" w:type="dxa"/>
            <w:tcBorders>
              <w:bottom w:val="single" w:sz="4" w:space="0" w:color="auto"/>
            </w:tcBorders>
          </w:tcPr>
          <w:p w:rsidR="00D55DE0" w:rsidRPr="001D6512" w:rsidRDefault="00D55DE0" w:rsidP="00C81DAB">
            <w:pPr>
              <w:pStyle w:val="TableCell"/>
              <w:spacing w:before="60" w:after="60"/>
            </w:pPr>
            <w:r w:rsidRPr="001D6512">
              <w:t>0.0105  kW</w:t>
            </w:r>
          </w:p>
        </w:tc>
      </w:tr>
      <w:tr w:rsidR="00D55DE0" w:rsidRPr="00382D2E" w:rsidTr="00C81DAB">
        <w:trPr>
          <w:jc w:val="center"/>
        </w:trPr>
        <w:tc>
          <w:tcPr>
            <w:tcW w:w="3794" w:type="dxa"/>
            <w:tcBorders>
              <w:top w:val="single" w:sz="4" w:space="0" w:color="auto"/>
              <w:left w:val="single" w:sz="4" w:space="0" w:color="auto"/>
              <w:bottom w:val="nil"/>
              <w:right w:val="single" w:sz="4" w:space="0" w:color="auto"/>
            </w:tcBorders>
          </w:tcPr>
          <w:p w:rsidR="00D55DE0" w:rsidRPr="001D6512" w:rsidRDefault="00D55DE0" w:rsidP="00C81DAB">
            <w:pPr>
              <w:pStyle w:val="TableCell"/>
              <w:spacing w:before="60" w:after="60"/>
            </w:pPr>
            <w:r w:rsidRPr="001D6512">
              <w:t>Copier (monochrome)</w:t>
            </w:r>
          </w:p>
        </w:tc>
        <w:tc>
          <w:tcPr>
            <w:tcW w:w="2422" w:type="dxa"/>
            <w:tcBorders>
              <w:top w:val="single" w:sz="4" w:space="0" w:color="auto"/>
              <w:left w:val="single" w:sz="4" w:space="0" w:color="auto"/>
              <w:bottom w:val="nil"/>
              <w:right w:val="single" w:sz="4" w:space="0" w:color="auto"/>
            </w:tcBorders>
          </w:tcPr>
          <w:p w:rsidR="00D55DE0" w:rsidRPr="001D6512" w:rsidRDefault="00D55DE0" w:rsidP="00C81DAB">
            <w:pPr>
              <w:pStyle w:val="TableCell"/>
              <w:spacing w:before="60" w:after="60"/>
            </w:pPr>
          </w:p>
        </w:tc>
        <w:tc>
          <w:tcPr>
            <w:tcW w:w="2424" w:type="dxa"/>
            <w:tcBorders>
              <w:left w:val="single" w:sz="4" w:space="0" w:color="auto"/>
              <w:bottom w:val="nil"/>
            </w:tcBorders>
          </w:tcPr>
          <w:p w:rsidR="00D55DE0" w:rsidRPr="001D6512" w:rsidRDefault="00D55DE0" w:rsidP="00C81DAB">
            <w:pPr>
              <w:pStyle w:val="TableCell"/>
              <w:spacing w:before="60" w:after="60"/>
            </w:pPr>
          </w:p>
        </w:tc>
      </w:tr>
      <w:tr w:rsidR="00D55DE0" w:rsidRPr="00382D2E" w:rsidTr="00C81DAB">
        <w:trPr>
          <w:jc w:val="center"/>
        </w:trPr>
        <w:tc>
          <w:tcPr>
            <w:tcW w:w="3794" w:type="dxa"/>
            <w:tcBorders>
              <w:top w:val="nil"/>
              <w:left w:val="single" w:sz="4" w:space="0" w:color="auto"/>
              <w:bottom w:val="nil"/>
              <w:right w:val="single" w:sz="4" w:space="0" w:color="auto"/>
            </w:tcBorders>
          </w:tcPr>
          <w:p w:rsidR="00D55DE0" w:rsidRPr="001D6512" w:rsidRDefault="00D55DE0" w:rsidP="00C81DAB">
            <w:pPr>
              <w:pStyle w:val="TableCell"/>
              <w:spacing w:before="60" w:after="60"/>
            </w:pPr>
            <w:r w:rsidRPr="001D6512">
              <w:t xml:space="preserve">      1-25      images/min</w:t>
            </w:r>
          </w:p>
        </w:tc>
        <w:tc>
          <w:tcPr>
            <w:tcW w:w="2422" w:type="dxa"/>
            <w:tcBorders>
              <w:top w:val="nil"/>
              <w:left w:val="single" w:sz="4" w:space="0" w:color="auto"/>
              <w:bottom w:val="nil"/>
              <w:right w:val="single" w:sz="4" w:space="0" w:color="auto"/>
            </w:tcBorders>
          </w:tcPr>
          <w:p w:rsidR="00D55DE0" w:rsidRPr="001D6512" w:rsidRDefault="00D55DE0" w:rsidP="00C81DAB">
            <w:pPr>
              <w:pStyle w:val="TableCell"/>
              <w:spacing w:before="60" w:after="60"/>
            </w:pPr>
            <w:r w:rsidRPr="001D6512">
              <w:t>73   kWh</w:t>
            </w:r>
          </w:p>
        </w:tc>
        <w:tc>
          <w:tcPr>
            <w:tcW w:w="2424" w:type="dxa"/>
            <w:tcBorders>
              <w:top w:val="nil"/>
              <w:left w:val="single" w:sz="4" w:space="0" w:color="auto"/>
              <w:bottom w:val="nil"/>
            </w:tcBorders>
          </w:tcPr>
          <w:p w:rsidR="00D55DE0" w:rsidRPr="001D6512" w:rsidRDefault="00D55DE0" w:rsidP="00C81DAB">
            <w:pPr>
              <w:pStyle w:val="TableCell"/>
              <w:spacing w:before="60" w:after="60"/>
            </w:pPr>
            <w:r w:rsidRPr="001D6512">
              <w:t>0.0098  kW</w:t>
            </w:r>
          </w:p>
        </w:tc>
      </w:tr>
      <w:tr w:rsidR="00D55DE0" w:rsidRPr="00382D2E" w:rsidTr="00C81DAB">
        <w:trPr>
          <w:trHeight w:val="135"/>
          <w:jc w:val="center"/>
        </w:trPr>
        <w:tc>
          <w:tcPr>
            <w:tcW w:w="3794" w:type="dxa"/>
            <w:tcBorders>
              <w:top w:val="nil"/>
              <w:left w:val="single" w:sz="4" w:space="0" w:color="auto"/>
              <w:bottom w:val="nil"/>
              <w:right w:val="single" w:sz="4" w:space="0" w:color="auto"/>
            </w:tcBorders>
          </w:tcPr>
          <w:p w:rsidR="00D55DE0" w:rsidRPr="001D6512" w:rsidRDefault="00D55DE0" w:rsidP="00C81DAB">
            <w:pPr>
              <w:pStyle w:val="TableCell"/>
              <w:spacing w:before="60" w:after="60"/>
            </w:pPr>
            <w:r w:rsidRPr="001D6512">
              <w:t xml:space="preserve">      26-50    images/min</w:t>
            </w:r>
          </w:p>
        </w:tc>
        <w:tc>
          <w:tcPr>
            <w:tcW w:w="2422" w:type="dxa"/>
            <w:tcBorders>
              <w:top w:val="nil"/>
              <w:left w:val="single" w:sz="4" w:space="0" w:color="auto"/>
              <w:bottom w:val="nil"/>
              <w:right w:val="single" w:sz="4" w:space="0" w:color="auto"/>
            </w:tcBorders>
          </w:tcPr>
          <w:p w:rsidR="00D55DE0" w:rsidRPr="001D6512" w:rsidRDefault="00D55DE0" w:rsidP="00C81DAB">
            <w:pPr>
              <w:pStyle w:val="TableCell"/>
              <w:spacing w:before="60" w:after="60"/>
            </w:pPr>
            <w:r w:rsidRPr="001D6512">
              <w:t>151 kWh</w:t>
            </w:r>
          </w:p>
        </w:tc>
        <w:tc>
          <w:tcPr>
            <w:tcW w:w="2424" w:type="dxa"/>
            <w:tcBorders>
              <w:top w:val="nil"/>
              <w:left w:val="single" w:sz="4" w:space="0" w:color="auto"/>
              <w:bottom w:val="nil"/>
            </w:tcBorders>
          </w:tcPr>
          <w:p w:rsidR="00D55DE0" w:rsidRPr="001D6512" w:rsidRDefault="00D55DE0" w:rsidP="00C81DAB">
            <w:pPr>
              <w:pStyle w:val="TableCell"/>
              <w:spacing w:before="60" w:after="60"/>
            </w:pPr>
            <w:r w:rsidRPr="001D6512">
              <w:t>0.0203  kW</w:t>
            </w:r>
          </w:p>
        </w:tc>
      </w:tr>
      <w:tr w:rsidR="00D55DE0" w:rsidRPr="00382D2E" w:rsidTr="00C81DAB">
        <w:trPr>
          <w:jc w:val="center"/>
        </w:trPr>
        <w:tc>
          <w:tcPr>
            <w:tcW w:w="3794" w:type="dxa"/>
            <w:tcBorders>
              <w:top w:val="nil"/>
              <w:left w:val="single" w:sz="4" w:space="0" w:color="auto"/>
              <w:bottom w:val="single" w:sz="4" w:space="0" w:color="auto"/>
              <w:right w:val="single" w:sz="4" w:space="0" w:color="auto"/>
            </w:tcBorders>
          </w:tcPr>
          <w:p w:rsidR="00D55DE0" w:rsidRPr="001D6512" w:rsidRDefault="00D55DE0" w:rsidP="00C81DAB">
            <w:pPr>
              <w:pStyle w:val="TableCell"/>
              <w:spacing w:before="60" w:after="60"/>
            </w:pPr>
            <w:r w:rsidRPr="001D6512">
              <w:t xml:space="preserve">      51+       images/min</w:t>
            </w:r>
          </w:p>
        </w:tc>
        <w:tc>
          <w:tcPr>
            <w:tcW w:w="2422" w:type="dxa"/>
            <w:tcBorders>
              <w:top w:val="nil"/>
              <w:left w:val="single" w:sz="4" w:space="0" w:color="auto"/>
              <w:bottom w:val="single" w:sz="4" w:space="0" w:color="auto"/>
              <w:right w:val="single" w:sz="4" w:space="0" w:color="auto"/>
            </w:tcBorders>
          </w:tcPr>
          <w:p w:rsidR="00D55DE0" w:rsidRPr="001D6512" w:rsidRDefault="00D55DE0" w:rsidP="00C81DAB">
            <w:pPr>
              <w:pStyle w:val="TableCell"/>
              <w:spacing w:before="60" w:after="60"/>
            </w:pPr>
            <w:r w:rsidRPr="001D6512">
              <w:t>162 kWh</w:t>
            </w:r>
          </w:p>
        </w:tc>
        <w:tc>
          <w:tcPr>
            <w:tcW w:w="2424" w:type="dxa"/>
            <w:tcBorders>
              <w:top w:val="nil"/>
              <w:left w:val="single" w:sz="4" w:space="0" w:color="auto"/>
              <w:bottom w:val="single" w:sz="4" w:space="0" w:color="auto"/>
            </w:tcBorders>
          </w:tcPr>
          <w:p w:rsidR="00D55DE0" w:rsidRPr="001D6512" w:rsidRDefault="00D55DE0" w:rsidP="00C81DAB">
            <w:pPr>
              <w:pStyle w:val="TableCell"/>
              <w:spacing w:before="60" w:after="60"/>
            </w:pPr>
            <w:r w:rsidRPr="001D6512">
              <w:t>0.0218  kW</w:t>
            </w:r>
          </w:p>
        </w:tc>
      </w:tr>
      <w:tr w:rsidR="00D55DE0" w:rsidRPr="00382D2E" w:rsidTr="00C81DAB">
        <w:trPr>
          <w:jc w:val="center"/>
        </w:trPr>
        <w:tc>
          <w:tcPr>
            <w:tcW w:w="3794" w:type="dxa"/>
            <w:tcBorders>
              <w:top w:val="single" w:sz="4" w:space="0" w:color="auto"/>
              <w:bottom w:val="nil"/>
            </w:tcBorders>
          </w:tcPr>
          <w:p w:rsidR="00D55DE0" w:rsidRPr="001D6512" w:rsidRDefault="00D55DE0" w:rsidP="00C81DAB">
            <w:pPr>
              <w:pStyle w:val="TableCell"/>
              <w:spacing w:before="60" w:after="60"/>
            </w:pPr>
            <w:r w:rsidRPr="001D6512">
              <w:t>Printer (laser, monochrome)</w:t>
            </w:r>
          </w:p>
        </w:tc>
        <w:tc>
          <w:tcPr>
            <w:tcW w:w="2422" w:type="dxa"/>
            <w:tcBorders>
              <w:top w:val="single" w:sz="4" w:space="0" w:color="auto"/>
              <w:bottom w:val="nil"/>
            </w:tcBorders>
          </w:tcPr>
          <w:p w:rsidR="00D55DE0" w:rsidRPr="001D6512" w:rsidRDefault="00D55DE0" w:rsidP="00C81DAB">
            <w:pPr>
              <w:pStyle w:val="TableCell"/>
              <w:spacing w:before="60" w:after="60"/>
            </w:pPr>
          </w:p>
        </w:tc>
        <w:tc>
          <w:tcPr>
            <w:tcW w:w="2424" w:type="dxa"/>
            <w:tcBorders>
              <w:bottom w:val="nil"/>
            </w:tcBorders>
          </w:tcPr>
          <w:p w:rsidR="00D55DE0" w:rsidRPr="001D6512" w:rsidRDefault="00D55DE0" w:rsidP="00C81DAB">
            <w:pPr>
              <w:pStyle w:val="TableCell"/>
              <w:spacing w:before="60" w:after="60"/>
            </w:pPr>
          </w:p>
        </w:tc>
      </w:tr>
      <w:tr w:rsidR="00D55DE0" w:rsidRPr="00382D2E" w:rsidTr="00C81DAB">
        <w:trPr>
          <w:jc w:val="center"/>
        </w:trPr>
        <w:tc>
          <w:tcPr>
            <w:tcW w:w="3794" w:type="dxa"/>
            <w:tcBorders>
              <w:top w:val="nil"/>
              <w:bottom w:val="nil"/>
            </w:tcBorders>
          </w:tcPr>
          <w:p w:rsidR="00D55DE0" w:rsidRPr="001D6512" w:rsidRDefault="00D55DE0" w:rsidP="00C81DAB">
            <w:pPr>
              <w:pStyle w:val="TableCell"/>
              <w:spacing w:before="60" w:after="60"/>
            </w:pPr>
            <w:r w:rsidRPr="001D6512">
              <w:t xml:space="preserve">      1-10      images/min</w:t>
            </w:r>
          </w:p>
        </w:tc>
        <w:tc>
          <w:tcPr>
            <w:tcW w:w="2422" w:type="dxa"/>
            <w:tcBorders>
              <w:top w:val="nil"/>
              <w:bottom w:val="nil"/>
            </w:tcBorders>
          </w:tcPr>
          <w:p w:rsidR="00D55DE0" w:rsidRPr="001D6512" w:rsidRDefault="00D55DE0" w:rsidP="00C81DAB">
            <w:pPr>
              <w:pStyle w:val="TableCell"/>
              <w:spacing w:before="60" w:after="60"/>
            </w:pPr>
            <w:r w:rsidRPr="001D6512">
              <w:t>26   kWh</w:t>
            </w:r>
          </w:p>
        </w:tc>
        <w:tc>
          <w:tcPr>
            <w:tcW w:w="2424" w:type="dxa"/>
            <w:tcBorders>
              <w:top w:val="nil"/>
              <w:bottom w:val="nil"/>
            </w:tcBorders>
          </w:tcPr>
          <w:p w:rsidR="00D55DE0" w:rsidRPr="001D6512" w:rsidRDefault="00D55DE0" w:rsidP="00C81DAB">
            <w:pPr>
              <w:pStyle w:val="TableCell"/>
              <w:spacing w:before="60" w:after="60"/>
            </w:pPr>
            <w:r w:rsidRPr="001D6512">
              <w:t>0.0035  kW</w:t>
            </w:r>
          </w:p>
        </w:tc>
      </w:tr>
      <w:tr w:rsidR="00D55DE0" w:rsidRPr="00382D2E" w:rsidTr="00C81DAB">
        <w:trPr>
          <w:jc w:val="center"/>
        </w:trPr>
        <w:tc>
          <w:tcPr>
            <w:tcW w:w="3794" w:type="dxa"/>
            <w:tcBorders>
              <w:top w:val="nil"/>
              <w:bottom w:val="nil"/>
            </w:tcBorders>
          </w:tcPr>
          <w:p w:rsidR="00D55DE0" w:rsidRPr="001D6512" w:rsidRDefault="00D55DE0" w:rsidP="00C81DAB">
            <w:pPr>
              <w:pStyle w:val="TableCell"/>
              <w:spacing w:before="60" w:after="60"/>
            </w:pPr>
            <w:r w:rsidRPr="001D6512">
              <w:t xml:space="preserve">      11-20    images/min</w:t>
            </w:r>
          </w:p>
        </w:tc>
        <w:tc>
          <w:tcPr>
            <w:tcW w:w="2422" w:type="dxa"/>
            <w:tcBorders>
              <w:top w:val="nil"/>
              <w:bottom w:val="nil"/>
            </w:tcBorders>
          </w:tcPr>
          <w:p w:rsidR="00D55DE0" w:rsidRPr="001D6512" w:rsidRDefault="00D55DE0" w:rsidP="00C81DAB">
            <w:pPr>
              <w:pStyle w:val="TableCell"/>
              <w:spacing w:before="60" w:after="60"/>
            </w:pPr>
            <w:r w:rsidRPr="001D6512">
              <w:t>73   kWh</w:t>
            </w:r>
          </w:p>
        </w:tc>
        <w:tc>
          <w:tcPr>
            <w:tcW w:w="2424" w:type="dxa"/>
            <w:tcBorders>
              <w:top w:val="nil"/>
              <w:bottom w:val="nil"/>
            </w:tcBorders>
          </w:tcPr>
          <w:p w:rsidR="00D55DE0" w:rsidRPr="001D6512" w:rsidRDefault="00D55DE0" w:rsidP="00C81DAB">
            <w:pPr>
              <w:pStyle w:val="TableCell"/>
              <w:spacing w:before="60" w:after="60"/>
            </w:pPr>
            <w:r w:rsidRPr="001D6512">
              <w:t>0.0098  kW</w:t>
            </w:r>
          </w:p>
        </w:tc>
      </w:tr>
      <w:tr w:rsidR="00D55DE0" w:rsidRPr="00382D2E" w:rsidTr="00C81DAB">
        <w:trPr>
          <w:jc w:val="center"/>
        </w:trPr>
        <w:tc>
          <w:tcPr>
            <w:tcW w:w="3794" w:type="dxa"/>
            <w:tcBorders>
              <w:top w:val="nil"/>
              <w:bottom w:val="nil"/>
            </w:tcBorders>
          </w:tcPr>
          <w:p w:rsidR="00D55DE0" w:rsidRPr="001D6512" w:rsidRDefault="00D55DE0" w:rsidP="00C81DAB">
            <w:pPr>
              <w:pStyle w:val="TableCell"/>
              <w:spacing w:before="60" w:after="60"/>
            </w:pPr>
            <w:r w:rsidRPr="001D6512">
              <w:t xml:space="preserve">      21-30    images/min</w:t>
            </w:r>
          </w:p>
        </w:tc>
        <w:tc>
          <w:tcPr>
            <w:tcW w:w="2422" w:type="dxa"/>
            <w:tcBorders>
              <w:top w:val="nil"/>
              <w:bottom w:val="nil"/>
            </w:tcBorders>
          </w:tcPr>
          <w:p w:rsidR="00D55DE0" w:rsidRPr="001D6512" w:rsidRDefault="00D55DE0" w:rsidP="00C81DAB">
            <w:pPr>
              <w:pStyle w:val="TableCell"/>
              <w:spacing w:before="60" w:after="60"/>
            </w:pPr>
            <w:r w:rsidRPr="001D6512">
              <w:t>104 kWh</w:t>
            </w:r>
          </w:p>
        </w:tc>
        <w:tc>
          <w:tcPr>
            <w:tcW w:w="2424" w:type="dxa"/>
            <w:tcBorders>
              <w:top w:val="nil"/>
              <w:bottom w:val="nil"/>
            </w:tcBorders>
          </w:tcPr>
          <w:p w:rsidR="00D55DE0" w:rsidRPr="001D6512" w:rsidRDefault="00D55DE0" w:rsidP="00C81DAB">
            <w:pPr>
              <w:pStyle w:val="TableCell"/>
              <w:spacing w:before="60" w:after="60"/>
            </w:pPr>
            <w:r w:rsidRPr="001D6512">
              <w:t>0.0140  kW</w:t>
            </w:r>
          </w:p>
        </w:tc>
      </w:tr>
      <w:tr w:rsidR="00D55DE0" w:rsidRPr="00382D2E" w:rsidTr="00C81DAB">
        <w:trPr>
          <w:jc w:val="center"/>
        </w:trPr>
        <w:tc>
          <w:tcPr>
            <w:tcW w:w="3794" w:type="dxa"/>
            <w:tcBorders>
              <w:top w:val="nil"/>
              <w:bottom w:val="nil"/>
            </w:tcBorders>
          </w:tcPr>
          <w:p w:rsidR="00D55DE0" w:rsidRPr="001D6512" w:rsidRDefault="00D55DE0" w:rsidP="00C81DAB">
            <w:pPr>
              <w:pStyle w:val="TableCell"/>
              <w:spacing w:before="60" w:after="60"/>
            </w:pPr>
            <w:r w:rsidRPr="001D6512">
              <w:t xml:space="preserve">      31-40    images/min</w:t>
            </w:r>
          </w:p>
        </w:tc>
        <w:tc>
          <w:tcPr>
            <w:tcW w:w="2422" w:type="dxa"/>
            <w:tcBorders>
              <w:top w:val="nil"/>
              <w:bottom w:val="nil"/>
            </w:tcBorders>
          </w:tcPr>
          <w:p w:rsidR="00D55DE0" w:rsidRPr="001D6512" w:rsidRDefault="00D55DE0" w:rsidP="00C81DAB">
            <w:pPr>
              <w:pStyle w:val="TableCell"/>
              <w:spacing w:before="60" w:after="60"/>
            </w:pPr>
            <w:r w:rsidRPr="001D6512">
              <w:t>156 kWh</w:t>
            </w:r>
          </w:p>
        </w:tc>
        <w:tc>
          <w:tcPr>
            <w:tcW w:w="2424" w:type="dxa"/>
            <w:tcBorders>
              <w:top w:val="nil"/>
              <w:bottom w:val="nil"/>
            </w:tcBorders>
          </w:tcPr>
          <w:p w:rsidR="00D55DE0" w:rsidRPr="001D6512" w:rsidRDefault="00D55DE0" w:rsidP="00C81DAB">
            <w:pPr>
              <w:pStyle w:val="TableCell"/>
              <w:spacing w:before="60" w:after="60"/>
            </w:pPr>
            <w:r w:rsidRPr="001D6512">
              <w:t>0.0210  kW</w:t>
            </w:r>
          </w:p>
        </w:tc>
      </w:tr>
      <w:tr w:rsidR="00D55DE0" w:rsidRPr="00382D2E" w:rsidTr="00C81DAB">
        <w:trPr>
          <w:jc w:val="center"/>
        </w:trPr>
        <w:tc>
          <w:tcPr>
            <w:tcW w:w="3794" w:type="dxa"/>
            <w:tcBorders>
              <w:top w:val="nil"/>
              <w:bottom w:val="nil"/>
            </w:tcBorders>
          </w:tcPr>
          <w:p w:rsidR="00D55DE0" w:rsidRPr="001D6512" w:rsidRDefault="00D55DE0" w:rsidP="00C81DAB">
            <w:pPr>
              <w:pStyle w:val="TableCell"/>
              <w:spacing w:before="60" w:after="60"/>
            </w:pPr>
            <w:r w:rsidRPr="001D6512">
              <w:t xml:space="preserve">      41-50    images/min</w:t>
            </w:r>
          </w:p>
        </w:tc>
        <w:tc>
          <w:tcPr>
            <w:tcW w:w="2422" w:type="dxa"/>
            <w:tcBorders>
              <w:top w:val="nil"/>
              <w:bottom w:val="nil"/>
            </w:tcBorders>
          </w:tcPr>
          <w:p w:rsidR="00D55DE0" w:rsidRPr="001D6512" w:rsidRDefault="00D55DE0" w:rsidP="00C81DAB">
            <w:pPr>
              <w:pStyle w:val="TableCell"/>
              <w:spacing w:before="60" w:after="60"/>
            </w:pPr>
            <w:r w:rsidRPr="001D6512">
              <w:t>133 kWh</w:t>
            </w:r>
          </w:p>
        </w:tc>
        <w:tc>
          <w:tcPr>
            <w:tcW w:w="2424" w:type="dxa"/>
            <w:tcBorders>
              <w:top w:val="nil"/>
              <w:bottom w:val="nil"/>
            </w:tcBorders>
          </w:tcPr>
          <w:p w:rsidR="00D55DE0" w:rsidRPr="001D6512" w:rsidRDefault="00D55DE0" w:rsidP="00C81DAB">
            <w:pPr>
              <w:pStyle w:val="TableCell"/>
              <w:spacing w:before="60" w:after="60"/>
            </w:pPr>
            <w:r w:rsidRPr="001D6512">
              <w:t>0.0179  kW</w:t>
            </w:r>
          </w:p>
        </w:tc>
      </w:tr>
      <w:tr w:rsidR="00D55DE0" w:rsidRPr="00382D2E" w:rsidTr="00C81DAB">
        <w:trPr>
          <w:jc w:val="center"/>
        </w:trPr>
        <w:tc>
          <w:tcPr>
            <w:tcW w:w="3794" w:type="dxa"/>
            <w:tcBorders>
              <w:top w:val="nil"/>
              <w:bottom w:val="single" w:sz="4" w:space="0" w:color="auto"/>
            </w:tcBorders>
          </w:tcPr>
          <w:p w:rsidR="00D55DE0" w:rsidRPr="001D6512" w:rsidRDefault="00D55DE0" w:rsidP="00C81DAB">
            <w:pPr>
              <w:pStyle w:val="TableCell"/>
              <w:spacing w:before="60" w:after="60"/>
            </w:pPr>
            <w:r w:rsidRPr="001D6512">
              <w:t xml:space="preserve">      51+       images/min</w:t>
            </w:r>
          </w:p>
        </w:tc>
        <w:tc>
          <w:tcPr>
            <w:tcW w:w="2422" w:type="dxa"/>
            <w:tcBorders>
              <w:top w:val="nil"/>
              <w:bottom w:val="single" w:sz="4" w:space="0" w:color="auto"/>
            </w:tcBorders>
          </w:tcPr>
          <w:p w:rsidR="00D55DE0" w:rsidRPr="001D6512" w:rsidRDefault="00D55DE0" w:rsidP="00C81DAB">
            <w:pPr>
              <w:pStyle w:val="TableCell"/>
              <w:spacing w:before="60" w:after="60"/>
            </w:pPr>
            <w:r w:rsidRPr="001D6512">
              <w:t>329 kWh</w:t>
            </w:r>
          </w:p>
        </w:tc>
        <w:tc>
          <w:tcPr>
            <w:tcW w:w="2424" w:type="dxa"/>
            <w:tcBorders>
              <w:top w:val="nil"/>
              <w:bottom w:val="single" w:sz="4" w:space="0" w:color="auto"/>
            </w:tcBorders>
          </w:tcPr>
          <w:p w:rsidR="00D55DE0" w:rsidRPr="001D6512" w:rsidRDefault="00D55DE0" w:rsidP="00C81DAB">
            <w:pPr>
              <w:pStyle w:val="TableCell"/>
              <w:spacing w:before="60" w:after="60"/>
            </w:pPr>
            <w:r w:rsidRPr="001D6512">
              <w:t>0.0443  kW</w:t>
            </w:r>
          </w:p>
        </w:tc>
      </w:tr>
      <w:tr w:rsidR="00D55DE0" w:rsidRPr="00382D2E" w:rsidTr="00C81DAB">
        <w:trPr>
          <w:jc w:val="center"/>
        </w:trPr>
        <w:tc>
          <w:tcPr>
            <w:tcW w:w="3794" w:type="dxa"/>
            <w:tcBorders>
              <w:bottom w:val="nil"/>
            </w:tcBorders>
          </w:tcPr>
          <w:p w:rsidR="00D55DE0" w:rsidRPr="001D6512" w:rsidRDefault="00D55DE0" w:rsidP="00C81DAB">
            <w:pPr>
              <w:pStyle w:val="TableCell"/>
              <w:spacing w:before="60" w:after="60"/>
            </w:pPr>
            <w:r w:rsidRPr="001D6512">
              <w:t>Multifunction (laser, monochrome)</w:t>
            </w:r>
          </w:p>
        </w:tc>
        <w:tc>
          <w:tcPr>
            <w:tcW w:w="2422" w:type="dxa"/>
            <w:tcBorders>
              <w:bottom w:val="nil"/>
            </w:tcBorders>
          </w:tcPr>
          <w:p w:rsidR="00D55DE0" w:rsidRPr="001D6512" w:rsidRDefault="00D55DE0" w:rsidP="00C81DAB">
            <w:pPr>
              <w:pStyle w:val="TableCell"/>
              <w:spacing w:before="60" w:after="60"/>
            </w:pPr>
          </w:p>
        </w:tc>
        <w:tc>
          <w:tcPr>
            <w:tcW w:w="2424" w:type="dxa"/>
            <w:tcBorders>
              <w:bottom w:val="nil"/>
            </w:tcBorders>
          </w:tcPr>
          <w:p w:rsidR="00D55DE0" w:rsidRPr="001D6512" w:rsidRDefault="00D55DE0" w:rsidP="00C81DAB">
            <w:pPr>
              <w:pStyle w:val="TableCell"/>
              <w:spacing w:before="60" w:after="60"/>
            </w:pPr>
          </w:p>
        </w:tc>
      </w:tr>
      <w:tr w:rsidR="00D55DE0" w:rsidRPr="00382D2E" w:rsidTr="00C81DAB">
        <w:trPr>
          <w:jc w:val="center"/>
        </w:trPr>
        <w:tc>
          <w:tcPr>
            <w:tcW w:w="3794" w:type="dxa"/>
            <w:tcBorders>
              <w:top w:val="nil"/>
              <w:bottom w:val="nil"/>
            </w:tcBorders>
          </w:tcPr>
          <w:p w:rsidR="00D55DE0" w:rsidRPr="001D6512" w:rsidRDefault="00D55DE0" w:rsidP="00C81DAB">
            <w:pPr>
              <w:pStyle w:val="TableCell"/>
              <w:spacing w:before="60" w:after="60"/>
            </w:pPr>
            <w:r w:rsidRPr="001D6512">
              <w:t xml:space="preserve">      1-10      images/min</w:t>
            </w:r>
          </w:p>
        </w:tc>
        <w:tc>
          <w:tcPr>
            <w:tcW w:w="2422" w:type="dxa"/>
            <w:tcBorders>
              <w:top w:val="nil"/>
              <w:bottom w:val="nil"/>
            </w:tcBorders>
          </w:tcPr>
          <w:p w:rsidR="00D55DE0" w:rsidRPr="001D6512" w:rsidRDefault="00D55DE0" w:rsidP="00C81DAB">
            <w:pPr>
              <w:pStyle w:val="TableCell"/>
              <w:spacing w:before="60" w:after="60"/>
            </w:pPr>
            <w:r w:rsidRPr="001D6512">
              <w:t>78   kWh</w:t>
            </w:r>
          </w:p>
        </w:tc>
        <w:tc>
          <w:tcPr>
            <w:tcW w:w="2424" w:type="dxa"/>
            <w:tcBorders>
              <w:top w:val="nil"/>
              <w:bottom w:val="nil"/>
            </w:tcBorders>
          </w:tcPr>
          <w:p w:rsidR="00D55DE0" w:rsidRPr="001D6512" w:rsidRDefault="00D55DE0" w:rsidP="00C81DAB">
            <w:pPr>
              <w:pStyle w:val="TableCell"/>
              <w:spacing w:before="60" w:after="60"/>
            </w:pPr>
            <w:r w:rsidRPr="001D6512">
              <w:t>0.0105  kW</w:t>
            </w:r>
          </w:p>
        </w:tc>
      </w:tr>
      <w:tr w:rsidR="00D55DE0" w:rsidRPr="00382D2E" w:rsidTr="00C81DAB">
        <w:trPr>
          <w:jc w:val="center"/>
        </w:trPr>
        <w:tc>
          <w:tcPr>
            <w:tcW w:w="3794" w:type="dxa"/>
            <w:tcBorders>
              <w:top w:val="nil"/>
              <w:bottom w:val="nil"/>
            </w:tcBorders>
          </w:tcPr>
          <w:p w:rsidR="00D55DE0" w:rsidRPr="001D6512" w:rsidRDefault="00D55DE0" w:rsidP="00C81DAB">
            <w:pPr>
              <w:pStyle w:val="TableCell"/>
              <w:spacing w:before="60" w:after="60"/>
            </w:pPr>
            <w:r w:rsidRPr="001D6512">
              <w:t xml:space="preserve">      11-20    images/min</w:t>
            </w:r>
          </w:p>
        </w:tc>
        <w:tc>
          <w:tcPr>
            <w:tcW w:w="2422" w:type="dxa"/>
            <w:tcBorders>
              <w:top w:val="nil"/>
              <w:bottom w:val="nil"/>
            </w:tcBorders>
          </w:tcPr>
          <w:p w:rsidR="00D55DE0" w:rsidRPr="001D6512" w:rsidRDefault="00D55DE0" w:rsidP="00C81DAB">
            <w:pPr>
              <w:pStyle w:val="TableCell"/>
              <w:spacing w:before="60" w:after="60"/>
            </w:pPr>
            <w:r w:rsidRPr="001D6512">
              <w:t>147 kWh</w:t>
            </w:r>
          </w:p>
        </w:tc>
        <w:tc>
          <w:tcPr>
            <w:tcW w:w="2424" w:type="dxa"/>
            <w:tcBorders>
              <w:top w:val="nil"/>
              <w:bottom w:val="nil"/>
            </w:tcBorders>
          </w:tcPr>
          <w:p w:rsidR="00D55DE0" w:rsidRPr="001D6512" w:rsidRDefault="00D55DE0" w:rsidP="00C81DAB">
            <w:pPr>
              <w:pStyle w:val="TableCell"/>
              <w:spacing w:before="60" w:after="60"/>
            </w:pPr>
            <w:r w:rsidRPr="001D6512">
              <w:t>0.0198  kW</w:t>
            </w:r>
          </w:p>
        </w:tc>
      </w:tr>
      <w:tr w:rsidR="00D55DE0" w:rsidRPr="00382D2E" w:rsidTr="00C81DAB">
        <w:trPr>
          <w:jc w:val="center"/>
        </w:trPr>
        <w:tc>
          <w:tcPr>
            <w:tcW w:w="3794" w:type="dxa"/>
            <w:tcBorders>
              <w:top w:val="nil"/>
              <w:bottom w:val="nil"/>
            </w:tcBorders>
          </w:tcPr>
          <w:p w:rsidR="00D55DE0" w:rsidRPr="001D6512" w:rsidRDefault="00D55DE0" w:rsidP="00C81DAB">
            <w:pPr>
              <w:pStyle w:val="TableCell"/>
              <w:spacing w:before="60" w:after="60"/>
            </w:pPr>
            <w:r w:rsidRPr="001D6512">
              <w:t xml:space="preserve">      21-44    images/min</w:t>
            </w:r>
          </w:p>
        </w:tc>
        <w:tc>
          <w:tcPr>
            <w:tcW w:w="2422" w:type="dxa"/>
            <w:tcBorders>
              <w:top w:val="nil"/>
              <w:bottom w:val="nil"/>
            </w:tcBorders>
          </w:tcPr>
          <w:p w:rsidR="00D55DE0" w:rsidRPr="001D6512" w:rsidRDefault="00D55DE0" w:rsidP="00C81DAB">
            <w:pPr>
              <w:pStyle w:val="TableCell"/>
              <w:spacing w:before="60" w:after="60"/>
            </w:pPr>
            <w:r w:rsidRPr="001D6512">
              <w:t>253 kWh</w:t>
            </w:r>
          </w:p>
        </w:tc>
        <w:tc>
          <w:tcPr>
            <w:tcW w:w="2424" w:type="dxa"/>
            <w:tcBorders>
              <w:top w:val="nil"/>
              <w:bottom w:val="nil"/>
            </w:tcBorders>
          </w:tcPr>
          <w:p w:rsidR="00D55DE0" w:rsidRPr="001D6512" w:rsidRDefault="00D55DE0" w:rsidP="00C81DAB">
            <w:pPr>
              <w:pStyle w:val="TableCell"/>
              <w:spacing w:before="60" w:after="60"/>
            </w:pPr>
            <w:r w:rsidRPr="001D6512">
              <w:t>0.0341  kW</w:t>
            </w:r>
          </w:p>
        </w:tc>
      </w:tr>
      <w:tr w:rsidR="00D55DE0" w:rsidRPr="00382D2E" w:rsidTr="00C81DAB">
        <w:trPr>
          <w:jc w:val="center"/>
        </w:trPr>
        <w:tc>
          <w:tcPr>
            <w:tcW w:w="3794" w:type="dxa"/>
            <w:tcBorders>
              <w:top w:val="nil"/>
              <w:bottom w:val="nil"/>
            </w:tcBorders>
          </w:tcPr>
          <w:p w:rsidR="00D55DE0" w:rsidRPr="001D6512" w:rsidRDefault="00D55DE0" w:rsidP="00C81DAB">
            <w:pPr>
              <w:pStyle w:val="TableCell"/>
              <w:spacing w:before="60" w:after="60"/>
            </w:pPr>
            <w:r w:rsidRPr="001D6512">
              <w:t xml:space="preserve">      45-99    images/min</w:t>
            </w:r>
          </w:p>
        </w:tc>
        <w:tc>
          <w:tcPr>
            <w:tcW w:w="2422" w:type="dxa"/>
            <w:tcBorders>
              <w:top w:val="nil"/>
              <w:bottom w:val="nil"/>
            </w:tcBorders>
          </w:tcPr>
          <w:p w:rsidR="00D55DE0" w:rsidRPr="001D6512" w:rsidRDefault="00D55DE0" w:rsidP="00C81DAB">
            <w:pPr>
              <w:pStyle w:val="TableCell"/>
              <w:spacing w:before="60" w:after="60"/>
            </w:pPr>
            <w:r w:rsidRPr="001D6512">
              <w:t>422 kWh</w:t>
            </w:r>
          </w:p>
        </w:tc>
        <w:tc>
          <w:tcPr>
            <w:tcW w:w="2424" w:type="dxa"/>
            <w:tcBorders>
              <w:top w:val="nil"/>
              <w:bottom w:val="nil"/>
            </w:tcBorders>
          </w:tcPr>
          <w:p w:rsidR="00D55DE0" w:rsidRPr="001D6512" w:rsidRDefault="00D55DE0" w:rsidP="00C81DAB">
            <w:pPr>
              <w:pStyle w:val="TableCell"/>
              <w:spacing w:before="60" w:after="60"/>
            </w:pPr>
            <w:r w:rsidRPr="001D6512">
              <w:t>0.0569  kW</w:t>
            </w:r>
          </w:p>
        </w:tc>
      </w:tr>
      <w:tr w:rsidR="00D55DE0" w:rsidRPr="00382D2E" w:rsidTr="00C81DAB">
        <w:trPr>
          <w:jc w:val="center"/>
        </w:trPr>
        <w:tc>
          <w:tcPr>
            <w:tcW w:w="3794" w:type="dxa"/>
            <w:tcBorders>
              <w:top w:val="nil"/>
            </w:tcBorders>
          </w:tcPr>
          <w:p w:rsidR="00D55DE0" w:rsidRPr="001D6512" w:rsidRDefault="00D55DE0" w:rsidP="00C81DAB">
            <w:pPr>
              <w:pStyle w:val="TableCell"/>
              <w:spacing w:before="60" w:after="60"/>
            </w:pPr>
            <w:r w:rsidRPr="001D6512">
              <w:t xml:space="preserve">      100+     images/min</w:t>
            </w:r>
          </w:p>
        </w:tc>
        <w:tc>
          <w:tcPr>
            <w:tcW w:w="2422" w:type="dxa"/>
            <w:tcBorders>
              <w:top w:val="nil"/>
            </w:tcBorders>
          </w:tcPr>
          <w:p w:rsidR="00D55DE0" w:rsidRPr="001D6512" w:rsidRDefault="00D55DE0" w:rsidP="00C81DAB">
            <w:pPr>
              <w:pStyle w:val="TableCell"/>
              <w:spacing w:before="60" w:after="60"/>
            </w:pPr>
            <w:r w:rsidRPr="001D6512">
              <w:t>730 kWh</w:t>
            </w:r>
          </w:p>
        </w:tc>
        <w:tc>
          <w:tcPr>
            <w:tcW w:w="2424" w:type="dxa"/>
            <w:tcBorders>
              <w:top w:val="nil"/>
            </w:tcBorders>
          </w:tcPr>
          <w:p w:rsidR="00D55DE0" w:rsidRPr="001D6512" w:rsidRDefault="00D55DE0" w:rsidP="00C81DAB">
            <w:pPr>
              <w:pStyle w:val="TableCell"/>
              <w:spacing w:before="60" w:after="60"/>
            </w:pPr>
            <w:r w:rsidRPr="001D6512">
              <w:t>0.0984  kW</w:t>
            </w:r>
          </w:p>
        </w:tc>
      </w:tr>
      <w:tr w:rsidR="00D55DE0" w:rsidRPr="00382D2E" w:rsidTr="00C81DAB">
        <w:trPr>
          <w:jc w:val="center"/>
        </w:trPr>
        <w:tc>
          <w:tcPr>
            <w:tcW w:w="3794" w:type="dxa"/>
          </w:tcPr>
          <w:p w:rsidR="00D55DE0" w:rsidRPr="001D6512" w:rsidRDefault="00D55DE0" w:rsidP="00C81DAB">
            <w:pPr>
              <w:pStyle w:val="TableCell"/>
              <w:spacing w:before="60" w:after="60"/>
            </w:pPr>
            <w:r w:rsidRPr="001D6512">
              <w:t>Monitor</w:t>
            </w:r>
          </w:p>
        </w:tc>
        <w:tc>
          <w:tcPr>
            <w:tcW w:w="2422" w:type="dxa"/>
          </w:tcPr>
          <w:p w:rsidR="00D55DE0" w:rsidRPr="001D6512" w:rsidRDefault="00D55DE0" w:rsidP="008C3C19">
            <w:pPr>
              <w:pStyle w:val="TableCell"/>
              <w:spacing w:before="60" w:after="60"/>
            </w:pPr>
            <w:r w:rsidRPr="001D6512">
              <w:t>1</w:t>
            </w:r>
            <w:r w:rsidR="008C3C19" w:rsidRPr="001D6512">
              <w:t>4</w:t>
            </w:r>
            <w:r w:rsidRPr="001D6512">
              <w:t xml:space="preserve">   kWh</w:t>
            </w:r>
          </w:p>
        </w:tc>
        <w:tc>
          <w:tcPr>
            <w:tcW w:w="2424" w:type="dxa"/>
          </w:tcPr>
          <w:p w:rsidR="00D55DE0" w:rsidRPr="001D6512" w:rsidRDefault="00D55DE0" w:rsidP="008C3C19">
            <w:pPr>
              <w:pStyle w:val="TableCell"/>
              <w:spacing w:before="60" w:after="60"/>
            </w:pPr>
            <w:r w:rsidRPr="001D6512">
              <w:t>0.00</w:t>
            </w:r>
            <w:r w:rsidR="008C3C19" w:rsidRPr="001D6512">
              <w:t>19</w:t>
            </w:r>
            <w:r w:rsidRPr="001D6512">
              <w:t xml:space="preserve">  kW</w:t>
            </w:r>
          </w:p>
        </w:tc>
      </w:tr>
    </w:tbl>
    <w:p w:rsidR="00D55DE0" w:rsidRDefault="00D55DE0" w:rsidP="00D55DE0">
      <w:pPr>
        <w:spacing w:after="0"/>
        <w:ind w:firstLine="720"/>
        <w:rPr>
          <w:rStyle w:val="Strong"/>
          <w:b w:val="0"/>
        </w:rPr>
      </w:pPr>
    </w:p>
    <w:p w:rsidR="00D55DE0" w:rsidRPr="00277FD6" w:rsidRDefault="00D55DE0" w:rsidP="00D55DE0">
      <w:pPr>
        <w:rPr>
          <w:rStyle w:val="Strong"/>
        </w:rPr>
      </w:pPr>
      <w:r w:rsidRPr="00277FD6">
        <w:rPr>
          <w:rStyle w:val="Strong"/>
        </w:rPr>
        <w:t xml:space="preserve">Sources: </w:t>
      </w:r>
    </w:p>
    <w:p w:rsidR="00D55DE0" w:rsidRPr="000C071D" w:rsidRDefault="00D55DE0" w:rsidP="0005632A">
      <w:pPr>
        <w:pStyle w:val="source1"/>
        <w:numPr>
          <w:ilvl w:val="0"/>
          <w:numId w:val="60"/>
        </w:numPr>
      </w:pPr>
      <w:r w:rsidRPr="000C071D">
        <w:rPr>
          <w:rStyle w:val="Strong"/>
          <w:b w:val="0"/>
        </w:rPr>
        <w:t>ENERGYSTAR office equipment calculators</w:t>
      </w:r>
    </w:p>
    <w:p w:rsidR="00500CAF" w:rsidRPr="001C4AD5" w:rsidRDefault="00500CAF" w:rsidP="00500CAF">
      <w:pPr>
        <w:pStyle w:val="Heading2"/>
      </w:pPr>
      <w:r>
        <w:br w:type="page"/>
      </w:r>
      <w:bookmarkStart w:id="468" w:name="_Toc310875431"/>
      <w:r w:rsidRPr="00A62807">
        <w:lastRenderedPageBreak/>
        <w:t>ENERGY STAR LEDs</w:t>
      </w:r>
      <w:bookmarkEnd w:id="468"/>
    </w:p>
    <w:p w:rsidR="003021FB" w:rsidRDefault="00500CAF">
      <w:r w:rsidRPr="00D82D1A">
        <w:t xml:space="preserve">This </w:t>
      </w:r>
      <w:r>
        <w:t xml:space="preserve">protocol documents the energy and demand savings attributed to </w:t>
      </w:r>
      <w:r w:rsidRPr="00D82D1A">
        <w:t>replac</w:t>
      </w:r>
      <w:r>
        <w:t xml:space="preserve">ing standard incandescent lamps and fixtures in </w:t>
      </w:r>
      <w:r w:rsidRPr="00D82D1A">
        <w:t xml:space="preserve">residential </w:t>
      </w:r>
      <w:r>
        <w:t xml:space="preserve">applications </w:t>
      </w:r>
      <w:r w:rsidRPr="00D82D1A">
        <w:t xml:space="preserve">with </w:t>
      </w:r>
      <w:r w:rsidRPr="0072566C">
        <w:t>ENERGY STAR</w:t>
      </w:r>
      <w:r>
        <w:t>®</w:t>
      </w:r>
      <w:r w:rsidRPr="00D82D1A">
        <w:t xml:space="preserve"> LED lamps</w:t>
      </w:r>
      <w:r>
        <w:t>, retrofit kits, and fixtures</w:t>
      </w:r>
      <w:r w:rsidRPr="00D82D1A">
        <w:t>.</w:t>
      </w:r>
      <w:r w:rsidRPr="001E72A7">
        <w:t xml:space="preserve"> </w:t>
      </w:r>
      <w:r>
        <w:t xml:space="preserve">LEDs </w:t>
      </w:r>
      <w:r w:rsidRPr="00D82D1A">
        <w:t xml:space="preserve">provide an efficient alternative to incandescent </w:t>
      </w:r>
      <w:r>
        <w:t>lighting.</w:t>
      </w:r>
      <w:r w:rsidR="004D5CFB">
        <w:t xml:space="preserve"> </w:t>
      </w:r>
      <w:r>
        <w:t xml:space="preserve">The </w:t>
      </w:r>
      <w:r w:rsidRPr="00D82D1A">
        <w:t xml:space="preserve">ENERGY STAR </w:t>
      </w:r>
      <w:r>
        <w:t xml:space="preserve">program began labeling qualified LED products in the latter half of 2010. </w:t>
      </w:r>
    </w:p>
    <w:p w:rsidR="00184796" w:rsidRDefault="00500CAF" w:rsidP="003021FB">
      <w:pPr>
        <w:pStyle w:val="Heading3"/>
      </w:pPr>
      <w:r w:rsidRPr="00585BF4">
        <w:t>Eligibility Requirements</w:t>
      </w:r>
    </w:p>
    <w:p w:rsidR="00500CAF" w:rsidRDefault="00500CAF" w:rsidP="00500CAF">
      <w:r>
        <w:t xml:space="preserve">All LED lamps, retrofit kits and fixtures must be:  </w:t>
      </w:r>
    </w:p>
    <w:p w:rsidR="00500CAF" w:rsidRDefault="00500CAF" w:rsidP="0005632A">
      <w:pPr>
        <w:pStyle w:val="ListParagraph"/>
        <w:numPr>
          <w:ilvl w:val="0"/>
          <w:numId w:val="102"/>
        </w:numPr>
        <w:overflowPunct/>
        <w:autoSpaceDE/>
        <w:autoSpaceDN/>
        <w:adjustRightInd/>
        <w:spacing w:after="200" w:line="276" w:lineRule="auto"/>
        <w:contextualSpacing/>
        <w:textAlignment w:val="auto"/>
      </w:pPr>
      <w:r>
        <w:rPr>
          <w:b/>
        </w:rPr>
        <w:t>ENERGY STAR</w:t>
      </w:r>
      <w:r w:rsidRPr="00794FEE">
        <w:rPr>
          <w:b/>
        </w:rPr>
        <w:t xml:space="preserve"> </w:t>
      </w:r>
      <w:r>
        <w:rPr>
          <w:b/>
        </w:rPr>
        <w:t>qualified</w:t>
      </w:r>
      <w:r w:rsidRPr="00794FEE">
        <w:rPr>
          <w:rStyle w:val="FootnoteReference"/>
          <w:b/>
        </w:rPr>
        <w:footnoteReference w:id="107"/>
      </w:r>
      <w:r>
        <w:t xml:space="preserve"> – Criteria for ENERGY STAR qualified LED products vary by product type and include specifications for: light output (lumens), efficacy (lumens per Watt), zonal lumen density, Correlated Color Temperature (CCT), lumen maintenance (lifetime), Color Rendering Index (CRI),  and power factor, among others. LED bulbs also have three-year (or longer) warranties covering material repair or replacement from the date of purchase and must turn on instantly (have no warm-up time),</w:t>
      </w:r>
    </w:p>
    <w:p w:rsidR="00500CAF" w:rsidRDefault="00500CAF" w:rsidP="0005632A">
      <w:pPr>
        <w:pStyle w:val="ListParagraph"/>
        <w:numPr>
          <w:ilvl w:val="0"/>
          <w:numId w:val="102"/>
        </w:numPr>
        <w:overflowPunct/>
        <w:autoSpaceDE/>
        <w:autoSpaceDN/>
        <w:adjustRightInd/>
        <w:spacing w:after="200" w:line="276" w:lineRule="auto"/>
        <w:contextualSpacing/>
        <w:textAlignment w:val="auto"/>
      </w:pPr>
      <w:r w:rsidRPr="00794FEE">
        <w:rPr>
          <w:b/>
        </w:rPr>
        <w:t xml:space="preserve">Lighting Facts </w:t>
      </w:r>
      <w:r>
        <w:rPr>
          <w:b/>
        </w:rPr>
        <w:t>l</w:t>
      </w:r>
      <w:r w:rsidRPr="00794FEE">
        <w:rPr>
          <w:b/>
        </w:rPr>
        <w:t>abel</w:t>
      </w:r>
      <w:r>
        <w:rPr>
          <w:b/>
        </w:rPr>
        <w:t>ed</w:t>
      </w:r>
      <w:r w:rsidRPr="00794FEE">
        <w:rPr>
          <w:rStyle w:val="FootnoteReference"/>
          <w:b/>
        </w:rPr>
        <w:footnoteReference w:id="108"/>
      </w:r>
      <w:r>
        <w:t xml:space="preserve"> - Contains the manufacturer’s voluntary pledge that the product’s performance is accurately represented in the market. Through this DOE-sponsored program, the manufacturer discloses the product’s light output, efficacy, </w:t>
      </w:r>
      <w:smartTag w:uri="urn:schemas-microsoft-com:office:smarttags" w:element="place">
        <w:r>
          <w:t>Watts</w:t>
        </w:r>
      </w:smartTag>
      <w:r>
        <w:t>, CCT, and CFI as measured by the IES LM-79-2008 testing procedure.</w:t>
      </w:r>
    </w:p>
    <w:p w:rsidR="00500CAF" w:rsidRDefault="00500CAF" w:rsidP="0005632A">
      <w:pPr>
        <w:pStyle w:val="ListParagraph"/>
        <w:numPr>
          <w:ilvl w:val="0"/>
          <w:numId w:val="102"/>
        </w:numPr>
        <w:overflowPunct/>
        <w:autoSpaceDE/>
        <w:autoSpaceDN/>
        <w:adjustRightInd/>
        <w:spacing w:after="200" w:line="276" w:lineRule="auto"/>
        <w:contextualSpacing/>
        <w:textAlignment w:val="auto"/>
      </w:pPr>
      <w:r w:rsidRPr="00794FEE">
        <w:rPr>
          <w:b/>
        </w:rPr>
        <w:t>Dimmable</w:t>
      </w:r>
      <w:r>
        <w:t xml:space="preserve"> – product has dimming capability that is stated on the product package</w:t>
      </w:r>
    </w:p>
    <w:p w:rsidR="00500CAF" w:rsidRPr="001C4AD5" w:rsidRDefault="00500CAF" w:rsidP="00500CAF">
      <w:pPr>
        <w:pStyle w:val="Heading3"/>
      </w:pPr>
      <w:r w:rsidRPr="001C4AD5">
        <w:t>Algorithms</w:t>
      </w:r>
    </w:p>
    <w:p w:rsidR="00500CAF" w:rsidRDefault="00500CAF" w:rsidP="00500CAF">
      <w:r w:rsidRPr="00D82D1A">
        <w:t xml:space="preserve">The </w:t>
      </w:r>
      <w:r>
        <w:t xml:space="preserve">LED </w:t>
      </w:r>
      <w:r w:rsidRPr="00D82D1A">
        <w:t>measure savings are based on the</w:t>
      </w:r>
      <w:r>
        <w:t xml:space="preserve"> algorithms </w:t>
      </w:r>
      <w:r w:rsidRPr="00D82D1A">
        <w:t>in</w:t>
      </w:r>
      <w:r>
        <w:t xml:space="preserve"> Section </w:t>
      </w:r>
      <w:r w:rsidR="007A1FB6">
        <w:fldChar w:fldCharType="begin"/>
      </w:r>
      <w:r>
        <w:instrText xml:space="preserve"> REF _Ref303086637 \r \h </w:instrText>
      </w:r>
      <w:r w:rsidR="007A1FB6">
        <w:fldChar w:fldCharType="separate"/>
      </w:r>
      <w:r w:rsidR="00C0292F">
        <w:t>2.26</w:t>
      </w:r>
      <w:r w:rsidR="007A1FB6">
        <w:fldChar w:fldCharType="end"/>
      </w:r>
      <w:r>
        <w:t xml:space="preserve">, but include several </w:t>
      </w:r>
      <w:r w:rsidRPr="00D82D1A">
        <w:t xml:space="preserve">adjustments.  </w:t>
      </w:r>
      <w:r>
        <w:t>Due to the wide range of efficacy (lumens/</w:t>
      </w:r>
      <w:r w:rsidR="004D5CFB">
        <w:t>w</w:t>
      </w:r>
      <w:r>
        <w:t xml:space="preserve">att) for LEDs, and the resulting difficulty in determining equivalent incandescent bulb wattages, the savings algorithms for LED products are grouped by the lumen ranges given in EISA 2007. </w:t>
      </w:r>
    </w:p>
    <w:p w:rsidR="00500CAF" w:rsidRDefault="00500CAF" w:rsidP="003021FB">
      <w:pPr>
        <w:pStyle w:val="Heading4"/>
        <w:keepNext w:val="0"/>
      </w:pPr>
      <w:r w:rsidRPr="00350600">
        <w:t>GENERAL SERVICE LAMPS</w:t>
      </w:r>
    </w:p>
    <w:p w:rsidR="00500CAF" w:rsidRPr="009D5FF1" w:rsidRDefault="007A1FB6" w:rsidP="003021FB">
      <w:r>
        <w:fldChar w:fldCharType="begin"/>
      </w:r>
      <w:r w:rsidR="00500CAF">
        <w:instrText xml:space="preserve"> REF _Ref303086685 \h </w:instrText>
      </w:r>
      <w:r>
        <w:fldChar w:fldCharType="separate"/>
      </w:r>
      <w:r w:rsidR="00C0292F" w:rsidRPr="0042295A">
        <w:t xml:space="preserve">Table </w:t>
      </w:r>
      <w:r w:rsidR="00C0292F">
        <w:rPr>
          <w:noProof/>
        </w:rPr>
        <w:t>2</w:t>
      </w:r>
      <w:r w:rsidR="00C0292F">
        <w:noBreakHyphen/>
      </w:r>
      <w:r w:rsidR="00C0292F">
        <w:rPr>
          <w:noProof/>
        </w:rPr>
        <w:t>52</w:t>
      </w:r>
      <w:r>
        <w:fldChar w:fldCharType="end"/>
      </w:r>
      <w:r w:rsidR="00500CAF" w:rsidRPr="00F95F23">
        <w:t xml:space="preserve"> shows lumen ranges and incandescent lamp equivalents for general service LEDs</w:t>
      </w:r>
      <w:r w:rsidR="00500CAF" w:rsidRPr="009D5FF1">
        <w:t>;</w:t>
      </w:r>
      <w:r w:rsidR="00500CAF" w:rsidRPr="009D5FF1">
        <w:rPr>
          <w:rStyle w:val="FootnoteReference"/>
          <w:rFonts w:ascii="Palatino Linotype" w:hAnsi="Palatino Linotype"/>
          <w:b/>
        </w:rPr>
        <w:footnoteReference w:id="109"/>
      </w:r>
      <w:r w:rsidR="00500CAF" w:rsidRPr="009D5FF1">
        <w:t xml:space="preserve"> </w:t>
      </w:r>
    </w:p>
    <w:p w:rsidR="00500CAF" w:rsidRDefault="00500CAF" w:rsidP="003021FB">
      <w:pPr>
        <w:pStyle w:val="Caption"/>
      </w:pPr>
      <w:bookmarkStart w:id="469" w:name="_Ref303086685"/>
      <w:bookmarkStart w:id="470" w:name="_Toc310875538"/>
      <w:r w:rsidRPr="0042295A">
        <w:lastRenderedPageBreak/>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52</w:t>
      </w:r>
      <w:r w:rsidR="00274AB1">
        <w:rPr>
          <w:noProof/>
        </w:rPr>
        <w:fldChar w:fldCharType="end"/>
      </w:r>
      <w:bookmarkEnd w:id="469"/>
      <w:r w:rsidRPr="0042295A">
        <w:t xml:space="preserve">. </w:t>
      </w:r>
      <w:r w:rsidRPr="00B27071">
        <w:t>General</w:t>
      </w:r>
      <w:r w:rsidRPr="0042295A">
        <w:t xml:space="preserve"> Service Lamps</w:t>
      </w:r>
      <w:bookmarkEnd w:id="470"/>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4"/>
        <w:gridCol w:w="1674"/>
        <w:gridCol w:w="1836"/>
        <w:gridCol w:w="1836"/>
        <w:gridCol w:w="1836"/>
      </w:tblGrid>
      <w:tr w:rsidR="00500CAF" w:rsidRPr="00BB6778" w:rsidTr="00500CAF">
        <w:trPr>
          <w:trHeight w:val="20"/>
          <w:jc w:val="center"/>
        </w:trPr>
        <w:tc>
          <w:tcPr>
            <w:tcW w:w="1674" w:type="dxa"/>
            <w:shd w:val="clear" w:color="auto" w:fill="D9D9D9"/>
            <w:noWrap/>
            <w:vAlign w:val="bottom"/>
          </w:tcPr>
          <w:p w:rsidR="00500CAF" w:rsidRDefault="00500CAF" w:rsidP="003021FB">
            <w:pPr>
              <w:pStyle w:val="Caption"/>
              <w:spacing w:before="60" w:after="60"/>
            </w:pPr>
            <w:r w:rsidRPr="0042295A">
              <w:t>Minimum Lumens</w:t>
            </w:r>
          </w:p>
          <w:p w:rsidR="00500CAF" w:rsidRDefault="00500CAF" w:rsidP="003021FB">
            <w:pPr>
              <w:pStyle w:val="Caption"/>
              <w:spacing w:before="60" w:after="60"/>
            </w:pPr>
            <w:r w:rsidRPr="0042295A">
              <w:t>(a)</w:t>
            </w:r>
          </w:p>
        </w:tc>
        <w:tc>
          <w:tcPr>
            <w:tcW w:w="1674" w:type="dxa"/>
            <w:shd w:val="clear" w:color="auto" w:fill="D9D9D9"/>
            <w:noWrap/>
            <w:vAlign w:val="bottom"/>
          </w:tcPr>
          <w:p w:rsidR="00500CAF" w:rsidRDefault="00500CAF" w:rsidP="003021FB">
            <w:pPr>
              <w:pStyle w:val="Caption"/>
              <w:spacing w:before="60" w:after="60"/>
            </w:pPr>
            <w:r w:rsidRPr="0042295A">
              <w:t>Maximum Lumens</w:t>
            </w:r>
          </w:p>
          <w:p w:rsidR="00500CAF" w:rsidRDefault="00500CAF" w:rsidP="003021FB">
            <w:pPr>
              <w:pStyle w:val="Caption"/>
              <w:spacing w:before="60" w:after="60"/>
            </w:pPr>
            <w:r w:rsidRPr="0042295A">
              <w:t>(b)</w:t>
            </w:r>
          </w:p>
        </w:tc>
        <w:tc>
          <w:tcPr>
            <w:tcW w:w="1836" w:type="dxa"/>
            <w:shd w:val="clear" w:color="auto" w:fill="D9D9D9"/>
            <w:vAlign w:val="bottom"/>
          </w:tcPr>
          <w:p w:rsidR="00500CAF" w:rsidRDefault="00500CAF" w:rsidP="003021FB">
            <w:pPr>
              <w:pStyle w:val="Caption"/>
              <w:spacing w:before="60" w:after="60"/>
            </w:pPr>
            <w:r>
              <w:t>Incandescent Equivalent</w:t>
            </w:r>
          </w:p>
          <w:p w:rsidR="00500CAF" w:rsidRDefault="00500CAF" w:rsidP="003021FB">
            <w:pPr>
              <w:pStyle w:val="Caption"/>
              <w:spacing w:before="60" w:after="60"/>
            </w:pPr>
            <w:r>
              <w:t>Watts</w:t>
            </w:r>
            <w:r>
              <w:rPr>
                <w:vertAlign w:val="subscript"/>
              </w:rPr>
              <w:t>Base</w:t>
            </w:r>
            <w:r>
              <w:t xml:space="preserve"> </w:t>
            </w:r>
            <w:r>
              <w:br/>
              <w:t>(Pre-EISA 2007)</w:t>
            </w:r>
          </w:p>
          <w:p w:rsidR="00500CAF" w:rsidRDefault="00500CAF" w:rsidP="003021FB">
            <w:pPr>
              <w:pStyle w:val="Caption"/>
              <w:spacing w:before="60" w:after="60"/>
            </w:pPr>
            <w:r w:rsidRPr="0042295A">
              <w:t xml:space="preserve"> (c)</w:t>
            </w:r>
          </w:p>
        </w:tc>
        <w:tc>
          <w:tcPr>
            <w:tcW w:w="1836" w:type="dxa"/>
            <w:shd w:val="clear" w:color="auto" w:fill="D9D9D9"/>
            <w:vAlign w:val="bottom"/>
          </w:tcPr>
          <w:p w:rsidR="00500CAF" w:rsidRDefault="00500CAF" w:rsidP="003021FB">
            <w:pPr>
              <w:pStyle w:val="Caption"/>
              <w:spacing w:before="60" w:after="60"/>
            </w:pPr>
            <w:r>
              <w:t>Watts</w:t>
            </w:r>
            <w:r>
              <w:rPr>
                <w:vertAlign w:val="subscript"/>
              </w:rPr>
              <w:t>Base</w:t>
            </w:r>
            <w:r>
              <w:t xml:space="preserve"> </w:t>
            </w:r>
            <w:r>
              <w:br/>
              <w:t>(Post-EISA 2007)</w:t>
            </w:r>
          </w:p>
          <w:p w:rsidR="00500CAF" w:rsidRDefault="00500CAF" w:rsidP="003021FB">
            <w:pPr>
              <w:keepNext/>
              <w:spacing w:before="60" w:after="60"/>
              <w:jc w:val="center"/>
            </w:pPr>
            <w:r w:rsidRPr="0050763E">
              <w:rPr>
                <w:b/>
              </w:rPr>
              <w:t>(d)</w:t>
            </w:r>
          </w:p>
        </w:tc>
        <w:tc>
          <w:tcPr>
            <w:tcW w:w="1836" w:type="dxa"/>
            <w:shd w:val="clear" w:color="auto" w:fill="D9D9D9"/>
            <w:vAlign w:val="bottom"/>
          </w:tcPr>
          <w:p w:rsidR="00500CAF" w:rsidRDefault="00500CAF" w:rsidP="003021FB">
            <w:pPr>
              <w:pStyle w:val="Caption"/>
              <w:spacing w:before="60" w:after="60"/>
            </w:pPr>
            <w:r>
              <w:t>Post-EISA 2007 Effective Date</w:t>
            </w:r>
          </w:p>
          <w:p w:rsidR="00500CAF" w:rsidRDefault="00500CAF" w:rsidP="003021FB">
            <w:pPr>
              <w:keepNext/>
              <w:spacing w:before="60" w:after="60"/>
              <w:jc w:val="center"/>
            </w:pPr>
            <w:r w:rsidRPr="0050763E">
              <w:rPr>
                <w:b/>
              </w:rPr>
              <w:t>(e)</w:t>
            </w:r>
          </w:p>
        </w:tc>
      </w:tr>
      <w:tr w:rsidR="00500CAF" w:rsidRPr="00BB6778" w:rsidTr="00500CAF">
        <w:trPr>
          <w:trHeight w:val="20"/>
          <w:jc w:val="center"/>
        </w:trPr>
        <w:tc>
          <w:tcPr>
            <w:tcW w:w="1674" w:type="dxa"/>
            <w:noWrap/>
            <w:vAlign w:val="bottom"/>
          </w:tcPr>
          <w:p w:rsidR="00500CAF" w:rsidRDefault="00500CAF" w:rsidP="003021FB">
            <w:pPr>
              <w:keepNext/>
              <w:spacing w:before="60" w:after="60"/>
              <w:jc w:val="center"/>
            </w:pPr>
            <w:r w:rsidRPr="00D9109D">
              <w:t>1490</w:t>
            </w:r>
          </w:p>
        </w:tc>
        <w:tc>
          <w:tcPr>
            <w:tcW w:w="1674" w:type="dxa"/>
            <w:noWrap/>
            <w:vAlign w:val="bottom"/>
          </w:tcPr>
          <w:p w:rsidR="00500CAF" w:rsidRDefault="00500CAF" w:rsidP="003021FB">
            <w:pPr>
              <w:keepNext/>
              <w:spacing w:before="60" w:after="60"/>
              <w:jc w:val="center"/>
            </w:pPr>
            <w:r w:rsidRPr="00D9109D">
              <w:t>2600</w:t>
            </w:r>
          </w:p>
        </w:tc>
        <w:tc>
          <w:tcPr>
            <w:tcW w:w="1836" w:type="dxa"/>
            <w:vAlign w:val="bottom"/>
          </w:tcPr>
          <w:p w:rsidR="00500CAF" w:rsidRDefault="00500CAF" w:rsidP="003021FB">
            <w:pPr>
              <w:keepNext/>
              <w:spacing w:before="60" w:after="60"/>
              <w:jc w:val="center"/>
            </w:pPr>
            <w:r w:rsidRPr="00D9109D">
              <w:t>100</w:t>
            </w:r>
          </w:p>
        </w:tc>
        <w:tc>
          <w:tcPr>
            <w:tcW w:w="1836" w:type="dxa"/>
          </w:tcPr>
          <w:p w:rsidR="00500CAF" w:rsidRPr="00D9109D" w:rsidRDefault="00500CAF" w:rsidP="003021FB">
            <w:pPr>
              <w:keepNext/>
              <w:spacing w:before="60" w:after="60"/>
              <w:jc w:val="center"/>
            </w:pPr>
            <w:r>
              <w:t>72</w:t>
            </w:r>
          </w:p>
        </w:tc>
        <w:tc>
          <w:tcPr>
            <w:tcW w:w="1836" w:type="dxa"/>
          </w:tcPr>
          <w:p w:rsidR="00500CAF" w:rsidRDefault="00500CAF" w:rsidP="003021FB">
            <w:pPr>
              <w:keepNext/>
              <w:spacing w:before="60" w:after="60"/>
              <w:jc w:val="center"/>
            </w:pPr>
            <w:r>
              <w:t>2012 TRM</w:t>
            </w:r>
          </w:p>
        </w:tc>
      </w:tr>
      <w:tr w:rsidR="00500CAF" w:rsidRPr="00BB6778" w:rsidTr="00500CAF">
        <w:trPr>
          <w:trHeight w:val="20"/>
          <w:jc w:val="center"/>
        </w:trPr>
        <w:tc>
          <w:tcPr>
            <w:tcW w:w="1674" w:type="dxa"/>
            <w:noWrap/>
            <w:vAlign w:val="bottom"/>
          </w:tcPr>
          <w:p w:rsidR="00500CAF" w:rsidRDefault="00500CAF" w:rsidP="003021FB">
            <w:pPr>
              <w:keepNext/>
              <w:spacing w:before="60" w:after="60"/>
              <w:jc w:val="center"/>
            </w:pPr>
            <w:r w:rsidRPr="00D9109D">
              <w:t>1050</w:t>
            </w:r>
          </w:p>
        </w:tc>
        <w:tc>
          <w:tcPr>
            <w:tcW w:w="1674" w:type="dxa"/>
            <w:noWrap/>
            <w:vAlign w:val="bottom"/>
          </w:tcPr>
          <w:p w:rsidR="00500CAF" w:rsidRDefault="00500CAF" w:rsidP="003021FB">
            <w:pPr>
              <w:keepNext/>
              <w:spacing w:before="60" w:after="60"/>
              <w:jc w:val="center"/>
            </w:pPr>
            <w:r w:rsidRPr="00D9109D">
              <w:t>1489</w:t>
            </w:r>
          </w:p>
        </w:tc>
        <w:tc>
          <w:tcPr>
            <w:tcW w:w="1836" w:type="dxa"/>
            <w:vAlign w:val="bottom"/>
          </w:tcPr>
          <w:p w:rsidR="00500CAF" w:rsidRDefault="00500CAF" w:rsidP="003021FB">
            <w:pPr>
              <w:keepNext/>
              <w:spacing w:before="60" w:after="60"/>
              <w:jc w:val="center"/>
            </w:pPr>
            <w:r w:rsidRPr="00D9109D">
              <w:t>75</w:t>
            </w:r>
          </w:p>
        </w:tc>
        <w:tc>
          <w:tcPr>
            <w:tcW w:w="1836" w:type="dxa"/>
          </w:tcPr>
          <w:p w:rsidR="00500CAF" w:rsidRPr="00D9109D" w:rsidRDefault="00500CAF" w:rsidP="003021FB">
            <w:pPr>
              <w:keepNext/>
              <w:spacing w:before="60" w:after="60"/>
              <w:jc w:val="center"/>
            </w:pPr>
            <w:r>
              <w:t>53</w:t>
            </w:r>
          </w:p>
        </w:tc>
        <w:tc>
          <w:tcPr>
            <w:tcW w:w="1836" w:type="dxa"/>
          </w:tcPr>
          <w:p w:rsidR="00500CAF" w:rsidRDefault="00500CAF" w:rsidP="003021FB">
            <w:pPr>
              <w:keepNext/>
              <w:spacing w:before="60" w:after="60"/>
              <w:jc w:val="center"/>
            </w:pPr>
            <w:r>
              <w:t>2013 TRM</w:t>
            </w:r>
          </w:p>
        </w:tc>
      </w:tr>
      <w:tr w:rsidR="00500CAF" w:rsidRPr="00BB6778" w:rsidTr="00500CAF">
        <w:trPr>
          <w:trHeight w:val="20"/>
          <w:jc w:val="center"/>
        </w:trPr>
        <w:tc>
          <w:tcPr>
            <w:tcW w:w="1674" w:type="dxa"/>
            <w:noWrap/>
            <w:vAlign w:val="bottom"/>
          </w:tcPr>
          <w:p w:rsidR="00500CAF" w:rsidRDefault="00500CAF" w:rsidP="003021FB">
            <w:pPr>
              <w:keepNext/>
              <w:spacing w:before="60" w:after="60"/>
              <w:jc w:val="center"/>
            </w:pPr>
            <w:r w:rsidRPr="00D9109D">
              <w:t>750</w:t>
            </w:r>
          </w:p>
        </w:tc>
        <w:tc>
          <w:tcPr>
            <w:tcW w:w="1674" w:type="dxa"/>
            <w:noWrap/>
            <w:vAlign w:val="bottom"/>
          </w:tcPr>
          <w:p w:rsidR="00500CAF" w:rsidRDefault="00500CAF" w:rsidP="003021FB">
            <w:pPr>
              <w:keepNext/>
              <w:spacing w:before="60" w:after="60"/>
              <w:jc w:val="center"/>
            </w:pPr>
            <w:r w:rsidRPr="00D9109D">
              <w:t>1049</w:t>
            </w:r>
          </w:p>
        </w:tc>
        <w:tc>
          <w:tcPr>
            <w:tcW w:w="1836" w:type="dxa"/>
            <w:vAlign w:val="bottom"/>
          </w:tcPr>
          <w:p w:rsidR="00500CAF" w:rsidRDefault="00500CAF" w:rsidP="003021FB">
            <w:pPr>
              <w:keepNext/>
              <w:spacing w:before="60" w:after="60"/>
              <w:jc w:val="center"/>
            </w:pPr>
            <w:r w:rsidRPr="00D9109D">
              <w:t>60</w:t>
            </w:r>
          </w:p>
        </w:tc>
        <w:tc>
          <w:tcPr>
            <w:tcW w:w="1836" w:type="dxa"/>
          </w:tcPr>
          <w:p w:rsidR="00500CAF" w:rsidRPr="00D9109D" w:rsidRDefault="00500CAF" w:rsidP="003021FB">
            <w:pPr>
              <w:keepNext/>
              <w:spacing w:before="60" w:after="60"/>
              <w:jc w:val="center"/>
            </w:pPr>
            <w:r>
              <w:t>43</w:t>
            </w:r>
          </w:p>
        </w:tc>
        <w:tc>
          <w:tcPr>
            <w:tcW w:w="1836" w:type="dxa"/>
          </w:tcPr>
          <w:p w:rsidR="00500CAF" w:rsidRDefault="00941160" w:rsidP="003021FB">
            <w:pPr>
              <w:keepNext/>
              <w:spacing w:before="60" w:after="60"/>
              <w:jc w:val="center"/>
            </w:pPr>
            <w:r>
              <w:t xml:space="preserve">2014 </w:t>
            </w:r>
            <w:r w:rsidR="00500CAF">
              <w:t>TRM</w:t>
            </w:r>
          </w:p>
        </w:tc>
      </w:tr>
      <w:tr w:rsidR="00500CAF" w:rsidRPr="00BB6778" w:rsidTr="00500CAF">
        <w:trPr>
          <w:trHeight w:val="20"/>
          <w:jc w:val="center"/>
        </w:trPr>
        <w:tc>
          <w:tcPr>
            <w:tcW w:w="1674" w:type="dxa"/>
            <w:noWrap/>
            <w:vAlign w:val="bottom"/>
          </w:tcPr>
          <w:p w:rsidR="00500CAF" w:rsidRDefault="00500CAF" w:rsidP="00500CAF">
            <w:pPr>
              <w:spacing w:before="60" w:after="60"/>
              <w:jc w:val="center"/>
            </w:pPr>
            <w:r w:rsidRPr="00D9109D">
              <w:t>310</w:t>
            </w:r>
          </w:p>
        </w:tc>
        <w:tc>
          <w:tcPr>
            <w:tcW w:w="1674" w:type="dxa"/>
            <w:noWrap/>
            <w:vAlign w:val="bottom"/>
          </w:tcPr>
          <w:p w:rsidR="00500CAF" w:rsidRDefault="00500CAF" w:rsidP="00500CAF">
            <w:pPr>
              <w:spacing w:before="60" w:after="60"/>
              <w:jc w:val="center"/>
            </w:pPr>
            <w:r w:rsidRPr="00D9109D">
              <w:t>749</w:t>
            </w:r>
          </w:p>
        </w:tc>
        <w:tc>
          <w:tcPr>
            <w:tcW w:w="1836" w:type="dxa"/>
            <w:vAlign w:val="bottom"/>
          </w:tcPr>
          <w:p w:rsidR="00500CAF" w:rsidRDefault="00500CAF" w:rsidP="00500CAF">
            <w:pPr>
              <w:spacing w:before="60" w:after="60"/>
              <w:jc w:val="center"/>
            </w:pPr>
            <w:r w:rsidRPr="00D9109D">
              <w:t>40</w:t>
            </w:r>
          </w:p>
        </w:tc>
        <w:tc>
          <w:tcPr>
            <w:tcW w:w="1836" w:type="dxa"/>
          </w:tcPr>
          <w:p w:rsidR="00500CAF" w:rsidRPr="00D9109D" w:rsidRDefault="00500CAF" w:rsidP="00500CAF">
            <w:pPr>
              <w:spacing w:before="60" w:after="60"/>
              <w:jc w:val="center"/>
            </w:pPr>
            <w:r>
              <w:t>29</w:t>
            </w:r>
          </w:p>
        </w:tc>
        <w:tc>
          <w:tcPr>
            <w:tcW w:w="1836" w:type="dxa"/>
          </w:tcPr>
          <w:p w:rsidR="00500CAF" w:rsidRDefault="00500CAF" w:rsidP="00500CAF">
            <w:pPr>
              <w:spacing w:before="60" w:after="60"/>
              <w:jc w:val="center"/>
            </w:pPr>
            <w:r>
              <w:t>2014 TRM</w:t>
            </w:r>
          </w:p>
        </w:tc>
      </w:tr>
    </w:tbl>
    <w:p w:rsidR="00500CAF" w:rsidRDefault="00500CAF" w:rsidP="00500CAF"/>
    <w:p w:rsidR="00500CAF" w:rsidRDefault="00500CAF" w:rsidP="00500CAF">
      <w:r>
        <w:t>To determine baseline wattage for an LED general service lamp:</w:t>
      </w:r>
    </w:p>
    <w:p w:rsidR="00500CAF" w:rsidRDefault="00500CAF" w:rsidP="0005632A">
      <w:pPr>
        <w:pStyle w:val="ListParagraph"/>
        <w:numPr>
          <w:ilvl w:val="0"/>
          <w:numId w:val="103"/>
        </w:numPr>
        <w:spacing w:after="200"/>
        <w:contextualSpacing/>
      </w:pPr>
      <w:r>
        <w:t>Identify the LED’s rated lumen output</w:t>
      </w:r>
    </w:p>
    <w:p w:rsidR="00500CAF" w:rsidRDefault="00500CAF" w:rsidP="0005632A">
      <w:pPr>
        <w:pStyle w:val="ListParagraph"/>
        <w:numPr>
          <w:ilvl w:val="0"/>
          <w:numId w:val="103"/>
        </w:numPr>
        <w:spacing w:after="200"/>
        <w:contextualSpacing/>
      </w:pPr>
      <w:r>
        <w:t xml:space="preserve">In </w:t>
      </w:r>
      <w:r w:rsidR="007A1FB6">
        <w:fldChar w:fldCharType="begin"/>
      </w:r>
      <w:r>
        <w:instrText xml:space="preserve"> REF _Ref303086685 \h </w:instrText>
      </w:r>
      <w:r w:rsidR="007A1FB6">
        <w:fldChar w:fldCharType="separate"/>
      </w:r>
      <w:r w:rsidR="00C0292F" w:rsidRPr="0042295A">
        <w:t xml:space="preserve">Table </w:t>
      </w:r>
      <w:r w:rsidR="00C0292F">
        <w:rPr>
          <w:noProof/>
        </w:rPr>
        <w:t>2</w:t>
      </w:r>
      <w:r w:rsidR="00C0292F">
        <w:noBreakHyphen/>
      </w:r>
      <w:r w:rsidR="00C0292F">
        <w:rPr>
          <w:noProof/>
        </w:rPr>
        <w:t>52</w:t>
      </w:r>
      <w:r w:rsidR="007A1FB6">
        <w:fldChar w:fldCharType="end"/>
      </w:r>
      <w:r>
        <w:t>, find the lumen range into which the LED falls (see columns (a) and (b))</w:t>
      </w:r>
    </w:p>
    <w:p w:rsidR="00500CAF" w:rsidRDefault="00500CAF" w:rsidP="0005632A">
      <w:pPr>
        <w:pStyle w:val="ListParagraph"/>
        <w:numPr>
          <w:ilvl w:val="0"/>
          <w:numId w:val="103"/>
        </w:numPr>
        <w:spacing w:after="200"/>
        <w:contextualSpacing/>
      </w:pPr>
      <w:r>
        <w:t>Find the baseline wattage in column (c) or column (d). Values in column (c) are used for Watts</w:t>
      </w:r>
      <w:r>
        <w:rPr>
          <w:vertAlign w:val="subscript"/>
        </w:rPr>
        <w:t>Base</w:t>
      </w:r>
      <w:r>
        <w:t xml:space="preserve"> until the TRM listed under column (e). Afterwards, values in column (d) are used for Watts</w:t>
      </w:r>
      <w:r>
        <w:rPr>
          <w:vertAlign w:val="subscript"/>
        </w:rPr>
        <w:t>Base</w:t>
      </w:r>
      <w:r>
        <w:t>.</w:t>
      </w:r>
    </w:p>
    <w:p w:rsidR="00500CAF" w:rsidRDefault="00500CAF" w:rsidP="00500CAF">
      <w:r>
        <w:t xml:space="preserve">Note that this TRM section is applicable only to LEDs with rated outputs between 310 and 2600 lumens that replace general service medium screw base lamps such as A-shapes and globes, as well as candelabras. This TRM section is neither applicable to LEDs with rated lumen output lower than 310, nor to LEDs with rated lumen output greater than 2600. (For reflector lamps refer to </w:t>
      </w:r>
      <w:r w:rsidR="007A1FB6">
        <w:fldChar w:fldCharType="begin"/>
      </w:r>
      <w:r>
        <w:instrText xml:space="preserve"> REF _Ref298515113 \h </w:instrText>
      </w:r>
      <w:r w:rsidR="007A1FB6">
        <w:fldChar w:fldCharType="separate"/>
      </w:r>
      <w:r w:rsidR="00C0292F" w:rsidRPr="00F44A01">
        <w:t xml:space="preserve">Table </w:t>
      </w:r>
      <w:r w:rsidR="00C0292F">
        <w:rPr>
          <w:noProof/>
        </w:rPr>
        <w:t>2</w:t>
      </w:r>
      <w:r w:rsidR="00C0292F">
        <w:noBreakHyphen/>
      </w:r>
      <w:r w:rsidR="00C0292F">
        <w:rPr>
          <w:noProof/>
        </w:rPr>
        <w:t>53</w:t>
      </w:r>
      <w:r w:rsidR="007A1FB6">
        <w:fldChar w:fldCharType="end"/>
      </w:r>
      <w:r>
        <w:t>).</w:t>
      </w:r>
    </w:p>
    <w:p w:rsidR="00500CAF" w:rsidRPr="00E84747" w:rsidRDefault="00500CAF" w:rsidP="00500CAF">
      <w:pPr>
        <w:pStyle w:val="Heading4"/>
      </w:pPr>
      <w:r w:rsidRPr="00E84747">
        <w:t>Residential LED, 40 Watt incandescent equivalent (rated lumens between 310 and 749)</w:t>
      </w:r>
    </w:p>
    <w:p w:rsidR="00500CAF" w:rsidRDefault="00500CAF" w:rsidP="00500CAF">
      <w:pPr>
        <w:pStyle w:val="Equation"/>
        <w:rPr>
          <w:vertAlign w:val="subscript"/>
        </w:rPr>
      </w:pPr>
      <w:r w:rsidRPr="0042295A">
        <w:t>Energy Impact (kWh)</w:t>
      </w:r>
      <w:r w:rsidRPr="00F5204A">
        <w:tab/>
        <w:t xml:space="preserve">= </w:t>
      </w:r>
      <w:r w:rsidRPr="001F681F">
        <w:t>(</w:t>
      </w:r>
      <w:r>
        <w:t>(Watts</w:t>
      </w:r>
      <w:r>
        <w:rPr>
          <w:vertAlign w:val="subscript"/>
        </w:rPr>
        <w:t>Base</w:t>
      </w:r>
      <w:r w:rsidRPr="004D378C">
        <w:t>-</w:t>
      </w:r>
      <w:r>
        <w:t>Watts</w:t>
      </w:r>
      <w:r>
        <w:rPr>
          <w:vertAlign w:val="subscript"/>
        </w:rPr>
        <w:t>LED</w:t>
      </w:r>
      <w:r>
        <w:t>)</w:t>
      </w:r>
      <w:r w:rsidRPr="001F681F">
        <w:t xml:space="preserve"> * (</w:t>
      </w:r>
      <w:r>
        <w:t>Hours</w:t>
      </w:r>
      <w:r w:rsidRPr="00123642">
        <w:rPr>
          <w:vertAlign w:val="subscript"/>
        </w:rPr>
        <w:t>LED</w:t>
      </w:r>
      <w:r w:rsidRPr="001F681F">
        <w:t xml:space="preserve"> * 365) / 1000) * ISR</w:t>
      </w:r>
      <w:r w:rsidRPr="001F681F">
        <w:rPr>
          <w:vertAlign w:val="subscript"/>
        </w:rPr>
        <w:t>LED</w:t>
      </w:r>
    </w:p>
    <w:p w:rsidR="00500CAF" w:rsidRDefault="00500CAF" w:rsidP="00500CAF">
      <w:pPr>
        <w:pStyle w:val="Equation"/>
        <w:rPr>
          <w:vertAlign w:val="subscript"/>
        </w:rPr>
      </w:pPr>
      <w:r w:rsidRPr="001F681F">
        <w:t xml:space="preserve">Peak Demand Impact (kW) </w:t>
      </w:r>
      <w:r>
        <w:tab/>
      </w:r>
      <w:r w:rsidRPr="001F681F">
        <w:t>= (</w:t>
      </w:r>
      <w:r>
        <w:t>(Watts</w:t>
      </w:r>
      <w:r>
        <w:rPr>
          <w:vertAlign w:val="subscript"/>
        </w:rPr>
        <w:t>Base</w:t>
      </w:r>
      <w:r w:rsidDel="004D378C">
        <w:t xml:space="preserve"> </w:t>
      </w:r>
      <w:r>
        <w:t>-Watts</w:t>
      </w:r>
      <w:r>
        <w:rPr>
          <w:vertAlign w:val="subscript"/>
        </w:rPr>
        <w:t>LED</w:t>
      </w:r>
      <w:r>
        <w:t>)</w:t>
      </w:r>
      <w:r w:rsidRPr="001F681F">
        <w:t xml:space="preserve"> / 1000) * CF</w:t>
      </w:r>
      <w:r>
        <w:t xml:space="preserve"> </w:t>
      </w:r>
      <w:r w:rsidRPr="001F681F">
        <w:t>* ISR</w:t>
      </w:r>
      <w:r w:rsidRPr="001F681F">
        <w:rPr>
          <w:vertAlign w:val="subscript"/>
        </w:rPr>
        <w:t>LED</w:t>
      </w:r>
    </w:p>
    <w:p w:rsidR="00500CAF" w:rsidRPr="001F681F" w:rsidRDefault="00500CAF" w:rsidP="00500CAF">
      <w:pPr>
        <w:pStyle w:val="Heading4"/>
      </w:pPr>
      <w:r w:rsidRPr="001F681F">
        <w:t>Residential LED</w:t>
      </w:r>
      <w:r>
        <w:t>,</w:t>
      </w:r>
      <w:r w:rsidRPr="001F681F">
        <w:t xml:space="preserve"> </w:t>
      </w:r>
      <w:r>
        <w:t>60 Watt incandescent equivalent (rated lumens between</w:t>
      </w:r>
      <w:r w:rsidRPr="001F681F">
        <w:t xml:space="preserve"> </w:t>
      </w:r>
      <w:r>
        <w:t>750 and 1049)</w:t>
      </w:r>
    </w:p>
    <w:p w:rsidR="00500CAF" w:rsidRPr="001F681F" w:rsidRDefault="00500CAF" w:rsidP="00500CAF">
      <w:pPr>
        <w:pStyle w:val="Equation"/>
      </w:pPr>
      <w:r w:rsidRPr="001F681F">
        <w:t>Energy Impact (kWh)</w:t>
      </w:r>
      <w:r>
        <w:tab/>
      </w:r>
      <w:r w:rsidRPr="001F681F">
        <w:t xml:space="preserve"> = (</w:t>
      </w:r>
      <w:r>
        <w:t>(Watts</w:t>
      </w:r>
      <w:r>
        <w:rPr>
          <w:vertAlign w:val="subscript"/>
        </w:rPr>
        <w:t>Base</w:t>
      </w:r>
      <w:r w:rsidDel="004D378C">
        <w:t xml:space="preserve"> </w:t>
      </w:r>
      <w:r>
        <w:t>-Watts</w:t>
      </w:r>
      <w:r>
        <w:rPr>
          <w:vertAlign w:val="subscript"/>
        </w:rPr>
        <w:t>LED</w:t>
      </w:r>
      <w:r>
        <w:t>)</w:t>
      </w:r>
      <w:r w:rsidRPr="001F681F">
        <w:t xml:space="preserve"> * (</w:t>
      </w:r>
      <w:r>
        <w:t>Hours</w:t>
      </w:r>
      <w:r w:rsidRPr="00123642">
        <w:rPr>
          <w:vertAlign w:val="subscript"/>
        </w:rPr>
        <w:t>LED</w:t>
      </w:r>
      <w:r w:rsidRPr="001F681F">
        <w:t xml:space="preserve">  * 365) / 1000) * ISR</w:t>
      </w:r>
      <w:r w:rsidRPr="001F681F">
        <w:rPr>
          <w:vertAlign w:val="subscript"/>
        </w:rPr>
        <w:t>LED</w:t>
      </w:r>
    </w:p>
    <w:p w:rsidR="00500CAF" w:rsidRPr="001F681F" w:rsidRDefault="00500CAF" w:rsidP="00500CAF">
      <w:pPr>
        <w:pStyle w:val="Equation"/>
      </w:pPr>
      <w:r w:rsidRPr="001F681F">
        <w:t xml:space="preserve">Peak Demand Impact (kW) </w:t>
      </w:r>
      <w:r>
        <w:tab/>
      </w:r>
      <w:r w:rsidRPr="001F681F">
        <w:t>= (</w:t>
      </w:r>
      <w:r>
        <w:t>(Watts</w:t>
      </w:r>
      <w:r>
        <w:rPr>
          <w:vertAlign w:val="subscript"/>
        </w:rPr>
        <w:t>Base</w:t>
      </w:r>
      <w:r w:rsidDel="004D378C">
        <w:t xml:space="preserve"> </w:t>
      </w:r>
      <w:r>
        <w:t>-Watts</w:t>
      </w:r>
      <w:r>
        <w:rPr>
          <w:vertAlign w:val="subscript"/>
        </w:rPr>
        <w:t xml:space="preserve">LED </w:t>
      </w:r>
      <w:r>
        <w:t>)</w:t>
      </w:r>
      <w:r w:rsidRPr="001F681F">
        <w:t xml:space="preserve">  / 1000) * CF</w:t>
      </w:r>
      <w:r>
        <w:t xml:space="preserve"> </w:t>
      </w:r>
      <w:r w:rsidRPr="001F681F">
        <w:t>* ISR</w:t>
      </w:r>
      <w:r w:rsidRPr="001F681F">
        <w:rPr>
          <w:vertAlign w:val="subscript"/>
        </w:rPr>
        <w:t>LED</w:t>
      </w:r>
    </w:p>
    <w:p w:rsidR="00500CAF" w:rsidRPr="001F681F" w:rsidRDefault="00500CAF" w:rsidP="00500CAF">
      <w:pPr>
        <w:pStyle w:val="Heading4"/>
      </w:pPr>
      <w:r w:rsidRPr="001F681F">
        <w:t>Residential LED</w:t>
      </w:r>
      <w:r>
        <w:t>,</w:t>
      </w:r>
      <w:r w:rsidRPr="001F681F">
        <w:t xml:space="preserve"> </w:t>
      </w:r>
      <w:r>
        <w:t>75 Watt incandescent equivalent (rated lumens between</w:t>
      </w:r>
      <w:r w:rsidRPr="001F681F">
        <w:t xml:space="preserve"> </w:t>
      </w:r>
      <w:r>
        <w:t>1050 and 1489)</w:t>
      </w:r>
    </w:p>
    <w:p w:rsidR="00500CAF" w:rsidRPr="001F681F" w:rsidRDefault="00500CAF" w:rsidP="00500CAF">
      <w:pPr>
        <w:pStyle w:val="Equation"/>
      </w:pPr>
      <w:r w:rsidRPr="001F681F">
        <w:t xml:space="preserve">Energy Impact (kWh) </w:t>
      </w:r>
      <w:r>
        <w:tab/>
      </w:r>
      <w:r w:rsidRPr="001F681F">
        <w:t>= (</w:t>
      </w:r>
      <w:r>
        <w:t>(Watts</w:t>
      </w:r>
      <w:r>
        <w:rPr>
          <w:vertAlign w:val="subscript"/>
        </w:rPr>
        <w:t>Base</w:t>
      </w:r>
      <w:r w:rsidDel="004D378C">
        <w:t xml:space="preserve"> </w:t>
      </w:r>
      <w:r>
        <w:t>-Watts</w:t>
      </w:r>
      <w:r>
        <w:rPr>
          <w:vertAlign w:val="subscript"/>
        </w:rPr>
        <w:t>LED</w:t>
      </w:r>
      <w:r>
        <w:t>)</w:t>
      </w:r>
      <w:r w:rsidRPr="001F681F">
        <w:t xml:space="preserve"> * (</w:t>
      </w:r>
      <w:r>
        <w:t>Hours</w:t>
      </w:r>
      <w:r w:rsidRPr="00123642">
        <w:rPr>
          <w:vertAlign w:val="subscript"/>
        </w:rPr>
        <w:t>LED</w:t>
      </w:r>
      <w:r w:rsidRPr="001F681F">
        <w:t xml:space="preserve">  * 365) / 1000) * ISR</w:t>
      </w:r>
      <w:r w:rsidRPr="001F681F">
        <w:rPr>
          <w:vertAlign w:val="subscript"/>
        </w:rPr>
        <w:t>LED</w:t>
      </w:r>
    </w:p>
    <w:p w:rsidR="00500CAF" w:rsidRPr="001F681F" w:rsidRDefault="00500CAF" w:rsidP="00500CAF">
      <w:pPr>
        <w:pStyle w:val="Equation"/>
      </w:pPr>
      <w:r w:rsidRPr="001F681F">
        <w:t xml:space="preserve">Peak Demand Impact (kW) </w:t>
      </w:r>
      <w:r>
        <w:tab/>
      </w:r>
      <w:r w:rsidRPr="001F681F">
        <w:t>= (</w:t>
      </w:r>
      <w:r>
        <w:t>(Watts</w:t>
      </w:r>
      <w:r>
        <w:rPr>
          <w:vertAlign w:val="subscript"/>
        </w:rPr>
        <w:t>Base</w:t>
      </w:r>
      <w:r w:rsidDel="004D378C">
        <w:t xml:space="preserve"> </w:t>
      </w:r>
      <w:r>
        <w:t>-Watts</w:t>
      </w:r>
      <w:r>
        <w:rPr>
          <w:vertAlign w:val="subscript"/>
        </w:rPr>
        <w:t xml:space="preserve">LED </w:t>
      </w:r>
      <w:r>
        <w:t>)</w:t>
      </w:r>
      <w:r w:rsidRPr="001F681F">
        <w:t xml:space="preserve">  / 1000) * CF</w:t>
      </w:r>
      <w:r>
        <w:t xml:space="preserve"> </w:t>
      </w:r>
      <w:r w:rsidRPr="001F681F">
        <w:t>* ISR</w:t>
      </w:r>
      <w:r w:rsidRPr="001F681F">
        <w:rPr>
          <w:vertAlign w:val="subscript"/>
        </w:rPr>
        <w:t>LED</w:t>
      </w:r>
    </w:p>
    <w:p w:rsidR="00500CAF" w:rsidRPr="001F681F" w:rsidRDefault="00500CAF" w:rsidP="00500CAF">
      <w:pPr>
        <w:pStyle w:val="Heading4"/>
      </w:pPr>
      <w:r w:rsidRPr="001F681F">
        <w:t>Residential LED</w:t>
      </w:r>
      <w:r>
        <w:t>,</w:t>
      </w:r>
      <w:r w:rsidRPr="001F681F">
        <w:t xml:space="preserve"> </w:t>
      </w:r>
      <w:r>
        <w:t>100 Watt incandescent equivalent (rated lumens between</w:t>
      </w:r>
      <w:r w:rsidRPr="001F681F">
        <w:t xml:space="preserve"> </w:t>
      </w:r>
      <w:r>
        <w:t>1490 and 2600)</w:t>
      </w:r>
    </w:p>
    <w:p w:rsidR="00500CAF" w:rsidRPr="001F681F" w:rsidRDefault="00500CAF" w:rsidP="00500CAF">
      <w:pPr>
        <w:pStyle w:val="Equation"/>
      </w:pPr>
      <w:r w:rsidRPr="001F681F">
        <w:t xml:space="preserve">Energy Impact (kWh) </w:t>
      </w:r>
      <w:r>
        <w:tab/>
      </w:r>
      <w:r w:rsidRPr="001F681F">
        <w:t>= (</w:t>
      </w:r>
      <w:r>
        <w:t>(Watts</w:t>
      </w:r>
      <w:r>
        <w:rPr>
          <w:vertAlign w:val="subscript"/>
        </w:rPr>
        <w:t>Base</w:t>
      </w:r>
      <w:r w:rsidDel="004D378C">
        <w:t xml:space="preserve"> </w:t>
      </w:r>
      <w:r>
        <w:t>-Watts</w:t>
      </w:r>
      <w:r>
        <w:rPr>
          <w:vertAlign w:val="subscript"/>
        </w:rPr>
        <w:t>LED</w:t>
      </w:r>
      <w:r>
        <w:t>)</w:t>
      </w:r>
      <w:r w:rsidRPr="001F681F">
        <w:t xml:space="preserve"> * (</w:t>
      </w:r>
      <w:r>
        <w:t>Hours</w:t>
      </w:r>
      <w:r w:rsidRPr="00123642">
        <w:rPr>
          <w:vertAlign w:val="subscript"/>
        </w:rPr>
        <w:t>LED</w:t>
      </w:r>
      <w:r w:rsidRPr="001F681F">
        <w:t xml:space="preserve">  * 365) / 1000) * ISR</w:t>
      </w:r>
      <w:r w:rsidRPr="001F681F">
        <w:rPr>
          <w:vertAlign w:val="subscript"/>
        </w:rPr>
        <w:t>LED</w:t>
      </w:r>
    </w:p>
    <w:p w:rsidR="00500CAF" w:rsidRPr="00951292" w:rsidRDefault="00500CAF" w:rsidP="00500CAF">
      <w:pPr>
        <w:pStyle w:val="Equation"/>
      </w:pPr>
      <w:r w:rsidRPr="001F681F">
        <w:t xml:space="preserve">Peak Demand Impact (kW) </w:t>
      </w:r>
      <w:r>
        <w:tab/>
      </w:r>
      <w:r w:rsidRPr="001F681F">
        <w:t>= (</w:t>
      </w:r>
      <w:r>
        <w:t>(Watts</w:t>
      </w:r>
      <w:r>
        <w:rPr>
          <w:vertAlign w:val="subscript"/>
        </w:rPr>
        <w:t>Base</w:t>
      </w:r>
      <w:r w:rsidDel="004D378C">
        <w:t xml:space="preserve"> </w:t>
      </w:r>
      <w:r>
        <w:t>-Watts</w:t>
      </w:r>
      <w:r>
        <w:rPr>
          <w:vertAlign w:val="subscript"/>
        </w:rPr>
        <w:t xml:space="preserve">LED </w:t>
      </w:r>
      <w:r>
        <w:t>)</w:t>
      </w:r>
      <w:r w:rsidRPr="001F681F">
        <w:t xml:space="preserve">  / 1000) * CF</w:t>
      </w:r>
      <w:r>
        <w:t xml:space="preserve"> </w:t>
      </w:r>
      <w:r w:rsidRPr="001F681F">
        <w:t>* ISR</w:t>
      </w:r>
      <w:r w:rsidRPr="001F681F">
        <w:rPr>
          <w:vertAlign w:val="subscript"/>
        </w:rPr>
        <w:t>LED</w:t>
      </w:r>
    </w:p>
    <w:p w:rsidR="00500CAF" w:rsidRDefault="00500CAF" w:rsidP="00500CAF">
      <w:pPr>
        <w:pStyle w:val="Heading4"/>
      </w:pPr>
      <w:r>
        <w:lastRenderedPageBreak/>
        <w:t>REFLECTOR LAMPS</w:t>
      </w:r>
    </w:p>
    <w:p w:rsidR="00500CAF" w:rsidRDefault="00500CAF" w:rsidP="00500CAF">
      <w:r>
        <w:t>Incandescent reflector lamps (IRLs)</w:t>
      </w:r>
      <w:r w:rsidRPr="00671A7C">
        <w:t xml:space="preserve"> are the common cone-shaped light bulbs most typically used in track lighting and "recessed can" light fixtures (low-cost light fixtures that mount flush with the ceiling such that the socket and bulb are recessed into the ceiling). The cone is lined with a reflective coating to direct the light. PAR lamps are the most common type of IRL</w:t>
      </w:r>
      <w:r>
        <w:t>s</w:t>
      </w:r>
      <w:r w:rsidRPr="00671A7C">
        <w:t>; other common IRLs include "blown" PAR (BPAR) lamps, which are designed to be a low cost substitute for widely used PAR lamps, and "bulged" reflector (BR) lamps</w:t>
      </w:r>
      <w:r>
        <w:t>.</w:t>
      </w:r>
      <w:r>
        <w:rPr>
          <w:rStyle w:val="FootnoteReference"/>
        </w:rPr>
        <w:footnoteReference w:id="110"/>
      </w:r>
      <w:r>
        <w:t xml:space="preserve"> </w:t>
      </w:r>
      <w:r w:rsidR="007A1FB6">
        <w:fldChar w:fldCharType="begin"/>
      </w:r>
      <w:r>
        <w:instrText xml:space="preserve"> REF _Ref298515113 \h </w:instrText>
      </w:r>
      <w:r w:rsidR="007A1FB6">
        <w:fldChar w:fldCharType="separate"/>
      </w:r>
      <w:r w:rsidR="00C0292F" w:rsidRPr="00F44A01">
        <w:t xml:space="preserve">Table </w:t>
      </w:r>
      <w:r w:rsidR="00C0292F">
        <w:rPr>
          <w:noProof/>
        </w:rPr>
        <w:t>2</w:t>
      </w:r>
      <w:r w:rsidR="00C0292F">
        <w:noBreakHyphen/>
      </w:r>
      <w:r w:rsidR="00C0292F">
        <w:rPr>
          <w:noProof/>
        </w:rPr>
        <w:t>53</w:t>
      </w:r>
      <w:r w:rsidR="007A1FB6">
        <w:fldChar w:fldCharType="end"/>
      </w:r>
      <w:r>
        <w:t xml:space="preserve"> shows lumen ranges and incandescent equivalents for LED reflector lamps based on the EISA 2007 amendment for reflector lamps in residential settings.</w:t>
      </w:r>
      <w:r>
        <w:rPr>
          <w:rStyle w:val="FootnoteReference"/>
        </w:rPr>
        <w:footnoteReference w:id="111"/>
      </w:r>
    </w:p>
    <w:p w:rsidR="00500CAF" w:rsidRPr="00F44A01" w:rsidRDefault="00500CAF" w:rsidP="00500CAF">
      <w:pPr>
        <w:pStyle w:val="Caption"/>
      </w:pPr>
      <w:bookmarkStart w:id="471" w:name="_Ref298515113"/>
      <w:bookmarkStart w:id="472" w:name="_Ref296431640"/>
      <w:bookmarkStart w:id="473" w:name="_Toc310875539"/>
      <w:r w:rsidRPr="00F44A01">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53</w:t>
      </w:r>
      <w:r w:rsidR="00274AB1">
        <w:rPr>
          <w:noProof/>
        </w:rPr>
        <w:fldChar w:fldCharType="end"/>
      </w:r>
      <w:bookmarkEnd w:id="471"/>
      <w:r w:rsidRPr="00F44A01">
        <w:t>: Reflector Lamps</w:t>
      </w:r>
      <w:bookmarkEnd w:id="472"/>
      <w:bookmarkEnd w:id="473"/>
    </w:p>
    <w:tbl>
      <w:tblPr>
        <w:tblW w:w="5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2"/>
        <w:gridCol w:w="1982"/>
        <w:gridCol w:w="2047"/>
      </w:tblGrid>
      <w:tr w:rsidR="00500CAF" w:rsidRPr="000B59C0" w:rsidTr="00500CAF">
        <w:trPr>
          <w:trHeight w:val="20"/>
          <w:jc w:val="center"/>
        </w:trPr>
        <w:tc>
          <w:tcPr>
            <w:tcW w:w="1942" w:type="dxa"/>
            <w:shd w:val="clear" w:color="auto" w:fill="D9D9D9"/>
            <w:noWrap/>
            <w:vAlign w:val="bottom"/>
          </w:tcPr>
          <w:p w:rsidR="00500CAF" w:rsidRDefault="00500CAF" w:rsidP="00500CAF">
            <w:pPr>
              <w:pStyle w:val="Caption"/>
              <w:spacing w:before="60" w:after="60"/>
            </w:pPr>
            <w:r w:rsidRPr="00F95F23">
              <w:t>Minimum Lumens</w:t>
            </w:r>
          </w:p>
          <w:p w:rsidR="00500CAF" w:rsidRDefault="00500CAF" w:rsidP="00500CAF">
            <w:pPr>
              <w:pStyle w:val="Caption"/>
              <w:spacing w:before="60" w:after="60"/>
            </w:pPr>
            <w:r w:rsidRPr="00F95F23">
              <w:t>(a)</w:t>
            </w:r>
          </w:p>
        </w:tc>
        <w:tc>
          <w:tcPr>
            <w:tcW w:w="1982" w:type="dxa"/>
            <w:shd w:val="clear" w:color="auto" w:fill="D9D9D9"/>
            <w:noWrap/>
            <w:vAlign w:val="bottom"/>
          </w:tcPr>
          <w:p w:rsidR="00500CAF" w:rsidRDefault="00500CAF" w:rsidP="00500CAF">
            <w:pPr>
              <w:pStyle w:val="Caption"/>
              <w:spacing w:before="60" w:after="60"/>
            </w:pPr>
            <w:r w:rsidRPr="00F95F23">
              <w:t>Maximum Lumens</w:t>
            </w:r>
          </w:p>
          <w:p w:rsidR="00500CAF" w:rsidRDefault="00500CAF" w:rsidP="00500CAF">
            <w:pPr>
              <w:pStyle w:val="Caption"/>
              <w:spacing w:before="60" w:after="60"/>
            </w:pPr>
            <w:r w:rsidRPr="00F95F23">
              <w:t>(b)</w:t>
            </w:r>
          </w:p>
        </w:tc>
        <w:tc>
          <w:tcPr>
            <w:tcW w:w="2047" w:type="dxa"/>
            <w:shd w:val="clear" w:color="auto" w:fill="D9D9D9"/>
            <w:vAlign w:val="bottom"/>
          </w:tcPr>
          <w:p w:rsidR="00500CAF" w:rsidRDefault="00500CAF" w:rsidP="00500CAF">
            <w:pPr>
              <w:pStyle w:val="Caption"/>
              <w:spacing w:before="60" w:after="60"/>
            </w:pPr>
            <w:r>
              <w:t>Incandescent Equivalent</w:t>
            </w:r>
          </w:p>
          <w:p w:rsidR="00500CAF" w:rsidRDefault="00500CAF" w:rsidP="00500CAF">
            <w:pPr>
              <w:pStyle w:val="Caption"/>
              <w:spacing w:before="60" w:after="60"/>
            </w:pPr>
            <w:r>
              <w:t>Watts</w:t>
            </w:r>
            <w:r>
              <w:rPr>
                <w:vertAlign w:val="subscript"/>
              </w:rPr>
              <w:t>Base</w:t>
            </w:r>
            <w:r>
              <w:t xml:space="preserve"> </w:t>
            </w:r>
          </w:p>
          <w:p w:rsidR="00500CAF" w:rsidRDefault="00500CAF" w:rsidP="00500CAF">
            <w:pPr>
              <w:pStyle w:val="Caption"/>
              <w:spacing w:before="60" w:after="60"/>
            </w:pPr>
            <w:r w:rsidRPr="00F95F23">
              <w:t>(c)</w:t>
            </w:r>
          </w:p>
        </w:tc>
      </w:tr>
      <w:tr w:rsidR="00500CAF" w:rsidRPr="000B59C0" w:rsidTr="00500CAF">
        <w:trPr>
          <w:trHeight w:val="20"/>
          <w:jc w:val="center"/>
        </w:trPr>
        <w:tc>
          <w:tcPr>
            <w:tcW w:w="1942" w:type="dxa"/>
            <w:noWrap/>
            <w:vAlign w:val="bottom"/>
          </w:tcPr>
          <w:p w:rsidR="00500CAF" w:rsidRDefault="00500CAF" w:rsidP="00500CAF">
            <w:pPr>
              <w:spacing w:before="60" w:after="60"/>
              <w:jc w:val="center"/>
            </w:pPr>
            <w:r w:rsidRPr="0021094D">
              <w:t>2340</w:t>
            </w:r>
          </w:p>
        </w:tc>
        <w:tc>
          <w:tcPr>
            <w:tcW w:w="1982" w:type="dxa"/>
            <w:noWrap/>
            <w:vAlign w:val="bottom"/>
          </w:tcPr>
          <w:p w:rsidR="00500CAF" w:rsidRDefault="00500CAF" w:rsidP="00500CAF">
            <w:pPr>
              <w:spacing w:before="60" w:after="60"/>
              <w:jc w:val="center"/>
            </w:pPr>
            <w:r w:rsidRPr="0021094D">
              <w:t>3075</w:t>
            </w:r>
          </w:p>
        </w:tc>
        <w:tc>
          <w:tcPr>
            <w:tcW w:w="2047" w:type="dxa"/>
            <w:noWrap/>
            <w:vAlign w:val="bottom"/>
          </w:tcPr>
          <w:p w:rsidR="00500CAF" w:rsidRDefault="00500CAF" w:rsidP="00500CAF">
            <w:pPr>
              <w:spacing w:before="60" w:after="60"/>
              <w:jc w:val="center"/>
            </w:pPr>
            <w:r w:rsidRPr="0021094D">
              <w:t>150</w:t>
            </w:r>
          </w:p>
        </w:tc>
      </w:tr>
      <w:tr w:rsidR="00500CAF" w:rsidRPr="000B59C0" w:rsidTr="00500CAF">
        <w:trPr>
          <w:trHeight w:val="20"/>
          <w:jc w:val="center"/>
        </w:trPr>
        <w:tc>
          <w:tcPr>
            <w:tcW w:w="1942" w:type="dxa"/>
            <w:noWrap/>
            <w:vAlign w:val="bottom"/>
          </w:tcPr>
          <w:p w:rsidR="00500CAF" w:rsidRDefault="00500CAF" w:rsidP="00500CAF">
            <w:pPr>
              <w:spacing w:before="60" w:after="60"/>
              <w:jc w:val="center"/>
            </w:pPr>
            <w:r w:rsidRPr="0021094D">
              <w:t>1682</w:t>
            </w:r>
          </w:p>
        </w:tc>
        <w:tc>
          <w:tcPr>
            <w:tcW w:w="1982" w:type="dxa"/>
            <w:noWrap/>
            <w:vAlign w:val="bottom"/>
          </w:tcPr>
          <w:p w:rsidR="00500CAF" w:rsidRDefault="00500CAF" w:rsidP="00500CAF">
            <w:pPr>
              <w:spacing w:before="60" w:after="60"/>
              <w:jc w:val="center"/>
            </w:pPr>
            <w:r w:rsidRPr="0021094D">
              <w:t>2339</w:t>
            </w:r>
          </w:p>
        </w:tc>
        <w:tc>
          <w:tcPr>
            <w:tcW w:w="2047" w:type="dxa"/>
            <w:noWrap/>
            <w:vAlign w:val="bottom"/>
          </w:tcPr>
          <w:p w:rsidR="00500CAF" w:rsidRDefault="00500CAF" w:rsidP="00500CAF">
            <w:pPr>
              <w:spacing w:before="60" w:after="60"/>
              <w:jc w:val="center"/>
            </w:pPr>
            <w:r w:rsidRPr="0021094D">
              <w:t>120</w:t>
            </w:r>
          </w:p>
        </w:tc>
      </w:tr>
      <w:tr w:rsidR="00500CAF" w:rsidRPr="000B59C0" w:rsidTr="00500CAF">
        <w:trPr>
          <w:trHeight w:val="20"/>
          <w:jc w:val="center"/>
        </w:trPr>
        <w:tc>
          <w:tcPr>
            <w:tcW w:w="1942" w:type="dxa"/>
            <w:noWrap/>
            <w:vAlign w:val="bottom"/>
          </w:tcPr>
          <w:p w:rsidR="00500CAF" w:rsidRDefault="00500CAF" w:rsidP="00500CAF">
            <w:pPr>
              <w:spacing w:before="60" w:after="60"/>
              <w:jc w:val="center"/>
            </w:pPr>
            <w:r w:rsidRPr="0021094D">
              <w:t>1204</w:t>
            </w:r>
          </w:p>
        </w:tc>
        <w:tc>
          <w:tcPr>
            <w:tcW w:w="1982" w:type="dxa"/>
            <w:noWrap/>
            <w:vAlign w:val="bottom"/>
          </w:tcPr>
          <w:p w:rsidR="00500CAF" w:rsidRDefault="00500CAF" w:rsidP="00500CAF">
            <w:pPr>
              <w:spacing w:before="60" w:after="60"/>
              <w:jc w:val="center"/>
            </w:pPr>
            <w:r w:rsidRPr="0021094D">
              <w:t>1681</w:t>
            </w:r>
          </w:p>
        </w:tc>
        <w:tc>
          <w:tcPr>
            <w:tcW w:w="2047" w:type="dxa"/>
            <w:noWrap/>
            <w:vAlign w:val="bottom"/>
          </w:tcPr>
          <w:p w:rsidR="00500CAF" w:rsidRDefault="00500CAF" w:rsidP="00500CAF">
            <w:pPr>
              <w:spacing w:before="60" w:after="60"/>
              <w:jc w:val="center"/>
            </w:pPr>
            <w:r w:rsidRPr="0021094D">
              <w:t>100</w:t>
            </w:r>
          </w:p>
        </w:tc>
      </w:tr>
      <w:tr w:rsidR="00500CAF" w:rsidRPr="000B59C0" w:rsidTr="00500CAF">
        <w:trPr>
          <w:trHeight w:val="20"/>
          <w:jc w:val="center"/>
        </w:trPr>
        <w:tc>
          <w:tcPr>
            <w:tcW w:w="1942" w:type="dxa"/>
            <w:noWrap/>
            <w:vAlign w:val="bottom"/>
          </w:tcPr>
          <w:p w:rsidR="00500CAF" w:rsidRDefault="00500CAF" w:rsidP="00500CAF">
            <w:pPr>
              <w:spacing w:before="60" w:after="60"/>
              <w:jc w:val="center"/>
            </w:pPr>
            <w:r w:rsidRPr="0021094D">
              <w:t>838</w:t>
            </w:r>
          </w:p>
        </w:tc>
        <w:tc>
          <w:tcPr>
            <w:tcW w:w="1982" w:type="dxa"/>
            <w:noWrap/>
            <w:vAlign w:val="bottom"/>
          </w:tcPr>
          <w:p w:rsidR="00500CAF" w:rsidRDefault="00500CAF" w:rsidP="00500CAF">
            <w:pPr>
              <w:spacing w:before="60" w:after="60"/>
              <w:jc w:val="center"/>
            </w:pPr>
            <w:r w:rsidRPr="0021094D">
              <w:t>1203</w:t>
            </w:r>
          </w:p>
        </w:tc>
        <w:tc>
          <w:tcPr>
            <w:tcW w:w="2047" w:type="dxa"/>
            <w:noWrap/>
            <w:vAlign w:val="bottom"/>
          </w:tcPr>
          <w:p w:rsidR="00500CAF" w:rsidRDefault="00500CAF" w:rsidP="00500CAF">
            <w:pPr>
              <w:spacing w:before="60" w:after="60"/>
              <w:jc w:val="center"/>
            </w:pPr>
            <w:r w:rsidRPr="0021094D">
              <w:t>75</w:t>
            </w:r>
          </w:p>
        </w:tc>
      </w:tr>
      <w:tr w:rsidR="00500CAF" w:rsidRPr="000B59C0" w:rsidTr="00500CAF">
        <w:trPr>
          <w:trHeight w:val="20"/>
          <w:jc w:val="center"/>
        </w:trPr>
        <w:tc>
          <w:tcPr>
            <w:tcW w:w="1942" w:type="dxa"/>
            <w:noWrap/>
            <w:vAlign w:val="bottom"/>
          </w:tcPr>
          <w:p w:rsidR="00500CAF" w:rsidRDefault="00500CAF" w:rsidP="00500CAF">
            <w:pPr>
              <w:spacing w:before="60" w:after="60"/>
              <w:jc w:val="center"/>
            </w:pPr>
            <w:r w:rsidRPr="0021094D">
              <w:t>561</w:t>
            </w:r>
          </w:p>
        </w:tc>
        <w:tc>
          <w:tcPr>
            <w:tcW w:w="1982" w:type="dxa"/>
            <w:noWrap/>
            <w:vAlign w:val="bottom"/>
          </w:tcPr>
          <w:p w:rsidR="00500CAF" w:rsidRDefault="00500CAF" w:rsidP="00500CAF">
            <w:pPr>
              <w:spacing w:before="60" w:after="60"/>
              <w:jc w:val="center"/>
            </w:pPr>
            <w:r w:rsidRPr="0021094D">
              <w:t>837</w:t>
            </w:r>
          </w:p>
        </w:tc>
        <w:tc>
          <w:tcPr>
            <w:tcW w:w="2047" w:type="dxa"/>
            <w:noWrap/>
            <w:vAlign w:val="bottom"/>
          </w:tcPr>
          <w:p w:rsidR="00500CAF" w:rsidRDefault="00500CAF" w:rsidP="00500CAF">
            <w:pPr>
              <w:spacing w:before="60" w:after="60"/>
              <w:jc w:val="center"/>
            </w:pPr>
            <w:r w:rsidRPr="0021094D">
              <w:t>60</w:t>
            </w:r>
          </w:p>
        </w:tc>
      </w:tr>
      <w:tr w:rsidR="00500CAF" w:rsidRPr="000B59C0" w:rsidTr="00500CAF">
        <w:trPr>
          <w:trHeight w:val="20"/>
          <w:jc w:val="center"/>
        </w:trPr>
        <w:tc>
          <w:tcPr>
            <w:tcW w:w="1942" w:type="dxa"/>
            <w:noWrap/>
            <w:vAlign w:val="bottom"/>
          </w:tcPr>
          <w:p w:rsidR="00500CAF" w:rsidRDefault="00500CAF" w:rsidP="00500CAF">
            <w:pPr>
              <w:spacing w:before="60" w:after="60"/>
              <w:jc w:val="center"/>
            </w:pPr>
            <w:r w:rsidRPr="0021094D">
              <w:t>420</w:t>
            </w:r>
          </w:p>
        </w:tc>
        <w:tc>
          <w:tcPr>
            <w:tcW w:w="1982" w:type="dxa"/>
            <w:noWrap/>
            <w:vAlign w:val="bottom"/>
          </w:tcPr>
          <w:p w:rsidR="00500CAF" w:rsidRDefault="00500CAF" w:rsidP="00500CAF">
            <w:pPr>
              <w:spacing w:before="60" w:after="60"/>
              <w:jc w:val="center"/>
            </w:pPr>
            <w:r w:rsidRPr="0021094D">
              <w:t>560</w:t>
            </w:r>
          </w:p>
        </w:tc>
        <w:tc>
          <w:tcPr>
            <w:tcW w:w="2047" w:type="dxa"/>
            <w:noWrap/>
            <w:vAlign w:val="bottom"/>
          </w:tcPr>
          <w:p w:rsidR="00500CAF" w:rsidRDefault="00500CAF" w:rsidP="00500CAF">
            <w:pPr>
              <w:spacing w:before="60" w:after="60"/>
              <w:jc w:val="center"/>
            </w:pPr>
            <w:r w:rsidRPr="0021094D">
              <w:t>45</w:t>
            </w:r>
          </w:p>
        </w:tc>
      </w:tr>
    </w:tbl>
    <w:p w:rsidR="00500CAF" w:rsidRDefault="00500CAF" w:rsidP="00500CAF"/>
    <w:p w:rsidR="00500CAF" w:rsidRDefault="00500CAF" w:rsidP="00500CAF">
      <w:r>
        <w:t>To determine baseline wattage for an LED reflector lamp:</w:t>
      </w:r>
    </w:p>
    <w:p w:rsidR="00500CAF" w:rsidRDefault="00500CAF" w:rsidP="0005632A">
      <w:pPr>
        <w:pStyle w:val="ListParagraph"/>
        <w:numPr>
          <w:ilvl w:val="0"/>
          <w:numId w:val="104"/>
        </w:numPr>
        <w:spacing w:after="200"/>
        <w:contextualSpacing/>
      </w:pPr>
      <w:r>
        <w:t>Identify the LED’s rated lumen output</w:t>
      </w:r>
    </w:p>
    <w:p w:rsidR="00500CAF" w:rsidRDefault="00500CAF" w:rsidP="0005632A">
      <w:pPr>
        <w:pStyle w:val="ListParagraph"/>
        <w:numPr>
          <w:ilvl w:val="0"/>
          <w:numId w:val="104"/>
        </w:numPr>
        <w:spacing w:after="200"/>
        <w:contextualSpacing/>
      </w:pPr>
      <w:r>
        <w:t xml:space="preserve">In </w:t>
      </w:r>
      <w:r w:rsidR="007A1FB6">
        <w:fldChar w:fldCharType="begin"/>
      </w:r>
      <w:r>
        <w:instrText xml:space="preserve"> REF _Ref298515113 \h </w:instrText>
      </w:r>
      <w:r w:rsidR="007A1FB6">
        <w:fldChar w:fldCharType="separate"/>
      </w:r>
      <w:r w:rsidR="00C0292F" w:rsidRPr="00F44A01">
        <w:t xml:space="preserve">Table </w:t>
      </w:r>
      <w:r w:rsidR="00C0292F">
        <w:rPr>
          <w:noProof/>
        </w:rPr>
        <w:t>2</w:t>
      </w:r>
      <w:r w:rsidR="00C0292F">
        <w:noBreakHyphen/>
      </w:r>
      <w:r w:rsidR="00C0292F">
        <w:rPr>
          <w:noProof/>
        </w:rPr>
        <w:t>53</w:t>
      </w:r>
      <w:r w:rsidR="007A1FB6">
        <w:fldChar w:fldCharType="end"/>
      </w:r>
      <w:r>
        <w:t>, find the lumen range into which the LED falls (see columns (a) and (b))</w:t>
      </w:r>
    </w:p>
    <w:p w:rsidR="00500CAF" w:rsidRDefault="00500CAF" w:rsidP="0005632A">
      <w:pPr>
        <w:pStyle w:val="ListParagraph"/>
        <w:numPr>
          <w:ilvl w:val="0"/>
          <w:numId w:val="104"/>
        </w:numPr>
        <w:spacing w:after="200"/>
        <w:contextualSpacing/>
      </w:pPr>
      <w:r>
        <w:t>Find the incandescent equivalent wattage in column (c).</w:t>
      </w:r>
    </w:p>
    <w:p w:rsidR="00500CAF" w:rsidRDefault="00500CAF" w:rsidP="00500CAF">
      <w:r>
        <w:t>Note that this TRM section is applicable only to LEDs with rated outputs between 420 and 3,075 lumen that replace incandescent reflector lamps (floods, recessed lights); it is not applicable to LEDs with rated lumen output lower than 420 nor to  LEDs with rated lumen output greater than 3,075.</w:t>
      </w:r>
    </w:p>
    <w:p w:rsidR="00500CAF" w:rsidRPr="00A62807" w:rsidRDefault="00500CAF" w:rsidP="00500CAF">
      <w:pPr>
        <w:pStyle w:val="Heading4"/>
      </w:pPr>
      <w:r w:rsidRPr="00A62807">
        <w:lastRenderedPageBreak/>
        <w:t>Residential LED, 45 Watt incandescent reflector equivalent (rated lumens between 420 and 560)</w:t>
      </w:r>
    </w:p>
    <w:p w:rsidR="00500CAF" w:rsidRPr="001F681F" w:rsidRDefault="00500CAF" w:rsidP="00500CAF">
      <w:pPr>
        <w:pStyle w:val="Equation"/>
        <w:keepNext/>
      </w:pPr>
      <w:r w:rsidRPr="001F681F">
        <w:t>Energy Impact (kWh)</w:t>
      </w:r>
      <w:r>
        <w:tab/>
      </w:r>
      <w:r w:rsidRPr="001F681F">
        <w:t xml:space="preserve"> = (</w:t>
      </w:r>
      <w:r>
        <w:t>(Watts</w:t>
      </w:r>
      <w:r>
        <w:rPr>
          <w:vertAlign w:val="subscript"/>
        </w:rPr>
        <w:t>Base</w:t>
      </w:r>
      <w:r>
        <w:t>-Watts</w:t>
      </w:r>
      <w:r>
        <w:rPr>
          <w:vertAlign w:val="subscript"/>
        </w:rPr>
        <w:t>LED</w:t>
      </w:r>
      <w:r>
        <w:t>)</w:t>
      </w:r>
      <w:r w:rsidRPr="001F681F">
        <w:t xml:space="preserve"> * (</w:t>
      </w:r>
      <w:r>
        <w:t>Hours</w:t>
      </w:r>
      <w:r w:rsidRPr="00FE0336">
        <w:rPr>
          <w:vertAlign w:val="subscript"/>
        </w:rPr>
        <w:t>LED</w:t>
      </w:r>
      <w:r w:rsidRPr="001F681F">
        <w:t xml:space="preserve"> * 365) / 1000) * ISR</w:t>
      </w:r>
      <w:r w:rsidRPr="001F681F">
        <w:rPr>
          <w:vertAlign w:val="subscript"/>
        </w:rPr>
        <w:t>LED</w:t>
      </w:r>
    </w:p>
    <w:p w:rsidR="00500CAF" w:rsidRDefault="00500CAF" w:rsidP="00500CAF">
      <w:pPr>
        <w:pStyle w:val="Equation"/>
        <w:keepNext/>
      </w:pPr>
      <w:r w:rsidRPr="001F681F">
        <w:t xml:space="preserve">Peak Demand Impact (kW) </w:t>
      </w:r>
      <w:r>
        <w:tab/>
      </w:r>
      <w:r w:rsidRPr="001F681F">
        <w:t>= (</w:t>
      </w:r>
      <w:r>
        <w:t>(Watts</w:t>
      </w:r>
      <w:r>
        <w:rPr>
          <w:vertAlign w:val="subscript"/>
        </w:rPr>
        <w:t>Base</w:t>
      </w:r>
      <w:r w:rsidDel="006179E0">
        <w:t xml:space="preserve"> </w:t>
      </w:r>
      <w:r>
        <w:t>-Watts</w:t>
      </w:r>
      <w:r>
        <w:rPr>
          <w:vertAlign w:val="subscript"/>
        </w:rPr>
        <w:t>LED</w:t>
      </w:r>
      <w:r>
        <w:t>)</w:t>
      </w:r>
      <w:r w:rsidRPr="001F681F">
        <w:t xml:space="preserve"> / 1000) * </w:t>
      </w:r>
      <w:r>
        <w:t xml:space="preserve">CF </w:t>
      </w:r>
      <w:r w:rsidRPr="001F681F">
        <w:t>* ISR</w:t>
      </w:r>
      <w:r w:rsidRPr="001F681F">
        <w:rPr>
          <w:vertAlign w:val="subscript"/>
        </w:rPr>
        <w:t>LED</w:t>
      </w:r>
    </w:p>
    <w:p w:rsidR="00500CAF" w:rsidRPr="001F681F" w:rsidRDefault="00500CAF" w:rsidP="00500CAF">
      <w:pPr>
        <w:pStyle w:val="Heading4"/>
      </w:pPr>
      <w:r w:rsidRPr="001F681F">
        <w:t>Residential LED</w:t>
      </w:r>
      <w:r>
        <w:t>,</w:t>
      </w:r>
      <w:r w:rsidRPr="001F681F">
        <w:t xml:space="preserve"> </w:t>
      </w:r>
      <w:r>
        <w:t>60 Watt incandescent reflector equivalent (rated lumens between</w:t>
      </w:r>
      <w:r w:rsidRPr="001F681F">
        <w:t xml:space="preserve"> </w:t>
      </w:r>
      <w:r>
        <w:t>561 and 837)</w:t>
      </w:r>
    </w:p>
    <w:p w:rsidR="00500CAF" w:rsidRPr="001F681F" w:rsidRDefault="00500CAF" w:rsidP="00500CAF">
      <w:pPr>
        <w:pStyle w:val="Equation"/>
      </w:pPr>
      <w:r w:rsidRPr="001F681F">
        <w:t xml:space="preserve">Energy Impact (kWh) </w:t>
      </w:r>
      <w:r>
        <w:tab/>
      </w:r>
      <w:r w:rsidRPr="001F681F">
        <w:t>= (</w:t>
      </w:r>
      <w:r>
        <w:t>(Watts</w:t>
      </w:r>
      <w:r>
        <w:rPr>
          <w:vertAlign w:val="subscript"/>
        </w:rPr>
        <w:t>Base</w:t>
      </w:r>
      <w:r w:rsidDel="006179E0">
        <w:t xml:space="preserve"> </w:t>
      </w:r>
      <w:r>
        <w:t>-Watts</w:t>
      </w:r>
      <w:r>
        <w:rPr>
          <w:vertAlign w:val="subscript"/>
        </w:rPr>
        <w:t>LED</w:t>
      </w:r>
      <w:r>
        <w:t>)</w:t>
      </w:r>
      <w:r w:rsidRPr="001F681F">
        <w:t xml:space="preserve"> * (</w:t>
      </w:r>
      <w:r>
        <w:t>Hours</w:t>
      </w:r>
      <w:r w:rsidRPr="00FE0336">
        <w:rPr>
          <w:vertAlign w:val="subscript"/>
        </w:rPr>
        <w:t>LED</w:t>
      </w:r>
      <w:r>
        <w:t xml:space="preserve"> </w:t>
      </w:r>
      <w:r w:rsidRPr="001F681F">
        <w:t>* 365) / 1000) * ISR</w:t>
      </w:r>
      <w:r w:rsidRPr="001F681F">
        <w:rPr>
          <w:vertAlign w:val="subscript"/>
        </w:rPr>
        <w:t>LED</w:t>
      </w:r>
    </w:p>
    <w:p w:rsidR="00500CAF" w:rsidRPr="001F681F" w:rsidRDefault="00500CAF" w:rsidP="00500CAF">
      <w:pPr>
        <w:pStyle w:val="Equation"/>
      </w:pPr>
      <w:r w:rsidRPr="001F681F">
        <w:t xml:space="preserve">Peak Demand Impact (kW) </w:t>
      </w:r>
      <w:r>
        <w:tab/>
      </w:r>
      <w:r w:rsidRPr="001F681F">
        <w:t>= (</w:t>
      </w:r>
      <w:r>
        <w:t>(Watts</w:t>
      </w:r>
      <w:r>
        <w:rPr>
          <w:vertAlign w:val="subscript"/>
        </w:rPr>
        <w:t>Base</w:t>
      </w:r>
      <w:r w:rsidDel="006179E0">
        <w:t xml:space="preserve"> </w:t>
      </w:r>
      <w:r>
        <w:t>-Watts</w:t>
      </w:r>
      <w:r>
        <w:rPr>
          <w:vertAlign w:val="subscript"/>
        </w:rPr>
        <w:t>LED</w:t>
      </w:r>
      <w:r>
        <w:t>)</w:t>
      </w:r>
      <w:r w:rsidRPr="001F681F">
        <w:t xml:space="preserve"> / 1000) * </w:t>
      </w:r>
      <w:r>
        <w:t xml:space="preserve">CF </w:t>
      </w:r>
      <w:r w:rsidRPr="001F681F">
        <w:t>* ISR</w:t>
      </w:r>
      <w:r w:rsidRPr="001F681F">
        <w:rPr>
          <w:vertAlign w:val="subscript"/>
        </w:rPr>
        <w:t>LED</w:t>
      </w:r>
    </w:p>
    <w:p w:rsidR="00500CAF" w:rsidRPr="001F681F" w:rsidRDefault="00500CAF" w:rsidP="00500CAF">
      <w:pPr>
        <w:pStyle w:val="Heading4"/>
      </w:pPr>
      <w:r w:rsidRPr="001F681F">
        <w:t>Residential LED</w:t>
      </w:r>
      <w:r>
        <w:t>,</w:t>
      </w:r>
      <w:r w:rsidRPr="001F681F">
        <w:t xml:space="preserve"> </w:t>
      </w:r>
      <w:r>
        <w:t>75 Watt incandescent reflector equivalent (rated lumens between</w:t>
      </w:r>
      <w:r w:rsidRPr="001F681F">
        <w:t xml:space="preserve"> </w:t>
      </w:r>
      <w:r>
        <w:t>838 and 1203)</w:t>
      </w:r>
    </w:p>
    <w:p w:rsidR="00500CAF" w:rsidRPr="001F681F" w:rsidRDefault="00500CAF" w:rsidP="00500CAF">
      <w:pPr>
        <w:pStyle w:val="Equation"/>
      </w:pPr>
      <w:r w:rsidRPr="001F681F">
        <w:t xml:space="preserve">Energy Impact (kWh) </w:t>
      </w:r>
      <w:r>
        <w:tab/>
      </w:r>
      <w:r w:rsidRPr="001F681F">
        <w:t>= (</w:t>
      </w:r>
      <w:r>
        <w:t>(Watts</w:t>
      </w:r>
      <w:r>
        <w:rPr>
          <w:vertAlign w:val="subscript"/>
        </w:rPr>
        <w:t>Base</w:t>
      </w:r>
      <w:r w:rsidDel="006179E0">
        <w:t xml:space="preserve"> </w:t>
      </w:r>
      <w:r>
        <w:t>-Watts</w:t>
      </w:r>
      <w:r>
        <w:rPr>
          <w:vertAlign w:val="subscript"/>
        </w:rPr>
        <w:t>LED</w:t>
      </w:r>
      <w:r>
        <w:t>)</w:t>
      </w:r>
      <w:r w:rsidRPr="001F681F">
        <w:t xml:space="preserve"> * (</w:t>
      </w:r>
      <w:r>
        <w:t>Hours</w:t>
      </w:r>
      <w:r w:rsidRPr="00FE0336">
        <w:rPr>
          <w:vertAlign w:val="subscript"/>
        </w:rPr>
        <w:t>LED</w:t>
      </w:r>
      <w:r w:rsidRPr="001F681F">
        <w:t xml:space="preserve"> * 365) / 1000) * ISR</w:t>
      </w:r>
      <w:r w:rsidRPr="001F681F">
        <w:rPr>
          <w:vertAlign w:val="subscript"/>
        </w:rPr>
        <w:t>LED</w:t>
      </w:r>
    </w:p>
    <w:p w:rsidR="00500CAF" w:rsidRPr="001F681F" w:rsidRDefault="00500CAF" w:rsidP="00500CAF">
      <w:pPr>
        <w:pStyle w:val="Equation"/>
      </w:pPr>
      <w:r w:rsidRPr="001F681F">
        <w:t xml:space="preserve">Peak Demand Impact (kW) </w:t>
      </w:r>
      <w:r>
        <w:tab/>
      </w:r>
      <w:r w:rsidRPr="001F681F">
        <w:t>= (</w:t>
      </w:r>
      <w:r>
        <w:t>(Watts</w:t>
      </w:r>
      <w:r>
        <w:rPr>
          <w:vertAlign w:val="subscript"/>
        </w:rPr>
        <w:t>Base</w:t>
      </w:r>
      <w:r w:rsidDel="006179E0">
        <w:t xml:space="preserve"> </w:t>
      </w:r>
      <w:r>
        <w:t>-Watts</w:t>
      </w:r>
      <w:r>
        <w:rPr>
          <w:vertAlign w:val="subscript"/>
        </w:rPr>
        <w:t>LED</w:t>
      </w:r>
      <w:r>
        <w:t>)</w:t>
      </w:r>
      <w:r w:rsidRPr="001F681F">
        <w:t xml:space="preserve"> / 1000) * </w:t>
      </w:r>
      <w:r>
        <w:t xml:space="preserve">CF </w:t>
      </w:r>
      <w:r w:rsidRPr="001F681F">
        <w:t>* ISR</w:t>
      </w:r>
      <w:r w:rsidRPr="001F681F">
        <w:rPr>
          <w:vertAlign w:val="subscript"/>
        </w:rPr>
        <w:t>LED</w:t>
      </w:r>
    </w:p>
    <w:p w:rsidR="00500CAF" w:rsidRPr="001F681F" w:rsidRDefault="00500CAF" w:rsidP="00500CAF">
      <w:pPr>
        <w:pStyle w:val="Heading4"/>
      </w:pPr>
      <w:r w:rsidRPr="001F681F">
        <w:t>Residential LED</w:t>
      </w:r>
      <w:r>
        <w:t>,</w:t>
      </w:r>
      <w:r w:rsidRPr="001F681F">
        <w:t xml:space="preserve"> </w:t>
      </w:r>
      <w:r>
        <w:t>100 Watt incandescent reflector equivalent (rated lumens between</w:t>
      </w:r>
      <w:r w:rsidRPr="001F681F">
        <w:t xml:space="preserve"> </w:t>
      </w:r>
      <w:r>
        <w:t>1204 and 1681)</w:t>
      </w:r>
    </w:p>
    <w:p w:rsidR="00500CAF" w:rsidRPr="001F681F" w:rsidRDefault="00500CAF" w:rsidP="00500CAF">
      <w:pPr>
        <w:pStyle w:val="Equation"/>
      </w:pPr>
      <w:r w:rsidRPr="001F681F">
        <w:t xml:space="preserve">Energy Impact (kWh) </w:t>
      </w:r>
      <w:r>
        <w:tab/>
      </w:r>
      <w:r w:rsidRPr="001F681F">
        <w:t>= (</w:t>
      </w:r>
      <w:r>
        <w:t>(Watts</w:t>
      </w:r>
      <w:r>
        <w:rPr>
          <w:vertAlign w:val="subscript"/>
        </w:rPr>
        <w:t>Base</w:t>
      </w:r>
      <w:r w:rsidDel="006179E0">
        <w:t xml:space="preserve"> </w:t>
      </w:r>
      <w:r>
        <w:t>-Watts</w:t>
      </w:r>
      <w:r>
        <w:rPr>
          <w:vertAlign w:val="subscript"/>
        </w:rPr>
        <w:t>LED</w:t>
      </w:r>
      <w:r>
        <w:t>)</w:t>
      </w:r>
      <w:r w:rsidRPr="001F681F">
        <w:t xml:space="preserve"> * (</w:t>
      </w:r>
      <w:r>
        <w:t>Hours</w:t>
      </w:r>
      <w:r w:rsidRPr="00FE0336">
        <w:rPr>
          <w:vertAlign w:val="subscript"/>
        </w:rPr>
        <w:t>LED</w:t>
      </w:r>
      <w:r w:rsidRPr="001F681F">
        <w:t xml:space="preserve"> * 365) / 1000) * ISR</w:t>
      </w:r>
      <w:r w:rsidRPr="001F681F">
        <w:rPr>
          <w:vertAlign w:val="subscript"/>
        </w:rPr>
        <w:t>LED</w:t>
      </w:r>
    </w:p>
    <w:p w:rsidR="00500CAF" w:rsidRPr="005525D1" w:rsidRDefault="00500CAF" w:rsidP="00500CAF">
      <w:pPr>
        <w:pStyle w:val="Equation"/>
      </w:pPr>
      <w:r w:rsidRPr="001F681F">
        <w:t xml:space="preserve">Peak Demand Impact (kW) </w:t>
      </w:r>
      <w:r>
        <w:tab/>
      </w:r>
      <w:r w:rsidRPr="001F681F">
        <w:t>= (</w:t>
      </w:r>
      <w:r>
        <w:t>(Watts</w:t>
      </w:r>
      <w:r>
        <w:rPr>
          <w:vertAlign w:val="subscript"/>
        </w:rPr>
        <w:t>Base</w:t>
      </w:r>
      <w:r w:rsidDel="006179E0">
        <w:t xml:space="preserve"> </w:t>
      </w:r>
      <w:r>
        <w:t>-Watts</w:t>
      </w:r>
      <w:r>
        <w:rPr>
          <w:vertAlign w:val="subscript"/>
        </w:rPr>
        <w:t>LED</w:t>
      </w:r>
      <w:r>
        <w:t>)</w:t>
      </w:r>
      <w:r w:rsidRPr="001F681F">
        <w:t xml:space="preserve"> / 1000) * </w:t>
      </w:r>
      <w:r>
        <w:t xml:space="preserve">CF </w:t>
      </w:r>
      <w:r w:rsidRPr="001F681F">
        <w:t>* ISR</w:t>
      </w:r>
      <w:r w:rsidRPr="001F681F">
        <w:rPr>
          <w:vertAlign w:val="subscript"/>
        </w:rPr>
        <w:t>LED</w:t>
      </w:r>
    </w:p>
    <w:p w:rsidR="00500CAF" w:rsidRPr="001F681F" w:rsidRDefault="00500CAF" w:rsidP="00500CAF">
      <w:pPr>
        <w:pStyle w:val="Heading4"/>
      </w:pPr>
      <w:r w:rsidRPr="001F681F">
        <w:t>Residential LED</w:t>
      </w:r>
      <w:r>
        <w:t>,</w:t>
      </w:r>
      <w:r w:rsidRPr="001F681F">
        <w:t xml:space="preserve"> </w:t>
      </w:r>
      <w:r>
        <w:t>120 Watt incandescent reflector equivalent (rated lumens between</w:t>
      </w:r>
      <w:r w:rsidRPr="001F681F">
        <w:t xml:space="preserve"> </w:t>
      </w:r>
      <w:r>
        <w:t>1682 and 2339)</w:t>
      </w:r>
    </w:p>
    <w:p w:rsidR="00500CAF" w:rsidRPr="001F681F" w:rsidRDefault="00500CAF" w:rsidP="00500CAF">
      <w:pPr>
        <w:pStyle w:val="Equation"/>
      </w:pPr>
      <w:r w:rsidRPr="001F681F">
        <w:t xml:space="preserve">Energy Impact (kWh) </w:t>
      </w:r>
      <w:r>
        <w:tab/>
      </w:r>
      <w:r w:rsidRPr="001F681F">
        <w:t>= (</w:t>
      </w:r>
      <w:r>
        <w:t>(Watts</w:t>
      </w:r>
      <w:r>
        <w:rPr>
          <w:vertAlign w:val="subscript"/>
        </w:rPr>
        <w:t>Base</w:t>
      </w:r>
      <w:r w:rsidDel="006179E0">
        <w:t xml:space="preserve"> </w:t>
      </w:r>
      <w:r>
        <w:t>-Watts</w:t>
      </w:r>
      <w:r>
        <w:rPr>
          <w:vertAlign w:val="subscript"/>
        </w:rPr>
        <w:t>LED</w:t>
      </w:r>
      <w:r>
        <w:t>)</w:t>
      </w:r>
      <w:r w:rsidRPr="001F681F">
        <w:t xml:space="preserve"> * (</w:t>
      </w:r>
      <w:r>
        <w:t>Hours</w:t>
      </w:r>
      <w:r w:rsidRPr="00FE0336">
        <w:rPr>
          <w:vertAlign w:val="subscript"/>
        </w:rPr>
        <w:t>LED</w:t>
      </w:r>
      <w:r w:rsidRPr="001F681F">
        <w:t xml:space="preserve"> * 365) / 1000) * ISR</w:t>
      </w:r>
      <w:r w:rsidRPr="001F681F">
        <w:rPr>
          <w:vertAlign w:val="subscript"/>
        </w:rPr>
        <w:t>LED</w:t>
      </w:r>
    </w:p>
    <w:p w:rsidR="00500CAF" w:rsidRPr="005525D1" w:rsidRDefault="00500CAF" w:rsidP="00500CAF">
      <w:pPr>
        <w:pStyle w:val="Equation"/>
      </w:pPr>
      <w:r w:rsidRPr="001F681F">
        <w:t xml:space="preserve">Peak Demand Impact (kW) </w:t>
      </w:r>
      <w:r>
        <w:tab/>
      </w:r>
      <w:r w:rsidRPr="001F681F">
        <w:t>= (</w:t>
      </w:r>
      <w:r>
        <w:t>(Watts</w:t>
      </w:r>
      <w:r>
        <w:rPr>
          <w:vertAlign w:val="subscript"/>
        </w:rPr>
        <w:t>Base</w:t>
      </w:r>
      <w:r w:rsidDel="006179E0">
        <w:t xml:space="preserve"> </w:t>
      </w:r>
      <w:r>
        <w:t>-Watts</w:t>
      </w:r>
      <w:r>
        <w:rPr>
          <w:vertAlign w:val="subscript"/>
        </w:rPr>
        <w:t>LED</w:t>
      </w:r>
      <w:r>
        <w:t>)</w:t>
      </w:r>
      <w:r w:rsidRPr="001F681F">
        <w:t xml:space="preserve"> / 1000) * </w:t>
      </w:r>
      <w:r>
        <w:t xml:space="preserve">CF </w:t>
      </w:r>
      <w:r w:rsidRPr="001F681F">
        <w:t>* ISR</w:t>
      </w:r>
      <w:r w:rsidRPr="001F681F">
        <w:rPr>
          <w:vertAlign w:val="subscript"/>
        </w:rPr>
        <w:t>LED</w:t>
      </w:r>
    </w:p>
    <w:p w:rsidR="00500CAF" w:rsidRPr="001F681F" w:rsidRDefault="00500CAF" w:rsidP="00500CAF">
      <w:pPr>
        <w:pStyle w:val="Heading4"/>
      </w:pPr>
      <w:r w:rsidRPr="001F681F">
        <w:t>Residential LED</w:t>
      </w:r>
      <w:r>
        <w:t>,</w:t>
      </w:r>
      <w:r w:rsidRPr="001F681F">
        <w:t xml:space="preserve"> </w:t>
      </w:r>
      <w:r>
        <w:t>150 Watt incandescent reflector equivalent (rated lumens between</w:t>
      </w:r>
      <w:r w:rsidRPr="001F681F">
        <w:t xml:space="preserve"> </w:t>
      </w:r>
      <w:r>
        <w:t>2340 and 3075)</w:t>
      </w:r>
    </w:p>
    <w:p w:rsidR="00500CAF" w:rsidRPr="001F681F" w:rsidRDefault="00500CAF" w:rsidP="00500CAF">
      <w:pPr>
        <w:pStyle w:val="Equation"/>
      </w:pPr>
      <w:r w:rsidRPr="001F681F">
        <w:t xml:space="preserve">Energy Impact (kWh) </w:t>
      </w:r>
      <w:r>
        <w:tab/>
      </w:r>
      <w:r w:rsidRPr="001F681F">
        <w:t>= (</w:t>
      </w:r>
      <w:r>
        <w:t>(Watts</w:t>
      </w:r>
      <w:r>
        <w:rPr>
          <w:vertAlign w:val="subscript"/>
        </w:rPr>
        <w:t>Base</w:t>
      </w:r>
      <w:r w:rsidDel="006179E0">
        <w:t xml:space="preserve"> </w:t>
      </w:r>
      <w:r>
        <w:t>-Watts</w:t>
      </w:r>
      <w:r>
        <w:rPr>
          <w:vertAlign w:val="subscript"/>
        </w:rPr>
        <w:t>LED</w:t>
      </w:r>
      <w:r>
        <w:t>)</w:t>
      </w:r>
      <w:r w:rsidRPr="001F681F">
        <w:t xml:space="preserve"> * (</w:t>
      </w:r>
      <w:r>
        <w:t>Hours</w:t>
      </w:r>
      <w:r w:rsidRPr="00FE0336">
        <w:rPr>
          <w:vertAlign w:val="subscript"/>
        </w:rPr>
        <w:t>LED</w:t>
      </w:r>
      <w:r>
        <w:t xml:space="preserve"> </w:t>
      </w:r>
      <w:r w:rsidRPr="001F681F">
        <w:t>* 365) / 1000) * ISR</w:t>
      </w:r>
      <w:r w:rsidRPr="001F681F">
        <w:rPr>
          <w:vertAlign w:val="subscript"/>
        </w:rPr>
        <w:t>LED</w:t>
      </w:r>
    </w:p>
    <w:p w:rsidR="00500CAF" w:rsidRPr="005525D1" w:rsidRDefault="00500CAF" w:rsidP="00500CAF">
      <w:pPr>
        <w:pStyle w:val="Equation"/>
      </w:pPr>
      <w:r w:rsidRPr="001F681F">
        <w:t xml:space="preserve">Peak Demand Impact (kW) </w:t>
      </w:r>
      <w:r>
        <w:tab/>
      </w:r>
      <w:r w:rsidRPr="001F681F">
        <w:t>= (</w:t>
      </w:r>
      <w:r>
        <w:t>(Watts</w:t>
      </w:r>
      <w:r>
        <w:rPr>
          <w:vertAlign w:val="subscript"/>
        </w:rPr>
        <w:t>Base</w:t>
      </w:r>
      <w:r w:rsidDel="006179E0">
        <w:t xml:space="preserve"> </w:t>
      </w:r>
      <w:r>
        <w:t>-Watts</w:t>
      </w:r>
      <w:r>
        <w:rPr>
          <w:vertAlign w:val="subscript"/>
        </w:rPr>
        <w:t>LED</w:t>
      </w:r>
      <w:r>
        <w:t>)</w:t>
      </w:r>
      <w:r w:rsidRPr="001F681F">
        <w:t xml:space="preserve"> / 1000) * </w:t>
      </w:r>
      <w:r>
        <w:t xml:space="preserve">CF </w:t>
      </w:r>
      <w:r w:rsidRPr="001F681F">
        <w:t>* ISR</w:t>
      </w:r>
      <w:r w:rsidRPr="001F681F">
        <w:rPr>
          <w:vertAlign w:val="subscript"/>
        </w:rPr>
        <w:t>LED</w:t>
      </w:r>
    </w:p>
    <w:p w:rsidR="00500CAF" w:rsidRDefault="00500CAF" w:rsidP="00500CAF">
      <w:pPr>
        <w:pStyle w:val="Heading3"/>
        <w:ind w:left="0" w:firstLine="0"/>
      </w:pPr>
      <w:r w:rsidRPr="001C4AD5">
        <w:t xml:space="preserve">Definition of </w:t>
      </w:r>
      <w:r>
        <w:t>Terms</w:t>
      </w:r>
    </w:p>
    <w:p w:rsidR="00500CAF" w:rsidRDefault="00500CAF" w:rsidP="00500CAF">
      <w:pPr>
        <w:pStyle w:val="Equation"/>
      </w:pPr>
      <w:r>
        <w:tab/>
        <w:t>Watts</w:t>
      </w:r>
      <w:r w:rsidRPr="002709D2">
        <w:rPr>
          <w:vertAlign w:val="subscript"/>
        </w:rPr>
        <w:t>LED</w:t>
      </w:r>
      <w:r w:rsidRPr="00D82D1A">
        <w:t xml:space="preserve"> </w:t>
      </w:r>
      <w:r>
        <w:tab/>
      </w:r>
      <w:r w:rsidRPr="00D82D1A">
        <w:t xml:space="preserve">= </w:t>
      </w:r>
      <w:r>
        <w:t>Manufacturer-claimed wattage shown on product packaging</w:t>
      </w:r>
      <w:r w:rsidRPr="00D82D1A">
        <w:t xml:space="preserve">  </w:t>
      </w:r>
    </w:p>
    <w:p w:rsidR="00500CAF" w:rsidRPr="00D82D1A" w:rsidRDefault="00500CAF" w:rsidP="00500CAF">
      <w:pPr>
        <w:pStyle w:val="Equation"/>
      </w:pPr>
      <w:r>
        <w:tab/>
        <w:t>H</w:t>
      </w:r>
      <w:r w:rsidRPr="00EF0E9C">
        <w:t>ours</w:t>
      </w:r>
      <w:r w:rsidRPr="002709D2">
        <w:rPr>
          <w:vertAlign w:val="subscript"/>
        </w:rPr>
        <w:t>LED</w:t>
      </w:r>
      <w:r w:rsidRPr="00D82D1A">
        <w:t xml:space="preserve"> </w:t>
      </w:r>
      <w:r>
        <w:tab/>
      </w:r>
      <w:r w:rsidRPr="00D82D1A">
        <w:t xml:space="preserve">= Average hours of use per day per </w:t>
      </w:r>
      <w:r>
        <w:t>LED</w:t>
      </w:r>
    </w:p>
    <w:p w:rsidR="00500CAF" w:rsidRDefault="00500CAF" w:rsidP="00500CAF">
      <w:pPr>
        <w:pStyle w:val="Equation"/>
      </w:pPr>
      <w:r>
        <w:tab/>
      </w:r>
      <w:r w:rsidRPr="00D82D1A">
        <w:t>ISR</w:t>
      </w:r>
      <w:r w:rsidRPr="002709D2">
        <w:rPr>
          <w:vertAlign w:val="subscript"/>
        </w:rPr>
        <w:t>LED</w:t>
      </w:r>
      <w:r w:rsidRPr="00D82D1A">
        <w:t xml:space="preserve"> </w:t>
      </w:r>
      <w:r>
        <w:tab/>
      </w:r>
      <w:r w:rsidRPr="00D82D1A">
        <w:t xml:space="preserve">= Residential LED </w:t>
      </w:r>
      <w:r>
        <w:t>i</w:t>
      </w:r>
      <w:r w:rsidRPr="00D82D1A">
        <w:t>n</w:t>
      </w:r>
      <w:r>
        <w:t>-s</w:t>
      </w:r>
      <w:r w:rsidRPr="00D82D1A">
        <w:t xml:space="preserve">ervice </w:t>
      </w:r>
      <w:r>
        <w:t>r</w:t>
      </w:r>
      <w:r w:rsidRPr="00D82D1A">
        <w:t>ate</w:t>
      </w:r>
      <w:r>
        <w:t>—the percentage of units rebated that actually get installed</w:t>
      </w:r>
    </w:p>
    <w:p w:rsidR="00500CAF" w:rsidRDefault="00500CAF" w:rsidP="00500CAF">
      <w:pPr>
        <w:pStyle w:val="Equation"/>
      </w:pPr>
      <w:r>
        <w:tab/>
        <w:t>CF</w:t>
      </w:r>
      <w:r w:rsidRPr="002709D2">
        <w:rPr>
          <w:vertAlign w:val="subscript"/>
        </w:rPr>
        <w:t xml:space="preserve"> </w:t>
      </w:r>
      <w:r>
        <w:rPr>
          <w:vertAlign w:val="subscript"/>
        </w:rPr>
        <w:tab/>
      </w:r>
      <w:r w:rsidRPr="00D82D1A">
        <w:t xml:space="preserve">= </w:t>
      </w:r>
      <w:r w:rsidR="000E4853" w:rsidRPr="000E4853">
        <w:rPr>
          <w:rFonts w:cs="Arial"/>
          <w:szCs w:val="20"/>
        </w:rPr>
        <w:t xml:space="preserve"> </w:t>
      </w:r>
      <w:r w:rsidR="000E4853" w:rsidRPr="00165C8E">
        <w:rPr>
          <w:rFonts w:cs="Arial"/>
          <w:szCs w:val="20"/>
        </w:rPr>
        <w:t>Demand Coincidence Factor (See Section 1.4)</w:t>
      </w:r>
    </w:p>
    <w:p w:rsidR="00500CAF" w:rsidRDefault="00500CAF" w:rsidP="003021FB">
      <w:pPr>
        <w:pStyle w:val="Caption"/>
      </w:pPr>
      <w:bookmarkStart w:id="474" w:name="_Toc310875540"/>
      <w:r>
        <w:lastRenderedPageBreak/>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54</w:t>
      </w:r>
      <w:r w:rsidR="00274AB1">
        <w:rPr>
          <w:noProof/>
        </w:rPr>
        <w:fldChar w:fldCharType="end"/>
      </w:r>
      <w:r>
        <w:t>:</w:t>
      </w:r>
      <w:r w:rsidRPr="00F44A01">
        <w:t xml:space="preserve"> </w:t>
      </w:r>
      <w:r>
        <w:t>Residential LED Variables</w:t>
      </w:r>
      <w:bookmarkEnd w:id="474"/>
    </w:p>
    <w:tbl>
      <w:tblPr>
        <w:tblW w:w="8023" w:type="dxa"/>
        <w:jc w:val="center"/>
        <w:tblLayout w:type="fixed"/>
        <w:tblLook w:val="00A0" w:firstRow="1" w:lastRow="0" w:firstColumn="1" w:lastColumn="0" w:noHBand="0" w:noVBand="0"/>
      </w:tblPr>
      <w:tblGrid>
        <w:gridCol w:w="2032"/>
        <w:gridCol w:w="1260"/>
        <w:gridCol w:w="2841"/>
        <w:gridCol w:w="1890"/>
      </w:tblGrid>
      <w:tr w:rsidR="00500CAF" w:rsidRPr="001F43FA" w:rsidTr="00500CAF">
        <w:trPr>
          <w:trHeight w:val="20"/>
          <w:jc w:val="center"/>
        </w:trPr>
        <w:tc>
          <w:tcPr>
            <w:tcW w:w="2032" w:type="dxa"/>
            <w:tcBorders>
              <w:top w:val="single" w:sz="8" w:space="0" w:color="auto"/>
              <w:left w:val="single" w:sz="8" w:space="0" w:color="auto"/>
              <w:bottom w:val="single" w:sz="8" w:space="0" w:color="auto"/>
              <w:right w:val="single" w:sz="8" w:space="0" w:color="auto"/>
            </w:tcBorders>
            <w:shd w:val="clear" w:color="auto" w:fill="D9D9D9"/>
            <w:noWrap/>
            <w:vAlign w:val="bottom"/>
          </w:tcPr>
          <w:p w:rsidR="00500CAF" w:rsidRDefault="00500CAF" w:rsidP="003021FB">
            <w:pPr>
              <w:pStyle w:val="Caption"/>
              <w:spacing w:before="60" w:after="60"/>
            </w:pPr>
            <w:r w:rsidRPr="00F95F23">
              <w:t>Variable</w:t>
            </w:r>
          </w:p>
        </w:tc>
        <w:tc>
          <w:tcPr>
            <w:tcW w:w="1260" w:type="dxa"/>
            <w:tcBorders>
              <w:top w:val="single" w:sz="8" w:space="0" w:color="auto"/>
              <w:left w:val="nil"/>
              <w:bottom w:val="single" w:sz="8" w:space="0" w:color="auto"/>
              <w:right w:val="single" w:sz="8" w:space="0" w:color="auto"/>
            </w:tcBorders>
            <w:shd w:val="clear" w:color="auto" w:fill="D9D9D9"/>
            <w:noWrap/>
            <w:vAlign w:val="bottom"/>
          </w:tcPr>
          <w:p w:rsidR="00500CAF" w:rsidRDefault="00500CAF" w:rsidP="003021FB">
            <w:pPr>
              <w:pStyle w:val="Caption"/>
              <w:spacing w:before="60" w:after="60"/>
            </w:pPr>
            <w:r w:rsidRPr="00F95F23">
              <w:t>Type</w:t>
            </w:r>
          </w:p>
        </w:tc>
        <w:tc>
          <w:tcPr>
            <w:tcW w:w="2841" w:type="dxa"/>
            <w:tcBorders>
              <w:top w:val="single" w:sz="8" w:space="0" w:color="auto"/>
              <w:left w:val="nil"/>
              <w:bottom w:val="single" w:sz="8" w:space="0" w:color="auto"/>
              <w:right w:val="single" w:sz="8" w:space="0" w:color="auto"/>
            </w:tcBorders>
            <w:shd w:val="clear" w:color="auto" w:fill="D9D9D9"/>
            <w:noWrap/>
            <w:vAlign w:val="bottom"/>
          </w:tcPr>
          <w:p w:rsidR="00500CAF" w:rsidRDefault="00500CAF" w:rsidP="003021FB">
            <w:pPr>
              <w:pStyle w:val="Caption"/>
              <w:spacing w:before="60" w:after="60"/>
            </w:pPr>
            <w:r w:rsidRPr="00F95F23">
              <w:t>Value</w:t>
            </w:r>
          </w:p>
        </w:tc>
        <w:tc>
          <w:tcPr>
            <w:tcW w:w="1890" w:type="dxa"/>
            <w:tcBorders>
              <w:top w:val="single" w:sz="8" w:space="0" w:color="auto"/>
              <w:left w:val="nil"/>
              <w:bottom w:val="single" w:sz="8" w:space="0" w:color="auto"/>
              <w:right w:val="single" w:sz="8" w:space="0" w:color="auto"/>
            </w:tcBorders>
            <w:shd w:val="clear" w:color="auto" w:fill="D9D9D9"/>
            <w:noWrap/>
            <w:vAlign w:val="bottom"/>
          </w:tcPr>
          <w:p w:rsidR="00500CAF" w:rsidRDefault="00500CAF" w:rsidP="003021FB">
            <w:pPr>
              <w:pStyle w:val="Caption"/>
              <w:spacing w:before="60" w:after="60"/>
            </w:pPr>
            <w:r w:rsidRPr="00F95F23">
              <w:t>Source</w:t>
            </w:r>
          </w:p>
        </w:tc>
      </w:tr>
      <w:tr w:rsidR="00500CAF" w:rsidRPr="001F43FA" w:rsidTr="00500CAF">
        <w:trPr>
          <w:trHeight w:val="20"/>
          <w:jc w:val="center"/>
        </w:trPr>
        <w:tc>
          <w:tcPr>
            <w:tcW w:w="2032" w:type="dxa"/>
            <w:tcBorders>
              <w:top w:val="nil"/>
              <w:left w:val="single" w:sz="8" w:space="0" w:color="auto"/>
              <w:bottom w:val="single" w:sz="8" w:space="0" w:color="auto"/>
              <w:right w:val="single" w:sz="8" w:space="0" w:color="auto"/>
            </w:tcBorders>
            <w:noWrap/>
          </w:tcPr>
          <w:p w:rsidR="00500CAF" w:rsidRPr="0050763E" w:rsidRDefault="00500CAF" w:rsidP="003021FB">
            <w:pPr>
              <w:keepNext/>
              <w:spacing w:before="60" w:after="60"/>
              <w:rPr>
                <w:vertAlign w:val="subscript"/>
              </w:rPr>
            </w:pPr>
            <w:r>
              <w:t>Watts</w:t>
            </w:r>
            <w:r>
              <w:rPr>
                <w:vertAlign w:val="subscript"/>
              </w:rPr>
              <w:t>Base</w:t>
            </w:r>
          </w:p>
        </w:tc>
        <w:tc>
          <w:tcPr>
            <w:tcW w:w="1260" w:type="dxa"/>
            <w:tcBorders>
              <w:top w:val="nil"/>
              <w:left w:val="nil"/>
              <w:bottom w:val="single" w:sz="8" w:space="0" w:color="auto"/>
              <w:right w:val="single" w:sz="8" w:space="0" w:color="auto"/>
            </w:tcBorders>
            <w:noWrap/>
          </w:tcPr>
          <w:p w:rsidR="00500CAF" w:rsidRDefault="00500CAF" w:rsidP="003021FB">
            <w:pPr>
              <w:keepNext/>
              <w:spacing w:before="60" w:after="60"/>
            </w:pPr>
            <w:r>
              <w:t>Fixed</w:t>
            </w:r>
          </w:p>
        </w:tc>
        <w:tc>
          <w:tcPr>
            <w:tcW w:w="2841" w:type="dxa"/>
            <w:tcBorders>
              <w:top w:val="nil"/>
              <w:left w:val="nil"/>
              <w:bottom w:val="single" w:sz="8" w:space="0" w:color="auto"/>
              <w:right w:val="single" w:sz="8" w:space="0" w:color="auto"/>
            </w:tcBorders>
            <w:noWrap/>
          </w:tcPr>
          <w:p w:rsidR="00500CAF" w:rsidRDefault="00500CAF" w:rsidP="003021FB">
            <w:pPr>
              <w:keepNext/>
              <w:spacing w:before="60" w:after="60"/>
            </w:pPr>
            <w:r>
              <w:t xml:space="preserve">See </w:t>
            </w:r>
            <w:r w:rsidR="00274AB1">
              <w:fldChar w:fldCharType="begin"/>
            </w:r>
            <w:r w:rsidR="00274AB1">
              <w:instrText xml:space="preserve"> REF _Ref303086685 \h  \* MERGEFORMAT </w:instrText>
            </w:r>
            <w:r w:rsidR="00274AB1">
              <w:fldChar w:fldCharType="separate"/>
            </w:r>
            <w:r w:rsidR="00C0292F" w:rsidRPr="0042295A">
              <w:t xml:space="preserve">Table </w:t>
            </w:r>
            <w:r w:rsidR="00C0292F">
              <w:rPr>
                <w:noProof/>
              </w:rPr>
              <w:t>2</w:t>
            </w:r>
            <w:r w:rsidR="00C0292F">
              <w:rPr>
                <w:noProof/>
              </w:rPr>
              <w:noBreakHyphen/>
              <w:t>52</w:t>
            </w:r>
            <w:r w:rsidR="00274AB1">
              <w:fldChar w:fldCharType="end"/>
            </w:r>
            <w:r>
              <w:t xml:space="preserve"> and </w:t>
            </w:r>
            <w:r w:rsidR="00274AB1">
              <w:fldChar w:fldCharType="begin"/>
            </w:r>
            <w:r w:rsidR="00274AB1">
              <w:instrText xml:space="preserve"> REF _Ref298515113 \h  \* MERGEFORMAT </w:instrText>
            </w:r>
            <w:r w:rsidR="00274AB1">
              <w:fldChar w:fldCharType="separate"/>
            </w:r>
            <w:r w:rsidR="00C0292F" w:rsidRPr="00F44A01">
              <w:t xml:space="preserve">Table </w:t>
            </w:r>
            <w:r w:rsidR="00C0292F">
              <w:rPr>
                <w:noProof/>
              </w:rPr>
              <w:t>2</w:t>
            </w:r>
            <w:r w:rsidR="00C0292F">
              <w:rPr>
                <w:noProof/>
              </w:rPr>
              <w:noBreakHyphen/>
              <w:t>53</w:t>
            </w:r>
            <w:r w:rsidR="00274AB1">
              <w:fldChar w:fldCharType="end"/>
            </w:r>
          </w:p>
        </w:tc>
        <w:tc>
          <w:tcPr>
            <w:tcW w:w="1890" w:type="dxa"/>
            <w:tcBorders>
              <w:top w:val="nil"/>
              <w:left w:val="nil"/>
              <w:bottom w:val="single" w:sz="8" w:space="0" w:color="auto"/>
              <w:right w:val="single" w:sz="8" w:space="0" w:color="auto"/>
            </w:tcBorders>
            <w:noWrap/>
          </w:tcPr>
          <w:p w:rsidR="00500CAF" w:rsidRDefault="007A1FB6" w:rsidP="003021FB">
            <w:pPr>
              <w:keepNext/>
              <w:spacing w:before="60" w:after="60"/>
            </w:pPr>
            <w:r>
              <w:fldChar w:fldCharType="begin"/>
            </w:r>
            <w:r w:rsidR="004D5CFB">
              <w:instrText xml:space="preserve"> REF _Ref303086685 \h </w:instrText>
            </w:r>
            <w:r>
              <w:fldChar w:fldCharType="separate"/>
            </w:r>
            <w:r w:rsidR="00C0292F" w:rsidRPr="0042295A">
              <w:t xml:space="preserve">Table </w:t>
            </w:r>
            <w:r w:rsidR="00C0292F">
              <w:rPr>
                <w:noProof/>
              </w:rPr>
              <w:t>2</w:t>
            </w:r>
            <w:r w:rsidR="00C0292F">
              <w:noBreakHyphen/>
            </w:r>
            <w:r w:rsidR="00C0292F">
              <w:rPr>
                <w:noProof/>
              </w:rPr>
              <w:t>52</w:t>
            </w:r>
            <w:r>
              <w:fldChar w:fldCharType="end"/>
            </w:r>
            <w:r w:rsidR="00500CAF">
              <w:t xml:space="preserve"> and </w:t>
            </w:r>
            <w:r w:rsidR="00274AB1">
              <w:fldChar w:fldCharType="begin"/>
            </w:r>
            <w:r w:rsidR="00274AB1">
              <w:instrText xml:space="preserve"> REF _Ref298515113 \h  \* MERGEFORMAT </w:instrText>
            </w:r>
            <w:r w:rsidR="00274AB1">
              <w:fldChar w:fldCharType="separate"/>
            </w:r>
            <w:r w:rsidR="00C0292F" w:rsidRPr="00F44A01">
              <w:t xml:space="preserve">Table </w:t>
            </w:r>
            <w:r w:rsidR="00C0292F">
              <w:rPr>
                <w:noProof/>
              </w:rPr>
              <w:t>2</w:t>
            </w:r>
            <w:r w:rsidR="00C0292F">
              <w:rPr>
                <w:noProof/>
              </w:rPr>
              <w:noBreakHyphen/>
              <w:t>53</w:t>
            </w:r>
            <w:r w:rsidR="00274AB1">
              <w:fldChar w:fldCharType="end"/>
            </w:r>
          </w:p>
        </w:tc>
      </w:tr>
      <w:tr w:rsidR="00500CAF" w:rsidRPr="001F43FA" w:rsidTr="00500CAF">
        <w:trPr>
          <w:trHeight w:val="20"/>
          <w:jc w:val="center"/>
        </w:trPr>
        <w:tc>
          <w:tcPr>
            <w:tcW w:w="2032" w:type="dxa"/>
            <w:tcBorders>
              <w:top w:val="nil"/>
              <w:left w:val="single" w:sz="8" w:space="0" w:color="auto"/>
              <w:bottom w:val="single" w:sz="8" w:space="0" w:color="auto"/>
              <w:right w:val="single" w:sz="8" w:space="0" w:color="auto"/>
            </w:tcBorders>
            <w:noWrap/>
            <w:vAlign w:val="bottom"/>
          </w:tcPr>
          <w:p w:rsidR="00500CAF" w:rsidRDefault="00500CAF" w:rsidP="003021FB">
            <w:pPr>
              <w:keepNext/>
              <w:spacing w:before="60" w:after="60"/>
              <w:rPr>
                <w:vertAlign w:val="subscript"/>
              </w:rPr>
            </w:pPr>
            <w:r w:rsidRPr="008858FD">
              <w:t>Watts</w:t>
            </w:r>
            <w:r w:rsidRPr="008858FD">
              <w:rPr>
                <w:vertAlign w:val="subscript"/>
              </w:rPr>
              <w:t>LED</w:t>
            </w:r>
          </w:p>
        </w:tc>
        <w:tc>
          <w:tcPr>
            <w:tcW w:w="1260" w:type="dxa"/>
            <w:tcBorders>
              <w:top w:val="nil"/>
              <w:left w:val="nil"/>
              <w:bottom w:val="single" w:sz="8" w:space="0" w:color="auto"/>
              <w:right w:val="single" w:sz="8" w:space="0" w:color="auto"/>
            </w:tcBorders>
            <w:noWrap/>
            <w:vAlign w:val="bottom"/>
          </w:tcPr>
          <w:p w:rsidR="00500CAF" w:rsidRDefault="00500CAF" w:rsidP="003021FB">
            <w:pPr>
              <w:keepNext/>
              <w:spacing w:before="60" w:after="60"/>
            </w:pPr>
            <w:r w:rsidRPr="008858FD">
              <w:t>Fixed</w:t>
            </w:r>
          </w:p>
        </w:tc>
        <w:tc>
          <w:tcPr>
            <w:tcW w:w="2841" w:type="dxa"/>
            <w:tcBorders>
              <w:top w:val="nil"/>
              <w:left w:val="nil"/>
              <w:bottom w:val="single" w:sz="8" w:space="0" w:color="auto"/>
              <w:right w:val="single" w:sz="8" w:space="0" w:color="auto"/>
            </w:tcBorders>
            <w:noWrap/>
            <w:vAlign w:val="bottom"/>
          </w:tcPr>
          <w:p w:rsidR="00500CAF" w:rsidRDefault="00500CAF" w:rsidP="003021FB">
            <w:pPr>
              <w:keepNext/>
              <w:spacing w:before="60" w:after="60"/>
            </w:pPr>
            <w:r w:rsidRPr="008858FD">
              <w:t>Variable</w:t>
            </w:r>
          </w:p>
        </w:tc>
        <w:tc>
          <w:tcPr>
            <w:tcW w:w="1890" w:type="dxa"/>
            <w:tcBorders>
              <w:top w:val="nil"/>
              <w:left w:val="nil"/>
              <w:bottom w:val="single" w:sz="8" w:space="0" w:color="auto"/>
              <w:right w:val="single" w:sz="8" w:space="0" w:color="auto"/>
            </w:tcBorders>
            <w:noWrap/>
            <w:vAlign w:val="bottom"/>
          </w:tcPr>
          <w:p w:rsidR="00500CAF" w:rsidRDefault="00500CAF" w:rsidP="003021FB">
            <w:pPr>
              <w:keepNext/>
              <w:spacing w:before="60" w:after="60"/>
            </w:pPr>
            <w:r w:rsidRPr="008858FD">
              <w:t>Data Gathering</w:t>
            </w:r>
          </w:p>
        </w:tc>
      </w:tr>
      <w:tr w:rsidR="00500CAF" w:rsidRPr="001F43FA" w:rsidTr="00500CAF">
        <w:trPr>
          <w:trHeight w:val="20"/>
          <w:jc w:val="center"/>
        </w:trPr>
        <w:tc>
          <w:tcPr>
            <w:tcW w:w="2032" w:type="dxa"/>
            <w:tcBorders>
              <w:top w:val="nil"/>
              <w:left w:val="single" w:sz="8" w:space="0" w:color="auto"/>
              <w:bottom w:val="single" w:sz="8" w:space="0" w:color="auto"/>
              <w:right w:val="single" w:sz="8" w:space="0" w:color="auto"/>
            </w:tcBorders>
            <w:noWrap/>
            <w:vAlign w:val="bottom"/>
          </w:tcPr>
          <w:p w:rsidR="00500CAF" w:rsidRDefault="00500CAF" w:rsidP="003021FB">
            <w:pPr>
              <w:keepNext/>
              <w:spacing w:before="60" w:after="60"/>
            </w:pPr>
            <w:r w:rsidRPr="008858FD">
              <w:t>Hours</w:t>
            </w:r>
            <w:r w:rsidRPr="008858FD">
              <w:rPr>
                <w:vertAlign w:val="subscript"/>
              </w:rPr>
              <w:t>LED</w:t>
            </w:r>
          </w:p>
        </w:tc>
        <w:tc>
          <w:tcPr>
            <w:tcW w:w="1260" w:type="dxa"/>
            <w:tcBorders>
              <w:top w:val="nil"/>
              <w:left w:val="nil"/>
              <w:bottom w:val="single" w:sz="8" w:space="0" w:color="auto"/>
              <w:right w:val="single" w:sz="8" w:space="0" w:color="auto"/>
            </w:tcBorders>
            <w:noWrap/>
            <w:vAlign w:val="bottom"/>
          </w:tcPr>
          <w:p w:rsidR="00500CAF" w:rsidRDefault="00500CAF" w:rsidP="003021FB">
            <w:pPr>
              <w:keepNext/>
              <w:spacing w:before="60" w:after="60"/>
            </w:pPr>
            <w:r w:rsidRPr="008858FD">
              <w:t>Fixed</w:t>
            </w:r>
          </w:p>
        </w:tc>
        <w:tc>
          <w:tcPr>
            <w:tcW w:w="2841" w:type="dxa"/>
            <w:tcBorders>
              <w:top w:val="nil"/>
              <w:left w:val="nil"/>
              <w:bottom w:val="single" w:sz="8" w:space="0" w:color="auto"/>
              <w:right w:val="single" w:sz="8" w:space="0" w:color="auto"/>
            </w:tcBorders>
            <w:noWrap/>
            <w:vAlign w:val="bottom"/>
          </w:tcPr>
          <w:p w:rsidR="00500CAF" w:rsidRDefault="00500CAF" w:rsidP="003021FB">
            <w:pPr>
              <w:keepNext/>
              <w:spacing w:before="60" w:after="60"/>
            </w:pPr>
            <w:r w:rsidRPr="008858FD">
              <w:t>3</w:t>
            </w:r>
          </w:p>
        </w:tc>
        <w:tc>
          <w:tcPr>
            <w:tcW w:w="1890" w:type="dxa"/>
            <w:tcBorders>
              <w:top w:val="nil"/>
              <w:left w:val="nil"/>
              <w:bottom w:val="single" w:sz="8" w:space="0" w:color="auto"/>
              <w:right w:val="single" w:sz="8" w:space="0" w:color="auto"/>
            </w:tcBorders>
            <w:noWrap/>
            <w:vAlign w:val="bottom"/>
          </w:tcPr>
          <w:p w:rsidR="00500CAF" w:rsidRDefault="00500CAF" w:rsidP="003021FB">
            <w:pPr>
              <w:keepNext/>
              <w:spacing w:before="60" w:after="60"/>
            </w:pPr>
            <w:r w:rsidRPr="008858FD">
              <w:t>1</w:t>
            </w:r>
          </w:p>
        </w:tc>
      </w:tr>
      <w:tr w:rsidR="00500CAF" w:rsidRPr="001F43FA" w:rsidTr="00500CAF">
        <w:trPr>
          <w:trHeight w:val="20"/>
          <w:jc w:val="center"/>
        </w:trPr>
        <w:tc>
          <w:tcPr>
            <w:tcW w:w="2032" w:type="dxa"/>
            <w:tcBorders>
              <w:top w:val="nil"/>
              <w:left w:val="single" w:sz="8" w:space="0" w:color="auto"/>
              <w:bottom w:val="single" w:sz="8" w:space="0" w:color="auto"/>
              <w:right w:val="single" w:sz="8" w:space="0" w:color="auto"/>
            </w:tcBorders>
            <w:noWrap/>
            <w:vAlign w:val="bottom"/>
          </w:tcPr>
          <w:p w:rsidR="00500CAF" w:rsidRDefault="00500CAF" w:rsidP="003021FB">
            <w:pPr>
              <w:keepNext/>
              <w:spacing w:before="60" w:after="60"/>
              <w:rPr>
                <w:vertAlign w:val="subscript"/>
              </w:rPr>
            </w:pPr>
            <w:r w:rsidRPr="008858FD">
              <w:t>CF</w:t>
            </w:r>
          </w:p>
        </w:tc>
        <w:tc>
          <w:tcPr>
            <w:tcW w:w="1260" w:type="dxa"/>
            <w:tcBorders>
              <w:top w:val="nil"/>
              <w:left w:val="nil"/>
              <w:bottom w:val="single" w:sz="8" w:space="0" w:color="auto"/>
              <w:right w:val="single" w:sz="8" w:space="0" w:color="auto"/>
            </w:tcBorders>
            <w:noWrap/>
            <w:vAlign w:val="bottom"/>
          </w:tcPr>
          <w:p w:rsidR="00500CAF" w:rsidRDefault="00500CAF" w:rsidP="003021FB">
            <w:pPr>
              <w:keepNext/>
              <w:spacing w:before="60" w:after="60"/>
            </w:pPr>
            <w:r w:rsidRPr="008858FD">
              <w:t>Fixed</w:t>
            </w:r>
          </w:p>
        </w:tc>
        <w:tc>
          <w:tcPr>
            <w:tcW w:w="2841" w:type="dxa"/>
            <w:tcBorders>
              <w:top w:val="nil"/>
              <w:left w:val="nil"/>
              <w:bottom w:val="single" w:sz="8" w:space="0" w:color="auto"/>
              <w:right w:val="single" w:sz="8" w:space="0" w:color="auto"/>
            </w:tcBorders>
            <w:noWrap/>
            <w:vAlign w:val="bottom"/>
          </w:tcPr>
          <w:p w:rsidR="00500CAF" w:rsidRDefault="00500CAF" w:rsidP="003021FB">
            <w:pPr>
              <w:keepNext/>
              <w:spacing w:before="60" w:after="60"/>
            </w:pPr>
            <w:r w:rsidRPr="008858FD">
              <w:t>5%</w:t>
            </w:r>
          </w:p>
        </w:tc>
        <w:tc>
          <w:tcPr>
            <w:tcW w:w="1890" w:type="dxa"/>
            <w:tcBorders>
              <w:top w:val="nil"/>
              <w:left w:val="nil"/>
              <w:bottom w:val="single" w:sz="8" w:space="0" w:color="auto"/>
              <w:right w:val="single" w:sz="8" w:space="0" w:color="auto"/>
            </w:tcBorders>
            <w:noWrap/>
            <w:vAlign w:val="bottom"/>
          </w:tcPr>
          <w:p w:rsidR="00500CAF" w:rsidRDefault="00500CAF" w:rsidP="003021FB">
            <w:pPr>
              <w:keepNext/>
              <w:spacing w:before="60" w:after="60"/>
            </w:pPr>
            <w:r w:rsidRPr="008858FD">
              <w:t>2</w:t>
            </w:r>
          </w:p>
        </w:tc>
      </w:tr>
      <w:tr w:rsidR="00500CAF" w:rsidRPr="001F43FA" w:rsidTr="00500CAF">
        <w:trPr>
          <w:trHeight w:val="20"/>
          <w:jc w:val="center"/>
        </w:trPr>
        <w:tc>
          <w:tcPr>
            <w:tcW w:w="2032" w:type="dxa"/>
            <w:tcBorders>
              <w:top w:val="single" w:sz="4" w:space="0" w:color="auto"/>
              <w:left w:val="single" w:sz="4" w:space="0" w:color="auto"/>
              <w:bottom w:val="single" w:sz="4" w:space="0" w:color="auto"/>
              <w:right w:val="single" w:sz="4" w:space="0" w:color="auto"/>
            </w:tcBorders>
            <w:noWrap/>
            <w:vAlign w:val="bottom"/>
          </w:tcPr>
          <w:p w:rsidR="00500CAF" w:rsidRDefault="00500CAF" w:rsidP="00500CAF">
            <w:pPr>
              <w:spacing w:before="60" w:after="60"/>
              <w:rPr>
                <w:color w:val="000000"/>
              </w:rPr>
            </w:pPr>
            <w:r w:rsidRPr="008858FD">
              <w:t>ISR</w:t>
            </w:r>
            <w:r w:rsidRPr="008858FD">
              <w:rPr>
                <w:vertAlign w:val="subscript"/>
              </w:rPr>
              <w:t>LED</w:t>
            </w:r>
          </w:p>
        </w:tc>
        <w:tc>
          <w:tcPr>
            <w:tcW w:w="1260" w:type="dxa"/>
            <w:tcBorders>
              <w:top w:val="single" w:sz="4" w:space="0" w:color="auto"/>
              <w:left w:val="single" w:sz="4" w:space="0" w:color="auto"/>
              <w:bottom w:val="single" w:sz="4" w:space="0" w:color="auto"/>
              <w:right w:val="single" w:sz="4" w:space="0" w:color="auto"/>
            </w:tcBorders>
            <w:noWrap/>
            <w:vAlign w:val="bottom"/>
          </w:tcPr>
          <w:p w:rsidR="00500CAF" w:rsidRDefault="00500CAF" w:rsidP="00500CAF">
            <w:pPr>
              <w:spacing w:before="60" w:after="60"/>
            </w:pPr>
            <w:r w:rsidRPr="008858FD">
              <w:t>Fixed</w:t>
            </w:r>
          </w:p>
        </w:tc>
        <w:tc>
          <w:tcPr>
            <w:tcW w:w="2841" w:type="dxa"/>
            <w:tcBorders>
              <w:top w:val="single" w:sz="4" w:space="0" w:color="auto"/>
              <w:left w:val="single" w:sz="4" w:space="0" w:color="auto"/>
              <w:bottom w:val="single" w:sz="4" w:space="0" w:color="auto"/>
              <w:right w:val="single" w:sz="4" w:space="0" w:color="auto"/>
            </w:tcBorders>
            <w:noWrap/>
            <w:vAlign w:val="bottom"/>
          </w:tcPr>
          <w:p w:rsidR="00500CAF" w:rsidRDefault="00500CAF" w:rsidP="00500CAF">
            <w:pPr>
              <w:spacing w:before="60" w:after="60"/>
            </w:pPr>
            <w:r>
              <w:t>95</w:t>
            </w:r>
            <w:r w:rsidR="00FF69CD">
              <w:t>%</w:t>
            </w:r>
            <w:r>
              <w:rPr>
                <w:rStyle w:val="FootnoteReference"/>
              </w:rPr>
              <w:footnoteReference w:id="112"/>
            </w:r>
          </w:p>
        </w:tc>
        <w:tc>
          <w:tcPr>
            <w:tcW w:w="1890" w:type="dxa"/>
            <w:tcBorders>
              <w:top w:val="single" w:sz="4" w:space="0" w:color="auto"/>
              <w:left w:val="single" w:sz="4" w:space="0" w:color="auto"/>
              <w:bottom w:val="single" w:sz="4" w:space="0" w:color="auto"/>
              <w:right w:val="single" w:sz="4" w:space="0" w:color="auto"/>
            </w:tcBorders>
            <w:noWrap/>
            <w:vAlign w:val="bottom"/>
          </w:tcPr>
          <w:p w:rsidR="00500CAF" w:rsidRDefault="00500CAF" w:rsidP="00500CAF">
            <w:pPr>
              <w:spacing w:before="60" w:after="60"/>
            </w:pPr>
            <w:r w:rsidRPr="008858FD">
              <w:t>3</w:t>
            </w:r>
          </w:p>
        </w:tc>
      </w:tr>
    </w:tbl>
    <w:p w:rsidR="00500CAF" w:rsidRPr="00D82D1A" w:rsidRDefault="00500CAF" w:rsidP="00500CAF"/>
    <w:p w:rsidR="00500CAF" w:rsidRPr="00F44A01" w:rsidRDefault="00500CAF" w:rsidP="00500CAF">
      <w:r w:rsidRPr="008858FD">
        <w:rPr>
          <w:b/>
        </w:rPr>
        <w:t>Sources</w:t>
      </w:r>
      <w:r w:rsidRPr="00F44A01">
        <w:t>:</w:t>
      </w:r>
    </w:p>
    <w:p w:rsidR="00500CAF" w:rsidRDefault="00500CAF" w:rsidP="0005632A">
      <w:pPr>
        <w:pStyle w:val="source1"/>
        <w:numPr>
          <w:ilvl w:val="0"/>
          <w:numId w:val="105"/>
        </w:numPr>
      </w:pPr>
      <w:r w:rsidRPr="008858FD">
        <w:t>US Department of Energy, Energy Star Calculator.  Accessed 3-16-2009</w:t>
      </w:r>
    </w:p>
    <w:p w:rsidR="00500CAF" w:rsidRDefault="00500CAF" w:rsidP="00500CAF">
      <w:pPr>
        <w:pStyle w:val="source1"/>
      </w:pPr>
      <w:r>
        <w:t>RLW Analytics, “Development of Common Demand Impacts for Energy Efficiency Measures/Programs for the ISO Forward Capacity Market (FCM),” prepared for the New England State Program Working Group (SPWG), March 25, 2007, p. IV</w:t>
      </w:r>
      <w:r w:rsidRPr="002D3477">
        <w:t>.</w:t>
      </w:r>
    </w:p>
    <w:p w:rsidR="00500CAF" w:rsidRDefault="00500CAF" w:rsidP="00500CAF">
      <w:pPr>
        <w:pStyle w:val="source1"/>
      </w:pPr>
      <w:r>
        <w:t>Mid-Atlantic TRM, version 2.0.  Prepared by Vermont Energy Investment Corporation. Facilitated and managed by the Northeast Energy Efficiency Partnerships. July 2011.</w:t>
      </w:r>
    </w:p>
    <w:p w:rsidR="00500CAF" w:rsidRPr="006179E0" w:rsidRDefault="00500CAF" w:rsidP="00500CAF">
      <w:pPr>
        <w:pStyle w:val="Heading3"/>
      </w:pPr>
      <w:r>
        <w:t>Measure Life</w:t>
      </w:r>
    </w:p>
    <w:p w:rsidR="00500CAF" w:rsidRDefault="00500CAF" w:rsidP="00500CAF">
      <w:r>
        <w:t>Residential LED Measure Life is</w:t>
      </w:r>
      <w:r w:rsidRPr="00D82D1A">
        <w:t xml:space="preserve"> </w:t>
      </w:r>
      <w:r>
        <w:t>13</w:t>
      </w:r>
      <w:r w:rsidR="00305C8B">
        <w:t>.7</w:t>
      </w:r>
      <w:r w:rsidRPr="00D82D1A">
        <w:t xml:space="preserve"> yrs</w:t>
      </w:r>
      <w:r w:rsidRPr="00D82D1A">
        <w:rPr>
          <w:rStyle w:val="FootnoteReference"/>
        </w:rPr>
        <w:footnoteReference w:id="113"/>
      </w:r>
      <w:r>
        <w:t>.</w:t>
      </w:r>
    </w:p>
    <w:p w:rsidR="004D5CFB" w:rsidRPr="001C4AD5" w:rsidRDefault="004D5CFB" w:rsidP="004D5CFB">
      <w:pPr>
        <w:pStyle w:val="Heading2"/>
      </w:pPr>
      <w:r>
        <w:br w:type="page"/>
      </w:r>
      <w:bookmarkStart w:id="475" w:name="_Toc310875432"/>
      <w:r>
        <w:lastRenderedPageBreak/>
        <w:t>Residential Occupancy Sensors</w:t>
      </w:r>
      <w:bookmarkEnd w:id="475"/>
    </w:p>
    <w:p w:rsidR="004D5CFB" w:rsidRDefault="004D5CFB" w:rsidP="004D5CFB">
      <w:r>
        <w:t xml:space="preserve">This </w:t>
      </w:r>
      <w:r w:rsidRPr="00940EC4">
        <w:t>protocol is for the installation of occupancy sensors inside residential home</w:t>
      </w:r>
      <w:r>
        <w:t>s</w:t>
      </w:r>
      <w:r w:rsidRPr="00940EC4">
        <w:t xml:space="preserve"> or common areas.</w:t>
      </w:r>
    </w:p>
    <w:p w:rsidR="004D5CFB" w:rsidRDefault="004D5CFB" w:rsidP="004D5CFB">
      <w:pPr>
        <w:pStyle w:val="Heading3"/>
      </w:pPr>
      <w:r w:rsidRPr="001C4AD5">
        <w:t>Algorithms</w:t>
      </w:r>
    </w:p>
    <w:p w:rsidR="004D5CFB" w:rsidRDefault="004D5CFB" w:rsidP="004D5CFB">
      <w:pPr>
        <w:pStyle w:val="Equation"/>
        <w:rPr>
          <w:rFonts w:cs="Arial"/>
          <w:szCs w:val="20"/>
          <w:vertAlign w:val="subscript"/>
        </w:rPr>
      </w:pPr>
      <w:r>
        <w:rPr>
          <w:rFonts w:cs="Arial"/>
          <w:szCs w:val="20"/>
        </w:rPr>
        <w:t>ΔkWh</w:t>
      </w:r>
      <w:r w:rsidRPr="00F5204A">
        <w:rPr>
          <w:rFonts w:cs="Arial"/>
          <w:szCs w:val="20"/>
        </w:rPr>
        <w:tab/>
      </w:r>
      <w:r>
        <w:rPr>
          <w:rFonts w:cs="Arial"/>
          <w:szCs w:val="20"/>
        </w:rPr>
        <w:tab/>
      </w:r>
      <w:r w:rsidRPr="00F5204A">
        <w:rPr>
          <w:rFonts w:cs="Arial"/>
          <w:szCs w:val="20"/>
        </w:rPr>
        <w:t xml:space="preserve">= </w:t>
      </w:r>
      <w:r>
        <w:rPr>
          <w:rFonts w:cs="Arial"/>
          <w:szCs w:val="20"/>
        </w:rPr>
        <w:t>kW</w:t>
      </w:r>
      <w:r w:rsidRPr="003511D7">
        <w:rPr>
          <w:rFonts w:cs="Arial"/>
          <w:szCs w:val="20"/>
          <w:vertAlign w:val="subscript"/>
        </w:rPr>
        <w:t>controlled</w:t>
      </w:r>
      <w:r>
        <w:rPr>
          <w:rFonts w:cs="Arial"/>
          <w:szCs w:val="20"/>
        </w:rPr>
        <w:t xml:space="preserve"> x 365 x (RH</w:t>
      </w:r>
      <w:r w:rsidRPr="003511D7">
        <w:rPr>
          <w:rFonts w:cs="Arial"/>
          <w:szCs w:val="20"/>
          <w:vertAlign w:val="subscript"/>
        </w:rPr>
        <w:t>old</w:t>
      </w:r>
      <w:r w:rsidRPr="00826D94">
        <w:rPr>
          <w:rFonts w:cs="Arial"/>
          <w:szCs w:val="20"/>
        </w:rPr>
        <w:t xml:space="preserve"> </w:t>
      </w:r>
      <w:r>
        <w:rPr>
          <w:rFonts w:cs="Arial"/>
          <w:szCs w:val="20"/>
        </w:rPr>
        <w:t>– RH</w:t>
      </w:r>
      <w:r w:rsidRPr="003511D7">
        <w:rPr>
          <w:rFonts w:cs="Arial"/>
          <w:szCs w:val="20"/>
          <w:vertAlign w:val="subscript"/>
        </w:rPr>
        <w:t>new</w:t>
      </w:r>
      <w:r>
        <w:rPr>
          <w:rFonts w:cs="Arial"/>
          <w:szCs w:val="20"/>
        </w:rPr>
        <w:t>)</w:t>
      </w:r>
    </w:p>
    <w:p w:rsidR="004D5CFB" w:rsidRPr="003511D7" w:rsidRDefault="004D5CFB" w:rsidP="004D5CFB">
      <w:pPr>
        <w:pStyle w:val="Equation"/>
        <w:rPr>
          <w:rFonts w:cs="Arial"/>
          <w:szCs w:val="20"/>
        </w:rPr>
      </w:pPr>
      <w:r w:rsidRPr="00AA2C40">
        <w:rPr>
          <w:rFonts w:cs="Arial"/>
          <w:szCs w:val="20"/>
        </w:rPr>
        <w:sym w:font="Symbol" w:char="F044"/>
      </w:r>
      <w:r w:rsidRPr="00AA2C40">
        <w:rPr>
          <w:rFonts w:cs="Arial"/>
          <w:szCs w:val="20"/>
        </w:rPr>
        <w:t>kW</w:t>
      </w:r>
      <w:r w:rsidRPr="00AA2C40">
        <w:rPr>
          <w:rFonts w:cs="Arial"/>
          <w:szCs w:val="20"/>
          <w:vertAlign w:val="subscript"/>
        </w:rPr>
        <w:t>peak</w:t>
      </w:r>
      <w:r w:rsidRPr="00AA2C40" w:rsidDel="00503B5D">
        <w:rPr>
          <w:rFonts w:cs="Arial"/>
          <w:szCs w:val="20"/>
        </w:rPr>
        <w:t xml:space="preserve"> </w:t>
      </w:r>
      <w:r w:rsidRPr="00AA2C40">
        <w:rPr>
          <w:rFonts w:cs="Arial"/>
          <w:szCs w:val="20"/>
        </w:rPr>
        <w:tab/>
        <w:t>= 0</w:t>
      </w:r>
    </w:p>
    <w:p w:rsidR="004D5CFB" w:rsidRDefault="004D5CFB" w:rsidP="004D5CFB">
      <w:pPr>
        <w:pStyle w:val="Heading3"/>
      </w:pPr>
      <w:r w:rsidRPr="001C4AD5">
        <w:t xml:space="preserve">Definition of </w:t>
      </w:r>
      <w:r>
        <w:t>Terms</w:t>
      </w:r>
    </w:p>
    <w:p w:rsidR="004D5CFB" w:rsidRDefault="004D5CFB" w:rsidP="004D5CFB">
      <w:pPr>
        <w:pStyle w:val="Equation"/>
        <w:rPr>
          <w:rFonts w:cs="Arial"/>
          <w:szCs w:val="20"/>
        </w:rPr>
      </w:pPr>
      <w:r w:rsidRPr="00F5204A">
        <w:rPr>
          <w:rFonts w:cs="Arial"/>
          <w:szCs w:val="20"/>
        </w:rPr>
        <w:tab/>
      </w:r>
      <w:r>
        <w:rPr>
          <w:rFonts w:cs="Arial"/>
          <w:szCs w:val="20"/>
        </w:rPr>
        <w:t>kW</w:t>
      </w:r>
      <w:r>
        <w:rPr>
          <w:rFonts w:cs="Arial"/>
          <w:szCs w:val="20"/>
          <w:vertAlign w:val="subscript"/>
        </w:rPr>
        <w:t>controlled</w:t>
      </w:r>
      <w:r w:rsidRPr="00F5204A">
        <w:rPr>
          <w:rFonts w:cs="Arial"/>
          <w:szCs w:val="20"/>
        </w:rPr>
        <w:t xml:space="preserve"> </w:t>
      </w:r>
      <w:r w:rsidRPr="00F5204A">
        <w:rPr>
          <w:rFonts w:cs="Arial"/>
          <w:szCs w:val="20"/>
        </w:rPr>
        <w:tab/>
        <w:t xml:space="preserve">= </w:t>
      </w:r>
      <w:r>
        <w:rPr>
          <w:rFonts w:cs="Arial"/>
          <w:szCs w:val="20"/>
        </w:rPr>
        <w:t>Wattage of the fixture being controlled by the occupancy sensor (in kilowatts)</w:t>
      </w:r>
    </w:p>
    <w:p w:rsidR="004D5CFB" w:rsidRDefault="004D5CFB" w:rsidP="004D5CFB">
      <w:pPr>
        <w:pStyle w:val="Equation"/>
        <w:rPr>
          <w:rFonts w:cs="Arial"/>
          <w:szCs w:val="20"/>
        </w:rPr>
      </w:pPr>
      <w:r>
        <w:rPr>
          <w:rFonts w:cs="Arial"/>
          <w:szCs w:val="20"/>
        </w:rPr>
        <w:tab/>
        <w:t>365</w:t>
      </w:r>
      <w:r>
        <w:rPr>
          <w:rFonts w:cs="Arial"/>
          <w:szCs w:val="20"/>
        </w:rPr>
        <w:tab/>
        <w:t>= Days per year</w:t>
      </w:r>
    </w:p>
    <w:p w:rsidR="004D5CFB" w:rsidRDefault="004D5CFB" w:rsidP="004D5CFB">
      <w:pPr>
        <w:pStyle w:val="Equation"/>
        <w:rPr>
          <w:rFonts w:cs="Arial"/>
          <w:szCs w:val="20"/>
        </w:rPr>
      </w:pPr>
      <w:r>
        <w:rPr>
          <w:rFonts w:cs="Arial"/>
          <w:szCs w:val="20"/>
        </w:rPr>
        <w:tab/>
        <w:t>RH</w:t>
      </w:r>
      <w:r>
        <w:rPr>
          <w:rFonts w:cs="Arial"/>
          <w:szCs w:val="20"/>
          <w:vertAlign w:val="subscript"/>
        </w:rPr>
        <w:t>old</w:t>
      </w:r>
      <w:r>
        <w:rPr>
          <w:rFonts w:cs="Arial"/>
          <w:szCs w:val="20"/>
          <w:vertAlign w:val="subscript"/>
        </w:rPr>
        <w:tab/>
      </w:r>
      <w:r>
        <w:rPr>
          <w:rFonts w:cs="Arial"/>
          <w:szCs w:val="20"/>
        </w:rPr>
        <w:t>= Daily run hours before installation</w:t>
      </w:r>
    </w:p>
    <w:p w:rsidR="004D5CFB" w:rsidRPr="003511D7" w:rsidRDefault="004D5CFB" w:rsidP="004D5CFB">
      <w:pPr>
        <w:pStyle w:val="Equation"/>
        <w:rPr>
          <w:rFonts w:cs="Arial"/>
          <w:szCs w:val="20"/>
        </w:rPr>
      </w:pPr>
      <w:r>
        <w:rPr>
          <w:rFonts w:cs="Arial"/>
          <w:szCs w:val="20"/>
        </w:rPr>
        <w:tab/>
        <w:t>RH</w:t>
      </w:r>
      <w:r>
        <w:rPr>
          <w:rFonts w:cs="Arial"/>
          <w:szCs w:val="20"/>
          <w:vertAlign w:val="subscript"/>
        </w:rPr>
        <w:t>new</w:t>
      </w:r>
      <w:r>
        <w:rPr>
          <w:rFonts w:cs="Arial"/>
          <w:szCs w:val="20"/>
          <w:vertAlign w:val="subscript"/>
        </w:rPr>
        <w:tab/>
      </w:r>
      <w:r>
        <w:rPr>
          <w:rFonts w:cs="Arial"/>
          <w:szCs w:val="20"/>
        </w:rPr>
        <w:t>= Daily run hours after installation</w:t>
      </w:r>
    </w:p>
    <w:p w:rsidR="004D5CFB" w:rsidRPr="001C4AD5" w:rsidRDefault="004D5CFB" w:rsidP="004D5CFB">
      <w:pPr>
        <w:pStyle w:val="StyleCaptionCentered"/>
      </w:pPr>
      <w:bookmarkStart w:id="476" w:name="_Toc310875541"/>
      <w:r>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55</w:t>
      </w:r>
      <w:r w:rsidR="00274AB1">
        <w:rPr>
          <w:noProof/>
        </w:rPr>
        <w:fldChar w:fldCharType="end"/>
      </w:r>
      <w:r>
        <w:t>: Residential Occupancy Sensors Calculations Assumptions</w:t>
      </w:r>
      <w:bookmarkEnd w:id="476"/>
    </w:p>
    <w:tbl>
      <w:tblPr>
        <w:tblW w:w="5000" w:type="pct"/>
        <w:jc w:val="center"/>
        <w:tblCellMar>
          <w:left w:w="115" w:type="dxa"/>
          <w:right w:w="115" w:type="dxa"/>
        </w:tblCellMar>
        <w:tblLook w:val="00A0" w:firstRow="1" w:lastRow="0" w:firstColumn="1" w:lastColumn="0" w:noHBand="0" w:noVBand="0"/>
      </w:tblPr>
      <w:tblGrid>
        <w:gridCol w:w="1713"/>
        <w:gridCol w:w="1221"/>
        <w:gridCol w:w="3816"/>
        <w:gridCol w:w="2120"/>
      </w:tblGrid>
      <w:tr w:rsidR="004D5CFB" w:rsidRPr="000151F9" w:rsidTr="004D5CFB">
        <w:trPr>
          <w:trHeight w:val="317"/>
          <w:jc w:val="center"/>
        </w:trPr>
        <w:tc>
          <w:tcPr>
            <w:tcW w:w="966" w:type="pct"/>
            <w:tcBorders>
              <w:top w:val="single" w:sz="8" w:space="0" w:color="auto"/>
              <w:left w:val="single" w:sz="8" w:space="0" w:color="auto"/>
              <w:bottom w:val="single" w:sz="8" w:space="0" w:color="auto"/>
              <w:right w:val="single" w:sz="8" w:space="0" w:color="auto"/>
            </w:tcBorders>
            <w:shd w:val="clear" w:color="auto" w:fill="BFBFBF"/>
            <w:vAlign w:val="center"/>
          </w:tcPr>
          <w:p w:rsidR="004D5CFB" w:rsidRPr="001D6512" w:rsidRDefault="004D5CFB" w:rsidP="004D5CFB">
            <w:pPr>
              <w:pStyle w:val="TableCell"/>
              <w:spacing w:before="60" w:after="60"/>
              <w:rPr>
                <w:b/>
              </w:rPr>
            </w:pPr>
            <w:r w:rsidRPr="001D6512">
              <w:rPr>
                <w:b/>
              </w:rPr>
              <w:t>Component</w:t>
            </w:r>
          </w:p>
        </w:tc>
        <w:tc>
          <w:tcPr>
            <w:tcW w:w="688" w:type="pct"/>
            <w:tcBorders>
              <w:top w:val="single" w:sz="8" w:space="0" w:color="auto"/>
              <w:left w:val="nil"/>
              <w:bottom w:val="single" w:sz="8" w:space="0" w:color="auto"/>
              <w:right w:val="single" w:sz="8" w:space="0" w:color="auto"/>
            </w:tcBorders>
            <w:shd w:val="clear" w:color="auto" w:fill="BFBFBF"/>
            <w:vAlign w:val="center"/>
          </w:tcPr>
          <w:p w:rsidR="004D5CFB" w:rsidRPr="001D6512" w:rsidRDefault="004D5CFB" w:rsidP="004D5CFB">
            <w:pPr>
              <w:pStyle w:val="TableCell"/>
              <w:spacing w:before="60" w:after="60"/>
              <w:rPr>
                <w:b/>
              </w:rPr>
            </w:pPr>
            <w:r w:rsidRPr="001D6512">
              <w:rPr>
                <w:b/>
              </w:rPr>
              <w:t>Type</w:t>
            </w:r>
          </w:p>
        </w:tc>
        <w:tc>
          <w:tcPr>
            <w:tcW w:w="2151" w:type="pct"/>
            <w:tcBorders>
              <w:top w:val="single" w:sz="8" w:space="0" w:color="auto"/>
              <w:left w:val="nil"/>
              <w:bottom w:val="single" w:sz="8" w:space="0" w:color="auto"/>
              <w:right w:val="single" w:sz="8" w:space="0" w:color="auto"/>
            </w:tcBorders>
            <w:shd w:val="clear" w:color="auto" w:fill="BFBFBF"/>
            <w:vAlign w:val="center"/>
          </w:tcPr>
          <w:p w:rsidR="004D5CFB" w:rsidRPr="001D6512" w:rsidRDefault="004D5CFB" w:rsidP="004D5CFB">
            <w:pPr>
              <w:pStyle w:val="TableCell"/>
              <w:spacing w:before="60" w:after="60"/>
              <w:rPr>
                <w:b/>
              </w:rPr>
            </w:pPr>
            <w:r w:rsidRPr="001D6512">
              <w:rPr>
                <w:b/>
              </w:rPr>
              <w:t>Value</w:t>
            </w:r>
          </w:p>
        </w:tc>
        <w:tc>
          <w:tcPr>
            <w:tcW w:w="1195" w:type="pct"/>
            <w:tcBorders>
              <w:top w:val="single" w:sz="8" w:space="0" w:color="auto"/>
              <w:left w:val="nil"/>
              <w:bottom w:val="single" w:sz="8" w:space="0" w:color="auto"/>
              <w:right w:val="single" w:sz="8" w:space="0" w:color="auto"/>
            </w:tcBorders>
            <w:shd w:val="clear" w:color="auto" w:fill="BFBFBF"/>
            <w:vAlign w:val="center"/>
          </w:tcPr>
          <w:p w:rsidR="004D5CFB" w:rsidRPr="001D6512" w:rsidRDefault="004D5CFB" w:rsidP="004D5CFB">
            <w:pPr>
              <w:pStyle w:val="TableCell"/>
              <w:spacing w:before="60" w:after="60"/>
              <w:rPr>
                <w:b/>
              </w:rPr>
            </w:pPr>
            <w:r w:rsidRPr="001D6512">
              <w:rPr>
                <w:b/>
              </w:rPr>
              <w:t>Source</w:t>
            </w:r>
          </w:p>
        </w:tc>
      </w:tr>
      <w:tr w:rsidR="004D5CFB" w:rsidRPr="000151F9" w:rsidTr="004D5CFB">
        <w:trPr>
          <w:trHeight w:val="317"/>
          <w:jc w:val="center"/>
        </w:trPr>
        <w:tc>
          <w:tcPr>
            <w:tcW w:w="966" w:type="pct"/>
            <w:tcBorders>
              <w:top w:val="single" w:sz="8" w:space="0" w:color="auto"/>
              <w:left w:val="single" w:sz="8" w:space="0" w:color="auto"/>
              <w:bottom w:val="single" w:sz="8" w:space="0" w:color="auto"/>
              <w:right w:val="single" w:sz="8" w:space="0" w:color="auto"/>
            </w:tcBorders>
            <w:vAlign w:val="center"/>
          </w:tcPr>
          <w:p w:rsidR="004D5CFB" w:rsidRPr="001D6512" w:rsidRDefault="004D5CFB" w:rsidP="004D5CFB">
            <w:pPr>
              <w:pStyle w:val="TableCell"/>
              <w:spacing w:before="60" w:after="60"/>
            </w:pPr>
            <w:r w:rsidRPr="001D6512">
              <w:t>kW</w:t>
            </w:r>
            <w:r w:rsidRPr="001D6512">
              <w:rPr>
                <w:vertAlign w:val="subscript"/>
              </w:rPr>
              <w:t>controlled</w:t>
            </w:r>
          </w:p>
        </w:tc>
        <w:tc>
          <w:tcPr>
            <w:tcW w:w="688" w:type="pct"/>
            <w:tcBorders>
              <w:top w:val="single" w:sz="8" w:space="0" w:color="auto"/>
              <w:left w:val="nil"/>
              <w:bottom w:val="single" w:sz="8" w:space="0" w:color="auto"/>
              <w:right w:val="single" w:sz="8" w:space="0" w:color="auto"/>
            </w:tcBorders>
            <w:vAlign w:val="center"/>
          </w:tcPr>
          <w:p w:rsidR="004D5CFB" w:rsidRPr="001D6512" w:rsidRDefault="004D5CFB" w:rsidP="004D5CFB">
            <w:pPr>
              <w:pStyle w:val="TableCell"/>
              <w:spacing w:before="60" w:after="60"/>
            </w:pPr>
            <w:r w:rsidRPr="001D6512">
              <w:t>Variable</w:t>
            </w:r>
          </w:p>
        </w:tc>
        <w:tc>
          <w:tcPr>
            <w:tcW w:w="2151" w:type="pct"/>
            <w:tcBorders>
              <w:top w:val="single" w:sz="8" w:space="0" w:color="auto"/>
              <w:left w:val="nil"/>
              <w:bottom w:val="single" w:sz="8" w:space="0" w:color="auto"/>
              <w:right w:val="single" w:sz="8" w:space="0" w:color="auto"/>
            </w:tcBorders>
            <w:vAlign w:val="center"/>
          </w:tcPr>
          <w:p w:rsidR="004D5CFB" w:rsidRPr="001D6512" w:rsidRDefault="004D5CFB" w:rsidP="004D5CFB">
            <w:pPr>
              <w:pStyle w:val="TableCell"/>
              <w:spacing w:before="60" w:after="60"/>
            </w:pPr>
            <w:r w:rsidRPr="001D6512">
              <w:t>EDC’s Data Gathering</w:t>
            </w:r>
          </w:p>
        </w:tc>
        <w:tc>
          <w:tcPr>
            <w:tcW w:w="1195" w:type="pct"/>
            <w:tcBorders>
              <w:top w:val="single" w:sz="8" w:space="0" w:color="auto"/>
              <w:left w:val="nil"/>
              <w:bottom w:val="single" w:sz="8" w:space="0" w:color="auto"/>
              <w:right w:val="single" w:sz="8" w:space="0" w:color="auto"/>
            </w:tcBorders>
            <w:vAlign w:val="center"/>
          </w:tcPr>
          <w:p w:rsidR="004D5CFB" w:rsidRPr="001D6512" w:rsidRDefault="004D5CFB" w:rsidP="004D5CFB">
            <w:pPr>
              <w:pStyle w:val="TableCell"/>
              <w:spacing w:before="60" w:after="60"/>
            </w:pPr>
            <w:r w:rsidRPr="001D6512">
              <w:t>AEPS Application; EDC’s Data Gathering</w:t>
            </w:r>
          </w:p>
        </w:tc>
      </w:tr>
      <w:tr w:rsidR="004D5CFB" w:rsidRPr="000151F9" w:rsidTr="004D5CFB">
        <w:trPr>
          <w:trHeight w:val="317"/>
          <w:jc w:val="center"/>
        </w:trPr>
        <w:tc>
          <w:tcPr>
            <w:tcW w:w="966" w:type="pct"/>
            <w:tcBorders>
              <w:top w:val="single" w:sz="8" w:space="0" w:color="auto"/>
              <w:left w:val="single" w:sz="8" w:space="0" w:color="auto"/>
              <w:bottom w:val="single" w:sz="8" w:space="0" w:color="auto"/>
              <w:right w:val="single" w:sz="8" w:space="0" w:color="auto"/>
            </w:tcBorders>
            <w:vAlign w:val="center"/>
          </w:tcPr>
          <w:p w:rsidR="004D5CFB" w:rsidRPr="001D6512" w:rsidRDefault="004D5CFB" w:rsidP="004D5CFB">
            <w:pPr>
              <w:pStyle w:val="TableCell"/>
              <w:spacing w:before="60" w:after="60"/>
              <w:rPr>
                <w:vertAlign w:val="subscript"/>
              </w:rPr>
            </w:pPr>
            <w:r w:rsidRPr="001D6512">
              <w:t>RH</w:t>
            </w:r>
            <w:r w:rsidRPr="001D6512">
              <w:rPr>
                <w:vertAlign w:val="subscript"/>
              </w:rPr>
              <w:t>old</w:t>
            </w:r>
          </w:p>
        </w:tc>
        <w:tc>
          <w:tcPr>
            <w:tcW w:w="688" w:type="pct"/>
            <w:tcBorders>
              <w:top w:val="single" w:sz="8" w:space="0" w:color="auto"/>
              <w:left w:val="nil"/>
              <w:bottom w:val="single" w:sz="8" w:space="0" w:color="auto"/>
              <w:right w:val="single" w:sz="8" w:space="0" w:color="auto"/>
            </w:tcBorders>
            <w:vAlign w:val="center"/>
          </w:tcPr>
          <w:p w:rsidR="004D5CFB" w:rsidRPr="001D6512" w:rsidRDefault="004D5CFB" w:rsidP="004D5CFB">
            <w:pPr>
              <w:pStyle w:val="TableCell"/>
              <w:spacing w:before="60" w:after="60"/>
            </w:pPr>
            <w:r w:rsidRPr="001D6512">
              <w:t>Fixed</w:t>
            </w:r>
          </w:p>
        </w:tc>
        <w:tc>
          <w:tcPr>
            <w:tcW w:w="2151" w:type="pct"/>
            <w:tcBorders>
              <w:top w:val="single" w:sz="8" w:space="0" w:color="auto"/>
              <w:left w:val="nil"/>
              <w:bottom w:val="single" w:sz="8" w:space="0" w:color="auto"/>
              <w:right w:val="single" w:sz="8" w:space="0" w:color="auto"/>
            </w:tcBorders>
            <w:vAlign w:val="center"/>
          </w:tcPr>
          <w:p w:rsidR="004D5CFB" w:rsidRPr="001D6512" w:rsidRDefault="004D5CFB" w:rsidP="004D5CFB">
            <w:pPr>
              <w:pStyle w:val="TableCell"/>
              <w:spacing w:before="60" w:after="60"/>
            </w:pPr>
            <w:r w:rsidRPr="001D6512">
              <w:t>3.0</w:t>
            </w:r>
          </w:p>
        </w:tc>
        <w:tc>
          <w:tcPr>
            <w:tcW w:w="1195" w:type="pct"/>
            <w:tcBorders>
              <w:top w:val="single" w:sz="8" w:space="0" w:color="auto"/>
              <w:left w:val="nil"/>
              <w:bottom w:val="single" w:sz="8" w:space="0" w:color="auto"/>
              <w:right w:val="single" w:sz="8" w:space="0" w:color="auto"/>
            </w:tcBorders>
            <w:vAlign w:val="center"/>
          </w:tcPr>
          <w:p w:rsidR="004D5CFB" w:rsidRPr="001D6512" w:rsidRDefault="004D5CFB" w:rsidP="004D5CFB">
            <w:pPr>
              <w:pStyle w:val="TableCell"/>
              <w:spacing w:before="60" w:after="60"/>
            </w:pPr>
            <w:r w:rsidRPr="001D6512">
              <w:t>1</w:t>
            </w:r>
          </w:p>
        </w:tc>
      </w:tr>
      <w:tr w:rsidR="004D5CFB" w:rsidRPr="000151F9" w:rsidTr="004D5CFB">
        <w:trPr>
          <w:trHeight w:val="317"/>
          <w:jc w:val="center"/>
        </w:trPr>
        <w:tc>
          <w:tcPr>
            <w:tcW w:w="966" w:type="pct"/>
            <w:tcBorders>
              <w:top w:val="single" w:sz="8" w:space="0" w:color="auto"/>
              <w:left w:val="single" w:sz="8" w:space="0" w:color="auto"/>
              <w:bottom w:val="single" w:sz="8" w:space="0" w:color="auto"/>
              <w:right w:val="single" w:sz="8" w:space="0" w:color="auto"/>
            </w:tcBorders>
            <w:vAlign w:val="center"/>
          </w:tcPr>
          <w:p w:rsidR="004D5CFB" w:rsidRPr="001D6512" w:rsidRDefault="004D5CFB" w:rsidP="004D5CFB">
            <w:pPr>
              <w:pStyle w:val="TableCell"/>
              <w:spacing w:before="60" w:after="60"/>
              <w:rPr>
                <w:vertAlign w:val="subscript"/>
              </w:rPr>
            </w:pPr>
            <w:r w:rsidRPr="001D6512">
              <w:t>RH</w:t>
            </w:r>
            <w:r w:rsidRPr="001D6512">
              <w:rPr>
                <w:vertAlign w:val="subscript"/>
              </w:rPr>
              <w:t>new</w:t>
            </w:r>
          </w:p>
        </w:tc>
        <w:tc>
          <w:tcPr>
            <w:tcW w:w="688" w:type="pct"/>
            <w:tcBorders>
              <w:top w:val="single" w:sz="8" w:space="0" w:color="auto"/>
              <w:left w:val="nil"/>
              <w:bottom w:val="single" w:sz="8" w:space="0" w:color="auto"/>
              <w:right w:val="single" w:sz="8" w:space="0" w:color="auto"/>
            </w:tcBorders>
            <w:vAlign w:val="center"/>
          </w:tcPr>
          <w:p w:rsidR="004D5CFB" w:rsidRPr="001D6512" w:rsidRDefault="004D5CFB" w:rsidP="004D5CFB">
            <w:pPr>
              <w:pStyle w:val="TableCell"/>
              <w:spacing w:before="60" w:after="60"/>
            </w:pPr>
            <w:r w:rsidRPr="001D6512">
              <w:t>Fixed</w:t>
            </w:r>
          </w:p>
        </w:tc>
        <w:tc>
          <w:tcPr>
            <w:tcW w:w="2151" w:type="pct"/>
            <w:tcBorders>
              <w:top w:val="single" w:sz="8" w:space="0" w:color="auto"/>
              <w:left w:val="nil"/>
              <w:bottom w:val="single" w:sz="8" w:space="0" w:color="auto"/>
              <w:right w:val="single" w:sz="8" w:space="0" w:color="auto"/>
            </w:tcBorders>
            <w:vAlign w:val="center"/>
          </w:tcPr>
          <w:p w:rsidR="004D5CFB" w:rsidRPr="001D6512" w:rsidRDefault="004D5CFB" w:rsidP="004D5CFB">
            <w:pPr>
              <w:pStyle w:val="TableCell"/>
              <w:spacing w:before="60" w:after="60"/>
            </w:pPr>
            <w:r w:rsidRPr="001D6512">
              <w:t>2.1 (70% of RH</w:t>
            </w:r>
            <w:r w:rsidRPr="001D6512">
              <w:rPr>
                <w:vertAlign w:val="subscript"/>
              </w:rPr>
              <w:t>old</w:t>
            </w:r>
            <w:r w:rsidRPr="001D6512">
              <w:t>)</w:t>
            </w:r>
          </w:p>
        </w:tc>
        <w:tc>
          <w:tcPr>
            <w:tcW w:w="1195" w:type="pct"/>
            <w:tcBorders>
              <w:top w:val="single" w:sz="8" w:space="0" w:color="auto"/>
              <w:left w:val="nil"/>
              <w:bottom w:val="single" w:sz="8" w:space="0" w:color="auto"/>
              <w:right w:val="single" w:sz="8" w:space="0" w:color="auto"/>
            </w:tcBorders>
            <w:vAlign w:val="center"/>
          </w:tcPr>
          <w:p w:rsidR="004D5CFB" w:rsidRPr="001D6512" w:rsidRDefault="004D5CFB" w:rsidP="004D5CFB">
            <w:pPr>
              <w:pStyle w:val="TableCell"/>
              <w:spacing w:before="60" w:after="60"/>
            </w:pPr>
            <w:r w:rsidRPr="001D6512">
              <w:t>2</w:t>
            </w:r>
          </w:p>
        </w:tc>
      </w:tr>
    </w:tbl>
    <w:p w:rsidR="004D5CFB" w:rsidRPr="001C4AD5" w:rsidRDefault="004D5CFB" w:rsidP="004D5CFB">
      <w:pPr>
        <w:spacing w:after="0"/>
        <w:ind w:left="475" w:hanging="475"/>
      </w:pPr>
    </w:p>
    <w:p w:rsidR="004D5CFB" w:rsidRPr="001D7420" w:rsidRDefault="004D5CFB" w:rsidP="004D5CFB">
      <w:pPr>
        <w:keepNext/>
        <w:rPr>
          <w:b/>
        </w:rPr>
      </w:pPr>
      <w:r w:rsidRPr="001D7420">
        <w:rPr>
          <w:b/>
        </w:rPr>
        <w:t>Sources:</w:t>
      </w:r>
    </w:p>
    <w:p w:rsidR="004D5CFB" w:rsidRDefault="004D5CFB" w:rsidP="0005632A">
      <w:pPr>
        <w:pStyle w:val="source1"/>
        <w:numPr>
          <w:ilvl w:val="0"/>
          <w:numId w:val="106"/>
        </w:numPr>
      </w:pPr>
      <w:r>
        <w:t>US Department of Energy, Energy Star Calculator.  Accessed 3-16-2009.</w:t>
      </w:r>
    </w:p>
    <w:p w:rsidR="004D5CFB" w:rsidRDefault="004D5CFB" w:rsidP="004D5CFB">
      <w:pPr>
        <w:pStyle w:val="source1"/>
      </w:pPr>
      <w:r>
        <w:t>Lighting control savings fractions consistent with current programs offered by National Grid, Northeast Utilities, Long Island Power Authority, NYSERDA, and Energy Efficient Vermont</w:t>
      </w:r>
    </w:p>
    <w:p w:rsidR="004D5CFB" w:rsidRDefault="004D5CFB" w:rsidP="004D5CFB">
      <w:pPr>
        <w:pStyle w:val="Heading3"/>
      </w:pPr>
      <w:r>
        <w:t>Measure Life</w:t>
      </w:r>
    </w:p>
    <w:p w:rsidR="004D5CFB" w:rsidRPr="008C78B9" w:rsidRDefault="004D5CFB" w:rsidP="004D5CFB">
      <w:r w:rsidRPr="00476AF2">
        <w:rPr>
          <w:bCs/>
          <w:szCs w:val="26"/>
        </w:rPr>
        <w:t>The expected measure life is</w:t>
      </w:r>
      <w:r>
        <w:rPr>
          <w:b/>
          <w:bCs/>
          <w:szCs w:val="26"/>
        </w:rPr>
        <w:t xml:space="preserve"> </w:t>
      </w:r>
      <w:r w:rsidRPr="00E2359A">
        <w:rPr>
          <w:bCs/>
          <w:szCs w:val="26"/>
        </w:rPr>
        <w:t>10 years</w:t>
      </w:r>
      <w:r>
        <w:rPr>
          <w:rStyle w:val="FootnoteReference"/>
          <w:b/>
          <w:bCs/>
          <w:szCs w:val="26"/>
        </w:rPr>
        <w:footnoteReference w:id="114"/>
      </w:r>
      <w:r w:rsidRPr="00476AF2">
        <w:rPr>
          <w:bCs/>
          <w:szCs w:val="26"/>
        </w:rPr>
        <w:t>.</w:t>
      </w:r>
      <w:r>
        <w:rPr>
          <w:b/>
          <w:bCs/>
          <w:szCs w:val="26"/>
        </w:rPr>
        <w:t xml:space="preserve"> </w:t>
      </w:r>
    </w:p>
    <w:p w:rsidR="004D5CFB" w:rsidRDefault="004D5CFB" w:rsidP="004D5CFB">
      <w:pPr>
        <w:pStyle w:val="Heading2"/>
      </w:pPr>
      <w:r>
        <w:br w:type="page"/>
      </w:r>
      <w:bookmarkStart w:id="477" w:name="_Toc310875433"/>
      <w:r>
        <w:lastRenderedPageBreak/>
        <w:t>Holiday Lights</w:t>
      </w:r>
      <w:bookmarkEnd w:id="47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428"/>
      </w:tblGrid>
      <w:tr w:rsidR="004D5CFB" w:rsidRPr="004D5CFB" w:rsidTr="004D5CFB">
        <w:tc>
          <w:tcPr>
            <w:tcW w:w="2500" w:type="pct"/>
            <w:shd w:val="clear" w:color="auto" w:fill="BFBFBF"/>
            <w:vAlign w:val="center"/>
          </w:tcPr>
          <w:p w:rsidR="004D5CFB" w:rsidRPr="001D6512" w:rsidRDefault="004D5CFB" w:rsidP="004D5CFB">
            <w:pPr>
              <w:pStyle w:val="Title"/>
              <w:spacing w:before="60" w:after="60"/>
              <w:jc w:val="left"/>
              <w:rPr>
                <w:rFonts w:ascii="Arial" w:hAnsi="Arial" w:cs="Arial"/>
                <w:sz w:val="20"/>
              </w:rPr>
            </w:pPr>
            <w:r w:rsidRPr="001D6512">
              <w:rPr>
                <w:rFonts w:ascii="Arial" w:hAnsi="Arial" w:cs="Arial"/>
                <w:sz w:val="20"/>
              </w:rPr>
              <w:t>Measure Name</w:t>
            </w:r>
          </w:p>
        </w:tc>
        <w:tc>
          <w:tcPr>
            <w:tcW w:w="2500" w:type="pct"/>
            <w:shd w:val="clear" w:color="auto" w:fill="BFBFBF"/>
            <w:vAlign w:val="center"/>
          </w:tcPr>
          <w:p w:rsidR="004D5CFB" w:rsidRPr="001D6512" w:rsidRDefault="004D5CFB" w:rsidP="004D5CFB">
            <w:pPr>
              <w:pStyle w:val="Title"/>
              <w:spacing w:before="60" w:after="60"/>
              <w:jc w:val="right"/>
              <w:rPr>
                <w:rFonts w:ascii="Arial" w:hAnsi="Arial" w:cs="Arial"/>
                <w:sz w:val="20"/>
              </w:rPr>
            </w:pPr>
            <w:r w:rsidRPr="001D6512">
              <w:rPr>
                <w:rFonts w:ascii="Arial" w:hAnsi="Arial" w:cs="Arial"/>
                <w:sz w:val="20"/>
              </w:rPr>
              <w:t>Holiday Lights</w:t>
            </w:r>
          </w:p>
        </w:tc>
      </w:tr>
      <w:tr w:rsidR="004D5CFB" w:rsidRPr="004D5CFB" w:rsidTr="004D5CFB">
        <w:tc>
          <w:tcPr>
            <w:tcW w:w="2500" w:type="pct"/>
            <w:vAlign w:val="center"/>
          </w:tcPr>
          <w:p w:rsidR="004D5CFB" w:rsidRPr="001D6512" w:rsidRDefault="004D5CFB" w:rsidP="004D5CFB">
            <w:pPr>
              <w:pStyle w:val="Title"/>
              <w:spacing w:before="60" w:after="60"/>
              <w:jc w:val="left"/>
              <w:rPr>
                <w:rFonts w:ascii="Arial" w:hAnsi="Arial" w:cs="Arial"/>
                <w:b w:val="0"/>
                <w:sz w:val="20"/>
              </w:rPr>
            </w:pPr>
            <w:r w:rsidRPr="001D6512">
              <w:rPr>
                <w:rFonts w:ascii="Arial" w:hAnsi="Arial" w:cs="Arial"/>
                <w:b w:val="0"/>
                <w:sz w:val="20"/>
              </w:rPr>
              <w:t>Target Sector</w:t>
            </w:r>
          </w:p>
        </w:tc>
        <w:tc>
          <w:tcPr>
            <w:tcW w:w="2500" w:type="pct"/>
            <w:vAlign w:val="center"/>
          </w:tcPr>
          <w:p w:rsidR="004D5CFB" w:rsidRPr="001D6512" w:rsidRDefault="004D5CFB" w:rsidP="004D5CFB">
            <w:pPr>
              <w:pStyle w:val="Title"/>
              <w:spacing w:before="60" w:after="60"/>
              <w:jc w:val="right"/>
              <w:rPr>
                <w:rFonts w:ascii="Arial" w:hAnsi="Arial" w:cs="Arial"/>
                <w:b w:val="0"/>
                <w:sz w:val="20"/>
              </w:rPr>
            </w:pPr>
            <w:r w:rsidRPr="001D6512">
              <w:rPr>
                <w:rFonts w:ascii="Arial" w:hAnsi="Arial" w:cs="Arial"/>
                <w:b w:val="0"/>
                <w:sz w:val="20"/>
              </w:rPr>
              <w:t>Residential Applications</w:t>
            </w:r>
          </w:p>
        </w:tc>
      </w:tr>
      <w:tr w:rsidR="004D5CFB" w:rsidRPr="004D5CFB" w:rsidTr="004D5CFB">
        <w:tc>
          <w:tcPr>
            <w:tcW w:w="2500" w:type="pct"/>
            <w:vAlign w:val="center"/>
          </w:tcPr>
          <w:p w:rsidR="004D5CFB" w:rsidRPr="001D6512" w:rsidRDefault="004D5CFB" w:rsidP="004D5CFB">
            <w:pPr>
              <w:pStyle w:val="Title"/>
              <w:spacing w:before="60" w:after="60"/>
              <w:jc w:val="left"/>
              <w:rPr>
                <w:rFonts w:ascii="Arial" w:hAnsi="Arial" w:cs="Arial"/>
                <w:b w:val="0"/>
                <w:sz w:val="20"/>
              </w:rPr>
            </w:pPr>
            <w:r w:rsidRPr="001D6512">
              <w:rPr>
                <w:rFonts w:ascii="Arial" w:hAnsi="Arial" w:cs="Arial"/>
                <w:b w:val="0"/>
                <w:sz w:val="20"/>
              </w:rPr>
              <w:t>Measure Unit</w:t>
            </w:r>
          </w:p>
        </w:tc>
        <w:tc>
          <w:tcPr>
            <w:tcW w:w="2500" w:type="pct"/>
            <w:vAlign w:val="center"/>
          </w:tcPr>
          <w:p w:rsidR="004D5CFB" w:rsidRPr="001D6512" w:rsidRDefault="004D5CFB" w:rsidP="004D5CFB">
            <w:pPr>
              <w:pStyle w:val="Title"/>
              <w:spacing w:before="60" w:after="60"/>
              <w:jc w:val="right"/>
              <w:rPr>
                <w:rFonts w:ascii="Arial" w:hAnsi="Arial" w:cs="Arial"/>
                <w:b w:val="0"/>
                <w:sz w:val="20"/>
              </w:rPr>
            </w:pPr>
            <w:r w:rsidRPr="001D6512">
              <w:rPr>
                <w:rFonts w:ascii="Arial" w:hAnsi="Arial" w:cs="Arial"/>
                <w:b w:val="0"/>
                <w:sz w:val="20"/>
              </w:rPr>
              <w:t>One 25-bulb Strand of Holiday lights</w:t>
            </w:r>
          </w:p>
        </w:tc>
      </w:tr>
      <w:tr w:rsidR="004D5CFB" w:rsidRPr="004D5CFB" w:rsidTr="004D5CFB">
        <w:tc>
          <w:tcPr>
            <w:tcW w:w="2500" w:type="pct"/>
            <w:vAlign w:val="center"/>
          </w:tcPr>
          <w:p w:rsidR="004D5CFB" w:rsidRPr="001D6512" w:rsidRDefault="004D5CFB" w:rsidP="004D5CFB">
            <w:pPr>
              <w:pStyle w:val="Title"/>
              <w:spacing w:before="60" w:after="60"/>
              <w:jc w:val="left"/>
              <w:rPr>
                <w:rFonts w:ascii="Arial" w:hAnsi="Arial" w:cs="Arial"/>
                <w:b w:val="0"/>
                <w:sz w:val="20"/>
                <w:vertAlign w:val="subscript"/>
              </w:rPr>
            </w:pPr>
            <w:r w:rsidRPr="001D6512">
              <w:rPr>
                <w:rFonts w:ascii="Arial" w:hAnsi="Arial" w:cs="Arial"/>
                <w:b w:val="0"/>
                <w:sz w:val="20"/>
              </w:rPr>
              <w:t xml:space="preserve">Unit Energy Savings </w:t>
            </w:r>
          </w:p>
        </w:tc>
        <w:tc>
          <w:tcPr>
            <w:tcW w:w="2500" w:type="pct"/>
            <w:vAlign w:val="center"/>
          </w:tcPr>
          <w:p w:rsidR="004D5CFB" w:rsidRPr="001D6512" w:rsidRDefault="004D5CFB" w:rsidP="004D5CFB">
            <w:pPr>
              <w:pStyle w:val="Title"/>
              <w:spacing w:before="60" w:after="60"/>
              <w:jc w:val="right"/>
              <w:rPr>
                <w:rFonts w:ascii="Arial" w:hAnsi="Arial" w:cs="Arial"/>
                <w:b w:val="0"/>
                <w:sz w:val="20"/>
              </w:rPr>
            </w:pPr>
            <w:r w:rsidRPr="001D6512">
              <w:rPr>
                <w:rFonts w:ascii="Arial" w:hAnsi="Arial" w:cs="Arial"/>
                <w:b w:val="0"/>
                <w:sz w:val="20"/>
              </w:rPr>
              <w:t>10.6 kWh</w:t>
            </w:r>
          </w:p>
        </w:tc>
      </w:tr>
      <w:tr w:rsidR="004D5CFB" w:rsidRPr="004D5CFB" w:rsidTr="004D5CFB">
        <w:tc>
          <w:tcPr>
            <w:tcW w:w="2500" w:type="pct"/>
            <w:vAlign w:val="center"/>
          </w:tcPr>
          <w:p w:rsidR="004D5CFB" w:rsidRPr="001D6512" w:rsidRDefault="004D5CFB" w:rsidP="004D5CFB">
            <w:pPr>
              <w:pStyle w:val="Title"/>
              <w:spacing w:before="60" w:after="60"/>
              <w:jc w:val="left"/>
              <w:rPr>
                <w:rFonts w:ascii="Arial" w:hAnsi="Arial" w:cs="Arial"/>
                <w:b w:val="0"/>
                <w:sz w:val="20"/>
              </w:rPr>
            </w:pPr>
            <w:r w:rsidRPr="001D6512">
              <w:rPr>
                <w:rFonts w:ascii="Arial" w:hAnsi="Arial" w:cs="Arial"/>
                <w:b w:val="0"/>
                <w:sz w:val="20"/>
              </w:rPr>
              <w:t>Unit Peak Demand Reduction</w:t>
            </w:r>
          </w:p>
        </w:tc>
        <w:tc>
          <w:tcPr>
            <w:tcW w:w="2500" w:type="pct"/>
            <w:vAlign w:val="center"/>
          </w:tcPr>
          <w:p w:rsidR="004D5CFB" w:rsidRPr="001D6512" w:rsidRDefault="004D5CFB" w:rsidP="004D5CFB">
            <w:pPr>
              <w:pStyle w:val="Title"/>
              <w:spacing w:before="60" w:after="60"/>
              <w:jc w:val="right"/>
              <w:rPr>
                <w:rFonts w:ascii="Arial" w:hAnsi="Arial" w:cs="Arial"/>
                <w:b w:val="0"/>
                <w:sz w:val="20"/>
              </w:rPr>
            </w:pPr>
            <w:r w:rsidRPr="001D6512">
              <w:rPr>
                <w:rFonts w:ascii="Arial" w:hAnsi="Arial" w:cs="Arial"/>
                <w:b w:val="0"/>
                <w:sz w:val="20"/>
              </w:rPr>
              <w:t>0 kW</w:t>
            </w:r>
          </w:p>
        </w:tc>
      </w:tr>
      <w:tr w:rsidR="004D5CFB" w:rsidRPr="004D5CFB" w:rsidTr="004D5CFB">
        <w:tc>
          <w:tcPr>
            <w:tcW w:w="2500" w:type="pct"/>
            <w:vAlign w:val="center"/>
          </w:tcPr>
          <w:p w:rsidR="004D5CFB" w:rsidRPr="001D6512" w:rsidRDefault="004D5CFB" w:rsidP="004D5CFB">
            <w:pPr>
              <w:pStyle w:val="Title"/>
              <w:spacing w:before="60" w:after="60"/>
              <w:jc w:val="left"/>
              <w:rPr>
                <w:rFonts w:ascii="Arial" w:hAnsi="Arial" w:cs="Arial"/>
                <w:b w:val="0"/>
                <w:sz w:val="20"/>
              </w:rPr>
            </w:pPr>
            <w:r w:rsidRPr="001D6512">
              <w:rPr>
                <w:rFonts w:ascii="Arial" w:hAnsi="Arial" w:cs="Arial"/>
                <w:b w:val="0"/>
                <w:sz w:val="20"/>
              </w:rPr>
              <w:t>Measure Life</w:t>
            </w:r>
          </w:p>
        </w:tc>
        <w:tc>
          <w:tcPr>
            <w:tcW w:w="2500" w:type="pct"/>
            <w:vAlign w:val="center"/>
          </w:tcPr>
          <w:p w:rsidR="004D5CFB" w:rsidRPr="001D6512" w:rsidRDefault="004D5CFB" w:rsidP="004D5CFB">
            <w:pPr>
              <w:pStyle w:val="Title"/>
              <w:spacing w:before="60" w:after="60"/>
              <w:jc w:val="right"/>
              <w:rPr>
                <w:rFonts w:ascii="Arial" w:hAnsi="Arial" w:cs="Arial"/>
                <w:b w:val="0"/>
                <w:sz w:val="20"/>
              </w:rPr>
            </w:pPr>
            <w:r w:rsidRPr="001D6512">
              <w:rPr>
                <w:rFonts w:ascii="Arial" w:hAnsi="Arial" w:cs="Arial"/>
                <w:b w:val="0"/>
                <w:sz w:val="20"/>
              </w:rPr>
              <w:t>10 years</w:t>
            </w:r>
          </w:p>
        </w:tc>
      </w:tr>
    </w:tbl>
    <w:p w:rsidR="004D5CFB" w:rsidRPr="002D6D23" w:rsidRDefault="004D5CFB" w:rsidP="004D5CFB"/>
    <w:p w:rsidR="004D5CFB" w:rsidRDefault="004D5CFB" w:rsidP="004D5CFB">
      <w:r w:rsidRPr="009A4529">
        <w:t xml:space="preserve">Light Emitting Diode (LED) holiday lights are a relatively new application for this existing technology. LED holiday lights reduce energy consumption up to 90%.  Up to 25 strands can be connected end-to-end in terms of residential grade lights. </w:t>
      </w:r>
      <w:r w:rsidRPr="007D3E9F">
        <w:rPr>
          <w:rFonts w:cs="Arial"/>
        </w:rPr>
        <w:t xml:space="preserve">Commercial grade lights require different power adapters and as a result, more strands can be connected end-to-end. </w:t>
      </w:r>
    </w:p>
    <w:p w:rsidR="004D5CFB" w:rsidRPr="008A285A" w:rsidRDefault="004D5CFB" w:rsidP="004D5CFB">
      <w:pPr>
        <w:pStyle w:val="Heading3"/>
      </w:pPr>
      <w:r>
        <w:t xml:space="preserve">Eligibility </w:t>
      </w:r>
    </w:p>
    <w:p w:rsidR="004D5CFB" w:rsidRPr="00E304C4" w:rsidRDefault="004D5CFB" w:rsidP="003021FB">
      <w:r w:rsidRPr="00EC11F2">
        <w:rPr>
          <w:rFonts w:eastAsia="Calibri"/>
        </w:rPr>
        <w:t xml:space="preserve">This protocol documents the energy savings attributed to the installation of LED holiday lights indoors and outdoors. </w:t>
      </w:r>
      <w:r w:rsidRPr="00EC11F2">
        <w:t xml:space="preserve">LED lights must replace traditional </w:t>
      </w:r>
      <w:r w:rsidR="007D2E6A">
        <w:t>incandescent</w:t>
      </w:r>
      <w:r w:rsidRPr="00EC11F2">
        <w:t xml:space="preserve"> holiday lights. </w:t>
      </w:r>
      <w:r w:rsidRPr="001C4AD5">
        <w:t>Algorithms</w:t>
      </w:r>
    </w:p>
    <w:p w:rsidR="004D5CFB" w:rsidRDefault="004D5CFB" w:rsidP="004D5CFB">
      <w:pPr>
        <w:pStyle w:val="Equation"/>
        <w:spacing w:line="240" w:lineRule="auto"/>
        <w:rPr>
          <w:rFonts w:cs="Arial"/>
          <w:szCs w:val="20"/>
        </w:rPr>
      </w:pPr>
      <w:r w:rsidRPr="00AA2C40">
        <w:rPr>
          <w:rFonts w:cs="Arial"/>
          <w:szCs w:val="20"/>
        </w:rPr>
        <w:t>Δ</w:t>
      </w:r>
      <w:r>
        <w:rPr>
          <w:rFonts w:cs="Arial"/>
          <w:szCs w:val="20"/>
        </w:rPr>
        <w:t xml:space="preserve">kWh </w:t>
      </w:r>
      <w:r>
        <w:rPr>
          <w:rFonts w:cs="Arial"/>
          <w:szCs w:val="20"/>
          <w:vertAlign w:val="subscript"/>
        </w:rPr>
        <w:t>C9</w:t>
      </w:r>
      <w:r w:rsidRPr="00F5204A">
        <w:rPr>
          <w:rFonts w:cs="Arial"/>
          <w:szCs w:val="20"/>
        </w:rPr>
        <w:tab/>
      </w:r>
      <w:r>
        <w:rPr>
          <w:rFonts w:cs="Arial"/>
          <w:szCs w:val="20"/>
        </w:rPr>
        <w:t>= [</w:t>
      </w:r>
      <w:r w:rsidDel="00ED13A7">
        <w:rPr>
          <w:rFonts w:cs="Arial"/>
          <w:szCs w:val="20"/>
        </w:rPr>
        <w:t xml:space="preserve"> </w:t>
      </w:r>
      <w:r>
        <w:rPr>
          <w:rFonts w:cs="Arial"/>
          <w:szCs w:val="20"/>
        </w:rPr>
        <w:t>(INC</w:t>
      </w:r>
      <w:r w:rsidRPr="003530BF">
        <w:rPr>
          <w:rFonts w:cs="Arial"/>
          <w:szCs w:val="20"/>
          <w:vertAlign w:val="subscript"/>
        </w:rPr>
        <w:t>C9</w:t>
      </w:r>
      <w:r>
        <w:rPr>
          <w:rFonts w:cs="Arial"/>
          <w:szCs w:val="20"/>
        </w:rPr>
        <w:t xml:space="preserve"> – LED</w:t>
      </w:r>
      <w:r w:rsidRPr="003530BF">
        <w:rPr>
          <w:rFonts w:cs="Arial"/>
          <w:szCs w:val="20"/>
          <w:vertAlign w:val="subscript"/>
        </w:rPr>
        <w:t>C9</w:t>
      </w:r>
      <w:r>
        <w:rPr>
          <w:rFonts w:cs="Arial"/>
          <w:szCs w:val="20"/>
        </w:rPr>
        <w:t>)) X #BULBS X #STRANDS X HR] / 1000</w:t>
      </w:r>
    </w:p>
    <w:p w:rsidR="004D5CFB" w:rsidRDefault="004D5CFB" w:rsidP="004D5CFB">
      <w:pPr>
        <w:pStyle w:val="Equation"/>
        <w:spacing w:line="240" w:lineRule="auto"/>
        <w:rPr>
          <w:rFonts w:cs="Arial"/>
          <w:szCs w:val="20"/>
        </w:rPr>
      </w:pPr>
      <w:r w:rsidRPr="00AA2C40">
        <w:rPr>
          <w:rFonts w:cs="Arial"/>
          <w:szCs w:val="20"/>
        </w:rPr>
        <w:t>Δ</w:t>
      </w:r>
      <w:r>
        <w:rPr>
          <w:rFonts w:cs="Arial"/>
          <w:szCs w:val="20"/>
        </w:rPr>
        <w:t xml:space="preserve">kWh </w:t>
      </w:r>
      <w:r>
        <w:rPr>
          <w:rFonts w:cs="Arial"/>
          <w:szCs w:val="20"/>
          <w:vertAlign w:val="subscript"/>
        </w:rPr>
        <w:t>C7</w:t>
      </w:r>
      <w:r>
        <w:rPr>
          <w:rFonts w:cs="Arial"/>
          <w:szCs w:val="20"/>
          <w:vertAlign w:val="subscript"/>
        </w:rPr>
        <w:tab/>
      </w:r>
      <w:r w:rsidRPr="00F5204A">
        <w:rPr>
          <w:rFonts w:cs="Arial"/>
          <w:szCs w:val="20"/>
        </w:rPr>
        <w:t>=</w:t>
      </w:r>
      <w:r>
        <w:rPr>
          <w:rFonts w:cs="Arial"/>
          <w:szCs w:val="20"/>
        </w:rPr>
        <w:t xml:space="preserve"> [ </w:t>
      </w:r>
      <w:r w:rsidRPr="003530BF">
        <w:rPr>
          <w:rFonts w:cs="Arial"/>
          <w:szCs w:val="20"/>
        </w:rPr>
        <w:t>(INC</w:t>
      </w:r>
      <w:r w:rsidRPr="003530BF">
        <w:rPr>
          <w:rFonts w:cs="Arial"/>
          <w:szCs w:val="20"/>
          <w:vertAlign w:val="subscript"/>
        </w:rPr>
        <w:t>C7</w:t>
      </w:r>
      <w:r>
        <w:rPr>
          <w:rFonts w:cs="Arial"/>
          <w:szCs w:val="20"/>
        </w:rPr>
        <w:t xml:space="preserve"> – LED</w:t>
      </w:r>
      <w:r w:rsidRPr="003530BF">
        <w:rPr>
          <w:rFonts w:cs="Arial"/>
          <w:szCs w:val="20"/>
          <w:vertAlign w:val="subscript"/>
        </w:rPr>
        <w:t>C7</w:t>
      </w:r>
      <w:r>
        <w:rPr>
          <w:rFonts w:cs="Arial"/>
          <w:szCs w:val="20"/>
        </w:rPr>
        <w:t>) X #BULBS X #STRANDS X HR] / 1000</w:t>
      </w:r>
    </w:p>
    <w:p w:rsidR="004D5CFB" w:rsidRPr="00D41CEA" w:rsidRDefault="004D5CFB" w:rsidP="004D5CFB">
      <w:pPr>
        <w:pStyle w:val="Equation"/>
        <w:spacing w:line="240" w:lineRule="auto"/>
        <w:rPr>
          <w:rFonts w:cs="Arial"/>
          <w:szCs w:val="20"/>
          <w:vertAlign w:val="subscript"/>
        </w:rPr>
      </w:pPr>
      <w:r w:rsidRPr="00AA2C40">
        <w:rPr>
          <w:rFonts w:cs="Arial"/>
          <w:szCs w:val="20"/>
        </w:rPr>
        <w:t>Δ</w:t>
      </w:r>
      <w:r>
        <w:rPr>
          <w:rFonts w:cs="Arial"/>
          <w:szCs w:val="20"/>
        </w:rPr>
        <w:t xml:space="preserve">kWh </w:t>
      </w:r>
      <w:r>
        <w:rPr>
          <w:rFonts w:cs="Arial"/>
          <w:szCs w:val="20"/>
          <w:vertAlign w:val="subscript"/>
        </w:rPr>
        <w:t>mini</w:t>
      </w:r>
      <w:r>
        <w:rPr>
          <w:rFonts w:cs="Arial"/>
          <w:szCs w:val="20"/>
          <w:vertAlign w:val="subscript"/>
        </w:rPr>
        <w:tab/>
      </w:r>
      <w:r w:rsidRPr="00F5204A">
        <w:rPr>
          <w:rFonts w:cs="Arial"/>
          <w:szCs w:val="20"/>
        </w:rPr>
        <w:t>=</w:t>
      </w:r>
      <w:r>
        <w:rPr>
          <w:rFonts w:cs="Arial"/>
          <w:szCs w:val="20"/>
        </w:rPr>
        <w:t xml:space="preserve"> [ (INC</w:t>
      </w:r>
      <w:r w:rsidRPr="003530BF">
        <w:rPr>
          <w:rFonts w:cs="Arial"/>
          <w:szCs w:val="20"/>
          <w:vertAlign w:val="subscript"/>
        </w:rPr>
        <w:t>mini</w:t>
      </w:r>
      <w:r>
        <w:rPr>
          <w:rFonts w:cs="Arial"/>
          <w:szCs w:val="20"/>
          <w:vertAlign w:val="subscript"/>
        </w:rPr>
        <w:t xml:space="preserve"> </w:t>
      </w:r>
      <w:r>
        <w:rPr>
          <w:rFonts w:cs="Arial"/>
          <w:szCs w:val="20"/>
        </w:rPr>
        <w:t>- LED</w:t>
      </w:r>
      <w:r w:rsidRPr="003530BF">
        <w:rPr>
          <w:rFonts w:cs="Arial"/>
          <w:szCs w:val="20"/>
          <w:vertAlign w:val="subscript"/>
        </w:rPr>
        <w:t>mini</w:t>
      </w:r>
      <w:r>
        <w:rPr>
          <w:rFonts w:cs="Arial"/>
          <w:szCs w:val="20"/>
        </w:rPr>
        <w:t>) X #BULBS X #STRANDS X HR] / 1000</w:t>
      </w:r>
    </w:p>
    <w:p w:rsidR="004D5CFB" w:rsidRPr="00BD28C6" w:rsidRDefault="004D5CFB" w:rsidP="004D5CFB">
      <w:pPr>
        <w:pStyle w:val="Heading4"/>
      </w:pPr>
      <w:r w:rsidRPr="00BD28C6">
        <w:t>Key assumptions</w:t>
      </w:r>
    </w:p>
    <w:p w:rsidR="004D5CFB" w:rsidRPr="007D3E9F" w:rsidRDefault="004D5CFB" w:rsidP="0005632A">
      <w:pPr>
        <w:pStyle w:val="ListParagraph"/>
        <w:numPr>
          <w:ilvl w:val="0"/>
          <w:numId w:val="108"/>
        </w:numPr>
        <w:spacing w:after="200"/>
        <w:contextualSpacing/>
      </w:pPr>
      <w:r w:rsidRPr="007D3E9F">
        <w:t xml:space="preserve">All estimated values reflect the use of residential </w:t>
      </w:r>
      <w:r>
        <w:t>(25ct.).</w:t>
      </w:r>
      <w:r w:rsidR="002D3AEC">
        <w:t xml:space="preserve"> per strand</w:t>
      </w:r>
      <w:r>
        <w:t>).)</w:t>
      </w:r>
      <w:r w:rsidRPr="007D3E9F">
        <w:t xml:space="preserve"> bulb LED holiday lighting.</w:t>
      </w:r>
    </w:p>
    <w:p w:rsidR="004D5CFB" w:rsidRDefault="004D5CFB" w:rsidP="0005632A">
      <w:pPr>
        <w:pStyle w:val="ListParagraph"/>
        <w:numPr>
          <w:ilvl w:val="0"/>
          <w:numId w:val="108"/>
        </w:numPr>
        <w:spacing w:after="200"/>
        <w:contextualSpacing/>
      </w:pPr>
      <w:r w:rsidRPr="007D3E9F">
        <w:t>Secondary impacts for heating and cooling were not evaluated.</w:t>
      </w:r>
    </w:p>
    <w:p w:rsidR="004D5CFB" w:rsidRDefault="004D5CFB" w:rsidP="0005632A">
      <w:pPr>
        <w:pStyle w:val="ListParagraph"/>
        <w:numPr>
          <w:ilvl w:val="0"/>
          <w:numId w:val="108"/>
        </w:numPr>
        <w:spacing w:after="200"/>
        <w:contextualSpacing/>
      </w:pPr>
      <w:r>
        <w:t>It is assumed that 50% of rebated lamps are of the “mini” variety, 25% are of the “C7” variety, and 25% are of the “C9” variety</w:t>
      </w:r>
      <w:r w:rsidR="00274AB1">
        <w:fldChar w:fldCharType="begin"/>
      </w:r>
      <w:r w:rsidR="00274AB1">
        <w:instrText xml:space="preserve"> REF _Ref298495161 \r \h  \* MERGEFORMAT </w:instrText>
      </w:r>
      <w:r w:rsidR="00274AB1">
        <w:fldChar w:fldCharType="separate"/>
      </w:r>
      <w:r w:rsidR="00C0292F" w:rsidRPr="00C0292F">
        <w:t>1</w:t>
      </w:r>
      <w:r w:rsidR="00274AB1">
        <w:fldChar w:fldCharType="end"/>
      </w:r>
      <w:r>
        <w:t xml:space="preserve">.  If the lamp type is known or fixed by program design, then the savings can be calculated as </w:t>
      </w:r>
      <w:r w:rsidR="00EF33C4">
        <w:t>described by the algorithms</w:t>
      </w:r>
      <w:r>
        <w:t xml:space="preserve">.follows.  Otherwise, the savings for the “mini”, “C7”, and “C9” varieties should be weighted by 0.5, 0.25 and 0.25 respectively. </w:t>
      </w:r>
    </w:p>
    <w:p w:rsidR="004D5CFB" w:rsidRDefault="004D5CFB" w:rsidP="004D5CFB">
      <w:pPr>
        <w:pStyle w:val="Heading3"/>
      </w:pPr>
      <w:r w:rsidRPr="001C4AD5">
        <w:t xml:space="preserve">Definition of </w:t>
      </w:r>
      <w:r>
        <w:t>Terms</w:t>
      </w:r>
    </w:p>
    <w:p w:rsidR="004D5CFB" w:rsidRPr="00EC11F2" w:rsidRDefault="004D5CFB" w:rsidP="004D5CFB">
      <w:pPr>
        <w:pStyle w:val="Equation"/>
      </w:pPr>
      <w:r>
        <w:tab/>
      </w:r>
      <w:r w:rsidRPr="00EC11F2">
        <w:t>LED</w:t>
      </w:r>
      <w:r w:rsidRPr="00EC11F2">
        <w:rPr>
          <w:vertAlign w:val="subscript"/>
        </w:rPr>
        <w:t>mini</w:t>
      </w:r>
      <w:r w:rsidRPr="00EC11F2">
        <w:tab/>
        <w:t xml:space="preserve">= </w:t>
      </w:r>
      <w:r>
        <w:t>Wattage</w:t>
      </w:r>
      <w:r w:rsidRPr="00EC11F2">
        <w:t xml:space="preserve"> of LED mini bulbs</w:t>
      </w:r>
    </w:p>
    <w:p w:rsidR="004D5CFB" w:rsidRPr="00EC11F2" w:rsidRDefault="004D5CFB" w:rsidP="004D5CFB">
      <w:pPr>
        <w:pStyle w:val="Equation"/>
      </w:pPr>
      <w:r>
        <w:tab/>
      </w:r>
      <w:r w:rsidRPr="00EC11F2">
        <w:t>INC</w:t>
      </w:r>
      <w:r w:rsidRPr="00EC11F2">
        <w:rPr>
          <w:vertAlign w:val="subscript"/>
        </w:rPr>
        <w:t>mini</w:t>
      </w:r>
      <w:r w:rsidRPr="00EC11F2">
        <w:rPr>
          <w:vertAlign w:val="subscript"/>
        </w:rPr>
        <w:tab/>
      </w:r>
      <w:r w:rsidRPr="00EC11F2">
        <w:t xml:space="preserve">= </w:t>
      </w:r>
      <w:r>
        <w:t>Wattage</w:t>
      </w:r>
      <w:r w:rsidRPr="00EC11F2">
        <w:t xml:space="preserve"> of incandescent mini bulbs</w:t>
      </w:r>
    </w:p>
    <w:p w:rsidR="004D5CFB" w:rsidRPr="00EC11F2" w:rsidRDefault="004D5CFB" w:rsidP="004D5CFB">
      <w:pPr>
        <w:pStyle w:val="Equation"/>
      </w:pPr>
      <w:r>
        <w:tab/>
      </w:r>
      <w:r w:rsidRPr="00EC11F2">
        <w:t>LED</w:t>
      </w:r>
      <w:r w:rsidRPr="00EC11F2">
        <w:rPr>
          <w:vertAlign w:val="subscript"/>
        </w:rPr>
        <w:t>C7</w:t>
      </w:r>
      <w:r w:rsidRPr="00EC11F2">
        <w:tab/>
        <w:t xml:space="preserve">= </w:t>
      </w:r>
      <w:r>
        <w:t>Wattage</w:t>
      </w:r>
      <w:r w:rsidRPr="00EC11F2">
        <w:t xml:space="preserve"> of LED C7 bulbs</w:t>
      </w:r>
    </w:p>
    <w:p w:rsidR="004D5CFB" w:rsidRPr="00EC11F2" w:rsidRDefault="004D5CFB" w:rsidP="004D5CFB">
      <w:pPr>
        <w:pStyle w:val="Equation"/>
      </w:pPr>
      <w:r>
        <w:tab/>
      </w:r>
      <w:r w:rsidRPr="00EC11F2">
        <w:t>INC</w:t>
      </w:r>
      <w:r w:rsidRPr="00EC11F2">
        <w:rPr>
          <w:vertAlign w:val="subscript"/>
        </w:rPr>
        <w:t>C7</w:t>
      </w:r>
      <w:r w:rsidRPr="00EC11F2">
        <w:tab/>
        <w:t xml:space="preserve">= </w:t>
      </w:r>
      <w:r>
        <w:t>Wattage</w:t>
      </w:r>
      <w:r w:rsidRPr="00EC11F2">
        <w:t xml:space="preserve"> of incandescent C7bulbs</w:t>
      </w:r>
    </w:p>
    <w:p w:rsidR="004D5CFB" w:rsidRPr="00EC11F2" w:rsidRDefault="004D5CFB" w:rsidP="004D5CFB">
      <w:pPr>
        <w:pStyle w:val="Equation"/>
      </w:pPr>
      <w:r>
        <w:tab/>
      </w:r>
      <w:r w:rsidRPr="00EC11F2">
        <w:t>LED</w:t>
      </w:r>
      <w:r w:rsidRPr="00EC11F2">
        <w:rPr>
          <w:vertAlign w:val="subscript"/>
        </w:rPr>
        <w:t>C9</w:t>
      </w:r>
      <w:r w:rsidRPr="00EC11F2">
        <w:tab/>
        <w:t xml:space="preserve">= </w:t>
      </w:r>
      <w:r>
        <w:t>Wattage</w:t>
      </w:r>
      <w:r w:rsidRPr="00EC11F2">
        <w:t xml:space="preserve"> of LED C9 bulbs</w:t>
      </w:r>
    </w:p>
    <w:p w:rsidR="004D5CFB" w:rsidRPr="00EC11F2" w:rsidRDefault="004D5CFB" w:rsidP="004D5CFB">
      <w:pPr>
        <w:pStyle w:val="Equation"/>
      </w:pPr>
      <w:r>
        <w:tab/>
      </w:r>
      <w:r w:rsidRPr="00EC11F2">
        <w:t>INC</w:t>
      </w:r>
      <w:r w:rsidRPr="00EC11F2">
        <w:rPr>
          <w:vertAlign w:val="subscript"/>
        </w:rPr>
        <w:t>C9</w:t>
      </w:r>
      <w:r w:rsidRPr="00EC11F2">
        <w:tab/>
        <w:t xml:space="preserve">= </w:t>
      </w:r>
      <w:r>
        <w:t>Wattage</w:t>
      </w:r>
      <w:r w:rsidRPr="00EC11F2">
        <w:t xml:space="preserve"> of incandescent C9 bulbs</w:t>
      </w:r>
    </w:p>
    <w:p w:rsidR="004D5CFB" w:rsidRPr="00EC11F2" w:rsidRDefault="004D5CFB" w:rsidP="004D5CFB">
      <w:pPr>
        <w:pStyle w:val="Equation"/>
      </w:pPr>
      <w:r>
        <w:lastRenderedPageBreak/>
        <w:tab/>
      </w:r>
    </w:p>
    <w:p w:rsidR="004D5CFB" w:rsidRPr="00EC11F2" w:rsidRDefault="004D5CFB" w:rsidP="004D5CFB">
      <w:pPr>
        <w:pStyle w:val="Equation"/>
      </w:pPr>
      <w:r>
        <w:tab/>
      </w:r>
      <w:r w:rsidRPr="00EC11F2">
        <w:t>#Bulbs</w:t>
      </w:r>
      <w:r w:rsidRPr="00EC11F2">
        <w:tab/>
        <w:t>= Number of bulbs per strand</w:t>
      </w:r>
    </w:p>
    <w:p w:rsidR="004D5CFB" w:rsidRPr="00EC11F2" w:rsidRDefault="004D5CFB" w:rsidP="004D5CFB">
      <w:pPr>
        <w:pStyle w:val="Equation"/>
      </w:pPr>
      <w:r>
        <w:tab/>
      </w:r>
      <w:r w:rsidRPr="00EC11F2">
        <w:t>#Strands</w:t>
      </w:r>
      <w:r w:rsidRPr="00EC11F2">
        <w:tab/>
        <w:t>= Number of strands of lights</w:t>
      </w:r>
      <w:r w:rsidR="00923239">
        <w:t xml:space="preserve"> per package</w:t>
      </w:r>
    </w:p>
    <w:p w:rsidR="004D5CFB" w:rsidRPr="00EC11F2" w:rsidRDefault="004D5CFB" w:rsidP="004D5CFB">
      <w:pPr>
        <w:pStyle w:val="Equation"/>
      </w:pPr>
      <w:r>
        <w:tab/>
      </w:r>
      <w:r w:rsidRPr="00EC11F2">
        <w:t>Hr</w:t>
      </w:r>
      <w:r w:rsidRPr="00EC11F2">
        <w:tab/>
        <w:t>= Annual hours of operation</w:t>
      </w:r>
    </w:p>
    <w:p w:rsidR="004D5CFB" w:rsidRPr="001C4AD5" w:rsidRDefault="004D5CFB" w:rsidP="004D5CFB">
      <w:pPr>
        <w:pStyle w:val="StyleCaptionCentered"/>
      </w:pPr>
      <w:bookmarkStart w:id="478" w:name="_Toc310875542"/>
      <w:r>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56</w:t>
      </w:r>
      <w:r w:rsidR="00274AB1">
        <w:rPr>
          <w:noProof/>
        </w:rPr>
        <w:fldChar w:fldCharType="end"/>
      </w:r>
      <w:r>
        <w:t>: Holiday Lights Assumptions</w:t>
      </w:r>
      <w:bookmarkEnd w:id="478"/>
    </w:p>
    <w:tbl>
      <w:tblPr>
        <w:tblW w:w="4044" w:type="pct"/>
        <w:jc w:val="center"/>
        <w:tblInd w:w="-566" w:type="dxa"/>
        <w:tblCellMar>
          <w:left w:w="115" w:type="dxa"/>
          <w:right w:w="115" w:type="dxa"/>
        </w:tblCellMar>
        <w:tblLook w:val="00A0" w:firstRow="1" w:lastRow="0" w:firstColumn="1" w:lastColumn="0" w:noHBand="0" w:noVBand="0"/>
      </w:tblPr>
      <w:tblGrid>
        <w:gridCol w:w="1639"/>
        <w:gridCol w:w="1321"/>
        <w:gridCol w:w="2248"/>
        <w:gridCol w:w="1966"/>
      </w:tblGrid>
      <w:tr w:rsidR="004D5CFB" w:rsidRPr="000151F9" w:rsidTr="00EF33C4">
        <w:trPr>
          <w:trHeight w:val="317"/>
          <w:jc w:val="center"/>
        </w:trPr>
        <w:tc>
          <w:tcPr>
            <w:tcW w:w="1142" w:type="pct"/>
            <w:tcBorders>
              <w:top w:val="single" w:sz="8" w:space="0" w:color="auto"/>
              <w:left w:val="single" w:sz="8" w:space="0" w:color="auto"/>
              <w:bottom w:val="single" w:sz="8" w:space="0" w:color="auto"/>
              <w:right w:val="single" w:sz="8" w:space="0" w:color="auto"/>
            </w:tcBorders>
            <w:shd w:val="clear" w:color="auto" w:fill="BFBFBF"/>
            <w:vAlign w:val="center"/>
          </w:tcPr>
          <w:p w:rsidR="004D5CFB" w:rsidRPr="001D6512" w:rsidRDefault="004D5CFB" w:rsidP="004D5CFB">
            <w:pPr>
              <w:pStyle w:val="TableCell"/>
              <w:spacing w:before="60" w:after="60"/>
              <w:rPr>
                <w:b/>
              </w:rPr>
            </w:pPr>
            <w:r w:rsidRPr="001D6512">
              <w:rPr>
                <w:b/>
              </w:rPr>
              <w:t>Parameter</w:t>
            </w:r>
          </w:p>
        </w:tc>
        <w:tc>
          <w:tcPr>
            <w:tcW w:w="921" w:type="pct"/>
            <w:tcBorders>
              <w:top w:val="single" w:sz="8" w:space="0" w:color="auto"/>
              <w:left w:val="nil"/>
              <w:bottom w:val="single" w:sz="8" w:space="0" w:color="auto"/>
              <w:right w:val="single" w:sz="8" w:space="0" w:color="auto"/>
            </w:tcBorders>
            <w:shd w:val="clear" w:color="auto" w:fill="BFBFBF"/>
            <w:vAlign w:val="center"/>
          </w:tcPr>
          <w:p w:rsidR="004D5CFB" w:rsidRPr="001D6512" w:rsidRDefault="004D5CFB" w:rsidP="004D5CFB">
            <w:pPr>
              <w:pStyle w:val="TableCell"/>
              <w:spacing w:before="60" w:after="60"/>
              <w:rPr>
                <w:b/>
              </w:rPr>
            </w:pPr>
            <w:r w:rsidRPr="001D6512">
              <w:rPr>
                <w:b/>
              </w:rPr>
              <w:t>Type</w:t>
            </w:r>
          </w:p>
        </w:tc>
        <w:tc>
          <w:tcPr>
            <w:tcW w:w="1567" w:type="pct"/>
            <w:tcBorders>
              <w:top w:val="single" w:sz="8" w:space="0" w:color="auto"/>
              <w:left w:val="nil"/>
              <w:bottom w:val="single" w:sz="8" w:space="0" w:color="auto"/>
              <w:right w:val="single" w:sz="8" w:space="0" w:color="auto"/>
            </w:tcBorders>
            <w:shd w:val="clear" w:color="auto" w:fill="BFBFBF"/>
          </w:tcPr>
          <w:p w:rsidR="004D5CFB" w:rsidRPr="001D6512" w:rsidRDefault="004D5CFB" w:rsidP="004D5CFB">
            <w:pPr>
              <w:pStyle w:val="TableCell"/>
              <w:spacing w:before="60" w:after="60"/>
              <w:rPr>
                <w:b/>
              </w:rPr>
            </w:pPr>
            <w:r w:rsidRPr="001D6512">
              <w:rPr>
                <w:b/>
              </w:rPr>
              <w:t>Value</w:t>
            </w:r>
          </w:p>
        </w:tc>
        <w:tc>
          <w:tcPr>
            <w:tcW w:w="1371" w:type="pct"/>
            <w:tcBorders>
              <w:top w:val="single" w:sz="8" w:space="0" w:color="auto"/>
              <w:left w:val="single" w:sz="8" w:space="0" w:color="auto"/>
              <w:bottom w:val="single" w:sz="8" w:space="0" w:color="auto"/>
              <w:right w:val="single" w:sz="8" w:space="0" w:color="auto"/>
            </w:tcBorders>
            <w:shd w:val="clear" w:color="auto" w:fill="BFBFBF"/>
            <w:vAlign w:val="center"/>
          </w:tcPr>
          <w:p w:rsidR="004D5CFB" w:rsidRPr="001D6512" w:rsidRDefault="004D5CFB" w:rsidP="004D5CFB">
            <w:pPr>
              <w:pStyle w:val="TableCell"/>
              <w:spacing w:before="60" w:after="60"/>
              <w:rPr>
                <w:b/>
              </w:rPr>
            </w:pPr>
            <w:r w:rsidRPr="001D6512">
              <w:rPr>
                <w:b/>
              </w:rPr>
              <w:t>Source</w:t>
            </w:r>
          </w:p>
        </w:tc>
      </w:tr>
      <w:tr w:rsidR="004D5CFB" w:rsidRPr="000151F9" w:rsidTr="00EF33C4">
        <w:trPr>
          <w:trHeight w:val="317"/>
          <w:jc w:val="center"/>
        </w:trPr>
        <w:tc>
          <w:tcPr>
            <w:tcW w:w="1142" w:type="pct"/>
            <w:tcBorders>
              <w:top w:val="single" w:sz="8" w:space="0" w:color="auto"/>
              <w:left w:val="single" w:sz="8" w:space="0" w:color="auto"/>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vertAlign w:val="subscript"/>
              </w:rPr>
            </w:pPr>
            <w:r w:rsidRPr="00947DFB">
              <w:rPr>
                <w:rFonts w:cs="Arial"/>
                <w:sz w:val="18"/>
                <w:szCs w:val="18"/>
              </w:rPr>
              <w:t>LED</w:t>
            </w:r>
            <w:r w:rsidRPr="00947DFB">
              <w:rPr>
                <w:rFonts w:cs="Arial"/>
                <w:sz w:val="18"/>
                <w:szCs w:val="18"/>
                <w:vertAlign w:val="subscript"/>
              </w:rPr>
              <w:t>mini</w:t>
            </w:r>
          </w:p>
        </w:tc>
        <w:tc>
          <w:tcPr>
            <w:tcW w:w="921" w:type="pct"/>
            <w:tcBorders>
              <w:top w:val="single" w:sz="8" w:space="0" w:color="auto"/>
              <w:left w:val="nil"/>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rPr>
            </w:pPr>
            <w:r w:rsidRPr="00947DFB">
              <w:rPr>
                <w:rFonts w:cs="Arial"/>
                <w:sz w:val="18"/>
                <w:szCs w:val="18"/>
              </w:rPr>
              <w:t>Fixed</w:t>
            </w:r>
          </w:p>
        </w:tc>
        <w:tc>
          <w:tcPr>
            <w:tcW w:w="1567" w:type="pct"/>
            <w:tcBorders>
              <w:top w:val="single" w:sz="8" w:space="0" w:color="auto"/>
              <w:left w:val="nil"/>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rPr>
            </w:pPr>
            <w:r w:rsidRPr="00947DFB">
              <w:rPr>
                <w:rFonts w:cs="Arial"/>
                <w:sz w:val="18"/>
                <w:szCs w:val="18"/>
              </w:rPr>
              <w:t>0.08 W</w:t>
            </w:r>
          </w:p>
        </w:tc>
        <w:tc>
          <w:tcPr>
            <w:tcW w:w="1371" w:type="pct"/>
            <w:tcBorders>
              <w:top w:val="single" w:sz="8" w:space="0" w:color="auto"/>
              <w:left w:val="single" w:sz="8" w:space="0" w:color="auto"/>
              <w:bottom w:val="single" w:sz="8" w:space="0" w:color="auto"/>
              <w:right w:val="single" w:sz="8" w:space="0" w:color="auto"/>
            </w:tcBorders>
          </w:tcPr>
          <w:p w:rsidR="004D5CFB" w:rsidRDefault="004D5CFB" w:rsidP="004D5CFB">
            <w:pPr>
              <w:tabs>
                <w:tab w:val="left" w:pos="720"/>
              </w:tabs>
              <w:spacing w:before="60" w:after="60"/>
              <w:rPr>
                <w:rFonts w:cs="Arial"/>
                <w:sz w:val="18"/>
                <w:szCs w:val="18"/>
              </w:rPr>
            </w:pPr>
            <w:r>
              <w:rPr>
                <w:rFonts w:cs="Arial"/>
                <w:sz w:val="18"/>
                <w:szCs w:val="18"/>
              </w:rPr>
              <w:t>1</w:t>
            </w:r>
          </w:p>
        </w:tc>
      </w:tr>
      <w:tr w:rsidR="004D5CFB" w:rsidRPr="000151F9" w:rsidTr="00EF33C4">
        <w:trPr>
          <w:trHeight w:val="317"/>
          <w:jc w:val="center"/>
        </w:trPr>
        <w:tc>
          <w:tcPr>
            <w:tcW w:w="1142" w:type="pct"/>
            <w:tcBorders>
              <w:top w:val="single" w:sz="8" w:space="0" w:color="auto"/>
              <w:left w:val="single" w:sz="8" w:space="0" w:color="auto"/>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vertAlign w:val="subscript"/>
              </w:rPr>
            </w:pPr>
            <w:r w:rsidRPr="00947DFB">
              <w:rPr>
                <w:rFonts w:cs="Arial"/>
                <w:sz w:val="18"/>
                <w:szCs w:val="18"/>
              </w:rPr>
              <w:t>INC</w:t>
            </w:r>
            <w:r w:rsidRPr="00947DFB">
              <w:rPr>
                <w:rFonts w:cs="Arial"/>
                <w:sz w:val="18"/>
                <w:szCs w:val="18"/>
                <w:vertAlign w:val="subscript"/>
              </w:rPr>
              <w:t>mini</w:t>
            </w:r>
          </w:p>
        </w:tc>
        <w:tc>
          <w:tcPr>
            <w:tcW w:w="921" w:type="pct"/>
            <w:tcBorders>
              <w:top w:val="single" w:sz="8" w:space="0" w:color="auto"/>
              <w:left w:val="nil"/>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rPr>
            </w:pPr>
            <w:r w:rsidRPr="00947DFB">
              <w:rPr>
                <w:rFonts w:cs="Arial"/>
                <w:sz w:val="18"/>
                <w:szCs w:val="18"/>
              </w:rPr>
              <w:t>Fixed</w:t>
            </w:r>
          </w:p>
        </w:tc>
        <w:tc>
          <w:tcPr>
            <w:tcW w:w="1567" w:type="pct"/>
            <w:tcBorders>
              <w:top w:val="single" w:sz="8" w:space="0" w:color="auto"/>
              <w:left w:val="nil"/>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rPr>
            </w:pPr>
            <w:r w:rsidRPr="00947DFB">
              <w:rPr>
                <w:rFonts w:cs="Arial"/>
                <w:sz w:val="18"/>
                <w:szCs w:val="18"/>
              </w:rPr>
              <w:t>0.48 W</w:t>
            </w:r>
          </w:p>
        </w:tc>
        <w:tc>
          <w:tcPr>
            <w:tcW w:w="1371" w:type="pct"/>
            <w:tcBorders>
              <w:top w:val="single" w:sz="8" w:space="0" w:color="auto"/>
              <w:left w:val="single" w:sz="8" w:space="0" w:color="auto"/>
              <w:bottom w:val="single" w:sz="8" w:space="0" w:color="auto"/>
              <w:right w:val="single" w:sz="8" w:space="0" w:color="auto"/>
            </w:tcBorders>
          </w:tcPr>
          <w:p w:rsidR="004D5CFB" w:rsidRDefault="004D5CFB" w:rsidP="004D5CFB">
            <w:pPr>
              <w:tabs>
                <w:tab w:val="left" w:pos="720"/>
              </w:tabs>
              <w:spacing w:before="60" w:after="60"/>
              <w:rPr>
                <w:rFonts w:cs="Arial"/>
                <w:sz w:val="18"/>
                <w:szCs w:val="18"/>
              </w:rPr>
            </w:pPr>
            <w:r>
              <w:rPr>
                <w:rFonts w:cs="Arial"/>
                <w:sz w:val="18"/>
                <w:szCs w:val="18"/>
              </w:rPr>
              <w:t>1</w:t>
            </w:r>
          </w:p>
        </w:tc>
      </w:tr>
      <w:tr w:rsidR="004D5CFB" w:rsidRPr="000151F9" w:rsidTr="00EF33C4">
        <w:trPr>
          <w:trHeight w:val="317"/>
          <w:jc w:val="center"/>
        </w:trPr>
        <w:tc>
          <w:tcPr>
            <w:tcW w:w="1142" w:type="pct"/>
            <w:tcBorders>
              <w:top w:val="single" w:sz="8" w:space="0" w:color="auto"/>
              <w:left w:val="single" w:sz="8" w:space="0" w:color="auto"/>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vertAlign w:val="subscript"/>
              </w:rPr>
            </w:pPr>
            <w:r w:rsidRPr="00947DFB">
              <w:rPr>
                <w:rFonts w:cs="Arial"/>
                <w:sz w:val="18"/>
                <w:szCs w:val="18"/>
              </w:rPr>
              <w:t>LED</w:t>
            </w:r>
            <w:r w:rsidRPr="00947DFB">
              <w:rPr>
                <w:rFonts w:cs="Arial"/>
                <w:sz w:val="18"/>
                <w:szCs w:val="18"/>
                <w:vertAlign w:val="subscript"/>
              </w:rPr>
              <w:t>C7</w:t>
            </w:r>
          </w:p>
        </w:tc>
        <w:tc>
          <w:tcPr>
            <w:tcW w:w="921" w:type="pct"/>
            <w:tcBorders>
              <w:top w:val="single" w:sz="8" w:space="0" w:color="auto"/>
              <w:left w:val="nil"/>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rPr>
            </w:pPr>
            <w:r w:rsidRPr="00947DFB">
              <w:rPr>
                <w:rFonts w:cs="Arial"/>
                <w:sz w:val="18"/>
                <w:szCs w:val="18"/>
              </w:rPr>
              <w:t>Fixed</w:t>
            </w:r>
          </w:p>
        </w:tc>
        <w:tc>
          <w:tcPr>
            <w:tcW w:w="1567" w:type="pct"/>
            <w:tcBorders>
              <w:top w:val="single" w:sz="8" w:space="0" w:color="auto"/>
              <w:left w:val="nil"/>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rPr>
            </w:pPr>
            <w:r w:rsidRPr="00947DFB">
              <w:rPr>
                <w:rFonts w:cs="Arial"/>
                <w:sz w:val="18"/>
                <w:szCs w:val="18"/>
              </w:rPr>
              <w:t>0.48 W</w:t>
            </w:r>
          </w:p>
        </w:tc>
        <w:tc>
          <w:tcPr>
            <w:tcW w:w="1371" w:type="pct"/>
            <w:tcBorders>
              <w:top w:val="single" w:sz="8" w:space="0" w:color="auto"/>
              <w:left w:val="single" w:sz="8" w:space="0" w:color="auto"/>
              <w:bottom w:val="single" w:sz="8" w:space="0" w:color="auto"/>
              <w:right w:val="single" w:sz="8" w:space="0" w:color="auto"/>
            </w:tcBorders>
          </w:tcPr>
          <w:p w:rsidR="004D5CFB" w:rsidRDefault="004D5CFB" w:rsidP="004D5CFB">
            <w:pPr>
              <w:tabs>
                <w:tab w:val="left" w:pos="720"/>
              </w:tabs>
              <w:spacing w:before="60" w:after="60"/>
              <w:rPr>
                <w:rFonts w:cs="Arial"/>
                <w:sz w:val="18"/>
                <w:szCs w:val="18"/>
              </w:rPr>
            </w:pPr>
            <w:r>
              <w:rPr>
                <w:rFonts w:cs="Arial"/>
                <w:sz w:val="18"/>
                <w:szCs w:val="18"/>
              </w:rPr>
              <w:t>1</w:t>
            </w:r>
          </w:p>
        </w:tc>
      </w:tr>
      <w:tr w:rsidR="004D5CFB" w:rsidRPr="000151F9" w:rsidTr="00EF33C4">
        <w:trPr>
          <w:trHeight w:val="317"/>
          <w:jc w:val="center"/>
        </w:trPr>
        <w:tc>
          <w:tcPr>
            <w:tcW w:w="1142" w:type="pct"/>
            <w:tcBorders>
              <w:top w:val="single" w:sz="8" w:space="0" w:color="auto"/>
              <w:left w:val="single" w:sz="8" w:space="0" w:color="auto"/>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vertAlign w:val="subscript"/>
              </w:rPr>
            </w:pPr>
            <w:r w:rsidRPr="00947DFB">
              <w:rPr>
                <w:rFonts w:cs="Arial"/>
                <w:sz w:val="18"/>
                <w:szCs w:val="18"/>
              </w:rPr>
              <w:t>INC</w:t>
            </w:r>
            <w:r w:rsidRPr="00947DFB">
              <w:rPr>
                <w:rFonts w:cs="Arial"/>
                <w:sz w:val="18"/>
                <w:szCs w:val="18"/>
                <w:vertAlign w:val="subscript"/>
              </w:rPr>
              <w:t>C7</w:t>
            </w:r>
          </w:p>
        </w:tc>
        <w:tc>
          <w:tcPr>
            <w:tcW w:w="921" w:type="pct"/>
            <w:tcBorders>
              <w:top w:val="single" w:sz="8" w:space="0" w:color="auto"/>
              <w:left w:val="nil"/>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rPr>
            </w:pPr>
            <w:r w:rsidRPr="00947DFB">
              <w:rPr>
                <w:rFonts w:cs="Arial"/>
                <w:sz w:val="18"/>
                <w:szCs w:val="18"/>
              </w:rPr>
              <w:t>Fixed</w:t>
            </w:r>
          </w:p>
        </w:tc>
        <w:tc>
          <w:tcPr>
            <w:tcW w:w="1567" w:type="pct"/>
            <w:tcBorders>
              <w:top w:val="single" w:sz="8" w:space="0" w:color="auto"/>
              <w:left w:val="nil"/>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rPr>
            </w:pPr>
            <w:r w:rsidRPr="00947DFB">
              <w:rPr>
                <w:rFonts w:cs="Arial"/>
                <w:sz w:val="18"/>
                <w:szCs w:val="18"/>
              </w:rPr>
              <w:t>6.0 W</w:t>
            </w:r>
          </w:p>
        </w:tc>
        <w:tc>
          <w:tcPr>
            <w:tcW w:w="1371" w:type="pct"/>
            <w:tcBorders>
              <w:top w:val="single" w:sz="8" w:space="0" w:color="auto"/>
              <w:left w:val="single" w:sz="8" w:space="0" w:color="auto"/>
              <w:bottom w:val="single" w:sz="8" w:space="0" w:color="auto"/>
              <w:right w:val="single" w:sz="8" w:space="0" w:color="auto"/>
            </w:tcBorders>
          </w:tcPr>
          <w:p w:rsidR="004D5CFB" w:rsidRDefault="004D5CFB" w:rsidP="004D5CFB">
            <w:pPr>
              <w:tabs>
                <w:tab w:val="left" w:pos="720"/>
              </w:tabs>
              <w:spacing w:before="60" w:after="60"/>
              <w:rPr>
                <w:rFonts w:cs="Arial"/>
                <w:sz w:val="18"/>
                <w:szCs w:val="18"/>
              </w:rPr>
            </w:pPr>
            <w:r>
              <w:rPr>
                <w:rFonts w:cs="Arial"/>
                <w:sz w:val="18"/>
                <w:szCs w:val="18"/>
              </w:rPr>
              <w:t>1</w:t>
            </w:r>
          </w:p>
        </w:tc>
      </w:tr>
      <w:tr w:rsidR="004D5CFB" w:rsidRPr="000151F9" w:rsidTr="00EF33C4">
        <w:trPr>
          <w:trHeight w:val="317"/>
          <w:jc w:val="center"/>
        </w:trPr>
        <w:tc>
          <w:tcPr>
            <w:tcW w:w="1142" w:type="pct"/>
            <w:tcBorders>
              <w:top w:val="single" w:sz="8" w:space="0" w:color="auto"/>
              <w:left w:val="single" w:sz="8" w:space="0" w:color="auto"/>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vertAlign w:val="subscript"/>
              </w:rPr>
            </w:pPr>
            <w:r w:rsidRPr="00947DFB">
              <w:rPr>
                <w:rFonts w:cs="Arial"/>
                <w:sz w:val="18"/>
                <w:szCs w:val="18"/>
              </w:rPr>
              <w:t>LED</w:t>
            </w:r>
            <w:r w:rsidRPr="00947DFB">
              <w:rPr>
                <w:rFonts w:cs="Arial"/>
                <w:sz w:val="18"/>
                <w:szCs w:val="18"/>
                <w:vertAlign w:val="subscript"/>
              </w:rPr>
              <w:t>C9</w:t>
            </w:r>
          </w:p>
        </w:tc>
        <w:tc>
          <w:tcPr>
            <w:tcW w:w="921" w:type="pct"/>
            <w:tcBorders>
              <w:top w:val="single" w:sz="8" w:space="0" w:color="auto"/>
              <w:left w:val="nil"/>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rPr>
            </w:pPr>
            <w:r w:rsidRPr="00947DFB">
              <w:rPr>
                <w:rFonts w:cs="Arial"/>
                <w:sz w:val="18"/>
                <w:szCs w:val="18"/>
              </w:rPr>
              <w:t>Fixed</w:t>
            </w:r>
          </w:p>
        </w:tc>
        <w:tc>
          <w:tcPr>
            <w:tcW w:w="1567" w:type="pct"/>
            <w:tcBorders>
              <w:top w:val="single" w:sz="8" w:space="0" w:color="auto"/>
              <w:left w:val="nil"/>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rPr>
            </w:pPr>
            <w:r w:rsidRPr="00947DFB">
              <w:rPr>
                <w:rFonts w:cs="Arial"/>
                <w:sz w:val="18"/>
                <w:szCs w:val="18"/>
              </w:rPr>
              <w:t>2.0 W</w:t>
            </w:r>
          </w:p>
        </w:tc>
        <w:tc>
          <w:tcPr>
            <w:tcW w:w="1371" w:type="pct"/>
            <w:tcBorders>
              <w:top w:val="single" w:sz="8" w:space="0" w:color="auto"/>
              <w:left w:val="single" w:sz="8" w:space="0" w:color="auto"/>
              <w:bottom w:val="single" w:sz="8" w:space="0" w:color="auto"/>
              <w:right w:val="single" w:sz="8" w:space="0" w:color="auto"/>
            </w:tcBorders>
          </w:tcPr>
          <w:p w:rsidR="004D5CFB" w:rsidRDefault="004D5CFB" w:rsidP="004D5CFB">
            <w:pPr>
              <w:tabs>
                <w:tab w:val="left" w:pos="720"/>
              </w:tabs>
              <w:spacing w:before="60" w:after="60"/>
              <w:rPr>
                <w:rFonts w:cs="Arial"/>
                <w:sz w:val="18"/>
                <w:szCs w:val="18"/>
              </w:rPr>
            </w:pPr>
            <w:r>
              <w:rPr>
                <w:rFonts w:cs="Arial"/>
                <w:sz w:val="18"/>
                <w:szCs w:val="18"/>
              </w:rPr>
              <w:t>1</w:t>
            </w:r>
          </w:p>
        </w:tc>
      </w:tr>
      <w:tr w:rsidR="004D5CFB" w:rsidRPr="000151F9" w:rsidTr="00EF33C4">
        <w:trPr>
          <w:trHeight w:val="317"/>
          <w:jc w:val="center"/>
        </w:trPr>
        <w:tc>
          <w:tcPr>
            <w:tcW w:w="1142" w:type="pct"/>
            <w:tcBorders>
              <w:top w:val="single" w:sz="8" w:space="0" w:color="auto"/>
              <w:left w:val="single" w:sz="8" w:space="0" w:color="auto"/>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vertAlign w:val="subscript"/>
              </w:rPr>
            </w:pPr>
            <w:r w:rsidRPr="00947DFB">
              <w:rPr>
                <w:rFonts w:cs="Arial"/>
                <w:sz w:val="18"/>
                <w:szCs w:val="18"/>
              </w:rPr>
              <w:t>INC</w:t>
            </w:r>
            <w:r w:rsidRPr="00947DFB">
              <w:rPr>
                <w:rFonts w:cs="Arial"/>
                <w:sz w:val="18"/>
                <w:szCs w:val="18"/>
                <w:vertAlign w:val="subscript"/>
              </w:rPr>
              <w:t>C9</w:t>
            </w:r>
          </w:p>
        </w:tc>
        <w:tc>
          <w:tcPr>
            <w:tcW w:w="921" w:type="pct"/>
            <w:tcBorders>
              <w:top w:val="single" w:sz="8" w:space="0" w:color="auto"/>
              <w:left w:val="nil"/>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rPr>
            </w:pPr>
            <w:r w:rsidRPr="00947DFB">
              <w:rPr>
                <w:rFonts w:cs="Arial"/>
                <w:sz w:val="18"/>
                <w:szCs w:val="18"/>
              </w:rPr>
              <w:t>Fixed</w:t>
            </w:r>
          </w:p>
        </w:tc>
        <w:tc>
          <w:tcPr>
            <w:tcW w:w="1567" w:type="pct"/>
            <w:tcBorders>
              <w:top w:val="single" w:sz="8" w:space="0" w:color="auto"/>
              <w:left w:val="nil"/>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rPr>
            </w:pPr>
            <w:r w:rsidRPr="00947DFB">
              <w:rPr>
                <w:rFonts w:cs="Arial"/>
                <w:sz w:val="18"/>
                <w:szCs w:val="18"/>
              </w:rPr>
              <w:t>7.0 W</w:t>
            </w:r>
          </w:p>
        </w:tc>
        <w:tc>
          <w:tcPr>
            <w:tcW w:w="1371" w:type="pct"/>
            <w:tcBorders>
              <w:top w:val="single" w:sz="8" w:space="0" w:color="auto"/>
              <w:left w:val="single" w:sz="8" w:space="0" w:color="auto"/>
              <w:bottom w:val="single" w:sz="8" w:space="0" w:color="auto"/>
              <w:right w:val="single" w:sz="8" w:space="0" w:color="auto"/>
            </w:tcBorders>
          </w:tcPr>
          <w:p w:rsidR="004D5CFB" w:rsidRDefault="004D5CFB" w:rsidP="004D5CFB">
            <w:pPr>
              <w:tabs>
                <w:tab w:val="left" w:pos="720"/>
              </w:tabs>
              <w:spacing w:before="60" w:after="60"/>
              <w:rPr>
                <w:rFonts w:cs="Arial"/>
                <w:sz w:val="18"/>
                <w:szCs w:val="18"/>
              </w:rPr>
            </w:pPr>
            <w:r>
              <w:rPr>
                <w:rFonts w:cs="Arial"/>
                <w:sz w:val="18"/>
                <w:szCs w:val="18"/>
              </w:rPr>
              <w:t>1</w:t>
            </w:r>
          </w:p>
        </w:tc>
      </w:tr>
      <w:tr w:rsidR="004D5CFB" w:rsidRPr="000151F9" w:rsidTr="004D5CFB">
        <w:trPr>
          <w:trHeight w:val="317"/>
          <w:jc w:val="center"/>
        </w:trPr>
        <w:tc>
          <w:tcPr>
            <w:tcW w:w="1141" w:type="pct"/>
            <w:tcBorders>
              <w:top w:val="single" w:sz="8" w:space="0" w:color="auto"/>
              <w:left w:val="single" w:sz="8" w:space="0" w:color="auto"/>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vertAlign w:val="subscript"/>
              </w:rPr>
            </w:pPr>
            <w:r w:rsidRPr="00947DFB">
              <w:rPr>
                <w:rFonts w:cs="Arial"/>
                <w:sz w:val="18"/>
                <w:szCs w:val="18"/>
              </w:rPr>
              <w:t>W</w:t>
            </w:r>
            <w:r w:rsidRPr="00947DFB">
              <w:rPr>
                <w:rFonts w:cs="Arial"/>
                <w:sz w:val="18"/>
                <w:szCs w:val="18"/>
                <w:vertAlign w:val="subscript"/>
              </w:rPr>
              <w:t>Mini</w:t>
            </w:r>
          </w:p>
        </w:tc>
        <w:tc>
          <w:tcPr>
            <w:tcW w:w="921" w:type="pct"/>
            <w:tcBorders>
              <w:top w:val="single" w:sz="8" w:space="0" w:color="auto"/>
              <w:left w:val="nil"/>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rPr>
            </w:pPr>
            <w:r w:rsidRPr="00947DFB">
              <w:rPr>
                <w:rFonts w:cs="Arial"/>
                <w:sz w:val="18"/>
                <w:szCs w:val="18"/>
              </w:rPr>
              <w:t>Fixed</w:t>
            </w:r>
          </w:p>
        </w:tc>
        <w:tc>
          <w:tcPr>
            <w:tcW w:w="1567" w:type="pct"/>
            <w:tcBorders>
              <w:top w:val="single" w:sz="8" w:space="0" w:color="auto"/>
              <w:left w:val="nil"/>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rPr>
            </w:pPr>
            <w:r>
              <w:rPr>
                <w:rFonts w:cs="Arial"/>
                <w:sz w:val="18"/>
                <w:szCs w:val="18"/>
              </w:rPr>
              <w:t>0</w:t>
            </w:r>
            <w:r w:rsidRPr="00947DFB">
              <w:rPr>
                <w:rFonts w:cs="Arial"/>
                <w:sz w:val="18"/>
                <w:szCs w:val="18"/>
              </w:rPr>
              <w:t>.5</w:t>
            </w:r>
          </w:p>
        </w:tc>
        <w:tc>
          <w:tcPr>
            <w:tcW w:w="1371" w:type="pct"/>
            <w:tcBorders>
              <w:top w:val="single" w:sz="8" w:space="0" w:color="auto"/>
              <w:left w:val="single" w:sz="8" w:space="0" w:color="auto"/>
              <w:bottom w:val="single" w:sz="8" w:space="0" w:color="auto"/>
              <w:right w:val="single" w:sz="8" w:space="0" w:color="auto"/>
            </w:tcBorders>
          </w:tcPr>
          <w:p w:rsidR="004D5CFB" w:rsidRDefault="004D5CFB" w:rsidP="004D5CFB">
            <w:pPr>
              <w:tabs>
                <w:tab w:val="left" w:pos="720"/>
              </w:tabs>
              <w:spacing w:before="60" w:after="60"/>
              <w:rPr>
                <w:rFonts w:cs="Arial"/>
                <w:sz w:val="18"/>
                <w:szCs w:val="18"/>
              </w:rPr>
            </w:pPr>
            <w:r>
              <w:rPr>
                <w:rFonts w:cs="Arial"/>
                <w:sz w:val="18"/>
                <w:szCs w:val="18"/>
              </w:rPr>
              <w:t>1</w:t>
            </w:r>
          </w:p>
        </w:tc>
      </w:tr>
      <w:tr w:rsidR="004D5CFB" w:rsidRPr="000151F9" w:rsidTr="004D5CFB">
        <w:trPr>
          <w:trHeight w:val="317"/>
          <w:jc w:val="center"/>
        </w:trPr>
        <w:tc>
          <w:tcPr>
            <w:tcW w:w="1141" w:type="pct"/>
            <w:tcBorders>
              <w:top w:val="single" w:sz="8" w:space="0" w:color="auto"/>
              <w:left w:val="single" w:sz="8" w:space="0" w:color="auto"/>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vertAlign w:val="subscript"/>
              </w:rPr>
            </w:pPr>
            <w:r w:rsidRPr="00947DFB">
              <w:rPr>
                <w:rFonts w:cs="Arial"/>
                <w:sz w:val="18"/>
                <w:szCs w:val="18"/>
              </w:rPr>
              <w:t>W</w:t>
            </w:r>
            <w:r w:rsidRPr="00947DFB">
              <w:rPr>
                <w:rFonts w:cs="Arial"/>
                <w:sz w:val="18"/>
                <w:szCs w:val="18"/>
                <w:vertAlign w:val="subscript"/>
              </w:rPr>
              <w:t>C7</w:t>
            </w:r>
          </w:p>
        </w:tc>
        <w:tc>
          <w:tcPr>
            <w:tcW w:w="921" w:type="pct"/>
            <w:tcBorders>
              <w:top w:val="single" w:sz="8" w:space="0" w:color="auto"/>
              <w:left w:val="nil"/>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rPr>
            </w:pPr>
            <w:r w:rsidRPr="00947DFB">
              <w:rPr>
                <w:rFonts w:cs="Arial"/>
                <w:sz w:val="18"/>
                <w:szCs w:val="18"/>
              </w:rPr>
              <w:t>Fixed</w:t>
            </w:r>
          </w:p>
        </w:tc>
        <w:tc>
          <w:tcPr>
            <w:tcW w:w="1567" w:type="pct"/>
            <w:tcBorders>
              <w:top w:val="single" w:sz="8" w:space="0" w:color="auto"/>
              <w:left w:val="nil"/>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rPr>
            </w:pPr>
            <w:r>
              <w:rPr>
                <w:rFonts w:cs="Arial"/>
                <w:sz w:val="18"/>
                <w:szCs w:val="18"/>
              </w:rPr>
              <w:t>0</w:t>
            </w:r>
            <w:r w:rsidRPr="00947DFB">
              <w:rPr>
                <w:rFonts w:cs="Arial"/>
                <w:sz w:val="18"/>
                <w:szCs w:val="18"/>
              </w:rPr>
              <w:t>.25</w:t>
            </w:r>
          </w:p>
        </w:tc>
        <w:tc>
          <w:tcPr>
            <w:tcW w:w="1371" w:type="pct"/>
            <w:tcBorders>
              <w:top w:val="single" w:sz="8" w:space="0" w:color="auto"/>
              <w:left w:val="single" w:sz="8" w:space="0" w:color="auto"/>
              <w:bottom w:val="single" w:sz="8" w:space="0" w:color="auto"/>
              <w:right w:val="single" w:sz="8" w:space="0" w:color="auto"/>
            </w:tcBorders>
          </w:tcPr>
          <w:p w:rsidR="004D5CFB" w:rsidRDefault="004D5CFB" w:rsidP="004D5CFB">
            <w:pPr>
              <w:tabs>
                <w:tab w:val="left" w:pos="720"/>
              </w:tabs>
              <w:spacing w:before="60" w:after="60"/>
              <w:rPr>
                <w:rFonts w:cs="Arial"/>
                <w:sz w:val="18"/>
                <w:szCs w:val="18"/>
              </w:rPr>
            </w:pPr>
            <w:r>
              <w:rPr>
                <w:rFonts w:cs="Arial"/>
                <w:sz w:val="18"/>
                <w:szCs w:val="18"/>
              </w:rPr>
              <w:t>1</w:t>
            </w:r>
          </w:p>
        </w:tc>
      </w:tr>
      <w:tr w:rsidR="004D5CFB" w:rsidRPr="000151F9" w:rsidTr="004D5CFB">
        <w:trPr>
          <w:trHeight w:val="317"/>
          <w:jc w:val="center"/>
        </w:trPr>
        <w:tc>
          <w:tcPr>
            <w:tcW w:w="1141" w:type="pct"/>
            <w:tcBorders>
              <w:top w:val="single" w:sz="8" w:space="0" w:color="auto"/>
              <w:left w:val="single" w:sz="8" w:space="0" w:color="auto"/>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vertAlign w:val="subscript"/>
              </w:rPr>
            </w:pPr>
            <w:r w:rsidRPr="00947DFB">
              <w:rPr>
                <w:rFonts w:cs="Arial"/>
                <w:sz w:val="18"/>
                <w:szCs w:val="18"/>
              </w:rPr>
              <w:t>W</w:t>
            </w:r>
            <w:r w:rsidRPr="00947DFB">
              <w:rPr>
                <w:rFonts w:cs="Arial"/>
                <w:sz w:val="18"/>
                <w:szCs w:val="18"/>
                <w:vertAlign w:val="subscript"/>
              </w:rPr>
              <w:t>C9</w:t>
            </w:r>
          </w:p>
        </w:tc>
        <w:tc>
          <w:tcPr>
            <w:tcW w:w="921" w:type="pct"/>
            <w:tcBorders>
              <w:top w:val="single" w:sz="8" w:space="0" w:color="auto"/>
              <w:left w:val="nil"/>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rPr>
            </w:pPr>
            <w:r w:rsidRPr="00947DFB">
              <w:rPr>
                <w:rFonts w:cs="Arial"/>
                <w:sz w:val="18"/>
                <w:szCs w:val="18"/>
              </w:rPr>
              <w:t>Fixed</w:t>
            </w:r>
          </w:p>
        </w:tc>
        <w:tc>
          <w:tcPr>
            <w:tcW w:w="1567" w:type="pct"/>
            <w:tcBorders>
              <w:top w:val="single" w:sz="8" w:space="0" w:color="auto"/>
              <w:left w:val="nil"/>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rPr>
            </w:pPr>
            <w:r>
              <w:rPr>
                <w:rFonts w:cs="Arial"/>
                <w:sz w:val="18"/>
                <w:szCs w:val="18"/>
              </w:rPr>
              <w:t>0</w:t>
            </w:r>
            <w:r w:rsidRPr="00947DFB">
              <w:rPr>
                <w:rFonts w:cs="Arial"/>
                <w:sz w:val="18"/>
                <w:szCs w:val="18"/>
              </w:rPr>
              <w:t>.25</w:t>
            </w:r>
          </w:p>
        </w:tc>
        <w:tc>
          <w:tcPr>
            <w:tcW w:w="1371" w:type="pct"/>
            <w:tcBorders>
              <w:top w:val="single" w:sz="8" w:space="0" w:color="auto"/>
              <w:left w:val="single" w:sz="8" w:space="0" w:color="auto"/>
              <w:bottom w:val="single" w:sz="8" w:space="0" w:color="auto"/>
              <w:right w:val="single" w:sz="8" w:space="0" w:color="auto"/>
            </w:tcBorders>
          </w:tcPr>
          <w:p w:rsidR="004D5CFB" w:rsidRDefault="004D5CFB" w:rsidP="004D5CFB">
            <w:pPr>
              <w:tabs>
                <w:tab w:val="left" w:pos="720"/>
              </w:tabs>
              <w:spacing w:before="60" w:after="60"/>
              <w:rPr>
                <w:rFonts w:cs="Arial"/>
                <w:sz w:val="18"/>
                <w:szCs w:val="18"/>
              </w:rPr>
            </w:pPr>
            <w:r>
              <w:rPr>
                <w:rFonts w:cs="Arial"/>
                <w:sz w:val="18"/>
                <w:szCs w:val="18"/>
              </w:rPr>
              <w:t>1</w:t>
            </w:r>
          </w:p>
        </w:tc>
      </w:tr>
      <w:tr w:rsidR="004D5CFB" w:rsidRPr="000151F9" w:rsidTr="00EF33C4">
        <w:trPr>
          <w:trHeight w:val="317"/>
          <w:jc w:val="center"/>
        </w:trPr>
        <w:tc>
          <w:tcPr>
            <w:tcW w:w="1142" w:type="pct"/>
            <w:tcBorders>
              <w:top w:val="single" w:sz="8" w:space="0" w:color="auto"/>
              <w:left w:val="single" w:sz="8" w:space="0" w:color="auto"/>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vertAlign w:val="subscript"/>
              </w:rPr>
            </w:pPr>
            <w:r w:rsidRPr="00947DFB">
              <w:rPr>
                <w:rFonts w:cs="Arial"/>
                <w:sz w:val="18"/>
                <w:szCs w:val="18"/>
              </w:rPr>
              <w:t>#</w:t>
            </w:r>
            <w:r w:rsidRPr="00947DFB">
              <w:rPr>
                <w:rFonts w:cs="Arial"/>
                <w:sz w:val="18"/>
                <w:szCs w:val="18"/>
                <w:vertAlign w:val="subscript"/>
              </w:rPr>
              <w:t>Bulbs</w:t>
            </w:r>
          </w:p>
        </w:tc>
        <w:tc>
          <w:tcPr>
            <w:tcW w:w="921" w:type="pct"/>
            <w:tcBorders>
              <w:top w:val="single" w:sz="8" w:space="0" w:color="auto"/>
              <w:left w:val="nil"/>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rPr>
            </w:pPr>
            <w:r>
              <w:rPr>
                <w:rFonts w:cs="Arial"/>
                <w:sz w:val="18"/>
                <w:szCs w:val="18"/>
              </w:rPr>
              <w:t>Variable</w:t>
            </w:r>
          </w:p>
        </w:tc>
        <w:tc>
          <w:tcPr>
            <w:tcW w:w="1567" w:type="pct"/>
            <w:tcBorders>
              <w:top w:val="single" w:sz="8" w:space="0" w:color="auto"/>
              <w:left w:val="nil"/>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rPr>
            </w:pPr>
            <w:r>
              <w:rPr>
                <w:rFonts w:cs="Arial"/>
                <w:sz w:val="18"/>
                <w:szCs w:val="18"/>
              </w:rPr>
              <w:t>Variable</w:t>
            </w:r>
          </w:p>
        </w:tc>
        <w:tc>
          <w:tcPr>
            <w:tcW w:w="1371" w:type="pct"/>
            <w:tcBorders>
              <w:top w:val="single" w:sz="8" w:space="0" w:color="auto"/>
              <w:left w:val="single" w:sz="8" w:space="0" w:color="auto"/>
              <w:bottom w:val="single" w:sz="8" w:space="0" w:color="auto"/>
              <w:right w:val="single" w:sz="8" w:space="0" w:color="auto"/>
            </w:tcBorders>
          </w:tcPr>
          <w:p w:rsidR="004D5CFB" w:rsidRDefault="004D5CFB" w:rsidP="004D5CFB">
            <w:pPr>
              <w:tabs>
                <w:tab w:val="left" w:pos="720"/>
              </w:tabs>
              <w:spacing w:before="60" w:after="60"/>
              <w:rPr>
                <w:rFonts w:cs="Arial"/>
                <w:sz w:val="18"/>
                <w:szCs w:val="18"/>
              </w:rPr>
            </w:pPr>
            <w:r>
              <w:rPr>
                <w:rFonts w:cs="Arial"/>
                <w:sz w:val="18"/>
                <w:szCs w:val="18"/>
              </w:rPr>
              <w:t>EDC Data Gathering</w:t>
            </w:r>
          </w:p>
        </w:tc>
      </w:tr>
      <w:tr w:rsidR="004D5CFB" w:rsidRPr="000151F9" w:rsidTr="00EF33C4">
        <w:trPr>
          <w:trHeight w:val="317"/>
          <w:jc w:val="center"/>
        </w:trPr>
        <w:tc>
          <w:tcPr>
            <w:tcW w:w="1142" w:type="pct"/>
            <w:tcBorders>
              <w:top w:val="single" w:sz="8" w:space="0" w:color="auto"/>
              <w:left w:val="single" w:sz="8" w:space="0" w:color="auto"/>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vertAlign w:val="subscript"/>
              </w:rPr>
            </w:pPr>
            <w:r w:rsidRPr="00947DFB">
              <w:rPr>
                <w:rFonts w:cs="Arial"/>
                <w:sz w:val="18"/>
                <w:szCs w:val="18"/>
              </w:rPr>
              <w:t>#</w:t>
            </w:r>
            <w:r w:rsidRPr="00947DFB">
              <w:rPr>
                <w:rFonts w:cs="Arial"/>
                <w:sz w:val="18"/>
                <w:szCs w:val="18"/>
                <w:vertAlign w:val="subscript"/>
              </w:rPr>
              <w:t>Strands</w:t>
            </w:r>
          </w:p>
        </w:tc>
        <w:tc>
          <w:tcPr>
            <w:tcW w:w="921" w:type="pct"/>
            <w:tcBorders>
              <w:top w:val="single" w:sz="8" w:space="0" w:color="auto"/>
              <w:left w:val="nil"/>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rPr>
            </w:pPr>
            <w:r>
              <w:rPr>
                <w:rFonts w:cs="Arial"/>
                <w:sz w:val="18"/>
                <w:szCs w:val="18"/>
              </w:rPr>
              <w:t>Variable</w:t>
            </w:r>
          </w:p>
        </w:tc>
        <w:tc>
          <w:tcPr>
            <w:tcW w:w="1567" w:type="pct"/>
            <w:tcBorders>
              <w:top w:val="single" w:sz="8" w:space="0" w:color="auto"/>
              <w:left w:val="nil"/>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rPr>
            </w:pPr>
            <w:r>
              <w:rPr>
                <w:rFonts w:cs="Arial"/>
                <w:sz w:val="18"/>
                <w:szCs w:val="18"/>
              </w:rPr>
              <w:t>Variable</w:t>
            </w:r>
          </w:p>
        </w:tc>
        <w:tc>
          <w:tcPr>
            <w:tcW w:w="1371" w:type="pct"/>
            <w:tcBorders>
              <w:top w:val="single" w:sz="8" w:space="0" w:color="auto"/>
              <w:left w:val="single" w:sz="8" w:space="0" w:color="auto"/>
              <w:bottom w:val="single" w:sz="8" w:space="0" w:color="auto"/>
              <w:right w:val="single" w:sz="8" w:space="0" w:color="auto"/>
            </w:tcBorders>
          </w:tcPr>
          <w:p w:rsidR="004D5CFB" w:rsidRDefault="004D5CFB" w:rsidP="004D5CFB">
            <w:pPr>
              <w:tabs>
                <w:tab w:val="left" w:pos="720"/>
              </w:tabs>
              <w:spacing w:before="60" w:after="60"/>
              <w:rPr>
                <w:rFonts w:cs="Arial"/>
                <w:sz w:val="18"/>
                <w:szCs w:val="18"/>
              </w:rPr>
            </w:pPr>
            <w:r>
              <w:rPr>
                <w:rFonts w:cs="Arial"/>
                <w:sz w:val="18"/>
                <w:szCs w:val="18"/>
              </w:rPr>
              <w:t>EDC Data Gathering</w:t>
            </w:r>
          </w:p>
        </w:tc>
      </w:tr>
      <w:tr w:rsidR="004D5CFB" w:rsidRPr="000151F9" w:rsidTr="00EF33C4">
        <w:trPr>
          <w:trHeight w:val="317"/>
          <w:jc w:val="center"/>
        </w:trPr>
        <w:tc>
          <w:tcPr>
            <w:tcW w:w="1142" w:type="pct"/>
            <w:tcBorders>
              <w:top w:val="single" w:sz="8" w:space="0" w:color="auto"/>
              <w:left w:val="single" w:sz="8" w:space="0" w:color="auto"/>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vertAlign w:val="subscript"/>
              </w:rPr>
            </w:pPr>
            <w:r w:rsidRPr="00947DFB">
              <w:rPr>
                <w:rFonts w:cs="Arial"/>
                <w:sz w:val="18"/>
                <w:szCs w:val="18"/>
              </w:rPr>
              <w:t>Hr</w:t>
            </w:r>
          </w:p>
        </w:tc>
        <w:tc>
          <w:tcPr>
            <w:tcW w:w="921" w:type="pct"/>
            <w:tcBorders>
              <w:top w:val="single" w:sz="8" w:space="0" w:color="auto"/>
              <w:left w:val="nil"/>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rPr>
            </w:pPr>
            <w:r w:rsidRPr="00947DFB">
              <w:rPr>
                <w:rFonts w:cs="Arial"/>
                <w:sz w:val="18"/>
                <w:szCs w:val="18"/>
              </w:rPr>
              <w:t>Fixed</w:t>
            </w:r>
          </w:p>
        </w:tc>
        <w:tc>
          <w:tcPr>
            <w:tcW w:w="1567" w:type="pct"/>
            <w:tcBorders>
              <w:top w:val="single" w:sz="8" w:space="0" w:color="auto"/>
              <w:left w:val="nil"/>
              <w:bottom w:val="single" w:sz="8" w:space="0" w:color="auto"/>
              <w:right w:val="single" w:sz="8" w:space="0" w:color="auto"/>
            </w:tcBorders>
            <w:vAlign w:val="center"/>
          </w:tcPr>
          <w:p w:rsidR="004D5CFB" w:rsidRDefault="004D5CFB" w:rsidP="004D5CFB">
            <w:pPr>
              <w:tabs>
                <w:tab w:val="left" w:pos="720"/>
              </w:tabs>
              <w:spacing w:before="60" w:after="60"/>
              <w:rPr>
                <w:rFonts w:cs="Arial"/>
                <w:sz w:val="18"/>
                <w:szCs w:val="18"/>
              </w:rPr>
            </w:pPr>
            <w:r>
              <w:rPr>
                <w:rFonts w:cs="Arial"/>
                <w:sz w:val="18"/>
                <w:szCs w:val="18"/>
              </w:rPr>
              <w:t>150</w:t>
            </w:r>
          </w:p>
        </w:tc>
        <w:tc>
          <w:tcPr>
            <w:tcW w:w="1371" w:type="pct"/>
            <w:tcBorders>
              <w:top w:val="single" w:sz="8" w:space="0" w:color="auto"/>
              <w:left w:val="single" w:sz="8" w:space="0" w:color="auto"/>
              <w:bottom w:val="single" w:sz="8" w:space="0" w:color="auto"/>
              <w:right w:val="single" w:sz="8" w:space="0" w:color="auto"/>
            </w:tcBorders>
          </w:tcPr>
          <w:p w:rsidR="004D5CFB" w:rsidRDefault="004D5CFB" w:rsidP="004D5CFB">
            <w:pPr>
              <w:tabs>
                <w:tab w:val="left" w:pos="720"/>
              </w:tabs>
              <w:spacing w:before="60" w:after="60"/>
              <w:rPr>
                <w:rFonts w:cs="Arial"/>
                <w:sz w:val="18"/>
                <w:szCs w:val="18"/>
              </w:rPr>
            </w:pPr>
            <w:r>
              <w:rPr>
                <w:rFonts w:cs="Arial"/>
                <w:sz w:val="18"/>
                <w:szCs w:val="18"/>
              </w:rPr>
              <w:t>1</w:t>
            </w:r>
          </w:p>
        </w:tc>
      </w:tr>
    </w:tbl>
    <w:p w:rsidR="004D5CFB" w:rsidRPr="001C4AD5" w:rsidRDefault="004D5CFB" w:rsidP="004D5CFB">
      <w:pPr>
        <w:spacing w:after="0"/>
        <w:ind w:left="475" w:hanging="475"/>
      </w:pPr>
    </w:p>
    <w:p w:rsidR="004D5CFB" w:rsidRPr="001D7420" w:rsidRDefault="004D5CFB" w:rsidP="004D5CFB">
      <w:pPr>
        <w:keepNext/>
        <w:rPr>
          <w:b/>
        </w:rPr>
      </w:pPr>
      <w:r w:rsidRPr="001D7420">
        <w:rPr>
          <w:b/>
        </w:rPr>
        <w:t>Sources:</w:t>
      </w:r>
    </w:p>
    <w:p w:rsidR="004D5CFB" w:rsidRDefault="004D5CFB" w:rsidP="0005632A">
      <w:pPr>
        <w:pStyle w:val="source1"/>
        <w:numPr>
          <w:ilvl w:val="0"/>
          <w:numId w:val="109"/>
        </w:numPr>
      </w:pPr>
      <w:bookmarkStart w:id="479" w:name="_Ref298495161"/>
      <w:r w:rsidRPr="0093095C">
        <w:t>The DSMore Michigan Database</w:t>
      </w:r>
      <w:r>
        <w:t xml:space="preserve"> of Energy Efficiency Measures: Based on s</w:t>
      </w:r>
      <w:r w:rsidRPr="0093095C">
        <w:t>preadsheet calculations using collected data</w:t>
      </w:r>
      <w:bookmarkEnd w:id="479"/>
    </w:p>
    <w:p w:rsidR="004D5CFB" w:rsidRDefault="004D5CFB" w:rsidP="004D5CFB">
      <w:pPr>
        <w:pStyle w:val="source1"/>
      </w:pPr>
      <w:r w:rsidRPr="003414FC">
        <w:t>http://www.energyideas.org/documents/factsheets/HolidayLighting.pdf</w:t>
      </w:r>
    </w:p>
    <w:p w:rsidR="004D5CFB" w:rsidRDefault="004D5CFB" w:rsidP="004D5CFB">
      <w:pPr>
        <w:pStyle w:val="Heading3"/>
      </w:pPr>
      <w:r>
        <w:t>Deemed Savings</w:t>
      </w:r>
    </w:p>
    <w:p w:rsidR="004D5CFB" w:rsidRPr="00D41CEA" w:rsidRDefault="004D5CFB" w:rsidP="004D5CFB">
      <w:r>
        <w:t>The deemed savings for installation of LED C9, C7, and mini lights is 18.7 kWh, 20.7 kWh, and 1.5 kWh, respectively.</w:t>
      </w:r>
      <w:r w:rsidRPr="009C7CCA">
        <w:t xml:space="preserve"> </w:t>
      </w:r>
      <w:r>
        <w:t xml:space="preserve">The weighted average savings are 10.6 kWh per strand. </w:t>
      </w:r>
      <w:r w:rsidRPr="009C7CCA">
        <w:t>There</w:t>
      </w:r>
      <w:r w:rsidRPr="00301A07">
        <w:t xml:space="preserve"> are no demand savings as holiday lights only operate at night.</w:t>
      </w:r>
      <w:r>
        <w:t xml:space="preserve"> Since the lights do not operate in the summer, the coincidence factor for this measure is 0.0.</w:t>
      </w:r>
    </w:p>
    <w:p w:rsidR="004D5CFB" w:rsidRDefault="004D5CFB" w:rsidP="004D5CFB">
      <w:pPr>
        <w:pStyle w:val="Heading3"/>
      </w:pPr>
      <w:r>
        <w:t>Measure Life</w:t>
      </w:r>
    </w:p>
    <w:p w:rsidR="004D5CFB" w:rsidRPr="00D41CEA" w:rsidRDefault="004D5CFB" w:rsidP="004D5CFB">
      <w:r>
        <w:t>M</w:t>
      </w:r>
      <w:r w:rsidRPr="00E143C1">
        <w:t xml:space="preserve">easure life </w:t>
      </w:r>
      <w:r>
        <w:t>is</w:t>
      </w:r>
      <w:r w:rsidRPr="00E143C1">
        <w:t xml:space="preserve"> </w:t>
      </w:r>
      <w:r w:rsidRPr="00D41CEA">
        <w:t>10 years</w:t>
      </w:r>
      <w:r>
        <w:rPr>
          <w:rStyle w:val="FootnoteReference"/>
        </w:rPr>
        <w:footnoteReference w:id="115"/>
      </w:r>
      <w:r>
        <w:rPr>
          <w:vertAlign w:val="superscript"/>
        </w:rPr>
        <w:t>,</w:t>
      </w:r>
      <w:r>
        <w:rPr>
          <w:rStyle w:val="FootnoteReference"/>
        </w:rPr>
        <w:footnoteReference w:id="116"/>
      </w:r>
      <w:r w:rsidRPr="00EC11F2">
        <w:rPr>
          <w:rFonts w:cs="Arial"/>
        </w:rPr>
        <w:t>.</w:t>
      </w:r>
    </w:p>
    <w:p w:rsidR="004D5CFB" w:rsidRDefault="004D5CFB" w:rsidP="004D5CFB">
      <w:pPr>
        <w:pStyle w:val="Heading3"/>
      </w:pPr>
      <w:r w:rsidRPr="00760742">
        <w:lastRenderedPageBreak/>
        <w:t>Evaluation Protocol</w:t>
      </w:r>
    </w:p>
    <w:p w:rsidR="004D5CFB" w:rsidRPr="00861B42" w:rsidRDefault="004D5CFB" w:rsidP="004D5CFB">
      <w:r w:rsidRPr="00471151">
        <w:t>The most appropriate evaluation protocol for this measure is verification of installation coupled with assignment of stipulated energy savings.</w:t>
      </w:r>
      <w:r w:rsidRPr="000B000B">
        <w:rPr>
          <w:color w:val="FF0000"/>
        </w:rPr>
        <w:t xml:space="preserve"> </w:t>
      </w:r>
      <w:r>
        <w:rPr>
          <w:color w:val="FF0000"/>
        </w:rPr>
        <w:t xml:space="preserve">  </w:t>
      </w:r>
      <w:r>
        <w:t>As these lights are used on a seasonal basis, verification must occur in the winter holiday season.  Given the relatively small amount of impact evaluation risk that this measure represents, and given that the savings hinge as heavily on the actual wattage of the supplanted lights than the usage of the efficient LED lights, customer interviews should be considered as an appropriate channel for verification.</w:t>
      </w:r>
    </w:p>
    <w:p w:rsidR="004D5CFB" w:rsidRPr="001C4AD5" w:rsidRDefault="004D5CFB" w:rsidP="004D5CFB">
      <w:pPr>
        <w:pStyle w:val="Heading2"/>
      </w:pPr>
      <w:r>
        <w:br w:type="page"/>
      </w:r>
      <w:bookmarkStart w:id="480" w:name="_Toc310875434"/>
      <w:r>
        <w:lastRenderedPageBreak/>
        <w:t xml:space="preserve">Low </w:t>
      </w:r>
      <w:r w:rsidR="00C4752B">
        <w:t>Income</w:t>
      </w:r>
      <w:r>
        <w:t xml:space="preserve"> Lighting</w:t>
      </w:r>
      <w:r w:rsidR="00C4752B">
        <w:t xml:space="preserve"> (FirstEnergy)</w:t>
      </w:r>
      <w:bookmarkEnd w:id="4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1"/>
        <w:gridCol w:w="5255"/>
      </w:tblGrid>
      <w:tr w:rsidR="004D5CFB" w:rsidRPr="006E0899" w:rsidTr="004D5CFB">
        <w:trPr>
          <w:jc w:val="center"/>
        </w:trPr>
        <w:tc>
          <w:tcPr>
            <w:tcW w:w="2033" w:type="pct"/>
            <w:shd w:val="clear" w:color="auto" w:fill="BFBFBF"/>
            <w:vAlign w:val="center"/>
          </w:tcPr>
          <w:p w:rsidR="004D5CFB" w:rsidRPr="001D6512" w:rsidRDefault="004D5CFB" w:rsidP="004D5CFB">
            <w:pPr>
              <w:pStyle w:val="TableCell"/>
              <w:spacing w:before="60" w:after="60"/>
              <w:rPr>
                <w:b/>
              </w:rPr>
            </w:pPr>
            <w:r w:rsidRPr="001D6512">
              <w:rPr>
                <w:b/>
              </w:rPr>
              <w:t>Measure Name</w:t>
            </w:r>
          </w:p>
        </w:tc>
        <w:tc>
          <w:tcPr>
            <w:tcW w:w="2967" w:type="pct"/>
            <w:shd w:val="clear" w:color="auto" w:fill="BFBFBF"/>
            <w:vAlign w:val="center"/>
          </w:tcPr>
          <w:p w:rsidR="004D5CFB" w:rsidRPr="001D6512" w:rsidRDefault="004D5CFB" w:rsidP="00C4752B">
            <w:pPr>
              <w:pStyle w:val="TableCell"/>
              <w:spacing w:before="60" w:after="60"/>
              <w:rPr>
                <w:b/>
              </w:rPr>
            </w:pPr>
            <w:r w:rsidRPr="001D6512">
              <w:rPr>
                <w:b/>
              </w:rPr>
              <w:t xml:space="preserve">Low </w:t>
            </w:r>
            <w:r w:rsidR="00C4752B" w:rsidRPr="001D6512">
              <w:rPr>
                <w:b/>
              </w:rPr>
              <w:t>Income</w:t>
            </w:r>
            <w:r w:rsidRPr="001D6512">
              <w:rPr>
                <w:b/>
              </w:rPr>
              <w:t xml:space="preserve"> Lighting</w:t>
            </w:r>
            <w:r w:rsidR="00C4752B" w:rsidRPr="001D6512">
              <w:rPr>
                <w:b/>
              </w:rPr>
              <w:t xml:space="preserve"> (FirstEnergy)</w:t>
            </w:r>
          </w:p>
        </w:tc>
      </w:tr>
      <w:tr w:rsidR="004D5CFB" w:rsidRPr="006E0899" w:rsidTr="004D5CFB">
        <w:trPr>
          <w:jc w:val="center"/>
        </w:trPr>
        <w:tc>
          <w:tcPr>
            <w:tcW w:w="2033" w:type="pct"/>
            <w:shd w:val="clear" w:color="auto" w:fill="auto"/>
            <w:vAlign w:val="center"/>
          </w:tcPr>
          <w:p w:rsidR="004D5CFB" w:rsidRPr="001D6512" w:rsidRDefault="004D5CFB" w:rsidP="004D5CFB">
            <w:pPr>
              <w:pStyle w:val="TableCell"/>
              <w:spacing w:before="60" w:after="60"/>
            </w:pPr>
            <w:r w:rsidRPr="001D6512">
              <w:t>Target Sector</w:t>
            </w:r>
          </w:p>
        </w:tc>
        <w:tc>
          <w:tcPr>
            <w:tcW w:w="2967" w:type="pct"/>
            <w:shd w:val="clear" w:color="auto" w:fill="auto"/>
            <w:vAlign w:val="center"/>
          </w:tcPr>
          <w:p w:rsidR="004D5CFB" w:rsidRPr="001D6512" w:rsidRDefault="004D5CFB" w:rsidP="004D5CFB">
            <w:pPr>
              <w:pStyle w:val="TableCell"/>
              <w:spacing w:before="60" w:after="60"/>
            </w:pPr>
            <w:r w:rsidRPr="001D6512">
              <w:t>Residential Low-Income Establishments</w:t>
            </w:r>
          </w:p>
        </w:tc>
      </w:tr>
      <w:tr w:rsidR="004D5CFB" w:rsidRPr="006E0899" w:rsidTr="004D5CFB">
        <w:trPr>
          <w:jc w:val="center"/>
        </w:trPr>
        <w:tc>
          <w:tcPr>
            <w:tcW w:w="2033" w:type="pct"/>
            <w:shd w:val="clear" w:color="auto" w:fill="auto"/>
            <w:vAlign w:val="center"/>
          </w:tcPr>
          <w:p w:rsidR="004D5CFB" w:rsidRPr="001D6512" w:rsidRDefault="004D5CFB" w:rsidP="004D5CFB">
            <w:pPr>
              <w:pStyle w:val="TableCell"/>
              <w:spacing w:before="60" w:after="60"/>
            </w:pPr>
            <w:r w:rsidRPr="001D6512">
              <w:t>Measure Unit</w:t>
            </w:r>
          </w:p>
        </w:tc>
        <w:tc>
          <w:tcPr>
            <w:tcW w:w="2967" w:type="pct"/>
            <w:shd w:val="clear" w:color="auto" w:fill="auto"/>
            <w:vAlign w:val="center"/>
          </w:tcPr>
          <w:p w:rsidR="004D5CFB" w:rsidRPr="001D6512" w:rsidRDefault="004D5CFB" w:rsidP="004D5CFB">
            <w:pPr>
              <w:pStyle w:val="TableCell"/>
              <w:spacing w:before="60" w:after="60"/>
            </w:pPr>
            <w:r w:rsidRPr="001D6512">
              <w:t>CFL</w:t>
            </w:r>
          </w:p>
        </w:tc>
      </w:tr>
      <w:tr w:rsidR="004D5CFB" w:rsidRPr="006E0899" w:rsidTr="004D5CFB">
        <w:trPr>
          <w:jc w:val="center"/>
        </w:trPr>
        <w:tc>
          <w:tcPr>
            <w:tcW w:w="2033" w:type="pct"/>
            <w:shd w:val="clear" w:color="auto" w:fill="auto"/>
            <w:vAlign w:val="center"/>
          </w:tcPr>
          <w:p w:rsidR="004D5CFB" w:rsidRPr="001D6512" w:rsidRDefault="004D5CFB" w:rsidP="004D5CFB">
            <w:pPr>
              <w:pStyle w:val="TableCell"/>
              <w:spacing w:before="60" w:after="60"/>
            </w:pPr>
            <w:r w:rsidRPr="001D6512">
              <w:t>Unit Energy Savings</w:t>
            </w:r>
          </w:p>
        </w:tc>
        <w:tc>
          <w:tcPr>
            <w:tcW w:w="2967" w:type="pct"/>
            <w:shd w:val="clear" w:color="auto" w:fill="auto"/>
            <w:vAlign w:val="center"/>
          </w:tcPr>
          <w:p w:rsidR="004D5CFB" w:rsidRPr="001D6512" w:rsidRDefault="004D5CFB" w:rsidP="004D5CFB">
            <w:pPr>
              <w:pStyle w:val="TableCell"/>
              <w:spacing w:before="60" w:after="60"/>
            </w:pPr>
            <w:r w:rsidRPr="001D6512">
              <w:t>Varies</w:t>
            </w:r>
          </w:p>
        </w:tc>
      </w:tr>
      <w:tr w:rsidR="004D5CFB" w:rsidRPr="006E0899" w:rsidTr="004D5CFB">
        <w:trPr>
          <w:jc w:val="center"/>
        </w:trPr>
        <w:tc>
          <w:tcPr>
            <w:tcW w:w="2033" w:type="pct"/>
            <w:shd w:val="clear" w:color="auto" w:fill="auto"/>
            <w:vAlign w:val="center"/>
          </w:tcPr>
          <w:p w:rsidR="004D5CFB" w:rsidRPr="001D6512" w:rsidRDefault="004D5CFB" w:rsidP="004D5CFB">
            <w:pPr>
              <w:pStyle w:val="TableCell"/>
              <w:spacing w:before="60" w:after="60"/>
            </w:pPr>
            <w:r w:rsidRPr="001D6512">
              <w:t>Unit Peak Demand Reduction</w:t>
            </w:r>
          </w:p>
        </w:tc>
        <w:tc>
          <w:tcPr>
            <w:tcW w:w="2967" w:type="pct"/>
            <w:shd w:val="clear" w:color="auto" w:fill="auto"/>
            <w:vAlign w:val="center"/>
          </w:tcPr>
          <w:p w:rsidR="004D5CFB" w:rsidRPr="001D6512" w:rsidRDefault="004D5CFB" w:rsidP="004D5CFB">
            <w:pPr>
              <w:pStyle w:val="TableCell"/>
              <w:spacing w:before="60" w:after="60"/>
            </w:pPr>
            <w:r w:rsidRPr="001D6512">
              <w:t>Varies</w:t>
            </w:r>
          </w:p>
        </w:tc>
      </w:tr>
      <w:tr w:rsidR="004D5CFB" w:rsidRPr="006E0899" w:rsidTr="004D5CFB">
        <w:trPr>
          <w:jc w:val="center"/>
        </w:trPr>
        <w:tc>
          <w:tcPr>
            <w:tcW w:w="2033" w:type="pct"/>
            <w:shd w:val="clear" w:color="auto" w:fill="auto"/>
            <w:vAlign w:val="center"/>
          </w:tcPr>
          <w:p w:rsidR="004D5CFB" w:rsidRPr="001D6512" w:rsidRDefault="004D5CFB" w:rsidP="004D5CFB">
            <w:pPr>
              <w:pStyle w:val="TableCell"/>
              <w:spacing w:before="60" w:after="60"/>
            </w:pPr>
            <w:r w:rsidRPr="001D6512">
              <w:t>Measure Life</w:t>
            </w:r>
          </w:p>
        </w:tc>
        <w:tc>
          <w:tcPr>
            <w:tcW w:w="2967" w:type="pct"/>
            <w:shd w:val="clear" w:color="auto" w:fill="auto"/>
            <w:vAlign w:val="center"/>
          </w:tcPr>
          <w:p w:rsidR="004D5CFB" w:rsidRPr="001D6512" w:rsidRDefault="004D5CFB" w:rsidP="004D5CFB">
            <w:pPr>
              <w:pStyle w:val="TableCell"/>
              <w:spacing w:before="60" w:after="60"/>
            </w:pPr>
            <w:r w:rsidRPr="001D6512">
              <w:t>12.8 years</w:t>
            </w:r>
          </w:p>
        </w:tc>
      </w:tr>
    </w:tbl>
    <w:p w:rsidR="004D5CFB" w:rsidRDefault="004D5CFB" w:rsidP="004D5CFB">
      <w:pPr>
        <w:rPr>
          <w:highlight w:val="yellow"/>
        </w:rPr>
      </w:pPr>
    </w:p>
    <w:p w:rsidR="004D5CFB" w:rsidRDefault="004D5CFB" w:rsidP="004D5CFB">
      <w:r>
        <w:t xml:space="preserve">This protocol documents the calculation methodology and the assumptions regarding certain CFLs that are installed directly by contractors as part of the “Warm Extra Measures” program administered in the FirstEnergy territories.  These CFLs are specifically installed in locations that are reportedly in use 1 to 2 hours per day.  </w:t>
      </w:r>
    </w:p>
    <w:p w:rsidR="004D5CFB" w:rsidRDefault="004D5CFB" w:rsidP="004D5CFB">
      <w:r>
        <w:t xml:space="preserve">The Warm Extra Measures program is offered by the Metropolitan Edison, Pennsylvania Electric, and Pennsylvania Power Companies.  Warm Extra Measures is a direct install program that layers on top of the existing Warm and Warm Plus programs. </w:t>
      </w:r>
    </w:p>
    <w:p w:rsidR="004D5CFB" w:rsidRDefault="004D5CFB" w:rsidP="004D5CFB">
      <w:pPr>
        <w:pStyle w:val="Heading3"/>
      </w:pPr>
      <w:r>
        <w:t xml:space="preserve">Eligibility </w:t>
      </w:r>
    </w:p>
    <w:p w:rsidR="004D5CFB" w:rsidRPr="007F3D69" w:rsidRDefault="004D5CFB" w:rsidP="004D5CFB">
      <w:r w:rsidRPr="007F3D69">
        <w:t>This protocol concerns the CFLs that are installed only under the WARM Extra Measures program</w:t>
      </w:r>
      <w:r>
        <w:t>, which are defined as CFLs in fixture that are used between one and two hours per day according to homeowners/tenants</w:t>
      </w:r>
      <w:r w:rsidRPr="007F3D69">
        <w:t>.  This additional protocol is necessary because the PA TRM assumes three hours of usage per day for most residential lighting applications, while the CFLs in the WARM Extra Measures program are installed expressly in fixtures that are reported to have one to two hours of usage per day.</w:t>
      </w:r>
    </w:p>
    <w:p w:rsidR="004D5CFB" w:rsidRPr="001C4AD5" w:rsidRDefault="004D5CFB" w:rsidP="004D5CFB">
      <w:pPr>
        <w:pStyle w:val="Heading3"/>
      </w:pPr>
      <w:r w:rsidRPr="001C4AD5">
        <w:t>Algorithms</w:t>
      </w:r>
    </w:p>
    <w:p w:rsidR="004D5CFB" w:rsidRPr="00202D48" w:rsidRDefault="004D5CFB" w:rsidP="004D5CFB">
      <w:pPr>
        <w:pStyle w:val="Equation"/>
        <w:rPr>
          <w:rFonts w:cs="Arial"/>
          <w:szCs w:val="20"/>
        </w:rPr>
      </w:pPr>
      <w:r w:rsidRPr="00AA2C40">
        <w:rPr>
          <w:rFonts w:cs="Arial"/>
          <w:szCs w:val="20"/>
        </w:rPr>
        <w:sym w:font="Symbol" w:char="F044"/>
      </w:r>
      <w:r w:rsidRPr="00AA2C40">
        <w:rPr>
          <w:rFonts w:cs="Arial"/>
          <w:szCs w:val="20"/>
        </w:rPr>
        <w:t>kWh</w:t>
      </w:r>
      <w:r w:rsidRPr="00202D48">
        <w:rPr>
          <w:rFonts w:cs="Arial"/>
          <w:szCs w:val="20"/>
        </w:rPr>
        <w:t xml:space="preserve"> </w:t>
      </w:r>
      <w:r>
        <w:rPr>
          <w:rFonts w:cs="Arial"/>
          <w:szCs w:val="20"/>
        </w:rPr>
        <w:tab/>
      </w:r>
      <w:r>
        <w:rPr>
          <w:rFonts w:cs="Arial"/>
          <w:szCs w:val="20"/>
        </w:rPr>
        <w:tab/>
      </w:r>
      <w:r w:rsidRPr="00202D48">
        <w:rPr>
          <w:rFonts w:cs="Arial"/>
          <w:szCs w:val="20"/>
        </w:rPr>
        <w:t>= (</w:t>
      </w:r>
      <w:r w:rsidRPr="00190E49">
        <w:rPr>
          <w:rFonts w:cs="Arial"/>
          <w:szCs w:val="20"/>
        </w:rPr>
        <w:t>Base</w:t>
      </w:r>
      <w:r w:rsidRPr="00190E49">
        <w:rPr>
          <w:rFonts w:cs="Arial"/>
          <w:szCs w:val="20"/>
          <w:vertAlign w:val="subscript"/>
        </w:rPr>
        <w:t>watts</w:t>
      </w:r>
      <w:r w:rsidRPr="00202D48">
        <w:rPr>
          <w:rFonts w:cs="Arial"/>
          <w:szCs w:val="20"/>
        </w:rPr>
        <w:t xml:space="preserve"> </w:t>
      </w:r>
      <w:r>
        <w:rPr>
          <w:rFonts w:cs="Arial"/>
          <w:szCs w:val="20"/>
        </w:rPr>
        <w:t xml:space="preserve">– </w:t>
      </w:r>
      <w:r w:rsidRPr="00202D48">
        <w:rPr>
          <w:rFonts w:cs="Arial"/>
          <w:szCs w:val="20"/>
        </w:rPr>
        <w:t>CFL</w:t>
      </w:r>
      <w:r w:rsidRPr="0038373F">
        <w:rPr>
          <w:rFonts w:cs="Arial"/>
          <w:szCs w:val="20"/>
          <w:vertAlign w:val="subscript"/>
        </w:rPr>
        <w:t>watts</w:t>
      </w:r>
      <w:r>
        <w:rPr>
          <w:rFonts w:cs="Arial"/>
          <w:szCs w:val="20"/>
        </w:rPr>
        <w:t>)</w:t>
      </w:r>
      <w:r w:rsidRPr="0038373F">
        <w:rPr>
          <w:rFonts w:cs="Arial"/>
          <w:szCs w:val="20"/>
          <w:vertAlign w:val="subscript"/>
        </w:rPr>
        <w:t xml:space="preserve"> </w:t>
      </w:r>
      <w:r w:rsidRPr="00190E49">
        <w:rPr>
          <w:rFonts w:cs="Arial"/>
          <w:szCs w:val="20"/>
        </w:rPr>
        <w:t>X</w:t>
      </w:r>
      <w:r w:rsidRPr="00202D48">
        <w:rPr>
          <w:rFonts w:cs="Arial"/>
          <w:szCs w:val="20"/>
        </w:rPr>
        <w:t xml:space="preserve"> CFL</w:t>
      </w:r>
      <w:r w:rsidRPr="0038373F">
        <w:rPr>
          <w:rFonts w:cs="Arial"/>
          <w:szCs w:val="20"/>
          <w:vertAlign w:val="subscript"/>
        </w:rPr>
        <w:t>hours</w:t>
      </w:r>
      <w:r w:rsidRPr="00202D48">
        <w:rPr>
          <w:rFonts w:cs="Arial"/>
          <w:szCs w:val="20"/>
        </w:rPr>
        <w:t xml:space="preserve"> X 365</w:t>
      </w:r>
      <w:r w:rsidR="00C4752B">
        <w:rPr>
          <w:rFonts w:cs="Arial"/>
          <w:szCs w:val="20"/>
        </w:rPr>
        <w:t xml:space="preserve"> </w:t>
      </w:r>
      <w:r w:rsidRPr="00202D48">
        <w:rPr>
          <w:rFonts w:cs="Arial"/>
          <w:szCs w:val="20"/>
        </w:rPr>
        <w:t>/</w:t>
      </w:r>
      <w:r w:rsidR="00C4752B">
        <w:rPr>
          <w:rFonts w:cs="Arial"/>
          <w:szCs w:val="20"/>
        </w:rPr>
        <w:t xml:space="preserve"> </w:t>
      </w:r>
      <w:r w:rsidRPr="00202D48">
        <w:rPr>
          <w:rFonts w:cs="Arial"/>
          <w:szCs w:val="20"/>
        </w:rPr>
        <w:t>1000 X  ISR</w:t>
      </w:r>
      <w:r w:rsidRPr="0038373F">
        <w:rPr>
          <w:rFonts w:cs="Arial"/>
          <w:szCs w:val="20"/>
          <w:vertAlign w:val="subscript"/>
        </w:rPr>
        <w:t>CFL</w:t>
      </w:r>
    </w:p>
    <w:p w:rsidR="004D5CFB" w:rsidRPr="00202D48" w:rsidRDefault="004D5CFB" w:rsidP="004D5CFB">
      <w:pPr>
        <w:pStyle w:val="Equation"/>
        <w:rPr>
          <w:rFonts w:cs="Arial"/>
          <w:szCs w:val="20"/>
        </w:rPr>
      </w:pPr>
      <w:r w:rsidRPr="00AA2C40">
        <w:rPr>
          <w:rFonts w:cs="Arial"/>
          <w:szCs w:val="20"/>
        </w:rPr>
        <w:sym w:font="Symbol" w:char="F044"/>
      </w:r>
      <w:r w:rsidRPr="00202D48">
        <w:rPr>
          <w:rFonts w:cs="Arial"/>
          <w:szCs w:val="20"/>
        </w:rPr>
        <w:t xml:space="preserve">kW </w:t>
      </w:r>
      <w:r>
        <w:rPr>
          <w:rFonts w:cs="Arial"/>
          <w:szCs w:val="20"/>
        </w:rPr>
        <w:tab/>
      </w:r>
      <w:r>
        <w:rPr>
          <w:rFonts w:cs="Arial"/>
          <w:szCs w:val="20"/>
        </w:rPr>
        <w:tab/>
      </w:r>
      <w:r w:rsidRPr="00202D48">
        <w:rPr>
          <w:rFonts w:cs="Arial"/>
          <w:szCs w:val="20"/>
        </w:rPr>
        <w:t>= (</w:t>
      </w:r>
      <w:r w:rsidRPr="00190E49">
        <w:rPr>
          <w:rFonts w:cs="Arial"/>
          <w:szCs w:val="20"/>
        </w:rPr>
        <w:t>Base</w:t>
      </w:r>
      <w:r w:rsidRPr="00190E49">
        <w:rPr>
          <w:rFonts w:cs="Arial"/>
          <w:szCs w:val="20"/>
          <w:vertAlign w:val="subscript"/>
        </w:rPr>
        <w:t>watts</w:t>
      </w:r>
      <w:r w:rsidRPr="00202D48">
        <w:rPr>
          <w:rFonts w:cs="Arial"/>
          <w:szCs w:val="20"/>
        </w:rPr>
        <w:t xml:space="preserve"> </w:t>
      </w:r>
      <w:r>
        <w:rPr>
          <w:rFonts w:cs="Arial"/>
          <w:szCs w:val="20"/>
        </w:rPr>
        <w:t xml:space="preserve">– </w:t>
      </w:r>
      <w:r w:rsidRPr="00202D48">
        <w:rPr>
          <w:rFonts w:cs="Arial"/>
          <w:szCs w:val="20"/>
        </w:rPr>
        <w:t>CFL</w:t>
      </w:r>
      <w:r w:rsidRPr="00D97FBF">
        <w:rPr>
          <w:rFonts w:cs="Arial"/>
          <w:szCs w:val="20"/>
          <w:vertAlign w:val="subscript"/>
        </w:rPr>
        <w:t>watts</w:t>
      </w:r>
      <w:r w:rsidRPr="00202D48" w:rsidDel="00190E49">
        <w:rPr>
          <w:rFonts w:cs="Arial"/>
          <w:szCs w:val="20"/>
        </w:rPr>
        <w:t xml:space="preserve"> </w:t>
      </w:r>
      <w:r w:rsidRPr="00202D48">
        <w:rPr>
          <w:rFonts w:cs="Arial"/>
          <w:szCs w:val="20"/>
        </w:rPr>
        <w:t xml:space="preserve">) </w:t>
      </w:r>
      <w:r w:rsidR="00C4752B">
        <w:rPr>
          <w:rFonts w:cs="Arial"/>
          <w:szCs w:val="20"/>
        </w:rPr>
        <w:t xml:space="preserve">/ 1000 </w:t>
      </w:r>
      <w:r w:rsidRPr="00202D48">
        <w:rPr>
          <w:rFonts w:cs="Arial"/>
          <w:szCs w:val="20"/>
        </w:rPr>
        <w:t>X CF X  ISR</w:t>
      </w:r>
      <w:r w:rsidRPr="0038373F">
        <w:rPr>
          <w:rFonts w:cs="Arial"/>
          <w:szCs w:val="20"/>
          <w:vertAlign w:val="subscript"/>
        </w:rPr>
        <w:t>CFL</w:t>
      </w:r>
    </w:p>
    <w:p w:rsidR="004D5CFB" w:rsidRDefault="004D5CFB" w:rsidP="004D5CFB">
      <w:pPr>
        <w:pStyle w:val="Heading3"/>
      </w:pPr>
      <w:r w:rsidRPr="001C4AD5">
        <w:t xml:space="preserve">Definition of </w:t>
      </w:r>
      <w:r>
        <w:t xml:space="preserve">Terms  </w:t>
      </w:r>
    </w:p>
    <w:p w:rsidR="004D5CFB" w:rsidRPr="00250D0E" w:rsidRDefault="004D5CFB" w:rsidP="004D5CFB">
      <w:pPr>
        <w:pStyle w:val="Equation"/>
        <w:rPr>
          <w:rFonts w:cs="Arial"/>
          <w:szCs w:val="20"/>
        </w:rPr>
      </w:pPr>
      <w:r>
        <w:rPr>
          <w:rFonts w:cs="Arial"/>
          <w:szCs w:val="20"/>
        </w:rPr>
        <w:tab/>
      </w:r>
      <w:r w:rsidRPr="00190E49">
        <w:rPr>
          <w:rFonts w:cs="Arial"/>
          <w:szCs w:val="20"/>
        </w:rPr>
        <w:t>Base</w:t>
      </w:r>
      <w:r w:rsidRPr="00190E49">
        <w:rPr>
          <w:rFonts w:cs="Arial"/>
          <w:szCs w:val="20"/>
          <w:vertAlign w:val="subscript"/>
        </w:rPr>
        <w:t>watts</w:t>
      </w:r>
      <w:r>
        <w:rPr>
          <w:rFonts w:cs="Arial"/>
          <w:szCs w:val="20"/>
        </w:rPr>
        <w:tab/>
        <w:t>= Wattage of baseline bulb</w:t>
      </w:r>
    </w:p>
    <w:p w:rsidR="004D5CFB" w:rsidRPr="00250D0E" w:rsidRDefault="004D5CFB" w:rsidP="004D5CFB">
      <w:pPr>
        <w:pStyle w:val="Equation"/>
        <w:rPr>
          <w:rFonts w:cs="Arial"/>
          <w:szCs w:val="20"/>
        </w:rPr>
      </w:pPr>
      <w:r>
        <w:rPr>
          <w:rFonts w:cs="Arial"/>
          <w:szCs w:val="20"/>
        </w:rPr>
        <w:tab/>
      </w:r>
      <w:r w:rsidRPr="00202D48">
        <w:rPr>
          <w:rFonts w:cs="Arial"/>
          <w:szCs w:val="20"/>
        </w:rPr>
        <w:t>CFL</w:t>
      </w:r>
      <w:r w:rsidRPr="0038373F">
        <w:rPr>
          <w:rFonts w:cs="Arial"/>
          <w:szCs w:val="20"/>
          <w:vertAlign w:val="subscript"/>
        </w:rPr>
        <w:t>watts</w:t>
      </w:r>
      <w:r>
        <w:rPr>
          <w:rFonts w:cs="Arial"/>
          <w:szCs w:val="20"/>
        </w:rPr>
        <w:tab/>
        <w:t>= Wattage of CFL</w:t>
      </w:r>
    </w:p>
    <w:p w:rsidR="004D5CFB" w:rsidRDefault="004D5CFB" w:rsidP="004D5CFB">
      <w:pPr>
        <w:pStyle w:val="Equation"/>
        <w:rPr>
          <w:rFonts w:cs="Arial"/>
          <w:szCs w:val="20"/>
        </w:rPr>
      </w:pPr>
      <w:r>
        <w:rPr>
          <w:rFonts w:cs="Arial"/>
          <w:szCs w:val="20"/>
        </w:rPr>
        <w:tab/>
      </w:r>
      <w:r w:rsidRPr="00202D48">
        <w:rPr>
          <w:rFonts w:cs="Arial"/>
          <w:szCs w:val="20"/>
        </w:rPr>
        <w:t>CFL</w:t>
      </w:r>
      <w:r w:rsidRPr="0038373F">
        <w:rPr>
          <w:rFonts w:cs="Arial"/>
          <w:szCs w:val="20"/>
          <w:vertAlign w:val="subscript"/>
        </w:rPr>
        <w:t>hours</w:t>
      </w:r>
      <w:r w:rsidRPr="00202D48">
        <w:rPr>
          <w:rFonts w:cs="Arial"/>
          <w:szCs w:val="20"/>
        </w:rPr>
        <w:t xml:space="preserve"> </w:t>
      </w:r>
      <w:r>
        <w:rPr>
          <w:rFonts w:cs="Arial"/>
          <w:szCs w:val="20"/>
        </w:rPr>
        <w:tab/>
        <w:t>= Daily hours of operation for CFL</w:t>
      </w:r>
    </w:p>
    <w:p w:rsidR="004D5CFB" w:rsidRDefault="004D5CFB" w:rsidP="004D5CFB">
      <w:pPr>
        <w:pStyle w:val="Equation"/>
        <w:rPr>
          <w:rFonts w:cs="Arial"/>
          <w:szCs w:val="20"/>
        </w:rPr>
      </w:pPr>
      <w:r>
        <w:rPr>
          <w:rFonts w:cs="Arial"/>
          <w:szCs w:val="20"/>
        </w:rPr>
        <w:tab/>
      </w:r>
      <w:r w:rsidRPr="00202D48">
        <w:rPr>
          <w:rFonts w:cs="Arial"/>
          <w:szCs w:val="20"/>
        </w:rPr>
        <w:t xml:space="preserve">365 </w:t>
      </w:r>
      <w:r>
        <w:rPr>
          <w:rFonts w:cs="Arial"/>
          <w:szCs w:val="20"/>
        </w:rPr>
        <w:tab/>
        <w:t>= Days per year</w:t>
      </w:r>
    </w:p>
    <w:p w:rsidR="004D5CFB" w:rsidRDefault="004D5CFB" w:rsidP="004D5CFB">
      <w:pPr>
        <w:pStyle w:val="Equation"/>
        <w:rPr>
          <w:rFonts w:cs="Arial"/>
          <w:szCs w:val="20"/>
        </w:rPr>
      </w:pPr>
      <w:r>
        <w:rPr>
          <w:rFonts w:cs="Arial"/>
          <w:szCs w:val="20"/>
        </w:rPr>
        <w:tab/>
      </w:r>
      <w:r w:rsidRPr="00202D48">
        <w:rPr>
          <w:rFonts w:cs="Arial"/>
          <w:szCs w:val="20"/>
        </w:rPr>
        <w:t>ISR</w:t>
      </w:r>
      <w:r w:rsidRPr="0038373F">
        <w:rPr>
          <w:rFonts w:cs="Arial"/>
          <w:szCs w:val="20"/>
          <w:vertAlign w:val="subscript"/>
        </w:rPr>
        <w:t>CFL</w:t>
      </w:r>
      <w:r>
        <w:rPr>
          <w:rFonts w:cs="Arial"/>
          <w:szCs w:val="20"/>
        </w:rPr>
        <w:tab/>
        <w:t>= In-service rate – percent of bulbs installed. Adjustment of this value can be made based on evaluation findings.</w:t>
      </w:r>
    </w:p>
    <w:p w:rsidR="004D5CFB" w:rsidRPr="00250D0E" w:rsidRDefault="004D5CFB" w:rsidP="004D5CFB">
      <w:pPr>
        <w:pStyle w:val="Equation"/>
        <w:rPr>
          <w:rFonts w:cs="Arial"/>
          <w:szCs w:val="20"/>
        </w:rPr>
      </w:pPr>
      <w:r>
        <w:rPr>
          <w:rFonts w:cs="Arial"/>
          <w:szCs w:val="20"/>
        </w:rPr>
        <w:tab/>
        <w:t>CF</w:t>
      </w:r>
      <w:r>
        <w:rPr>
          <w:rFonts w:cs="Arial"/>
          <w:szCs w:val="20"/>
        </w:rPr>
        <w:tab/>
        <w:t xml:space="preserve">= </w:t>
      </w:r>
      <w:r w:rsidR="000E4853" w:rsidRPr="00165C8E">
        <w:rPr>
          <w:rFonts w:cs="Arial"/>
          <w:szCs w:val="20"/>
        </w:rPr>
        <w:t>Demand Coincidence Factor (See Section 1.4)</w:t>
      </w:r>
    </w:p>
    <w:p w:rsidR="004D5CFB" w:rsidRPr="001C4AD5" w:rsidRDefault="004D5CFB" w:rsidP="004D5CFB">
      <w:pPr>
        <w:pStyle w:val="StyleCaptionCentered"/>
      </w:pPr>
      <w:bookmarkStart w:id="481" w:name="_Ref297200886"/>
      <w:bookmarkStart w:id="482" w:name="_Toc310875543"/>
      <w:r>
        <w:lastRenderedPageBreak/>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57</w:t>
      </w:r>
      <w:r w:rsidR="00274AB1">
        <w:rPr>
          <w:noProof/>
        </w:rPr>
        <w:fldChar w:fldCharType="end"/>
      </w:r>
      <w:r>
        <w:t>: Low Income Lighting Calculations Assumptions</w:t>
      </w:r>
      <w:bookmarkEnd w:id="481"/>
      <w:bookmarkEnd w:id="482"/>
      <w:r>
        <w:t xml:space="preserve"> </w:t>
      </w:r>
    </w:p>
    <w:tbl>
      <w:tblPr>
        <w:tblW w:w="5000" w:type="pct"/>
        <w:jc w:val="center"/>
        <w:tblCellMar>
          <w:left w:w="115" w:type="dxa"/>
          <w:right w:w="115" w:type="dxa"/>
        </w:tblCellMar>
        <w:tblLook w:val="00A0" w:firstRow="1" w:lastRow="0" w:firstColumn="1" w:lastColumn="0" w:noHBand="0" w:noVBand="0"/>
      </w:tblPr>
      <w:tblGrid>
        <w:gridCol w:w="1713"/>
        <w:gridCol w:w="1221"/>
        <w:gridCol w:w="3211"/>
        <w:gridCol w:w="2725"/>
      </w:tblGrid>
      <w:tr w:rsidR="004D5CFB" w:rsidRPr="000151F9" w:rsidTr="004D5CFB">
        <w:trPr>
          <w:trHeight w:val="317"/>
          <w:jc w:val="center"/>
        </w:trPr>
        <w:tc>
          <w:tcPr>
            <w:tcW w:w="966" w:type="pct"/>
            <w:tcBorders>
              <w:top w:val="single" w:sz="8" w:space="0" w:color="auto"/>
              <w:left w:val="single" w:sz="8" w:space="0" w:color="auto"/>
              <w:bottom w:val="single" w:sz="8" w:space="0" w:color="auto"/>
              <w:right w:val="single" w:sz="8" w:space="0" w:color="auto"/>
            </w:tcBorders>
            <w:shd w:val="clear" w:color="auto" w:fill="BFBFBF"/>
            <w:vAlign w:val="center"/>
          </w:tcPr>
          <w:p w:rsidR="004D5CFB" w:rsidRPr="001D6512" w:rsidRDefault="004D5CFB" w:rsidP="004D5CFB">
            <w:pPr>
              <w:pStyle w:val="TableCell"/>
              <w:spacing w:before="60" w:after="60"/>
              <w:rPr>
                <w:b/>
              </w:rPr>
            </w:pPr>
            <w:r w:rsidRPr="001D6512">
              <w:rPr>
                <w:b/>
              </w:rPr>
              <w:t>Component</w:t>
            </w:r>
          </w:p>
        </w:tc>
        <w:tc>
          <w:tcPr>
            <w:tcW w:w="688" w:type="pct"/>
            <w:tcBorders>
              <w:top w:val="single" w:sz="8" w:space="0" w:color="auto"/>
              <w:left w:val="nil"/>
              <w:bottom w:val="single" w:sz="8" w:space="0" w:color="auto"/>
              <w:right w:val="single" w:sz="8" w:space="0" w:color="auto"/>
            </w:tcBorders>
            <w:shd w:val="clear" w:color="auto" w:fill="BFBFBF"/>
            <w:vAlign w:val="center"/>
          </w:tcPr>
          <w:p w:rsidR="004D5CFB" w:rsidRPr="001D6512" w:rsidRDefault="004D5CFB" w:rsidP="004D5CFB">
            <w:pPr>
              <w:pStyle w:val="TableCell"/>
              <w:spacing w:before="60" w:after="60"/>
              <w:rPr>
                <w:b/>
              </w:rPr>
            </w:pPr>
            <w:r w:rsidRPr="001D6512">
              <w:rPr>
                <w:b/>
              </w:rPr>
              <w:t>Type</w:t>
            </w:r>
          </w:p>
        </w:tc>
        <w:tc>
          <w:tcPr>
            <w:tcW w:w="1810" w:type="pct"/>
            <w:tcBorders>
              <w:top w:val="single" w:sz="8" w:space="0" w:color="auto"/>
              <w:left w:val="nil"/>
              <w:bottom w:val="single" w:sz="8" w:space="0" w:color="auto"/>
              <w:right w:val="single" w:sz="8" w:space="0" w:color="auto"/>
            </w:tcBorders>
            <w:shd w:val="clear" w:color="auto" w:fill="BFBFBF"/>
            <w:vAlign w:val="center"/>
          </w:tcPr>
          <w:p w:rsidR="004D5CFB" w:rsidRPr="001D6512" w:rsidRDefault="004D5CFB" w:rsidP="004D5CFB">
            <w:pPr>
              <w:pStyle w:val="TableCell"/>
              <w:spacing w:before="60" w:after="60"/>
              <w:rPr>
                <w:b/>
              </w:rPr>
            </w:pPr>
            <w:r w:rsidRPr="001D6512">
              <w:rPr>
                <w:b/>
              </w:rPr>
              <w:t>Value</w:t>
            </w:r>
          </w:p>
        </w:tc>
        <w:tc>
          <w:tcPr>
            <w:tcW w:w="1536" w:type="pct"/>
            <w:tcBorders>
              <w:top w:val="single" w:sz="8" w:space="0" w:color="auto"/>
              <w:left w:val="nil"/>
              <w:bottom w:val="single" w:sz="8" w:space="0" w:color="auto"/>
              <w:right w:val="single" w:sz="8" w:space="0" w:color="auto"/>
            </w:tcBorders>
            <w:shd w:val="clear" w:color="auto" w:fill="BFBFBF"/>
            <w:vAlign w:val="center"/>
          </w:tcPr>
          <w:p w:rsidR="004D5CFB" w:rsidRPr="001D6512" w:rsidRDefault="004D5CFB" w:rsidP="004D5CFB">
            <w:pPr>
              <w:pStyle w:val="TableCell"/>
              <w:spacing w:before="60" w:after="60"/>
              <w:rPr>
                <w:b/>
              </w:rPr>
            </w:pPr>
            <w:r w:rsidRPr="001D6512">
              <w:rPr>
                <w:b/>
              </w:rPr>
              <w:t>Source</w:t>
            </w:r>
          </w:p>
        </w:tc>
      </w:tr>
      <w:tr w:rsidR="004D5CFB" w:rsidRPr="000151F9" w:rsidTr="004D5CFB">
        <w:trPr>
          <w:trHeight w:val="317"/>
          <w:jc w:val="center"/>
        </w:trPr>
        <w:tc>
          <w:tcPr>
            <w:tcW w:w="966" w:type="pct"/>
            <w:tcBorders>
              <w:top w:val="single" w:sz="8" w:space="0" w:color="auto"/>
              <w:left w:val="single" w:sz="8" w:space="0" w:color="auto"/>
              <w:bottom w:val="single" w:sz="8" w:space="0" w:color="auto"/>
              <w:right w:val="single" w:sz="8" w:space="0" w:color="auto"/>
            </w:tcBorders>
            <w:vAlign w:val="center"/>
          </w:tcPr>
          <w:p w:rsidR="004D5CFB" w:rsidRPr="001D6512" w:rsidRDefault="004D5CFB" w:rsidP="004D5CFB">
            <w:pPr>
              <w:pStyle w:val="TableCell"/>
              <w:spacing w:before="60" w:after="60"/>
              <w:rPr>
                <w:rFonts w:cs="Arial"/>
                <w:szCs w:val="18"/>
              </w:rPr>
            </w:pPr>
            <w:r w:rsidRPr="001D6512">
              <w:rPr>
                <w:rFonts w:cs="Arial"/>
                <w:szCs w:val="18"/>
              </w:rPr>
              <w:t>Base</w:t>
            </w:r>
            <w:r w:rsidRPr="001D6512">
              <w:rPr>
                <w:rFonts w:cs="Arial"/>
                <w:szCs w:val="18"/>
                <w:vertAlign w:val="subscript"/>
              </w:rPr>
              <w:t>watts</w:t>
            </w:r>
          </w:p>
        </w:tc>
        <w:tc>
          <w:tcPr>
            <w:tcW w:w="688" w:type="pct"/>
            <w:tcBorders>
              <w:top w:val="single" w:sz="8" w:space="0" w:color="auto"/>
              <w:left w:val="nil"/>
              <w:bottom w:val="single" w:sz="8" w:space="0" w:color="auto"/>
              <w:right w:val="single" w:sz="8" w:space="0" w:color="auto"/>
            </w:tcBorders>
            <w:vAlign w:val="center"/>
          </w:tcPr>
          <w:p w:rsidR="004D5CFB" w:rsidRPr="001D6512" w:rsidRDefault="004D5CFB" w:rsidP="004D5CFB">
            <w:pPr>
              <w:pStyle w:val="TableCell"/>
              <w:spacing w:before="60" w:after="60"/>
              <w:rPr>
                <w:rFonts w:cs="Arial"/>
                <w:color w:val="000000"/>
                <w:szCs w:val="18"/>
              </w:rPr>
            </w:pPr>
            <w:r w:rsidRPr="001D6512">
              <w:rPr>
                <w:rFonts w:cs="Arial"/>
                <w:color w:val="000000"/>
                <w:szCs w:val="18"/>
              </w:rPr>
              <w:t>Fixed</w:t>
            </w:r>
          </w:p>
        </w:tc>
        <w:tc>
          <w:tcPr>
            <w:tcW w:w="1810" w:type="pct"/>
            <w:tcBorders>
              <w:top w:val="single" w:sz="8" w:space="0" w:color="auto"/>
              <w:left w:val="nil"/>
              <w:bottom w:val="single" w:sz="8" w:space="0" w:color="auto"/>
              <w:right w:val="single" w:sz="8" w:space="0" w:color="auto"/>
            </w:tcBorders>
            <w:vAlign w:val="center"/>
          </w:tcPr>
          <w:p w:rsidR="004D5CFB" w:rsidRPr="001D6512" w:rsidDel="008C15B2" w:rsidRDefault="004D5CFB" w:rsidP="004D5CFB">
            <w:pPr>
              <w:pStyle w:val="TableCell"/>
              <w:spacing w:before="60" w:after="60"/>
              <w:rPr>
                <w:rFonts w:cs="Arial"/>
                <w:color w:val="000000"/>
                <w:szCs w:val="18"/>
              </w:rPr>
            </w:pPr>
            <w:r w:rsidRPr="001D6512">
              <w:rPr>
                <w:rFonts w:cs="Arial"/>
                <w:color w:val="000000"/>
                <w:szCs w:val="18"/>
              </w:rPr>
              <w:t xml:space="preserve">See </w:t>
            </w:r>
            <w:r w:rsidR="00274AB1">
              <w:fldChar w:fldCharType="begin"/>
            </w:r>
            <w:r w:rsidR="00274AB1">
              <w:instrText xml:space="preserve"> REF _Ref303073908 \h  \* MERGEFORMAT </w:instrText>
            </w:r>
            <w:r w:rsidR="00274AB1">
              <w:fldChar w:fldCharType="separate"/>
            </w:r>
            <w:r w:rsidR="00C0292F" w:rsidRPr="00C0292F">
              <w:rPr>
                <w:rFonts w:cs="Arial"/>
                <w:szCs w:val="18"/>
              </w:rPr>
              <w:t>Table 2</w:t>
            </w:r>
            <w:r w:rsidR="00C0292F" w:rsidRPr="00C0292F">
              <w:rPr>
                <w:rFonts w:cs="Arial"/>
                <w:szCs w:val="18"/>
              </w:rPr>
              <w:noBreakHyphen/>
              <w:t>58</w:t>
            </w:r>
            <w:r w:rsidR="00274AB1">
              <w:fldChar w:fldCharType="end"/>
            </w:r>
          </w:p>
        </w:tc>
        <w:tc>
          <w:tcPr>
            <w:tcW w:w="1536" w:type="pct"/>
            <w:tcBorders>
              <w:top w:val="single" w:sz="8" w:space="0" w:color="auto"/>
              <w:left w:val="nil"/>
              <w:bottom w:val="single" w:sz="8" w:space="0" w:color="auto"/>
              <w:right w:val="single" w:sz="8" w:space="0" w:color="auto"/>
            </w:tcBorders>
            <w:vAlign w:val="center"/>
          </w:tcPr>
          <w:p w:rsidR="004D5CFB" w:rsidRPr="001D6512" w:rsidRDefault="00274AB1" w:rsidP="004D5CFB">
            <w:pPr>
              <w:pStyle w:val="TableCell"/>
              <w:spacing w:before="60" w:after="60"/>
              <w:rPr>
                <w:rFonts w:cs="Arial"/>
                <w:color w:val="000000"/>
                <w:szCs w:val="18"/>
              </w:rPr>
            </w:pPr>
            <w:r>
              <w:fldChar w:fldCharType="begin"/>
            </w:r>
            <w:r>
              <w:instrText xml:space="preserve"> REF _Ref303073908 \h  \* MERGEFORMAT </w:instrText>
            </w:r>
            <w:r>
              <w:fldChar w:fldCharType="separate"/>
            </w:r>
            <w:r w:rsidR="00C0292F" w:rsidRPr="00C0292F">
              <w:rPr>
                <w:rFonts w:cs="Arial"/>
                <w:szCs w:val="18"/>
              </w:rPr>
              <w:t>Table 2</w:t>
            </w:r>
            <w:r w:rsidR="00C0292F" w:rsidRPr="00C0292F">
              <w:rPr>
                <w:rFonts w:cs="Arial"/>
                <w:szCs w:val="18"/>
              </w:rPr>
              <w:noBreakHyphen/>
              <w:t>58</w:t>
            </w:r>
            <w:r>
              <w:fldChar w:fldCharType="end"/>
            </w:r>
          </w:p>
        </w:tc>
      </w:tr>
      <w:tr w:rsidR="004D5CFB" w:rsidRPr="000151F9" w:rsidTr="004D5CFB">
        <w:trPr>
          <w:trHeight w:val="317"/>
          <w:jc w:val="center"/>
        </w:trPr>
        <w:tc>
          <w:tcPr>
            <w:tcW w:w="966" w:type="pct"/>
            <w:tcBorders>
              <w:top w:val="single" w:sz="8" w:space="0" w:color="auto"/>
              <w:left w:val="single" w:sz="8" w:space="0" w:color="auto"/>
              <w:bottom w:val="single" w:sz="8" w:space="0" w:color="auto"/>
              <w:right w:val="single" w:sz="8" w:space="0" w:color="auto"/>
            </w:tcBorders>
            <w:vAlign w:val="center"/>
          </w:tcPr>
          <w:p w:rsidR="004D5CFB" w:rsidRPr="001D6512" w:rsidRDefault="004D5CFB" w:rsidP="004D5CFB">
            <w:pPr>
              <w:pStyle w:val="TableCell"/>
              <w:spacing w:before="60" w:after="60"/>
              <w:rPr>
                <w:rFonts w:cs="Arial"/>
                <w:szCs w:val="18"/>
              </w:rPr>
            </w:pPr>
            <w:r w:rsidRPr="001D6512">
              <w:rPr>
                <w:rFonts w:cs="Arial"/>
                <w:szCs w:val="18"/>
              </w:rPr>
              <w:t>CFL</w:t>
            </w:r>
            <w:r w:rsidRPr="001D6512">
              <w:rPr>
                <w:rFonts w:cs="Arial"/>
                <w:szCs w:val="18"/>
                <w:vertAlign w:val="subscript"/>
              </w:rPr>
              <w:t>watts</w:t>
            </w:r>
          </w:p>
        </w:tc>
        <w:tc>
          <w:tcPr>
            <w:tcW w:w="688" w:type="pct"/>
            <w:tcBorders>
              <w:top w:val="single" w:sz="8" w:space="0" w:color="auto"/>
              <w:left w:val="nil"/>
              <w:bottom w:val="single" w:sz="8" w:space="0" w:color="auto"/>
              <w:right w:val="single" w:sz="8" w:space="0" w:color="auto"/>
            </w:tcBorders>
            <w:vAlign w:val="center"/>
          </w:tcPr>
          <w:p w:rsidR="004D5CFB" w:rsidRPr="001D6512" w:rsidRDefault="004D5CFB" w:rsidP="004D5CFB">
            <w:pPr>
              <w:pStyle w:val="TableCell"/>
              <w:spacing w:before="60" w:after="60"/>
              <w:rPr>
                <w:rFonts w:cs="Arial"/>
                <w:color w:val="000000"/>
                <w:szCs w:val="18"/>
              </w:rPr>
            </w:pPr>
            <w:r w:rsidRPr="001D6512">
              <w:rPr>
                <w:rFonts w:cs="Arial"/>
                <w:color w:val="000000"/>
                <w:szCs w:val="18"/>
              </w:rPr>
              <w:t>Fixed</w:t>
            </w:r>
          </w:p>
        </w:tc>
        <w:tc>
          <w:tcPr>
            <w:tcW w:w="1810" w:type="pct"/>
            <w:tcBorders>
              <w:top w:val="single" w:sz="8" w:space="0" w:color="auto"/>
              <w:left w:val="nil"/>
              <w:bottom w:val="single" w:sz="8" w:space="0" w:color="auto"/>
              <w:right w:val="single" w:sz="8" w:space="0" w:color="auto"/>
            </w:tcBorders>
            <w:vAlign w:val="center"/>
          </w:tcPr>
          <w:p w:rsidR="004D5CFB" w:rsidRPr="001D6512" w:rsidDel="008C15B2" w:rsidRDefault="004D5CFB" w:rsidP="004D5CFB">
            <w:pPr>
              <w:pStyle w:val="TableCell"/>
              <w:spacing w:before="60" w:after="60"/>
              <w:rPr>
                <w:rFonts w:cs="Arial"/>
                <w:color w:val="000000"/>
                <w:szCs w:val="18"/>
              </w:rPr>
            </w:pPr>
            <w:r w:rsidRPr="001D6512">
              <w:rPr>
                <w:rFonts w:cs="Arial"/>
                <w:color w:val="000000"/>
                <w:szCs w:val="18"/>
              </w:rPr>
              <w:t>Data Gathering</w:t>
            </w:r>
          </w:p>
        </w:tc>
        <w:tc>
          <w:tcPr>
            <w:tcW w:w="1536" w:type="pct"/>
            <w:tcBorders>
              <w:top w:val="single" w:sz="8" w:space="0" w:color="auto"/>
              <w:left w:val="nil"/>
              <w:bottom w:val="single" w:sz="8" w:space="0" w:color="auto"/>
              <w:right w:val="single" w:sz="8" w:space="0" w:color="auto"/>
            </w:tcBorders>
            <w:vAlign w:val="center"/>
          </w:tcPr>
          <w:p w:rsidR="004D5CFB" w:rsidRPr="001D6512" w:rsidRDefault="004D5CFB" w:rsidP="004D5CFB">
            <w:pPr>
              <w:pStyle w:val="TableCell"/>
              <w:spacing w:before="60" w:after="60"/>
              <w:rPr>
                <w:rFonts w:cs="Arial"/>
                <w:color w:val="000000"/>
                <w:szCs w:val="18"/>
              </w:rPr>
            </w:pPr>
            <w:r w:rsidRPr="001D6512">
              <w:rPr>
                <w:rFonts w:cs="Arial"/>
                <w:color w:val="000000"/>
                <w:szCs w:val="18"/>
              </w:rPr>
              <w:t>EDC Data Gathering</w:t>
            </w:r>
          </w:p>
        </w:tc>
      </w:tr>
      <w:tr w:rsidR="004D5CFB" w:rsidRPr="000151F9" w:rsidTr="004D5CFB">
        <w:trPr>
          <w:trHeight w:val="317"/>
          <w:jc w:val="center"/>
        </w:trPr>
        <w:tc>
          <w:tcPr>
            <w:tcW w:w="966" w:type="pct"/>
            <w:tcBorders>
              <w:top w:val="single" w:sz="8" w:space="0" w:color="auto"/>
              <w:left w:val="single" w:sz="8" w:space="0" w:color="auto"/>
              <w:bottom w:val="single" w:sz="8" w:space="0" w:color="auto"/>
              <w:right w:val="single" w:sz="8" w:space="0" w:color="auto"/>
            </w:tcBorders>
            <w:vAlign w:val="center"/>
          </w:tcPr>
          <w:p w:rsidR="004D5CFB" w:rsidRPr="001D6512" w:rsidRDefault="004D5CFB" w:rsidP="004D5CFB">
            <w:pPr>
              <w:pStyle w:val="TableCell"/>
              <w:spacing w:before="60" w:after="60"/>
              <w:rPr>
                <w:szCs w:val="18"/>
              </w:rPr>
            </w:pPr>
            <w:r w:rsidRPr="001D6512">
              <w:rPr>
                <w:rFonts w:cs="Arial"/>
                <w:szCs w:val="18"/>
              </w:rPr>
              <w:t>CFL</w:t>
            </w:r>
            <w:r w:rsidRPr="001D6512">
              <w:rPr>
                <w:rFonts w:cs="Arial"/>
                <w:szCs w:val="18"/>
                <w:vertAlign w:val="subscript"/>
              </w:rPr>
              <w:t>hours</w:t>
            </w:r>
            <w:r w:rsidRPr="001D6512">
              <w:rPr>
                <w:rFonts w:cs="Arial"/>
                <w:color w:val="000000"/>
                <w:szCs w:val="18"/>
              </w:rPr>
              <w:t xml:space="preserve">: </w:t>
            </w:r>
          </w:p>
        </w:tc>
        <w:tc>
          <w:tcPr>
            <w:tcW w:w="688" w:type="pct"/>
            <w:tcBorders>
              <w:top w:val="single" w:sz="8" w:space="0" w:color="auto"/>
              <w:left w:val="nil"/>
              <w:bottom w:val="single" w:sz="8" w:space="0" w:color="auto"/>
              <w:right w:val="single" w:sz="8" w:space="0" w:color="auto"/>
            </w:tcBorders>
            <w:vAlign w:val="center"/>
          </w:tcPr>
          <w:p w:rsidR="004D5CFB" w:rsidRPr="001D6512" w:rsidRDefault="004D5CFB" w:rsidP="004D5CFB">
            <w:pPr>
              <w:pStyle w:val="TableCell"/>
              <w:spacing w:before="60" w:after="60"/>
              <w:rPr>
                <w:szCs w:val="18"/>
              </w:rPr>
            </w:pPr>
            <w:r w:rsidRPr="001D6512">
              <w:rPr>
                <w:rFonts w:cs="Arial"/>
                <w:color w:val="000000"/>
                <w:szCs w:val="18"/>
              </w:rPr>
              <w:t>Fixed</w:t>
            </w:r>
          </w:p>
        </w:tc>
        <w:tc>
          <w:tcPr>
            <w:tcW w:w="1810" w:type="pct"/>
            <w:tcBorders>
              <w:top w:val="single" w:sz="8" w:space="0" w:color="auto"/>
              <w:left w:val="nil"/>
              <w:bottom w:val="single" w:sz="8" w:space="0" w:color="auto"/>
              <w:right w:val="single" w:sz="8" w:space="0" w:color="auto"/>
            </w:tcBorders>
            <w:vAlign w:val="center"/>
          </w:tcPr>
          <w:p w:rsidR="004D5CFB" w:rsidRPr="001D6512" w:rsidRDefault="004D5CFB" w:rsidP="004D5CFB">
            <w:pPr>
              <w:pStyle w:val="TableCell"/>
              <w:spacing w:before="60" w:after="60"/>
              <w:rPr>
                <w:szCs w:val="18"/>
              </w:rPr>
            </w:pPr>
            <w:r w:rsidRPr="001D6512">
              <w:rPr>
                <w:rFonts w:cs="Arial"/>
                <w:color w:val="000000"/>
                <w:szCs w:val="18"/>
              </w:rPr>
              <w:t>1.5</w:t>
            </w:r>
          </w:p>
        </w:tc>
        <w:tc>
          <w:tcPr>
            <w:tcW w:w="1536" w:type="pct"/>
            <w:tcBorders>
              <w:top w:val="single" w:sz="8" w:space="0" w:color="auto"/>
              <w:left w:val="nil"/>
              <w:bottom w:val="single" w:sz="8" w:space="0" w:color="auto"/>
              <w:right w:val="single" w:sz="8" w:space="0" w:color="auto"/>
            </w:tcBorders>
            <w:vAlign w:val="center"/>
          </w:tcPr>
          <w:p w:rsidR="004D5CFB" w:rsidRPr="001D6512" w:rsidRDefault="004D5CFB" w:rsidP="004D5CFB">
            <w:pPr>
              <w:pStyle w:val="TableCell"/>
              <w:spacing w:before="60" w:after="60"/>
              <w:rPr>
                <w:szCs w:val="18"/>
              </w:rPr>
            </w:pPr>
            <w:r w:rsidRPr="001D6512">
              <w:rPr>
                <w:rFonts w:cs="Arial"/>
                <w:color w:val="000000"/>
                <w:szCs w:val="18"/>
              </w:rPr>
              <w:t>1</w:t>
            </w:r>
          </w:p>
        </w:tc>
      </w:tr>
      <w:tr w:rsidR="004D5CFB" w:rsidRPr="000151F9" w:rsidTr="004D5CFB">
        <w:trPr>
          <w:trHeight w:val="317"/>
          <w:jc w:val="center"/>
        </w:trPr>
        <w:tc>
          <w:tcPr>
            <w:tcW w:w="966" w:type="pct"/>
            <w:tcBorders>
              <w:top w:val="single" w:sz="8" w:space="0" w:color="auto"/>
              <w:left w:val="single" w:sz="8" w:space="0" w:color="auto"/>
              <w:bottom w:val="single" w:sz="8" w:space="0" w:color="auto"/>
              <w:right w:val="single" w:sz="8" w:space="0" w:color="auto"/>
            </w:tcBorders>
            <w:vAlign w:val="center"/>
          </w:tcPr>
          <w:p w:rsidR="004D5CFB" w:rsidRPr="001D6512" w:rsidRDefault="004D5CFB" w:rsidP="004D5CFB">
            <w:pPr>
              <w:pStyle w:val="TableCell"/>
              <w:spacing w:before="60" w:after="60"/>
              <w:rPr>
                <w:rFonts w:cs="Arial"/>
                <w:color w:val="000000"/>
                <w:szCs w:val="18"/>
              </w:rPr>
            </w:pPr>
            <w:r w:rsidRPr="001D6512">
              <w:rPr>
                <w:rFonts w:cs="Arial"/>
                <w:color w:val="000000"/>
                <w:szCs w:val="18"/>
              </w:rPr>
              <w:t xml:space="preserve">CF </w:t>
            </w:r>
          </w:p>
        </w:tc>
        <w:tc>
          <w:tcPr>
            <w:tcW w:w="688" w:type="pct"/>
            <w:tcBorders>
              <w:top w:val="single" w:sz="8" w:space="0" w:color="auto"/>
              <w:left w:val="nil"/>
              <w:bottom w:val="single" w:sz="8" w:space="0" w:color="auto"/>
              <w:right w:val="single" w:sz="8" w:space="0" w:color="auto"/>
            </w:tcBorders>
            <w:vAlign w:val="center"/>
          </w:tcPr>
          <w:p w:rsidR="004D5CFB" w:rsidRPr="001D6512" w:rsidRDefault="004D5CFB" w:rsidP="004D5CFB">
            <w:pPr>
              <w:pStyle w:val="TableCell"/>
              <w:spacing w:before="60" w:after="60"/>
              <w:rPr>
                <w:rFonts w:cs="Arial"/>
                <w:color w:val="000000"/>
                <w:szCs w:val="18"/>
              </w:rPr>
            </w:pPr>
            <w:r w:rsidRPr="001D6512">
              <w:rPr>
                <w:rFonts w:cs="Arial"/>
                <w:color w:val="000000"/>
                <w:szCs w:val="18"/>
              </w:rPr>
              <w:t>Fixed</w:t>
            </w:r>
          </w:p>
        </w:tc>
        <w:tc>
          <w:tcPr>
            <w:tcW w:w="1810" w:type="pct"/>
            <w:tcBorders>
              <w:top w:val="single" w:sz="8" w:space="0" w:color="auto"/>
              <w:left w:val="nil"/>
              <w:bottom w:val="single" w:sz="8" w:space="0" w:color="auto"/>
              <w:right w:val="single" w:sz="8" w:space="0" w:color="auto"/>
            </w:tcBorders>
            <w:vAlign w:val="center"/>
          </w:tcPr>
          <w:p w:rsidR="004D5CFB" w:rsidRPr="001D6512" w:rsidRDefault="004D5CFB" w:rsidP="004D5CFB">
            <w:pPr>
              <w:pStyle w:val="TableCell"/>
              <w:spacing w:before="60" w:after="60"/>
              <w:rPr>
                <w:rFonts w:cs="Arial"/>
                <w:color w:val="000000"/>
                <w:szCs w:val="18"/>
              </w:rPr>
            </w:pPr>
            <w:r w:rsidRPr="001D6512">
              <w:rPr>
                <w:rFonts w:cs="Arial"/>
                <w:color w:val="000000"/>
                <w:szCs w:val="18"/>
              </w:rPr>
              <w:t>0.05</w:t>
            </w:r>
          </w:p>
        </w:tc>
        <w:tc>
          <w:tcPr>
            <w:tcW w:w="1536" w:type="pct"/>
            <w:tcBorders>
              <w:top w:val="single" w:sz="8" w:space="0" w:color="auto"/>
              <w:left w:val="nil"/>
              <w:bottom w:val="single" w:sz="8" w:space="0" w:color="auto"/>
              <w:right w:val="single" w:sz="8" w:space="0" w:color="auto"/>
            </w:tcBorders>
            <w:vAlign w:val="center"/>
          </w:tcPr>
          <w:p w:rsidR="004D5CFB" w:rsidRPr="001D6512" w:rsidRDefault="004D5CFB" w:rsidP="004D5CFB">
            <w:pPr>
              <w:pStyle w:val="TableCell"/>
              <w:spacing w:before="60" w:after="60"/>
              <w:rPr>
                <w:rFonts w:cs="Arial"/>
                <w:color w:val="000000"/>
                <w:szCs w:val="18"/>
              </w:rPr>
            </w:pPr>
            <w:r w:rsidRPr="001D6512">
              <w:rPr>
                <w:rFonts w:cs="Arial"/>
                <w:color w:val="000000"/>
                <w:szCs w:val="18"/>
              </w:rPr>
              <w:t>2</w:t>
            </w:r>
          </w:p>
        </w:tc>
      </w:tr>
      <w:tr w:rsidR="004D5CFB" w:rsidRPr="000151F9" w:rsidTr="004D5CFB">
        <w:trPr>
          <w:trHeight w:val="317"/>
          <w:jc w:val="center"/>
        </w:trPr>
        <w:tc>
          <w:tcPr>
            <w:tcW w:w="966" w:type="pct"/>
            <w:tcBorders>
              <w:top w:val="single" w:sz="8" w:space="0" w:color="auto"/>
              <w:left w:val="single" w:sz="8" w:space="0" w:color="auto"/>
              <w:bottom w:val="single" w:sz="8" w:space="0" w:color="auto"/>
              <w:right w:val="single" w:sz="8" w:space="0" w:color="auto"/>
            </w:tcBorders>
            <w:vAlign w:val="center"/>
          </w:tcPr>
          <w:p w:rsidR="004D5CFB" w:rsidRPr="001D6512" w:rsidRDefault="004D5CFB" w:rsidP="004D5CFB">
            <w:pPr>
              <w:pStyle w:val="TableCell"/>
              <w:spacing w:before="60" w:after="60"/>
              <w:rPr>
                <w:rFonts w:cs="Arial"/>
                <w:b/>
                <w:color w:val="000000"/>
                <w:szCs w:val="18"/>
              </w:rPr>
            </w:pPr>
            <w:r w:rsidRPr="001D6512">
              <w:rPr>
                <w:rFonts w:cs="Arial"/>
                <w:szCs w:val="18"/>
              </w:rPr>
              <w:t>ISR</w:t>
            </w:r>
            <w:r w:rsidRPr="001D6512">
              <w:rPr>
                <w:rFonts w:cs="Arial"/>
                <w:szCs w:val="18"/>
                <w:vertAlign w:val="subscript"/>
              </w:rPr>
              <w:t>CFL</w:t>
            </w:r>
          </w:p>
        </w:tc>
        <w:tc>
          <w:tcPr>
            <w:tcW w:w="688" w:type="pct"/>
            <w:tcBorders>
              <w:top w:val="single" w:sz="8" w:space="0" w:color="auto"/>
              <w:left w:val="nil"/>
              <w:bottom w:val="single" w:sz="8" w:space="0" w:color="auto"/>
              <w:right w:val="single" w:sz="8" w:space="0" w:color="auto"/>
            </w:tcBorders>
            <w:vAlign w:val="center"/>
          </w:tcPr>
          <w:p w:rsidR="004D5CFB" w:rsidRPr="001D6512" w:rsidRDefault="004D5CFB" w:rsidP="004D5CFB">
            <w:pPr>
              <w:pStyle w:val="TableCell"/>
              <w:spacing w:before="60" w:after="60"/>
              <w:rPr>
                <w:rFonts w:cs="Arial"/>
                <w:color w:val="000000"/>
                <w:szCs w:val="18"/>
              </w:rPr>
            </w:pPr>
            <w:r w:rsidRPr="001D6512">
              <w:rPr>
                <w:rFonts w:cs="Arial"/>
                <w:color w:val="000000"/>
                <w:szCs w:val="18"/>
              </w:rPr>
              <w:t>Fixed</w:t>
            </w:r>
          </w:p>
        </w:tc>
        <w:tc>
          <w:tcPr>
            <w:tcW w:w="1810" w:type="pct"/>
            <w:tcBorders>
              <w:top w:val="single" w:sz="8" w:space="0" w:color="auto"/>
              <w:left w:val="nil"/>
              <w:bottom w:val="single" w:sz="8" w:space="0" w:color="auto"/>
              <w:right w:val="single" w:sz="8" w:space="0" w:color="auto"/>
            </w:tcBorders>
            <w:vAlign w:val="center"/>
          </w:tcPr>
          <w:p w:rsidR="004D5CFB" w:rsidRPr="001D6512" w:rsidRDefault="004D5CFB" w:rsidP="004D5CFB">
            <w:pPr>
              <w:pStyle w:val="TableCell"/>
              <w:spacing w:before="60" w:after="60"/>
              <w:rPr>
                <w:rFonts w:cs="Arial"/>
                <w:color w:val="000000"/>
                <w:szCs w:val="18"/>
              </w:rPr>
            </w:pPr>
            <w:r w:rsidRPr="001D6512">
              <w:rPr>
                <w:rFonts w:cs="Arial"/>
                <w:color w:val="000000"/>
                <w:szCs w:val="18"/>
              </w:rPr>
              <w:t>84%</w:t>
            </w:r>
          </w:p>
        </w:tc>
        <w:tc>
          <w:tcPr>
            <w:tcW w:w="1536" w:type="pct"/>
            <w:tcBorders>
              <w:top w:val="single" w:sz="8" w:space="0" w:color="auto"/>
              <w:left w:val="nil"/>
              <w:bottom w:val="single" w:sz="8" w:space="0" w:color="auto"/>
              <w:right w:val="single" w:sz="8" w:space="0" w:color="auto"/>
            </w:tcBorders>
            <w:vAlign w:val="center"/>
          </w:tcPr>
          <w:p w:rsidR="004D5CFB" w:rsidRPr="001D6512" w:rsidRDefault="004D5CFB" w:rsidP="004D5CFB">
            <w:pPr>
              <w:pStyle w:val="TableCell"/>
              <w:spacing w:before="60" w:after="60"/>
              <w:rPr>
                <w:rFonts w:cs="Arial"/>
                <w:color w:val="000000"/>
                <w:szCs w:val="18"/>
              </w:rPr>
            </w:pPr>
            <w:r w:rsidRPr="001D6512">
              <w:rPr>
                <w:rFonts w:cs="Arial"/>
                <w:color w:val="000000"/>
                <w:szCs w:val="18"/>
              </w:rPr>
              <w:t>3, 4</w:t>
            </w:r>
          </w:p>
        </w:tc>
      </w:tr>
    </w:tbl>
    <w:p w:rsidR="004D5CFB" w:rsidRPr="001C4AD5" w:rsidRDefault="004D5CFB" w:rsidP="004D5CFB">
      <w:pPr>
        <w:spacing w:after="0"/>
        <w:ind w:left="475" w:hanging="475"/>
      </w:pPr>
    </w:p>
    <w:p w:rsidR="004D5CFB" w:rsidRPr="001D7420" w:rsidRDefault="004D5CFB" w:rsidP="004D5CFB">
      <w:pPr>
        <w:keepNext/>
        <w:rPr>
          <w:b/>
        </w:rPr>
      </w:pPr>
      <w:r w:rsidRPr="001D7420">
        <w:rPr>
          <w:b/>
        </w:rPr>
        <w:t>Sources:</w:t>
      </w:r>
      <w:r>
        <w:rPr>
          <w:b/>
        </w:rPr>
        <w:t xml:space="preserve"> </w:t>
      </w:r>
    </w:p>
    <w:p w:rsidR="004D5CFB" w:rsidRDefault="004D5CFB" w:rsidP="0005632A">
      <w:pPr>
        <w:pStyle w:val="source1"/>
        <w:numPr>
          <w:ilvl w:val="0"/>
          <w:numId w:val="110"/>
        </w:numPr>
      </w:pPr>
      <w:r>
        <w:t>Based on EDC</w:t>
      </w:r>
      <w:r w:rsidRPr="00BF7D0D">
        <w:t xml:space="preserve"> program design and</w:t>
      </w:r>
      <w:r>
        <w:t xml:space="preserve"> a</w:t>
      </w:r>
      <w:r w:rsidRPr="00BF7D0D">
        <w:t xml:space="preserve"> recent CFL survey</w:t>
      </w:r>
      <w:r>
        <w:t xml:space="preserve">. </w:t>
      </w:r>
    </w:p>
    <w:p w:rsidR="004D5CFB" w:rsidRDefault="004D5CFB" w:rsidP="004D5CFB">
      <w:pPr>
        <w:pStyle w:val="source1"/>
      </w:pPr>
      <w:r>
        <w:t>RLW Analytics, “Development of Common Demand Impacts for Energy Efficiency Measures/Programs for the ISO Forward Capacity Market (FCM)”, prepared for the New England State Program Working Group (SPWG), March 25, 2007, p. IV.</w:t>
      </w:r>
    </w:p>
    <w:p w:rsidR="004D5CFB" w:rsidRDefault="004D5CFB" w:rsidP="004D5CFB">
      <w:pPr>
        <w:pStyle w:val="source1"/>
      </w:pPr>
      <w:r>
        <w:t>Nexus Market Research, “Impact Evaluation of the Massachusetts, Rhode Island and Vermont 2003 Residential Lighting Programs”, Final Report, October 1, 2004, p. 42 (Table 4-7).  These values reflect both actual installations and the % of units planned to be installed within a year from the logged sample.   The logged % is used because the adjusted values (to account for differences between logging and telephone survey samples) were not available for both installs and planned installs.  However, this seems appropriate because the % actual installed in the logged sample from this table is essentially identical to the % after adjusting for differences between the logged group and the telephone sample (p. 100, Table 9-3).</w:t>
      </w:r>
    </w:p>
    <w:p w:rsidR="004D5CFB" w:rsidRDefault="004D5CFB" w:rsidP="004D5CFB">
      <w:pPr>
        <w:pStyle w:val="source1"/>
      </w:pPr>
      <w:r>
        <w:t>Value subject to update through evaluation.</w:t>
      </w:r>
    </w:p>
    <w:p w:rsidR="004D5CFB" w:rsidRDefault="004D5CFB" w:rsidP="004D5CFB">
      <w:pPr>
        <w:pStyle w:val="source1"/>
        <w:numPr>
          <w:ilvl w:val="0"/>
          <w:numId w:val="0"/>
        </w:numPr>
        <w:ind w:left="720" w:hanging="360"/>
      </w:pPr>
    </w:p>
    <w:p w:rsidR="004D5CFB" w:rsidRDefault="004D5CFB" w:rsidP="004D5CFB">
      <w:pPr>
        <w:pStyle w:val="Heading3"/>
      </w:pPr>
      <w:r w:rsidRPr="00202D48">
        <w:t>Deemed Savings</w:t>
      </w:r>
    </w:p>
    <w:p w:rsidR="004D5CFB" w:rsidRPr="00202D48" w:rsidRDefault="004D5CFB" w:rsidP="004D5CFB">
      <w:pPr>
        <w:spacing w:before="120"/>
        <w:jc w:val="both"/>
        <w:rPr>
          <w:rFonts w:cs="Arial"/>
          <w:color w:val="000000"/>
        </w:rPr>
      </w:pPr>
      <w:r w:rsidRPr="00202D48">
        <w:rPr>
          <w:rFonts w:cs="Arial"/>
          <w:color w:val="000000"/>
        </w:rPr>
        <w:t xml:space="preserve">The deemed savings for the installation of CFL lamps compared to incandescent bulbs are </w:t>
      </w:r>
      <w:r>
        <w:rPr>
          <w:rFonts w:cs="Arial"/>
          <w:color w:val="000000"/>
        </w:rPr>
        <w:t xml:space="preserve">listed in </w:t>
      </w:r>
      <w:r w:rsidR="00274AB1">
        <w:fldChar w:fldCharType="begin"/>
      </w:r>
      <w:r w:rsidR="00274AB1">
        <w:instrText xml:space="preserve"> REF _Ref303073908 \h  \* MERGEFORMAT </w:instrText>
      </w:r>
      <w:r w:rsidR="00274AB1">
        <w:fldChar w:fldCharType="separate"/>
      </w:r>
      <w:r w:rsidR="00C0292F" w:rsidRPr="00C0292F">
        <w:rPr>
          <w:rFonts w:cs="Arial"/>
        </w:rPr>
        <w:t xml:space="preserve">Table </w:t>
      </w:r>
      <w:r w:rsidR="00C0292F" w:rsidRPr="00C0292F">
        <w:rPr>
          <w:rFonts w:cs="Arial"/>
          <w:noProof/>
        </w:rPr>
        <w:t>2</w:t>
      </w:r>
      <w:r w:rsidR="00C0292F" w:rsidRPr="00C0292F">
        <w:rPr>
          <w:rFonts w:cs="Arial"/>
          <w:noProof/>
        </w:rPr>
        <w:noBreakHyphen/>
        <w:t>58</w:t>
      </w:r>
      <w:r w:rsidR="00274AB1">
        <w:fldChar w:fldCharType="end"/>
      </w:r>
      <w:r>
        <w:rPr>
          <w:rFonts w:cs="Arial"/>
          <w:color w:val="000000"/>
        </w:rPr>
        <w:t xml:space="preserve">. </w:t>
      </w:r>
    </w:p>
    <w:p w:rsidR="004D5CFB" w:rsidRPr="00E61B6B" w:rsidRDefault="004D5CFB" w:rsidP="003021FB">
      <w:pPr>
        <w:pStyle w:val="Caption"/>
      </w:pPr>
      <w:bookmarkStart w:id="483" w:name="_Ref303073908"/>
      <w:bookmarkStart w:id="484" w:name="_Ref297200971"/>
      <w:bookmarkStart w:id="485" w:name="_Toc310875544"/>
      <w:r w:rsidRPr="00E61B6B">
        <w:lastRenderedPageBreak/>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58</w:t>
      </w:r>
      <w:r w:rsidR="00274AB1">
        <w:rPr>
          <w:noProof/>
        </w:rPr>
        <w:fldChar w:fldCharType="end"/>
      </w:r>
      <w:bookmarkEnd w:id="483"/>
      <w:r w:rsidRPr="00E61B6B">
        <w:t>: Energy Savings and Demand Reductions</w:t>
      </w:r>
      <w:bookmarkEnd w:id="484"/>
      <w:bookmarkEnd w:id="4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1"/>
        <w:gridCol w:w="1771"/>
        <w:gridCol w:w="1771"/>
        <w:gridCol w:w="1772"/>
      </w:tblGrid>
      <w:tr w:rsidR="004D5CFB" w:rsidRPr="00921D1C" w:rsidTr="004D5CFB">
        <w:trPr>
          <w:trHeight w:val="374"/>
        </w:trPr>
        <w:tc>
          <w:tcPr>
            <w:tcW w:w="1771" w:type="dxa"/>
            <w:shd w:val="clear" w:color="auto" w:fill="BFBFBF"/>
          </w:tcPr>
          <w:p w:rsidR="004D5CFB" w:rsidRPr="00921D1C" w:rsidRDefault="004D5CFB" w:rsidP="003021FB">
            <w:pPr>
              <w:keepNext/>
              <w:spacing w:before="60" w:after="60"/>
              <w:rPr>
                <w:rFonts w:cs="Arial"/>
                <w:b/>
                <w:sz w:val="18"/>
                <w:szCs w:val="18"/>
              </w:rPr>
            </w:pPr>
            <w:r w:rsidRPr="00921D1C">
              <w:rPr>
                <w:rFonts w:cs="Arial"/>
                <w:b/>
                <w:sz w:val="18"/>
                <w:szCs w:val="18"/>
              </w:rPr>
              <w:t>CFL</w:t>
            </w:r>
            <w:r>
              <w:rPr>
                <w:rFonts w:cs="Arial"/>
                <w:b/>
                <w:sz w:val="18"/>
                <w:szCs w:val="18"/>
                <w:vertAlign w:val="subscript"/>
              </w:rPr>
              <w:t>wa</w:t>
            </w:r>
            <w:r w:rsidRPr="0038373F">
              <w:rPr>
                <w:rFonts w:cs="Arial"/>
                <w:b/>
                <w:sz w:val="18"/>
                <w:szCs w:val="18"/>
                <w:vertAlign w:val="subscript"/>
              </w:rPr>
              <w:t>tts</w:t>
            </w:r>
          </w:p>
        </w:tc>
        <w:tc>
          <w:tcPr>
            <w:tcW w:w="1771" w:type="dxa"/>
            <w:shd w:val="clear" w:color="auto" w:fill="BFBFBF"/>
          </w:tcPr>
          <w:p w:rsidR="004D5CFB" w:rsidRPr="00921D1C" w:rsidRDefault="004D5CFB" w:rsidP="003021FB">
            <w:pPr>
              <w:keepNext/>
              <w:spacing w:before="60" w:after="60"/>
              <w:rPr>
                <w:rFonts w:cs="Arial"/>
                <w:b/>
                <w:sz w:val="18"/>
                <w:szCs w:val="18"/>
              </w:rPr>
            </w:pPr>
            <w:r w:rsidRPr="00921D1C">
              <w:rPr>
                <w:rFonts w:cs="Arial"/>
                <w:b/>
                <w:sz w:val="18"/>
                <w:szCs w:val="18"/>
              </w:rPr>
              <w:t>Base</w:t>
            </w:r>
            <w:r>
              <w:rPr>
                <w:rFonts w:cs="Arial"/>
                <w:b/>
                <w:sz w:val="18"/>
                <w:szCs w:val="18"/>
                <w:vertAlign w:val="subscript"/>
              </w:rPr>
              <w:t>w</w:t>
            </w:r>
            <w:r w:rsidRPr="0038373F">
              <w:rPr>
                <w:rFonts w:cs="Arial"/>
                <w:b/>
                <w:sz w:val="18"/>
                <w:szCs w:val="18"/>
                <w:vertAlign w:val="subscript"/>
              </w:rPr>
              <w:t>atts</w:t>
            </w:r>
          </w:p>
        </w:tc>
        <w:tc>
          <w:tcPr>
            <w:tcW w:w="1771" w:type="dxa"/>
            <w:shd w:val="clear" w:color="auto" w:fill="BFBFBF"/>
          </w:tcPr>
          <w:p w:rsidR="004D5CFB" w:rsidRPr="00E72B22" w:rsidRDefault="004D5CFB" w:rsidP="003021FB">
            <w:pPr>
              <w:keepNext/>
              <w:spacing w:before="60" w:after="60"/>
              <w:rPr>
                <w:rFonts w:cs="Arial"/>
                <w:b/>
                <w:sz w:val="18"/>
                <w:szCs w:val="18"/>
              </w:rPr>
            </w:pPr>
            <w:r>
              <w:rPr>
                <w:rFonts w:cs="Arial"/>
                <w:b/>
                <w:sz w:val="18"/>
                <w:szCs w:val="18"/>
              </w:rPr>
              <w:t>CFL</w:t>
            </w:r>
            <w:r>
              <w:rPr>
                <w:rFonts w:cs="Arial"/>
                <w:b/>
                <w:sz w:val="18"/>
                <w:szCs w:val="18"/>
                <w:vertAlign w:val="subscript"/>
              </w:rPr>
              <w:t>hours</w:t>
            </w:r>
          </w:p>
        </w:tc>
        <w:tc>
          <w:tcPr>
            <w:tcW w:w="1771" w:type="dxa"/>
            <w:shd w:val="clear" w:color="auto" w:fill="BFBFBF"/>
          </w:tcPr>
          <w:p w:rsidR="004D5CFB" w:rsidRPr="00921D1C" w:rsidRDefault="004D5CFB" w:rsidP="003021FB">
            <w:pPr>
              <w:keepNext/>
              <w:spacing w:before="60" w:after="60"/>
              <w:rPr>
                <w:rFonts w:cs="Arial"/>
                <w:b/>
                <w:sz w:val="18"/>
                <w:szCs w:val="18"/>
              </w:rPr>
            </w:pPr>
            <w:r w:rsidRPr="00921D1C">
              <w:rPr>
                <w:rFonts w:cs="Arial"/>
                <w:b/>
                <w:sz w:val="18"/>
                <w:szCs w:val="18"/>
              </w:rPr>
              <w:t>Energy Savings (kWh)</w:t>
            </w:r>
          </w:p>
        </w:tc>
        <w:tc>
          <w:tcPr>
            <w:tcW w:w="1772" w:type="dxa"/>
            <w:shd w:val="clear" w:color="auto" w:fill="BFBFBF"/>
          </w:tcPr>
          <w:p w:rsidR="004D5CFB" w:rsidRPr="00921D1C" w:rsidRDefault="004D5CFB" w:rsidP="003021FB">
            <w:pPr>
              <w:keepNext/>
              <w:spacing w:before="60" w:after="60"/>
              <w:rPr>
                <w:rFonts w:cs="Arial"/>
                <w:b/>
                <w:sz w:val="18"/>
                <w:szCs w:val="18"/>
              </w:rPr>
            </w:pPr>
            <w:r w:rsidRPr="00921D1C">
              <w:rPr>
                <w:rFonts w:cs="Arial"/>
                <w:b/>
                <w:sz w:val="18"/>
                <w:szCs w:val="18"/>
              </w:rPr>
              <w:t>Demand Reduction (kW)</w:t>
            </w:r>
          </w:p>
        </w:tc>
      </w:tr>
      <w:tr w:rsidR="004D5CFB" w:rsidRPr="00921D1C" w:rsidTr="004D5CFB">
        <w:trPr>
          <w:trHeight w:val="374"/>
        </w:trPr>
        <w:tc>
          <w:tcPr>
            <w:tcW w:w="1771" w:type="dxa"/>
          </w:tcPr>
          <w:p w:rsidR="004D5CFB" w:rsidRPr="00921D1C" w:rsidRDefault="004D5CFB" w:rsidP="003021FB">
            <w:pPr>
              <w:keepNext/>
              <w:spacing w:before="60" w:after="60"/>
              <w:rPr>
                <w:rFonts w:cs="Arial"/>
                <w:sz w:val="18"/>
                <w:szCs w:val="18"/>
              </w:rPr>
            </w:pPr>
            <w:r w:rsidRPr="00921D1C">
              <w:rPr>
                <w:rFonts w:cs="Arial"/>
                <w:sz w:val="18"/>
                <w:szCs w:val="18"/>
              </w:rPr>
              <w:t>9</w:t>
            </w:r>
          </w:p>
        </w:tc>
        <w:tc>
          <w:tcPr>
            <w:tcW w:w="1771" w:type="dxa"/>
          </w:tcPr>
          <w:p w:rsidR="004D5CFB" w:rsidRPr="00921D1C" w:rsidRDefault="004D5CFB" w:rsidP="003021FB">
            <w:pPr>
              <w:keepNext/>
              <w:spacing w:before="60" w:after="60"/>
              <w:rPr>
                <w:rFonts w:cs="Arial"/>
                <w:sz w:val="18"/>
                <w:szCs w:val="18"/>
              </w:rPr>
            </w:pPr>
            <w:r w:rsidRPr="00921D1C">
              <w:rPr>
                <w:rFonts w:cs="Arial"/>
                <w:sz w:val="18"/>
                <w:szCs w:val="18"/>
              </w:rPr>
              <w:t>40</w:t>
            </w:r>
          </w:p>
        </w:tc>
        <w:tc>
          <w:tcPr>
            <w:tcW w:w="1771" w:type="dxa"/>
          </w:tcPr>
          <w:p w:rsidR="004D5CFB" w:rsidRPr="00921D1C" w:rsidRDefault="004D5CFB" w:rsidP="003021FB">
            <w:pPr>
              <w:keepNext/>
              <w:spacing w:before="60" w:after="60"/>
              <w:rPr>
                <w:rFonts w:cs="Arial"/>
                <w:sz w:val="18"/>
                <w:szCs w:val="18"/>
              </w:rPr>
            </w:pPr>
            <w:r>
              <w:rPr>
                <w:rFonts w:cs="Arial"/>
                <w:sz w:val="18"/>
                <w:szCs w:val="18"/>
              </w:rPr>
              <w:t>1.5</w:t>
            </w:r>
          </w:p>
        </w:tc>
        <w:tc>
          <w:tcPr>
            <w:tcW w:w="1771" w:type="dxa"/>
            <w:vAlign w:val="center"/>
          </w:tcPr>
          <w:p w:rsidR="004D5CFB" w:rsidRPr="00921D1C" w:rsidRDefault="004D5CFB" w:rsidP="003021FB">
            <w:pPr>
              <w:keepNext/>
              <w:spacing w:before="60" w:after="60"/>
              <w:rPr>
                <w:rFonts w:cs="Arial"/>
                <w:sz w:val="18"/>
                <w:szCs w:val="18"/>
              </w:rPr>
            </w:pPr>
            <w:r>
              <w:rPr>
                <w:rFonts w:cs="Arial"/>
                <w:color w:val="000000"/>
                <w:sz w:val="18"/>
                <w:szCs w:val="18"/>
              </w:rPr>
              <w:t>14.3</w:t>
            </w:r>
          </w:p>
        </w:tc>
        <w:tc>
          <w:tcPr>
            <w:tcW w:w="1772" w:type="dxa"/>
          </w:tcPr>
          <w:p w:rsidR="004D5CFB" w:rsidRPr="00921D1C" w:rsidRDefault="004D5CFB" w:rsidP="003021FB">
            <w:pPr>
              <w:keepNext/>
              <w:spacing w:before="60" w:after="60"/>
              <w:rPr>
                <w:rFonts w:cs="Arial"/>
                <w:sz w:val="18"/>
                <w:szCs w:val="18"/>
              </w:rPr>
            </w:pPr>
            <w:r w:rsidRPr="00921D1C">
              <w:rPr>
                <w:rFonts w:cs="Arial"/>
                <w:sz w:val="18"/>
                <w:szCs w:val="18"/>
              </w:rPr>
              <w:t>0.00155</w:t>
            </w:r>
          </w:p>
        </w:tc>
      </w:tr>
      <w:tr w:rsidR="004D5CFB" w:rsidRPr="00921D1C" w:rsidTr="004D5CFB">
        <w:trPr>
          <w:trHeight w:val="374"/>
        </w:trPr>
        <w:tc>
          <w:tcPr>
            <w:tcW w:w="1771" w:type="dxa"/>
          </w:tcPr>
          <w:p w:rsidR="004D5CFB" w:rsidRPr="00921D1C" w:rsidRDefault="004D5CFB" w:rsidP="003021FB">
            <w:pPr>
              <w:keepNext/>
              <w:spacing w:before="60" w:after="60"/>
              <w:rPr>
                <w:rFonts w:cs="Arial"/>
                <w:sz w:val="18"/>
                <w:szCs w:val="18"/>
              </w:rPr>
            </w:pPr>
            <w:r w:rsidRPr="00921D1C">
              <w:rPr>
                <w:rFonts w:cs="Arial"/>
                <w:sz w:val="18"/>
                <w:szCs w:val="18"/>
              </w:rPr>
              <w:t>11</w:t>
            </w:r>
          </w:p>
        </w:tc>
        <w:tc>
          <w:tcPr>
            <w:tcW w:w="1771" w:type="dxa"/>
          </w:tcPr>
          <w:p w:rsidR="004D5CFB" w:rsidRPr="00921D1C" w:rsidRDefault="004D5CFB" w:rsidP="003021FB">
            <w:pPr>
              <w:keepNext/>
              <w:spacing w:before="60" w:after="60"/>
              <w:rPr>
                <w:rFonts w:cs="Arial"/>
                <w:sz w:val="18"/>
                <w:szCs w:val="18"/>
              </w:rPr>
            </w:pPr>
            <w:r w:rsidRPr="00921D1C">
              <w:rPr>
                <w:rFonts w:cs="Arial"/>
                <w:sz w:val="18"/>
                <w:szCs w:val="18"/>
              </w:rPr>
              <w:t>40</w:t>
            </w:r>
          </w:p>
        </w:tc>
        <w:tc>
          <w:tcPr>
            <w:tcW w:w="1771" w:type="dxa"/>
          </w:tcPr>
          <w:p w:rsidR="004D5CFB" w:rsidRPr="00921D1C" w:rsidRDefault="004D5CFB" w:rsidP="003021FB">
            <w:pPr>
              <w:keepNext/>
              <w:spacing w:before="60" w:after="60"/>
              <w:rPr>
                <w:rFonts w:cs="Arial"/>
                <w:sz w:val="18"/>
                <w:szCs w:val="18"/>
              </w:rPr>
            </w:pPr>
            <w:r>
              <w:rPr>
                <w:rFonts w:cs="Arial"/>
                <w:sz w:val="18"/>
                <w:szCs w:val="18"/>
              </w:rPr>
              <w:t>1.5</w:t>
            </w:r>
          </w:p>
        </w:tc>
        <w:tc>
          <w:tcPr>
            <w:tcW w:w="1771" w:type="dxa"/>
            <w:vAlign w:val="center"/>
          </w:tcPr>
          <w:p w:rsidR="004D5CFB" w:rsidRPr="00921D1C" w:rsidRDefault="004D5CFB" w:rsidP="003021FB">
            <w:pPr>
              <w:keepNext/>
              <w:spacing w:before="60" w:after="60"/>
              <w:rPr>
                <w:rFonts w:cs="Arial"/>
                <w:sz w:val="18"/>
                <w:szCs w:val="18"/>
              </w:rPr>
            </w:pPr>
            <w:r>
              <w:rPr>
                <w:rFonts w:cs="Arial"/>
                <w:color w:val="000000"/>
                <w:sz w:val="18"/>
                <w:szCs w:val="18"/>
              </w:rPr>
              <w:t>13.3</w:t>
            </w:r>
          </w:p>
        </w:tc>
        <w:tc>
          <w:tcPr>
            <w:tcW w:w="1772" w:type="dxa"/>
          </w:tcPr>
          <w:p w:rsidR="004D5CFB" w:rsidRPr="00921D1C" w:rsidRDefault="004D5CFB" w:rsidP="003021FB">
            <w:pPr>
              <w:keepNext/>
              <w:spacing w:before="60" w:after="60"/>
              <w:rPr>
                <w:rFonts w:cs="Arial"/>
                <w:sz w:val="18"/>
                <w:szCs w:val="18"/>
              </w:rPr>
            </w:pPr>
            <w:r w:rsidRPr="00921D1C">
              <w:rPr>
                <w:rFonts w:cs="Arial"/>
                <w:sz w:val="18"/>
                <w:szCs w:val="18"/>
              </w:rPr>
              <w:t>0.00145</w:t>
            </w:r>
          </w:p>
        </w:tc>
      </w:tr>
      <w:tr w:rsidR="004D5CFB" w:rsidRPr="00921D1C" w:rsidTr="004D5CFB">
        <w:trPr>
          <w:trHeight w:val="374"/>
        </w:trPr>
        <w:tc>
          <w:tcPr>
            <w:tcW w:w="1771" w:type="dxa"/>
          </w:tcPr>
          <w:p w:rsidR="004D5CFB" w:rsidRPr="00921D1C" w:rsidRDefault="004D5CFB" w:rsidP="003021FB">
            <w:pPr>
              <w:keepNext/>
              <w:spacing w:before="60" w:after="60"/>
              <w:rPr>
                <w:rFonts w:cs="Arial"/>
                <w:sz w:val="18"/>
                <w:szCs w:val="18"/>
              </w:rPr>
            </w:pPr>
            <w:r w:rsidRPr="00921D1C">
              <w:rPr>
                <w:rFonts w:cs="Arial"/>
                <w:sz w:val="18"/>
                <w:szCs w:val="18"/>
              </w:rPr>
              <w:t>13</w:t>
            </w:r>
          </w:p>
        </w:tc>
        <w:tc>
          <w:tcPr>
            <w:tcW w:w="1771" w:type="dxa"/>
          </w:tcPr>
          <w:p w:rsidR="004D5CFB" w:rsidRPr="00921D1C" w:rsidRDefault="004D5CFB" w:rsidP="003021FB">
            <w:pPr>
              <w:keepNext/>
              <w:spacing w:before="60" w:after="60"/>
              <w:rPr>
                <w:rFonts w:cs="Arial"/>
                <w:sz w:val="18"/>
                <w:szCs w:val="18"/>
              </w:rPr>
            </w:pPr>
            <w:r w:rsidRPr="00921D1C">
              <w:rPr>
                <w:rFonts w:cs="Arial"/>
                <w:sz w:val="18"/>
                <w:szCs w:val="18"/>
              </w:rPr>
              <w:t>60</w:t>
            </w:r>
          </w:p>
        </w:tc>
        <w:tc>
          <w:tcPr>
            <w:tcW w:w="1771" w:type="dxa"/>
          </w:tcPr>
          <w:p w:rsidR="004D5CFB" w:rsidRPr="00921D1C" w:rsidRDefault="004D5CFB" w:rsidP="003021FB">
            <w:pPr>
              <w:keepNext/>
              <w:spacing w:before="60" w:after="60"/>
              <w:rPr>
                <w:rFonts w:cs="Arial"/>
                <w:sz w:val="18"/>
                <w:szCs w:val="18"/>
              </w:rPr>
            </w:pPr>
            <w:r>
              <w:rPr>
                <w:rFonts w:cs="Arial"/>
                <w:sz w:val="18"/>
                <w:szCs w:val="18"/>
              </w:rPr>
              <w:t>1.5</w:t>
            </w:r>
          </w:p>
        </w:tc>
        <w:tc>
          <w:tcPr>
            <w:tcW w:w="1771" w:type="dxa"/>
            <w:vAlign w:val="center"/>
          </w:tcPr>
          <w:p w:rsidR="004D5CFB" w:rsidRPr="00921D1C" w:rsidRDefault="004D5CFB" w:rsidP="003021FB">
            <w:pPr>
              <w:keepNext/>
              <w:spacing w:before="60" w:after="60"/>
              <w:rPr>
                <w:rFonts w:cs="Arial"/>
                <w:sz w:val="18"/>
                <w:szCs w:val="18"/>
              </w:rPr>
            </w:pPr>
            <w:r>
              <w:rPr>
                <w:rFonts w:cs="Arial"/>
                <w:color w:val="000000"/>
                <w:sz w:val="18"/>
                <w:szCs w:val="18"/>
              </w:rPr>
              <w:t>21.6</w:t>
            </w:r>
          </w:p>
        </w:tc>
        <w:tc>
          <w:tcPr>
            <w:tcW w:w="1772" w:type="dxa"/>
          </w:tcPr>
          <w:p w:rsidR="004D5CFB" w:rsidRPr="00921D1C" w:rsidRDefault="004D5CFB" w:rsidP="003021FB">
            <w:pPr>
              <w:keepNext/>
              <w:spacing w:before="60" w:after="60"/>
              <w:rPr>
                <w:rFonts w:cs="Arial"/>
                <w:sz w:val="18"/>
                <w:szCs w:val="18"/>
              </w:rPr>
            </w:pPr>
            <w:r w:rsidRPr="00921D1C">
              <w:rPr>
                <w:rFonts w:cs="Arial"/>
                <w:sz w:val="18"/>
                <w:szCs w:val="18"/>
              </w:rPr>
              <w:t>0.00235</w:t>
            </w:r>
          </w:p>
        </w:tc>
      </w:tr>
      <w:tr w:rsidR="004D5CFB" w:rsidRPr="00921D1C" w:rsidTr="004D5CFB">
        <w:trPr>
          <w:trHeight w:val="374"/>
        </w:trPr>
        <w:tc>
          <w:tcPr>
            <w:tcW w:w="1771" w:type="dxa"/>
          </w:tcPr>
          <w:p w:rsidR="004D5CFB" w:rsidRPr="00921D1C" w:rsidRDefault="004D5CFB" w:rsidP="003021FB">
            <w:pPr>
              <w:keepNext/>
              <w:spacing w:before="60" w:after="60"/>
              <w:rPr>
                <w:rFonts w:cs="Arial"/>
                <w:sz w:val="18"/>
                <w:szCs w:val="18"/>
              </w:rPr>
            </w:pPr>
            <w:r w:rsidRPr="00921D1C">
              <w:rPr>
                <w:rFonts w:cs="Arial"/>
                <w:sz w:val="18"/>
                <w:szCs w:val="18"/>
              </w:rPr>
              <w:t>14</w:t>
            </w:r>
          </w:p>
        </w:tc>
        <w:tc>
          <w:tcPr>
            <w:tcW w:w="1771" w:type="dxa"/>
          </w:tcPr>
          <w:p w:rsidR="004D5CFB" w:rsidRPr="00921D1C" w:rsidRDefault="004D5CFB" w:rsidP="003021FB">
            <w:pPr>
              <w:keepNext/>
              <w:spacing w:before="60" w:after="60"/>
              <w:rPr>
                <w:rFonts w:cs="Arial"/>
                <w:sz w:val="18"/>
                <w:szCs w:val="18"/>
              </w:rPr>
            </w:pPr>
            <w:r w:rsidRPr="00921D1C">
              <w:rPr>
                <w:rFonts w:cs="Arial"/>
                <w:sz w:val="18"/>
                <w:szCs w:val="18"/>
              </w:rPr>
              <w:t>60</w:t>
            </w:r>
          </w:p>
        </w:tc>
        <w:tc>
          <w:tcPr>
            <w:tcW w:w="1771" w:type="dxa"/>
          </w:tcPr>
          <w:p w:rsidR="004D5CFB" w:rsidRPr="00921D1C" w:rsidRDefault="004D5CFB" w:rsidP="003021FB">
            <w:pPr>
              <w:keepNext/>
              <w:spacing w:before="60" w:after="60"/>
              <w:rPr>
                <w:rFonts w:cs="Arial"/>
                <w:sz w:val="18"/>
                <w:szCs w:val="18"/>
              </w:rPr>
            </w:pPr>
            <w:r>
              <w:rPr>
                <w:rFonts w:cs="Arial"/>
                <w:sz w:val="18"/>
                <w:szCs w:val="18"/>
              </w:rPr>
              <w:t>1.5</w:t>
            </w:r>
          </w:p>
        </w:tc>
        <w:tc>
          <w:tcPr>
            <w:tcW w:w="1771" w:type="dxa"/>
            <w:vAlign w:val="center"/>
          </w:tcPr>
          <w:p w:rsidR="004D5CFB" w:rsidRPr="00921D1C" w:rsidRDefault="004D5CFB" w:rsidP="003021FB">
            <w:pPr>
              <w:keepNext/>
              <w:spacing w:before="60" w:after="60"/>
              <w:rPr>
                <w:rFonts w:cs="Arial"/>
                <w:sz w:val="18"/>
                <w:szCs w:val="18"/>
              </w:rPr>
            </w:pPr>
            <w:r>
              <w:rPr>
                <w:rFonts w:cs="Arial"/>
                <w:color w:val="000000"/>
                <w:sz w:val="18"/>
                <w:szCs w:val="18"/>
              </w:rPr>
              <w:t>21.2</w:t>
            </w:r>
          </w:p>
        </w:tc>
        <w:tc>
          <w:tcPr>
            <w:tcW w:w="1772" w:type="dxa"/>
          </w:tcPr>
          <w:p w:rsidR="004D5CFB" w:rsidRPr="00921D1C" w:rsidRDefault="004D5CFB" w:rsidP="003021FB">
            <w:pPr>
              <w:keepNext/>
              <w:spacing w:before="60" w:after="60"/>
              <w:rPr>
                <w:rFonts w:cs="Arial"/>
                <w:sz w:val="18"/>
                <w:szCs w:val="18"/>
              </w:rPr>
            </w:pPr>
            <w:r w:rsidRPr="00921D1C">
              <w:rPr>
                <w:rFonts w:cs="Arial"/>
                <w:sz w:val="18"/>
                <w:szCs w:val="18"/>
              </w:rPr>
              <w:t>0.0023</w:t>
            </w:r>
            <w:r>
              <w:rPr>
                <w:rFonts w:cs="Arial"/>
                <w:sz w:val="18"/>
                <w:szCs w:val="18"/>
              </w:rPr>
              <w:t>0</w:t>
            </w:r>
          </w:p>
        </w:tc>
      </w:tr>
      <w:tr w:rsidR="004D5CFB" w:rsidRPr="00921D1C" w:rsidTr="004D5CFB">
        <w:trPr>
          <w:trHeight w:val="374"/>
        </w:trPr>
        <w:tc>
          <w:tcPr>
            <w:tcW w:w="1771" w:type="dxa"/>
          </w:tcPr>
          <w:p w:rsidR="004D5CFB" w:rsidRPr="00921D1C" w:rsidRDefault="004D5CFB" w:rsidP="003021FB">
            <w:pPr>
              <w:keepNext/>
              <w:spacing w:before="60" w:after="60"/>
              <w:rPr>
                <w:rFonts w:cs="Arial"/>
                <w:sz w:val="18"/>
                <w:szCs w:val="18"/>
              </w:rPr>
            </w:pPr>
            <w:r w:rsidRPr="00921D1C">
              <w:rPr>
                <w:rFonts w:cs="Arial"/>
                <w:sz w:val="18"/>
                <w:szCs w:val="18"/>
              </w:rPr>
              <w:t>18</w:t>
            </w:r>
          </w:p>
        </w:tc>
        <w:tc>
          <w:tcPr>
            <w:tcW w:w="1771" w:type="dxa"/>
          </w:tcPr>
          <w:p w:rsidR="004D5CFB" w:rsidRPr="00921D1C" w:rsidRDefault="004D5CFB" w:rsidP="003021FB">
            <w:pPr>
              <w:keepNext/>
              <w:spacing w:before="60" w:after="60"/>
              <w:rPr>
                <w:rFonts w:cs="Arial"/>
                <w:sz w:val="18"/>
                <w:szCs w:val="18"/>
              </w:rPr>
            </w:pPr>
            <w:r w:rsidRPr="00921D1C">
              <w:rPr>
                <w:rFonts w:cs="Arial"/>
                <w:sz w:val="18"/>
                <w:szCs w:val="18"/>
              </w:rPr>
              <w:t>75</w:t>
            </w:r>
          </w:p>
        </w:tc>
        <w:tc>
          <w:tcPr>
            <w:tcW w:w="1771" w:type="dxa"/>
          </w:tcPr>
          <w:p w:rsidR="004D5CFB" w:rsidRPr="00921D1C" w:rsidRDefault="004D5CFB" w:rsidP="003021FB">
            <w:pPr>
              <w:keepNext/>
              <w:spacing w:before="60" w:after="60"/>
              <w:rPr>
                <w:rFonts w:cs="Arial"/>
                <w:sz w:val="18"/>
                <w:szCs w:val="18"/>
              </w:rPr>
            </w:pPr>
            <w:r>
              <w:rPr>
                <w:rFonts w:cs="Arial"/>
                <w:sz w:val="18"/>
                <w:szCs w:val="18"/>
              </w:rPr>
              <w:t>1.5</w:t>
            </w:r>
          </w:p>
        </w:tc>
        <w:tc>
          <w:tcPr>
            <w:tcW w:w="1771" w:type="dxa"/>
            <w:vAlign w:val="center"/>
          </w:tcPr>
          <w:p w:rsidR="004D5CFB" w:rsidRPr="00921D1C" w:rsidRDefault="004D5CFB" w:rsidP="003021FB">
            <w:pPr>
              <w:keepNext/>
              <w:spacing w:before="60" w:after="60"/>
              <w:rPr>
                <w:rFonts w:cs="Arial"/>
                <w:sz w:val="18"/>
                <w:szCs w:val="18"/>
              </w:rPr>
            </w:pPr>
            <w:r>
              <w:rPr>
                <w:rFonts w:cs="Arial"/>
                <w:color w:val="000000"/>
                <w:sz w:val="18"/>
                <w:szCs w:val="18"/>
              </w:rPr>
              <w:t>26.2</w:t>
            </w:r>
          </w:p>
        </w:tc>
        <w:tc>
          <w:tcPr>
            <w:tcW w:w="1772" w:type="dxa"/>
          </w:tcPr>
          <w:p w:rsidR="004D5CFB" w:rsidRPr="00921D1C" w:rsidRDefault="004D5CFB" w:rsidP="003021FB">
            <w:pPr>
              <w:keepNext/>
              <w:spacing w:before="60" w:after="60"/>
              <w:rPr>
                <w:rFonts w:cs="Arial"/>
                <w:sz w:val="18"/>
                <w:szCs w:val="18"/>
              </w:rPr>
            </w:pPr>
            <w:r w:rsidRPr="00921D1C">
              <w:rPr>
                <w:rFonts w:cs="Arial"/>
                <w:sz w:val="18"/>
                <w:szCs w:val="18"/>
              </w:rPr>
              <w:t>0.00285</w:t>
            </w:r>
          </w:p>
        </w:tc>
      </w:tr>
      <w:tr w:rsidR="004D5CFB" w:rsidRPr="00921D1C" w:rsidTr="004D5CFB">
        <w:trPr>
          <w:trHeight w:val="374"/>
        </w:trPr>
        <w:tc>
          <w:tcPr>
            <w:tcW w:w="1771" w:type="dxa"/>
          </w:tcPr>
          <w:p w:rsidR="004D5CFB" w:rsidRPr="00921D1C" w:rsidRDefault="004D5CFB" w:rsidP="003021FB">
            <w:pPr>
              <w:keepNext/>
              <w:spacing w:before="60" w:after="60"/>
              <w:rPr>
                <w:rFonts w:cs="Arial"/>
                <w:sz w:val="18"/>
                <w:szCs w:val="18"/>
              </w:rPr>
            </w:pPr>
            <w:r w:rsidRPr="00921D1C">
              <w:rPr>
                <w:rFonts w:cs="Arial"/>
                <w:sz w:val="18"/>
                <w:szCs w:val="18"/>
              </w:rPr>
              <w:t>19</w:t>
            </w:r>
          </w:p>
        </w:tc>
        <w:tc>
          <w:tcPr>
            <w:tcW w:w="1771" w:type="dxa"/>
          </w:tcPr>
          <w:p w:rsidR="004D5CFB" w:rsidRPr="00921D1C" w:rsidRDefault="004D5CFB" w:rsidP="003021FB">
            <w:pPr>
              <w:keepNext/>
              <w:spacing w:before="60" w:after="60"/>
              <w:rPr>
                <w:rFonts w:cs="Arial"/>
                <w:sz w:val="18"/>
                <w:szCs w:val="18"/>
              </w:rPr>
            </w:pPr>
            <w:r w:rsidRPr="00921D1C">
              <w:rPr>
                <w:rFonts w:cs="Arial"/>
                <w:sz w:val="18"/>
                <w:szCs w:val="18"/>
              </w:rPr>
              <w:t>75</w:t>
            </w:r>
          </w:p>
        </w:tc>
        <w:tc>
          <w:tcPr>
            <w:tcW w:w="1771" w:type="dxa"/>
          </w:tcPr>
          <w:p w:rsidR="004D5CFB" w:rsidRPr="00921D1C" w:rsidRDefault="004D5CFB" w:rsidP="003021FB">
            <w:pPr>
              <w:keepNext/>
              <w:spacing w:before="60" w:after="60"/>
              <w:rPr>
                <w:rFonts w:cs="Arial"/>
                <w:sz w:val="18"/>
                <w:szCs w:val="18"/>
              </w:rPr>
            </w:pPr>
            <w:r>
              <w:rPr>
                <w:rFonts w:cs="Arial"/>
                <w:sz w:val="18"/>
                <w:szCs w:val="18"/>
              </w:rPr>
              <w:t>1.5</w:t>
            </w:r>
          </w:p>
        </w:tc>
        <w:tc>
          <w:tcPr>
            <w:tcW w:w="1771" w:type="dxa"/>
            <w:vAlign w:val="center"/>
          </w:tcPr>
          <w:p w:rsidR="004D5CFB" w:rsidRPr="00921D1C" w:rsidRDefault="004D5CFB" w:rsidP="003021FB">
            <w:pPr>
              <w:keepNext/>
              <w:spacing w:before="60" w:after="60"/>
              <w:rPr>
                <w:rFonts w:cs="Arial"/>
                <w:sz w:val="18"/>
                <w:szCs w:val="18"/>
              </w:rPr>
            </w:pPr>
            <w:r>
              <w:rPr>
                <w:rFonts w:cs="Arial"/>
                <w:color w:val="000000"/>
                <w:sz w:val="18"/>
                <w:szCs w:val="18"/>
              </w:rPr>
              <w:t>25.8</w:t>
            </w:r>
          </w:p>
        </w:tc>
        <w:tc>
          <w:tcPr>
            <w:tcW w:w="1772" w:type="dxa"/>
          </w:tcPr>
          <w:p w:rsidR="004D5CFB" w:rsidRPr="00921D1C" w:rsidRDefault="004D5CFB" w:rsidP="003021FB">
            <w:pPr>
              <w:keepNext/>
              <w:spacing w:before="60" w:after="60"/>
              <w:rPr>
                <w:rFonts w:cs="Arial"/>
                <w:sz w:val="18"/>
                <w:szCs w:val="18"/>
              </w:rPr>
            </w:pPr>
            <w:r w:rsidRPr="00921D1C">
              <w:rPr>
                <w:rFonts w:cs="Arial"/>
                <w:sz w:val="18"/>
                <w:szCs w:val="18"/>
              </w:rPr>
              <w:t>0.0028</w:t>
            </w:r>
            <w:r>
              <w:rPr>
                <w:rFonts w:cs="Arial"/>
                <w:sz w:val="18"/>
                <w:szCs w:val="18"/>
              </w:rPr>
              <w:t>0</w:t>
            </w:r>
          </w:p>
        </w:tc>
      </w:tr>
      <w:tr w:rsidR="004D5CFB" w:rsidRPr="00921D1C" w:rsidTr="004D5CFB">
        <w:trPr>
          <w:trHeight w:val="374"/>
        </w:trPr>
        <w:tc>
          <w:tcPr>
            <w:tcW w:w="1771" w:type="dxa"/>
          </w:tcPr>
          <w:p w:rsidR="004D5CFB" w:rsidRPr="00921D1C" w:rsidRDefault="004D5CFB" w:rsidP="004D5CFB">
            <w:pPr>
              <w:spacing w:before="60" w:after="60"/>
              <w:rPr>
                <w:rFonts w:cs="Arial"/>
                <w:sz w:val="18"/>
                <w:szCs w:val="18"/>
              </w:rPr>
            </w:pPr>
            <w:r w:rsidRPr="00921D1C">
              <w:rPr>
                <w:rFonts w:cs="Arial"/>
                <w:sz w:val="18"/>
                <w:szCs w:val="18"/>
              </w:rPr>
              <w:t>22</w:t>
            </w:r>
          </w:p>
        </w:tc>
        <w:tc>
          <w:tcPr>
            <w:tcW w:w="1771" w:type="dxa"/>
          </w:tcPr>
          <w:p w:rsidR="004D5CFB" w:rsidRPr="00921D1C" w:rsidRDefault="004D5CFB" w:rsidP="004D5CFB">
            <w:pPr>
              <w:spacing w:before="60" w:after="60"/>
              <w:rPr>
                <w:rFonts w:cs="Arial"/>
                <w:sz w:val="18"/>
                <w:szCs w:val="18"/>
              </w:rPr>
            </w:pPr>
            <w:r>
              <w:rPr>
                <w:rFonts w:cs="Arial"/>
                <w:sz w:val="18"/>
                <w:szCs w:val="18"/>
              </w:rPr>
              <w:t>75</w:t>
            </w:r>
          </w:p>
        </w:tc>
        <w:tc>
          <w:tcPr>
            <w:tcW w:w="1771" w:type="dxa"/>
          </w:tcPr>
          <w:p w:rsidR="004D5CFB" w:rsidRPr="00921D1C" w:rsidRDefault="004D5CFB" w:rsidP="004D5CFB">
            <w:pPr>
              <w:spacing w:before="60" w:after="60"/>
              <w:rPr>
                <w:rFonts w:cs="Arial"/>
                <w:sz w:val="18"/>
                <w:szCs w:val="18"/>
              </w:rPr>
            </w:pPr>
            <w:r>
              <w:rPr>
                <w:rFonts w:cs="Arial"/>
                <w:sz w:val="18"/>
                <w:szCs w:val="18"/>
              </w:rPr>
              <w:t>1.5</w:t>
            </w:r>
          </w:p>
        </w:tc>
        <w:tc>
          <w:tcPr>
            <w:tcW w:w="1771" w:type="dxa"/>
            <w:vAlign w:val="center"/>
          </w:tcPr>
          <w:p w:rsidR="004D5CFB" w:rsidRPr="00921D1C" w:rsidRDefault="004D5CFB" w:rsidP="004D5CFB">
            <w:pPr>
              <w:spacing w:before="60" w:after="60"/>
              <w:rPr>
                <w:rFonts w:cs="Arial"/>
                <w:sz w:val="18"/>
                <w:szCs w:val="18"/>
              </w:rPr>
            </w:pPr>
            <w:r>
              <w:rPr>
                <w:rFonts w:cs="Arial"/>
                <w:color w:val="000000"/>
                <w:sz w:val="18"/>
                <w:szCs w:val="18"/>
              </w:rPr>
              <w:t>24.4</w:t>
            </w:r>
          </w:p>
        </w:tc>
        <w:tc>
          <w:tcPr>
            <w:tcW w:w="1772" w:type="dxa"/>
          </w:tcPr>
          <w:p w:rsidR="004D5CFB" w:rsidRPr="00921D1C" w:rsidRDefault="004D5CFB" w:rsidP="004D5CFB">
            <w:pPr>
              <w:spacing w:before="60" w:after="60"/>
              <w:rPr>
                <w:rFonts w:cs="Arial"/>
                <w:sz w:val="18"/>
                <w:szCs w:val="18"/>
              </w:rPr>
            </w:pPr>
            <w:r w:rsidRPr="00921D1C">
              <w:rPr>
                <w:rFonts w:cs="Arial"/>
                <w:sz w:val="18"/>
                <w:szCs w:val="18"/>
              </w:rPr>
              <w:t>0.0039</w:t>
            </w:r>
            <w:r>
              <w:rPr>
                <w:rFonts w:cs="Arial"/>
                <w:sz w:val="18"/>
                <w:szCs w:val="18"/>
              </w:rPr>
              <w:t>0</w:t>
            </w:r>
          </w:p>
        </w:tc>
      </w:tr>
      <w:tr w:rsidR="004D5CFB" w:rsidRPr="00921D1C" w:rsidTr="004D5CFB">
        <w:trPr>
          <w:trHeight w:val="374"/>
        </w:trPr>
        <w:tc>
          <w:tcPr>
            <w:tcW w:w="1771" w:type="dxa"/>
          </w:tcPr>
          <w:p w:rsidR="004D5CFB" w:rsidRPr="00921D1C" w:rsidRDefault="004D5CFB" w:rsidP="004D5CFB">
            <w:pPr>
              <w:spacing w:before="60" w:after="60"/>
              <w:rPr>
                <w:rFonts w:cs="Arial"/>
                <w:sz w:val="18"/>
                <w:szCs w:val="18"/>
              </w:rPr>
            </w:pPr>
            <w:r w:rsidRPr="00921D1C">
              <w:rPr>
                <w:rFonts w:cs="Arial"/>
                <w:sz w:val="18"/>
                <w:szCs w:val="18"/>
              </w:rPr>
              <w:t>23</w:t>
            </w:r>
          </w:p>
        </w:tc>
        <w:tc>
          <w:tcPr>
            <w:tcW w:w="1771" w:type="dxa"/>
          </w:tcPr>
          <w:p w:rsidR="004D5CFB" w:rsidRPr="00921D1C" w:rsidRDefault="004D5CFB" w:rsidP="004D5CFB">
            <w:pPr>
              <w:spacing w:before="60" w:after="60"/>
              <w:rPr>
                <w:rFonts w:cs="Arial"/>
                <w:sz w:val="18"/>
                <w:szCs w:val="18"/>
              </w:rPr>
            </w:pPr>
            <w:r w:rsidRPr="00921D1C">
              <w:rPr>
                <w:rFonts w:cs="Arial"/>
                <w:sz w:val="18"/>
                <w:szCs w:val="18"/>
              </w:rPr>
              <w:t>100</w:t>
            </w:r>
          </w:p>
        </w:tc>
        <w:tc>
          <w:tcPr>
            <w:tcW w:w="1771" w:type="dxa"/>
          </w:tcPr>
          <w:p w:rsidR="004D5CFB" w:rsidRPr="00921D1C" w:rsidRDefault="004D5CFB" w:rsidP="004D5CFB">
            <w:pPr>
              <w:spacing w:before="60" w:after="60"/>
              <w:rPr>
                <w:rFonts w:cs="Arial"/>
                <w:sz w:val="18"/>
                <w:szCs w:val="18"/>
              </w:rPr>
            </w:pPr>
            <w:r>
              <w:rPr>
                <w:rFonts w:cs="Arial"/>
                <w:sz w:val="18"/>
                <w:szCs w:val="18"/>
              </w:rPr>
              <w:t>1.5</w:t>
            </w:r>
          </w:p>
        </w:tc>
        <w:tc>
          <w:tcPr>
            <w:tcW w:w="1771" w:type="dxa"/>
            <w:vAlign w:val="center"/>
          </w:tcPr>
          <w:p w:rsidR="004D5CFB" w:rsidRPr="00921D1C" w:rsidRDefault="004D5CFB" w:rsidP="004D5CFB">
            <w:pPr>
              <w:spacing w:before="60" w:after="60"/>
              <w:rPr>
                <w:rFonts w:cs="Arial"/>
                <w:sz w:val="18"/>
                <w:szCs w:val="18"/>
              </w:rPr>
            </w:pPr>
            <w:r>
              <w:rPr>
                <w:rFonts w:cs="Arial"/>
                <w:color w:val="000000"/>
                <w:sz w:val="18"/>
                <w:szCs w:val="18"/>
              </w:rPr>
              <w:t>35.4</w:t>
            </w:r>
          </w:p>
        </w:tc>
        <w:tc>
          <w:tcPr>
            <w:tcW w:w="1772" w:type="dxa"/>
          </w:tcPr>
          <w:p w:rsidR="004D5CFB" w:rsidRPr="00921D1C" w:rsidRDefault="004D5CFB" w:rsidP="004D5CFB">
            <w:pPr>
              <w:spacing w:before="60" w:after="60"/>
              <w:rPr>
                <w:rFonts w:cs="Arial"/>
                <w:sz w:val="18"/>
                <w:szCs w:val="18"/>
              </w:rPr>
            </w:pPr>
            <w:r w:rsidRPr="00921D1C">
              <w:rPr>
                <w:rFonts w:cs="Arial"/>
                <w:sz w:val="18"/>
                <w:szCs w:val="18"/>
              </w:rPr>
              <w:t>0.00385</w:t>
            </w:r>
          </w:p>
        </w:tc>
      </w:tr>
      <w:tr w:rsidR="004D5CFB" w:rsidRPr="00921D1C" w:rsidTr="004D5CFB">
        <w:trPr>
          <w:trHeight w:val="374"/>
        </w:trPr>
        <w:tc>
          <w:tcPr>
            <w:tcW w:w="1771" w:type="dxa"/>
          </w:tcPr>
          <w:p w:rsidR="004D5CFB" w:rsidRPr="00921D1C" w:rsidRDefault="004D5CFB" w:rsidP="004D5CFB">
            <w:pPr>
              <w:spacing w:before="60" w:after="60"/>
              <w:rPr>
                <w:rFonts w:cs="Arial"/>
                <w:sz w:val="18"/>
                <w:szCs w:val="18"/>
              </w:rPr>
            </w:pPr>
            <w:r w:rsidRPr="00921D1C">
              <w:rPr>
                <w:rFonts w:cs="Arial"/>
                <w:sz w:val="18"/>
                <w:szCs w:val="18"/>
              </w:rPr>
              <w:t>26</w:t>
            </w:r>
          </w:p>
        </w:tc>
        <w:tc>
          <w:tcPr>
            <w:tcW w:w="1771" w:type="dxa"/>
          </w:tcPr>
          <w:p w:rsidR="004D5CFB" w:rsidRPr="00921D1C" w:rsidRDefault="004D5CFB" w:rsidP="004D5CFB">
            <w:pPr>
              <w:spacing w:before="60" w:after="60"/>
              <w:rPr>
                <w:rFonts w:cs="Arial"/>
                <w:sz w:val="18"/>
                <w:szCs w:val="18"/>
              </w:rPr>
            </w:pPr>
            <w:r w:rsidRPr="00921D1C">
              <w:rPr>
                <w:rFonts w:cs="Arial"/>
                <w:sz w:val="18"/>
                <w:szCs w:val="18"/>
              </w:rPr>
              <w:t>100</w:t>
            </w:r>
          </w:p>
        </w:tc>
        <w:tc>
          <w:tcPr>
            <w:tcW w:w="1771" w:type="dxa"/>
          </w:tcPr>
          <w:p w:rsidR="004D5CFB" w:rsidRPr="00921D1C" w:rsidRDefault="004D5CFB" w:rsidP="004D5CFB">
            <w:pPr>
              <w:spacing w:before="60" w:after="60"/>
              <w:rPr>
                <w:rFonts w:cs="Arial"/>
                <w:sz w:val="18"/>
                <w:szCs w:val="18"/>
              </w:rPr>
            </w:pPr>
            <w:r>
              <w:rPr>
                <w:rFonts w:cs="Arial"/>
                <w:sz w:val="18"/>
                <w:szCs w:val="18"/>
              </w:rPr>
              <w:t>1</w:t>
            </w:r>
            <w:r w:rsidRPr="00921D1C">
              <w:rPr>
                <w:rFonts w:cs="Arial"/>
                <w:sz w:val="18"/>
                <w:szCs w:val="18"/>
              </w:rPr>
              <w:t>.5</w:t>
            </w:r>
          </w:p>
        </w:tc>
        <w:tc>
          <w:tcPr>
            <w:tcW w:w="1771" w:type="dxa"/>
            <w:vAlign w:val="center"/>
          </w:tcPr>
          <w:p w:rsidR="004D5CFB" w:rsidRPr="00921D1C" w:rsidRDefault="004D5CFB" w:rsidP="004D5CFB">
            <w:pPr>
              <w:spacing w:before="60" w:after="60"/>
              <w:rPr>
                <w:rFonts w:cs="Arial"/>
                <w:sz w:val="18"/>
                <w:szCs w:val="18"/>
              </w:rPr>
            </w:pPr>
            <w:r>
              <w:rPr>
                <w:rFonts w:cs="Arial"/>
                <w:color w:val="000000"/>
                <w:sz w:val="18"/>
                <w:szCs w:val="18"/>
              </w:rPr>
              <w:t>34.0</w:t>
            </w:r>
          </w:p>
        </w:tc>
        <w:tc>
          <w:tcPr>
            <w:tcW w:w="1772" w:type="dxa"/>
          </w:tcPr>
          <w:p w:rsidR="004D5CFB" w:rsidRPr="00921D1C" w:rsidRDefault="004D5CFB" w:rsidP="004D5CFB">
            <w:pPr>
              <w:spacing w:before="60" w:after="60"/>
              <w:rPr>
                <w:rFonts w:cs="Arial"/>
                <w:sz w:val="18"/>
                <w:szCs w:val="18"/>
              </w:rPr>
            </w:pPr>
            <w:r w:rsidRPr="00921D1C">
              <w:rPr>
                <w:rFonts w:cs="Arial"/>
                <w:sz w:val="18"/>
                <w:szCs w:val="18"/>
              </w:rPr>
              <w:t>0.0037</w:t>
            </w:r>
            <w:r>
              <w:rPr>
                <w:rFonts w:cs="Arial"/>
                <w:sz w:val="18"/>
                <w:szCs w:val="18"/>
              </w:rPr>
              <w:t>0</w:t>
            </w:r>
          </w:p>
        </w:tc>
      </w:tr>
    </w:tbl>
    <w:p w:rsidR="004D5CFB" w:rsidRPr="00A66FD2" w:rsidRDefault="004D5CFB" w:rsidP="004D5CFB"/>
    <w:p w:rsidR="004D5CFB" w:rsidRDefault="004D5CFB" w:rsidP="004D5CFB">
      <w:pPr>
        <w:pStyle w:val="Heading3"/>
      </w:pPr>
      <w:r>
        <w:t>Measure Life</w:t>
      </w:r>
    </w:p>
    <w:p w:rsidR="004D5CFB" w:rsidRPr="00202D48" w:rsidRDefault="004D5CFB" w:rsidP="004D5CFB">
      <w:pPr>
        <w:spacing w:before="120"/>
        <w:jc w:val="both"/>
        <w:rPr>
          <w:rFonts w:cs="Arial"/>
          <w:color w:val="000000"/>
        </w:rPr>
      </w:pPr>
      <w:r>
        <w:rPr>
          <w:rFonts w:cs="Arial"/>
          <w:color w:val="000000"/>
        </w:rPr>
        <w:t xml:space="preserve">The assumed measure life for a compact fluorescent light bulb is 7,000 hours or 12.8 years for this measure. </w:t>
      </w:r>
    </w:p>
    <w:p w:rsidR="004D5CFB" w:rsidRDefault="004D5CFB" w:rsidP="004D5CFB">
      <w:pPr>
        <w:pStyle w:val="Heading3"/>
      </w:pPr>
      <w:r>
        <w:t>Evaluation Protocol</w:t>
      </w:r>
    </w:p>
    <w:p w:rsidR="004D5CFB" w:rsidRPr="00202D48" w:rsidRDefault="004D5CFB" w:rsidP="004D5CFB">
      <w:pPr>
        <w:spacing w:before="120"/>
        <w:jc w:val="both"/>
        <w:rPr>
          <w:rFonts w:cs="Arial"/>
          <w:color w:val="000000"/>
        </w:rPr>
      </w:pPr>
      <w:r w:rsidRPr="00202D48">
        <w:rPr>
          <w:rFonts w:cs="Arial"/>
          <w:color w:val="000000"/>
        </w:rPr>
        <w:t>The most appropriate evaluation protocol for this measure is verification of installation coupled with assignment of stipulated energy savings.</w:t>
      </w:r>
    </w:p>
    <w:p w:rsidR="004D5CFB" w:rsidRPr="001C4AD5" w:rsidRDefault="004D5CFB" w:rsidP="004D5CFB">
      <w:pPr>
        <w:pStyle w:val="Heading2"/>
      </w:pPr>
      <w:r>
        <w:br w:type="page"/>
      </w:r>
      <w:bookmarkStart w:id="486" w:name="_Toc310875435"/>
      <w:r>
        <w:lastRenderedPageBreak/>
        <w:t>Water Heater Tank Wrap</w:t>
      </w:r>
      <w:bookmarkEnd w:id="486"/>
      <w: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1"/>
        <w:gridCol w:w="5255"/>
      </w:tblGrid>
      <w:tr w:rsidR="004D5CFB" w:rsidRPr="006E0899" w:rsidTr="004D5CFB">
        <w:trPr>
          <w:jc w:val="center"/>
        </w:trPr>
        <w:tc>
          <w:tcPr>
            <w:tcW w:w="2033" w:type="pct"/>
            <w:shd w:val="clear" w:color="auto" w:fill="BFBFBF"/>
            <w:vAlign w:val="center"/>
          </w:tcPr>
          <w:p w:rsidR="004D5CFB" w:rsidRPr="001D6512" w:rsidRDefault="004D5CFB" w:rsidP="004D5CFB">
            <w:pPr>
              <w:pStyle w:val="TableCell"/>
              <w:spacing w:before="60" w:after="60"/>
              <w:rPr>
                <w:b/>
              </w:rPr>
            </w:pPr>
            <w:r w:rsidRPr="001D6512">
              <w:rPr>
                <w:b/>
              </w:rPr>
              <w:t>Measure Name</w:t>
            </w:r>
          </w:p>
        </w:tc>
        <w:tc>
          <w:tcPr>
            <w:tcW w:w="2967" w:type="pct"/>
            <w:shd w:val="clear" w:color="auto" w:fill="BFBFBF"/>
            <w:vAlign w:val="center"/>
          </w:tcPr>
          <w:p w:rsidR="004D5CFB" w:rsidRPr="001D6512" w:rsidRDefault="004D5CFB" w:rsidP="004D5CFB">
            <w:pPr>
              <w:pStyle w:val="TableCell"/>
              <w:spacing w:before="60" w:after="60"/>
              <w:rPr>
                <w:b/>
              </w:rPr>
            </w:pPr>
            <w:r w:rsidRPr="001D6512">
              <w:rPr>
                <w:b/>
              </w:rPr>
              <w:t>Water Heater Tank Wrap</w:t>
            </w:r>
          </w:p>
        </w:tc>
      </w:tr>
      <w:tr w:rsidR="004D5CFB" w:rsidRPr="006E0899" w:rsidTr="004D5CFB">
        <w:trPr>
          <w:jc w:val="center"/>
        </w:trPr>
        <w:tc>
          <w:tcPr>
            <w:tcW w:w="2033" w:type="pct"/>
            <w:shd w:val="clear" w:color="auto" w:fill="auto"/>
            <w:vAlign w:val="center"/>
          </w:tcPr>
          <w:p w:rsidR="004D5CFB" w:rsidRPr="001D6512" w:rsidRDefault="004D5CFB" w:rsidP="004D5CFB">
            <w:pPr>
              <w:pStyle w:val="TableCell"/>
              <w:spacing w:before="60" w:after="60"/>
            </w:pPr>
            <w:r w:rsidRPr="001D6512">
              <w:t>Target Sector</w:t>
            </w:r>
          </w:p>
        </w:tc>
        <w:tc>
          <w:tcPr>
            <w:tcW w:w="2967" w:type="pct"/>
            <w:shd w:val="clear" w:color="auto" w:fill="auto"/>
            <w:vAlign w:val="center"/>
          </w:tcPr>
          <w:p w:rsidR="004D5CFB" w:rsidRPr="001D6512" w:rsidRDefault="004D5CFB" w:rsidP="004D5CFB">
            <w:pPr>
              <w:pStyle w:val="TableCell"/>
              <w:spacing w:before="60" w:after="60"/>
            </w:pPr>
            <w:r w:rsidRPr="001D6512">
              <w:t xml:space="preserve">Residential </w:t>
            </w:r>
          </w:p>
        </w:tc>
      </w:tr>
      <w:tr w:rsidR="004D5CFB" w:rsidRPr="006E0899" w:rsidTr="004D5CFB">
        <w:trPr>
          <w:jc w:val="center"/>
        </w:trPr>
        <w:tc>
          <w:tcPr>
            <w:tcW w:w="2033" w:type="pct"/>
            <w:shd w:val="clear" w:color="auto" w:fill="auto"/>
            <w:vAlign w:val="center"/>
          </w:tcPr>
          <w:p w:rsidR="004D5CFB" w:rsidRPr="001D6512" w:rsidRDefault="004D5CFB" w:rsidP="004D5CFB">
            <w:pPr>
              <w:pStyle w:val="TableCell"/>
              <w:spacing w:before="60" w:after="60"/>
            </w:pPr>
            <w:r w:rsidRPr="001D6512">
              <w:t>Measure Unit</w:t>
            </w:r>
          </w:p>
        </w:tc>
        <w:tc>
          <w:tcPr>
            <w:tcW w:w="2967" w:type="pct"/>
            <w:shd w:val="clear" w:color="auto" w:fill="auto"/>
            <w:vAlign w:val="center"/>
          </w:tcPr>
          <w:p w:rsidR="004D5CFB" w:rsidRPr="001D6512" w:rsidRDefault="004D5CFB" w:rsidP="004D5CFB">
            <w:pPr>
              <w:pStyle w:val="TableCell"/>
              <w:spacing w:before="60" w:after="60"/>
            </w:pPr>
            <w:r w:rsidRPr="001D6512">
              <w:t>Tank</w:t>
            </w:r>
          </w:p>
        </w:tc>
      </w:tr>
      <w:tr w:rsidR="004D5CFB" w:rsidRPr="006E0899" w:rsidTr="004D5CFB">
        <w:trPr>
          <w:jc w:val="center"/>
        </w:trPr>
        <w:tc>
          <w:tcPr>
            <w:tcW w:w="2033" w:type="pct"/>
            <w:shd w:val="clear" w:color="auto" w:fill="auto"/>
            <w:vAlign w:val="center"/>
          </w:tcPr>
          <w:p w:rsidR="004D5CFB" w:rsidRPr="001D6512" w:rsidRDefault="004D5CFB" w:rsidP="004D5CFB">
            <w:pPr>
              <w:pStyle w:val="TableCell"/>
              <w:spacing w:before="60" w:after="60"/>
            </w:pPr>
            <w:r w:rsidRPr="001D6512">
              <w:t>Unit Energy Savings</w:t>
            </w:r>
          </w:p>
        </w:tc>
        <w:tc>
          <w:tcPr>
            <w:tcW w:w="2967" w:type="pct"/>
            <w:shd w:val="clear" w:color="auto" w:fill="auto"/>
            <w:vAlign w:val="center"/>
          </w:tcPr>
          <w:p w:rsidR="004D5CFB" w:rsidRPr="001D6512" w:rsidRDefault="004D5CFB" w:rsidP="004D5CFB">
            <w:pPr>
              <w:pStyle w:val="TableCell"/>
              <w:spacing w:before="60" w:after="60"/>
            </w:pPr>
            <w:r w:rsidRPr="001D6512">
              <w:t>Varies</w:t>
            </w:r>
          </w:p>
        </w:tc>
      </w:tr>
      <w:tr w:rsidR="004D5CFB" w:rsidRPr="006E0899" w:rsidTr="004D5CFB">
        <w:trPr>
          <w:jc w:val="center"/>
        </w:trPr>
        <w:tc>
          <w:tcPr>
            <w:tcW w:w="2033" w:type="pct"/>
            <w:shd w:val="clear" w:color="auto" w:fill="auto"/>
            <w:vAlign w:val="center"/>
          </w:tcPr>
          <w:p w:rsidR="004D5CFB" w:rsidRPr="001D6512" w:rsidRDefault="004D5CFB" w:rsidP="004D5CFB">
            <w:pPr>
              <w:pStyle w:val="TableCell"/>
              <w:spacing w:before="60" w:after="60"/>
            </w:pPr>
            <w:r w:rsidRPr="001D6512">
              <w:t>Unit Peak Demand Reduction</w:t>
            </w:r>
          </w:p>
        </w:tc>
        <w:tc>
          <w:tcPr>
            <w:tcW w:w="2967" w:type="pct"/>
            <w:shd w:val="clear" w:color="auto" w:fill="auto"/>
            <w:vAlign w:val="center"/>
          </w:tcPr>
          <w:p w:rsidR="004D5CFB" w:rsidRPr="001D6512" w:rsidRDefault="004D5CFB" w:rsidP="004D5CFB">
            <w:pPr>
              <w:pStyle w:val="TableCell"/>
              <w:spacing w:before="60" w:after="60"/>
            </w:pPr>
            <w:r w:rsidRPr="001D6512">
              <w:t>Varies</w:t>
            </w:r>
          </w:p>
        </w:tc>
      </w:tr>
      <w:tr w:rsidR="004D5CFB" w:rsidRPr="006E0899" w:rsidTr="004D5CFB">
        <w:trPr>
          <w:jc w:val="center"/>
        </w:trPr>
        <w:tc>
          <w:tcPr>
            <w:tcW w:w="2033" w:type="pct"/>
            <w:shd w:val="clear" w:color="auto" w:fill="auto"/>
            <w:vAlign w:val="center"/>
          </w:tcPr>
          <w:p w:rsidR="004D5CFB" w:rsidRPr="001D6512" w:rsidRDefault="004D5CFB" w:rsidP="004D5CFB">
            <w:pPr>
              <w:pStyle w:val="TableCell"/>
              <w:spacing w:before="60" w:after="60"/>
            </w:pPr>
            <w:r w:rsidRPr="001D6512">
              <w:t>Measure Life</w:t>
            </w:r>
          </w:p>
        </w:tc>
        <w:tc>
          <w:tcPr>
            <w:tcW w:w="2967" w:type="pct"/>
            <w:shd w:val="clear" w:color="auto" w:fill="auto"/>
            <w:vAlign w:val="center"/>
          </w:tcPr>
          <w:p w:rsidR="004D5CFB" w:rsidRPr="001D6512" w:rsidRDefault="004D5CFB" w:rsidP="004D5CFB">
            <w:pPr>
              <w:pStyle w:val="TableCell"/>
              <w:spacing w:before="60" w:after="60"/>
            </w:pPr>
            <w:r w:rsidRPr="001D6512">
              <w:t>7 years</w:t>
            </w:r>
          </w:p>
        </w:tc>
      </w:tr>
    </w:tbl>
    <w:p w:rsidR="004D5CFB" w:rsidRDefault="004D5CFB" w:rsidP="004D5CFB"/>
    <w:p w:rsidR="004D5CFB" w:rsidRDefault="004D5CFB" w:rsidP="004D5CFB">
      <w:r>
        <w:t xml:space="preserve">This measure applies to the installation of an insulated tank wrap or “blanket” to existing residential electric hot water heaters. </w:t>
      </w:r>
    </w:p>
    <w:p w:rsidR="004D5CFB" w:rsidRDefault="004D5CFB" w:rsidP="004D5CFB">
      <w:r>
        <w:t>The base case for this measure is a standard residential, tank-style, electric water heater with no external insulation wrap.</w:t>
      </w:r>
    </w:p>
    <w:p w:rsidR="004D5CFB" w:rsidRDefault="004D5CFB" w:rsidP="004D5CFB">
      <w:pPr>
        <w:pStyle w:val="Heading3"/>
      </w:pPr>
      <w:r w:rsidRPr="001C4AD5">
        <w:t>Algorithms</w:t>
      </w:r>
    </w:p>
    <w:p w:rsidR="004D5CFB" w:rsidRDefault="004D5CFB" w:rsidP="004D5CFB">
      <w:r>
        <w:t xml:space="preserve">The annual energy savings for this measure are assumed to be dependent upon decreases in the overall heat transfer coefficient that are achieved by increasing the total R-value of the tank insulation. </w:t>
      </w:r>
    </w:p>
    <w:p w:rsidR="004D5CFB" w:rsidRPr="008402FB" w:rsidRDefault="004D5CFB" w:rsidP="004D5CFB">
      <w:pPr>
        <w:pStyle w:val="Equation"/>
        <w:rPr>
          <w:sz w:val="22"/>
          <w:szCs w:val="22"/>
        </w:rPr>
      </w:pPr>
      <w:r w:rsidRPr="008402FB">
        <w:rPr>
          <w:rFonts w:cs="Arial"/>
          <w:szCs w:val="20"/>
        </w:rPr>
        <w:t>Δ</w:t>
      </w:r>
      <w:r w:rsidRPr="008402FB">
        <w:rPr>
          <w:szCs w:val="20"/>
        </w:rPr>
        <w:t>kWh</w:t>
      </w:r>
      <w:r w:rsidRPr="008402FB">
        <w:rPr>
          <w:szCs w:val="20"/>
        </w:rPr>
        <w:tab/>
      </w:r>
      <w:r>
        <w:tab/>
      </w:r>
      <w:r w:rsidR="007A1FB6" w:rsidRPr="004D5CFB">
        <w:rPr>
          <w:i w:val="0"/>
          <w:sz w:val="22"/>
          <w:szCs w:val="22"/>
        </w:rPr>
        <w:fldChar w:fldCharType="begin"/>
      </w:r>
      <w:r w:rsidRPr="004D5CFB">
        <w:rPr>
          <w:i w:val="0"/>
          <w:sz w:val="22"/>
          <w:szCs w:val="22"/>
        </w:rPr>
        <w:instrText xml:space="preserve"> QUOTE </w:instrText>
      </w:r>
      <m:oMath>
        <m:r>
          <w:rPr>
            <w:rFonts w:ascii="Cambria Math" w:hAnsi="Cambria Math"/>
            <w:sz w:val="22"/>
            <w:szCs w:val="22"/>
          </w:rPr>
          <m:t xml:space="preserve">= </m:t>
        </m:r>
        <m:f>
          <m:fPr>
            <m:ctrlPr>
              <w:rPr>
                <w:rFonts w:ascii="Cambria Math" w:hAnsi="Cambria Math"/>
                <w:sz w:val="22"/>
                <w:szCs w:val="22"/>
              </w:rPr>
            </m:ctrlPr>
          </m:fPr>
          <m:num>
            <m:d>
              <m:dPr>
                <m:ctrlPr>
                  <w:rPr>
                    <w:rFonts w:ascii="Cambria Math" w:hAnsi="Cambria Math"/>
                    <w:sz w:val="22"/>
                    <w:szCs w:val="22"/>
                  </w:rPr>
                </m:ctrlPr>
              </m:dPr>
              <m:e>
                <m:sSub>
                  <m:sSubPr>
                    <m:ctrlPr>
                      <w:rPr>
                        <w:rFonts w:ascii="Cambria Math" w:hAnsi="Cambria Math"/>
                        <w:sz w:val="22"/>
                        <w:szCs w:val="22"/>
                      </w:rPr>
                    </m:ctrlPr>
                  </m:sSubPr>
                  <m:e>
                    <m:r>
                      <w:rPr>
                        <w:rFonts w:ascii="Cambria Math" w:hAnsi="Cambria Math"/>
                        <w:sz w:val="22"/>
                        <w:szCs w:val="22"/>
                      </w:rPr>
                      <m:t>U</m:t>
                    </m:r>
                  </m:e>
                  <m:sub>
                    <m:r>
                      <w:rPr>
                        <w:rFonts w:ascii="Cambria Math" w:hAnsi="Cambria Math"/>
                        <w:sz w:val="22"/>
                        <w:szCs w:val="22"/>
                      </w:rPr>
                      <m:t>base</m:t>
                    </m:r>
                  </m:sub>
                </m:sSub>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base</m:t>
                    </m:r>
                  </m:sub>
                </m:sSub>
                <m: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U</m:t>
                    </m:r>
                  </m:e>
                  <m:sub>
                    <m:r>
                      <w:rPr>
                        <w:rFonts w:ascii="Cambria Math" w:hAnsi="Cambria Math"/>
                        <w:sz w:val="22"/>
                        <w:szCs w:val="22"/>
                      </w:rPr>
                      <m:t>insul</m:t>
                    </m:r>
                  </m:sub>
                </m:sSub>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insul</m:t>
                    </m:r>
                  </m:sub>
                </m:sSub>
              </m:e>
            </m:d>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setpoint</m:t>
                </m:r>
              </m:sub>
            </m:sSub>
            <m: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ambient</m:t>
                </m:r>
              </m:sub>
            </m:sSub>
            <m:r>
              <w:rPr>
                <w:rFonts w:ascii="Cambria Math" w:hAnsi="Cambria Math"/>
                <w:sz w:val="22"/>
                <w:szCs w:val="22"/>
              </w:rPr>
              <m:t>)</m:t>
            </m:r>
          </m:num>
          <m:den>
            <m:r>
              <w:rPr>
                <w:rFonts w:ascii="Cambria Math" w:hAnsi="Cambria Math"/>
                <w:sz w:val="22"/>
                <w:szCs w:val="22"/>
              </w:rPr>
              <m:t xml:space="preserve">3412 × </m:t>
            </m:r>
            <m:sSub>
              <m:sSubPr>
                <m:ctrlPr>
                  <w:rPr>
                    <w:rFonts w:ascii="Cambria Math" w:hAnsi="Cambria Math"/>
                    <w:sz w:val="22"/>
                    <w:szCs w:val="22"/>
                  </w:rPr>
                </m:ctrlPr>
              </m:sSubPr>
              <m:e>
                <m:r>
                  <w:rPr>
                    <w:rFonts w:ascii="Cambria Math" w:hAnsi="Cambria Math"/>
                    <w:sz w:val="22"/>
                    <w:szCs w:val="22"/>
                  </w:rPr>
                  <m:t>η</m:t>
                </m:r>
              </m:e>
              <m:sub>
                <m:r>
                  <w:rPr>
                    <w:rFonts w:ascii="Cambria Math" w:hAnsi="Cambria Math"/>
                    <w:sz w:val="22"/>
                    <w:szCs w:val="22"/>
                  </w:rPr>
                  <m:t>Elec</m:t>
                </m:r>
              </m:sub>
            </m:sSub>
          </m:den>
        </m:f>
        <m:r>
          <w:rPr>
            <w:rFonts w:ascii="Cambria Math" w:hAnsi="Cambria Math"/>
            <w:sz w:val="22"/>
            <w:szCs w:val="22"/>
          </w:rPr>
          <m:t xml:space="preserve">  ×HOU</m:t>
        </m:r>
      </m:oMath>
      <w:r w:rsidRPr="004D5CFB">
        <w:rPr>
          <w:i w:val="0"/>
          <w:sz w:val="22"/>
          <w:szCs w:val="22"/>
        </w:rPr>
        <w:instrText xml:space="preserve"> </w:instrText>
      </w:r>
      <w:r w:rsidR="007A1FB6" w:rsidRPr="004D5CFB">
        <w:rPr>
          <w:i w:val="0"/>
          <w:sz w:val="22"/>
          <w:szCs w:val="22"/>
        </w:rPr>
        <w:fldChar w:fldCharType="separate"/>
      </w:r>
      <m:oMath>
        <m:r>
          <w:rPr>
            <w:rFonts w:ascii="Cambria Math" w:hAnsi="Cambria Math"/>
            <w:sz w:val="22"/>
            <w:szCs w:val="22"/>
          </w:rPr>
          <m:t>=</m:t>
        </m:r>
        <m:f>
          <m:fPr>
            <m:ctrlPr>
              <w:rPr>
                <w:rFonts w:ascii="Cambria Math" w:hAnsi="Cambria Math"/>
                <w:sz w:val="22"/>
                <w:szCs w:val="22"/>
              </w:rPr>
            </m:ctrlPr>
          </m:fPr>
          <m:num>
            <m:d>
              <m:dPr>
                <m:ctrlPr>
                  <w:rPr>
                    <w:rFonts w:ascii="Cambria Math" w:hAnsi="Cambria Math"/>
                    <w:sz w:val="22"/>
                    <w:szCs w:val="22"/>
                  </w:rPr>
                </m:ctrlPr>
              </m:dPr>
              <m:e>
                <m:sSub>
                  <m:sSubPr>
                    <m:ctrlPr>
                      <w:rPr>
                        <w:rFonts w:ascii="Cambria Math" w:hAnsi="Cambria Math"/>
                        <w:sz w:val="22"/>
                        <w:szCs w:val="22"/>
                      </w:rPr>
                    </m:ctrlPr>
                  </m:sSubPr>
                  <m:e>
                    <m:r>
                      <w:rPr>
                        <w:rFonts w:ascii="Cambria Math" w:hAnsi="Cambria Math"/>
                        <w:sz w:val="22"/>
                        <w:szCs w:val="22"/>
                      </w:rPr>
                      <m:t>U</m:t>
                    </m:r>
                  </m:e>
                  <m:sub>
                    <m:r>
                      <w:rPr>
                        <w:rFonts w:ascii="Cambria Math" w:hAnsi="Cambria Math"/>
                        <w:sz w:val="22"/>
                        <w:szCs w:val="22"/>
                      </w:rPr>
                      <m:t>base</m:t>
                    </m:r>
                  </m:sub>
                </m:sSub>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base</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U</m:t>
                    </m:r>
                  </m:e>
                  <m:sub>
                    <m:r>
                      <w:rPr>
                        <w:rFonts w:ascii="Cambria Math" w:hAnsi="Cambria Math"/>
                        <w:sz w:val="22"/>
                        <w:szCs w:val="22"/>
                      </w:rPr>
                      <m:t>insul</m:t>
                    </m:r>
                  </m:sub>
                </m:sSub>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insul</m:t>
                    </m:r>
                  </m:sub>
                </m:sSub>
              </m:e>
            </m:d>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setpoint</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ambient</m:t>
                </m:r>
              </m:sub>
            </m:sSub>
            <m:r>
              <w:rPr>
                <w:rFonts w:ascii="Cambria Math" w:hAnsi="Cambria Math"/>
                <w:sz w:val="22"/>
                <w:szCs w:val="22"/>
              </w:rPr>
              <m:t>)</m:t>
            </m:r>
          </m:num>
          <m:den>
            <m:r>
              <w:rPr>
                <w:rFonts w:ascii="Cambria Math" w:hAnsi="Cambria Math"/>
                <w:sz w:val="22"/>
                <w:szCs w:val="22"/>
              </w:rPr>
              <m:t>3412×</m:t>
            </m:r>
            <m:sSub>
              <m:sSubPr>
                <m:ctrlPr>
                  <w:rPr>
                    <w:rFonts w:ascii="Cambria Math" w:hAnsi="Cambria Math"/>
                    <w:sz w:val="22"/>
                    <w:szCs w:val="22"/>
                  </w:rPr>
                </m:ctrlPr>
              </m:sSubPr>
              <m:e>
                <m:r>
                  <w:rPr>
                    <w:rFonts w:ascii="Cambria Math" w:hAnsi="Cambria Math"/>
                    <w:sz w:val="22"/>
                    <w:szCs w:val="22"/>
                  </w:rPr>
                  <m:t>η</m:t>
                </m:r>
              </m:e>
              <m:sub>
                <m:r>
                  <w:rPr>
                    <w:rFonts w:ascii="Cambria Math" w:hAnsi="Cambria Math"/>
                    <w:sz w:val="22"/>
                    <w:szCs w:val="22"/>
                  </w:rPr>
                  <m:t>Elec</m:t>
                </m:r>
              </m:sub>
            </m:sSub>
          </m:den>
        </m:f>
        <m:r>
          <w:rPr>
            <w:rFonts w:ascii="Cambria Math" w:hAnsi="Cambria Math"/>
            <w:sz w:val="22"/>
            <w:szCs w:val="22"/>
          </w:rPr>
          <m:t>×HOU</m:t>
        </m:r>
      </m:oMath>
      <w:r w:rsidR="007A1FB6" w:rsidRPr="004D5CFB">
        <w:rPr>
          <w:i w:val="0"/>
          <w:sz w:val="22"/>
          <w:szCs w:val="22"/>
        </w:rPr>
        <w:fldChar w:fldCharType="end"/>
      </w:r>
    </w:p>
    <w:p w:rsidR="004D5CFB" w:rsidRPr="008402FB" w:rsidRDefault="004D5CFB" w:rsidP="004D5CFB">
      <w:pPr>
        <w:pStyle w:val="Equation"/>
        <w:rPr>
          <w:rFonts w:eastAsia="Times New Roman"/>
          <w:sz w:val="22"/>
          <w:szCs w:val="22"/>
        </w:rPr>
      </w:pPr>
      <w:r w:rsidRPr="008402FB">
        <w:rPr>
          <w:rFonts w:cs="Arial"/>
          <w:szCs w:val="20"/>
        </w:rPr>
        <w:t>Δ</w:t>
      </w:r>
      <w:r w:rsidRPr="008402FB">
        <w:rPr>
          <w:szCs w:val="20"/>
        </w:rPr>
        <w:t>kW</w:t>
      </w:r>
      <w:r w:rsidRPr="008402FB">
        <w:rPr>
          <w:szCs w:val="20"/>
          <w:vertAlign w:val="subscript"/>
        </w:rPr>
        <w:t>peak</w:t>
      </w:r>
      <w:r>
        <w:tab/>
      </w:r>
      <w:r>
        <w:tab/>
      </w:r>
      <w:r w:rsidR="007A1FB6" w:rsidRPr="004D5CFB">
        <w:rPr>
          <w:rFonts w:eastAsia="Times New Roman"/>
          <w:i w:val="0"/>
          <w:sz w:val="22"/>
          <w:szCs w:val="22"/>
        </w:rPr>
        <w:fldChar w:fldCharType="begin"/>
      </w:r>
      <w:r w:rsidRPr="004D5CFB">
        <w:rPr>
          <w:rFonts w:eastAsia="Times New Roman"/>
          <w:i w:val="0"/>
          <w:sz w:val="22"/>
          <w:szCs w:val="22"/>
        </w:rPr>
        <w:instrText xml:space="preserve"> QUOTE </w:instrText>
      </w:r>
      <m:oMath>
        <m:r>
          <w:rPr>
            <w:rFonts w:ascii="Cambria Math" w:eastAsia="Times New Roman" w:hAnsi="Cambria Math"/>
            <w:sz w:val="22"/>
            <w:szCs w:val="22"/>
          </w:rPr>
          <m:t xml:space="preserve">= </m:t>
        </m:r>
        <m:f>
          <m:fPr>
            <m:ctrlPr>
              <w:rPr>
                <w:rFonts w:ascii="Cambria Math" w:eastAsia="Times New Roman" w:hAnsi="Cambria Math"/>
                <w:sz w:val="22"/>
                <w:szCs w:val="22"/>
              </w:rPr>
            </m:ctrlPr>
          </m:fPr>
          <m:num>
            <m:r>
              <w:rPr>
                <w:rFonts w:ascii="Cambria Math" w:eastAsia="Times New Roman" w:hAnsi="Cambria Math"/>
                <w:sz w:val="22"/>
                <w:szCs w:val="22"/>
              </w:rPr>
              <m:t>∆kWh</m:t>
            </m:r>
          </m:num>
          <m:den>
            <m:r>
              <w:rPr>
                <w:rFonts w:ascii="Cambria Math" w:eastAsia="Times New Roman" w:hAnsi="Cambria Math"/>
                <w:sz w:val="22"/>
                <w:szCs w:val="22"/>
              </w:rPr>
              <m:t>HOU</m:t>
            </m:r>
          </m:den>
        </m:f>
        <m:r>
          <w:rPr>
            <w:rFonts w:ascii="Cambria Math" w:eastAsia="Times New Roman" w:hAnsi="Cambria Math"/>
            <w:sz w:val="22"/>
            <w:szCs w:val="22"/>
          </w:rPr>
          <m:t xml:space="preserve"> ×CF</m:t>
        </m:r>
      </m:oMath>
      <w:r w:rsidRPr="004D5CFB">
        <w:rPr>
          <w:rFonts w:eastAsia="Times New Roman"/>
          <w:i w:val="0"/>
          <w:sz w:val="22"/>
          <w:szCs w:val="22"/>
        </w:rPr>
        <w:instrText xml:space="preserve"> </w:instrText>
      </w:r>
      <w:r w:rsidR="007A1FB6" w:rsidRPr="004D5CFB">
        <w:rPr>
          <w:rFonts w:eastAsia="Times New Roman"/>
          <w:i w:val="0"/>
          <w:sz w:val="22"/>
          <w:szCs w:val="22"/>
        </w:rPr>
        <w:fldChar w:fldCharType="separate"/>
      </w:r>
      <m:oMath>
        <m:r>
          <w:rPr>
            <w:rFonts w:ascii="Cambria Math" w:eastAsia="Times New Roman" w:hAnsi="Cambria Math"/>
            <w:sz w:val="22"/>
            <w:szCs w:val="22"/>
          </w:rPr>
          <m:t>=</m:t>
        </m:r>
        <m:f>
          <m:fPr>
            <m:ctrlPr>
              <w:rPr>
                <w:rFonts w:ascii="Cambria Math" w:eastAsia="Times New Roman" w:hAnsi="Cambria Math"/>
                <w:sz w:val="22"/>
                <w:szCs w:val="22"/>
              </w:rPr>
            </m:ctrlPr>
          </m:fPr>
          <m:num>
            <m:r>
              <w:rPr>
                <w:rFonts w:ascii="Cambria Math" w:eastAsia="Times New Roman" w:hAnsi="Cambria Math"/>
                <w:sz w:val="22"/>
                <w:szCs w:val="22"/>
              </w:rPr>
              <m:t>∆kWh</m:t>
            </m:r>
          </m:num>
          <m:den>
            <m:r>
              <w:rPr>
                <w:rFonts w:ascii="Cambria Math" w:eastAsia="Times New Roman" w:hAnsi="Cambria Math"/>
                <w:sz w:val="22"/>
                <w:szCs w:val="22"/>
              </w:rPr>
              <m:t>HOU</m:t>
            </m:r>
          </m:den>
        </m:f>
        <m:r>
          <w:rPr>
            <w:rFonts w:ascii="Cambria Math" w:eastAsia="Times New Roman" w:hAnsi="Cambria Math"/>
            <w:sz w:val="22"/>
            <w:szCs w:val="22"/>
          </w:rPr>
          <m:t>×CF</m:t>
        </m:r>
      </m:oMath>
      <w:r w:rsidR="007A1FB6" w:rsidRPr="004D5CFB">
        <w:rPr>
          <w:rFonts w:eastAsia="Times New Roman"/>
          <w:i w:val="0"/>
          <w:sz w:val="22"/>
          <w:szCs w:val="22"/>
        </w:rPr>
        <w:fldChar w:fldCharType="end"/>
      </w:r>
    </w:p>
    <w:p w:rsidR="004D5CFB" w:rsidRDefault="004D5CFB" w:rsidP="004D5CFB">
      <w:pPr>
        <w:pStyle w:val="Heading3"/>
      </w:pPr>
      <w:r w:rsidRPr="001C4AD5">
        <w:t xml:space="preserve">Definition of </w:t>
      </w:r>
      <w:r>
        <w:t xml:space="preserve">Terms  </w:t>
      </w:r>
    </w:p>
    <w:p w:rsidR="004D5CFB" w:rsidRDefault="004D5CFB" w:rsidP="004D5CFB">
      <w:pPr>
        <w:pStyle w:val="Equation"/>
      </w:pPr>
      <w:r>
        <w:tab/>
        <w:t>U</w:t>
      </w:r>
      <w:r>
        <w:rPr>
          <w:vertAlign w:val="subscript"/>
        </w:rPr>
        <w:t>base</w:t>
      </w:r>
      <w:r>
        <w:t xml:space="preserve"> </w:t>
      </w:r>
      <w:r>
        <w:tab/>
        <w:t>= Overall heat transfer coefficient of water heater prior to adding tank wrap (Btu/Hr-F-ft</w:t>
      </w:r>
      <w:r>
        <w:rPr>
          <w:vertAlign w:val="subscript"/>
        </w:rPr>
        <w:softHyphen/>
      </w:r>
      <w:r>
        <w:rPr>
          <w:vertAlign w:val="subscript"/>
        </w:rPr>
        <w:softHyphen/>
      </w:r>
      <w:r w:rsidRPr="0048628C">
        <w:rPr>
          <w:vertAlign w:val="superscript"/>
        </w:rPr>
        <w:t>2</w:t>
      </w:r>
      <w:r>
        <w:t>).</w:t>
      </w:r>
    </w:p>
    <w:p w:rsidR="004D5CFB" w:rsidRDefault="004D5CFB" w:rsidP="004D5CFB">
      <w:pPr>
        <w:pStyle w:val="Equation"/>
      </w:pPr>
      <w:r>
        <w:tab/>
        <w:t>U</w:t>
      </w:r>
      <w:r>
        <w:rPr>
          <w:vertAlign w:val="subscript"/>
        </w:rPr>
        <w:t>insul</w:t>
      </w:r>
      <w:r>
        <w:t xml:space="preserve"> </w:t>
      </w:r>
      <w:r>
        <w:tab/>
        <w:t>= Overall heat transfer coefficient of water heater after addition of tank wrap (Btu/Hr-F-ft</w:t>
      </w:r>
      <w:r>
        <w:rPr>
          <w:vertAlign w:val="subscript"/>
        </w:rPr>
        <w:softHyphen/>
      </w:r>
      <w:r>
        <w:rPr>
          <w:vertAlign w:val="subscript"/>
        </w:rPr>
        <w:softHyphen/>
      </w:r>
      <w:r w:rsidRPr="0048628C">
        <w:rPr>
          <w:vertAlign w:val="superscript"/>
        </w:rPr>
        <w:t>2</w:t>
      </w:r>
      <w:r>
        <w:t>).</w:t>
      </w:r>
    </w:p>
    <w:p w:rsidR="004D5CFB" w:rsidRDefault="004D5CFB" w:rsidP="004D5CFB">
      <w:pPr>
        <w:pStyle w:val="Equation"/>
      </w:pPr>
      <w:r>
        <w:tab/>
        <w:t>A</w:t>
      </w:r>
      <w:r w:rsidRPr="00964B03">
        <w:rPr>
          <w:vertAlign w:val="subscript"/>
        </w:rPr>
        <w:t>base</w:t>
      </w:r>
      <w:r>
        <w:t xml:space="preserve"> </w:t>
      </w:r>
      <w:r>
        <w:tab/>
        <w:t>= Surface area of storage tank prior to adding tank wrap (square feet)</w:t>
      </w:r>
      <w:r>
        <w:rPr>
          <w:rStyle w:val="FootnoteReference"/>
        </w:rPr>
        <w:footnoteReference w:id="117"/>
      </w:r>
    </w:p>
    <w:p w:rsidR="004D5CFB" w:rsidRDefault="004D5CFB" w:rsidP="004D5CFB">
      <w:pPr>
        <w:pStyle w:val="Equation"/>
        <w:rPr>
          <w:rFonts w:eastAsia="Times New Roman"/>
        </w:rPr>
      </w:pPr>
      <w:r>
        <w:rPr>
          <w:rFonts w:eastAsia="Times New Roman"/>
        </w:rPr>
        <w:tab/>
        <w:t>A</w:t>
      </w:r>
      <w:r>
        <w:rPr>
          <w:rFonts w:eastAsia="Times New Roman"/>
          <w:vertAlign w:val="subscript"/>
        </w:rPr>
        <w:t>insul</w:t>
      </w:r>
      <w:r>
        <w:rPr>
          <w:rFonts w:eastAsia="Times New Roman"/>
        </w:rPr>
        <w:t xml:space="preserve"> </w:t>
      </w:r>
      <w:r>
        <w:rPr>
          <w:rFonts w:eastAsia="Times New Roman"/>
        </w:rPr>
        <w:tab/>
        <w:t xml:space="preserve">= Surface area of storage tank after addition of tank wrap </w:t>
      </w:r>
      <w:r>
        <w:t>(square feet)</w:t>
      </w:r>
      <w:r>
        <w:rPr>
          <w:rStyle w:val="FootnoteReference"/>
        </w:rPr>
        <w:footnoteReference w:id="118"/>
      </w:r>
      <w:r>
        <w:rPr>
          <w:rFonts w:eastAsia="Times New Roman"/>
        </w:rPr>
        <w:t>.</w:t>
      </w:r>
    </w:p>
    <w:p w:rsidR="004D5CFB" w:rsidRDefault="004D5CFB" w:rsidP="004D5CFB">
      <w:pPr>
        <w:pStyle w:val="Equation"/>
      </w:pPr>
      <w:r>
        <w:rPr>
          <w:rFonts w:eastAsia="Times New Roman"/>
        </w:rPr>
        <w:tab/>
      </w:r>
      <w:r w:rsidR="007A1FB6" w:rsidRPr="004D5CFB">
        <w:rPr>
          <w:i w:val="0"/>
        </w:rPr>
        <w:fldChar w:fldCharType="begin"/>
      </w:r>
      <w:r w:rsidRPr="004D5CFB">
        <w:rPr>
          <w:i w:val="0"/>
        </w:rPr>
        <w:instrText xml:space="preserve"> QUOTE </w:instrText>
      </w:r>
      <m:oMath>
        <m:sSub>
          <m:sSubPr>
            <m:ctrlPr>
              <w:rPr>
                <w:rFonts w:ascii="Cambria Math" w:hAnsi="Cambria Math"/>
              </w:rPr>
            </m:ctrlPr>
          </m:sSubPr>
          <m:e>
            <m:r>
              <w:rPr>
                <w:rFonts w:ascii="Cambria Math" w:hAnsi="Cambria Math"/>
              </w:rPr>
              <m:t>η</m:t>
            </m:r>
          </m:e>
          <m:sub>
            <m:r>
              <w:rPr>
                <w:rFonts w:ascii="Cambria Math" w:hAnsi="Cambria Math"/>
              </w:rPr>
              <m:t>Elec</m:t>
            </m:r>
          </m:sub>
        </m:sSub>
      </m:oMath>
      <w:r w:rsidRPr="004D5CFB">
        <w:rPr>
          <w:i w:val="0"/>
        </w:rPr>
        <w:instrText xml:space="preserve"> </w:instrText>
      </w:r>
      <w:r w:rsidR="007A1FB6" w:rsidRPr="004D5CFB">
        <w:rPr>
          <w:i w:val="0"/>
        </w:rPr>
        <w:fldChar w:fldCharType="separate"/>
      </w:r>
      <m:oMath>
        <m:sSub>
          <m:sSubPr>
            <m:ctrlPr>
              <w:rPr>
                <w:rFonts w:ascii="Cambria Math" w:hAnsi="Cambria Math"/>
              </w:rPr>
            </m:ctrlPr>
          </m:sSubPr>
          <m:e>
            <m:r>
              <w:rPr>
                <w:rFonts w:ascii="Cambria Math" w:hAnsi="Cambria Math"/>
              </w:rPr>
              <m:t>η</m:t>
            </m:r>
          </m:e>
          <m:sub>
            <m:r>
              <w:rPr>
                <w:rFonts w:ascii="Cambria Math" w:hAnsi="Cambria Math"/>
              </w:rPr>
              <m:t>Elec</m:t>
            </m:r>
          </m:sub>
        </m:sSub>
      </m:oMath>
      <w:r w:rsidR="007A1FB6" w:rsidRPr="004D5CFB">
        <w:rPr>
          <w:i w:val="0"/>
        </w:rPr>
        <w:fldChar w:fldCharType="end"/>
      </w:r>
      <w:r>
        <w:t xml:space="preserve"> </w:t>
      </w:r>
      <w:r>
        <w:tab/>
        <w:t>= Thermal efficiency of electric heater element</w:t>
      </w:r>
    </w:p>
    <w:p w:rsidR="004D5CFB" w:rsidRDefault="004D5CFB" w:rsidP="004D5CFB">
      <w:pPr>
        <w:pStyle w:val="Equation"/>
      </w:pPr>
      <w:r>
        <w:tab/>
        <w:t>T</w:t>
      </w:r>
      <w:r>
        <w:rPr>
          <w:vertAlign w:val="subscript"/>
        </w:rPr>
        <w:t>setpoint</w:t>
      </w:r>
      <w:r>
        <w:t xml:space="preserve"> </w:t>
      </w:r>
      <w:r>
        <w:tab/>
        <w:t>= Temperature of hot water in tank (F).</w:t>
      </w:r>
    </w:p>
    <w:p w:rsidR="004D5CFB" w:rsidRDefault="004D5CFB" w:rsidP="004D5CFB">
      <w:pPr>
        <w:pStyle w:val="Equation"/>
      </w:pPr>
      <w:r>
        <w:lastRenderedPageBreak/>
        <w:tab/>
        <w:t>T</w:t>
      </w:r>
      <w:r>
        <w:rPr>
          <w:vertAlign w:val="subscript"/>
        </w:rPr>
        <w:t>ambient</w:t>
      </w:r>
      <w:r>
        <w:t xml:space="preserve"> </w:t>
      </w:r>
      <w:r>
        <w:tab/>
        <w:t>= Temperature of ambient air (F).</w:t>
      </w:r>
    </w:p>
    <w:p w:rsidR="004D5CFB" w:rsidRDefault="004D5CFB" w:rsidP="004D5CFB">
      <w:pPr>
        <w:pStyle w:val="Equation"/>
      </w:pPr>
      <w:r>
        <w:tab/>
        <w:t xml:space="preserve">HOU </w:t>
      </w:r>
      <w:r>
        <w:tab/>
        <w:t>= Annual hours of use for water heater tank.</w:t>
      </w:r>
    </w:p>
    <w:p w:rsidR="004D5CFB" w:rsidRDefault="004D5CFB" w:rsidP="004D5CFB">
      <w:pPr>
        <w:pStyle w:val="Equation"/>
      </w:pPr>
      <w:r>
        <w:tab/>
        <w:t xml:space="preserve">CF </w:t>
      </w:r>
      <w:r>
        <w:tab/>
        <w:t xml:space="preserve">= </w:t>
      </w:r>
      <w:r w:rsidR="000E4853" w:rsidRPr="00165C8E">
        <w:rPr>
          <w:rFonts w:cs="Arial"/>
          <w:szCs w:val="20"/>
        </w:rPr>
        <w:t>Demand Coincidence Factor (See Section 1.4)</w:t>
      </w:r>
    </w:p>
    <w:p w:rsidR="004D5CFB" w:rsidRDefault="004D5CFB" w:rsidP="004D5CFB">
      <w:pPr>
        <w:pStyle w:val="Equation"/>
      </w:pPr>
      <w:r>
        <w:tab/>
        <w:t xml:space="preserve">3412 </w:t>
      </w:r>
      <w:r>
        <w:tab/>
        <w:t>= Conversion factor (Btu/kWh)</w:t>
      </w:r>
    </w:p>
    <w:p w:rsidR="004D5CFB" w:rsidRDefault="004D5CFB" w:rsidP="004D5CFB">
      <w:r>
        <w:t>The U.S. Department of Energy recommends adding a water heater wrap of at least R-8 to any water heater with an existing R-value less than R-24</w:t>
      </w:r>
      <w:r>
        <w:rPr>
          <w:rStyle w:val="FootnoteReference"/>
        </w:rPr>
        <w:footnoteReference w:id="119"/>
      </w:r>
      <w:r>
        <w:t xml:space="preserve">.  The default inputs for the savings algorithms are given in </w:t>
      </w:r>
      <w:r w:rsidR="007A1FB6">
        <w:fldChar w:fldCharType="begin"/>
      </w:r>
      <w:r>
        <w:instrText xml:space="preserve"> REF _Ref278888764 \h </w:instrText>
      </w:r>
      <w:r w:rsidR="007A1FB6">
        <w:fldChar w:fldCharType="separate"/>
      </w:r>
      <w:r w:rsidR="00C0292F" w:rsidRPr="003E5A68">
        <w:t xml:space="preserve">Table </w:t>
      </w:r>
      <w:r w:rsidR="00C0292F">
        <w:rPr>
          <w:noProof/>
        </w:rPr>
        <w:t>2</w:t>
      </w:r>
      <w:r w:rsidR="00C0292F">
        <w:noBreakHyphen/>
      </w:r>
      <w:r w:rsidR="00C0292F">
        <w:rPr>
          <w:noProof/>
        </w:rPr>
        <w:t>59</w:t>
      </w:r>
      <w:r w:rsidR="007A1FB6">
        <w:fldChar w:fldCharType="end"/>
      </w:r>
      <w:r>
        <w:t>.  Actual tank and blanket U-values can be used in the above algorithms as long as make/model numbers of the tank and blanket are recorded and tracked by the EDC.</w:t>
      </w:r>
    </w:p>
    <w:p w:rsidR="004D5CFB" w:rsidRPr="003E5A68" w:rsidRDefault="004D5CFB" w:rsidP="004D5CFB">
      <w:pPr>
        <w:pStyle w:val="Caption"/>
        <w:spacing w:after="0"/>
        <w:contextualSpacing/>
      </w:pPr>
      <w:bookmarkStart w:id="487" w:name="_Ref278888764"/>
      <w:bookmarkStart w:id="488" w:name="_Toc310875545"/>
      <w:r w:rsidRPr="003E5A68">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59</w:t>
      </w:r>
      <w:r w:rsidR="00274AB1">
        <w:rPr>
          <w:noProof/>
        </w:rPr>
        <w:fldChar w:fldCharType="end"/>
      </w:r>
      <w:bookmarkEnd w:id="487"/>
      <w:r w:rsidRPr="003E5A68">
        <w:t xml:space="preserve">: </w:t>
      </w:r>
      <w:r>
        <w:t>Water Heater Tank Wrap – Default Values</w:t>
      </w:r>
      <w:bookmarkEnd w:id="48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800"/>
        <w:gridCol w:w="2070"/>
        <w:gridCol w:w="1170"/>
      </w:tblGrid>
      <w:tr w:rsidR="004D5CFB" w:rsidTr="00C4752B">
        <w:trPr>
          <w:jc w:val="center"/>
        </w:trPr>
        <w:tc>
          <w:tcPr>
            <w:tcW w:w="1908" w:type="dxa"/>
            <w:shd w:val="clear" w:color="auto" w:fill="BFBFBF"/>
            <w:vAlign w:val="center"/>
          </w:tcPr>
          <w:p w:rsidR="004D5CFB" w:rsidRPr="004D5CFB" w:rsidRDefault="004D5CFB" w:rsidP="004D5CFB">
            <w:pPr>
              <w:spacing w:before="60" w:after="60"/>
              <w:rPr>
                <w:b/>
              </w:rPr>
            </w:pPr>
            <w:r w:rsidRPr="004D5CFB">
              <w:rPr>
                <w:b/>
              </w:rPr>
              <w:t>Component</w:t>
            </w:r>
          </w:p>
        </w:tc>
        <w:tc>
          <w:tcPr>
            <w:tcW w:w="1800" w:type="dxa"/>
            <w:shd w:val="clear" w:color="auto" w:fill="BFBFBF"/>
            <w:vAlign w:val="center"/>
          </w:tcPr>
          <w:p w:rsidR="004D5CFB" w:rsidRPr="004D5CFB" w:rsidRDefault="004D5CFB" w:rsidP="004D5CFB">
            <w:pPr>
              <w:spacing w:before="60" w:after="60"/>
              <w:rPr>
                <w:b/>
              </w:rPr>
            </w:pPr>
            <w:r w:rsidRPr="004D5CFB">
              <w:rPr>
                <w:b/>
              </w:rPr>
              <w:t>Type</w:t>
            </w:r>
          </w:p>
        </w:tc>
        <w:tc>
          <w:tcPr>
            <w:tcW w:w="2070" w:type="dxa"/>
            <w:shd w:val="clear" w:color="auto" w:fill="BFBFBF"/>
            <w:vAlign w:val="center"/>
          </w:tcPr>
          <w:p w:rsidR="004D5CFB" w:rsidRPr="004D5CFB" w:rsidRDefault="004D5CFB" w:rsidP="004D5CFB">
            <w:pPr>
              <w:spacing w:before="60" w:after="60"/>
              <w:rPr>
                <w:b/>
              </w:rPr>
            </w:pPr>
            <w:r w:rsidRPr="004D5CFB">
              <w:rPr>
                <w:b/>
              </w:rPr>
              <w:t>Value</w:t>
            </w:r>
          </w:p>
        </w:tc>
        <w:tc>
          <w:tcPr>
            <w:tcW w:w="1170" w:type="dxa"/>
            <w:shd w:val="clear" w:color="auto" w:fill="BFBFBF"/>
            <w:vAlign w:val="center"/>
          </w:tcPr>
          <w:p w:rsidR="004D5CFB" w:rsidRPr="004D5CFB" w:rsidRDefault="004D5CFB" w:rsidP="004D5CFB">
            <w:pPr>
              <w:spacing w:before="60" w:after="60"/>
              <w:rPr>
                <w:b/>
              </w:rPr>
            </w:pPr>
            <w:r w:rsidRPr="004D5CFB">
              <w:rPr>
                <w:b/>
              </w:rPr>
              <w:t>Source</w:t>
            </w:r>
          </w:p>
        </w:tc>
      </w:tr>
      <w:tr w:rsidR="004D5CFB" w:rsidTr="00C4752B">
        <w:trPr>
          <w:jc w:val="center"/>
        </w:trPr>
        <w:tc>
          <w:tcPr>
            <w:tcW w:w="1908" w:type="dxa"/>
            <w:vAlign w:val="center"/>
          </w:tcPr>
          <w:p w:rsidR="004D5CFB" w:rsidRPr="004D5CFB" w:rsidRDefault="004D5CFB" w:rsidP="004D5CFB">
            <w:pPr>
              <w:spacing w:before="60" w:after="60"/>
              <w:rPr>
                <w:vertAlign w:val="subscript"/>
              </w:rPr>
            </w:pPr>
            <w:r>
              <w:t>R</w:t>
            </w:r>
            <w:r w:rsidRPr="004D5CFB">
              <w:rPr>
                <w:vertAlign w:val="subscript"/>
              </w:rPr>
              <w:t>base</w:t>
            </w:r>
          </w:p>
        </w:tc>
        <w:tc>
          <w:tcPr>
            <w:tcW w:w="1800" w:type="dxa"/>
            <w:vAlign w:val="center"/>
          </w:tcPr>
          <w:p w:rsidR="004D5CFB" w:rsidRPr="00FA6E65" w:rsidRDefault="004D5CFB" w:rsidP="004D5CFB">
            <w:pPr>
              <w:spacing w:before="60" w:after="60"/>
            </w:pPr>
            <w:r w:rsidRPr="00FA6E65">
              <w:t>Fixed</w:t>
            </w:r>
          </w:p>
        </w:tc>
        <w:tc>
          <w:tcPr>
            <w:tcW w:w="2070" w:type="dxa"/>
            <w:vAlign w:val="center"/>
          </w:tcPr>
          <w:p w:rsidR="004D5CFB" w:rsidRDefault="004D5CFB" w:rsidP="004D5CFB">
            <w:pPr>
              <w:spacing w:before="60" w:after="60"/>
            </w:pPr>
            <w:r>
              <w:t>12</w:t>
            </w:r>
          </w:p>
        </w:tc>
        <w:tc>
          <w:tcPr>
            <w:tcW w:w="1170" w:type="dxa"/>
            <w:vAlign w:val="center"/>
          </w:tcPr>
          <w:p w:rsidR="004D5CFB" w:rsidRDefault="004D5CFB" w:rsidP="004D5CFB">
            <w:pPr>
              <w:spacing w:before="60" w:after="60"/>
            </w:pPr>
            <w:r>
              <w:t>1</w:t>
            </w:r>
          </w:p>
        </w:tc>
      </w:tr>
      <w:tr w:rsidR="004D5CFB" w:rsidTr="00C4752B">
        <w:trPr>
          <w:jc w:val="center"/>
        </w:trPr>
        <w:tc>
          <w:tcPr>
            <w:tcW w:w="1908" w:type="dxa"/>
            <w:vAlign w:val="center"/>
          </w:tcPr>
          <w:p w:rsidR="004D5CFB" w:rsidRPr="004D5CFB" w:rsidRDefault="004D5CFB" w:rsidP="004D5CFB">
            <w:pPr>
              <w:spacing w:before="60" w:after="60"/>
              <w:rPr>
                <w:vertAlign w:val="subscript"/>
              </w:rPr>
            </w:pPr>
            <w:r>
              <w:t>R</w:t>
            </w:r>
            <w:r w:rsidRPr="004D5CFB">
              <w:rPr>
                <w:vertAlign w:val="subscript"/>
              </w:rPr>
              <w:t>insul</w:t>
            </w:r>
          </w:p>
        </w:tc>
        <w:tc>
          <w:tcPr>
            <w:tcW w:w="1800" w:type="dxa"/>
            <w:vAlign w:val="center"/>
          </w:tcPr>
          <w:p w:rsidR="004D5CFB" w:rsidRPr="004D5CFB" w:rsidRDefault="004D5CFB" w:rsidP="004D5CFB">
            <w:pPr>
              <w:spacing w:before="60" w:after="60"/>
              <w:rPr>
                <w:vertAlign w:val="subscript"/>
              </w:rPr>
            </w:pPr>
            <w:r w:rsidRPr="00FA6E65">
              <w:t>Fixed</w:t>
            </w:r>
          </w:p>
        </w:tc>
        <w:tc>
          <w:tcPr>
            <w:tcW w:w="2070" w:type="dxa"/>
            <w:vAlign w:val="center"/>
          </w:tcPr>
          <w:p w:rsidR="004D5CFB" w:rsidRDefault="004D5CFB" w:rsidP="004D5CFB">
            <w:pPr>
              <w:spacing w:before="60" w:after="60"/>
            </w:pPr>
            <w:r>
              <w:t>20</w:t>
            </w:r>
          </w:p>
        </w:tc>
        <w:tc>
          <w:tcPr>
            <w:tcW w:w="1170" w:type="dxa"/>
            <w:vAlign w:val="center"/>
          </w:tcPr>
          <w:p w:rsidR="004D5CFB" w:rsidRDefault="004D5CFB" w:rsidP="004D5CFB">
            <w:pPr>
              <w:spacing w:before="60" w:after="60"/>
            </w:pPr>
            <w:r>
              <w:t>2</w:t>
            </w:r>
          </w:p>
        </w:tc>
      </w:tr>
      <w:tr w:rsidR="004D5CFB" w:rsidTr="00C4752B">
        <w:trPr>
          <w:jc w:val="center"/>
        </w:trPr>
        <w:tc>
          <w:tcPr>
            <w:tcW w:w="1908" w:type="dxa"/>
            <w:vAlign w:val="center"/>
          </w:tcPr>
          <w:p w:rsidR="004D5CFB" w:rsidRPr="00481ED8" w:rsidRDefault="004D5CFB" w:rsidP="004D5CFB">
            <w:pPr>
              <w:spacing w:before="60" w:after="60"/>
            </w:pPr>
            <w:r>
              <w:t>η</w:t>
            </w:r>
            <w:r w:rsidRPr="004D5CFB">
              <w:rPr>
                <w:vertAlign w:val="subscript"/>
              </w:rPr>
              <w:t>Elec</w:t>
            </w:r>
          </w:p>
        </w:tc>
        <w:tc>
          <w:tcPr>
            <w:tcW w:w="1800" w:type="dxa"/>
            <w:vAlign w:val="center"/>
          </w:tcPr>
          <w:p w:rsidR="004D5CFB" w:rsidRPr="00481ED8" w:rsidRDefault="004D5CFB" w:rsidP="004D5CFB">
            <w:pPr>
              <w:spacing w:before="60" w:after="60"/>
            </w:pPr>
            <w:r w:rsidRPr="00FA6E65">
              <w:t>Fixed</w:t>
            </w:r>
          </w:p>
        </w:tc>
        <w:tc>
          <w:tcPr>
            <w:tcW w:w="2070" w:type="dxa"/>
            <w:vAlign w:val="center"/>
          </w:tcPr>
          <w:p w:rsidR="004D5CFB" w:rsidRDefault="004D5CFB" w:rsidP="004D5CFB">
            <w:pPr>
              <w:spacing w:before="60" w:after="60"/>
            </w:pPr>
            <w:r>
              <w:t>0.97</w:t>
            </w:r>
          </w:p>
        </w:tc>
        <w:tc>
          <w:tcPr>
            <w:tcW w:w="1170" w:type="dxa"/>
            <w:vAlign w:val="center"/>
          </w:tcPr>
          <w:p w:rsidR="004D5CFB" w:rsidRDefault="004D5CFB" w:rsidP="004D5CFB">
            <w:pPr>
              <w:spacing w:before="60" w:after="60"/>
            </w:pPr>
            <w:r>
              <w:t>3</w:t>
            </w:r>
          </w:p>
        </w:tc>
      </w:tr>
      <w:tr w:rsidR="004D5CFB" w:rsidTr="00C4752B">
        <w:trPr>
          <w:jc w:val="center"/>
        </w:trPr>
        <w:tc>
          <w:tcPr>
            <w:tcW w:w="1908" w:type="dxa"/>
            <w:vAlign w:val="center"/>
          </w:tcPr>
          <w:p w:rsidR="004D5CFB" w:rsidRPr="004D5CFB" w:rsidRDefault="004D5CFB" w:rsidP="004D5CFB">
            <w:pPr>
              <w:spacing w:before="60" w:after="60"/>
              <w:rPr>
                <w:vertAlign w:val="subscript"/>
              </w:rPr>
            </w:pPr>
            <w:r>
              <w:t>T</w:t>
            </w:r>
            <w:r w:rsidRPr="004D5CFB">
              <w:rPr>
                <w:vertAlign w:val="subscript"/>
              </w:rPr>
              <w:t>hot</w:t>
            </w:r>
          </w:p>
        </w:tc>
        <w:tc>
          <w:tcPr>
            <w:tcW w:w="1800" w:type="dxa"/>
            <w:vAlign w:val="center"/>
          </w:tcPr>
          <w:p w:rsidR="004D5CFB" w:rsidRPr="004D5CFB" w:rsidRDefault="004D5CFB" w:rsidP="004D5CFB">
            <w:pPr>
              <w:spacing w:before="60" w:after="60"/>
              <w:rPr>
                <w:vertAlign w:val="subscript"/>
              </w:rPr>
            </w:pPr>
            <w:r w:rsidRPr="00FA6E65">
              <w:t>Fixed</w:t>
            </w:r>
          </w:p>
        </w:tc>
        <w:tc>
          <w:tcPr>
            <w:tcW w:w="2070" w:type="dxa"/>
            <w:vAlign w:val="center"/>
          </w:tcPr>
          <w:p w:rsidR="004D5CFB" w:rsidRDefault="004D5CFB" w:rsidP="004D5CFB">
            <w:pPr>
              <w:spacing w:before="60" w:after="60"/>
            </w:pPr>
            <w:r>
              <w:t>120</w:t>
            </w:r>
          </w:p>
        </w:tc>
        <w:tc>
          <w:tcPr>
            <w:tcW w:w="1170" w:type="dxa"/>
            <w:vAlign w:val="center"/>
          </w:tcPr>
          <w:p w:rsidR="004D5CFB" w:rsidRDefault="004D5CFB" w:rsidP="004D5CFB">
            <w:pPr>
              <w:spacing w:before="60" w:after="60"/>
            </w:pPr>
            <w:r>
              <w:t>5</w:t>
            </w:r>
          </w:p>
        </w:tc>
      </w:tr>
      <w:tr w:rsidR="004D5CFB" w:rsidTr="00C4752B">
        <w:trPr>
          <w:jc w:val="center"/>
        </w:trPr>
        <w:tc>
          <w:tcPr>
            <w:tcW w:w="1908" w:type="dxa"/>
            <w:vAlign w:val="center"/>
          </w:tcPr>
          <w:p w:rsidR="004D5CFB" w:rsidRPr="004D5CFB" w:rsidRDefault="004D5CFB" w:rsidP="004D5CFB">
            <w:pPr>
              <w:spacing w:before="60" w:after="60"/>
              <w:rPr>
                <w:vertAlign w:val="subscript"/>
              </w:rPr>
            </w:pPr>
            <w:r>
              <w:t>T</w:t>
            </w:r>
            <w:r w:rsidRPr="004D5CFB">
              <w:rPr>
                <w:vertAlign w:val="subscript"/>
              </w:rPr>
              <w:t>ambient</w:t>
            </w:r>
          </w:p>
        </w:tc>
        <w:tc>
          <w:tcPr>
            <w:tcW w:w="1800" w:type="dxa"/>
            <w:vAlign w:val="center"/>
          </w:tcPr>
          <w:p w:rsidR="004D5CFB" w:rsidRPr="004D5CFB" w:rsidRDefault="004D5CFB" w:rsidP="004D5CFB">
            <w:pPr>
              <w:spacing w:before="60" w:after="60"/>
              <w:rPr>
                <w:vertAlign w:val="subscript"/>
              </w:rPr>
            </w:pPr>
            <w:r w:rsidRPr="00FA6E65">
              <w:t>Fixed</w:t>
            </w:r>
          </w:p>
        </w:tc>
        <w:tc>
          <w:tcPr>
            <w:tcW w:w="2070" w:type="dxa"/>
            <w:vAlign w:val="center"/>
          </w:tcPr>
          <w:p w:rsidR="004D5CFB" w:rsidRDefault="004D5CFB" w:rsidP="004D5CFB">
            <w:pPr>
              <w:spacing w:before="60" w:after="60"/>
            </w:pPr>
            <w:r>
              <w:t>70</w:t>
            </w:r>
          </w:p>
        </w:tc>
        <w:tc>
          <w:tcPr>
            <w:tcW w:w="1170" w:type="dxa"/>
            <w:vAlign w:val="center"/>
          </w:tcPr>
          <w:p w:rsidR="004D5CFB" w:rsidRDefault="004D5CFB" w:rsidP="004D5CFB">
            <w:pPr>
              <w:spacing w:before="60" w:after="60"/>
            </w:pPr>
            <w:r>
              <w:t>5</w:t>
            </w:r>
          </w:p>
        </w:tc>
      </w:tr>
      <w:tr w:rsidR="004D5CFB" w:rsidTr="00C4752B">
        <w:trPr>
          <w:jc w:val="center"/>
        </w:trPr>
        <w:tc>
          <w:tcPr>
            <w:tcW w:w="1908" w:type="dxa"/>
            <w:vAlign w:val="center"/>
          </w:tcPr>
          <w:p w:rsidR="004D5CFB" w:rsidRDefault="004D5CFB" w:rsidP="004D5CFB">
            <w:pPr>
              <w:spacing w:before="60" w:after="60"/>
            </w:pPr>
            <w:r>
              <w:t>HOU</w:t>
            </w:r>
          </w:p>
        </w:tc>
        <w:tc>
          <w:tcPr>
            <w:tcW w:w="1800" w:type="dxa"/>
            <w:vAlign w:val="center"/>
          </w:tcPr>
          <w:p w:rsidR="004D5CFB" w:rsidRDefault="004D5CFB" w:rsidP="004D5CFB">
            <w:pPr>
              <w:spacing w:before="60" w:after="60"/>
            </w:pPr>
            <w:r w:rsidRPr="00FA6E65">
              <w:t>Fixed</w:t>
            </w:r>
          </w:p>
        </w:tc>
        <w:tc>
          <w:tcPr>
            <w:tcW w:w="2070" w:type="dxa"/>
            <w:vAlign w:val="center"/>
          </w:tcPr>
          <w:p w:rsidR="004D5CFB" w:rsidRDefault="004D5CFB" w:rsidP="004D5CFB">
            <w:pPr>
              <w:spacing w:before="60" w:after="60"/>
            </w:pPr>
            <w:r>
              <w:t>8760</w:t>
            </w:r>
          </w:p>
        </w:tc>
        <w:tc>
          <w:tcPr>
            <w:tcW w:w="1170" w:type="dxa"/>
            <w:vAlign w:val="center"/>
          </w:tcPr>
          <w:p w:rsidR="004D5CFB" w:rsidRDefault="004D5CFB" w:rsidP="004D5CFB">
            <w:pPr>
              <w:spacing w:before="60" w:after="60"/>
            </w:pPr>
            <w:r>
              <w:t>4</w:t>
            </w:r>
          </w:p>
        </w:tc>
      </w:tr>
      <w:tr w:rsidR="004D5CFB" w:rsidTr="00C4752B">
        <w:trPr>
          <w:jc w:val="center"/>
        </w:trPr>
        <w:tc>
          <w:tcPr>
            <w:tcW w:w="1908" w:type="dxa"/>
            <w:vAlign w:val="center"/>
          </w:tcPr>
          <w:p w:rsidR="004D5CFB" w:rsidRDefault="004D5CFB" w:rsidP="004D5CFB">
            <w:pPr>
              <w:spacing w:before="60" w:after="60"/>
            </w:pPr>
            <w:r>
              <w:t>CF</w:t>
            </w:r>
          </w:p>
        </w:tc>
        <w:tc>
          <w:tcPr>
            <w:tcW w:w="1800" w:type="dxa"/>
            <w:vAlign w:val="center"/>
          </w:tcPr>
          <w:p w:rsidR="004D5CFB" w:rsidRDefault="004D5CFB" w:rsidP="004D5CFB">
            <w:pPr>
              <w:spacing w:before="60" w:after="60"/>
            </w:pPr>
            <w:r w:rsidRPr="00FA6E65">
              <w:t>Fixed</w:t>
            </w:r>
          </w:p>
        </w:tc>
        <w:tc>
          <w:tcPr>
            <w:tcW w:w="2070" w:type="dxa"/>
            <w:vAlign w:val="center"/>
          </w:tcPr>
          <w:p w:rsidR="004D5CFB" w:rsidRDefault="004D5CFB" w:rsidP="004D5CFB">
            <w:pPr>
              <w:spacing w:before="60" w:after="60"/>
            </w:pPr>
            <w:r>
              <w:t>1</w:t>
            </w:r>
          </w:p>
        </w:tc>
        <w:tc>
          <w:tcPr>
            <w:tcW w:w="1170" w:type="dxa"/>
            <w:vAlign w:val="center"/>
          </w:tcPr>
          <w:p w:rsidR="004D5CFB" w:rsidRDefault="004D5CFB" w:rsidP="004D5CFB">
            <w:pPr>
              <w:spacing w:before="60" w:after="60"/>
            </w:pPr>
            <w:r>
              <w:t>4</w:t>
            </w:r>
          </w:p>
        </w:tc>
      </w:tr>
    </w:tbl>
    <w:p w:rsidR="004D5CFB" w:rsidRDefault="004D5CFB" w:rsidP="004D5CFB">
      <w:pPr>
        <w:spacing w:after="0"/>
      </w:pPr>
    </w:p>
    <w:p w:rsidR="004D5CFB" w:rsidRDefault="004D5CFB" w:rsidP="004D5CFB">
      <w:pPr>
        <w:spacing w:after="0"/>
        <w:rPr>
          <w:b/>
        </w:rPr>
      </w:pPr>
      <w:r w:rsidRPr="00FA6E65">
        <w:rPr>
          <w:b/>
        </w:rPr>
        <w:t>Sources:</w:t>
      </w:r>
    </w:p>
    <w:p w:rsidR="004D5CFB" w:rsidRDefault="004D5CFB" w:rsidP="0005632A">
      <w:pPr>
        <w:pStyle w:val="source1"/>
        <w:numPr>
          <w:ilvl w:val="0"/>
          <w:numId w:val="111"/>
        </w:numPr>
      </w:pPr>
      <w:r>
        <w:t>The baseline water heater is assumed to have 1 inch of polyurethane foam as factory insulation and an overall R-12.</w:t>
      </w:r>
    </w:p>
    <w:p w:rsidR="004D5CFB" w:rsidRDefault="004D5CFB" w:rsidP="004D5CFB">
      <w:pPr>
        <w:pStyle w:val="source1"/>
      </w:pPr>
      <w:r>
        <w:t>The water heater wrap is assumed to be a fiberglass blanket with R-8, increasing the total to R-20.</w:t>
      </w:r>
    </w:p>
    <w:p w:rsidR="004D5CFB" w:rsidRDefault="004D5CFB" w:rsidP="004D5CFB">
      <w:pPr>
        <w:pStyle w:val="source1"/>
      </w:pPr>
      <w:r>
        <w:t>New York Standard Approach for Estimating Energy Savings from Energy Efficiency Programs. October 15, 2010. Prepared by New York Advisory Contractor Team.</w:t>
      </w:r>
    </w:p>
    <w:p w:rsidR="004D5CFB" w:rsidRDefault="004D5CFB" w:rsidP="004D5CFB">
      <w:pPr>
        <w:pStyle w:val="source1"/>
      </w:pPr>
      <w:r>
        <w:t>It is assumed that the tank wrap will insulate the tank during all hours of the year.</w:t>
      </w:r>
    </w:p>
    <w:p w:rsidR="004D5CFB" w:rsidRPr="00FA6E65" w:rsidRDefault="004D5CFB" w:rsidP="004D5CFB">
      <w:pPr>
        <w:pStyle w:val="source1"/>
      </w:pPr>
      <w:r>
        <w:t>Program assumption</w:t>
      </w:r>
    </w:p>
    <w:p w:rsidR="004D5CFB" w:rsidRDefault="004D5CFB" w:rsidP="004D5CFB">
      <w:pPr>
        <w:spacing w:after="0"/>
      </w:pPr>
    </w:p>
    <w:p w:rsidR="004D5CFB" w:rsidRPr="00BC1403" w:rsidRDefault="004D5CFB" w:rsidP="004D5CFB">
      <w:pPr>
        <w:pStyle w:val="Caption"/>
        <w:spacing w:after="0"/>
      </w:pPr>
      <w:bookmarkStart w:id="489" w:name="_Ref278967935"/>
      <w:bookmarkStart w:id="490" w:name="_Toc310875546"/>
      <w:r w:rsidRPr="00BC1403">
        <w:lastRenderedPageBreak/>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60</w:t>
      </w:r>
      <w:r w:rsidR="00274AB1">
        <w:rPr>
          <w:noProof/>
        </w:rPr>
        <w:fldChar w:fldCharType="end"/>
      </w:r>
      <w:bookmarkEnd w:id="489"/>
      <w:r w:rsidRPr="00BC1403">
        <w:t>: Deemed savings by water heater capacity.</w:t>
      </w:r>
      <w:bookmarkEnd w:id="4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990"/>
        <w:gridCol w:w="990"/>
        <w:gridCol w:w="1440"/>
        <w:gridCol w:w="1440"/>
        <w:gridCol w:w="1224"/>
        <w:gridCol w:w="1226"/>
      </w:tblGrid>
      <w:tr w:rsidR="004D5CFB" w:rsidTr="004D5CFB">
        <w:trPr>
          <w:trHeight w:val="20"/>
        </w:trPr>
        <w:tc>
          <w:tcPr>
            <w:tcW w:w="873" w:type="pct"/>
            <w:shd w:val="clear" w:color="auto" w:fill="BFBFBF"/>
          </w:tcPr>
          <w:p w:rsidR="004D5CFB" w:rsidRPr="004D5CFB" w:rsidRDefault="004D5CFB" w:rsidP="004D5CFB">
            <w:pPr>
              <w:keepNext/>
              <w:spacing w:before="60" w:after="60"/>
              <w:jc w:val="center"/>
              <w:rPr>
                <w:b/>
              </w:rPr>
            </w:pPr>
            <w:r w:rsidRPr="004D5CFB">
              <w:rPr>
                <w:b/>
              </w:rPr>
              <w:t>Capacity (gal)</w:t>
            </w:r>
          </w:p>
        </w:tc>
        <w:tc>
          <w:tcPr>
            <w:tcW w:w="559" w:type="pct"/>
            <w:shd w:val="clear" w:color="auto" w:fill="BFBFBF"/>
          </w:tcPr>
          <w:p w:rsidR="004D5CFB" w:rsidRPr="004D5CFB" w:rsidRDefault="004D5CFB" w:rsidP="004D5CFB">
            <w:pPr>
              <w:keepNext/>
              <w:spacing w:before="60" w:after="60"/>
              <w:jc w:val="center"/>
              <w:rPr>
                <w:b/>
              </w:rPr>
            </w:pPr>
            <w:r w:rsidRPr="004D5CFB">
              <w:rPr>
                <w:b/>
              </w:rPr>
              <w:t>R</w:t>
            </w:r>
            <w:r w:rsidRPr="004D5CFB">
              <w:rPr>
                <w:b/>
                <w:vertAlign w:val="subscript"/>
              </w:rPr>
              <w:t>base</w:t>
            </w:r>
          </w:p>
        </w:tc>
        <w:tc>
          <w:tcPr>
            <w:tcW w:w="559" w:type="pct"/>
            <w:shd w:val="clear" w:color="auto" w:fill="BFBFBF"/>
          </w:tcPr>
          <w:p w:rsidR="004D5CFB" w:rsidRPr="004D5CFB" w:rsidRDefault="004D5CFB" w:rsidP="004D5CFB">
            <w:pPr>
              <w:keepNext/>
              <w:spacing w:before="60" w:after="60"/>
              <w:jc w:val="center"/>
              <w:rPr>
                <w:b/>
              </w:rPr>
            </w:pPr>
            <w:r w:rsidRPr="004D5CFB">
              <w:rPr>
                <w:b/>
              </w:rPr>
              <w:t>R</w:t>
            </w:r>
            <w:r w:rsidRPr="004D5CFB">
              <w:rPr>
                <w:b/>
                <w:vertAlign w:val="subscript"/>
              </w:rPr>
              <w:t>insul</w:t>
            </w:r>
          </w:p>
        </w:tc>
        <w:tc>
          <w:tcPr>
            <w:tcW w:w="813" w:type="pct"/>
            <w:shd w:val="clear" w:color="auto" w:fill="BFBFBF"/>
          </w:tcPr>
          <w:p w:rsidR="004D5CFB" w:rsidRPr="004D5CFB" w:rsidRDefault="004D5CFB" w:rsidP="004D5CFB">
            <w:pPr>
              <w:keepNext/>
              <w:spacing w:before="60" w:after="60"/>
              <w:jc w:val="center"/>
              <w:rPr>
                <w:b/>
              </w:rPr>
            </w:pPr>
            <w:r w:rsidRPr="004D5CFB">
              <w:rPr>
                <w:b/>
              </w:rPr>
              <w:t>A</w:t>
            </w:r>
            <w:r w:rsidRPr="004D5CFB">
              <w:rPr>
                <w:b/>
                <w:vertAlign w:val="subscript"/>
              </w:rPr>
              <w:t>base</w:t>
            </w:r>
            <w:r w:rsidRPr="004D5CFB">
              <w:rPr>
                <w:b/>
              </w:rPr>
              <w:t xml:space="preserve"> (ft</w:t>
            </w:r>
            <w:r w:rsidRPr="004D5CFB">
              <w:rPr>
                <w:b/>
                <w:vertAlign w:val="superscript"/>
              </w:rPr>
              <w:t>2</w:t>
            </w:r>
            <w:r w:rsidRPr="004D5CFB">
              <w:rPr>
                <w:b/>
              </w:rPr>
              <w:t>)</w:t>
            </w:r>
            <w:r w:rsidRPr="004D5CFB">
              <w:rPr>
                <w:rStyle w:val="FootnoteReference"/>
                <w:b/>
              </w:rPr>
              <w:footnoteReference w:id="120"/>
            </w:r>
          </w:p>
        </w:tc>
        <w:tc>
          <w:tcPr>
            <w:tcW w:w="813" w:type="pct"/>
            <w:shd w:val="clear" w:color="auto" w:fill="BFBFBF"/>
          </w:tcPr>
          <w:p w:rsidR="004D5CFB" w:rsidRPr="004D5CFB" w:rsidRDefault="004D5CFB" w:rsidP="004D5CFB">
            <w:pPr>
              <w:keepNext/>
              <w:spacing w:before="60" w:after="60"/>
              <w:jc w:val="center"/>
              <w:rPr>
                <w:b/>
              </w:rPr>
            </w:pPr>
            <w:r w:rsidRPr="004D5CFB">
              <w:rPr>
                <w:b/>
              </w:rPr>
              <w:t>A</w:t>
            </w:r>
            <w:r w:rsidRPr="004D5CFB">
              <w:rPr>
                <w:b/>
                <w:vertAlign w:val="subscript"/>
              </w:rPr>
              <w:t xml:space="preserve">insul </w:t>
            </w:r>
            <w:r w:rsidRPr="004D5CFB">
              <w:rPr>
                <w:b/>
              </w:rPr>
              <w:t>(ft</w:t>
            </w:r>
            <w:r w:rsidRPr="004D5CFB">
              <w:rPr>
                <w:b/>
                <w:vertAlign w:val="superscript"/>
              </w:rPr>
              <w:t>2</w:t>
            </w:r>
            <w:r w:rsidRPr="004D5CFB">
              <w:rPr>
                <w:b/>
              </w:rPr>
              <w:t>)</w:t>
            </w:r>
            <w:r w:rsidRPr="004D5CFB">
              <w:rPr>
                <w:rStyle w:val="FootnoteReference"/>
                <w:b/>
              </w:rPr>
              <w:footnoteReference w:id="121"/>
            </w:r>
          </w:p>
        </w:tc>
        <w:tc>
          <w:tcPr>
            <w:tcW w:w="691" w:type="pct"/>
            <w:shd w:val="clear" w:color="auto" w:fill="BFBFBF"/>
          </w:tcPr>
          <w:p w:rsidR="004D5CFB" w:rsidRPr="004D5CFB" w:rsidRDefault="004D5CFB" w:rsidP="004D5CFB">
            <w:pPr>
              <w:keepNext/>
              <w:spacing w:before="60" w:after="60"/>
              <w:jc w:val="center"/>
              <w:rPr>
                <w:b/>
              </w:rPr>
            </w:pPr>
            <w:r w:rsidRPr="004D5CFB">
              <w:rPr>
                <w:b/>
              </w:rPr>
              <w:t>ΔkWh</w:t>
            </w:r>
          </w:p>
        </w:tc>
        <w:tc>
          <w:tcPr>
            <w:tcW w:w="692" w:type="pct"/>
            <w:shd w:val="clear" w:color="auto" w:fill="BFBFBF"/>
          </w:tcPr>
          <w:p w:rsidR="004D5CFB" w:rsidRPr="004D5CFB" w:rsidRDefault="004D5CFB" w:rsidP="004D5CFB">
            <w:pPr>
              <w:keepNext/>
              <w:spacing w:before="60" w:after="60"/>
              <w:jc w:val="center"/>
              <w:rPr>
                <w:b/>
              </w:rPr>
            </w:pPr>
            <w:r w:rsidRPr="004D5CFB">
              <w:rPr>
                <w:b/>
              </w:rPr>
              <w:t>ΔkW</w:t>
            </w:r>
          </w:p>
        </w:tc>
      </w:tr>
      <w:tr w:rsidR="004D5CFB" w:rsidTr="004D5CFB">
        <w:trPr>
          <w:trHeight w:val="20"/>
        </w:trPr>
        <w:tc>
          <w:tcPr>
            <w:tcW w:w="873" w:type="pct"/>
            <w:vAlign w:val="center"/>
          </w:tcPr>
          <w:p w:rsidR="004D5CFB" w:rsidRDefault="004D5CFB" w:rsidP="004D5CFB">
            <w:pPr>
              <w:spacing w:before="60" w:after="60"/>
            </w:pPr>
            <w:r w:rsidRPr="004D5CFB">
              <w:rPr>
                <w:color w:val="000000"/>
              </w:rPr>
              <w:t>30</w:t>
            </w:r>
          </w:p>
        </w:tc>
        <w:tc>
          <w:tcPr>
            <w:tcW w:w="559" w:type="pct"/>
            <w:vAlign w:val="center"/>
          </w:tcPr>
          <w:p w:rsidR="004D5CFB" w:rsidRDefault="004D5CFB" w:rsidP="004D5CFB">
            <w:pPr>
              <w:spacing w:before="60" w:after="60"/>
            </w:pPr>
            <w:r w:rsidRPr="004D5CFB">
              <w:rPr>
                <w:color w:val="000000"/>
              </w:rPr>
              <w:t>8</w:t>
            </w:r>
          </w:p>
        </w:tc>
        <w:tc>
          <w:tcPr>
            <w:tcW w:w="559" w:type="pct"/>
            <w:vAlign w:val="center"/>
          </w:tcPr>
          <w:p w:rsidR="004D5CFB" w:rsidRDefault="004D5CFB" w:rsidP="004D5CFB">
            <w:pPr>
              <w:spacing w:before="60" w:after="60"/>
            </w:pPr>
            <w:r w:rsidRPr="004D5CFB">
              <w:rPr>
                <w:color w:val="000000"/>
              </w:rPr>
              <w:t>16</w:t>
            </w:r>
          </w:p>
        </w:tc>
        <w:tc>
          <w:tcPr>
            <w:tcW w:w="813" w:type="pct"/>
            <w:vAlign w:val="center"/>
          </w:tcPr>
          <w:p w:rsidR="004D5CFB" w:rsidRDefault="004D5CFB" w:rsidP="004D5CFB">
            <w:pPr>
              <w:spacing w:before="60" w:after="60"/>
            </w:pPr>
            <w:r w:rsidRPr="004D5CFB">
              <w:rPr>
                <w:color w:val="000000"/>
              </w:rPr>
              <w:t>19.16</w:t>
            </w:r>
          </w:p>
        </w:tc>
        <w:tc>
          <w:tcPr>
            <w:tcW w:w="813" w:type="pct"/>
            <w:vAlign w:val="center"/>
          </w:tcPr>
          <w:p w:rsidR="004D5CFB" w:rsidRDefault="004D5CFB" w:rsidP="004D5CFB">
            <w:pPr>
              <w:spacing w:before="60" w:after="60"/>
            </w:pPr>
            <w:r w:rsidRPr="004D5CFB">
              <w:rPr>
                <w:color w:val="000000"/>
              </w:rPr>
              <w:t>20.94</w:t>
            </w:r>
          </w:p>
        </w:tc>
        <w:tc>
          <w:tcPr>
            <w:tcW w:w="691" w:type="pct"/>
            <w:vAlign w:val="center"/>
          </w:tcPr>
          <w:p w:rsidR="004D5CFB" w:rsidRDefault="004D5CFB" w:rsidP="004D5CFB">
            <w:pPr>
              <w:spacing w:before="60" w:after="60"/>
            </w:pPr>
            <w:r w:rsidRPr="004D5CFB">
              <w:rPr>
                <w:rFonts w:cs="Calibri"/>
                <w:color w:val="000000"/>
              </w:rPr>
              <w:t>143</w:t>
            </w:r>
          </w:p>
        </w:tc>
        <w:tc>
          <w:tcPr>
            <w:tcW w:w="692" w:type="pct"/>
            <w:vAlign w:val="center"/>
          </w:tcPr>
          <w:p w:rsidR="004D5CFB" w:rsidRDefault="004D5CFB" w:rsidP="004D5CFB">
            <w:pPr>
              <w:spacing w:before="60" w:after="60"/>
            </w:pPr>
            <w:r w:rsidRPr="004D5CFB">
              <w:rPr>
                <w:rFonts w:cs="Calibri"/>
                <w:color w:val="000000"/>
              </w:rPr>
              <w:t>0.0164</w:t>
            </w:r>
          </w:p>
        </w:tc>
      </w:tr>
      <w:tr w:rsidR="004D5CFB" w:rsidTr="004D5CFB">
        <w:trPr>
          <w:trHeight w:val="20"/>
        </w:trPr>
        <w:tc>
          <w:tcPr>
            <w:tcW w:w="873" w:type="pct"/>
            <w:vAlign w:val="center"/>
          </w:tcPr>
          <w:p w:rsidR="004D5CFB" w:rsidRDefault="004D5CFB" w:rsidP="004D5CFB">
            <w:pPr>
              <w:spacing w:before="60" w:after="60"/>
            </w:pPr>
            <w:r w:rsidRPr="004D5CFB">
              <w:rPr>
                <w:color w:val="000000"/>
              </w:rPr>
              <w:t>30</w:t>
            </w:r>
          </w:p>
        </w:tc>
        <w:tc>
          <w:tcPr>
            <w:tcW w:w="559" w:type="pct"/>
            <w:vAlign w:val="center"/>
          </w:tcPr>
          <w:p w:rsidR="004D5CFB" w:rsidRDefault="004D5CFB" w:rsidP="004D5CFB">
            <w:pPr>
              <w:spacing w:before="60" w:after="60"/>
            </w:pPr>
            <w:r w:rsidRPr="004D5CFB">
              <w:rPr>
                <w:color w:val="000000"/>
              </w:rPr>
              <w:t>10</w:t>
            </w:r>
          </w:p>
        </w:tc>
        <w:tc>
          <w:tcPr>
            <w:tcW w:w="559" w:type="pct"/>
            <w:vAlign w:val="center"/>
          </w:tcPr>
          <w:p w:rsidR="004D5CFB" w:rsidRDefault="004D5CFB" w:rsidP="004D5CFB">
            <w:pPr>
              <w:spacing w:before="60" w:after="60"/>
            </w:pPr>
            <w:r w:rsidRPr="004D5CFB">
              <w:rPr>
                <w:color w:val="000000"/>
              </w:rPr>
              <w:t>18</w:t>
            </w:r>
          </w:p>
        </w:tc>
        <w:tc>
          <w:tcPr>
            <w:tcW w:w="813" w:type="pct"/>
            <w:vAlign w:val="center"/>
          </w:tcPr>
          <w:p w:rsidR="004D5CFB" w:rsidRDefault="004D5CFB" w:rsidP="004D5CFB">
            <w:pPr>
              <w:spacing w:before="60" w:after="60"/>
            </w:pPr>
            <w:r w:rsidRPr="004D5CFB">
              <w:rPr>
                <w:color w:val="000000"/>
              </w:rPr>
              <w:t>19.16</w:t>
            </w:r>
          </w:p>
        </w:tc>
        <w:tc>
          <w:tcPr>
            <w:tcW w:w="813" w:type="pct"/>
            <w:vAlign w:val="center"/>
          </w:tcPr>
          <w:p w:rsidR="004D5CFB" w:rsidRDefault="004D5CFB" w:rsidP="004D5CFB">
            <w:pPr>
              <w:spacing w:before="60" w:after="60"/>
            </w:pPr>
            <w:r w:rsidRPr="004D5CFB">
              <w:rPr>
                <w:color w:val="000000"/>
              </w:rPr>
              <w:t>20.94</w:t>
            </w:r>
          </w:p>
        </w:tc>
        <w:tc>
          <w:tcPr>
            <w:tcW w:w="691" w:type="pct"/>
            <w:vAlign w:val="center"/>
          </w:tcPr>
          <w:p w:rsidR="004D5CFB" w:rsidRDefault="004D5CFB" w:rsidP="004D5CFB">
            <w:pPr>
              <w:spacing w:before="60" w:after="60"/>
            </w:pPr>
            <w:r w:rsidRPr="004D5CFB">
              <w:rPr>
                <w:rFonts w:cs="Calibri"/>
                <w:color w:val="000000"/>
              </w:rPr>
              <w:t>100</w:t>
            </w:r>
          </w:p>
        </w:tc>
        <w:tc>
          <w:tcPr>
            <w:tcW w:w="692" w:type="pct"/>
            <w:vAlign w:val="center"/>
          </w:tcPr>
          <w:p w:rsidR="004D5CFB" w:rsidRDefault="004D5CFB" w:rsidP="004D5CFB">
            <w:pPr>
              <w:spacing w:before="60" w:after="60"/>
            </w:pPr>
            <w:r w:rsidRPr="004D5CFB">
              <w:rPr>
                <w:rFonts w:cs="Calibri"/>
                <w:color w:val="000000"/>
              </w:rPr>
              <w:t>0.0114</w:t>
            </w:r>
          </w:p>
        </w:tc>
      </w:tr>
      <w:tr w:rsidR="004D5CFB" w:rsidTr="004D5CFB">
        <w:trPr>
          <w:trHeight w:val="20"/>
        </w:trPr>
        <w:tc>
          <w:tcPr>
            <w:tcW w:w="873" w:type="pct"/>
            <w:vAlign w:val="center"/>
          </w:tcPr>
          <w:p w:rsidR="004D5CFB" w:rsidRDefault="004D5CFB" w:rsidP="004D5CFB">
            <w:pPr>
              <w:spacing w:before="60" w:after="60"/>
            </w:pPr>
            <w:r w:rsidRPr="004D5CFB">
              <w:rPr>
                <w:color w:val="000000"/>
              </w:rPr>
              <w:t>30</w:t>
            </w:r>
          </w:p>
        </w:tc>
        <w:tc>
          <w:tcPr>
            <w:tcW w:w="559" w:type="pct"/>
            <w:vAlign w:val="center"/>
          </w:tcPr>
          <w:p w:rsidR="004D5CFB" w:rsidRDefault="004D5CFB" w:rsidP="004D5CFB">
            <w:pPr>
              <w:spacing w:before="60" w:after="60"/>
            </w:pPr>
            <w:r w:rsidRPr="004D5CFB">
              <w:rPr>
                <w:color w:val="000000"/>
              </w:rPr>
              <w:t>12</w:t>
            </w:r>
          </w:p>
        </w:tc>
        <w:tc>
          <w:tcPr>
            <w:tcW w:w="559" w:type="pct"/>
            <w:vAlign w:val="center"/>
          </w:tcPr>
          <w:p w:rsidR="004D5CFB" w:rsidRDefault="004D5CFB" w:rsidP="004D5CFB">
            <w:pPr>
              <w:spacing w:before="60" w:after="60"/>
            </w:pPr>
            <w:r w:rsidRPr="004D5CFB">
              <w:rPr>
                <w:color w:val="000000"/>
              </w:rPr>
              <w:t>20</w:t>
            </w:r>
          </w:p>
        </w:tc>
        <w:tc>
          <w:tcPr>
            <w:tcW w:w="813" w:type="pct"/>
            <w:vAlign w:val="center"/>
          </w:tcPr>
          <w:p w:rsidR="004D5CFB" w:rsidRDefault="004D5CFB" w:rsidP="004D5CFB">
            <w:pPr>
              <w:spacing w:before="60" w:after="60"/>
            </w:pPr>
            <w:r w:rsidRPr="004D5CFB">
              <w:rPr>
                <w:color w:val="000000"/>
              </w:rPr>
              <w:t>19.16</w:t>
            </w:r>
          </w:p>
        </w:tc>
        <w:tc>
          <w:tcPr>
            <w:tcW w:w="813" w:type="pct"/>
            <w:vAlign w:val="center"/>
          </w:tcPr>
          <w:p w:rsidR="004D5CFB" w:rsidRDefault="004D5CFB" w:rsidP="004D5CFB">
            <w:pPr>
              <w:spacing w:before="60" w:after="60"/>
            </w:pPr>
            <w:r w:rsidRPr="004D5CFB">
              <w:rPr>
                <w:color w:val="000000"/>
              </w:rPr>
              <w:t>20.94</w:t>
            </w:r>
          </w:p>
        </w:tc>
        <w:tc>
          <w:tcPr>
            <w:tcW w:w="691" w:type="pct"/>
            <w:vAlign w:val="center"/>
          </w:tcPr>
          <w:p w:rsidR="004D5CFB" w:rsidRDefault="004D5CFB" w:rsidP="004D5CFB">
            <w:pPr>
              <w:spacing w:before="60" w:after="60"/>
            </w:pPr>
            <w:r w:rsidRPr="004D5CFB">
              <w:rPr>
                <w:rFonts w:cs="Calibri"/>
                <w:color w:val="000000"/>
              </w:rPr>
              <w:t>73</w:t>
            </w:r>
          </w:p>
        </w:tc>
        <w:tc>
          <w:tcPr>
            <w:tcW w:w="692" w:type="pct"/>
            <w:vAlign w:val="center"/>
          </w:tcPr>
          <w:p w:rsidR="004D5CFB" w:rsidRDefault="004D5CFB" w:rsidP="004D5CFB">
            <w:pPr>
              <w:spacing w:before="60" w:after="60"/>
            </w:pPr>
            <w:r w:rsidRPr="004D5CFB">
              <w:rPr>
                <w:rFonts w:cs="Calibri"/>
                <w:color w:val="000000"/>
              </w:rPr>
              <w:t>0.0083</w:t>
            </w:r>
          </w:p>
        </w:tc>
      </w:tr>
      <w:tr w:rsidR="004D5CFB" w:rsidTr="004D5CFB">
        <w:trPr>
          <w:trHeight w:val="20"/>
        </w:trPr>
        <w:tc>
          <w:tcPr>
            <w:tcW w:w="873" w:type="pct"/>
            <w:vAlign w:val="center"/>
          </w:tcPr>
          <w:p w:rsidR="004D5CFB" w:rsidRDefault="004D5CFB" w:rsidP="004D5CFB">
            <w:pPr>
              <w:spacing w:before="60" w:after="60"/>
            </w:pPr>
            <w:r w:rsidRPr="004D5CFB">
              <w:rPr>
                <w:color w:val="000000"/>
              </w:rPr>
              <w:t>30</w:t>
            </w:r>
          </w:p>
        </w:tc>
        <w:tc>
          <w:tcPr>
            <w:tcW w:w="559" w:type="pct"/>
            <w:vAlign w:val="center"/>
          </w:tcPr>
          <w:p w:rsidR="004D5CFB" w:rsidRDefault="004D5CFB" w:rsidP="004D5CFB">
            <w:pPr>
              <w:spacing w:before="60" w:after="60"/>
            </w:pPr>
            <w:r w:rsidRPr="004D5CFB">
              <w:rPr>
                <w:color w:val="000000"/>
              </w:rPr>
              <w:t>8</w:t>
            </w:r>
          </w:p>
        </w:tc>
        <w:tc>
          <w:tcPr>
            <w:tcW w:w="559" w:type="pct"/>
            <w:vAlign w:val="center"/>
          </w:tcPr>
          <w:p w:rsidR="004D5CFB" w:rsidRDefault="004D5CFB" w:rsidP="004D5CFB">
            <w:pPr>
              <w:spacing w:before="60" w:after="60"/>
            </w:pPr>
            <w:r w:rsidRPr="004D5CFB">
              <w:rPr>
                <w:color w:val="000000"/>
              </w:rPr>
              <w:t>18</w:t>
            </w:r>
          </w:p>
        </w:tc>
        <w:tc>
          <w:tcPr>
            <w:tcW w:w="813" w:type="pct"/>
            <w:vAlign w:val="center"/>
          </w:tcPr>
          <w:p w:rsidR="004D5CFB" w:rsidRDefault="004D5CFB" w:rsidP="004D5CFB">
            <w:pPr>
              <w:spacing w:before="60" w:after="60"/>
            </w:pPr>
            <w:r w:rsidRPr="004D5CFB">
              <w:rPr>
                <w:color w:val="000000"/>
              </w:rPr>
              <w:t>19.16</w:t>
            </w:r>
          </w:p>
        </w:tc>
        <w:tc>
          <w:tcPr>
            <w:tcW w:w="813" w:type="pct"/>
            <w:vAlign w:val="center"/>
          </w:tcPr>
          <w:p w:rsidR="004D5CFB" w:rsidRDefault="004D5CFB" w:rsidP="004D5CFB">
            <w:pPr>
              <w:spacing w:before="60" w:after="60"/>
            </w:pPr>
            <w:r w:rsidRPr="004D5CFB">
              <w:rPr>
                <w:color w:val="000000"/>
              </w:rPr>
              <w:t>20.94</w:t>
            </w:r>
          </w:p>
        </w:tc>
        <w:tc>
          <w:tcPr>
            <w:tcW w:w="691" w:type="pct"/>
            <w:vAlign w:val="center"/>
          </w:tcPr>
          <w:p w:rsidR="004D5CFB" w:rsidRDefault="004D5CFB" w:rsidP="004D5CFB">
            <w:pPr>
              <w:spacing w:before="60" w:after="60"/>
            </w:pPr>
            <w:r w:rsidRPr="004D5CFB">
              <w:rPr>
                <w:rFonts w:cs="Calibri"/>
                <w:color w:val="000000"/>
              </w:rPr>
              <w:t>163</w:t>
            </w:r>
          </w:p>
        </w:tc>
        <w:tc>
          <w:tcPr>
            <w:tcW w:w="692" w:type="pct"/>
            <w:vAlign w:val="center"/>
          </w:tcPr>
          <w:p w:rsidR="004D5CFB" w:rsidRDefault="004D5CFB" w:rsidP="004D5CFB">
            <w:pPr>
              <w:spacing w:before="60" w:after="60"/>
            </w:pPr>
            <w:r w:rsidRPr="004D5CFB">
              <w:rPr>
                <w:rFonts w:cs="Calibri"/>
                <w:color w:val="000000"/>
              </w:rPr>
              <w:t>0.0186</w:t>
            </w:r>
          </w:p>
        </w:tc>
      </w:tr>
      <w:tr w:rsidR="004D5CFB" w:rsidTr="004D5CFB">
        <w:trPr>
          <w:trHeight w:val="20"/>
        </w:trPr>
        <w:tc>
          <w:tcPr>
            <w:tcW w:w="873" w:type="pct"/>
            <w:vAlign w:val="center"/>
          </w:tcPr>
          <w:p w:rsidR="004D5CFB" w:rsidRDefault="004D5CFB" w:rsidP="004D5CFB">
            <w:pPr>
              <w:spacing w:before="60" w:after="60"/>
            </w:pPr>
            <w:r w:rsidRPr="004D5CFB">
              <w:rPr>
                <w:color w:val="000000"/>
              </w:rPr>
              <w:t>30</w:t>
            </w:r>
          </w:p>
        </w:tc>
        <w:tc>
          <w:tcPr>
            <w:tcW w:w="559" w:type="pct"/>
            <w:vAlign w:val="center"/>
          </w:tcPr>
          <w:p w:rsidR="004D5CFB" w:rsidRDefault="004D5CFB" w:rsidP="004D5CFB">
            <w:pPr>
              <w:spacing w:before="60" w:after="60"/>
            </w:pPr>
            <w:r w:rsidRPr="004D5CFB">
              <w:rPr>
                <w:color w:val="000000"/>
              </w:rPr>
              <w:t>10</w:t>
            </w:r>
          </w:p>
        </w:tc>
        <w:tc>
          <w:tcPr>
            <w:tcW w:w="559" w:type="pct"/>
            <w:vAlign w:val="center"/>
          </w:tcPr>
          <w:p w:rsidR="004D5CFB" w:rsidRDefault="004D5CFB" w:rsidP="004D5CFB">
            <w:pPr>
              <w:spacing w:before="60" w:after="60"/>
            </w:pPr>
            <w:r w:rsidRPr="004D5CFB">
              <w:rPr>
                <w:color w:val="000000"/>
              </w:rPr>
              <w:t>20</w:t>
            </w:r>
          </w:p>
        </w:tc>
        <w:tc>
          <w:tcPr>
            <w:tcW w:w="813" w:type="pct"/>
            <w:vAlign w:val="center"/>
          </w:tcPr>
          <w:p w:rsidR="004D5CFB" w:rsidRDefault="004D5CFB" w:rsidP="004D5CFB">
            <w:pPr>
              <w:spacing w:before="60" w:after="60"/>
            </w:pPr>
            <w:r w:rsidRPr="004D5CFB">
              <w:rPr>
                <w:color w:val="000000"/>
              </w:rPr>
              <w:t>19.16</w:t>
            </w:r>
          </w:p>
        </w:tc>
        <w:tc>
          <w:tcPr>
            <w:tcW w:w="813" w:type="pct"/>
            <w:vAlign w:val="center"/>
          </w:tcPr>
          <w:p w:rsidR="004D5CFB" w:rsidRDefault="004D5CFB" w:rsidP="004D5CFB">
            <w:pPr>
              <w:spacing w:before="60" w:after="60"/>
            </w:pPr>
            <w:r w:rsidRPr="004D5CFB">
              <w:rPr>
                <w:color w:val="000000"/>
              </w:rPr>
              <w:t>20.94</w:t>
            </w:r>
          </w:p>
        </w:tc>
        <w:tc>
          <w:tcPr>
            <w:tcW w:w="691" w:type="pct"/>
            <w:vAlign w:val="center"/>
          </w:tcPr>
          <w:p w:rsidR="004D5CFB" w:rsidRDefault="004D5CFB" w:rsidP="004D5CFB">
            <w:pPr>
              <w:spacing w:before="60" w:after="60"/>
            </w:pPr>
            <w:r w:rsidRPr="004D5CFB">
              <w:rPr>
                <w:rFonts w:cs="Calibri"/>
                <w:color w:val="000000"/>
              </w:rPr>
              <w:t>115</w:t>
            </w:r>
          </w:p>
        </w:tc>
        <w:tc>
          <w:tcPr>
            <w:tcW w:w="692" w:type="pct"/>
            <w:vAlign w:val="center"/>
          </w:tcPr>
          <w:p w:rsidR="004D5CFB" w:rsidRDefault="004D5CFB" w:rsidP="004D5CFB">
            <w:pPr>
              <w:spacing w:before="60" w:after="60"/>
            </w:pPr>
            <w:r w:rsidRPr="004D5CFB">
              <w:rPr>
                <w:rFonts w:cs="Calibri"/>
                <w:color w:val="000000"/>
              </w:rPr>
              <w:t>0.0131</w:t>
            </w:r>
          </w:p>
        </w:tc>
      </w:tr>
      <w:tr w:rsidR="004D5CFB" w:rsidTr="004D5CFB">
        <w:trPr>
          <w:trHeight w:val="20"/>
        </w:trPr>
        <w:tc>
          <w:tcPr>
            <w:tcW w:w="873" w:type="pct"/>
            <w:vAlign w:val="center"/>
          </w:tcPr>
          <w:p w:rsidR="004D5CFB" w:rsidRDefault="004D5CFB" w:rsidP="004D5CFB">
            <w:pPr>
              <w:spacing w:before="60" w:after="60"/>
            </w:pPr>
            <w:r w:rsidRPr="004D5CFB">
              <w:rPr>
                <w:color w:val="000000"/>
              </w:rPr>
              <w:t>30</w:t>
            </w:r>
          </w:p>
        </w:tc>
        <w:tc>
          <w:tcPr>
            <w:tcW w:w="559" w:type="pct"/>
            <w:vAlign w:val="center"/>
          </w:tcPr>
          <w:p w:rsidR="004D5CFB" w:rsidRDefault="004D5CFB" w:rsidP="004D5CFB">
            <w:pPr>
              <w:spacing w:before="60" w:after="60"/>
            </w:pPr>
            <w:r w:rsidRPr="004D5CFB">
              <w:rPr>
                <w:color w:val="000000"/>
              </w:rPr>
              <w:t>12</w:t>
            </w:r>
          </w:p>
        </w:tc>
        <w:tc>
          <w:tcPr>
            <w:tcW w:w="559" w:type="pct"/>
            <w:vAlign w:val="center"/>
          </w:tcPr>
          <w:p w:rsidR="004D5CFB" w:rsidRDefault="004D5CFB" w:rsidP="004D5CFB">
            <w:pPr>
              <w:spacing w:before="60" w:after="60"/>
            </w:pPr>
            <w:r w:rsidRPr="004D5CFB">
              <w:rPr>
                <w:color w:val="000000"/>
              </w:rPr>
              <w:t>22</w:t>
            </w:r>
          </w:p>
        </w:tc>
        <w:tc>
          <w:tcPr>
            <w:tcW w:w="813" w:type="pct"/>
            <w:vAlign w:val="center"/>
          </w:tcPr>
          <w:p w:rsidR="004D5CFB" w:rsidRDefault="004D5CFB" w:rsidP="004D5CFB">
            <w:pPr>
              <w:spacing w:before="60" w:after="60"/>
            </w:pPr>
            <w:r w:rsidRPr="004D5CFB">
              <w:rPr>
                <w:color w:val="000000"/>
              </w:rPr>
              <w:t>19.16</w:t>
            </w:r>
          </w:p>
        </w:tc>
        <w:tc>
          <w:tcPr>
            <w:tcW w:w="813" w:type="pct"/>
            <w:vAlign w:val="center"/>
          </w:tcPr>
          <w:p w:rsidR="004D5CFB" w:rsidRDefault="004D5CFB" w:rsidP="004D5CFB">
            <w:pPr>
              <w:spacing w:before="60" w:after="60"/>
            </w:pPr>
            <w:r w:rsidRPr="004D5CFB">
              <w:rPr>
                <w:color w:val="000000"/>
              </w:rPr>
              <w:t>20.94</w:t>
            </w:r>
          </w:p>
        </w:tc>
        <w:tc>
          <w:tcPr>
            <w:tcW w:w="691" w:type="pct"/>
            <w:vAlign w:val="center"/>
          </w:tcPr>
          <w:p w:rsidR="004D5CFB" w:rsidRDefault="004D5CFB" w:rsidP="004D5CFB">
            <w:pPr>
              <w:spacing w:before="60" w:after="60"/>
            </w:pPr>
            <w:r w:rsidRPr="004D5CFB">
              <w:rPr>
                <w:rFonts w:cs="Calibri"/>
                <w:color w:val="000000"/>
              </w:rPr>
              <w:t>85</w:t>
            </w:r>
          </w:p>
        </w:tc>
        <w:tc>
          <w:tcPr>
            <w:tcW w:w="692" w:type="pct"/>
            <w:vAlign w:val="center"/>
          </w:tcPr>
          <w:p w:rsidR="004D5CFB" w:rsidRDefault="004D5CFB" w:rsidP="004D5CFB">
            <w:pPr>
              <w:spacing w:before="60" w:after="60"/>
            </w:pPr>
            <w:r w:rsidRPr="004D5CFB">
              <w:rPr>
                <w:rFonts w:cs="Calibri"/>
                <w:color w:val="000000"/>
              </w:rPr>
              <w:t>0.0097</w:t>
            </w:r>
          </w:p>
        </w:tc>
      </w:tr>
      <w:tr w:rsidR="004D5CFB" w:rsidTr="004D5CFB">
        <w:trPr>
          <w:trHeight w:val="20"/>
        </w:trPr>
        <w:tc>
          <w:tcPr>
            <w:tcW w:w="873" w:type="pct"/>
            <w:vAlign w:val="center"/>
          </w:tcPr>
          <w:p w:rsidR="004D5CFB" w:rsidRDefault="004D5CFB" w:rsidP="004D5CFB">
            <w:pPr>
              <w:spacing w:before="60" w:after="60"/>
            </w:pPr>
            <w:r w:rsidRPr="004D5CFB">
              <w:rPr>
                <w:color w:val="000000"/>
              </w:rPr>
              <w:t>40</w:t>
            </w:r>
          </w:p>
        </w:tc>
        <w:tc>
          <w:tcPr>
            <w:tcW w:w="559" w:type="pct"/>
            <w:vAlign w:val="center"/>
          </w:tcPr>
          <w:p w:rsidR="004D5CFB" w:rsidRDefault="004D5CFB" w:rsidP="004D5CFB">
            <w:pPr>
              <w:spacing w:before="60" w:after="60"/>
            </w:pPr>
            <w:r w:rsidRPr="004D5CFB">
              <w:rPr>
                <w:color w:val="000000"/>
              </w:rPr>
              <w:t>8</w:t>
            </w:r>
          </w:p>
        </w:tc>
        <w:tc>
          <w:tcPr>
            <w:tcW w:w="559" w:type="pct"/>
            <w:vAlign w:val="center"/>
          </w:tcPr>
          <w:p w:rsidR="004D5CFB" w:rsidRDefault="004D5CFB" w:rsidP="004D5CFB">
            <w:pPr>
              <w:spacing w:before="60" w:after="60"/>
            </w:pPr>
            <w:r w:rsidRPr="004D5CFB">
              <w:rPr>
                <w:color w:val="000000"/>
              </w:rPr>
              <w:t>16</w:t>
            </w:r>
          </w:p>
        </w:tc>
        <w:tc>
          <w:tcPr>
            <w:tcW w:w="813" w:type="pct"/>
            <w:vAlign w:val="center"/>
          </w:tcPr>
          <w:p w:rsidR="004D5CFB" w:rsidRDefault="004D5CFB" w:rsidP="004D5CFB">
            <w:pPr>
              <w:spacing w:before="60" w:after="60"/>
            </w:pPr>
            <w:r w:rsidRPr="004D5CFB">
              <w:rPr>
                <w:color w:val="000000"/>
              </w:rPr>
              <w:t>23.18</w:t>
            </w:r>
          </w:p>
        </w:tc>
        <w:tc>
          <w:tcPr>
            <w:tcW w:w="813" w:type="pct"/>
            <w:vAlign w:val="center"/>
          </w:tcPr>
          <w:p w:rsidR="004D5CFB" w:rsidRDefault="004D5CFB" w:rsidP="004D5CFB">
            <w:pPr>
              <w:spacing w:before="60" w:after="60"/>
            </w:pPr>
            <w:r w:rsidRPr="004D5CFB">
              <w:rPr>
                <w:color w:val="000000"/>
              </w:rPr>
              <w:t>25.31</w:t>
            </w:r>
          </w:p>
        </w:tc>
        <w:tc>
          <w:tcPr>
            <w:tcW w:w="691" w:type="pct"/>
            <w:vAlign w:val="center"/>
          </w:tcPr>
          <w:p w:rsidR="004D5CFB" w:rsidRDefault="004D5CFB" w:rsidP="004D5CFB">
            <w:pPr>
              <w:spacing w:before="60" w:after="60"/>
            </w:pPr>
            <w:r w:rsidRPr="004D5CFB">
              <w:rPr>
                <w:rFonts w:cs="Calibri"/>
                <w:color w:val="000000"/>
              </w:rPr>
              <w:t>174</w:t>
            </w:r>
          </w:p>
        </w:tc>
        <w:tc>
          <w:tcPr>
            <w:tcW w:w="692" w:type="pct"/>
            <w:vAlign w:val="center"/>
          </w:tcPr>
          <w:p w:rsidR="004D5CFB" w:rsidRDefault="004D5CFB" w:rsidP="004D5CFB">
            <w:pPr>
              <w:spacing w:before="60" w:after="60"/>
            </w:pPr>
            <w:r w:rsidRPr="004D5CFB">
              <w:rPr>
                <w:rFonts w:cs="Calibri"/>
                <w:color w:val="000000"/>
              </w:rPr>
              <w:t>0.0198</w:t>
            </w:r>
          </w:p>
        </w:tc>
      </w:tr>
      <w:tr w:rsidR="004D5CFB" w:rsidTr="004D5CFB">
        <w:trPr>
          <w:trHeight w:val="20"/>
        </w:trPr>
        <w:tc>
          <w:tcPr>
            <w:tcW w:w="873" w:type="pct"/>
            <w:vAlign w:val="center"/>
          </w:tcPr>
          <w:p w:rsidR="004D5CFB" w:rsidRDefault="004D5CFB" w:rsidP="004D5CFB">
            <w:pPr>
              <w:spacing w:before="60" w:after="60"/>
            </w:pPr>
            <w:r w:rsidRPr="004D5CFB">
              <w:rPr>
                <w:color w:val="000000"/>
              </w:rPr>
              <w:t>40</w:t>
            </w:r>
          </w:p>
        </w:tc>
        <w:tc>
          <w:tcPr>
            <w:tcW w:w="559" w:type="pct"/>
            <w:vAlign w:val="center"/>
          </w:tcPr>
          <w:p w:rsidR="004D5CFB" w:rsidRDefault="004D5CFB" w:rsidP="004D5CFB">
            <w:pPr>
              <w:spacing w:before="60" w:after="60"/>
            </w:pPr>
            <w:r w:rsidRPr="004D5CFB">
              <w:rPr>
                <w:color w:val="000000"/>
              </w:rPr>
              <w:t>10</w:t>
            </w:r>
          </w:p>
        </w:tc>
        <w:tc>
          <w:tcPr>
            <w:tcW w:w="559" w:type="pct"/>
            <w:vAlign w:val="center"/>
          </w:tcPr>
          <w:p w:rsidR="004D5CFB" w:rsidRDefault="004D5CFB" w:rsidP="004D5CFB">
            <w:pPr>
              <w:spacing w:before="60" w:after="60"/>
            </w:pPr>
            <w:r w:rsidRPr="004D5CFB">
              <w:rPr>
                <w:color w:val="000000"/>
              </w:rPr>
              <w:t>18</w:t>
            </w:r>
          </w:p>
        </w:tc>
        <w:tc>
          <w:tcPr>
            <w:tcW w:w="813" w:type="pct"/>
            <w:vAlign w:val="center"/>
          </w:tcPr>
          <w:p w:rsidR="004D5CFB" w:rsidRDefault="004D5CFB" w:rsidP="004D5CFB">
            <w:pPr>
              <w:spacing w:before="60" w:after="60"/>
            </w:pPr>
            <w:r w:rsidRPr="004D5CFB">
              <w:rPr>
                <w:color w:val="000000"/>
              </w:rPr>
              <w:t>23.18</w:t>
            </w:r>
          </w:p>
        </w:tc>
        <w:tc>
          <w:tcPr>
            <w:tcW w:w="813" w:type="pct"/>
            <w:vAlign w:val="center"/>
          </w:tcPr>
          <w:p w:rsidR="004D5CFB" w:rsidRDefault="004D5CFB" w:rsidP="004D5CFB">
            <w:pPr>
              <w:spacing w:before="60" w:after="60"/>
            </w:pPr>
            <w:r w:rsidRPr="004D5CFB">
              <w:rPr>
                <w:color w:val="000000"/>
              </w:rPr>
              <w:t>25.31</w:t>
            </w:r>
          </w:p>
        </w:tc>
        <w:tc>
          <w:tcPr>
            <w:tcW w:w="691" w:type="pct"/>
            <w:vAlign w:val="center"/>
          </w:tcPr>
          <w:p w:rsidR="004D5CFB" w:rsidRDefault="004D5CFB" w:rsidP="004D5CFB">
            <w:pPr>
              <w:spacing w:before="60" w:after="60"/>
            </w:pPr>
            <w:r w:rsidRPr="004D5CFB">
              <w:rPr>
                <w:rFonts w:cs="Calibri"/>
                <w:color w:val="000000"/>
              </w:rPr>
              <w:t>120</w:t>
            </w:r>
          </w:p>
        </w:tc>
        <w:tc>
          <w:tcPr>
            <w:tcW w:w="692" w:type="pct"/>
            <w:vAlign w:val="center"/>
          </w:tcPr>
          <w:p w:rsidR="004D5CFB" w:rsidRDefault="004D5CFB" w:rsidP="004D5CFB">
            <w:pPr>
              <w:spacing w:before="60" w:after="60"/>
            </w:pPr>
            <w:r w:rsidRPr="004D5CFB">
              <w:rPr>
                <w:rFonts w:cs="Calibri"/>
                <w:color w:val="000000"/>
              </w:rPr>
              <w:t>0.0137</w:t>
            </w:r>
          </w:p>
        </w:tc>
      </w:tr>
      <w:tr w:rsidR="004D5CFB" w:rsidTr="004D5CFB">
        <w:trPr>
          <w:trHeight w:val="20"/>
        </w:trPr>
        <w:tc>
          <w:tcPr>
            <w:tcW w:w="873" w:type="pct"/>
            <w:vAlign w:val="center"/>
          </w:tcPr>
          <w:p w:rsidR="004D5CFB" w:rsidRDefault="004D5CFB" w:rsidP="004D5CFB">
            <w:pPr>
              <w:spacing w:before="60" w:after="60"/>
            </w:pPr>
            <w:r w:rsidRPr="004D5CFB">
              <w:rPr>
                <w:color w:val="000000"/>
              </w:rPr>
              <w:t>40</w:t>
            </w:r>
          </w:p>
        </w:tc>
        <w:tc>
          <w:tcPr>
            <w:tcW w:w="559" w:type="pct"/>
            <w:vAlign w:val="center"/>
          </w:tcPr>
          <w:p w:rsidR="004D5CFB" w:rsidRDefault="004D5CFB" w:rsidP="004D5CFB">
            <w:pPr>
              <w:spacing w:before="60" w:after="60"/>
            </w:pPr>
            <w:r w:rsidRPr="004D5CFB">
              <w:rPr>
                <w:color w:val="000000"/>
              </w:rPr>
              <w:t>12</w:t>
            </w:r>
          </w:p>
        </w:tc>
        <w:tc>
          <w:tcPr>
            <w:tcW w:w="559" w:type="pct"/>
            <w:vAlign w:val="center"/>
          </w:tcPr>
          <w:p w:rsidR="004D5CFB" w:rsidRDefault="004D5CFB" w:rsidP="004D5CFB">
            <w:pPr>
              <w:spacing w:before="60" w:after="60"/>
            </w:pPr>
            <w:r w:rsidRPr="004D5CFB">
              <w:rPr>
                <w:color w:val="000000"/>
              </w:rPr>
              <w:t>20</w:t>
            </w:r>
          </w:p>
        </w:tc>
        <w:tc>
          <w:tcPr>
            <w:tcW w:w="813" w:type="pct"/>
            <w:vAlign w:val="center"/>
          </w:tcPr>
          <w:p w:rsidR="004D5CFB" w:rsidRDefault="004D5CFB" w:rsidP="004D5CFB">
            <w:pPr>
              <w:spacing w:before="60" w:after="60"/>
            </w:pPr>
            <w:r w:rsidRPr="004D5CFB">
              <w:rPr>
                <w:color w:val="000000"/>
              </w:rPr>
              <w:t>23.18</w:t>
            </w:r>
          </w:p>
        </w:tc>
        <w:tc>
          <w:tcPr>
            <w:tcW w:w="813" w:type="pct"/>
            <w:vAlign w:val="center"/>
          </w:tcPr>
          <w:p w:rsidR="004D5CFB" w:rsidRDefault="004D5CFB" w:rsidP="004D5CFB">
            <w:pPr>
              <w:spacing w:before="60" w:after="60"/>
            </w:pPr>
            <w:r w:rsidRPr="004D5CFB">
              <w:rPr>
                <w:color w:val="000000"/>
              </w:rPr>
              <w:t>25.31</w:t>
            </w:r>
          </w:p>
        </w:tc>
        <w:tc>
          <w:tcPr>
            <w:tcW w:w="691" w:type="pct"/>
            <w:vAlign w:val="center"/>
          </w:tcPr>
          <w:p w:rsidR="004D5CFB" w:rsidRDefault="004D5CFB" w:rsidP="004D5CFB">
            <w:pPr>
              <w:spacing w:before="60" w:after="60"/>
            </w:pPr>
            <w:r w:rsidRPr="004D5CFB">
              <w:rPr>
                <w:rFonts w:cs="Calibri"/>
                <w:color w:val="000000"/>
              </w:rPr>
              <w:t>88</w:t>
            </w:r>
          </w:p>
        </w:tc>
        <w:tc>
          <w:tcPr>
            <w:tcW w:w="692" w:type="pct"/>
            <w:vAlign w:val="center"/>
          </w:tcPr>
          <w:p w:rsidR="004D5CFB" w:rsidRDefault="004D5CFB" w:rsidP="004D5CFB">
            <w:pPr>
              <w:spacing w:before="60" w:after="60"/>
            </w:pPr>
            <w:r w:rsidRPr="004D5CFB">
              <w:rPr>
                <w:rFonts w:cs="Calibri"/>
                <w:color w:val="000000"/>
              </w:rPr>
              <w:t>0.0100</w:t>
            </w:r>
          </w:p>
        </w:tc>
      </w:tr>
      <w:tr w:rsidR="004D5CFB" w:rsidTr="004D5CFB">
        <w:trPr>
          <w:trHeight w:val="20"/>
        </w:trPr>
        <w:tc>
          <w:tcPr>
            <w:tcW w:w="873" w:type="pct"/>
            <w:vAlign w:val="center"/>
          </w:tcPr>
          <w:p w:rsidR="004D5CFB" w:rsidRDefault="004D5CFB" w:rsidP="004D5CFB">
            <w:pPr>
              <w:spacing w:before="60" w:after="60"/>
            </w:pPr>
            <w:r w:rsidRPr="004D5CFB">
              <w:rPr>
                <w:color w:val="000000"/>
              </w:rPr>
              <w:t>40</w:t>
            </w:r>
          </w:p>
        </w:tc>
        <w:tc>
          <w:tcPr>
            <w:tcW w:w="559" w:type="pct"/>
            <w:vAlign w:val="center"/>
          </w:tcPr>
          <w:p w:rsidR="004D5CFB" w:rsidRDefault="004D5CFB" w:rsidP="004D5CFB">
            <w:pPr>
              <w:spacing w:before="60" w:after="60"/>
            </w:pPr>
            <w:r w:rsidRPr="004D5CFB">
              <w:rPr>
                <w:color w:val="000000"/>
              </w:rPr>
              <w:t>8</w:t>
            </w:r>
          </w:p>
        </w:tc>
        <w:tc>
          <w:tcPr>
            <w:tcW w:w="559" w:type="pct"/>
            <w:vAlign w:val="center"/>
          </w:tcPr>
          <w:p w:rsidR="004D5CFB" w:rsidRDefault="004D5CFB" w:rsidP="004D5CFB">
            <w:pPr>
              <w:spacing w:before="60" w:after="60"/>
            </w:pPr>
            <w:r w:rsidRPr="004D5CFB">
              <w:rPr>
                <w:color w:val="000000"/>
              </w:rPr>
              <w:t>18</w:t>
            </w:r>
          </w:p>
        </w:tc>
        <w:tc>
          <w:tcPr>
            <w:tcW w:w="813" w:type="pct"/>
            <w:vAlign w:val="center"/>
          </w:tcPr>
          <w:p w:rsidR="004D5CFB" w:rsidRDefault="004D5CFB" w:rsidP="004D5CFB">
            <w:pPr>
              <w:spacing w:before="60" w:after="60"/>
            </w:pPr>
            <w:r w:rsidRPr="004D5CFB">
              <w:rPr>
                <w:color w:val="000000"/>
              </w:rPr>
              <w:t>23.18</w:t>
            </w:r>
          </w:p>
        </w:tc>
        <w:tc>
          <w:tcPr>
            <w:tcW w:w="813" w:type="pct"/>
            <w:vAlign w:val="center"/>
          </w:tcPr>
          <w:p w:rsidR="004D5CFB" w:rsidRDefault="004D5CFB" w:rsidP="004D5CFB">
            <w:pPr>
              <w:spacing w:before="60" w:after="60"/>
            </w:pPr>
            <w:r w:rsidRPr="004D5CFB">
              <w:rPr>
                <w:color w:val="000000"/>
              </w:rPr>
              <w:t>25.31</w:t>
            </w:r>
          </w:p>
        </w:tc>
        <w:tc>
          <w:tcPr>
            <w:tcW w:w="691" w:type="pct"/>
            <w:vAlign w:val="center"/>
          </w:tcPr>
          <w:p w:rsidR="004D5CFB" w:rsidRDefault="004D5CFB" w:rsidP="004D5CFB">
            <w:pPr>
              <w:spacing w:before="60" w:after="60"/>
            </w:pPr>
            <w:r w:rsidRPr="004D5CFB">
              <w:rPr>
                <w:rFonts w:cs="Calibri"/>
                <w:color w:val="000000"/>
              </w:rPr>
              <w:t>197</w:t>
            </w:r>
          </w:p>
        </w:tc>
        <w:tc>
          <w:tcPr>
            <w:tcW w:w="692" w:type="pct"/>
            <w:vAlign w:val="center"/>
          </w:tcPr>
          <w:p w:rsidR="004D5CFB" w:rsidRDefault="004D5CFB" w:rsidP="004D5CFB">
            <w:pPr>
              <w:spacing w:before="60" w:after="60"/>
            </w:pPr>
            <w:r w:rsidRPr="004D5CFB">
              <w:rPr>
                <w:rFonts w:cs="Calibri"/>
                <w:color w:val="000000"/>
              </w:rPr>
              <w:t>0.0225</w:t>
            </w:r>
          </w:p>
        </w:tc>
      </w:tr>
      <w:tr w:rsidR="004D5CFB" w:rsidTr="004D5CFB">
        <w:trPr>
          <w:trHeight w:val="20"/>
        </w:trPr>
        <w:tc>
          <w:tcPr>
            <w:tcW w:w="873" w:type="pct"/>
            <w:vAlign w:val="center"/>
          </w:tcPr>
          <w:p w:rsidR="004D5CFB" w:rsidRDefault="004D5CFB" w:rsidP="004D5CFB">
            <w:pPr>
              <w:spacing w:before="60" w:after="60"/>
            </w:pPr>
            <w:r w:rsidRPr="004D5CFB">
              <w:rPr>
                <w:color w:val="000000"/>
              </w:rPr>
              <w:t>40</w:t>
            </w:r>
          </w:p>
        </w:tc>
        <w:tc>
          <w:tcPr>
            <w:tcW w:w="559" w:type="pct"/>
            <w:vAlign w:val="center"/>
          </w:tcPr>
          <w:p w:rsidR="004D5CFB" w:rsidRDefault="004D5CFB" w:rsidP="004D5CFB">
            <w:pPr>
              <w:spacing w:before="60" w:after="60"/>
            </w:pPr>
            <w:r w:rsidRPr="004D5CFB">
              <w:rPr>
                <w:color w:val="000000"/>
              </w:rPr>
              <w:t>10</w:t>
            </w:r>
          </w:p>
        </w:tc>
        <w:tc>
          <w:tcPr>
            <w:tcW w:w="559" w:type="pct"/>
            <w:vAlign w:val="center"/>
          </w:tcPr>
          <w:p w:rsidR="004D5CFB" w:rsidRDefault="004D5CFB" w:rsidP="004D5CFB">
            <w:pPr>
              <w:spacing w:before="60" w:after="60"/>
            </w:pPr>
            <w:r w:rsidRPr="004D5CFB">
              <w:rPr>
                <w:color w:val="000000"/>
              </w:rPr>
              <w:t>20</w:t>
            </w:r>
          </w:p>
        </w:tc>
        <w:tc>
          <w:tcPr>
            <w:tcW w:w="813" w:type="pct"/>
            <w:vAlign w:val="center"/>
          </w:tcPr>
          <w:p w:rsidR="004D5CFB" w:rsidRDefault="004D5CFB" w:rsidP="004D5CFB">
            <w:pPr>
              <w:spacing w:before="60" w:after="60"/>
            </w:pPr>
            <w:r w:rsidRPr="004D5CFB">
              <w:rPr>
                <w:color w:val="000000"/>
              </w:rPr>
              <w:t>23.18</w:t>
            </w:r>
          </w:p>
        </w:tc>
        <w:tc>
          <w:tcPr>
            <w:tcW w:w="813" w:type="pct"/>
            <w:vAlign w:val="center"/>
          </w:tcPr>
          <w:p w:rsidR="004D5CFB" w:rsidRDefault="004D5CFB" w:rsidP="004D5CFB">
            <w:pPr>
              <w:spacing w:before="60" w:after="60"/>
            </w:pPr>
            <w:r w:rsidRPr="004D5CFB">
              <w:rPr>
                <w:color w:val="000000"/>
              </w:rPr>
              <w:t>25.31</w:t>
            </w:r>
          </w:p>
        </w:tc>
        <w:tc>
          <w:tcPr>
            <w:tcW w:w="691" w:type="pct"/>
            <w:vAlign w:val="center"/>
          </w:tcPr>
          <w:p w:rsidR="004D5CFB" w:rsidRDefault="004D5CFB" w:rsidP="004D5CFB">
            <w:pPr>
              <w:spacing w:before="60" w:after="60"/>
            </w:pPr>
            <w:r w:rsidRPr="004D5CFB">
              <w:rPr>
                <w:rFonts w:cs="Calibri"/>
                <w:color w:val="000000"/>
              </w:rPr>
              <w:t>139</w:t>
            </w:r>
          </w:p>
        </w:tc>
        <w:tc>
          <w:tcPr>
            <w:tcW w:w="692" w:type="pct"/>
            <w:vAlign w:val="center"/>
          </w:tcPr>
          <w:p w:rsidR="004D5CFB" w:rsidRDefault="004D5CFB" w:rsidP="004D5CFB">
            <w:pPr>
              <w:spacing w:before="60" w:after="60"/>
            </w:pPr>
            <w:r w:rsidRPr="004D5CFB">
              <w:rPr>
                <w:rFonts w:cs="Calibri"/>
                <w:color w:val="000000"/>
              </w:rPr>
              <w:t>0.0159</w:t>
            </w:r>
          </w:p>
        </w:tc>
      </w:tr>
      <w:tr w:rsidR="004D5CFB" w:rsidTr="004D5CFB">
        <w:trPr>
          <w:trHeight w:val="20"/>
        </w:trPr>
        <w:tc>
          <w:tcPr>
            <w:tcW w:w="873" w:type="pct"/>
            <w:vAlign w:val="center"/>
          </w:tcPr>
          <w:p w:rsidR="004D5CFB" w:rsidRDefault="004D5CFB" w:rsidP="004D5CFB">
            <w:pPr>
              <w:spacing w:before="60" w:after="60"/>
            </w:pPr>
            <w:r w:rsidRPr="004D5CFB">
              <w:rPr>
                <w:color w:val="000000"/>
              </w:rPr>
              <w:t>40</w:t>
            </w:r>
          </w:p>
        </w:tc>
        <w:tc>
          <w:tcPr>
            <w:tcW w:w="559" w:type="pct"/>
            <w:vAlign w:val="center"/>
          </w:tcPr>
          <w:p w:rsidR="004D5CFB" w:rsidRDefault="004D5CFB" w:rsidP="004D5CFB">
            <w:pPr>
              <w:spacing w:before="60" w:after="60"/>
            </w:pPr>
            <w:r w:rsidRPr="004D5CFB">
              <w:rPr>
                <w:color w:val="000000"/>
              </w:rPr>
              <w:t>12</w:t>
            </w:r>
          </w:p>
        </w:tc>
        <w:tc>
          <w:tcPr>
            <w:tcW w:w="559" w:type="pct"/>
            <w:vAlign w:val="center"/>
          </w:tcPr>
          <w:p w:rsidR="004D5CFB" w:rsidRDefault="004D5CFB" w:rsidP="004D5CFB">
            <w:pPr>
              <w:spacing w:before="60" w:after="60"/>
            </w:pPr>
            <w:r w:rsidRPr="004D5CFB">
              <w:rPr>
                <w:color w:val="000000"/>
              </w:rPr>
              <w:t>22</w:t>
            </w:r>
          </w:p>
        </w:tc>
        <w:tc>
          <w:tcPr>
            <w:tcW w:w="813" w:type="pct"/>
            <w:vAlign w:val="center"/>
          </w:tcPr>
          <w:p w:rsidR="004D5CFB" w:rsidRDefault="004D5CFB" w:rsidP="004D5CFB">
            <w:pPr>
              <w:spacing w:before="60" w:after="60"/>
            </w:pPr>
            <w:r w:rsidRPr="004D5CFB">
              <w:rPr>
                <w:color w:val="000000"/>
              </w:rPr>
              <w:t>23.18</w:t>
            </w:r>
          </w:p>
        </w:tc>
        <w:tc>
          <w:tcPr>
            <w:tcW w:w="813" w:type="pct"/>
            <w:vAlign w:val="center"/>
          </w:tcPr>
          <w:p w:rsidR="004D5CFB" w:rsidRDefault="004D5CFB" w:rsidP="004D5CFB">
            <w:pPr>
              <w:spacing w:before="60" w:after="60"/>
            </w:pPr>
            <w:r w:rsidRPr="004D5CFB">
              <w:rPr>
                <w:color w:val="000000"/>
              </w:rPr>
              <w:t>25.31</w:t>
            </w:r>
          </w:p>
        </w:tc>
        <w:tc>
          <w:tcPr>
            <w:tcW w:w="691" w:type="pct"/>
            <w:vAlign w:val="center"/>
          </w:tcPr>
          <w:p w:rsidR="004D5CFB" w:rsidRDefault="004D5CFB" w:rsidP="004D5CFB">
            <w:pPr>
              <w:spacing w:before="60" w:after="60"/>
            </w:pPr>
            <w:r w:rsidRPr="004D5CFB">
              <w:rPr>
                <w:rFonts w:cs="Calibri"/>
                <w:color w:val="000000"/>
              </w:rPr>
              <w:t>103</w:t>
            </w:r>
          </w:p>
        </w:tc>
        <w:tc>
          <w:tcPr>
            <w:tcW w:w="692" w:type="pct"/>
            <w:vAlign w:val="center"/>
          </w:tcPr>
          <w:p w:rsidR="004D5CFB" w:rsidRDefault="004D5CFB" w:rsidP="004D5CFB">
            <w:pPr>
              <w:spacing w:before="60" w:after="60"/>
            </w:pPr>
            <w:r w:rsidRPr="004D5CFB">
              <w:rPr>
                <w:rFonts w:cs="Calibri"/>
                <w:color w:val="000000"/>
              </w:rPr>
              <w:t>0.0118</w:t>
            </w:r>
          </w:p>
        </w:tc>
      </w:tr>
      <w:tr w:rsidR="004D5CFB" w:rsidTr="004D5CFB">
        <w:trPr>
          <w:trHeight w:val="20"/>
        </w:trPr>
        <w:tc>
          <w:tcPr>
            <w:tcW w:w="873" w:type="pct"/>
            <w:vAlign w:val="center"/>
          </w:tcPr>
          <w:p w:rsidR="004D5CFB" w:rsidRDefault="004D5CFB" w:rsidP="004D5CFB">
            <w:pPr>
              <w:spacing w:before="60" w:after="60"/>
            </w:pPr>
            <w:r w:rsidRPr="004D5CFB">
              <w:rPr>
                <w:color w:val="000000"/>
              </w:rPr>
              <w:t>50</w:t>
            </w:r>
          </w:p>
        </w:tc>
        <w:tc>
          <w:tcPr>
            <w:tcW w:w="559" w:type="pct"/>
            <w:vAlign w:val="center"/>
          </w:tcPr>
          <w:p w:rsidR="004D5CFB" w:rsidRDefault="004D5CFB" w:rsidP="004D5CFB">
            <w:pPr>
              <w:spacing w:before="60" w:after="60"/>
            </w:pPr>
            <w:r w:rsidRPr="004D5CFB">
              <w:rPr>
                <w:color w:val="000000"/>
              </w:rPr>
              <w:t>8</w:t>
            </w:r>
          </w:p>
        </w:tc>
        <w:tc>
          <w:tcPr>
            <w:tcW w:w="559" w:type="pct"/>
            <w:vAlign w:val="center"/>
          </w:tcPr>
          <w:p w:rsidR="004D5CFB" w:rsidRDefault="004D5CFB" w:rsidP="004D5CFB">
            <w:pPr>
              <w:spacing w:before="60" w:after="60"/>
            </w:pPr>
            <w:r w:rsidRPr="004D5CFB">
              <w:rPr>
                <w:color w:val="000000"/>
              </w:rPr>
              <w:t>16</w:t>
            </w:r>
          </w:p>
        </w:tc>
        <w:tc>
          <w:tcPr>
            <w:tcW w:w="813" w:type="pct"/>
            <w:vAlign w:val="center"/>
          </w:tcPr>
          <w:p w:rsidR="004D5CFB" w:rsidRDefault="004D5CFB" w:rsidP="004D5CFB">
            <w:pPr>
              <w:spacing w:before="60" w:after="60"/>
            </w:pPr>
            <w:r w:rsidRPr="004D5CFB">
              <w:rPr>
                <w:color w:val="000000"/>
              </w:rPr>
              <w:t>24.99</w:t>
            </w:r>
          </w:p>
        </w:tc>
        <w:tc>
          <w:tcPr>
            <w:tcW w:w="813" w:type="pct"/>
            <w:vAlign w:val="center"/>
          </w:tcPr>
          <w:p w:rsidR="004D5CFB" w:rsidRDefault="004D5CFB" w:rsidP="004D5CFB">
            <w:pPr>
              <w:spacing w:before="60" w:after="60"/>
            </w:pPr>
            <w:r w:rsidRPr="004D5CFB">
              <w:rPr>
                <w:color w:val="000000"/>
              </w:rPr>
              <w:t>27.06</w:t>
            </w:r>
          </w:p>
        </w:tc>
        <w:tc>
          <w:tcPr>
            <w:tcW w:w="691" w:type="pct"/>
            <w:vAlign w:val="center"/>
          </w:tcPr>
          <w:p w:rsidR="004D5CFB" w:rsidRDefault="004D5CFB" w:rsidP="004D5CFB">
            <w:pPr>
              <w:spacing w:before="60" w:after="60"/>
            </w:pPr>
            <w:r w:rsidRPr="004D5CFB">
              <w:rPr>
                <w:rFonts w:cs="Calibri"/>
                <w:color w:val="000000"/>
              </w:rPr>
              <w:t>190</w:t>
            </w:r>
          </w:p>
        </w:tc>
        <w:tc>
          <w:tcPr>
            <w:tcW w:w="692" w:type="pct"/>
            <w:vAlign w:val="center"/>
          </w:tcPr>
          <w:p w:rsidR="004D5CFB" w:rsidRDefault="004D5CFB" w:rsidP="004D5CFB">
            <w:pPr>
              <w:spacing w:before="60" w:after="60"/>
            </w:pPr>
            <w:r w:rsidRPr="004D5CFB">
              <w:rPr>
                <w:rFonts w:cs="Calibri"/>
                <w:color w:val="000000"/>
              </w:rPr>
              <w:t>0.0217</w:t>
            </w:r>
          </w:p>
        </w:tc>
      </w:tr>
      <w:tr w:rsidR="004D5CFB" w:rsidTr="004D5CFB">
        <w:trPr>
          <w:trHeight w:val="20"/>
        </w:trPr>
        <w:tc>
          <w:tcPr>
            <w:tcW w:w="873" w:type="pct"/>
            <w:vAlign w:val="center"/>
          </w:tcPr>
          <w:p w:rsidR="004D5CFB" w:rsidRDefault="004D5CFB" w:rsidP="004D5CFB">
            <w:pPr>
              <w:spacing w:before="60" w:after="60"/>
            </w:pPr>
            <w:r w:rsidRPr="004D5CFB">
              <w:rPr>
                <w:color w:val="000000"/>
              </w:rPr>
              <w:t>50</w:t>
            </w:r>
          </w:p>
        </w:tc>
        <w:tc>
          <w:tcPr>
            <w:tcW w:w="559" w:type="pct"/>
            <w:vAlign w:val="center"/>
          </w:tcPr>
          <w:p w:rsidR="004D5CFB" w:rsidRDefault="004D5CFB" w:rsidP="004D5CFB">
            <w:pPr>
              <w:spacing w:before="60" w:after="60"/>
            </w:pPr>
            <w:r w:rsidRPr="004D5CFB">
              <w:rPr>
                <w:color w:val="000000"/>
              </w:rPr>
              <w:t>10</w:t>
            </w:r>
          </w:p>
        </w:tc>
        <w:tc>
          <w:tcPr>
            <w:tcW w:w="559" w:type="pct"/>
            <w:vAlign w:val="center"/>
          </w:tcPr>
          <w:p w:rsidR="004D5CFB" w:rsidRDefault="004D5CFB" w:rsidP="004D5CFB">
            <w:pPr>
              <w:spacing w:before="60" w:after="60"/>
            </w:pPr>
            <w:r w:rsidRPr="004D5CFB">
              <w:rPr>
                <w:color w:val="000000"/>
              </w:rPr>
              <w:t>18</w:t>
            </w:r>
          </w:p>
        </w:tc>
        <w:tc>
          <w:tcPr>
            <w:tcW w:w="813" w:type="pct"/>
            <w:vAlign w:val="center"/>
          </w:tcPr>
          <w:p w:rsidR="004D5CFB" w:rsidRDefault="004D5CFB" w:rsidP="004D5CFB">
            <w:pPr>
              <w:spacing w:before="60" w:after="60"/>
            </w:pPr>
            <w:r w:rsidRPr="004D5CFB">
              <w:rPr>
                <w:color w:val="000000"/>
              </w:rPr>
              <w:t>24.99</w:t>
            </w:r>
          </w:p>
        </w:tc>
        <w:tc>
          <w:tcPr>
            <w:tcW w:w="813" w:type="pct"/>
            <w:vAlign w:val="center"/>
          </w:tcPr>
          <w:p w:rsidR="004D5CFB" w:rsidRDefault="004D5CFB" w:rsidP="004D5CFB">
            <w:pPr>
              <w:spacing w:before="60" w:after="60"/>
            </w:pPr>
            <w:r w:rsidRPr="004D5CFB">
              <w:rPr>
                <w:color w:val="000000"/>
              </w:rPr>
              <w:t>27.06</w:t>
            </w:r>
          </w:p>
        </w:tc>
        <w:tc>
          <w:tcPr>
            <w:tcW w:w="691" w:type="pct"/>
            <w:vAlign w:val="center"/>
          </w:tcPr>
          <w:p w:rsidR="004D5CFB" w:rsidRDefault="004D5CFB" w:rsidP="004D5CFB">
            <w:pPr>
              <w:spacing w:before="60" w:after="60"/>
            </w:pPr>
            <w:r w:rsidRPr="004D5CFB">
              <w:rPr>
                <w:rFonts w:cs="Calibri"/>
                <w:color w:val="000000"/>
              </w:rPr>
              <w:t>131</w:t>
            </w:r>
          </w:p>
        </w:tc>
        <w:tc>
          <w:tcPr>
            <w:tcW w:w="692" w:type="pct"/>
            <w:vAlign w:val="center"/>
          </w:tcPr>
          <w:p w:rsidR="004D5CFB" w:rsidRDefault="004D5CFB" w:rsidP="004D5CFB">
            <w:pPr>
              <w:spacing w:before="60" w:after="60"/>
            </w:pPr>
            <w:r w:rsidRPr="004D5CFB">
              <w:rPr>
                <w:rFonts w:cs="Calibri"/>
                <w:color w:val="000000"/>
              </w:rPr>
              <w:t>0.0150</w:t>
            </w:r>
          </w:p>
        </w:tc>
      </w:tr>
      <w:tr w:rsidR="004D5CFB" w:rsidTr="004D5CFB">
        <w:trPr>
          <w:trHeight w:val="20"/>
        </w:trPr>
        <w:tc>
          <w:tcPr>
            <w:tcW w:w="873" w:type="pct"/>
            <w:vAlign w:val="center"/>
          </w:tcPr>
          <w:p w:rsidR="004D5CFB" w:rsidRDefault="004D5CFB" w:rsidP="004D5CFB">
            <w:pPr>
              <w:spacing w:before="60" w:after="60"/>
            </w:pPr>
            <w:r w:rsidRPr="004D5CFB">
              <w:rPr>
                <w:color w:val="000000"/>
              </w:rPr>
              <w:t>50</w:t>
            </w:r>
          </w:p>
        </w:tc>
        <w:tc>
          <w:tcPr>
            <w:tcW w:w="559" w:type="pct"/>
            <w:vAlign w:val="center"/>
          </w:tcPr>
          <w:p w:rsidR="004D5CFB" w:rsidRDefault="004D5CFB" w:rsidP="004D5CFB">
            <w:pPr>
              <w:spacing w:before="60" w:after="60"/>
            </w:pPr>
            <w:r w:rsidRPr="004D5CFB">
              <w:rPr>
                <w:color w:val="000000"/>
              </w:rPr>
              <w:t>12</w:t>
            </w:r>
          </w:p>
        </w:tc>
        <w:tc>
          <w:tcPr>
            <w:tcW w:w="559" w:type="pct"/>
            <w:vAlign w:val="center"/>
          </w:tcPr>
          <w:p w:rsidR="004D5CFB" w:rsidRDefault="004D5CFB" w:rsidP="004D5CFB">
            <w:pPr>
              <w:spacing w:before="60" w:after="60"/>
            </w:pPr>
            <w:r w:rsidRPr="004D5CFB">
              <w:rPr>
                <w:color w:val="000000"/>
              </w:rPr>
              <w:t>20</w:t>
            </w:r>
          </w:p>
        </w:tc>
        <w:tc>
          <w:tcPr>
            <w:tcW w:w="813" w:type="pct"/>
            <w:vAlign w:val="center"/>
          </w:tcPr>
          <w:p w:rsidR="004D5CFB" w:rsidRDefault="004D5CFB" w:rsidP="004D5CFB">
            <w:pPr>
              <w:spacing w:before="60" w:after="60"/>
            </w:pPr>
            <w:r w:rsidRPr="004D5CFB">
              <w:rPr>
                <w:color w:val="000000"/>
              </w:rPr>
              <w:t>24.99</w:t>
            </w:r>
          </w:p>
        </w:tc>
        <w:tc>
          <w:tcPr>
            <w:tcW w:w="813" w:type="pct"/>
            <w:vAlign w:val="center"/>
          </w:tcPr>
          <w:p w:rsidR="004D5CFB" w:rsidRDefault="004D5CFB" w:rsidP="004D5CFB">
            <w:pPr>
              <w:spacing w:before="60" w:after="60"/>
            </w:pPr>
            <w:r w:rsidRPr="004D5CFB">
              <w:rPr>
                <w:color w:val="000000"/>
              </w:rPr>
              <w:t>27.06</w:t>
            </w:r>
          </w:p>
        </w:tc>
        <w:tc>
          <w:tcPr>
            <w:tcW w:w="691" w:type="pct"/>
            <w:vAlign w:val="center"/>
          </w:tcPr>
          <w:p w:rsidR="004D5CFB" w:rsidRDefault="004D5CFB" w:rsidP="004D5CFB">
            <w:pPr>
              <w:spacing w:before="60" w:after="60"/>
            </w:pPr>
            <w:r w:rsidRPr="004D5CFB">
              <w:rPr>
                <w:rFonts w:cs="Calibri"/>
                <w:color w:val="000000"/>
              </w:rPr>
              <w:t>97</w:t>
            </w:r>
          </w:p>
        </w:tc>
        <w:tc>
          <w:tcPr>
            <w:tcW w:w="692" w:type="pct"/>
            <w:vAlign w:val="center"/>
          </w:tcPr>
          <w:p w:rsidR="004D5CFB" w:rsidRDefault="004D5CFB" w:rsidP="004D5CFB">
            <w:pPr>
              <w:spacing w:before="60" w:after="60"/>
            </w:pPr>
            <w:r w:rsidRPr="004D5CFB">
              <w:rPr>
                <w:rFonts w:cs="Calibri"/>
                <w:color w:val="000000"/>
              </w:rPr>
              <w:t>0.0111</w:t>
            </w:r>
          </w:p>
        </w:tc>
      </w:tr>
      <w:tr w:rsidR="004D5CFB" w:rsidTr="004D5CFB">
        <w:trPr>
          <w:trHeight w:val="20"/>
        </w:trPr>
        <w:tc>
          <w:tcPr>
            <w:tcW w:w="873" w:type="pct"/>
            <w:vAlign w:val="center"/>
          </w:tcPr>
          <w:p w:rsidR="004D5CFB" w:rsidRDefault="004D5CFB" w:rsidP="004D5CFB">
            <w:pPr>
              <w:spacing w:before="60" w:after="60"/>
            </w:pPr>
            <w:r w:rsidRPr="004D5CFB">
              <w:rPr>
                <w:color w:val="000000"/>
              </w:rPr>
              <w:t>50</w:t>
            </w:r>
          </w:p>
        </w:tc>
        <w:tc>
          <w:tcPr>
            <w:tcW w:w="559" w:type="pct"/>
            <w:vAlign w:val="center"/>
          </w:tcPr>
          <w:p w:rsidR="004D5CFB" w:rsidRDefault="004D5CFB" w:rsidP="004D5CFB">
            <w:pPr>
              <w:spacing w:before="60" w:after="60"/>
            </w:pPr>
            <w:r w:rsidRPr="004D5CFB">
              <w:rPr>
                <w:color w:val="000000"/>
              </w:rPr>
              <w:t>8</w:t>
            </w:r>
          </w:p>
        </w:tc>
        <w:tc>
          <w:tcPr>
            <w:tcW w:w="559" w:type="pct"/>
            <w:vAlign w:val="center"/>
          </w:tcPr>
          <w:p w:rsidR="004D5CFB" w:rsidRDefault="004D5CFB" w:rsidP="004D5CFB">
            <w:pPr>
              <w:spacing w:before="60" w:after="60"/>
            </w:pPr>
            <w:r w:rsidRPr="004D5CFB">
              <w:rPr>
                <w:color w:val="000000"/>
              </w:rPr>
              <w:t>18</w:t>
            </w:r>
          </w:p>
        </w:tc>
        <w:tc>
          <w:tcPr>
            <w:tcW w:w="813" w:type="pct"/>
            <w:vAlign w:val="center"/>
          </w:tcPr>
          <w:p w:rsidR="004D5CFB" w:rsidRDefault="004D5CFB" w:rsidP="004D5CFB">
            <w:pPr>
              <w:spacing w:before="60" w:after="60"/>
            </w:pPr>
            <w:r w:rsidRPr="004D5CFB">
              <w:rPr>
                <w:color w:val="000000"/>
              </w:rPr>
              <w:t>24.99</w:t>
            </w:r>
          </w:p>
        </w:tc>
        <w:tc>
          <w:tcPr>
            <w:tcW w:w="813" w:type="pct"/>
            <w:vAlign w:val="center"/>
          </w:tcPr>
          <w:p w:rsidR="004D5CFB" w:rsidRDefault="004D5CFB" w:rsidP="004D5CFB">
            <w:pPr>
              <w:spacing w:before="60" w:after="60"/>
            </w:pPr>
            <w:r w:rsidRPr="004D5CFB">
              <w:rPr>
                <w:color w:val="000000"/>
              </w:rPr>
              <w:t>27.06</w:t>
            </w:r>
          </w:p>
        </w:tc>
        <w:tc>
          <w:tcPr>
            <w:tcW w:w="691" w:type="pct"/>
            <w:vAlign w:val="center"/>
          </w:tcPr>
          <w:p w:rsidR="004D5CFB" w:rsidRDefault="004D5CFB" w:rsidP="004D5CFB">
            <w:pPr>
              <w:spacing w:before="60" w:after="60"/>
            </w:pPr>
            <w:r w:rsidRPr="004D5CFB">
              <w:rPr>
                <w:rFonts w:cs="Calibri"/>
                <w:color w:val="000000"/>
              </w:rPr>
              <w:t>214</w:t>
            </w:r>
          </w:p>
        </w:tc>
        <w:tc>
          <w:tcPr>
            <w:tcW w:w="692" w:type="pct"/>
            <w:vAlign w:val="center"/>
          </w:tcPr>
          <w:p w:rsidR="004D5CFB" w:rsidRDefault="004D5CFB" w:rsidP="004D5CFB">
            <w:pPr>
              <w:spacing w:before="60" w:after="60"/>
            </w:pPr>
            <w:r w:rsidRPr="004D5CFB">
              <w:rPr>
                <w:rFonts w:cs="Calibri"/>
                <w:color w:val="000000"/>
              </w:rPr>
              <w:t>0.0245</w:t>
            </w:r>
          </w:p>
        </w:tc>
      </w:tr>
      <w:tr w:rsidR="004D5CFB" w:rsidTr="004D5CFB">
        <w:trPr>
          <w:trHeight w:val="20"/>
        </w:trPr>
        <w:tc>
          <w:tcPr>
            <w:tcW w:w="873" w:type="pct"/>
            <w:vAlign w:val="center"/>
          </w:tcPr>
          <w:p w:rsidR="004D5CFB" w:rsidRDefault="004D5CFB" w:rsidP="004D5CFB">
            <w:pPr>
              <w:spacing w:before="60" w:after="60"/>
            </w:pPr>
            <w:r w:rsidRPr="004D5CFB">
              <w:rPr>
                <w:color w:val="000000"/>
              </w:rPr>
              <w:t>50</w:t>
            </w:r>
          </w:p>
        </w:tc>
        <w:tc>
          <w:tcPr>
            <w:tcW w:w="559" w:type="pct"/>
            <w:vAlign w:val="center"/>
          </w:tcPr>
          <w:p w:rsidR="004D5CFB" w:rsidRDefault="004D5CFB" w:rsidP="004D5CFB">
            <w:pPr>
              <w:spacing w:before="60" w:after="60"/>
            </w:pPr>
            <w:r w:rsidRPr="004D5CFB">
              <w:rPr>
                <w:color w:val="000000"/>
              </w:rPr>
              <w:t>10</w:t>
            </w:r>
          </w:p>
        </w:tc>
        <w:tc>
          <w:tcPr>
            <w:tcW w:w="559" w:type="pct"/>
            <w:vAlign w:val="center"/>
          </w:tcPr>
          <w:p w:rsidR="004D5CFB" w:rsidRDefault="004D5CFB" w:rsidP="004D5CFB">
            <w:pPr>
              <w:spacing w:before="60" w:after="60"/>
            </w:pPr>
            <w:r w:rsidRPr="004D5CFB">
              <w:rPr>
                <w:color w:val="000000"/>
              </w:rPr>
              <w:t>20</w:t>
            </w:r>
          </w:p>
        </w:tc>
        <w:tc>
          <w:tcPr>
            <w:tcW w:w="813" w:type="pct"/>
            <w:vAlign w:val="center"/>
          </w:tcPr>
          <w:p w:rsidR="004D5CFB" w:rsidRDefault="004D5CFB" w:rsidP="004D5CFB">
            <w:pPr>
              <w:spacing w:before="60" w:after="60"/>
            </w:pPr>
            <w:r w:rsidRPr="004D5CFB">
              <w:rPr>
                <w:color w:val="000000"/>
              </w:rPr>
              <w:t>24.99</w:t>
            </w:r>
          </w:p>
        </w:tc>
        <w:tc>
          <w:tcPr>
            <w:tcW w:w="813" w:type="pct"/>
            <w:vAlign w:val="center"/>
          </w:tcPr>
          <w:p w:rsidR="004D5CFB" w:rsidRDefault="004D5CFB" w:rsidP="004D5CFB">
            <w:pPr>
              <w:spacing w:before="60" w:after="60"/>
            </w:pPr>
            <w:r w:rsidRPr="004D5CFB">
              <w:rPr>
                <w:color w:val="000000"/>
              </w:rPr>
              <w:t>27.06</w:t>
            </w:r>
          </w:p>
        </w:tc>
        <w:tc>
          <w:tcPr>
            <w:tcW w:w="691" w:type="pct"/>
            <w:vAlign w:val="center"/>
          </w:tcPr>
          <w:p w:rsidR="004D5CFB" w:rsidRDefault="004D5CFB" w:rsidP="004D5CFB">
            <w:pPr>
              <w:spacing w:before="60" w:after="60"/>
            </w:pPr>
            <w:r w:rsidRPr="004D5CFB">
              <w:rPr>
                <w:rFonts w:cs="Calibri"/>
                <w:color w:val="000000"/>
              </w:rPr>
              <w:t>152</w:t>
            </w:r>
          </w:p>
        </w:tc>
        <w:tc>
          <w:tcPr>
            <w:tcW w:w="692" w:type="pct"/>
            <w:vAlign w:val="center"/>
          </w:tcPr>
          <w:p w:rsidR="004D5CFB" w:rsidRDefault="004D5CFB" w:rsidP="004D5CFB">
            <w:pPr>
              <w:spacing w:before="60" w:after="60"/>
            </w:pPr>
            <w:r w:rsidRPr="004D5CFB">
              <w:rPr>
                <w:rFonts w:cs="Calibri"/>
                <w:color w:val="000000"/>
              </w:rPr>
              <w:t>0.0173</w:t>
            </w:r>
          </w:p>
        </w:tc>
      </w:tr>
      <w:tr w:rsidR="004D5CFB" w:rsidTr="004D5CFB">
        <w:trPr>
          <w:trHeight w:val="20"/>
        </w:trPr>
        <w:tc>
          <w:tcPr>
            <w:tcW w:w="873" w:type="pct"/>
            <w:vAlign w:val="center"/>
          </w:tcPr>
          <w:p w:rsidR="004D5CFB" w:rsidRDefault="004D5CFB" w:rsidP="004D5CFB">
            <w:pPr>
              <w:spacing w:before="60" w:after="60"/>
            </w:pPr>
            <w:r w:rsidRPr="004D5CFB">
              <w:rPr>
                <w:color w:val="000000"/>
              </w:rPr>
              <w:t>50</w:t>
            </w:r>
          </w:p>
        </w:tc>
        <w:tc>
          <w:tcPr>
            <w:tcW w:w="559" w:type="pct"/>
            <w:vAlign w:val="center"/>
          </w:tcPr>
          <w:p w:rsidR="004D5CFB" w:rsidRDefault="004D5CFB" w:rsidP="004D5CFB">
            <w:pPr>
              <w:spacing w:before="60" w:after="60"/>
            </w:pPr>
            <w:r w:rsidRPr="004D5CFB">
              <w:rPr>
                <w:color w:val="000000"/>
              </w:rPr>
              <w:t>12</w:t>
            </w:r>
          </w:p>
        </w:tc>
        <w:tc>
          <w:tcPr>
            <w:tcW w:w="559" w:type="pct"/>
            <w:vAlign w:val="center"/>
          </w:tcPr>
          <w:p w:rsidR="004D5CFB" w:rsidRDefault="004D5CFB" w:rsidP="004D5CFB">
            <w:pPr>
              <w:spacing w:before="60" w:after="60"/>
            </w:pPr>
            <w:r w:rsidRPr="004D5CFB">
              <w:rPr>
                <w:color w:val="000000"/>
              </w:rPr>
              <w:t>22</w:t>
            </w:r>
          </w:p>
        </w:tc>
        <w:tc>
          <w:tcPr>
            <w:tcW w:w="813" w:type="pct"/>
            <w:vAlign w:val="center"/>
          </w:tcPr>
          <w:p w:rsidR="004D5CFB" w:rsidRDefault="004D5CFB" w:rsidP="004D5CFB">
            <w:pPr>
              <w:spacing w:before="60" w:after="60"/>
            </w:pPr>
            <w:r w:rsidRPr="004D5CFB">
              <w:rPr>
                <w:color w:val="000000"/>
              </w:rPr>
              <w:t>24.99</w:t>
            </w:r>
          </w:p>
        </w:tc>
        <w:tc>
          <w:tcPr>
            <w:tcW w:w="813" w:type="pct"/>
            <w:vAlign w:val="center"/>
          </w:tcPr>
          <w:p w:rsidR="004D5CFB" w:rsidRDefault="004D5CFB" w:rsidP="004D5CFB">
            <w:pPr>
              <w:spacing w:before="60" w:after="60"/>
            </w:pPr>
            <w:r w:rsidRPr="004D5CFB">
              <w:rPr>
                <w:color w:val="000000"/>
              </w:rPr>
              <w:t>27.06</w:t>
            </w:r>
          </w:p>
        </w:tc>
        <w:tc>
          <w:tcPr>
            <w:tcW w:w="691" w:type="pct"/>
            <w:vAlign w:val="center"/>
          </w:tcPr>
          <w:p w:rsidR="004D5CFB" w:rsidRDefault="004D5CFB" w:rsidP="004D5CFB">
            <w:pPr>
              <w:spacing w:before="60" w:after="60"/>
            </w:pPr>
            <w:r w:rsidRPr="004D5CFB">
              <w:rPr>
                <w:rFonts w:cs="Calibri"/>
                <w:color w:val="000000"/>
              </w:rPr>
              <w:t>113</w:t>
            </w:r>
          </w:p>
        </w:tc>
        <w:tc>
          <w:tcPr>
            <w:tcW w:w="692" w:type="pct"/>
            <w:vAlign w:val="center"/>
          </w:tcPr>
          <w:p w:rsidR="004D5CFB" w:rsidRDefault="004D5CFB" w:rsidP="004D5CFB">
            <w:pPr>
              <w:spacing w:before="60" w:after="60"/>
            </w:pPr>
            <w:r w:rsidRPr="004D5CFB">
              <w:rPr>
                <w:rFonts w:cs="Calibri"/>
                <w:color w:val="000000"/>
              </w:rPr>
              <w:t>0.0129</w:t>
            </w:r>
          </w:p>
        </w:tc>
      </w:tr>
      <w:tr w:rsidR="004D5CFB" w:rsidTr="004D5CFB">
        <w:trPr>
          <w:trHeight w:val="20"/>
        </w:trPr>
        <w:tc>
          <w:tcPr>
            <w:tcW w:w="873" w:type="pct"/>
            <w:vAlign w:val="center"/>
          </w:tcPr>
          <w:p w:rsidR="004D5CFB" w:rsidRDefault="004D5CFB" w:rsidP="004D5CFB">
            <w:pPr>
              <w:spacing w:before="60" w:after="60"/>
            </w:pPr>
            <w:r w:rsidRPr="004D5CFB">
              <w:rPr>
                <w:color w:val="000000"/>
              </w:rPr>
              <w:t>80</w:t>
            </w:r>
          </w:p>
        </w:tc>
        <w:tc>
          <w:tcPr>
            <w:tcW w:w="559" w:type="pct"/>
            <w:vAlign w:val="center"/>
          </w:tcPr>
          <w:p w:rsidR="004D5CFB" w:rsidRDefault="004D5CFB" w:rsidP="004D5CFB">
            <w:pPr>
              <w:spacing w:before="60" w:after="60"/>
            </w:pPr>
            <w:r w:rsidRPr="004D5CFB">
              <w:rPr>
                <w:color w:val="000000"/>
              </w:rPr>
              <w:t>8</w:t>
            </w:r>
          </w:p>
        </w:tc>
        <w:tc>
          <w:tcPr>
            <w:tcW w:w="559" w:type="pct"/>
            <w:vAlign w:val="center"/>
          </w:tcPr>
          <w:p w:rsidR="004D5CFB" w:rsidRDefault="004D5CFB" w:rsidP="004D5CFB">
            <w:pPr>
              <w:spacing w:before="60" w:after="60"/>
            </w:pPr>
            <w:r w:rsidRPr="004D5CFB">
              <w:rPr>
                <w:color w:val="000000"/>
              </w:rPr>
              <w:t>16</w:t>
            </w:r>
          </w:p>
        </w:tc>
        <w:tc>
          <w:tcPr>
            <w:tcW w:w="813" w:type="pct"/>
            <w:vAlign w:val="center"/>
          </w:tcPr>
          <w:p w:rsidR="004D5CFB" w:rsidRDefault="004D5CFB" w:rsidP="004D5CFB">
            <w:pPr>
              <w:spacing w:before="60" w:after="60"/>
            </w:pPr>
            <w:r w:rsidRPr="004D5CFB">
              <w:rPr>
                <w:color w:val="000000"/>
              </w:rPr>
              <w:t>31.84</w:t>
            </w:r>
          </w:p>
        </w:tc>
        <w:tc>
          <w:tcPr>
            <w:tcW w:w="813" w:type="pct"/>
            <w:vAlign w:val="center"/>
          </w:tcPr>
          <w:p w:rsidR="004D5CFB" w:rsidRDefault="004D5CFB" w:rsidP="004D5CFB">
            <w:pPr>
              <w:spacing w:before="60" w:after="60"/>
            </w:pPr>
            <w:r w:rsidRPr="004D5CFB">
              <w:rPr>
                <w:color w:val="000000"/>
              </w:rPr>
              <w:t>34.14</w:t>
            </w:r>
          </w:p>
        </w:tc>
        <w:tc>
          <w:tcPr>
            <w:tcW w:w="691" w:type="pct"/>
            <w:vAlign w:val="center"/>
          </w:tcPr>
          <w:p w:rsidR="004D5CFB" w:rsidRDefault="004D5CFB" w:rsidP="004D5CFB">
            <w:pPr>
              <w:spacing w:before="60" w:after="60"/>
            </w:pPr>
            <w:r w:rsidRPr="004D5CFB">
              <w:rPr>
                <w:rFonts w:cs="Calibri"/>
                <w:color w:val="000000"/>
              </w:rPr>
              <w:t>244</w:t>
            </w:r>
          </w:p>
        </w:tc>
        <w:tc>
          <w:tcPr>
            <w:tcW w:w="692" w:type="pct"/>
            <w:vAlign w:val="center"/>
          </w:tcPr>
          <w:p w:rsidR="004D5CFB" w:rsidRDefault="004D5CFB" w:rsidP="004D5CFB">
            <w:pPr>
              <w:spacing w:before="60" w:after="60"/>
            </w:pPr>
            <w:r w:rsidRPr="004D5CFB">
              <w:rPr>
                <w:rFonts w:cs="Calibri"/>
                <w:color w:val="000000"/>
              </w:rPr>
              <w:t>0.0279</w:t>
            </w:r>
          </w:p>
        </w:tc>
      </w:tr>
      <w:tr w:rsidR="004D5CFB" w:rsidTr="004D5CFB">
        <w:trPr>
          <w:trHeight w:val="20"/>
        </w:trPr>
        <w:tc>
          <w:tcPr>
            <w:tcW w:w="873" w:type="pct"/>
            <w:vAlign w:val="center"/>
          </w:tcPr>
          <w:p w:rsidR="004D5CFB" w:rsidRDefault="004D5CFB" w:rsidP="004D5CFB">
            <w:pPr>
              <w:spacing w:before="60" w:after="60"/>
            </w:pPr>
            <w:r w:rsidRPr="004D5CFB">
              <w:rPr>
                <w:color w:val="000000"/>
              </w:rPr>
              <w:t>80</w:t>
            </w:r>
          </w:p>
        </w:tc>
        <w:tc>
          <w:tcPr>
            <w:tcW w:w="559" w:type="pct"/>
            <w:vAlign w:val="center"/>
          </w:tcPr>
          <w:p w:rsidR="004D5CFB" w:rsidRDefault="004D5CFB" w:rsidP="004D5CFB">
            <w:pPr>
              <w:spacing w:before="60" w:after="60"/>
            </w:pPr>
            <w:r w:rsidRPr="004D5CFB">
              <w:rPr>
                <w:color w:val="000000"/>
              </w:rPr>
              <w:t>10</w:t>
            </w:r>
          </w:p>
        </w:tc>
        <w:tc>
          <w:tcPr>
            <w:tcW w:w="559" w:type="pct"/>
            <w:vAlign w:val="center"/>
          </w:tcPr>
          <w:p w:rsidR="004D5CFB" w:rsidRDefault="004D5CFB" w:rsidP="004D5CFB">
            <w:pPr>
              <w:spacing w:before="60" w:after="60"/>
            </w:pPr>
            <w:r w:rsidRPr="004D5CFB">
              <w:rPr>
                <w:color w:val="000000"/>
              </w:rPr>
              <w:t>18</w:t>
            </w:r>
          </w:p>
        </w:tc>
        <w:tc>
          <w:tcPr>
            <w:tcW w:w="813" w:type="pct"/>
            <w:vAlign w:val="center"/>
          </w:tcPr>
          <w:p w:rsidR="004D5CFB" w:rsidRDefault="004D5CFB" w:rsidP="004D5CFB">
            <w:pPr>
              <w:spacing w:before="60" w:after="60"/>
            </w:pPr>
            <w:r w:rsidRPr="004D5CFB">
              <w:rPr>
                <w:color w:val="000000"/>
              </w:rPr>
              <w:t>31.84</w:t>
            </w:r>
          </w:p>
        </w:tc>
        <w:tc>
          <w:tcPr>
            <w:tcW w:w="813" w:type="pct"/>
            <w:vAlign w:val="center"/>
          </w:tcPr>
          <w:p w:rsidR="004D5CFB" w:rsidRDefault="004D5CFB" w:rsidP="004D5CFB">
            <w:pPr>
              <w:spacing w:before="60" w:after="60"/>
            </w:pPr>
            <w:r w:rsidRPr="004D5CFB">
              <w:rPr>
                <w:color w:val="000000"/>
              </w:rPr>
              <w:t>34.14</w:t>
            </w:r>
          </w:p>
        </w:tc>
        <w:tc>
          <w:tcPr>
            <w:tcW w:w="691" w:type="pct"/>
            <w:vAlign w:val="center"/>
          </w:tcPr>
          <w:p w:rsidR="004D5CFB" w:rsidRDefault="004D5CFB" w:rsidP="004D5CFB">
            <w:pPr>
              <w:spacing w:before="60" w:after="60"/>
            </w:pPr>
            <w:r w:rsidRPr="004D5CFB">
              <w:rPr>
                <w:rFonts w:cs="Calibri"/>
                <w:color w:val="000000"/>
              </w:rPr>
              <w:t>171</w:t>
            </w:r>
          </w:p>
        </w:tc>
        <w:tc>
          <w:tcPr>
            <w:tcW w:w="692" w:type="pct"/>
            <w:vAlign w:val="center"/>
          </w:tcPr>
          <w:p w:rsidR="004D5CFB" w:rsidRDefault="004D5CFB" w:rsidP="004D5CFB">
            <w:pPr>
              <w:spacing w:before="60" w:after="60"/>
            </w:pPr>
            <w:r w:rsidRPr="004D5CFB">
              <w:rPr>
                <w:rFonts w:cs="Calibri"/>
                <w:color w:val="000000"/>
              </w:rPr>
              <w:t>0.0195</w:t>
            </w:r>
          </w:p>
        </w:tc>
      </w:tr>
      <w:tr w:rsidR="004D5CFB" w:rsidTr="004D5CFB">
        <w:trPr>
          <w:trHeight w:val="20"/>
        </w:trPr>
        <w:tc>
          <w:tcPr>
            <w:tcW w:w="873" w:type="pct"/>
            <w:vAlign w:val="center"/>
          </w:tcPr>
          <w:p w:rsidR="004D5CFB" w:rsidRDefault="004D5CFB" w:rsidP="004D5CFB">
            <w:pPr>
              <w:spacing w:before="60" w:after="60"/>
            </w:pPr>
            <w:r w:rsidRPr="004D5CFB">
              <w:rPr>
                <w:color w:val="000000"/>
              </w:rPr>
              <w:t>80</w:t>
            </w:r>
          </w:p>
        </w:tc>
        <w:tc>
          <w:tcPr>
            <w:tcW w:w="559" w:type="pct"/>
            <w:vAlign w:val="center"/>
          </w:tcPr>
          <w:p w:rsidR="004D5CFB" w:rsidRDefault="004D5CFB" w:rsidP="004D5CFB">
            <w:pPr>
              <w:spacing w:before="60" w:after="60"/>
            </w:pPr>
            <w:r w:rsidRPr="004D5CFB">
              <w:rPr>
                <w:color w:val="000000"/>
              </w:rPr>
              <w:t>12</w:t>
            </w:r>
          </w:p>
        </w:tc>
        <w:tc>
          <w:tcPr>
            <w:tcW w:w="559" w:type="pct"/>
            <w:vAlign w:val="center"/>
          </w:tcPr>
          <w:p w:rsidR="004D5CFB" w:rsidRDefault="004D5CFB" w:rsidP="004D5CFB">
            <w:pPr>
              <w:spacing w:before="60" w:after="60"/>
            </w:pPr>
            <w:r w:rsidRPr="004D5CFB">
              <w:rPr>
                <w:color w:val="000000"/>
              </w:rPr>
              <w:t>20</w:t>
            </w:r>
          </w:p>
        </w:tc>
        <w:tc>
          <w:tcPr>
            <w:tcW w:w="813" w:type="pct"/>
            <w:vAlign w:val="center"/>
          </w:tcPr>
          <w:p w:rsidR="004D5CFB" w:rsidRDefault="004D5CFB" w:rsidP="004D5CFB">
            <w:pPr>
              <w:spacing w:before="60" w:after="60"/>
            </w:pPr>
            <w:r w:rsidRPr="004D5CFB">
              <w:rPr>
                <w:color w:val="000000"/>
              </w:rPr>
              <w:t>31.84</w:t>
            </w:r>
          </w:p>
        </w:tc>
        <w:tc>
          <w:tcPr>
            <w:tcW w:w="813" w:type="pct"/>
            <w:vAlign w:val="center"/>
          </w:tcPr>
          <w:p w:rsidR="004D5CFB" w:rsidRDefault="004D5CFB" w:rsidP="004D5CFB">
            <w:pPr>
              <w:spacing w:before="60" w:after="60"/>
            </w:pPr>
            <w:r w:rsidRPr="004D5CFB">
              <w:rPr>
                <w:color w:val="000000"/>
              </w:rPr>
              <w:t>34.14</w:t>
            </w:r>
          </w:p>
        </w:tc>
        <w:tc>
          <w:tcPr>
            <w:tcW w:w="691" w:type="pct"/>
            <w:vAlign w:val="center"/>
          </w:tcPr>
          <w:p w:rsidR="004D5CFB" w:rsidRDefault="004D5CFB" w:rsidP="004D5CFB">
            <w:pPr>
              <w:spacing w:before="60" w:after="60"/>
            </w:pPr>
            <w:r w:rsidRPr="004D5CFB">
              <w:rPr>
                <w:rFonts w:cs="Calibri"/>
                <w:color w:val="000000"/>
              </w:rPr>
              <w:t>125</w:t>
            </w:r>
          </w:p>
        </w:tc>
        <w:tc>
          <w:tcPr>
            <w:tcW w:w="692" w:type="pct"/>
            <w:vAlign w:val="center"/>
          </w:tcPr>
          <w:p w:rsidR="004D5CFB" w:rsidRDefault="004D5CFB" w:rsidP="004D5CFB">
            <w:pPr>
              <w:spacing w:before="60" w:after="60"/>
            </w:pPr>
            <w:r w:rsidRPr="004D5CFB">
              <w:rPr>
                <w:rFonts w:cs="Calibri"/>
                <w:color w:val="000000"/>
              </w:rPr>
              <w:t>0.0143</w:t>
            </w:r>
          </w:p>
        </w:tc>
      </w:tr>
      <w:tr w:rsidR="004D5CFB" w:rsidTr="004D5CFB">
        <w:trPr>
          <w:trHeight w:val="20"/>
        </w:trPr>
        <w:tc>
          <w:tcPr>
            <w:tcW w:w="873" w:type="pct"/>
            <w:vAlign w:val="center"/>
          </w:tcPr>
          <w:p w:rsidR="004D5CFB" w:rsidRDefault="004D5CFB" w:rsidP="004D5CFB">
            <w:pPr>
              <w:spacing w:before="60" w:after="60"/>
            </w:pPr>
            <w:r w:rsidRPr="004D5CFB">
              <w:rPr>
                <w:color w:val="000000"/>
              </w:rPr>
              <w:t>80</w:t>
            </w:r>
          </w:p>
        </w:tc>
        <w:tc>
          <w:tcPr>
            <w:tcW w:w="559" w:type="pct"/>
            <w:vAlign w:val="center"/>
          </w:tcPr>
          <w:p w:rsidR="004D5CFB" w:rsidRDefault="004D5CFB" w:rsidP="004D5CFB">
            <w:pPr>
              <w:spacing w:before="60" w:after="60"/>
            </w:pPr>
            <w:r w:rsidRPr="004D5CFB">
              <w:rPr>
                <w:color w:val="000000"/>
              </w:rPr>
              <w:t>8</w:t>
            </w:r>
          </w:p>
        </w:tc>
        <w:tc>
          <w:tcPr>
            <w:tcW w:w="559" w:type="pct"/>
            <w:vAlign w:val="center"/>
          </w:tcPr>
          <w:p w:rsidR="004D5CFB" w:rsidRDefault="004D5CFB" w:rsidP="004D5CFB">
            <w:pPr>
              <w:spacing w:before="60" w:after="60"/>
            </w:pPr>
            <w:r w:rsidRPr="004D5CFB">
              <w:rPr>
                <w:color w:val="000000"/>
              </w:rPr>
              <w:t>18</w:t>
            </w:r>
          </w:p>
        </w:tc>
        <w:tc>
          <w:tcPr>
            <w:tcW w:w="813" w:type="pct"/>
            <w:vAlign w:val="center"/>
          </w:tcPr>
          <w:p w:rsidR="004D5CFB" w:rsidRDefault="004D5CFB" w:rsidP="004D5CFB">
            <w:pPr>
              <w:spacing w:before="60" w:after="60"/>
            </w:pPr>
            <w:r w:rsidRPr="004D5CFB">
              <w:rPr>
                <w:color w:val="000000"/>
              </w:rPr>
              <w:t>31.84</w:t>
            </w:r>
          </w:p>
        </w:tc>
        <w:tc>
          <w:tcPr>
            <w:tcW w:w="813" w:type="pct"/>
            <w:vAlign w:val="center"/>
          </w:tcPr>
          <w:p w:rsidR="004D5CFB" w:rsidRDefault="004D5CFB" w:rsidP="004D5CFB">
            <w:pPr>
              <w:spacing w:before="60" w:after="60"/>
            </w:pPr>
            <w:r w:rsidRPr="004D5CFB">
              <w:rPr>
                <w:color w:val="000000"/>
              </w:rPr>
              <w:t>34.14</w:t>
            </w:r>
          </w:p>
        </w:tc>
        <w:tc>
          <w:tcPr>
            <w:tcW w:w="691" w:type="pct"/>
            <w:vAlign w:val="center"/>
          </w:tcPr>
          <w:p w:rsidR="004D5CFB" w:rsidRDefault="004D5CFB" w:rsidP="004D5CFB">
            <w:pPr>
              <w:spacing w:before="60" w:after="60"/>
            </w:pPr>
            <w:r w:rsidRPr="004D5CFB">
              <w:rPr>
                <w:rFonts w:cs="Calibri"/>
                <w:color w:val="000000"/>
              </w:rPr>
              <w:t>276</w:t>
            </w:r>
          </w:p>
        </w:tc>
        <w:tc>
          <w:tcPr>
            <w:tcW w:w="692" w:type="pct"/>
            <w:vAlign w:val="center"/>
          </w:tcPr>
          <w:p w:rsidR="004D5CFB" w:rsidRDefault="004D5CFB" w:rsidP="004D5CFB">
            <w:pPr>
              <w:spacing w:before="60" w:after="60"/>
            </w:pPr>
            <w:r w:rsidRPr="004D5CFB">
              <w:rPr>
                <w:rFonts w:cs="Calibri"/>
                <w:color w:val="000000"/>
              </w:rPr>
              <w:t>0.0315</w:t>
            </w:r>
          </w:p>
        </w:tc>
      </w:tr>
      <w:tr w:rsidR="004D5CFB" w:rsidTr="004D5CFB">
        <w:trPr>
          <w:trHeight w:val="20"/>
        </w:trPr>
        <w:tc>
          <w:tcPr>
            <w:tcW w:w="873" w:type="pct"/>
            <w:vAlign w:val="center"/>
          </w:tcPr>
          <w:p w:rsidR="004D5CFB" w:rsidRDefault="004D5CFB" w:rsidP="004D5CFB">
            <w:pPr>
              <w:spacing w:before="60" w:after="60"/>
            </w:pPr>
            <w:r w:rsidRPr="004D5CFB">
              <w:rPr>
                <w:color w:val="000000"/>
              </w:rPr>
              <w:t>80</w:t>
            </w:r>
          </w:p>
        </w:tc>
        <w:tc>
          <w:tcPr>
            <w:tcW w:w="559" w:type="pct"/>
            <w:vAlign w:val="center"/>
          </w:tcPr>
          <w:p w:rsidR="004D5CFB" w:rsidRDefault="004D5CFB" w:rsidP="004D5CFB">
            <w:pPr>
              <w:spacing w:before="60" w:after="60"/>
            </w:pPr>
            <w:r w:rsidRPr="004D5CFB">
              <w:rPr>
                <w:color w:val="000000"/>
              </w:rPr>
              <w:t>10</w:t>
            </w:r>
          </w:p>
        </w:tc>
        <w:tc>
          <w:tcPr>
            <w:tcW w:w="559" w:type="pct"/>
            <w:vAlign w:val="center"/>
          </w:tcPr>
          <w:p w:rsidR="004D5CFB" w:rsidRDefault="004D5CFB" w:rsidP="004D5CFB">
            <w:pPr>
              <w:spacing w:before="60" w:after="60"/>
            </w:pPr>
            <w:r w:rsidRPr="004D5CFB">
              <w:rPr>
                <w:color w:val="000000"/>
              </w:rPr>
              <w:t>20</w:t>
            </w:r>
          </w:p>
        </w:tc>
        <w:tc>
          <w:tcPr>
            <w:tcW w:w="813" w:type="pct"/>
            <w:vAlign w:val="center"/>
          </w:tcPr>
          <w:p w:rsidR="004D5CFB" w:rsidRDefault="004D5CFB" w:rsidP="004D5CFB">
            <w:pPr>
              <w:spacing w:before="60" w:after="60"/>
            </w:pPr>
            <w:r w:rsidRPr="004D5CFB">
              <w:rPr>
                <w:color w:val="000000"/>
              </w:rPr>
              <w:t>31.84</w:t>
            </w:r>
          </w:p>
        </w:tc>
        <w:tc>
          <w:tcPr>
            <w:tcW w:w="813" w:type="pct"/>
            <w:vAlign w:val="center"/>
          </w:tcPr>
          <w:p w:rsidR="004D5CFB" w:rsidRDefault="004D5CFB" w:rsidP="004D5CFB">
            <w:pPr>
              <w:spacing w:before="60" w:after="60"/>
            </w:pPr>
            <w:r w:rsidRPr="004D5CFB">
              <w:rPr>
                <w:color w:val="000000"/>
              </w:rPr>
              <w:t>34.14</w:t>
            </w:r>
          </w:p>
        </w:tc>
        <w:tc>
          <w:tcPr>
            <w:tcW w:w="691" w:type="pct"/>
            <w:vAlign w:val="center"/>
          </w:tcPr>
          <w:p w:rsidR="004D5CFB" w:rsidRDefault="004D5CFB" w:rsidP="004D5CFB">
            <w:pPr>
              <w:spacing w:before="60" w:after="60"/>
            </w:pPr>
            <w:r w:rsidRPr="004D5CFB">
              <w:rPr>
                <w:rFonts w:cs="Calibri"/>
                <w:color w:val="000000"/>
              </w:rPr>
              <w:t>195</w:t>
            </w:r>
          </w:p>
        </w:tc>
        <w:tc>
          <w:tcPr>
            <w:tcW w:w="692" w:type="pct"/>
            <w:vAlign w:val="center"/>
          </w:tcPr>
          <w:p w:rsidR="004D5CFB" w:rsidRDefault="004D5CFB" w:rsidP="004D5CFB">
            <w:pPr>
              <w:spacing w:before="60" w:after="60"/>
            </w:pPr>
            <w:r w:rsidRPr="004D5CFB">
              <w:rPr>
                <w:rFonts w:cs="Calibri"/>
                <w:color w:val="000000"/>
              </w:rPr>
              <w:t>0.0223</w:t>
            </w:r>
          </w:p>
        </w:tc>
      </w:tr>
      <w:tr w:rsidR="004D5CFB" w:rsidTr="004D5CFB">
        <w:trPr>
          <w:trHeight w:val="20"/>
        </w:trPr>
        <w:tc>
          <w:tcPr>
            <w:tcW w:w="873" w:type="pct"/>
            <w:vAlign w:val="center"/>
          </w:tcPr>
          <w:p w:rsidR="004D5CFB" w:rsidRDefault="004D5CFB" w:rsidP="004D5CFB">
            <w:pPr>
              <w:spacing w:before="60" w:after="60"/>
            </w:pPr>
            <w:r w:rsidRPr="004D5CFB">
              <w:rPr>
                <w:color w:val="000000"/>
              </w:rPr>
              <w:t>80</w:t>
            </w:r>
          </w:p>
        </w:tc>
        <w:tc>
          <w:tcPr>
            <w:tcW w:w="559" w:type="pct"/>
            <w:vAlign w:val="center"/>
          </w:tcPr>
          <w:p w:rsidR="004D5CFB" w:rsidRDefault="004D5CFB" w:rsidP="004D5CFB">
            <w:pPr>
              <w:spacing w:before="60" w:after="60"/>
            </w:pPr>
            <w:r w:rsidRPr="004D5CFB">
              <w:rPr>
                <w:color w:val="000000"/>
              </w:rPr>
              <w:t>12</w:t>
            </w:r>
          </w:p>
        </w:tc>
        <w:tc>
          <w:tcPr>
            <w:tcW w:w="559" w:type="pct"/>
            <w:vAlign w:val="center"/>
          </w:tcPr>
          <w:p w:rsidR="004D5CFB" w:rsidRDefault="004D5CFB" w:rsidP="004D5CFB">
            <w:pPr>
              <w:spacing w:before="60" w:after="60"/>
            </w:pPr>
            <w:r w:rsidRPr="004D5CFB">
              <w:rPr>
                <w:color w:val="000000"/>
              </w:rPr>
              <w:t>22</w:t>
            </w:r>
          </w:p>
        </w:tc>
        <w:tc>
          <w:tcPr>
            <w:tcW w:w="813" w:type="pct"/>
            <w:vAlign w:val="center"/>
          </w:tcPr>
          <w:p w:rsidR="004D5CFB" w:rsidRDefault="004D5CFB" w:rsidP="004D5CFB">
            <w:pPr>
              <w:spacing w:before="60" w:after="60"/>
            </w:pPr>
            <w:r w:rsidRPr="004D5CFB">
              <w:rPr>
                <w:color w:val="000000"/>
              </w:rPr>
              <w:t>31.84</w:t>
            </w:r>
          </w:p>
        </w:tc>
        <w:tc>
          <w:tcPr>
            <w:tcW w:w="813" w:type="pct"/>
            <w:vAlign w:val="center"/>
          </w:tcPr>
          <w:p w:rsidR="004D5CFB" w:rsidRDefault="004D5CFB" w:rsidP="004D5CFB">
            <w:pPr>
              <w:spacing w:before="60" w:after="60"/>
            </w:pPr>
            <w:r w:rsidRPr="004D5CFB">
              <w:rPr>
                <w:color w:val="000000"/>
              </w:rPr>
              <w:t>34.14</w:t>
            </w:r>
          </w:p>
        </w:tc>
        <w:tc>
          <w:tcPr>
            <w:tcW w:w="691" w:type="pct"/>
            <w:vAlign w:val="center"/>
          </w:tcPr>
          <w:p w:rsidR="004D5CFB" w:rsidRDefault="004D5CFB" w:rsidP="004D5CFB">
            <w:pPr>
              <w:spacing w:before="60" w:after="60"/>
            </w:pPr>
            <w:r w:rsidRPr="004D5CFB">
              <w:rPr>
                <w:rFonts w:cs="Calibri"/>
                <w:color w:val="000000"/>
              </w:rPr>
              <w:t>145</w:t>
            </w:r>
          </w:p>
        </w:tc>
        <w:tc>
          <w:tcPr>
            <w:tcW w:w="692" w:type="pct"/>
            <w:vAlign w:val="center"/>
          </w:tcPr>
          <w:p w:rsidR="004D5CFB" w:rsidRDefault="004D5CFB" w:rsidP="004D5CFB">
            <w:pPr>
              <w:spacing w:before="60" w:after="60"/>
            </w:pPr>
            <w:r w:rsidRPr="004D5CFB">
              <w:rPr>
                <w:rFonts w:cs="Calibri"/>
                <w:color w:val="000000"/>
              </w:rPr>
              <w:t>0.0166</w:t>
            </w:r>
          </w:p>
        </w:tc>
      </w:tr>
    </w:tbl>
    <w:p w:rsidR="004D5CFB" w:rsidRDefault="004D5CFB" w:rsidP="004D5CFB"/>
    <w:p w:rsidR="004D5CFB" w:rsidRDefault="004D5CFB" w:rsidP="004D5CFB">
      <w:pPr>
        <w:pStyle w:val="Heading3"/>
      </w:pPr>
      <w:r>
        <w:t>Measure Life</w:t>
      </w:r>
    </w:p>
    <w:p w:rsidR="000862C5" w:rsidRDefault="000862C5" w:rsidP="004D5CFB">
      <w:r>
        <w:t xml:space="preserve">The measure life is </w:t>
      </w:r>
      <w:r w:rsidR="004D5CFB">
        <w:t>7 y</w:t>
      </w:r>
      <w:r>
        <w:t>ea</w:t>
      </w:r>
      <w:r w:rsidR="004D5CFB">
        <w:t>rs</w:t>
      </w:r>
      <w:r w:rsidR="004D5CFB">
        <w:rPr>
          <w:rStyle w:val="FootnoteReference"/>
        </w:rPr>
        <w:footnoteReference w:id="122"/>
      </w:r>
      <w:r>
        <w:t>.</w:t>
      </w:r>
    </w:p>
    <w:p w:rsidR="000862C5" w:rsidRPr="001C4AD5" w:rsidRDefault="000862C5" w:rsidP="000862C5">
      <w:pPr>
        <w:pStyle w:val="Heading2"/>
      </w:pPr>
      <w:r>
        <w:br w:type="page"/>
      </w:r>
      <w:bookmarkStart w:id="491" w:name="_Toc310875436"/>
      <w:r w:rsidRPr="00B84148">
        <w:lastRenderedPageBreak/>
        <w:t>Pool Pump Load Shifting</w:t>
      </w:r>
      <w:bookmarkEnd w:id="49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5958"/>
      </w:tblGrid>
      <w:tr w:rsidR="000862C5" w:rsidRPr="00C465DB" w:rsidTr="00421531">
        <w:trPr>
          <w:jc w:val="center"/>
        </w:trPr>
        <w:tc>
          <w:tcPr>
            <w:tcW w:w="2898" w:type="dxa"/>
            <w:shd w:val="clear" w:color="auto" w:fill="BFBFBF"/>
          </w:tcPr>
          <w:p w:rsidR="000862C5" w:rsidRPr="001D6512" w:rsidRDefault="000862C5" w:rsidP="007F5C21">
            <w:pPr>
              <w:pStyle w:val="TableCell"/>
              <w:spacing w:before="60" w:after="60"/>
              <w:rPr>
                <w:b/>
              </w:rPr>
            </w:pPr>
            <w:r w:rsidRPr="001D6512">
              <w:rPr>
                <w:b/>
              </w:rPr>
              <w:t>Measure Name</w:t>
            </w:r>
          </w:p>
        </w:tc>
        <w:tc>
          <w:tcPr>
            <w:tcW w:w="5958" w:type="dxa"/>
            <w:shd w:val="clear" w:color="auto" w:fill="BFBFBF"/>
          </w:tcPr>
          <w:p w:rsidR="000862C5" w:rsidRPr="007F5C21" w:rsidRDefault="000862C5" w:rsidP="007F5C21">
            <w:pPr>
              <w:spacing w:before="60" w:after="60"/>
              <w:rPr>
                <w:b/>
                <w:sz w:val="18"/>
                <w:szCs w:val="18"/>
              </w:rPr>
            </w:pPr>
            <w:r w:rsidRPr="007F5C21">
              <w:rPr>
                <w:b/>
                <w:sz w:val="18"/>
                <w:szCs w:val="18"/>
              </w:rPr>
              <w:t>Pool Pump Load Shifting</w:t>
            </w:r>
          </w:p>
        </w:tc>
      </w:tr>
      <w:tr w:rsidR="000862C5" w:rsidRPr="00C465DB" w:rsidTr="00421531">
        <w:trPr>
          <w:jc w:val="center"/>
        </w:trPr>
        <w:tc>
          <w:tcPr>
            <w:tcW w:w="2898" w:type="dxa"/>
            <w:shd w:val="clear" w:color="auto" w:fill="auto"/>
          </w:tcPr>
          <w:p w:rsidR="000862C5" w:rsidRPr="001D6512" w:rsidRDefault="000862C5" w:rsidP="00421531">
            <w:pPr>
              <w:pStyle w:val="TableCell"/>
              <w:spacing w:before="60" w:after="60"/>
              <w:rPr>
                <w:sz w:val="20"/>
              </w:rPr>
            </w:pPr>
            <w:r w:rsidRPr="001D6512">
              <w:t>Target Sector</w:t>
            </w:r>
          </w:p>
        </w:tc>
        <w:tc>
          <w:tcPr>
            <w:tcW w:w="5958" w:type="dxa"/>
            <w:shd w:val="clear" w:color="auto" w:fill="auto"/>
          </w:tcPr>
          <w:p w:rsidR="000862C5" w:rsidRPr="001D6512" w:rsidRDefault="000862C5" w:rsidP="00421531">
            <w:pPr>
              <w:pStyle w:val="TableCell"/>
              <w:spacing w:before="60" w:after="60"/>
              <w:rPr>
                <w:rFonts w:eastAsia="Arial Unicode MS" w:cs="Arial"/>
                <w:i/>
                <w:iCs/>
                <w:sz w:val="20"/>
                <w:szCs w:val="24"/>
              </w:rPr>
            </w:pPr>
            <w:r w:rsidRPr="001D6512">
              <w:t>Residential Establishments</w:t>
            </w:r>
          </w:p>
        </w:tc>
      </w:tr>
      <w:tr w:rsidR="000862C5" w:rsidRPr="00C465DB" w:rsidTr="00421531">
        <w:trPr>
          <w:jc w:val="center"/>
        </w:trPr>
        <w:tc>
          <w:tcPr>
            <w:tcW w:w="2898" w:type="dxa"/>
            <w:shd w:val="clear" w:color="auto" w:fill="auto"/>
          </w:tcPr>
          <w:p w:rsidR="000862C5" w:rsidRPr="001D6512" w:rsidRDefault="000862C5" w:rsidP="00421531">
            <w:pPr>
              <w:pStyle w:val="TableCell"/>
              <w:spacing w:before="60" w:after="60"/>
              <w:rPr>
                <w:sz w:val="20"/>
              </w:rPr>
            </w:pPr>
            <w:r w:rsidRPr="001D6512">
              <w:t>Measure Unit</w:t>
            </w:r>
          </w:p>
        </w:tc>
        <w:tc>
          <w:tcPr>
            <w:tcW w:w="5958" w:type="dxa"/>
            <w:shd w:val="clear" w:color="auto" w:fill="auto"/>
          </w:tcPr>
          <w:p w:rsidR="000862C5" w:rsidRPr="001D6512" w:rsidRDefault="000862C5" w:rsidP="00421531">
            <w:pPr>
              <w:pStyle w:val="TableCell"/>
              <w:spacing w:before="60" w:after="60"/>
              <w:rPr>
                <w:rFonts w:eastAsia="Arial Unicode MS" w:cs="Arial"/>
                <w:i/>
                <w:iCs/>
                <w:sz w:val="20"/>
                <w:szCs w:val="24"/>
              </w:rPr>
            </w:pPr>
            <w:r w:rsidRPr="001D6512">
              <w:t xml:space="preserve">Pool Pump Load Shifting </w:t>
            </w:r>
          </w:p>
        </w:tc>
      </w:tr>
      <w:tr w:rsidR="000862C5" w:rsidRPr="00C465DB" w:rsidTr="00421531">
        <w:trPr>
          <w:jc w:val="center"/>
        </w:trPr>
        <w:tc>
          <w:tcPr>
            <w:tcW w:w="2898" w:type="dxa"/>
            <w:shd w:val="clear" w:color="auto" w:fill="auto"/>
          </w:tcPr>
          <w:p w:rsidR="000862C5" w:rsidRPr="001D6512" w:rsidRDefault="000862C5" w:rsidP="00421531">
            <w:pPr>
              <w:pStyle w:val="TableCell"/>
              <w:spacing w:before="60" w:after="60"/>
              <w:rPr>
                <w:sz w:val="20"/>
              </w:rPr>
            </w:pPr>
            <w:r w:rsidRPr="001D6512">
              <w:t>Unit Energy Savings</w:t>
            </w:r>
          </w:p>
        </w:tc>
        <w:tc>
          <w:tcPr>
            <w:tcW w:w="5958" w:type="dxa"/>
            <w:shd w:val="clear" w:color="auto" w:fill="auto"/>
          </w:tcPr>
          <w:p w:rsidR="000862C5" w:rsidRPr="001D6512" w:rsidRDefault="000862C5" w:rsidP="00421531">
            <w:pPr>
              <w:pStyle w:val="TableCell"/>
              <w:spacing w:before="60" w:after="60"/>
              <w:rPr>
                <w:rFonts w:eastAsia="Arial Unicode MS" w:cs="Arial"/>
                <w:i/>
                <w:iCs/>
                <w:sz w:val="20"/>
                <w:szCs w:val="24"/>
              </w:rPr>
            </w:pPr>
            <w:r w:rsidRPr="001D6512">
              <w:t>Variable</w:t>
            </w:r>
          </w:p>
        </w:tc>
      </w:tr>
      <w:tr w:rsidR="000862C5" w:rsidRPr="00C465DB" w:rsidTr="00421531">
        <w:trPr>
          <w:jc w:val="center"/>
        </w:trPr>
        <w:tc>
          <w:tcPr>
            <w:tcW w:w="2898" w:type="dxa"/>
            <w:shd w:val="clear" w:color="auto" w:fill="auto"/>
          </w:tcPr>
          <w:p w:rsidR="000862C5" w:rsidRPr="001D6512" w:rsidRDefault="000862C5" w:rsidP="00421531">
            <w:pPr>
              <w:pStyle w:val="TableCell"/>
              <w:spacing w:before="60" w:after="60"/>
              <w:rPr>
                <w:sz w:val="20"/>
              </w:rPr>
            </w:pPr>
            <w:r w:rsidRPr="001D6512">
              <w:t>Unit Peak Demand Reduction</w:t>
            </w:r>
          </w:p>
        </w:tc>
        <w:tc>
          <w:tcPr>
            <w:tcW w:w="5958" w:type="dxa"/>
            <w:shd w:val="clear" w:color="auto" w:fill="auto"/>
          </w:tcPr>
          <w:p w:rsidR="000862C5" w:rsidRPr="001D6512" w:rsidRDefault="000862C5" w:rsidP="00421531">
            <w:pPr>
              <w:pStyle w:val="TableCell"/>
              <w:spacing w:before="60" w:after="60"/>
              <w:rPr>
                <w:rFonts w:eastAsia="Arial Unicode MS" w:cs="Arial"/>
                <w:i/>
                <w:iCs/>
                <w:sz w:val="20"/>
                <w:szCs w:val="24"/>
              </w:rPr>
            </w:pPr>
            <w:r w:rsidRPr="001D6512">
              <w:t>Variable</w:t>
            </w:r>
          </w:p>
        </w:tc>
      </w:tr>
      <w:tr w:rsidR="000862C5" w:rsidRPr="00C465DB" w:rsidTr="00421531">
        <w:trPr>
          <w:jc w:val="center"/>
        </w:trPr>
        <w:tc>
          <w:tcPr>
            <w:tcW w:w="2898" w:type="dxa"/>
            <w:shd w:val="clear" w:color="auto" w:fill="auto"/>
          </w:tcPr>
          <w:p w:rsidR="000862C5" w:rsidRPr="001D6512" w:rsidRDefault="000862C5" w:rsidP="00421531">
            <w:pPr>
              <w:pStyle w:val="TableCell"/>
              <w:spacing w:before="60" w:after="60"/>
              <w:rPr>
                <w:sz w:val="20"/>
              </w:rPr>
            </w:pPr>
            <w:r w:rsidRPr="001D6512">
              <w:t>Measure Life</w:t>
            </w:r>
          </w:p>
        </w:tc>
        <w:tc>
          <w:tcPr>
            <w:tcW w:w="5958" w:type="dxa"/>
            <w:shd w:val="clear" w:color="auto" w:fill="auto"/>
          </w:tcPr>
          <w:p w:rsidR="000862C5" w:rsidRPr="001D6512" w:rsidRDefault="000862C5" w:rsidP="00421531">
            <w:pPr>
              <w:pStyle w:val="TableCell"/>
              <w:spacing w:before="60" w:after="60"/>
              <w:rPr>
                <w:rFonts w:eastAsia="Arial Unicode MS" w:cs="Arial"/>
                <w:i/>
                <w:iCs/>
                <w:sz w:val="20"/>
                <w:szCs w:val="24"/>
              </w:rPr>
            </w:pPr>
            <w:r w:rsidRPr="001D6512">
              <w:t>1 year</w:t>
            </w:r>
          </w:p>
        </w:tc>
      </w:tr>
    </w:tbl>
    <w:p w:rsidR="000862C5" w:rsidRDefault="000862C5" w:rsidP="000862C5"/>
    <w:p w:rsidR="000862C5" w:rsidRPr="001C6EE1" w:rsidRDefault="000862C5" w:rsidP="000862C5">
      <w:r w:rsidRPr="001C6EE1">
        <w:t>Residential pool pumps can be scheduled to avoid the noon to 8 PM peak period.</w:t>
      </w:r>
    </w:p>
    <w:p w:rsidR="000862C5" w:rsidRDefault="000862C5" w:rsidP="000862C5">
      <w:pPr>
        <w:pStyle w:val="Heading3"/>
      </w:pPr>
      <w:r>
        <w:t>Eligibility</w:t>
      </w:r>
    </w:p>
    <w:p w:rsidR="000862C5" w:rsidRPr="00F715A4" w:rsidRDefault="000862C5" w:rsidP="000862C5">
      <w:r w:rsidRPr="00F715A4">
        <w:t xml:space="preserve">This </w:t>
      </w:r>
      <w:r>
        <w:t>protocol</w:t>
      </w:r>
      <w:r w:rsidRPr="00F715A4">
        <w:t xml:space="preserve"> documents the energy savings attributed to schedule residential </w:t>
      </w:r>
      <w:r>
        <w:t xml:space="preserve">single speed </w:t>
      </w:r>
      <w:r w:rsidRPr="00F715A4">
        <w:t>pool pumps to avoid run during the peak hours from noon to 8PM.  The target sector primarily consists of single-family residences.  This measure is intended to be implemented by trade allies that participate in in-home audits, or by pool maintenance professionals.</w:t>
      </w:r>
    </w:p>
    <w:p w:rsidR="000862C5" w:rsidRPr="001C4AD5" w:rsidRDefault="000862C5" w:rsidP="000862C5">
      <w:pPr>
        <w:pStyle w:val="Heading3"/>
      </w:pPr>
      <w:r w:rsidRPr="001C4AD5">
        <w:t>Algorithms</w:t>
      </w:r>
    </w:p>
    <w:p w:rsidR="000862C5" w:rsidRPr="001C6EE1" w:rsidRDefault="000862C5" w:rsidP="000862C5">
      <w:pPr>
        <w:tabs>
          <w:tab w:val="left" w:pos="720"/>
        </w:tabs>
        <w:spacing w:before="120"/>
        <w:jc w:val="both"/>
        <w:rPr>
          <w:rFonts w:cs="Arial"/>
          <w:noProof/>
          <w:szCs w:val="22"/>
        </w:rPr>
      </w:pPr>
      <w:r w:rsidRPr="001C6EE1">
        <w:rPr>
          <w:rFonts w:cs="Arial"/>
          <w:noProof/>
          <w:szCs w:val="22"/>
        </w:rPr>
        <w:t>The residential pool pump reschedule measure is intended to produce demand savings, but if the final daily hours of operation are different than the initial daily hours of operation, an energy savings (or incr</w:t>
      </w:r>
      <w:r>
        <w:rPr>
          <w:rFonts w:cs="Arial"/>
          <w:noProof/>
          <w:szCs w:val="22"/>
        </w:rPr>
        <w:t>ea</w:t>
      </w:r>
      <w:r w:rsidRPr="001C6EE1">
        <w:rPr>
          <w:rFonts w:cs="Arial"/>
          <w:noProof/>
          <w:szCs w:val="22"/>
        </w:rPr>
        <w:t xml:space="preserve">se) may result.  The demand savings result from not running pool pumps during the peak hours during noon to 8PM. </w:t>
      </w:r>
    </w:p>
    <w:p w:rsidR="000862C5" w:rsidRPr="00697CA4" w:rsidRDefault="000862C5" w:rsidP="000862C5">
      <w:pPr>
        <w:pStyle w:val="Equation"/>
        <w:rPr>
          <w:rFonts w:cs="Arial"/>
          <w:szCs w:val="20"/>
        </w:rPr>
      </w:pPr>
      <w:r w:rsidRPr="00AA2C40">
        <w:rPr>
          <w:rFonts w:cs="Arial"/>
          <w:szCs w:val="20"/>
        </w:rPr>
        <w:sym w:font="Symbol" w:char="F044"/>
      </w:r>
      <w:r w:rsidRPr="00AA2C40">
        <w:rPr>
          <w:rFonts w:cs="Arial"/>
          <w:szCs w:val="20"/>
        </w:rPr>
        <w:t>kWh</w:t>
      </w:r>
      <w:r w:rsidRPr="00697CA4">
        <w:rPr>
          <w:rFonts w:cs="Arial"/>
          <w:szCs w:val="20"/>
        </w:rPr>
        <w:t xml:space="preserve"> </w:t>
      </w:r>
      <w:r>
        <w:rPr>
          <w:rFonts w:cs="Arial"/>
          <w:szCs w:val="20"/>
        </w:rPr>
        <w:tab/>
      </w:r>
      <w:r>
        <w:rPr>
          <w:rFonts w:cs="Arial"/>
          <w:szCs w:val="20"/>
        </w:rPr>
        <w:tab/>
      </w:r>
      <w:r w:rsidRPr="00697CA4">
        <w:rPr>
          <w:rFonts w:cs="Arial"/>
          <w:szCs w:val="20"/>
        </w:rPr>
        <w:t xml:space="preserve">= </w:t>
      </w:r>
      <w:r w:rsidRPr="00697CA4">
        <w:rPr>
          <w:rFonts w:cs="Arial"/>
          <w:szCs w:val="20"/>
        </w:rPr>
        <w:sym w:font="Symbol" w:char="F044"/>
      </w:r>
      <w:r w:rsidRPr="00697CA4">
        <w:rPr>
          <w:rFonts w:cs="Arial"/>
          <w:szCs w:val="20"/>
        </w:rPr>
        <w:t>hours/day × Days</w:t>
      </w:r>
      <w:r w:rsidRPr="00697CA4">
        <w:rPr>
          <w:rFonts w:cs="Arial"/>
          <w:szCs w:val="20"/>
          <w:vertAlign w:val="subscript"/>
        </w:rPr>
        <w:t>Operating</w:t>
      </w:r>
      <w:r w:rsidRPr="00697CA4">
        <w:rPr>
          <w:rFonts w:cs="Arial"/>
          <w:szCs w:val="20"/>
        </w:rPr>
        <w:t xml:space="preserve">  × kW</w:t>
      </w:r>
      <w:r w:rsidRPr="00697CA4">
        <w:rPr>
          <w:rFonts w:cs="Arial"/>
          <w:szCs w:val="20"/>
          <w:vertAlign w:val="subscript"/>
        </w:rPr>
        <w:t>pump</w:t>
      </w:r>
    </w:p>
    <w:p w:rsidR="000862C5" w:rsidRPr="00697CA4" w:rsidRDefault="000862C5" w:rsidP="000862C5">
      <w:pPr>
        <w:pStyle w:val="Equation"/>
        <w:rPr>
          <w:rFonts w:cs="Arial"/>
          <w:szCs w:val="20"/>
        </w:rPr>
      </w:pPr>
      <w:r w:rsidRPr="00AA2C40">
        <w:rPr>
          <w:rFonts w:cs="Arial"/>
          <w:szCs w:val="20"/>
        </w:rPr>
        <w:sym w:font="Symbol" w:char="F044"/>
      </w:r>
      <w:r w:rsidRPr="00AA2C40">
        <w:rPr>
          <w:rFonts w:cs="Arial"/>
          <w:szCs w:val="20"/>
        </w:rPr>
        <w:t>kW</w:t>
      </w:r>
      <w:r w:rsidRPr="00AA2C40">
        <w:rPr>
          <w:rFonts w:cs="Arial"/>
          <w:szCs w:val="20"/>
          <w:vertAlign w:val="subscript"/>
        </w:rPr>
        <w:t>peak</w:t>
      </w:r>
      <w:r w:rsidRPr="00AA2C40">
        <w:rPr>
          <w:rFonts w:cs="Arial"/>
          <w:szCs w:val="20"/>
        </w:rPr>
        <w:t xml:space="preserve">  </w:t>
      </w:r>
      <w:r>
        <w:rPr>
          <w:rFonts w:cs="Arial"/>
          <w:szCs w:val="20"/>
        </w:rPr>
        <w:tab/>
      </w:r>
      <w:r w:rsidRPr="00697CA4">
        <w:rPr>
          <w:rFonts w:cs="Arial"/>
          <w:szCs w:val="20"/>
        </w:rPr>
        <w:t>= (CF</w:t>
      </w:r>
      <w:r w:rsidRPr="00697CA4">
        <w:rPr>
          <w:rFonts w:cs="Arial"/>
          <w:szCs w:val="20"/>
        </w:rPr>
        <w:softHyphen/>
      </w:r>
      <w:r w:rsidRPr="00697CA4">
        <w:rPr>
          <w:rFonts w:cs="Arial"/>
          <w:szCs w:val="20"/>
          <w:vertAlign w:val="subscript"/>
        </w:rPr>
        <w:t>pre</w:t>
      </w:r>
      <w:r w:rsidRPr="00697CA4">
        <w:rPr>
          <w:rFonts w:cs="Arial"/>
          <w:szCs w:val="20"/>
        </w:rPr>
        <w:t xml:space="preserve"> - CF</w:t>
      </w:r>
      <w:r w:rsidRPr="00697CA4">
        <w:rPr>
          <w:rFonts w:cs="Arial"/>
          <w:szCs w:val="20"/>
          <w:vertAlign w:val="subscript"/>
        </w:rPr>
        <w:softHyphen/>
        <w:t>post</w:t>
      </w:r>
      <w:r w:rsidRPr="00697CA4">
        <w:rPr>
          <w:rFonts w:cs="Arial"/>
          <w:szCs w:val="20"/>
        </w:rPr>
        <w:t xml:space="preserve"> )× kW</w:t>
      </w:r>
      <w:r w:rsidRPr="00697CA4">
        <w:rPr>
          <w:rFonts w:cs="Arial"/>
          <w:szCs w:val="20"/>
          <w:vertAlign w:val="subscript"/>
        </w:rPr>
        <w:t>pump</w:t>
      </w:r>
    </w:p>
    <w:p w:rsidR="000862C5" w:rsidRPr="001C6EE1" w:rsidRDefault="000862C5" w:rsidP="000862C5">
      <w:pPr>
        <w:tabs>
          <w:tab w:val="left" w:pos="720"/>
        </w:tabs>
        <w:spacing w:before="120"/>
        <w:jc w:val="both"/>
        <w:rPr>
          <w:rFonts w:cs="Arial"/>
          <w:szCs w:val="22"/>
        </w:rPr>
      </w:pPr>
      <w:r w:rsidRPr="001C6EE1">
        <w:rPr>
          <w:rFonts w:cs="Arial"/>
          <w:szCs w:val="22"/>
        </w:rPr>
        <w:t xml:space="preserve">The peak coincident factor, CF, is defined as the average coincident factor during noon and 8 PM on summer weekdays. Ideally, the demand coincidence factor for the supplanted single-speed pump can be obtained from the pump’s time clock.  The coincidence factor is equal to the number of hours that the pump was set to run between noon and 8 PM, divided by 8.  </w:t>
      </w:r>
    </w:p>
    <w:p w:rsidR="000862C5" w:rsidRDefault="000862C5" w:rsidP="000862C5">
      <w:pPr>
        <w:pStyle w:val="Heading3"/>
      </w:pPr>
      <w:r w:rsidRPr="001C4AD5">
        <w:t xml:space="preserve">Definition of </w:t>
      </w:r>
      <w:r>
        <w:t>Terms</w:t>
      </w:r>
    </w:p>
    <w:p w:rsidR="000862C5" w:rsidRPr="00296C86" w:rsidRDefault="000862C5" w:rsidP="000862C5">
      <w:pPr>
        <w:pStyle w:val="Equation"/>
      </w:pPr>
      <w:r>
        <w:tab/>
      </w:r>
      <w:r w:rsidRPr="00296C86">
        <w:sym w:font="Symbol" w:char="F044"/>
      </w:r>
      <w:r w:rsidRPr="00296C86">
        <w:t>hours/day</w:t>
      </w:r>
      <w:r>
        <w:tab/>
      </w:r>
      <w:r w:rsidRPr="00296C86">
        <w:t>= The change in daily operating hours.</w:t>
      </w:r>
    </w:p>
    <w:p w:rsidR="000862C5" w:rsidRPr="00296C86" w:rsidRDefault="000862C5" w:rsidP="000862C5">
      <w:pPr>
        <w:pStyle w:val="Equation"/>
      </w:pPr>
      <w:r>
        <w:tab/>
      </w:r>
      <w:r w:rsidRPr="00296C86">
        <w:t>kW</w:t>
      </w:r>
      <w:r w:rsidRPr="00296C86">
        <w:rPr>
          <w:vertAlign w:val="subscript"/>
        </w:rPr>
        <w:t>pump</w:t>
      </w:r>
      <w:r w:rsidRPr="00296C86">
        <w:t xml:space="preserve"> </w:t>
      </w:r>
      <w:r>
        <w:tab/>
      </w:r>
      <w:r w:rsidRPr="00296C86">
        <w:t xml:space="preserve">= Electric demand of single speed pump at a given flow rate. This quantity should be measured or taken from </w:t>
      </w:r>
      <w:r w:rsidR="007A1FB6">
        <w:fldChar w:fldCharType="begin"/>
      </w:r>
      <w:r w:rsidR="00DE76F6">
        <w:instrText xml:space="preserve"> REF _Ref303087624 \h </w:instrText>
      </w:r>
      <w:r w:rsidR="007A1FB6">
        <w:fldChar w:fldCharType="separate"/>
      </w:r>
      <w:r w:rsidR="00C0292F">
        <w:t xml:space="preserve">Table </w:t>
      </w:r>
      <w:r w:rsidR="00C0292F">
        <w:rPr>
          <w:noProof/>
        </w:rPr>
        <w:t>2</w:t>
      </w:r>
      <w:r w:rsidR="00C0292F">
        <w:noBreakHyphen/>
      </w:r>
      <w:r w:rsidR="00C0292F">
        <w:rPr>
          <w:noProof/>
        </w:rPr>
        <w:t>62</w:t>
      </w:r>
      <w:r w:rsidR="007A1FB6">
        <w:fldChar w:fldCharType="end"/>
      </w:r>
    </w:p>
    <w:p w:rsidR="000862C5" w:rsidRPr="00296C86" w:rsidRDefault="000862C5" w:rsidP="000862C5">
      <w:pPr>
        <w:pStyle w:val="Equation"/>
      </w:pPr>
      <w:r>
        <w:tab/>
      </w:r>
      <w:r w:rsidRPr="00296C86">
        <w:t>CF</w:t>
      </w:r>
      <w:r w:rsidRPr="00296C86">
        <w:rPr>
          <w:vertAlign w:val="subscript"/>
        </w:rPr>
        <w:t>pre</w:t>
      </w:r>
      <w:r w:rsidRPr="00296C86">
        <w:t xml:space="preserve"> </w:t>
      </w:r>
      <w:r>
        <w:tab/>
      </w:r>
      <w:r w:rsidRPr="00296C86">
        <w:t>= Peak coincident factor of single speed pump from noon to 8PM in summer weekday prior to pump rescheduling.  This quantity should be inferred from the timer settings</w:t>
      </w:r>
    </w:p>
    <w:p w:rsidR="000862C5" w:rsidRPr="00296C86" w:rsidRDefault="000862C5" w:rsidP="000862C5">
      <w:pPr>
        <w:pStyle w:val="Equation"/>
      </w:pPr>
      <w:r>
        <w:lastRenderedPageBreak/>
        <w:tab/>
      </w:r>
      <w:r w:rsidRPr="00296C86">
        <w:t>CF</w:t>
      </w:r>
      <w:r w:rsidRPr="00296C86">
        <w:rPr>
          <w:vertAlign w:val="subscript"/>
        </w:rPr>
        <w:t xml:space="preserve">post </w:t>
      </w:r>
      <w:r>
        <w:rPr>
          <w:vertAlign w:val="subscript"/>
        </w:rPr>
        <w:tab/>
      </w:r>
      <w:r w:rsidRPr="00296C86">
        <w:t xml:space="preserve">= Peak coincident factor of single speed pump from noon to 8PM in summer weekday after pump rescheduling.  This quantity should be inferred from the new timer settings.  </w:t>
      </w:r>
    </w:p>
    <w:p w:rsidR="000862C5" w:rsidRDefault="000862C5" w:rsidP="000862C5">
      <w:pPr>
        <w:pStyle w:val="Equation"/>
      </w:pPr>
      <w:r>
        <w:tab/>
      </w:r>
      <w:r w:rsidRPr="00296C86">
        <w:t>Days</w:t>
      </w:r>
      <w:r w:rsidRPr="00296C86">
        <w:rPr>
          <w:vertAlign w:val="subscript"/>
        </w:rPr>
        <w:t xml:space="preserve">Operating </w:t>
      </w:r>
      <w:r>
        <w:rPr>
          <w:vertAlign w:val="subscript"/>
        </w:rPr>
        <w:tab/>
      </w:r>
      <w:r w:rsidRPr="00296C86">
        <w:t>= Days per year pump is in operation.  This quantity should be recorded by applicant.</w:t>
      </w:r>
    </w:p>
    <w:p w:rsidR="000862C5" w:rsidRDefault="000862C5" w:rsidP="000862C5">
      <w:pPr>
        <w:pStyle w:val="Caption"/>
      </w:pPr>
      <w:bookmarkStart w:id="492" w:name="_Toc310875547"/>
      <w:r>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61</w:t>
      </w:r>
      <w:r w:rsidR="00274AB1">
        <w:rPr>
          <w:noProof/>
        </w:rPr>
        <w:fldChar w:fldCharType="end"/>
      </w:r>
      <w:r>
        <w:t>: Pool Pump Load Shifting Assumptions</w:t>
      </w:r>
      <w:bookmarkEnd w:id="492"/>
    </w:p>
    <w:tbl>
      <w:tblPr>
        <w:tblW w:w="4302" w:type="pct"/>
        <w:jc w:val="center"/>
        <w:tblInd w:w="-903" w:type="dxa"/>
        <w:tblCellMar>
          <w:left w:w="115" w:type="dxa"/>
          <w:right w:w="115" w:type="dxa"/>
        </w:tblCellMar>
        <w:tblLook w:val="00A0" w:firstRow="1" w:lastRow="0" w:firstColumn="1" w:lastColumn="0" w:noHBand="0" w:noVBand="0"/>
      </w:tblPr>
      <w:tblGrid>
        <w:gridCol w:w="1836"/>
        <w:gridCol w:w="901"/>
        <w:gridCol w:w="2825"/>
        <w:gridCol w:w="2070"/>
      </w:tblGrid>
      <w:tr w:rsidR="000862C5" w:rsidRPr="00877D9B" w:rsidTr="00C4752B">
        <w:trPr>
          <w:trHeight w:val="20"/>
          <w:jc w:val="center"/>
        </w:trPr>
        <w:tc>
          <w:tcPr>
            <w:tcW w:w="1203" w:type="pct"/>
            <w:tcBorders>
              <w:top w:val="single" w:sz="8" w:space="0" w:color="auto"/>
              <w:left w:val="single" w:sz="8" w:space="0" w:color="auto"/>
              <w:bottom w:val="single" w:sz="8" w:space="0" w:color="auto"/>
              <w:right w:val="single" w:sz="8" w:space="0" w:color="auto"/>
            </w:tcBorders>
            <w:shd w:val="clear" w:color="auto" w:fill="BFBFBF"/>
            <w:vAlign w:val="center"/>
          </w:tcPr>
          <w:p w:rsidR="000862C5" w:rsidRPr="001D6512" w:rsidRDefault="000862C5" w:rsidP="00421531">
            <w:pPr>
              <w:pStyle w:val="TableCell"/>
              <w:spacing w:before="60" w:after="60"/>
              <w:rPr>
                <w:b/>
              </w:rPr>
            </w:pPr>
            <w:r w:rsidRPr="001D6512">
              <w:rPr>
                <w:b/>
              </w:rPr>
              <w:t>Component</w:t>
            </w:r>
          </w:p>
        </w:tc>
        <w:tc>
          <w:tcPr>
            <w:tcW w:w="590" w:type="pct"/>
            <w:tcBorders>
              <w:top w:val="single" w:sz="8" w:space="0" w:color="auto"/>
              <w:left w:val="nil"/>
              <w:bottom w:val="single" w:sz="8" w:space="0" w:color="auto"/>
              <w:right w:val="single" w:sz="8" w:space="0" w:color="auto"/>
            </w:tcBorders>
            <w:shd w:val="clear" w:color="auto" w:fill="BFBFBF"/>
            <w:vAlign w:val="center"/>
          </w:tcPr>
          <w:p w:rsidR="000862C5" w:rsidRPr="001D6512" w:rsidRDefault="000862C5" w:rsidP="00421531">
            <w:pPr>
              <w:pStyle w:val="TableCell"/>
              <w:spacing w:before="60" w:after="60"/>
              <w:rPr>
                <w:b/>
              </w:rPr>
            </w:pPr>
            <w:r w:rsidRPr="001D6512">
              <w:rPr>
                <w:b/>
              </w:rPr>
              <w:t>Type</w:t>
            </w:r>
          </w:p>
        </w:tc>
        <w:tc>
          <w:tcPr>
            <w:tcW w:w="1851" w:type="pct"/>
            <w:tcBorders>
              <w:top w:val="single" w:sz="8" w:space="0" w:color="auto"/>
              <w:left w:val="nil"/>
              <w:bottom w:val="single" w:sz="8" w:space="0" w:color="auto"/>
              <w:right w:val="single" w:sz="8" w:space="0" w:color="auto"/>
            </w:tcBorders>
            <w:shd w:val="clear" w:color="auto" w:fill="BFBFBF"/>
            <w:vAlign w:val="center"/>
          </w:tcPr>
          <w:p w:rsidR="000862C5" w:rsidRPr="001D6512" w:rsidRDefault="000862C5" w:rsidP="00421531">
            <w:pPr>
              <w:pStyle w:val="TableCell"/>
              <w:spacing w:before="60" w:after="60"/>
              <w:rPr>
                <w:b/>
              </w:rPr>
            </w:pPr>
            <w:r w:rsidRPr="001D6512">
              <w:rPr>
                <w:b/>
              </w:rPr>
              <w:t>Value</w:t>
            </w:r>
          </w:p>
        </w:tc>
        <w:tc>
          <w:tcPr>
            <w:tcW w:w="1356" w:type="pct"/>
            <w:tcBorders>
              <w:top w:val="single" w:sz="8" w:space="0" w:color="auto"/>
              <w:left w:val="nil"/>
              <w:bottom w:val="single" w:sz="8" w:space="0" w:color="auto"/>
              <w:right w:val="single" w:sz="8" w:space="0" w:color="auto"/>
            </w:tcBorders>
            <w:shd w:val="clear" w:color="auto" w:fill="BFBFBF"/>
            <w:vAlign w:val="center"/>
          </w:tcPr>
          <w:p w:rsidR="000862C5" w:rsidRPr="001D6512" w:rsidRDefault="000862C5" w:rsidP="00421531">
            <w:pPr>
              <w:pStyle w:val="TableCell"/>
              <w:spacing w:before="60" w:after="60"/>
              <w:rPr>
                <w:b/>
              </w:rPr>
            </w:pPr>
            <w:r w:rsidRPr="001D6512">
              <w:rPr>
                <w:b/>
              </w:rPr>
              <w:t>Source</w:t>
            </w:r>
          </w:p>
        </w:tc>
      </w:tr>
      <w:tr w:rsidR="000862C5" w:rsidRPr="0091240E" w:rsidTr="00C4752B">
        <w:trPr>
          <w:trHeight w:val="20"/>
          <w:jc w:val="center"/>
        </w:trPr>
        <w:tc>
          <w:tcPr>
            <w:tcW w:w="1203" w:type="pct"/>
            <w:tcBorders>
              <w:top w:val="single" w:sz="8" w:space="0" w:color="auto"/>
              <w:left w:val="single" w:sz="8" w:space="0" w:color="auto"/>
              <w:bottom w:val="single" w:sz="8" w:space="0" w:color="auto"/>
              <w:right w:val="single" w:sz="8" w:space="0" w:color="auto"/>
            </w:tcBorders>
            <w:vAlign w:val="center"/>
          </w:tcPr>
          <w:p w:rsidR="000862C5" w:rsidRPr="001D6512" w:rsidRDefault="000862C5" w:rsidP="00421531">
            <w:pPr>
              <w:pStyle w:val="TableCell"/>
              <w:spacing w:before="60" w:after="60"/>
              <w:rPr>
                <w:rFonts w:cs="Arial"/>
                <w:szCs w:val="18"/>
              </w:rPr>
            </w:pPr>
            <w:r w:rsidRPr="001D6512">
              <w:rPr>
                <w:szCs w:val="18"/>
              </w:rPr>
              <w:sym w:font="Symbol" w:char="F044"/>
            </w:r>
            <w:r w:rsidRPr="001D6512">
              <w:rPr>
                <w:szCs w:val="18"/>
              </w:rPr>
              <w:t>hours/day</w:t>
            </w:r>
          </w:p>
        </w:tc>
        <w:tc>
          <w:tcPr>
            <w:tcW w:w="590" w:type="pct"/>
            <w:tcBorders>
              <w:top w:val="single" w:sz="8" w:space="0" w:color="auto"/>
              <w:left w:val="nil"/>
              <w:bottom w:val="single" w:sz="8" w:space="0" w:color="auto"/>
              <w:right w:val="single" w:sz="8" w:space="0" w:color="auto"/>
            </w:tcBorders>
            <w:vAlign w:val="center"/>
          </w:tcPr>
          <w:p w:rsidR="000862C5" w:rsidRPr="00C4752B" w:rsidRDefault="000862C5" w:rsidP="00421531">
            <w:pPr>
              <w:spacing w:before="60" w:after="60"/>
              <w:rPr>
                <w:rFonts w:cs="Arial"/>
                <w:sz w:val="18"/>
                <w:szCs w:val="18"/>
              </w:rPr>
            </w:pPr>
            <w:r w:rsidRPr="00C4752B">
              <w:rPr>
                <w:rFonts w:cs="Arial"/>
                <w:sz w:val="18"/>
                <w:szCs w:val="18"/>
              </w:rPr>
              <w:t>Fixed</w:t>
            </w:r>
          </w:p>
        </w:tc>
        <w:tc>
          <w:tcPr>
            <w:tcW w:w="1851" w:type="pct"/>
            <w:tcBorders>
              <w:top w:val="single" w:sz="8" w:space="0" w:color="auto"/>
              <w:left w:val="nil"/>
              <w:bottom w:val="single" w:sz="8" w:space="0" w:color="auto"/>
              <w:right w:val="single" w:sz="8" w:space="0" w:color="auto"/>
            </w:tcBorders>
            <w:vAlign w:val="center"/>
          </w:tcPr>
          <w:p w:rsidR="000862C5" w:rsidRPr="001D6512" w:rsidRDefault="00DE76F6" w:rsidP="00421531">
            <w:pPr>
              <w:pStyle w:val="TableCell"/>
              <w:spacing w:before="60" w:after="60"/>
              <w:rPr>
                <w:rFonts w:cs="Arial"/>
                <w:szCs w:val="18"/>
              </w:rPr>
            </w:pPr>
            <w:r w:rsidRPr="001D6512">
              <w:rPr>
                <w:rFonts w:cs="Arial"/>
                <w:spacing w:val="1"/>
                <w:position w:val="-1"/>
                <w:szCs w:val="18"/>
              </w:rPr>
              <w:t>0</w:t>
            </w:r>
          </w:p>
        </w:tc>
        <w:tc>
          <w:tcPr>
            <w:tcW w:w="1356" w:type="pct"/>
            <w:tcBorders>
              <w:top w:val="single" w:sz="8" w:space="0" w:color="auto"/>
              <w:left w:val="nil"/>
              <w:bottom w:val="single" w:sz="8" w:space="0" w:color="auto"/>
              <w:right w:val="single" w:sz="8" w:space="0" w:color="auto"/>
            </w:tcBorders>
            <w:vAlign w:val="center"/>
          </w:tcPr>
          <w:p w:rsidR="000862C5" w:rsidRPr="001D6512" w:rsidRDefault="00DE76F6" w:rsidP="00421531">
            <w:pPr>
              <w:pStyle w:val="TableCell"/>
              <w:spacing w:before="60" w:after="60"/>
              <w:rPr>
                <w:rFonts w:cs="Arial"/>
                <w:szCs w:val="18"/>
              </w:rPr>
            </w:pPr>
            <w:r w:rsidRPr="001D6512">
              <w:rPr>
                <w:rFonts w:cs="Arial"/>
                <w:szCs w:val="18"/>
              </w:rPr>
              <w:t>2</w:t>
            </w:r>
            <w:r w:rsidR="000862C5" w:rsidRPr="001D6512">
              <w:rPr>
                <w:rFonts w:cs="Arial"/>
                <w:szCs w:val="18"/>
              </w:rPr>
              <w:t xml:space="preserve"> </w:t>
            </w:r>
          </w:p>
        </w:tc>
      </w:tr>
      <w:tr w:rsidR="000862C5" w:rsidRPr="0091240E" w:rsidTr="00C4752B">
        <w:trPr>
          <w:trHeight w:val="20"/>
          <w:jc w:val="center"/>
        </w:trPr>
        <w:tc>
          <w:tcPr>
            <w:tcW w:w="1203" w:type="pct"/>
            <w:tcBorders>
              <w:top w:val="single" w:sz="8" w:space="0" w:color="auto"/>
              <w:left w:val="single" w:sz="8" w:space="0" w:color="auto"/>
              <w:bottom w:val="single" w:sz="8" w:space="0" w:color="auto"/>
              <w:right w:val="single" w:sz="8" w:space="0" w:color="auto"/>
            </w:tcBorders>
            <w:vAlign w:val="center"/>
          </w:tcPr>
          <w:p w:rsidR="000862C5" w:rsidRPr="001D6512" w:rsidRDefault="000862C5" w:rsidP="00421531">
            <w:pPr>
              <w:pStyle w:val="Equation"/>
              <w:spacing w:before="60" w:after="60"/>
              <w:ind w:left="0" w:firstLine="0"/>
              <w:rPr>
                <w:rFonts w:cs="Arial"/>
                <w:i w:val="0"/>
                <w:sz w:val="18"/>
                <w:szCs w:val="18"/>
              </w:rPr>
            </w:pPr>
            <w:r w:rsidRPr="001D6512">
              <w:rPr>
                <w:i w:val="0"/>
                <w:sz w:val="18"/>
                <w:szCs w:val="18"/>
              </w:rPr>
              <w:t>kW</w:t>
            </w:r>
            <w:r w:rsidRPr="001D6512">
              <w:rPr>
                <w:i w:val="0"/>
                <w:sz w:val="18"/>
                <w:szCs w:val="18"/>
                <w:vertAlign w:val="subscript"/>
              </w:rPr>
              <w:t>pump</w:t>
            </w:r>
          </w:p>
        </w:tc>
        <w:tc>
          <w:tcPr>
            <w:tcW w:w="590" w:type="pct"/>
            <w:tcBorders>
              <w:top w:val="single" w:sz="8" w:space="0" w:color="auto"/>
              <w:left w:val="nil"/>
              <w:bottom w:val="single" w:sz="8" w:space="0" w:color="auto"/>
              <w:right w:val="single" w:sz="8" w:space="0" w:color="auto"/>
            </w:tcBorders>
            <w:vAlign w:val="center"/>
          </w:tcPr>
          <w:p w:rsidR="000862C5" w:rsidRPr="00C4752B" w:rsidRDefault="000862C5" w:rsidP="00421531">
            <w:pPr>
              <w:spacing w:before="60" w:after="60"/>
              <w:rPr>
                <w:rFonts w:cs="Arial"/>
                <w:sz w:val="18"/>
                <w:szCs w:val="18"/>
              </w:rPr>
            </w:pPr>
            <w:r w:rsidRPr="00C4752B">
              <w:rPr>
                <w:rFonts w:cs="Arial"/>
                <w:sz w:val="18"/>
                <w:szCs w:val="18"/>
              </w:rPr>
              <w:t>Fixed</w:t>
            </w:r>
          </w:p>
        </w:tc>
        <w:tc>
          <w:tcPr>
            <w:tcW w:w="1851" w:type="pct"/>
            <w:tcBorders>
              <w:top w:val="single" w:sz="8" w:space="0" w:color="auto"/>
              <w:left w:val="nil"/>
              <w:bottom w:val="single" w:sz="8" w:space="0" w:color="auto"/>
              <w:right w:val="single" w:sz="8" w:space="0" w:color="auto"/>
            </w:tcBorders>
            <w:vAlign w:val="center"/>
          </w:tcPr>
          <w:p w:rsidR="000862C5" w:rsidRPr="001D6512" w:rsidRDefault="00DE76F6" w:rsidP="00421531">
            <w:pPr>
              <w:pStyle w:val="Equation"/>
              <w:spacing w:before="60" w:after="60"/>
              <w:ind w:left="0" w:firstLine="0"/>
              <w:rPr>
                <w:rFonts w:cs="Arial"/>
                <w:i w:val="0"/>
                <w:sz w:val="18"/>
                <w:szCs w:val="18"/>
              </w:rPr>
            </w:pPr>
            <w:r w:rsidRPr="001D6512">
              <w:rPr>
                <w:i w:val="0"/>
                <w:sz w:val="18"/>
                <w:szCs w:val="18"/>
              </w:rPr>
              <w:t xml:space="preserve">See </w:t>
            </w:r>
            <w:r w:rsidR="00274AB1">
              <w:fldChar w:fldCharType="begin"/>
            </w:r>
            <w:r w:rsidR="00274AB1">
              <w:instrText xml:space="preserve"> REF _Ref303087624 \h See \* MERGEFORMAT </w:instrText>
            </w:r>
            <w:r w:rsidR="00274AB1">
              <w:fldChar w:fldCharType="separate"/>
            </w:r>
            <w:r w:rsidR="00C0292F" w:rsidRPr="00C0292F">
              <w:rPr>
                <w:i w:val="0"/>
                <w:sz w:val="18"/>
                <w:szCs w:val="18"/>
              </w:rPr>
              <w:t xml:space="preserve">Table </w:t>
            </w:r>
            <w:r w:rsidR="00C0292F" w:rsidRPr="00C0292F">
              <w:rPr>
                <w:i w:val="0"/>
                <w:noProof/>
                <w:sz w:val="18"/>
                <w:szCs w:val="18"/>
              </w:rPr>
              <w:t>2</w:t>
            </w:r>
            <w:r w:rsidR="00C0292F" w:rsidRPr="00C0292F">
              <w:rPr>
                <w:i w:val="0"/>
                <w:noProof/>
                <w:sz w:val="18"/>
                <w:szCs w:val="18"/>
              </w:rPr>
              <w:noBreakHyphen/>
              <w:t>62</w:t>
            </w:r>
            <w:r w:rsidR="00274AB1">
              <w:fldChar w:fldCharType="end"/>
            </w:r>
          </w:p>
        </w:tc>
        <w:tc>
          <w:tcPr>
            <w:tcW w:w="1356" w:type="pct"/>
            <w:tcBorders>
              <w:top w:val="single" w:sz="8" w:space="0" w:color="auto"/>
              <w:left w:val="nil"/>
              <w:bottom w:val="single" w:sz="8" w:space="0" w:color="auto"/>
              <w:right w:val="single" w:sz="8" w:space="0" w:color="auto"/>
            </w:tcBorders>
            <w:vAlign w:val="center"/>
          </w:tcPr>
          <w:p w:rsidR="000862C5" w:rsidRPr="001D6512" w:rsidRDefault="00274AB1" w:rsidP="00421531">
            <w:pPr>
              <w:pStyle w:val="Equation"/>
              <w:spacing w:before="60" w:after="60"/>
              <w:ind w:left="0" w:firstLine="0"/>
              <w:rPr>
                <w:rFonts w:cs="Arial"/>
                <w:i w:val="0"/>
                <w:sz w:val="18"/>
                <w:szCs w:val="18"/>
              </w:rPr>
            </w:pPr>
            <w:r>
              <w:fldChar w:fldCharType="begin"/>
            </w:r>
            <w:r>
              <w:instrText xml:space="preserve"> REF _Ref303087624 \h  \* MERGEFORMAT </w:instrText>
            </w:r>
            <w:r>
              <w:fldChar w:fldCharType="separate"/>
            </w:r>
            <w:r w:rsidR="00C0292F" w:rsidRPr="00C0292F">
              <w:rPr>
                <w:i w:val="0"/>
                <w:sz w:val="18"/>
                <w:szCs w:val="18"/>
              </w:rPr>
              <w:t xml:space="preserve">Table </w:t>
            </w:r>
            <w:r w:rsidR="00C0292F" w:rsidRPr="00C0292F">
              <w:rPr>
                <w:i w:val="0"/>
                <w:noProof/>
                <w:sz w:val="18"/>
                <w:szCs w:val="18"/>
              </w:rPr>
              <w:t>2</w:t>
            </w:r>
            <w:r w:rsidR="00C0292F" w:rsidRPr="00C0292F">
              <w:rPr>
                <w:i w:val="0"/>
                <w:noProof/>
                <w:sz w:val="18"/>
                <w:szCs w:val="18"/>
              </w:rPr>
              <w:noBreakHyphen/>
              <w:t>62</w:t>
            </w:r>
            <w:r>
              <w:fldChar w:fldCharType="end"/>
            </w:r>
          </w:p>
        </w:tc>
      </w:tr>
      <w:tr w:rsidR="000862C5" w:rsidRPr="0091240E" w:rsidTr="00C4752B">
        <w:trPr>
          <w:trHeight w:val="20"/>
          <w:jc w:val="center"/>
        </w:trPr>
        <w:tc>
          <w:tcPr>
            <w:tcW w:w="1203" w:type="pct"/>
            <w:tcBorders>
              <w:top w:val="single" w:sz="8" w:space="0" w:color="auto"/>
              <w:left w:val="single" w:sz="8" w:space="0" w:color="auto"/>
              <w:bottom w:val="single" w:sz="8" w:space="0" w:color="auto"/>
              <w:right w:val="single" w:sz="8" w:space="0" w:color="auto"/>
            </w:tcBorders>
            <w:vAlign w:val="center"/>
          </w:tcPr>
          <w:p w:rsidR="000862C5" w:rsidRPr="001D6512" w:rsidRDefault="000862C5" w:rsidP="00421531">
            <w:pPr>
              <w:pStyle w:val="Equation"/>
              <w:spacing w:before="60" w:after="60"/>
              <w:ind w:left="0" w:firstLine="0"/>
              <w:rPr>
                <w:rFonts w:cs="Arial"/>
                <w:i w:val="0"/>
                <w:sz w:val="18"/>
                <w:szCs w:val="18"/>
              </w:rPr>
            </w:pPr>
            <w:r w:rsidRPr="001D6512">
              <w:rPr>
                <w:i w:val="0"/>
                <w:sz w:val="18"/>
                <w:szCs w:val="18"/>
              </w:rPr>
              <w:t>CF</w:t>
            </w:r>
            <w:r w:rsidRPr="001D6512">
              <w:rPr>
                <w:i w:val="0"/>
                <w:sz w:val="18"/>
                <w:szCs w:val="18"/>
                <w:vertAlign w:val="subscript"/>
              </w:rPr>
              <w:t>pre</w:t>
            </w:r>
          </w:p>
        </w:tc>
        <w:tc>
          <w:tcPr>
            <w:tcW w:w="590" w:type="pct"/>
            <w:tcBorders>
              <w:top w:val="single" w:sz="8" w:space="0" w:color="auto"/>
              <w:left w:val="nil"/>
              <w:bottom w:val="single" w:sz="8" w:space="0" w:color="auto"/>
              <w:right w:val="single" w:sz="8" w:space="0" w:color="auto"/>
            </w:tcBorders>
            <w:vAlign w:val="center"/>
          </w:tcPr>
          <w:p w:rsidR="000862C5" w:rsidRPr="00C4752B" w:rsidRDefault="000862C5" w:rsidP="00421531">
            <w:pPr>
              <w:spacing w:before="60" w:after="60"/>
              <w:rPr>
                <w:rFonts w:cs="Arial"/>
                <w:sz w:val="18"/>
                <w:szCs w:val="18"/>
              </w:rPr>
            </w:pPr>
            <w:r w:rsidRPr="00C4752B">
              <w:rPr>
                <w:rFonts w:cs="Arial"/>
                <w:sz w:val="18"/>
                <w:szCs w:val="18"/>
              </w:rPr>
              <w:t>Fixed</w:t>
            </w:r>
          </w:p>
        </w:tc>
        <w:tc>
          <w:tcPr>
            <w:tcW w:w="1851" w:type="pct"/>
            <w:tcBorders>
              <w:top w:val="single" w:sz="8" w:space="0" w:color="auto"/>
              <w:left w:val="nil"/>
              <w:bottom w:val="single" w:sz="8" w:space="0" w:color="auto"/>
              <w:right w:val="single" w:sz="8" w:space="0" w:color="auto"/>
            </w:tcBorders>
            <w:vAlign w:val="center"/>
          </w:tcPr>
          <w:p w:rsidR="000862C5" w:rsidRPr="001D6512" w:rsidRDefault="000862C5" w:rsidP="00941160">
            <w:pPr>
              <w:pStyle w:val="Equation"/>
              <w:spacing w:before="60" w:after="60"/>
              <w:ind w:left="0" w:firstLine="0"/>
              <w:rPr>
                <w:rFonts w:cs="Arial"/>
                <w:i w:val="0"/>
                <w:sz w:val="18"/>
                <w:szCs w:val="18"/>
              </w:rPr>
            </w:pPr>
            <w:r w:rsidRPr="001D6512">
              <w:rPr>
                <w:rFonts w:cs="Arial"/>
                <w:i w:val="0"/>
                <w:sz w:val="18"/>
                <w:szCs w:val="18"/>
              </w:rPr>
              <w:t>0.</w:t>
            </w:r>
            <w:r w:rsidR="00941160">
              <w:rPr>
                <w:rFonts w:cs="Arial"/>
                <w:i w:val="0"/>
                <w:sz w:val="18"/>
                <w:szCs w:val="18"/>
              </w:rPr>
              <w:t>235</w:t>
            </w:r>
          </w:p>
        </w:tc>
        <w:tc>
          <w:tcPr>
            <w:tcW w:w="1356" w:type="pct"/>
            <w:tcBorders>
              <w:top w:val="single" w:sz="8" w:space="0" w:color="auto"/>
              <w:left w:val="nil"/>
              <w:bottom w:val="single" w:sz="8" w:space="0" w:color="auto"/>
              <w:right w:val="single" w:sz="8" w:space="0" w:color="auto"/>
            </w:tcBorders>
            <w:vAlign w:val="center"/>
          </w:tcPr>
          <w:p w:rsidR="000862C5" w:rsidRPr="001D6512" w:rsidRDefault="00BA29AE" w:rsidP="00421531">
            <w:pPr>
              <w:pStyle w:val="Equation"/>
              <w:spacing w:before="60" w:after="60"/>
              <w:ind w:left="0" w:firstLine="0"/>
              <w:rPr>
                <w:rFonts w:cs="Arial"/>
                <w:i w:val="0"/>
                <w:sz w:val="18"/>
                <w:szCs w:val="18"/>
              </w:rPr>
            </w:pPr>
            <w:r w:rsidRPr="001D6512">
              <w:rPr>
                <w:rFonts w:cs="Arial"/>
                <w:i w:val="0"/>
                <w:sz w:val="18"/>
                <w:szCs w:val="18"/>
              </w:rPr>
              <w:t>3</w:t>
            </w:r>
          </w:p>
        </w:tc>
      </w:tr>
      <w:tr w:rsidR="000862C5" w:rsidRPr="0091240E" w:rsidTr="00C4752B">
        <w:trPr>
          <w:trHeight w:val="20"/>
          <w:jc w:val="center"/>
        </w:trPr>
        <w:tc>
          <w:tcPr>
            <w:tcW w:w="1203" w:type="pct"/>
            <w:tcBorders>
              <w:top w:val="single" w:sz="8" w:space="0" w:color="auto"/>
              <w:left w:val="single" w:sz="8" w:space="0" w:color="auto"/>
              <w:bottom w:val="single" w:sz="8" w:space="0" w:color="auto"/>
              <w:right w:val="single" w:sz="8" w:space="0" w:color="auto"/>
            </w:tcBorders>
            <w:vAlign w:val="center"/>
          </w:tcPr>
          <w:p w:rsidR="000862C5" w:rsidRPr="001D6512" w:rsidRDefault="000862C5" w:rsidP="00421531">
            <w:pPr>
              <w:pStyle w:val="Equation"/>
              <w:spacing w:before="60" w:after="60"/>
              <w:ind w:left="0" w:firstLine="0"/>
              <w:rPr>
                <w:i w:val="0"/>
                <w:sz w:val="18"/>
                <w:szCs w:val="18"/>
              </w:rPr>
            </w:pPr>
            <w:r w:rsidRPr="001D6512">
              <w:rPr>
                <w:i w:val="0"/>
                <w:sz w:val="18"/>
                <w:szCs w:val="18"/>
              </w:rPr>
              <w:t>CF</w:t>
            </w:r>
            <w:r w:rsidRPr="001D6512">
              <w:rPr>
                <w:i w:val="0"/>
                <w:sz w:val="18"/>
                <w:szCs w:val="18"/>
                <w:vertAlign w:val="subscript"/>
              </w:rPr>
              <w:t>post</w:t>
            </w:r>
          </w:p>
        </w:tc>
        <w:tc>
          <w:tcPr>
            <w:tcW w:w="590" w:type="pct"/>
            <w:tcBorders>
              <w:top w:val="single" w:sz="8" w:space="0" w:color="auto"/>
              <w:left w:val="nil"/>
              <w:bottom w:val="single" w:sz="8" w:space="0" w:color="auto"/>
              <w:right w:val="single" w:sz="8" w:space="0" w:color="auto"/>
            </w:tcBorders>
            <w:vAlign w:val="center"/>
          </w:tcPr>
          <w:p w:rsidR="000862C5" w:rsidRPr="00C4752B" w:rsidRDefault="000862C5" w:rsidP="00421531">
            <w:pPr>
              <w:spacing w:before="60" w:after="60"/>
              <w:rPr>
                <w:rFonts w:cs="Arial"/>
                <w:sz w:val="18"/>
                <w:szCs w:val="18"/>
              </w:rPr>
            </w:pPr>
            <w:r w:rsidRPr="00C4752B">
              <w:rPr>
                <w:rFonts w:cs="Arial"/>
                <w:sz w:val="18"/>
                <w:szCs w:val="18"/>
              </w:rPr>
              <w:t>Fixed</w:t>
            </w:r>
          </w:p>
        </w:tc>
        <w:tc>
          <w:tcPr>
            <w:tcW w:w="1851" w:type="pct"/>
            <w:tcBorders>
              <w:top w:val="single" w:sz="8" w:space="0" w:color="auto"/>
              <w:left w:val="nil"/>
              <w:bottom w:val="single" w:sz="8" w:space="0" w:color="auto"/>
              <w:right w:val="single" w:sz="8" w:space="0" w:color="auto"/>
            </w:tcBorders>
            <w:vAlign w:val="center"/>
          </w:tcPr>
          <w:p w:rsidR="000862C5" w:rsidRPr="001D6512" w:rsidRDefault="000862C5" w:rsidP="00421531">
            <w:pPr>
              <w:pStyle w:val="Equation"/>
              <w:spacing w:before="60" w:after="60"/>
              <w:ind w:left="0" w:firstLine="0"/>
              <w:rPr>
                <w:rFonts w:cs="Arial"/>
                <w:i w:val="0"/>
                <w:sz w:val="18"/>
                <w:szCs w:val="18"/>
              </w:rPr>
            </w:pPr>
            <w:r w:rsidRPr="001D6512">
              <w:rPr>
                <w:rFonts w:cs="Arial"/>
                <w:i w:val="0"/>
                <w:sz w:val="18"/>
                <w:szCs w:val="18"/>
              </w:rPr>
              <w:t>0</w:t>
            </w:r>
          </w:p>
        </w:tc>
        <w:tc>
          <w:tcPr>
            <w:tcW w:w="1356" w:type="pct"/>
            <w:tcBorders>
              <w:top w:val="single" w:sz="8" w:space="0" w:color="auto"/>
              <w:left w:val="nil"/>
              <w:bottom w:val="single" w:sz="8" w:space="0" w:color="auto"/>
              <w:right w:val="single" w:sz="8" w:space="0" w:color="auto"/>
            </w:tcBorders>
            <w:vAlign w:val="center"/>
          </w:tcPr>
          <w:p w:rsidR="000862C5" w:rsidRPr="001D6512" w:rsidRDefault="00DE76F6" w:rsidP="00421531">
            <w:pPr>
              <w:pStyle w:val="Equation"/>
              <w:spacing w:before="60" w:after="60"/>
              <w:ind w:left="0" w:firstLine="0"/>
              <w:rPr>
                <w:rFonts w:cs="Arial"/>
                <w:i w:val="0"/>
                <w:sz w:val="18"/>
                <w:szCs w:val="18"/>
              </w:rPr>
            </w:pPr>
            <w:r w:rsidRPr="001D6512">
              <w:rPr>
                <w:rFonts w:cs="Arial"/>
                <w:i w:val="0"/>
                <w:sz w:val="18"/>
                <w:szCs w:val="18"/>
              </w:rPr>
              <w:t>2</w:t>
            </w:r>
          </w:p>
        </w:tc>
      </w:tr>
      <w:tr w:rsidR="000862C5" w:rsidRPr="0091240E" w:rsidTr="00C4752B">
        <w:trPr>
          <w:trHeight w:val="20"/>
          <w:jc w:val="center"/>
        </w:trPr>
        <w:tc>
          <w:tcPr>
            <w:tcW w:w="1203" w:type="pct"/>
            <w:tcBorders>
              <w:top w:val="single" w:sz="8" w:space="0" w:color="auto"/>
              <w:left w:val="single" w:sz="8" w:space="0" w:color="auto"/>
              <w:bottom w:val="single" w:sz="8" w:space="0" w:color="auto"/>
              <w:right w:val="single" w:sz="8" w:space="0" w:color="auto"/>
            </w:tcBorders>
            <w:vAlign w:val="center"/>
          </w:tcPr>
          <w:p w:rsidR="000862C5" w:rsidRPr="001D6512" w:rsidRDefault="000862C5" w:rsidP="00421531">
            <w:pPr>
              <w:pStyle w:val="Equation"/>
              <w:spacing w:before="60" w:after="60"/>
              <w:ind w:left="0" w:firstLine="0"/>
              <w:rPr>
                <w:i w:val="0"/>
                <w:sz w:val="18"/>
                <w:szCs w:val="18"/>
              </w:rPr>
            </w:pPr>
            <w:r w:rsidRPr="001D6512">
              <w:rPr>
                <w:i w:val="0"/>
                <w:sz w:val="18"/>
                <w:szCs w:val="18"/>
              </w:rPr>
              <w:t>Days</w:t>
            </w:r>
            <w:r w:rsidRPr="001D6512">
              <w:rPr>
                <w:i w:val="0"/>
                <w:sz w:val="18"/>
                <w:szCs w:val="18"/>
                <w:vertAlign w:val="subscript"/>
              </w:rPr>
              <w:t>Operating</w:t>
            </w:r>
          </w:p>
        </w:tc>
        <w:tc>
          <w:tcPr>
            <w:tcW w:w="590" w:type="pct"/>
            <w:tcBorders>
              <w:top w:val="single" w:sz="8" w:space="0" w:color="auto"/>
              <w:left w:val="nil"/>
              <w:bottom w:val="single" w:sz="8" w:space="0" w:color="auto"/>
              <w:right w:val="single" w:sz="8" w:space="0" w:color="auto"/>
            </w:tcBorders>
            <w:vAlign w:val="center"/>
          </w:tcPr>
          <w:p w:rsidR="000862C5" w:rsidRPr="00C4752B" w:rsidRDefault="000862C5" w:rsidP="00421531">
            <w:pPr>
              <w:spacing w:before="60" w:after="60"/>
              <w:rPr>
                <w:rFonts w:cs="Arial"/>
                <w:sz w:val="18"/>
                <w:szCs w:val="18"/>
              </w:rPr>
            </w:pPr>
            <w:r w:rsidRPr="00C4752B">
              <w:rPr>
                <w:rFonts w:cs="Arial"/>
                <w:sz w:val="18"/>
                <w:szCs w:val="18"/>
              </w:rPr>
              <w:t>Fixed</w:t>
            </w:r>
          </w:p>
        </w:tc>
        <w:tc>
          <w:tcPr>
            <w:tcW w:w="1851" w:type="pct"/>
            <w:tcBorders>
              <w:top w:val="single" w:sz="8" w:space="0" w:color="auto"/>
              <w:left w:val="nil"/>
              <w:bottom w:val="single" w:sz="8" w:space="0" w:color="auto"/>
              <w:right w:val="single" w:sz="8" w:space="0" w:color="auto"/>
            </w:tcBorders>
            <w:vAlign w:val="center"/>
          </w:tcPr>
          <w:p w:rsidR="000862C5" w:rsidRPr="001D6512" w:rsidRDefault="000862C5" w:rsidP="00421531">
            <w:pPr>
              <w:pStyle w:val="Equation"/>
              <w:spacing w:before="60" w:after="60"/>
              <w:ind w:left="0" w:firstLine="0"/>
              <w:rPr>
                <w:rFonts w:cs="Arial"/>
                <w:i w:val="0"/>
                <w:sz w:val="18"/>
                <w:szCs w:val="18"/>
              </w:rPr>
            </w:pPr>
            <w:r w:rsidRPr="001D6512">
              <w:rPr>
                <w:rFonts w:cs="Arial"/>
                <w:i w:val="0"/>
                <w:sz w:val="18"/>
                <w:szCs w:val="18"/>
              </w:rPr>
              <w:t>100</w:t>
            </w:r>
          </w:p>
        </w:tc>
        <w:tc>
          <w:tcPr>
            <w:tcW w:w="1356" w:type="pct"/>
            <w:tcBorders>
              <w:top w:val="single" w:sz="8" w:space="0" w:color="auto"/>
              <w:left w:val="nil"/>
              <w:bottom w:val="single" w:sz="8" w:space="0" w:color="auto"/>
              <w:right w:val="single" w:sz="8" w:space="0" w:color="auto"/>
            </w:tcBorders>
            <w:vAlign w:val="center"/>
          </w:tcPr>
          <w:p w:rsidR="000862C5" w:rsidRPr="001D6512" w:rsidRDefault="00DE76F6" w:rsidP="000862C5">
            <w:pPr>
              <w:pStyle w:val="Equation"/>
              <w:spacing w:before="60" w:after="60"/>
              <w:ind w:left="0" w:firstLine="0"/>
              <w:rPr>
                <w:rFonts w:cs="Arial"/>
                <w:i w:val="0"/>
                <w:sz w:val="18"/>
                <w:szCs w:val="18"/>
              </w:rPr>
            </w:pPr>
            <w:r w:rsidRPr="001D6512">
              <w:rPr>
                <w:rFonts w:cs="Arial"/>
                <w:i w:val="0"/>
                <w:sz w:val="18"/>
                <w:szCs w:val="18"/>
              </w:rPr>
              <w:t>1</w:t>
            </w:r>
          </w:p>
        </w:tc>
      </w:tr>
    </w:tbl>
    <w:p w:rsidR="000862C5" w:rsidRDefault="000862C5" w:rsidP="000862C5"/>
    <w:p w:rsidR="000862C5" w:rsidRPr="000862C5" w:rsidRDefault="000862C5" w:rsidP="000862C5">
      <w:pPr>
        <w:rPr>
          <w:b/>
        </w:rPr>
      </w:pPr>
      <w:r w:rsidRPr="000862C5">
        <w:rPr>
          <w:b/>
        </w:rPr>
        <w:t>Sources:</w:t>
      </w:r>
    </w:p>
    <w:p w:rsidR="000862C5" w:rsidRDefault="000862C5" w:rsidP="0005632A">
      <w:pPr>
        <w:pStyle w:val="source1"/>
        <w:numPr>
          <w:ilvl w:val="0"/>
          <w:numId w:val="114"/>
        </w:numPr>
      </w:pPr>
      <w:r>
        <w:t>Mid-Atlantic TRM, version 2.0.  Prepared by Vermont Energy Investment Corporation. Facilitated and managed by the Northeast Energy Efficiency Partnerships. July 2011.</w:t>
      </w:r>
    </w:p>
    <w:p w:rsidR="00DE76F6" w:rsidRPr="000862C5" w:rsidRDefault="00DE76F6" w:rsidP="0005632A">
      <w:pPr>
        <w:pStyle w:val="source1"/>
        <w:numPr>
          <w:ilvl w:val="0"/>
          <w:numId w:val="114"/>
        </w:numPr>
      </w:pPr>
      <w:r>
        <w:t>Program is designed to shift load to off-peak hours, not necessarily to reduce load.</w:t>
      </w:r>
    </w:p>
    <w:p w:rsidR="00BA29AE" w:rsidRPr="000862C5" w:rsidRDefault="00BA29AE" w:rsidP="0005632A">
      <w:pPr>
        <w:pStyle w:val="source1"/>
        <w:numPr>
          <w:ilvl w:val="0"/>
          <w:numId w:val="27"/>
        </w:numPr>
      </w:pPr>
      <w:r w:rsidRPr="00EF05A1">
        <w:t>Derived from Pool Pump and Demand Response Potential, DR 07.01 Report, SCE Design and Engineering, Table 16</w:t>
      </w:r>
      <w:r>
        <w:t>. Statewide value calculated using the non-weather dependent coincident peak demand calculator with inland valley data.</w:t>
      </w:r>
    </w:p>
    <w:p w:rsidR="000862C5" w:rsidRPr="001C6EE1" w:rsidRDefault="000862C5" w:rsidP="000862C5">
      <w:pPr>
        <w:pStyle w:val="Heading4"/>
      </w:pPr>
      <w:r w:rsidRPr="001C6EE1">
        <w:t>Average Single Speed Pump Electric Demand</w:t>
      </w:r>
      <w:r>
        <w:t xml:space="preserve">  </w:t>
      </w:r>
    </w:p>
    <w:p w:rsidR="000862C5" w:rsidRDefault="000862C5" w:rsidP="000862C5">
      <w:pPr>
        <w:pStyle w:val="source1"/>
        <w:numPr>
          <w:ilvl w:val="0"/>
          <w:numId w:val="0"/>
        </w:numPr>
      </w:pPr>
      <w:r w:rsidRPr="001C6EE1">
        <w:rPr>
          <w:szCs w:val="22"/>
        </w:rPr>
        <w:t>Since this measure involves functional pool pumps, actual measurements of pump demand are encouraged.</w:t>
      </w:r>
      <w:r>
        <w:rPr>
          <w:szCs w:val="22"/>
        </w:rPr>
        <w:t xml:space="preserve">  </w:t>
      </w:r>
      <w:r w:rsidRPr="001C6EE1">
        <w:rPr>
          <w:szCs w:val="22"/>
        </w:rPr>
        <w:t>If this is not possible, then the pool pump power can be inferred from the nameplate horsepower.</w:t>
      </w:r>
      <w:r>
        <w:rPr>
          <w:szCs w:val="22"/>
        </w:rPr>
        <w:t xml:space="preserve"> </w:t>
      </w:r>
      <w:r w:rsidR="007A1FB6">
        <w:fldChar w:fldCharType="begin"/>
      </w:r>
      <w:r>
        <w:rPr>
          <w:szCs w:val="22"/>
        </w:rPr>
        <w:instrText xml:space="preserve"> REF _Ref303087624 \h </w:instrText>
      </w:r>
      <w:r w:rsidR="007A1FB6">
        <w:fldChar w:fldCharType="separate"/>
      </w:r>
      <w:r w:rsidR="00C0292F">
        <w:t xml:space="preserve">Table </w:t>
      </w:r>
      <w:r w:rsidR="00C0292F">
        <w:rPr>
          <w:noProof/>
        </w:rPr>
        <w:t>2</w:t>
      </w:r>
      <w:r w:rsidR="00C0292F">
        <w:noBreakHyphen/>
      </w:r>
      <w:r w:rsidR="00C0292F">
        <w:rPr>
          <w:noProof/>
        </w:rPr>
        <w:t>62</w:t>
      </w:r>
      <w:r w:rsidR="007A1FB6">
        <w:fldChar w:fldCharType="end"/>
      </w:r>
      <w:r w:rsidRPr="001C6EE1">
        <w:rPr>
          <w:szCs w:val="22"/>
        </w:rPr>
        <w:t xml:space="preserve"> shows the average </w:t>
      </w:r>
      <w:r>
        <w:rPr>
          <w:szCs w:val="22"/>
        </w:rPr>
        <w:t xml:space="preserve">service factor (over-sizing factor), motor efficiency, and </w:t>
      </w:r>
      <w:r w:rsidRPr="001C6EE1">
        <w:rPr>
          <w:szCs w:val="22"/>
        </w:rPr>
        <w:t>electrical power demand per pump size based on California Energy Commission (CEC) appliance database for single speed pool pump</w:t>
      </w:r>
      <w:r>
        <w:rPr>
          <w:rStyle w:val="FootnoteReference"/>
          <w:szCs w:val="22"/>
        </w:rPr>
        <w:footnoteReference w:id="123"/>
      </w:r>
      <w:r w:rsidRPr="001C6EE1">
        <w:rPr>
          <w:szCs w:val="22"/>
        </w:rPr>
        <w:t>. Note that the power to horsepower ratios appear high because many pumps, in particular those under 2 H</w:t>
      </w:r>
      <w:r>
        <w:rPr>
          <w:szCs w:val="22"/>
        </w:rPr>
        <w:t xml:space="preserve">P, have high ‘service factors’. </w:t>
      </w:r>
      <w:r w:rsidRPr="001C6EE1">
        <w:rPr>
          <w:szCs w:val="22"/>
        </w:rPr>
        <w:t>The true motor capacity is the product of the nameplate horse</w:t>
      </w:r>
      <w:r>
        <w:rPr>
          <w:szCs w:val="22"/>
        </w:rPr>
        <w:t xml:space="preserve">power and the service factor.  </w:t>
      </w:r>
    </w:p>
    <w:p w:rsidR="000862C5" w:rsidRDefault="000862C5" w:rsidP="000862C5">
      <w:pPr>
        <w:pStyle w:val="Caption"/>
      </w:pPr>
      <w:bookmarkStart w:id="493" w:name="_Ref303087624"/>
      <w:bookmarkStart w:id="494" w:name="_Toc310875548"/>
      <w:r>
        <w:lastRenderedPageBreak/>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62</w:t>
      </w:r>
      <w:r w:rsidR="00274AB1">
        <w:rPr>
          <w:noProof/>
        </w:rPr>
        <w:fldChar w:fldCharType="end"/>
      </w:r>
      <w:bookmarkEnd w:id="493"/>
      <w:r>
        <w:t xml:space="preserve">: </w:t>
      </w:r>
      <w:r w:rsidRPr="00A14CBA">
        <w:t>Single Speed Pool Pump Specification</w:t>
      </w:r>
      <w:r>
        <w:rPr>
          <w:rStyle w:val="FootnoteReference"/>
        </w:rPr>
        <w:footnoteReference w:id="124"/>
      </w:r>
      <w:bookmarkEnd w:id="49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435"/>
        <w:gridCol w:w="2218"/>
        <w:gridCol w:w="2218"/>
      </w:tblGrid>
      <w:tr w:rsidR="000862C5" w:rsidRPr="001C6EE1" w:rsidTr="00421531">
        <w:trPr>
          <w:trHeight w:val="374"/>
          <w:jc w:val="center"/>
        </w:trPr>
        <w:tc>
          <w:tcPr>
            <w:tcW w:w="1985" w:type="dxa"/>
            <w:shd w:val="clear" w:color="auto" w:fill="BFBFBF"/>
          </w:tcPr>
          <w:p w:rsidR="000862C5" w:rsidRPr="001D6512" w:rsidRDefault="000862C5" w:rsidP="00421531">
            <w:pPr>
              <w:pStyle w:val="TableCell"/>
              <w:spacing w:before="60" w:after="60"/>
              <w:rPr>
                <w:b/>
              </w:rPr>
            </w:pPr>
            <w:r w:rsidRPr="001D6512">
              <w:rPr>
                <w:rFonts w:cs="Arial"/>
                <w:b/>
                <w:bCs/>
                <w:szCs w:val="18"/>
              </w:rPr>
              <w:t>Pump Horse Power (HP)</w:t>
            </w:r>
          </w:p>
        </w:tc>
        <w:tc>
          <w:tcPr>
            <w:tcW w:w="2435" w:type="dxa"/>
            <w:shd w:val="clear" w:color="auto" w:fill="BFBFBF"/>
          </w:tcPr>
          <w:p w:rsidR="000862C5" w:rsidRPr="001D6512" w:rsidRDefault="000862C5" w:rsidP="00421531">
            <w:pPr>
              <w:pStyle w:val="TableCell"/>
              <w:spacing w:before="60" w:after="60"/>
              <w:rPr>
                <w:b/>
              </w:rPr>
            </w:pPr>
            <w:r w:rsidRPr="001D6512">
              <w:rPr>
                <w:rFonts w:cs="Arial"/>
                <w:b/>
                <w:bCs/>
                <w:szCs w:val="18"/>
              </w:rPr>
              <w:t>Average Pump Service Factor*</w:t>
            </w:r>
          </w:p>
        </w:tc>
        <w:tc>
          <w:tcPr>
            <w:tcW w:w="2218" w:type="dxa"/>
            <w:shd w:val="clear" w:color="auto" w:fill="BFBFBF"/>
          </w:tcPr>
          <w:p w:rsidR="000862C5" w:rsidRPr="001D6512" w:rsidRDefault="000862C5" w:rsidP="00421531">
            <w:pPr>
              <w:pStyle w:val="TableCell"/>
              <w:spacing w:before="60" w:after="60"/>
              <w:rPr>
                <w:b/>
              </w:rPr>
            </w:pPr>
            <w:r w:rsidRPr="001D6512">
              <w:rPr>
                <w:rFonts w:cs="Arial"/>
                <w:b/>
                <w:bCs/>
                <w:szCs w:val="18"/>
              </w:rPr>
              <w:t>Average Pump Motor Efficiency*</w:t>
            </w:r>
          </w:p>
        </w:tc>
        <w:tc>
          <w:tcPr>
            <w:tcW w:w="2218" w:type="dxa"/>
            <w:shd w:val="clear" w:color="auto" w:fill="BFBFBF"/>
          </w:tcPr>
          <w:p w:rsidR="000862C5" w:rsidRPr="001D6512" w:rsidRDefault="000862C5" w:rsidP="00421531">
            <w:pPr>
              <w:pStyle w:val="TableCell"/>
              <w:spacing w:before="60" w:after="60"/>
              <w:rPr>
                <w:b/>
              </w:rPr>
            </w:pPr>
            <w:r w:rsidRPr="001D6512">
              <w:rPr>
                <w:rFonts w:cs="Arial"/>
                <w:b/>
                <w:bCs/>
                <w:szCs w:val="18"/>
              </w:rPr>
              <w:t>Average Pump Power (W)*</w:t>
            </w:r>
          </w:p>
        </w:tc>
      </w:tr>
      <w:tr w:rsidR="000862C5" w:rsidRPr="001C6EE1" w:rsidTr="00421531">
        <w:trPr>
          <w:trHeight w:val="374"/>
          <w:jc w:val="center"/>
        </w:trPr>
        <w:tc>
          <w:tcPr>
            <w:tcW w:w="1985" w:type="dxa"/>
            <w:vAlign w:val="center"/>
          </w:tcPr>
          <w:p w:rsidR="000862C5" w:rsidRPr="001D6512" w:rsidRDefault="000862C5" w:rsidP="00421531">
            <w:pPr>
              <w:pStyle w:val="TableCell"/>
              <w:spacing w:before="60" w:after="60"/>
              <w:jc w:val="right"/>
            </w:pPr>
            <w:r w:rsidRPr="001D6512">
              <w:rPr>
                <w:rFonts w:cs="Arial"/>
                <w:szCs w:val="18"/>
              </w:rPr>
              <w:t>0.50</w:t>
            </w:r>
          </w:p>
        </w:tc>
        <w:tc>
          <w:tcPr>
            <w:tcW w:w="2435" w:type="dxa"/>
            <w:vAlign w:val="center"/>
          </w:tcPr>
          <w:p w:rsidR="000862C5" w:rsidRPr="001D6512" w:rsidRDefault="000862C5" w:rsidP="00421531">
            <w:pPr>
              <w:pStyle w:val="TableCell"/>
              <w:spacing w:before="60" w:after="60"/>
              <w:jc w:val="right"/>
            </w:pPr>
            <w:r w:rsidRPr="001D6512">
              <w:rPr>
                <w:rFonts w:cs="Arial"/>
                <w:szCs w:val="18"/>
              </w:rPr>
              <w:t>1.62</w:t>
            </w:r>
          </w:p>
        </w:tc>
        <w:tc>
          <w:tcPr>
            <w:tcW w:w="2218" w:type="dxa"/>
            <w:vAlign w:val="center"/>
          </w:tcPr>
          <w:p w:rsidR="000862C5" w:rsidRPr="001D6512" w:rsidRDefault="000862C5" w:rsidP="00421531">
            <w:pPr>
              <w:pStyle w:val="TableCell"/>
              <w:spacing w:before="60" w:after="60"/>
              <w:jc w:val="right"/>
            </w:pPr>
            <w:r w:rsidRPr="001D6512">
              <w:rPr>
                <w:rFonts w:cs="Arial"/>
                <w:szCs w:val="18"/>
              </w:rPr>
              <w:t>0.66</w:t>
            </w:r>
          </w:p>
        </w:tc>
        <w:tc>
          <w:tcPr>
            <w:tcW w:w="2218" w:type="dxa"/>
            <w:vAlign w:val="center"/>
          </w:tcPr>
          <w:p w:rsidR="000862C5" w:rsidRPr="001D6512" w:rsidRDefault="000862C5" w:rsidP="00421531">
            <w:pPr>
              <w:pStyle w:val="TableCell"/>
              <w:spacing w:before="60" w:after="60"/>
              <w:jc w:val="right"/>
            </w:pPr>
            <w:r w:rsidRPr="001D6512">
              <w:rPr>
                <w:rFonts w:cs="Arial"/>
                <w:szCs w:val="18"/>
              </w:rPr>
              <w:t>946</w:t>
            </w:r>
          </w:p>
        </w:tc>
      </w:tr>
      <w:tr w:rsidR="000862C5" w:rsidRPr="001C6EE1" w:rsidTr="00421531">
        <w:trPr>
          <w:trHeight w:val="374"/>
          <w:jc w:val="center"/>
        </w:trPr>
        <w:tc>
          <w:tcPr>
            <w:tcW w:w="1985" w:type="dxa"/>
            <w:vAlign w:val="center"/>
          </w:tcPr>
          <w:p w:rsidR="000862C5" w:rsidRPr="001D6512" w:rsidRDefault="000862C5" w:rsidP="00421531">
            <w:pPr>
              <w:pStyle w:val="TableCell"/>
              <w:spacing w:before="60" w:after="60"/>
              <w:jc w:val="right"/>
            </w:pPr>
            <w:r w:rsidRPr="001D6512">
              <w:rPr>
                <w:rFonts w:cs="Arial"/>
                <w:szCs w:val="18"/>
              </w:rPr>
              <w:t>0.75</w:t>
            </w:r>
          </w:p>
        </w:tc>
        <w:tc>
          <w:tcPr>
            <w:tcW w:w="2435" w:type="dxa"/>
            <w:vAlign w:val="center"/>
          </w:tcPr>
          <w:p w:rsidR="000862C5" w:rsidRPr="001D6512" w:rsidRDefault="000862C5" w:rsidP="00421531">
            <w:pPr>
              <w:pStyle w:val="TableCell"/>
              <w:spacing w:before="60" w:after="60"/>
              <w:jc w:val="right"/>
            </w:pPr>
            <w:r w:rsidRPr="001D6512">
              <w:rPr>
                <w:rFonts w:cs="Arial"/>
                <w:szCs w:val="18"/>
              </w:rPr>
              <w:t>1.29</w:t>
            </w:r>
          </w:p>
        </w:tc>
        <w:tc>
          <w:tcPr>
            <w:tcW w:w="2218" w:type="dxa"/>
            <w:vAlign w:val="center"/>
          </w:tcPr>
          <w:p w:rsidR="000862C5" w:rsidRPr="001D6512" w:rsidRDefault="000862C5" w:rsidP="00421531">
            <w:pPr>
              <w:pStyle w:val="TableCell"/>
              <w:spacing w:before="60" w:after="60"/>
              <w:jc w:val="right"/>
            </w:pPr>
            <w:r w:rsidRPr="001D6512">
              <w:rPr>
                <w:rFonts w:cs="Arial"/>
                <w:szCs w:val="18"/>
              </w:rPr>
              <w:t>0.65</w:t>
            </w:r>
          </w:p>
        </w:tc>
        <w:tc>
          <w:tcPr>
            <w:tcW w:w="2218" w:type="dxa"/>
            <w:vAlign w:val="center"/>
          </w:tcPr>
          <w:p w:rsidR="000862C5" w:rsidRPr="001D6512" w:rsidRDefault="000862C5" w:rsidP="00421531">
            <w:pPr>
              <w:pStyle w:val="TableCell"/>
              <w:spacing w:before="60" w:after="60"/>
              <w:jc w:val="right"/>
            </w:pPr>
            <w:r w:rsidRPr="001D6512">
              <w:rPr>
                <w:rFonts w:cs="Arial"/>
                <w:szCs w:val="18"/>
              </w:rPr>
              <w:t>1,081</w:t>
            </w:r>
          </w:p>
        </w:tc>
      </w:tr>
      <w:tr w:rsidR="000862C5" w:rsidRPr="001C6EE1" w:rsidTr="00421531">
        <w:trPr>
          <w:trHeight w:val="374"/>
          <w:jc w:val="center"/>
        </w:trPr>
        <w:tc>
          <w:tcPr>
            <w:tcW w:w="1985" w:type="dxa"/>
            <w:vAlign w:val="center"/>
          </w:tcPr>
          <w:p w:rsidR="000862C5" w:rsidRPr="001D6512" w:rsidRDefault="000862C5" w:rsidP="00421531">
            <w:pPr>
              <w:pStyle w:val="TableCell"/>
              <w:spacing w:before="60" w:after="60"/>
              <w:jc w:val="right"/>
            </w:pPr>
            <w:r w:rsidRPr="001D6512">
              <w:rPr>
                <w:rFonts w:cs="Arial"/>
                <w:szCs w:val="18"/>
              </w:rPr>
              <w:t>1.00</w:t>
            </w:r>
          </w:p>
        </w:tc>
        <w:tc>
          <w:tcPr>
            <w:tcW w:w="2435" w:type="dxa"/>
            <w:vAlign w:val="center"/>
          </w:tcPr>
          <w:p w:rsidR="000862C5" w:rsidRPr="001D6512" w:rsidRDefault="000862C5" w:rsidP="00421531">
            <w:pPr>
              <w:pStyle w:val="TableCell"/>
              <w:spacing w:before="60" w:after="60"/>
              <w:jc w:val="right"/>
            </w:pPr>
            <w:r w:rsidRPr="001D6512">
              <w:rPr>
                <w:rFonts w:cs="Arial"/>
                <w:szCs w:val="18"/>
              </w:rPr>
              <w:t>1.28</w:t>
            </w:r>
          </w:p>
        </w:tc>
        <w:tc>
          <w:tcPr>
            <w:tcW w:w="2218" w:type="dxa"/>
            <w:vAlign w:val="center"/>
          </w:tcPr>
          <w:p w:rsidR="000862C5" w:rsidRPr="001D6512" w:rsidRDefault="000862C5" w:rsidP="00421531">
            <w:pPr>
              <w:pStyle w:val="TableCell"/>
              <w:spacing w:before="60" w:after="60"/>
              <w:jc w:val="right"/>
            </w:pPr>
            <w:r w:rsidRPr="001D6512">
              <w:rPr>
                <w:rFonts w:cs="Arial"/>
                <w:szCs w:val="18"/>
              </w:rPr>
              <w:t>0.70</w:t>
            </w:r>
          </w:p>
        </w:tc>
        <w:tc>
          <w:tcPr>
            <w:tcW w:w="2218" w:type="dxa"/>
            <w:vAlign w:val="center"/>
          </w:tcPr>
          <w:p w:rsidR="000862C5" w:rsidRPr="001D6512" w:rsidRDefault="000862C5" w:rsidP="00421531">
            <w:pPr>
              <w:pStyle w:val="TableCell"/>
              <w:spacing w:before="60" w:after="60"/>
              <w:jc w:val="right"/>
            </w:pPr>
            <w:r w:rsidRPr="001D6512">
              <w:rPr>
                <w:rFonts w:cs="Arial"/>
                <w:szCs w:val="18"/>
              </w:rPr>
              <w:t>1,306</w:t>
            </w:r>
          </w:p>
        </w:tc>
      </w:tr>
      <w:tr w:rsidR="000862C5" w:rsidRPr="001C6EE1" w:rsidTr="00421531">
        <w:trPr>
          <w:trHeight w:val="374"/>
          <w:jc w:val="center"/>
        </w:trPr>
        <w:tc>
          <w:tcPr>
            <w:tcW w:w="1985" w:type="dxa"/>
            <w:vAlign w:val="center"/>
          </w:tcPr>
          <w:p w:rsidR="000862C5" w:rsidRPr="001D6512" w:rsidRDefault="000862C5" w:rsidP="00421531">
            <w:pPr>
              <w:pStyle w:val="TableCell"/>
              <w:spacing w:before="60" w:after="60"/>
              <w:jc w:val="right"/>
            </w:pPr>
            <w:r w:rsidRPr="001D6512">
              <w:rPr>
                <w:rFonts w:cs="Arial"/>
                <w:szCs w:val="18"/>
              </w:rPr>
              <w:t>1.50</w:t>
            </w:r>
          </w:p>
        </w:tc>
        <w:tc>
          <w:tcPr>
            <w:tcW w:w="2435" w:type="dxa"/>
            <w:vAlign w:val="center"/>
          </w:tcPr>
          <w:p w:rsidR="000862C5" w:rsidRPr="001D6512" w:rsidRDefault="000862C5" w:rsidP="00421531">
            <w:pPr>
              <w:pStyle w:val="TableCell"/>
              <w:spacing w:before="60" w:after="60"/>
              <w:jc w:val="right"/>
            </w:pPr>
            <w:r w:rsidRPr="001D6512">
              <w:rPr>
                <w:rFonts w:cs="Arial"/>
                <w:szCs w:val="18"/>
              </w:rPr>
              <w:t>1.19</w:t>
            </w:r>
          </w:p>
        </w:tc>
        <w:tc>
          <w:tcPr>
            <w:tcW w:w="2218" w:type="dxa"/>
            <w:vAlign w:val="center"/>
          </w:tcPr>
          <w:p w:rsidR="000862C5" w:rsidRPr="001D6512" w:rsidRDefault="000862C5" w:rsidP="00421531">
            <w:pPr>
              <w:pStyle w:val="TableCell"/>
              <w:spacing w:before="60" w:after="60"/>
              <w:jc w:val="right"/>
            </w:pPr>
            <w:r w:rsidRPr="001D6512">
              <w:rPr>
                <w:rFonts w:cs="Arial"/>
                <w:szCs w:val="18"/>
              </w:rPr>
              <w:t>0.75</w:t>
            </w:r>
          </w:p>
        </w:tc>
        <w:tc>
          <w:tcPr>
            <w:tcW w:w="2218" w:type="dxa"/>
            <w:vAlign w:val="center"/>
          </w:tcPr>
          <w:p w:rsidR="000862C5" w:rsidRPr="001D6512" w:rsidRDefault="000862C5" w:rsidP="00421531">
            <w:pPr>
              <w:pStyle w:val="TableCell"/>
              <w:spacing w:before="60" w:after="60"/>
              <w:jc w:val="right"/>
            </w:pPr>
            <w:r w:rsidRPr="001D6512">
              <w:rPr>
                <w:rFonts w:cs="Arial"/>
                <w:szCs w:val="18"/>
              </w:rPr>
              <w:t>1,512</w:t>
            </w:r>
          </w:p>
        </w:tc>
      </w:tr>
      <w:tr w:rsidR="000862C5" w:rsidRPr="001C6EE1" w:rsidTr="00421531">
        <w:trPr>
          <w:trHeight w:val="374"/>
          <w:jc w:val="center"/>
        </w:trPr>
        <w:tc>
          <w:tcPr>
            <w:tcW w:w="1985" w:type="dxa"/>
            <w:vAlign w:val="center"/>
          </w:tcPr>
          <w:p w:rsidR="000862C5" w:rsidRPr="001D6512" w:rsidRDefault="000862C5" w:rsidP="00421531">
            <w:pPr>
              <w:pStyle w:val="TableCell"/>
              <w:spacing w:before="60" w:after="60"/>
              <w:jc w:val="right"/>
            </w:pPr>
            <w:r w:rsidRPr="001D6512">
              <w:rPr>
                <w:rFonts w:cs="Arial"/>
                <w:szCs w:val="18"/>
              </w:rPr>
              <w:t>2.00</w:t>
            </w:r>
          </w:p>
        </w:tc>
        <w:tc>
          <w:tcPr>
            <w:tcW w:w="2435" w:type="dxa"/>
            <w:vAlign w:val="center"/>
          </w:tcPr>
          <w:p w:rsidR="000862C5" w:rsidRPr="001D6512" w:rsidRDefault="000862C5" w:rsidP="00421531">
            <w:pPr>
              <w:pStyle w:val="TableCell"/>
              <w:spacing w:before="60" w:after="60"/>
              <w:jc w:val="right"/>
            </w:pPr>
            <w:r w:rsidRPr="001D6512">
              <w:rPr>
                <w:rFonts w:cs="Arial"/>
                <w:szCs w:val="18"/>
              </w:rPr>
              <w:t>1.20</w:t>
            </w:r>
          </w:p>
        </w:tc>
        <w:tc>
          <w:tcPr>
            <w:tcW w:w="2218" w:type="dxa"/>
            <w:vAlign w:val="center"/>
          </w:tcPr>
          <w:p w:rsidR="000862C5" w:rsidRPr="001D6512" w:rsidRDefault="000862C5" w:rsidP="00421531">
            <w:pPr>
              <w:pStyle w:val="TableCell"/>
              <w:spacing w:before="60" w:after="60"/>
              <w:jc w:val="right"/>
            </w:pPr>
            <w:r w:rsidRPr="001D6512">
              <w:rPr>
                <w:rFonts w:cs="Arial"/>
                <w:szCs w:val="18"/>
              </w:rPr>
              <w:t>0.78</w:t>
            </w:r>
          </w:p>
        </w:tc>
        <w:tc>
          <w:tcPr>
            <w:tcW w:w="2218" w:type="dxa"/>
            <w:vAlign w:val="center"/>
          </w:tcPr>
          <w:p w:rsidR="000862C5" w:rsidRPr="001D6512" w:rsidRDefault="000862C5" w:rsidP="00421531">
            <w:pPr>
              <w:pStyle w:val="TableCell"/>
              <w:spacing w:before="60" w:after="60"/>
              <w:jc w:val="right"/>
            </w:pPr>
            <w:r w:rsidRPr="001D6512">
              <w:rPr>
                <w:rFonts w:cs="Arial"/>
                <w:szCs w:val="18"/>
              </w:rPr>
              <w:t>2,040</w:t>
            </w:r>
          </w:p>
        </w:tc>
      </w:tr>
      <w:tr w:rsidR="000862C5" w:rsidRPr="001C6EE1" w:rsidTr="00421531">
        <w:trPr>
          <w:trHeight w:val="374"/>
          <w:jc w:val="center"/>
        </w:trPr>
        <w:tc>
          <w:tcPr>
            <w:tcW w:w="1985" w:type="dxa"/>
            <w:vAlign w:val="center"/>
          </w:tcPr>
          <w:p w:rsidR="000862C5" w:rsidRPr="001D6512" w:rsidRDefault="000862C5" w:rsidP="00421531">
            <w:pPr>
              <w:pStyle w:val="TableCell"/>
              <w:spacing w:before="60" w:after="60"/>
              <w:jc w:val="right"/>
            </w:pPr>
            <w:r w:rsidRPr="001D6512">
              <w:rPr>
                <w:rFonts w:cs="Arial"/>
                <w:szCs w:val="18"/>
              </w:rPr>
              <w:t>2.50</w:t>
            </w:r>
          </w:p>
        </w:tc>
        <w:tc>
          <w:tcPr>
            <w:tcW w:w="2435" w:type="dxa"/>
            <w:vAlign w:val="center"/>
          </w:tcPr>
          <w:p w:rsidR="000862C5" w:rsidRPr="001D6512" w:rsidRDefault="000862C5" w:rsidP="00421531">
            <w:pPr>
              <w:pStyle w:val="TableCell"/>
              <w:spacing w:before="60" w:after="60"/>
              <w:jc w:val="right"/>
            </w:pPr>
            <w:r w:rsidRPr="001D6512">
              <w:rPr>
                <w:rFonts w:cs="Arial"/>
                <w:szCs w:val="18"/>
              </w:rPr>
              <w:t>1.11</w:t>
            </w:r>
          </w:p>
        </w:tc>
        <w:tc>
          <w:tcPr>
            <w:tcW w:w="2218" w:type="dxa"/>
            <w:vAlign w:val="center"/>
          </w:tcPr>
          <w:p w:rsidR="000862C5" w:rsidRPr="001D6512" w:rsidRDefault="000862C5" w:rsidP="00421531">
            <w:pPr>
              <w:pStyle w:val="TableCell"/>
              <w:spacing w:before="60" w:after="60"/>
              <w:jc w:val="right"/>
            </w:pPr>
            <w:r w:rsidRPr="001D6512">
              <w:rPr>
                <w:rFonts w:cs="Arial"/>
                <w:szCs w:val="18"/>
              </w:rPr>
              <w:t>0.77</w:t>
            </w:r>
          </w:p>
        </w:tc>
        <w:tc>
          <w:tcPr>
            <w:tcW w:w="2218" w:type="dxa"/>
            <w:vAlign w:val="center"/>
          </w:tcPr>
          <w:p w:rsidR="000862C5" w:rsidRPr="001D6512" w:rsidRDefault="000862C5" w:rsidP="00421531">
            <w:pPr>
              <w:pStyle w:val="TableCell"/>
              <w:spacing w:before="60" w:after="60"/>
              <w:jc w:val="right"/>
            </w:pPr>
            <w:r w:rsidRPr="001D6512">
              <w:rPr>
                <w:rFonts w:cs="Arial"/>
                <w:szCs w:val="18"/>
              </w:rPr>
              <w:t>2,182</w:t>
            </w:r>
          </w:p>
        </w:tc>
      </w:tr>
      <w:tr w:rsidR="000862C5" w:rsidRPr="001C6EE1" w:rsidTr="00421531">
        <w:trPr>
          <w:trHeight w:val="374"/>
          <w:jc w:val="center"/>
        </w:trPr>
        <w:tc>
          <w:tcPr>
            <w:tcW w:w="1985" w:type="dxa"/>
            <w:vAlign w:val="center"/>
          </w:tcPr>
          <w:p w:rsidR="000862C5" w:rsidRPr="001D6512" w:rsidRDefault="000862C5" w:rsidP="00421531">
            <w:pPr>
              <w:pStyle w:val="TableCell"/>
              <w:spacing w:before="60" w:after="60"/>
              <w:jc w:val="right"/>
            </w:pPr>
            <w:r w:rsidRPr="001D6512">
              <w:rPr>
                <w:rFonts w:cs="Arial"/>
                <w:szCs w:val="18"/>
              </w:rPr>
              <w:t>3.00</w:t>
            </w:r>
          </w:p>
        </w:tc>
        <w:tc>
          <w:tcPr>
            <w:tcW w:w="2435" w:type="dxa"/>
            <w:vAlign w:val="center"/>
          </w:tcPr>
          <w:p w:rsidR="000862C5" w:rsidRPr="001D6512" w:rsidRDefault="000862C5" w:rsidP="00421531">
            <w:pPr>
              <w:pStyle w:val="TableCell"/>
              <w:spacing w:before="60" w:after="60"/>
              <w:jc w:val="right"/>
            </w:pPr>
            <w:r w:rsidRPr="001D6512">
              <w:rPr>
                <w:rFonts w:cs="Arial"/>
                <w:szCs w:val="18"/>
              </w:rPr>
              <w:t>1.21</w:t>
            </w:r>
          </w:p>
        </w:tc>
        <w:tc>
          <w:tcPr>
            <w:tcW w:w="2218" w:type="dxa"/>
            <w:vAlign w:val="center"/>
          </w:tcPr>
          <w:p w:rsidR="000862C5" w:rsidRPr="001D6512" w:rsidRDefault="000862C5" w:rsidP="00421531">
            <w:pPr>
              <w:pStyle w:val="TableCell"/>
              <w:spacing w:before="60" w:after="60"/>
              <w:jc w:val="right"/>
            </w:pPr>
            <w:r w:rsidRPr="001D6512">
              <w:rPr>
                <w:rFonts w:cs="Arial"/>
                <w:szCs w:val="18"/>
              </w:rPr>
              <w:t>0.79</w:t>
            </w:r>
          </w:p>
        </w:tc>
        <w:tc>
          <w:tcPr>
            <w:tcW w:w="2218" w:type="dxa"/>
            <w:vAlign w:val="center"/>
          </w:tcPr>
          <w:p w:rsidR="000862C5" w:rsidRPr="001D6512" w:rsidRDefault="000862C5" w:rsidP="00421531">
            <w:pPr>
              <w:pStyle w:val="TableCell"/>
              <w:spacing w:before="60" w:after="60"/>
              <w:jc w:val="right"/>
            </w:pPr>
            <w:r w:rsidRPr="001D6512">
              <w:rPr>
                <w:rFonts w:cs="Arial"/>
                <w:szCs w:val="18"/>
              </w:rPr>
              <w:t>2,666</w:t>
            </w:r>
          </w:p>
        </w:tc>
      </w:tr>
    </w:tbl>
    <w:p w:rsidR="000862C5" w:rsidRDefault="000862C5" w:rsidP="000862C5">
      <w:pPr>
        <w:pStyle w:val="source1"/>
        <w:numPr>
          <w:ilvl w:val="0"/>
          <w:numId w:val="0"/>
        </w:numPr>
        <w:ind w:left="720" w:hanging="360"/>
      </w:pPr>
    </w:p>
    <w:p w:rsidR="000862C5" w:rsidRDefault="000862C5" w:rsidP="000862C5">
      <w:pPr>
        <w:pStyle w:val="Heading3"/>
      </w:pPr>
      <w:r>
        <w:t>Measure Life</w:t>
      </w:r>
    </w:p>
    <w:p w:rsidR="000862C5" w:rsidRDefault="000862C5" w:rsidP="000862C5">
      <w:r w:rsidRPr="00AE536E">
        <w:t>The measure life is initially assumed to be one year.  If there is significant uptake of this measure then a retention study may be warranted.</w:t>
      </w:r>
    </w:p>
    <w:p w:rsidR="000862C5" w:rsidRDefault="000862C5" w:rsidP="000862C5">
      <w:pPr>
        <w:pStyle w:val="Heading3"/>
      </w:pPr>
      <w:r>
        <w:t>Evaluation Protocol</w:t>
      </w:r>
    </w:p>
    <w:p w:rsidR="000862C5" w:rsidRPr="001C6EE1" w:rsidRDefault="000862C5" w:rsidP="000862C5">
      <w:pPr>
        <w:spacing w:before="120"/>
        <w:jc w:val="both"/>
        <w:rPr>
          <w:rFonts w:cs="Arial"/>
          <w:szCs w:val="22"/>
        </w:rPr>
      </w:pPr>
      <w:r w:rsidRPr="001C6EE1">
        <w:rPr>
          <w:rFonts w:cs="Arial"/>
          <w:szCs w:val="22"/>
        </w:rPr>
        <w:t>The most appropriate evaluation protocol for this measure is verification of pool pump run time.</w:t>
      </w:r>
    </w:p>
    <w:p w:rsidR="000862C5" w:rsidRPr="001C4AD5" w:rsidRDefault="000862C5" w:rsidP="000862C5">
      <w:pPr>
        <w:pStyle w:val="Heading2"/>
      </w:pPr>
      <w:r>
        <w:br w:type="page"/>
      </w:r>
      <w:bookmarkStart w:id="495" w:name="_Toc310875437"/>
      <w:r>
        <w:lastRenderedPageBreak/>
        <w:t>High Efficiency Two-Speed Pool Pump</w:t>
      </w:r>
      <w:bookmarkEnd w:id="495"/>
    </w:p>
    <w:p w:rsidR="000862C5" w:rsidRDefault="000862C5" w:rsidP="000862C5">
      <w:r w:rsidRPr="00D103BA">
        <w:t xml:space="preserve">The following protocol for the measurement of energy and demand savings applies to the installation of efficient two-speed residential pool pump motors in place of a standard single speed motor of equivalent horsepower for residents with swimming pools. Pool pumps and motors are one of a home’s highest energy consuming technologies.  </w:t>
      </w:r>
    </w:p>
    <w:p w:rsidR="000862C5" w:rsidRPr="005944C8" w:rsidRDefault="000862C5" w:rsidP="000862C5">
      <w:pPr>
        <w:pStyle w:val="Heading3"/>
      </w:pPr>
      <w:r w:rsidRPr="005944C8">
        <w:t>Eligibility</w:t>
      </w:r>
    </w:p>
    <w:p w:rsidR="000862C5" w:rsidRPr="005944C8" w:rsidRDefault="000862C5" w:rsidP="000862C5">
      <w:pPr>
        <w:rPr>
          <w:b/>
        </w:rPr>
      </w:pPr>
      <w:r w:rsidRPr="005944C8">
        <w:t>High efficiency motors (capacitor start, capacitor run) and high efficiency pumps should be required. Qualifying two speed systems must be able to reduce flow rate by 50% and provide temporary override to full flow for startup and cleaning.  All systems should be encouraged to perform filtering and cleaning during off peak hours.</w:t>
      </w:r>
    </w:p>
    <w:p w:rsidR="000862C5" w:rsidRPr="001C4AD5" w:rsidRDefault="000862C5" w:rsidP="000862C5">
      <w:pPr>
        <w:pStyle w:val="Heading3"/>
      </w:pPr>
      <w:r w:rsidRPr="001C4AD5">
        <w:t>Algorithms</w:t>
      </w:r>
    </w:p>
    <w:p w:rsidR="000862C5" w:rsidRPr="00D103BA" w:rsidRDefault="000862C5" w:rsidP="000862C5">
      <w:pPr>
        <w:pStyle w:val="Equation"/>
        <w:rPr>
          <w:rFonts w:cs="Arial"/>
          <w:szCs w:val="20"/>
        </w:rPr>
      </w:pPr>
      <w:r w:rsidRPr="00D103BA">
        <w:rPr>
          <w:rFonts w:cs="Arial"/>
          <w:szCs w:val="20"/>
        </w:rPr>
        <w:sym w:font="Symbol" w:char="F044"/>
      </w:r>
      <w:r w:rsidRPr="00D103BA">
        <w:rPr>
          <w:rFonts w:cs="Arial"/>
          <w:szCs w:val="20"/>
        </w:rPr>
        <w:t>kWh</w:t>
      </w:r>
      <w:r w:rsidRPr="00D103BA">
        <w:rPr>
          <w:rFonts w:cs="Arial"/>
          <w:szCs w:val="20"/>
        </w:rPr>
        <w:tab/>
        <w:t xml:space="preserve"> </w:t>
      </w:r>
      <w:r w:rsidRPr="00D103BA">
        <w:rPr>
          <w:rFonts w:cs="Arial"/>
          <w:szCs w:val="20"/>
        </w:rPr>
        <w:tab/>
        <w:t>= kWh</w:t>
      </w:r>
      <w:r w:rsidRPr="00B152E0">
        <w:rPr>
          <w:rFonts w:cs="Arial"/>
          <w:szCs w:val="20"/>
          <w:vertAlign w:val="subscript"/>
        </w:rPr>
        <w:t>base</w:t>
      </w:r>
      <w:r w:rsidRPr="00D103BA">
        <w:rPr>
          <w:rFonts w:cs="Arial"/>
          <w:szCs w:val="20"/>
        </w:rPr>
        <w:t xml:space="preserve"> </w:t>
      </w:r>
      <w:r>
        <w:rPr>
          <w:rFonts w:cs="Arial"/>
          <w:szCs w:val="20"/>
        </w:rPr>
        <w:t>–</w:t>
      </w:r>
      <w:r w:rsidRPr="00D103BA">
        <w:rPr>
          <w:rFonts w:cs="Arial"/>
          <w:szCs w:val="20"/>
        </w:rPr>
        <w:t xml:space="preserve"> kWh</w:t>
      </w:r>
      <w:r w:rsidRPr="00B152E0">
        <w:rPr>
          <w:rFonts w:cs="Arial"/>
          <w:szCs w:val="20"/>
          <w:vertAlign w:val="subscript"/>
        </w:rPr>
        <w:t xml:space="preserve">two </w:t>
      </w:r>
      <w:r>
        <w:rPr>
          <w:rFonts w:cs="Arial"/>
          <w:szCs w:val="20"/>
          <w:vertAlign w:val="subscript"/>
        </w:rPr>
        <w:t>s</w:t>
      </w:r>
      <w:r w:rsidRPr="00B152E0">
        <w:rPr>
          <w:rFonts w:cs="Arial"/>
          <w:szCs w:val="20"/>
          <w:vertAlign w:val="subscript"/>
        </w:rPr>
        <w:t>peed</w:t>
      </w:r>
    </w:p>
    <w:p w:rsidR="000862C5" w:rsidRPr="00D103BA" w:rsidRDefault="000862C5" w:rsidP="000862C5">
      <w:pPr>
        <w:pStyle w:val="Equation"/>
        <w:rPr>
          <w:rFonts w:cs="Arial"/>
          <w:szCs w:val="20"/>
        </w:rPr>
      </w:pPr>
      <w:r w:rsidRPr="00D103BA">
        <w:rPr>
          <w:rFonts w:cs="Arial"/>
          <w:szCs w:val="20"/>
        </w:rPr>
        <w:sym w:font="Symbol" w:char="F044"/>
      </w:r>
      <w:r w:rsidRPr="00D103BA">
        <w:rPr>
          <w:rFonts w:cs="Arial"/>
          <w:szCs w:val="20"/>
        </w:rPr>
        <w:t>kW</w:t>
      </w:r>
      <w:r w:rsidRPr="00D103BA">
        <w:rPr>
          <w:rFonts w:cs="Arial"/>
          <w:szCs w:val="20"/>
          <w:vertAlign w:val="subscript"/>
        </w:rPr>
        <w:t>peak</w:t>
      </w:r>
      <w:r>
        <w:rPr>
          <w:rFonts w:cs="Arial"/>
          <w:szCs w:val="20"/>
        </w:rPr>
        <w:tab/>
      </w:r>
      <w:r>
        <w:rPr>
          <w:rFonts w:cs="Arial"/>
          <w:szCs w:val="20"/>
        </w:rPr>
        <w:tab/>
        <w:t xml:space="preserve"> =(kW</w:t>
      </w:r>
      <w:r w:rsidRPr="00B152E0">
        <w:rPr>
          <w:rFonts w:cs="Arial"/>
          <w:szCs w:val="20"/>
          <w:vertAlign w:val="subscript"/>
        </w:rPr>
        <w:t>base</w:t>
      </w:r>
      <w:r>
        <w:rPr>
          <w:rFonts w:cs="Arial"/>
          <w:szCs w:val="20"/>
        </w:rPr>
        <w:t xml:space="preserve"> – kW</w:t>
      </w:r>
      <w:r w:rsidRPr="00B152E0">
        <w:rPr>
          <w:rFonts w:cs="Arial"/>
          <w:szCs w:val="20"/>
          <w:vertAlign w:val="subscript"/>
        </w:rPr>
        <w:t>two speed</w:t>
      </w:r>
      <w:r w:rsidRPr="00D103BA">
        <w:rPr>
          <w:rFonts w:cs="Arial"/>
          <w:szCs w:val="20"/>
        </w:rPr>
        <w:t>)</w:t>
      </w:r>
      <w:r>
        <w:rPr>
          <w:rFonts w:cs="Arial"/>
          <w:szCs w:val="20"/>
        </w:rPr>
        <w:t xml:space="preserve"> x</w:t>
      </w:r>
      <w:r w:rsidRPr="00D103BA">
        <w:rPr>
          <w:rFonts w:cs="Arial"/>
          <w:szCs w:val="20"/>
        </w:rPr>
        <w:t xml:space="preserve"> CF</w:t>
      </w:r>
    </w:p>
    <w:p w:rsidR="000862C5" w:rsidRDefault="000862C5" w:rsidP="000862C5">
      <w:pPr>
        <w:pStyle w:val="Heading3"/>
      </w:pPr>
      <w:r w:rsidRPr="001C4AD5">
        <w:t xml:space="preserve">Definition of </w:t>
      </w:r>
      <w:r>
        <w:t>Terms</w:t>
      </w:r>
    </w:p>
    <w:p w:rsidR="000862C5" w:rsidRPr="00D103BA" w:rsidRDefault="000862C5" w:rsidP="000862C5">
      <w:pPr>
        <w:pStyle w:val="Equation"/>
        <w:rPr>
          <w:rFonts w:cs="Arial"/>
          <w:szCs w:val="20"/>
        </w:rPr>
      </w:pPr>
      <w:r w:rsidRPr="00F5204A">
        <w:rPr>
          <w:rFonts w:cs="Arial"/>
          <w:szCs w:val="20"/>
        </w:rPr>
        <w:tab/>
      </w:r>
      <w:r w:rsidRPr="00D103BA">
        <w:rPr>
          <w:rFonts w:cs="Arial"/>
          <w:szCs w:val="20"/>
        </w:rPr>
        <w:t>kWh</w:t>
      </w:r>
      <w:r w:rsidRPr="00D103BA">
        <w:rPr>
          <w:rFonts w:cs="Arial"/>
          <w:szCs w:val="20"/>
          <w:vertAlign w:val="subscript"/>
        </w:rPr>
        <w:t>base</w:t>
      </w:r>
      <w:r w:rsidRPr="00D103BA">
        <w:rPr>
          <w:rFonts w:cs="Arial"/>
          <w:szCs w:val="20"/>
        </w:rPr>
        <w:tab/>
        <w:t xml:space="preserve">= </w:t>
      </w:r>
      <w:r>
        <w:rPr>
          <w:rFonts w:cs="Arial"/>
          <w:szCs w:val="20"/>
        </w:rPr>
        <w:t>A</w:t>
      </w:r>
      <w:r w:rsidRPr="00D103BA">
        <w:rPr>
          <w:rFonts w:cs="Arial"/>
          <w:szCs w:val="20"/>
        </w:rPr>
        <w:t xml:space="preserve">ssumed annual kWh consumption for a standard single speed pump motor in a cool climate </w:t>
      </w:r>
      <w:r>
        <w:rPr>
          <w:rFonts w:cs="Arial"/>
          <w:szCs w:val="20"/>
        </w:rPr>
        <w:t>(assumes 100 day pool season)</w:t>
      </w:r>
    </w:p>
    <w:p w:rsidR="000862C5" w:rsidRPr="00D103BA" w:rsidRDefault="000862C5" w:rsidP="000862C5">
      <w:pPr>
        <w:pStyle w:val="Equation"/>
        <w:rPr>
          <w:rFonts w:cs="Arial"/>
          <w:szCs w:val="20"/>
        </w:rPr>
      </w:pPr>
      <w:r w:rsidRPr="00D103BA">
        <w:rPr>
          <w:rFonts w:cs="Arial"/>
          <w:szCs w:val="20"/>
        </w:rPr>
        <w:tab/>
        <w:t>kWh</w:t>
      </w:r>
      <w:r w:rsidRPr="00B152E0">
        <w:rPr>
          <w:rFonts w:cs="Arial"/>
          <w:szCs w:val="20"/>
          <w:vertAlign w:val="subscript"/>
        </w:rPr>
        <w:t>two speed</w:t>
      </w:r>
      <w:r w:rsidRPr="00D103BA">
        <w:rPr>
          <w:rFonts w:cs="Arial"/>
          <w:szCs w:val="20"/>
        </w:rPr>
        <w:tab/>
        <w:t xml:space="preserve">= </w:t>
      </w:r>
      <w:r>
        <w:rPr>
          <w:rFonts w:cs="Arial"/>
          <w:szCs w:val="20"/>
        </w:rPr>
        <w:t>A</w:t>
      </w:r>
      <w:r w:rsidRPr="00D103BA">
        <w:rPr>
          <w:rFonts w:cs="Arial"/>
          <w:szCs w:val="20"/>
        </w:rPr>
        <w:t xml:space="preserve">ssumed annual kWh consumption for </w:t>
      </w:r>
      <w:r>
        <w:rPr>
          <w:rFonts w:cs="Arial"/>
          <w:szCs w:val="20"/>
        </w:rPr>
        <w:t>two speed</w:t>
      </w:r>
      <w:r w:rsidRPr="00D103BA">
        <w:rPr>
          <w:rFonts w:cs="Arial"/>
          <w:szCs w:val="20"/>
        </w:rPr>
        <w:t xml:space="preserve"> pump motor in a cool climate</w:t>
      </w:r>
    </w:p>
    <w:p w:rsidR="000862C5" w:rsidRPr="00D103BA" w:rsidRDefault="000862C5" w:rsidP="000862C5">
      <w:pPr>
        <w:pStyle w:val="Equation"/>
        <w:rPr>
          <w:rFonts w:cs="Arial"/>
          <w:szCs w:val="20"/>
        </w:rPr>
      </w:pPr>
      <w:r w:rsidRPr="00D103BA">
        <w:rPr>
          <w:rFonts w:cs="Arial"/>
          <w:szCs w:val="20"/>
        </w:rPr>
        <w:tab/>
        <w:t>kW</w:t>
      </w:r>
      <w:r w:rsidRPr="00D103BA">
        <w:rPr>
          <w:rFonts w:cs="Arial"/>
          <w:szCs w:val="20"/>
          <w:vertAlign w:val="subscript"/>
        </w:rPr>
        <w:t>base</w:t>
      </w:r>
      <w:r w:rsidRPr="00D103BA">
        <w:rPr>
          <w:rFonts w:cs="Arial"/>
          <w:szCs w:val="20"/>
        </w:rPr>
        <w:tab/>
        <w:t xml:space="preserve">= Assumed connected load of a standard </w:t>
      </w:r>
      <w:r>
        <w:rPr>
          <w:rFonts w:cs="Arial"/>
          <w:szCs w:val="20"/>
        </w:rPr>
        <w:t>two</w:t>
      </w:r>
      <w:r w:rsidRPr="00D103BA">
        <w:rPr>
          <w:rFonts w:cs="Arial"/>
          <w:szCs w:val="20"/>
        </w:rPr>
        <w:t xml:space="preserve"> speed pump motor</w:t>
      </w:r>
    </w:p>
    <w:p w:rsidR="000862C5" w:rsidRPr="00D103BA" w:rsidRDefault="000862C5" w:rsidP="000862C5">
      <w:pPr>
        <w:pStyle w:val="Equation"/>
        <w:rPr>
          <w:rFonts w:cs="Arial"/>
          <w:szCs w:val="20"/>
        </w:rPr>
      </w:pPr>
      <w:r w:rsidRPr="00D103BA">
        <w:rPr>
          <w:rFonts w:cs="Arial"/>
          <w:szCs w:val="20"/>
        </w:rPr>
        <w:tab/>
        <w:t>RHRS</w:t>
      </w:r>
      <w:r w:rsidRPr="00D103BA">
        <w:rPr>
          <w:rFonts w:cs="Arial"/>
          <w:szCs w:val="20"/>
        </w:rPr>
        <w:tab/>
        <w:t>= Annual run hours of the baseline and efficient motor</w:t>
      </w:r>
    </w:p>
    <w:p w:rsidR="000862C5" w:rsidRPr="00D103BA" w:rsidRDefault="000862C5" w:rsidP="000862C5">
      <w:pPr>
        <w:pStyle w:val="Equation"/>
        <w:rPr>
          <w:rFonts w:cs="Arial"/>
          <w:szCs w:val="20"/>
        </w:rPr>
      </w:pPr>
      <w:r w:rsidRPr="00D103BA">
        <w:rPr>
          <w:rFonts w:cs="Arial"/>
          <w:szCs w:val="20"/>
        </w:rPr>
        <w:tab/>
        <w:t xml:space="preserve">CF </w:t>
      </w:r>
      <w:r w:rsidRPr="00D103BA">
        <w:rPr>
          <w:rFonts w:cs="Arial"/>
          <w:szCs w:val="20"/>
        </w:rPr>
        <w:tab/>
        <w:t xml:space="preserve">= </w:t>
      </w:r>
      <w:r w:rsidR="000E4853" w:rsidRPr="00165C8E">
        <w:rPr>
          <w:rFonts w:cs="Arial"/>
          <w:szCs w:val="20"/>
        </w:rPr>
        <w:t>Demand Coincidence Factor (See Section 1.4)</w:t>
      </w:r>
    </w:p>
    <w:p w:rsidR="000862C5" w:rsidRPr="0091240E" w:rsidRDefault="000862C5" w:rsidP="000862C5">
      <w:pPr>
        <w:pStyle w:val="Caption"/>
      </w:pPr>
      <w:bookmarkStart w:id="496" w:name="_Toc310875549"/>
      <w:r w:rsidRPr="0091240E">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63</w:t>
      </w:r>
      <w:r w:rsidR="00274AB1">
        <w:rPr>
          <w:noProof/>
        </w:rPr>
        <w:fldChar w:fldCharType="end"/>
      </w:r>
      <w:r w:rsidRPr="0091240E">
        <w:t>:</w:t>
      </w:r>
      <w:r w:rsidRPr="0091240E">
        <w:rPr>
          <w:b w:val="0"/>
          <w:bCs w:val="0"/>
        </w:rPr>
        <w:t xml:space="preserve"> </w:t>
      </w:r>
      <w:r w:rsidRPr="0091240E">
        <w:t>High Efficiency Pool and Motor – Two Speed Pump Calculations Assumptions</w:t>
      </w:r>
      <w:bookmarkEnd w:id="496"/>
    </w:p>
    <w:tbl>
      <w:tblPr>
        <w:tblW w:w="3712" w:type="pct"/>
        <w:jc w:val="center"/>
        <w:tblInd w:w="-435" w:type="dxa"/>
        <w:tblCellMar>
          <w:left w:w="115" w:type="dxa"/>
          <w:right w:w="115" w:type="dxa"/>
        </w:tblCellMar>
        <w:tblLook w:val="00A0" w:firstRow="1" w:lastRow="0" w:firstColumn="1" w:lastColumn="0" w:noHBand="0" w:noVBand="0"/>
      </w:tblPr>
      <w:tblGrid>
        <w:gridCol w:w="2123"/>
        <w:gridCol w:w="990"/>
        <w:gridCol w:w="1927"/>
        <w:gridCol w:w="1545"/>
      </w:tblGrid>
      <w:tr w:rsidR="000862C5" w:rsidRPr="000151F9" w:rsidTr="00421531">
        <w:trPr>
          <w:trHeight w:val="20"/>
          <w:jc w:val="center"/>
        </w:trPr>
        <w:tc>
          <w:tcPr>
            <w:tcW w:w="1612" w:type="pct"/>
            <w:tcBorders>
              <w:top w:val="single" w:sz="8" w:space="0" w:color="auto"/>
              <w:left w:val="single" w:sz="8" w:space="0" w:color="auto"/>
              <w:bottom w:val="single" w:sz="8" w:space="0" w:color="auto"/>
              <w:right w:val="single" w:sz="8" w:space="0" w:color="auto"/>
            </w:tcBorders>
            <w:shd w:val="clear" w:color="auto" w:fill="BFBFBF"/>
            <w:vAlign w:val="center"/>
          </w:tcPr>
          <w:p w:rsidR="000862C5" w:rsidRPr="001D6512" w:rsidRDefault="000862C5" w:rsidP="00421531">
            <w:pPr>
              <w:pStyle w:val="TableCell"/>
              <w:spacing w:before="60" w:after="60"/>
              <w:rPr>
                <w:b/>
              </w:rPr>
            </w:pPr>
            <w:r w:rsidRPr="001D6512">
              <w:rPr>
                <w:b/>
              </w:rPr>
              <w:t>Component</w:t>
            </w:r>
          </w:p>
        </w:tc>
        <w:tc>
          <w:tcPr>
            <w:tcW w:w="752" w:type="pct"/>
            <w:tcBorders>
              <w:top w:val="single" w:sz="8" w:space="0" w:color="auto"/>
              <w:left w:val="nil"/>
              <w:bottom w:val="single" w:sz="8" w:space="0" w:color="auto"/>
              <w:right w:val="single" w:sz="8" w:space="0" w:color="auto"/>
            </w:tcBorders>
            <w:shd w:val="clear" w:color="auto" w:fill="BFBFBF"/>
            <w:vAlign w:val="center"/>
          </w:tcPr>
          <w:p w:rsidR="000862C5" w:rsidRPr="001D6512" w:rsidRDefault="000862C5" w:rsidP="00421531">
            <w:pPr>
              <w:pStyle w:val="TableCell"/>
              <w:spacing w:before="60" w:after="60"/>
              <w:rPr>
                <w:b/>
              </w:rPr>
            </w:pPr>
            <w:r w:rsidRPr="001D6512">
              <w:rPr>
                <w:b/>
              </w:rPr>
              <w:t>Type</w:t>
            </w:r>
          </w:p>
        </w:tc>
        <w:tc>
          <w:tcPr>
            <w:tcW w:w="1463" w:type="pct"/>
            <w:tcBorders>
              <w:top w:val="single" w:sz="8" w:space="0" w:color="auto"/>
              <w:left w:val="nil"/>
              <w:bottom w:val="single" w:sz="8" w:space="0" w:color="auto"/>
              <w:right w:val="single" w:sz="8" w:space="0" w:color="auto"/>
            </w:tcBorders>
            <w:shd w:val="clear" w:color="auto" w:fill="BFBFBF"/>
            <w:vAlign w:val="center"/>
          </w:tcPr>
          <w:p w:rsidR="000862C5" w:rsidRPr="001D6512" w:rsidRDefault="000862C5" w:rsidP="00421531">
            <w:pPr>
              <w:pStyle w:val="TableCell"/>
              <w:spacing w:before="60" w:after="60"/>
              <w:rPr>
                <w:b/>
              </w:rPr>
            </w:pPr>
            <w:r w:rsidRPr="001D6512">
              <w:rPr>
                <w:b/>
              </w:rPr>
              <w:t>Value</w:t>
            </w:r>
          </w:p>
        </w:tc>
        <w:tc>
          <w:tcPr>
            <w:tcW w:w="1173" w:type="pct"/>
            <w:tcBorders>
              <w:top w:val="single" w:sz="8" w:space="0" w:color="auto"/>
              <w:left w:val="nil"/>
              <w:bottom w:val="single" w:sz="8" w:space="0" w:color="auto"/>
              <w:right w:val="single" w:sz="8" w:space="0" w:color="auto"/>
            </w:tcBorders>
            <w:shd w:val="clear" w:color="auto" w:fill="BFBFBF"/>
            <w:vAlign w:val="center"/>
          </w:tcPr>
          <w:p w:rsidR="000862C5" w:rsidRPr="001D6512" w:rsidRDefault="000862C5" w:rsidP="00421531">
            <w:pPr>
              <w:pStyle w:val="TableCell"/>
              <w:spacing w:before="60" w:after="60"/>
              <w:rPr>
                <w:b/>
              </w:rPr>
            </w:pPr>
            <w:r w:rsidRPr="001D6512">
              <w:rPr>
                <w:b/>
              </w:rPr>
              <w:t>Source</w:t>
            </w:r>
          </w:p>
        </w:tc>
      </w:tr>
      <w:tr w:rsidR="000862C5" w:rsidRPr="000151F9" w:rsidTr="00421531">
        <w:trPr>
          <w:trHeight w:val="20"/>
          <w:jc w:val="center"/>
        </w:trPr>
        <w:tc>
          <w:tcPr>
            <w:tcW w:w="1612" w:type="pct"/>
            <w:tcBorders>
              <w:top w:val="single" w:sz="8" w:space="0" w:color="auto"/>
              <w:left w:val="single" w:sz="8" w:space="0" w:color="auto"/>
              <w:bottom w:val="single" w:sz="8" w:space="0" w:color="auto"/>
              <w:right w:val="single" w:sz="8" w:space="0" w:color="auto"/>
            </w:tcBorders>
            <w:vAlign w:val="center"/>
          </w:tcPr>
          <w:p w:rsidR="000862C5" w:rsidRPr="001D6512" w:rsidRDefault="000862C5" w:rsidP="00421531">
            <w:pPr>
              <w:pStyle w:val="TableCell"/>
              <w:spacing w:before="60" w:after="60"/>
              <w:rPr>
                <w:rFonts w:cs="Arial"/>
                <w:szCs w:val="18"/>
              </w:rPr>
            </w:pPr>
            <w:r w:rsidRPr="001D6512">
              <w:rPr>
                <w:rFonts w:cs="Arial"/>
                <w:spacing w:val="-1"/>
                <w:szCs w:val="18"/>
              </w:rPr>
              <w:t>k</w:t>
            </w:r>
            <w:r w:rsidRPr="001D6512">
              <w:rPr>
                <w:rFonts w:cs="Arial"/>
                <w:szCs w:val="18"/>
              </w:rPr>
              <w:t>W</w:t>
            </w:r>
            <w:r w:rsidRPr="001D6512">
              <w:rPr>
                <w:rFonts w:cs="Arial"/>
                <w:spacing w:val="1"/>
                <w:szCs w:val="18"/>
              </w:rPr>
              <w:t>h</w:t>
            </w:r>
            <w:r w:rsidRPr="001D6512">
              <w:rPr>
                <w:rFonts w:cs="Arial"/>
                <w:position w:val="-3"/>
                <w:szCs w:val="18"/>
                <w:vertAlign w:val="subscript"/>
              </w:rPr>
              <w:t>Base</w:t>
            </w:r>
          </w:p>
        </w:tc>
        <w:tc>
          <w:tcPr>
            <w:tcW w:w="752" w:type="pct"/>
            <w:tcBorders>
              <w:top w:val="single" w:sz="8" w:space="0" w:color="auto"/>
              <w:left w:val="nil"/>
              <w:bottom w:val="single" w:sz="8" w:space="0" w:color="auto"/>
              <w:right w:val="single" w:sz="8" w:space="0" w:color="auto"/>
            </w:tcBorders>
            <w:vAlign w:val="center"/>
          </w:tcPr>
          <w:p w:rsidR="000862C5" w:rsidRPr="0091240E" w:rsidRDefault="000862C5" w:rsidP="00421531">
            <w:pPr>
              <w:spacing w:before="60" w:after="60"/>
              <w:rPr>
                <w:rFonts w:cs="Arial"/>
                <w:sz w:val="18"/>
                <w:szCs w:val="18"/>
              </w:rPr>
            </w:pPr>
            <w:r w:rsidRPr="0091240E">
              <w:rPr>
                <w:rFonts w:cs="Arial"/>
                <w:sz w:val="18"/>
                <w:szCs w:val="18"/>
              </w:rPr>
              <w:t>Fixed</w:t>
            </w:r>
          </w:p>
        </w:tc>
        <w:tc>
          <w:tcPr>
            <w:tcW w:w="1463" w:type="pct"/>
            <w:tcBorders>
              <w:top w:val="single" w:sz="8" w:space="0" w:color="auto"/>
              <w:left w:val="nil"/>
              <w:bottom w:val="single" w:sz="8" w:space="0" w:color="auto"/>
              <w:right w:val="single" w:sz="8" w:space="0" w:color="auto"/>
            </w:tcBorders>
            <w:vAlign w:val="center"/>
          </w:tcPr>
          <w:p w:rsidR="000862C5" w:rsidRPr="001D6512" w:rsidRDefault="000862C5" w:rsidP="00421531">
            <w:pPr>
              <w:pStyle w:val="TableCell"/>
              <w:spacing w:before="60" w:after="60"/>
              <w:rPr>
                <w:rFonts w:cs="Arial"/>
                <w:szCs w:val="18"/>
              </w:rPr>
            </w:pPr>
            <w:r w:rsidRPr="001D6512">
              <w:rPr>
                <w:rFonts w:cs="Arial"/>
                <w:spacing w:val="1"/>
                <w:position w:val="-1"/>
                <w:szCs w:val="18"/>
              </w:rPr>
              <w:t>707</w:t>
            </w:r>
            <w:r w:rsidRPr="001D6512">
              <w:rPr>
                <w:rFonts w:cs="Arial"/>
                <w:position w:val="-1"/>
                <w:szCs w:val="18"/>
              </w:rPr>
              <w:t xml:space="preserve"> </w:t>
            </w:r>
            <w:r w:rsidRPr="001D6512">
              <w:rPr>
                <w:rFonts w:cs="Arial"/>
                <w:spacing w:val="-1"/>
                <w:position w:val="-1"/>
                <w:szCs w:val="18"/>
              </w:rPr>
              <w:t>k</w:t>
            </w:r>
            <w:r w:rsidRPr="001D6512">
              <w:rPr>
                <w:rFonts w:cs="Arial"/>
                <w:position w:val="-1"/>
                <w:szCs w:val="18"/>
              </w:rPr>
              <w:t>Wh</w:t>
            </w:r>
          </w:p>
        </w:tc>
        <w:tc>
          <w:tcPr>
            <w:tcW w:w="1173" w:type="pct"/>
            <w:tcBorders>
              <w:top w:val="single" w:sz="8" w:space="0" w:color="auto"/>
              <w:left w:val="nil"/>
              <w:bottom w:val="single" w:sz="8" w:space="0" w:color="auto"/>
              <w:right w:val="single" w:sz="8" w:space="0" w:color="auto"/>
            </w:tcBorders>
            <w:vAlign w:val="center"/>
          </w:tcPr>
          <w:p w:rsidR="000862C5" w:rsidRPr="001D6512" w:rsidRDefault="000862C5" w:rsidP="00421531">
            <w:pPr>
              <w:pStyle w:val="TableCell"/>
              <w:spacing w:before="60" w:after="60"/>
              <w:rPr>
                <w:rFonts w:cs="Arial"/>
                <w:szCs w:val="18"/>
              </w:rPr>
            </w:pPr>
            <w:r w:rsidRPr="001D6512">
              <w:rPr>
                <w:rFonts w:cs="Arial"/>
                <w:szCs w:val="18"/>
              </w:rPr>
              <w:t xml:space="preserve">1 </w:t>
            </w:r>
          </w:p>
        </w:tc>
      </w:tr>
      <w:tr w:rsidR="000862C5" w:rsidRPr="000151F9" w:rsidTr="00421531">
        <w:trPr>
          <w:trHeight w:val="20"/>
          <w:jc w:val="center"/>
        </w:trPr>
        <w:tc>
          <w:tcPr>
            <w:tcW w:w="1612" w:type="pct"/>
            <w:tcBorders>
              <w:top w:val="single" w:sz="8" w:space="0" w:color="auto"/>
              <w:left w:val="single" w:sz="8" w:space="0" w:color="auto"/>
              <w:bottom w:val="single" w:sz="8" w:space="0" w:color="auto"/>
              <w:right w:val="single" w:sz="8" w:space="0" w:color="auto"/>
            </w:tcBorders>
            <w:vAlign w:val="center"/>
          </w:tcPr>
          <w:p w:rsidR="000862C5" w:rsidRPr="001D6512" w:rsidRDefault="000862C5" w:rsidP="00421531">
            <w:pPr>
              <w:pStyle w:val="Equation"/>
              <w:spacing w:before="60" w:after="60"/>
              <w:ind w:left="0" w:firstLine="0"/>
              <w:rPr>
                <w:rFonts w:cs="Arial"/>
                <w:i w:val="0"/>
                <w:sz w:val="18"/>
                <w:szCs w:val="18"/>
              </w:rPr>
            </w:pPr>
            <w:r w:rsidRPr="001D6512">
              <w:rPr>
                <w:rFonts w:cs="Arial"/>
                <w:i w:val="0"/>
                <w:spacing w:val="-1"/>
                <w:sz w:val="18"/>
                <w:szCs w:val="18"/>
              </w:rPr>
              <w:t>k</w:t>
            </w:r>
            <w:r w:rsidRPr="001D6512">
              <w:rPr>
                <w:rFonts w:cs="Arial"/>
                <w:i w:val="0"/>
                <w:sz w:val="18"/>
                <w:szCs w:val="18"/>
              </w:rPr>
              <w:t>W</w:t>
            </w:r>
            <w:r w:rsidRPr="001D6512">
              <w:rPr>
                <w:rFonts w:cs="Arial"/>
                <w:i w:val="0"/>
                <w:spacing w:val="1"/>
                <w:sz w:val="18"/>
                <w:szCs w:val="18"/>
              </w:rPr>
              <w:t>h</w:t>
            </w:r>
            <w:r w:rsidRPr="001D6512">
              <w:rPr>
                <w:rFonts w:cs="Arial"/>
                <w:i w:val="0"/>
                <w:position w:val="-3"/>
                <w:sz w:val="18"/>
                <w:szCs w:val="18"/>
                <w:vertAlign w:val="subscript"/>
              </w:rPr>
              <w:t>Two</w:t>
            </w:r>
            <w:r w:rsidRPr="001D6512">
              <w:rPr>
                <w:rFonts w:cs="Arial"/>
                <w:i w:val="0"/>
                <w:spacing w:val="15"/>
                <w:position w:val="-3"/>
                <w:sz w:val="18"/>
                <w:szCs w:val="18"/>
                <w:vertAlign w:val="subscript"/>
              </w:rPr>
              <w:t xml:space="preserve"> </w:t>
            </w:r>
            <w:r w:rsidRPr="001D6512">
              <w:rPr>
                <w:rFonts w:cs="Arial"/>
                <w:i w:val="0"/>
                <w:position w:val="-3"/>
                <w:sz w:val="18"/>
                <w:szCs w:val="18"/>
                <w:vertAlign w:val="subscript"/>
              </w:rPr>
              <w:t>Speed</w:t>
            </w:r>
          </w:p>
        </w:tc>
        <w:tc>
          <w:tcPr>
            <w:tcW w:w="752" w:type="pct"/>
            <w:tcBorders>
              <w:top w:val="single" w:sz="8" w:space="0" w:color="auto"/>
              <w:left w:val="nil"/>
              <w:bottom w:val="single" w:sz="8" w:space="0" w:color="auto"/>
              <w:right w:val="single" w:sz="8" w:space="0" w:color="auto"/>
            </w:tcBorders>
            <w:vAlign w:val="center"/>
          </w:tcPr>
          <w:p w:rsidR="000862C5" w:rsidRPr="0091240E" w:rsidRDefault="000862C5" w:rsidP="00421531">
            <w:pPr>
              <w:spacing w:before="60" w:after="60"/>
              <w:rPr>
                <w:rFonts w:cs="Arial"/>
                <w:sz w:val="18"/>
                <w:szCs w:val="18"/>
              </w:rPr>
            </w:pPr>
            <w:r w:rsidRPr="0091240E">
              <w:rPr>
                <w:rFonts w:cs="Arial"/>
                <w:sz w:val="18"/>
                <w:szCs w:val="18"/>
              </w:rPr>
              <w:t>Fixed</w:t>
            </w:r>
          </w:p>
        </w:tc>
        <w:tc>
          <w:tcPr>
            <w:tcW w:w="1463" w:type="pct"/>
            <w:tcBorders>
              <w:top w:val="single" w:sz="8" w:space="0" w:color="auto"/>
              <w:left w:val="nil"/>
              <w:bottom w:val="single" w:sz="8" w:space="0" w:color="auto"/>
              <w:right w:val="single" w:sz="8" w:space="0" w:color="auto"/>
            </w:tcBorders>
            <w:vAlign w:val="center"/>
          </w:tcPr>
          <w:p w:rsidR="000862C5" w:rsidRPr="001D6512" w:rsidRDefault="000862C5" w:rsidP="00421531">
            <w:pPr>
              <w:pStyle w:val="Equation"/>
              <w:spacing w:before="60" w:after="60"/>
              <w:ind w:left="0" w:firstLine="0"/>
              <w:rPr>
                <w:rFonts w:cs="Arial"/>
                <w:i w:val="0"/>
                <w:sz w:val="18"/>
                <w:szCs w:val="18"/>
              </w:rPr>
            </w:pPr>
            <w:r w:rsidRPr="001D6512">
              <w:rPr>
                <w:rFonts w:cs="Arial"/>
                <w:i w:val="0"/>
                <w:sz w:val="18"/>
                <w:szCs w:val="18"/>
              </w:rPr>
              <w:t>177 kWh</w:t>
            </w:r>
          </w:p>
        </w:tc>
        <w:tc>
          <w:tcPr>
            <w:tcW w:w="1173" w:type="pct"/>
            <w:tcBorders>
              <w:top w:val="single" w:sz="8" w:space="0" w:color="auto"/>
              <w:left w:val="nil"/>
              <w:bottom w:val="single" w:sz="8" w:space="0" w:color="auto"/>
              <w:right w:val="single" w:sz="8" w:space="0" w:color="auto"/>
            </w:tcBorders>
            <w:vAlign w:val="center"/>
          </w:tcPr>
          <w:p w:rsidR="000862C5" w:rsidRPr="001D6512" w:rsidRDefault="000862C5" w:rsidP="00421531">
            <w:pPr>
              <w:pStyle w:val="Equation"/>
              <w:spacing w:before="60" w:after="60"/>
              <w:ind w:left="0" w:firstLine="0"/>
              <w:rPr>
                <w:rFonts w:cs="Arial"/>
                <w:i w:val="0"/>
                <w:sz w:val="18"/>
                <w:szCs w:val="18"/>
              </w:rPr>
            </w:pPr>
            <w:r w:rsidRPr="001D6512">
              <w:rPr>
                <w:rFonts w:cs="Arial"/>
                <w:i w:val="0"/>
                <w:sz w:val="18"/>
                <w:szCs w:val="18"/>
              </w:rPr>
              <w:t xml:space="preserve">1 </w:t>
            </w:r>
          </w:p>
        </w:tc>
      </w:tr>
      <w:tr w:rsidR="000862C5" w:rsidRPr="000151F9" w:rsidTr="00421531">
        <w:trPr>
          <w:trHeight w:val="20"/>
          <w:jc w:val="center"/>
        </w:trPr>
        <w:tc>
          <w:tcPr>
            <w:tcW w:w="1612" w:type="pct"/>
            <w:tcBorders>
              <w:top w:val="single" w:sz="8" w:space="0" w:color="auto"/>
              <w:left w:val="single" w:sz="8" w:space="0" w:color="auto"/>
              <w:bottom w:val="single" w:sz="8" w:space="0" w:color="auto"/>
              <w:right w:val="single" w:sz="8" w:space="0" w:color="auto"/>
            </w:tcBorders>
            <w:vAlign w:val="center"/>
          </w:tcPr>
          <w:p w:rsidR="000862C5" w:rsidRPr="001D6512" w:rsidRDefault="000862C5" w:rsidP="00421531">
            <w:pPr>
              <w:pStyle w:val="Equation"/>
              <w:spacing w:before="60" w:after="60"/>
              <w:ind w:left="0" w:firstLine="0"/>
              <w:rPr>
                <w:rFonts w:cs="Arial"/>
                <w:i w:val="0"/>
                <w:sz w:val="18"/>
                <w:szCs w:val="18"/>
              </w:rPr>
            </w:pPr>
            <w:r w:rsidRPr="001D6512">
              <w:rPr>
                <w:rFonts w:cs="Arial"/>
                <w:i w:val="0"/>
                <w:spacing w:val="-1"/>
                <w:sz w:val="18"/>
                <w:szCs w:val="18"/>
              </w:rPr>
              <w:t>k</w:t>
            </w:r>
            <w:r w:rsidRPr="001D6512">
              <w:rPr>
                <w:rFonts w:cs="Arial"/>
                <w:i w:val="0"/>
                <w:spacing w:val="2"/>
                <w:sz w:val="18"/>
                <w:szCs w:val="18"/>
              </w:rPr>
              <w:t>W</w:t>
            </w:r>
            <w:r w:rsidRPr="001D6512">
              <w:rPr>
                <w:rFonts w:cs="Arial"/>
                <w:i w:val="0"/>
                <w:position w:val="-3"/>
                <w:sz w:val="18"/>
                <w:szCs w:val="18"/>
                <w:vertAlign w:val="subscript"/>
              </w:rPr>
              <w:t>Base</w:t>
            </w:r>
          </w:p>
        </w:tc>
        <w:tc>
          <w:tcPr>
            <w:tcW w:w="752" w:type="pct"/>
            <w:tcBorders>
              <w:top w:val="single" w:sz="8" w:space="0" w:color="auto"/>
              <w:left w:val="nil"/>
              <w:bottom w:val="single" w:sz="8" w:space="0" w:color="auto"/>
              <w:right w:val="single" w:sz="8" w:space="0" w:color="auto"/>
            </w:tcBorders>
            <w:vAlign w:val="center"/>
          </w:tcPr>
          <w:p w:rsidR="000862C5" w:rsidRPr="0091240E" w:rsidRDefault="000862C5" w:rsidP="00421531">
            <w:pPr>
              <w:spacing w:before="60" w:after="60"/>
              <w:rPr>
                <w:rFonts w:cs="Arial"/>
                <w:sz w:val="18"/>
                <w:szCs w:val="18"/>
              </w:rPr>
            </w:pPr>
            <w:r w:rsidRPr="0091240E">
              <w:rPr>
                <w:rFonts w:cs="Arial"/>
                <w:sz w:val="18"/>
                <w:szCs w:val="18"/>
              </w:rPr>
              <w:t>Fixed</w:t>
            </w:r>
          </w:p>
        </w:tc>
        <w:tc>
          <w:tcPr>
            <w:tcW w:w="1463" w:type="pct"/>
            <w:tcBorders>
              <w:top w:val="single" w:sz="8" w:space="0" w:color="auto"/>
              <w:left w:val="nil"/>
              <w:bottom w:val="single" w:sz="8" w:space="0" w:color="auto"/>
              <w:right w:val="single" w:sz="8" w:space="0" w:color="auto"/>
            </w:tcBorders>
            <w:vAlign w:val="center"/>
          </w:tcPr>
          <w:p w:rsidR="000862C5" w:rsidRPr="001D6512" w:rsidRDefault="000862C5" w:rsidP="00631E76">
            <w:pPr>
              <w:pStyle w:val="Equation"/>
              <w:spacing w:before="60" w:after="60"/>
              <w:ind w:left="0" w:firstLine="0"/>
              <w:rPr>
                <w:rFonts w:cs="Arial"/>
                <w:i w:val="0"/>
                <w:sz w:val="18"/>
                <w:szCs w:val="18"/>
              </w:rPr>
            </w:pPr>
            <w:r w:rsidRPr="001D6512">
              <w:rPr>
                <w:rFonts w:cs="Arial"/>
                <w:i w:val="0"/>
                <w:sz w:val="18"/>
                <w:szCs w:val="18"/>
              </w:rPr>
              <w:t>1.3</w:t>
            </w:r>
            <w:r w:rsidR="00D31536" w:rsidRPr="001D6512">
              <w:rPr>
                <w:rFonts w:cs="Arial"/>
                <w:i w:val="0"/>
                <w:sz w:val="18"/>
                <w:szCs w:val="18"/>
              </w:rPr>
              <w:t>64</w:t>
            </w:r>
            <w:r w:rsidRPr="001D6512">
              <w:rPr>
                <w:rFonts w:cs="Arial"/>
                <w:i w:val="0"/>
                <w:sz w:val="18"/>
                <w:szCs w:val="18"/>
              </w:rPr>
              <w:t xml:space="preserve"> kW</w:t>
            </w:r>
          </w:p>
        </w:tc>
        <w:tc>
          <w:tcPr>
            <w:tcW w:w="1173" w:type="pct"/>
            <w:tcBorders>
              <w:top w:val="single" w:sz="8" w:space="0" w:color="auto"/>
              <w:left w:val="nil"/>
              <w:bottom w:val="single" w:sz="8" w:space="0" w:color="auto"/>
              <w:right w:val="single" w:sz="8" w:space="0" w:color="auto"/>
            </w:tcBorders>
            <w:vAlign w:val="center"/>
          </w:tcPr>
          <w:p w:rsidR="000862C5" w:rsidRPr="001D6512" w:rsidRDefault="000862C5" w:rsidP="00421531">
            <w:pPr>
              <w:pStyle w:val="Equation"/>
              <w:spacing w:before="60" w:after="60"/>
              <w:ind w:left="0" w:firstLine="0"/>
              <w:rPr>
                <w:rFonts w:cs="Arial"/>
                <w:i w:val="0"/>
                <w:sz w:val="18"/>
                <w:szCs w:val="18"/>
              </w:rPr>
            </w:pPr>
            <w:r w:rsidRPr="001D6512">
              <w:rPr>
                <w:rFonts w:cs="Arial"/>
                <w:i w:val="0"/>
                <w:sz w:val="18"/>
                <w:szCs w:val="18"/>
              </w:rPr>
              <w:t xml:space="preserve">1 </w:t>
            </w:r>
          </w:p>
        </w:tc>
      </w:tr>
      <w:tr w:rsidR="000862C5" w:rsidRPr="000151F9" w:rsidTr="00421531">
        <w:trPr>
          <w:trHeight w:val="20"/>
          <w:jc w:val="center"/>
        </w:trPr>
        <w:tc>
          <w:tcPr>
            <w:tcW w:w="1612" w:type="pct"/>
            <w:tcBorders>
              <w:top w:val="single" w:sz="8" w:space="0" w:color="auto"/>
              <w:left w:val="single" w:sz="8" w:space="0" w:color="auto"/>
              <w:bottom w:val="single" w:sz="8" w:space="0" w:color="auto"/>
              <w:right w:val="single" w:sz="8" w:space="0" w:color="auto"/>
            </w:tcBorders>
            <w:vAlign w:val="center"/>
          </w:tcPr>
          <w:p w:rsidR="000862C5" w:rsidRPr="001D6512" w:rsidRDefault="000862C5" w:rsidP="00421531">
            <w:pPr>
              <w:pStyle w:val="Equation"/>
              <w:spacing w:before="60" w:after="60"/>
              <w:ind w:left="0" w:firstLine="0"/>
              <w:rPr>
                <w:rFonts w:cs="Arial"/>
                <w:i w:val="0"/>
                <w:sz w:val="18"/>
                <w:szCs w:val="18"/>
              </w:rPr>
            </w:pPr>
            <w:r w:rsidRPr="001D6512">
              <w:rPr>
                <w:rFonts w:cs="Arial"/>
                <w:i w:val="0"/>
                <w:spacing w:val="-1"/>
                <w:sz w:val="18"/>
                <w:szCs w:val="18"/>
              </w:rPr>
              <w:t>k</w:t>
            </w:r>
            <w:r w:rsidRPr="001D6512">
              <w:rPr>
                <w:rFonts w:cs="Arial"/>
                <w:i w:val="0"/>
                <w:spacing w:val="2"/>
                <w:sz w:val="18"/>
                <w:szCs w:val="18"/>
              </w:rPr>
              <w:t>W</w:t>
            </w:r>
            <w:r w:rsidRPr="001D6512">
              <w:rPr>
                <w:rFonts w:cs="Arial"/>
                <w:i w:val="0"/>
                <w:position w:val="-3"/>
                <w:sz w:val="18"/>
                <w:szCs w:val="18"/>
                <w:vertAlign w:val="subscript"/>
              </w:rPr>
              <w:t>Two</w:t>
            </w:r>
            <w:r w:rsidRPr="001D6512">
              <w:rPr>
                <w:rFonts w:cs="Arial"/>
                <w:i w:val="0"/>
                <w:spacing w:val="15"/>
                <w:position w:val="-3"/>
                <w:sz w:val="18"/>
                <w:szCs w:val="18"/>
                <w:vertAlign w:val="subscript"/>
              </w:rPr>
              <w:t xml:space="preserve"> </w:t>
            </w:r>
            <w:r w:rsidRPr="001D6512">
              <w:rPr>
                <w:rFonts w:cs="Arial"/>
                <w:i w:val="0"/>
                <w:position w:val="-3"/>
                <w:sz w:val="18"/>
                <w:szCs w:val="18"/>
                <w:vertAlign w:val="subscript"/>
              </w:rPr>
              <w:t>Speed</w:t>
            </w:r>
          </w:p>
        </w:tc>
        <w:tc>
          <w:tcPr>
            <w:tcW w:w="752" w:type="pct"/>
            <w:tcBorders>
              <w:top w:val="single" w:sz="8" w:space="0" w:color="auto"/>
              <w:left w:val="nil"/>
              <w:bottom w:val="single" w:sz="8" w:space="0" w:color="auto"/>
              <w:right w:val="single" w:sz="8" w:space="0" w:color="auto"/>
            </w:tcBorders>
            <w:vAlign w:val="center"/>
          </w:tcPr>
          <w:p w:rsidR="000862C5" w:rsidRPr="0091240E" w:rsidRDefault="000862C5" w:rsidP="00421531">
            <w:pPr>
              <w:spacing w:before="60" w:after="60"/>
              <w:rPr>
                <w:rFonts w:cs="Arial"/>
                <w:sz w:val="18"/>
                <w:szCs w:val="18"/>
              </w:rPr>
            </w:pPr>
            <w:r w:rsidRPr="0091240E">
              <w:rPr>
                <w:rFonts w:cs="Arial"/>
                <w:sz w:val="18"/>
                <w:szCs w:val="18"/>
              </w:rPr>
              <w:t>Fixed</w:t>
            </w:r>
          </w:p>
        </w:tc>
        <w:tc>
          <w:tcPr>
            <w:tcW w:w="1463" w:type="pct"/>
            <w:tcBorders>
              <w:top w:val="single" w:sz="8" w:space="0" w:color="auto"/>
              <w:left w:val="nil"/>
              <w:bottom w:val="single" w:sz="8" w:space="0" w:color="auto"/>
              <w:right w:val="single" w:sz="8" w:space="0" w:color="auto"/>
            </w:tcBorders>
            <w:vAlign w:val="center"/>
          </w:tcPr>
          <w:p w:rsidR="000862C5" w:rsidRPr="001D6512" w:rsidRDefault="000862C5" w:rsidP="00421531">
            <w:pPr>
              <w:pStyle w:val="Equation"/>
              <w:spacing w:before="60" w:after="60"/>
              <w:ind w:left="0" w:firstLine="0"/>
              <w:rPr>
                <w:rFonts w:cs="Arial"/>
                <w:i w:val="0"/>
                <w:sz w:val="18"/>
                <w:szCs w:val="18"/>
              </w:rPr>
            </w:pPr>
            <w:r w:rsidRPr="001D6512">
              <w:rPr>
                <w:rFonts w:cs="Arial"/>
                <w:i w:val="0"/>
                <w:sz w:val="18"/>
                <w:szCs w:val="18"/>
              </w:rPr>
              <w:t>0.171 kW</w:t>
            </w:r>
          </w:p>
        </w:tc>
        <w:tc>
          <w:tcPr>
            <w:tcW w:w="1173" w:type="pct"/>
            <w:tcBorders>
              <w:top w:val="single" w:sz="8" w:space="0" w:color="auto"/>
              <w:left w:val="nil"/>
              <w:bottom w:val="single" w:sz="8" w:space="0" w:color="auto"/>
              <w:right w:val="single" w:sz="8" w:space="0" w:color="auto"/>
            </w:tcBorders>
            <w:vAlign w:val="center"/>
          </w:tcPr>
          <w:p w:rsidR="000862C5" w:rsidRPr="001D6512" w:rsidRDefault="000862C5" w:rsidP="00421531">
            <w:pPr>
              <w:pStyle w:val="Equation"/>
              <w:spacing w:before="60" w:after="60"/>
              <w:ind w:left="0" w:firstLine="0"/>
              <w:rPr>
                <w:rFonts w:cs="Arial"/>
                <w:i w:val="0"/>
                <w:sz w:val="18"/>
                <w:szCs w:val="18"/>
              </w:rPr>
            </w:pPr>
            <w:r w:rsidRPr="001D6512">
              <w:rPr>
                <w:rFonts w:cs="Arial"/>
                <w:i w:val="0"/>
                <w:sz w:val="18"/>
                <w:szCs w:val="18"/>
              </w:rPr>
              <w:t xml:space="preserve">1 </w:t>
            </w:r>
          </w:p>
        </w:tc>
      </w:tr>
      <w:tr w:rsidR="000862C5" w:rsidRPr="000151F9" w:rsidTr="00421531">
        <w:trPr>
          <w:trHeight w:val="20"/>
          <w:jc w:val="center"/>
        </w:trPr>
        <w:tc>
          <w:tcPr>
            <w:tcW w:w="1612" w:type="pct"/>
            <w:tcBorders>
              <w:top w:val="single" w:sz="8" w:space="0" w:color="auto"/>
              <w:left w:val="single" w:sz="8" w:space="0" w:color="auto"/>
              <w:bottom w:val="single" w:sz="8" w:space="0" w:color="auto"/>
              <w:right w:val="single" w:sz="8" w:space="0" w:color="auto"/>
            </w:tcBorders>
            <w:vAlign w:val="center"/>
          </w:tcPr>
          <w:p w:rsidR="000862C5" w:rsidRPr="001D6512" w:rsidRDefault="000862C5" w:rsidP="00421531">
            <w:pPr>
              <w:pStyle w:val="Equation"/>
              <w:spacing w:before="60" w:after="60"/>
              <w:ind w:left="0" w:firstLine="0"/>
              <w:rPr>
                <w:rFonts w:cs="Arial"/>
                <w:i w:val="0"/>
                <w:sz w:val="18"/>
                <w:szCs w:val="18"/>
                <w:vertAlign w:val="subscript"/>
              </w:rPr>
            </w:pPr>
            <w:r w:rsidRPr="001D6512">
              <w:rPr>
                <w:rFonts w:cs="Arial"/>
                <w:i w:val="0"/>
                <w:sz w:val="18"/>
                <w:szCs w:val="18"/>
              </w:rPr>
              <w:t>RHRS</w:t>
            </w:r>
            <w:r w:rsidRPr="001D6512">
              <w:rPr>
                <w:rFonts w:cs="Arial"/>
                <w:i w:val="0"/>
                <w:sz w:val="18"/>
                <w:szCs w:val="18"/>
                <w:vertAlign w:val="subscript"/>
              </w:rPr>
              <w:t>Base</w:t>
            </w:r>
          </w:p>
        </w:tc>
        <w:tc>
          <w:tcPr>
            <w:tcW w:w="752" w:type="pct"/>
            <w:tcBorders>
              <w:top w:val="single" w:sz="8" w:space="0" w:color="auto"/>
              <w:left w:val="nil"/>
              <w:bottom w:val="single" w:sz="8" w:space="0" w:color="auto"/>
              <w:right w:val="single" w:sz="8" w:space="0" w:color="auto"/>
            </w:tcBorders>
            <w:vAlign w:val="center"/>
          </w:tcPr>
          <w:p w:rsidR="000862C5" w:rsidRPr="0091240E" w:rsidRDefault="000862C5" w:rsidP="00421531">
            <w:pPr>
              <w:spacing w:before="60" w:after="60"/>
              <w:rPr>
                <w:rFonts w:cs="Arial"/>
                <w:sz w:val="18"/>
                <w:szCs w:val="18"/>
              </w:rPr>
            </w:pPr>
            <w:r w:rsidRPr="0091240E">
              <w:rPr>
                <w:rFonts w:cs="Arial"/>
                <w:sz w:val="18"/>
                <w:szCs w:val="18"/>
              </w:rPr>
              <w:t>Fixed</w:t>
            </w:r>
          </w:p>
        </w:tc>
        <w:tc>
          <w:tcPr>
            <w:tcW w:w="1463" w:type="pct"/>
            <w:tcBorders>
              <w:top w:val="single" w:sz="8" w:space="0" w:color="auto"/>
              <w:left w:val="nil"/>
              <w:bottom w:val="single" w:sz="8" w:space="0" w:color="auto"/>
              <w:right w:val="single" w:sz="8" w:space="0" w:color="auto"/>
            </w:tcBorders>
            <w:vAlign w:val="center"/>
          </w:tcPr>
          <w:p w:rsidR="000862C5" w:rsidRPr="001D6512" w:rsidRDefault="000862C5" w:rsidP="00421531">
            <w:pPr>
              <w:pStyle w:val="Equation"/>
              <w:spacing w:before="60" w:after="60"/>
              <w:ind w:left="0" w:firstLine="0"/>
              <w:rPr>
                <w:rFonts w:cs="Arial"/>
                <w:i w:val="0"/>
                <w:sz w:val="18"/>
                <w:szCs w:val="18"/>
              </w:rPr>
            </w:pPr>
            <w:r w:rsidRPr="001D6512">
              <w:rPr>
                <w:rFonts w:cs="Arial"/>
                <w:i w:val="0"/>
                <w:sz w:val="18"/>
                <w:szCs w:val="18"/>
              </w:rPr>
              <w:t>518</w:t>
            </w:r>
          </w:p>
        </w:tc>
        <w:tc>
          <w:tcPr>
            <w:tcW w:w="1173" w:type="pct"/>
            <w:tcBorders>
              <w:top w:val="single" w:sz="8" w:space="0" w:color="auto"/>
              <w:left w:val="nil"/>
              <w:bottom w:val="single" w:sz="8" w:space="0" w:color="auto"/>
              <w:right w:val="single" w:sz="8" w:space="0" w:color="auto"/>
            </w:tcBorders>
            <w:vAlign w:val="center"/>
          </w:tcPr>
          <w:p w:rsidR="000862C5" w:rsidRPr="001D6512" w:rsidRDefault="000862C5" w:rsidP="00421531">
            <w:pPr>
              <w:pStyle w:val="Equation"/>
              <w:spacing w:before="60" w:after="60"/>
              <w:ind w:left="0" w:firstLine="0"/>
              <w:rPr>
                <w:rFonts w:cs="Arial"/>
                <w:i w:val="0"/>
                <w:sz w:val="18"/>
                <w:szCs w:val="18"/>
              </w:rPr>
            </w:pPr>
            <w:r w:rsidRPr="001D6512">
              <w:rPr>
                <w:rFonts w:cs="Arial"/>
                <w:i w:val="0"/>
                <w:sz w:val="18"/>
                <w:szCs w:val="18"/>
              </w:rPr>
              <w:t>1 and 2</w:t>
            </w:r>
          </w:p>
        </w:tc>
      </w:tr>
      <w:tr w:rsidR="000862C5" w:rsidRPr="000151F9" w:rsidTr="00421531">
        <w:trPr>
          <w:trHeight w:val="20"/>
          <w:jc w:val="center"/>
        </w:trPr>
        <w:tc>
          <w:tcPr>
            <w:tcW w:w="1612" w:type="pct"/>
            <w:tcBorders>
              <w:top w:val="single" w:sz="8" w:space="0" w:color="auto"/>
              <w:left w:val="single" w:sz="8" w:space="0" w:color="auto"/>
              <w:bottom w:val="single" w:sz="8" w:space="0" w:color="auto"/>
              <w:right w:val="single" w:sz="8" w:space="0" w:color="auto"/>
            </w:tcBorders>
            <w:vAlign w:val="center"/>
          </w:tcPr>
          <w:p w:rsidR="000862C5" w:rsidRPr="001D6512" w:rsidRDefault="000862C5" w:rsidP="00421531">
            <w:pPr>
              <w:pStyle w:val="Equation"/>
              <w:spacing w:before="60" w:after="60"/>
              <w:ind w:left="0" w:firstLine="0"/>
              <w:rPr>
                <w:rFonts w:cs="Arial"/>
                <w:i w:val="0"/>
                <w:sz w:val="18"/>
                <w:szCs w:val="18"/>
                <w:vertAlign w:val="subscript"/>
              </w:rPr>
            </w:pPr>
            <w:r w:rsidRPr="001D6512">
              <w:rPr>
                <w:rFonts w:cs="Arial"/>
                <w:i w:val="0"/>
                <w:sz w:val="18"/>
                <w:szCs w:val="18"/>
              </w:rPr>
              <w:t>RHRS</w:t>
            </w:r>
            <w:r w:rsidRPr="001D6512">
              <w:rPr>
                <w:rFonts w:cs="Arial"/>
                <w:i w:val="0"/>
                <w:sz w:val="18"/>
                <w:szCs w:val="18"/>
                <w:vertAlign w:val="subscript"/>
              </w:rPr>
              <w:t>Two Speed</w:t>
            </w:r>
          </w:p>
        </w:tc>
        <w:tc>
          <w:tcPr>
            <w:tcW w:w="752" w:type="pct"/>
            <w:tcBorders>
              <w:top w:val="single" w:sz="8" w:space="0" w:color="auto"/>
              <w:left w:val="nil"/>
              <w:bottom w:val="single" w:sz="8" w:space="0" w:color="auto"/>
              <w:right w:val="single" w:sz="8" w:space="0" w:color="auto"/>
            </w:tcBorders>
            <w:vAlign w:val="center"/>
          </w:tcPr>
          <w:p w:rsidR="000862C5" w:rsidRPr="0091240E" w:rsidRDefault="000862C5" w:rsidP="00421531">
            <w:pPr>
              <w:spacing w:before="60" w:after="60"/>
              <w:rPr>
                <w:rFonts w:cs="Arial"/>
                <w:sz w:val="18"/>
                <w:szCs w:val="18"/>
              </w:rPr>
            </w:pPr>
            <w:r w:rsidRPr="0091240E">
              <w:rPr>
                <w:rFonts w:cs="Arial"/>
                <w:sz w:val="18"/>
                <w:szCs w:val="18"/>
              </w:rPr>
              <w:t>Fixed</w:t>
            </w:r>
          </w:p>
        </w:tc>
        <w:tc>
          <w:tcPr>
            <w:tcW w:w="1463" w:type="pct"/>
            <w:tcBorders>
              <w:top w:val="single" w:sz="8" w:space="0" w:color="auto"/>
              <w:left w:val="nil"/>
              <w:bottom w:val="single" w:sz="8" w:space="0" w:color="auto"/>
              <w:right w:val="single" w:sz="8" w:space="0" w:color="auto"/>
            </w:tcBorders>
            <w:vAlign w:val="center"/>
          </w:tcPr>
          <w:p w:rsidR="000862C5" w:rsidRPr="001D6512" w:rsidDel="00DF0D25" w:rsidRDefault="000862C5" w:rsidP="00421531">
            <w:pPr>
              <w:pStyle w:val="Equation"/>
              <w:spacing w:before="60" w:after="60"/>
              <w:ind w:left="0" w:firstLine="0"/>
              <w:rPr>
                <w:rFonts w:cs="Arial"/>
                <w:i w:val="0"/>
                <w:sz w:val="18"/>
                <w:szCs w:val="18"/>
              </w:rPr>
            </w:pPr>
            <w:r w:rsidRPr="001D6512">
              <w:rPr>
                <w:rFonts w:cs="Arial"/>
                <w:i w:val="0"/>
                <w:sz w:val="18"/>
                <w:szCs w:val="18"/>
              </w:rPr>
              <w:t>1,036</w:t>
            </w:r>
          </w:p>
        </w:tc>
        <w:tc>
          <w:tcPr>
            <w:tcW w:w="1173" w:type="pct"/>
            <w:tcBorders>
              <w:top w:val="single" w:sz="8" w:space="0" w:color="auto"/>
              <w:left w:val="nil"/>
              <w:bottom w:val="single" w:sz="8" w:space="0" w:color="auto"/>
              <w:right w:val="single" w:sz="8" w:space="0" w:color="auto"/>
            </w:tcBorders>
            <w:vAlign w:val="center"/>
          </w:tcPr>
          <w:p w:rsidR="000862C5" w:rsidRPr="001D6512" w:rsidRDefault="000862C5" w:rsidP="00421531">
            <w:pPr>
              <w:pStyle w:val="Equation"/>
              <w:spacing w:before="60" w:after="60"/>
              <w:ind w:left="0" w:firstLine="0"/>
              <w:rPr>
                <w:rFonts w:cs="Arial"/>
                <w:i w:val="0"/>
                <w:sz w:val="18"/>
                <w:szCs w:val="18"/>
              </w:rPr>
            </w:pPr>
            <w:r w:rsidRPr="001D6512">
              <w:rPr>
                <w:rFonts w:cs="Arial"/>
                <w:i w:val="0"/>
                <w:sz w:val="18"/>
                <w:szCs w:val="18"/>
              </w:rPr>
              <w:t>1 and 2</w:t>
            </w:r>
          </w:p>
        </w:tc>
      </w:tr>
      <w:tr w:rsidR="000862C5" w:rsidRPr="000151F9" w:rsidTr="00421531">
        <w:trPr>
          <w:trHeight w:val="20"/>
          <w:jc w:val="center"/>
        </w:trPr>
        <w:tc>
          <w:tcPr>
            <w:tcW w:w="1612" w:type="pct"/>
            <w:tcBorders>
              <w:top w:val="single" w:sz="8" w:space="0" w:color="auto"/>
              <w:left w:val="single" w:sz="8" w:space="0" w:color="auto"/>
              <w:bottom w:val="single" w:sz="8" w:space="0" w:color="auto"/>
              <w:right w:val="single" w:sz="8" w:space="0" w:color="auto"/>
            </w:tcBorders>
            <w:vAlign w:val="center"/>
          </w:tcPr>
          <w:p w:rsidR="000862C5" w:rsidRPr="001D6512" w:rsidRDefault="000862C5" w:rsidP="00421531">
            <w:pPr>
              <w:pStyle w:val="Equation"/>
              <w:spacing w:before="60" w:after="60"/>
              <w:ind w:left="0" w:firstLine="0"/>
              <w:rPr>
                <w:rFonts w:cs="Arial"/>
                <w:i w:val="0"/>
                <w:sz w:val="18"/>
                <w:szCs w:val="18"/>
              </w:rPr>
            </w:pPr>
            <w:r w:rsidRPr="001D6512">
              <w:rPr>
                <w:rFonts w:cs="Arial"/>
                <w:i w:val="0"/>
                <w:sz w:val="18"/>
                <w:szCs w:val="18"/>
              </w:rPr>
              <w:t>CF</w:t>
            </w:r>
          </w:p>
        </w:tc>
        <w:tc>
          <w:tcPr>
            <w:tcW w:w="752" w:type="pct"/>
            <w:tcBorders>
              <w:top w:val="single" w:sz="8" w:space="0" w:color="auto"/>
              <w:left w:val="nil"/>
              <w:bottom w:val="single" w:sz="8" w:space="0" w:color="auto"/>
              <w:right w:val="single" w:sz="8" w:space="0" w:color="auto"/>
            </w:tcBorders>
            <w:vAlign w:val="center"/>
          </w:tcPr>
          <w:p w:rsidR="000862C5" w:rsidRPr="0091240E" w:rsidRDefault="000862C5" w:rsidP="00421531">
            <w:pPr>
              <w:spacing w:before="60" w:after="60"/>
              <w:rPr>
                <w:rFonts w:cs="Arial"/>
                <w:sz w:val="18"/>
                <w:szCs w:val="18"/>
              </w:rPr>
            </w:pPr>
            <w:r w:rsidRPr="0091240E">
              <w:rPr>
                <w:rFonts w:cs="Arial"/>
                <w:sz w:val="18"/>
                <w:szCs w:val="18"/>
              </w:rPr>
              <w:t>Fixed</w:t>
            </w:r>
          </w:p>
        </w:tc>
        <w:tc>
          <w:tcPr>
            <w:tcW w:w="1463" w:type="pct"/>
            <w:tcBorders>
              <w:top w:val="single" w:sz="8" w:space="0" w:color="auto"/>
              <w:left w:val="nil"/>
              <w:bottom w:val="single" w:sz="8" w:space="0" w:color="auto"/>
              <w:right w:val="single" w:sz="8" w:space="0" w:color="auto"/>
            </w:tcBorders>
            <w:vAlign w:val="center"/>
          </w:tcPr>
          <w:p w:rsidR="000862C5" w:rsidRPr="001D6512" w:rsidRDefault="00BA29AE" w:rsidP="00631E76">
            <w:pPr>
              <w:pStyle w:val="Equation"/>
              <w:spacing w:before="60" w:after="60"/>
              <w:ind w:left="0" w:firstLine="0"/>
              <w:rPr>
                <w:rFonts w:cs="Arial"/>
                <w:i w:val="0"/>
                <w:sz w:val="18"/>
                <w:szCs w:val="18"/>
              </w:rPr>
            </w:pPr>
            <w:r w:rsidRPr="001D6512">
              <w:rPr>
                <w:rFonts w:cs="Arial"/>
                <w:i w:val="0"/>
                <w:sz w:val="18"/>
                <w:szCs w:val="18"/>
              </w:rPr>
              <w:t>0.235</w:t>
            </w:r>
            <w:r w:rsidR="000862C5" w:rsidRPr="001D6512">
              <w:rPr>
                <w:rFonts w:cs="Arial"/>
                <w:i w:val="0"/>
                <w:sz w:val="18"/>
                <w:szCs w:val="18"/>
              </w:rPr>
              <w:t>%</w:t>
            </w:r>
          </w:p>
        </w:tc>
        <w:tc>
          <w:tcPr>
            <w:tcW w:w="1173" w:type="pct"/>
            <w:tcBorders>
              <w:top w:val="single" w:sz="8" w:space="0" w:color="auto"/>
              <w:left w:val="nil"/>
              <w:bottom w:val="single" w:sz="8" w:space="0" w:color="auto"/>
              <w:right w:val="single" w:sz="8" w:space="0" w:color="auto"/>
            </w:tcBorders>
            <w:vAlign w:val="center"/>
          </w:tcPr>
          <w:p w:rsidR="000862C5" w:rsidRPr="001D6512" w:rsidRDefault="00BA29AE" w:rsidP="00421531">
            <w:pPr>
              <w:pStyle w:val="Equation"/>
              <w:spacing w:before="60" w:after="60"/>
              <w:ind w:left="0" w:firstLine="0"/>
              <w:rPr>
                <w:rFonts w:cs="Arial"/>
                <w:i w:val="0"/>
                <w:sz w:val="18"/>
                <w:szCs w:val="18"/>
              </w:rPr>
            </w:pPr>
            <w:r w:rsidRPr="001D6512">
              <w:rPr>
                <w:rFonts w:cs="Arial"/>
                <w:i w:val="0"/>
                <w:sz w:val="18"/>
                <w:szCs w:val="18"/>
              </w:rPr>
              <w:t>3</w:t>
            </w:r>
          </w:p>
        </w:tc>
      </w:tr>
    </w:tbl>
    <w:p w:rsidR="000862C5" w:rsidRDefault="000862C5" w:rsidP="000862C5">
      <w:pPr>
        <w:keepNext/>
        <w:rPr>
          <w:b/>
        </w:rPr>
      </w:pPr>
      <w:r w:rsidRPr="001D7420">
        <w:rPr>
          <w:b/>
        </w:rPr>
        <w:lastRenderedPageBreak/>
        <w:t>Sources:</w:t>
      </w:r>
    </w:p>
    <w:p w:rsidR="000862C5" w:rsidRDefault="000862C5" w:rsidP="0005632A">
      <w:pPr>
        <w:pStyle w:val="source1"/>
        <w:numPr>
          <w:ilvl w:val="0"/>
          <w:numId w:val="112"/>
        </w:numPr>
      </w:pPr>
      <w:r>
        <w:t>Mid-Atlantic TRM, version 2.0.  Prepared by Vermont Energy Investment Corporation. Facilitated and managed by the Northeast Energy Efficiency Partnerships. July 2011.</w:t>
      </w:r>
    </w:p>
    <w:p w:rsidR="000862C5" w:rsidRDefault="000862C5" w:rsidP="0005632A">
      <w:pPr>
        <w:pStyle w:val="source1"/>
        <w:numPr>
          <w:ilvl w:val="0"/>
          <w:numId w:val="27"/>
        </w:numPr>
      </w:pPr>
      <w:r>
        <w:t>Assumes 100 day pool season and 5.18 hours per day for the base condition and an identically sized two speed pump operating at 50% speed for 10.36 hours per day.</w:t>
      </w:r>
    </w:p>
    <w:p w:rsidR="00BA29AE" w:rsidRDefault="00BA29AE" w:rsidP="0005632A">
      <w:pPr>
        <w:pStyle w:val="source1"/>
        <w:numPr>
          <w:ilvl w:val="0"/>
          <w:numId w:val="27"/>
        </w:numPr>
      </w:pPr>
      <w:bookmarkStart w:id="497" w:name="_Ref297202769"/>
      <w:r w:rsidRPr="00EF05A1">
        <w:t>Derived from Pool Pump and Demand Response Potential, DR 07.01 Report, SCE Design and Engineering, Table 16</w:t>
      </w:r>
      <w:r>
        <w:t>. Statewide value calculated using the non-weather dependent coincident peak demand calculator with inland valley data.</w:t>
      </w:r>
    </w:p>
    <w:p w:rsidR="000862C5" w:rsidRDefault="000862C5" w:rsidP="000862C5">
      <w:pPr>
        <w:pStyle w:val="source1"/>
        <w:keepNext/>
        <w:numPr>
          <w:ilvl w:val="0"/>
          <w:numId w:val="0"/>
        </w:numPr>
        <w:spacing w:after="0"/>
        <w:rPr>
          <w:rFonts w:ascii="Arial Narrow" w:hAnsi="Arial Narrow"/>
        </w:rPr>
      </w:pPr>
    </w:p>
    <w:p w:rsidR="000862C5" w:rsidRPr="0091240E" w:rsidRDefault="000862C5" w:rsidP="000862C5">
      <w:pPr>
        <w:pStyle w:val="Caption"/>
      </w:pPr>
      <w:bookmarkStart w:id="498" w:name="_Toc310875550"/>
      <w:bookmarkEnd w:id="497"/>
      <w:r w:rsidRPr="0091240E">
        <w:t xml:space="preserve">Table </w:t>
      </w:r>
      <w:r w:rsidR="00274AB1">
        <w:fldChar w:fldCharType="begin"/>
      </w:r>
      <w:r w:rsidR="00274AB1">
        <w:instrText xml:space="preserve"> STYLEREF 1 \s </w:instrText>
      </w:r>
      <w:r w:rsidR="00274AB1">
        <w:fldChar w:fldCharType="separate"/>
      </w:r>
      <w:r w:rsidR="00C0292F">
        <w:rPr>
          <w:noProof/>
        </w:rPr>
        <w:t>2</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64</w:t>
      </w:r>
      <w:r w:rsidR="00274AB1">
        <w:rPr>
          <w:noProof/>
        </w:rPr>
        <w:fldChar w:fldCharType="end"/>
      </w:r>
      <w:r w:rsidRPr="0091240E">
        <w:t>:</w:t>
      </w:r>
      <w:r>
        <w:t xml:space="preserve"> Two-Speed Pool Pump Deemed Savings Values</w:t>
      </w:r>
      <w:bookmarkEnd w:id="498"/>
    </w:p>
    <w:tbl>
      <w:tblPr>
        <w:tblW w:w="3371" w:type="pct"/>
        <w:jc w:val="center"/>
        <w:tblInd w:w="-679" w:type="dxa"/>
        <w:tblCellMar>
          <w:left w:w="115" w:type="dxa"/>
          <w:right w:w="115" w:type="dxa"/>
        </w:tblCellMar>
        <w:tblLook w:val="00A0" w:firstRow="1" w:lastRow="0" w:firstColumn="1" w:lastColumn="0" w:noHBand="0" w:noVBand="0"/>
      </w:tblPr>
      <w:tblGrid>
        <w:gridCol w:w="3013"/>
        <w:gridCol w:w="2967"/>
      </w:tblGrid>
      <w:tr w:rsidR="000862C5" w:rsidRPr="000151F9" w:rsidTr="00421531">
        <w:trPr>
          <w:trHeight w:val="317"/>
          <w:jc w:val="center"/>
        </w:trPr>
        <w:tc>
          <w:tcPr>
            <w:tcW w:w="2519" w:type="pct"/>
            <w:tcBorders>
              <w:top w:val="single" w:sz="8" w:space="0" w:color="auto"/>
              <w:left w:val="single" w:sz="4" w:space="0" w:color="auto"/>
              <w:bottom w:val="single" w:sz="8" w:space="0" w:color="auto"/>
              <w:right w:val="single" w:sz="8" w:space="0" w:color="auto"/>
            </w:tcBorders>
            <w:shd w:val="clear" w:color="auto" w:fill="BFBFBF"/>
            <w:vAlign w:val="center"/>
          </w:tcPr>
          <w:p w:rsidR="000862C5" w:rsidRPr="001D6512" w:rsidRDefault="000862C5" w:rsidP="00421531">
            <w:pPr>
              <w:pStyle w:val="TableCell"/>
              <w:spacing w:before="60" w:after="60"/>
              <w:rPr>
                <w:b/>
              </w:rPr>
            </w:pPr>
            <w:r w:rsidRPr="001D6512">
              <w:rPr>
                <w:b/>
              </w:rPr>
              <w:t>Average Annual kWh Savings per Unit</w:t>
            </w:r>
          </w:p>
        </w:tc>
        <w:tc>
          <w:tcPr>
            <w:tcW w:w="2481" w:type="pct"/>
            <w:tcBorders>
              <w:top w:val="single" w:sz="8" w:space="0" w:color="auto"/>
              <w:left w:val="nil"/>
              <w:bottom w:val="single" w:sz="8" w:space="0" w:color="auto"/>
              <w:right w:val="single" w:sz="8" w:space="0" w:color="auto"/>
            </w:tcBorders>
            <w:shd w:val="clear" w:color="auto" w:fill="BFBFBF"/>
            <w:vAlign w:val="center"/>
          </w:tcPr>
          <w:p w:rsidR="000862C5" w:rsidRPr="001D6512" w:rsidRDefault="000862C5" w:rsidP="00421531">
            <w:pPr>
              <w:pStyle w:val="TableCell"/>
              <w:spacing w:before="60" w:after="60"/>
              <w:rPr>
                <w:b/>
              </w:rPr>
            </w:pPr>
            <w:r w:rsidRPr="001D6512">
              <w:rPr>
                <w:b/>
              </w:rPr>
              <w:t>Average Summer Coincident Peak kW Savings per unit</w:t>
            </w:r>
          </w:p>
        </w:tc>
      </w:tr>
      <w:tr w:rsidR="000862C5" w:rsidRPr="000151F9" w:rsidTr="00421531">
        <w:trPr>
          <w:trHeight w:val="317"/>
          <w:jc w:val="center"/>
        </w:trPr>
        <w:tc>
          <w:tcPr>
            <w:tcW w:w="2519" w:type="pct"/>
            <w:tcBorders>
              <w:top w:val="single" w:sz="8" w:space="0" w:color="auto"/>
              <w:left w:val="single" w:sz="4" w:space="0" w:color="auto"/>
              <w:bottom w:val="single" w:sz="8" w:space="0" w:color="auto"/>
              <w:right w:val="single" w:sz="8" w:space="0" w:color="auto"/>
            </w:tcBorders>
            <w:vAlign w:val="center"/>
          </w:tcPr>
          <w:p w:rsidR="000862C5" w:rsidRPr="001D6512" w:rsidRDefault="000862C5" w:rsidP="00421531">
            <w:pPr>
              <w:pStyle w:val="TableCell"/>
              <w:spacing w:before="60" w:after="60"/>
            </w:pPr>
            <w:r w:rsidRPr="001D6512">
              <w:t>530 kWh</w:t>
            </w:r>
          </w:p>
        </w:tc>
        <w:tc>
          <w:tcPr>
            <w:tcW w:w="2481" w:type="pct"/>
            <w:tcBorders>
              <w:top w:val="single" w:sz="8" w:space="0" w:color="auto"/>
              <w:left w:val="nil"/>
              <w:bottom w:val="single" w:sz="8" w:space="0" w:color="auto"/>
              <w:right w:val="single" w:sz="8" w:space="0" w:color="auto"/>
            </w:tcBorders>
            <w:vAlign w:val="center"/>
          </w:tcPr>
          <w:p w:rsidR="000862C5" w:rsidRPr="001D6512" w:rsidRDefault="000862C5" w:rsidP="00631E76">
            <w:pPr>
              <w:pStyle w:val="TableCell"/>
              <w:spacing w:before="60" w:after="60"/>
            </w:pPr>
            <w:r w:rsidRPr="001D6512">
              <w:t>0.</w:t>
            </w:r>
            <w:r w:rsidR="00D31536" w:rsidRPr="001D6512">
              <w:t>280</w:t>
            </w:r>
            <w:r w:rsidRPr="001D6512">
              <w:t xml:space="preserve"> kW</w:t>
            </w:r>
          </w:p>
        </w:tc>
      </w:tr>
    </w:tbl>
    <w:p w:rsidR="000862C5" w:rsidRDefault="000862C5" w:rsidP="000862C5">
      <w:pPr>
        <w:pStyle w:val="source1"/>
        <w:numPr>
          <w:ilvl w:val="0"/>
          <w:numId w:val="0"/>
        </w:numPr>
      </w:pPr>
    </w:p>
    <w:p w:rsidR="000862C5" w:rsidRDefault="000862C5" w:rsidP="000862C5">
      <w:pPr>
        <w:pStyle w:val="Heading3"/>
      </w:pPr>
      <w:r>
        <w:t>Measure Life</w:t>
      </w:r>
    </w:p>
    <w:p w:rsidR="000862C5" w:rsidRPr="003B6DCC" w:rsidRDefault="000862C5" w:rsidP="000862C5">
      <w:r>
        <w:t>The estimated useful life for a variable speed pool pump is 10 years.</w:t>
      </w:r>
      <w:r>
        <w:rPr>
          <w:rStyle w:val="FootnoteReference"/>
        </w:rPr>
        <w:footnoteReference w:id="125"/>
      </w:r>
    </w:p>
    <w:p w:rsidR="000862C5" w:rsidRPr="001C4AD5" w:rsidRDefault="000862C5" w:rsidP="000862C5">
      <w:pPr>
        <w:pStyle w:val="Heading2"/>
      </w:pPr>
      <w:r>
        <w:br w:type="page"/>
      </w:r>
      <w:bookmarkStart w:id="499" w:name="_Toc310875438"/>
      <w:r w:rsidRPr="00E773BC">
        <w:lastRenderedPageBreak/>
        <w:t xml:space="preserve">Variable Speed Pool Pumps </w:t>
      </w:r>
      <w:r>
        <w:t>(with Load Shifting Option)</w:t>
      </w:r>
      <w:bookmarkEnd w:id="49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5958"/>
      </w:tblGrid>
      <w:tr w:rsidR="000862C5" w:rsidRPr="00C465DB" w:rsidTr="00421531">
        <w:trPr>
          <w:jc w:val="center"/>
        </w:trPr>
        <w:tc>
          <w:tcPr>
            <w:tcW w:w="2898" w:type="dxa"/>
            <w:shd w:val="clear" w:color="auto" w:fill="BFBFBF"/>
          </w:tcPr>
          <w:p w:rsidR="000862C5" w:rsidRPr="001D6512" w:rsidRDefault="000862C5" w:rsidP="000862C5">
            <w:pPr>
              <w:pStyle w:val="TableCell"/>
              <w:spacing w:before="60" w:after="60"/>
              <w:rPr>
                <w:b/>
              </w:rPr>
            </w:pPr>
            <w:r w:rsidRPr="001D6512">
              <w:rPr>
                <w:b/>
              </w:rPr>
              <w:t>Measure Name</w:t>
            </w:r>
          </w:p>
        </w:tc>
        <w:tc>
          <w:tcPr>
            <w:tcW w:w="5958" w:type="dxa"/>
            <w:shd w:val="clear" w:color="auto" w:fill="BFBFBF"/>
          </w:tcPr>
          <w:p w:rsidR="000862C5" w:rsidRPr="007F5C21" w:rsidRDefault="000862C5" w:rsidP="007F5C21">
            <w:pPr>
              <w:spacing w:before="60" w:after="60"/>
              <w:rPr>
                <w:b/>
                <w:sz w:val="18"/>
                <w:szCs w:val="18"/>
              </w:rPr>
            </w:pPr>
            <w:r w:rsidRPr="007F5C21">
              <w:rPr>
                <w:b/>
                <w:sz w:val="18"/>
                <w:szCs w:val="18"/>
              </w:rPr>
              <w:t>Residential VFD Pool Pumps</w:t>
            </w:r>
          </w:p>
        </w:tc>
      </w:tr>
      <w:tr w:rsidR="000862C5" w:rsidRPr="00C465DB" w:rsidTr="00421531">
        <w:trPr>
          <w:jc w:val="center"/>
        </w:trPr>
        <w:tc>
          <w:tcPr>
            <w:tcW w:w="2898" w:type="dxa"/>
            <w:shd w:val="clear" w:color="auto" w:fill="auto"/>
          </w:tcPr>
          <w:p w:rsidR="000862C5" w:rsidRPr="001D6512" w:rsidRDefault="000862C5" w:rsidP="00421531">
            <w:pPr>
              <w:pStyle w:val="TableCell"/>
              <w:spacing w:before="60" w:after="60"/>
              <w:rPr>
                <w:sz w:val="20"/>
              </w:rPr>
            </w:pPr>
            <w:r w:rsidRPr="001D6512">
              <w:t>Target Sector</w:t>
            </w:r>
          </w:p>
        </w:tc>
        <w:tc>
          <w:tcPr>
            <w:tcW w:w="5958" w:type="dxa"/>
            <w:shd w:val="clear" w:color="auto" w:fill="auto"/>
          </w:tcPr>
          <w:p w:rsidR="000862C5" w:rsidRPr="001D6512" w:rsidRDefault="000862C5" w:rsidP="00421531">
            <w:pPr>
              <w:pStyle w:val="TableCell"/>
              <w:spacing w:before="60" w:after="60"/>
              <w:rPr>
                <w:rFonts w:eastAsia="Arial Unicode MS" w:cs="Arial"/>
                <w:i/>
                <w:iCs/>
                <w:sz w:val="20"/>
                <w:szCs w:val="24"/>
              </w:rPr>
            </w:pPr>
            <w:r w:rsidRPr="001D6512">
              <w:t>Residential Establishments</w:t>
            </w:r>
          </w:p>
        </w:tc>
      </w:tr>
      <w:tr w:rsidR="000862C5" w:rsidRPr="00C465DB" w:rsidTr="00421531">
        <w:trPr>
          <w:jc w:val="center"/>
        </w:trPr>
        <w:tc>
          <w:tcPr>
            <w:tcW w:w="2898" w:type="dxa"/>
            <w:shd w:val="clear" w:color="auto" w:fill="auto"/>
          </w:tcPr>
          <w:p w:rsidR="000862C5" w:rsidRPr="001D6512" w:rsidRDefault="000862C5" w:rsidP="00421531">
            <w:pPr>
              <w:pStyle w:val="TableCell"/>
              <w:spacing w:before="60" w:after="60"/>
              <w:rPr>
                <w:sz w:val="20"/>
              </w:rPr>
            </w:pPr>
            <w:r w:rsidRPr="001D6512">
              <w:t>Measure Unit</w:t>
            </w:r>
          </w:p>
        </w:tc>
        <w:tc>
          <w:tcPr>
            <w:tcW w:w="5958" w:type="dxa"/>
            <w:shd w:val="clear" w:color="auto" w:fill="auto"/>
          </w:tcPr>
          <w:p w:rsidR="000862C5" w:rsidRPr="001D6512" w:rsidRDefault="000862C5" w:rsidP="00421531">
            <w:pPr>
              <w:pStyle w:val="TableCell"/>
              <w:spacing w:before="60" w:after="60"/>
              <w:rPr>
                <w:rFonts w:eastAsia="Arial Unicode MS" w:cs="Arial"/>
                <w:i/>
                <w:iCs/>
                <w:sz w:val="20"/>
                <w:szCs w:val="24"/>
              </w:rPr>
            </w:pPr>
            <w:r w:rsidRPr="001D6512">
              <w:t xml:space="preserve">VFD Pool Pumps </w:t>
            </w:r>
          </w:p>
        </w:tc>
      </w:tr>
      <w:tr w:rsidR="000862C5" w:rsidRPr="00C465DB" w:rsidTr="00421531">
        <w:trPr>
          <w:jc w:val="center"/>
        </w:trPr>
        <w:tc>
          <w:tcPr>
            <w:tcW w:w="2898" w:type="dxa"/>
            <w:shd w:val="clear" w:color="auto" w:fill="auto"/>
          </w:tcPr>
          <w:p w:rsidR="000862C5" w:rsidRPr="001D6512" w:rsidRDefault="000862C5" w:rsidP="00421531">
            <w:pPr>
              <w:pStyle w:val="TableCell"/>
              <w:spacing w:before="60" w:after="60"/>
              <w:rPr>
                <w:sz w:val="20"/>
              </w:rPr>
            </w:pPr>
            <w:r w:rsidRPr="001D6512">
              <w:t>Unit Energy Savings</w:t>
            </w:r>
          </w:p>
        </w:tc>
        <w:tc>
          <w:tcPr>
            <w:tcW w:w="5958" w:type="dxa"/>
            <w:shd w:val="clear" w:color="auto" w:fill="auto"/>
          </w:tcPr>
          <w:p w:rsidR="000862C5" w:rsidRPr="001D6512" w:rsidRDefault="000862C5" w:rsidP="00421531">
            <w:pPr>
              <w:pStyle w:val="TableCell"/>
              <w:spacing w:before="60" w:after="60"/>
              <w:rPr>
                <w:rFonts w:eastAsia="Arial Unicode MS" w:cs="Arial"/>
                <w:i/>
                <w:iCs/>
                <w:sz w:val="20"/>
                <w:szCs w:val="24"/>
              </w:rPr>
            </w:pPr>
            <w:r w:rsidRPr="001D6512">
              <w:t>Variable</w:t>
            </w:r>
          </w:p>
        </w:tc>
      </w:tr>
      <w:tr w:rsidR="000862C5" w:rsidRPr="00C465DB" w:rsidTr="00421531">
        <w:trPr>
          <w:jc w:val="center"/>
        </w:trPr>
        <w:tc>
          <w:tcPr>
            <w:tcW w:w="2898" w:type="dxa"/>
            <w:shd w:val="clear" w:color="auto" w:fill="auto"/>
          </w:tcPr>
          <w:p w:rsidR="000862C5" w:rsidRPr="001D6512" w:rsidRDefault="000862C5" w:rsidP="00421531">
            <w:pPr>
              <w:pStyle w:val="TableCell"/>
              <w:spacing w:before="60" w:after="60"/>
              <w:rPr>
                <w:sz w:val="20"/>
              </w:rPr>
            </w:pPr>
            <w:r w:rsidRPr="001D6512">
              <w:t>Unit Peak Demand Reduction</w:t>
            </w:r>
          </w:p>
        </w:tc>
        <w:tc>
          <w:tcPr>
            <w:tcW w:w="5958" w:type="dxa"/>
            <w:shd w:val="clear" w:color="auto" w:fill="auto"/>
          </w:tcPr>
          <w:p w:rsidR="000862C5" w:rsidRPr="001D6512" w:rsidRDefault="000862C5" w:rsidP="00421531">
            <w:pPr>
              <w:pStyle w:val="TableCell"/>
              <w:spacing w:before="60" w:after="60"/>
              <w:rPr>
                <w:rFonts w:eastAsia="Arial Unicode MS" w:cs="Arial"/>
                <w:i/>
                <w:iCs/>
                <w:sz w:val="20"/>
                <w:szCs w:val="24"/>
              </w:rPr>
            </w:pPr>
            <w:r w:rsidRPr="001D6512">
              <w:t>Variable</w:t>
            </w:r>
          </w:p>
        </w:tc>
      </w:tr>
      <w:tr w:rsidR="000862C5" w:rsidRPr="00C465DB" w:rsidTr="00421531">
        <w:trPr>
          <w:jc w:val="center"/>
        </w:trPr>
        <w:tc>
          <w:tcPr>
            <w:tcW w:w="2898" w:type="dxa"/>
            <w:shd w:val="clear" w:color="auto" w:fill="auto"/>
          </w:tcPr>
          <w:p w:rsidR="000862C5" w:rsidRPr="001D6512" w:rsidRDefault="000862C5" w:rsidP="00421531">
            <w:pPr>
              <w:pStyle w:val="TableCell"/>
              <w:spacing w:before="60" w:after="60"/>
              <w:rPr>
                <w:sz w:val="20"/>
              </w:rPr>
            </w:pPr>
            <w:r w:rsidRPr="001D6512">
              <w:t>Measure Life</w:t>
            </w:r>
          </w:p>
        </w:tc>
        <w:tc>
          <w:tcPr>
            <w:tcW w:w="5958" w:type="dxa"/>
            <w:shd w:val="clear" w:color="auto" w:fill="auto"/>
          </w:tcPr>
          <w:p w:rsidR="000862C5" w:rsidRPr="001D6512" w:rsidRDefault="000862C5" w:rsidP="00421531">
            <w:pPr>
              <w:pStyle w:val="TableCell"/>
              <w:spacing w:before="60" w:after="60"/>
              <w:rPr>
                <w:rFonts w:eastAsia="Arial Unicode MS" w:cs="Arial"/>
                <w:i/>
                <w:iCs/>
                <w:sz w:val="20"/>
                <w:szCs w:val="24"/>
              </w:rPr>
            </w:pPr>
            <w:r w:rsidRPr="001D6512">
              <w:t>10 years</w:t>
            </w:r>
          </w:p>
        </w:tc>
      </w:tr>
    </w:tbl>
    <w:p w:rsidR="000862C5" w:rsidRDefault="000862C5" w:rsidP="000862C5">
      <w:pPr>
        <w:rPr>
          <w:highlight w:val="yellow"/>
        </w:rPr>
      </w:pPr>
    </w:p>
    <w:p w:rsidR="000862C5" w:rsidRDefault="000862C5" w:rsidP="000862C5">
      <w:r>
        <w:t xml:space="preserve">This measure has two potential components.  First, a variable speed pool pump must be purchased and installed on a residential pool.  Second, the variable speed pool pump may be commissioned such that it does not operate in the noon to 8 PM period (on weekdays).  This second, optional step is referred to as </w:t>
      </w:r>
      <w:r w:rsidRPr="00E759CB">
        <w:rPr>
          <w:i/>
        </w:rPr>
        <w:t>load shifting</w:t>
      </w:r>
      <w:r>
        <w:t xml:space="preserve">. </w:t>
      </w:r>
      <w:r w:rsidRPr="00424C06">
        <w:t>Residential variable frequency drive pool pumps can be adjusted so that the minimal required flow is achieved for each application.</w:t>
      </w:r>
      <w:r>
        <w:t xml:space="preserve"> </w:t>
      </w:r>
      <w:r w:rsidRPr="00424C06">
        <w:t>Reducing the flow rate results in significant energy savings because pump power and pump energy usage scale with the cubic and quadratic powers of the flow rate respectively.</w:t>
      </w:r>
      <w:r>
        <w:t xml:space="preserve"> </w:t>
      </w:r>
      <w:r w:rsidRPr="00424C06">
        <w:t>Additional savings are achieved because the VSD pool pumps typically employ premium efficiency motors.</w:t>
      </w:r>
      <w:r>
        <w:t xml:space="preserve">   Since the only difference between the VSD pool pump without load shifting and VSD pool pump with load shifting measures pertains to the pool pump operation schedule, this protocol is written in such that it may support both measures at once.</w:t>
      </w:r>
    </w:p>
    <w:p w:rsidR="000862C5" w:rsidRDefault="000862C5" w:rsidP="000862C5">
      <w:pPr>
        <w:pStyle w:val="Heading3"/>
      </w:pPr>
      <w:r>
        <w:t>Eligibility</w:t>
      </w:r>
    </w:p>
    <w:p w:rsidR="000862C5" w:rsidRDefault="000862C5" w:rsidP="000862C5">
      <w:r>
        <w:t>To qualify for the load shifting rebate,</w:t>
      </w:r>
      <w:r w:rsidRPr="00424C06">
        <w:t xml:space="preserve"> the pumps are required to be off during the hours of noon to 8 PM.</w:t>
      </w:r>
      <w:r>
        <w:t xml:space="preserve"> </w:t>
      </w:r>
      <w:r w:rsidRPr="00424C06">
        <w:t>This practice results in additional demand reductions.</w:t>
      </w:r>
      <w:r>
        <w:t xml:space="preserve">  </w:t>
      </w:r>
    </w:p>
    <w:p w:rsidR="000862C5" w:rsidRPr="001C4AD5" w:rsidRDefault="000862C5" w:rsidP="000862C5">
      <w:pPr>
        <w:pStyle w:val="Heading3"/>
      </w:pPr>
      <w:r w:rsidRPr="001C4AD5">
        <w:t>Algorithms</w:t>
      </w:r>
    </w:p>
    <w:p w:rsidR="000862C5" w:rsidRDefault="000862C5" w:rsidP="000862C5">
      <w:r w:rsidRPr="00023B55">
        <w:t xml:space="preserve">This </w:t>
      </w:r>
      <w:r>
        <w:t>protocol</w:t>
      </w:r>
      <w:r w:rsidRPr="00023B55">
        <w:t xml:space="preserve"> documents the energy savings attributed to variable frequency drive pool pumps in various pool sizes.</w:t>
      </w:r>
      <w:r>
        <w:t xml:space="preserve"> </w:t>
      </w:r>
      <w:r w:rsidRPr="00023B55">
        <w:t>The target sector primarily consists of single-family residences.</w:t>
      </w:r>
    </w:p>
    <w:p w:rsidR="000862C5" w:rsidRDefault="000862C5" w:rsidP="000862C5">
      <w:pPr>
        <w:pStyle w:val="Equation"/>
        <w:rPr>
          <w:rFonts w:cs="Arial"/>
          <w:szCs w:val="20"/>
        </w:rPr>
      </w:pPr>
      <w:r w:rsidRPr="00AA2C40">
        <w:rPr>
          <w:rFonts w:cs="Arial"/>
          <w:szCs w:val="20"/>
        </w:rPr>
        <w:sym w:font="Symbol" w:char="F044"/>
      </w:r>
      <w:r w:rsidRPr="00AA2C40">
        <w:rPr>
          <w:rFonts w:cs="Arial"/>
          <w:szCs w:val="20"/>
        </w:rPr>
        <w:t>kWh</w:t>
      </w:r>
      <w:r w:rsidRPr="00023B55">
        <w:rPr>
          <w:rFonts w:cs="Arial"/>
          <w:szCs w:val="20"/>
        </w:rPr>
        <w:t xml:space="preserve"> </w:t>
      </w:r>
      <w:r>
        <w:rPr>
          <w:rFonts w:cs="Arial"/>
          <w:szCs w:val="20"/>
        </w:rPr>
        <w:tab/>
      </w:r>
      <w:r>
        <w:rPr>
          <w:rFonts w:cs="Arial"/>
          <w:szCs w:val="20"/>
        </w:rPr>
        <w:tab/>
        <w:t>= kWh</w:t>
      </w:r>
      <w:r w:rsidRPr="005A43B6">
        <w:rPr>
          <w:rFonts w:cs="Arial"/>
          <w:szCs w:val="20"/>
          <w:vertAlign w:val="subscript"/>
        </w:rPr>
        <w:t>base</w:t>
      </w:r>
      <w:r>
        <w:rPr>
          <w:rFonts w:cs="Arial"/>
          <w:szCs w:val="20"/>
        </w:rPr>
        <w:t xml:space="preserve"> - kWh</w:t>
      </w:r>
      <w:r w:rsidRPr="005A43B6">
        <w:rPr>
          <w:rFonts w:cs="Arial"/>
          <w:szCs w:val="20"/>
          <w:vertAlign w:val="subscript"/>
        </w:rPr>
        <w:t>VFD</w:t>
      </w:r>
    </w:p>
    <w:p w:rsidR="000862C5" w:rsidRDefault="000862C5" w:rsidP="000862C5">
      <w:pPr>
        <w:pStyle w:val="Equation"/>
        <w:rPr>
          <w:rFonts w:cs="Arial"/>
          <w:szCs w:val="20"/>
        </w:rPr>
      </w:pPr>
      <w:r>
        <w:rPr>
          <w:rFonts w:cs="Arial"/>
          <w:szCs w:val="20"/>
        </w:rPr>
        <w:t>kWh</w:t>
      </w:r>
      <w:r>
        <w:rPr>
          <w:rFonts w:cs="Arial"/>
          <w:szCs w:val="20"/>
          <w:vertAlign w:val="subscript"/>
        </w:rPr>
        <w:t>base</w:t>
      </w:r>
      <w:r>
        <w:rPr>
          <w:rFonts w:cs="Arial"/>
          <w:szCs w:val="20"/>
        </w:rPr>
        <w:tab/>
      </w:r>
      <w:r>
        <w:rPr>
          <w:rFonts w:cs="Arial"/>
          <w:szCs w:val="20"/>
        </w:rPr>
        <w:tab/>
      </w:r>
      <w:r w:rsidRPr="00023B55">
        <w:rPr>
          <w:rFonts w:cs="Arial"/>
          <w:szCs w:val="20"/>
        </w:rPr>
        <w:t>= (h</w:t>
      </w:r>
      <w:r w:rsidRPr="00023B55">
        <w:rPr>
          <w:rFonts w:cs="Arial"/>
          <w:szCs w:val="20"/>
          <w:vertAlign w:val="subscript"/>
        </w:rPr>
        <w:t>SS</w:t>
      </w:r>
      <w:r w:rsidRPr="00023B55">
        <w:rPr>
          <w:rFonts w:cs="Arial"/>
          <w:szCs w:val="20"/>
          <w:vertAlign w:val="subscript"/>
        </w:rPr>
        <w:softHyphen/>
      </w:r>
      <w:r w:rsidRPr="00023B55">
        <w:rPr>
          <w:rFonts w:cs="Arial"/>
          <w:szCs w:val="20"/>
        </w:rPr>
        <w:t xml:space="preserve"> </w:t>
      </w:r>
      <w:r>
        <w:rPr>
          <w:rFonts w:cs="Arial"/>
          <w:szCs w:val="20"/>
        </w:rPr>
        <w:t>X</w:t>
      </w:r>
      <w:r w:rsidRPr="00023B55">
        <w:rPr>
          <w:rFonts w:cs="Arial"/>
          <w:szCs w:val="20"/>
        </w:rPr>
        <w:t xml:space="preserve"> kW</w:t>
      </w:r>
      <w:r w:rsidRPr="00023B55">
        <w:rPr>
          <w:rFonts w:cs="Arial"/>
          <w:szCs w:val="20"/>
          <w:vertAlign w:val="subscript"/>
        </w:rPr>
        <w:t>SS</w:t>
      </w:r>
      <w:r>
        <w:rPr>
          <w:rFonts w:cs="Arial"/>
          <w:szCs w:val="20"/>
        </w:rPr>
        <w:t>) X Days/year</w:t>
      </w:r>
    </w:p>
    <w:p w:rsidR="000862C5" w:rsidRPr="005A43B6" w:rsidRDefault="000862C5" w:rsidP="000862C5">
      <w:pPr>
        <w:pStyle w:val="Equation"/>
        <w:rPr>
          <w:rFonts w:cs="Arial"/>
          <w:szCs w:val="20"/>
        </w:rPr>
      </w:pPr>
      <w:r>
        <w:rPr>
          <w:rFonts w:cs="Arial"/>
          <w:szCs w:val="20"/>
        </w:rPr>
        <w:t>kWh</w:t>
      </w:r>
      <w:r>
        <w:rPr>
          <w:rFonts w:cs="Arial"/>
          <w:szCs w:val="20"/>
          <w:vertAlign w:val="subscript"/>
        </w:rPr>
        <w:t>VFD</w:t>
      </w:r>
      <w:r>
        <w:rPr>
          <w:rFonts w:cs="Arial"/>
          <w:szCs w:val="20"/>
          <w:vertAlign w:val="subscript"/>
        </w:rPr>
        <w:tab/>
      </w:r>
      <w:r>
        <w:rPr>
          <w:rFonts w:cs="Arial"/>
          <w:szCs w:val="20"/>
          <w:vertAlign w:val="subscript"/>
        </w:rPr>
        <w:tab/>
      </w:r>
      <w:r>
        <w:rPr>
          <w:rFonts w:cs="Arial"/>
          <w:szCs w:val="20"/>
        </w:rPr>
        <w:t>= (h</w:t>
      </w:r>
      <w:r>
        <w:rPr>
          <w:rFonts w:cs="Arial"/>
          <w:szCs w:val="20"/>
          <w:vertAlign w:val="subscript"/>
        </w:rPr>
        <w:t xml:space="preserve">VFD </w:t>
      </w:r>
      <w:r w:rsidRPr="005A43B6">
        <w:rPr>
          <w:rFonts w:cs="Arial"/>
          <w:szCs w:val="20"/>
        </w:rPr>
        <w:t>X</w:t>
      </w:r>
      <w:r>
        <w:rPr>
          <w:rFonts w:cs="Arial"/>
          <w:szCs w:val="20"/>
          <w:vertAlign w:val="subscript"/>
        </w:rPr>
        <w:t xml:space="preserve"> </w:t>
      </w:r>
      <w:r>
        <w:rPr>
          <w:rFonts w:cs="Arial"/>
          <w:szCs w:val="20"/>
        </w:rPr>
        <w:t>kW</w:t>
      </w:r>
      <w:r>
        <w:rPr>
          <w:rFonts w:cs="Arial"/>
          <w:szCs w:val="20"/>
          <w:vertAlign w:val="subscript"/>
        </w:rPr>
        <w:t>VFD</w:t>
      </w:r>
      <w:r>
        <w:rPr>
          <w:rFonts w:cs="Arial"/>
          <w:szCs w:val="20"/>
        </w:rPr>
        <w:t>) X Days/year</w:t>
      </w:r>
    </w:p>
    <w:p w:rsidR="000862C5" w:rsidRPr="000A3BE3" w:rsidRDefault="000862C5" w:rsidP="000862C5">
      <w:r w:rsidRPr="000A3BE3">
        <w:t>The demand reductions are obtained through the following formula:</w:t>
      </w:r>
    </w:p>
    <w:p w:rsidR="000862C5" w:rsidRPr="005A43B6" w:rsidRDefault="000862C5" w:rsidP="000862C5">
      <w:pPr>
        <w:pStyle w:val="Equation"/>
        <w:rPr>
          <w:rFonts w:cs="Arial"/>
          <w:szCs w:val="20"/>
          <w:vertAlign w:val="subscript"/>
        </w:rPr>
      </w:pPr>
      <w:r w:rsidRPr="00AA2C40">
        <w:rPr>
          <w:rFonts w:cs="Arial"/>
          <w:szCs w:val="20"/>
        </w:rPr>
        <w:sym w:font="Symbol" w:char="F044"/>
      </w:r>
      <w:r w:rsidRPr="00AA2C40">
        <w:rPr>
          <w:rFonts w:cs="Arial"/>
          <w:szCs w:val="20"/>
        </w:rPr>
        <w:t>kW</w:t>
      </w:r>
      <w:r w:rsidRPr="00AA2C40">
        <w:rPr>
          <w:rFonts w:cs="Arial"/>
          <w:szCs w:val="20"/>
          <w:vertAlign w:val="subscript"/>
        </w:rPr>
        <w:t>peak</w:t>
      </w:r>
      <w:r w:rsidRPr="00AA2C40">
        <w:rPr>
          <w:rFonts w:cs="Arial"/>
          <w:szCs w:val="20"/>
        </w:rPr>
        <w:t xml:space="preserve"> </w:t>
      </w:r>
      <w:r>
        <w:rPr>
          <w:rFonts w:cs="Arial"/>
          <w:szCs w:val="20"/>
        </w:rPr>
        <w:tab/>
      </w:r>
      <w:r w:rsidRPr="00AA2C40">
        <w:rPr>
          <w:rFonts w:cs="Arial"/>
          <w:szCs w:val="20"/>
        </w:rPr>
        <w:t xml:space="preserve"> </w:t>
      </w:r>
      <w:r w:rsidRPr="00023B55">
        <w:rPr>
          <w:rFonts w:cs="Arial"/>
          <w:szCs w:val="20"/>
        </w:rPr>
        <w:t xml:space="preserve">= </w:t>
      </w:r>
      <w:r>
        <w:rPr>
          <w:rFonts w:cs="Arial"/>
          <w:szCs w:val="20"/>
        </w:rPr>
        <w:t>kW</w:t>
      </w:r>
      <w:r>
        <w:rPr>
          <w:rFonts w:cs="Arial"/>
          <w:szCs w:val="20"/>
          <w:vertAlign w:val="subscript"/>
        </w:rPr>
        <w:t xml:space="preserve">base </w:t>
      </w:r>
      <w:r>
        <w:rPr>
          <w:rFonts w:cs="Arial"/>
          <w:szCs w:val="20"/>
        </w:rPr>
        <w:t>- kW</w:t>
      </w:r>
      <w:r>
        <w:rPr>
          <w:rFonts w:cs="Arial"/>
          <w:szCs w:val="20"/>
          <w:vertAlign w:val="subscript"/>
        </w:rPr>
        <w:t>VFD</w:t>
      </w:r>
    </w:p>
    <w:p w:rsidR="000862C5" w:rsidRDefault="000862C5" w:rsidP="000862C5">
      <w:pPr>
        <w:pStyle w:val="Equation"/>
        <w:rPr>
          <w:rFonts w:cs="Arial"/>
          <w:szCs w:val="20"/>
        </w:rPr>
      </w:pPr>
      <w:r>
        <w:rPr>
          <w:rFonts w:cs="Arial"/>
          <w:szCs w:val="20"/>
        </w:rPr>
        <w:t>kW</w:t>
      </w:r>
      <w:r w:rsidRPr="005A43B6">
        <w:rPr>
          <w:rFonts w:cs="Arial"/>
          <w:szCs w:val="20"/>
          <w:vertAlign w:val="subscript"/>
        </w:rPr>
        <w:t>base</w:t>
      </w:r>
      <w:r>
        <w:rPr>
          <w:rFonts w:cs="Arial"/>
          <w:szCs w:val="20"/>
        </w:rPr>
        <w:tab/>
      </w:r>
      <w:r>
        <w:rPr>
          <w:rFonts w:cs="Arial"/>
          <w:szCs w:val="20"/>
        </w:rPr>
        <w:tab/>
        <w:t xml:space="preserve">= </w:t>
      </w:r>
      <w:r w:rsidRPr="00023B55">
        <w:rPr>
          <w:rFonts w:cs="Arial"/>
          <w:szCs w:val="20"/>
        </w:rPr>
        <w:t>(CF</w:t>
      </w:r>
      <w:r w:rsidRPr="00023B55">
        <w:rPr>
          <w:rFonts w:cs="Arial"/>
          <w:szCs w:val="20"/>
          <w:vertAlign w:val="subscript"/>
        </w:rPr>
        <w:t>SS</w:t>
      </w:r>
      <w:r w:rsidRPr="00023B55">
        <w:rPr>
          <w:rFonts w:cs="Arial"/>
          <w:szCs w:val="20"/>
        </w:rPr>
        <w:softHyphen/>
        <w:t xml:space="preserve"> × kW</w:t>
      </w:r>
      <w:r w:rsidRPr="00023B55">
        <w:rPr>
          <w:rFonts w:cs="Arial"/>
          <w:szCs w:val="20"/>
          <w:vertAlign w:val="subscript"/>
        </w:rPr>
        <w:t>SS</w:t>
      </w:r>
      <w:r w:rsidRPr="00023B55">
        <w:rPr>
          <w:rFonts w:cs="Arial"/>
          <w:szCs w:val="20"/>
        </w:rPr>
        <w:t>)</w:t>
      </w:r>
    </w:p>
    <w:p w:rsidR="000862C5" w:rsidRDefault="000862C5" w:rsidP="000862C5">
      <w:pPr>
        <w:pStyle w:val="Equation"/>
        <w:rPr>
          <w:rFonts w:cs="Arial"/>
          <w:szCs w:val="20"/>
        </w:rPr>
      </w:pPr>
      <w:r>
        <w:rPr>
          <w:rFonts w:cs="Arial"/>
          <w:szCs w:val="20"/>
        </w:rPr>
        <w:t>kW</w:t>
      </w:r>
      <w:r w:rsidRPr="005A43B6">
        <w:rPr>
          <w:rFonts w:cs="Arial"/>
          <w:szCs w:val="20"/>
          <w:vertAlign w:val="subscript"/>
        </w:rPr>
        <w:t>VFD</w:t>
      </w:r>
      <w:r>
        <w:rPr>
          <w:rFonts w:cs="Arial"/>
          <w:szCs w:val="20"/>
        </w:rPr>
        <w:tab/>
      </w:r>
      <w:r>
        <w:rPr>
          <w:rFonts w:cs="Arial"/>
          <w:szCs w:val="20"/>
        </w:rPr>
        <w:tab/>
        <w:t>=</w:t>
      </w:r>
      <w:r w:rsidRPr="00023B55">
        <w:rPr>
          <w:rFonts w:cs="Arial"/>
          <w:szCs w:val="20"/>
        </w:rPr>
        <w:t xml:space="preserve"> (CF</w:t>
      </w:r>
      <w:r w:rsidRPr="00023B55">
        <w:rPr>
          <w:rFonts w:cs="Arial"/>
          <w:szCs w:val="20"/>
          <w:vertAlign w:val="subscript"/>
        </w:rPr>
        <w:t>VFD</w:t>
      </w:r>
      <w:r w:rsidRPr="00023B55">
        <w:rPr>
          <w:rFonts w:cs="Arial"/>
          <w:szCs w:val="20"/>
        </w:rPr>
        <w:t xml:space="preserve"> × kW</w:t>
      </w:r>
      <w:r w:rsidRPr="00023B55">
        <w:rPr>
          <w:rFonts w:cs="Arial"/>
          <w:szCs w:val="20"/>
          <w:vertAlign w:val="subscript"/>
        </w:rPr>
        <w:t>VFD</w:t>
      </w:r>
      <w:r w:rsidRPr="00023B55">
        <w:rPr>
          <w:rFonts w:cs="Arial"/>
          <w:szCs w:val="20"/>
        </w:rPr>
        <w:t>)</w:t>
      </w:r>
    </w:p>
    <w:p w:rsidR="000862C5" w:rsidRDefault="000862C5" w:rsidP="000862C5">
      <w:r w:rsidRPr="000A3BE3">
        <w:rPr>
          <w:rFonts w:cs="Arial"/>
        </w:rPr>
        <w:t>The peak coincident factor, CF, is defined as the average coincident factor during noon and 8 PM on summer weekdays. Ideally, the demand coincidence factor for the supplanted single-speed pump can be obtained from the pump’s time clock.</w:t>
      </w:r>
      <w:r>
        <w:rPr>
          <w:rFonts w:cs="Arial"/>
        </w:rPr>
        <w:t xml:space="preserve"> </w:t>
      </w:r>
      <w:r w:rsidRPr="000A3BE3">
        <w:rPr>
          <w:rFonts w:cs="Arial"/>
        </w:rPr>
        <w:t xml:space="preserve">The coincidence factor is equal to the number </w:t>
      </w:r>
      <w:r w:rsidRPr="000A3BE3">
        <w:rPr>
          <w:rFonts w:cs="Arial"/>
        </w:rPr>
        <w:lastRenderedPageBreak/>
        <w:t>of hours that the pump was set to run between noon and 8 PM, divided by 8.  If this information is not available, the recommended</w:t>
      </w:r>
      <w:r>
        <w:rPr>
          <w:rFonts w:cs="Arial"/>
        </w:rPr>
        <w:t xml:space="preserve"> daily</w:t>
      </w:r>
      <w:r w:rsidRPr="000A3BE3">
        <w:rPr>
          <w:rFonts w:cs="Arial"/>
        </w:rPr>
        <w:t xml:space="preserve"> hours of operation to use are </w:t>
      </w:r>
      <w:r>
        <w:rPr>
          <w:rFonts w:cs="Arial"/>
        </w:rPr>
        <w:t>5.18 and the</w:t>
      </w:r>
      <w:r w:rsidRPr="000A3BE3">
        <w:rPr>
          <w:rFonts w:cs="Arial"/>
        </w:rPr>
        <w:t xml:space="preserve"> demand coincidence factor is 0.</w:t>
      </w:r>
      <w:r>
        <w:rPr>
          <w:rFonts w:cs="Arial"/>
        </w:rPr>
        <w:t>27</w:t>
      </w:r>
      <w:r w:rsidRPr="000A3BE3">
        <w:rPr>
          <w:rFonts w:cs="Arial"/>
        </w:rPr>
        <w:t xml:space="preserve">. </w:t>
      </w:r>
      <w:r w:rsidRPr="000A3BE3">
        <w:rPr>
          <w:rFonts w:cs="Arial"/>
          <w:noProof/>
        </w:rPr>
        <w:t>These operation parameters are derived from</w:t>
      </w:r>
      <w:r>
        <w:rPr>
          <w:rFonts w:cs="Arial"/>
          <w:noProof/>
        </w:rPr>
        <w:t xml:space="preserve"> the 2011 Mid Atlantic TRM.</w:t>
      </w:r>
    </w:p>
    <w:p w:rsidR="000862C5" w:rsidRDefault="000862C5" w:rsidP="000862C5">
      <w:pPr>
        <w:pStyle w:val="Heading3"/>
      </w:pPr>
      <w:r w:rsidRPr="001C4AD5">
        <w:t xml:space="preserve">Definition of </w:t>
      </w:r>
      <w:r>
        <w:t>Terms</w:t>
      </w:r>
    </w:p>
    <w:p w:rsidR="000862C5" w:rsidRDefault="000862C5" w:rsidP="000862C5">
      <w:pPr>
        <w:tabs>
          <w:tab w:val="left" w:pos="720"/>
        </w:tabs>
        <w:spacing w:before="120"/>
        <w:jc w:val="both"/>
        <w:rPr>
          <w:rFonts w:cs="Arial"/>
        </w:rPr>
      </w:pPr>
      <w:r w:rsidRPr="000A3BE3">
        <w:rPr>
          <w:rFonts w:cs="Arial"/>
        </w:rPr>
        <w:t>The parameters in the above equation are listed below.</w:t>
      </w:r>
    </w:p>
    <w:p w:rsidR="000862C5" w:rsidRPr="00B36FC8" w:rsidRDefault="000862C5" w:rsidP="000862C5">
      <w:pPr>
        <w:pStyle w:val="Equation"/>
      </w:pPr>
      <w:r>
        <w:rPr>
          <w:b/>
        </w:rPr>
        <w:tab/>
      </w:r>
      <w:r w:rsidRPr="00B36FC8">
        <w:t>H</w:t>
      </w:r>
      <w:r w:rsidRPr="00B36FC8">
        <w:rPr>
          <w:vertAlign w:val="subscript"/>
        </w:rPr>
        <w:t>SS</w:t>
      </w:r>
      <w:r w:rsidRPr="00B36FC8">
        <w:rPr>
          <w:vertAlign w:val="subscript"/>
        </w:rPr>
        <w:tab/>
        <w:t xml:space="preserve"> </w:t>
      </w:r>
      <w:r w:rsidRPr="00B36FC8">
        <w:t xml:space="preserve">= Hours of operation per day for Single Speed Pump.  This quantity should be recorded by the applicant. </w:t>
      </w:r>
    </w:p>
    <w:p w:rsidR="000862C5" w:rsidRPr="00B36FC8" w:rsidRDefault="000862C5" w:rsidP="000862C5">
      <w:pPr>
        <w:pStyle w:val="Equation"/>
      </w:pPr>
      <w:r w:rsidRPr="00B36FC8">
        <w:tab/>
        <w:t>H</w:t>
      </w:r>
      <w:r w:rsidRPr="00B36FC8">
        <w:rPr>
          <w:vertAlign w:val="subscript"/>
        </w:rPr>
        <w:t>VFD</w:t>
      </w:r>
      <w:r w:rsidRPr="00B36FC8">
        <w:t xml:space="preserve"> </w:t>
      </w:r>
      <w:r w:rsidRPr="00B36FC8">
        <w:tab/>
        <w:t xml:space="preserve">= Hours of operation per day for Variable Frequency Drive Pump.  This quantity should be recorded by the applicant. </w:t>
      </w:r>
    </w:p>
    <w:p w:rsidR="000862C5" w:rsidRPr="00B36FC8" w:rsidRDefault="000862C5" w:rsidP="000862C5">
      <w:pPr>
        <w:pStyle w:val="Equation"/>
      </w:pPr>
      <w:r w:rsidRPr="00B36FC8">
        <w:t xml:space="preserve"> </w:t>
      </w:r>
      <w:r w:rsidRPr="00B36FC8">
        <w:tab/>
        <w:t xml:space="preserve">Days/yr </w:t>
      </w:r>
      <w:r w:rsidRPr="00B36FC8">
        <w:tab/>
        <w:t xml:space="preserve">= Pool pump days of operation per year.  </w:t>
      </w:r>
    </w:p>
    <w:p w:rsidR="000862C5" w:rsidRPr="00B36FC8" w:rsidRDefault="000862C5" w:rsidP="000862C5">
      <w:pPr>
        <w:pStyle w:val="Equation"/>
      </w:pPr>
      <w:r w:rsidRPr="00B36FC8">
        <w:tab/>
        <w:t>W</w:t>
      </w:r>
      <w:r w:rsidRPr="00B36FC8">
        <w:rPr>
          <w:vertAlign w:val="subscript"/>
        </w:rPr>
        <w:t>SS</w:t>
      </w:r>
      <w:r w:rsidRPr="00B36FC8">
        <w:t xml:space="preserve"> </w:t>
      </w:r>
      <w:r w:rsidRPr="00B36FC8">
        <w:tab/>
        <w:t>= Electric demand of single speed pump at a given flow rate. This quantity should be recorded by the applicant or looked up through the horsepower in Table 1-1.</w:t>
      </w:r>
    </w:p>
    <w:p w:rsidR="000862C5" w:rsidRPr="00B36FC8" w:rsidRDefault="000862C5" w:rsidP="000862C5">
      <w:pPr>
        <w:pStyle w:val="Equation"/>
      </w:pPr>
      <w:r w:rsidRPr="00B36FC8">
        <w:tab/>
        <w:t>W</w:t>
      </w:r>
      <w:r w:rsidRPr="00B36FC8">
        <w:rPr>
          <w:vertAlign w:val="subscript"/>
        </w:rPr>
        <w:t>VFD</w:t>
      </w:r>
      <w:r w:rsidRPr="00B36FC8">
        <w:t xml:space="preserve"> </w:t>
      </w:r>
      <w:r w:rsidRPr="00B36FC8">
        <w:tab/>
        <w:t>= Electric demand of variable frequency drive pump at a given flow rate.  This quantity should be measured and recorded by the applicant.</w:t>
      </w:r>
    </w:p>
    <w:p w:rsidR="000862C5" w:rsidRPr="00B36FC8" w:rsidRDefault="000862C5" w:rsidP="000862C5">
      <w:pPr>
        <w:pStyle w:val="Equation"/>
        <w:rPr>
          <w:vertAlign w:val="superscript"/>
        </w:rPr>
      </w:pPr>
      <w:r w:rsidRPr="00B36FC8">
        <w:tab/>
        <w:t>CF</w:t>
      </w:r>
      <w:r w:rsidRPr="00B36FC8">
        <w:rPr>
          <w:vertAlign w:val="subscript"/>
        </w:rPr>
        <w:t>SS</w:t>
      </w:r>
      <w:r w:rsidRPr="00B36FC8">
        <w:t xml:space="preserve"> </w:t>
      </w:r>
      <w:r w:rsidRPr="00B36FC8">
        <w:tab/>
        <w:t xml:space="preserve">= Peak coincident factor of single speed pump from noon to 8 PM in summer weekday. This quantity can be deduced from the pool pump timer settings for the old pump. </w:t>
      </w:r>
    </w:p>
    <w:p w:rsidR="000862C5" w:rsidRPr="00B36FC8" w:rsidRDefault="000862C5" w:rsidP="000862C5">
      <w:pPr>
        <w:pStyle w:val="Equation"/>
        <w:rPr>
          <w:szCs w:val="18"/>
        </w:rPr>
      </w:pPr>
      <w:r w:rsidRPr="00B36FC8">
        <w:tab/>
        <w:t>CF</w:t>
      </w:r>
      <w:r w:rsidRPr="00B36FC8">
        <w:rPr>
          <w:vertAlign w:val="subscript"/>
        </w:rPr>
        <w:t>VFD</w:t>
      </w:r>
      <w:r w:rsidRPr="00B36FC8">
        <w:rPr>
          <w:vertAlign w:val="subscript"/>
        </w:rPr>
        <w:tab/>
      </w:r>
      <w:r w:rsidRPr="00B36FC8">
        <w:t xml:space="preserve">= Peak coincident factor of VFD pump from noon to 8 PM in summer weekday. </w:t>
      </w:r>
      <w:r w:rsidRPr="00B36FC8">
        <w:rPr>
          <w:szCs w:val="18"/>
        </w:rPr>
        <w:t xml:space="preserve">This quantity should be inferred from the new timer settings.  </w:t>
      </w:r>
    </w:p>
    <w:p w:rsidR="000862C5" w:rsidRPr="00015BA5" w:rsidRDefault="000862C5" w:rsidP="000862C5">
      <w:pPr>
        <w:pStyle w:val="Caption"/>
        <w:rPr>
          <w:noProof/>
        </w:rPr>
      </w:pPr>
      <w:bookmarkStart w:id="500" w:name="_Ref297214190"/>
      <w:bookmarkStart w:id="501" w:name="_Toc310875551"/>
      <w:r w:rsidRPr="00015BA5">
        <w:rPr>
          <w:noProof/>
        </w:rPr>
        <w:t xml:space="preserve">Table </w:t>
      </w:r>
      <w:r w:rsidR="00DE12EC">
        <w:rPr>
          <w:noProof/>
        </w:rPr>
        <w:fldChar w:fldCharType="begin"/>
      </w:r>
      <w:r w:rsidR="00DE12EC">
        <w:rPr>
          <w:noProof/>
        </w:rPr>
        <w:instrText xml:space="preserve"> STYLEREF 1 \s </w:instrText>
      </w:r>
      <w:r w:rsidR="00DE12EC">
        <w:rPr>
          <w:noProof/>
        </w:rPr>
        <w:fldChar w:fldCharType="separate"/>
      </w:r>
      <w:r w:rsidR="00C0292F">
        <w:rPr>
          <w:noProof/>
        </w:rPr>
        <w:t>2</w:t>
      </w:r>
      <w:r w:rsidR="00DE12EC">
        <w:rPr>
          <w:noProof/>
        </w:rPr>
        <w:fldChar w:fldCharType="end"/>
      </w:r>
      <w:r w:rsidR="00DE12EC">
        <w:rPr>
          <w:noProof/>
        </w:rPr>
        <w:noBreakHyphen/>
      </w:r>
      <w:r w:rsidR="00DE12EC">
        <w:rPr>
          <w:noProof/>
        </w:rPr>
        <w:fldChar w:fldCharType="begin"/>
      </w:r>
      <w:r w:rsidR="00DE12EC">
        <w:rPr>
          <w:noProof/>
        </w:rPr>
        <w:instrText xml:space="preserve"> SEQ Table \* ARABIC \s 1 </w:instrText>
      </w:r>
      <w:r w:rsidR="00DE12EC">
        <w:rPr>
          <w:noProof/>
        </w:rPr>
        <w:fldChar w:fldCharType="separate"/>
      </w:r>
      <w:r w:rsidR="00C0292F">
        <w:rPr>
          <w:noProof/>
        </w:rPr>
        <w:t>65</w:t>
      </w:r>
      <w:r w:rsidR="00DE12EC">
        <w:rPr>
          <w:noProof/>
        </w:rPr>
        <w:fldChar w:fldCharType="end"/>
      </w:r>
      <w:r w:rsidRPr="00015BA5">
        <w:rPr>
          <w:noProof/>
        </w:rPr>
        <w:t>: Residential VFD Pool Pumps Calculations Assumptions</w:t>
      </w:r>
      <w:bookmarkEnd w:id="500"/>
      <w:bookmarkEnd w:id="50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9"/>
        <w:gridCol w:w="1619"/>
        <w:gridCol w:w="3241"/>
        <w:gridCol w:w="2267"/>
      </w:tblGrid>
      <w:tr w:rsidR="000862C5" w:rsidRPr="000A3BE3" w:rsidTr="00421531">
        <w:trPr>
          <w:trHeight w:val="374"/>
        </w:trPr>
        <w:tc>
          <w:tcPr>
            <w:tcW w:w="976" w:type="pct"/>
            <w:shd w:val="clear" w:color="auto" w:fill="BFBFBF"/>
          </w:tcPr>
          <w:p w:rsidR="000862C5" w:rsidRPr="00CB4DEB" w:rsidRDefault="000862C5" w:rsidP="00421531">
            <w:pPr>
              <w:tabs>
                <w:tab w:val="left" w:pos="720"/>
              </w:tabs>
              <w:spacing w:before="60" w:after="60"/>
              <w:rPr>
                <w:b/>
                <w:sz w:val="18"/>
                <w:szCs w:val="18"/>
              </w:rPr>
            </w:pPr>
            <w:r w:rsidRPr="00CB4DEB">
              <w:rPr>
                <w:b/>
                <w:sz w:val="18"/>
                <w:szCs w:val="18"/>
              </w:rPr>
              <w:t>Component</w:t>
            </w:r>
          </w:p>
        </w:tc>
        <w:tc>
          <w:tcPr>
            <w:tcW w:w="914" w:type="pct"/>
            <w:shd w:val="clear" w:color="auto" w:fill="BFBFBF"/>
          </w:tcPr>
          <w:p w:rsidR="000862C5" w:rsidRPr="00CB4DEB" w:rsidRDefault="000862C5" w:rsidP="00421531">
            <w:pPr>
              <w:tabs>
                <w:tab w:val="left" w:pos="720"/>
              </w:tabs>
              <w:spacing w:before="60" w:after="60"/>
              <w:rPr>
                <w:b/>
                <w:sz w:val="18"/>
                <w:szCs w:val="18"/>
              </w:rPr>
            </w:pPr>
            <w:r w:rsidRPr="00CB4DEB">
              <w:rPr>
                <w:b/>
                <w:sz w:val="18"/>
                <w:szCs w:val="18"/>
              </w:rPr>
              <w:t>Type</w:t>
            </w:r>
          </w:p>
        </w:tc>
        <w:tc>
          <w:tcPr>
            <w:tcW w:w="1830" w:type="pct"/>
            <w:shd w:val="clear" w:color="auto" w:fill="BFBFBF"/>
          </w:tcPr>
          <w:p w:rsidR="000862C5" w:rsidRPr="00CB4DEB" w:rsidRDefault="000862C5" w:rsidP="00421531">
            <w:pPr>
              <w:tabs>
                <w:tab w:val="left" w:pos="720"/>
              </w:tabs>
              <w:spacing w:before="60" w:after="60"/>
              <w:rPr>
                <w:b/>
                <w:sz w:val="18"/>
                <w:szCs w:val="18"/>
              </w:rPr>
            </w:pPr>
            <w:r w:rsidRPr="00CB4DEB">
              <w:rPr>
                <w:b/>
                <w:sz w:val="18"/>
                <w:szCs w:val="18"/>
              </w:rPr>
              <w:t>Values</w:t>
            </w:r>
          </w:p>
        </w:tc>
        <w:tc>
          <w:tcPr>
            <w:tcW w:w="1280" w:type="pct"/>
            <w:shd w:val="clear" w:color="auto" w:fill="BFBFBF"/>
          </w:tcPr>
          <w:p w:rsidR="000862C5" w:rsidRPr="00CB4DEB" w:rsidRDefault="000862C5" w:rsidP="00421531">
            <w:pPr>
              <w:tabs>
                <w:tab w:val="left" w:pos="720"/>
              </w:tabs>
              <w:spacing w:before="60" w:after="60"/>
              <w:rPr>
                <w:b/>
                <w:sz w:val="18"/>
                <w:szCs w:val="18"/>
              </w:rPr>
            </w:pPr>
            <w:r w:rsidRPr="00CB4DEB">
              <w:rPr>
                <w:b/>
                <w:sz w:val="18"/>
                <w:szCs w:val="18"/>
              </w:rPr>
              <w:t>Source</w:t>
            </w:r>
          </w:p>
        </w:tc>
      </w:tr>
      <w:tr w:rsidR="000862C5" w:rsidRPr="000A3BE3" w:rsidTr="00421531">
        <w:trPr>
          <w:trHeight w:val="374"/>
        </w:trPr>
        <w:tc>
          <w:tcPr>
            <w:tcW w:w="976" w:type="pct"/>
          </w:tcPr>
          <w:p w:rsidR="000862C5" w:rsidRPr="00CB4DEB" w:rsidRDefault="000862C5" w:rsidP="00421531">
            <w:pPr>
              <w:tabs>
                <w:tab w:val="left" w:pos="720"/>
              </w:tabs>
              <w:spacing w:before="60" w:after="60"/>
              <w:rPr>
                <w:sz w:val="18"/>
                <w:szCs w:val="18"/>
              </w:rPr>
            </w:pPr>
            <w:r w:rsidRPr="00CB4DEB">
              <w:rPr>
                <w:sz w:val="18"/>
                <w:szCs w:val="18"/>
              </w:rPr>
              <w:t>H</w:t>
            </w:r>
            <w:r w:rsidRPr="00CB4DEB">
              <w:rPr>
                <w:sz w:val="18"/>
                <w:szCs w:val="18"/>
                <w:vertAlign w:val="subscript"/>
              </w:rPr>
              <w:t>SS</w:t>
            </w:r>
            <w:r w:rsidRPr="00CB4DEB">
              <w:rPr>
                <w:sz w:val="18"/>
                <w:szCs w:val="18"/>
              </w:rPr>
              <w:t xml:space="preserve"> </w:t>
            </w:r>
          </w:p>
        </w:tc>
        <w:tc>
          <w:tcPr>
            <w:tcW w:w="914" w:type="pct"/>
          </w:tcPr>
          <w:p w:rsidR="000862C5" w:rsidRPr="00CB4DEB" w:rsidRDefault="000862C5" w:rsidP="00421531">
            <w:pPr>
              <w:tabs>
                <w:tab w:val="left" w:pos="720"/>
              </w:tabs>
              <w:spacing w:before="60" w:after="60"/>
              <w:rPr>
                <w:sz w:val="18"/>
                <w:szCs w:val="18"/>
              </w:rPr>
            </w:pPr>
            <w:r w:rsidRPr="00CB4DEB">
              <w:rPr>
                <w:sz w:val="18"/>
                <w:szCs w:val="18"/>
              </w:rPr>
              <w:t>Variable</w:t>
            </w:r>
          </w:p>
        </w:tc>
        <w:tc>
          <w:tcPr>
            <w:tcW w:w="1830" w:type="pct"/>
          </w:tcPr>
          <w:p w:rsidR="000862C5" w:rsidRPr="00CB4DEB" w:rsidRDefault="000862C5" w:rsidP="00421531">
            <w:pPr>
              <w:tabs>
                <w:tab w:val="left" w:pos="720"/>
              </w:tabs>
              <w:spacing w:before="60" w:after="60"/>
              <w:rPr>
                <w:sz w:val="18"/>
                <w:szCs w:val="18"/>
              </w:rPr>
            </w:pPr>
            <w:r w:rsidRPr="00CB4DEB">
              <w:rPr>
                <w:sz w:val="18"/>
                <w:szCs w:val="18"/>
              </w:rPr>
              <w:t>Default: 5.18</w:t>
            </w:r>
          </w:p>
        </w:tc>
        <w:tc>
          <w:tcPr>
            <w:tcW w:w="1280" w:type="pct"/>
          </w:tcPr>
          <w:p w:rsidR="000862C5" w:rsidRPr="00CB4DEB" w:rsidRDefault="000862C5" w:rsidP="00421531">
            <w:pPr>
              <w:tabs>
                <w:tab w:val="left" w:pos="720"/>
              </w:tabs>
              <w:spacing w:before="60" w:after="60"/>
              <w:rPr>
                <w:sz w:val="18"/>
                <w:szCs w:val="18"/>
              </w:rPr>
            </w:pPr>
            <w:r w:rsidRPr="00CB4DEB">
              <w:rPr>
                <w:sz w:val="18"/>
                <w:szCs w:val="18"/>
              </w:rPr>
              <w:t>2</w:t>
            </w:r>
          </w:p>
        </w:tc>
      </w:tr>
      <w:tr w:rsidR="000862C5" w:rsidRPr="000A3BE3" w:rsidTr="00421531">
        <w:trPr>
          <w:trHeight w:val="374"/>
        </w:trPr>
        <w:tc>
          <w:tcPr>
            <w:tcW w:w="976" w:type="pct"/>
          </w:tcPr>
          <w:p w:rsidR="000862C5" w:rsidRPr="00CB4DEB" w:rsidRDefault="000862C5" w:rsidP="00421531">
            <w:pPr>
              <w:tabs>
                <w:tab w:val="left" w:pos="720"/>
              </w:tabs>
              <w:spacing w:before="60" w:after="60"/>
              <w:rPr>
                <w:sz w:val="18"/>
                <w:szCs w:val="18"/>
              </w:rPr>
            </w:pPr>
            <w:r w:rsidRPr="00CB4DEB">
              <w:rPr>
                <w:sz w:val="18"/>
                <w:szCs w:val="18"/>
              </w:rPr>
              <w:t>H</w:t>
            </w:r>
            <w:r w:rsidRPr="00CB4DEB">
              <w:rPr>
                <w:sz w:val="18"/>
                <w:szCs w:val="18"/>
                <w:vertAlign w:val="subscript"/>
              </w:rPr>
              <w:t>VFD</w:t>
            </w:r>
            <w:r w:rsidRPr="00CB4DEB">
              <w:rPr>
                <w:sz w:val="18"/>
                <w:szCs w:val="18"/>
              </w:rPr>
              <w:t xml:space="preserve"> </w:t>
            </w:r>
          </w:p>
        </w:tc>
        <w:tc>
          <w:tcPr>
            <w:tcW w:w="914" w:type="pct"/>
          </w:tcPr>
          <w:p w:rsidR="000862C5" w:rsidRPr="00CB4DEB" w:rsidRDefault="000862C5" w:rsidP="00421531">
            <w:pPr>
              <w:tabs>
                <w:tab w:val="left" w:pos="720"/>
              </w:tabs>
              <w:spacing w:before="60" w:after="60"/>
              <w:rPr>
                <w:sz w:val="18"/>
                <w:szCs w:val="18"/>
              </w:rPr>
            </w:pPr>
            <w:r w:rsidRPr="00CB4DEB">
              <w:rPr>
                <w:sz w:val="18"/>
                <w:szCs w:val="18"/>
              </w:rPr>
              <w:t>Variable</w:t>
            </w:r>
          </w:p>
        </w:tc>
        <w:tc>
          <w:tcPr>
            <w:tcW w:w="1830" w:type="pct"/>
          </w:tcPr>
          <w:p w:rsidR="000862C5" w:rsidRPr="00CB4DEB" w:rsidRDefault="000862C5" w:rsidP="00421531">
            <w:pPr>
              <w:tabs>
                <w:tab w:val="left" w:pos="720"/>
              </w:tabs>
              <w:spacing w:before="60" w:after="60"/>
              <w:rPr>
                <w:sz w:val="18"/>
                <w:szCs w:val="18"/>
              </w:rPr>
            </w:pPr>
            <w:r w:rsidRPr="00CB4DEB">
              <w:rPr>
                <w:sz w:val="18"/>
                <w:szCs w:val="18"/>
              </w:rPr>
              <w:t>Default: 13.00</w:t>
            </w:r>
          </w:p>
        </w:tc>
        <w:tc>
          <w:tcPr>
            <w:tcW w:w="1280" w:type="pct"/>
          </w:tcPr>
          <w:p w:rsidR="000862C5" w:rsidRPr="00CB4DEB" w:rsidRDefault="000862C5" w:rsidP="00421531">
            <w:pPr>
              <w:tabs>
                <w:tab w:val="left" w:pos="720"/>
              </w:tabs>
              <w:spacing w:before="60" w:after="60"/>
              <w:rPr>
                <w:sz w:val="18"/>
                <w:szCs w:val="18"/>
              </w:rPr>
            </w:pPr>
            <w:r w:rsidRPr="00CB4DEB">
              <w:rPr>
                <w:sz w:val="18"/>
                <w:szCs w:val="18"/>
              </w:rPr>
              <w:t>2</w:t>
            </w:r>
          </w:p>
        </w:tc>
      </w:tr>
      <w:tr w:rsidR="000862C5" w:rsidRPr="000A3BE3" w:rsidTr="00421531">
        <w:trPr>
          <w:trHeight w:val="374"/>
        </w:trPr>
        <w:tc>
          <w:tcPr>
            <w:tcW w:w="976" w:type="pct"/>
          </w:tcPr>
          <w:p w:rsidR="000862C5" w:rsidRPr="00CB4DEB" w:rsidRDefault="000862C5" w:rsidP="00421531">
            <w:pPr>
              <w:tabs>
                <w:tab w:val="left" w:pos="720"/>
              </w:tabs>
              <w:spacing w:before="60" w:after="60"/>
              <w:rPr>
                <w:sz w:val="18"/>
                <w:szCs w:val="18"/>
              </w:rPr>
            </w:pPr>
            <w:r w:rsidRPr="00CB4DEB">
              <w:rPr>
                <w:sz w:val="18"/>
                <w:szCs w:val="18"/>
              </w:rPr>
              <w:t xml:space="preserve">Days/yr </w:t>
            </w:r>
          </w:p>
        </w:tc>
        <w:tc>
          <w:tcPr>
            <w:tcW w:w="914" w:type="pct"/>
          </w:tcPr>
          <w:p w:rsidR="000862C5" w:rsidRPr="00CB4DEB" w:rsidRDefault="000862C5" w:rsidP="00421531">
            <w:pPr>
              <w:tabs>
                <w:tab w:val="left" w:pos="720"/>
              </w:tabs>
              <w:spacing w:before="60" w:after="60"/>
              <w:rPr>
                <w:sz w:val="18"/>
                <w:szCs w:val="18"/>
              </w:rPr>
            </w:pPr>
            <w:r w:rsidRPr="00CB4DEB">
              <w:rPr>
                <w:sz w:val="18"/>
                <w:szCs w:val="18"/>
              </w:rPr>
              <w:t>Fixed</w:t>
            </w:r>
          </w:p>
        </w:tc>
        <w:tc>
          <w:tcPr>
            <w:tcW w:w="1830" w:type="pct"/>
          </w:tcPr>
          <w:p w:rsidR="000862C5" w:rsidRPr="00CB4DEB" w:rsidRDefault="000862C5" w:rsidP="00421531">
            <w:pPr>
              <w:tabs>
                <w:tab w:val="left" w:pos="720"/>
              </w:tabs>
              <w:spacing w:before="60" w:after="60"/>
              <w:rPr>
                <w:sz w:val="18"/>
                <w:szCs w:val="18"/>
              </w:rPr>
            </w:pPr>
            <w:r w:rsidRPr="00CB4DEB">
              <w:rPr>
                <w:sz w:val="18"/>
                <w:szCs w:val="18"/>
              </w:rPr>
              <w:t>Default: 100</w:t>
            </w:r>
          </w:p>
        </w:tc>
        <w:tc>
          <w:tcPr>
            <w:tcW w:w="1280" w:type="pct"/>
          </w:tcPr>
          <w:p w:rsidR="000862C5" w:rsidRPr="00CB4DEB" w:rsidRDefault="000862C5" w:rsidP="00421531">
            <w:pPr>
              <w:tabs>
                <w:tab w:val="left" w:pos="720"/>
              </w:tabs>
              <w:spacing w:before="60" w:after="60"/>
              <w:rPr>
                <w:sz w:val="18"/>
                <w:szCs w:val="18"/>
              </w:rPr>
            </w:pPr>
            <w:r w:rsidRPr="00CB4DEB">
              <w:rPr>
                <w:sz w:val="18"/>
                <w:szCs w:val="18"/>
              </w:rPr>
              <w:t>2</w:t>
            </w:r>
          </w:p>
        </w:tc>
      </w:tr>
      <w:tr w:rsidR="000862C5" w:rsidRPr="000A3BE3" w:rsidTr="00421531">
        <w:trPr>
          <w:trHeight w:val="374"/>
        </w:trPr>
        <w:tc>
          <w:tcPr>
            <w:tcW w:w="976" w:type="pct"/>
          </w:tcPr>
          <w:p w:rsidR="000862C5" w:rsidRPr="00CB4DEB" w:rsidRDefault="000862C5" w:rsidP="00421531">
            <w:pPr>
              <w:tabs>
                <w:tab w:val="left" w:pos="720"/>
              </w:tabs>
              <w:spacing w:before="60" w:after="60"/>
              <w:rPr>
                <w:sz w:val="18"/>
                <w:szCs w:val="18"/>
              </w:rPr>
            </w:pPr>
            <w:r w:rsidRPr="00CB4DEB">
              <w:rPr>
                <w:sz w:val="18"/>
                <w:szCs w:val="18"/>
              </w:rPr>
              <w:t>W</w:t>
            </w:r>
            <w:r w:rsidRPr="00CB4DEB">
              <w:rPr>
                <w:sz w:val="18"/>
                <w:szCs w:val="18"/>
                <w:vertAlign w:val="subscript"/>
              </w:rPr>
              <w:t>SS</w:t>
            </w:r>
            <w:r w:rsidRPr="00CB4DEB">
              <w:rPr>
                <w:sz w:val="18"/>
                <w:szCs w:val="18"/>
              </w:rPr>
              <w:t xml:space="preserve"> </w:t>
            </w:r>
          </w:p>
        </w:tc>
        <w:tc>
          <w:tcPr>
            <w:tcW w:w="914" w:type="pct"/>
          </w:tcPr>
          <w:p w:rsidR="000862C5" w:rsidRPr="00CB4DEB" w:rsidRDefault="000862C5" w:rsidP="00421531">
            <w:pPr>
              <w:tabs>
                <w:tab w:val="left" w:pos="720"/>
              </w:tabs>
              <w:spacing w:before="60" w:after="60"/>
              <w:rPr>
                <w:sz w:val="18"/>
                <w:szCs w:val="18"/>
              </w:rPr>
            </w:pPr>
            <w:r w:rsidRPr="00CB4DEB">
              <w:rPr>
                <w:sz w:val="18"/>
                <w:szCs w:val="18"/>
              </w:rPr>
              <w:t>Variable</w:t>
            </w:r>
          </w:p>
        </w:tc>
        <w:tc>
          <w:tcPr>
            <w:tcW w:w="1830" w:type="pct"/>
          </w:tcPr>
          <w:p w:rsidR="000862C5" w:rsidRPr="00CB4DEB" w:rsidRDefault="000862C5" w:rsidP="00421531">
            <w:pPr>
              <w:tabs>
                <w:tab w:val="left" w:pos="720"/>
              </w:tabs>
              <w:spacing w:before="60" w:after="60"/>
              <w:rPr>
                <w:sz w:val="18"/>
                <w:szCs w:val="18"/>
              </w:rPr>
            </w:pPr>
            <w:r w:rsidRPr="00CB4DEB">
              <w:rPr>
                <w:sz w:val="18"/>
                <w:szCs w:val="18"/>
              </w:rPr>
              <w:t>EDC Data Gathering</w:t>
            </w:r>
          </w:p>
          <w:p w:rsidR="000862C5" w:rsidRPr="00CB4DEB" w:rsidRDefault="000862C5" w:rsidP="00421531">
            <w:pPr>
              <w:tabs>
                <w:tab w:val="left" w:pos="720"/>
              </w:tabs>
              <w:spacing w:before="60" w:after="60"/>
              <w:rPr>
                <w:sz w:val="18"/>
                <w:szCs w:val="18"/>
              </w:rPr>
            </w:pPr>
            <w:r w:rsidRPr="00CB4DEB">
              <w:rPr>
                <w:sz w:val="18"/>
                <w:szCs w:val="18"/>
              </w:rPr>
              <w:t>Default: Se</w:t>
            </w:r>
            <w:r w:rsidRPr="00CB4DEB">
              <w:rPr>
                <w:rFonts w:cs="Arial"/>
                <w:sz w:val="18"/>
                <w:szCs w:val="18"/>
              </w:rPr>
              <w:t xml:space="preserve">e </w:t>
            </w:r>
            <w:r w:rsidR="00274AB1">
              <w:fldChar w:fldCharType="begin"/>
            </w:r>
            <w:r w:rsidR="00274AB1">
              <w:instrText xml:space="preserve"> REF _Ref303079173 \h  \* MERGEFORMAT </w:instrText>
            </w:r>
            <w:r w:rsidR="00274AB1">
              <w:fldChar w:fldCharType="separate"/>
            </w:r>
            <w:r w:rsidR="00C0292F" w:rsidRPr="00C0292F">
              <w:rPr>
                <w:rFonts w:cs="Arial"/>
                <w:noProof/>
                <w:sz w:val="18"/>
                <w:szCs w:val="18"/>
              </w:rPr>
              <w:t>Table 2</w:t>
            </w:r>
            <w:r w:rsidR="00C0292F" w:rsidRPr="00C0292F">
              <w:rPr>
                <w:rFonts w:cs="Arial"/>
                <w:noProof/>
                <w:sz w:val="18"/>
                <w:szCs w:val="18"/>
              </w:rPr>
              <w:noBreakHyphen/>
              <w:t>66</w:t>
            </w:r>
            <w:r w:rsidR="00274AB1">
              <w:fldChar w:fldCharType="end"/>
            </w:r>
          </w:p>
        </w:tc>
        <w:tc>
          <w:tcPr>
            <w:tcW w:w="1280" w:type="pct"/>
          </w:tcPr>
          <w:p w:rsidR="000862C5" w:rsidRPr="00CB4DEB" w:rsidRDefault="000862C5" w:rsidP="00DE76F6">
            <w:pPr>
              <w:tabs>
                <w:tab w:val="left" w:pos="720"/>
              </w:tabs>
              <w:spacing w:before="60" w:after="60"/>
              <w:rPr>
                <w:sz w:val="18"/>
                <w:szCs w:val="18"/>
              </w:rPr>
            </w:pPr>
            <w:r w:rsidRPr="00CB4DEB">
              <w:rPr>
                <w:rFonts w:cs="Arial"/>
                <w:sz w:val="18"/>
                <w:szCs w:val="18"/>
              </w:rPr>
              <w:t>1</w:t>
            </w:r>
            <w:r w:rsidR="00DE76F6">
              <w:rPr>
                <w:rFonts w:cs="Arial"/>
                <w:sz w:val="18"/>
                <w:szCs w:val="18"/>
              </w:rPr>
              <w:t xml:space="preserve"> and</w:t>
            </w:r>
            <w:r w:rsidRPr="00CB4DEB">
              <w:rPr>
                <w:rFonts w:cs="Arial"/>
                <w:sz w:val="18"/>
                <w:szCs w:val="18"/>
              </w:rPr>
              <w:t xml:space="preserve"> </w:t>
            </w:r>
            <w:r w:rsidR="00274AB1">
              <w:fldChar w:fldCharType="begin"/>
            </w:r>
            <w:r w:rsidR="00274AB1">
              <w:instrText xml:space="preserve"> REF _Ref303079173 \h  \* MERGEFORMAT </w:instrText>
            </w:r>
            <w:r w:rsidR="00274AB1">
              <w:fldChar w:fldCharType="separate"/>
            </w:r>
            <w:r w:rsidR="00C0292F" w:rsidRPr="00C0292F">
              <w:rPr>
                <w:rFonts w:cs="Arial"/>
                <w:noProof/>
                <w:sz w:val="18"/>
                <w:szCs w:val="18"/>
              </w:rPr>
              <w:t>Table 2</w:t>
            </w:r>
            <w:r w:rsidR="00C0292F" w:rsidRPr="00C0292F">
              <w:rPr>
                <w:rFonts w:cs="Arial"/>
                <w:noProof/>
                <w:sz w:val="18"/>
                <w:szCs w:val="18"/>
              </w:rPr>
              <w:noBreakHyphen/>
              <w:t>66</w:t>
            </w:r>
            <w:r w:rsidR="00274AB1">
              <w:fldChar w:fldCharType="end"/>
            </w:r>
          </w:p>
        </w:tc>
      </w:tr>
      <w:tr w:rsidR="000862C5" w:rsidRPr="000A3BE3" w:rsidTr="00421531">
        <w:trPr>
          <w:trHeight w:val="374"/>
        </w:trPr>
        <w:tc>
          <w:tcPr>
            <w:tcW w:w="976" w:type="pct"/>
          </w:tcPr>
          <w:p w:rsidR="000862C5" w:rsidRPr="00CB4DEB" w:rsidRDefault="000862C5" w:rsidP="00421531">
            <w:pPr>
              <w:tabs>
                <w:tab w:val="left" w:pos="720"/>
              </w:tabs>
              <w:spacing w:before="60" w:after="60"/>
              <w:rPr>
                <w:sz w:val="18"/>
                <w:szCs w:val="18"/>
              </w:rPr>
            </w:pPr>
            <w:r w:rsidRPr="00CB4DEB">
              <w:rPr>
                <w:sz w:val="18"/>
                <w:szCs w:val="18"/>
              </w:rPr>
              <w:t>W</w:t>
            </w:r>
            <w:r w:rsidRPr="00CB4DEB">
              <w:rPr>
                <w:sz w:val="18"/>
                <w:szCs w:val="18"/>
                <w:vertAlign w:val="subscript"/>
              </w:rPr>
              <w:t>VFD</w:t>
            </w:r>
          </w:p>
        </w:tc>
        <w:tc>
          <w:tcPr>
            <w:tcW w:w="914" w:type="pct"/>
          </w:tcPr>
          <w:p w:rsidR="000862C5" w:rsidRPr="00CB4DEB" w:rsidRDefault="000862C5" w:rsidP="00421531">
            <w:pPr>
              <w:tabs>
                <w:tab w:val="left" w:pos="720"/>
              </w:tabs>
              <w:spacing w:before="60" w:after="60"/>
              <w:rPr>
                <w:sz w:val="18"/>
                <w:szCs w:val="18"/>
              </w:rPr>
            </w:pPr>
            <w:r w:rsidRPr="00CB4DEB">
              <w:rPr>
                <w:sz w:val="18"/>
                <w:szCs w:val="18"/>
              </w:rPr>
              <w:t>Variable</w:t>
            </w:r>
          </w:p>
        </w:tc>
        <w:tc>
          <w:tcPr>
            <w:tcW w:w="1830" w:type="pct"/>
          </w:tcPr>
          <w:p w:rsidR="000862C5" w:rsidRPr="00CB4DEB" w:rsidRDefault="000862C5" w:rsidP="00421531">
            <w:pPr>
              <w:tabs>
                <w:tab w:val="left" w:pos="720"/>
              </w:tabs>
              <w:spacing w:before="60" w:after="60"/>
              <w:rPr>
                <w:sz w:val="18"/>
                <w:szCs w:val="18"/>
              </w:rPr>
            </w:pPr>
            <w:r w:rsidRPr="00CB4DEB">
              <w:rPr>
                <w:sz w:val="18"/>
                <w:szCs w:val="18"/>
              </w:rPr>
              <w:t>EDC Data Gathering</w:t>
            </w:r>
          </w:p>
        </w:tc>
        <w:tc>
          <w:tcPr>
            <w:tcW w:w="1280" w:type="pct"/>
          </w:tcPr>
          <w:p w:rsidR="000862C5" w:rsidRPr="00CB4DEB" w:rsidRDefault="000862C5" w:rsidP="00421531">
            <w:pPr>
              <w:tabs>
                <w:tab w:val="left" w:pos="720"/>
              </w:tabs>
              <w:spacing w:before="60" w:after="60"/>
              <w:rPr>
                <w:sz w:val="18"/>
                <w:szCs w:val="18"/>
              </w:rPr>
            </w:pPr>
            <w:r w:rsidRPr="00CB4DEB">
              <w:rPr>
                <w:sz w:val="18"/>
                <w:szCs w:val="18"/>
              </w:rPr>
              <w:t>EDC Data Gathering</w:t>
            </w:r>
          </w:p>
        </w:tc>
      </w:tr>
      <w:tr w:rsidR="000862C5" w:rsidRPr="000A3BE3" w:rsidTr="00421531">
        <w:trPr>
          <w:trHeight w:val="374"/>
        </w:trPr>
        <w:tc>
          <w:tcPr>
            <w:tcW w:w="976" w:type="pct"/>
          </w:tcPr>
          <w:p w:rsidR="000862C5" w:rsidRPr="00CB4DEB" w:rsidRDefault="000862C5" w:rsidP="00421531">
            <w:pPr>
              <w:tabs>
                <w:tab w:val="left" w:pos="720"/>
              </w:tabs>
              <w:spacing w:before="60" w:after="60"/>
              <w:rPr>
                <w:sz w:val="18"/>
                <w:szCs w:val="18"/>
              </w:rPr>
            </w:pPr>
            <w:r w:rsidRPr="00CB4DEB">
              <w:rPr>
                <w:sz w:val="18"/>
                <w:szCs w:val="18"/>
              </w:rPr>
              <w:t>CF</w:t>
            </w:r>
            <w:r w:rsidRPr="00CB4DEB">
              <w:rPr>
                <w:sz w:val="18"/>
                <w:szCs w:val="18"/>
                <w:vertAlign w:val="subscript"/>
              </w:rPr>
              <w:t>SS</w:t>
            </w:r>
            <w:r w:rsidRPr="00CB4DEB">
              <w:rPr>
                <w:sz w:val="18"/>
                <w:szCs w:val="18"/>
              </w:rPr>
              <w:t xml:space="preserve"> </w:t>
            </w:r>
          </w:p>
        </w:tc>
        <w:tc>
          <w:tcPr>
            <w:tcW w:w="914" w:type="pct"/>
          </w:tcPr>
          <w:p w:rsidR="000862C5" w:rsidRPr="00CB4DEB" w:rsidRDefault="000862C5" w:rsidP="00421531">
            <w:pPr>
              <w:tabs>
                <w:tab w:val="left" w:pos="720"/>
              </w:tabs>
              <w:spacing w:before="60" w:after="60"/>
              <w:rPr>
                <w:sz w:val="18"/>
                <w:szCs w:val="18"/>
              </w:rPr>
            </w:pPr>
            <w:r w:rsidRPr="00CB4DEB">
              <w:rPr>
                <w:sz w:val="18"/>
                <w:szCs w:val="18"/>
              </w:rPr>
              <w:t>Variable</w:t>
            </w:r>
          </w:p>
        </w:tc>
        <w:tc>
          <w:tcPr>
            <w:tcW w:w="1830" w:type="pct"/>
          </w:tcPr>
          <w:p w:rsidR="000862C5" w:rsidRPr="00CB4DEB" w:rsidRDefault="000862C5" w:rsidP="00421531">
            <w:pPr>
              <w:tabs>
                <w:tab w:val="left" w:pos="720"/>
              </w:tabs>
              <w:spacing w:before="60" w:after="60"/>
              <w:rPr>
                <w:sz w:val="18"/>
                <w:szCs w:val="18"/>
              </w:rPr>
            </w:pPr>
            <w:r w:rsidRPr="00CB4DEB">
              <w:rPr>
                <w:sz w:val="18"/>
                <w:szCs w:val="18"/>
              </w:rPr>
              <w:t>Default: 0.2</w:t>
            </w:r>
            <w:r w:rsidR="003416E0">
              <w:rPr>
                <w:sz w:val="18"/>
                <w:szCs w:val="18"/>
              </w:rPr>
              <w:t>35</w:t>
            </w:r>
          </w:p>
        </w:tc>
        <w:tc>
          <w:tcPr>
            <w:tcW w:w="1280" w:type="pct"/>
          </w:tcPr>
          <w:p w:rsidR="000862C5" w:rsidRPr="00CB4DEB" w:rsidRDefault="00BA29AE" w:rsidP="00421531">
            <w:pPr>
              <w:tabs>
                <w:tab w:val="left" w:pos="720"/>
              </w:tabs>
              <w:spacing w:before="60" w:after="60"/>
              <w:rPr>
                <w:sz w:val="18"/>
                <w:szCs w:val="18"/>
              </w:rPr>
            </w:pPr>
            <w:r>
              <w:rPr>
                <w:sz w:val="18"/>
                <w:szCs w:val="18"/>
              </w:rPr>
              <w:t>3</w:t>
            </w:r>
          </w:p>
        </w:tc>
      </w:tr>
      <w:tr w:rsidR="000862C5" w:rsidRPr="000A3BE3" w:rsidTr="00421531">
        <w:trPr>
          <w:trHeight w:val="374"/>
        </w:trPr>
        <w:tc>
          <w:tcPr>
            <w:tcW w:w="976" w:type="pct"/>
          </w:tcPr>
          <w:p w:rsidR="000862C5" w:rsidRPr="00CB4DEB" w:rsidRDefault="000862C5" w:rsidP="00421531">
            <w:pPr>
              <w:tabs>
                <w:tab w:val="left" w:pos="720"/>
              </w:tabs>
              <w:spacing w:before="60" w:after="60"/>
              <w:rPr>
                <w:sz w:val="18"/>
                <w:szCs w:val="18"/>
              </w:rPr>
            </w:pPr>
            <w:r w:rsidRPr="00CB4DEB">
              <w:rPr>
                <w:sz w:val="18"/>
                <w:szCs w:val="18"/>
              </w:rPr>
              <w:t>CF</w:t>
            </w:r>
            <w:r w:rsidRPr="00CB4DEB">
              <w:rPr>
                <w:sz w:val="18"/>
                <w:szCs w:val="18"/>
                <w:vertAlign w:val="subscript"/>
              </w:rPr>
              <w:t>VFD</w:t>
            </w:r>
            <w:r w:rsidRPr="00CB4DEB">
              <w:rPr>
                <w:sz w:val="18"/>
                <w:szCs w:val="18"/>
              </w:rPr>
              <w:t xml:space="preserve"> </w:t>
            </w:r>
          </w:p>
        </w:tc>
        <w:tc>
          <w:tcPr>
            <w:tcW w:w="914" w:type="pct"/>
          </w:tcPr>
          <w:p w:rsidR="000862C5" w:rsidRPr="00CB4DEB" w:rsidRDefault="000862C5" w:rsidP="00421531">
            <w:pPr>
              <w:tabs>
                <w:tab w:val="left" w:pos="720"/>
              </w:tabs>
              <w:spacing w:before="60" w:after="60"/>
              <w:rPr>
                <w:sz w:val="18"/>
                <w:szCs w:val="18"/>
              </w:rPr>
            </w:pPr>
            <w:r w:rsidRPr="00CB4DEB">
              <w:rPr>
                <w:sz w:val="18"/>
                <w:szCs w:val="18"/>
              </w:rPr>
              <w:t>Fixed</w:t>
            </w:r>
          </w:p>
        </w:tc>
        <w:tc>
          <w:tcPr>
            <w:tcW w:w="1830" w:type="pct"/>
          </w:tcPr>
          <w:p w:rsidR="000862C5" w:rsidRPr="00CB4DEB" w:rsidRDefault="000862C5" w:rsidP="00421531">
            <w:pPr>
              <w:tabs>
                <w:tab w:val="left" w:pos="720"/>
              </w:tabs>
              <w:spacing w:before="60" w:after="60"/>
              <w:rPr>
                <w:sz w:val="18"/>
                <w:szCs w:val="18"/>
              </w:rPr>
            </w:pPr>
            <w:r w:rsidRPr="00CB4DEB">
              <w:rPr>
                <w:sz w:val="18"/>
                <w:szCs w:val="18"/>
              </w:rPr>
              <w:t>0</w:t>
            </w:r>
          </w:p>
        </w:tc>
        <w:tc>
          <w:tcPr>
            <w:tcW w:w="1280" w:type="pct"/>
          </w:tcPr>
          <w:p w:rsidR="000862C5" w:rsidRPr="00CB4DEB" w:rsidRDefault="000862C5" w:rsidP="00421531">
            <w:pPr>
              <w:tabs>
                <w:tab w:val="left" w:pos="720"/>
              </w:tabs>
              <w:spacing w:before="60" w:after="60"/>
              <w:rPr>
                <w:sz w:val="18"/>
                <w:szCs w:val="18"/>
              </w:rPr>
            </w:pPr>
            <w:r w:rsidRPr="00CB4DEB">
              <w:rPr>
                <w:sz w:val="18"/>
                <w:szCs w:val="18"/>
              </w:rPr>
              <w:t>Program Design</w:t>
            </w:r>
          </w:p>
        </w:tc>
      </w:tr>
    </w:tbl>
    <w:p w:rsidR="000862C5" w:rsidRDefault="000862C5" w:rsidP="000862C5">
      <w:pPr>
        <w:tabs>
          <w:tab w:val="left" w:pos="720"/>
        </w:tabs>
        <w:spacing w:before="60" w:after="60"/>
        <w:jc w:val="both"/>
        <w:rPr>
          <w:sz w:val="18"/>
        </w:rPr>
      </w:pPr>
    </w:p>
    <w:p w:rsidR="000862C5" w:rsidRPr="000C1A74" w:rsidRDefault="000862C5" w:rsidP="000862C5">
      <w:pPr>
        <w:keepNext/>
        <w:rPr>
          <w:b/>
        </w:rPr>
      </w:pPr>
      <w:r w:rsidRPr="001D7420">
        <w:rPr>
          <w:b/>
        </w:rPr>
        <w:lastRenderedPageBreak/>
        <w:t>Sources:</w:t>
      </w:r>
    </w:p>
    <w:p w:rsidR="000862C5" w:rsidRDefault="000862C5" w:rsidP="0005632A">
      <w:pPr>
        <w:pStyle w:val="source1"/>
        <w:numPr>
          <w:ilvl w:val="0"/>
          <w:numId w:val="113"/>
        </w:numPr>
      </w:pPr>
      <w:r w:rsidRPr="00BA1212">
        <w:t>“</w:t>
      </w:r>
      <w:smartTag w:uri="urn:schemas-microsoft-com:office:smarttags" w:element="stockticker">
        <w:r w:rsidRPr="00BA1212">
          <w:t>CEC</w:t>
        </w:r>
      </w:smartTag>
      <w:r w:rsidRPr="00BA1212">
        <w:t xml:space="preserve"> Appliances Database – Pool Pumps.”  </w:t>
      </w:r>
      <w:r w:rsidRPr="000862C5">
        <w:rPr>
          <w:i/>
        </w:rPr>
        <w:t>California Energy Commission.</w:t>
      </w:r>
      <w:r w:rsidRPr="00BA1212">
        <w:t xml:space="preserve">  Updated Feb 2008.  Accessed March 2008.  </w:t>
      </w:r>
      <w:hyperlink r:id="rId35" w:history="1">
        <w:r w:rsidRPr="000035FC">
          <w:rPr>
            <w:rStyle w:val="Hyperlink"/>
          </w:rPr>
          <w:t xml:space="preserve"> http://www.energy.ca.gov/appliances/database/historical_excel_files/2009-03-01_excel_based_files/Pool_Products/Pool_Pumps.zip</w:t>
        </w:r>
      </w:hyperlink>
    </w:p>
    <w:p w:rsidR="000862C5" w:rsidRDefault="000862C5" w:rsidP="000862C5">
      <w:pPr>
        <w:pStyle w:val="source1"/>
      </w:pPr>
      <w:r>
        <w:t>Mid-Atlantic TRM, version 2.0.  Prepared by Vermont Energy Investment Corporation. Facilitated and managed by the Northeast Energy Efficiency Partnerships. July 2011.</w:t>
      </w:r>
    </w:p>
    <w:p w:rsidR="00BA29AE" w:rsidRDefault="00BA29AE" w:rsidP="000862C5">
      <w:pPr>
        <w:pStyle w:val="source1"/>
      </w:pPr>
      <w:r w:rsidRPr="00EF05A1">
        <w:t>Derived from Pool Pump and Demand Response Potential, DR 07.01 Report, SCE Design and Engineering, Table 16</w:t>
      </w:r>
      <w:r>
        <w:t>. Statewide value calculated using the non-weather dependent coincident peak demand calculator with inland valley data.</w:t>
      </w:r>
    </w:p>
    <w:p w:rsidR="000862C5" w:rsidRPr="000A3BE3" w:rsidRDefault="000862C5" w:rsidP="000862C5">
      <w:pPr>
        <w:pStyle w:val="Heading4"/>
      </w:pPr>
      <w:r w:rsidRPr="000A3BE3">
        <w:t>Average Single Speed Pump Electric Demand</w:t>
      </w:r>
    </w:p>
    <w:p w:rsidR="000862C5" w:rsidRPr="000A3BE3" w:rsidRDefault="000862C5" w:rsidP="000862C5">
      <w:pPr>
        <w:tabs>
          <w:tab w:val="left" w:pos="720"/>
        </w:tabs>
        <w:spacing w:before="120"/>
        <w:jc w:val="both"/>
        <w:rPr>
          <w:rFonts w:cs="Arial"/>
        </w:rPr>
      </w:pPr>
      <w:r w:rsidRPr="001C6EE1">
        <w:rPr>
          <w:szCs w:val="22"/>
        </w:rPr>
        <w:t>Since this measure involves functional pool pumps, actual measurements of pump demand are encouraged.</w:t>
      </w:r>
      <w:r>
        <w:rPr>
          <w:szCs w:val="22"/>
        </w:rPr>
        <w:t xml:space="preserve">  </w:t>
      </w:r>
      <w:r w:rsidRPr="001C6EE1">
        <w:rPr>
          <w:szCs w:val="22"/>
        </w:rPr>
        <w:t>If this is not possible, then the pool pump power can be inferred from the nameplate horsepower.</w:t>
      </w:r>
      <w:r>
        <w:rPr>
          <w:szCs w:val="22"/>
        </w:rPr>
        <w:t xml:space="preserve"> </w:t>
      </w:r>
      <w:r w:rsidR="00274AB1">
        <w:fldChar w:fldCharType="begin"/>
      </w:r>
      <w:r w:rsidR="00274AB1">
        <w:instrText xml:space="preserve"> REF _Ref303079173 \h  \* MERGEFORMAT </w:instrText>
      </w:r>
      <w:r w:rsidR="00274AB1">
        <w:fldChar w:fldCharType="separate"/>
      </w:r>
      <w:r w:rsidR="00C0292F" w:rsidRPr="00C0292F">
        <w:rPr>
          <w:rFonts w:cs="Arial"/>
          <w:noProof/>
        </w:rPr>
        <w:t>Table 2</w:t>
      </w:r>
      <w:r w:rsidR="00C0292F" w:rsidRPr="00C0292F">
        <w:rPr>
          <w:rFonts w:cs="Arial"/>
          <w:noProof/>
        </w:rPr>
        <w:noBreakHyphen/>
        <w:t>66</w:t>
      </w:r>
      <w:r w:rsidR="00274AB1">
        <w:fldChar w:fldCharType="end"/>
      </w:r>
      <w:r w:rsidRPr="00CB4DEB">
        <w:rPr>
          <w:rFonts w:cs="Arial"/>
          <w:szCs w:val="22"/>
        </w:rPr>
        <w:t xml:space="preserve"> shows</w:t>
      </w:r>
      <w:r w:rsidRPr="001C6EE1">
        <w:rPr>
          <w:szCs w:val="22"/>
        </w:rPr>
        <w:t xml:space="preserve"> the average </w:t>
      </w:r>
      <w:r>
        <w:rPr>
          <w:szCs w:val="22"/>
        </w:rPr>
        <w:t xml:space="preserve">service factor (over-sizing factor), motor efficiency, and </w:t>
      </w:r>
      <w:r w:rsidRPr="001C6EE1">
        <w:rPr>
          <w:szCs w:val="22"/>
        </w:rPr>
        <w:t>electrical power demand per pump size based on California Energy Commission (CEC) appliance database for single speed pool pump</w:t>
      </w:r>
      <w:r>
        <w:rPr>
          <w:rStyle w:val="FootnoteReference"/>
          <w:szCs w:val="22"/>
        </w:rPr>
        <w:footnoteReference w:id="126"/>
      </w:r>
      <w:r w:rsidRPr="001C6EE1">
        <w:rPr>
          <w:szCs w:val="22"/>
        </w:rPr>
        <w:t>. Note that the power to horsepower ratios appear high because many pumps, in particular those under 2 H</w:t>
      </w:r>
      <w:r>
        <w:rPr>
          <w:szCs w:val="22"/>
        </w:rPr>
        <w:t xml:space="preserve">P, have high ‘service factors’. </w:t>
      </w:r>
      <w:r w:rsidRPr="001C6EE1">
        <w:rPr>
          <w:szCs w:val="22"/>
        </w:rPr>
        <w:t>The true motor capacity is the product of the nameplate horse</w:t>
      </w:r>
      <w:r>
        <w:rPr>
          <w:szCs w:val="22"/>
        </w:rPr>
        <w:t>power and the service factor</w:t>
      </w:r>
      <w:r w:rsidRPr="000A3BE3">
        <w:rPr>
          <w:rFonts w:cs="Arial"/>
        </w:rPr>
        <w:t>.</w:t>
      </w:r>
    </w:p>
    <w:p w:rsidR="000862C5" w:rsidRDefault="000862C5" w:rsidP="000862C5">
      <w:pPr>
        <w:pStyle w:val="Caption"/>
        <w:rPr>
          <w:noProof/>
        </w:rPr>
      </w:pPr>
      <w:bookmarkStart w:id="502" w:name="_Ref303079173"/>
      <w:bookmarkStart w:id="503" w:name="_Toc310875552"/>
      <w:r w:rsidRPr="00015BA5">
        <w:rPr>
          <w:noProof/>
        </w:rPr>
        <w:t xml:space="preserve">Table </w:t>
      </w:r>
      <w:r w:rsidR="00DE12EC">
        <w:rPr>
          <w:noProof/>
        </w:rPr>
        <w:fldChar w:fldCharType="begin"/>
      </w:r>
      <w:r w:rsidR="00DE12EC">
        <w:rPr>
          <w:noProof/>
        </w:rPr>
        <w:instrText xml:space="preserve"> STYLEREF 1 \s </w:instrText>
      </w:r>
      <w:r w:rsidR="00DE12EC">
        <w:rPr>
          <w:noProof/>
        </w:rPr>
        <w:fldChar w:fldCharType="separate"/>
      </w:r>
      <w:r w:rsidR="00C0292F">
        <w:rPr>
          <w:noProof/>
        </w:rPr>
        <w:t>2</w:t>
      </w:r>
      <w:r w:rsidR="00DE12EC">
        <w:rPr>
          <w:noProof/>
        </w:rPr>
        <w:fldChar w:fldCharType="end"/>
      </w:r>
      <w:r w:rsidR="00DE12EC">
        <w:rPr>
          <w:noProof/>
        </w:rPr>
        <w:noBreakHyphen/>
      </w:r>
      <w:r w:rsidR="00DE12EC">
        <w:rPr>
          <w:noProof/>
        </w:rPr>
        <w:fldChar w:fldCharType="begin"/>
      </w:r>
      <w:r w:rsidR="00DE12EC">
        <w:rPr>
          <w:noProof/>
        </w:rPr>
        <w:instrText xml:space="preserve"> SEQ Table \* ARABIC \s 1 </w:instrText>
      </w:r>
      <w:r w:rsidR="00DE12EC">
        <w:rPr>
          <w:noProof/>
        </w:rPr>
        <w:fldChar w:fldCharType="separate"/>
      </w:r>
      <w:r w:rsidR="00C0292F">
        <w:rPr>
          <w:noProof/>
        </w:rPr>
        <w:t>66</w:t>
      </w:r>
      <w:r w:rsidR="00DE12EC">
        <w:rPr>
          <w:noProof/>
        </w:rPr>
        <w:fldChar w:fldCharType="end"/>
      </w:r>
      <w:bookmarkEnd w:id="502"/>
      <w:r w:rsidRPr="00015BA5">
        <w:rPr>
          <w:noProof/>
        </w:rPr>
        <w:t xml:space="preserve">: </w:t>
      </w:r>
      <w:r w:rsidRPr="00D917D7">
        <w:rPr>
          <w:noProof/>
        </w:rPr>
        <w:t>Single Speed Pool Pump Specification</w:t>
      </w:r>
      <w:r>
        <w:rPr>
          <w:rStyle w:val="FootnoteReference"/>
          <w:noProof/>
        </w:rPr>
        <w:footnoteReference w:id="127"/>
      </w:r>
      <w:bookmarkEnd w:id="50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435"/>
        <w:gridCol w:w="2218"/>
        <w:gridCol w:w="2218"/>
      </w:tblGrid>
      <w:tr w:rsidR="000862C5" w:rsidRPr="001C6EE1" w:rsidTr="00421531">
        <w:trPr>
          <w:trHeight w:val="374"/>
          <w:jc w:val="center"/>
        </w:trPr>
        <w:tc>
          <w:tcPr>
            <w:tcW w:w="1985" w:type="dxa"/>
            <w:shd w:val="clear" w:color="auto" w:fill="BFBFBF"/>
          </w:tcPr>
          <w:p w:rsidR="000862C5" w:rsidRPr="001D6512" w:rsidRDefault="000862C5" w:rsidP="00421531">
            <w:pPr>
              <w:pStyle w:val="TableCell"/>
              <w:spacing w:before="60" w:after="60"/>
              <w:rPr>
                <w:b/>
              </w:rPr>
            </w:pPr>
            <w:r w:rsidRPr="001D6512">
              <w:rPr>
                <w:rFonts w:cs="Arial"/>
                <w:b/>
                <w:bCs/>
                <w:szCs w:val="18"/>
              </w:rPr>
              <w:t>Pump Horse Power (HP)</w:t>
            </w:r>
          </w:p>
        </w:tc>
        <w:tc>
          <w:tcPr>
            <w:tcW w:w="2435" w:type="dxa"/>
            <w:shd w:val="clear" w:color="auto" w:fill="BFBFBF"/>
          </w:tcPr>
          <w:p w:rsidR="000862C5" w:rsidRPr="001D6512" w:rsidRDefault="000862C5" w:rsidP="00421531">
            <w:pPr>
              <w:pStyle w:val="TableCell"/>
              <w:spacing w:before="60" w:after="60"/>
              <w:rPr>
                <w:b/>
              </w:rPr>
            </w:pPr>
            <w:r w:rsidRPr="001D6512">
              <w:rPr>
                <w:rFonts w:cs="Arial"/>
                <w:b/>
                <w:bCs/>
                <w:szCs w:val="18"/>
              </w:rPr>
              <w:t>Average Pump Service Factor</w:t>
            </w:r>
          </w:p>
        </w:tc>
        <w:tc>
          <w:tcPr>
            <w:tcW w:w="2218" w:type="dxa"/>
            <w:shd w:val="clear" w:color="auto" w:fill="BFBFBF"/>
          </w:tcPr>
          <w:p w:rsidR="000862C5" w:rsidRPr="001D6512" w:rsidRDefault="000862C5" w:rsidP="00421531">
            <w:pPr>
              <w:pStyle w:val="TableCell"/>
              <w:spacing w:before="60" w:after="60"/>
              <w:rPr>
                <w:b/>
              </w:rPr>
            </w:pPr>
            <w:r w:rsidRPr="001D6512">
              <w:rPr>
                <w:rFonts w:cs="Arial"/>
                <w:b/>
                <w:bCs/>
                <w:szCs w:val="18"/>
              </w:rPr>
              <w:t>Average Pump Motor Efficiency</w:t>
            </w:r>
          </w:p>
        </w:tc>
        <w:tc>
          <w:tcPr>
            <w:tcW w:w="2218" w:type="dxa"/>
            <w:shd w:val="clear" w:color="auto" w:fill="BFBFBF"/>
          </w:tcPr>
          <w:p w:rsidR="000862C5" w:rsidRPr="001D6512" w:rsidRDefault="000862C5" w:rsidP="00421531">
            <w:pPr>
              <w:pStyle w:val="TableCell"/>
              <w:spacing w:before="60" w:after="60"/>
              <w:rPr>
                <w:b/>
              </w:rPr>
            </w:pPr>
            <w:r w:rsidRPr="001D6512">
              <w:rPr>
                <w:rFonts w:cs="Arial"/>
                <w:b/>
                <w:bCs/>
                <w:szCs w:val="18"/>
              </w:rPr>
              <w:t>Average Pump Power (W)</w:t>
            </w:r>
          </w:p>
        </w:tc>
      </w:tr>
      <w:tr w:rsidR="000862C5" w:rsidRPr="001C6EE1" w:rsidTr="00421531">
        <w:trPr>
          <w:trHeight w:val="374"/>
          <w:jc w:val="center"/>
        </w:trPr>
        <w:tc>
          <w:tcPr>
            <w:tcW w:w="1985" w:type="dxa"/>
            <w:vAlign w:val="center"/>
          </w:tcPr>
          <w:p w:rsidR="000862C5" w:rsidRPr="001D6512" w:rsidRDefault="000862C5" w:rsidP="00421531">
            <w:pPr>
              <w:pStyle w:val="TableCell"/>
              <w:spacing w:before="60" w:after="60"/>
              <w:jc w:val="right"/>
            </w:pPr>
            <w:r w:rsidRPr="001D6512">
              <w:rPr>
                <w:rFonts w:cs="Arial"/>
                <w:szCs w:val="18"/>
              </w:rPr>
              <w:t>0.5</w:t>
            </w:r>
            <w:r w:rsidR="00421531" w:rsidRPr="001D6512">
              <w:rPr>
                <w:rFonts w:cs="Arial"/>
                <w:szCs w:val="18"/>
              </w:rPr>
              <w:t>0</w:t>
            </w:r>
          </w:p>
        </w:tc>
        <w:tc>
          <w:tcPr>
            <w:tcW w:w="2435" w:type="dxa"/>
            <w:vAlign w:val="center"/>
          </w:tcPr>
          <w:p w:rsidR="000862C5" w:rsidRPr="001D6512" w:rsidRDefault="000862C5" w:rsidP="00421531">
            <w:pPr>
              <w:pStyle w:val="TableCell"/>
              <w:spacing w:before="60" w:after="60"/>
              <w:jc w:val="right"/>
            </w:pPr>
            <w:r w:rsidRPr="001D6512">
              <w:rPr>
                <w:rFonts w:cs="Arial"/>
                <w:szCs w:val="18"/>
              </w:rPr>
              <w:t>1.62</w:t>
            </w:r>
          </w:p>
        </w:tc>
        <w:tc>
          <w:tcPr>
            <w:tcW w:w="2218" w:type="dxa"/>
            <w:vAlign w:val="center"/>
          </w:tcPr>
          <w:p w:rsidR="000862C5" w:rsidRPr="001D6512" w:rsidRDefault="000862C5" w:rsidP="00421531">
            <w:pPr>
              <w:pStyle w:val="TableCell"/>
              <w:spacing w:before="60" w:after="60"/>
              <w:jc w:val="right"/>
            </w:pPr>
            <w:r w:rsidRPr="001D6512">
              <w:rPr>
                <w:rFonts w:cs="Arial"/>
                <w:szCs w:val="18"/>
              </w:rPr>
              <w:t>0.66</w:t>
            </w:r>
          </w:p>
        </w:tc>
        <w:tc>
          <w:tcPr>
            <w:tcW w:w="2218" w:type="dxa"/>
            <w:vAlign w:val="center"/>
          </w:tcPr>
          <w:p w:rsidR="000862C5" w:rsidRPr="001D6512" w:rsidRDefault="000862C5" w:rsidP="00421531">
            <w:pPr>
              <w:pStyle w:val="TableCell"/>
              <w:spacing w:before="60" w:after="60"/>
              <w:jc w:val="right"/>
            </w:pPr>
            <w:r w:rsidRPr="001D6512">
              <w:rPr>
                <w:rFonts w:cs="Arial"/>
                <w:szCs w:val="18"/>
              </w:rPr>
              <w:t xml:space="preserve">946 </w:t>
            </w:r>
          </w:p>
        </w:tc>
      </w:tr>
      <w:tr w:rsidR="000862C5" w:rsidRPr="001C6EE1" w:rsidTr="00421531">
        <w:trPr>
          <w:trHeight w:val="374"/>
          <w:jc w:val="center"/>
        </w:trPr>
        <w:tc>
          <w:tcPr>
            <w:tcW w:w="1985" w:type="dxa"/>
            <w:vAlign w:val="center"/>
          </w:tcPr>
          <w:p w:rsidR="000862C5" w:rsidRPr="001D6512" w:rsidRDefault="000862C5" w:rsidP="00421531">
            <w:pPr>
              <w:pStyle w:val="TableCell"/>
              <w:spacing w:before="60" w:after="60"/>
              <w:jc w:val="right"/>
            </w:pPr>
            <w:r w:rsidRPr="001D6512">
              <w:rPr>
                <w:rFonts w:cs="Arial"/>
                <w:szCs w:val="18"/>
              </w:rPr>
              <w:t>0.75</w:t>
            </w:r>
          </w:p>
        </w:tc>
        <w:tc>
          <w:tcPr>
            <w:tcW w:w="2435" w:type="dxa"/>
            <w:vAlign w:val="center"/>
          </w:tcPr>
          <w:p w:rsidR="000862C5" w:rsidRPr="001D6512" w:rsidRDefault="000862C5" w:rsidP="00421531">
            <w:pPr>
              <w:pStyle w:val="TableCell"/>
              <w:spacing w:before="60" w:after="60"/>
              <w:jc w:val="right"/>
            </w:pPr>
            <w:r w:rsidRPr="001D6512">
              <w:rPr>
                <w:rFonts w:cs="Arial"/>
                <w:szCs w:val="18"/>
              </w:rPr>
              <w:t>1.29</w:t>
            </w:r>
          </w:p>
        </w:tc>
        <w:tc>
          <w:tcPr>
            <w:tcW w:w="2218" w:type="dxa"/>
            <w:vAlign w:val="center"/>
          </w:tcPr>
          <w:p w:rsidR="000862C5" w:rsidRPr="001D6512" w:rsidRDefault="000862C5" w:rsidP="00421531">
            <w:pPr>
              <w:pStyle w:val="TableCell"/>
              <w:spacing w:before="60" w:after="60"/>
              <w:jc w:val="right"/>
            </w:pPr>
            <w:r w:rsidRPr="001D6512">
              <w:rPr>
                <w:rFonts w:cs="Arial"/>
                <w:szCs w:val="18"/>
              </w:rPr>
              <w:t>0.65</w:t>
            </w:r>
          </w:p>
        </w:tc>
        <w:tc>
          <w:tcPr>
            <w:tcW w:w="2218" w:type="dxa"/>
            <w:vAlign w:val="center"/>
          </w:tcPr>
          <w:p w:rsidR="000862C5" w:rsidRPr="001D6512" w:rsidRDefault="000862C5" w:rsidP="00421531">
            <w:pPr>
              <w:pStyle w:val="TableCell"/>
              <w:spacing w:before="60" w:after="60"/>
              <w:jc w:val="right"/>
            </w:pPr>
            <w:r w:rsidRPr="001D6512">
              <w:rPr>
                <w:rFonts w:cs="Arial"/>
                <w:szCs w:val="18"/>
              </w:rPr>
              <w:t xml:space="preserve">1,081 </w:t>
            </w:r>
          </w:p>
        </w:tc>
      </w:tr>
      <w:tr w:rsidR="000862C5" w:rsidRPr="001C6EE1" w:rsidTr="00421531">
        <w:trPr>
          <w:trHeight w:val="374"/>
          <w:jc w:val="center"/>
        </w:trPr>
        <w:tc>
          <w:tcPr>
            <w:tcW w:w="1985" w:type="dxa"/>
            <w:vAlign w:val="center"/>
          </w:tcPr>
          <w:p w:rsidR="000862C5" w:rsidRPr="001D6512" w:rsidRDefault="000862C5" w:rsidP="00421531">
            <w:pPr>
              <w:pStyle w:val="TableCell"/>
              <w:spacing w:before="60" w:after="60"/>
              <w:jc w:val="right"/>
            </w:pPr>
            <w:r w:rsidRPr="001D6512">
              <w:rPr>
                <w:rFonts w:cs="Arial"/>
                <w:szCs w:val="18"/>
              </w:rPr>
              <w:t>1</w:t>
            </w:r>
            <w:r w:rsidR="00421531" w:rsidRPr="001D6512">
              <w:rPr>
                <w:rFonts w:cs="Arial"/>
                <w:szCs w:val="18"/>
              </w:rPr>
              <w:t>.00</w:t>
            </w:r>
          </w:p>
        </w:tc>
        <w:tc>
          <w:tcPr>
            <w:tcW w:w="2435" w:type="dxa"/>
            <w:vAlign w:val="center"/>
          </w:tcPr>
          <w:p w:rsidR="000862C5" w:rsidRPr="001D6512" w:rsidRDefault="000862C5" w:rsidP="00421531">
            <w:pPr>
              <w:pStyle w:val="TableCell"/>
              <w:spacing w:before="60" w:after="60"/>
              <w:jc w:val="right"/>
            </w:pPr>
            <w:r w:rsidRPr="001D6512">
              <w:rPr>
                <w:rFonts w:cs="Arial"/>
                <w:szCs w:val="18"/>
              </w:rPr>
              <w:t>1.28</w:t>
            </w:r>
          </w:p>
        </w:tc>
        <w:tc>
          <w:tcPr>
            <w:tcW w:w="2218" w:type="dxa"/>
            <w:vAlign w:val="center"/>
          </w:tcPr>
          <w:p w:rsidR="000862C5" w:rsidRPr="001D6512" w:rsidRDefault="000862C5" w:rsidP="00421531">
            <w:pPr>
              <w:pStyle w:val="TableCell"/>
              <w:spacing w:before="60" w:after="60"/>
              <w:jc w:val="right"/>
            </w:pPr>
            <w:r w:rsidRPr="001D6512">
              <w:rPr>
                <w:rFonts w:cs="Arial"/>
                <w:szCs w:val="18"/>
              </w:rPr>
              <w:t>0.70</w:t>
            </w:r>
          </w:p>
        </w:tc>
        <w:tc>
          <w:tcPr>
            <w:tcW w:w="2218" w:type="dxa"/>
            <w:vAlign w:val="center"/>
          </w:tcPr>
          <w:p w:rsidR="000862C5" w:rsidRPr="001D6512" w:rsidRDefault="000862C5" w:rsidP="00421531">
            <w:pPr>
              <w:pStyle w:val="TableCell"/>
              <w:spacing w:before="60" w:after="60"/>
              <w:jc w:val="right"/>
            </w:pPr>
            <w:r w:rsidRPr="001D6512">
              <w:rPr>
                <w:rFonts w:cs="Arial"/>
                <w:szCs w:val="18"/>
              </w:rPr>
              <w:t xml:space="preserve">1,306 </w:t>
            </w:r>
          </w:p>
        </w:tc>
      </w:tr>
      <w:tr w:rsidR="000862C5" w:rsidRPr="001C6EE1" w:rsidTr="00421531">
        <w:trPr>
          <w:trHeight w:val="374"/>
          <w:jc w:val="center"/>
        </w:trPr>
        <w:tc>
          <w:tcPr>
            <w:tcW w:w="1985" w:type="dxa"/>
            <w:vAlign w:val="center"/>
          </w:tcPr>
          <w:p w:rsidR="000862C5" w:rsidRPr="001D6512" w:rsidRDefault="000862C5" w:rsidP="00421531">
            <w:pPr>
              <w:pStyle w:val="TableCell"/>
              <w:spacing w:before="60" w:after="60"/>
              <w:jc w:val="right"/>
            </w:pPr>
            <w:r w:rsidRPr="001D6512">
              <w:rPr>
                <w:rFonts w:cs="Arial"/>
                <w:szCs w:val="18"/>
              </w:rPr>
              <w:t>1.5</w:t>
            </w:r>
            <w:r w:rsidR="00421531" w:rsidRPr="001D6512">
              <w:rPr>
                <w:rFonts w:cs="Arial"/>
                <w:szCs w:val="18"/>
              </w:rPr>
              <w:t>0</w:t>
            </w:r>
          </w:p>
        </w:tc>
        <w:tc>
          <w:tcPr>
            <w:tcW w:w="2435" w:type="dxa"/>
            <w:vAlign w:val="center"/>
          </w:tcPr>
          <w:p w:rsidR="000862C5" w:rsidRPr="001D6512" w:rsidRDefault="000862C5" w:rsidP="00421531">
            <w:pPr>
              <w:pStyle w:val="TableCell"/>
              <w:spacing w:before="60" w:after="60"/>
              <w:jc w:val="right"/>
            </w:pPr>
            <w:r w:rsidRPr="001D6512">
              <w:rPr>
                <w:rFonts w:cs="Arial"/>
                <w:szCs w:val="18"/>
              </w:rPr>
              <w:t>1.19</w:t>
            </w:r>
          </w:p>
        </w:tc>
        <w:tc>
          <w:tcPr>
            <w:tcW w:w="2218" w:type="dxa"/>
            <w:vAlign w:val="center"/>
          </w:tcPr>
          <w:p w:rsidR="000862C5" w:rsidRPr="001D6512" w:rsidRDefault="000862C5" w:rsidP="00421531">
            <w:pPr>
              <w:pStyle w:val="TableCell"/>
              <w:spacing w:before="60" w:after="60"/>
              <w:jc w:val="right"/>
            </w:pPr>
            <w:r w:rsidRPr="001D6512">
              <w:rPr>
                <w:rFonts w:cs="Arial"/>
                <w:szCs w:val="18"/>
              </w:rPr>
              <w:t>0.75</w:t>
            </w:r>
          </w:p>
        </w:tc>
        <w:tc>
          <w:tcPr>
            <w:tcW w:w="2218" w:type="dxa"/>
            <w:vAlign w:val="center"/>
          </w:tcPr>
          <w:p w:rsidR="000862C5" w:rsidRPr="001D6512" w:rsidRDefault="000862C5" w:rsidP="00421531">
            <w:pPr>
              <w:pStyle w:val="TableCell"/>
              <w:spacing w:before="60" w:after="60"/>
              <w:jc w:val="right"/>
            </w:pPr>
            <w:r w:rsidRPr="001D6512">
              <w:rPr>
                <w:rFonts w:cs="Arial"/>
                <w:szCs w:val="18"/>
              </w:rPr>
              <w:t xml:space="preserve">1,512 </w:t>
            </w:r>
          </w:p>
        </w:tc>
      </w:tr>
      <w:tr w:rsidR="000862C5" w:rsidRPr="001C6EE1" w:rsidTr="00421531">
        <w:trPr>
          <w:trHeight w:val="374"/>
          <w:jc w:val="center"/>
        </w:trPr>
        <w:tc>
          <w:tcPr>
            <w:tcW w:w="1985" w:type="dxa"/>
            <w:vAlign w:val="center"/>
          </w:tcPr>
          <w:p w:rsidR="000862C5" w:rsidRPr="001D6512" w:rsidRDefault="000862C5" w:rsidP="00421531">
            <w:pPr>
              <w:pStyle w:val="TableCell"/>
              <w:spacing w:before="60" w:after="60"/>
              <w:jc w:val="right"/>
            </w:pPr>
            <w:r w:rsidRPr="001D6512">
              <w:rPr>
                <w:rFonts w:cs="Arial"/>
                <w:szCs w:val="18"/>
              </w:rPr>
              <w:t>2</w:t>
            </w:r>
            <w:r w:rsidR="00421531" w:rsidRPr="001D6512">
              <w:rPr>
                <w:rFonts w:cs="Arial"/>
                <w:szCs w:val="18"/>
              </w:rPr>
              <w:t>.00</w:t>
            </w:r>
          </w:p>
        </w:tc>
        <w:tc>
          <w:tcPr>
            <w:tcW w:w="2435" w:type="dxa"/>
            <w:vAlign w:val="center"/>
          </w:tcPr>
          <w:p w:rsidR="000862C5" w:rsidRPr="001D6512" w:rsidRDefault="000862C5" w:rsidP="00421531">
            <w:pPr>
              <w:pStyle w:val="TableCell"/>
              <w:spacing w:before="60" w:after="60"/>
              <w:jc w:val="right"/>
            </w:pPr>
            <w:r w:rsidRPr="001D6512">
              <w:rPr>
                <w:rFonts w:cs="Arial"/>
                <w:szCs w:val="18"/>
              </w:rPr>
              <w:t>1.20</w:t>
            </w:r>
          </w:p>
        </w:tc>
        <w:tc>
          <w:tcPr>
            <w:tcW w:w="2218" w:type="dxa"/>
            <w:vAlign w:val="center"/>
          </w:tcPr>
          <w:p w:rsidR="000862C5" w:rsidRPr="001D6512" w:rsidRDefault="000862C5" w:rsidP="00421531">
            <w:pPr>
              <w:pStyle w:val="TableCell"/>
              <w:spacing w:before="60" w:after="60"/>
              <w:jc w:val="right"/>
            </w:pPr>
            <w:r w:rsidRPr="001D6512">
              <w:rPr>
                <w:rFonts w:cs="Arial"/>
                <w:szCs w:val="18"/>
              </w:rPr>
              <w:t>0.78</w:t>
            </w:r>
          </w:p>
        </w:tc>
        <w:tc>
          <w:tcPr>
            <w:tcW w:w="2218" w:type="dxa"/>
            <w:vAlign w:val="center"/>
          </w:tcPr>
          <w:p w:rsidR="000862C5" w:rsidRPr="001D6512" w:rsidRDefault="000862C5" w:rsidP="00421531">
            <w:pPr>
              <w:pStyle w:val="TableCell"/>
              <w:spacing w:before="60" w:after="60"/>
              <w:jc w:val="right"/>
            </w:pPr>
            <w:r w:rsidRPr="001D6512">
              <w:rPr>
                <w:rFonts w:cs="Arial"/>
                <w:szCs w:val="18"/>
              </w:rPr>
              <w:t xml:space="preserve">2,040 </w:t>
            </w:r>
          </w:p>
        </w:tc>
      </w:tr>
      <w:tr w:rsidR="000862C5" w:rsidRPr="001C6EE1" w:rsidTr="00421531">
        <w:trPr>
          <w:trHeight w:val="374"/>
          <w:jc w:val="center"/>
        </w:trPr>
        <w:tc>
          <w:tcPr>
            <w:tcW w:w="1985" w:type="dxa"/>
            <w:vAlign w:val="center"/>
          </w:tcPr>
          <w:p w:rsidR="000862C5" w:rsidRPr="001D6512" w:rsidRDefault="000862C5" w:rsidP="00421531">
            <w:pPr>
              <w:pStyle w:val="TableCell"/>
              <w:spacing w:before="60" w:after="60"/>
              <w:jc w:val="right"/>
            </w:pPr>
            <w:r w:rsidRPr="001D6512">
              <w:rPr>
                <w:rFonts w:cs="Arial"/>
                <w:szCs w:val="18"/>
              </w:rPr>
              <w:t>2.5</w:t>
            </w:r>
            <w:r w:rsidR="00421531" w:rsidRPr="001D6512">
              <w:rPr>
                <w:rFonts w:cs="Arial"/>
                <w:szCs w:val="18"/>
              </w:rPr>
              <w:t>0</w:t>
            </w:r>
          </w:p>
        </w:tc>
        <w:tc>
          <w:tcPr>
            <w:tcW w:w="2435" w:type="dxa"/>
            <w:vAlign w:val="center"/>
          </w:tcPr>
          <w:p w:rsidR="000862C5" w:rsidRPr="001D6512" w:rsidRDefault="000862C5" w:rsidP="00421531">
            <w:pPr>
              <w:pStyle w:val="TableCell"/>
              <w:spacing w:before="60" w:after="60"/>
              <w:jc w:val="right"/>
            </w:pPr>
            <w:r w:rsidRPr="001D6512">
              <w:rPr>
                <w:rFonts w:cs="Arial"/>
                <w:szCs w:val="18"/>
              </w:rPr>
              <w:t>1.11</w:t>
            </w:r>
          </w:p>
        </w:tc>
        <w:tc>
          <w:tcPr>
            <w:tcW w:w="2218" w:type="dxa"/>
            <w:vAlign w:val="center"/>
          </w:tcPr>
          <w:p w:rsidR="000862C5" w:rsidRPr="001D6512" w:rsidRDefault="000862C5" w:rsidP="00421531">
            <w:pPr>
              <w:pStyle w:val="TableCell"/>
              <w:spacing w:before="60" w:after="60"/>
              <w:jc w:val="right"/>
            </w:pPr>
            <w:r w:rsidRPr="001D6512">
              <w:rPr>
                <w:rFonts w:cs="Arial"/>
                <w:szCs w:val="18"/>
              </w:rPr>
              <w:t>0.77</w:t>
            </w:r>
          </w:p>
        </w:tc>
        <w:tc>
          <w:tcPr>
            <w:tcW w:w="2218" w:type="dxa"/>
            <w:vAlign w:val="center"/>
          </w:tcPr>
          <w:p w:rsidR="000862C5" w:rsidRPr="001D6512" w:rsidRDefault="000862C5" w:rsidP="00421531">
            <w:pPr>
              <w:pStyle w:val="TableCell"/>
              <w:spacing w:before="60" w:after="60"/>
              <w:jc w:val="right"/>
            </w:pPr>
            <w:r w:rsidRPr="001D6512">
              <w:rPr>
                <w:rFonts w:cs="Arial"/>
                <w:szCs w:val="18"/>
              </w:rPr>
              <w:t xml:space="preserve">2,182 </w:t>
            </w:r>
          </w:p>
        </w:tc>
      </w:tr>
      <w:tr w:rsidR="000862C5" w:rsidRPr="001C6EE1" w:rsidTr="00421531">
        <w:trPr>
          <w:trHeight w:val="374"/>
          <w:jc w:val="center"/>
        </w:trPr>
        <w:tc>
          <w:tcPr>
            <w:tcW w:w="1985" w:type="dxa"/>
            <w:vAlign w:val="center"/>
          </w:tcPr>
          <w:p w:rsidR="000862C5" w:rsidRPr="001D6512" w:rsidRDefault="000862C5" w:rsidP="00421531">
            <w:pPr>
              <w:pStyle w:val="TableCell"/>
              <w:spacing w:before="60" w:after="60"/>
              <w:jc w:val="right"/>
            </w:pPr>
            <w:r w:rsidRPr="001D6512">
              <w:rPr>
                <w:rFonts w:cs="Arial"/>
                <w:szCs w:val="18"/>
              </w:rPr>
              <w:t>3</w:t>
            </w:r>
            <w:r w:rsidR="00421531" w:rsidRPr="001D6512">
              <w:rPr>
                <w:rFonts w:cs="Arial"/>
                <w:szCs w:val="18"/>
              </w:rPr>
              <w:t>.00</w:t>
            </w:r>
          </w:p>
        </w:tc>
        <w:tc>
          <w:tcPr>
            <w:tcW w:w="2435" w:type="dxa"/>
            <w:vAlign w:val="center"/>
          </w:tcPr>
          <w:p w:rsidR="000862C5" w:rsidRPr="001D6512" w:rsidRDefault="000862C5" w:rsidP="00421531">
            <w:pPr>
              <w:pStyle w:val="TableCell"/>
              <w:spacing w:before="60" w:after="60"/>
              <w:jc w:val="right"/>
            </w:pPr>
            <w:r w:rsidRPr="001D6512">
              <w:rPr>
                <w:rFonts w:cs="Arial"/>
                <w:szCs w:val="18"/>
              </w:rPr>
              <w:t>1.21</w:t>
            </w:r>
          </w:p>
        </w:tc>
        <w:tc>
          <w:tcPr>
            <w:tcW w:w="2218" w:type="dxa"/>
            <w:vAlign w:val="center"/>
          </w:tcPr>
          <w:p w:rsidR="000862C5" w:rsidRPr="001D6512" w:rsidRDefault="000862C5" w:rsidP="00421531">
            <w:pPr>
              <w:pStyle w:val="TableCell"/>
              <w:spacing w:before="60" w:after="60"/>
              <w:jc w:val="right"/>
            </w:pPr>
            <w:r w:rsidRPr="001D6512">
              <w:rPr>
                <w:rFonts w:cs="Arial"/>
                <w:szCs w:val="18"/>
              </w:rPr>
              <w:t>0.79</w:t>
            </w:r>
          </w:p>
        </w:tc>
        <w:tc>
          <w:tcPr>
            <w:tcW w:w="2218" w:type="dxa"/>
            <w:vAlign w:val="center"/>
          </w:tcPr>
          <w:p w:rsidR="000862C5" w:rsidRPr="001D6512" w:rsidRDefault="000862C5" w:rsidP="00421531">
            <w:pPr>
              <w:pStyle w:val="TableCell"/>
              <w:spacing w:before="60" w:after="60"/>
              <w:jc w:val="right"/>
            </w:pPr>
            <w:r w:rsidRPr="001D6512">
              <w:rPr>
                <w:rFonts w:cs="Arial"/>
                <w:szCs w:val="18"/>
              </w:rPr>
              <w:t xml:space="preserve">2,666 </w:t>
            </w:r>
          </w:p>
        </w:tc>
      </w:tr>
    </w:tbl>
    <w:p w:rsidR="000862C5" w:rsidRPr="00D07AE2" w:rsidRDefault="000862C5" w:rsidP="000862C5"/>
    <w:p w:rsidR="000862C5" w:rsidRPr="000A3BE3" w:rsidRDefault="000862C5" w:rsidP="000862C5">
      <w:pPr>
        <w:pStyle w:val="Heading4"/>
      </w:pPr>
      <w:r w:rsidRPr="000A3BE3">
        <w:t>Electric Demand and Pump Flow Rate</w:t>
      </w:r>
    </w:p>
    <w:p w:rsidR="000862C5" w:rsidRPr="000A3BE3" w:rsidRDefault="000862C5" w:rsidP="000862C5">
      <w:pPr>
        <w:tabs>
          <w:tab w:val="left" w:pos="720"/>
        </w:tabs>
        <w:spacing w:before="120"/>
        <w:jc w:val="both"/>
        <w:rPr>
          <w:rFonts w:cs="Arial"/>
        </w:rPr>
      </w:pPr>
      <w:r w:rsidRPr="000A3BE3">
        <w:rPr>
          <w:rFonts w:cs="Arial"/>
        </w:rPr>
        <w:t xml:space="preserve">The electric demand on a pump is related to pump flow rate, pool hydraulic properties, and the pump motor efficiency.  For VFD pumps that have premium efficiency (92%) motors, a regression is used to relate electric demand and pump flow rates using the data from Southern California </w:t>
      </w:r>
      <w:r w:rsidRPr="000A3BE3">
        <w:rPr>
          <w:rFonts w:cs="Arial"/>
        </w:rPr>
        <w:lastRenderedPageBreak/>
        <w:t>Edison’s Innovative Designs for Energy Efficiency (InDEE) Program.  This regression reflects the hydraulic properties of pools that are retrofitted with VSD pool pumps.  The regression is:</w:t>
      </w:r>
    </w:p>
    <w:p w:rsidR="000862C5" w:rsidRDefault="000862C5" w:rsidP="000862C5">
      <w:pPr>
        <w:keepNext/>
        <w:tabs>
          <w:tab w:val="left" w:pos="720"/>
        </w:tabs>
        <w:spacing w:before="120"/>
        <w:jc w:val="both"/>
        <w:rPr>
          <w:rFonts w:cs="Arial"/>
        </w:rPr>
      </w:pPr>
      <w:r w:rsidRPr="000A3BE3">
        <w:rPr>
          <w:rFonts w:cs="Arial"/>
        </w:rPr>
        <w:t>Demand (W) = 0.0978f</w:t>
      </w:r>
      <w:r w:rsidRPr="000A3BE3">
        <w:rPr>
          <w:rFonts w:cs="Arial"/>
          <w:vertAlign w:val="superscript"/>
        </w:rPr>
        <w:t xml:space="preserve">2 </w:t>
      </w:r>
      <w:r w:rsidRPr="000A3BE3">
        <w:rPr>
          <w:rFonts w:cs="Arial"/>
        </w:rPr>
        <w:t>+ 10.989</w:t>
      </w:r>
      <w:r>
        <w:rPr>
          <w:rFonts w:cs="Arial"/>
        </w:rPr>
        <w:t>f</w:t>
      </w:r>
      <w:r w:rsidRPr="000A3BE3">
        <w:rPr>
          <w:rFonts w:cs="Arial"/>
        </w:rPr>
        <w:t xml:space="preserve"> +10.281</w:t>
      </w:r>
    </w:p>
    <w:p w:rsidR="000862C5" w:rsidRPr="000A3BE3" w:rsidRDefault="000862C5" w:rsidP="000862C5">
      <w:pPr>
        <w:tabs>
          <w:tab w:val="left" w:pos="720"/>
        </w:tabs>
        <w:spacing w:before="120"/>
        <w:jc w:val="both"/>
        <w:rPr>
          <w:rFonts w:cs="Arial"/>
        </w:rPr>
      </w:pPr>
      <w:r>
        <w:rPr>
          <w:rFonts w:cs="Arial"/>
        </w:rPr>
        <w:t>Where f is the pump flow rate in gallons per minute.</w:t>
      </w:r>
    </w:p>
    <w:p w:rsidR="000862C5" w:rsidRPr="00B230B1" w:rsidRDefault="000862C5" w:rsidP="000862C5">
      <w:pPr>
        <w:tabs>
          <w:tab w:val="left" w:pos="720"/>
        </w:tabs>
        <w:spacing w:before="120"/>
        <w:jc w:val="both"/>
        <w:rPr>
          <w:rFonts w:cs="Arial"/>
        </w:rPr>
      </w:pPr>
      <w:r w:rsidRPr="000A3BE3">
        <w:rPr>
          <w:rFonts w:cs="Arial"/>
        </w:rPr>
        <w:t>This regression can be used if the flow rate is known but the wattage is unknown.  However, most VFD pool pumps can display instantaneous flow and power.  Power measurements or readings in the final flow configuration are encouraged.</w:t>
      </w:r>
    </w:p>
    <w:p w:rsidR="000862C5" w:rsidRDefault="000862C5" w:rsidP="000862C5">
      <w:pPr>
        <w:pStyle w:val="Heading3"/>
      </w:pPr>
      <w:r>
        <w:t>Deemed Savings</w:t>
      </w:r>
    </w:p>
    <w:p w:rsidR="000862C5" w:rsidRPr="000A3BE3" w:rsidRDefault="000862C5" w:rsidP="000862C5">
      <w:r w:rsidRPr="000A3BE3">
        <w:t>The energy savings and demand reductions are prescriptive according to the above formulae.</w:t>
      </w:r>
      <w:r>
        <w:t xml:space="preserve">  All other factors held constant, the sole difference between quantifying demand reductions for the </w:t>
      </w:r>
      <w:r w:rsidRPr="00E759CB">
        <w:rPr>
          <w:i/>
        </w:rPr>
        <w:t>VSD Pool Pump</w:t>
      </w:r>
      <w:r>
        <w:t xml:space="preserve"> and the </w:t>
      </w:r>
      <w:r w:rsidRPr="00E759CB">
        <w:rPr>
          <w:i/>
        </w:rPr>
        <w:t xml:space="preserve">VSD Pool Pump with </w:t>
      </w:r>
      <w:r>
        <w:rPr>
          <w:i/>
        </w:rPr>
        <w:t>L</w:t>
      </w:r>
      <w:r w:rsidRPr="00E759CB">
        <w:rPr>
          <w:i/>
        </w:rPr>
        <w:t xml:space="preserve">oad </w:t>
      </w:r>
      <w:r>
        <w:rPr>
          <w:i/>
        </w:rPr>
        <w:t>S</w:t>
      </w:r>
      <w:r w:rsidRPr="00E759CB">
        <w:rPr>
          <w:i/>
        </w:rPr>
        <w:t>hifting</w:t>
      </w:r>
      <w:r>
        <w:t xml:space="preserve"> measures resides in the value of the parameter </w:t>
      </w:r>
      <w:r w:rsidRPr="00CE6632">
        <w:rPr>
          <w:b/>
          <w:sz w:val="18"/>
        </w:rPr>
        <w:t>CF</w:t>
      </w:r>
      <w:r w:rsidRPr="00CE6632">
        <w:rPr>
          <w:b/>
          <w:sz w:val="18"/>
          <w:vertAlign w:val="subscript"/>
        </w:rPr>
        <w:t>VFD</w:t>
      </w:r>
      <w:r>
        <w:rPr>
          <w:b/>
          <w:sz w:val="18"/>
          <w:vertAlign w:val="subscript"/>
        </w:rPr>
        <w:t>.</w:t>
      </w:r>
    </w:p>
    <w:p w:rsidR="000862C5" w:rsidRDefault="000862C5" w:rsidP="000862C5">
      <w:pPr>
        <w:pStyle w:val="Heading3"/>
      </w:pPr>
      <w:r>
        <w:t>Measure Life</w:t>
      </w:r>
    </w:p>
    <w:p w:rsidR="000862C5" w:rsidRPr="000A3BE3" w:rsidRDefault="000862C5" w:rsidP="000862C5">
      <w:pPr>
        <w:spacing w:before="120"/>
        <w:jc w:val="both"/>
        <w:rPr>
          <w:rFonts w:cs="Arial"/>
        </w:rPr>
      </w:pPr>
      <w:r w:rsidRPr="000A3BE3">
        <w:rPr>
          <w:rFonts w:cs="Arial"/>
        </w:rPr>
        <w:t>According to an October 2008 report for the CA Database for Energy Efficiency Resources</w:t>
      </w:r>
      <w:r>
        <w:rPr>
          <w:rStyle w:val="FootnoteReference"/>
        </w:rPr>
        <w:footnoteReference w:id="128"/>
      </w:r>
      <w:r w:rsidRPr="000A3BE3">
        <w:rPr>
          <w:rFonts w:cs="Arial"/>
        </w:rPr>
        <w:t xml:space="preserve">, a variable speed drive’s lifespan is </w:t>
      </w:r>
      <w:r w:rsidRPr="00E759CB">
        <w:rPr>
          <w:rFonts w:cs="Arial"/>
        </w:rPr>
        <w:t>10 years</w:t>
      </w:r>
      <w:r w:rsidRPr="00352C55">
        <w:rPr>
          <w:rFonts w:cs="Arial"/>
        </w:rPr>
        <w:t>.</w:t>
      </w:r>
    </w:p>
    <w:p w:rsidR="000862C5" w:rsidRDefault="000862C5" w:rsidP="000862C5">
      <w:pPr>
        <w:pStyle w:val="Heading3"/>
      </w:pPr>
      <w:r>
        <w:t>Evaluation Protocol</w:t>
      </w:r>
    </w:p>
    <w:p w:rsidR="000862C5" w:rsidRPr="000A3BE3" w:rsidRDefault="000862C5" w:rsidP="000862C5">
      <w:pPr>
        <w:spacing w:before="120"/>
        <w:jc w:val="both"/>
        <w:rPr>
          <w:rFonts w:cs="Arial"/>
        </w:rPr>
      </w:pPr>
      <w:r w:rsidRPr="000A3BE3">
        <w:rPr>
          <w:rFonts w:cs="Arial"/>
        </w:rPr>
        <w:t>The most appropriate evaluation protocol for this measure is verification of installation coupled with survey on run time and speed settings.</w:t>
      </w:r>
    </w:p>
    <w:p w:rsidR="003021FB" w:rsidRDefault="003021FB">
      <w:pPr>
        <w:overflowPunct/>
        <w:autoSpaceDE/>
        <w:autoSpaceDN/>
        <w:adjustRightInd/>
        <w:spacing w:after="0" w:line="240" w:lineRule="auto"/>
        <w:textAlignment w:val="auto"/>
      </w:pPr>
      <w:r>
        <w:br w:type="page"/>
      </w:r>
    </w:p>
    <w:p w:rsidR="00DE12EC" w:rsidRDefault="00DE12EC" w:rsidP="00DE12EC">
      <w:pPr>
        <w:jc w:val="center"/>
        <w:rPr>
          <w:b/>
          <w:sz w:val="32"/>
        </w:rPr>
      </w:pPr>
    </w:p>
    <w:p w:rsidR="00DE12EC" w:rsidRPr="000679A4" w:rsidRDefault="00DE12EC" w:rsidP="00DE12EC">
      <w:pPr>
        <w:jc w:val="center"/>
        <w:rPr>
          <w:b/>
          <w:color w:val="FF0000"/>
          <w:sz w:val="28"/>
        </w:rPr>
      </w:pPr>
    </w:p>
    <w:p w:rsidR="00DE12EC" w:rsidRDefault="00DE12EC" w:rsidP="00DE12EC">
      <w:pPr>
        <w:jc w:val="center"/>
        <w:rPr>
          <w:b/>
          <w:sz w:val="28"/>
        </w:rPr>
      </w:pPr>
    </w:p>
    <w:p w:rsidR="00DE12EC" w:rsidRDefault="00DE12EC" w:rsidP="00DE12EC">
      <w:pPr>
        <w:jc w:val="center"/>
        <w:rPr>
          <w:b/>
          <w:sz w:val="28"/>
        </w:rPr>
      </w:pPr>
    </w:p>
    <w:p w:rsidR="00DE12EC" w:rsidRDefault="00DE12EC" w:rsidP="00DE12EC">
      <w:pPr>
        <w:jc w:val="center"/>
        <w:rPr>
          <w:b/>
          <w:sz w:val="28"/>
        </w:rPr>
      </w:pPr>
    </w:p>
    <w:p w:rsidR="00DE12EC" w:rsidRDefault="00DE12EC" w:rsidP="00DE12EC">
      <w:pPr>
        <w:jc w:val="center"/>
        <w:rPr>
          <w:b/>
          <w:sz w:val="28"/>
        </w:rPr>
      </w:pPr>
    </w:p>
    <w:p w:rsidR="00DE12EC" w:rsidRDefault="00DE12EC" w:rsidP="00DE12EC">
      <w:pPr>
        <w:jc w:val="center"/>
        <w:rPr>
          <w:b/>
          <w:sz w:val="28"/>
        </w:rPr>
      </w:pPr>
    </w:p>
    <w:p w:rsidR="00DE12EC" w:rsidRDefault="00DE12EC" w:rsidP="00DE12EC">
      <w:pPr>
        <w:jc w:val="center"/>
        <w:rPr>
          <w:b/>
          <w:sz w:val="28"/>
        </w:rPr>
      </w:pPr>
    </w:p>
    <w:p w:rsidR="00DE12EC" w:rsidRDefault="00DE12EC" w:rsidP="00DE12EC">
      <w:pPr>
        <w:jc w:val="center"/>
        <w:rPr>
          <w:b/>
          <w:sz w:val="28"/>
        </w:rPr>
      </w:pPr>
    </w:p>
    <w:p w:rsidR="00DE12EC" w:rsidRDefault="00DE12EC" w:rsidP="00DE12EC">
      <w:pPr>
        <w:jc w:val="center"/>
        <w:rPr>
          <w:b/>
          <w:sz w:val="28"/>
        </w:rPr>
      </w:pPr>
    </w:p>
    <w:p w:rsidR="00DE12EC" w:rsidRPr="00BC5194" w:rsidRDefault="00DE12EC" w:rsidP="00DE12EC">
      <w:pPr>
        <w:jc w:val="center"/>
        <w:rPr>
          <w:i/>
        </w:rPr>
      </w:pPr>
      <w:r w:rsidRPr="00BC5194">
        <w:rPr>
          <w:i/>
        </w:rPr>
        <w:t>This Page Intentionally Left Blank</w:t>
      </w:r>
    </w:p>
    <w:p w:rsidR="003021FB" w:rsidRDefault="003021FB">
      <w:pPr>
        <w:overflowPunct/>
        <w:autoSpaceDE/>
        <w:autoSpaceDN/>
        <w:adjustRightInd/>
        <w:spacing w:after="0" w:line="240" w:lineRule="auto"/>
        <w:textAlignment w:val="auto"/>
      </w:pPr>
    </w:p>
    <w:p w:rsidR="003021FB" w:rsidRDefault="003021FB">
      <w:pPr>
        <w:overflowPunct/>
        <w:autoSpaceDE/>
        <w:autoSpaceDN/>
        <w:adjustRightInd/>
        <w:spacing w:after="0" w:line="240" w:lineRule="auto"/>
        <w:textAlignment w:val="auto"/>
      </w:pPr>
    </w:p>
    <w:p w:rsidR="003021FB" w:rsidRDefault="003021FB">
      <w:pPr>
        <w:overflowPunct/>
        <w:autoSpaceDE/>
        <w:autoSpaceDN/>
        <w:adjustRightInd/>
        <w:spacing w:after="0" w:line="240" w:lineRule="auto"/>
        <w:textAlignment w:val="auto"/>
      </w:pPr>
    </w:p>
    <w:p w:rsidR="003021FB" w:rsidRDefault="003021FB">
      <w:pPr>
        <w:overflowPunct/>
        <w:autoSpaceDE/>
        <w:autoSpaceDN/>
        <w:adjustRightInd/>
        <w:spacing w:after="0" w:line="240" w:lineRule="auto"/>
        <w:textAlignment w:val="auto"/>
      </w:pPr>
    </w:p>
    <w:p w:rsidR="003021FB" w:rsidRDefault="003021FB">
      <w:pPr>
        <w:overflowPunct/>
        <w:autoSpaceDE/>
        <w:autoSpaceDN/>
        <w:adjustRightInd/>
        <w:spacing w:after="0" w:line="240" w:lineRule="auto"/>
        <w:textAlignment w:val="auto"/>
      </w:pPr>
    </w:p>
    <w:p w:rsidR="003021FB" w:rsidRDefault="003021FB">
      <w:pPr>
        <w:overflowPunct/>
        <w:autoSpaceDE/>
        <w:autoSpaceDN/>
        <w:adjustRightInd/>
        <w:spacing w:after="0" w:line="240" w:lineRule="auto"/>
        <w:textAlignment w:val="auto"/>
      </w:pPr>
    </w:p>
    <w:p w:rsidR="003021FB" w:rsidRDefault="003021FB">
      <w:pPr>
        <w:overflowPunct/>
        <w:autoSpaceDE/>
        <w:autoSpaceDN/>
        <w:adjustRightInd/>
        <w:spacing w:after="0" w:line="240" w:lineRule="auto"/>
        <w:textAlignment w:val="auto"/>
      </w:pPr>
    </w:p>
    <w:p w:rsidR="003021FB" w:rsidRDefault="003021FB">
      <w:pPr>
        <w:overflowPunct/>
        <w:autoSpaceDE/>
        <w:autoSpaceDN/>
        <w:adjustRightInd/>
        <w:spacing w:after="0" w:line="240" w:lineRule="auto"/>
        <w:textAlignment w:val="auto"/>
      </w:pPr>
    </w:p>
    <w:p w:rsidR="003021FB" w:rsidRDefault="003021FB">
      <w:pPr>
        <w:overflowPunct/>
        <w:autoSpaceDE/>
        <w:autoSpaceDN/>
        <w:adjustRightInd/>
        <w:spacing w:after="0" w:line="240" w:lineRule="auto"/>
        <w:textAlignment w:val="auto"/>
      </w:pPr>
    </w:p>
    <w:p w:rsidR="003021FB" w:rsidRDefault="003021FB">
      <w:pPr>
        <w:overflowPunct/>
        <w:autoSpaceDE/>
        <w:autoSpaceDN/>
        <w:adjustRightInd/>
        <w:spacing w:after="0" w:line="240" w:lineRule="auto"/>
        <w:textAlignment w:val="auto"/>
      </w:pPr>
    </w:p>
    <w:p w:rsidR="003021FB" w:rsidRDefault="003021FB">
      <w:pPr>
        <w:overflowPunct/>
        <w:autoSpaceDE/>
        <w:autoSpaceDN/>
        <w:adjustRightInd/>
        <w:spacing w:after="0" w:line="240" w:lineRule="auto"/>
        <w:textAlignment w:val="auto"/>
      </w:pPr>
    </w:p>
    <w:p w:rsidR="003021FB" w:rsidRDefault="003021FB">
      <w:pPr>
        <w:overflowPunct/>
        <w:autoSpaceDE/>
        <w:autoSpaceDN/>
        <w:adjustRightInd/>
        <w:spacing w:after="0" w:line="240" w:lineRule="auto"/>
        <w:textAlignment w:val="auto"/>
      </w:pPr>
    </w:p>
    <w:p w:rsidR="003021FB" w:rsidRDefault="003021FB">
      <w:pPr>
        <w:overflowPunct/>
        <w:autoSpaceDE/>
        <w:autoSpaceDN/>
        <w:adjustRightInd/>
        <w:spacing w:after="0" w:line="240" w:lineRule="auto"/>
        <w:textAlignment w:val="auto"/>
      </w:pPr>
    </w:p>
    <w:p w:rsidR="003021FB" w:rsidRDefault="003021FB">
      <w:pPr>
        <w:overflowPunct/>
        <w:autoSpaceDE/>
        <w:autoSpaceDN/>
        <w:adjustRightInd/>
        <w:spacing w:after="0" w:line="240" w:lineRule="auto"/>
        <w:textAlignment w:val="auto"/>
      </w:pPr>
    </w:p>
    <w:p w:rsidR="003B22BC" w:rsidRDefault="003B22BC" w:rsidP="005D7F62">
      <w:pPr>
        <w:sectPr w:rsidR="003B22BC" w:rsidSect="00DE12EC">
          <w:footerReference w:type="default" r:id="rId36"/>
          <w:pgSz w:w="12240" w:h="15840"/>
          <w:pgMar w:top="1440" w:right="1800" w:bottom="1440" w:left="1800" w:header="720" w:footer="576" w:gutter="0"/>
          <w:pgNumType w:start="1"/>
          <w:cols w:space="720"/>
          <w:docGrid w:linePitch="272"/>
        </w:sectPr>
      </w:pPr>
    </w:p>
    <w:p w:rsidR="00A22E85" w:rsidRDefault="00876FC8" w:rsidP="00E568D4">
      <w:pPr>
        <w:pStyle w:val="Heading1"/>
        <w:rPr>
          <w:rFonts w:ascii="Calibri" w:hAnsi="Calibri"/>
        </w:rPr>
      </w:pPr>
      <w:bookmarkStart w:id="504" w:name="_Toc310875439"/>
      <w:r w:rsidRPr="00876FC8">
        <w:lastRenderedPageBreak/>
        <w:t>Commercial and Industrial Measures</w:t>
      </w:r>
      <w:bookmarkEnd w:id="504"/>
    </w:p>
    <w:p w:rsidR="008075FC" w:rsidRDefault="008075FC" w:rsidP="008075FC">
      <w:r>
        <w:t>The following section of the TRM contains savings protocols for commercial and industrial measures.</w:t>
      </w:r>
    </w:p>
    <w:p w:rsidR="00A22E85" w:rsidRPr="001669F2" w:rsidRDefault="00A22E85" w:rsidP="00E568D4">
      <w:pPr>
        <w:pStyle w:val="Heading2"/>
      </w:pPr>
      <w:bookmarkStart w:id="505" w:name="_Toc303086215"/>
      <w:bookmarkStart w:id="506" w:name="_Toc303339085"/>
      <w:bookmarkStart w:id="507" w:name="_Toc303347582"/>
      <w:bookmarkStart w:id="508" w:name="_Toc303352520"/>
      <w:bookmarkStart w:id="509" w:name="_Toc310868451"/>
      <w:bookmarkStart w:id="510" w:name="_Ref303347850"/>
      <w:bookmarkStart w:id="511" w:name="_Toc310875440"/>
      <w:bookmarkEnd w:id="505"/>
      <w:bookmarkEnd w:id="506"/>
      <w:bookmarkEnd w:id="507"/>
      <w:bookmarkEnd w:id="508"/>
      <w:bookmarkEnd w:id="509"/>
      <w:r w:rsidRPr="001669F2">
        <w:t>Baselines and Code Changes</w:t>
      </w:r>
      <w:bookmarkEnd w:id="510"/>
      <w:bookmarkEnd w:id="511"/>
    </w:p>
    <w:p w:rsidR="00A22E85" w:rsidRDefault="00A22E85" w:rsidP="005D7F62">
      <w:r>
        <w:t>All baselines are designed to reflect current market practices which are generally the higher of code or available equipment, that are updated periodically to reflect upgrades in code or information from evaluation results.</w:t>
      </w:r>
    </w:p>
    <w:p w:rsidR="00A77672" w:rsidRDefault="00A22E85" w:rsidP="00D53EFE">
      <w:r>
        <w:t xml:space="preserve">Pennsylvania has adopted the 2009 International Energy Conservation Code (IECC) per 34 Pa. Code Section 403.21, effective 12/31/09 by reference to the </w:t>
      </w:r>
      <w:smartTag w:uri="urn:schemas-microsoft-com:office:smarttags" w:element="place">
        <w:smartTag w:uri="urn:schemas-microsoft-com:office:smarttags" w:element="PlaceName">
          <w:r>
            <w:t>International</w:t>
          </w:r>
        </w:smartTag>
        <w:r>
          <w:t xml:space="preserve"> </w:t>
        </w:r>
        <w:smartTag w:uri="urn:schemas-microsoft-com:office:smarttags" w:element="PlaceType">
          <w:r>
            <w:t>Building</w:t>
          </w:r>
        </w:smartTag>
      </w:smartTag>
      <w:r>
        <w:t xml:space="preserve"> code and the ICC electrical code.  </w:t>
      </w:r>
      <w:r w:rsidR="00A77672">
        <w:t xml:space="preserve">Per Section 501.1 of IECC 2009, “[t]he requirements contained in [chapter 5 of IECC 2009] are applicable to commercial buildings, or portions of commercial buildings. These commercial buildings shall meet either the requirements of ANSI/ASHRAE/IESNA Standard 90.1, </w:t>
      </w:r>
      <w:r w:rsidR="00A77672">
        <w:rPr>
          <w:i/>
        </w:rPr>
        <w:t>Energy Stadnard for Buildings Except for Low-Rise Reside</w:t>
      </w:r>
      <w:r w:rsidR="00DE12EC">
        <w:rPr>
          <w:i/>
        </w:rPr>
        <w:t>n</w:t>
      </w:r>
      <w:r w:rsidR="00A77672">
        <w:rPr>
          <w:i/>
        </w:rPr>
        <w:t>tial Buildings</w:t>
      </w:r>
      <w:r w:rsidR="00A77672">
        <w:t xml:space="preserve">, or the requirements contain in [chapter 5 of IECC 2009]”. As noted in Section 501.2, as an alternative to complying with Sections 502, 503, 504, and 505 of IECC 2009, commercial building projects “shall comply with the requirements of ANSI/ASHRAE/IESNA 90.1 in its entirety.” </w:t>
      </w:r>
    </w:p>
    <w:p w:rsidR="00A77672" w:rsidRPr="00A77672" w:rsidRDefault="00A77672" w:rsidP="00D53EFE">
      <w:r>
        <w:t>In accordance with IECC 2009, commercial protocols relying on code standards as the baseline condition may refer to either IECC 2009 or ASHRAE 90.1-2007 per the program design.</w:t>
      </w:r>
    </w:p>
    <w:p w:rsidR="00EC46F4" w:rsidRDefault="00EC46F4">
      <w:pPr>
        <w:overflowPunct/>
        <w:autoSpaceDE/>
        <w:autoSpaceDN/>
        <w:adjustRightInd/>
        <w:spacing w:after="0" w:line="240" w:lineRule="auto"/>
        <w:textAlignment w:val="auto"/>
      </w:pPr>
    </w:p>
    <w:p w:rsidR="00A22E85" w:rsidRPr="00DA6F5F" w:rsidRDefault="001E6208" w:rsidP="00E568D4">
      <w:pPr>
        <w:pStyle w:val="Heading2"/>
      </w:pPr>
      <w:r>
        <w:br w:type="page"/>
      </w:r>
      <w:bookmarkStart w:id="512" w:name="_Toc310875441"/>
      <w:r w:rsidR="00A22E85" w:rsidRPr="00DA6F5F">
        <w:lastRenderedPageBreak/>
        <w:t>Lighting Equipment Improvements</w:t>
      </w:r>
      <w:bookmarkEnd w:id="512"/>
    </w:p>
    <w:p w:rsidR="00C3144A" w:rsidRDefault="00C3144A" w:rsidP="00871FA2">
      <w:pPr>
        <w:pStyle w:val="Heading3"/>
      </w:pPr>
      <w:r>
        <w:t>Eligibility</w:t>
      </w:r>
    </w:p>
    <w:p w:rsidR="00A22E85" w:rsidRDefault="007C36A6" w:rsidP="00DA6F5F">
      <w:r>
        <w:t xml:space="preserve">Eligible lighting </w:t>
      </w:r>
      <w:r w:rsidR="00A22E85">
        <w:t>equipment</w:t>
      </w:r>
      <w:r>
        <w:t xml:space="preserve"> and fixture/lamp types</w:t>
      </w:r>
      <w:r w:rsidR="00A22E85">
        <w:t xml:space="preserve"> include fluorescent fixtures (lamps and ballasts), compact fluorescent lamps, LED exit signs, </w:t>
      </w:r>
      <w:r w:rsidR="00876FC8">
        <w:t>high intensity discharge (HID)</w:t>
      </w:r>
      <w:r w:rsidR="00A22E85">
        <w:t xml:space="preserve"> lamps</w:t>
      </w:r>
      <w:r w:rsidR="00876FC8">
        <w:t>,</w:t>
      </w:r>
      <w:r w:rsidR="00A22E85">
        <w:t xml:space="preserve"> </w:t>
      </w:r>
      <w:r>
        <w:t xml:space="preserve">interior and exterior LED lamps and fixtures, cold-cathode fluorescent lamps (CCFL), induction lamps, </w:t>
      </w:r>
      <w:r w:rsidR="00A22E85">
        <w:t>and lighting controls.  The calculation of energy savings is based on algorithms through the stipulation of key variables (i.e. Coincidence Factor, Interactive Factor and Equivalent Full Load Hours) and through end-use metering referenced in historical studies or measured, as may be required, at the project level.</w:t>
      </w:r>
    </w:p>
    <w:p w:rsidR="00EA7EAB" w:rsidRDefault="00EA7EAB" w:rsidP="00DA6F5F">
      <w:r>
        <w:t xml:space="preserve">For solid state lighting products, please see Section </w:t>
      </w:r>
      <w:r w:rsidR="007A1FB6">
        <w:fldChar w:fldCharType="begin"/>
      </w:r>
      <w:r>
        <w:instrText xml:space="preserve"> REF _Ref298590733 \r \h </w:instrText>
      </w:r>
      <w:r w:rsidR="007A1FB6">
        <w:fldChar w:fldCharType="separate"/>
      </w:r>
      <w:r w:rsidR="00C0292F">
        <w:t>5.5</w:t>
      </w:r>
      <w:r w:rsidR="007A1FB6">
        <w:fldChar w:fldCharType="end"/>
      </w:r>
      <w:r>
        <w:t xml:space="preserve"> for specific eligibility requirements.</w:t>
      </w:r>
    </w:p>
    <w:p w:rsidR="00A22E85" w:rsidRDefault="00A22E85" w:rsidP="00871FA2">
      <w:pPr>
        <w:pStyle w:val="Heading3"/>
      </w:pPr>
      <w:bookmarkStart w:id="513" w:name="_Ref275549499"/>
      <w:r w:rsidRPr="00DA6F5F">
        <w:t>Algorithms</w:t>
      </w:r>
      <w:bookmarkEnd w:id="513"/>
    </w:p>
    <w:p w:rsidR="007C36A6" w:rsidRDefault="007C36A6" w:rsidP="001E6208">
      <w:pPr>
        <w:keepNext/>
      </w:pPr>
      <w:r>
        <w:t>For all lighting efficiency improvements, with and without control improvements, the following algorithms apply:</w:t>
      </w:r>
    </w:p>
    <w:p w:rsidR="00A22E85" w:rsidRPr="00F5204A" w:rsidRDefault="00A22E85" w:rsidP="001E6208">
      <w:pPr>
        <w:pStyle w:val="Equation"/>
        <w:keepNext/>
        <w:rPr>
          <w:rFonts w:cs="Arial"/>
          <w:szCs w:val="20"/>
        </w:rPr>
      </w:pPr>
      <w:r w:rsidRPr="00F5204A">
        <w:rPr>
          <w:rFonts w:cs="Arial"/>
          <w:szCs w:val="20"/>
        </w:rPr>
        <w:sym w:font="Symbol" w:char="F044"/>
      </w:r>
      <w:r w:rsidRPr="00F5204A">
        <w:rPr>
          <w:rFonts w:cs="Arial"/>
          <w:szCs w:val="20"/>
        </w:rPr>
        <w:t>kW</w:t>
      </w:r>
      <w:r w:rsidR="00980472" w:rsidRPr="00F5204A">
        <w:rPr>
          <w:rFonts w:cs="Arial"/>
          <w:szCs w:val="20"/>
        </w:rPr>
        <w:tab/>
      </w:r>
      <w:r w:rsidR="00980472" w:rsidRPr="00F5204A">
        <w:rPr>
          <w:rFonts w:cs="Arial"/>
          <w:szCs w:val="20"/>
        </w:rPr>
        <w:tab/>
      </w:r>
      <w:r w:rsidRPr="00F5204A">
        <w:rPr>
          <w:rFonts w:cs="Arial"/>
          <w:szCs w:val="20"/>
        </w:rPr>
        <w:t xml:space="preserve"> = kW</w:t>
      </w:r>
      <w:r w:rsidRPr="00F5204A">
        <w:rPr>
          <w:rFonts w:cs="Arial"/>
          <w:szCs w:val="20"/>
          <w:vertAlign w:val="subscript"/>
        </w:rPr>
        <w:t>base</w:t>
      </w:r>
      <w:r w:rsidRPr="00F5204A">
        <w:rPr>
          <w:rFonts w:cs="Arial"/>
          <w:szCs w:val="20"/>
        </w:rPr>
        <w:t xml:space="preserve"> - </w:t>
      </w:r>
      <w:r w:rsidR="00C3144A" w:rsidRPr="00F5204A">
        <w:rPr>
          <w:rFonts w:cs="Arial"/>
          <w:szCs w:val="20"/>
        </w:rPr>
        <w:t>kW</w:t>
      </w:r>
      <w:r w:rsidR="00C3144A" w:rsidRPr="00F5204A">
        <w:rPr>
          <w:rFonts w:cs="Arial"/>
          <w:szCs w:val="20"/>
          <w:vertAlign w:val="subscript"/>
        </w:rPr>
        <w:t>ee</w:t>
      </w:r>
    </w:p>
    <w:p w:rsidR="00A22E85" w:rsidRDefault="00C3144A" w:rsidP="001E6208">
      <w:pPr>
        <w:pStyle w:val="Equation"/>
        <w:keepNext/>
        <w:rPr>
          <w:rFonts w:cs="Arial"/>
          <w:szCs w:val="20"/>
        </w:rPr>
      </w:pPr>
      <w:r w:rsidRPr="00F5204A">
        <w:rPr>
          <w:rFonts w:cs="Arial"/>
          <w:szCs w:val="20"/>
        </w:rPr>
        <w:sym w:font="Symbol" w:char="F044"/>
      </w:r>
      <w:r w:rsidRPr="00F5204A">
        <w:rPr>
          <w:rFonts w:cs="Arial"/>
          <w:szCs w:val="20"/>
        </w:rPr>
        <w:t>kW</w:t>
      </w:r>
      <w:r w:rsidRPr="00F5204A">
        <w:rPr>
          <w:rFonts w:cs="Arial"/>
          <w:szCs w:val="20"/>
          <w:vertAlign w:val="subscript"/>
        </w:rPr>
        <w:t>peak</w:t>
      </w:r>
      <w:r w:rsidRPr="00F5204A">
        <w:rPr>
          <w:rFonts w:cs="Arial"/>
          <w:szCs w:val="20"/>
          <w:vertAlign w:val="subscript"/>
        </w:rPr>
        <w:tab/>
      </w:r>
      <w:r w:rsidR="00980472" w:rsidRPr="00F5204A">
        <w:rPr>
          <w:rFonts w:cs="Arial"/>
          <w:szCs w:val="20"/>
        </w:rPr>
        <w:tab/>
      </w:r>
      <w:r w:rsidR="00A22E85" w:rsidRPr="00F5204A">
        <w:rPr>
          <w:rFonts w:cs="Arial"/>
          <w:szCs w:val="20"/>
        </w:rPr>
        <w:t xml:space="preserve">= </w:t>
      </w:r>
      <w:r w:rsidR="00A22E85" w:rsidRPr="00F5204A">
        <w:rPr>
          <w:rFonts w:cs="Arial"/>
          <w:szCs w:val="20"/>
        </w:rPr>
        <w:sym w:font="Symbol" w:char="F044"/>
      </w:r>
      <w:r w:rsidR="00A22E85" w:rsidRPr="00F5204A">
        <w:rPr>
          <w:rFonts w:cs="Arial"/>
          <w:szCs w:val="20"/>
        </w:rPr>
        <w:t xml:space="preserve">kW X CF X (1+IF demand) </w:t>
      </w:r>
    </w:p>
    <w:p w:rsidR="00A22E85" w:rsidRPr="007B643A" w:rsidRDefault="00C3144A" w:rsidP="001E6208">
      <w:pPr>
        <w:pStyle w:val="Equation"/>
        <w:keepNext/>
        <w:rPr>
          <w:rFonts w:cs="Arial"/>
          <w:szCs w:val="20"/>
        </w:rPr>
      </w:pPr>
      <w:r w:rsidRPr="00F5204A">
        <w:rPr>
          <w:rFonts w:cs="Arial"/>
          <w:szCs w:val="20"/>
        </w:rPr>
        <w:sym w:font="Symbol" w:char="F044"/>
      </w:r>
      <w:r w:rsidRPr="00F5204A">
        <w:rPr>
          <w:rFonts w:cs="Arial"/>
          <w:szCs w:val="20"/>
        </w:rPr>
        <w:t>kWh</w:t>
      </w:r>
      <w:r w:rsidRPr="00F5204A">
        <w:rPr>
          <w:rFonts w:cs="Arial"/>
          <w:szCs w:val="20"/>
        </w:rPr>
        <w:tab/>
      </w:r>
      <w:r w:rsidR="00980472" w:rsidRPr="00F5204A">
        <w:rPr>
          <w:rFonts w:cs="Arial"/>
          <w:szCs w:val="20"/>
        </w:rPr>
        <w:tab/>
      </w:r>
      <w:r w:rsidR="00A22E85" w:rsidRPr="00F5204A">
        <w:rPr>
          <w:rFonts w:cs="Arial"/>
          <w:szCs w:val="20"/>
        </w:rPr>
        <w:t xml:space="preserve">= </w:t>
      </w:r>
      <w:r w:rsidR="007B643A">
        <w:rPr>
          <w:rFonts w:cs="Arial"/>
          <w:szCs w:val="20"/>
        </w:rPr>
        <w:t>kWh</w:t>
      </w:r>
      <w:r w:rsidR="007B643A">
        <w:rPr>
          <w:rFonts w:cs="Arial"/>
          <w:szCs w:val="20"/>
          <w:vertAlign w:val="subscript"/>
        </w:rPr>
        <w:t>base</w:t>
      </w:r>
      <w:r w:rsidR="00A22E85" w:rsidRPr="00F5204A">
        <w:rPr>
          <w:rFonts w:cs="Arial"/>
          <w:szCs w:val="20"/>
        </w:rPr>
        <w:t xml:space="preserve"> – </w:t>
      </w:r>
      <w:r w:rsidR="007B643A">
        <w:rPr>
          <w:rFonts w:cs="Arial"/>
          <w:szCs w:val="20"/>
        </w:rPr>
        <w:t>kWh</w:t>
      </w:r>
      <w:r w:rsidR="007B643A">
        <w:rPr>
          <w:rFonts w:cs="Arial"/>
          <w:szCs w:val="20"/>
          <w:vertAlign w:val="subscript"/>
        </w:rPr>
        <w:t>ee</w:t>
      </w:r>
    </w:p>
    <w:p w:rsidR="007B643A" w:rsidRPr="007B643A" w:rsidRDefault="007B643A" w:rsidP="007B643A">
      <w:pPr>
        <w:pStyle w:val="Equation"/>
        <w:keepNext/>
        <w:rPr>
          <w:rFonts w:cs="Arial"/>
          <w:szCs w:val="20"/>
        </w:rPr>
      </w:pPr>
      <w:r>
        <w:rPr>
          <w:rFonts w:cs="Arial"/>
          <w:szCs w:val="20"/>
        </w:rPr>
        <w:t>kWh</w:t>
      </w:r>
      <w:r>
        <w:rPr>
          <w:rFonts w:cs="Arial"/>
          <w:szCs w:val="20"/>
          <w:vertAlign w:val="subscript"/>
        </w:rPr>
        <w:t>base</w:t>
      </w:r>
      <w:r>
        <w:rPr>
          <w:rFonts w:cs="Arial"/>
          <w:szCs w:val="20"/>
        </w:rPr>
        <w:tab/>
      </w:r>
      <w:r>
        <w:rPr>
          <w:rFonts w:cs="Arial"/>
          <w:szCs w:val="20"/>
        </w:rPr>
        <w:tab/>
        <w:t xml:space="preserve">= </w:t>
      </w:r>
      <w:r w:rsidRPr="00F5204A">
        <w:rPr>
          <w:rFonts w:cs="Arial"/>
          <w:szCs w:val="20"/>
        </w:rPr>
        <w:t>kW</w:t>
      </w:r>
      <w:r w:rsidRPr="00F5204A">
        <w:rPr>
          <w:rFonts w:cs="Arial"/>
          <w:szCs w:val="20"/>
          <w:vertAlign w:val="subscript"/>
        </w:rPr>
        <w:t>base</w:t>
      </w:r>
      <w:r w:rsidRPr="00F5204A">
        <w:rPr>
          <w:rFonts w:cs="Arial"/>
          <w:szCs w:val="20"/>
        </w:rPr>
        <w:t xml:space="preserve"> X(1+IF energy) X H</w:t>
      </w:r>
      <w:r>
        <w:rPr>
          <w:rFonts w:cs="Arial"/>
          <w:szCs w:val="20"/>
        </w:rPr>
        <w:t>OU</w:t>
      </w:r>
    </w:p>
    <w:p w:rsidR="007B643A" w:rsidRPr="007B643A" w:rsidRDefault="007B643A" w:rsidP="007B643A">
      <w:pPr>
        <w:pStyle w:val="Equation"/>
        <w:keepNext/>
        <w:rPr>
          <w:rFonts w:cs="Arial"/>
          <w:szCs w:val="20"/>
        </w:rPr>
      </w:pPr>
      <w:r>
        <w:rPr>
          <w:rFonts w:cs="Arial"/>
          <w:szCs w:val="20"/>
        </w:rPr>
        <w:t>kWh</w:t>
      </w:r>
      <w:r>
        <w:rPr>
          <w:rFonts w:cs="Arial"/>
          <w:szCs w:val="20"/>
          <w:vertAlign w:val="subscript"/>
        </w:rPr>
        <w:t>ee</w:t>
      </w:r>
      <w:r>
        <w:rPr>
          <w:rFonts w:cs="Arial"/>
          <w:szCs w:val="20"/>
        </w:rPr>
        <w:tab/>
      </w:r>
      <w:r>
        <w:rPr>
          <w:rFonts w:cs="Arial"/>
          <w:szCs w:val="20"/>
        </w:rPr>
        <w:tab/>
        <w:t xml:space="preserve">= </w:t>
      </w:r>
      <w:r w:rsidRPr="00F5204A">
        <w:rPr>
          <w:rFonts w:cs="Arial"/>
          <w:szCs w:val="20"/>
        </w:rPr>
        <w:t>kW</w:t>
      </w:r>
      <w:r w:rsidRPr="00F5204A">
        <w:rPr>
          <w:rFonts w:cs="Arial"/>
          <w:szCs w:val="20"/>
          <w:vertAlign w:val="subscript"/>
        </w:rPr>
        <w:t>ee</w:t>
      </w:r>
      <w:r w:rsidRPr="00F5204A">
        <w:rPr>
          <w:rFonts w:cs="Arial"/>
          <w:szCs w:val="20"/>
        </w:rPr>
        <w:t xml:space="preserve"> X(1+IF energy) X H</w:t>
      </w:r>
      <w:r>
        <w:rPr>
          <w:rFonts w:cs="Arial"/>
          <w:szCs w:val="20"/>
        </w:rPr>
        <w:t>OU X (1 – SVG)</w:t>
      </w:r>
    </w:p>
    <w:p w:rsidR="00BC49F4" w:rsidRPr="00DA6F5F" w:rsidRDefault="00BC49F4" w:rsidP="00BC49F4">
      <w:pPr>
        <w:pStyle w:val="BodyText"/>
      </w:pPr>
      <w:r w:rsidRPr="00DA6F5F">
        <w:t>For new construction and facility renovation projects, savings are calculated as described in</w:t>
      </w:r>
      <w:r>
        <w:t xml:space="preserve"> Section </w:t>
      </w:r>
      <w:r w:rsidR="007A1FB6">
        <w:fldChar w:fldCharType="begin"/>
      </w:r>
      <w:r>
        <w:instrText xml:space="preserve"> REF _Ref276389728 \r \h </w:instrText>
      </w:r>
      <w:r w:rsidR="007A1FB6">
        <w:fldChar w:fldCharType="separate"/>
      </w:r>
      <w:r w:rsidR="00C0292F">
        <w:t>3.2.7</w:t>
      </w:r>
      <w:r w:rsidR="007A1FB6">
        <w:fldChar w:fldCharType="end"/>
      </w:r>
      <w:r>
        <w:t xml:space="preserve">, </w:t>
      </w:r>
      <w:r w:rsidR="007A1FB6">
        <w:fldChar w:fldCharType="begin"/>
      </w:r>
      <w:r>
        <w:instrText xml:space="preserve"> REF _Ref248729259 \h </w:instrText>
      </w:r>
      <w:r w:rsidR="007A1FB6">
        <w:fldChar w:fldCharType="separate"/>
      </w:r>
      <w:r w:rsidR="00C0292F" w:rsidRPr="00DA6F5F">
        <w:t>New Construction and Building Additions</w:t>
      </w:r>
      <w:r w:rsidR="007A1FB6">
        <w:fldChar w:fldCharType="end"/>
      </w:r>
      <w:r w:rsidRPr="00DA6F5F">
        <w:t>.</w:t>
      </w:r>
    </w:p>
    <w:p w:rsidR="00BC49F4" w:rsidRPr="00DA6F5F" w:rsidRDefault="00BC49F4" w:rsidP="00BC49F4">
      <w:pPr>
        <w:pStyle w:val="BodyText"/>
      </w:pPr>
      <w:r w:rsidRPr="00DA6F5F">
        <w:t xml:space="preserve">For retrofit projects, </w:t>
      </w:r>
      <w:r>
        <w:t xml:space="preserve">select the appropriate method from Section </w:t>
      </w:r>
      <w:r w:rsidR="007A1FB6">
        <w:fldChar w:fldCharType="begin"/>
      </w:r>
      <w:r>
        <w:instrText xml:space="preserve"> REF _Ref276389728 \r \h </w:instrText>
      </w:r>
      <w:r w:rsidR="007A1FB6">
        <w:fldChar w:fldCharType="separate"/>
      </w:r>
      <w:r w:rsidR="00C0292F">
        <w:t>3.2.7</w:t>
      </w:r>
      <w:r w:rsidR="007A1FB6">
        <w:fldChar w:fldCharType="end"/>
      </w:r>
      <w:r>
        <w:t xml:space="preserve">, </w:t>
      </w:r>
      <w:r w:rsidR="007A1FB6">
        <w:fldChar w:fldCharType="begin"/>
      </w:r>
      <w:r>
        <w:instrText xml:space="preserve"> REF _Ref248729727 \h </w:instrText>
      </w:r>
      <w:r w:rsidR="007A1FB6">
        <w:fldChar w:fldCharType="separate"/>
      </w:r>
      <w:r w:rsidR="00C0292F" w:rsidRPr="00DA6F5F">
        <w:t>Prescriptive Lighting Improvements</w:t>
      </w:r>
      <w:r w:rsidR="007A1FB6">
        <w:fldChar w:fldCharType="end"/>
      </w:r>
      <w:r>
        <w:t xml:space="preserve">.  </w:t>
      </w:r>
      <w:r w:rsidRPr="00DA6F5F">
        <w:t xml:space="preserve"> </w:t>
      </w:r>
    </w:p>
    <w:p w:rsidR="00A22E85" w:rsidRPr="00EC46F4" w:rsidRDefault="00C3144A" w:rsidP="00871FA2">
      <w:pPr>
        <w:pStyle w:val="Heading3"/>
      </w:pPr>
      <w:r>
        <w:t>Definition of Terms</w:t>
      </w:r>
    </w:p>
    <w:p w:rsidR="00A22E85" w:rsidRPr="00F5204A" w:rsidRDefault="00980472" w:rsidP="00980472">
      <w:pPr>
        <w:pStyle w:val="Equation"/>
        <w:rPr>
          <w:rFonts w:cs="Arial"/>
          <w:szCs w:val="20"/>
        </w:rPr>
      </w:pPr>
      <w:r w:rsidRPr="00F5204A">
        <w:rPr>
          <w:rFonts w:cs="Arial"/>
          <w:szCs w:val="20"/>
        </w:rPr>
        <w:tab/>
      </w:r>
      <w:r w:rsidR="00A22E85" w:rsidRPr="00F5204A">
        <w:rPr>
          <w:rFonts w:cs="Arial"/>
          <w:szCs w:val="20"/>
        </w:rPr>
        <w:sym w:font="Symbol" w:char="F044"/>
      </w:r>
      <w:r w:rsidR="00A22E85" w:rsidRPr="00F5204A">
        <w:rPr>
          <w:rFonts w:cs="Arial"/>
          <w:szCs w:val="20"/>
        </w:rPr>
        <w:t xml:space="preserve">kW </w:t>
      </w:r>
      <w:r w:rsidRPr="00F5204A">
        <w:rPr>
          <w:rFonts w:cs="Arial"/>
          <w:szCs w:val="20"/>
        </w:rPr>
        <w:tab/>
      </w:r>
      <w:r w:rsidR="00A22E85" w:rsidRPr="00F5204A">
        <w:rPr>
          <w:rFonts w:cs="Arial"/>
          <w:szCs w:val="20"/>
        </w:rPr>
        <w:t xml:space="preserve">= Change in connected load from baseline (pre-retrofit) to installed (post-retrofit) lighting level.  </w:t>
      </w:r>
    </w:p>
    <w:p w:rsidR="00A22E85" w:rsidRPr="00F5204A" w:rsidRDefault="00980472" w:rsidP="00980472">
      <w:pPr>
        <w:pStyle w:val="Equation"/>
        <w:rPr>
          <w:rFonts w:cs="Arial"/>
          <w:szCs w:val="20"/>
        </w:rPr>
      </w:pPr>
      <w:r w:rsidRPr="00F5204A">
        <w:rPr>
          <w:rFonts w:cs="Arial"/>
          <w:szCs w:val="20"/>
        </w:rPr>
        <w:tab/>
      </w:r>
      <w:r w:rsidR="00A22E85" w:rsidRPr="00F5204A">
        <w:rPr>
          <w:rFonts w:cs="Arial"/>
          <w:szCs w:val="20"/>
        </w:rPr>
        <w:t>kW</w:t>
      </w:r>
      <w:r w:rsidR="00A22E85" w:rsidRPr="00781BA3">
        <w:rPr>
          <w:rFonts w:cs="Arial"/>
          <w:szCs w:val="20"/>
          <w:vertAlign w:val="subscript"/>
        </w:rPr>
        <w:t xml:space="preserve">base </w:t>
      </w:r>
      <w:r w:rsidRPr="00F5204A">
        <w:rPr>
          <w:rFonts w:cs="Arial"/>
          <w:szCs w:val="20"/>
        </w:rPr>
        <w:tab/>
      </w:r>
      <w:r w:rsidR="00A22E85" w:rsidRPr="00F5204A">
        <w:rPr>
          <w:rFonts w:cs="Arial"/>
          <w:szCs w:val="20"/>
        </w:rPr>
        <w:t>= kW of baseline lighting as defined</w:t>
      </w:r>
      <w:r w:rsidR="00FD6030" w:rsidRPr="00F5204A">
        <w:rPr>
          <w:rFonts w:cs="Arial"/>
          <w:szCs w:val="20"/>
        </w:rPr>
        <w:t xml:space="preserve"> by project classification</w:t>
      </w:r>
      <w:r w:rsidR="00A22E85" w:rsidRPr="00F5204A">
        <w:rPr>
          <w:rFonts w:cs="Arial"/>
          <w:szCs w:val="20"/>
        </w:rPr>
        <w:t>.</w:t>
      </w:r>
    </w:p>
    <w:p w:rsidR="00A22E85" w:rsidRPr="00F5204A" w:rsidRDefault="00980472" w:rsidP="00980472">
      <w:pPr>
        <w:pStyle w:val="Equation"/>
        <w:rPr>
          <w:rFonts w:cs="Arial"/>
          <w:szCs w:val="20"/>
        </w:rPr>
      </w:pPr>
      <w:r w:rsidRPr="00F5204A">
        <w:rPr>
          <w:rFonts w:cs="Arial"/>
          <w:szCs w:val="20"/>
        </w:rPr>
        <w:tab/>
      </w:r>
      <w:r w:rsidR="00C3144A" w:rsidRPr="00F5204A">
        <w:rPr>
          <w:rFonts w:cs="Arial"/>
          <w:szCs w:val="20"/>
        </w:rPr>
        <w:t>kW</w:t>
      </w:r>
      <w:r w:rsidR="00C3144A" w:rsidRPr="00781BA3">
        <w:rPr>
          <w:rFonts w:cs="Arial"/>
          <w:szCs w:val="20"/>
          <w:vertAlign w:val="subscript"/>
        </w:rPr>
        <w:t>ee</w:t>
      </w:r>
      <w:r w:rsidRPr="00F5204A">
        <w:rPr>
          <w:rFonts w:cs="Arial"/>
          <w:szCs w:val="20"/>
        </w:rPr>
        <w:tab/>
      </w:r>
      <w:r w:rsidR="00A22E85" w:rsidRPr="00F5204A">
        <w:rPr>
          <w:rFonts w:cs="Arial"/>
          <w:szCs w:val="20"/>
        </w:rPr>
        <w:t>= kW of</w:t>
      </w:r>
      <w:r w:rsidR="00FE5711" w:rsidRPr="00F5204A">
        <w:rPr>
          <w:rFonts w:cs="Arial"/>
          <w:szCs w:val="20"/>
        </w:rPr>
        <w:t xml:space="preserve"> post-retrofit or energy-efficient lighting system as defined in Section </w:t>
      </w:r>
      <w:r w:rsidR="00555985" w:rsidRPr="00F5204A">
        <w:rPr>
          <w:rFonts w:cs="Arial"/>
          <w:szCs w:val="20"/>
        </w:rPr>
        <w:t>3.2.5</w:t>
      </w:r>
      <w:r w:rsidR="00A22E85" w:rsidRPr="00F5204A">
        <w:rPr>
          <w:rFonts w:cs="Arial"/>
          <w:szCs w:val="20"/>
        </w:rPr>
        <w:t>.</w:t>
      </w:r>
    </w:p>
    <w:p w:rsidR="00A22E85" w:rsidRPr="00F5204A" w:rsidRDefault="00980472" w:rsidP="00980472">
      <w:pPr>
        <w:pStyle w:val="Equation"/>
        <w:rPr>
          <w:rFonts w:cs="Arial"/>
          <w:szCs w:val="20"/>
        </w:rPr>
      </w:pPr>
      <w:r w:rsidRPr="00F5204A">
        <w:rPr>
          <w:rFonts w:cs="Arial"/>
          <w:szCs w:val="20"/>
        </w:rPr>
        <w:tab/>
      </w:r>
      <w:r w:rsidR="00A22E85" w:rsidRPr="00F5204A">
        <w:rPr>
          <w:rFonts w:cs="Arial"/>
          <w:szCs w:val="20"/>
        </w:rPr>
        <w:t xml:space="preserve">CF </w:t>
      </w:r>
      <w:r w:rsidRPr="00F5204A">
        <w:rPr>
          <w:rFonts w:cs="Arial"/>
          <w:szCs w:val="20"/>
        </w:rPr>
        <w:tab/>
      </w:r>
      <w:r w:rsidR="00A22E85" w:rsidRPr="00F5204A">
        <w:rPr>
          <w:rFonts w:cs="Arial"/>
          <w:szCs w:val="20"/>
        </w:rPr>
        <w:t xml:space="preserve">= </w:t>
      </w:r>
      <w:r w:rsidR="005478EE" w:rsidRPr="00F5204A">
        <w:rPr>
          <w:rFonts w:cs="Arial"/>
          <w:szCs w:val="20"/>
        </w:rPr>
        <w:t>Demand Coincidence Factor (See Section 1.4)</w:t>
      </w:r>
    </w:p>
    <w:p w:rsidR="00A22E85" w:rsidRPr="00F5204A" w:rsidRDefault="00980472" w:rsidP="00980472">
      <w:pPr>
        <w:pStyle w:val="Equation"/>
        <w:rPr>
          <w:rFonts w:cs="Arial"/>
          <w:szCs w:val="20"/>
        </w:rPr>
      </w:pPr>
      <w:r w:rsidRPr="00F5204A">
        <w:rPr>
          <w:rFonts w:cs="Arial"/>
          <w:szCs w:val="20"/>
        </w:rPr>
        <w:tab/>
      </w:r>
      <w:r w:rsidR="001D635F">
        <w:rPr>
          <w:rFonts w:cs="Arial"/>
          <w:szCs w:val="20"/>
        </w:rPr>
        <w:t>HOU</w:t>
      </w:r>
      <w:r w:rsidR="001D635F" w:rsidRPr="00F5204A">
        <w:rPr>
          <w:rFonts w:cs="Arial"/>
          <w:szCs w:val="20"/>
        </w:rPr>
        <w:t xml:space="preserve"> </w:t>
      </w:r>
      <w:r w:rsidRPr="00F5204A">
        <w:rPr>
          <w:rFonts w:cs="Arial"/>
          <w:szCs w:val="20"/>
        </w:rPr>
        <w:tab/>
      </w:r>
      <w:r w:rsidR="00A22E85" w:rsidRPr="00BC49F4">
        <w:t>= Hours</w:t>
      </w:r>
      <w:r w:rsidR="001D635F" w:rsidRPr="00BC49F4">
        <w:t xml:space="preserve"> of Use</w:t>
      </w:r>
      <w:r w:rsidR="00A22E85" w:rsidRPr="00BC49F4">
        <w:t xml:space="preserve"> – the average annual operating hours of the baseline lighting equipment, which if applied to full connected load will yield annual energy use.</w:t>
      </w:r>
    </w:p>
    <w:p w:rsidR="00A22E85" w:rsidRPr="00F5204A" w:rsidRDefault="00980472" w:rsidP="00980472">
      <w:pPr>
        <w:pStyle w:val="Equation"/>
        <w:rPr>
          <w:rFonts w:cs="Arial"/>
          <w:szCs w:val="20"/>
        </w:rPr>
      </w:pPr>
      <w:r w:rsidRPr="00F5204A">
        <w:rPr>
          <w:rFonts w:cs="Arial"/>
          <w:szCs w:val="20"/>
        </w:rPr>
        <w:lastRenderedPageBreak/>
        <w:tab/>
      </w:r>
      <w:r w:rsidR="00A22E85" w:rsidRPr="00F5204A">
        <w:rPr>
          <w:rFonts w:cs="Arial"/>
          <w:szCs w:val="20"/>
        </w:rPr>
        <w:t xml:space="preserve">IF demand </w:t>
      </w:r>
      <w:r w:rsidRPr="00F5204A">
        <w:rPr>
          <w:rFonts w:cs="Arial"/>
          <w:szCs w:val="20"/>
        </w:rPr>
        <w:tab/>
      </w:r>
      <w:r w:rsidR="00A22E85" w:rsidRPr="00F5204A">
        <w:rPr>
          <w:rFonts w:cs="Arial"/>
          <w:szCs w:val="20"/>
        </w:rPr>
        <w:t xml:space="preserve">= Interactive HVAC Demand Factor – applies to C&amp;I interior lighting in space that has air conditioning or refrigeration only.  This </w:t>
      </w:r>
      <w:r w:rsidR="00DA6F5F" w:rsidRPr="00F5204A">
        <w:rPr>
          <w:rFonts w:cs="Arial"/>
          <w:szCs w:val="20"/>
        </w:rPr>
        <w:t>represents the secondary demand</w:t>
      </w:r>
      <w:r w:rsidR="00A22E85" w:rsidRPr="00F5204A">
        <w:rPr>
          <w:rFonts w:cs="Arial"/>
          <w:szCs w:val="20"/>
        </w:rPr>
        <w:t xml:space="preserve"> savings in cooling required which results</w:t>
      </w:r>
      <w:r w:rsidR="00DA6F5F" w:rsidRPr="00F5204A">
        <w:rPr>
          <w:rFonts w:cs="Arial"/>
          <w:szCs w:val="20"/>
        </w:rPr>
        <w:t xml:space="preserve"> </w:t>
      </w:r>
      <w:r w:rsidR="00A22E85" w:rsidRPr="00F5204A">
        <w:rPr>
          <w:rFonts w:cs="Arial"/>
          <w:szCs w:val="20"/>
        </w:rPr>
        <w:t xml:space="preserve">from decreased indoor lighting wattage. </w:t>
      </w:r>
    </w:p>
    <w:p w:rsidR="00A22E85" w:rsidRPr="00F5204A" w:rsidRDefault="00980472" w:rsidP="00980472">
      <w:pPr>
        <w:pStyle w:val="Equation"/>
        <w:rPr>
          <w:rFonts w:cs="Arial"/>
          <w:szCs w:val="20"/>
        </w:rPr>
      </w:pPr>
      <w:r w:rsidRPr="00F5204A">
        <w:rPr>
          <w:rFonts w:cs="Arial"/>
          <w:szCs w:val="20"/>
        </w:rPr>
        <w:tab/>
      </w:r>
      <w:r w:rsidR="00A22E85" w:rsidRPr="00F5204A">
        <w:rPr>
          <w:rFonts w:cs="Arial"/>
          <w:szCs w:val="20"/>
        </w:rPr>
        <w:t xml:space="preserve">IF energy </w:t>
      </w:r>
      <w:r w:rsidRPr="00F5204A">
        <w:rPr>
          <w:rFonts w:cs="Arial"/>
          <w:szCs w:val="20"/>
        </w:rPr>
        <w:tab/>
      </w:r>
      <w:r w:rsidR="00A22E85" w:rsidRPr="00F5204A">
        <w:rPr>
          <w:rFonts w:cs="Arial"/>
          <w:szCs w:val="20"/>
        </w:rPr>
        <w:t>= Interactive HVAC Energy Factor – applies to C&amp;I interior lighting in space that has air conditioning or refrigeration only.  This represents the secondary energy savings in cooling required which results from decreased indoor lighting wattage.</w:t>
      </w:r>
    </w:p>
    <w:p w:rsidR="00A22E85" w:rsidRPr="00F5204A" w:rsidRDefault="00980472" w:rsidP="00980472">
      <w:pPr>
        <w:pStyle w:val="Equation"/>
        <w:rPr>
          <w:rFonts w:cs="Arial"/>
          <w:szCs w:val="20"/>
        </w:rPr>
      </w:pPr>
      <w:r w:rsidRPr="00F5204A">
        <w:rPr>
          <w:rFonts w:cs="Arial"/>
          <w:szCs w:val="20"/>
        </w:rPr>
        <w:tab/>
      </w:r>
      <w:r w:rsidR="00A22E85" w:rsidRPr="00F5204A">
        <w:rPr>
          <w:rFonts w:cs="Arial"/>
          <w:szCs w:val="20"/>
        </w:rPr>
        <w:t xml:space="preserve">SVG </w:t>
      </w:r>
      <w:r w:rsidRPr="00F5204A">
        <w:rPr>
          <w:rFonts w:cs="Arial"/>
          <w:szCs w:val="20"/>
        </w:rPr>
        <w:tab/>
      </w:r>
      <w:r w:rsidR="00A22E85" w:rsidRPr="00F5204A">
        <w:rPr>
          <w:rFonts w:cs="Arial"/>
          <w:szCs w:val="20"/>
        </w:rPr>
        <w:t>= The percent of time that lights are off due to lighting controls relative to the baseline controls system (typically manual switch).</w:t>
      </w:r>
    </w:p>
    <w:p w:rsidR="00A22E85" w:rsidRDefault="00A22E85" w:rsidP="00871FA2">
      <w:pPr>
        <w:pStyle w:val="Heading3"/>
        <w:rPr>
          <w:szCs w:val="24"/>
        </w:rPr>
      </w:pPr>
      <w:r>
        <w:t>Baseline Assumptions</w:t>
      </w:r>
    </w:p>
    <w:p w:rsidR="00BD2B35" w:rsidRPr="00BD2B35" w:rsidRDefault="00BD2B35" w:rsidP="00BD2B35">
      <w:r w:rsidRPr="00BD2B35">
        <w:t>The following are acceptable methods for determining baseline conditions when verification by direct inspection is not possible as may occur in a rebate program where customers submit an application and equipment receipts only after installing efficient lighting equipment, or for a retroactive project as allowed by Act 129. In order of preference:</w:t>
      </w:r>
    </w:p>
    <w:p w:rsidR="00BD2B35" w:rsidRPr="00BD2B35" w:rsidRDefault="00BD2B35" w:rsidP="0005632A">
      <w:pPr>
        <w:numPr>
          <w:ilvl w:val="0"/>
          <w:numId w:val="25"/>
        </w:numPr>
        <w:spacing w:after="120"/>
        <w:ind w:left="720"/>
      </w:pPr>
      <w:r w:rsidRPr="00BD2B35">
        <w:t xml:space="preserve">Examination of replaced lighting equipment that is still on site waiting to be recycled </w:t>
      </w:r>
      <w:r w:rsidRPr="00781BA3">
        <w:t>or otherwise disposed of</w:t>
      </w:r>
      <w:r w:rsidRPr="00BD2B35">
        <w:t>.</w:t>
      </w:r>
    </w:p>
    <w:p w:rsidR="00BD2B35" w:rsidRPr="00BD2B35" w:rsidRDefault="00BD2B35" w:rsidP="0005632A">
      <w:pPr>
        <w:numPr>
          <w:ilvl w:val="0"/>
          <w:numId w:val="25"/>
        </w:numPr>
        <w:spacing w:after="120"/>
        <w:ind w:left="720"/>
      </w:pPr>
      <w:r w:rsidRPr="00BD2B35">
        <w:t xml:space="preserve">Examination of replacement lamp and ballast inventories where </w:t>
      </w:r>
      <w:r w:rsidRPr="00781BA3">
        <w:t>the customer has</w:t>
      </w:r>
      <w:r w:rsidRPr="00BD2B35">
        <w:t xml:space="preserve"> replacement equipment for the retrofitted fixtures in stock.  The inventory must be under the control of the customer or customer’s agent.  </w:t>
      </w:r>
    </w:p>
    <w:p w:rsidR="00BD2B35" w:rsidRPr="00BD2B35" w:rsidRDefault="00BD2B35" w:rsidP="0005632A">
      <w:pPr>
        <w:numPr>
          <w:ilvl w:val="0"/>
          <w:numId w:val="25"/>
        </w:numPr>
        <w:spacing w:after="120"/>
        <w:ind w:left="720"/>
      </w:pPr>
      <w:r w:rsidRPr="00BD2B35">
        <w:t xml:space="preserve">Interviews with and written statements from customers, facility managers, building engineers or others with firsthand knowledge about purchasing and operating practices at the affected site(s) identifying the lamp and ballast configuration(s) of the baseline condition.  </w:t>
      </w:r>
    </w:p>
    <w:p w:rsidR="00BD2B35" w:rsidRPr="00BD2B35" w:rsidRDefault="00BD2B35" w:rsidP="0005632A">
      <w:pPr>
        <w:numPr>
          <w:ilvl w:val="0"/>
          <w:numId w:val="25"/>
        </w:numPr>
        <w:ind w:left="720"/>
      </w:pPr>
      <w:r w:rsidRPr="00BD2B35">
        <w:t xml:space="preserve">Interviews with and written statements from the project’s lighting contractor </w:t>
      </w:r>
      <w:r w:rsidRPr="00781BA3">
        <w:t xml:space="preserve">or the customer’s project coordinator </w:t>
      </w:r>
      <w:r w:rsidRPr="00BD2B35">
        <w:t>identifying the lamp and ballast configuration(s) of the baseline equipment</w:t>
      </w:r>
    </w:p>
    <w:p w:rsidR="00A22E85" w:rsidRPr="00DA6F5F" w:rsidRDefault="00A22E85" w:rsidP="00871FA2">
      <w:pPr>
        <w:pStyle w:val="Heading3"/>
      </w:pPr>
      <w:r w:rsidRPr="00DA6F5F">
        <w:t>Detailed Inventory Form</w:t>
      </w:r>
    </w:p>
    <w:p w:rsidR="00A22E85" w:rsidRPr="00DA6F5F" w:rsidRDefault="00A22E85" w:rsidP="005D7F62">
      <w:r w:rsidRPr="00DA6F5F">
        <w:t>For lighting improvement projects, savings are generally proportional to the number of fixtures installed or replaced.   The method of savings verification will vary depending on the size of the project because fixtures can be hand-counted to a reasonable degree to a limit.</w:t>
      </w:r>
    </w:p>
    <w:p w:rsidR="00A22E85" w:rsidRPr="00DA6F5F" w:rsidRDefault="00A22E85" w:rsidP="00E568D4">
      <w:pPr>
        <w:pStyle w:val="Heading4"/>
      </w:pPr>
      <w:r w:rsidRPr="00DA6F5F">
        <w:t>Projects with</w:t>
      </w:r>
      <w:r w:rsidR="001E25F2">
        <w:t xml:space="preserve"> </w:t>
      </w:r>
      <w:r w:rsidR="00BA1727">
        <w:t xml:space="preserve">connected load savings </w:t>
      </w:r>
      <w:r w:rsidR="001E25F2">
        <w:t>less than 20 kW</w:t>
      </w:r>
    </w:p>
    <w:p w:rsidR="00A22E85" w:rsidRPr="00DA6F5F" w:rsidRDefault="00A22E85" w:rsidP="00CD0AE9">
      <w:r w:rsidRPr="00DA6F5F">
        <w:t xml:space="preserve">For projects having less than 20kW in </w:t>
      </w:r>
      <w:r w:rsidR="00B10493">
        <w:t xml:space="preserve">connected load </w:t>
      </w:r>
      <w:r w:rsidRPr="00DA6F5F">
        <w:t xml:space="preserve">savings, a detailed inventory is not required but information sufficient to validate savings according to the algorithm </w:t>
      </w:r>
      <w:r w:rsidR="00017080">
        <w:t xml:space="preserve">in </w:t>
      </w:r>
      <w:r w:rsidR="008818D2">
        <w:t xml:space="preserve">Section </w:t>
      </w:r>
      <w:r w:rsidR="007A1FB6">
        <w:fldChar w:fldCharType="begin"/>
      </w:r>
      <w:r w:rsidR="008818D2">
        <w:instrText xml:space="preserve"> REF _Ref275549499 \r \h </w:instrText>
      </w:r>
      <w:r w:rsidR="007A1FB6">
        <w:fldChar w:fldCharType="separate"/>
      </w:r>
      <w:r w:rsidR="00C0292F">
        <w:t>3.2.2</w:t>
      </w:r>
      <w:r w:rsidR="007A1FB6">
        <w:fldChar w:fldCharType="end"/>
      </w:r>
      <w:r w:rsidR="00017080" w:rsidRPr="00DA6F5F">
        <w:t xml:space="preserve"> </w:t>
      </w:r>
      <w:r w:rsidRPr="00DA6F5F">
        <w:t>must be included in the documentation. This includes identification of baseline equipment utilized for quantifying kW base. Appendix C</w:t>
      </w:r>
      <w:r w:rsidR="00B10493">
        <w:t xml:space="preserve"> contains a prescriptive lighting table</w:t>
      </w:r>
      <w:r w:rsidRPr="00DA6F5F">
        <w:t>, which can estimate savings for small, simple projects under 20kW in savings</w:t>
      </w:r>
      <w:r w:rsidR="00B10493">
        <w:t xml:space="preserve"> provided that the user self-certifies the baseline condition</w:t>
      </w:r>
      <w:r w:rsidR="00C46FD5">
        <w:t>,</w:t>
      </w:r>
      <w:r w:rsidR="000248D6">
        <w:t xml:space="preserve"> </w:t>
      </w:r>
      <w:r w:rsidR="000248D6">
        <w:rPr>
          <w:rFonts w:ascii="PalatinoLinotype" w:hAnsi="PalatinoLinotype" w:cs="PalatinoLinotype"/>
        </w:rPr>
        <w:t>and information on pre</w:t>
      </w:r>
      <w:r w:rsidR="00CD0AE9">
        <w:rPr>
          <w:rFonts w:ascii="PalatinoLinotype" w:hAnsi="PalatinoLinotype" w:cs="PalatinoLinotype"/>
        </w:rPr>
        <w:t xml:space="preserve">-installation </w:t>
      </w:r>
      <w:r w:rsidR="000248D6">
        <w:rPr>
          <w:rFonts w:ascii="PalatinoLinotype" w:hAnsi="PalatinoLinotype" w:cs="PalatinoLinotype"/>
        </w:rPr>
        <w:t>conditions include, at a minimum</w:t>
      </w:r>
      <w:r w:rsidR="00CD0AE9">
        <w:rPr>
          <w:rFonts w:ascii="PalatinoLinotype" w:hAnsi="PalatinoLinotype" w:cs="PalatinoLinotype"/>
        </w:rPr>
        <w:t xml:space="preserve">, </w:t>
      </w:r>
      <w:r w:rsidR="00CD0AE9" w:rsidDel="00CD0AE9">
        <w:rPr>
          <w:rFonts w:ascii="PalatinoLinotype" w:hAnsi="PalatinoLinotype" w:cs="PalatinoLinotype"/>
        </w:rPr>
        <w:t xml:space="preserve"> </w:t>
      </w:r>
      <w:r w:rsidR="000248D6">
        <w:rPr>
          <w:rFonts w:ascii="PalatinoLinotype" w:hAnsi="PalatinoLinotype" w:cs="PalatinoLinotype"/>
        </w:rPr>
        <w:t>lamp type, lamp wattage, ballast type and fixture</w:t>
      </w:r>
      <w:r w:rsidR="00CD0AE9">
        <w:rPr>
          <w:rFonts w:ascii="PalatinoLinotype" w:hAnsi="PalatinoLinotype" w:cs="PalatinoLinotype"/>
        </w:rPr>
        <w:t xml:space="preserve"> </w:t>
      </w:r>
      <w:r w:rsidR="000248D6">
        <w:rPr>
          <w:rFonts w:ascii="PalatinoLinotype" w:hAnsi="PalatinoLinotype" w:cs="PalatinoLinotype"/>
        </w:rPr>
        <w:t>configuration (2 lamp, 4 lamp, etc.)</w:t>
      </w:r>
      <w:r w:rsidR="000248D6">
        <w:t>.</w:t>
      </w:r>
    </w:p>
    <w:p w:rsidR="00A22E85" w:rsidRPr="00DA6F5F" w:rsidRDefault="00A22E85" w:rsidP="00E568D4">
      <w:pPr>
        <w:pStyle w:val="Heading4"/>
      </w:pPr>
      <w:r w:rsidRPr="00DA6F5F">
        <w:lastRenderedPageBreak/>
        <w:t xml:space="preserve">Projects with </w:t>
      </w:r>
      <w:r w:rsidR="00BA1727">
        <w:t xml:space="preserve">connected load savings of </w:t>
      </w:r>
      <w:r w:rsidRPr="00DA6F5F">
        <w:t xml:space="preserve">20 kW or higher </w:t>
      </w:r>
    </w:p>
    <w:p w:rsidR="00A22E85" w:rsidRPr="00DA6F5F" w:rsidRDefault="00BA1727" w:rsidP="00980472">
      <w:pPr>
        <w:pStyle w:val="BodyText"/>
      </w:pPr>
      <w:r>
        <w:t xml:space="preserve">For projects having a connected load savings of 20 kW or higher, a detailed inventory is required. </w:t>
      </w:r>
      <w:r w:rsidR="00A22E85" w:rsidRPr="00DA6F5F">
        <w:t xml:space="preserve">Using the </w:t>
      </w:r>
      <w:r w:rsidR="0094339B">
        <w:t xml:space="preserve">algorithms in Section </w:t>
      </w:r>
      <w:r w:rsidR="007A1FB6">
        <w:fldChar w:fldCharType="begin"/>
      </w:r>
      <w:r w:rsidR="007B643A">
        <w:instrText xml:space="preserve"> REF _Ref275549499 \r \h </w:instrText>
      </w:r>
      <w:r w:rsidR="007A1FB6">
        <w:fldChar w:fldCharType="separate"/>
      </w:r>
      <w:r w:rsidR="00C0292F">
        <w:t>3.2.2</w:t>
      </w:r>
      <w:r w:rsidR="007A1FB6">
        <w:fldChar w:fldCharType="end"/>
      </w:r>
      <w:r w:rsidR="00A22E85" w:rsidRPr="00DA6F5F">
        <w:t xml:space="preserve">, </w:t>
      </w:r>
      <w:r w:rsidR="00A22E85" w:rsidRPr="00DA6F5F">
        <w:rPr>
          <w:szCs w:val="24"/>
        </w:rPr>
        <w:sym w:font="Symbol" w:char="F044"/>
      </w:r>
      <w:r w:rsidR="00A22E85" w:rsidRPr="00DA6F5F">
        <w:t>kW values will be multipl</w:t>
      </w:r>
      <w:r w:rsidR="00DA6F5F">
        <w:t>i</w:t>
      </w:r>
      <w:r w:rsidR="00A22E85" w:rsidRPr="00DA6F5F">
        <w:t xml:space="preserve">ed by the </w:t>
      </w:r>
      <w:r w:rsidR="00DA6F5F">
        <w:t xml:space="preserve">number of fixtures installed. </w:t>
      </w:r>
      <w:r w:rsidR="00A22E85" w:rsidRPr="00DA6F5F">
        <w:t xml:space="preserve">The total </w:t>
      </w:r>
      <w:r w:rsidR="00A22E85" w:rsidRPr="00DA6F5F">
        <w:rPr>
          <w:szCs w:val="24"/>
        </w:rPr>
        <w:sym w:font="Symbol" w:char="F044"/>
      </w:r>
      <w:r w:rsidR="00A22E85" w:rsidRPr="00DA6F5F">
        <w:t xml:space="preserve">kW savings is derived by summing the total </w:t>
      </w:r>
      <w:r w:rsidR="00A22E85" w:rsidRPr="00DA6F5F">
        <w:rPr>
          <w:szCs w:val="24"/>
        </w:rPr>
        <w:sym w:font="Symbol" w:char="F044"/>
      </w:r>
      <w:r w:rsidR="00A22E85" w:rsidRPr="00DA6F5F">
        <w:t>kW for each installed measure.</w:t>
      </w:r>
    </w:p>
    <w:p w:rsidR="00A22E85" w:rsidRDefault="00B10493" w:rsidP="00980472">
      <w:pPr>
        <w:pStyle w:val="BodyText"/>
      </w:pPr>
      <w:r>
        <w:t>Within a single</w:t>
      </w:r>
      <w:r w:rsidR="00A22E85" w:rsidRPr="00DA6F5F">
        <w:t xml:space="preserve"> project, to the extent there are different control strategies (SVG), hours of use (</w:t>
      </w:r>
      <w:r w:rsidR="00371EF1">
        <w:t>HOU</w:t>
      </w:r>
      <w:r w:rsidR="00A22E85" w:rsidRPr="00DA6F5F">
        <w:t>)</w:t>
      </w:r>
      <w:r>
        <w:t>, coincidence factors (CF)</w:t>
      </w:r>
      <w:r w:rsidR="00A22E85" w:rsidRPr="00DA6F5F">
        <w:t xml:space="preserve"> or interactive factors (IF), the </w:t>
      </w:r>
      <w:r w:rsidR="00A22E85" w:rsidRPr="00DA6F5F">
        <w:rPr>
          <w:szCs w:val="24"/>
        </w:rPr>
        <w:sym w:font="Symbol" w:char="F044"/>
      </w:r>
      <w:r w:rsidR="00A22E85" w:rsidRPr="00DA6F5F">
        <w:t>kW will be broken out to account for these different factors. This will be accomplished using</w:t>
      </w:r>
      <w:r>
        <w:t xml:space="preserve"> Appendix C,</w:t>
      </w:r>
      <w:r w:rsidR="00A22E85" w:rsidRPr="00DA6F5F">
        <w:t xml:space="preserve"> a</w:t>
      </w:r>
      <w:r>
        <w:t xml:space="preserve"> Microsoft Excel</w:t>
      </w:r>
      <w:r w:rsidR="00A22E85" w:rsidRPr="00DA6F5F">
        <w:t xml:space="preserve"> inventory</w:t>
      </w:r>
      <w:r>
        <w:t xml:space="preserve"> form</w:t>
      </w:r>
      <w:r w:rsidR="00A22E85" w:rsidRPr="00DA6F5F">
        <w:t xml:space="preserve"> that specifies the lamp and ballast configuration using the </w:t>
      </w:r>
      <w:r>
        <w:t>Standard</w:t>
      </w:r>
      <w:r w:rsidR="00A22E85" w:rsidRPr="00DA6F5F">
        <w:t xml:space="preserve"> Wattage </w:t>
      </w:r>
      <w:r>
        <w:t>T</w:t>
      </w:r>
      <w:r w:rsidRPr="00DA6F5F">
        <w:t xml:space="preserve">able </w:t>
      </w:r>
      <w:r w:rsidR="00A22E85" w:rsidRPr="00DA6F5F">
        <w:t xml:space="preserve">and SVG, </w:t>
      </w:r>
      <w:r w:rsidR="00371EF1">
        <w:t>HOU</w:t>
      </w:r>
      <w:r>
        <w:t>, CF</w:t>
      </w:r>
      <w:r w:rsidR="00A22E85" w:rsidRPr="00DA6F5F">
        <w:t xml:space="preserve"> and IF values for </w:t>
      </w:r>
      <w:r>
        <w:t>each</w:t>
      </w:r>
      <w:r w:rsidRPr="00DA6F5F">
        <w:t xml:space="preserve"> </w:t>
      </w:r>
      <w:r w:rsidR="00A22E85" w:rsidRPr="00DA6F5F">
        <w:t>line entry.</w:t>
      </w:r>
      <w:r w:rsidR="00CD0AE9">
        <w:t xml:space="preserve"> </w:t>
      </w:r>
      <w:r w:rsidR="00A22E85" w:rsidRPr="00DA6F5F">
        <w:t xml:space="preserve">The inventory will also specify the location and number of fixtures for reference and validation. </w:t>
      </w:r>
    </w:p>
    <w:p w:rsidR="00B10493" w:rsidRPr="00B10493" w:rsidRDefault="00B10493" w:rsidP="00980472">
      <w:pPr>
        <w:pStyle w:val="BodyText"/>
      </w:pPr>
      <w:r w:rsidRPr="00B10493">
        <w:t xml:space="preserve">Appendix C was developed to automate the calculation of energy and demand impacts for retrofit lighting projects, based on a series of entries by the user defining key characteristics of the retrofit project. The main </w:t>
      </w:r>
      <w:r w:rsidR="00BA1727">
        <w:t>sheet</w:t>
      </w:r>
      <w:r w:rsidRPr="00B10493">
        <w:t>, “Lighting Form”, is a detailed line-by-line inventory incorporating variables</w:t>
      </w:r>
      <w:r w:rsidR="007B643A">
        <w:t xml:space="preserve"> required to calculate savings</w:t>
      </w:r>
      <w:r w:rsidRPr="00B10493">
        <w:t>. Each line item represents a specific area with common baseline fixtures, retrofit fixtures, controls strategy, space cooling, and space usage.</w:t>
      </w:r>
    </w:p>
    <w:p w:rsidR="00B10493" w:rsidRPr="00B10493" w:rsidRDefault="00B10493" w:rsidP="00980472">
      <w:pPr>
        <w:pStyle w:val="BodyText"/>
      </w:pPr>
      <w:r w:rsidRPr="00B10493">
        <w:t>Baseline and retrofit fixture wattages are determined by selecting the appropriate</w:t>
      </w:r>
      <w:r w:rsidR="00BA1727">
        <w:t xml:space="preserve"> fixture code from the “</w:t>
      </w:r>
      <w:r w:rsidRPr="00B10493">
        <w:t>Wattage Table</w:t>
      </w:r>
      <w:r w:rsidR="00BA1727">
        <w:t>” sheet</w:t>
      </w:r>
      <w:r w:rsidRPr="00B10493">
        <w:t xml:space="preserve">. The “Fixture Code Locator” </w:t>
      </w:r>
      <w:r w:rsidR="00BA1727">
        <w:t xml:space="preserve">sheet </w:t>
      </w:r>
      <w:r w:rsidRPr="00B10493">
        <w:t>can be used to find the appropriate code for a particular lamp-ballast combination</w:t>
      </w:r>
      <w:r w:rsidRPr="00B10493">
        <w:rPr>
          <w:vertAlign w:val="superscript"/>
        </w:rPr>
        <w:footnoteReference w:id="129"/>
      </w:r>
      <w:r w:rsidRPr="00B10493">
        <w:t xml:space="preserve">. Actual wattages of fixtures determined by manufacturer’s </w:t>
      </w:r>
      <w:r w:rsidR="00BA1727">
        <w:t xml:space="preserve">equipment specification </w:t>
      </w:r>
      <w:r w:rsidRPr="00B10493">
        <w:t xml:space="preserve">sheets </w:t>
      </w:r>
      <w:r w:rsidR="00BA1727">
        <w:t xml:space="preserve">or other independent sources </w:t>
      </w:r>
      <w:r w:rsidRPr="00B10493">
        <w:t>may not be used unless (1) the wattage differs from the Standard Wattage Table referenced wattage by more than 1</w:t>
      </w:r>
      <w:r>
        <w:t>0</w:t>
      </w:r>
      <w:r w:rsidRPr="00B10493">
        <w:t>%</w:t>
      </w:r>
      <w:r>
        <w:rPr>
          <w:rStyle w:val="FootnoteReference"/>
        </w:rPr>
        <w:footnoteReference w:id="130"/>
      </w:r>
      <w:r w:rsidRPr="00B10493">
        <w:t xml:space="preserve"> or (2) the corresponding fixture code is not listed in the Standard Wattage Table. In these cases, alternate wattages for lamp-ballast combinations can be inputted using the “User Input” </w:t>
      </w:r>
      <w:r w:rsidR="0020643A">
        <w:t>sheet</w:t>
      </w:r>
      <w:r w:rsidRPr="00B10493">
        <w:t xml:space="preserve"> of Appendix C. Documentation supporting the alternate wattages must be provided in the form of </w:t>
      </w:r>
      <w:r w:rsidR="0020643A">
        <w:t xml:space="preserve">manufacturer provided specification </w:t>
      </w:r>
      <w:r w:rsidRPr="00B10493">
        <w:t xml:space="preserve">sheets or other </w:t>
      </w:r>
      <w:r w:rsidR="0020643A">
        <w:t>industry accepted</w:t>
      </w:r>
      <w:r w:rsidRPr="00B10493">
        <w:t xml:space="preserve"> sources</w:t>
      </w:r>
      <w:r w:rsidR="0020643A">
        <w:t xml:space="preserve"> (e.g. ENERGY STAR listing, Design Lights Consortium listing)</w:t>
      </w:r>
      <w:r w:rsidRPr="00B10493">
        <w:t>. It must cite test data performed under standard ANSI procedures. These exceptions will be used as the basis for periodically updating the Standard Wattage Table to better reflect market conditions and more accurately represent savings.</w:t>
      </w:r>
    </w:p>
    <w:p w:rsidR="00B10493" w:rsidRPr="00DA6F5F" w:rsidRDefault="00B10493" w:rsidP="00980472">
      <w:pPr>
        <w:pStyle w:val="BodyText"/>
      </w:pPr>
      <w:r w:rsidRPr="00B10493">
        <w:t>Some lighting contractors may have developed in-house lighting inventory forms that are used to determine preliminary estimates of projects. In order to ensure standardization of all lighting projects, Appendix C must still be used. However, if a third-party lighting inventory form is provided, entries to Appendix C may be condensed into groups sharing common baseline fixtures, retrofit fixtures, space type, building type, and controls. Whereas Appendix C separates fixtures by location to facilitate evaluation and audit activities, third-party forms can serve that specific function if provided.</w:t>
      </w:r>
    </w:p>
    <w:p w:rsidR="00A22E85" w:rsidRPr="00DA6F5F" w:rsidRDefault="00BA1727" w:rsidP="00980472">
      <w:pPr>
        <w:pStyle w:val="BodyText"/>
      </w:pPr>
      <w:r>
        <w:t>Appendix C</w:t>
      </w:r>
      <w:r w:rsidR="00A22E85" w:rsidRPr="00DA6F5F">
        <w:t xml:space="preserve"> will be updated periodically to include new fixtures and technologies available as may be appropriate.</w:t>
      </w:r>
      <w:r>
        <w:t xml:space="preserve"> Additional guidance can be found in the “Manual” sheet of Appendix C.</w:t>
      </w:r>
    </w:p>
    <w:p w:rsidR="00A22E85" w:rsidRPr="00DA6F5F" w:rsidRDefault="00A22E85" w:rsidP="00871FA2">
      <w:pPr>
        <w:pStyle w:val="Heading3"/>
      </w:pPr>
      <w:r w:rsidRPr="00DA6F5F">
        <w:lastRenderedPageBreak/>
        <w:t>Quantifying Annual Hours of Operation</w:t>
      </w:r>
    </w:p>
    <w:p w:rsidR="00371EF1" w:rsidRPr="00DA6F5F" w:rsidRDefault="00371EF1" w:rsidP="00371EF1">
      <w:pPr>
        <w:pStyle w:val="Heading4"/>
      </w:pPr>
      <w:bookmarkStart w:id="514" w:name="_Ref275549493"/>
      <w:r w:rsidRPr="00DA6F5F">
        <w:t xml:space="preserve">Projects with </w:t>
      </w:r>
      <w:r>
        <w:t xml:space="preserve">connected load savings </w:t>
      </w:r>
      <w:r w:rsidRPr="00DA6F5F">
        <w:t xml:space="preserve">less than </w:t>
      </w:r>
      <w:r>
        <w:t>2</w:t>
      </w:r>
      <w:r w:rsidRPr="00DA6F5F">
        <w:t>0</w:t>
      </w:r>
      <w:r>
        <w:t xml:space="preserve"> </w:t>
      </w:r>
      <w:r w:rsidRPr="00DA6F5F">
        <w:t>kW</w:t>
      </w:r>
    </w:p>
    <w:p w:rsidR="00371EF1" w:rsidRDefault="00371EF1" w:rsidP="00371EF1">
      <w:pPr>
        <w:pStyle w:val="BodyText"/>
      </w:pPr>
      <w:r w:rsidRPr="00DA6F5F">
        <w:t xml:space="preserve">For projects with </w:t>
      </w:r>
      <w:r>
        <w:t xml:space="preserve">connected load </w:t>
      </w:r>
      <w:r w:rsidRPr="00DA6F5F">
        <w:t xml:space="preserve">savings less than </w:t>
      </w:r>
      <w:r>
        <w:t>2</w:t>
      </w:r>
      <w:r w:rsidRPr="00DA6F5F">
        <w:t xml:space="preserve">0 kW, </w:t>
      </w:r>
      <w:r>
        <w:t xml:space="preserve">apply </w:t>
      </w:r>
      <w:r w:rsidRPr="00DA6F5F">
        <w:t xml:space="preserve">stipulated whole building hours shown in </w:t>
      </w:r>
      <w:r w:rsidR="007A1FB6">
        <w:fldChar w:fldCharType="begin"/>
      </w:r>
      <w:r w:rsidR="007B643A">
        <w:instrText xml:space="preserve"> REF _Ref303345912 \h </w:instrText>
      </w:r>
      <w:r w:rsidR="007A1FB6">
        <w:fldChar w:fldCharType="separate"/>
      </w:r>
      <w:r w:rsidR="00C0292F">
        <w:t xml:space="preserve">Table </w:t>
      </w:r>
      <w:r w:rsidR="00C0292F">
        <w:rPr>
          <w:noProof/>
        </w:rPr>
        <w:t>3</w:t>
      </w:r>
      <w:r w:rsidR="00C0292F">
        <w:noBreakHyphen/>
      </w:r>
      <w:r w:rsidR="00C0292F">
        <w:rPr>
          <w:noProof/>
        </w:rPr>
        <w:t>4</w:t>
      </w:r>
      <w:r w:rsidR="007A1FB6">
        <w:fldChar w:fldCharType="end"/>
      </w:r>
      <w:r w:rsidRPr="00DA6F5F">
        <w:t>.</w:t>
      </w:r>
      <w:r>
        <w:t xml:space="preserve">  If the project cannot be described by the categories listed in </w:t>
      </w:r>
      <w:r w:rsidR="007A1FB6">
        <w:fldChar w:fldCharType="begin"/>
      </w:r>
      <w:r w:rsidR="007B643A">
        <w:instrText xml:space="preserve"> REF _Ref303345912 \h </w:instrText>
      </w:r>
      <w:r w:rsidR="007A1FB6">
        <w:fldChar w:fldCharType="separate"/>
      </w:r>
      <w:r w:rsidR="00C0292F">
        <w:t xml:space="preserve">Table </w:t>
      </w:r>
      <w:r w:rsidR="00C0292F">
        <w:rPr>
          <w:noProof/>
        </w:rPr>
        <w:t>3</w:t>
      </w:r>
      <w:r w:rsidR="00C0292F">
        <w:noBreakHyphen/>
      </w:r>
      <w:r w:rsidR="00C0292F">
        <w:rPr>
          <w:noProof/>
        </w:rPr>
        <w:t>4</w:t>
      </w:r>
      <w:r w:rsidR="007A1FB6">
        <w:fldChar w:fldCharType="end"/>
      </w:r>
      <w:r>
        <w:t xml:space="preserve">, </w:t>
      </w:r>
      <w:r w:rsidR="007B643A">
        <w:t xml:space="preserve">select </w:t>
      </w:r>
      <w:r>
        <w:t>the “other” category</w:t>
      </w:r>
      <w:r w:rsidR="007B643A">
        <w:t xml:space="preserve"> and determine hours</w:t>
      </w:r>
      <w:r>
        <w:t xml:space="preserve"> </w:t>
      </w:r>
      <w:r w:rsidR="007B643A">
        <w:t xml:space="preserve">using </w:t>
      </w:r>
      <w:r>
        <w:t>facility staff interviews, posted schedules, or metered data.</w:t>
      </w:r>
    </w:p>
    <w:p w:rsidR="00337BF8" w:rsidRPr="000A0185" w:rsidRDefault="00337BF8" w:rsidP="00371EF1">
      <w:pPr>
        <w:pStyle w:val="BodyText"/>
      </w:pPr>
      <w:r>
        <w:t>EDC evaluation contractors are permitted to revise HOU values if the perceived difference in hours stated in tables is greater than 10%.</w:t>
      </w:r>
    </w:p>
    <w:p w:rsidR="00371EF1" w:rsidRPr="00DA6F5F" w:rsidRDefault="00371EF1" w:rsidP="00371EF1">
      <w:pPr>
        <w:pStyle w:val="Heading4"/>
      </w:pPr>
      <w:r w:rsidRPr="00DA6F5F">
        <w:t xml:space="preserve">Projects with </w:t>
      </w:r>
      <w:r>
        <w:t>connected load savings of 2</w:t>
      </w:r>
      <w:r w:rsidRPr="00DA6F5F">
        <w:t>0</w:t>
      </w:r>
      <w:r>
        <w:t xml:space="preserve"> </w:t>
      </w:r>
      <w:r w:rsidRPr="00DA6F5F">
        <w:t>kW or higher</w:t>
      </w:r>
    </w:p>
    <w:p w:rsidR="00D94D22" w:rsidRDefault="00371EF1" w:rsidP="00371EF1">
      <w:pPr>
        <w:pStyle w:val="BodyText"/>
      </w:pPr>
      <w:r>
        <w:t>For</w:t>
      </w:r>
      <w:r w:rsidRPr="00070716">
        <w:t xml:space="preserve"> project</w:t>
      </w:r>
      <w:r>
        <w:t>s</w:t>
      </w:r>
      <w:r w:rsidRPr="00070716">
        <w:t xml:space="preserve"> </w:t>
      </w:r>
      <w:r>
        <w:t>with</w:t>
      </w:r>
      <w:r w:rsidRPr="00070716">
        <w:t xml:space="preserve"> connected load savings </w:t>
      </w:r>
      <w:r>
        <w:t>of</w:t>
      </w:r>
      <w:r w:rsidRPr="00070716">
        <w:t xml:space="preserve"> </w:t>
      </w:r>
      <w:r>
        <w:t>2</w:t>
      </w:r>
      <w:r w:rsidRPr="00070716">
        <w:t>0 kW</w:t>
      </w:r>
      <w:r>
        <w:t xml:space="preserve"> or higher</w:t>
      </w:r>
      <w:r w:rsidRPr="00070716">
        <w:t xml:space="preserve">, </w:t>
      </w:r>
      <w:r>
        <w:t>fixtures should</w:t>
      </w:r>
      <w:r w:rsidRPr="00070716">
        <w:t xml:space="preserve"> be separated into "usage groups"</w:t>
      </w:r>
      <w:r>
        <w:t xml:space="preserve"> that</w:t>
      </w:r>
      <w:r w:rsidRPr="00070716">
        <w:t xml:space="preserve"> exhibit similar usage patterns. </w:t>
      </w:r>
      <w:r w:rsidR="00D94D22">
        <w:t>Usage groups should be considered and used at the discretion of the EDCs’ implementation and evaluation contractors</w:t>
      </w:r>
      <w:r w:rsidR="00CD44C4">
        <w:t xml:space="preserve"> in place of stipulated whole building hours</w:t>
      </w:r>
      <w:r w:rsidR="00D94D22">
        <w:t xml:space="preserve">, but are not required. Use of usage groups may be subject to SWE review. </w:t>
      </w:r>
      <w:r>
        <w:t>Annual hour</w:t>
      </w:r>
      <w:r w:rsidR="00DD3918">
        <w:t>s of use</w:t>
      </w:r>
      <w:r w:rsidRPr="00070716">
        <w:t xml:space="preserve"> values </w:t>
      </w:r>
      <w:r>
        <w:t>should</w:t>
      </w:r>
      <w:r w:rsidRPr="00070716">
        <w:t xml:space="preserve"> be </w:t>
      </w:r>
      <w:r>
        <w:t>estimated for each group using</w:t>
      </w:r>
      <w:r w:rsidRPr="00070716">
        <w:t xml:space="preserve"> </w:t>
      </w:r>
      <w:r w:rsidR="007A1FB6">
        <w:fldChar w:fldCharType="begin"/>
      </w:r>
      <w:r w:rsidR="007B643A">
        <w:instrText xml:space="preserve"> REF _Ref303345912 \h </w:instrText>
      </w:r>
      <w:r w:rsidR="007A1FB6">
        <w:fldChar w:fldCharType="separate"/>
      </w:r>
      <w:r w:rsidR="00C0292F">
        <w:t xml:space="preserve">Table </w:t>
      </w:r>
      <w:r w:rsidR="00C0292F">
        <w:rPr>
          <w:noProof/>
        </w:rPr>
        <w:t>3</w:t>
      </w:r>
      <w:r w:rsidR="00C0292F">
        <w:noBreakHyphen/>
      </w:r>
      <w:r w:rsidR="00C0292F">
        <w:rPr>
          <w:noProof/>
        </w:rPr>
        <w:t>4</w:t>
      </w:r>
      <w:r w:rsidR="007A1FB6">
        <w:fldChar w:fldCharType="end"/>
      </w:r>
      <w:r>
        <w:t xml:space="preserve">, </w:t>
      </w:r>
      <w:r w:rsidRPr="00070716">
        <w:t xml:space="preserve">facility </w:t>
      </w:r>
      <w:r>
        <w:t xml:space="preserve">staff </w:t>
      </w:r>
      <w:r w:rsidRPr="00070716">
        <w:t>interviews</w:t>
      </w:r>
      <w:r>
        <w:t xml:space="preserve">, posted schedules, or metered data. </w:t>
      </w:r>
    </w:p>
    <w:p w:rsidR="00371EF1" w:rsidRDefault="00371EF1" w:rsidP="00371EF1">
      <w:pPr>
        <w:pStyle w:val="BodyText"/>
      </w:pPr>
      <w:r>
        <w:t xml:space="preserve">Metered data is required </w:t>
      </w:r>
      <w:r w:rsidR="00337BF8">
        <w:t>for projects with high uncertainty, i.e.</w:t>
      </w:r>
      <w:r>
        <w:t xml:space="preserve"> where hours are unknown, variable, </w:t>
      </w:r>
      <w:r w:rsidR="007B643A">
        <w:t xml:space="preserve">or </w:t>
      </w:r>
      <w:r>
        <w:t>difficult to verify</w:t>
      </w:r>
      <w:r w:rsidR="007B643A">
        <w:t xml:space="preserve">. </w:t>
      </w:r>
      <w:r w:rsidR="00D94D22">
        <w:t xml:space="preserve">Exact conditions </w:t>
      </w:r>
      <w:r w:rsidR="00337BF8">
        <w:t xml:space="preserve">of “high uncertainty” </w:t>
      </w:r>
      <w:r w:rsidR="00D94D22">
        <w:t xml:space="preserve">are to be determined by the EDC evaluation contractors to appropriately manage variance. </w:t>
      </w:r>
      <w:r w:rsidR="007B643A">
        <w:t xml:space="preserve">Metering is also required when the </w:t>
      </w:r>
      <w:r>
        <w:t xml:space="preserve">connected load savings </w:t>
      </w:r>
      <w:r w:rsidR="007B643A">
        <w:t xml:space="preserve">for a project </w:t>
      </w:r>
      <w:r>
        <w:t>exceeds 200 kW.</w:t>
      </w:r>
      <w:r w:rsidR="00337BF8">
        <w:t xml:space="preserve"> Metering completed by the implementation contractor maybe leveraged by the evaluation contractor, subject to a reasonableness review. Sampling methodologies within a site are to be discerned by the EDC evaluation contractor based on the characteristics of the facility in question. </w:t>
      </w:r>
    </w:p>
    <w:p w:rsidR="00371EF1" w:rsidRDefault="00371EF1" w:rsidP="00371EF1">
      <w:pPr>
        <w:pStyle w:val="BodyText"/>
      </w:pPr>
      <w:r>
        <w:t>For all projects, annual hours are subject to adjustment by EDC evaluators or SWE.</w:t>
      </w:r>
    </w:p>
    <w:p w:rsidR="00A22E85" w:rsidRPr="00957825" w:rsidRDefault="00FD6030" w:rsidP="00871FA2">
      <w:pPr>
        <w:pStyle w:val="Heading3"/>
      </w:pPr>
      <w:bookmarkStart w:id="515" w:name="_Toc303347692"/>
      <w:bookmarkStart w:id="516" w:name="_Toc303352630"/>
      <w:bookmarkStart w:id="517" w:name="_Toc310868564"/>
      <w:bookmarkStart w:id="518" w:name="_Ref276389728"/>
      <w:bookmarkEnd w:id="514"/>
      <w:bookmarkEnd w:id="515"/>
      <w:bookmarkEnd w:id="516"/>
      <w:bookmarkEnd w:id="517"/>
      <w:r w:rsidRPr="00957825">
        <w:t>Calculation Method Descriptions By Project Classification</w:t>
      </w:r>
      <w:bookmarkEnd w:id="518"/>
    </w:p>
    <w:p w:rsidR="00A22E85" w:rsidRPr="00DA6F5F" w:rsidRDefault="00A22E85" w:rsidP="00E568D4">
      <w:pPr>
        <w:pStyle w:val="Heading4"/>
      </w:pPr>
      <w:bookmarkStart w:id="519" w:name="_Ref248729259"/>
      <w:r w:rsidRPr="00DA6F5F">
        <w:t>New Construction and Building Additions</w:t>
      </w:r>
      <w:bookmarkEnd w:id="519"/>
    </w:p>
    <w:p w:rsidR="00371EF1" w:rsidRPr="00A859F9" w:rsidRDefault="00371EF1" w:rsidP="00371EF1">
      <w:pPr>
        <w:pStyle w:val="BodyText"/>
      </w:pPr>
      <w:bookmarkStart w:id="520" w:name="_Ref275880625"/>
      <w:r w:rsidRPr="00A859F9">
        <w:t xml:space="preserve">For new construction and building addition projects, savings are calculated using ASHRAE 90.1-2007 </w:t>
      </w:r>
      <w:r w:rsidR="00F64554">
        <w:t xml:space="preserve">to determine the </w:t>
      </w:r>
      <w:r w:rsidRPr="00A859F9">
        <w:t xml:space="preserve">baseline </w:t>
      </w:r>
      <w:r w:rsidR="00F64554">
        <w:t xml:space="preserve">demand </w:t>
      </w:r>
      <w:r w:rsidRPr="00A859F9">
        <w:t>(kW</w:t>
      </w:r>
      <w:r w:rsidRPr="00A859F9">
        <w:rPr>
          <w:vertAlign w:val="subscript"/>
        </w:rPr>
        <w:t>base</w:t>
      </w:r>
      <w:r w:rsidRPr="00A859F9">
        <w:t xml:space="preserve">) and the new </w:t>
      </w:r>
      <w:r w:rsidR="00F64554">
        <w:t xml:space="preserve">fixtures’ </w:t>
      </w:r>
      <w:r w:rsidRPr="00A859F9">
        <w:t xml:space="preserve">wattages as the post-installation </w:t>
      </w:r>
      <w:r w:rsidR="00F64554">
        <w:t xml:space="preserve">demand </w:t>
      </w:r>
      <w:r w:rsidR="00F64554" w:rsidRPr="00A859F9">
        <w:t>(kW</w:t>
      </w:r>
      <w:r w:rsidR="00F64554">
        <w:rPr>
          <w:vertAlign w:val="subscript"/>
        </w:rPr>
        <w:t>ee</w:t>
      </w:r>
      <w:r w:rsidR="00F64554" w:rsidRPr="00A859F9">
        <w:t>)</w:t>
      </w:r>
      <w:r w:rsidR="00F64554">
        <w:t>.</w:t>
      </w:r>
      <w:r w:rsidRPr="00A859F9">
        <w:t xml:space="preserve"> </w:t>
      </w:r>
      <w:r w:rsidR="00F64554">
        <w:t>Pursuant to</w:t>
      </w:r>
      <w:r w:rsidRPr="00A859F9">
        <w:t xml:space="preserve"> ASHRAE 90.1-2007, </w:t>
      </w:r>
      <w:r w:rsidR="00F64554">
        <w:t xml:space="preserve">the interior lighting baseline is </w:t>
      </w:r>
      <w:r w:rsidRPr="00A859F9">
        <w:t>calculated using either the Building Area Method</w:t>
      </w:r>
      <w:r w:rsidR="00346531">
        <w:rPr>
          <w:rStyle w:val="FootnoteReference"/>
        </w:rPr>
        <w:footnoteReference w:id="131"/>
      </w:r>
      <w:r>
        <w:t xml:space="preserve"> </w:t>
      </w:r>
      <w:r w:rsidRPr="00A859F9">
        <w:t xml:space="preserve"> as shown in </w:t>
      </w:r>
      <w:r w:rsidR="007A1FB6">
        <w:fldChar w:fldCharType="begin"/>
      </w:r>
      <w:r w:rsidR="007B643A">
        <w:instrText xml:space="preserve"> REF _Ref303345729 \h </w:instrText>
      </w:r>
      <w:r w:rsidR="007A1FB6">
        <w:fldChar w:fldCharType="separate"/>
      </w:r>
      <w:r w:rsidR="00C0292F">
        <w:t xml:space="preserve">Table </w:t>
      </w:r>
      <w:r w:rsidR="00C0292F">
        <w:rPr>
          <w:noProof/>
        </w:rPr>
        <w:t>3</w:t>
      </w:r>
      <w:r w:rsidR="00C0292F">
        <w:noBreakHyphen/>
      </w:r>
      <w:r w:rsidR="00C0292F">
        <w:rPr>
          <w:noProof/>
        </w:rPr>
        <w:t>1</w:t>
      </w:r>
      <w:r w:rsidR="007A1FB6">
        <w:fldChar w:fldCharType="end"/>
      </w:r>
      <w:r w:rsidRPr="00A859F9">
        <w:t>, or the Space-by-Space Method</w:t>
      </w:r>
      <w:r w:rsidR="00346531">
        <w:rPr>
          <w:rStyle w:val="FootnoteReference"/>
        </w:rPr>
        <w:footnoteReference w:id="132"/>
      </w:r>
      <w:r>
        <w:t xml:space="preserve"> </w:t>
      </w:r>
      <w:r w:rsidRPr="00A859F9">
        <w:t xml:space="preserve">as shown in </w:t>
      </w:r>
      <w:r w:rsidR="00274AB1">
        <w:fldChar w:fldCharType="begin"/>
      </w:r>
      <w:r w:rsidR="00274AB1">
        <w:instrText xml:space="preserve"> REF _Ref275549503 \h  \* MERGEFORMAT </w:instrText>
      </w:r>
      <w:r w:rsidR="00274AB1">
        <w:fldChar w:fldCharType="separate"/>
      </w:r>
      <w:r w:rsidR="00C0292F">
        <w:t xml:space="preserve">Table </w:t>
      </w:r>
      <w:r w:rsidR="00C0292F">
        <w:rPr>
          <w:noProof/>
        </w:rPr>
        <w:t>3</w:t>
      </w:r>
      <w:r w:rsidR="00C0292F">
        <w:rPr>
          <w:noProof/>
        </w:rPr>
        <w:noBreakHyphen/>
        <w:t>2</w:t>
      </w:r>
      <w:r w:rsidR="00274AB1">
        <w:fldChar w:fldCharType="end"/>
      </w:r>
      <w:r w:rsidR="00722FB7">
        <w:t xml:space="preserve">. </w:t>
      </w:r>
      <w:r w:rsidR="00F64554">
        <w:t>For exterior lighting</w:t>
      </w:r>
      <w:r w:rsidR="0003527C">
        <w:t>,</w:t>
      </w:r>
      <w:r w:rsidR="00F64554">
        <w:t xml:space="preserve"> the baseline</w:t>
      </w:r>
      <w:r w:rsidR="00722FB7">
        <w:t xml:space="preserve"> </w:t>
      </w:r>
      <w:r w:rsidR="00F64554">
        <w:t>is</w:t>
      </w:r>
      <w:r w:rsidR="00722FB7">
        <w:t xml:space="preserve"> calculated using</w:t>
      </w:r>
      <w:r w:rsidRPr="00A859F9">
        <w:t xml:space="preserve"> </w:t>
      </w:r>
      <w:r w:rsidR="00F64554">
        <w:t>the Baseline Exterior Lighting Power Densities</w:t>
      </w:r>
      <w:r w:rsidR="00E62DAB">
        <w:rPr>
          <w:rStyle w:val="FootnoteReference"/>
        </w:rPr>
        <w:footnoteReference w:id="133"/>
      </w:r>
      <w:r w:rsidR="00F64554">
        <w:t xml:space="preserve"> as</w:t>
      </w:r>
      <w:r>
        <w:t xml:space="preserve"> </w:t>
      </w:r>
      <w:r w:rsidRPr="00A859F9">
        <w:t xml:space="preserve">shown in </w:t>
      </w:r>
      <w:r w:rsidR="007A1FB6">
        <w:fldChar w:fldCharType="begin"/>
      </w:r>
      <w:r w:rsidR="007B643A">
        <w:instrText xml:space="preserve"> REF _Ref303345972 \h </w:instrText>
      </w:r>
      <w:r w:rsidR="007A1FB6">
        <w:fldChar w:fldCharType="separate"/>
      </w:r>
      <w:r w:rsidR="00C0292F">
        <w:t xml:space="preserve">Table </w:t>
      </w:r>
      <w:r w:rsidR="00C0292F">
        <w:rPr>
          <w:noProof/>
        </w:rPr>
        <w:t>3</w:t>
      </w:r>
      <w:r w:rsidR="00C0292F">
        <w:noBreakHyphen/>
      </w:r>
      <w:r w:rsidR="00C0292F">
        <w:rPr>
          <w:noProof/>
        </w:rPr>
        <w:t>3</w:t>
      </w:r>
      <w:r w:rsidR="007A1FB6">
        <w:fldChar w:fldCharType="end"/>
      </w:r>
      <w:r w:rsidRPr="00A859F9">
        <w:t>. The new fixture wattages are specified in the Lighting Audit and Design Tool shown in Appendix C.</w:t>
      </w:r>
    </w:p>
    <w:p w:rsidR="00371EF1" w:rsidRPr="00A859F9" w:rsidRDefault="00371EF1" w:rsidP="00371EF1">
      <w:pPr>
        <w:pStyle w:val="BodyText"/>
      </w:pPr>
      <w:r w:rsidRPr="00A859F9">
        <w:t xml:space="preserve">CF and IF values are the same as those shown in </w:t>
      </w:r>
      <w:r w:rsidR="00274AB1">
        <w:fldChar w:fldCharType="begin"/>
      </w:r>
      <w:r w:rsidR="00274AB1">
        <w:instrText xml:space="preserve"> REF _Ref275556521 \h  \* MERGEFORMAT </w:instrText>
      </w:r>
      <w:r w:rsidR="00274AB1">
        <w:fldChar w:fldCharType="separate"/>
      </w:r>
      <w:r w:rsidR="00C0292F">
        <w:t xml:space="preserve">Table </w:t>
      </w:r>
      <w:r w:rsidR="00C0292F">
        <w:rPr>
          <w:noProof/>
        </w:rPr>
        <w:t>3</w:t>
      </w:r>
      <w:r w:rsidR="00C0292F">
        <w:rPr>
          <w:noProof/>
        </w:rPr>
        <w:noBreakHyphen/>
        <w:t>4</w:t>
      </w:r>
      <w:r w:rsidR="00274AB1">
        <w:fldChar w:fldCharType="end"/>
      </w:r>
      <w:r w:rsidRPr="00A859F9">
        <w:t xml:space="preserve"> and </w:t>
      </w:r>
      <w:r w:rsidR="00274AB1">
        <w:fldChar w:fldCharType="begin"/>
      </w:r>
      <w:r w:rsidR="00274AB1">
        <w:instrText xml:space="preserve"> REF _Ref275879784 \h  \* MERGEFORMAT </w:instrText>
      </w:r>
      <w:r w:rsidR="00274AB1">
        <w:fldChar w:fldCharType="separate"/>
      </w:r>
      <w:r w:rsidR="00C0292F">
        <w:t xml:space="preserve">Table </w:t>
      </w:r>
      <w:r w:rsidR="00C0292F">
        <w:rPr>
          <w:noProof/>
        </w:rPr>
        <w:t>3</w:t>
      </w:r>
      <w:r w:rsidR="00C0292F">
        <w:rPr>
          <w:noProof/>
        </w:rPr>
        <w:noBreakHyphen/>
        <w:t>5</w:t>
      </w:r>
      <w:r w:rsidR="00274AB1">
        <w:fldChar w:fldCharType="end"/>
      </w:r>
      <w:r w:rsidRPr="00A859F9">
        <w:t>.</w:t>
      </w:r>
      <w:r w:rsidR="00CC7F0F">
        <w:t xml:space="preserve"> HOU shall be determined in accordance with Section 3.2.6.</w:t>
      </w:r>
    </w:p>
    <w:p w:rsidR="00371EF1" w:rsidRPr="00A859F9" w:rsidRDefault="00DD3918" w:rsidP="00371EF1">
      <w:pPr>
        <w:pStyle w:val="BodyText"/>
      </w:pPr>
      <w:r>
        <w:lastRenderedPageBreak/>
        <w:t>HOU</w:t>
      </w:r>
      <w:r w:rsidR="00371EF1" w:rsidRPr="00A859F9">
        <w:t xml:space="preserve"> and CF values </w:t>
      </w:r>
      <w:r w:rsidR="00CC7F0F" w:rsidRPr="00A859F9">
        <w:t>for dusk-to-dawn lighting</w:t>
      </w:r>
      <w:r w:rsidR="00CC7F0F">
        <w:t xml:space="preserve"> is</w:t>
      </w:r>
      <w:r w:rsidR="00371EF1" w:rsidRPr="00A859F9">
        <w:t xml:space="preserve">are the same as those shown in </w:t>
      </w:r>
      <w:r w:rsidR="00274AB1">
        <w:fldChar w:fldCharType="begin"/>
      </w:r>
      <w:r w:rsidR="00274AB1">
        <w:instrText xml:space="preserve"> REF _Ref275556521 \h  \* MERGEFORMAT </w:instrText>
      </w:r>
      <w:r w:rsidR="00274AB1">
        <w:fldChar w:fldCharType="separate"/>
      </w:r>
      <w:r w:rsidR="00C0292F">
        <w:t xml:space="preserve">Table </w:t>
      </w:r>
      <w:r w:rsidR="00C0292F">
        <w:rPr>
          <w:noProof/>
        </w:rPr>
        <w:t>3</w:t>
      </w:r>
      <w:r w:rsidR="00C0292F">
        <w:rPr>
          <w:noProof/>
        </w:rPr>
        <w:noBreakHyphen/>
        <w:t>4</w:t>
      </w:r>
      <w:r w:rsidR="00274AB1">
        <w:fldChar w:fldCharType="end"/>
      </w:r>
      <w:r w:rsidR="00371EF1" w:rsidRPr="00A859F9">
        <w:t xml:space="preserve"> unless shorter hours are required by ASHRAE or the fixtures are demonstrated to operate longer hours </w:t>
      </w:r>
      <w:r w:rsidR="00CC7F0F">
        <w:t xml:space="preserve">(e.g. </w:t>
      </w:r>
      <w:r w:rsidR="00371EF1" w:rsidRPr="00A859F9">
        <w:t>for signage or shading in a parking garage).</w:t>
      </w:r>
    </w:p>
    <w:p w:rsidR="007B643A" w:rsidRDefault="007B643A" w:rsidP="007B643A">
      <w:pPr>
        <w:pStyle w:val="Caption"/>
      </w:pPr>
      <w:bookmarkStart w:id="521" w:name="_Ref303345729"/>
      <w:bookmarkStart w:id="522" w:name="_Toc310875553"/>
      <w:bookmarkEnd w:id="520"/>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w:instrText>
      </w:r>
      <w:r w:rsidR="00274AB1">
        <w:instrText xml:space="preserve">\* ARABIC \s 1 </w:instrText>
      </w:r>
      <w:r w:rsidR="00274AB1">
        <w:fldChar w:fldCharType="separate"/>
      </w:r>
      <w:r w:rsidR="00C0292F">
        <w:rPr>
          <w:noProof/>
        </w:rPr>
        <w:t>1</w:t>
      </w:r>
      <w:r w:rsidR="00274AB1">
        <w:rPr>
          <w:noProof/>
        </w:rPr>
        <w:fldChar w:fldCharType="end"/>
      </w:r>
      <w:bookmarkEnd w:id="521"/>
      <w:r>
        <w:t>:</w:t>
      </w:r>
      <w:r w:rsidRPr="007B643A">
        <w:t xml:space="preserve"> </w:t>
      </w:r>
      <w:r>
        <w:t>Lighting Power Densities from ASHRAE 90.1-2007 Building Area Method</w:t>
      </w:r>
      <w:r>
        <w:rPr>
          <w:rStyle w:val="FootnoteReference"/>
        </w:rPr>
        <w:footnoteReference w:id="134"/>
      </w:r>
      <w:bookmarkEnd w:id="522"/>
    </w:p>
    <w:tbl>
      <w:tblPr>
        <w:tblW w:w="5000" w:type="pct"/>
        <w:tblLook w:val="04A0" w:firstRow="1" w:lastRow="0" w:firstColumn="1" w:lastColumn="0" w:noHBand="0" w:noVBand="1"/>
      </w:tblPr>
      <w:tblGrid>
        <w:gridCol w:w="3267"/>
        <w:gridCol w:w="1111"/>
        <w:gridCol w:w="3369"/>
        <w:gridCol w:w="1109"/>
      </w:tblGrid>
      <w:tr w:rsidR="0056241B" w:rsidRPr="00F33441" w:rsidTr="00150023">
        <w:trPr>
          <w:trHeight w:val="576"/>
          <w:tblHeader/>
        </w:trPr>
        <w:tc>
          <w:tcPr>
            <w:tcW w:w="1845" w:type="pct"/>
            <w:tcBorders>
              <w:top w:val="single" w:sz="4" w:space="0" w:color="auto"/>
              <w:left w:val="single" w:sz="4" w:space="0" w:color="auto"/>
              <w:bottom w:val="single" w:sz="4" w:space="0" w:color="auto"/>
              <w:right w:val="single" w:sz="4" w:space="0" w:color="auto"/>
            </w:tcBorders>
            <w:shd w:val="clear" w:color="000000" w:fill="BFBFBF"/>
            <w:vAlign w:val="bottom"/>
          </w:tcPr>
          <w:p w:rsidR="0056241B" w:rsidRPr="001D6512" w:rsidRDefault="0056241B" w:rsidP="00C3606E">
            <w:pPr>
              <w:pStyle w:val="TableCell"/>
              <w:spacing w:before="60" w:after="60"/>
              <w:rPr>
                <w:b/>
              </w:rPr>
            </w:pPr>
            <w:r w:rsidRPr="001D6512">
              <w:rPr>
                <w:b/>
              </w:rPr>
              <w:t>Building Area Type</w:t>
            </w:r>
            <w:r w:rsidRPr="001D6512">
              <w:rPr>
                <w:rStyle w:val="FootnoteReference"/>
                <w:b/>
                <w:bCs/>
                <w:color w:val="000000"/>
              </w:rPr>
              <w:footnoteReference w:id="135"/>
            </w:r>
          </w:p>
        </w:tc>
        <w:tc>
          <w:tcPr>
            <w:tcW w:w="627" w:type="pct"/>
            <w:tcBorders>
              <w:top w:val="single" w:sz="4" w:space="0" w:color="auto"/>
              <w:left w:val="nil"/>
              <w:bottom w:val="single" w:sz="4" w:space="0" w:color="auto"/>
              <w:right w:val="double" w:sz="4" w:space="0" w:color="auto"/>
            </w:tcBorders>
            <w:shd w:val="clear" w:color="000000" w:fill="BFBFBF"/>
            <w:vAlign w:val="bottom"/>
          </w:tcPr>
          <w:p w:rsidR="0056241B" w:rsidRPr="001D6512" w:rsidRDefault="0056241B" w:rsidP="00C3606E">
            <w:pPr>
              <w:pStyle w:val="TableCell"/>
              <w:spacing w:before="60" w:after="60"/>
              <w:rPr>
                <w:b/>
              </w:rPr>
            </w:pPr>
            <w:r w:rsidRPr="001D6512">
              <w:rPr>
                <w:b/>
              </w:rPr>
              <w:t>LPD (W/ft2)</w:t>
            </w:r>
          </w:p>
        </w:tc>
        <w:tc>
          <w:tcPr>
            <w:tcW w:w="1902" w:type="pct"/>
            <w:tcBorders>
              <w:top w:val="single" w:sz="4" w:space="0" w:color="auto"/>
              <w:left w:val="double" w:sz="4" w:space="0" w:color="auto"/>
              <w:bottom w:val="single" w:sz="4" w:space="0" w:color="auto"/>
              <w:right w:val="single" w:sz="4" w:space="0" w:color="auto"/>
            </w:tcBorders>
            <w:shd w:val="clear" w:color="000000" w:fill="BFBFBF"/>
            <w:vAlign w:val="bottom"/>
          </w:tcPr>
          <w:p w:rsidR="0056241B" w:rsidRPr="001D6512" w:rsidRDefault="0056241B" w:rsidP="00C3606E">
            <w:pPr>
              <w:pStyle w:val="TableCell"/>
              <w:spacing w:before="60" w:after="60"/>
              <w:rPr>
                <w:b/>
              </w:rPr>
            </w:pPr>
            <w:r w:rsidRPr="001D6512">
              <w:rPr>
                <w:b/>
              </w:rPr>
              <w:t>Building Area Type</w:t>
            </w:r>
          </w:p>
        </w:tc>
        <w:tc>
          <w:tcPr>
            <w:tcW w:w="626" w:type="pct"/>
            <w:tcBorders>
              <w:top w:val="single" w:sz="4" w:space="0" w:color="auto"/>
              <w:left w:val="nil"/>
              <w:bottom w:val="single" w:sz="4" w:space="0" w:color="auto"/>
              <w:right w:val="single" w:sz="4" w:space="0" w:color="auto"/>
            </w:tcBorders>
            <w:shd w:val="clear" w:color="000000" w:fill="BFBFBF"/>
            <w:vAlign w:val="bottom"/>
          </w:tcPr>
          <w:p w:rsidR="0056241B" w:rsidRPr="001D6512" w:rsidRDefault="0056241B" w:rsidP="00C3606E">
            <w:pPr>
              <w:pStyle w:val="TableCell"/>
              <w:spacing w:before="60" w:after="60"/>
              <w:rPr>
                <w:b/>
              </w:rPr>
            </w:pPr>
            <w:r w:rsidRPr="001D6512">
              <w:rPr>
                <w:b/>
              </w:rPr>
              <w:t>LPD (W/ft2)</w:t>
            </w:r>
          </w:p>
        </w:tc>
      </w:tr>
      <w:tr w:rsidR="0056241B" w:rsidRPr="00F33441" w:rsidTr="00150023">
        <w:trPr>
          <w:trHeight w:val="259"/>
        </w:trPr>
        <w:tc>
          <w:tcPr>
            <w:tcW w:w="1845" w:type="pct"/>
            <w:tcBorders>
              <w:top w:val="nil"/>
              <w:left w:val="sing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Automotive facility</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0.9</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Multifamily</w:t>
            </w:r>
          </w:p>
        </w:tc>
        <w:tc>
          <w:tcPr>
            <w:tcW w:w="626" w:type="pct"/>
            <w:tcBorders>
              <w:top w:val="nil"/>
              <w:left w:val="nil"/>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0.7</w:t>
            </w:r>
          </w:p>
        </w:tc>
      </w:tr>
      <w:tr w:rsidR="0056241B" w:rsidRPr="00F33441" w:rsidTr="00150023">
        <w:trPr>
          <w:trHeight w:val="259"/>
        </w:trPr>
        <w:tc>
          <w:tcPr>
            <w:tcW w:w="1845" w:type="pct"/>
            <w:tcBorders>
              <w:top w:val="nil"/>
              <w:left w:val="sing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Convention center</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1.2</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Museum</w:t>
            </w:r>
          </w:p>
        </w:tc>
        <w:tc>
          <w:tcPr>
            <w:tcW w:w="626" w:type="pct"/>
            <w:tcBorders>
              <w:top w:val="nil"/>
              <w:left w:val="nil"/>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1.1</w:t>
            </w:r>
          </w:p>
        </w:tc>
      </w:tr>
      <w:tr w:rsidR="0056241B" w:rsidRPr="00F33441" w:rsidTr="00150023">
        <w:trPr>
          <w:trHeight w:val="259"/>
        </w:trPr>
        <w:tc>
          <w:tcPr>
            <w:tcW w:w="1845" w:type="pct"/>
            <w:tcBorders>
              <w:top w:val="nil"/>
              <w:left w:val="sing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Courthouse</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1.2</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Office</w:t>
            </w:r>
          </w:p>
        </w:tc>
        <w:tc>
          <w:tcPr>
            <w:tcW w:w="626" w:type="pct"/>
            <w:tcBorders>
              <w:top w:val="nil"/>
              <w:left w:val="nil"/>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1.0</w:t>
            </w:r>
          </w:p>
        </w:tc>
      </w:tr>
      <w:tr w:rsidR="0056241B" w:rsidRPr="00F33441" w:rsidTr="00150023">
        <w:trPr>
          <w:trHeight w:val="259"/>
        </w:trPr>
        <w:tc>
          <w:tcPr>
            <w:tcW w:w="1845" w:type="pct"/>
            <w:tcBorders>
              <w:top w:val="nil"/>
              <w:left w:val="sing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Dining: bar lounge/leisure</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1.3</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Parking garage</w:t>
            </w:r>
          </w:p>
        </w:tc>
        <w:tc>
          <w:tcPr>
            <w:tcW w:w="626" w:type="pct"/>
            <w:tcBorders>
              <w:top w:val="nil"/>
              <w:left w:val="nil"/>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0.3</w:t>
            </w:r>
          </w:p>
        </w:tc>
      </w:tr>
      <w:tr w:rsidR="0056241B" w:rsidRPr="00F33441" w:rsidTr="00150023">
        <w:trPr>
          <w:trHeight w:val="259"/>
        </w:trPr>
        <w:tc>
          <w:tcPr>
            <w:tcW w:w="1845" w:type="pct"/>
            <w:tcBorders>
              <w:top w:val="nil"/>
              <w:left w:val="sing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Dining: cafeteria/fast food</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1.4</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Penitentiary</w:t>
            </w:r>
          </w:p>
        </w:tc>
        <w:tc>
          <w:tcPr>
            <w:tcW w:w="626" w:type="pct"/>
            <w:tcBorders>
              <w:top w:val="nil"/>
              <w:left w:val="nil"/>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1.0</w:t>
            </w:r>
          </w:p>
        </w:tc>
      </w:tr>
      <w:tr w:rsidR="0056241B" w:rsidRPr="00F33441" w:rsidTr="00150023">
        <w:trPr>
          <w:trHeight w:val="259"/>
        </w:trPr>
        <w:tc>
          <w:tcPr>
            <w:tcW w:w="1845" w:type="pct"/>
            <w:tcBorders>
              <w:top w:val="nil"/>
              <w:left w:val="sing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Dining: family</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1.6</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Performing arts theater</w:t>
            </w:r>
          </w:p>
        </w:tc>
        <w:tc>
          <w:tcPr>
            <w:tcW w:w="626" w:type="pct"/>
            <w:tcBorders>
              <w:top w:val="nil"/>
              <w:left w:val="nil"/>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1.6</w:t>
            </w:r>
          </w:p>
        </w:tc>
      </w:tr>
      <w:tr w:rsidR="0056241B" w:rsidRPr="00F33441" w:rsidTr="00150023">
        <w:trPr>
          <w:trHeight w:val="259"/>
        </w:trPr>
        <w:tc>
          <w:tcPr>
            <w:tcW w:w="1845" w:type="pct"/>
            <w:tcBorders>
              <w:top w:val="nil"/>
              <w:left w:val="sing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Dormitory</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1.0</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Police/fire station</w:t>
            </w:r>
          </w:p>
        </w:tc>
        <w:tc>
          <w:tcPr>
            <w:tcW w:w="626" w:type="pct"/>
            <w:tcBorders>
              <w:top w:val="nil"/>
              <w:left w:val="nil"/>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1.0</w:t>
            </w:r>
          </w:p>
        </w:tc>
      </w:tr>
      <w:tr w:rsidR="0056241B" w:rsidRPr="00F33441" w:rsidTr="00150023">
        <w:trPr>
          <w:trHeight w:val="259"/>
        </w:trPr>
        <w:tc>
          <w:tcPr>
            <w:tcW w:w="1845" w:type="pct"/>
            <w:tcBorders>
              <w:top w:val="nil"/>
              <w:left w:val="sing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Exercise center</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1.0</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Post office</w:t>
            </w:r>
          </w:p>
        </w:tc>
        <w:tc>
          <w:tcPr>
            <w:tcW w:w="626" w:type="pct"/>
            <w:tcBorders>
              <w:top w:val="nil"/>
              <w:left w:val="nil"/>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1.1</w:t>
            </w:r>
          </w:p>
        </w:tc>
      </w:tr>
      <w:tr w:rsidR="0056241B" w:rsidRPr="00F33441" w:rsidTr="00150023">
        <w:trPr>
          <w:trHeight w:val="259"/>
        </w:trPr>
        <w:tc>
          <w:tcPr>
            <w:tcW w:w="1845" w:type="pct"/>
            <w:tcBorders>
              <w:top w:val="nil"/>
              <w:left w:val="sing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Gymnasium</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1.1</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Religious building</w:t>
            </w:r>
          </w:p>
        </w:tc>
        <w:tc>
          <w:tcPr>
            <w:tcW w:w="626" w:type="pct"/>
            <w:tcBorders>
              <w:top w:val="nil"/>
              <w:left w:val="nil"/>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1.3</w:t>
            </w:r>
          </w:p>
        </w:tc>
      </w:tr>
      <w:tr w:rsidR="0056241B" w:rsidRPr="00F33441" w:rsidTr="00150023">
        <w:trPr>
          <w:trHeight w:val="259"/>
        </w:trPr>
        <w:tc>
          <w:tcPr>
            <w:tcW w:w="1845" w:type="pct"/>
            <w:tcBorders>
              <w:top w:val="nil"/>
              <w:left w:val="sing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Health-care clinic</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1.0</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Retail</w:t>
            </w:r>
          </w:p>
        </w:tc>
        <w:tc>
          <w:tcPr>
            <w:tcW w:w="626" w:type="pct"/>
            <w:tcBorders>
              <w:top w:val="nil"/>
              <w:left w:val="nil"/>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1.5</w:t>
            </w:r>
          </w:p>
        </w:tc>
      </w:tr>
      <w:tr w:rsidR="0056241B" w:rsidRPr="00F33441" w:rsidTr="00150023">
        <w:trPr>
          <w:trHeight w:val="259"/>
        </w:trPr>
        <w:tc>
          <w:tcPr>
            <w:tcW w:w="1845" w:type="pct"/>
            <w:tcBorders>
              <w:top w:val="nil"/>
              <w:left w:val="sing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Hospital</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1.2</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School/university</w:t>
            </w:r>
          </w:p>
        </w:tc>
        <w:tc>
          <w:tcPr>
            <w:tcW w:w="626" w:type="pct"/>
            <w:tcBorders>
              <w:top w:val="nil"/>
              <w:left w:val="nil"/>
              <w:bottom w:val="single" w:sz="4" w:space="0" w:color="auto"/>
              <w:right w:val="single" w:sz="4" w:space="0" w:color="auto"/>
            </w:tcBorders>
            <w:shd w:val="clear" w:color="auto" w:fill="auto"/>
            <w:vAlign w:val="bottom"/>
          </w:tcPr>
          <w:p w:rsidR="0056241B" w:rsidRPr="001D6512" w:rsidRDefault="004C105A" w:rsidP="00C3606E">
            <w:pPr>
              <w:pStyle w:val="TableCell"/>
              <w:spacing w:before="60" w:after="60"/>
              <w:rPr>
                <w:szCs w:val="18"/>
              </w:rPr>
            </w:pPr>
            <w:r w:rsidRPr="001D6512">
              <w:rPr>
                <w:szCs w:val="18"/>
              </w:rPr>
              <w:t>1</w:t>
            </w:r>
            <w:r w:rsidR="0056241B" w:rsidRPr="001D6512">
              <w:rPr>
                <w:szCs w:val="18"/>
              </w:rPr>
              <w:t>.2</w:t>
            </w:r>
          </w:p>
        </w:tc>
      </w:tr>
      <w:tr w:rsidR="0056241B" w:rsidRPr="00F33441" w:rsidTr="00150023">
        <w:trPr>
          <w:trHeight w:val="259"/>
        </w:trPr>
        <w:tc>
          <w:tcPr>
            <w:tcW w:w="1845" w:type="pct"/>
            <w:tcBorders>
              <w:top w:val="nil"/>
              <w:left w:val="sing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Hotel</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1.0</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Sports arena</w:t>
            </w:r>
          </w:p>
        </w:tc>
        <w:tc>
          <w:tcPr>
            <w:tcW w:w="626" w:type="pct"/>
            <w:tcBorders>
              <w:top w:val="nil"/>
              <w:left w:val="nil"/>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1.1</w:t>
            </w:r>
          </w:p>
        </w:tc>
      </w:tr>
      <w:tr w:rsidR="0056241B" w:rsidRPr="00F33441" w:rsidTr="00150023">
        <w:trPr>
          <w:trHeight w:val="259"/>
        </w:trPr>
        <w:tc>
          <w:tcPr>
            <w:tcW w:w="1845" w:type="pct"/>
            <w:tcBorders>
              <w:top w:val="single" w:sz="4" w:space="0" w:color="auto"/>
              <w:left w:val="sing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Library</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1D6512" w:rsidRDefault="005E0A3A" w:rsidP="00C3606E">
            <w:pPr>
              <w:pStyle w:val="TableCell"/>
              <w:spacing w:before="60" w:after="60"/>
              <w:rPr>
                <w:szCs w:val="18"/>
              </w:rPr>
            </w:pPr>
            <w:r w:rsidRPr="001D6512">
              <w:rPr>
                <w:szCs w:val="18"/>
              </w:rPr>
              <w:t>1</w:t>
            </w:r>
            <w:r w:rsidR="0056241B" w:rsidRPr="001D6512">
              <w:rPr>
                <w:szCs w:val="18"/>
              </w:rPr>
              <w:t>.3</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Town hall</w:t>
            </w:r>
          </w:p>
        </w:tc>
        <w:tc>
          <w:tcPr>
            <w:tcW w:w="626" w:type="pct"/>
            <w:tcBorders>
              <w:top w:val="single" w:sz="4" w:space="0" w:color="auto"/>
              <w:left w:val="nil"/>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1.1</w:t>
            </w:r>
          </w:p>
        </w:tc>
      </w:tr>
      <w:tr w:rsidR="0056241B" w:rsidRPr="00F33441" w:rsidTr="00150023">
        <w:trPr>
          <w:trHeight w:val="259"/>
        </w:trPr>
        <w:tc>
          <w:tcPr>
            <w:tcW w:w="1845" w:type="pct"/>
            <w:tcBorders>
              <w:top w:val="single" w:sz="4" w:space="0" w:color="auto"/>
              <w:left w:val="sing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Manufacturing facility</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1.3</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Transportation</w:t>
            </w:r>
          </w:p>
        </w:tc>
        <w:tc>
          <w:tcPr>
            <w:tcW w:w="626" w:type="pct"/>
            <w:tcBorders>
              <w:top w:val="single" w:sz="4" w:space="0" w:color="auto"/>
              <w:left w:val="nil"/>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1.0</w:t>
            </w:r>
          </w:p>
        </w:tc>
      </w:tr>
      <w:tr w:rsidR="0056241B" w:rsidRPr="00F33441" w:rsidTr="00150023">
        <w:trPr>
          <w:trHeight w:val="259"/>
        </w:trPr>
        <w:tc>
          <w:tcPr>
            <w:tcW w:w="1845" w:type="pct"/>
            <w:tcBorders>
              <w:top w:val="single" w:sz="4" w:space="0" w:color="auto"/>
              <w:left w:val="sing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Motel</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1.0</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Warehouse</w:t>
            </w:r>
          </w:p>
        </w:tc>
        <w:tc>
          <w:tcPr>
            <w:tcW w:w="626" w:type="pct"/>
            <w:tcBorders>
              <w:top w:val="single" w:sz="4" w:space="0" w:color="auto"/>
              <w:left w:val="nil"/>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0.8</w:t>
            </w:r>
          </w:p>
        </w:tc>
      </w:tr>
      <w:tr w:rsidR="0056241B" w:rsidRPr="00F33441" w:rsidTr="00150023">
        <w:trPr>
          <w:trHeight w:val="259"/>
        </w:trPr>
        <w:tc>
          <w:tcPr>
            <w:tcW w:w="1845" w:type="pct"/>
            <w:tcBorders>
              <w:top w:val="single" w:sz="4" w:space="0" w:color="auto"/>
              <w:left w:val="sing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Motion picture theater</w:t>
            </w:r>
          </w:p>
        </w:tc>
        <w:tc>
          <w:tcPr>
            <w:tcW w:w="627" w:type="pct"/>
            <w:tcBorders>
              <w:top w:val="single" w:sz="4" w:space="0" w:color="auto"/>
              <w:left w:val="nil"/>
              <w:bottom w:val="single" w:sz="4" w:space="0" w:color="auto"/>
              <w:right w:val="doub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1.2</w:t>
            </w:r>
          </w:p>
        </w:tc>
        <w:tc>
          <w:tcPr>
            <w:tcW w:w="1902" w:type="pct"/>
            <w:tcBorders>
              <w:top w:val="single" w:sz="4" w:space="0" w:color="auto"/>
              <w:left w:val="double" w:sz="4" w:space="0" w:color="auto"/>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Workshop</w:t>
            </w:r>
          </w:p>
        </w:tc>
        <w:tc>
          <w:tcPr>
            <w:tcW w:w="626" w:type="pct"/>
            <w:tcBorders>
              <w:top w:val="single" w:sz="4" w:space="0" w:color="auto"/>
              <w:left w:val="nil"/>
              <w:bottom w:val="single" w:sz="4" w:space="0" w:color="auto"/>
              <w:right w:val="single" w:sz="4" w:space="0" w:color="auto"/>
            </w:tcBorders>
            <w:shd w:val="clear" w:color="auto" w:fill="auto"/>
            <w:vAlign w:val="bottom"/>
          </w:tcPr>
          <w:p w:rsidR="0056241B" w:rsidRPr="001D6512" w:rsidRDefault="0056241B" w:rsidP="00C3606E">
            <w:pPr>
              <w:pStyle w:val="TableCell"/>
              <w:spacing w:before="60" w:after="60"/>
              <w:rPr>
                <w:szCs w:val="18"/>
              </w:rPr>
            </w:pPr>
            <w:r w:rsidRPr="001D6512">
              <w:rPr>
                <w:szCs w:val="18"/>
              </w:rPr>
              <w:t>1.4</w:t>
            </w:r>
          </w:p>
        </w:tc>
      </w:tr>
    </w:tbl>
    <w:p w:rsidR="00A22E85" w:rsidRPr="00A97585" w:rsidRDefault="00A22E85" w:rsidP="00C3606E"/>
    <w:p w:rsidR="00DA6F5F" w:rsidRDefault="00DA6F5F" w:rsidP="00100EDF">
      <w:pPr>
        <w:pStyle w:val="Caption"/>
      </w:pPr>
      <w:bookmarkStart w:id="523" w:name="_Ref275549503"/>
      <w:bookmarkStart w:id="524" w:name="_Ref275446447"/>
      <w:bookmarkStart w:id="525" w:name="_Ref247603894"/>
      <w:bookmarkStart w:id="526" w:name="_Toc310875554"/>
      <w:r>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2</w:t>
      </w:r>
      <w:r w:rsidR="00274AB1">
        <w:rPr>
          <w:noProof/>
        </w:rPr>
        <w:fldChar w:fldCharType="end"/>
      </w:r>
      <w:bookmarkEnd w:id="523"/>
      <w:bookmarkEnd w:id="524"/>
      <w:bookmarkEnd w:id="525"/>
      <w:r>
        <w:t xml:space="preserve">: </w:t>
      </w:r>
      <w:r w:rsidR="00C46FD5">
        <w:t xml:space="preserve">Lighting Power Densities from </w:t>
      </w:r>
      <w:r>
        <w:t>ASHRAE 90.1-200</w:t>
      </w:r>
      <w:r w:rsidR="0094339B">
        <w:t>7</w:t>
      </w:r>
      <w:r>
        <w:t xml:space="preserve"> </w:t>
      </w:r>
      <w:r w:rsidR="0056241B">
        <w:t>Space-by-Space Method</w:t>
      </w:r>
      <w:r w:rsidR="0056241B">
        <w:rPr>
          <w:rStyle w:val="FootnoteReference"/>
        </w:rPr>
        <w:footnoteReference w:id="136"/>
      </w:r>
      <w:bookmarkEnd w:id="526"/>
    </w:p>
    <w:tbl>
      <w:tblPr>
        <w:tblW w:w="5000" w:type="pct"/>
        <w:jc w:val="center"/>
        <w:tblLook w:val="04A0" w:firstRow="1" w:lastRow="0" w:firstColumn="1" w:lastColumn="0" w:noHBand="0" w:noVBand="1"/>
      </w:tblPr>
      <w:tblGrid>
        <w:gridCol w:w="3100"/>
        <w:gridCol w:w="1328"/>
        <w:gridCol w:w="3100"/>
        <w:gridCol w:w="1328"/>
      </w:tblGrid>
      <w:tr w:rsidR="00DA6F5F" w:rsidRPr="00F33441" w:rsidTr="008075FC">
        <w:trPr>
          <w:cantSplit/>
          <w:trHeight w:val="576"/>
          <w:tblHeader/>
          <w:jc w:val="center"/>
        </w:trPr>
        <w:tc>
          <w:tcPr>
            <w:tcW w:w="1750" w:type="pct"/>
            <w:tcBorders>
              <w:top w:val="single" w:sz="4" w:space="0" w:color="auto"/>
              <w:left w:val="single" w:sz="4" w:space="0" w:color="auto"/>
              <w:bottom w:val="single" w:sz="4" w:space="0" w:color="auto"/>
              <w:right w:val="single" w:sz="4" w:space="0" w:color="auto"/>
            </w:tcBorders>
            <w:shd w:val="clear" w:color="000000" w:fill="BFBFBF"/>
            <w:vAlign w:val="bottom"/>
          </w:tcPr>
          <w:p w:rsidR="00DA6F5F" w:rsidRPr="001D6512" w:rsidRDefault="00DA6F5F" w:rsidP="00C3606E">
            <w:pPr>
              <w:pStyle w:val="TableCell"/>
              <w:spacing w:before="60" w:after="60"/>
              <w:rPr>
                <w:b/>
              </w:rPr>
            </w:pPr>
            <w:r w:rsidRPr="001D6512">
              <w:rPr>
                <w:b/>
              </w:rPr>
              <w:t>Common Space Type</w:t>
            </w:r>
            <w:r w:rsidRPr="001D6512">
              <w:rPr>
                <w:rStyle w:val="FootnoteReference"/>
                <w:rFonts w:cs="Arial"/>
                <w:b/>
                <w:bCs/>
                <w:color w:val="000000"/>
              </w:rPr>
              <w:footnoteReference w:id="137"/>
            </w:r>
          </w:p>
        </w:tc>
        <w:tc>
          <w:tcPr>
            <w:tcW w:w="750" w:type="pct"/>
            <w:tcBorders>
              <w:top w:val="single" w:sz="4" w:space="0" w:color="auto"/>
              <w:left w:val="nil"/>
              <w:bottom w:val="single" w:sz="4" w:space="0" w:color="auto"/>
              <w:right w:val="double" w:sz="4" w:space="0" w:color="auto"/>
            </w:tcBorders>
            <w:shd w:val="clear" w:color="000000" w:fill="BFBFBF"/>
            <w:vAlign w:val="bottom"/>
          </w:tcPr>
          <w:p w:rsidR="00DA6F5F" w:rsidRPr="001D6512" w:rsidRDefault="00DA6F5F" w:rsidP="00C3606E">
            <w:pPr>
              <w:pStyle w:val="TableCell"/>
              <w:spacing w:before="60" w:after="60"/>
              <w:rPr>
                <w:b/>
              </w:rPr>
            </w:pPr>
            <w:r w:rsidRPr="001D6512">
              <w:rPr>
                <w:b/>
              </w:rPr>
              <w:t>LPD (W/ft2)</w:t>
            </w:r>
          </w:p>
        </w:tc>
        <w:tc>
          <w:tcPr>
            <w:tcW w:w="1750" w:type="pct"/>
            <w:tcBorders>
              <w:top w:val="single" w:sz="4" w:space="0" w:color="auto"/>
              <w:left w:val="double" w:sz="4" w:space="0" w:color="auto"/>
              <w:bottom w:val="single" w:sz="4" w:space="0" w:color="auto"/>
              <w:right w:val="single" w:sz="4" w:space="0" w:color="auto"/>
            </w:tcBorders>
            <w:shd w:val="clear" w:color="000000" w:fill="BFBFBF"/>
            <w:vAlign w:val="bottom"/>
          </w:tcPr>
          <w:p w:rsidR="00DA6F5F" w:rsidRPr="001D6512" w:rsidRDefault="00DA6F5F" w:rsidP="00C3606E">
            <w:pPr>
              <w:pStyle w:val="TableCell"/>
              <w:spacing w:before="60" w:after="60"/>
              <w:rPr>
                <w:b/>
              </w:rPr>
            </w:pPr>
            <w:r w:rsidRPr="001D6512">
              <w:rPr>
                <w:b/>
              </w:rPr>
              <w:t>Building Specific Space Types</w:t>
            </w:r>
          </w:p>
        </w:tc>
        <w:tc>
          <w:tcPr>
            <w:tcW w:w="750" w:type="pct"/>
            <w:tcBorders>
              <w:top w:val="single" w:sz="4" w:space="0" w:color="auto"/>
              <w:left w:val="nil"/>
              <w:bottom w:val="single" w:sz="4" w:space="0" w:color="auto"/>
              <w:right w:val="single" w:sz="4" w:space="0" w:color="auto"/>
            </w:tcBorders>
            <w:shd w:val="clear" w:color="000000" w:fill="BFBFBF"/>
            <w:vAlign w:val="bottom"/>
          </w:tcPr>
          <w:p w:rsidR="00DA6F5F" w:rsidRPr="001D6512" w:rsidRDefault="00DA6F5F" w:rsidP="00C3606E">
            <w:pPr>
              <w:pStyle w:val="TableCell"/>
              <w:spacing w:before="60" w:after="60"/>
              <w:rPr>
                <w:b/>
              </w:rPr>
            </w:pPr>
            <w:r w:rsidRPr="001D6512">
              <w:rPr>
                <w:b/>
              </w:rPr>
              <w:t>LPD (W/ft2)</w:t>
            </w:r>
          </w:p>
        </w:tc>
      </w:tr>
      <w:tr w:rsidR="00170F92"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170F92" w:rsidRPr="001D6512" w:rsidRDefault="00170F92" w:rsidP="00C3606E">
            <w:pPr>
              <w:pStyle w:val="TableCell"/>
              <w:spacing w:before="60" w:after="60"/>
              <w:rPr>
                <w:szCs w:val="18"/>
              </w:rPr>
            </w:pPr>
            <w:r w:rsidRPr="001D6512">
              <w:rPr>
                <w:szCs w:val="18"/>
              </w:rPr>
              <w:t>Office-Enclosed</w:t>
            </w:r>
          </w:p>
        </w:tc>
        <w:tc>
          <w:tcPr>
            <w:tcW w:w="750" w:type="pct"/>
            <w:tcBorders>
              <w:top w:val="single" w:sz="4" w:space="0" w:color="auto"/>
              <w:left w:val="nil"/>
              <w:bottom w:val="single" w:sz="4" w:space="0" w:color="auto"/>
              <w:right w:val="double" w:sz="4" w:space="0" w:color="auto"/>
            </w:tcBorders>
            <w:shd w:val="clear" w:color="auto" w:fill="auto"/>
            <w:vAlign w:val="bottom"/>
          </w:tcPr>
          <w:p w:rsidR="00170F92" w:rsidRPr="001D6512" w:rsidRDefault="00170F92" w:rsidP="00C3606E">
            <w:pPr>
              <w:pStyle w:val="TableCell"/>
              <w:spacing w:before="60" w:after="60"/>
              <w:rPr>
                <w:szCs w:val="18"/>
              </w:rPr>
            </w:pPr>
            <w:r w:rsidRPr="001D6512">
              <w:rPr>
                <w:szCs w:val="18"/>
              </w:rPr>
              <w:t>1.1</w:t>
            </w:r>
          </w:p>
        </w:tc>
        <w:tc>
          <w:tcPr>
            <w:tcW w:w="2500" w:type="pct"/>
            <w:gridSpan w:val="2"/>
            <w:tcBorders>
              <w:top w:val="single" w:sz="4" w:space="0" w:color="auto"/>
              <w:left w:val="double" w:sz="4" w:space="0" w:color="auto"/>
              <w:bottom w:val="single" w:sz="4" w:space="0" w:color="auto"/>
              <w:right w:val="single" w:sz="4" w:space="0" w:color="auto"/>
            </w:tcBorders>
            <w:shd w:val="clear" w:color="auto" w:fill="D9D9D9"/>
            <w:vAlign w:val="bottom"/>
          </w:tcPr>
          <w:p w:rsidR="00170F92" w:rsidRPr="001D6512" w:rsidRDefault="00170F92" w:rsidP="00C3606E">
            <w:pPr>
              <w:pStyle w:val="TableCell"/>
              <w:spacing w:before="60" w:after="60"/>
              <w:rPr>
                <w:szCs w:val="18"/>
              </w:rPr>
            </w:pPr>
            <w:r w:rsidRPr="001D6512">
              <w:rPr>
                <w:szCs w:val="18"/>
              </w:rPr>
              <w:t>Gymnasium/Exercise Center</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Office-Open Plan</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1.1</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Playing Area</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1.4</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Conference/Meeting/Multipurpose</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1.3</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Exercise Area</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0.9</w:t>
            </w:r>
          </w:p>
        </w:tc>
      </w:tr>
      <w:tr w:rsidR="00170F92"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170F92" w:rsidRPr="001D6512" w:rsidRDefault="00170F92" w:rsidP="00C3606E">
            <w:pPr>
              <w:pStyle w:val="TableCell"/>
              <w:spacing w:before="60" w:after="60"/>
              <w:rPr>
                <w:szCs w:val="18"/>
              </w:rPr>
            </w:pPr>
            <w:r w:rsidRPr="001D6512">
              <w:rPr>
                <w:szCs w:val="18"/>
              </w:rPr>
              <w:t>Classroom/Lecture/Training</w:t>
            </w:r>
          </w:p>
        </w:tc>
        <w:tc>
          <w:tcPr>
            <w:tcW w:w="750" w:type="pct"/>
            <w:tcBorders>
              <w:top w:val="single" w:sz="4" w:space="0" w:color="auto"/>
              <w:left w:val="nil"/>
              <w:bottom w:val="single" w:sz="4" w:space="0" w:color="auto"/>
              <w:right w:val="double" w:sz="4" w:space="0" w:color="auto"/>
            </w:tcBorders>
            <w:shd w:val="clear" w:color="auto" w:fill="auto"/>
            <w:vAlign w:val="bottom"/>
          </w:tcPr>
          <w:p w:rsidR="00170F92" w:rsidRPr="001D6512" w:rsidRDefault="00170F92" w:rsidP="00C3606E">
            <w:pPr>
              <w:pStyle w:val="TableCell"/>
              <w:spacing w:before="60" w:after="60"/>
              <w:rPr>
                <w:szCs w:val="18"/>
              </w:rPr>
            </w:pPr>
            <w:r w:rsidRPr="001D6512">
              <w:rPr>
                <w:szCs w:val="18"/>
              </w:rPr>
              <w:t>1.4</w:t>
            </w:r>
          </w:p>
        </w:tc>
        <w:tc>
          <w:tcPr>
            <w:tcW w:w="2500" w:type="pct"/>
            <w:gridSpan w:val="2"/>
            <w:tcBorders>
              <w:top w:val="single" w:sz="4" w:space="0" w:color="auto"/>
              <w:left w:val="double" w:sz="4" w:space="0" w:color="auto"/>
              <w:bottom w:val="single" w:sz="4" w:space="0" w:color="auto"/>
              <w:right w:val="single" w:sz="4" w:space="0" w:color="auto"/>
            </w:tcBorders>
            <w:shd w:val="clear" w:color="auto" w:fill="D9D9D9"/>
            <w:vAlign w:val="bottom"/>
          </w:tcPr>
          <w:p w:rsidR="00170F92" w:rsidRPr="001D6512" w:rsidRDefault="00170F92" w:rsidP="00C3606E">
            <w:pPr>
              <w:pStyle w:val="TableCell"/>
              <w:spacing w:before="60" w:after="60"/>
              <w:rPr>
                <w:szCs w:val="18"/>
              </w:rPr>
            </w:pPr>
            <w:r w:rsidRPr="001D6512">
              <w:rPr>
                <w:szCs w:val="18"/>
              </w:rPr>
              <w:t>Courthouse/Police Station/Penitentiary</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For Penitentiary</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1.3</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Courtroom</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1.9</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Lobby</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1.3</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Confinement Cells</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0.9</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For Hotel</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1.1</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Judges Chambers</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1.3</w:t>
            </w:r>
          </w:p>
        </w:tc>
      </w:tr>
      <w:tr w:rsidR="00170F92"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170F92" w:rsidRPr="001D6512" w:rsidRDefault="00170F92" w:rsidP="00C3606E">
            <w:pPr>
              <w:pStyle w:val="TableCell"/>
              <w:spacing w:before="60" w:after="60"/>
              <w:rPr>
                <w:szCs w:val="18"/>
              </w:rPr>
            </w:pPr>
            <w:r w:rsidRPr="001D6512">
              <w:rPr>
                <w:szCs w:val="18"/>
              </w:rPr>
              <w:t>For Performing Arts Theater</w:t>
            </w:r>
          </w:p>
        </w:tc>
        <w:tc>
          <w:tcPr>
            <w:tcW w:w="750" w:type="pct"/>
            <w:tcBorders>
              <w:top w:val="single" w:sz="4" w:space="0" w:color="auto"/>
              <w:left w:val="nil"/>
              <w:bottom w:val="single" w:sz="4" w:space="0" w:color="auto"/>
              <w:right w:val="double" w:sz="4" w:space="0" w:color="auto"/>
            </w:tcBorders>
            <w:shd w:val="clear" w:color="auto" w:fill="auto"/>
            <w:vAlign w:val="bottom"/>
          </w:tcPr>
          <w:p w:rsidR="00170F92" w:rsidRPr="001D6512" w:rsidRDefault="00170F92" w:rsidP="00C3606E">
            <w:pPr>
              <w:pStyle w:val="TableCell"/>
              <w:spacing w:before="60" w:after="60"/>
              <w:rPr>
                <w:szCs w:val="18"/>
              </w:rPr>
            </w:pPr>
            <w:r w:rsidRPr="001D6512">
              <w:rPr>
                <w:szCs w:val="18"/>
              </w:rPr>
              <w:t>3.3</w:t>
            </w:r>
          </w:p>
        </w:tc>
        <w:tc>
          <w:tcPr>
            <w:tcW w:w="2500" w:type="pct"/>
            <w:gridSpan w:val="2"/>
            <w:tcBorders>
              <w:top w:val="single" w:sz="4" w:space="0" w:color="auto"/>
              <w:left w:val="double" w:sz="4" w:space="0" w:color="auto"/>
              <w:bottom w:val="single" w:sz="4" w:space="0" w:color="auto"/>
              <w:right w:val="single" w:sz="4" w:space="0" w:color="auto"/>
            </w:tcBorders>
            <w:shd w:val="clear" w:color="auto" w:fill="D9D9D9"/>
            <w:vAlign w:val="bottom"/>
          </w:tcPr>
          <w:p w:rsidR="00170F92" w:rsidRPr="001D6512" w:rsidRDefault="00170F92" w:rsidP="00C3606E">
            <w:pPr>
              <w:pStyle w:val="TableCell"/>
              <w:spacing w:before="60" w:after="60"/>
              <w:rPr>
                <w:szCs w:val="18"/>
              </w:rPr>
            </w:pPr>
            <w:r w:rsidRPr="001D6512">
              <w:rPr>
                <w:szCs w:val="18"/>
              </w:rPr>
              <w:t>Fire Stations</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For Motion Picture Theater</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1.1</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Fire Station Engine Room</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0.8</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Audience/Seating Area</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0.9</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Sleeping Quarters</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0.3</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For Gymnasium</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0.4</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Post Office-Sorting Area</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1.2</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For Exercise Center</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0.3</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Convention Center-Exhibit Space</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1.3</w:t>
            </w:r>
          </w:p>
        </w:tc>
      </w:tr>
      <w:tr w:rsidR="00170F92"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170F92" w:rsidRPr="001D6512" w:rsidRDefault="00170F92" w:rsidP="00C3606E">
            <w:pPr>
              <w:pStyle w:val="TableCell"/>
              <w:spacing w:before="60" w:after="60"/>
              <w:rPr>
                <w:szCs w:val="18"/>
              </w:rPr>
            </w:pPr>
            <w:r w:rsidRPr="001D6512">
              <w:rPr>
                <w:szCs w:val="18"/>
              </w:rPr>
              <w:t>For Convention Center</w:t>
            </w:r>
          </w:p>
        </w:tc>
        <w:tc>
          <w:tcPr>
            <w:tcW w:w="750" w:type="pct"/>
            <w:tcBorders>
              <w:top w:val="single" w:sz="4" w:space="0" w:color="auto"/>
              <w:left w:val="nil"/>
              <w:bottom w:val="single" w:sz="4" w:space="0" w:color="auto"/>
              <w:right w:val="double" w:sz="4" w:space="0" w:color="auto"/>
            </w:tcBorders>
            <w:shd w:val="clear" w:color="auto" w:fill="auto"/>
            <w:vAlign w:val="bottom"/>
          </w:tcPr>
          <w:p w:rsidR="00170F92" w:rsidRPr="001D6512" w:rsidRDefault="00170F92" w:rsidP="00C3606E">
            <w:pPr>
              <w:pStyle w:val="TableCell"/>
              <w:spacing w:before="60" w:after="60"/>
              <w:rPr>
                <w:szCs w:val="18"/>
              </w:rPr>
            </w:pPr>
            <w:r w:rsidRPr="001D6512">
              <w:rPr>
                <w:szCs w:val="18"/>
              </w:rPr>
              <w:t>0.7</w:t>
            </w:r>
          </w:p>
        </w:tc>
        <w:tc>
          <w:tcPr>
            <w:tcW w:w="2500" w:type="pct"/>
            <w:gridSpan w:val="2"/>
            <w:tcBorders>
              <w:top w:val="single" w:sz="4" w:space="0" w:color="auto"/>
              <w:left w:val="double" w:sz="4" w:space="0" w:color="auto"/>
              <w:bottom w:val="single" w:sz="4" w:space="0" w:color="auto"/>
              <w:right w:val="single" w:sz="4" w:space="0" w:color="auto"/>
            </w:tcBorders>
            <w:shd w:val="clear" w:color="auto" w:fill="D9D9D9"/>
            <w:vAlign w:val="bottom"/>
          </w:tcPr>
          <w:p w:rsidR="00170F92" w:rsidRPr="001D6512" w:rsidRDefault="00170F92" w:rsidP="00C3606E">
            <w:pPr>
              <w:pStyle w:val="TableCell"/>
              <w:spacing w:before="60" w:after="60"/>
              <w:rPr>
                <w:szCs w:val="18"/>
              </w:rPr>
            </w:pPr>
            <w:r w:rsidRPr="001D6512">
              <w:rPr>
                <w:szCs w:val="18"/>
              </w:rPr>
              <w:t>Library</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For Penitentiary</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0.7</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Card File and Cataloging</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1.1</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For Religious Buildings</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1.7</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Stacks</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1.7</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For Sports Arena</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0.4</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Reading Area</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1.2</w:t>
            </w:r>
          </w:p>
        </w:tc>
      </w:tr>
      <w:tr w:rsidR="00170F92"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170F92" w:rsidRPr="001D6512" w:rsidRDefault="00170F92" w:rsidP="00C3606E">
            <w:pPr>
              <w:pStyle w:val="TableCell"/>
              <w:spacing w:before="60" w:after="60"/>
              <w:rPr>
                <w:szCs w:val="18"/>
              </w:rPr>
            </w:pPr>
            <w:r w:rsidRPr="001D6512">
              <w:rPr>
                <w:szCs w:val="18"/>
              </w:rPr>
              <w:t>For Performing Arts Theater</w:t>
            </w:r>
          </w:p>
        </w:tc>
        <w:tc>
          <w:tcPr>
            <w:tcW w:w="750" w:type="pct"/>
            <w:tcBorders>
              <w:top w:val="single" w:sz="4" w:space="0" w:color="auto"/>
              <w:left w:val="nil"/>
              <w:bottom w:val="single" w:sz="4" w:space="0" w:color="auto"/>
              <w:right w:val="double" w:sz="4" w:space="0" w:color="auto"/>
            </w:tcBorders>
            <w:shd w:val="clear" w:color="auto" w:fill="auto"/>
            <w:vAlign w:val="bottom"/>
          </w:tcPr>
          <w:p w:rsidR="00170F92" w:rsidRPr="001D6512" w:rsidRDefault="00170F92" w:rsidP="00C3606E">
            <w:pPr>
              <w:pStyle w:val="TableCell"/>
              <w:spacing w:before="60" w:after="60"/>
              <w:rPr>
                <w:szCs w:val="18"/>
              </w:rPr>
            </w:pPr>
            <w:r w:rsidRPr="001D6512">
              <w:rPr>
                <w:szCs w:val="18"/>
              </w:rPr>
              <w:t>2.6</w:t>
            </w:r>
          </w:p>
        </w:tc>
        <w:tc>
          <w:tcPr>
            <w:tcW w:w="2500" w:type="pct"/>
            <w:gridSpan w:val="2"/>
            <w:tcBorders>
              <w:top w:val="single" w:sz="4" w:space="0" w:color="auto"/>
              <w:left w:val="double" w:sz="4" w:space="0" w:color="auto"/>
              <w:bottom w:val="single" w:sz="4" w:space="0" w:color="auto"/>
              <w:right w:val="single" w:sz="4" w:space="0" w:color="auto"/>
            </w:tcBorders>
            <w:shd w:val="clear" w:color="auto" w:fill="D9D9D9"/>
            <w:vAlign w:val="bottom"/>
          </w:tcPr>
          <w:p w:rsidR="00170F92" w:rsidRPr="001D6512" w:rsidRDefault="00170F92" w:rsidP="00C3606E">
            <w:pPr>
              <w:pStyle w:val="TableCell"/>
              <w:spacing w:before="60" w:after="60"/>
              <w:rPr>
                <w:szCs w:val="18"/>
              </w:rPr>
            </w:pPr>
            <w:r w:rsidRPr="001D6512">
              <w:rPr>
                <w:szCs w:val="18"/>
              </w:rPr>
              <w:t>Hospital </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For Motion Picture Theater</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1.2</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Emergency</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2.7</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For Transportation</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0.5</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Recovery</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0.8</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Atrium—First Three Floors</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0.6</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Nurse Station</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1.0</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Atrium—Each Additional Floor</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0.2</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Exam/Treatment</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1.5</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Lounge/Recreation</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1.2</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Pharmacy</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1.2</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For Hospital</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0.8</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Patient Room</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0.7</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Dining Area</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0.9</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Operating Room</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2.2</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For Penitentiary</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1.3</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Nursery</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0.6</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For Hotel</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1.3</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Medical Supply</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1.4</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For Motel</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1.2</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Physical Therapy</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0.9</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For Bar Lounge/Leisure Dining</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1.4</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Radiology</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0.4</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For Family Dining</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2.1</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Laundry—Washing</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0.6</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Food Preparation</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1.2</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Automotive—Service/Repair</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0.7</w:t>
            </w:r>
          </w:p>
        </w:tc>
      </w:tr>
      <w:tr w:rsidR="00170F92"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170F92" w:rsidRPr="001D6512" w:rsidRDefault="00170F92" w:rsidP="00C3606E">
            <w:pPr>
              <w:pStyle w:val="TableCell"/>
              <w:spacing w:before="60" w:after="60"/>
              <w:rPr>
                <w:szCs w:val="18"/>
              </w:rPr>
            </w:pPr>
            <w:r w:rsidRPr="001D6512">
              <w:rPr>
                <w:szCs w:val="18"/>
              </w:rPr>
              <w:lastRenderedPageBreak/>
              <w:t>Laboratory</w:t>
            </w:r>
          </w:p>
        </w:tc>
        <w:tc>
          <w:tcPr>
            <w:tcW w:w="750" w:type="pct"/>
            <w:tcBorders>
              <w:top w:val="single" w:sz="4" w:space="0" w:color="auto"/>
              <w:left w:val="nil"/>
              <w:bottom w:val="single" w:sz="4" w:space="0" w:color="auto"/>
              <w:right w:val="double" w:sz="4" w:space="0" w:color="auto"/>
            </w:tcBorders>
            <w:shd w:val="clear" w:color="auto" w:fill="auto"/>
            <w:vAlign w:val="bottom"/>
          </w:tcPr>
          <w:p w:rsidR="00170F92" w:rsidRPr="001D6512" w:rsidRDefault="00170F92" w:rsidP="00C3606E">
            <w:pPr>
              <w:pStyle w:val="TableCell"/>
              <w:spacing w:before="60" w:after="60"/>
              <w:rPr>
                <w:szCs w:val="18"/>
              </w:rPr>
            </w:pPr>
            <w:r w:rsidRPr="001D6512">
              <w:rPr>
                <w:szCs w:val="18"/>
              </w:rPr>
              <w:t>1.4</w:t>
            </w:r>
          </w:p>
        </w:tc>
        <w:tc>
          <w:tcPr>
            <w:tcW w:w="2500" w:type="pct"/>
            <w:gridSpan w:val="2"/>
            <w:tcBorders>
              <w:top w:val="single" w:sz="4" w:space="0" w:color="auto"/>
              <w:left w:val="double" w:sz="4" w:space="0" w:color="auto"/>
              <w:bottom w:val="single" w:sz="4" w:space="0" w:color="auto"/>
              <w:right w:val="single" w:sz="4" w:space="0" w:color="auto"/>
            </w:tcBorders>
            <w:shd w:val="clear" w:color="auto" w:fill="D9D9D9"/>
            <w:vAlign w:val="bottom"/>
          </w:tcPr>
          <w:p w:rsidR="00170F92" w:rsidRPr="001D6512" w:rsidRDefault="00170F92" w:rsidP="00C3606E">
            <w:pPr>
              <w:pStyle w:val="TableCell"/>
              <w:spacing w:before="60" w:after="60"/>
              <w:rPr>
                <w:szCs w:val="18"/>
              </w:rPr>
            </w:pPr>
            <w:r w:rsidRPr="001D6512">
              <w:rPr>
                <w:szCs w:val="18"/>
              </w:rPr>
              <w:t>Manufacturing </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Restrooms</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0.9</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Low (&lt;25 ft Floor to Ceiling Height)</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1.2</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Dressing/Locker/Fitting Room</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0.6</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High (&gt;25 ft Floor to Ceiling Height)</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1.7</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Corridor/Transition</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0.5</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Detailed Manufacturing</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2.1</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For Hospital</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1.0</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Equipment Room</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1.2</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For Manufacturing Facility</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0.5</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Control Room</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0.5</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Stairs—Active</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0.6</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Hotel/Motel Guest Rooms</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1.1</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Active Storage</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0.8</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Dormitory—Living Quarters</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1.1</w:t>
            </w:r>
          </w:p>
        </w:tc>
      </w:tr>
      <w:tr w:rsidR="00170F92"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170F92" w:rsidRPr="001D6512" w:rsidRDefault="00170F92" w:rsidP="00C3606E">
            <w:pPr>
              <w:pStyle w:val="TableCell"/>
              <w:spacing w:before="60" w:after="60"/>
              <w:rPr>
                <w:szCs w:val="18"/>
              </w:rPr>
            </w:pPr>
            <w:r w:rsidRPr="001D6512">
              <w:rPr>
                <w:szCs w:val="18"/>
              </w:rPr>
              <w:t>For Hospital</w:t>
            </w:r>
          </w:p>
        </w:tc>
        <w:tc>
          <w:tcPr>
            <w:tcW w:w="750" w:type="pct"/>
            <w:tcBorders>
              <w:top w:val="single" w:sz="4" w:space="0" w:color="auto"/>
              <w:left w:val="nil"/>
              <w:bottom w:val="single" w:sz="4" w:space="0" w:color="auto"/>
              <w:right w:val="double" w:sz="4" w:space="0" w:color="auto"/>
            </w:tcBorders>
            <w:shd w:val="clear" w:color="auto" w:fill="auto"/>
            <w:vAlign w:val="bottom"/>
          </w:tcPr>
          <w:p w:rsidR="00170F92" w:rsidRPr="001D6512" w:rsidRDefault="00170F92" w:rsidP="00C3606E">
            <w:pPr>
              <w:pStyle w:val="TableCell"/>
              <w:spacing w:before="60" w:after="60"/>
              <w:rPr>
                <w:szCs w:val="18"/>
              </w:rPr>
            </w:pPr>
            <w:r w:rsidRPr="001D6512">
              <w:rPr>
                <w:szCs w:val="18"/>
              </w:rPr>
              <w:t>0.9</w:t>
            </w:r>
          </w:p>
        </w:tc>
        <w:tc>
          <w:tcPr>
            <w:tcW w:w="2500" w:type="pct"/>
            <w:gridSpan w:val="2"/>
            <w:tcBorders>
              <w:top w:val="single" w:sz="4" w:space="0" w:color="auto"/>
              <w:left w:val="double" w:sz="4" w:space="0" w:color="auto"/>
              <w:bottom w:val="single" w:sz="4" w:space="0" w:color="auto"/>
              <w:right w:val="single" w:sz="4" w:space="0" w:color="auto"/>
            </w:tcBorders>
            <w:shd w:val="clear" w:color="auto" w:fill="D9D9D9"/>
            <w:vAlign w:val="bottom"/>
          </w:tcPr>
          <w:p w:rsidR="00170F92" w:rsidRPr="001D6512" w:rsidRDefault="00170F92" w:rsidP="00C3606E">
            <w:pPr>
              <w:pStyle w:val="TableCell"/>
              <w:spacing w:before="60" w:after="60"/>
              <w:rPr>
                <w:szCs w:val="18"/>
              </w:rPr>
            </w:pPr>
            <w:r w:rsidRPr="001D6512">
              <w:rPr>
                <w:szCs w:val="18"/>
              </w:rPr>
              <w:t>Museum </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Inactive Storage</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0.3</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General Exhibition</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1.0</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For Museum</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0.8</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Restoration</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1.7</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Electrical/Mechanical</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1.5</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Bank/Office—Banking Activity Area</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1.5</w:t>
            </w:r>
          </w:p>
        </w:tc>
      </w:tr>
      <w:tr w:rsidR="00170F92"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170F92" w:rsidRPr="001D6512" w:rsidRDefault="00170F92" w:rsidP="00C3606E">
            <w:pPr>
              <w:pStyle w:val="TableCell"/>
              <w:spacing w:before="60" w:after="60"/>
              <w:rPr>
                <w:szCs w:val="18"/>
              </w:rPr>
            </w:pPr>
            <w:r w:rsidRPr="001D6512">
              <w:rPr>
                <w:szCs w:val="18"/>
              </w:rPr>
              <w:t>Workshop</w:t>
            </w:r>
          </w:p>
        </w:tc>
        <w:tc>
          <w:tcPr>
            <w:tcW w:w="750" w:type="pct"/>
            <w:tcBorders>
              <w:top w:val="single" w:sz="4" w:space="0" w:color="auto"/>
              <w:left w:val="nil"/>
              <w:bottom w:val="single" w:sz="4" w:space="0" w:color="auto"/>
              <w:right w:val="double" w:sz="4" w:space="0" w:color="auto"/>
            </w:tcBorders>
            <w:shd w:val="clear" w:color="auto" w:fill="auto"/>
            <w:vAlign w:val="bottom"/>
          </w:tcPr>
          <w:p w:rsidR="00170F92" w:rsidRPr="001D6512" w:rsidRDefault="00170F92" w:rsidP="00C3606E">
            <w:pPr>
              <w:pStyle w:val="TableCell"/>
              <w:spacing w:before="60" w:after="60"/>
              <w:rPr>
                <w:szCs w:val="18"/>
              </w:rPr>
            </w:pPr>
            <w:r w:rsidRPr="001D6512">
              <w:rPr>
                <w:szCs w:val="18"/>
              </w:rPr>
              <w:t>1.9</w:t>
            </w:r>
          </w:p>
        </w:tc>
        <w:tc>
          <w:tcPr>
            <w:tcW w:w="2500" w:type="pct"/>
            <w:gridSpan w:val="2"/>
            <w:tcBorders>
              <w:top w:val="single" w:sz="4" w:space="0" w:color="auto"/>
              <w:left w:val="double" w:sz="4" w:space="0" w:color="auto"/>
              <w:bottom w:val="single" w:sz="4" w:space="0" w:color="auto"/>
              <w:right w:val="single" w:sz="4" w:space="0" w:color="auto"/>
            </w:tcBorders>
            <w:shd w:val="clear" w:color="auto" w:fill="D9D9D9"/>
            <w:vAlign w:val="bottom"/>
          </w:tcPr>
          <w:p w:rsidR="00170F92" w:rsidRPr="001D6512" w:rsidRDefault="00170F92" w:rsidP="00C3606E">
            <w:pPr>
              <w:pStyle w:val="TableCell"/>
              <w:spacing w:before="60" w:after="60"/>
              <w:rPr>
                <w:szCs w:val="18"/>
              </w:rPr>
            </w:pPr>
            <w:r w:rsidRPr="001D6512">
              <w:rPr>
                <w:szCs w:val="18"/>
              </w:rPr>
              <w:t>Religious Buildings </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Sales Area</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1.7</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Worship Pulpit, Choir</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2.4</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 </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Fellowship Hall</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0.9</w:t>
            </w:r>
          </w:p>
        </w:tc>
      </w:tr>
      <w:tr w:rsidR="00170F92"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170F92" w:rsidRPr="001D6512" w:rsidRDefault="00170F92" w:rsidP="00C3606E">
            <w:pPr>
              <w:pStyle w:val="TableCell"/>
              <w:spacing w:before="60" w:after="60"/>
              <w:rPr>
                <w:szCs w:val="18"/>
              </w:rPr>
            </w:pPr>
            <w:r w:rsidRPr="001D6512">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170F92" w:rsidRPr="001D6512" w:rsidRDefault="00170F92" w:rsidP="00C3606E">
            <w:pPr>
              <w:pStyle w:val="TableCell"/>
              <w:spacing w:before="60" w:after="60"/>
              <w:rPr>
                <w:szCs w:val="18"/>
              </w:rPr>
            </w:pPr>
            <w:r w:rsidRPr="001D6512">
              <w:rPr>
                <w:szCs w:val="18"/>
              </w:rPr>
              <w:t> </w:t>
            </w:r>
          </w:p>
        </w:tc>
        <w:tc>
          <w:tcPr>
            <w:tcW w:w="2500" w:type="pct"/>
            <w:gridSpan w:val="2"/>
            <w:tcBorders>
              <w:top w:val="single" w:sz="4" w:space="0" w:color="auto"/>
              <w:left w:val="double" w:sz="4" w:space="0" w:color="auto"/>
              <w:bottom w:val="single" w:sz="4" w:space="0" w:color="auto"/>
              <w:right w:val="single" w:sz="4" w:space="0" w:color="auto"/>
            </w:tcBorders>
            <w:shd w:val="clear" w:color="auto" w:fill="D9D9D9"/>
            <w:vAlign w:val="bottom"/>
          </w:tcPr>
          <w:p w:rsidR="00170F92" w:rsidRPr="001D6512" w:rsidRDefault="00170F92" w:rsidP="00C3606E">
            <w:pPr>
              <w:pStyle w:val="TableCell"/>
              <w:spacing w:before="60" w:after="60"/>
              <w:rPr>
                <w:szCs w:val="18"/>
              </w:rPr>
            </w:pPr>
            <w:r w:rsidRPr="001D6512">
              <w:rPr>
                <w:szCs w:val="18"/>
              </w:rPr>
              <w:t>Retail [For accent lighting, see 9.3.1.2.1(c)] </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 </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Sales Area</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1.7</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 </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Mall Concourse</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1.7</w:t>
            </w:r>
          </w:p>
        </w:tc>
      </w:tr>
      <w:tr w:rsidR="00170F92"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170F92" w:rsidRPr="001D6512" w:rsidRDefault="00170F92" w:rsidP="00C3606E">
            <w:pPr>
              <w:pStyle w:val="TableCell"/>
              <w:spacing w:before="60" w:after="60"/>
              <w:rPr>
                <w:szCs w:val="18"/>
              </w:rPr>
            </w:pPr>
            <w:r w:rsidRPr="001D6512">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170F92" w:rsidRPr="001D6512" w:rsidRDefault="00170F92" w:rsidP="00C3606E">
            <w:pPr>
              <w:pStyle w:val="TableCell"/>
              <w:spacing w:before="60" w:after="60"/>
              <w:rPr>
                <w:szCs w:val="18"/>
              </w:rPr>
            </w:pPr>
            <w:r w:rsidRPr="001D6512">
              <w:rPr>
                <w:szCs w:val="18"/>
              </w:rPr>
              <w:t> </w:t>
            </w:r>
          </w:p>
        </w:tc>
        <w:tc>
          <w:tcPr>
            <w:tcW w:w="2500" w:type="pct"/>
            <w:gridSpan w:val="2"/>
            <w:tcBorders>
              <w:top w:val="single" w:sz="4" w:space="0" w:color="auto"/>
              <w:left w:val="double" w:sz="4" w:space="0" w:color="auto"/>
              <w:bottom w:val="single" w:sz="4" w:space="0" w:color="auto"/>
              <w:right w:val="single" w:sz="4" w:space="0" w:color="auto"/>
            </w:tcBorders>
            <w:shd w:val="clear" w:color="auto" w:fill="D9D9D9"/>
            <w:vAlign w:val="bottom"/>
          </w:tcPr>
          <w:p w:rsidR="00170F92" w:rsidRPr="001D6512" w:rsidRDefault="00170F92" w:rsidP="00C3606E">
            <w:pPr>
              <w:pStyle w:val="TableCell"/>
              <w:spacing w:before="60" w:after="60"/>
              <w:rPr>
                <w:szCs w:val="18"/>
              </w:rPr>
            </w:pPr>
            <w:r w:rsidRPr="001D6512">
              <w:rPr>
                <w:szCs w:val="18"/>
              </w:rPr>
              <w:t>Sports Arena </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 </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Ring Sports Area</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2.7</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 </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Court Sports Area</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2.3</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 </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Indoor Playing Field Area</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1.4</w:t>
            </w:r>
          </w:p>
        </w:tc>
      </w:tr>
      <w:tr w:rsidR="00170F92"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170F92" w:rsidRPr="001D6512" w:rsidRDefault="00170F92" w:rsidP="00C3606E">
            <w:pPr>
              <w:pStyle w:val="TableCell"/>
              <w:spacing w:before="60" w:after="60"/>
              <w:rPr>
                <w:szCs w:val="18"/>
              </w:rPr>
            </w:pPr>
            <w:r w:rsidRPr="001D6512">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170F92" w:rsidRPr="001D6512" w:rsidRDefault="00170F92" w:rsidP="00C3606E">
            <w:pPr>
              <w:pStyle w:val="TableCell"/>
              <w:spacing w:before="60" w:after="60"/>
              <w:rPr>
                <w:szCs w:val="18"/>
              </w:rPr>
            </w:pPr>
            <w:r w:rsidRPr="001D6512">
              <w:rPr>
                <w:szCs w:val="18"/>
              </w:rPr>
              <w:t> </w:t>
            </w:r>
          </w:p>
        </w:tc>
        <w:tc>
          <w:tcPr>
            <w:tcW w:w="2500" w:type="pct"/>
            <w:gridSpan w:val="2"/>
            <w:tcBorders>
              <w:top w:val="single" w:sz="4" w:space="0" w:color="auto"/>
              <w:left w:val="double" w:sz="4" w:space="0" w:color="auto"/>
              <w:bottom w:val="single" w:sz="4" w:space="0" w:color="auto"/>
              <w:right w:val="single" w:sz="4" w:space="0" w:color="auto"/>
            </w:tcBorders>
            <w:shd w:val="clear" w:color="auto" w:fill="D9D9D9"/>
            <w:vAlign w:val="bottom"/>
          </w:tcPr>
          <w:p w:rsidR="00170F92" w:rsidRPr="001D6512" w:rsidRDefault="00170F92" w:rsidP="00C3606E">
            <w:pPr>
              <w:pStyle w:val="TableCell"/>
              <w:spacing w:before="60" w:after="60"/>
              <w:rPr>
                <w:szCs w:val="18"/>
              </w:rPr>
            </w:pPr>
            <w:r w:rsidRPr="001D6512">
              <w:rPr>
                <w:szCs w:val="18"/>
              </w:rPr>
              <w:t>Warehouse </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 </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Fine Material Storage</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1.4</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 </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Medium/Bulky Material Storage</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0.9</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 </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Parking Garage—Garage Area</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0.2</w:t>
            </w:r>
          </w:p>
        </w:tc>
      </w:tr>
      <w:tr w:rsidR="00170F92"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170F92" w:rsidRPr="001D6512" w:rsidRDefault="00170F92" w:rsidP="00C3606E">
            <w:pPr>
              <w:pStyle w:val="TableCell"/>
              <w:spacing w:before="60" w:after="60"/>
              <w:rPr>
                <w:szCs w:val="18"/>
              </w:rPr>
            </w:pPr>
            <w:r w:rsidRPr="001D6512">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170F92" w:rsidRPr="001D6512" w:rsidRDefault="00170F92" w:rsidP="00C3606E">
            <w:pPr>
              <w:pStyle w:val="TableCell"/>
              <w:spacing w:before="60" w:after="60"/>
              <w:rPr>
                <w:szCs w:val="18"/>
              </w:rPr>
            </w:pPr>
            <w:r w:rsidRPr="001D6512">
              <w:rPr>
                <w:szCs w:val="18"/>
              </w:rPr>
              <w:t> </w:t>
            </w:r>
          </w:p>
        </w:tc>
        <w:tc>
          <w:tcPr>
            <w:tcW w:w="2500" w:type="pct"/>
            <w:gridSpan w:val="2"/>
            <w:tcBorders>
              <w:top w:val="single" w:sz="4" w:space="0" w:color="auto"/>
              <w:left w:val="double" w:sz="4" w:space="0" w:color="auto"/>
              <w:bottom w:val="single" w:sz="4" w:space="0" w:color="auto"/>
              <w:right w:val="single" w:sz="4" w:space="0" w:color="auto"/>
            </w:tcBorders>
            <w:shd w:val="clear" w:color="auto" w:fill="D9D9D9"/>
            <w:vAlign w:val="bottom"/>
          </w:tcPr>
          <w:p w:rsidR="00170F92" w:rsidRPr="001D6512" w:rsidRDefault="00170F92" w:rsidP="00C3606E">
            <w:pPr>
              <w:pStyle w:val="TableCell"/>
              <w:spacing w:before="60" w:after="60"/>
              <w:rPr>
                <w:szCs w:val="18"/>
              </w:rPr>
            </w:pPr>
            <w:r w:rsidRPr="001D6512">
              <w:rPr>
                <w:szCs w:val="18"/>
              </w:rPr>
              <w:t>Transportation </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 </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Airport—Concourse</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0.6</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 </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Air/Train/Bus—Baggage Area</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1.0</w:t>
            </w:r>
          </w:p>
        </w:tc>
      </w:tr>
      <w:tr w:rsidR="00DA6F5F" w:rsidRPr="00F33441" w:rsidTr="008075FC">
        <w:trPr>
          <w:cantSplit/>
          <w:trHeight w:hRule="exact" w:val="360"/>
          <w:jc w:val="center"/>
        </w:trPr>
        <w:tc>
          <w:tcPr>
            <w:tcW w:w="1750" w:type="pct"/>
            <w:tcBorders>
              <w:top w:val="nil"/>
              <w:left w:val="sing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 </w:t>
            </w:r>
          </w:p>
        </w:tc>
        <w:tc>
          <w:tcPr>
            <w:tcW w:w="750" w:type="pct"/>
            <w:tcBorders>
              <w:top w:val="single" w:sz="4" w:space="0" w:color="auto"/>
              <w:left w:val="nil"/>
              <w:bottom w:val="single" w:sz="4" w:space="0" w:color="auto"/>
              <w:right w:val="doub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 </w:t>
            </w:r>
          </w:p>
        </w:tc>
        <w:tc>
          <w:tcPr>
            <w:tcW w:w="1750" w:type="pct"/>
            <w:tcBorders>
              <w:top w:val="single" w:sz="4" w:space="0" w:color="auto"/>
              <w:left w:val="double" w:sz="4" w:space="0" w:color="auto"/>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Terminal—Ticket Counter</w:t>
            </w:r>
          </w:p>
        </w:tc>
        <w:tc>
          <w:tcPr>
            <w:tcW w:w="750" w:type="pct"/>
            <w:tcBorders>
              <w:top w:val="nil"/>
              <w:left w:val="nil"/>
              <w:bottom w:val="single" w:sz="4" w:space="0" w:color="auto"/>
              <w:right w:val="single" w:sz="4" w:space="0" w:color="auto"/>
            </w:tcBorders>
            <w:shd w:val="clear" w:color="auto" w:fill="auto"/>
            <w:vAlign w:val="bottom"/>
          </w:tcPr>
          <w:p w:rsidR="00DA6F5F" w:rsidRPr="001D6512" w:rsidRDefault="00DA6F5F" w:rsidP="00C3606E">
            <w:pPr>
              <w:pStyle w:val="TableCell"/>
              <w:spacing w:before="60" w:after="60"/>
              <w:rPr>
                <w:szCs w:val="18"/>
              </w:rPr>
            </w:pPr>
            <w:r w:rsidRPr="001D6512">
              <w:rPr>
                <w:szCs w:val="18"/>
              </w:rPr>
              <w:t>1.5</w:t>
            </w:r>
          </w:p>
        </w:tc>
      </w:tr>
    </w:tbl>
    <w:p w:rsidR="00A22E85" w:rsidRDefault="00A22E85" w:rsidP="00C3606E"/>
    <w:p w:rsidR="007B643A" w:rsidRDefault="007B643A" w:rsidP="007B643A">
      <w:pPr>
        <w:pStyle w:val="Caption"/>
      </w:pPr>
      <w:bookmarkStart w:id="527" w:name="_Ref303345972"/>
      <w:bookmarkStart w:id="528" w:name="_Toc310875555"/>
      <w:r>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3</w:t>
      </w:r>
      <w:r w:rsidR="00274AB1">
        <w:rPr>
          <w:noProof/>
        </w:rPr>
        <w:fldChar w:fldCharType="end"/>
      </w:r>
      <w:bookmarkEnd w:id="527"/>
      <w:r>
        <w:t xml:space="preserve">: </w:t>
      </w:r>
      <w:r w:rsidRPr="00A859F9">
        <w:t>Baseline Exterior Lighting Power Densities</w:t>
      </w:r>
      <w:r w:rsidRPr="00A859F9">
        <w:rPr>
          <w:rStyle w:val="FootnoteReference"/>
        </w:rPr>
        <w:footnoteReference w:id="138"/>
      </w:r>
      <w:bookmarkEnd w:id="528"/>
    </w:p>
    <w:tbl>
      <w:tblPr>
        <w:tblW w:w="5000" w:type="pct"/>
        <w:tblLook w:val="04A0" w:firstRow="1" w:lastRow="0" w:firstColumn="1" w:lastColumn="0" w:noHBand="0" w:noVBand="1"/>
      </w:tblPr>
      <w:tblGrid>
        <w:gridCol w:w="3243"/>
        <w:gridCol w:w="3100"/>
        <w:gridCol w:w="2513"/>
      </w:tblGrid>
      <w:tr w:rsidR="00371EF1" w:rsidRPr="00A859F9" w:rsidTr="00BC49F4">
        <w:trPr>
          <w:trHeight w:val="374"/>
          <w:tblHeader/>
        </w:trPr>
        <w:tc>
          <w:tcPr>
            <w:tcW w:w="1831" w:type="pct"/>
            <w:tcBorders>
              <w:top w:val="single" w:sz="4" w:space="0" w:color="auto"/>
              <w:left w:val="single" w:sz="4" w:space="0" w:color="auto"/>
              <w:bottom w:val="single" w:sz="4" w:space="0" w:color="auto"/>
              <w:right w:val="single" w:sz="4" w:space="0" w:color="auto"/>
            </w:tcBorders>
            <w:shd w:val="clear" w:color="000000" w:fill="BFBFBF"/>
          </w:tcPr>
          <w:p w:rsidR="00371EF1" w:rsidRPr="001D6512" w:rsidRDefault="00371EF1" w:rsidP="00BC49F4">
            <w:pPr>
              <w:pStyle w:val="TableCell"/>
              <w:spacing w:before="60" w:after="60"/>
              <w:rPr>
                <w:b/>
              </w:rPr>
            </w:pPr>
            <w:r w:rsidRPr="001D6512">
              <w:rPr>
                <w:b/>
              </w:rPr>
              <w:t>Building Exterior</w:t>
            </w:r>
          </w:p>
        </w:tc>
        <w:tc>
          <w:tcPr>
            <w:tcW w:w="1750" w:type="pct"/>
            <w:tcBorders>
              <w:top w:val="single" w:sz="4" w:space="0" w:color="auto"/>
              <w:left w:val="nil"/>
              <w:bottom w:val="single" w:sz="4" w:space="0" w:color="auto"/>
              <w:right w:val="single" w:sz="4" w:space="0" w:color="auto"/>
            </w:tcBorders>
            <w:shd w:val="clear" w:color="000000" w:fill="BFBFBF"/>
          </w:tcPr>
          <w:p w:rsidR="00371EF1" w:rsidRPr="001D6512" w:rsidRDefault="00371EF1" w:rsidP="00BC49F4">
            <w:pPr>
              <w:pStyle w:val="TableCell"/>
              <w:spacing w:before="60" w:after="60"/>
              <w:rPr>
                <w:b/>
              </w:rPr>
            </w:pPr>
            <w:r w:rsidRPr="001D6512">
              <w:rPr>
                <w:b/>
              </w:rPr>
              <w:t>Space Description</w:t>
            </w:r>
          </w:p>
        </w:tc>
        <w:tc>
          <w:tcPr>
            <w:tcW w:w="1419" w:type="pct"/>
            <w:tcBorders>
              <w:top w:val="single" w:sz="4" w:space="0" w:color="auto"/>
              <w:left w:val="single" w:sz="4" w:space="0" w:color="auto"/>
              <w:bottom w:val="single" w:sz="4" w:space="0" w:color="auto"/>
              <w:right w:val="double" w:sz="4" w:space="0" w:color="auto"/>
            </w:tcBorders>
            <w:shd w:val="clear" w:color="000000" w:fill="BFBFBF"/>
          </w:tcPr>
          <w:p w:rsidR="00371EF1" w:rsidRPr="001D6512" w:rsidRDefault="00371EF1" w:rsidP="00BC49F4">
            <w:pPr>
              <w:pStyle w:val="TableCell"/>
              <w:spacing w:before="60" w:after="60"/>
              <w:rPr>
                <w:b/>
              </w:rPr>
            </w:pPr>
            <w:r w:rsidRPr="001D6512">
              <w:rPr>
                <w:b/>
              </w:rPr>
              <w:t xml:space="preserve">LPD </w:t>
            </w:r>
          </w:p>
        </w:tc>
      </w:tr>
      <w:tr w:rsidR="00371EF1" w:rsidRPr="00A859F9" w:rsidTr="00BC49F4">
        <w:trPr>
          <w:trHeight w:val="374"/>
        </w:trPr>
        <w:tc>
          <w:tcPr>
            <w:tcW w:w="1831" w:type="pct"/>
            <w:tcBorders>
              <w:top w:val="nil"/>
              <w:left w:val="single" w:sz="4" w:space="0" w:color="auto"/>
              <w:bottom w:val="single" w:sz="4" w:space="0" w:color="auto"/>
              <w:right w:val="single" w:sz="4" w:space="0" w:color="auto"/>
            </w:tcBorders>
            <w:shd w:val="clear" w:color="auto" w:fill="auto"/>
          </w:tcPr>
          <w:p w:rsidR="00371EF1" w:rsidRPr="001D6512" w:rsidRDefault="00371EF1" w:rsidP="00BC49F4">
            <w:pPr>
              <w:pStyle w:val="TableCell"/>
              <w:spacing w:before="60" w:after="60"/>
              <w:rPr>
                <w:szCs w:val="18"/>
              </w:rPr>
            </w:pPr>
            <w:r w:rsidRPr="001D6512">
              <w:rPr>
                <w:szCs w:val="18"/>
              </w:rPr>
              <w:t>Uncovered Parking Area</w:t>
            </w:r>
          </w:p>
        </w:tc>
        <w:tc>
          <w:tcPr>
            <w:tcW w:w="1750" w:type="pct"/>
            <w:tcBorders>
              <w:top w:val="single" w:sz="4" w:space="0" w:color="auto"/>
              <w:left w:val="nil"/>
              <w:bottom w:val="single" w:sz="4" w:space="0" w:color="auto"/>
              <w:right w:val="single" w:sz="4" w:space="0" w:color="auto"/>
            </w:tcBorders>
          </w:tcPr>
          <w:p w:rsidR="00371EF1" w:rsidRPr="001D6512" w:rsidRDefault="00371EF1" w:rsidP="00BC49F4">
            <w:pPr>
              <w:pStyle w:val="TableCell"/>
              <w:spacing w:before="60" w:after="60"/>
              <w:rPr>
                <w:szCs w:val="18"/>
              </w:rPr>
            </w:pPr>
            <w:r w:rsidRPr="001D6512">
              <w:rPr>
                <w:szCs w:val="18"/>
              </w:rPr>
              <w:t>Parking Lots and Drives</w:t>
            </w:r>
          </w:p>
        </w:tc>
        <w:tc>
          <w:tcPr>
            <w:tcW w:w="1419" w:type="pct"/>
            <w:tcBorders>
              <w:top w:val="single" w:sz="4" w:space="0" w:color="auto"/>
              <w:left w:val="single" w:sz="4" w:space="0" w:color="auto"/>
              <w:bottom w:val="single" w:sz="4" w:space="0" w:color="auto"/>
              <w:right w:val="double" w:sz="4" w:space="0" w:color="auto"/>
            </w:tcBorders>
            <w:shd w:val="clear" w:color="auto" w:fill="auto"/>
          </w:tcPr>
          <w:p w:rsidR="00371EF1" w:rsidRPr="001D6512" w:rsidRDefault="00371EF1" w:rsidP="00BC49F4">
            <w:pPr>
              <w:pStyle w:val="TableCell"/>
              <w:spacing w:before="60" w:after="60"/>
              <w:rPr>
                <w:szCs w:val="18"/>
              </w:rPr>
            </w:pPr>
            <w:r w:rsidRPr="001D6512">
              <w:rPr>
                <w:szCs w:val="18"/>
              </w:rPr>
              <w:t>0.15 W/ft</w:t>
            </w:r>
            <w:r w:rsidRPr="001D6512">
              <w:rPr>
                <w:szCs w:val="18"/>
                <w:vertAlign w:val="superscript"/>
              </w:rPr>
              <w:t>2</w:t>
            </w:r>
          </w:p>
        </w:tc>
      </w:tr>
      <w:tr w:rsidR="00371EF1" w:rsidRPr="00A859F9" w:rsidTr="00BC49F4">
        <w:trPr>
          <w:trHeight w:val="374"/>
        </w:trPr>
        <w:tc>
          <w:tcPr>
            <w:tcW w:w="1831" w:type="pct"/>
            <w:vMerge w:val="restart"/>
            <w:tcBorders>
              <w:top w:val="nil"/>
              <w:left w:val="single" w:sz="4" w:space="0" w:color="auto"/>
              <w:right w:val="single" w:sz="4" w:space="0" w:color="auto"/>
            </w:tcBorders>
            <w:shd w:val="clear" w:color="auto" w:fill="auto"/>
          </w:tcPr>
          <w:p w:rsidR="00371EF1" w:rsidRPr="001D6512" w:rsidRDefault="00371EF1" w:rsidP="00BC49F4">
            <w:pPr>
              <w:pStyle w:val="TableCell"/>
              <w:spacing w:before="60" w:after="60"/>
              <w:rPr>
                <w:szCs w:val="18"/>
              </w:rPr>
            </w:pPr>
            <w:r w:rsidRPr="001D6512">
              <w:rPr>
                <w:szCs w:val="18"/>
              </w:rPr>
              <w:t>Building Grounds</w:t>
            </w:r>
          </w:p>
        </w:tc>
        <w:tc>
          <w:tcPr>
            <w:tcW w:w="1750" w:type="pct"/>
            <w:tcBorders>
              <w:top w:val="single" w:sz="4" w:space="0" w:color="auto"/>
              <w:left w:val="nil"/>
              <w:bottom w:val="single" w:sz="4" w:space="0" w:color="auto"/>
              <w:right w:val="single" w:sz="4" w:space="0" w:color="auto"/>
            </w:tcBorders>
          </w:tcPr>
          <w:p w:rsidR="00371EF1" w:rsidRPr="001D6512" w:rsidRDefault="00371EF1" w:rsidP="00BC49F4">
            <w:pPr>
              <w:pStyle w:val="TableCell"/>
              <w:spacing w:before="60" w:after="60"/>
              <w:rPr>
                <w:szCs w:val="18"/>
              </w:rPr>
            </w:pPr>
            <w:r w:rsidRPr="001D6512">
              <w:rPr>
                <w:szCs w:val="18"/>
              </w:rPr>
              <w:t>Walkways less than 10 ft wide</w:t>
            </w:r>
          </w:p>
        </w:tc>
        <w:tc>
          <w:tcPr>
            <w:tcW w:w="1419" w:type="pct"/>
            <w:tcBorders>
              <w:top w:val="single" w:sz="4" w:space="0" w:color="auto"/>
              <w:left w:val="single" w:sz="4" w:space="0" w:color="auto"/>
              <w:bottom w:val="single" w:sz="4" w:space="0" w:color="auto"/>
              <w:right w:val="double" w:sz="4" w:space="0" w:color="auto"/>
            </w:tcBorders>
            <w:shd w:val="clear" w:color="auto" w:fill="auto"/>
          </w:tcPr>
          <w:p w:rsidR="00371EF1" w:rsidRPr="001D6512" w:rsidRDefault="00371EF1" w:rsidP="00BC49F4">
            <w:pPr>
              <w:pStyle w:val="TableCell"/>
              <w:spacing w:before="60" w:after="60"/>
              <w:rPr>
                <w:szCs w:val="18"/>
              </w:rPr>
            </w:pPr>
            <w:r w:rsidRPr="001D6512">
              <w:rPr>
                <w:szCs w:val="18"/>
              </w:rPr>
              <w:t>1.0 W/linear foot</w:t>
            </w:r>
          </w:p>
        </w:tc>
      </w:tr>
      <w:tr w:rsidR="00371EF1" w:rsidRPr="00A859F9" w:rsidTr="00BC49F4">
        <w:trPr>
          <w:trHeight w:val="374"/>
        </w:trPr>
        <w:tc>
          <w:tcPr>
            <w:tcW w:w="1831" w:type="pct"/>
            <w:vMerge/>
            <w:tcBorders>
              <w:left w:val="single" w:sz="4" w:space="0" w:color="auto"/>
              <w:right w:val="single" w:sz="4" w:space="0" w:color="auto"/>
            </w:tcBorders>
            <w:shd w:val="clear" w:color="auto" w:fill="auto"/>
          </w:tcPr>
          <w:p w:rsidR="00371EF1" w:rsidRPr="001D6512" w:rsidRDefault="00371EF1" w:rsidP="00BC49F4">
            <w:pPr>
              <w:pStyle w:val="TableCell"/>
              <w:spacing w:before="60" w:after="60"/>
              <w:rPr>
                <w:szCs w:val="18"/>
              </w:rPr>
            </w:pPr>
          </w:p>
        </w:tc>
        <w:tc>
          <w:tcPr>
            <w:tcW w:w="1750" w:type="pct"/>
            <w:tcBorders>
              <w:top w:val="single" w:sz="4" w:space="0" w:color="auto"/>
              <w:left w:val="nil"/>
              <w:bottom w:val="single" w:sz="4" w:space="0" w:color="auto"/>
              <w:right w:val="single" w:sz="4" w:space="0" w:color="auto"/>
            </w:tcBorders>
          </w:tcPr>
          <w:p w:rsidR="00371EF1" w:rsidRPr="001D6512" w:rsidRDefault="00371EF1" w:rsidP="00BC49F4">
            <w:pPr>
              <w:pStyle w:val="TableCell"/>
              <w:spacing w:before="60" w:after="60"/>
              <w:rPr>
                <w:szCs w:val="18"/>
              </w:rPr>
            </w:pPr>
            <w:r w:rsidRPr="001D6512">
              <w:rPr>
                <w:szCs w:val="18"/>
              </w:rPr>
              <w:t>Walkways 10 ft wide or greater</w:t>
            </w:r>
          </w:p>
        </w:tc>
        <w:tc>
          <w:tcPr>
            <w:tcW w:w="1419" w:type="pct"/>
            <w:vMerge w:val="restart"/>
            <w:tcBorders>
              <w:top w:val="single" w:sz="4" w:space="0" w:color="auto"/>
              <w:left w:val="single" w:sz="4" w:space="0" w:color="auto"/>
              <w:right w:val="double" w:sz="4" w:space="0" w:color="auto"/>
            </w:tcBorders>
            <w:shd w:val="clear" w:color="auto" w:fill="auto"/>
          </w:tcPr>
          <w:p w:rsidR="00371EF1" w:rsidRPr="001D6512" w:rsidRDefault="00371EF1" w:rsidP="00BC49F4">
            <w:pPr>
              <w:pStyle w:val="TableCell"/>
              <w:spacing w:before="60" w:after="60"/>
              <w:rPr>
                <w:szCs w:val="18"/>
              </w:rPr>
            </w:pPr>
            <w:r w:rsidRPr="001D6512">
              <w:rPr>
                <w:szCs w:val="18"/>
              </w:rPr>
              <w:t>0.2 W/ft</w:t>
            </w:r>
            <w:r w:rsidRPr="001D6512">
              <w:rPr>
                <w:szCs w:val="18"/>
                <w:vertAlign w:val="superscript"/>
              </w:rPr>
              <w:t>2</w:t>
            </w:r>
          </w:p>
        </w:tc>
      </w:tr>
      <w:tr w:rsidR="00371EF1" w:rsidRPr="00A859F9" w:rsidTr="00BC49F4">
        <w:trPr>
          <w:trHeight w:val="374"/>
        </w:trPr>
        <w:tc>
          <w:tcPr>
            <w:tcW w:w="1831" w:type="pct"/>
            <w:vMerge/>
            <w:tcBorders>
              <w:left w:val="single" w:sz="4" w:space="0" w:color="auto"/>
              <w:right w:val="single" w:sz="4" w:space="0" w:color="auto"/>
            </w:tcBorders>
            <w:shd w:val="clear" w:color="auto" w:fill="auto"/>
          </w:tcPr>
          <w:p w:rsidR="00371EF1" w:rsidRPr="001D6512" w:rsidRDefault="00371EF1" w:rsidP="00BC49F4">
            <w:pPr>
              <w:pStyle w:val="TableCell"/>
              <w:spacing w:before="60" w:after="60"/>
              <w:rPr>
                <w:szCs w:val="18"/>
              </w:rPr>
            </w:pPr>
          </w:p>
        </w:tc>
        <w:tc>
          <w:tcPr>
            <w:tcW w:w="1750" w:type="pct"/>
            <w:tcBorders>
              <w:top w:val="single" w:sz="4" w:space="0" w:color="auto"/>
              <w:left w:val="nil"/>
              <w:bottom w:val="single" w:sz="4" w:space="0" w:color="auto"/>
              <w:right w:val="single" w:sz="4" w:space="0" w:color="auto"/>
            </w:tcBorders>
          </w:tcPr>
          <w:p w:rsidR="00371EF1" w:rsidRPr="001D6512" w:rsidRDefault="00371EF1" w:rsidP="00BC49F4">
            <w:pPr>
              <w:pStyle w:val="TableCell"/>
              <w:spacing w:before="60" w:after="60"/>
              <w:rPr>
                <w:szCs w:val="18"/>
              </w:rPr>
            </w:pPr>
            <w:r w:rsidRPr="001D6512">
              <w:rPr>
                <w:szCs w:val="18"/>
              </w:rPr>
              <w:t>Plaza areas</w:t>
            </w:r>
          </w:p>
        </w:tc>
        <w:tc>
          <w:tcPr>
            <w:tcW w:w="1419" w:type="pct"/>
            <w:vMerge/>
            <w:tcBorders>
              <w:left w:val="single" w:sz="4" w:space="0" w:color="auto"/>
              <w:right w:val="double" w:sz="4" w:space="0" w:color="auto"/>
            </w:tcBorders>
            <w:shd w:val="clear" w:color="auto" w:fill="auto"/>
          </w:tcPr>
          <w:p w:rsidR="00371EF1" w:rsidRPr="001D6512" w:rsidRDefault="00371EF1" w:rsidP="00BC49F4">
            <w:pPr>
              <w:pStyle w:val="TableCell"/>
              <w:spacing w:before="60" w:after="60"/>
              <w:rPr>
                <w:szCs w:val="18"/>
              </w:rPr>
            </w:pPr>
          </w:p>
        </w:tc>
      </w:tr>
      <w:tr w:rsidR="00371EF1" w:rsidRPr="00A859F9" w:rsidTr="00BC49F4">
        <w:trPr>
          <w:trHeight w:val="374"/>
        </w:trPr>
        <w:tc>
          <w:tcPr>
            <w:tcW w:w="1831" w:type="pct"/>
            <w:vMerge/>
            <w:tcBorders>
              <w:left w:val="single" w:sz="4" w:space="0" w:color="auto"/>
              <w:right w:val="single" w:sz="4" w:space="0" w:color="auto"/>
            </w:tcBorders>
            <w:shd w:val="clear" w:color="auto" w:fill="auto"/>
          </w:tcPr>
          <w:p w:rsidR="00371EF1" w:rsidRPr="001D6512" w:rsidRDefault="00371EF1" w:rsidP="00BC49F4">
            <w:pPr>
              <w:pStyle w:val="TableCell"/>
              <w:spacing w:before="60" w:after="60"/>
              <w:rPr>
                <w:szCs w:val="18"/>
              </w:rPr>
            </w:pPr>
          </w:p>
        </w:tc>
        <w:tc>
          <w:tcPr>
            <w:tcW w:w="1750" w:type="pct"/>
            <w:tcBorders>
              <w:top w:val="single" w:sz="4" w:space="0" w:color="auto"/>
              <w:left w:val="nil"/>
              <w:bottom w:val="single" w:sz="4" w:space="0" w:color="auto"/>
              <w:right w:val="single" w:sz="4" w:space="0" w:color="auto"/>
            </w:tcBorders>
          </w:tcPr>
          <w:p w:rsidR="00371EF1" w:rsidRPr="001D6512" w:rsidRDefault="00371EF1" w:rsidP="00BC49F4">
            <w:pPr>
              <w:pStyle w:val="TableCell"/>
              <w:spacing w:before="60" w:after="60"/>
              <w:rPr>
                <w:szCs w:val="18"/>
              </w:rPr>
            </w:pPr>
            <w:r w:rsidRPr="001D6512">
              <w:rPr>
                <w:szCs w:val="18"/>
              </w:rPr>
              <w:t>Special feature areas</w:t>
            </w:r>
          </w:p>
        </w:tc>
        <w:tc>
          <w:tcPr>
            <w:tcW w:w="1419" w:type="pct"/>
            <w:vMerge/>
            <w:tcBorders>
              <w:left w:val="single" w:sz="4" w:space="0" w:color="auto"/>
              <w:bottom w:val="single" w:sz="4" w:space="0" w:color="auto"/>
              <w:right w:val="double" w:sz="4" w:space="0" w:color="auto"/>
            </w:tcBorders>
            <w:shd w:val="clear" w:color="auto" w:fill="auto"/>
          </w:tcPr>
          <w:p w:rsidR="00371EF1" w:rsidRPr="001D6512" w:rsidRDefault="00371EF1" w:rsidP="00BC49F4">
            <w:pPr>
              <w:pStyle w:val="TableCell"/>
              <w:spacing w:before="60" w:after="60"/>
              <w:rPr>
                <w:szCs w:val="18"/>
              </w:rPr>
            </w:pPr>
          </w:p>
        </w:tc>
      </w:tr>
      <w:tr w:rsidR="00371EF1" w:rsidRPr="00A859F9" w:rsidTr="00BC49F4">
        <w:trPr>
          <w:trHeight w:val="374"/>
        </w:trPr>
        <w:tc>
          <w:tcPr>
            <w:tcW w:w="1831" w:type="pct"/>
            <w:vMerge/>
            <w:tcBorders>
              <w:left w:val="single" w:sz="4" w:space="0" w:color="auto"/>
              <w:bottom w:val="single" w:sz="4" w:space="0" w:color="auto"/>
              <w:right w:val="single" w:sz="4" w:space="0" w:color="auto"/>
            </w:tcBorders>
            <w:shd w:val="clear" w:color="auto" w:fill="auto"/>
          </w:tcPr>
          <w:p w:rsidR="00371EF1" w:rsidRPr="001D6512" w:rsidRDefault="00371EF1" w:rsidP="00BC49F4">
            <w:pPr>
              <w:pStyle w:val="TableCell"/>
              <w:spacing w:before="60" w:after="60"/>
              <w:rPr>
                <w:szCs w:val="18"/>
              </w:rPr>
            </w:pPr>
          </w:p>
        </w:tc>
        <w:tc>
          <w:tcPr>
            <w:tcW w:w="1750" w:type="pct"/>
            <w:tcBorders>
              <w:top w:val="single" w:sz="4" w:space="0" w:color="auto"/>
              <w:left w:val="nil"/>
              <w:bottom w:val="single" w:sz="4" w:space="0" w:color="auto"/>
              <w:right w:val="single" w:sz="4" w:space="0" w:color="auto"/>
            </w:tcBorders>
          </w:tcPr>
          <w:p w:rsidR="00371EF1" w:rsidRPr="001D6512" w:rsidRDefault="00371EF1" w:rsidP="00BC49F4">
            <w:pPr>
              <w:pStyle w:val="TableCell"/>
              <w:spacing w:before="60" w:after="60"/>
              <w:rPr>
                <w:szCs w:val="18"/>
              </w:rPr>
            </w:pPr>
            <w:r w:rsidRPr="001D6512">
              <w:rPr>
                <w:szCs w:val="18"/>
              </w:rPr>
              <w:t>Stairways</w:t>
            </w:r>
          </w:p>
        </w:tc>
        <w:tc>
          <w:tcPr>
            <w:tcW w:w="1419" w:type="pct"/>
            <w:tcBorders>
              <w:top w:val="single" w:sz="4" w:space="0" w:color="auto"/>
              <w:left w:val="single" w:sz="4" w:space="0" w:color="auto"/>
              <w:bottom w:val="single" w:sz="4" w:space="0" w:color="auto"/>
              <w:right w:val="double" w:sz="4" w:space="0" w:color="auto"/>
            </w:tcBorders>
            <w:shd w:val="clear" w:color="auto" w:fill="auto"/>
          </w:tcPr>
          <w:p w:rsidR="00371EF1" w:rsidRPr="001D6512" w:rsidRDefault="00371EF1" w:rsidP="00BC49F4">
            <w:pPr>
              <w:pStyle w:val="TableCell"/>
              <w:spacing w:before="60" w:after="60"/>
              <w:rPr>
                <w:szCs w:val="18"/>
              </w:rPr>
            </w:pPr>
            <w:r w:rsidRPr="001D6512">
              <w:rPr>
                <w:szCs w:val="18"/>
              </w:rPr>
              <w:t>1.0 W/ft</w:t>
            </w:r>
            <w:r w:rsidRPr="001D6512">
              <w:rPr>
                <w:szCs w:val="18"/>
                <w:vertAlign w:val="superscript"/>
              </w:rPr>
              <w:t>2</w:t>
            </w:r>
          </w:p>
        </w:tc>
      </w:tr>
      <w:tr w:rsidR="00371EF1" w:rsidRPr="00A859F9" w:rsidTr="00BC49F4">
        <w:trPr>
          <w:trHeight w:val="374"/>
        </w:trPr>
        <w:tc>
          <w:tcPr>
            <w:tcW w:w="1831" w:type="pct"/>
            <w:vMerge w:val="restart"/>
            <w:tcBorders>
              <w:top w:val="nil"/>
              <w:left w:val="single" w:sz="4" w:space="0" w:color="auto"/>
              <w:right w:val="single" w:sz="4" w:space="0" w:color="auto"/>
            </w:tcBorders>
            <w:shd w:val="clear" w:color="auto" w:fill="auto"/>
          </w:tcPr>
          <w:p w:rsidR="00371EF1" w:rsidRPr="001D6512" w:rsidRDefault="00371EF1" w:rsidP="00BC49F4">
            <w:pPr>
              <w:pStyle w:val="TableCell"/>
              <w:spacing w:before="60" w:after="60"/>
              <w:rPr>
                <w:szCs w:val="18"/>
              </w:rPr>
            </w:pPr>
            <w:r w:rsidRPr="001D6512">
              <w:rPr>
                <w:szCs w:val="18"/>
              </w:rPr>
              <w:t>Building Entrances and Exits</w:t>
            </w:r>
          </w:p>
        </w:tc>
        <w:tc>
          <w:tcPr>
            <w:tcW w:w="1750" w:type="pct"/>
            <w:tcBorders>
              <w:top w:val="single" w:sz="4" w:space="0" w:color="auto"/>
              <w:left w:val="nil"/>
              <w:bottom w:val="single" w:sz="4" w:space="0" w:color="auto"/>
              <w:right w:val="single" w:sz="4" w:space="0" w:color="auto"/>
            </w:tcBorders>
          </w:tcPr>
          <w:p w:rsidR="00371EF1" w:rsidRPr="001D6512" w:rsidRDefault="00371EF1" w:rsidP="00BC49F4">
            <w:pPr>
              <w:pStyle w:val="TableCell"/>
              <w:spacing w:before="60" w:after="60"/>
              <w:rPr>
                <w:szCs w:val="18"/>
              </w:rPr>
            </w:pPr>
            <w:r w:rsidRPr="001D6512">
              <w:rPr>
                <w:szCs w:val="18"/>
              </w:rPr>
              <w:t>Main entries</w:t>
            </w:r>
          </w:p>
        </w:tc>
        <w:tc>
          <w:tcPr>
            <w:tcW w:w="1419" w:type="pct"/>
            <w:tcBorders>
              <w:top w:val="single" w:sz="4" w:space="0" w:color="auto"/>
              <w:left w:val="single" w:sz="4" w:space="0" w:color="auto"/>
              <w:bottom w:val="single" w:sz="4" w:space="0" w:color="auto"/>
              <w:right w:val="double" w:sz="4" w:space="0" w:color="auto"/>
            </w:tcBorders>
            <w:shd w:val="clear" w:color="auto" w:fill="auto"/>
          </w:tcPr>
          <w:p w:rsidR="00371EF1" w:rsidRPr="001D6512" w:rsidRDefault="00371EF1" w:rsidP="00BC49F4">
            <w:pPr>
              <w:pStyle w:val="TableCell"/>
              <w:spacing w:before="60" w:after="60"/>
              <w:rPr>
                <w:szCs w:val="18"/>
              </w:rPr>
            </w:pPr>
            <w:r w:rsidRPr="001D6512">
              <w:rPr>
                <w:szCs w:val="18"/>
              </w:rPr>
              <w:t>30 W/linear foot of door width</w:t>
            </w:r>
          </w:p>
        </w:tc>
      </w:tr>
      <w:tr w:rsidR="00371EF1" w:rsidRPr="00A859F9" w:rsidTr="00BC49F4">
        <w:trPr>
          <w:trHeight w:val="374"/>
        </w:trPr>
        <w:tc>
          <w:tcPr>
            <w:tcW w:w="1831" w:type="pct"/>
            <w:vMerge/>
            <w:tcBorders>
              <w:left w:val="single" w:sz="4" w:space="0" w:color="auto"/>
              <w:bottom w:val="single" w:sz="4" w:space="0" w:color="auto"/>
              <w:right w:val="single" w:sz="4" w:space="0" w:color="auto"/>
            </w:tcBorders>
            <w:shd w:val="clear" w:color="auto" w:fill="auto"/>
          </w:tcPr>
          <w:p w:rsidR="00371EF1" w:rsidRPr="001D6512" w:rsidRDefault="00371EF1" w:rsidP="00BC49F4">
            <w:pPr>
              <w:pStyle w:val="TableCell"/>
              <w:spacing w:before="60" w:after="60"/>
              <w:rPr>
                <w:szCs w:val="18"/>
              </w:rPr>
            </w:pPr>
          </w:p>
        </w:tc>
        <w:tc>
          <w:tcPr>
            <w:tcW w:w="1750" w:type="pct"/>
            <w:tcBorders>
              <w:top w:val="single" w:sz="4" w:space="0" w:color="auto"/>
              <w:left w:val="nil"/>
              <w:bottom w:val="single" w:sz="4" w:space="0" w:color="auto"/>
              <w:right w:val="single" w:sz="4" w:space="0" w:color="auto"/>
            </w:tcBorders>
          </w:tcPr>
          <w:p w:rsidR="00371EF1" w:rsidRPr="001D6512" w:rsidRDefault="00371EF1" w:rsidP="00BC49F4">
            <w:pPr>
              <w:pStyle w:val="TableCell"/>
              <w:spacing w:before="60" w:after="60"/>
              <w:rPr>
                <w:szCs w:val="18"/>
              </w:rPr>
            </w:pPr>
            <w:r w:rsidRPr="001D6512">
              <w:rPr>
                <w:szCs w:val="18"/>
              </w:rPr>
              <w:t>Other doors</w:t>
            </w:r>
          </w:p>
        </w:tc>
        <w:tc>
          <w:tcPr>
            <w:tcW w:w="1419" w:type="pct"/>
            <w:tcBorders>
              <w:top w:val="single" w:sz="4" w:space="0" w:color="auto"/>
              <w:left w:val="single" w:sz="4" w:space="0" w:color="auto"/>
              <w:bottom w:val="single" w:sz="4" w:space="0" w:color="auto"/>
              <w:right w:val="double" w:sz="4" w:space="0" w:color="auto"/>
            </w:tcBorders>
            <w:shd w:val="clear" w:color="auto" w:fill="auto"/>
          </w:tcPr>
          <w:p w:rsidR="00371EF1" w:rsidRPr="001D6512" w:rsidRDefault="00371EF1" w:rsidP="00BC49F4">
            <w:pPr>
              <w:pStyle w:val="TableCell"/>
              <w:spacing w:before="60" w:after="60"/>
              <w:rPr>
                <w:szCs w:val="18"/>
              </w:rPr>
            </w:pPr>
            <w:r w:rsidRPr="001D6512">
              <w:rPr>
                <w:szCs w:val="18"/>
              </w:rPr>
              <w:t>20 W/linear foot of door width</w:t>
            </w:r>
          </w:p>
        </w:tc>
      </w:tr>
      <w:tr w:rsidR="00371EF1" w:rsidRPr="00A859F9" w:rsidTr="00BC49F4">
        <w:trPr>
          <w:trHeight w:val="374"/>
        </w:trPr>
        <w:tc>
          <w:tcPr>
            <w:tcW w:w="1831" w:type="pct"/>
            <w:tcBorders>
              <w:top w:val="nil"/>
              <w:left w:val="single" w:sz="4" w:space="0" w:color="auto"/>
              <w:bottom w:val="single" w:sz="4" w:space="0" w:color="auto"/>
              <w:right w:val="single" w:sz="4" w:space="0" w:color="auto"/>
            </w:tcBorders>
            <w:shd w:val="clear" w:color="auto" w:fill="auto"/>
          </w:tcPr>
          <w:p w:rsidR="00371EF1" w:rsidRPr="001D6512" w:rsidRDefault="00371EF1" w:rsidP="00BC49F4">
            <w:pPr>
              <w:pStyle w:val="TableCell"/>
              <w:spacing w:before="60" w:after="60"/>
              <w:rPr>
                <w:szCs w:val="18"/>
              </w:rPr>
            </w:pPr>
            <w:r w:rsidRPr="001D6512">
              <w:rPr>
                <w:szCs w:val="18"/>
              </w:rPr>
              <w:t>Canopies and Overhangs</w:t>
            </w:r>
          </w:p>
        </w:tc>
        <w:tc>
          <w:tcPr>
            <w:tcW w:w="1750" w:type="pct"/>
            <w:tcBorders>
              <w:top w:val="single" w:sz="4" w:space="0" w:color="auto"/>
              <w:left w:val="nil"/>
              <w:bottom w:val="single" w:sz="4" w:space="0" w:color="auto"/>
              <w:right w:val="single" w:sz="4" w:space="0" w:color="auto"/>
            </w:tcBorders>
          </w:tcPr>
          <w:p w:rsidR="00371EF1" w:rsidRPr="001D6512" w:rsidRDefault="00371EF1" w:rsidP="00BC49F4">
            <w:pPr>
              <w:pStyle w:val="TableCell"/>
              <w:spacing w:before="60" w:after="60"/>
              <w:rPr>
                <w:szCs w:val="18"/>
              </w:rPr>
            </w:pPr>
            <w:r w:rsidRPr="001D6512">
              <w:rPr>
                <w:szCs w:val="18"/>
              </w:rPr>
              <w:t>Free standing and attached and overhangs</w:t>
            </w:r>
          </w:p>
        </w:tc>
        <w:tc>
          <w:tcPr>
            <w:tcW w:w="1419" w:type="pct"/>
            <w:tcBorders>
              <w:top w:val="single" w:sz="4" w:space="0" w:color="auto"/>
              <w:left w:val="single" w:sz="4" w:space="0" w:color="auto"/>
              <w:bottom w:val="single" w:sz="4" w:space="0" w:color="auto"/>
              <w:right w:val="double" w:sz="4" w:space="0" w:color="auto"/>
            </w:tcBorders>
            <w:shd w:val="clear" w:color="auto" w:fill="auto"/>
          </w:tcPr>
          <w:p w:rsidR="00371EF1" w:rsidRPr="001D6512" w:rsidRDefault="00371EF1" w:rsidP="00BC49F4">
            <w:pPr>
              <w:pStyle w:val="TableCell"/>
              <w:spacing w:before="60" w:after="60"/>
              <w:rPr>
                <w:szCs w:val="18"/>
              </w:rPr>
            </w:pPr>
            <w:r w:rsidRPr="001D6512">
              <w:rPr>
                <w:szCs w:val="18"/>
              </w:rPr>
              <w:t>1.25 W/ft</w:t>
            </w:r>
            <w:r w:rsidRPr="001D6512">
              <w:rPr>
                <w:szCs w:val="18"/>
                <w:vertAlign w:val="superscript"/>
              </w:rPr>
              <w:t>2</w:t>
            </w:r>
          </w:p>
        </w:tc>
      </w:tr>
      <w:tr w:rsidR="00371EF1" w:rsidRPr="00A859F9" w:rsidTr="00BC49F4">
        <w:trPr>
          <w:trHeight w:val="374"/>
        </w:trPr>
        <w:tc>
          <w:tcPr>
            <w:tcW w:w="1831" w:type="pct"/>
            <w:vMerge w:val="restart"/>
            <w:tcBorders>
              <w:top w:val="nil"/>
              <w:left w:val="single" w:sz="4" w:space="0" w:color="auto"/>
              <w:right w:val="single" w:sz="4" w:space="0" w:color="auto"/>
            </w:tcBorders>
            <w:shd w:val="clear" w:color="auto" w:fill="auto"/>
          </w:tcPr>
          <w:p w:rsidR="00371EF1" w:rsidRPr="001D6512" w:rsidRDefault="00371EF1" w:rsidP="00BC49F4">
            <w:pPr>
              <w:pStyle w:val="TableCell"/>
              <w:spacing w:before="60" w:after="60"/>
              <w:rPr>
                <w:szCs w:val="18"/>
              </w:rPr>
            </w:pPr>
            <w:r w:rsidRPr="001D6512">
              <w:rPr>
                <w:szCs w:val="18"/>
              </w:rPr>
              <w:t>Outdoor sales</w:t>
            </w:r>
          </w:p>
        </w:tc>
        <w:tc>
          <w:tcPr>
            <w:tcW w:w="1750" w:type="pct"/>
            <w:tcBorders>
              <w:top w:val="single" w:sz="4" w:space="0" w:color="auto"/>
              <w:left w:val="nil"/>
              <w:bottom w:val="single" w:sz="4" w:space="0" w:color="auto"/>
              <w:right w:val="single" w:sz="4" w:space="0" w:color="auto"/>
            </w:tcBorders>
          </w:tcPr>
          <w:p w:rsidR="00371EF1" w:rsidRPr="001D6512" w:rsidRDefault="00371EF1" w:rsidP="00BC49F4">
            <w:pPr>
              <w:pStyle w:val="TableCell"/>
              <w:spacing w:before="60" w:after="60"/>
              <w:rPr>
                <w:szCs w:val="18"/>
              </w:rPr>
            </w:pPr>
            <w:r w:rsidRPr="001D6512">
              <w:rPr>
                <w:szCs w:val="18"/>
              </w:rPr>
              <w:t>Open areas (including vehicle sales lots)</w:t>
            </w:r>
          </w:p>
        </w:tc>
        <w:tc>
          <w:tcPr>
            <w:tcW w:w="1419" w:type="pct"/>
            <w:tcBorders>
              <w:top w:val="single" w:sz="4" w:space="0" w:color="auto"/>
              <w:left w:val="single" w:sz="4" w:space="0" w:color="auto"/>
              <w:bottom w:val="single" w:sz="4" w:space="0" w:color="auto"/>
              <w:right w:val="double" w:sz="4" w:space="0" w:color="auto"/>
            </w:tcBorders>
            <w:shd w:val="clear" w:color="auto" w:fill="auto"/>
          </w:tcPr>
          <w:p w:rsidR="00371EF1" w:rsidRPr="001D6512" w:rsidRDefault="00371EF1" w:rsidP="00BC49F4">
            <w:pPr>
              <w:pStyle w:val="TableCell"/>
              <w:spacing w:before="60" w:after="60"/>
              <w:rPr>
                <w:szCs w:val="18"/>
              </w:rPr>
            </w:pPr>
            <w:r w:rsidRPr="001D6512">
              <w:rPr>
                <w:szCs w:val="18"/>
              </w:rPr>
              <w:t>0.5 W/ft</w:t>
            </w:r>
            <w:r w:rsidRPr="001D6512">
              <w:rPr>
                <w:szCs w:val="18"/>
                <w:vertAlign w:val="superscript"/>
              </w:rPr>
              <w:t>2</w:t>
            </w:r>
          </w:p>
        </w:tc>
      </w:tr>
      <w:tr w:rsidR="00371EF1" w:rsidRPr="00A859F9" w:rsidTr="00BC49F4">
        <w:trPr>
          <w:trHeight w:val="374"/>
        </w:trPr>
        <w:tc>
          <w:tcPr>
            <w:tcW w:w="1831" w:type="pct"/>
            <w:vMerge/>
            <w:tcBorders>
              <w:left w:val="single" w:sz="4" w:space="0" w:color="auto"/>
              <w:bottom w:val="single" w:sz="4" w:space="0" w:color="auto"/>
              <w:right w:val="single" w:sz="4" w:space="0" w:color="auto"/>
            </w:tcBorders>
            <w:shd w:val="clear" w:color="auto" w:fill="auto"/>
          </w:tcPr>
          <w:p w:rsidR="00371EF1" w:rsidRPr="001D6512" w:rsidRDefault="00371EF1" w:rsidP="00BC49F4">
            <w:pPr>
              <w:pStyle w:val="TableCell"/>
              <w:spacing w:before="60" w:after="60"/>
              <w:rPr>
                <w:szCs w:val="18"/>
              </w:rPr>
            </w:pPr>
          </w:p>
        </w:tc>
        <w:tc>
          <w:tcPr>
            <w:tcW w:w="1750" w:type="pct"/>
            <w:tcBorders>
              <w:top w:val="single" w:sz="4" w:space="0" w:color="auto"/>
              <w:left w:val="nil"/>
              <w:bottom w:val="single" w:sz="4" w:space="0" w:color="auto"/>
              <w:right w:val="single" w:sz="4" w:space="0" w:color="auto"/>
            </w:tcBorders>
          </w:tcPr>
          <w:p w:rsidR="00371EF1" w:rsidRPr="001D6512" w:rsidRDefault="00371EF1" w:rsidP="00BC49F4">
            <w:pPr>
              <w:pStyle w:val="TableCell"/>
              <w:spacing w:before="60" w:after="60"/>
              <w:rPr>
                <w:szCs w:val="18"/>
              </w:rPr>
            </w:pPr>
            <w:r w:rsidRPr="001D6512">
              <w:rPr>
                <w:szCs w:val="18"/>
              </w:rPr>
              <w:t>Street frontage for vehicle sales lots in addition to “open area” allowance</w:t>
            </w:r>
          </w:p>
        </w:tc>
        <w:tc>
          <w:tcPr>
            <w:tcW w:w="1419" w:type="pct"/>
            <w:tcBorders>
              <w:top w:val="single" w:sz="4" w:space="0" w:color="auto"/>
              <w:left w:val="single" w:sz="4" w:space="0" w:color="auto"/>
              <w:bottom w:val="single" w:sz="4" w:space="0" w:color="auto"/>
              <w:right w:val="double" w:sz="4" w:space="0" w:color="auto"/>
            </w:tcBorders>
            <w:shd w:val="clear" w:color="auto" w:fill="auto"/>
          </w:tcPr>
          <w:p w:rsidR="00371EF1" w:rsidRPr="001D6512" w:rsidRDefault="00371EF1" w:rsidP="00BC49F4">
            <w:pPr>
              <w:pStyle w:val="TableCell"/>
              <w:spacing w:before="60" w:after="60"/>
              <w:rPr>
                <w:szCs w:val="18"/>
              </w:rPr>
            </w:pPr>
            <w:r w:rsidRPr="001D6512">
              <w:rPr>
                <w:szCs w:val="18"/>
              </w:rPr>
              <w:t>20 W/linear foot</w:t>
            </w:r>
          </w:p>
        </w:tc>
      </w:tr>
      <w:tr w:rsidR="00371EF1" w:rsidRPr="00A859F9" w:rsidTr="00BC49F4">
        <w:trPr>
          <w:trHeight w:val="374"/>
        </w:trPr>
        <w:tc>
          <w:tcPr>
            <w:tcW w:w="1831" w:type="pct"/>
            <w:tcBorders>
              <w:top w:val="nil"/>
              <w:left w:val="single" w:sz="4" w:space="0" w:color="auto"/>
              <w:bottom w:val="single" w:sz="4" w:space="0" w:color="auto"/>
              <w:right w:val="single" w:sz="4" w:space="0" w:color="auto"/>
            </w:tcBorders>
            <w:shd w:val="clear" w:color="auto" w:fill="auto"/>
          </w:tcPr>
          <w:p w:rsidR="00371EF1" w:rsidRPr="001D6512" w:rsidRDefault="00371EF1" w:rsidP="00BC49F4">
            <w:pPr>
              <w:pStyle w:val="TableCell"/>
              <w:spacing w:before="60" w:after="60"/>
              <w:rPr>
                <w:szCs w:val="18"/>
              </w:rPr>
            </w:pPr>
            <w:r w:rsidRPr="001D6512">
              <w:rPr>
                <w:szCs w:val="18"/>
              </w:rPr>
              <w:t>Building facades</w:t>
            </w:r>
          </w:p>
        </w:tc>
        <w:tc>
          <w:tcPr>
            <w:tcW w:w="1750" w:type="pct"/>
            <w:tcBorders>
              <w:top w:val="single" w:sz="4" w:space="0" w:color="auto"/>
              <w:left w:val="nil"/>
              <w:bottom w:val="single" w:sz="4" w:space="0" w:color="auto"/>
              <w:right w:val="single" w:sz="4" w:space="0" w:color="auto"/>
            </w:tcBorders>
          </w:tcPr>
          <w:p w:rsidR="00371EF1" w:rsidRPr="001D6512" w:rsidRDefault="00371EF1" w:rsidP="00BC49F4">
            <w:pPr>
              <w:pStyle w:val="TableCell"/>
              <w:spacing w:before="60" w:after="60"/>
              <w:rPr>
                <w:szCs w:val="18"/>
              </w:rPr>
            </w:pPr>
          </w:p>
        </w:tc>
        <w:tc>
          <w:tcPr>
            <w:tcW w:w="1419" w:type="pct"/>
            <w:tcBorders>
              <w:top w:val="single" w:sz="4" w:space="0" w:color="auto"/>
              <w:left w:val="single" w:sz="4" w:space="0" w:color="auto"/>
              <w:bottom w:val="single" w:sz="4" w:space="0" w:color="auto"/>
              <w:right w:val="double" w:sz="4" w:space="0" w:color="auto"/>
            </w:tcBorders>
            <w:shd w:val="clear" w:color="auto" w:fill="auto"/>
          </w:tcPr>
          <w:p w:rsidR="00371EF1" w:rsidRPr="001D6512" w:rsidRDefault="00371EF1" w:rsidP="00BC49F4">
            <w:pPr>
              <w:pStyle w:val="TableCell"/>
              <w:spacing w:before="60" w:after="60"/>
              <w:rPr>
                <w:szCs w:val="18"/>
              </w:rPr>
            </w:pPr>
            <w:r w:rsidRPr="001D6512">
              <w:rPr>
                <w:szCs w:val="18"/>
              </w:rPr>
              <w:t>0.2 W/ft</w:t>
            </w:r>
            <w:r w:rsidRPr="001D6512">
              <w:rPr>
                <w:szCs w:val="18"/>
                <w:vertAlign w:val="superscript"/>
              </w:rPr>
              <w:t xml:space="preserve">2 </w:t>
            </w:r>
            <w:r w:rsidRPr="001D6512">
              <w:rPr>
                <w:szCs w:val="18"/>
              </w:rPr>
              <w:t>for</w:t>
            </w:r>
            <w:r w:rsidRPr="001D6512">
              <w:rPr>
                <w:szCs w:val="18"/>
                <w:vertAlign w:val="superscript"/>
              </w:rPr>
              <w:t xml:space="preserve"> </w:t>
            </w:r>
            <w:r w:rsidRPr="001D6512">
              <w:rPr>
                <w:szCs w:val="18"/>
              </w:rPr>
              <w:t>each illuminated wall or surface or 5.0 W/linear foot for each illuminated wall or surface length</w:t>
            </w:r>
          </w:p>
        </w:tc>
      </w:tr>
      <w:tr w:rsidR="00371EF1" w:rsidRPr="00A859F9" w:rsidTr="00BC49F4">
        <w:trPr>
          <w:trHeight w:val="374"/>
        </w:trPr>
        <w:tc>
          <w:tcPr>
            <w:tcW w:w="1831" w:type="pct"/>
            <w:tcBorders>
              <w:top w:val="single" w:sz="4" w:space="0" w:color="auto"/>
              <w:left w:val="single" w:sz="4" w:space="0" w:color="auto"/>
              <w:bottom w:val="single" w:sz="4" w:space="0" w:color="auto"/>
              <w:right w:val="single" w:sz="4" w:space="0" w:color="auto"/>
            </w:tcBorders>
            <w:shd w:val="clear" w:color="auto" w:fill="auto"/>
          </w:tcPr>
          <w:p w:rsidR="00371EF1" w:rsidRPr="001D6512" w:rsidRDefault="00371EF1" w:rsidP="00BC49F4">
            <w:pPr>
              <w:pStyle w:val="TableCell"/>
              <w:spacing w:before="60" w:after="60"/>
              <w:rPr>
                <w:szCs w:val="18"/>
              </w:rPr>
            </w:pPr>
            <w:r w:rsidRPr="001D6512">
              <w:rPr>
                <w:szCs w:val="18"/>
              </w:rPr>
              <w:t>Automated teller machines and night depositories</w:t>
            </w:r>
          </w:p>
        </w:tc>
        <w:tc>
          <w:tcPr>
            <w:tcW w:w="1750" w:type="pct"/>
            <w:tcBorders>
              <w:top w:val="single" w:sz="4" w:space="0" w:color="auto"/>
              <w:left w:val="nil"/>
              <w:bottom w:val="single" w:sz="4" w:space="0" w:color="auto"/>
              <w:right w:val="single" w:sz="4" w:space="0" w:color="auto"/>
            </w:tcBorders>
          </w:tcPr>
          <w:p w:rsidR="00371EF1" w:rsidRPr="001D6512" w:rsidRDefault="00371EF1" w:rsidP="00BC49F4">
            <w:pPr>
              <w:pStyle w:val="TableCell"/>
              <w:spacing w:before="60" w:after="60"/>
              <w:rPr>
                <w:szCs w:val="18"/>
              </w:rPr>
            </w:pPr>
          </w:p>
        </w:tc>
        <w:tc>
          <w:tcPr>
            <w:tcW w:w="1419" w:type="pct"/>
            <w:tcBorders>
              <w:top w:val="single" w:sz="4" w:space="0" w:color="auto"/>
              <w:left w:val="single" w:sz="4" w:space="0" w:color="auto"/>
              <w:bottom w:val="single" w:sz="4" w:space="0" w:color="auto"/>
              <w:right w:val="double" w:sz="4" w:space="0" w:color="auto"/>
            </w:tcBorders>
            <w:shd w:val="clear" w:color="auto" w:fill="auto"/>
          </w:tcPr>
          <w:p w:rsidR="00371EF1" w:rsidRPr="001D6512" w:rsidRDefault="00371EF1" w:rsidP="00BC49F4">
            <w:pPr>
              <w:pStyle w:val="TableCell"/>
              <w:spacing w:before="60" w:after="60"/>
              <w:rPr>
                <w:szCs w:val="18"/>
              </w:rPr>
            </w:pPr>
            <w:r w:rsidRPr="001D6512">
              <w:rPr>
                <w:szCs w:val="18"/>
              </w:rPr>
              <w:t>270 W per location plus 90 W per additional ATM per location</w:t>
            </w:r>
          </w:p>
        </w:tc>
      </w:tr>
      <w:tr w:rsidR="00371EF1" w:rsidRPr="00A859F9" w:rsidTr="00BC49F4">
        <w:trPr>
          <w:trHeight w:val="374"/>
        </w:trPr>
        <w:tc>
          <w:tcPr>
            <w:tcW w:w="1831" w:type="pct"/>
            <w:tcBorders>
              <w:top w:val="single" w:sz="4" w:space="0" w:color="auto"/>
              <w:left w:val="single" w:sz="4" w:space="0" w:color="auto"/>
              <w:bottom w:val="single" w:sz="4" w:space="0" w:color="auto"/>
              <w:right w:val="single" w:sz="4" w:space="0" w:color="auto"/>
            </w:tcBorders>
            <w:shd w:val="clear" w:color="auto" w:fill="auto"/>
          </w:tcPr>
          <w:p w:rsidR="00371EF1" w:rsidRPr="001D6512" w:rsidRDefault="00371EF1" w:rsidP="00BC49F4">
            <w:pPr>
              <w:pStyle w:val="TableCell"/>
              <w:spacing w:before="60" w:after="60"/>
              <w:rPr>
                <w:szCs w:val="18"/>
              </w:rPr>
            </w:pPr>
            <w:r w:rsidRPr="001D6512">
              <w:rPr>
                <w:szCs w:val="18"/>
              </w:rPr>
              <w:t>Entrances and gatehouse inspection stations at guarded facilities</w:t>
            </w:r>
          </w:p>
        </w:tc>
        <w:tc>
          <w:tcPr>
            <w:tcW w:w="1750" w:type="pct"/>
            <w:tcBorders>
              <w:top w:val="single" w:sz="4" w:space="0" w:color="auto"/>
              <w:left w:val="nil"/>
              <w:bottom w:val="single" w:sz="4" w:space="0" w:color="auto"/>
              <w:right w:val="single" w:sz="4" w:space="0" w:color="auto"/>
            </w:tcBorders>
          </w:tcPr>
          <w:p w:rsidR="00371EF1" w:rsidRPr="001D6512" w:rsidRDefault="00371EF1" w:rsidP="00BC49F4">
            <w:pPr>
              <w:pStyle w:val="TableCell"/>
              <w:spacing w:before="60" w:after="60"/>
              <w:rPr>
                <w:szCs w:val="18"/>
              </w:rPr>
            </w:pPr>
          </w:p>
        </w:tc>
        <w:tc>
          <w:tcPr>
            <w:tcW w:w="1419" w:type="pct"/>
            <w:tcBorders>
              <w:top w:val="single" w:sz="4" w:space="0" w:color="auto"/>
              <w:left w:val="single" w:sz="4" w:space="0" w:color="auto"/>
              <w:bottom w:val="single" w:sz="4" w:space="0" w:color="auto"/>
              <w:right w:val="double" w:sz="4" w:space="0" w:color="auto"/>
            </w:tcBorders>
            <w:shd w:val="clear" w:color="auto" w:fill="auto"/>
          </w:tcPr>
          <w:p w:rsidR="00371EF1" w:rsidRPr="001D6512" w:rsidRDefault="00371EF1" w:rsidP="00BC49F4">
            <w:pPr>
              <w:pStyle w:val="TableCell"/>
              <w:spacing w:before="60" w:after="60"/>
              <w:rPr>
                <w:szCs w:val="18"/>
              </w:rPr>
            </w:pPr>
            <w:r w:rsidRPr="001D6512">
              <w:rPr>
                <w:szCs w:val="18"/>
              </w:rPr>
              <w:t>1.25 W/ft</w:t>
            </w:r>
            <w:r w:rsidRPr="001D6512">
              <w:rPr>
                <w:szCs w:val="18"/>
                <w:vertAlign w:val="superscript"/>
              </w:rPr>
              <w:t>2</w:t>
            </w:r>
            <w:r w:rsidRPr="001D6512">
              <w:rPr>
                <w:szCs w:val="18"/>
              </w:rPr>
              <w:t xml:space="preserve"> of uncovered area</w:t>
            </w:r>
          </w:p>
        </w:tc>
      </w:tr>
      <w:tr w:rsidR="00371EF1" w:rsidRPr="00A859F9" w:rsidTr="00BC49F4">
        <w:trPr>
          <w:trHeight w:val="374"/>
        </w:trPr>
        <w:tc>
          <w:tcPr>
            <w:tcW w:w="1831" w:type="pct"/>
            <w:tcBorders>
              <w:top w:val="single" w:sz="4" w:space="0" w:color="auto"/>
              <w:left w:val="single" w:sz="4" w:space="0" w:color="auto"/>
              <w:bottom w:val="single" w:sz="4" w:space="0" w:color="auto"/>
              <w:right w:val="single" w:sz="4" w:space="0" w:color="auto"/>
            </w:tcBorders>
            <w:shd w:val="clear" w:color="auto" w:fill="auto"/>
          </w:tcPr>
          <w:p w:rsidR="00371EF1" w:rsidRPr="001D6512" w:rsidRDefault="00371EF1" w:rsidP="00BC49F4">
            <w:pPr>
              <w:pStyle w:val="TableCell"/>
              <w:spacing w:before="60" w:after="60"/>
              <w:rPr>
                <w:szCs w:val="18"/>
              </w:rPr>
            </w:pPr>
            <w:r w:rsidRPr="001D6512">
              <w:rPr>
                <w:szCs w:val="18"/>
              </w:rPr>
              <w:t>Loading areas for law enforcement, fire, ambulance, and other emergency service vehicles</w:t>
            </w:r>
          </w:p>
        </w:tc>
        <w:tc>
          <w:tcPr>
            <w:tcW w:w="1750" w:type="pct"/>
            <w:tcBorders>
              <w:top w:val="single" w:sz="4" w:space="0" w:color="auto"/>
              <w:left w:val="nil"/>
              <w:bottom w:val="single" w:sz="4" w:space="0" w:color="auto"/>
              <w:right w:val="single" w:sz="4" w:space="0" w:color="auto"/>
            </w:tcBorders>
          </w:tcPr>
          <w:p w:rsidR="00371EF1" w:rsidRPr="001D6512" w:rsidRDefault="00371EF1" w:rsidP="00BC49F4">
            <w:pPr>
              <w:pStyle w:val="TableCell"/>
              <w:spacing w:before="60" w:after="60"/>
              <w:rPr>
                <w:szCs w:val="18"/>
              </w:rPr>
            </w:pPr>
          </w:p>
        </w:tc>
        <w:tc>
          <w:tcPr>
            <w:tcW w:w="1419" w:type="pct"/>
            <w:tcBorders>
              <w:top w:val="single" w:sz="4" w:space="0" w:color="auto"/>
              <w:left w:val="single" w:sz="4" w:space="0" w:color="auto"/>
              <w:bottom w:val="single" w:sz="4" w:space="0" w:color="auto"/>
              <w:right w:val="double" w:sz="4" w:space="0" w:color="auto"/>
            </w:tcBorders>
            <w:shd w:val="clear" w:color="auto" w:fill="auto"/>
          </w:tcPr>
          <w:p w:rsidR="00371EF1" w:rsidRPr="001D6512" w:rsidRDefault="00371EF1" w:rsidP="00BC49F4">
            <w:pPr>
              <w:pStyle w:val="TableCell"/>
              <w:spacing w:before="60" w:after="60"/>
              <w:rPr>
                <w:szCs w:val="18"/>
              </w:rPr>
            </w:pPr>
            <w:r w:rsidRPr="001D6512">
              <w:rPr>
                <w:szCs w:val="18"/>
              </w:rPr>
              <w:t>0.5 W/ft</w:t>
            </w:r>
            <w:r w:rsidRPr="001D6512">
              <w:rPr>
                <w:szCs w:val="18"/>
                <w:vertAlign w:val="superscript"/>
              </w:rPr>
              <w:t>2</w:t>
            </w:r>
            <w:r w:rsidRPr="001D6512">
              <w:rPr>
                <w:szCs w:val="18"/>
              </w:rPr>
              <w:t xml:space="preserve"> of uncovered area</w:t>
            </w:r>
          </w:p>
        </w:tc>
      </w:tr>
      <w:tr w:rsidR="00371EF1" w:rsidRPr="00A859F9" w:rsidTr="00BC49F4">
        <w:trPr>
          <w:trHeight w:val="374"/>
        </w:trPr>
        <w:tc>
          <w:tcPr>
            <w:tcW w:w="1831" w:type="pct"/>
            <w:tcBorders>
              <w:top w:val="single" w:sz="4" w:space="0" w:color="auto"/>
              <w:left w:val="single" w:sz="4" w:space="0" w:color="auto"/>
              <w:bottom w:val="single" w:sz="4" w:space="0" w:color="auto"/>
              <w:right w:val="single" w:sz="4" w:space="0" w:color="auto"/>
            </w:tcBorders>
            <w:shd w:val="clear" w:color="auto" w:fill="auto"/>
          </w:tcPr>
          <w:p w:rsidR="00371EF1" w:rsidRPr="001D6512" w:rsidRDefault="00371EF1" w:rsidP="00BC49F4">
            <w:pPr>
              <w:pStyle w:val="TableCell"/>
              <w:spacing w:before="60" w:after="60"/>
              <w:rPr>
                <w:szCs w:val="18"/>
              </w:rPr>
            </w:pPr>
            <w:r w:rsidRPr="001D6512">
              <w:rPr>
                <w:szCs w:val="18"/>
              </w:rPr>
              <w:t>Drive-through windows at fast food restaurants</w:t>
            </w:r>
          </w:p>
        </w:tc>
        <w:tc>
          <w:tcPr>
            <w:tcW w:w="1750" w:type="pct"/>
            <w:tcBorders>
              <w:top w:val="single" w:sz="4" w:space="0" w:color="auto"/>
              <w:left w:val="nil"/>
              <w:bottom w:val="single" w:sz="4" w:space="0" w:color="auto"/>
              <w:right w:val="single" w:sz="4" w:space="0" w:color="auto"/>
            </w:tcBorders>
          </w:tcPr>
          <w:p w:rsidR="00371EF1" w:rsidRPr="001D6512" w:rsidRDefault="00371EF1" w:rsidP="00BC49F4">
            <w:pPr>
              <w:pStyle w:val="TableCell"/>
              <w:spacing w:before="60" w:after="60"/>
              <w:rPr>
                <w:szCs w:val="18"/>
              </w:rPr>
            </w:pPr>
          </w:p>
        </w:tc>
        <w:tc>
          <w:tcPr>
            <w:tcW w:w="1419" w:type="pct"/>
            <w:tcBorders>
              <w:top w:val="single" w:sz="4" w:space="0" w:color="auto"/>
              <w:left w:val="single" w:sz="4" w:space="0" w:color="auto"/>
              <w:bottom w:val="single" w:sz="4" w:space="0" w:color="auto"/>
              <w:right w:val="double" w:sz="4" w:space="0" w:color="auto"/>
            </w:tcBorders>
            <w:shd w:val="clear" w:color="auto" w:fill="auto"/>
          </w:tcPr>
          <w:p w:rsidR="00371EF1" w:rsidRPr="001D6512" w:rsidRDefault="00371EF1" w:rsidP="00BC49F4">
            <w:pPr>
              <w:pStyle w:val="TableCell"/>
              <w:spacing w:before="60" w:after="60"/>
              <w:rPr>
                <w:szCs w:val="18"/>
              </w:rPr>
            </w:pPr>
            <w:r w:rsidRPr="001D6512">
              <w:rPr>
                <w:szCs w:val="18"/>
              </w:rPr>
              <w:t>400 W per drive-through</w:t>
            </w:r>
          </w:p>
        </w:tc>
      </w:tr>
      <w:tr w:rsidR="00371EF1" w:rsidRPr="00A859F9" w:rsidTr="00BC49F4">
        <w:trPr>
          <w:trHeight w:val="374"/>
        </w:trPr>
        <w:tc>
          <w:tcPr>
            <w:tcW w:w="1831" w:type="pct"/>
            <w:tcBorders>
              <w:top w:val="single" w:sz="4" w:space="0" w:color="auto"/>
              <w:left w:val="single" w:sz="4" w:space="0" w:color="auto"/>
              <w:bottom w:val="single" w:sz="4" w:space="0" w:color="auto"/>
              <w:right w:val="single" w:sz="4" w:space="0" w:color="auto"/>
            </w:tcBorders>
            <w:shd w:val="clear" w:color="auto" w:fill="auto"/>
          </w:tcPr>
          <w:p w:rsidR="00371EF1" w:rsidRPr="001D6512" w:rsidRDefault="00371EF1" w:rsidP="00BC49F4">
            <w:pPr>
              <w:pStyle w:val="TableCell"/>
              <w:spacing w:before="60" w:after="60"/>
              <w:rPr>
                <w:szCs w:val="18"/>
              </w:rPr>
            </w:pPr>
            <w:r w:rsidRPr="001D6512">
              <w:rPr>
                <w:szCs w:val="18"/>
              </w:rPr>
              <w:t>Parking near 24-hour retail entrances</w:t>
            </w:r>
          </w:p>
        </w:tc>
        <w:tc>
          <w:tcPr>
            <w:tcW w:w="1750" w:type="pct"/>
            <w:tcBorders>
              <w:top w:val="single" w:sz="4" w:space="0" w:color="auto"/>
              <w:left w:val="nil"/>
              <w:bottom w:val="single" w:sz="4" w:space="0" w:color="auto"/>
              <w:right w:val="single" w:sz="4" w:space="0" w:color="auto"/>
            </w:tcBorders>
          </w:tcPr>
          <w:p w:rsidR="00371EF1" w:rsidRPr="001D6512" w:rsidRDefault="00371EF1" w:rsidP="00BC49F4">
            <w:pPr>
              <w:pStyle w:val="TableCell"/>
              <w:spacing w:before="60" w:after="60"/>
              <w:rPr>
                <w:szCs w:val="18"/>
              </w:rPr>
            </w:pPr>
          </w:p>
        </w:tc>
        <w:tc>
          <w:tcPr>
            <w:tcW w:w="1419" w:type="pct"/>
            <w:tcBorders>
              <w:top w:val="single" w:sz="4" w:space="0" w:color="auto"/>
              <w:left w:val="single" w:sz="4" w:space="0" w:color="auto"/>
              <w:bottom w:val="single" w:sz="4" w:space="0" w:color="auto"/>
              <w:right w:val="double" w:sz="4" w:space="0" w:color="auto"/>
            </w:tcBorders>
            <w:shd w:val="clear" w:color="auto" w:fill="auto"/>
          </w:tcPr>
          <w:p w:rsidR="00371EF1" w:rsidRPr="001D6512" w:rsidRDefault="00371EF1" w:rsidP="00BC49F4">
            <w:pPr>
              <w:pStyle w:val="TableCell"/>
              <w:spacing w:before="60" w:after="60"/>
              <w:rPr>
                <w:szCs w:val="18"/>
              </w:rPr>
            </w:pPr>
            <w:r w:rsidRPr="001D6512">
              <w:rPr>
                <w:szCs w:val="18"/>
              </w:rPr>
              <w:t>800 W per main entry</w:t>
            </w:r>
          </w:p>
        </w:tc>
      </w:tr>
    </w:tbl>
    <w:p w:rsidR="00371EF1" w:rsidRDefault="00371EF1" w:rsidP="00C3606E"/>
    <w:p w:rsidR="00A22E85" w:rsidRPr="00DA6F5F" w:rsidRDefault="00A22E85" w:rsidP="008075FC">
      <w:pPr>
        <w:pStyle w:val="Heading4"/>
      </w:pPr>
      <w:bookmarkStart w:id="529" w:name="_Ref248729727"/>
      <w:r w:rsidRPr="00DA6F5F">
        <w:lastRenderedPageBreak/>
        <w:t>Prescriptive Lighting Improvements</w:t>
      </w:r>
      <w:bookmarkEnd w:id="529"/>
    </w:p>
    <w:p w:rsidR="00A22E85" w:rsidRPr="00DA6F5F" w:rsidRDefault="00A22E85" w:rsidP="008075FC">
      <w:pPr>
        <w:pStyle w:val="BodyText"/>
        <w:keepNext/>
      </w:pPr>
      <w:r w:rsidRPr="00DA6F5F">
        <w:t xml:space="preserve">Prescriptive Lighting Improvements include fixture or lamp and ballast replacement in existing commercial and industrial customers’ facilities. </w:t>
      </w:r>
    </w:p>
    <w:p w:rsidR="00A22E85" w:rsidRDefault="00A22E85" w:rsidP="001209A0">
      <w:pPr>
        <w:pStyle w:val="BodyText"/>
      </w:pPr>
      <w:r w:rsidRPr="00DA6F5F">
        <w:t xml:space="preserve">The baseline is the existing fixtures with the existing lamps and ballast as defined in </w:t>
      </w:r>
      <w:r w:rsidR="007B643A">
        <w:t>Appendix C</w:t>
      </w:r>
      <w:r w:rsidRPr="00DA6F5F">
        <w:t xml:space="preserve">. Other factors required to calculate savings </w:t>
      </w:r>
      <w:r w:rsidRPr="00DA645E">
        <w:t>are shown in</w:t>
      </w:r>
      <w:r w:rsidR="00DA645E" w:rsidRPr="00DA645E">
        <w:t xml:space="preserve"> </w:t>
      </w:r>
      <w:r w:rsidR="00274AB1">
        <w:fldChar w:fldCharType="begin"/>
      </w:r>
      <w:r w:rsidR="00274AB1">
        <w:instrText xml:space="preserve"> REF _Ref275556521 \h  \* MERGEFORMAT </w:instrText>
      </w:r>
      <w:r w:rsidR="00274AB1">
        <w:fldChar w:fldCharType="separate"/>
      </w:r>
      <w:r w:rsidR="00C0292F">
        <w:t xml:space="preserve">Table </w:t>
      </w:r>
      <w:r w:rsidR="00C0292F">
        <w:rPr>
          <w:noProof/>
        </w:rPr>
        <w:t>3</w:t>
      </w:r>
      <w:r w:rsidR="00C0292F">
        <w:rPr>
          <w:noProof/>
        </w:rPr>
        <w:noBreakHyphen/>
        <w:t>4</w:t>
      </w:r>
      <w:r w:rsidR="00274AB1">
        <w:fldChar w:fldCharType="end"/>
      </w:r>
      <w:r w:rsidR="00DA645E" w:rsidRPr="00DA645E">
        <w:t xml:space="preserve"> and </w:t>
      </w:r>
      <w:r w:rsidR="00274AB1">
        <w:fldChar w:fldCharType="begin"/>
      </w:r>
      <w:r w:rsidR="00274AB1">
        <w:instrText xml:space="preserve"> REF _Ref275879784 \h  \* MERGEFORMAT </w:instrText>
      </w:r>
      <w:r w:rsidR="00274AB1">
        <w:fldChar w:fldCharType="separate"/>
      </w:r>
      <w:r w:rsidR="00C0292F">
        <w:t xml:space="preserve">Table </w:t>
      </w:r>
      <w:r w:rsidR="00C0292F">
        <w:rPr>
          <w:noProof/>
        </w:rPr>
        <w:t>3</w:t>
      </w:r>
      <w:r w:rsidR="00C0292F">
        <w:rPr>
          <w:noProof/>
        </w:rPr>
        <w:noBreakHyphen/>
        <w:t>5</w:t>
      </w:r>
      <w:r w:rsidR="00274AB1">
        <w:fldChar w:fldCharType="end"/>
      </w:r>
      <w:r w:rsidRPr="00DA645E">
        <w:t>. Note</w:t>
      </w:r>
      <w:r w:rsidRPr="00DA6F5F">
        <w:t xml:space="preserve"> that if </w:t>
      </w:r>
      <w:r w:rsidR="00DD3918">
        <w:t>HOU</w:t>
      </w:r>
      <w:r w:rsidR="00DD3918" w:rsidRPr="00DA6F5F">
        <w:t xml:space="preserve"> </w:t>
      </w:r>
      <w:r w:rsidR="00162F8B">
        <w:t>is</w:t>
      </w:r>
      <w:r w:rsidRPr="00DA6F5F">
        <w:t xml:space="preserve"> stated and verified by logging lighting hours of use groupings, actual hours should be applied.</w:t>
      </w:r>
      <w:bookmarkStart w:id="530" w:name="OLE_LINK8"/>
      <w:r w:rsidRPr="00DA6F5F">
        <w:t xml:space="preserve"> The IF factors shown in </w:t>
      </w:r>
      <w:r w:rsidR="00274AB1">
        <w:fldChar w:fldCharType="begin"/>
      </w:r>
      <w:r w:rsidR="00274AB1">
        <w:instrText xml:space="preserve"> REF _Ref275879784 \h  \* MERGEFORMAT </w:instrText>
      </w:r>
      <w:r w:rsidR="00274AB1">
        <w:fldChar w:fldCharType="separate"/>
      </w:r>
      <w:r w:rsidR="00C0292F">
        <w:t xml:space="preserve">Table </w:t>
      </w:r>
      <w:r w:rsidR="00C0292F">
        <w:rPr>
          <w:noProof/>
        </w:rPr>
        <w:t>3</w:t>
      </w:r>
      <w:r w:rsidR="00C0292F">
        <w:rPr>
          <w:noProof/>
        </w:rPr>
        <w:noBreakHyphen/>
        <w:t>5</w:t>
      </w:r>
      <w:r w:rsidR="00274AB1">
        <w:fldChar w:fldCharType="end"/>
      </w:r>
      <w:r w:rsidR="00BB2D8C">
        <w:t xml:space="preserve"> </w:t>
      </w:r>
      <w:r w:rsidRPr="00DA6F5F">
        <w:t xml:space="preserve">are to be used only when the facilities are air conditioned and only for fixtures in conditioned or refrigerated space. The </w:t>
      </w:r>
      <w:r w:rsidR="00DD3918">
        <w:t>HOU</w:t>
      </w:r>
      <w:r w:rsidR="00DD3918" w:rsidRPr="00DA6F5F">
        <w:t xml:space="preserve"> </w:t>
      </w:r>
      <w:r w:rsidRPr="00DA6F5F">
        <w:t>for refrigerated spaces are to be estimated or logged separately.</w:t>
      </w:r>
      <w:bookmarkEnd w:id="530"/>
      <w:r w:rsidR="00D94D22">
        <w:t xml:space="preserve"> To the extent that operating schedules are known, </w:t>
      </w:r>
      <w:r w:rsidR="008E7607">
        <w:t xml:space="preserve">site-specific </w:t>
      </w:r>
      <w:r w:rsidR="00D94D22">
        <w:t>coincidence factors may be calculated using the non-weather dependent peak demand calculator</w:t>
      </w:r>
      <w:r w:rsidR="008E7607">
        <w:t xml:space="preserve"> in place of the default coincidence factors provided in Table </w:t>
      </w:r>
      <w:r w:rsidR="008E7607">
        <w:rPr>
          <w:noProof/>
        </w:rPr>
        <w:t>3</w:t>
      </w:r>
      <w:r w:rsidR="008E7607">
        <w:rPr>
          <w:noProof/>
        </w:rPr>
        <w:noBreakHyphen/>
        <w:t>4</w:t>
      </w:r>
      <w:r w:rsidR="00D94D22">
        <w:t xml:space="preserve">. </w:t>
      </w:r>
    </w:p>
    <w:p w:rsidR="00BB2D8C" w:rsidRDefault="00BB2D8C" w:rsidP="00100EDF">
      <w:pPr>
        <w:pStyle w:val="Caption"/>
      </w:pPr>
      <w:bookmarkStart w:id="531" w:name="_Ref303345912"/>
      <w:bookmarkStart w:id="532" w:name="_Ref275556521"/>
      <w:bookmarkStart w:id="533" w:name="_Toc310875556"/>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4</w:t>
      </w:r>
      <w:r w:rsidR="00274AB1">
        <w:rPr>
          <w:noProof/>
        </w:rPr>
        <w:fldChar w:fldCharType="end"/>
      </w:r>
      <w:bookmarkEnd w:id="531"/>
      <w:bookmarkEnd w:id="532"/>
      <w:r>
        <w:t xml:space="preserve">: Lighting </w:t>
      </w:r>
      <w:r w:rsidR="00DD3918">
        <w:t xml:space="preserve">HOU </w:t>
      </w:r>
      <w:r>
        <w:t>and CF by Building Type or Function</w:t>
      </w:r>
      <w:bookmarkEnd w:id="533"/>
    </w:p>
    <w:tbl>
      <w:tblPr>
        <w:tblW w:w="8640" w:type="dxa"/>
        <w:jc w:val="center"/>
        <w:tblLayout w:type="fixed"/>
        <w:tblLook w:val="0000" w:firstRow="0" w:lastRow="0" w:firstColumn="0" w:lastColumn="0" w:noHBand="0" w:noVBand="0"/>
      </w:tblPr>
      <w:tblGrid>
        <w:gridCol w:w="3439"/>
        <w:gridCol w:w="1989"/>
        <w:gridCol w:w="1606"/>
        <w:gridCol w:w="1606"/>
      </w:tblGrid>
      <w:tr w:rsidR="00E34209" w:rsidRPr="007767BF" w:rsidTr="00BB2D8C">
        <w:trPr>
          <w:trHeight w:val="274"/>
          <w:tblHeader/>
          <w:jc w:val="center"/>
        </w:trPr>
        <w:tc>
          <w:tcPr>
            <w:tcW w:w="3439" w:type="dxa"/>
            <w:tcBorders>
              <w:top w:val="single" w:sz="8" w:space="0" w:color="auto"/>
              <w:left w:val="single" w:sz="8" w:space="0" w:color="auto"/>
              <w:bottom w:val="single" w:sz="8" w:space="0" w:color="auto"/>
              <w:right w:val="single" w:sz="4" w:space="0" w:color="auto"/>
            </w:tcBorders>
            <w:shd w:val="pct25" w:color="auto" w:fill="FFFFFF"/>
            <w:vAlign w:val="center"/>
          </w:tcPr>
          <w:p w:rsidR="00E34209" w:rsidRPr="001D6512" w:rsidRDefault="00E34209" w:rsidP="00C3606E">
            <w:pPr>
              <w:pStyle w:val="TableCell"/>
              <w:keepNext w:val="0"/>
              <w:spacing w:before="60" w:after="60"/>
              <w:rPr>
                <w:b/>
              </w:rPr>
            </w:pPr>
            <w:r w:rsidRPr="001D6512">
              <w:rPr>
                <w:b/>
              </w:rPr>
              <w:t>Building Type</w:t>
            </w:r>
          </w:p>
        </w:tc>
        <w:tc>
          <w:tcPr>
            <w:tcW w:w="1989" w:type="dxa"/>
            <w:tcBorders>
              <w:top w:val="single" w:sz="8" w:space="0" w:color="auto"/>
              <w:left w:val="nil"/>
              <w:bottom w:val="single" w:sz="8" w:space="0" w:color="auto"/>
              <w:right w:val="single" w:sz="4" w:space="0" w:color="auto"/>
            </w:tcBorders>
            <w:shd w:val="pct25" w:color="auto" w:fill="FFFFFF"/>
            <w:vAlign w:val="center"/>
          </w:tcPr>
          <w:p w:rsidR="00E34209" w:rsidRPr="001D6512" w:rsidRDefault="00DD3918" w:rsidP="00C3606E">
            <w:pPr>
              <w:pStyle w:val="TableCell"/>
              <w:keepNext w:val="0"/>
              <w:spacing w:before="60" w:after="60"/>
              <w:rPr>
                <w:b/>
              </w:rPr>
            </w:pPr>
            <w:r w:rsidRPr="001D6512">
              <w:rPr>
                <w:b/>
              </w:rPr>
              <w:t>HOU</w:t>
            </w:r>
          </w:p>
        </w:tc>
        <w:tc>
          <w:tcPr>
            <w:tcW w:w="1606" w:type="dxa"/>
            <w:tcBorders>
              <w:top w:val="single" w:sz="8" w:space="0" w:color="auto"/>
              <w:left w:val="nil"/>
              <w:bottom w:val="single" w:sz="8" w:space="0" w:color="auto"/>
              <w:right w:val="single" w:sz="4" w:space="0" w:color="auto"/>
            </w:tcBorders>
            <w:shd w:val="pct25" w:color="auto" w:fill="FFFFFF"/>
            <w:vAlign w:val="center"/>
          </w:tcPr>
          <w:p w:rsidR="00E34209" w:rsidRPr="001D6512" w:rsidRDefault="00E34209" w:rsidP="00D94D22">
            <w:pPr>
              <w:pStyle w:val="TableCell"/>
              <w:keepNext w:val="0"/>
              <w:spacing w:before="60" w:after="60"/>
              <w:rPr>
                <w:b/>
              </w:rPr>
            </w:pPr>
            <w:r w:rsidRPr="001D6512">
              <w:rPr>
                <w:b/>
              </w:rPr>
              <w:t>CF</w:t>
            </w:r>
            <w:r w:rsidRPr="001D6512">
              <w:rPr>
                <w:rStyle w:val="FootnoteReference"/>
                <w:rFonts w:cs="Arial"/>
                <w:b/>
                <w:bCs/>
              </w:rPr>
              <w:footnoteReference w:id="139"/>
            </w:r>
          </w:p>
        </w:tc>
        <w:tc>
          <w:tcPr>
            <w:tcW w:w="1606" w:type="dxa"/>
            <w:tcBorders>
              <w:top w:val="single" w:sz="8" w:space="0" w:color="auto"/>
              <w:left w:val="nil"/>
              <w:bottom w:val="single" w:sz="8" w:space="0" w:color="auto"/>
              <w:right w:val="single" w:sz="4" w:space="0" w:color="auto"/>
            </w:tcBorders>
            <w:shd w:val="pct25" w:color="auto" w:fill="FFFFFF"/>
            <w:vAlign w:val="center"/>
          </w:tcPr>
          <w:p w:rsidR="00E34209" w:rsidRPr="001D6512" w:rsidRDefault="00E34209" w:rsidP="00C3606E">
            <w:pPr>
              <w:pStyle w:val="TableCell"/>
              <w:keepNext w:val="0"/>
              <w:spacing w:before="60" w:after="60"/>
              <w:rPr>
                <w:b/>
              </w:rPr>
            </w:pPr>
            <w:r w:rsidRPr="001D6512">
              <w:rPr>
                <w:b/>
              </w:rPr>
              <w:t>Source</w:t>
            </w:r>
          </w:p>
        </w:tc>
      </w:tr>
      <w:tr w:rsidR="00371EF1" w:rsidRPr="00877D9B" w:rsidTr="00BC49F4">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371EF1" w:rsidRPr="001D6512" w:rsidRDefault="00371EF1" w:rsidP="00BC49F4">
            <w:pPr>
              <w:pStyle w:val="TableCell"/>
              <w:keepNext w:val="0"/>
              <w:spacing w:before="60" w:after="60"/>
            </w:pPr>
            <w:r w:rsidRPr="001D6512">
              <w:t>Auto Related</w:t>
            </w:r>
          </w:p>
        </w:tc>
        <w:tc>
          <w:tcPr>
            <w:tcW w:w="1989" w:type="dxa"/>
            <w:tcBorders>
              <w:top w:val="single" w:sz="4" w:space="0" w:color="auto"/>
              <w:left w:val="nil"/>
              <w:bottom w:val="single" w:sz="4" w:space="0" w:color="auto"/>
              <w:right w:val="single" w:sz="4" w:space="0" w:color="auto"/>
            </w:tcBorders>
            <w:shd w:val="clear" w:color="auto" w:fill="auto"/>
            <w:noWrap/>
            <w:vAlign w:val="center"/>
          </w:tcPr>
          <w:p w:rsidR="00371EF1" w:rsidRPr="001D6512" w:rsidRDefault="00371EF1" w:rsidP="00BC49F4">
            <w:pPr>
              <w:pStyle w:val="TableCell"/>
              <w:keepNext w:val="0"/>
              <w:spacing w:before="60" w:after="60"/>
            </w:pPr>
            <w:r w:rsidRPr="001D6512">
              <w:t>4,056</w:t>
            </w:r>
          </w:p>
        </w:tc>
        <w:tc>
          <w:tcPr>
            <w:tcW w:w="1606" w:type="dxa"/>
            <w:tcBorders>
              <w:top w:val="nil"/>
              <w:left w:val="nil"/>
              <w:bottom w:val="single" w:sz="4" w:space="0" w:color="auto"/>
              <w:right w:val="single" w:sz="4" w:space="0" w:color="auto"/>
            </w:tcBorders>
            <w:shd w:val="clear" w:color="auto" w:fill="auto"/>
            <w:noWrap/>
            <w:vAlign w:val="center"/>
          </w:tcPr>
          <w:p w:rsidR="00371EF1" w:rsidRPr="001D6512" w:rsidRDefault="00371EF1" w:rsidP="00BC49F4">
            <w:pPr>
              <w:pStyle w:val="TableCell"/>
              <w:keepNext w:val="0"/>
              <w:spacing w:before="60" w:after="60"/>
              <w:rPr>
                <w:color w:val="000000"/>
              </w:rPr>
            </w:pPr>
            <w:r w:rsidRPr="001D6512">
              <w:rPr>
                <w:color w:val="000000"/>
              </w:rPr>
              <w:t>0.77*</w:t>
            </w:r>
          </w:p>
        </w:tc>
        <w:tc>
          <w:tcPr>
            <w:tcW w:w="1606" w:type="dxa"/>
            <w:tcBorders>
              <w:top w:val="nil"/>
              <w:left w:val="nil"/>
              <w:bottom w:val="single" w:sz="4" w:space="0" w:color="auto"/>
              <w:right w:val="single" w:sz="4" w:space="0" w:color="auto"/>
            </w:tcBorders>
          </w:tcPr>
          <w:p w:rsidR="00371EF1" w:rsidRPr="001D6512" w:rsidRDefault="00371EF1" w:rsidP="00BC49F4">
            <w:pPr>
              <w:pStyle w:val="TableCell"/>
              <w:keepNext w:val="0"/>
              <w:spacing w:before="60" w:after="60"/>
              <w:rPr>
                <w:color w:val="000000"/>
              </w:rPr>
            </w:pPr>
            <w:r w:rsidRPr="001D6512">
              <w:rPr>
                <w:color w:val="000000"/>
              </w:rPr>
              <w:t>5</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Daycare</w:t>
            </w:r>
          </w:p>
        </w:tc>
        <w:tc>
          <w:tcPr>
            <w:tcW w:w="1989" w:type="dxa"/>
            <w:tcBorders>
              <w:top w:val="single" w:sz="4" w:space="0" w:color="auto"/>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2,590</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DA645E" w:rsidP="00C3606E">
            <w:pPr>
              <w:pStyle w:val="TableCell"/>
              <w:keepNext w:val="0"/>
              <w:spacing w:before="60" w:after="60"/>
              <w:rPr>
                <w:color w:val="000000"/>
              </w:rPr>
            </w:pPr>
            <w:r w:rsidRPr="001D6512">
              <w:rPr>
                <w:color w:val="000000"/>
              </w:rPr>
              <w:t>0.77*</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6</w:t>
            </w:r>
          </w:p>
        </w:tc>
      </w:tr>
      <w:tr w:rsidR="00371EF1" w:rsidRPr="00877D9B" w:rsidTr="00BC49F4">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371EF1" w:rsidRPr="001D6512" w:rsidRDefault="00371EF1" w:rsidP="00BC49F4">
            <w:pPr>
              <w:pStyle w:val="TableCell"/>
              <w:keepNext w:val="0"/>
              <w:spacing w:before="60" w:after="60"/>
            </w:pPr>
            <w:r w:rsidRPr="001D6512">
              <w:t>Dusk-to-Dawn Lighting</w:t>
            </w:r>
          </w:p>
        </w:tc>
        <w:tc>
          <w:tcPr>
            <w:tcW w:w="1989" w:type="dxa"/>
            <w:tcBorders>
              <w:top w:val="single" w:sz="4" w:space="0" w:color="auto"/>
              <w:left w:val="nil"/>
              <w:bottom w:val="single" w:sz="4" w:space="0" w:color="auto"/>
              <w:right w:val="single" w:sz="4" w:space="0" w:color="auto"/>
            </w:tcBorders>
            <w:shd w:val="clear" w:color="auto" w:fill="auto"/>
            <w:noWrap/>
            <w:vAlign w:val="center"/>
          </w:tcPr>
          <w:p w:rsidR="00371EF1" w:rsidRPr="001D6512" w:rsidRDefault="00371EF1" w:rsidP="00BC49F4">
            <w:pPr>
              <w:pStyle w:val="TableCell"/>
              <w:keepNext w:val="0"/>
              <w:spacing w:before="60" w:after="60"/>
            </w:pPr>
            <w:r w:rsidRPr="001D6512">
              <w:t>4,300</w:t>
            </w:r>
          </w:p>
        </w:tc>
        <w:tc>
          <w:tcPr>
            <w:tcW w:w="1606" w:type="dxa"/>
            <w:tcBorders>
              <w:top w:val="nil"/>
              <w:left w:val="nil"/>
              <w:bottom w:val="single" w:sz="4" w:space="0" w:color="auto"/>
              <w:right w:val="single" w:sz="4" w:space="0" w:color="auto"/>
            </w:tcBorders>
            <w:shd w:val="clear" w:color="auto" w:fill="auto"/>
            <w:noWrap/>
            <w:vAlign w:val="center"/>
          </w:tcPr>
          <w:p w:rsidR="00371EF1" w:rsidRPr="001D6512" w:rsidRDefault="00371EF1" w:rsidP="00BC49F4">
            <w:pPr>
              <w:pStyle w:val="TableCell"/>
              <w:keepNext w:val="0"/>
              <w:spacing w:before="60" w:after="60"/>
              <w:rPr>
                <w:color w:val="000000"/>
              </w:rPr>
            </w:pPr>
            <w:r w:rsidRPr="001D6512">
              <w:rPr>
                <w:color w:val="000000"/>
              </w:rPr>
              <w:t>0.00</w:t>
            </w:r>
          </w:p>
        </w:tc>
        <w:tc>
          <w:tcPr>
            <w:tcW w:w="1606" w:type="dxa"/>
            <w:tcBorders>
              <w:top w:val="nil"/>
              <w:left w:val="nil"/>
              <w:bottom w:val="single" w:sz="4" w:space="0" w:color="auto"/>
              <w:right w:val="single" w:sz="4" w:space="0" w:color="auto"/>
            </w:tcBorders>
          </w:tcPr>
          <w:p w:rsidR="00371EF1" w:rsidRPr="001D6512" w:rsidRDefault="00371EF1" w:rsidP="00BC49F4">
            <w:pPr>
              <w:pStyle w:val="TableCell"/>
              <w:keepNext w:val="0"/>
              <w:spacing w:before="60" w:after="60"/>
              <w:rPr>
                <w:color w:val="000000"/>
              </w:rPr>
            </w:pPr>
            <w:r w:rsidRPr="001D6512">
              <w:rPr>
                <w:color w:val="000000"/>
              </w:rPr>
              <w:t>1</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Education – Primary School</w:t>
            </w:r>
          </w:p>
        </w:tc>
        <w:tc>
          <w:tcPr>
            <w:tcW w:w="1989" w:type="dxa"/>
            <w:tcBorders>
              <w:top w:val="single" w:sz="4" w:space="0" w:color="auto"/>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1,440</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rPr>
                <w:color w:val="000000"/>
              </w:rPr>
              <w:t>0.57</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1</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Education – Secondary School</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2,305</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rPr>
                <w:color w:val="000000"/>
              </w:rPr>
              <w:t>0.57</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1</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Education – Community College</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3,792</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rPr>
                <w:color w:val="000000"/>
              </w:rPr>
              <w:t>0.64</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1</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Education – University</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3,073</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rPr>
                <w:color w:val="000000"/>
              </w:rPr>
              <w:t>0.64</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1</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Grocery</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5,824</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rPr>
                <w:color w:val="000000"/>
              </w:rPr>
              <w:t>0.94</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1</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Hospitals</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6,588</w:t>
            </w:r>
            <w:r w:rsidRPr="001D6512">
              <w:rPr>
                <w:rStyle w:val="FootnoteReference"/>
                <w:rFonts w:cs="Arial"/>
              </w:rPr>
              <w:footnoteReference w:id="140"/>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rPr>
                <w:color w:val="000000"/>
              </w:rPr>
              <w:t>0.84</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1</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Industrial Manufacturing – 1 Shift</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2,857</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DA645E" w:rsidP="00C3606E">
            <w:pPr>
              <w:pStyle w:val="TableCell"/>
              <w:keepNext w:val="0"/>
              <w:spacing w:before="60" w:after="60"/>
              <w:rPr>
                <w:color w:val="000000"/>
              </w:rPr>
            </w:pPr>
            <w:r w:rsidRPr="001D6512">
              <w:rPr>
                <w:color w:val="000000"/>
              </w:rPr>
              <w:t>0.77*</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4</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Industrial Manufacturing – 2 Shift</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4,730</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DA645E" w:rsidP="00C3606E">
            <w:pPr>
              <w:pStyle w:val="TableCell"/>
              <w:keepNext w:val="0"/>
              <w:spacing w:before="60" w:after="60"/>
              <w:rPr>
                <w:color w:val="000000"/>
              </w:rPr>
            </w:pPr>
            <w:r w:rsidRPr="001D6512">
              <w:rPr>
                <w:color w:val="000000"/>
              </w:rPr>
              <w:t>0.77*</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4</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Industrial Manufacturing – 3 Shift</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6,631</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DA645E" w:rsidP="00C3606E">
            <w:pPr>
              <w:pStyle w:val="TableCell"/>
              <w:keepNext w:val="0"/>
              <w:spacing w:before="60" w:after="60"/>
              <w:rPr>
                <w:color w:val="000000"/>
              </w:rPr>
            </w:pPr>
            <w:r w:rsidRPr="001D6512">
              <w:rPr>
                <w:color w:val="000000"/>
              </w:rPr>
              <w:t>0.77*</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4</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Medical – Clinic</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4,212</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rPr>
                <w:color w:val="000000"/>
              </w:rPr>
              <w:t>0.86</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1</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Libraries</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2,566</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DA645E" w:rsidP="00C3606E">
            <w:pPr>
              <w:pStyle w:val="TableCell"/>
              <w:keepNext w:val="0"/>
              <w:spacing w:before="60" w:after="60"/>
              <w:rPr>
                <w:color w:val="000000"/>
              </w:rPr>
            </w:pPr>
            <w:r w:rsidRPr="001D6512">
              <w:rPr>
                <w:color w:val="000000"/>
              </w:rPr>
              <w:t>0.77*</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2</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Lodging –</w:t>
            </w:r>
            <w:r w:rsidR="00EE2EE4" w:rsidRPr="001D6512">
              <w:t xml:space="preserve"> </w:t>
            </w:r>
            <w:r w:rsidRPr="001D6512">
              <w:t>Guest Rooms</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1,145</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rPr>
                <w:color w:val="000000"/>
              </w:rPr>
              <w:t>0.84</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1</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Lodging –</w:t>
            </w:r>
            <w:r w:rsidR="00EE2EE4" w:rsidRPr="001D6512">
              <w:t xml:space="preserve"> </w:t>
            </w:r>
            <w:r w:rsidRPr="001D6512">
              <w:t>Common Spaces</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8,736</w:t>
            </w:r>
            <w:r w:rsidRPr="001D6512">
              <w:rPr>
                <w:rStyle w:val="FootnoteReference"/>
                <w:rFonts w:cs="Arial"/>
              </w:rPr>
              <w:footnoteReference w:id="141"/>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rPr>
                <w:color w:val="000000"/>
              </w:rPr>
              <w:t>1.00</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1</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Light Manufacturing (Assy)</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2,610</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DA645E" w:rsidP="00C3606E">
            <w:pPr>
              <w:pStyle w:val="TableCell"/>
              <w:keepNext w:val="0"/>
              <w:spacing w:before="60" w:after="60"/>
              <w:rPr>
                <w:color w:val="000000"/>
              </w:rPr>
            </w:pPr>
            <w:r w:rsidRPr="001D6512">
              <w:rPr>
                <w:color w:val="000000"/>
              </w:rPr>
              <w:t>0.77*</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5</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Manufacturing – Light Industrial</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rPr>
                <w:highlight w:val="yellow"/>
              </w:rPr>
            </w:pPr>
            <w:r w:rsidRPr="001D6512">
              <w:t>4,290</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rPr>
                <w:color w:val="000000"/>
              </w:rPr>
              <w:t>0.63</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1</w:t>
            </w:r>
          </w:p>
        </w:tc>
      </w:tr>
      <w:tr w:rsidR="00371EF1" w:rsidRPr="00877D9B" w:rsidTr="00BC49F4">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371EF1" w:rsidRPr="001D6512" w:rsidRDefault="00371EF1" w:rsidP="00BC49F4">
            <w:pPr>
              <w:pStyle w:val="TableCell"/>
              <w:keepNext w:val="0"/>
              <w:spacing w:before="60" w:after="60"/>
            </w:pPr>
            <w:r w:rsidRPr="001D6512">
              <w:t>Nursing Home</w:t>
            </w:r>
          </w:p>
        </w:tc>
        <w:tc>
          <w:tcPr>
            <w:tcW w:w="1989" w:type="dxa"/>
            <w:tcBorders>
              <w:top w:val="nil"/>
              <w:left w:val="nil"/>
              <w:bottom w:val="single" w:sz="4" w:space="0" w:color="auto"/>
              <w:right w:val="single" w:sz="4" w:space="0" w:color="auto"/>
            </w:tcBorders>
            <w:shd w:val="clear" w:color="auto" w:fill="auto"/>
            <w:noWrap/>
            <w:vAlign w:val="center"/>
          </w:tcPr>
          <w:p w:rsidR="00371EF1" w:rsidRPr="001D6512" w:rsidRDefault="00371EF1" w:rsidP="00BC49F4">
            <w:pPr>
              <w:pStyle w:val="TableCell"/>
              <w:keepNext w:val="0"/>
              <w:spacing w:before="60" w:after="60"/>
            </w:pPr>
            <w:r w:rsidRPr="001D6512">
              <w:t>5,840</w:t>
            </w:r>
          </w:p>
        </w:tc>
        <w:tc>
          <w:tcPr>
            <w:tcW w:w="1606" w:type="dxa"/>
            <w:tcBorders>
              <w:top w:val="nil"/>
              <w:left w:val="nil"/>
              <w:bottom w:val="single" w:sz="4" w:space="0" w:color="auto"/>
              <w:right w:val="single" w:sz="4" w:space="0" w:color="auto"/>
            </w:tcBorders>
            <w:shd w:val="clear" w:color="auto" w:fill="auto"/>
            <w:noWrap/>
            <w:vAlign w:val="center"/>
          </w:tcPr>
          <w:p w:rsidR="00371EF1" w:rsidRPr="001D6512" w:rsidRDefault="00371EF1" w:rsidP="00BC49F4">
            <w:pPr>
              <w:pStyle w:val="TableCell"/>
              <w:keepNext w:val="0"/>
              <w:spacing w:before="60" w:after="60"/>
              <w:rPr>
                <w:color w:val="000000"/>
              </w:rPr>
            </w:pPr>
            <w:r w:rsidRPr="001D6512">
              <w:rPr>
                <w:color w:val="000000"/>
              </w:rPr>
              <w:t>0.77*</w:t>
            </w:r>
          </w:p>
        </w:tc>
        <w:tc>
          <w:tcPr>
            <w:tcW w:w="1606" w:type="dxa"/>
            <w:tcBorders>
              <w:top w:val="nil"/>
              <w:left w:val="nil"/>
              <w:bottom w:val="single" w:sz="4" w:space="0" w:color="auto"/>
              <w:right w:val="single" w:sz="4" w:space="0" w:color="auto"/>
            </w:tcBorders>
          </w:tcPr>
          <w:p w:rsidR="00371EF1" w:rsidRPr="001D6512" w:rsidRDefault="00371EF1" w:rsidP="00BC49F4">
            <w:pPr>
              <w:pStyle w:val="TableCell"/>
              <w:keepNext w:val="0"/>
              <w:spacing w:before="60" w:after="60"/>
              <w:rPr>
                <w:color w:val="000000"/>
              </w:rPr>
            </w:pPr>
            <w:r w:rsidRPr="001D6512">
              <w:rPr>
                <w:color w:val="000000"/>
              </w:rPr>
              <w:t>5</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lastRenderedPageBreak/>
              <w:t>Office</w:t>
            </w:r>
            <w:r w:rsidR="00EE2EE4" w:rsidRPr="001D6512">
              <w:t xml:space="preserve"> – </w:t>
            </w:r>
            <w:r w:rsidRPr="001D6512">
              <w:t xml:space="preserve"> Large</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2,808</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rPr>
                <w:color w:val="000000"/>
              </w:rPr>
              <w:t>0.84</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1</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Office</w:t>
            </w:r>
            <w:r w:rsidR="00EE2EE4" w:rsidRPr="001D6512">
              <w:t xml:space="preserve"> – </w:t>
            </w:r>
            <w:r w:rsidRPr="001D6512">
              <w:t>Small</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2,808</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rPr>
                <w:color w:val="000000"/>
              </w:rPr>
              <w:t>0.84</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1</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Parking Garages</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6,552</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DA645E" w:rsidP="00C3606E">
            <w:pPr>
              <w:pStyle w:val="TableCell"/>
              <w:keepNext w:val="0"/>
              <w:spacing w:before="60" w:after="60"/>
              <w:rPr>
                <w:color w:val="000000"/>
              </w:rPr>
            </w:pPr>
            <w:r w:rsidRPr="001D6512">
              <w:rPr>
                <w:color w:val="000000"/>
              </w:rPr>
              <w:t>0.77*</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4</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Police and Fire Station – 24 Hour</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7,665</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DA645E" w:rsidP="00C3606E">
            <w:pPr>
              <w:pStyle w:val="TableCell"/>
              <w:keepNext w:val="0"/>
              <w:spacing w:before="60" w:after="60"/>
              <w:rPr>
                <w:color w:val="000000"/>
              </w:rPr>
            </w:pPr>
            <w:r w:rsidRPr="001D6512">
              <w:rPr>
                <w:color w:val="000000"/>
              </w:rPr>
              <w:t>0.77*</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8</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Police and Fire Station – Unmanned</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1,953</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DA645E" w:rsidP="00C3606E">
            <w:pPr>
              <w:pStyle w:val="TableCell"/>
              <w:keepNext w:val="0"/>
              <w:spacing w:before="60" w:after="60"/>
              <w:rPr>
                <w:color w:val="000000"/>
              </w:rPr>
            </w:pPr>
            <w:r w:rsidRPr="001D6512">
              <w:rPr>
                <w:color w:val="000000"/>
              </w:rPr>
              <w:t>0.77*</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8</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Public Order and Safety</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5,366</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DA645E" w:rsidP="00C3606E">
            <w:pPr>
              <w:pStyle w:val="TableCell"/>
              <w:keepNext w:val="0"/>
              <w:spacing w:before="60" w:after="60"/>
              <w:rPr>
                <w:color w:val="000000"/>
              </w:rPr>
            </w:pPr>
            <w:r w:rsidRPr="001D6512">
              <w:rPr>
                <w:color w:val="000000"/>
              </w:rPr>
              <w:t>0.77*</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7</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Religious Worship</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1,810</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DA645E" w:rsidP="00C3606E">
            <w:pPr>
              <w:pStyle w:val="TableCell"/>
              <w:keepNext w:val="0"/>
              <w:spacing w:before="60" w:after="60"/>
              <w:rPr>
                <w:color w:val="000000"/>
              </w:rPr>
            </w:pPr>
            <w:r w:rsidRPr="001D6512">
              <w:rPr>
                <w:color w:val="000000"/>
              </w:rPr>
              <w:t>0.77*</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3, 4</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Restaurant – Sit-Down</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4,368</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rPr>
                <w:color w:val="000000"/>
              </w:rPr>
              <w:t>0.88</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1</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Restaurant – Fast-Food</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6,188</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rPr>
                <w:color w:val="000000"/>
              </w:rPr>
              <w:t>0.88</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1</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Retail – 3-Story Large</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4,259</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rPr>
                <w:color w:val="000000"/>
              </w:rPr>
              <w:t>0.89</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1</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Retail – Single-Story Large</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4,368</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rPr>
                <w:color w:val="000000"/>
              </w:rPr>
              <w:t>0.89</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1</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Retail – Small</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4,004</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rPr>
                <w:color w:val="000000"/>
              </w:rPr>
              <w:t>0.89</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1</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 xml:space="preserve">Storage Conditioned </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4,290</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rPr>
                <w:color w:val="000000"/>
              </w:rPr>
              <w:t>0.85</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1</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Storage Unconditioned</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4,290</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rPr>
                <w:color w:val="000000"/>
              </w:rPr>
              <w:t>0.85</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1</w:t>
            </w:r>
          </w:p>
        </w:tc>
      </w:tr>
      <w:tr w:rsidR="00E34209" w:rsidRPr="007767BF" w:rsidTr="001E6208">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Warehouse</w:t>
            </w:r>
          </w:p>
        </w:tc>
        <w:tc>
          <w:tcPr>
            <w:tcW w:w="1989"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t>3,900</w:t>
            </w:r>
          </w:p>
        </w:tc>
        <w:tc>
          <w:tcPr>
            <w:tcW w:w="1606" w:type="dxa"/>
            <w:tcBorders>
              <w:top w:val="nil"/>
              <w:left w:val="nil"/>
              <w:bottom w:val="single" w:sz="4" w:space="0" w:color="auto"/>
              <w:right w:val="single" w:sz="4" w:space="0" w:color="auto"/>
            </w:tcBorders>
            <w:shd w:val="clear" w:color="auto" w:fill="auto"/>
            <w:noWrap/>
            <w:vAlign w:val="center"/>
          </w:tcPr>
          <w:p w:rsidR="00E34209" w:rsidRPr="001D6512" w:rsidRDefault="00E34209" w:rsidP="00C3606E">
            <w:pPr>
              <w:pStyle w:val="TableCell"/>
              <w:keepNext w:val="0"/>
              <w:spacing w:before="60" w:after="60"/>
            </w:pPr>
            <w:r w:rsidRPr="001D6512">
              <w:rPr>
                <w:color w:val="000000"/>
              </w:rPr>
              <w:t>0.85</w:t>
            </w:r>
          </w:p>
        </w:tc>
        <w:tc>
          <w:tcPr>
            <w:tcW w:w="1606" w:type="dxa"/>
            <w:tcBorders>
              <w:top w:val="nil"/>
              <w:left w:val="nil"/>
              <w:bottom w:val="single" w:sz="4" w:space="0" w:color="auto"/>
              <w:right w:val="single" w:sz="4" w:space="0" w:color="auto"/>
            </w:tcBorders>
          </w:tcPr>
          <w:p w:rsidR="00E34209" w:rsidRPr="001D6512" w:rsidRDefault="00E34209" w:rsidP="00C3606E">
            <w:pPr>
              <w:pStyle w:val="TableCell"/>
              <w:keepNext w:val="0"/>
              <w:spacing w:before="60" w:after="60"/>
              <w:rPr>
                <w:color w:val="000000"/>
              </w:rPr>
            </w:pPr>
            <w:r w:rsidRPr="001D6512">
              <w:rPr>
                <w:color w:val="000000"/>
              </w:rPr>
              <w:t>1</w:t>
            </w:r>
          </w:p>
        </w:tc>
      </w:tr>
      <w:tr w:rsidR="00371EF1" w:rsidRPr="00877D9B" w:rsidTr="00BC49F4">
        <w:trPr>
          <w:trHeight w:hRule="exact" w:val="360"/>
          <w:jc w:val="center"/>
        </w:trPr>
        <w:tc>
          <w:tcPr>
            <w:tcW w:w="3439" w:type="dxa"/>
            <w:tcBorders>
              <w:top w:val="nil"/>
              <w:left w:val="single" w:sz="8" w:space="0" w:color="auto"/>
              <w:bottom w:val="single" w:sz="4" w:space="0" w:color="auto"/>
              <w:right w:val="single" w:sz="4" w:space="0" w:color="auto"/>
            </w:tcBorders>
            <w:shd w:val="clear" w:color="auto" w:fill="auto"/>
            <w:noWrap/>
            <w:vAlign w:val="bottom"/>
          </w:tcPr>
          <w:p w:rsidR="00371EF1" w:rsidRPr="001D6512" w:rsidRDefault="00371EF1" w:rsidP="00BC49F4">
            <w:pPr>
              <w:pStyle w:val="TableCell"/>
              <w:keepNext w:val="0"/>
              <w:spacing w:before="60" w:after="60"/>
            </w:pPr>
            <w:r w:rsidRPr="001D6512">
              <w:t>Warehouse (Refrigerated)</w:t>
            </w:r>
          </w:p>
        </w:tc>
        <w:tc>
          <w:tcPr>
            <w:tcW w:w="1989" w:type="dxa"/>
            <w:tcBorders>
              <w:top w:val="nil"/>
              <w:left w:val="nil"/>
              <w:bottom w:val="single" w:sz="4" w:space="0" w:color="auto"/>
              <w:right w:val="single" w:sz="4" w:space="0" w:color="auto"/>
            </w:tcBorders>
            <w:shd w:val="clear" w:color="auto" w:fill="auto"/>
            <w:noWrap/>
            <w:vAlign w:val="center"/>
          </w:tcPr>
          <w:p w:rsidR="00371EF1" w:rsidRPr="001D6512" w:rsidRDefault="00371EF1" w:rsidP="00BC49F4">
            <w:pPr>
              <w:pStyle w:val="TableCell"/>
              <w:keepNext w:val="0"/>
              <w:spacing w:before="60" w:after="60"/>
            </w:pPr>
            <w:r w:rsidRPr="001D6512">
              <w:t>2,602</w:t>
            </w:r>
          </w:p>
        </w:tc>
        <w:tc>
          <w:tcPr>
            <w:tcW w:w="1606" w:type="dxa"/>
            <w:tcBorders>
              <w:top w:val="nil"/>
              <w:left w:val="nil"/>
              <w:bottom w:val="single" w:sz="4" w:space="0" w:color="auto"/>
              <w:right w:val="single" w:sz="4" w:space="0" w:color="auto"/>
            </w:tcBorders>
            <w:shd w:val="clear" w:color="auto" w:fill="auto"/>
            <w:noWrap/>
            <w:vAlign w:val="center"/>
          </w:tcPr>
          <w:p w:rsidR="00371EF1" w:rsidRPr="001D6512" w:rsidRDefault="00371EF1" w:rsidP="00BC49F4">
            <w:pPr>
              <w:pStyle w:val="TableCell"/>
              <w:keepNext w:val="0"/>
              <w:spacing w:before="60" w:after="60"/>
              <w:rPr>
                <w:color w:val="000000"/>
              </w:rPr>
            </w:pPr>
            <w:r w:rsidRPr="001D6512">
              <w:rPr>
                <w:color w:val="000000"/>
              </w:rPr>
              <w:t>0.77*</w:t>
            </w:r>
          </w:p>
        </w:tc>
        <w:tc>
          <w:tcPr>
            <w:tcW w:w="1606" w:type="dxa"/>
            <w:tcBorders>
              <w:top w:val="nil"/>
              <w:left w:val="nil"/>
              <w:bottom w:val="single" w:sz="4" w:space="0" w:color="auto"/>
              <w:right w:val="single" w:sz="4" w:space="0" w:color="auto"/>
            </w:tcBorders>
          </w:tcPr>
          <w:p w:rsidR="00371EF1" w:rsidRPr="001D6512" w:rsidRDefault="00371EF1" w:rsidP="00BC49F4">
            <w:pPr>
              <w:pStyle w:val="TableCell"/>
              <w:keepNext w:val="0"/>
              <w:spacing w:before="60" w:after="60"/>
              <w:rPr>
                <w:color w:val="000000"/>
              </w:rPr>
            </w:pPr>
            <w:r w:rsidRPr="001D6512">
              <w:rPr>
                <w:color w:val="000000"/>
              </w:rPr>
              <w:t>5</w:t>
            </w:r>
          </w:p>
        </w:tc>
      </w:tr>
      <w:tr w:rsidR="00371EF1" w:rsidRPr="00877D9B" w:rsidTr="00BC49F4">
        <w:trPr>
          <w:trHeight w:hRule="exact" w:val="360"/>
          <w:jc w:val="center"/>
        </w:trPr>
        <w:tc>
          <w:tcPr>
            <w:tcW w:w="3439" w:type="dxa"/>
            <w:tcBorders>
              <w:top w:val="nil"/>
              <w:left w:val="single" w:sz="8" w:space="0" w:color="auto"/>
              <w:bottom w:val="single" w:sz="4" w:space="0" w:color="auto"/>
              <w:right w:val="single" w:sz="4" w:space="0" w:color="auto"/>
            </w:tcBorders>
            <w:noWrap/>
            <w:vAlign w:val="bottom"/>
          </w:tcPr>
          <w:p w:rsidR="00371EF1" w:rsidRPr="001D6512" w:rsidRDefault="00371EF1" w:rsidP="00BC49F4">
            <w:pPr>
              <w:pStyle w:val="TableCell"/>
              <w:keepNext w:val="0"/>
              <w:spacing w:before="60" w:after="60"/>
            </w:pPr>
            <w:r w:rsidRPr="001D6512">
              <w:t>24/7 Facilities or Spaces</w:t>
            </w:r>
          </w:p>
        </w:tc>
        <w:tc>
          <w:tcPr>
            <w:tcW w:w="1989" w:type="dxa"/>
            <w:tcBorders>
              <w:top w:val="nil"/>
              <w:left w:val="nil"/>
              <w:bottom w:val="single" w:sz="4" w:space="0" w:color="auto"/>
              <w:right w:val="single" w:sz="4" w:space="0" w:color="auto"/>
            </w:tcBorders>
            <w:noWrap/>
            <w:vAlign w:val="center"/>
          </w:tcPr>
          <w:p w:rsidR="00371EF1" w:rsidRPr="001D6512" w:rsidRDefault="00371EF1" w:rsidP="00371EF1">
            <w:pPr>
              <w:pStyle w:val="TableCell"/>
              <w:keepNext w:val="0"/>
              <w:spacing w:before="60" w:after="60"/>
            </w:pPr>
            <w:r w:rsidRPr="001D6512">
              <w:t>8,760</w:t>
            </w:r>
          </w:p>
        </w:tc>
        <w:tc>
          <w:tcPr>
            <w:tcW w:w="1606" w:type="dxa"/>
            <w:tcBorders>
              <w:top w:val="nil"/>
              <w:left w:val="nil"/>
              <w:bottom w:val="single" w:sz="4" w:space="0" w:color="auto"/>
              <w:right w:val="single" w:sz="4" w:space="0" w:color="auto"/>
            </w:tcBorders>
            <w:noWrap/>
            <w:vAlign w:val="center"/>
          </w:tcPr>
          <w:p w:rsidR="00371EF1" w:rsidRPr="001D6512" w:rsidRDefault="00371EF1" w:rsidP="00BC49F4">
            <w:pPr>
              <w:pStyle w:val="TableCell"/>
              <w:keepNext w:val="0"/>
              <w:spacing w:before="60" w:after="60"/>
              <w:rPr>
                <w:color w:val="000000"/>
              </w:rPr>
            </w:pPr>
            <w:r w:rsidRPr="001D6512">
              <w:rPr>
                <w:color w:val="000000"/>
              </w:rPr>
              <w:t>1.00</w:t>
            </w:r>
          </w:p>
        </w:tc>
        <w:tc>
          <w:tcPr>
            <w:tcW w:w="1606" w:type="dxa"/>
            <w:tcBorders>
              <w:top w:val="nil"/>
              <w:left w:val="nil"/>
              <w:bottom w:val="single" w:sz="4" w:space="0" w:color="auto"/>
              <w:right w:val="single" w:sz="4" w:space="0" w:color="auto"/>
            </w:tcBorders>
          </w:tcPr>
          <w:p w:rsidR="00371EF1" w:rsidRPr="001D6512" w:rsidRDefault="00371EF1" w:rsidP="00BC49F4">
            <w:pPr>
              <w:pStyle w:val="TableCell"/>
              <w:keepNext w:val="0"/>
              <w:spacing w:before="60" w:after="60"/>
              <w:rPr>
                <w:color w:val="000000"/>
              </w:rPr>
            </w:pPr>
            <w:r w:rsidRPr="001D6512">
              <w:rPr>
                <w:color w:val="000000"/>
              </w:rPr>
              <w:t>N/A</w:t>
            </w:r>
          </w:p>
        </w:tc>
      </w:tr>
      <w:tr w:rsidR="00E34209" w:rsidRPr="007767BF" w:rsidTr="001E6208">
        <w:trPr>
          <w:trHeight w:hRule="exact" w:val="360"/>
          <w:jc w:val="center"/>
        </w:trPr>
        <w:tc>
          <w:tcPr>
            <w:tcW w:w="3439" w:type="dxa"/>
            <w:tcBorders>
              <w:top w:val="nil"/>
              <w:left w:val="single" w:sz="8" w:space="0" w:color="auto"/>
              <w:bottom w:val="single" w:sz="8" w:space="0" w:color="auto"/>
              <w:right w:val="single" w:sz="4" w:space="0" w:color="auto"/>
            </w:tcBorders>
            <w:shd w:val="clear" w:color="auto" w:fill="auto"/>
            <w:noWrap/>
            <w:vAlign w:val="bottom"/>
          </w:tcPr>
          <w:p w:rsidR="00E34209" w:rsidRPr="001D6512" w:rsidRDefault="00E34209" w:rsidP="00C3606E">
            <w:pPr>
              <w:pStyle w:val="TableCell"/>
              <w:keepNext w:val="0"/>
              <w:spacing w:before="60" w:after="60"/>
            </w:pPr>
            <w:r w:rsidRPr="001D6512">
              <w:t>Other</w:t>
            </w:r>
            <w:r w:rsidRPr="001D6512">
              <w:rPr>
                <w:rStyle w:val="FootnoteReference"/>
                <w:rFonts w:cs="Arial"/>
              </w:rPr>
              <w:footnoteReference w:id="142"/>
            </w:r>
          </w:p>
        </w:tc>
        <w:tc>
          <w:tcPr>
            <w:tcW w:w="1989" w:type="dxa"/>
            <w:tcBorders>
              <w:top w:val="nil"/>
              <w:left w:val="nil"/>
              <w:bottom w:val="single" w:sz="8" w:space="0" w:color="auto"/>
              <w:right w:val="single" w:sz="4" w:space="0" w:color="auto"/>
            </w:tcBorders>
            <w:shd w:val="clear" w:color="auto" w:fill="auto"/>
            <w:noWrap/>
            <w:vAlign w:val="center"/>
          </w:tcPr>
          <w:p w:rsidR="00E34209" w:rsidRPr="001D6512" w:rsidRDefault="00371EF1" w:rsidP="00C3606E">
            <w:pPr>
              <w:pStyle w:val="TableCell"/>
              <w:keepNext w:val="0"/>
              <w:spacing w:before="60" w:after="60"/>
            </w:pPr>
            <w:r w:rsidRPr="001D6512">
              <w:t>Varies</w:t>
            </w:r>
          </w:p>
        </w:tc>
        <w:tc>
          <w:tcPr>
            <w:tcW w:w="1606" w:type="dxa"/>
            <w:tcBorders>
              <w:top w:val="nil"/>
              <w:left w:val="nil"/>
              <w:bottom w:val="single" w:sz="8" w:space="0" w:color="auto"/>
              <w:right w:val="single" w:sz="4" w:space="0" w:color="auto"/>
            </w:tcBorders>
            <w:shd w:val="clear" w:color="auto" w:fill="auto"/>
            <w:noWrap/>
            <w:vAlign w:val="center"/>
          </w:tcPr>
          <w:p w:rsidR="00E34209" w:rsidRPr="001D6512" w:rsidRDefault="00371EF1" w:rsidP="00C3606E">
            <w:pPr>
              <w:pStyle w:val="TableCell"/>
              <w:keepNext w:val="0"/>
              <w:spacing w:before="60" w:after="60"/>
            </w:pPr>
            <w:r w:rsidRPr="001D6512">
              <w:t>Varies</w:t>
            </w:r>
          </w:p>
        </w:tc>
        <w:tc>
          <w:tcPr>
            <w:tcW w:w="1606" w:type="dxa"/>
            <w:tcBorders>
              <w:top w:val="nil"/>
              <w:left w:val="nil"/>
              <w:bottom w:val="single" w:sz="8" w:space="0" w:color="auto"/>
              <w:right w:val="single" w:sz="4" w:space="0" w:color="auto"/>
            </w:tcBorders>
          </w:tcPr>
          <w:p w:rsidR="00E34209" w:rsidRPr="001D6512" w:rsidRDefault="00E34209" w:rsidP="00C3606E">
            <w:pPr>
              <w:pStyle w:val="TableCell"/>
              <w:keepNext w:val="0"/>
              <w:spacing w:before="60" w:after="60"/>
            </w:pPr>
            <w:r w:rsidRPr="001D6512">
              <w:t>1</w:t>
            </w:r>
          </w:p>
        </w:tc>
      </w:tr>
    </w:tbl>
    <w:p w:rsidR="00A22E85" w:rsidRPr="00123BD8" w:rsidRDefault="00DA645E" w:rsidP="00C3606E">
      <w:r>
        <w:t>* 0.77 represents the simple average of all existing coincidence factors (16.19 divided by 21).</w:t>
      </w:r>
    </w:p>
    <w:p w:rsidR="00A22E85" w:rsidRPr="00BC5194" w:rsidRDefault="00A22E85" w:rsidP="00100EDF">
      <w:pPr>
        <w:rPr>
          <w:b/>
        </w:rPr>
      </w:pPr>
      <w:r w:rsidRPr="00BC5194">
        <w:rPr>
          <w:b/>
        </w:rPr>
        <w:t>Sources:</w:t>
      </w:r>
    </w:p>
    <w:p w:rsidR="00A22E85" w:rsidRPr="001C4AD5" w:rsidRDefault="00A22E85" w:rsidP="0005632A">
      <w:pPr>
        <w:pStyle w:val="source1"/>
        <w:numPr>
          <w:ilvl w:val="0"/>
          <w:numId w:val="59"/>
        </w:numPr>
      </w:pPr>
      <w:r w:rsidRPr="001C4AD5">
        <w:t>New Jersey’s Clean Energy Program Protocols, November 2009</w:t>
      </w:r>
    </w:p>
    <w:p w:rsidR="00A22E85" w:rsidRPr="001C4AD5" w:rsidRDefault="00A22E85" w:rsidP="00C3606E">
      <w:pPr>
        <w:pStyle w:val="source2"/>
        <w:ind w:left="1296" w:hanging="432"/>
      </w:pPr>
      <w:r w:rsidRPr="001C4AD5">
        <w:t xml:space="preserve">California Public Utility Commission. </w:t>
      </w:r>
      <w:r w:rsidRPr="001C4AD5">
        <w:rPr>
          <w:i/>
        </w:rPr>
        <w:t>Database for Energy Efficiency Resources,</w:t>
      </w:r>
      <w:r w:rsidRPr="001C4AD5">
        <w:t xml:space="preserve"> 2005</w:t>
      </w:r>
    </w:p>
    <w:p w:rsidR="00A22E85" w:rsidRPr="001C4AD5" w:rsidRDefault="00A22E85" w:rsidP="00C3606E">
      <w:pPr>
        <w:pStyle w:val="source2"/>
        <w:ind w:left="1296" w:hanging="432"/>
      </w:pPr>
      <w:r w:rsidRPr="001C4AD5">
        <w:t xml:space="preserve">RLW Analytics, </w:t>
      </w:r>
      <w:r w:rsidRPr="001C4AD5">
        <w:rPr>
          <w:i/>
        </w:rPr>
        <w:t>Coincident Factor Study, Residential and Commercial &amp; Industrial Lighting Measures</w:t>
      </w:r>
      <w:r w:rsidRPr="001C4AD5">
        <w:t>, 2007.</w:t>
      </w:r>
    </w:p>
    <w:p w:rsidR="00A22E85" w:rsidRPr="001C4AD5" w:rsidRDefault="00A22E85" w:rsidP="00C3606E">
      <w:pPr>
        <w:pStyle w:val="source2"/>
        <w:ind w:left="1296" w:hanging="432"/>
      </w:pPr>
      <w:r w:rsidRPr="001C4AD5">
        <w:t xml:space="preserve">Quantum Consulting, Inc., for Pacific Gas &amp; Electric Company , </w:t>
      </w:r>
      <w:r w:rsidRPr="001C4AD5">
        <w:rPr>
          <w:i/>
        </w:rPr>
        <w:t>Evaluation of Pacific Gas &amp; Electric Company’s 1997 Commercial Energy Efficiency Incentives Program: Lighting Technologies</w:t>
      </w:r>
      <w:r w:rsidRPr="001C4AD5">
        <w:t>”, March 1, 1999</w:t>
      </w:r>
    </w:p>
    <w:p w:rsidR="00A22E85" w:rsidRDefault="00A22E85" w:rsidP="00C3606E">
      <w:pPr>
        <w:pStyle w:val="source2"/>
        <w:spacing w:after="200"/>
        <w:ind w:left="1296" w:hanging="432"/>
      </w:pPr>
      <w:r w:rsidRPr="001C4AD5">
        <w:t xml:space="preserve">KEMA. </w:t>
      </w:r>
      <w:r w:rsidRPr="001C4AD5">
        <w:rPr>
          <w:i/>
        </w:rPr>
        <w:t>New Jersey’s Clean Energy Program Energy Impact Evaluation and Protocol Review</w:t>
      </w:r>
      <w:r w:rsidRPr="001C4AD5">
        <w:t>.  2009.</w:t>
      </w:r>
    </w:p>
    <w:p w:rsidR="00CD05FA" w:rsidRDefault="00E34209" w:rsidP="00C3606E">
      <w:pPr>
        <w:pStyle w:val="source1"/>
      </w:pPr>
      <w:r w:rsidRPr="00E34209">
        <w:t xml:space="preserve">Southern California Edison Company, Design &amp; Engineering Services, Work Paper WPSCNRMI0054, Revision 0, September 17, 2007, Ventura County Partnership Program, Fillmore Public Library (Ventura County); Two 8-Foot T8 Lamp and Electronic </w:t>
      </w:r>
      <w:r w:rsidRPr="00E34209">
        <w:lastRenderedPageBreak/>
        <w:t xml:space="preserve">Ballast to Four 4-Foot T8 Lamps and Premium Electronic Ballast. Reference: "The Los Angeles County building study was used to determine the lighting operating hours for this work paper.  </w:t>
      </w:r>
      <w:r w:rsidR="00F11594" w:rsidRPr="00E34209">
        <w:t>At Case Site #19A (L.A. County Montebello Public Library), the lights were at full</w:t>
      </w:r>
      <w:r w:rsidR="00F11594">
        <w:t>-</w:t>
      </w:r>
      <w:r w:rsidR="00F11594" w:rsidRPr="00E34209">
        <w:t>load during work hours and at zero</w:t>
      </w:r>
      <w:r w:rsidR="00F11594">
        <w:t>-</w:t>
      </w:r>
      <w:r w:rsidR="00F11594" w:rsidRPr="00E34209">
        <w:t xml:space="preserve">load during non-work hours.  </w:t>
      </w:r>
      <w:r w:rsidRPr="00E34209">
        <w:t>This and the L.A. County Claremont Library (also referenced in the Los Angeles County building study) are small librar</w:t>
      </w:r>
      <w:r w:rsidR="00C46FD5">
        <w:t>y</w:t>
      </w:r>
      <w:r w:rsidRPr="00E34209">
        <w:t xml:space="preserve"> branches similar to those of this work paper’s library (Ventura County’s Fillmore Library). As such, the three locations have the same lighting profile.  Therefore, the lighting operating hour value of 1,664 hours/year stated above is reasonably accurate." Duquesne Light customer data on 29 libraries (SIC 8231) reflects an average load factor 26.4% equivalent to 2285 hours per year. Connecticut Light and Power and United Illuminating Company (CL&amp;P and UI) program savings documentation for 2008 Program Year Table 2.0.0 C&amp;I Hours, page 246 - Libraries 3,748 hours. An average of the three references is 2,566 hours.</w:t>
      </w:r>
    </w:p>
    <w:p w:rsidR="00CD05FA" w:rsidRDefault="00E34209" w:rsidP="00C3606E">
      <w:pPr>
        <w:pStyle w:val="source1"/>
      </w:pPr>
      <w:r w:rsidRPr="00E34209">
        <w:t>DOE 2003 Commercial Building Energy Survey (CBECS), Table B1. Summary Table: Total and Means of Floor</w:t>
      </w:r>
      <w:r w:rsidR="00C46FD5">
        <w:t xml:space="preserve"> </w:t>
      </w:r>
      <w:r w:rsidRPr="00E34209">
        <w:t>space, Number of Workers, and Hours of Operation for Non-Mall Buildings, Released: June 2006 - 32 Mean Hours per Week for 370,000 Building Type: "Religious Worship" - 32 X 52 weeks = 1,664 hour per year.</w:t>
      </w:r>
    </w:p>
    <w:p w:rsidR="00CD05FA" w:rsidRDefault="00E34209" w:rsidP="00C3606E">
      <w:pPr>
        <w:pStyle w:val="source1"/>
      </w:pPr>
      <w:r w:rsidRPr="00E34209">
        <w:t>CL&amp;P and UI 2008 program documentation (referenced above) cites an estimated 4,368 hours, only 68 hours greater than dusk to down operating hours. ESNA RP-20-98; Lighting for Parking Facilities acknowledges "Garages usually require supplemental daytime luminance in above-ground facilities, and full day and night lighting for underground facilities." Emphasis added. The adopted assumption of 6,552 increases the CL&amp;P and UI value by 50% (suggest data logging to document greater hours i.e., 8760 hours per year).</w:t>
      </w:r>
    </w:p>
    <w:p w:rsidR="00CD05FA" w:rsidRDefault="00E34209" w:rsidP="00C3606E">
      <w:pPr>
        <w:pStyle w:val="source1"/>
      </w:pPr>
      <w:r w:rsidRPr="00E34209">
        <w:t xml:space="preserve">2008 DEER Update – Summary of Measure Energy Analysis Revisions, August, 2008; available at </w:t>
      </w:r>
      <w:hyperlink r:id="rId37" w:history="1">
        <w:r w:rsidRPr="00710DE4">
          <w:rPr>
            <w:rStyle w:val="Hyperlink"/>
          </w:rPr>
          <w:t>www.deeresources.com</w:t>
        </w:r>
      </w:hyperlink>
    </w:p>
    <w:p w:rsidR="00CD05FA" w:rsidRDefault="00E34209" w:rsidP="00C3606E">
      <w:pPr>
        <w:pStyle w:val="source1"/>
      </w:pPr>
      <w:r w:rsidRPr="00E34209">
        <w:t>Analysis of 3-"Kinder Care" daycare centers serving 150-160 children per day - average 9,175 ft2; 4.9 Watts per  ft2; load factor 23.1% estimate 2,208 hours per year. Given an operating assumption of five days per week, 12 hours per day (6:00AM to 6:00 PM) closed weekends (260 days); Closed on 6 NERC holidays that fall on weekdays (2002, 2008 and 2013) deduct 144 hours: (260 X 12)-144  = 2,976 hours per year; assumption adopts an average of measured and operational bases or 2,592 hours per year.</w:t>
      </w:r>
    </w:p>
    <w:p w:rsidR="00CD05FA" w:rsidRDefault="00E34209" w:rsidP="00C3606E">
      <w:pPr>
        <w:pStyle w:val="source1"/>
      </w:pPr>
      <w:r w:rsidRPr="00E34209">
        <w:t>DOE 2003 Commercial Building Energy Survey (CBECS), Table B1. Summary Table: Total and Means of Floor</w:t>
      </w:r>
      <w:r w:rsidR="00C46FD5">
        <w:t xml:space="preserve"> </w:t>
      </w:r>
      <w:r w:rsidRPr="00E34209">
        <w:t>space, Number of Workers, and Hours of Operation for Non-Mall Buildings, Released: June 2006 - 103 Mean Hours per Week for 71,000 Building Type: "Public Order and Safety"  - 32 X 52 weeks = 5,366 hour per year.</w:t>
      </w:r>
    </w:p>
    <w:p w:rsidR="00CD05FA" w:rsidRDefault="00E34209" w:rsidP="00C3606E">
      <w:pPr>
        <w:pStyle w:val="source1"/>
        <w:spacing w:after="200"/>
      </w:pPr>
      <w:r w:rsidRPr="00E34209">
        <w:t>Police and Fire Station operating hour data taken from the CL&amp;P and UI 2008 program documentation (referenced above).</w:t>
      </w:r>
    </w:p>
    <w:p w:rsidR="001C4AD5" w:rsidRPr="001C4AD5" w:rsidRDefault="001C4AD5" w:rsidP="00100EDF">
      <w:pPr>
        <w:pStyle w:val="Caption"/>
      </w:pPr>
      <w:bookmarkStart w:id="534" w:name="_Ref275879784"/>
      <w:bookmarkStart w:id="535" w:name="_Ref275556722"/>
      <w:bookmarkStart w:id="536" w:name="_Ref261522869"/>
      <w:bookmarkStart w:id="537" w:name="_Toc310875557"/>
      <w:r>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5</w:t>
      </w:r>
      <w:r w:rsidR="00274AB1">
        <w:rPr>
          <w:noProof/>
        </w:rPr>
        <w:fldChar w:fldCharType="end"/>
      </w:r>
      <w:bookmarkEnd w:id="534"/>
      <w:bookmarkEnd w:id="535"/>
      <w:bookmarkEnd w:id="536"/>
      <w:r>
        <w:t>: Interactive Factors and Other Lighting Variables</w:t>
      </w:r>
      <w:bookmarkEnd w:id="537"/>
    </w:p>
    <w:tbl>
      <w:tblPr>
        <w:tblW w:w="8640" w:type="dxa"/>
        <w:jc w:val="center"/>
        <w:tblLook w:val="00A0" w:firstRow="1" w:lastRow="0" w:firstColumn="1" w:lastColumn="0" w:noHBand="0" w:noVBand="0"/>
      </w:tblPr>
      <w:tblGrid>
        <w:gridCol w:w="1330"/>
        <w:gridCol w:w="1190"/>
        <w:gridCol w:w="5293"/>
        <w:gridCol w:w="827"/>
      </w:tblGrid>
      <w:tr w:rsidR="004D308B" w:rsidRPr="00123BD8" w:rsidTr="008679BD">
        <w:trPr>
          <w:trHeight w:val="288"/>
          <w:jc w:val="center"/>
        </w:trPr>
        <w:tc>
          <w:tcPr>
            <w:tcW w:w="1330" w:type="dxa"/>
            <w:tcBorders>
              <w:top w:val="single" w:sz="8" w:space="0" w:color="auto"/>
              <w:left w:val="single" w:sz="8" w:space="0" w:color="auto"/>
              <w:bottom w:val="single" w:sz="8" w:space="0" w:color="auto"/>
              <w:right w:val="single" w:sz="8" w:space="0" w:color="auto"/>
            </w:tcBorders>
            <w:shd w:val="pct25" w:color="auto" w:fill="auto"/>
            <w:vAlign w:val="center"/>
          </w:tcPr>
          <w:p w:rsidR="00A22E85" w:rsidRPr="001D6512" w:rsidRDefault="00A22E85" w:rsidP="00C3606E">
            <w:pPr>
              <w:pStyle w:val="TableCell"/>
              <w:spacing w:before="60" w:after="60"/>
              <w:rPr>
                <w:b/>
              </w:rPr>
            </w:pPr>
            <w:r w:rsidRPr="001D6512">
              <w:rPr>
                <w:b/>
              </w:rPr>
              <w:t>Component</w:t>
            </w:r>
          </w:p>
        </w:tc>
        <w:tc>
          <w:tcPr>
            <w:tcW w:w="1190" w:type="dxa"/>
            <w:tcBorders>
              <w:top w:val="single" w:sz="8" w:space="0" w:color="auto"/>
              <w:left w:val="nil"/>
              <w:bottom w:val="single" w:sz="8" w:space="0" w:color="auto"/>
              <w:right w:val="single" w:sz="8" w:space="0" w:color="auto"/>
            </w:tcBorders>
            <w:shd w:val="pct25" w:color="auto" w:fill="auto"/>
            <w:vAlign w:val="center"/>
          </w:tcPr>
          <w:p w:rsidR="00A22E85" w:rsidRPr="001D6512" w:rsidRDefault="00A22E85" w:rsidP="00C3606E">
            <w:pPr>
              <w:pStyle w:val="TableCell"/>
              <w:spacing w:before="60" w:after="60"/>
              <w:rPr>
                <w:b/>
              </w:rPr>
            </w:pPr>
            <w:r w:rsidRPr="001D6512">
              <w:rPr>
                <w:b/>
              </w:rPr>
              <w:t>Type</w:t>
            </w:r>
          </w:p>
        </w:tc>
        <w:tc>
          <w:tcPr>
            <w:tcW w:w="5293" w:type="dxa"/>
            <w:tcBorders>
              <w:top w:val="single" w:sz="8" w:space="0" w:color="auto"/>
              <w:left w:val="nil"/>
              <w:bottom w:val="single" w:sz="8" w:space="0" w:color="auto"/>
              <w:right w:val="single" w:sz="8" w:space="0" w:color="auto"/>
            </w:tcBorders>
            <w:shd w:val="pct25" w:color="auto" w:fill="auto"/>
            <w:vAlign w:val="center"/>
          </w:tcPr>
          <w:p w:rsidR="00A22E85" w:rsidRPr="001D6512" w:rsidRDefault="00A22E85" w:rsidP="00C3606E">
            <w:pPr>
              <w:pStyle w:val="TableCell"/>
              <w:spacing w:before="60" w:after="60"/>
              <w:rPr>
                <w:b/>
              </w:rPr>
            </w:pPr>
            <w:r w:rsidRPr="001D6512">
              <w:rPr>
                <w:b/>
              </w:rPr>
              <w:t>Value</w:t>
            </w:r>
          </w:p>
        </w:tc>
        <w:tc>
          <w:tcPr>
            <w:tcW w:w="0" w:type="auto"/>
            <w:tcBorders>
              <w:top w:val="single" w:sz="8" w:space="0" w:color="auto"/>
              <w:left w:val="nil"/>
              <w:bottom w:val="single" w:sz="8" w:space="0" w:color="auto"/>
              <w:right w:val="single" w:sz="8" w:space="0" w:color="auto"/>
            </w:tcBorders>
            <w:shd w:val="pct25" w:color="auto" w:fill="auto"/>
            <w:vAlign w:val="center"/>
          </w:tcPr>
          <w:p w:rsidR="00A22E85" w:rsidRPr="001D6512" w:rsidRDefault="00A22E85" w:rsidP="00C3606E">
            <w:pPr>
              <w:pStyle w:val="TableCell"/>
              <w:spacing w:before="60" w:after="60"/>
              <w:rPr>
                <w:b/>
              </w:rPr>
            </w:pPr>
            <w:r w:rsidRPr="001D6512">
              <w:rPr>
                <w:b/>
              </w:rPr>
              <w:t>Source</w:t>
            </w:r>
          </w:p>
        </w:tc>
      </w:tr>
      <w:tr w:rsidR="004D308B" w:rsidRPr="00123BD8" w:rsidTr="008679BD">
        <w:trPr>
          <w:trHeight w:val="288"/>
          <w:jc w:val="center"/>
        </w:trPr>
        <w:tc>
          <w:tcPr>
            <w:tcW w:w="1330" w:type="dxa"/>
            <w:vMerge w:val="restart"/>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r w:rsidRPr="001D6512">
              <w:t>IF</w:t>
            </w:r>
            <w:r w:rsidRPr="001D6512">
              <w:rPr>
                <w:vertAlign w:val="subscript"/>
              </w:rPr>
              <w:t>demand</w:t>
            </w:r>
          </w:p>
        </w:tc>
        <w:tc>
          <w:tcPr>
            <w:tcW w:w="1190" w:type="dxa"/>
            <w:vMerge w:val="restart"/>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r w:rsidRPr="001D6512">
              <w:t>Fixed</w:t>
            </w:r>
          </w:p>
        </w:tc>
        <w:tc>
          <w:tcPr>
            <w:tcW w:w="5293" w:type="dxa"/>
            <w:tcBorders>
              <w:top w:val="nil"/>
              <w:left w:val="nil"/>
              <w:bottom w:val="nil"/>
              <w:right w:val="single" w:sz="8" w:space="0" w:color="auto"/>
            </w:tcBorders>
            <w:vAlign w:val="center"/>
          </w:tcPr>
          <w:p w:rsidR="00A22E85" w:rsidRPr="001D6512" w:rsidRDefault="00A22E85" w:rsidP="00C3606E">
            <w:pPr>
              <w:pStyle w:val="TableCell"/>
              <w:spacing w:before="60" w:after="60"/>
            </w:pPr>
            <w:r w:rsidRPr="001D6512">
              <w:t xml:space="preserve">Cooled space </w:t>
            </w:r>
            <w:r w:rsidR="008679BD" w:rsidRPr="001D6512">
              <w:t xml:space="preserve">(68 °F – 79 °F) </w:t>
            </w:r>
            <w:r w:rsidRPr="001D6512">
              <w:t>=  0.34</w:t>
            </w:r>
          </w:p>
        </w:tc>
        <w:tc>
          <w:tcPr>
            <w:tcW w:w="0" w:type="auto"/>
            <w:vMerge w:val="restart"/>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r w:rsidRPr="001D6512">
              <w:t>1</w:t>
            </w:r>
          </w:p>
        </w:tc>
      </w:tr>
      <w:tr w:rsidR="004D308B" w:rsidRPr="00123BD8" w:rsidTr="008679BD">
        <w:trPr>
          <w:trHeight w:val="288"/>
          <w:jc w:val="center"/>
        </w:trPr>
        <w:tc>
          <w:tcPr>
            <w:tcW w:w="1330" w:type="dxa"/>
            <w:vMerge/>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p>
        </w:tc>
        <w:tc>
          <w:tcPr>
            <w:tcW w:w="1190" w:type="dxa"/>
            <w:vMerge/>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p>
        </w:tc>
        <w:tc>
          <w:tcPr>
            <w:tcW w:w="5293" w:type="dxa"/>
            <w:tcBorders>
              <w:top w:val="nil"/>
              <w:left w:val="nil"/>
              <w:bottom w:val="nil"/>
              <w:right w:val="single" w:sz="8" w:space="0" w:color="auto"/>
            </w:tcBorders>
            <w:vAlign w:val="center"/>
          </w:tcPr>
          <w:p w:rsidR="00A22E85" w:rsidRPr="001D6512" w:rsidRDefault="00A22E85" w:rsidP="00823BA6">
            <w:pPr>
              <w:pStyle w:val="TableCell"/>
              <w:spacing w:before="60" w:after="60"/>
            </w:pPr>
            <w:r w:rsidRPr="001D6512">
              <w:t>Freezer spaces</w:t>
            </w:r>
            <w:r w:rsidR="008679BD" w:rsidRPr="001D6512">
              <w:t xml:space="preserve"> (-20 °F – </w:t>
            </w:r>
            <w:r w:rsidR="00823BA6" w:rsidRPr="001D6512">
              <w:t>27</w:t>
            </w:r>
            <w:r w:rsidR="008679BD" w:rsidRPr="001D6512">
              <w:t xml:space="preserve"> °F)</w:t>
            </w:r>
            <w:r w:rsidRPr="001D6512">
              <w:t xml:space="preserve"> = 0.5</w:t>
            </w:r>
            <w:r w:rsidR="004D308B" w:rsidRPr="001D6512">
              <w:t>0</w:t>
            </w:r>
          </w:p>
        </w:tc>
        <w:tc>
          <w:tcPr>
            <w:tcW w:w="0" w:type="auto"/>
            <w:vMerge/>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p>
        </w:tc>
      </w:tr>
      <w:tr w:rsidR="004D308B" w:rsidRPr="00123BD8" w:rsidTr="008679BD">
        <w:trPr>
          <w:trHeight w:val="288"/>
          <w:jc w:val="center"/>
        </w:trPr>
        <w:tc>
          <w:tcPr>
            <w:tcW w:w="1330" w:type="dxa"/>
            <w:vMerge/>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p>
        </w:tc>
        <w:tc>
          <w:tcPr>
            <w:tcW w:w="1190" w:type="dxa"/>
            <w:vMerge/>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p>
        </w:tc>
        <w:tc>
          <w:tcPr>
            <w:tcW w:w="5293" w:type="dxa"/>
            <w:tcBorders>
              <w:top w:val="nil"/>
              <w:left w:val="nil"/>
              <w:bottom w:val="nil"/>
              <w:right w:val="single" w:sz="8" w:space="0" w:color="auto"/>
            </w:tcBorders>
            <w:vAlign w:val="center"/>
          </w:tcPr>
          <w:p w:rsidR="00A22E85" w:rsidRPr="001D6512" w:rsidRDefault="00A22E85" w:rsidP="00C3606E">
            <w:pPr>
              <w:pStyle w:val="TableCell"/>
              <w:spacing w:before="60" w:after="60"/>
            </w:pPr>
            <w:r w:rsidRPr="001D6512">
              <w:t>Medium-temperature refrigerated spaces</w:t>
            </w:r>
            <w:r w:rsidR="008679BD" w:rsidRPr="001D6512">
              <w:t xml:space="preserve"> (28 °F – 40 °F)</w:t>
            </w:r>
            <w:r w:rsidRPr="001D6512">
              <w:t xml:space="preserve"> = 0.29</w:t>
            </w:r>
          </w:p>
        </w:tc>
        <w:tc>
          <w:tcPr>
            <w:tcW w:w="0" w:type="auto"/>
            <w:vMerge/>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p>
        </w:tc>
      </w:tr>
      <w:tr w:rsidR="004D308B" w:rsidRPr="00123BD8" w:rsidTr="008679BD">
        <w:trPr>
          <w:trHeight w:val="288"/>
          <w:jc w:val="center"/>
        </w:trPr>
        <w:tc>
          <w:tcPr>
            <w:tcW w:w="1330" w:type="dxa"/>
            <w:vMerge/>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p>
        </w:tc>
        <w:tc>
          <w:tcPr>
            <w:tcW w:w="1190" w:type="dxa"/>
            <w:vMerge/>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p>
        </w:tc>
        <w:tc>
          <w:tcPr>
            <w:tcW w:w="5293" w:type="dxa"/>
            <w:tcBorders>
              <w:top w:val="nil"/>
              <w:left w:val="nil"/>
              <w:bottom w:val="nil"/>
              <w:right w:val="single" w:sz="8" w:space="0" w:color="auto"/>
            </w:tcBorders>
            <w:vAlign w:val="center"/>
          </w:tcPr>
          <w:p w:rsidR="00A22E85" w:rsidRPr="001D6512" w:rsidRDefault="00A22E85" w:rsidP="00C3606E">
            <w:pPr>
              <w:pStyle w:val="TableCell"/>
              <w:spacing w:before="60" w:after="60"/>
            </w:pPr>
            <w:r w:rsidRPr="001D6512">
              <w:t>High-temperature refrigerated spaces</w:t>
            </w:r>
            <w:r w:rsidR="008679BD" w:rsidRPr="001D6512">
              <w:t xml:space="preserve"> (47 °F – 60 °F)</w:t>
            </w:r>
            <w:r w:rsidRPr="001D6512">
              <w:t xml:space="preserve"> = 0.18</w:t>
            </w:r>
          </w:p>
        </w:tc>
        <w:tc>
          <w:tcPr>
            <w:tcW w:w="0" w:type="auto"/>
            <w:vMerge/>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p>
        </w:tc>
      </w:tr>
      <w:tr w:rsidR="004D308B" w:rsidRPr="00123BD8" w:rsidTr="008679BD">
        <w:trPr>
          <w:trHeight w:val="288"/>
          <w:jc w:val="center"/>
        </w:trPr>
        <w:tc>
          <w:tcPr>
            <w:tcW w:w="1330" w:type="dxa"/>
            <w:vMerge/>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p>
        </w:tc>
        <w:tc>
          <w:tcPr>
            <w:tcW w:w="1190" w:type="dxa"/>
            <w:vMerge/>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p>
        </w:tc>
        <w:tc>
          <w:tcPr>
            <w:tcW w:w="5293" w:type="dxa"/>
            <w:tcBorders>
              <w:top w:val="nil"/>
              <w:left w:val="nil"/>
              <w:bottom w:val="single" w:sz="8" w:space="0" w:color="auto"/>
              <w:right w:val="single" w:sz="8" w:space="0" w:color="auto"/>
            </w:tcBorders>
            <w:vAlign w:val="center"/>
          </w:tcPr>
          <w:p w:rsidR="00A22E85" w:rsidRPr="001D6512" w:rsidRDefault="00F11594" w:rsidP="00C3606E">
            <w:pPr>
              <w:pStyle w:val="TableCell"/>
              <w:spacing w:before="60" w:after="60"/>
            </w:pPr>
            <w:r w:rsidRPr="001D6512">
              <w:t>Un-cooled</w:t>
            </w:r>
            <w:r w:rsidR="00A22E85" w:rsidRPr="001D6512">
              <w:t xml:space="preserve"> space = 0</w:t>
            </w:r>
          </w:p>
        </w:tc>
        <w:tc>
          <w:tcPr>
            <w:tcW w:w="0" w:type="auto"/>
            <w:vMerge/>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p>
        </w:tc>
      </w:tr>
      <w:tr w:rsidR="004D308B" w:rsidRPr="00123BD8" w:rsidTr="008679BD">
        <w:trPr>
          <w:trHeight w:val="288"/>
          <w:jc w:val="center"/>
        </w:trPr>
        <w:tc>
          <w:tcPr>
            <w:tcW w:w="1330" w:type="dxa"/>
            <w:vMerge w:val="restart"/>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r w:rsidRPr="001D6512">
              <w:t>IF</w:t>
            </w:r>
            <w:r w:rsidRPr="001D6512">
              <w:rPr>
                <w:vertAlign w:val="subscript"/>
              </w:rPr>
              <w:t>energy</w:t>
            </w:r>
          </w:p>
        </w:tc>
        <w:tc>
          <w:tcPr>
            <w:tcW w:w="1190" w:type="dxa"/>
            <w:vMerge w:val="restart"/>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r w:rsidRPr="001D6512">
              <w:t>Fixed</w:t>
            </w:r>
          </w:p>
        </w:tc>
        <w:tc>
          <w:tcPr>
            <w:tcW w:w="5293" w:type="dxa"/>
            <w:tcBorders>
              <w:top w:val="nil"/>
              <w:left w:val="nil"/>
              <w:bottom w:val="nil"/>
              <w:right w:val="single" w:sz="8" w:space="0" w:color="auto"/>
            </w:tcBorders>
            <w:vAlign w:val="center"/>
          </w:tcPr>
          <w:p w:rsidR="00A22E85" w:rsidRPr="001D6512" w:rsidRDefault="00A22E85" w:rsidP="00C3606E">
            <w:pPr>
              <w:pStyle w:val="TableCell"/>
              <w:spacing w:before="60" w:after="60"/>
            </w:pPr>
            <w:r w:rsidRPr="001D6512">
              <w:t xml:space="preserve">Cooled space </w:t>
            </w:r>
            <w:r w:rsidR="008679BD" w:rsidRPr="001D6512">
              <w:t xml:space="preserve">(68 °F – 79 °F) </w:t>
            </w:r>
            <w:r w:rsidRPr="001D6512">
              <w:t>=  0.12</w:t>
            </w:r>
          </w:p>
        </w:tc>
        <w:tc>
          <w:tcPr>
            <w:tcW w:w="0" w:type="auto"/>
            <w:vMerge w:val="restart"/>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r w:rsidRPr="001D6512">
              <w:t>1</w:t>
            </w:r>
          </w:p>
        </w:tc>
      </w:tr>
      <w:tr w:rsidR="004D308B" w:rsidRPr="00123BD8" w:rsidTr="008679BD">
        <w:trPr>
          <w:trHeight w:val="288"/>
          <w:jc w:val="center"/>
        </w:trPr>
        <w:tc>
          <w:tcPr>
            <w:tcW w:w="1330" w:type="dxa"/>
            <w:vMerge/>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p>
        </w:tc>
        <w:tc>
          <w:tcPr>
            <w:tcW w:w="1190" w:type="dxa"/>
            <w:vMerge/>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p>
        </w:tc>
        <w:tc>
          <w:tcPr>
            <w:tcW w:w="5293" w:type="dxa"/>
            <w:tcBorders>
              <w:top w:val="nil"/>
              <w:left w:val="nil"/>
              <w:bottom w:val="nil"/>
              <w:right w:val="single" w:sz="8" w:space="0" w:color="auto"/>
            </w:tcBorders>
            <w:vAlign w:val="center"/>
          </w:tcPr>
          <w:p w:rsidR="00A22E85" w:rsidRPr="001D6512" w:rsidRDefault="00A22E85" w:rsidP="00823BA6">
            <w:pPr>
              <w:pStyle w:val="TableCell"/>
              <w:spacing w:before="60" w:after="60"/>
            </w:pPr>
            <w:r w:rsidRPr="001D6512">
              <w:t>Freezer spaces</w:t>
            </w:r>
            <w:r w:rsidR="008679BD" w:rsidRPr="001D6512">
              <w:t xml:space="preserve"> (-20 °F – </w:t>
            </w:r>
            <w:r w:rsidR="00823BA6" w:rsidRPr="001D6512">
              <w:t>27</w:t>
            </w:r>
            <w:r w:rsidR="008679BD" w:rsidRPr="001D6512">
              <w:t xml:space="preserve"> °F)</w:t>
            </w:r>
            <w:r w:rsidRPr="001D6512">
              <w:t xml:space="preserve"> = 0.5</w:t>
            </w:r>
            <w:r w:rsidR="004D308B" w:rsidRPr="001D6512">
              <w:t>0</w:t>
            </w:r>
          </w:p>
        </w:tc>
        <w:tc>
          <w:tcPr>
            <w:tcW w:w="0" w:type="auto"/>
            <w:vMerge/>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p>
        </w:tc>
      </w:tr>
      <w:tr w:rsidR="004D308B" w:rsidRPr="00123BD8" w:rsidTr="008679BD">
        <w:trPr>
          <w:trHeight w:val="288"/>
          <w:jc w:val="center"/>
        </w:trPr>
        <w:tc>
          <w:tcPr>
            <w:tcW w:w="1330" w:type="dxa"/>
            <w:vMerge/>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p>
        </w:tc>
        <w:tc>
          <w:tcPr>
            <w:tcW w:w="1190" w:type="dxa"/>
            <w:vMerge/>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p>
        </w:tc>
        <w:tc>
          <w:tcPr>
            <w:tcW w:w="5293" w:type="dxa"/>
            <w:tcBorders>
              <w:top w:val="nil"/>
              <w:left w:val="nil"/>
              <w:bottom w:val="nil"/>
              <w:right w:val="single" w:sz="8" w:space="0" w:color="auto"/>
            </w:tcBorders>
            <w:vAlign w:val="center"/>
          </w:tcPr>
          <w:p w:rsidR="00A22E85" w:rsidRPr="001D6512" w:rsidRDefault="00A22E85" w:rsidP="00C3606E">
            <w:pPr>
              <w:pStyle w:val="TableCell"/>
              <w:spacing w:before="60" w:after="60"/>
            </w:pPr>
            <w:r w:rsidRPr="001D6512">
              <w:t>Medium-temperature refrigerated spaces</w:t>
            </w:r>
            <w:r w:rsidR="008679BD" w:rsidRPr="001D6512">
              <w:t xml:space="preserve"> (28 °F – 40 °F)</w:t>
            </w:r>
            <w:r w:rsidRPr="001D6512">
              <w:t xml:space="preserve"> = 0.29</w:t>
            </w:r>
          </w:p>
        </w:tc>
        <w:tc>
          <w:tcPr>
            <w:tcW w:w="0" w:type="auto"/>
            <w:vMerge/>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p>
        </w:tc>
      </w:tr>
      <w:tr w:rsidR="004D308B" w:rsidRPr="00123BD8" w:rsidTr="008679BD">
        <w:trPr>
          <w:trHeight w:val="288"/>
          <w:jc w:val="center"/>
        </w:trPr>
        <w:tc>
          <w:tcPr>
            <w:tcW w:w="1330" w:type="dxa"/>
            <w:vMerge/>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p>
        </w:tc>
        <w:tc>
          <w:tcPr>
            <w:tcW w:w="1190" w:type="dxa"/>
            <w:vMerge/>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p>
        </w:tc>
        <w:tc>
          <w:tcPr>
            <w:tcW w:w="5293" w:type="dxa"/>
            <w:tcBorders>
              <w:top w:val="nil"/>
              <w:left w:val="nil"/>
              <w:bottom w:val="nil"/>
              <w:right w:val="single" w:sz="8" w:space="0" w:color="auto"/>
            </w:tcBorders>
            <w:vAlign w:val="center"/>
          </w:tcPr>
          <w:p w:rsidR="00A22E85" w:rsidRPr="001D6512" w:rsidRDefault="00A22E85" w:rsidP="00C3606E">
            <w:pPr>
              <w:pStyle w:val="TableCell"/>
              <w:spacing w:before="60" w:after="60"/>
            </w:pPr>
            <w:r w:rsidRPr="001D6512">
              <w:t>High-temperature refrigerated spaces</w:t>
            </w:r>
            <w:r w:rsidR="008679BD" w:rsidRPr="001D6512">
              <w:t xml:space="preserve"> (47 °F – 60 °F)</w:t>
            </w:r>
            <w:r w:rsidRPr="001D6512">
              <w:t xml:space="preserve"> = 0.18</w:t>
            </w:r>
          </w:p>
        </w:tc>
        <w:tc>
          <w:tcPr>
            <w:tcW w:w="0" w:type="auto"/>
            <w:vMerge/>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p>
        </w:tc>
      </w:tr>
      <w:tr w:rsidR="004D308B" w:rsidRPr="00123BD8" w:rsidTr="008679BD">
        <w:trPr>
          <w:trHeight w:val="288"/>
          <w:jc w:val="center"/>
        </w:trPr>
        <w:tc>
          <w:tcPr>
            <w:tcW w:w="1330" w:type="dxa"/>
            <w:vMerge/>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p>
        </w:tc>
        <w:tc>
          <w:tcPr>
            <w:tcW w:w="1190" w:type="dxa"/>
            <w:vMerge/>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p>
        </w:tc>
        <w:tc>
          <w:tcPr>
            <w:tcW w:w="5293" w:type="dxa"/>
            <w:tcBorders>
              <w:top w:val="nil"/>
              <w:left w:val="nil"/>
              <w:bottom w:val="single" w:sz="8" w:space="0" w:color="auto"/>
              <w:right w:val="single" w:sz="8" w:space="0" w:color="auto"/>
            </w:tcBorders>
            <w:vAlign w:val="center"/>
          </w:tcPr>
          <w:p w:rsidR="00A22E85" w:rsidRPr="001D6512" w:rsidRDefault="00F11594" w:rsidP="00C3606E">
            <w:pPr>
              <w:pStyle w:val="TableCell"/>
              <w:spacing w:before="60" w:after="60"/>
            </w:pPr>
            <w:r w:rsidRPr="001D6512">
              <w:t>Un-cooled</w:t>
            </w:r>
            <w:r w:rsidR="00A22E85" w:rsidRPr="001D6512">
              <w:t xml:space="preserve"> space = 0</w:t>
            </w:r>
          </w:p>
        </w:tc>
        <w:tc>
          <w:tcPr>
            <w:tcW w:w="0" w:type="auto"/>
            <w:vMerge/>
            <w:tcBorders>
              <w:top w:val="nil"/>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p>
        </w:tc>
      </w:tr>
      <w:tr w:rsidR="004D308B" w:rsidRPr="00123BD8" w:rsidTr="008679BD">
        <w:trPr>
          <w:trHeight w:val="288"/>
          <w:jc w:val="center"/>
        </w:trPr>
        <w:tc>
          <w:tcPr>
            <w:tcW w:w="1330" w:type="dxa"/>
            <w:tcBorders>
              <w:top w:val="nil"/>
              <w:left w:val="single" w:sz="8" w:space="0" w:color="auto"/>
              <w:bottom w:val="single" w:sz="8" w:space="0" w:color="auto"/>
              <w:right w:val="single" w:sz="8" w:space="0" w:color="auto"/>
            </w:tcBorders>
            <w:vAlign w:val="center"/>
          </w:tcPr>
          <w:p w:rsidR="00A22E85" w:rsidRPr="001D6512" w:rsidRDefault="00A22E85" w:rsidP="00C3606E">
            <w:pPr>
              <w:pStyle w:val="TableCell"/>
              <w:spacing w:before="60" w:after="60"/>
              <w:rPr>
                <w:iCs/>
              </w:rPr>
            </w:pPr>
            <w:r w:rsidRPr="001D6512">
              <w:rPr>
                <w:iCs/>
              </w:rPr>
              <w:t>kW</w:t>
            </w:r>
            <w:r w:rsidRPr="001D6512">
              <w:rPr>
                <w:vertAlign w:val="subscript"/>
              </w:rPr>
              <w:t>base</w:t>
            </w:r>
            <w:r w:rsidRPr="001D6512">
              <w:t xml:space="preserve"> </w:t>
            </w:r>
          </w:p>
        </w:tc>
        <w:tc>
          <w:tcPr>
            <w:tcW w:w="1190" w:type="dxa"/>
            <w:tcBorders>
              <w:top w:val="nil"/>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Variable</w:t>
            </w:r>
          </w:p>
        </w:tc>
        <w:tc>
          <w:tcPr>
            <w:tcW w:w="5293" w:type="dxa"/>
            <w:tcBorders>
              <w:top w:val="nil"/>
              <w:left w:val="nil"/>
              <w:bottom w:val="single" w:sz="8" w:space="0" w:color="auto"/>
              <w:right w:val="single" w:sz="8" w:space="0" w:color="auto"/>
            </w:tcBorders>
            <w:vAlign w:val="center"/>
          </w:tcPr>
          <w:p w:rsidR="00A22E85" w:rsidRPr="001D6512" w:rsidRDefault="004D308B" w:rsidP="00C3606E">
            <w:pPr>
              <w:pStyle w:val="TableCell"/>
              <w:spacing w:before="60" w:after="60"/>
            </w:pPr>
            <w:r w:rsidRPr="001D6512">
              <w:t>See Standard Wattage Table</w:t>
            </w:r>
            <w:r w:rsidR="00A22E85" w:rsidRPr="001D6512">
              <w:t xml:space="preserve"> in Appendix C</w:t>
            </w:r>
          </w:p>
        </w:tc>
        <w:tc>
          <w:tcPr>
            <w:tcW w:w="0" w:type="auto"/>
            <w:tcBorders>
              <w:top w:val="nil"/>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2</w:t>
            </w:r>
          </w:p>
        </w:tc>
      </w:tr>
      <w:tr w:rsidR="004D308B" w:rsidRPr="00123BD8" w:rsidTr="008679BD">
        <w:trPr>
          <w:trHeight w:val="288"/>
          <w:jc w:val="center"/>
        </w:trPr>
        <w:tc>
          <w:tcPr>
            <w:tcW w:w="1330" w:type="dxa"/>
            <w:tcBorders>
              <w:top w:val="nil"/>
              <w:left w:val="single" w:sz="8" w:space="0" w:color="auto"/>
              <w:bottom w:val="single" w:sz="8" w:space="0" w:color="auto"/>
              <w:right w:val="single" w:sz="8" w:space="0" w:color="auto"/>
            </w:tcBorders>
            <w:vAlign w:val="center"/>
          </w:tcPr>
          <w:p w:rsidR="00A22E85" w:rsidRPr="001D6512" w:rsidRDefault="00A22E85" w:rsidP="00C3606E">
            <w:pPr>
              <w:pStyle w:val="TableCell"/>
              <w:spacing w:before="60" w:after="60"/>
            </w:pPr>
            <w:r w:rsidRPr="001D6512">
              <w:t>kW</w:t>
            </w:r>
            <w:r w:rsidRPr="001D6512">
              <w:rPr>
                <w:iCs/>
                <w:vertAlign w:val="subscript"/>
              </w:rPr>
              <w:t>inst</w:t>
            </w:r>
          </w:p>
        </w:tc>
        <w:tc>
          <w:tcPr>
            <w:tcW w:w="1190" w:type="dxa"/>
            <w:tcBorders>
              <w:top w:val="nil"/>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Variable</w:t>
            </w:r>
          </w:p>
        </w:tc>
        <w:tc>
          <w:tcPr>
            <w:tcW w:w="5293" w:type="dxa"/>
            <w:tcBorders>
              <w:top w:val="nil"/>
              <w:left w:val="nil"/>
              <w:bottom w:val="single" w:sz="8" w:space="0" w:color="auto"/>
              <w:right w:val="single" w:sz="8" w:space="0" w:color="auto"/>
            </w:tcBorders>
            <w:vAlign w:val="center"/>
          </w:tcPr>
          <w:p w:rsidR="00A22E85" w:rsidRPr="001D6512" w:rsidRDefault="004D308B" w:rsidP="00C3606E">
            <w:pPr>
              <w:pStyle w:val="TableCell"/>
              <w:spacing w:before="60" w:after="60"/>
            </w:pPr>
            <w:r w:rsidRPr="001D6512">
              <w:t>See Standard Wattage Table in Appendix C</w:t>
            </w:r>
          </w:p>
        </w:tc>
        <w:tc>
          <w:tcPr>
            <w:tcW w:w="0" w:type="auto"/>
            <w:tcBorders>
              <w:top w:val="nil"/>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2</w:t>
            </w:r>
          </w:p>
        </w:tc>
      </w:tr>
    </w:tbl>
    <w:p w:rsidR="00A22E85" w:rsidRPr="00123BD8" w:rsidRDefault="00A22E85" w:rsidP="00C3606E">
      <w:pPr>
        <w:spacing w:after="0"/>
      </w:pPr>
    </w:p>
    <w:p w:rsidR="00A22E85" w:rsidRPr="00BC5194" w:rsidRDefault="00A22E85" w:rsidP="00100EDF">
      <w:pPr>
        <w:rPr>
          <w:b/>
        </w:rPr>
      </w:pPr>
      <w:r w:rsidRPr="00BC5194">
        <w:rPr>
          <w:b/>
        </w:rPr>
        <w:t>Sources:</w:t>
      </w:r>
    </w:p>
    <w:p w:rsidR="00A22E85" w:rsidRPr="00100EDF" w:rsidRDefault="00A22E85" w:rsidP="0005632A">
      <w:pPr>
        <w:pStyle w:val="source1"/>
        <w:numPr>
          <w:ilvl w:val="0"/>
          <w:numId w:val="74"/>
        </w:numPr>
      </w:pPr>
      <w:r w:rsidRPr="00100EDF">
        <w:t>PA TRM, Efficiency Vermont. Technical Reference User Manual: Measure Savings Algorithms and Cost Assumptions (July 2008).</w:t>
      </w:r>
    </w:p>
    <w:p w:rsidR="00A22E85" w:rsidRPr="001C4AD5" w:rsidRDefault="00A22E85" w:rsidP="00100EDF">
      <w:pPr>
        <w:pStyle w:val="source1"/>
      </w:pPr>
      <w:r w:rsidRPr="00100EDF">
        <w:t>NYSERDA Table</w:t>
      </w:r>
      <w:r w:rsidRPr="001C4AD5">
        <w:t xml:space="preserve"> of Standard Wattages (November 2009)</w:t>
      </w:r>
    </w:p>
    <w:p w:rsidR="00A22E85" w:rsidRPr="001C4AD5" w:rsidRDefault="00A22E85" w:rsidP="00E568D4">
      <w:pPr>
        <w:pStyle w:val="Heading4"/>
      </w:pPr>
      <w:bookmarkStart w:id="538" w:name="_Ref248736325"/>
      <w:r w:rsidRPr="001C4AD5">
        <w:lastRenderedPageBreak/>
        <w:t>Lighting Control</w:t>
      </w:r>
      <w:r w:rsidR="0094339B">
        <w:t xml:space="preserve"> Adjustments</w:t>
      </w:r>
      <w:bookmarkEnd w:id="538"/>
    </w:p>
    <w:p w:rsidR="00A22E85" w:rsidRPr="001C4AD5" w:rsidRDefault="00A22E85" w:rsidP="00BA4082">
      <w:pPr>
        <w:pStyle w:val="BodyText"/>
        <w:keepNext/>
      </w:pPr>
      <w:r w:rsidRPr="001C4AD5">
        <w:t xml:space="preserve">Lighting controls </w:t>
      </w:r>
      <w:r w:rsidR="00712BCB">
        <w:t xml:space="preserve">turn lights on and off automatically, which are activated by time, light, motion, or sound. </w:t>
      </w:r>
      <w:r w:rsidRPr="001C4AD5">
        <w:t>The measurement of energy savings is based on algorithms with key variables (e.g. coincidence factor, hours</w:t>
      </w:r>
      <w:r w:rsidR="00371EF1">
        <w:t xml:space="preserve"> of use</w:t>
      </w:r>
      <w:r w:rsidRPr="001C4AD5">
        <w:t>) provided through existing end-use metering of a sample of facilities or from other utility programs with experience with these measures (i.e., % of annual lighting energy saved by lighting control). These key variables are listed in</w:t>
      </w:r>
      <w:r w:rsidR="00575938">
        <w:t xml:space="preserve"> </w:t>
      </w:r>
      <w:r w:rsidR="007A1FB6">
        <w:fldChar w:fldCharType="begin"/>
      </w:r>
      <w:r w:rsidR="00081415">
        <w:instrText xml:space="preserve"> REF _Ref275549498 \h </w:instrText>
      </w:r>
      <w:r w:rsidR="007A1FB6">
        <w:fldChar w:fldCharType="separate"/>
      </w:r>
      <w:r w:rsidR="00C0292F">
        <w:t xml:space="preserve">Table </w:t>
      </w:r>
      <w:r w:rsidR="00C0292F">
        <w:rPr>
          <w:noProof/>
        </w:rPr>
        <w:t>3</w:t>
      </w:r>
      <w:r w:rsidR="00C0292F">
        <w:noBreakHyphen/>
      </w:r>
      <w:r w:rsidR="00C0292F">
        <w:rPr>
          <w:noProof/>
        </w:rPr>
        <w:t>6</w:t>
      </w:r>
      <w:r w:rsidR="007A1FB6">
        <w:fldChar w:fldCharType="end"/>
      </w:r>
      <w:r w:rsidRPr="001C4AD5">
        <w:t>.</w:t>
      </w:r>
    </w:p>
    <w:p w:rsidR="00A22E85" w:rsidRDefault="00A22E85" w:rsidP="00BA4082">
      <w:pPr>
        <w:pStyle w:val="BodyText"/>
        <w:keepNext/>
      </w:pPr>
      <w:r w:rsidRPr="001C4AD5">
        <w:t>If a lighting improvement consists of solely lighting controls, the lighting fixture baseline is the existing fixtures with the existing lamps and ballasts or, if retrofitted, new fixtures with new lamps and ballasts as defined in Lighting Audit and Design Tool shown in Appendix C. In either case, the kW</w:t>
      </w:r>
      <w:r w:rsidRPr="001C4AD5">
        <w:rPr>
          <w:vertAlign w:val="subscript"/>
        </w:rPr>
        <w:t>inst</w:t>
      </w:r>
      <w:r w:rsidRPr="001C4AD5">
        <w:rPr>
          <w:i/>
          <w:sz w:val="16"/>
        </w:rPr>
        <w:t xml:space="preserve"> </w:t>
      </w:r>
      <w:r w:rsidRPr="001C4AD5">
        <w:t>for the purpose of the algorithm is set to kW</w:t>
      </w:r>
      <w:r w:rsidRPr="001C4AD5">
        <w:rPr>
          <w:vertAlign w:val="subscript"/>
        </w:rPr>
        <w:t>base</w:t>
      </w:r>
      <w:r w:rsidRPr="001C4AD5">
        <w:t>.</w:t>
      </w:r>
    </w:p>
    <w:p w:rsidR="00F61D55" w:rsidRPr="00F61D55" w:rsidRDefault="00F61D55" w:rsidP="00BA4082">
      <w:pPr>
        <w:pStyle w:val="BodyText"/>
        <w:keepNext/>
      </w:pPr>
      <w:r>
        <w:t xml:space="preserve">For new construction scenarios, baseline for lighting controls is defined by either IECC or ASHRAE 90.1, based on the EDC program design. See Section </w:t>
      </w:r>
      <w:r w:rsidR="007A1FB6">
        <w:fldChar w:fldCharType="begin"/>
      </w:r>
      <w:r>
        <w:instrText xml:space="preserve"> REF _Ref303347850 \r \h </w:instrText>
      </w:r>
      <w:r w:rsidR="007A1FB6">
        <w:fldChar w:fldCharType="separate"/>
      </w:r>
      <w:r w:rsidR="00C0292F">
        <w:t>3.1</w:t>
      </w:r>
      <w:r w:rsidR="007A1FB6">
        <w:fldChar w:fldCharType="end"/>
      </w:r>
      <w:r>
        <w:t xml:space="preserve"> for more detail.</w:t>
      </w:r>
    </w:p>
    <w:p w:rsidR="001C4AD5" w:rsidRDefault="001C4AD5" w:rsidP="00100EDF">
      <w:pPr>
        <w:pStyle w:val="Caption"/>
      </w:pPr>
      <w:bookmarkStart w:id="539" w:name="_Ref275879833"/>
      <w:bookmarkStart w:id="540" w:name="_Ref275549498"/>
      <w:bookmarkStart w:id="541" w:name="_Ref261522952"/>
      <w:bookmarkStart w:id="542" w:name="_Toc310875558"/>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6</w:t>
      </w:r>
      <w:r w:rsidR="00274AB1">
        <w:rPr>
          <w:noProof/>
        </w:rPr>
        <w:fldChar w:fldCharType="end"/>
      </w:r>
      <w:bookmarkEnd w:id="539"/>
      <w:bookmarkEnd w:id="540"/>
      <w:bookmarkEnd w:id="541"/>
      <w:r>
        <w:t>: Lighting Controls</w:t>
      </w:r>
      <w:r w:rsidR="0094339B">
        <w:t xml:space="preserve"> Assumptions</w:t>
      </w:r>
      <w:bookmarkEnd w:id="542"/>
    </w:p>
    <w:tbl>
      <w:tblPr>
        <w:tblW w:w="8640" w:type="dxa"/>
        <w:jc w:val="center"/>
        <w:tblLook w:val="00A0" w:firstRow="1" w:lastRow="0" w:firstColumn="1" w:lastColumn="0" w:noHBand="0" w:noVBand="0"/>
      </w:tblPr>
      <w:tblGrid>
        <w:gridCol w:w="1353"/>
        <w:gridCol w:w="1380"/>
        <w:gridCol w:w="3905"/>
        <w:gridCol w:w="2002"/>
      </w:tblGrid>
      <w:tr w:rsidR="00A22E85" w:rsidRPr="00123BD8" w:rsidTr="00371EF1">
        <w:trPr>
          <w:trHeight w:val="288"/>
          <w:jc w:val="center"/>
        </w:trPr>
        <w:tc>
          <w:tcPr>
            <w:tcW w:w="1353" w:type="dxa"/>
            <w:tcBorders>
              <w:top w:val="single" w:sz="8" w:space="0" w:color="auto"/>
              <w:left w:val="single" w:sz="8" w:space="0" w:color="auto"/>
              <w:bottom w:val="single" w:sz="8" w:space="0" w:color="auto"/>
              <w:right w:val="single" w:sz="8" w:space="0" w:color="auto"/>
            </w:tcBorders>
            <w:shd w:val="clear" w:color="000000" w:fill="BFBFBF"/>
            <w:vAlign w:val="center"/>
          </w:tcPr>
          <w:p w:rsidR="00A22E85" w:rsidRPr="001D6512" w:rsidRDefault="00A22E85" w:rsidP="00C3606E">
            <w:pPr>
              <w:pStyle w:val="TableCell"/>
              <w:spacing w:before="60" w:after="60"/>
              <w:rPr>
                <w:b/>
              </w:rPr>
            </w:pPr>
            <w:r w:rsidRPr="001D6512">
              <w:rPr>
                <w:b/>
              </w:rPr>
              <w:t>Component</w:t>
            </w:r>
          </w:p>
        </w:tc>
        <w:tc>
          <w:tcPr>
            <w:tcW w:w="1380" w:type="dxa"/>
            <w:tcBorders>
              <w:top w:val="single" w:sz="8" w:space="0" w:color="auto"/>
              <w:left w:val="nil"/>
              <w:bottom w:val="single" w:sz="8" w:space="0" w:color="auto"/>
              <w:right w:val="single" w:sz="8" w:space="0" w:color="auto"/>
            </w:tcBorders>
            <w:shd w:val="clear" w:color="000000" w:fill="BFBFBF"/>
            <w:vAlign w:val="center"/>
          </w:tcPr>
          <w:p w:rsidR="00A22E85" w:rsidRPr="001D6512" w:rsidRDefault="00A22E85" w:rsidP="00C3606E">
            <w:pPr>
              <w:pStyle w:val="TableCell"/>
              <w:spacing w:before="60" w:after="60"/>
              <w:rPr>
                <w:b/>
              </w:rPr>
            </w:pPr>
            <w:r w:rsidRPr="001D6512">
              <w:rPr>
                <w:b/>
              </w:rPr>
              <w:t>Type</w:t>
            </w:r>
          </w:p>
        </w:tc>
        <w:tc>
          <w:tcPr>
            <w:tcW w:w="3905" w:type="dxa"/>
            <w:tcBorders>
              <w:top w:val="single" w:sz="8" w:space="0" w:color="auto"/>
              <w:left w:val="nil"/>
              <w:bottom w:val="single" w:sz="8" w:space="0" w:color="auto"/>
              <w:right w:val="single" w:sz="8" w:space="0" w:color="auto"/>
            </w:tcBorders>
            <w:shd w:val="clear" w:color="000000" w:fill="BFBFBF"/>
            <w:vAlign w:val="center"/>
          </w:tcPr>
          <w:p w:rsidR="00A22E85" w:rsidRPr="001D6512" w:rsidRDefault="00A22E85" w:rsidP="00C3606E">
            <w:pPr>
              <w:pStyle w:val="TableCell"/>
              <w:spacing w:before="60" w:after="60"/>
              <w:rPr>
                <w:b/>
              </w:rPr>
            </w:pPr>
            <w:r w:rsidRPr="001D6512">
              <w:rPr>
                <w:b/>
              </w:rPr>
              <w:t>Value</w:t>
            </w:r>
          </w:p>
        </w:tc>
        <w:tc>
          <w:tcPr>
            <w:tcW w:w="2002" w:type="dxa"/>
            <w:tcBorders>
              <w:top w:val="single" w:sz="8" w:space="0" w:color="auto"/>
              <w:left w:val="nil"/>
              <w:bottom w:val="single" w:sz="8" w:space="0" w:color="auto"/>
              <w:right w:val="single" w:sz="8" w:space="0" w:color="auto"/>
            </w:tcBorders>
            <w:shd w:val="clear" w:color="000000" w:fill="BFBFBF"/>
            <w:vAlign w:val="center"/>
          </w:tcPr>
          <w:p w:rsidR="00A22E85" w:rsidRPr="001D6512" w:rsidRDefault="00A22E85" w:rsidP="00C3606E">
            <w:pPr>
              <w:pStyle w:val="TableCell"/>
              <w:spacing w:before="60" w:after="60"/>
              <w:rPr>
                <w:b/>
              </w:rPr>
            </w:pPr>
            <w:r w:rsidRPr="001D6512">
              <w:rPr>
                <w:b/>
              </w:rPr>
              <w:t>Source</w:t>
            </w:r>
          </w:p>
        </w:tc>
      </w:tr>
      <w:tr w:rsidR="00A22E85" w:rsidRPr="00123BD8" w:rsidTr="00371EF1">
        <w:trPr>
          <w:trHeight w:val="288"/>
          <w:jc w:val="center"/>
        </w:trPr>
        <w:tc>
          <w:tcPr>
            <w:tcW w:w="1353" w:type="dxa"/>
            <w:tcBorders>
              <w:top w:val="nil"/>
              <w:left w:val="single" w:sz="8" w:space="0" w:color="auto"/>
              <w:bottom w:val="single" w:sz="8" w:space="0" w:color="auto"/>
              <w:right w:val="single" w:sz="8" w:space="0" w:color="auto"/>
            </w:tcBorders>
            <w:vAlign w:val="center"/>
          </w:tcPr>
          <w:p w:rsidR="00A22E85" w:rsidRPr="001D6512" w:rsidRDefault="00A22E85" w:rsidP="00C3606E">
            <w:pPr>
              <w:pStyle w:val="TableCell"/>
              <w:spacing w:before="60" w:after="60"/>
            </w:pPr>
            <w:r w:rsidRPr="001D6512">
              <w:t>kW</w:t>
            </w:r>
            <w:r w:rsidRPr="001D6512">
              <w:rPr>
                <w:i/>
                <w:iCs/>
                <w:vertAlign w:val="subscript"/>
              </w:rPr>
              <w:t xml:space="preserve">base </w:t>
            </w:r>
          </w:p>
        </w:tc>
        <w:tc>
          <w:tcPr>
            <w:tcW w:w="1380" w:type="dxa"/>
            <w:tcBorders>
              <w:top w:val="nil"/>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Variable</w:t>
            </w:r>
          </w:p>
        </w:tc>
        <w:tc>
          <w:tcPr>
            <w:tcW w:w="3905" w:type="dxa"/>
            <w:tcBorders>
              <w:top w:val="nil"/>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Lighting Audit and Design Tool in Appendix C</w:t>
            </w:r>
          </w:p>
        </w:tc>
        <w:tc>
          <w:tcPr>
            <w:tcW w:w="2002" w:type="dxa"/>
            <w:tcBorders>
              <w:top w:val="nil"/>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1</w:t>
            </w:r>
          </w:p>
        </w:tc>
      </w:tr>
      <w:tr w:rsidR="00A22E85" w:rsidRPr="00123BD8" w:rsidTr="00371EF1">
        <w:trPr>
          <w:trHeight w:val="288"/>
          <w:jc w:val="center"/>
        </w:trPr>
        <w:tc>
          <w:tcPr>
            <w:tcW w:w="1353" w:type="dxa"/>
            <w:tcBorders>
              <w:top w:val="nil"/>
              <w:left w:val="single" w:sz="8" w:space="0" w:color="auto"/>
              <w:bottom w:val="single" w:sz="8" w:space="0" w:color="auto"/>
              <w:right w:val="single" w:sz="8" w:space="0" w:color="auto"/>
            </w:tcBorders>
            <w:vAlign w:val="center"/>
          </w:tcPr>
          <w:p w:rsidR="00A22E85" w:rsidRPr="001D6512" w:rsidRDefault="00A22E85" w:rsidP="00C3606E">
            <w:pPr>
              <w:pStyle w:val="TableCell"/>
              <w:spacing w:before="60" w:after="60"/>
            </w:pPr>
            <w:r w:rsidRPr="001D6512">
              <w:t>kW</w:t>
            </w:r>
            <w:r w:rsidRPr="001D6512">
              <w:rPr>
                <w:i/>
                <w:iCs/>
                <w:vertAlign w:val="subscript"/>
              </w:rPr>
              <w:t>inst</w:t>
            </w:r>
          </w:p>
        </w:tc>
        <w:tc>
          <w:tcPr>
            <w:tcW w:w="1380" w:type="dxa"/>
            <w:tcBorders>
              <w:top w:val="nil"/>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Variable</w:t>
            </w:r>
          </w:p>
        </w:tc>
        <w:tc>
          <w:tcPr>
            <w:tcW w:w="3905" w:type="dxa"/>
            <w:tcBorders>
              <w:top w:val="nil"/>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Lighting Audit and Design Tool in Appendix C</w:t>
            </w:r>
          </w:p>
        </w:tc>
        <w:tc>
          <w:tcPr>
            <w:tcW w:w="2002" w:type="dxa"/>
            <w:tcBorders>
              <w:top w:val="nil"/>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1</w:t>
            </w:r>
          </w:p>
        </w:tc>
      </w:tr>
      <w:tr w:rsidR="00371EF1" w:rsidRPr="00123BD8" w:rsidTr="00BC49F4">
        <w:trPr>
          <w:trHeight w:val="288"/>
          <w:jc w:val="center"/>
        </w:trPr>
        <w:tc>
          <w:tcPr>
            <w:tcW w:w="1353" w:type="dxa"/>
            <w:vMerge w:val="restart"/>
            <w:tcBorders>
              <w:top w:val="nil"/>
              <w:left w:val="single" w:sz="8" w:space="0" w:color="auto"/>
              <w:right w:val="single" w:sz="8" w:space="0" w:color="auto"/>
            </w:tcBorders>
            <w:vAlign w:val="center"/>
          </w:tcPr>
          <w:p w:rsidR="00371EF1" w:rsidRPr="001D6512" w:rsidRDefault="00371EF1" w:rsidP="00C3606E">
            <w:pPr>
              <w:pStyle w:val="TableCell"/>
              <w:spacing w:before="60" w:after="60"/>
            </w:pPr>
            <w:r w:rsidRPr="001D6512">
              <w:t>SVG</w:t>
            </w:r>
          </w:p>
        </w:tc>
        <w:tc>
          <w:tcPr>
            <w:tcW w:w="1380" w:type="dxa"/>
            <w:vMerge w:val="restart"/>
            <w:tcBorders>
              <w:top w:val="nil"/>
              <w:left w:val="single" w:sz="8" w:space="0" w:color="auto"/>
              <w:right w:val="single" w:sz="8" w:space="0" w:color="auto"/>
            </w:tcBorders>
            <w:vAlign w:val="center"/>
          </w:tcPr>
          <w:p w:rsidR="00371EF1" w:rsidRPr="001D6512" w:rsidRDefault="00371EF1" w:rsidP="00C3606E">
            <w:pPr>
              <w:pStyle w:val="TableCell"/>
              <w:spacing w:before="60" w:after="60"/>
            </w:pPr>
            <w:r w:rsidRPr="001D6512">
              <w:t>Fixed</w:t>
            </w:r>
          </w:p>
        </w:tc>
        <w:tc>
          <w:tcPr>
            <w:tcW w:w="3905" w:type="dxa"/>
            <w:tcBorders>
              <w:top w:val="nil"/>
              <w:left w:val="nil"/>
              <w:bottom w:val="nil"/>
              <w:right w:val="single" w:sz="8" w:space="0" w:color="auto"/>
            </w:tcBorders>
            <w:vAlign w:val="center"/>
          </w:tcPr>
          <w:p w:rsidR="00371EF1" w:rsidRPr="001D6512" w:rsidRDefault="00371EF1" w:rsidP="00C3606E">
            <w:pPr>
              <w:pStyle w:val="TableCell"/>
              <w:spacing w:before="60" w:after="60"/>
            </w:pPr>
            <w:r w:rsidRPr="001D6512">
              <w:t>Occupancy Sensor, Controlled Hi-Low Fluorescent Control and controlled HID = 30%</w:t>
            </w:r>
            <w:r w:rsidRPr="001D6512">
              <w:rPr>
                <w:rStyle w:val="FootnoteReference"/>
                <w:rFonts w:cs="Arial"/>
                <w:color w:val="000000"/>
              </w:rPr>
              <w:footnoteReference w:id="143"/>
            </w:r>
          </w:p>
        </w:tc>
        <w:tc>
          <w:tcPr>
            <w:tcW w:w="2002" w:type="dxa"/>
            <w:vMerge w:val="restart"/>
            <w:tcBorders>
              <w:top w:val="nil"/>
              <w:left w:val="single" w:sz="8" w:space="0" w:color="auto"/>
              <w:bottom w:val="single" w:sz="8" w:space="0" w:color="000000"/>
              <w:right w:val="single" w:sz="8" w:space="0" w:color="auto"/>
            </w:tcBorders>
            <w:vAlign w:val="center"/>
          </w:tcPr>
          <w:p w:rsidR="00371EF1" w:rsidRPr="001D6512" w:rsidRDefault="00371EF1" w:rsidP="00C3606E">
            <w:pPr>
              <w:pStyle w:val="TableCell"/>
              <w:spacing w:before="60" w:after="60"/>
              <w:rPr>
                <w:color w:val="0000FF"/>
                <w:sz w:val="22"/>
                <w:szCs w:val="22"/>
                <w:u w:val="single"/>
              </w:rPr>
            </w:pPr>
            <w:r w:rsidRPr="001D6512">
              <w:t>2 and 3</w:t>
            </w:r>
          </w:p>
        </w:tc>
      </w:tr>
      <w:tr w:rsidR="00371EF1" w:rsidRPr="00123BD8" w:rsidTr="00BC49F4">
        <w:trPr>
          <w:trHeight w:val="288"/>
          <w:jc w:val="center"/>
        </w:trPr>
        <w:tc>
          <w:tcPr>
            <w:tcW w:w="1353" w:type="dxa"/>
            <w:vMerge/>
            <w:tcBorders>
              <w:left w:val="single" w:sz="8" w:space="0" w:color="auto"/>
              <w:right w:val="single" w:sz="8" w:space="0" w:color="auto"/>
            </w:tcBorders>
            <w:vAlign w:val="center"/>
          </w:tcPr>
          <w:p w:rsidR="00371EF1" w:rsidRPr="001D6512" w:rsidRDefault="00371EF1" w:rsidP="00C3606E">
            <w:pPr>
              <w:pStyle w:val="TableCell"/>
              <w:spacing w:before="60" w:after="60"/>
            </w:pPr>
          </w:p>
        </w:tc>
        <w:tc>
          <w:tcPr>
            <w:tcW w:w="1380" w:type="dxa"/>
            <w:vMerge/>
            <w:tcBorders>
              <w:left w:val="single" w:sz="8" w:space="0" w:color="auto"/>
              <w:right w:val="single" w:sz="8" w:space="0" w:color="auto"/>
            </w:tcBorders>
            <w:vAlign w:val="center"/>
          </w:tcPr>
          <w:p w:rsidR="00371EF1" w:rsidRPr="001D6512" w:rsidRDefault="00371EF1" w:rsidP="00C3606E">
            <w:pPr>
              <w:pStyle w:val="TableCell"/>
              <w:spacing w:before="60" w:after="60"/>
            </w:pPr>
          </w:p>
        </w:tc>
        <w:tc>
          <w:tcPr>
            <w:tcW w:w="3905" w:type="dxa"/>
            <w:tcBorders>
              <w:top w:val="nil"/>
              <w:left w:val="nil"/>
              <w:bottom w:val="single" w:sz="8" w:space="0" w:color="auto"/>
              <w:right w:val="single" w:sz="8" w:space="0" w:color="auto"/>
            </w:tcBorders>
            <w:vAlign w:val="center"/>
          </w:tcPr>
          <w:p w:rsidR="00371EF1" w:rsidRPr="001D6512" w:rsidRDefault="00371EF1" w:rsidP="00C3606E">
            <w:pPr>
              <w:pStyle w:val="TableCell"/>
              <w:spacing w:before="60" w:after="60"/>
            </w:pPr>
            <w:r w:rsidRPr="001D6512">
              <w:t>Daylight Dimmer System=50%</w:t>
            </w:r>
            <w:r w:rsidRPr="001D6512">
              <w:rPr>
                <w:rStyle w:val="FootnoteReference"/>
                <w:rFonts w:cs="Arial"/>
                <w:color w:val="000000"/>
              </w:rPr>
              <w:footnoteReference w:id="144"/>
            </w:r>
          </w:p>
        </w:tc>
        <w:tc>
          <w:tcPr>
            <w:tcW w:w="2002" w:type="dxa"/>
            <w:vMerge/>
            <w:tcBorders>
              <w:top w:val="nil"/>
              <w:left w:val="single" w:sz="8" w:space="0" w:color="auto"/>
              <w:bottom w:val="single" w:sz="8" w:space="0" w:color="000000"/>
              <w:right w:val="single" w:sz="8" w:space="0" w:color="auto"/>
            </w:tcBorders>
            <w:vAlign w:val="center"/>
          </w:tcPr>
          <w:p w:rsidR="00371EF1" w:rsidRPr="001D6512" w:rsidRDefault="00371EF1" w:rsidP="00C3606E">
            <w:pPr>
              <w:pStyle w:val="TableCell"/>
              <w:spacing w:before="60" w:after="60"/>
              <w:rPr>
                <w:color w:val="0000FF"/>
                <w:sz w:val="22"/>
                <w:szCs w:val="22"/>
                <w:u w:val="single"/>
              </w:rPr>
            </w:pPr>
          </w:p>
        </w:tc>
      </w:tr>
      <w:tr w:rsidR="00371EF1" w:rsidRPr="00123BD8" w:rsidTr="00BC49F4">
        <w:trPr>
          <w:trHeight w:val="288"/>
          <w:jc w:val="center"/>
        </w:trPr>
        <w:tc>
          <w:tcPr>
            <w:tcW w:w="1353" w:type="dxa"/>
            <w:vMerge/>
            <w:tcBorders>
              <w:left w:val="single" w:sz="8" w:space="0" w:color="auto"/>
              <w:bottom w:val="single" w:sz="8" w:space="0" w:color="000000"/>
              <w:right w:val="single" w:sz="8" w:space="0" w:color="auto"/>
            </w:tcBorders>
            <w:vAlign w:val="center"/>
          </w:tcPr>
          <w:p w:rsidR="00371EF1" w:rsidRPr="001D6512" w:rsidRDefault="00371EF1" w:rsidP="00C3606E">
            <w:pPr>
              <w:pStyle w:val="TableCell"/>
              <w:spacing w:before="60" w:after="60"/>
            </w:pPr>
          </w:p>
        </w:tc>
        <w:tc>
          <w:tcPr>
            <w:tcW w:w="1380" w:type="dxa"/>
            <w:vMerge/>
            <w:tcBorders>
              <w:left w:val="single" w:sz="8" w:space="0" w:color="auto"/>
              <w:bottom w:val="single" w:sz="8" w:space="0" w:color="000000"/>
              <w:right w:val="single" w:sz="8" w:space="0" w:color="auto"/>
            </w:tcBorders>
            <w:vAlign w:val="center"/>
          </w:tcPr>
          <w:p w:rsidR="00371EF1" w:rsidRPr="001D6512" w:rsidRDefault="00371EF1" w:rsidP="00C3606E">
            <w:pPr>
              <w:pStyle w:val="TableCell"/>
              <w:spacing w:before="60" w:after="60"/>
            </w:pPr>
          </w:p>
        </w:tc>
        <w:tc>
          <w:tcPr>
            <w:tcW w:w="3905" w:type="dxa"/>
            <w:tcBorders>
              <w:top w:val="nil"/>
              <w:left w:val="nil"/>
              <w:bottom w:val="single" w:sz="8" w:space="0" w:color="auto"/>
              <w:right w:val="single" w:sz="8" w:space="0" w:color="auto"/>
            </w:tcBorders>
            <w:vAlign w:val="center"/>
          </w:tcPr>
          <w:p w:rsidR="00371EF1" w:rsidRPr="001D6512" w:rsidRDefault="00371EF1" w:rsidP="00C3606E">
            <w:pPr>
              <w:pStyle w:val="TableCell"/>
              <w:spacing w:before="60" w:after="60"/>
            </w:pPr>
            <w:r w:rsidRPr="001D6512">
              <w:t>Based on metering</w:t>
            </w:r>
          </w:p>
        </w:tc>
        <w:tc>
          <w:tcPr>
            <w:tcW w:w="2002" w:type="dxa"/>
            <w:tcBorders>
              <w:top w:val="nil"/>
              <w:left w:val="single" w:sz="8" w:space="0" w:color="auto"/>
              <w:bottom w:val="single" w:sz="8" w:space="0" w:color="000000"/>
              <w:right w:val="single" w:sz="8" w:space="0" w:color="auto"/>
            </w:tcBorders>
            <w:vAlign w:val="center"/>
          </w:tcPr>
          <w:p w:rsidR="00371EF1" w:rsidRPr="001D6512" w:rsidRDefault="00371EF1" w:rsidP="00C3606E">
            <w:pPr>
              <w:pStyle w:val="TableCell"/>
              <w:spacing w:before="60" w:after="60"/>
              <w:rPr>
                <w:color w:val="0000FF"/>
                <w:sz w:val="22"/>
                <w:szCs w:val="22"/>
                <w:u w:val="single"/>
              </w:rPr>
            </w:pPr>
            <w:r w:rsidRPr="001D6512">
              <w:rPr>
                <w:color w:val="0000FF"/>
                <w:szCs w:val="18"/>
                <w:u w:val="single"/>
              </w:rPr>
              <w:t>EDC Data Gathering</w:t>
            </w:r>
          </w:p>
        </w:tc>
      </w:tr>
      <w:tr w:rsidR="00371EF1" w:rsidRPr="00123BD8" w:rsidTr="00371EF1">
        <w:trPr>
          <w:trHeight w:val="288"/>
          <w:jc w:val="center"/>
        </w:trPr>
        <w:tc>
          <w:tcPr>
            <w:tcW w:w="1353" w:type="dxa"/>
            <w:tcBorders>
              <w:top w:val="nil"/>
              <w:left w:val="single" w:sz="8" w:space="0" w:color="auto"/>
              <w:bottom w:val="single" w:sz="8" w:space="0" w:color="auto"/>
              <w:right w:val="single" w:sz="8" w:space="0" w:color="auto"/>
            </w:tcBorders>
            <w:vAlign w:val="center"/>
          </w:tcPr>
          <w:p w:rsidR="00371EF1" w:rsidRPr="001D6512" w:rsidRDefault="00371EF1" w:rsidP="00C3606E">
            <w:pPr>
              <w:pStyle w:val="TableCell"/>
              <w:spacing w:before="60" w:after="60"/>
            </w:pPr>
            <w:r w:rsidRPr="001D6512">
              <w:t>CF</w:t>
            </w:r>
          </w:p>
        </w:tc>
        <w:tc>
          <w:tcPr>
            <w:tcW w:w="1380" w:type="dxa"/>
            <w:tcBorders>
              <w:top w:val="nil"/>
              <w:left w:val="nil"/>
              <w:bottom w:val="single" w:sz="8" w:space="0" w:color="auto"/>
              <w:right w:val="single" w:sz="8" w:space="0" w:color="auto"/>
            </w:tcBorders>
            <w:vAlign w:val="center"/>
          </w:tcPr>
          <w:p w:rsidR="00371EF1" w:rsidRPr="001D6512" w:rsidRDefault="00371EF1" w:rsidP="00C3606E">
            <w:pPr>
              <w:pStyle w:val="TableCell"/>
              <w:spacing w:before="60" w:after="60"/>
            </w:pPr>
            <w:r w:rsidRPr="001D6512">
              <w:t>Variable</w:t>
            </w:r>
          </w:p>
        </w:tc>
        <w:tc>
          <w:tcPr>
            <w:tcW w:w="3905" w:type="dxa"/>
            <w:tcBorders>
              <w:top w:val="nil"/>
              <w:left w:val="nil"/>
              <w:bottom w:val="single" w:sz="8" w:space="0" w:color="auto"/>
              <w:right w:val="single" w:sz="8" w:space="0" w:color="auto"/>
            </w:tcBorders>
            <w:vAlign w:val="center"/>
          </w:tcPr>
          <w:p w:rsidR="00371EF1" w:rsidRPr="001D6512" w:rsidRDefault="00371EF1" w:rsidP="00C3606E">
            <w:pPr>
              <w:pStyle w:val="TableCell"/>
              <w:spacing w:before="60" w:after="60"/>
            </w:pPr>
            <w:r w:rsidRPr="001D6512">
              <w:t xml:space="preserve">By building type and size </w:t>
            </w:r>
          </w:p>
        </w:tc>
        <w:tc>
          <w:tcPr>
            <w:tcW w:w="2002" w:type="dxa"/>
            <w:tcBorders>
              <w:top w:val="nil"/>
              <w:left w:val="nil"/>
              <w:bottom w:val="single" w:sz="8" w:space="0" w:color="auto"/>
              <w:right w:val="single" w:sz="8" w:space="0" w:color="auto"/>
            </w:tcBorders>
            <w:vAlign w:val="center"/>
          </w:tcPr>
          <w:p w:rsidR="00371EF1" w:rsidRPr="001D6512" w:rsidRDefault="00371EF1" w:rsidP="00C3606E">
            <w:pPr>
              <w:pStyle w:val="TableCell"/>
              <w:spacing w:before="60" w:after="60"/>
            </w:pPr>
            <w:r w:rsidRPr="001D6512">
              <w:t xml:space="preserve">See </w:t>
            </w:r>
            <w:r w:rsidR="00274AB1">
              <w:fldChar w:fldCharType="begin"/>
            </w:r>
            <w:r w:rsidR="00274AB1">
              <w:instrText xml:space="preserve"> REF _Ref275556521 \h  \* MERGEFORMAT </w:instrText>
            </w:r>
            <w:r w:rsidR="00274AB1">
              <w:fldChar w:fldCharType="separate"/>
            </w:r>
            <w:r w:rsidR="00C0292F">
              <w:t xml:space="preserve">Table </w:t>
            </w:r>
            <w:r w:rsidR="00C0292F">
              <w:rPr>
                <w:noProof/>
              </w:rPr>
              <w:t>3</w:t>
            </w:r>
            <w:r w:rsidR="00C0292F">
              <w:rPr>
                <w:noProof/>
              </w:rPr>
              <w:noBreakHyphen/>
              <w:t>4</w:t>
            </w:r>
            <w:r w:rsidR="00274AB1">
              <w:fldChar w:fldCharType="end"/>
            </w:r>
          </w:p>
        </w:tc>
      </w:tr>
      <w:tr w:rsidR="00371EF1" w:rsidRPr="00123BD8" w:rsidTr="00371EF1">
        <w:trPr>
          <w:trHeight w:val="288"/>
          <w:jc w:val="center"/>
        </w:trPr>
        <w:tc>
          <w:tcPr>
            <w:tcW w:w="1353" w:type="dxa"/>
            <w:tcBorders>
              <w:top w:val="nil"/>
              <w:left w:val="single" w:sz="8" w:space="0" w:color="auto"/>
              <w:bottom w:val="single" w:sz="8" w:space="0" w:color="auto"/>
              <w:right w:val="single" w:sz="8" w:space="0" w:color="auto"/>
            </w:tcBorders>
            <w:vAlign w:val="center"/>
          </w:tcPr>
          <w:p w:rsidR="00371EF1" w:rsidRPr="001D6512" w:rsidRDefault="00371EF1" w:rsidP="00C3606E">
            <w:pPr>
              <w:pStyle w:val="TableCell"/>
              <w:spacing w:before="60" w:after="60"/>
            </w:pPr>
            <w:r w:rsidRPr="001D6512">
              <w:t>HOU</w:t>
            </w:r>
          </w:p>
        </w:tc>
        <w:tc>
          <w:tcPr>
            <w:tcW w:w="1380" w:type="dxa"/>
            <w:tcBorders>
              <w:top w:val="nil"/>
              <w:left w:val="nil"/>
              <w:bottom w:val="single" w:sz="8" w:space="0" w:color="auto"/>
              <w:right w:val="single" w:sz="8" w:space="0" w:color="auto"/>
            </w:tcBorders>
            <w:vAlign w:val="center"/>
          </w:tcPr>
          <w:p w:rsidR="00371EF1" w:rsidRPr="001D6512" w:rsidRDefault="00371EF1" w:rsidP="00C3606E">
            <w:pPr>
              <w:pStyle w:val="TableCell"/>
              <w:spacing w:before="60" w:after="60"/>
            </w:pPr>
            <w:r w:rsidRPr="001D6512">
              <w:t>Variable</w:t>
            </w:r>
          </w:p>
        </w:tc>
        <w:tc>
          <w:tcPr>
            <w:tcW w:w="3905" w:type="dxa"/>
            <w:tcBorders>
              <w:top w:val="nil"/>
              <w:left w:val="nil"/>
              <w:bottom w:val="single" w:sz="8" w:space="0" w:color="auto"/>
              <w:right w:val="single" w:sz="8" w:space="0" w:color="auto"/>
            </w:tcBorders>
            <w:vAlign w:val="center"/>
          </w:tcPr>
          <w:p w:rsidR="00371EF1" w:rsidRPr="001D6512" w:rsidRDefault="00371EF1" w:rsidP="00C3606E">
            <w:pPr>
              <w:pStyle w:val="TableCell"/>
              <w:spacing w:before="60" w:after="60"/>
            </w:pPr>
            <w:r w:rsidRPr="001D6512">
              <w:t xml:space="preserve">By building type and size </w:t>
            </w:r>
          </w:p>
        </w:tc>
        <w:tc>
          <w:tcPr>
            <w:tcW w:w="2002" w:type="dxa"/>
            <w:tcBorders>
              <w:top w:val="nil"/>
              <w:left w:val="nil"/>
              <w:bottom w:val="single" w:sz="8" w:space="0" w:color="auto"/>
              <w:right w:val="single" w:sz="8" w:space="0" w:color="auto"/>
            </w:tcBorders>
            <w:vAlign w:val="center"/>
          </w:tcPr>
          <w:p w:rsidR="00371EF1" w:rsidRPr="001D6512" w:rsidRDefault="00371EF1" w:rsidP="00C3606E">
            <w:pPr>
              <w:pStyle w:val="TableCell"/>
              <w:spacing w:before="60" w:after="60"/>
            </w:pPr>
            <w:r w:rsidRPr="001D6512">
              <w:t xml:space="preserve">See </w:t>
            </w:r>
            <w:r w:rsidR="00274AB1">
              <w:fldChar w:fldCharType="begin"/>
            </w:r>
            <w:r w:rsidR="00274AB1">
              <w:instrText xml:space="preserve"> REF _Ref275556521 \h  \* MERGEFORMAT </w:instrText>
            </w:r>
            <w:r w:rsidR="00274AB1">
              <w:fldChar w:fldCharType="separate"/>
            </w:r>
            <w:r w:rsidR="00C0292F">
              <w:t xml:space="preserve">Table </w:t>
            </w:r>
            <w:r w:rsidR="00C0292F">
              <w:rPr>
                <w:noProof/>
              </w:rPr>
              <w:t>3</w:t>
            </w:r>
            <w:r w:rsidR="00C0292F">
              <w:rPr>
                <w:noProof/>
              </w:rPr>
              <w:noBreakHyphen/>
              <w:t>4</w:t>
            </w:r>
            <w:r w:rsidR="00274AB1">
              <w:fldChar w:fldCharType="end"/>
            </w:r>
          </w:p>
        </w:tc>
      </w:tr>
      <w:tr w:rsidR="00371EF1" w:rsidRPr="00123BD8" w:rsidTr="00371EF1">
        <w:trPr>
          <w:trHeight w:val="288"/>
          <w:jc w:val="center"/>
        </w:trPr>
        <w:tc>
          <w:tcPr>
            <w:tcW w:w="1353" w:type="dxa"/>
            <w:tcBorders>
              <w:top w:val="nil"/>
              <w:left w:val="single" w:sz="8" w:space="0" w:color="auto"/>
              <w:bottom w:val="single" w:sz="8" w:space="0" w:color="auto"/>
              <w:right w:val="single" w:sz="8" w:space="0" w:color="auto"/>
            </w:tcBorders>
            <w:vAlign w:val="center"/>
          </w:tcPr>
          <w:p w:rsidR="00371EF1" w:rsidRPr="001D6512" w:rsidRDefault="00371EF1" w:rsidP="00C3606E">
            <w:pPr>
              <w:pStyle w:val="TableCell"/>
              <w:spacing w:before="60" w:after="60"/>
            </w:pPr>
            <w:r w:rsidRPr="001D6512">
              <w:t>IF</w:t>
            </w:r>
          </w:p>
        </w:tc>
        <w:tc>
          <w:tcPr>
            <w:tcW w:w="1380" w:type="dxa"/>
            <w:tcBorders>
              <w:top w:val="nil"/>
              <w:left w:val="nil"/>
              <w:bottom w:val="single" w:sz="8" w:space="0" w:color="auto"/>
              <w:right w:val="single" w:sz="8" w:space="0" w:color="auto"/>
            </w:tcBorders>
            <w:vAlign w:val="center"/>
          </w:tcPr>
          <w:p w:rsidR="00371EF1" w:rsidRPr="001D6512" w:rsidRDefault="00371EF1" w:rsidP="00C3606E">
            <w:pPr>
              <w:pStyle w:val="TableCell"/>
              <w:spacing w:before="60" w:after="60"/>
            </w:pPr>
            <w:r w:rsidRPr="001D6512">
              <w:t>Variable</w:t>
            </w:r>
          </w:p>
        </w:tc>
        <w:tc>
          <w:tcPr>
            <w:tcW w:w="3905" w:type="dxa"/>
            <w:tcBorders>
              <w:top w:val="nil"/>
              <w:left w:val="nil"/>
              <w:bottom w:val="single" w:sz="8" w:space="0" w:color="auto"/>
              <w:right w:val="single" w:sz="8" w:space="0" w:color="auto"/>
            </w:tcBorders>
            <w:vAlign w:val="center"/>
          </w:tcPr>
          <w:p w:rsidR="00371EF1" w:rsidRPr="001D6512" w:rsidRDefault="00371EF1" w:rsidP="00C3606E">
            <w:pPr>
              <w:pStyle w:val="TableCell"/>
              <w:spacing w:before="60" w:after="60"/>
            </w:pPr>
            <w:r w:rsidRPr="001D6512">
              <w:t xml:space="preserve">By building type and size </w:t>
            </w:r>
          </w:p>
        </w:tc>
        <w:tc>
          <w:tcPr>
            <w:tcW w:w="2002" w:type="dxa"/>
            <w:tcBorders>
              <w:top w:val="nil"/>
              <w:left w:val="nil"/>
              <w:bottom w:val="single" w:sz="8" w:space="0" w:color="auto"/>
              <w:right w:val="single" w:sz="8" w:space="0" w:color="auto"/>
            </w:tcBorders>
            <w:vAlign w:val="center"/>
          </w:tcPr>
          <w:p w:rsidR="00371EF1" w:rsidRPr="001D6512" w:rsidRDefault="00371EF1" w:rsidP="00C3606E">
            <w:pPr>
              <w:pStyle w:val="TableCell"/>
              <w:spacing w:before="60" w:after="60"/>
            </w:pPr>
            <w:r w:rsidRPr="001D6512">
              <w:t xml:space="preserve">See </w:t>
            </w:r>
            <w:r w:rsidR="007A1FB6" w:rsidRPr="001D6512">
              <w:fldChar w:fldCharType="begin"/>
            </w:r>
            <w:r w:rsidRPr="001D6512">
              <w:instrText xml:space="preserve"> REF _Ref275556722 \h </w:instrText>
            </w:r>
            <w:r w:rsidR="007A1FB6" w:rsidRPr="001D6512">
              <w:fldChar w:fldCharType="separate"/>
            </w:r>
            <w:r w:rsidR="00C0292F">
              <w:t xml:space="preserve">Table </w:t>
            </w:r>
            <w:r w:rsidR="00C0292F">
              <w:rPr>
                <w:noProof/>
              </w:rPr>
              <w:t>3</w:t>
            </w:r>
            <w:r w:rsidR="00C0292F">
              <w:noBreakHyphen/>
            </w:r>
            <w:r w:rsidR="00C0292F">
              <w:rPr>
                <w:noProof/>
              </w:rPr>
              <w:t>5</w:t>
            </w:r>
            <w:r w:rsidR="007A1FB6" w:rsidRPr="001D6512">
              <w:fldChar w:fldCharType="end"/>
            </w:r>
          </w:p>
        </w:tc>
      </w:tr>
    </w:tbl>
    <w:p w:rsidR="00A22E85" w:rsidRPr="001C4AD5" w:rsidRDefault="00A22E85" w:rsidP="00C3606E">
      <w:pPr>
        <w:spacing w:after="0"/>
      </w:pPr>
    </w:p>
    <w:p w:rsidR="00A22E85" w:rsidRPr="00BC5194" w:rsidRDefault="00A22E85" w:rsidP="00100EDF">
      <w:pPr>
        <w:rPr>
          <w:b/>
        </w:rPr>
      </w:pPr>
      <w:r w:rsidRPr="00BC5194">
        <w:rPr>
          <w:b/>
        </w:rPr>
        <w:t>Sources:</w:t>
      </w:r>
    </w:p>
    <w:p w:rsidR="00A22E85" w:rsidRPr="00100EDF" w:rsidRDefault="00A22E85" w:rsidP="0005632A">
      <w:pPr>
        <w:pStyle w:val="source1"/>
        <w:numPr>
          <w:ilvl w:val="0"/>
          <w:numId w:val="75"/>
        </w:numPr>
      </w:pPr>
      <w:r w:rsidRPr="00100EDF">
        <w:t>NYSERDA Table of Standard Wattages</w:t>
      </w:r>
    </w:p>
    <w:p w:rsidR="00A22E85" w:rsidRPr="00100EDF" w:rsidRDefault="00A22E85" w:rsidP="00100EDF">
      <w:pPr>
        <w:pStyle w:val="source1"/>
      </w:pPr>
      <w:r w:rsidRPr="00100EDF">
        <w:t>Levine, M., Geller, H., Koomey, J., Nadel S., Price, L., "Electricity Energy Use Efficiency: Experience with Technologies, Markets and Policies”  ACEEE, 1992</w:t>
      </w:r>
    </w:p>
    <w:p w:rsidR="00A22E85" w:rsidRPr="00100EDF" w:rsidRDefault="00A22E85" w:rsidP="00100EDF">
      <w:pPr>
        <w:pStyle w:val="source1"/>
      </w:pPr>
      <w:r w:rsidRPr="00100EDF">
        <w:t>Lighting control savings fractions consistent with current programs offered by National Grid, Northeast Utilities, Long Island Power Authority, NYSERDA, and Energy Efficient Vermont</w:t>
      </w:r>
      <w:r w:rsidR="001D7420" w:rsidRPr="00100EDF">
        <w:rPr>
          <w:rStyle w:val="FootnoteReference"/>
          <w:rFonts w:cs="Arial"/>
          <w:vertAlign w:val="baseline"/>
        </w:rPr>
        <w:footnoteReference w:id="145"/>
      </w:r>
      <w:r w:rsidRPr="00100EDF">
        <w:t>.</w:t>
      </w:r>
      <w:r w:rsidR="001D7420" w:rsidRPr="00100EDF">
        <w:rPr>
          <w:rStyle w:val="FootnoteReference"/>
          <w:rFonts w:cs="Arial"/>
          <w:vertAlign w:val="baseline"/>
        </w:rPr>
        <w:t xml:space="preserve"> </w:t>
      </w:r>
    </w:p>
    <w:p w:rsidR="00CE53CB" w:rsidRDefault="00D0276D" w:rsidP="00E568D4">
      <w:pPr>
        <w:pStyle w:val="Heading4"/>
      </w:pPr>
      <w:bookmarkStart w:id="543" w:name="_Ref248897683"/>
      <w:bookmarkStart w:id="544" w:name="_Toc249174105"/>
      <w:r>
        <w:lastRenderedPageBreak/>
        <w:t xml:space="preserve">LED </w:t>
      </w:r>
      <w:r w:rsidRPr="00DA6F5F">
        <w:t>Traffic Signal</w:t>
      </w:r>
      <w:r>
        <w:t>s</w:t>
      </w:r>
      <w:r w:rsidRPr="00DA6F5F">
        <w:t xml:space="preserve"> </w:t>
      </w:r>
    </w:p>
    <w:p w:rsidR="00B85BDF" w:rsidRPr="00781BA3" w:rsidRDefault="00D0276D" w:rsidP="00BA4082">
      <w:pPr>
        <w:pStyle w:val="BodyText"/>
        <w:keepNext/>
      </w:pPr>
      <w:r w:rsidRPr="00AC0964">
        <w:t xml:space="preserve">Traffic signal lighting improvements use the lighting algorithms with the assumptions set forth </w:t>
      </w:r>
      <w:r w:rsidR="00DA645E">
        <w:t>below</w:t>
      </w:r>
      <w:r w:rsidRPr="00DA6F5F">
        <w:t>.</w:t>
      </w:r>
      <w:r w:rsidR="00781BA3">
        <w:t xml:space="preserve"> Projects implementing LED traffic signs </w:t>
      </w:r>
      <w:r w:rsidR="001D7420">
        <w:t>and no other lighting measures</w:t>
      </w:r>
      <w:r w:rsidR="00781BA3">
        <w:t xml:space="preserve"> are not required to fill out Appendix C because the assumptions effectively deem savings.</w:t>
      </w:r>
    </w:p>
    <w:p w:rsidR="00DA645E" w:rsidRDefault="00DA645E" w:rsidP="00B20F6B">
      <w:pPr>
        <w:pStyle w:val="Caption"/>
      </w:pPr>
      <w:bookmarkStart w:id="545" w:name="_Toc310875559"/>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7</w:t>
      </w:r>
      <w:r w:rsidR="00274AB1">
        <w:rPr>
          <w:noProof/>
        </w:rPr>
        <w:fldChar w:fldCharType="end"/>
      </w:r>
      <w:r>
        <w:t>: Assumptions for LED Traffic Signals</w:t>
      </w:r>
      <w:bookmarkEnd w:id="545"/>
    </w:p>
    <w:tbl>
      <w:tblPr>
        <w:tblW w:w="5000" w:type="pct"/>
        <w:jc w:val="center"/>
        <w:tblLook w:val="04A0" w:firstRow="1" w:lastRow="0" w:firstColumn="1" w:lastColumn="0" w:noHBand="0" w:noVBand="1"/>
      </w:tblPr>
      <w:tblGrid>
        <w:gridCol w:w="1817"/>
        <w:gridCol w:w="3511"/>
        <w:gridCol w:w="1815"/>
        <w:gridCol w:w="1713"/>
      </w:tblGrid>
      <w:tr w:rsidR="00D0276D" w:rsidRPr="00AC0964" w:rsidTr="00304D07">
        <w:trPr>
          <w:trHeight w:val="288"/>
          <w:jc w:val="center"/>
        </w:trPr>
        <w:tc>
          <w:tcPr>
            <w:tcW w:w="1026" w:type="pct"/>
            <w:tcBorders>
              <w:top w:val="single" w:sz="8" w:space="0" w:color="auto"/>
              <w:left w:val="single" w:sz="8" w:space="0" w:color="auto"/>
              <w:bottom w:val="single" w:sz="8" w:space="0" w:color="auto"/>
              <w:right w:val="single" w:sz="8" w:space="0" w:color="auto"/>
            </w:tcBorders>
            <w:shd w:val="pct25" w:color="auto" w:fill="auto"/>
            <w:vAlign w:val="center"/>
          </w:tcPr>
          <w:p w:rsidR="00D0276D" w:rsidRPr="001D6512" w:rsidRDefault="00D0276D" w:rsidP="00C3606E">
            <w:pPr>
              <w:pStyle w:val="TableCell"/>
              <w:spacing w:before="60" w:after="60"/>
              <w:rPr>
                <w:b/>
              </w:rPr>
            </w:pPr>
            <w:r w:rsidRPr="001D6512">
              <w:rPr>
                <w:b/>
              </w:rPr>
              <w:t>Component</w:t>
            </w:r>
          </w:p>
        </w:tc>
        <w:tc>
          <w:tcPr>
            <w:tcW w:w="1982" w:type="pct"/>
            <w:tcBorders>
              <w:top w:val="single" w:sz="8" w:space="0" w:color="auto"/>
              <w:left w:val="nil"/>
              <w:bottom w:val="single" w:sz="8" w:space="0" w:color="auto"/>
              <w:right w:val="single" w:sz="8" w:space="0" w:color="auto"/>
            </w:tcBorders>
            <w:shd w:val="pct25" w:color="auto" w:fill="auto"/>
            <w:vAlign w:val="center"/>
          </w:tcPr>
          <w:p w:rsidR="00D0276D" w:rsidRPr="001D6512" w:rsidRDefault="00D0276D" w:rsidP="00C3606E">
            <w:pPr>
              <w:pStyle w:val="TableCell"/>
              <w:spacing w:before="60" w:after="60"/>
              <w:rPr>
                <w:b/>
              </w:rPr>
            </w:pPr>
            <w:r w:rsidRPr="001D6512">
              <w:rPr>
                <w:b/>
              </w:rPr>
              <w:t>Type</w:t>
            </w:r>
          </w:p>
        </w:tc>
        <w:tc>
          <w:tcPr>
            <w:tcW w:w="1025" w:type="pct"/>
            <w:tcBorders>
              <w:top w:val="single" w:sz="8" w:space="0" w:color="auto"/>
              <w:left w:val="nil"/>
              <w:bottom w:val="single" w:sz="8" w:space="0" w:color="auto"/>
              <w:right w:val="single" w:sz="8" w:space="0" w:color="auto"/>
            </w:tcBorders>
            <w:shd w:val="pct25" w:color="auto" w:fill="auto"/>
            <w:vAlign w:val="center"/>
          </w:tcPr>
          <w:p w:rsidR="00D0276D" w:rsidRPr="001D6512" w:rsidRDefault="00D0276D" w:rsidP="00C3606E">
            <w:pPr>
              <w:pStyle w:val="TableCell"/>
              <w:spacing w:before="60" w:after="60"/>
              <w:rPr>
                <w:b/>
              </w:rPr>
            </w:pPr>
            <w:r w:rsidRPr="001D6512">
              <w:rPr>
                <w:b/>
              </w:rPr>
              <w:t>Value</w:t>
            </w:r>
          </w:p>
        </w:tc>
        <w:tc>
          <w:tcPr>
            <w:tcW w:w="967" w:type="pct"/>
            <w:tcBorders>
              <w:top w:val="single" w:sz="8" w:space="0" w:color="auto"/>
              <w:left w:val="nil"/>
              <w:bottom w:val="single" w:sz="8" w:space="0" w:color="auto"/>
              <w:right w:val="single" w:sz="8" w:space="0" w:color="auto"/>
            </w:tcBorders>
            <w:shd w:val="pct25" w:color="auto" w:fill="auto"/>
            <w:vAlign w:val="center"/>
          </w:tcPr>
          <w:p w:rsidR="00D0276D" w:rsidRPr="001D6512" w:rsidRDefault="00D0276D" w:rsidP="00C3606E">
            <w:pPr>
              <w:pStyle w:val="TableCell"/>
              <w:spacing w:before="60" w:after="60"/>
              <w:rPr>
                <w:b/>
              </w:rPr>
            </w:pPr>
            <w:r w:rsidRPr="001D6512">
              <w:rPr>
                <w:b/>
              </w:rPr>
              <w:t>Source</w:t>
            </w:r>
          </w:p>
        </w:tc>
      </w:tr>
      <w:tr w:rsidR="00D0276D" w:rsidRPr="00AC0964" w:rsidTr="00304D07">
        <w:trPr>
          <w:trHeight w:val="288"/>
          <w:jc w:val="center"/>
        </w:trPr>
        <w:tc>
          <w:tcPr>
            <w:tcW w:w="1026" w:type="pct"/>
            <w:tcBorders>
              <w:top w:val="nil"/>
              <w:left w:val="single" w:sz="8" w:space="0" w:color="auto"/>
              <w:bottom w:val="single" w:sz="8" w:space="0" w:color="auto"/>
              <w:right w:val="single" w:sz="8" w:space="0" w:color="auto"/>
            </w:tcBorders>
            <w:shd w:val="clear" w:color="auto" w:fill="auto"/>
            <w:vAlign w:val="center"/>
          </w:tcPr>
          <w:p w:rsidR="00D0276D" w:rsidRPr="001D6512" w:rsidRDefault="00D0276D" w:rsidP="00C3606E">
            <w:pPr>
              <w:pStyle w:val="TableCell"/>
              <w:spacing w:before="60" w:after="60"/>
            </w:pPr>
            <w:r w:rsidRPr="001D6512">
              <w:sym w:font="Symbol" w:char="F044"/>
            </w:r>
            <w:r w:rsidRPr="001D6512">
              <w:t>kW</w:t>
            </w:r>
          </w:p>
        </w:tc>
        <w:tc>
          <w:tcPr>
            <w:tcW w:w="1982" w:type="pct"/>
            <w:tcBorders>
              <w:top w:val="nil"/>
              <w:left w:val="nil"/>
              <w:bottom w:val="single" w:sz="8" w:space="0" w:color="auto"/>
              <w:right w:val="single" w:sz="8" w:space="0" w:color="auto"/>
            </w:tcBorders>
            <w:shd w:val="clear" w:color="auto" w:fill="auto"/>
            <w:vAlign w:val="center"/>
          </w:tcPr>
          <w:p w:rsidR="00D0276D" w:rsidRPr="001D6512" w:rsidRDefault="00D0276D" w:rsidP="00C3606E">
            <w:pPr>
              <w:pStyle w:val="TableCell"/>
              <w:spacing w:before="60" w:after="60"/>
            </w:pPr>
            <w:r w:rsidRPr="001D6512">
              <w:t>Variable</w:t>
            </w:r>
          </w:p>
        </w:tc>
        <w:tc>
          <w:tcPr>
            <w:tcW w:w="1025" w:type="pct"/>
            <w:tcBorders>
              <w:top w:val="nil"/>
              <w:left w:val="nil"/>
              <w:bottom w:val="single" w:sz="8" w:space="0" w:color="auto"/>
              <w:right w:val="single" w:sz="8" w:space="0" w:color="auto"/>
            </w:tcBorders>
            <w:shd w:val="clear" w:color="auto" w:fill="auto"/>
            <w:noWrap/>
            <w:vAlign w:val="center"/>
          </w:tcPr>
          <w:p w:rsidR="00D0276D" w:rsidRPr="001D6512" w:rsidRDefault="00D0276D" w:rsidP="00896814">
            <w:pPr>
              <w:pStyle w:val="TableCell"/>
              <w:spacing w:before="60" w:after="60"/>
            </w:pPr>
            <w:r w:rsidRPr="001D6512">
              <w:t xml:space="preserve">See </w:t>
            </w:r>
            <w:r w:rsidR="007A1FB6" w:rsidRPr="001D6512">
              <w:fldChar w:fldCharType="begin"/>
            </w:r>
            <w:r w:rsidR="00896814" w:rsidRPr="001D6512">
              <w:instrText xml:space="preserve"> REF _Ref295989388 \h </w:instrText>
            </w:r>
            <w:r w:rsidR="007A1FB6" w:rsidRPr="001D6512">
              <w:fldChar w:fldCharType="separate"/>
            </w:r>
            <w:r w:rsidR="00C0292F">
              <w:t xml:space="preserve">Table </w:t>
            </w:r>
            <w:r w:rsidR="00C0292F">
              <w:rPr>
                <w:noProof/>
              </w:rPr>
              <w:t>3</w:t>
            </w:r>
            <w:r w:rsidR="00C0292F">
              <w:noBreakHyphen/>
            </w:r>
            <w:r w:rsidR="00C0292F">
              <w:rPr>
                <w:noProof/>
              </w:rPr>
              <w:t>8</w:t>
            </w:r>
            <w:r w:rsidR="007A1FB6" w:rsidRPr="001D6512">
              <w:fldChar w:fldCharType="end"/>
            </w:r>
          </w:p>
        </w:tc>
        <w:tc>
          <w:tcPr>
            <w:tcW w:w="967" w:type="pct"/>
            <w:tcBorders>
              <w:top w:val="nil"/>
              <w:left w:val="nil"/>
              <w:bottom w:val="single" w:sz="8" w:space="0" w:color="auto"/>
              <w:right w:val="single" w:sz="8" w:space="0" w:color="auto"/>
            </w:tcBorders>
            <w:shd w:val="clear" w:color="auto" w:fill="auto"/>
            <w:vAlign w:val="center"/>
          </w:tcPr>
          <w:p w:rsidR="00D0276D" w:rsidRPr="001D6512" w:rsidRDefault="00D0276D" w:rsidP="00C3606E">
            <w:pPr>
              <w:pStyle w:val="TableCell"/>
              <w:spacing w:before="60" w:after="60"/>
            </w:pPr>
            <w:r w:rsidRPr="001D6512">
              <w:t>PEC</w:t>
            </w:r>
            <w:r w:rsidR="005F26AF" w:rsidRPr="001D6512">
              <w:t>O</w:t>
            </w:r>
          </w:p>
        </w:tc>
      </w:tr>
      <w:tr w:rsidR="00D0276D" w:rsidRPr="00AC0964" w:rsidTr="00304D07">
        <w:trPr>
          <w:trHeight w:val="288"/>
          <w:jc w:val="center"/>
        </w:trPr>
        <w:tc>
          <w:tcPr>
            <w:tcW w:w="1026" w:type="pct"/>
            <w:vMerge w:val="restart"/>
            <w:tcBorders>
              <w:top w:val="nil"/>
              <w:left w:val="single" w:sz="8" w:space="0" w:color="auto"/>
              <w:bottom w:val="single" w:sz="8" w:space="0" w:color="000000"/>
              <w:right w:val="single" w:sz="8" w:space="0" w:color="auto"/>
            </w:tcBorders>
            <w:shd w:val="clear" w:color="auto" w:fill="auto"/>
            <w:vAlign w:val="center"/>
          </w:tcPr>
          <w:p w:rsidR="00D0276D" w:rsidRPr="001D6512" w:rsidRDefault="00D0276D" w:rsidP="00C3606E">
            <w:pPr>
              <w:pStyle w:val="TableCell"/>
              <w:spacing w:before="60" w:after="60"/>
            </w:pPr>
            <w:r w:rsidRPr="001D6512">
              <w:t>CF</w:t>
            </w:r>
          </w:p>
        </w:tc>
        <w:tc>
          <w:tcPr>
            <w:tcW w:w="1982" w:type="pct"/>
            <w:tcBorders>
              <w:top w:val="nil"/>
              <w:left w:val="nil"/>
              <w:bottom w:val="nil"/>
              <w:right w:val="single" w:sz="8" w:space="0" w:color="auto"/>
            </w:tcBorders>
            <w:shd w:val="clear" w:color="auto" w:fill="auto"/>
            <w:vAlign w:val="center"/>
          </w:tcPr>
          <w:p w:rsidR="00D0276D" w:rsidRPr="001D6512" w:rsidRDefault="00D0276D" w:rsidP="00C3606E">
            <w:pPr>
              <w:pStyle w:val="TableCell"/>
              <w:spacing w:before="60" w:after="60"/>
            </w:pPr>
            <w:r w:rsidRPr="001D6512">
              <w:t>Red Round</w:t>
            </w:r>
          </w:p>
        </w:tc>
        <w:tc>
          <w:tcPr>
            <w:tcW w:w="1025" w:type="pct"/>
            <w:tcBorders>
              <w:top w:val="nil"/>
              <w:left w:val="nil"/>
              <w:bottom w:val="nil"/>
              <w:right w:val="single" w:sz="8" w:space="0" w:color="auto"/>
            </w:tcBorders>
            <w:shd w:val="clear" w:color="auto" w:fill="auto"/>
            <w:vAlign w:val="center"/>
          </w:tcPr>
          <w:p w:rsidR="00D0276D" w:rsidRPr="001D6512" w:rsidRDefault="00D0276D" w:rsidP="00C3606E">
            <w:pPr>
              <w:pStyle w:val="TableCell"/>
              <w:spacing w:before="60" w:after="60"/>
            </w:pPr>
            <w:r w:rsidRPr="001D6512">
              <w:t>55%</w:t>
            </w:r>
          </w:p>
        </w:tc>
        <w:tc>
          <w:tcPr>
            <w:tcW w:w="967" w:type="pct"/>
            <w:vMerge w:val="restart"/>
            <w:tcBorders>
              <w:top w:val="nil"/>
              <w:left w:val="single" w:sz="8" w:space="0" w:color="auto"/>
              <w:bottom w:val="single" w:sz="8" w:space="0" w:color="000000"/>
              <w:right w:val="single" w:sz="8" w:space="0" w:color="auto"/>
            </w:tcBorders>
            <w:shd w:val="clear" w:color="auto" w:fill="auto"/>
            <w:vAlign w:val="center"/>
          </w:tcPr>
          <w:p w:rsidR="00D0276D" w:rsidRPr="001D6512" w:rsidRDefault="00D0276D" w:rsidP="00C3606E">
            <w:pPr>
              <w:pStyle w:val="TableCell"/>
              <w:spacing w:before="60" w:after="60"/>
            </w:pPr>
            <w:r w:rsidRPr="001D6512">
              <w:t>PEC</w:t>
            </w:r>
            <w:r w:rsidR="005F26AF" w:rsidRPr="001D6512">
              <w:t>O</w:t>
            </w:r>
          </w:p>
        </w:tc>
      </w:tr>
      <w:tr w:rsidR="00D0276D" w:rsidRPr="00AC0964" w:rsidTr="00304D07">
        <w:trPr>
          <w:trHeight w:val="288"/>
          <w:jc w:val="center"/>
        </w:trPr>
        <w:tc>
          <w:tcPr>
            <w:tcW w:w="1026" w:type="pct"/>
            <w:vMerge/>
            <w:tcBorders>
              <w:top w:val="nil"/>
              <w:left w:val="single" w:sz="8" w:space="0" w:color="auto"/>
              <w:bottom w:val="single" w:sz="8" w:space="0" w:color="000000"/>
              <w:right w:val="single" w:sz="8" w:space="0" w:color="auto"/>
            </w:tcBorders>
            <w:vAlign w:val="center"/>
          </w:tcPr>
          <w:p w:rsidR="00D0276D" w:rsidRPr="001D6512" w:rsidRDefault="00D0276D" w:rsidP="00C3606E">
            <w:pPr>
              <w:pStyle w:val="TableCell"/>
              <w:spacing w:before="60" w:after="60"/>
            </w:pPr>
          </w:p>
        </w:tc>
        <w:tc>
          <w:tcPr>
            <w:tcW w:w="1982" w:type="pct"/>
            <w:tcBorders>
              <w:top w:val="nil"/>
              <w:left w:val="nil"/>
              <w:bottom w:val="nil"/>
              <w:right w:val="single" w:sz="8" w:space="0" w:color="auto"/>
            </w:tcBorders>
            <w:shd w:val="clear" w:color="auto" w:fill="auto"/>
            <w:vAlign w:val="center"/>
          </w:tcPr>
          <w:p w:rsidR="00D0276D" w:rsidRPr="001D6512" w:rsidRDefault="00D0276D" w:rsidP="00C3606E">
            <w:pPr>
              <w:pStyle w:val="TableCell"/>
              <w:spacing w:before="60" w:after="60"/>
            </w:pPr>
            <w:r w:rsidRPr="001D6512">
              <w:t>Yellow Round</w:t>
            </w:r>
          </w:p>
        </w:tc>
        <w:tc>
          <w:tcPr>
            <w:tcW w:w="1025" w:type="pct"/>
            <w:tcBorders>
              <w:top w:val="nil"/>
              <w:left w:val="nil"/>
              <w:bottom w:val="nil"/>
              <w:right w:val="single" w:sz="8" w:space="0" w:color="auto"/>
            </w:tcBorders>
            <w:shd w:val="clear" w:color="auto" w:fill="auto"/>
            <w:vAlign w:val="center"/>
          </w:tcPr>
          <w:p w:rsidR="00D0276D" w:rsidRPr="001D6512" w:rsidRDefault="00D0276D" w:rsidP="00C3606E">
            <w:pPr>
              <w:pStyle w:val="TableCell"/>
              <w:spacing w:before="60" w:after="60"/>
            </w:pPr>
            <w:r w:rsidRPr="001D6512">
              <w:t>2%</w:t>
            </w:r>
          </w:p>
        </w:tc>
        <w:tc>
          <w:tcPr>
            <w:tcW w:w="967" w:type="pct"/>
            <w:vMerge/>
            <w:tcBorders>
              <w:top w:val="nil"/>
              <w:left w:val="single" w:sz="8" w:space="0" w:color="auto"/>
              <w:bottom w:val="single" w:sz="8" w:space="0" w:color="000000"/>
              <w:right w:val="single" w:sz="8" w:space="0" w:color="auto"/>
            </w:tcBorders>
            <w:vAlign w:val="center"/>
          </w:tcPr>
          <w:p w:rsidR="00D0276D" w:rsidRPr="001D6512" w:rsidRDefault="00D0276D" w:rsidP="00C3606E">
            <w:pPr>
              <w:pStyle w:val="TableCell"/>
              <w:spacing w:before="60" w:after="60"/>
            </w:pPr>
          </w:p>
        </w:tc>
      </w:tr>
      <w:tr w:rsidR="00D0276D" w:rsidRPr="00AC0964" w:rsidTr="00304D07">
        <w:trPr>
          <w:trHeight w:val="288"/>
          <w:jc w:val="center"/>
        </w:trPr>
        <w:tc>
          <w:tcPr>
            <w:tcW w:w="1026" w:type="pct"/>
            <w:vMerge/>
            <w:tcBorders>
              <w:top w:val="nil"/>
              <w:left w:val="single" w:sz="8" w:space="0" w:color="auto"/>
              <w:bottom w:val="single" w:sz="8" w:space="0" w:color="000000"/>
              <w:right w:val="single" w:sz="8" w:space="0" w:color="auto"/>
            </w:tcBorders>
            <w:vAlign w:val="center"/>
          </w:tcPr>
          <w:p w:rsidR="00D0276D" w:rsidRPr="001D6512" w:rsidRDefault="00D0276D" w:rsidP="00C3606E">
            <w:pPr>
              <w:pStyle w:val="TableCell"/>
              <w:spacing w:before="60" w:after="60"/>
            </w:pPr>
          </w:p>
        </w:tc>
        <w:tc>
          <w:tcPr>
            <w:tcW w:w="1982" w:type="pct"/>
            <w:tcBorders>
              <w:top w:val="nil"/>
              <w:left w:val="nil"/>
              <w:bottom w:val="nil"/>
              <w:right w:val="single" w:sz="8" w:space="0" w:color="auto"/>
            </w:tcBorders>
            <w:shd w:val="clear" w:color="auto" w:fill="auto"/>
            <w:vAlign w:val="center"/>
          </w:tcPr>
          <w:p w:rsidR="00D0276D" w:rsidRPr="001D6512" w:rsidRDefault="00D0276D" w:rsidP="00C3606E">
            <w:pPr>
              <w:pStyle w:val="TableCell"/>
              <w:spacing w:before="60" w:after="60"/>
            </w:pPr>
            <w:r w:rsidRPr="001D6512">
              <w:t>Round Green</w:t>
            </w:r>
          </w:p>
        </w:tc>
        <w:tc>
          <w:tcPr>
            <w:tcW w:w="1025" w:type="pct"/>
            <w:tcBorders>
              <w:top w:val="nil"/>
              <w:left w:val="nil"/>
              <w:bottom w:val="nil"/>
              <w:right w:val="single" w:sz="8" w:space="0" w:color="auto"/>
            </w:tcBorders>
            <w:shd w:val="clear" w:color="auto" w:fill="auto"/>
            <w:vAlign w:val="center"/>
          </w:tcPr>
          <w:p w:rsidR="00D0276D" w:rsidRPr="001D6512" w:rsidRDefault="00D0276D" w:rsidP="00C3606E">
            <w:pPr>
              <w:pStyle w:val="TableCell"/>
              <w:spacing w:before="60" w:after="60"/>
            </w:pPr>
            <w:r w:rsidRPr="001D6512">
              <w:t>43%</w:t>
            </w:r>
          </w:p>
        </w:tc>
        <w:tc>
          <w:tcPr>
            <w:tcW w:w="967" w:type="pct"/>
            <w:vMerge/>
            <w:tcBorders>
              <w:top w:val="nil"/>
              <w:left w:val="single" w:sz="8" w:space="0" w:color="auto"/>
              <w:bottom w:val="single" w:sz="8" w:space="0" w:color="000000"/>
              <w:right w:val="single" w:sz="8" w:space="0" w:color="auto"/>
            </w:tcBorders>
            <w:vAlign w:val="center"/>
          </w:tcPr>
          <w:p w:rsidR="00D0276D" w:rsidRPr="001D6512" w:rsidRDefault="00D0276D" w:rsidP="00C3606E">
            <w:pPr>
              <w:pStyle w:val="TableCell"/>
              <w:spacing w:before="60" w:after="60"/>
            </w:pPr>
          </w:p>
        </w:tc>
      </w:tr>
      <w:tr w:rsidR="00D0276D" w:rsidRPr="00AC0964" w:rsidTr="00304D07">
        <w:trPr>
          <w:trHeight w:val="288"/>
          <w:jc w:val="center"/>
        </w:trPr>
        <w:tc>
          <w:tcPr>
            <w:tcW w:w="1026" w:type="pct"/>
            <w:vMerge/>
            <w:tcBorders>
              <w:top w:val="nil"/>
              <w:left w:val="single" w:sz="8" w:space="0" w:color="auto"/>
              <w:bottom w:val="single" w:sz="8" w:space="0" w:color="000000"/>
              <w:right w:val="single" w:sz="8" w:space="0" w:color="auto"/>
            </w:tcBorders>
            <w:vAlign w:val="center"/>
          </w:tcPr>
          <w:p w:rsidR="00D0276D" w:rsidRPr="001D6512" w:rsidRDefault="00D0276D" w:rsidP="00C3606E">
            <w:pPr>
              <w:pStyle w:val="TableCell"/>
              <w:spacing w:before="60" w:after="60"/>
            </w:pPr>
          </w:p>
        </w:tc>
        <w:tc>
          <w:tcPr>
            <w:tcW w:w="1982" w:type="pct"/>
            <w:tcBorders>
              <w:top w:val="nil"/>
              <w:left w:val="nil"/>
              <w:bottom w:val="nil"/>
              <w:right w:val="single" w:sz="8" w:space="0" w:color="auto"/>
            </w:tcBorders>
            <w:shd w:val="clear" w:color="auto" w:fill="auto"/>
            <w:vAlign w:val="center"/>
          </w:tcPr>
          <w:p w:rsidR="00D0276D" w:rsidRPr="001D6512" w:rsidRDefault="00D0276D" w:rsidP="00C3606E">
            <w:pPr>
              <w:pStyle w:val="TableCell"/>
              <w:spacing w:before="60" w:after="60"/>
            </w:pPr>
            <w:r w:rsidRPr="001D6512">
              <w:t>Turn Yellow</w:t>
            </w:r>
          </w:p>
        </w:tc>
        <w:tc>
          <w:tcPr>
            <w:tcW w:w="1025" w:type="pct"/>
            <w:tcBorders>
              <w:top w:val="nil"/>
              <w:left w:val="nil"/>
              <w:bottom w:val="nil"/>
              <w:right w:val="single" w:sz="8" w:space="0" w:color="auto"/>
            </w:tcBorders>
            <w:shd w:val="clear" w:color="auto" w:fill="auto"/>
            <w:vAlign w:val="center"/>
          </w:tcPr>
          <w:p w:rsidR="00D0276D" w:rsidRPr="001D6512" w:rsidRDefault="00D0276D" w:rsidP="00C3606E">
            <w:pPr>
              <w:pStyle w:val="TableCell"/>
              <w:spacing w:before="60" w:after="60"/>
            </w:pPr>
            <w:r w:rsidRPr="001D6512">
              <w:t>8%</w:t>
            </w:r>
          </w:p>
        </w:tc>
        <w:tc>
          <w:tcPr>
            <w:tcW w:w="967" w:type="pct"/>
            <w:vMerge/>
            <w:tcBorders>
              <w:top w:val="nil"/>
              <w:left w:val="single" w:sz="8" w:space="0" w:color="auto"/>
              <w:bottom w:val="single" w:sz="8" w:space="0" w:color="000000"/>
              <w:right w:val="single" w:sz="8" w:space="0" w:color="auto"/>
            </w:tcBorders>
            <w:vAlign w:val="center"/>
          </w:tcPr>
          <w:p w:rsidR="00D0276D" w:rsidRPr="001D6512" w:rsidRDefault="00D0276D" w:rsidP="00C3606E">
            <w:pPr>
              <w:pStyle w:val="TableCell"/>
              <w:spacing w:before="60" w:after="60"/>
            </w:pPr>
          </w:p>
        </w:tc>
      </w:tr>
      <w:tr w:rsidR="00D0276D" w:rsidRPr="00AC0964" w:rsidTr="00304D07">
        <w:trPr>
          <w:trHeight w:val="288"/>
          <w:jc w:val="center"/>
        </w:trPr>
        <w:tc>
          <w:tcPr>
            <w:tcW w:w="1026" w:type="pct"/>
            <w:vMerge/>
            <w:tcBorders>
              <w:top w:val="nil"/>
              <w:left w:val="single" w:sz="8" w:space="0" w:color="auto"/>
              <w:bottom w:val="single" w:sz="8" w:space="0" w:color="000000"/>
              <w:right w:val="single" w:sz="8" w:space="0" w:color="auto"/>
            </w:tcBorders>
            <w:vAlign w:val="center"/>
          </w:tcPr>
          <w:p w:rsidR="00D0276D" w:rsidRPr="001D6512" w:rsidRDefault="00D0276D" w:rsidP="00C3606E">
            <w:pPr>
              <w:pStyle w:val="TableCell"/>
              <w:spacing w:before="60" w:after="60"/>
            </w:pPr>
          </w:p>
        </w:tc>
        <w:tc>
          <w:tcPr>
            <w:tcW w:w="1982" w:type="pct"/>
            <w:tcBorders>
              <w:top w:val="nil"/>
              <w:left w:val="nil"/>
              <w:bottom w:val="nil"/>
              <w:right w:val="single" w:sz="8" w:space="0" w:color="auto"/>
            </w:tcBorders>
            <w:shd w:val="clear" w:color="auto" w:fill="auto"/>
            <w:vAlign w:val="center"/>
          </w:tcPr>
          <w:p w:rsidR="00D0276D" w:rsidRPr="001D6512" w:rsidRDefault="00D0276D" w:rsidP="00C3606E">
            <w:pPr>
              <w:pStyle w:val="TableCell"/>
              <w:spacing w:before="60" w:after="60"/>
            </w:pPr>
            <w:r w:rsidRPr="001D6512">
              <w:t>Turn Green</w:t>
            </w:r>
          </w:p>
        </w:tc>
        <w:tc>
          <w:tcPr>
            <w:tcW w:w="1025" w:type="pct"/>
            <w:tcBorders>
              <w:top w:val="nil"/>
              <w:left w:val="nil"/>
              <w:bottom w:val="nil"/>
              <w:right w:val="single" w:sz="8" w:space="0" w:color="auto"/>
            </w:tcBorders>
            <w:shd w:val="clear" w:color="auto" w:fill="auto"/>
            <w:vAlign w:val="center"/>
          </w:tcPr>
          <w:p w:rsidR="00D0276D" w:rsidRPr="001D6512" w:rsidRDefault="00D0276D" w:rsidP="00C3606E">
            <w:pPr>
              <w:pStyle w:val="TableCell"/>
              <w:spacing w:before="60" w:after="60"/>
            </w:pPr>
            <w:r w:rsidRPr="001D6512">
              <w:t>8%</w:t>
            </w:r>
          </w:p>
        </w:tc>
        <w:tc>
          <w:tcPr>
            <w:tcW w:w="967" w:type="pct"/>
            <w:vMerge/>
            <w:tcBorders>
              <w:top w:val="nil"/>
              <w:left w:val="single" w:sz="8" w:space="0" w:color="auto"/>
              <w:bottom w:val="single" w:sz="8" w:space="0" w:color="000000"/>
              <w:right w:val="single" w:sz="8" w:space="0" w:color="auto"/>
            </w:tcBorders>
            <w:vAlign w:val="center"/>
          </w:tcPr>
          <w:p w:rsidR="00D0276D" w:rsidRPr="001D6512" w:rsidRDefault="00D0276D" w:rsidP="00C3606E">
            <w:pPr>
              <w:pStyle w:val="TableCell"/>
              <w:spacing w:before="60" w:after="60"/>
            </w:pPr>
          </w:p>
        </w:tc>
      </w:tr>
      <w:tr w:rsidR="00D0276D" w:rsidRPr="00AC0964" w:rsidTr="00304D07">
        <w:trPr>
          <w:trHeight w:val="288"/>
          <w:jc w:val="center"/>
        </w:trPr>
        <w:tc>
          <w:tcPr>
            <w:tcW w:w="1026" w:type="pct"/>
            <w:vMerge/>
            <w:tcBorders>
              <w:top w:val="nil"/>
              <w:left w:val="single" w:sz="8" w:space="0" w:color="auto"/>
              <w:bottom w:val="single" w:sz="8" w:space="0" w:color="000000"/>
              <w:right w:val="single" w:sz="8" w:space="0" w:color="auto"/>
            </w:tcBorders>
            <w:vAlign w:val="center"/>
          </w:tcPr>
          <w:p w:rsidR="00D0276D" w:rsidRPr="001D6512" w:rsidRDefault="00D0276D" w:rsidP="00C3606E">
            <w:pPr>
              <w:pStyle w:val="TableCell"/>
              <w:spacing w:before="60" w:after="60"/>
            </w:pPr>
          </w:p>
        </w:tc>
        <w:tc>
          <w:tcPr>
            <w:tcW w:w="1982" w:type="pct"/>
            <w:tcBorders>
              <w:top w:val="nil"/>
              <w:left w:val="nil"/>
              <w:bottom w:val="single" w:sz="8" w:space="0" w:color="auto"/>
              <w:right w:val="single" w:sz="8" w:space="0" w:color="auto"/>
            </w:tcBorders>
            <w:shd w:val="clear" w:color="auto" w:fill="auto"/>
            <w:vAlign w:val="center"/>
          </w:tcPr>
          <w:p w:rsidR="00D0276D" w:rsidRPr="001D6512" w:rsidRDefault="00D0276D" w:rsidP="00C3606E">
            <w:pPr>
              <w:pStyle w:val="TableCell"/>
              <w:spacing w:before="60" w:after="60"/>
            </w:pPr>
            <w:r w:rsidRPr="001D6512">
              <w:t>Pedestrian</w:t>
            </w:r>
          </w:p>
        </w:tc>
        <w:tc>
          <w:tcPr>
            <w:tcW w:w="1025" w:type="pct"/>
            <w:tcBorders>
              <w:top w:val="nil"/>
              <w:left w:val="nil"/>
              <w:bottom w:val="single" w:sz="8" w:space="0" w:color="auto"/>
              <w:right w:val="single" w:sz="8" w:space="0" w:color="auto"/>
            </w:tcBorders>
            <w:shd w:val="clear" w:color="auto" w:fill="auto"/>
            <w:vAlign w:val="center"/>
          </w:tcPr>
          <w:p w:rsidR="00D0276D" w:rsidRPr="001D6512" w:rsidRDefault="00D0276D" w:rsidP="00C3606E">
            <w:pPr>
              <w:pStyle w:val="TableCell"/>
              <w:spacing w:before="60" w:after="60"/>
            </w:pPr>
            <w:r w:rsidRPr="001D6512">
              <w:t>100%</w:t>
            </w:r>
          </w:p>
        </w:tc>
        <w:tc>
          <w:tcPr>
            <w:tcW w:w="967" w:type="pct"/>
            <w:vMerge/>
            <w:tcBorders>
              <w:top w:val="nil"/>
              <w:left w:val="single" w:sz="8" w:space="0" w:color="auto"/>
              <w:bottom w:val="single" w:sz="8" w:space="0" w:color="000000"/>
              <w:right w:val="single" w:sz="8" w:space="0" w:color="auto"/>
            </w:tcBorders>
            <w:vAlign w:val="center"/>
          </w:tcPr>
          <w:p w:rsidR="00D0276D" w:rsidRPr="001D6512" w:rsidRDefault="00D0276D" w:rsidP="00C3606E">
            <w:pPr>
              <w:pStyle w:val="TableCell"/>
              <w:spacing w:before="60" w:after="60"/>
            </w:pPr>
          </w:p>
        </w:tc>
      </w:tr>
      <w:tr w:rsidR="00D0276D" w:rsidRPr="00AC0964" w:rsidTr="00304D07">
        <w:trPr>
          <w:trHeight w:val="288"/>
          <w:jc w:val="center"/>
        </w:trPr>
        <w:tc>
          <w:tcPr>
            <w:tcW w:w="1026" w:type="pct"/>
            <w:tcBorders>
              <w:top w:val="nil"/>
              <w:left w:val="single" w:sz="8" w:space="0" w:color="auto"/>
              <w:bottom w:val="single" w:sz="8" w:space="0" w:color="auto"/>
              <w:right w:val="single" w:sz="8" w:space="0" w:color="auto"/>
            </w:tcBorders>
            <w:shd w:val="clear" w:color="auto" w:fill="auto"/>
            <w:vAlign w:val="center"/>
          </w:tcPr>
          <w:p w:rsidR="00D0276D" w:rsidRPr="001D6512" w:rsidRDefault="00371EF1" w:rsidP="00C3606E">
            <w:pPr>
              <w:pStyle w:val="TableCell"/>
              <w:spacing w:before="60" w:after="60"/>
            </w:pPr>
            <w:r w:rsidRPr="001D6512">
              <w:t>HOU</w:t>
            </w:r>
          </w:p>
        </w:tc>
        <w:tc>
          <w:tcPr>
            <w:tcW w:w="1982" w:type="pct"/>
            <w:tcBorders>
              <w:top w:val="nil"/>
              <w:left w:val="nil"/>
              <w:bottom w:val="single" w:sz="8" w:space="0" w:color="auto"/>
              <w:right w:val="single" w:sz="8" w:space="0" w:color="auto"/>
            </w:tcBorders>
            <w:shd w:val="clear" w:color="auto" w:fill="auto"/>
            <w:vAlign w:val="center"/>
          </w:tcPr>
          <w:p w:rsidR="00D0276D" w:rsidRPr="001D6512" w:rsidRDefault="00D0276D" w:rsidP="00C3606E">
            <w:pPr>
              <w:pStyle w:val="TableCell"/>
              <w:spacing w:before="60" w:after="60"/>
            </w:pPr>
            <w:r w:rsidRPr="001D6512">
              <w:t>Variable</w:t>
            </w:r>
          </w:p>
        </w:tc>
        <w:tc>
          <w:tcPr>
            <w:tcW w:w="1025" w:type="pct"/>
            <w:tcBorders>
              <w:top w:val="nil"/>
              <w:left w:val="nil"/>
              <w:bottom w:val="single" w:sz="8" w:space="0" w:color="auto"/>
              <w:right w:val="single" w:sz="8" w:space="0" w:color="auto"/>
            </w:tcBorders>
            <w:shd w:val="clear" w:color="auto" w:fill="auto"/>
            <w:noWrap/>
            <w:vAlign w:val="center"/>
          </w:tcPr>
          <w:p w:rsidR="00D0276D" w:rsidRPr="001D6512" w:rsidRDefault="00D0276D" w:rsidP="00896814">
            <w:pPr>
              <w:pStyle w:val="TableCell"/>
              <w:spacing w:before="60" w:after="60"/>
            </w:pPr>
            <w:r w:rsidRPr="001D6512">
              <w:t xml:space="preserve">See </w:t>
            </w:r>
            <w:r w:rsidR="007A1FB6" w:rsidRPr="001D6512">
              <w:fldChar w:fldCharType="begin"/>
            </w:r>
            <w:r w:rsidR="00896814" w:rsidRPr="001D6512">
              <w:instrText xml:space="preserve"> REF _Ref295989388 \h </w:instrText>
            </w:r>
            <w:r w:rsidR="007A1FB6" w:rsidRPr="001D6512">
              <w:fldChar w:fldCharType="separate"/>
            </w:r>
            <w:r w:rsidR="00C0292F">
              <w:t xml:space="preserve">Table </w:t>
            </w:r>
            <w:r w:rsidR="00C0292F">
              <w:rPr>
                <w:noProof/>
              </w:rPr>
              <w:t>3</w:t>
            </w:r>
            <w:r w:rsidR="00C0292F">
              <w:noBreakHyphen/>
            </w:r>
            <w:r w:rsidR="00C0292F">
              <w:rPr>
                <w:noProof/>
              </w:rPr>
              <w:t>8</w:t>
            </w:r>
            <w:r w:rsidR="007A1FB6" w:rsidRPr="001D6512">
              <w:fldChar w:fldCharType="end"/>
            </w:r>
          </w:p>
        </w:tc>
        <w:tc>
          <w:tcPr>
            <w:tcW w:w="967" w:type="pct"/>
            <w:tcBorders>
              <w:top w:val="nil"/>
              <w:left w:val="nil"/>
              <w:bottom w:val="single" w:sz="8" w:space="0" w:color="auto"/>
              <w:right w:val="single" w:sz="8" w:space="0" w:color="auto"/>
            </w:tcBorders>
            <w:shd w:val="clear" w:color="auto" w:fill="auto"/>
            <w:vAlign w:val="center"/>
          </w:tcPr>
          <w:p w:rsidR="00D0276D" w:rsidRPr="001D6512" w:rsidRDefault="00D0276D" w:rsidP="00C3606E">
            <w:pPr>
              <w:pStyle w:val="TableCell"/>
              <w:spacing w:before="60" w:after="60"/>
            </w:pPr>
            <w:r w:rsidRPr="001D6512">
              <w:t>PEC</w:t>
            </w:r>
            <w:r w:rsidR="005F26AF" w:rsidRPr="001D6512">
              <w:t>O</w:t>
            </w:r>
          </w:p>
        </w:tc>
      </w:tr>
      <w:tr w:rsidR="00D0276D" w:rsidRPr="00AC0964" w:rsidTr="00304D07">
        <w:trPr>
          <w:trHeight w:val="288"/>
          <w:jc w:val="center"/>
        </w:trPr>
        <w:tc>
          <w:tcPr>
            <w:tcW w:w="1026" w:type="pct"/>
            <w:tcBorders>
              <w:top w:val="nil"/>
              <w:left w:val="single" w:sz="8" w:space="0" w:color="auto"/>
              <w:bottom w:val="single" w:sz="8" w:space="0" w:color="auto"/>
              <w:right w:val="single" w:sz="8" w:space="0" w:color="auto"/>
            </w:tcBorders>
            <w:shd w:val="clear" w:color="auto" w:fill="auto"/>
            <w:vAlign w:val="center"/>
          </w:tcPr>
          <w:p w:rsidR="00D0276D" w:rsidRPr="001D6512" w:rsidRDefault="00D0276D" w:rsidP="00C3606E">
            <w:pPr>
              <w:pStyle w:val="TableCell"/>
              <w:spacing w:before="60" w:after="60"/>
            </w:pPr>
            <w:r w:rsidRPr="001D6512">
              <w:t>IF</w:t>
            </w:r>
          </w:p>
        </w:tc>
        <w:tc>
          <w:tcPr>
            <w:tcW w:w="1982" w:type="pct"/>
            <w:tcBorders>
              <w:top w:val="nil"/>
              <w:left w:val="nil"/>
              <w:bottom w:val="single" w:sz="8" w:space="0" w:color="auto"/>
              <w:right w:val="single" w:sz="8" w:space="0" w:color="auto"/>
            </w:tcBorders>
            <w:shd w:val="clear" w:color="auto" w:fill="auto"/>
            <w:vAlign w:val="center"/>
          </w:tcPr>
          <w:p w:rsidR="00D0276D" w:rsidRPr="001D6512" w:rsidRDefault="00D0276D" w:rsidP="00C3606E">
            <w:pPr>
              <w:pStyle w:val="TableCell"/>
              <w:spacing w:before="60" w:after="60"/>
            </w:pPr>
            <w:r w:rsidRPr="001D6512">
              <w:t>Fixed</w:t>
            </w:r>
          </w:p>
        </w:tc>
        <w:tc>
          <w:tcPr>
            <w:tcW w:w="1025" w:type="pct"/>
            <w:tcBorders>
              <w:top w:val="nil"/>
              <w:left w:val="nil"/>
              <w:bottom w:val="single" w:sz="8" w:space="0" w:color="auto"/>
              <w:right w:val="single" w:sz="8" w:space="0" w:color="auto"/>
            </w:tcBorders>
            <w:shd w:val="clear" w:color="auto" w:fill="auto"/>
            <w:vAlign w:val="center"/>
          </w:tcPr>
          <w:p w:rsidR="00D0276D" w:rsidRPr="001D6512" w:rsidRDefault="00D0276D" w:rsidP="00C3606E">
            <w:pPr>
              <w:pStyle w:val="TableCell"/>
              <w:spacing w:before="60" w:after="60"/>
            </w:pPr>
            <w:r w:rsidRPr="001D6512">
              <w:t>0</w:t>
            </w:r>
          </w:p>
        </w:tc>
        <w:tc>
          <w:tcPr>
            <w:tcW w:w="967" w:type="pct"/>
            <w:tcBorders>
              <w:top w:val="nil"/>
              <w:left w:val="nil"/>
              <w:bottom w:val="single" w:sz="8" w:space="0" w:color="auto"/>
              <w:right w:val="single" w:sz="8" w:space="0" w:color="auto"/>
            </w:tcBorders>
            <w:shd w:val="clear" w:color="auto" w:fill="auto"/>
            <w:vAlign w:val="center"/>
          </w:tcPr>
          <w:p w:rsidR="00D0276D" w:rsidRPr="001D6512" w:rsidRDefault="00D0276D" w:rsidP="00C3606E">
            <w:pPr>
              <w:pStyle w:val="TableCell"/>
              <w:spacing w:before="60" w:after="60"/>
            </w:pPr>
          </w:p>
        </w:tc>
      </w:tr>
    </w:tbl>
    <w:p w:rsidR="00D0276D" w:rsidRPr="0098141B" w:rsidRDefault="00D0276D" w:rsidP="00C3606E">
      <w:pPr>
        <w:rPr>
          <w:rFonts w:ascii="Arial Black" w:hAnsi="Arial Black"/>
        </w:rPr>
      </w:pPr>
    </w:p>
    <w:p w:rsidR="00DA645E" w:rsidRDefault="00DA645E" w:rsidP="00B20F6B">
      <w:pPr>
        <w:pStyle w:val="Caption"/>
      </w:pPr>
      <w:bookmarkStart w:id="546" w:name="_Ref295989388"/>
      <w:bookmarkStart w:id="547" w:name="_Toc310875560"/>
      <w:r>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8</w:t>
      </w:r>
      <w:r w:rsidR="00274AB1">
        <w:rPr>
          <w:noProof/>
        </w:rPr>
        <w:fldChar w:fldCharType="end"/>
      </w:r>
      <w:bookmarkEnd w:id="546"/>
      <w:r>
        <w:t>: LED Traffic Signals</w:t>
      </w:r>
      <w:r>
        <w:rPr>
          <w:rStyle w:val="FootnoteReference"/>
          <w:b w:val="0"/>
        </w:rPr>
        <w:footnoteReference w:id="146"/>
      </w:r>
      <w:bookmarkEnd w:id="547"/>
    </w:p>
    <w:tbl>
      <w:tblPr>
        <w:tblW w:w="5000" w:type="pct"/>
        <w:tblLayout w:type="fixed"/>
        <w:tblLook w:val="0000" w:firstRow="0" w:lastRow="0" w:firstColumn="0" w:lastColumn="0" w:noHBand="0" w:noVBand="0"/>
      </w:tblPr>
      <w:tblGrid>
        <w:gridCol w:w="2080"/>
        <w:gridCol w:w="1019"/>
        <w:gridCol w:w="1018"/>
        <w:gridCol w:w="1018"/>
        <w:gridCol w:w="1018"/>
        <w:gridCol w:w="1417"/>
        <w:gridCol w:w="1286"/>
      </w:tblGrid>
      <w:tr w:rsidR="00D0276D" w:rsidRPr="001209A0" w:rsidTr="00DC157F">
        <w:trPr>
          <w:trHeight w:val="510"/>
        </w:trPr>
        <w:tc>
          <w:tcPr>
            <w:tcW w:w="1174" w:type="pct"/>
            <w:tcBorders>
              <w:top w:val="single" w:sz="4" w:space="0" w:color="auto"/>
              <w:left w:val="single" w:sz="4" w:space="0" w:color="auto"/>
              <w:bottom w:val="single" w:sz="4" w:space="0" w:color="auto"/>
              <w:right w:val="single" w:sz="4" w:space="0" w:color="auto"/>
            </w:tcBorders>
            <w:shd w:val="pct25" w:color="auto" w:fill="auto"/>
            <w:noWrap/>
            <w:vAlign w:val="bottom"/>
          </w:tcPr>
          <w:p w:rsidR="00D0276D" w:rsidRPr="001D6512" w:rsidRDefault="00D0276D" w:rsidP="00C3606E">
            <w:pPr>
              <w:pStyle w:val="TableCell"/>
              <w:spacing w:before="60" w:after="60"/>
              <w:rPr>
                <w:b/>
              </w:rPr>
            </w:pPr>
            <w:r w:rsidRPr="001D6512">
              <w:rPr>
                <w:b/>
              </w:rPr>
              <w:t>Type</w:t>
            </w:r>
          </w:p>
        </w:tc>
        <w:tc>
          <w:tcPr>
            <w:tcW w:w="575" w:type="pct"/>
            <w:tcBorders>
              <w:top w:val="single" w:sz="4" w:space="0" w:color="auto"/>
              <w:left w:val="nil"/>
              <w:bottom w:val="single" w:sz="4" w:space="0" w:color="auto"/>
              <w:right w:val="single" w:sz="4" w:space="0" w:color="auto"/>
            </w:tcBorders>
            <w:shd w:val="pct25" w:color="auto" w:fill="auto"/>
            <w:noWrap/>
            <w:vAlign w:val="bottom"/>
          </w:tcPr>
          <w:p w:rsidR="00D0276D" w:rsidRPr="001D6512" w:rsidRDefault="00D0276D" w:rsidP="00C3606E">
            <w:pPr>
              <w:pStyle w:val="TableCell"/>
              <w:spacing w:before="60" w:after="60"/>
              <w:rPr>
                <w:b/>
              </w:rPr>
            </w:pPr>
            <w:r w:rsidRPr="001D6512">
              <w:rPr>
                <w:b/>
              </w:rPr>
              <w:t>Wattage</w:t>
            </w:r>
          </w:p>
        </w:tc>
        <w:tc>
          <w:tcPr>
            <w:tcW w:w="575" w:type="pct"/>
            <w:tcBorders>
              <w:top w:val="single" w:sz="4" w:space="0" w:color="auto"/>
              <w:left w:val="nil"/>
              <w:bottom w:val="single" w:sz="4" w:space="0" w:color="auto"/>
              <w:right w:val="single" w:sz="4" w:space="0" w:color="auto"/>
            </w:tcBorders>
            <w:shd w:val="pct25" w:color="auto" w:fill="auto"/>
            <w:noWrap/>
            <w:vAlign w:val="bottom"/>
          </w:tcPr>
          <w:p w:rsidR="00D0276D" w:rsidRPr="001D6512" w:rsidRDefault="00D0276D" w:rsidP="00C3606E">
            <w:pPr>
              <w:pStyle w:val="TableCell"/>
              <w:spacing w:before="60" w:after="60"/>
              <w:rPr>
                <w:b/>
              </w:rPr>
            </w:pPr>
            <w:r w:rsidRPr="001D6512">
              <w:rPr>
                <w:b/>
              </w:rPr>
              <w:t>% Burn</w:t>
            </w:r>
          </w:p>
        </w:tc>
        <w:tc>
          <w:tcPr>
            <w:tcW w:w="575" w:type="pct"/>
            <w:tcBorders>
              <w:top w:val="single" w:sz="4" w:space="0" w:color="auto"/>
              <w:left w:val="nil"/>
              <w:bottom w:val="single" w:sz="4" w:space="0" w:color="auto"/>
              <w:right w:val="single" w:sz="4" w:space="0" w:color="auto"/>
            </w:tcBorders>
            <w:shd w:val="pct25" w:color="auto" w:fill="auto"/>
            <w:vAlign w:val="bottom"/>
          </w:tcPr>
          <w:p w:rsidR="00D0276D" w:rsidRPr="001D6512" w:rsidRDefault="00DD3918" w:rsidP="00C3606E">
            <w:pPr>
              <w:pStyle w:val="TableCell"/>
              <w:spacing w:before="60" w:after="60"/>
              <w:rPr>
                <w:b/>
              </w:rPr>
            </w:pPr>
            <w:r w:rsidRPr="001D6512">
              <w:rPr>
                <w:b/>
              </w:rPr>
              <w:t>HOU</w:t>
            </w:r>
          </w:p>
        </w:tc>
        <w:tc>
          <w:tcPr>
            <w:tcW w:w="575" w:type="pct"/>
            <w:tcBorders>
              <w:top w:val="single" w:sz="4" w:space="0" w:color="auto"/>
              <w:left w:val="nil"/>
              <w:bottom w:val="single" w:sz="4" w:space="0" w:color="auto"/>
              <w:right w:val="single" w:sz="4" w:space="0" w:color="auto"/>
            </w:tcBorders>
            <w:shd w:val="pct25" w:color="auto" w:fill="auto"/>
            <w:noWrap/>
            <w:vAlign w:val="bottom"/>
          </w:tcPr>
          <w:p w:rsidR="00D0276D" w:rsidRPr="001D6512" w:rsidRDefault="00D0276D" w:rsidP="00C3606E">
            <w:pPr>
              <w:pStyle w:val="TableCell"/>
              <w:spacing w:before="60" w:after="60"/>
              <w:rPr>
                <w:b/>
              </w:rPr>
            </w:pPr>
            <w:r w:rsidRPr="001D6512">
              <w:rPr>
                <w:b/>
              </w:rPr>
              <w:t>kWh</w:t>
            </w:r>
          </w:p>
        </w:tc>
        <w:tc>
          <w:tcPr>
            <w:tcW w:w="800" w:type="pct"/>
            <w:tcBorders>
              <w:top w:val="single" w:sz="4" w:space="0" w:color="auto"/>
              <w:left w:val="nil"/>
              <w:bottom w:val="single" w:sz="4" w:space="0" w:color="auto"/>
              <w:right w:val="single" w:sz="4" w:space="0" w:color="auto"/>
            </w:tcBorders>
            <w:shd w:val="pct25" w:color="auto" w:fill="auto"/>
            <w:vAlign w:val="bottom"/>
          </w:tcPr>
          <w:p w:rsidR="00D0276D" w:rsidRPr="001D6512" w:rsidRDefault="00D0276D" w:rsidP="00C3606E">
            <w:pPr>
              <w:pStyle w:val="TableCell"/>
              <w:spacing w:before="60" w:after="60"/>
              <w:rPr>
                <w:b/>
              </w:rPr>
            </w:pPr>
            <w:r w:rsidRPr="001D6512">
              <w:rPr>
                <w:b/>
              </w:rPr>
              <w:sym w:font="Symbol" w:char="F044"/>
            </w:r>
            <w:r w:rsidRPr="001D6512">
              <w:rPr>
                <w:b/>
              </w:rPr>
              <w:t xml:space="preserve">kW </w:t>
            </w:r>
            <w:r w:rsidRPr="001D6512">
              <w:rPr>
                <w:b/>
              </w:rPr>
              <w:br/>
              <w:t>using LED</w:t>
            </w:r>
          </w:p>
        </w:tc>
        <w:tc>
          <w:tcPr>
            <w:tcW w:w="726" w:type="pct"/>
            <w:tcBorders>
              <w:top w:val="single" w:sz="4" w:space="0" w:color="auto"/>
              <w:left w:val="nil"/>
              <w:bottom w:val="single" w:sz="4" w:space="0" w:color="auto"/>
              <w:right w:val="single" w:sz="4" w:space="0" w:color="auto"/>
            </w:tcBorders>
            <w:shd w:val="pct25" w:color="auto" w:fill="auto"/>
            <w:noWrap/>
            <w:vAlign w:val="bottom"/>
          </w:tcPr>
          <w:p w:rsidR="00D0276D" w:rsidRPr="001D6512" w:rsidRDefault="00D0276D" w:rsidP="00C3606E">
            <w:pPr>
              <w:pStyle w:val="TableCell"/>
              <w:spacing w:before="60" w:after="60"/>
              <w:rPr>
                <w:b/>
              </w:rPr>
            </w:pPr>
            <w:r w:rsidRPr="001D6512">
              <w:rPr>
                <w:b/>
              </w:rPr>
              <w:sym w:font="Symbol" w:char="F044"/>
            </w:r>
            <w:r w:rsidRPr="001D6512">
              <w:rPr>
                <w:b/>
              </w:rPr>
              <w:t xml:space="preserve">kWh </w:t>
            </w:r>
            <w:r w:rsidRPr="001D6512">
              <w:rPr>
                <w:b/>
              </w:rPr>
              <w:br/>
              <w:t>using LED</w:t>
            </w:r>
          </w:p>
        </w:tc>
      </w:tr>
      <w:tr w:rsidR="00D0276D" w:rsidRPr="00963081" w:rsidTr="00ED65F0">
        <w:trPr>
          <w:trHeight w:val="288"/>
        </w:trPr>
        <w:tc>
          <w:tcPr>
            <w:tcW w:w="5000" w:type="pct"/>
            <w:gridSpan w:val="7"/>
            <w:tcBorders>
              <w:top w:val="single" w:sz="4" w:space="0" w:color="auto"/>
              <w:left w:val="single" w:sz="4" w:space="0" w:color="auto"/>
              <w:bottom w:val="double" w:sz="4" w:space="0" w:color="auto"/>
              <w:right w:val="single" w:sz="4" w:space="0" w:color="auto"/>
            </w:tcBorders>
            <w:shd w:val="pct15" w:color="auto" w:fill="auto"/>
            <w:noWrap/>
            <w:vAlign w:val="bottom"/>
          </w:tcPr>
          <w:p w:rsidR="00D0276D" w:rsidRPr="001D6512" w:rsidRDefault="00D0276D" w:rsidP="00C3606E">
            <w:pPr>
              <w:pStyle w:val="TableCell"/>
              <w:spacing w:before="60" w:after="60"/>
              <w:rPr>
                <w:bCs/>
              </w:rPr>
            </w:pPr>
            <w:r w:rsidRPr="001D6512">
              <w:rPr>
                <w:bCs/>
              </w:rPr>
              <w:t>Round Traffic Signals</w:t>
            </w:r>
          </w:p>
        </w:tc>
      </w:tr>
      <w:tr w:rsidR="00D0276D" w:rsidRPr="00963081" w:rsidTr="00ED65F0">
        <w:trPr>
          <w:trHeight w:val="288"/>
        </w:trPr>
        <w:tc>
          <w:tcPr>
            <w:tcW w:w="1174" w:type="pct"/>
            <w:tcBorders>
              <w:top w:val="double" w:sz="4" w:space="0" w:color="auto"/>
              <w:left w:val="single" w:sz="4" w:space="0" w:color="auto"/>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Red 8"</w:t>
            </w:r>
          </w:p>
        </w:tc>
        <w:tc>
          <w:tcPr>
            <w:tcW w:w="575" w:type="pct"/>
            <w:tcBorders>
              <w:top w:val="double" w:sz="4" w:space="0" w:color="auto"/>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69</w:t>
            </w:r>
          </w:p>
        </w:tc>
        <w:tc>
          <w:tcPr>
            <w:tcW w:w="575" w:type="pct"/>
            <w:tcBorders>
              <w:top w:val="double" w:sz="4" w:space="0" w:color="auto"/>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55%</w:t>
            </w:r>
          </w:p>
        </w:tc>
        <w:tc>
          <w:tcPr>
            <w:tcW w:w="575" w:type="pct"/>
            <w:tcBorders>
              <w:top w:val="double" w:sz="4" w:space="0" w:color="auto"/>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4,818</w:t>
            </w:r>
          </w:p>
        </w:tc>
        <w:tc>
          <w:tcPr>
            <w:tcW w:w="575" w:type="pct"/>
            <w:tcBorders>
              <w:top w:val="double" w:sz="4" w:space="0" w:color="auto"/>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332</w:t>
            </w:r>
          </w:p>
        </w:tc>
        <w:tc>
          <w:tcPr>
            <w:tcW w:w="800" w:type="pct"/>
            <w:tcBorders>
              <w:top w:val="double" w:sz="4" w:space="0" w:color="auto"/>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w:t>
            </w:r>
          </w:p>
        </w:tc>
        <w:tc>
          <w:tcPr>
            <w:tcW w:w="726" w:type="pct"/>
            <w:tcBorders>
              <w:top w:val="double" w:sz="4" w:space="0" w:color="auto"/>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Red 8" LED</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7</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55%</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4,818</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34</w:t>
            </w:r>
          </w:p>
        </w:tc>
        <w:tc>
          <w:tcPr>
            <w:tcW w:w="800"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0.062</w:t>
            </w:r>
          </w:p>
        </w:tc>
        <w:tc>
          <w:tcPr>
            <w:tcW w:w="726"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299</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Yellow 8"</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69</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2%</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175</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12</w:t>
            </w:r>
          </w:p>
        </w:tc>
        <w:tc>
          <w:tcPr>
            <w:tcW w:w="800"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w:t>
            </w:r>
          </w:p>
        </w:tc>
        <w:tc>
          <w:tcPr>
            <w:tcW w:w="726"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Yellow 8" LED</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10</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2%</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175</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2</w:t>
            </w:r>
          </w:p>
        </w:tc>
        <w:tc>
          <w:tcPr>
            <w:tcW w:w="800"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0.059</w:t>
            </w:r>
          </w:p>
        </w:tc>
        <w:tc>
          <w:tcPr>
            <w:tcW w:w="726"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10</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Green 8"</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69</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43%</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3,767</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260</w:t>
            </w:r>
          </w:p>
        </w:tc>
        <w:tc>
          <w:tcPr>
            <w:tcW w:w="800"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w:t>
            </w:r>
          </w:p>
        </w:tc>
        <w:tc>
          <w:tcPr>
            <w:tcW w:w="726"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Green 8" LED</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9</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43%</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3,767</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34</w:t>
            </w:r>
          </w:p>
        </w:tc>
        <w:tc>
          <w:tcPr>
            <w:tcW w:w="800"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0.060</w:t>
            </w:r>
          </w:p>
        </w:tc>
        <w:tc>
          <w:tcPr>
            <w:tcW w:w="726"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226</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Red 12"</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150</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55%</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4,818</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723</w:t>
            </w:r>
          </w:p>
        </w:tc>
        <w:tc>
          <w:tcPr>
            <w:tcW w:w="800"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w:t>
            </w:r>
          </w:p>
        </w:tc>
        <w:tc>
          <w:tcPr>
            <w:tcW w:w="726"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Red 12" LED</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6</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55%</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4,818</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29</w:t>
            </w:r>
          </w:p>
        </w:tc>
        <w:tc>
          <w:tcPr>
            <w:tcW w:w="800"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0.144</w:t>
            </w:r>
          </w:p>
        </w:tc>
        <w:tc>
          <w:tcPr>
            <w:tcW w:w="726"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694</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Yellow 12"</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150</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2%</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175</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26</w:t>
            </w:r>
          </w:p>
        </w:tc>
        <w:tc>
          <w:tcPr>
            <w:tcW w:w="800"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w:t>
            </w:r>
          </w:p>
        </w:tc>
        <w:tc>
          <w:tcPr>
            <w:tcW w:w="726"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Yellow 12" LED</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13</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2%</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175</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2</w:t>
            </w:r>
          </w:p>
        </w:tc>
        <w:tc>
          <w:tcPr>
            <w:tcW w:w="800"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0.137</w:t>
            </w:r>
          </w:p>
        </w:tc>
        <w:tc>
          <w:tcPr>
            <w:tcW w:w="726"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24</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Green 12"</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150</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43%</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3,767</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565</w:t>
            </w:r>
          </w:p>
        </w:tc>
        <w:tc>
          <w:tcPr>
            <w:tcW w:w="800"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w:t>
            </w:r>
          </w:p>
        </w:tc>
        <w:tc>
          <w:tcPr>
            <w:tcW w:w="726"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Green 12" LED</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12</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43%</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3,767</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45</w:t>
            </w:r>
          </w:p>
        </w:tc>
        <w:tc>
          <w:tcPr>
            <w:tcW w:w="800"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0.138</w:t>
            </w:r>
          </w:p>
        </w:tc>
        <w:tc>
          <w:tcPr>
            <w:tcW w:w="726"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520</w:t>
            </w:r>
          </w:p>
        </w:tc>
      </w:tr>
      <w:tr w:rsidR="00D0276D" w:rsidRPr="00963081" w:rsidTr="00ED65F0">
        <w:trPr>
          <w:trHeight w:val="288"/>
        </w:trPr>
        <w:tc>
          <w:tcPr>
            <w:tcW w:w="5000" w:type="pct"/>
            <w:gridSpan w:val="7"/>
            <w:tcBorders>
              <w:top w:val="single" w:sz="4" w:space="0" w:color="auto"/>
              <w:left w:val="single" w:sz="4" w:space="0" w:color="auto"/>
              <w:bottom w:val="double" w:sz="4" w:space="0" w:color="auto"/>
              <w:right w:val="single" w:sz="4" w:space="0" w:color="auto"/>
            </w:tcBorders>
            <w:shd w:val="pct15" w:color="auto" w:fill="auto"/>
            <w:noWrap/>
            <w:vAlign w:val="bottom"/>
          </w:tcPr>
          <w:p w:rsidR="00D0276D" w:rsidRPr="001D6512" w:rsidRDefault="00D0276D" w:rsidP="00C3606E">
            <w:pPr>
              <w:pStyle w:val="TableCell"/>
              <w:spacing w:before="60" w:after="60"/>
              <w:rPr>
                <w:bCs/>
              </w:rPr>
            </w:pPr>
            <w:r w:rsidRPr="001D6512">
              <w:rPr>
                <w:bCs/>
              </w:rPr>
              <w:t>Turn Arrows</w:t>
            </w:r>
          </w:p>
        </w:tc>
      </w:tr>
      <w:tr w:rsidR="00D0276D" w:rsidRPr="00963081" w:rsidTr="00ED65F0">
        <w:trPr>
          <w:trHeight w:val="288"/>
        </w:trPr>
        <w:tc>
          <w:tcPr>
            <w:tcW w:w="1174" w:type="pct"/>
            <w:tcBorders>
              <w:top w:val="double" w:sz="4" w:space="0" w:color="auto"/>
              <w:left w:val="single" w:sz="4" w:space="0" w:color="auto"/>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Yellow 8"</w:t>
            </w:r>
          </w:p>
        </w:tc>
        <w:tc>
          <w:tcPr>
            <w:tcW w:w="575" w:type="pct"/>
            <w:tcBorders>
              <w:top w:val="double" w:sz="4" w:space="0" w:color="auto"/>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116</w:t>
            </w:r>
          </w:p>
        </w:tc>
        <w:tc>
          <w:tcPr>
            <w:tcW w:w="575" w:type="pct"/>
            <w:tcBorders>
              <w:top w:val="double" w:sz="4" w:space="0" w:color="auto"/>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8%</w:t>
            </w:r>
          </w:p>
        </w:tc>
        <w:tc>
          <w:tcPr>
            <w:tcW w:w="575" w:type="pct"/>
            <w:tcBorders>
              <w:top w:val="double" w:sz="4" w:space="0" w:color="auto"/>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701</w:t>
            </w:r>
          </w:p>
        </w:tc>
        <w:tc>
          <w:tcPr>
            <w:tcW w:w="575" w:type="pct"/>
            <w:tcBorders>
              <w:top w:val="double" w:sz="4" w:space="0" w:color="auto"/>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81</w:t>
            </w:r>
          </w:p>
        </w:tc>
        <w:tc>
          <w:tcPr>
            <w:tcW w:w="800" w:type="pct"/>
            <w:tcBorders>
              <w:top w:val="double" w:sz="4" w:space="0" w:color="auto"/>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w:t>
            </w:r>
          </w:p>
        </w:tc>
        <w:tc>
          <w:tcPr>
            <w:tcW w:w="726" w:type="pct"/>
            <w:tcBorders>
              <w:top w:val="double" w:sz="4" w:space="0" w:color="auto"/>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Yellow 8" LED</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7</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8%</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701</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5</w:t>
            </w:r>
          </w:p>
        </w:tc>
        <w:tc>
          <w:tcPr>
            <w:tcW w:w="800"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0.109</w:t>
            </w:r>
          </w:p>
        </w:tc>
        <w:tc>
          <w:tcPr>
            <w:tcW w:w="726"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76</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Yellow 12"</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116</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8%</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701</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81</w:t>
            </w:r>
          </w:p>
        </w:tc>
        <w:tc>
          <w:tcPr>
            <w:tcW w:w="800"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w:t>
            </w:r>
          </w:p>
        </w:tc>
        <w:tc>
          <w:tcPr>
            <w:tcW w:w="726"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Yellow 12" LED</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9</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8%</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701</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6</w:t>
            </w:r>
          </w:p>
        </w:tc>
        <w:tc>
          <w:tcPr>
            <w:tcW w:w="800"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0.107</w:t>
            </w:r>
          </w:p>
        </w:tc>
        <w:tc>
          <w:tcPr>
            <w:tcW w:w="726"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75</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Green 8"</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116</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8%</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701</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81</w:t>
            </w:r>
          </w:p>
        </w:tc>
        <w:tc>
          <w:tcPr>
            <w:tcW w:w="800"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w:t>
            </w:r>
          </w:p>
        </w:tc>
        <w:tc>
          <w:tcPr>
            <w:tcW w:w="726"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Green 8" LED</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7</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8%</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701</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5</w:t>
            </w:r>
          </w:p>
        </w:tc>
        <w:tc>
          <w:tcPr>
            <w:tcW w:w="800"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0.109</w:t>
            </w:r>
          </w:p>
        </w:tc>
        <w:tc>
          <w:tcPr>
            <w:tcW w:w="726"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76</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Green 12"</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116</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8%</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701</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81</w:t>
            </w:r>
          </w:p>
        </w:tc>
        <w:tc>
          <w:tcPr>
            <w:tcW w:w="800"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w:t>
            </w:r>
          </w:p>
        </w:tc>
        <w:tc>
          <w:tcPr>
            <w:tcW w:w="726"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Green 12" LED</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7</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8%</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701</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5</w:t>
            </w:r>
          </w:p>
        </w:tc>
        <w:tc>
          <w:tcPr>
            <w:tcW w:w="800"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0.109</w:t>
            </w:r>
          </w:p>
        </w:tc>
        <w:tc>
          <w:tcPr>
            <w:tcW w:w="726"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76</w:t>
            </w:r>
          </w:p>
        </w:tc>
      </w:tr>
      <w:tr w:rsidR="00D0276D" w:rsidRPr="00963081" w:rsidTr="00ED65F0">
        <w:trPr>
          <w:trHeight w:val="288"/>
        </w:trPr>
        <w:tc>
          <w:tcPr>
            <w:tcW w:w="5000" w:type="pct"/>
            <w:gridSpan w:val="7"/>
            <w:tcBorders>
              <w:top w:val="single" w:sz="4" w:space="0" w:color="auto"/>
              <w:left w:val="single" w:sz="4" w:space="0" w:color="auto"/>
              <w:bottom w:val="double" w:sz="4" w:space="0" w:color="auto"/>
              <w:right w:val="single" w:sz="4" w:space="0" w:color="auto"/>
            </w:tcBorders>
            <w:shd w:val="pct15" w:color="auto" w:fill="auto"/>
            <w:noWrap/>
            <w:vAlign w:val="bottom"/>
          </w:tcPr>
          <w:p w:rsidR="00D0276D" w:rsidRPr="001D6512" w:rsidRDefault="00D0276D" w:rsidP="00C3606E">
            <w:pPr>
              <w:pStyle w:val="TableCell"/>
              <w:spacing w:before="60" w:after="60"/>
              <w:rPr>
                <w:bCs/>
              </w:rPr>
            </w:pPr>
            <w:r w:rsidRPr="001D6512">
              <w:rPr>
                <w:bCs/>
              </w:rPr>
              <w:t>Pedestrian Signs</w:t>
            </w:r>
          </w:p>
        </w:tc>
      </w:tr>
      <w:tr w:rsidR="00D0276D" w:rsidRPr="00963081" w:rsidTr="00ED65F0">
        <w:trPr>
          <w:trHeight w:val="288"/>
        </w:trPr>
        <w:tc>
          <w:tcPr>
            <w:tcW w:w="1174" w:type="pct"/>
            <w:tcBorders>
              <w:top w:val="double" w:sz="4" w:space="0" w:color="auto"/>
              <w:left w:val="single" w:sz="4" w:space="0" w:color="auto"/>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Hand/Man 12"</w:t>
            </w:r>
          </w:p>
        </w:tc>
        <w:tc>
          <w:tcPr>
            <w:tcW w:w="575" w:type="pct"/>
            <w:tcBorders>
              <w:top w:val="double" w:sz="4" w:space="0" w:color="auto"/>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116</w:t>
            </w:r>
          </w:p>
        </w:tc>
        <w:tc>
          <w:tcPr>
            <w:tcW w:w="575" w:type="pct"/>
            <w:tcBorders>
              <w:top w:val="double" w:sz="4" w:space="0" w:color="auto"/>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100%</w:t>
            </w:r>
          </w:p>
        </w:tc>
        <w:tc>
          <w:tcPr>
            <w:tcW w:w="575" w:type="pct"/>
            <w:tcBorders>
              <w:top w:val="double" w:sz="4" w:space="0" w:color="auto"/>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8,760</w:t>
            </w:r>
          </w:p>
        </w:tc>
        <w:tc>
          <w:tcPr>
            <w:tcW w:w="575" w:type="pct"/>
            <w:tcBorders>
              <w:top w:val="double" w:sz="4" w:space="0" w:color="auto"/>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1,016</w:t>
            </w:r>
          </w:p>
        </w:tc>
        <w:tc>
          <w:tcPr>
            <w:tcW w:w="800" w:type="pct"/>
            <w:tcBorders>
              <w:top w:val="double" w:sz="4" w:space="0" w:color="auto"/>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w:t>
            </w:r>
          </w:p>
        </w:tc>
        <w:tc>
          <w:tcPr>
            <w:tcW w:w="726" w:type="pct"/>
            <w:tcBorders>
              <w:top w:val="double" w:sz="4" w:space="0" w:color="auto"/>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w:t>
            </w:r>
          </w:p>
        </w:tc>
      </w:tr>
      <w:tr w:rsidR="00D0276D" w:rsidRPr="00963081" w:rsidTr="00ED65F0">
        <w:trPr>
          <w:trHeight w:val="288"/>
        </w:trPr>
        <w:tc>
          <w:tcPr>
            <w:tcW w:w="1174" w:type="pct"/>
            <w:tcBorders>
              <w:top w:val="nil"/>
              <w:left w:val="single" w:sz="4" w:space="0" w:color="auto"/>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Hand/Man 12" LED</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8</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100%</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8,760</w:t>
            </w:r>
          </w:p>
        </w:tc>
        <w:tc>
          <w:tcPr>
            <w:tcW w:w="575"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70</w:t>
            </w:r>
          </w:p>
        </w:tc>
        <w:tc>
          <w:tcPr>
            <w:tcW w:w="800" w:type="pct"/>
            <w:tcBorders>
              <w:top w:val="nil"/>
              <w:left w:val="nil"/>
              <w:bottom w:val="single" w:sz="4" w:space="0" w:color="auto"/>
              <w:right w:val="single" w:sz="4" w:space="0" w:color="auto"/>
            </w:tcBorders>
            <w:shd w:val="clear" w:color="auto" w:fill="auto"/>
            <w:noWrap/>
            <w:vAlign w:val="bottom"/>
          </w:tcPr>
          <w:p w:rsidR="00D0276D" w:rsidRPr="001D6512" w:rsidRDefault="00D0276D" w:rsidP="00C3606E">
            <w:pPr>
              <w:pStyle w:val="TableCell"/>
              <w:spacing w:before="60" w:after="60"/>
            </w:pPr>
            <w:r w:rsidRPr="001D6512">
              <w:t>0.108</w:t>
            </w:r>
          </w:p>
        </w:tc>
        <w:tc>
          <w:tcPr>
            <w:tcW w:w="726" w:type="pct"/>
            <w:tcBorders>
              <w:top w:val="nil"/>
              <w:left w:val="nil"/>
              <w:bottom w:val="single" w:sz="4" w:space="0" w:color="auto"/>
              <w:right w:val="single" w:sz="4" w:space="0" w:color="auto"/>
            </w:tcBorders>
            <w:shd w:val="clear" w:color="auto" w:fill="auto"/>
            <w:noWrap/>
            <w:vAlign w:val="center"/>
          </w:tcPr>
          <w:p w:rsidR="00D0276D" w:rsidRPr="001D6512" w:rsidRDefault="00D0276D" w:rsidP="00C3606E">
            <w:pPr>
              <w:pStyle w:val="TableCell"/>
              <w:spacing w:before="60" w:after="60"/>
            </w:pPr>
            <w:r w:rsidRPr="001D6512">
              <w:t>946</w:t>
            </w:r>
          </w:p>
        </w:tc>
      </w:tr>
      <w:tr w:rsidR="00D0276D" w:rsidRPr="00963081" w:rsidTr="00ED65F0">
        <w:trPr>
          <w:trHeight w:val="288"/>
        </w:trPr>
        <w:tc>
          <w:tcPr>
            <w:tcW w:w="5000" w:type="pct"/>
            <w:gridSpan w:val="7"/>
            <w:tcBorders>
              <w:top w:val="single" w:sz="4" w:space="0" w:color="auto"/>
              <w:left w:val="single" w:sz="4" w:space="0" w:color="auto"/>
              <w:bottom w:val="single" w:sz="4" w:space="0" w:color="auto"/>
              <w:right w:val="single" w:sz="4" w:space="0" w:color="auto"/>
            </w:tcBorders>
            <w:shd w:val="pct15" w:color="auto" w:fill="auto"/>
            <w:noWrap/>
            <w:vAlign w:val="bottom"/>
          </w:tcPr>
          <w:p w:rsidR="00D0276D" w:rsidRPr="001D6512" w:rsidRDefault="00D0276D" w:rsidP="00C3606E">
            <w:pPr>
              <w:pStyle w:val="TableCell"/>
              <w:spacing w:before="60" w:after="60"/>
            </w:pPr>
            <w:r w:rsidRPr="001D6512">
              <w:t>Note: Energy Savings (kWh) are Annual &amp; Demand Savings (kW) listed are per lamp.</w:t>
            </w:r>
          </w:p>
        </w:tc>
      </w:tr>
    </w:tbl>
    <w:p w:rsidR="00D0276D" w:rsidRDefault="00D0276D" w:rsidP="00C3606E"/>
    <w:p w:rsidR="00BB2D8C" w:rsidRDefault="00BB2D8C" w:rsidP="00B20F6B">
      <w:pPr>
        <w:pStyle w:val="Caption"/>
      </w:pPr>
      <w:bookmarkStart w:id="548" w:name="_Toc310875561"/>
      <w:r>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9</w:t>
      </w:r>
      <w:r w:rsidR="00274AB1">
        <w:rPr>
          <w:noProof/>
        </w:rPr>
        <w:fldChar w:fldCharType="end"/>
      </w:r>
      <w:r>
        <w:t>: Reference Specifications for Above Traffic Signal Wattages</w:t>
      </w:r>
      <w:bookmarkEnd w:id="5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420"/>
      </w:tblGrid>
      <w:tr w:rsidR="00D0276D" w:rsidRPr="008D5C6E" w:rsidTr="00DC157F">
        <w:trPr>
          <w:trHeight w:val="300"/>
        </w:trPr>
        <w:tc>
          <w:tcPr>
            <w:tcW w:w="1940" w:type="pct"/>
            <w:shd w:val="pct25" w:color="auto" w:fill="auto"/>
            <w:noWrap/>
            <w:vAlign w:val="center"/>
          </w:tcPr>
          <w:p w:rsidR="00D0276D" w:rsidRPr="001D6512" w:rsidRDefault="00D0276D" w:rsidP="00C3606E">
            <w:pPr>
              <w:pStyle w:val="TableCell"/>
              <w:spacing w:before="60" w:after="60"/>
              <w:rPr>
                <w:b/>
              </w:rPr>
            </w:pPr>
            <w:r w:rsidRPr="001D6512">
              <w:rPr>
                <w:b/>
              </w:rPr>
              <w:t>Type</w:t>
            </w:r>
          </w:p>
        </w:tc>
        <w:tc>
          <w:tcPr>
            <w:tcW w:w="3060" w:type="pct"/>
            <w:shd w:val="pct25" w:color="auto" w:fill="auto"/>
            <w:noWrap/>
            <w:vAlign w:val="center"/>
          </w:tcPr>
          <w:p w:rsidR="00D0276D" w:rsidRPr="001D6512" w:rsidRDefault="00D0276D" w:rsidP="00C3606E">
            <w:pPr>
              <w:pStyle w:val="TableCell"/>
              <w:spacing w:before="60" w:after="60"/>
              <w:rPr>
                <w:b/>
              </w:rPr>
            </w:pPr>
            <w:r w:rsidRPr="001D6512">
              <w:rPr>
                <w:b/>
              </w:rPr>
              <w:t>Manufacturer &amp; Model</w:t>
            </w:r>
          </w:p>
        </w:tc>
      </w:tr>
      <w:tr w:rsidR="00D0276D" w:rsidRPr="008D5C6E" w:rsidTr="00DC157F">
        <w:trPr>
          <w:trHeight w:val="300"/>
        </w:trPr>
        <w:tc>
          <w:tcPr>
            <w:tcW w:w="1940" w:type="pct"/>
            <w:shd w:val="clear" w:color="auto" w:fill="auto"/>
            <w:noWrap/>
            <w:vAlign w:val="center"/>
          </w:tcPr>
          <w:p w:rsidR="00D0276D" w:rsidRPr="001D6512" w:rsidRDefault="00D0276D" w:rsidP="00C3606E">
            <w:pPr>
              <w:pStyle w:val="TableCell"/>
              <w:spacing w:before="60" w:after="60"/>
            </w:pPr>
            <w:r w:rsidRPr="001D6512">
              <w:t>8” Incandescent traffic signal bulb</w:t>
            </w:r>
          </w:p>
        </w:tc>
        <w:tc>
          <w:tcPr>
            <w:tcW w:w="3060" w:type="pct"/>
            <w:shd w:val="clear" w:color="auto" w:fill="auto"/>
            <w:noWrap/>
            <w:vAlign w:val="center"/>
          </w:tcPr>
          <w:p w:rsidR="00D0276D" w:rsidRPr="001D6512" w:rsidRDefault="00D0276D" w:rsidP="00C3606E">
            <w:pPr>
              <w:pStyle w:val="TableCell"/>
              <w:spacing w:before="60" w:after="60"/>
            </w:pPr>
            <w:r w:rsidRPr="001D6512">
              <w:t>General Electric Traffic Signal Model 17325-69A21/TS</w:t>
            </w:r>
          </w:p>
        </w:tc>
      </w:tr>
      <w:tr w:rsidR="00D0276D" w:rsidRPr="008D5C6E" w:rsidTr="00DC157F">
        <w:trPr>
          <w:trHeight w:val="300"/>
        </w:trPr>
        <w:tc>
          <w:tcPr>
            <w:tcW w:w="1940" w:type="pct"/>
            <w:shd w:val="clear" w:color="auto" w:fill="auto"/>
            <w:noWrap/>
            <w:vAlign w:val="center"/>
          </w:tcPr>
          <w:p w:rsidR="00D0276D" w:rsidRPr="001D6512" w:rsidRDefault="00D0276D" w:rsidP="00C3606E">
            <w:pPr>
              <w:pStyle w:val="TableCell"/>
              <w:spacing w:before="60" w:after="60"/>
            </w:pPr>
            <w:r w:rsidRPr="001D6512">
              <w:t>12” Incandescent traffic signal bulb</w:t>
            </w:r>
          </w:p>
        </w:tc>
        <w:tc>
          <w:tcPr>
            <w:tcW w:w="3060" w:type="pct"/>
            <w:shd w:val="clear" w:color="auto" w:fill="auto"/>
            <w:noWrap/>
            <w:vAlign w:val="center"/>
          </w:tcPr>
          <w:p w:rsidR="00D0276D" w:rsidRPr="001D6512" w:rsidRDefault="00D0276D" w:rsidP="00C3606E">
            <w:pPr>
              <w:pStyle w:val="TableCell"/>
              <w:spacing w:before="60" w:after="60"/>
            </w:pPr>
            <w:r w:rsidRPr="001D6512">
              <w:t>General Electric Traffic Signal Model 35327-150PAR46/TS</w:t>
            </w:r>
          </w:p>
        </w:tc>
      </w:tr>
      <w:tr w:rsidR="00D0276D" w:rsidRPr="008D5C6E" w:rsidTr="00DC157F">
        <w:trPr>
          <w:trHeight w:val="300"/>
        </w:trPr>
        <w:tc>
          <w:tcPr>
            <w:tcW w:w="1940" w:type="pct"/>
            <w:shd w:val="clear" w:color="auto" w:fill="auto"/>
            <w:noWrap/>
            <w:vAlign w:val="center"/>
          </w:tcPr>
          <w:p w:rsidR="00D0276D" w:rsidRPr="001D6512" w:rsidRDefault="00D0276D" w:rsidP="00C3606E">
            <w:pPr>
              <w:pStyle w:val="TableCell"/>
              <w:spacing w:before="60" w:after="60"/>
            </w:pPr>
            <w:r w:rsidRPr="001D6512">
              <w:t xml:space="preserve">Incandescent Arrows &amp; </w:t>
            </w:r>
            <w:r w:rsidRPr="001D6512">
              <w:br/>
              <w:t>Hand/Man Pedestrian Signs</w:t>
            </w:r>
          </w:p>
        </w:tc>
        <w:tc>
          <w:tcPr>
            <w:tcW w:w="3060" w:type="pct"/>
            <w:shd w:val="clear" w:color="auto" w:fill="auto"/>
            <w:noWrap/>
            <w:vAlign w:val="center"/>
          </w:tcPr>
          <w:p w:rsidR="00D0276D" w:rsidRPr="001D6512" w:rsidRDefault="00D0276D" w:rsidP="00C3606E">
            <w:pPr>
              <w:pStyle w:val="TableCell"/>
              <w:spacing w:before="60" w:after="60"/>
            </w:pPr>
            <w:r w:rsidRPr="001D6512">
              <w:t>General Electric Traffic Signal Model 19010-116A21/TS</w:t>
            </w:r>
          </w:p>
        </w:tc>
      </w:tr>
      <w:tr w:rsidR="00D0276D" w:rsidRPr="008D5C6E" w:rsidTr="00DC157F">
        <w:trPr>
          <w:trHeight w:val="300"/>
        </w:trPr>
        <w:tc>
          <w:tcPr>
            <w:tcW w:w="1940" w:type="pct"/>
            <w:shd w:val="clear" w:color="auto" w:fill="auto"/>
            <w:noWrap/>
            <w:vAlign w:val="center"/>
          </w:tcPr>
          <w:p w:rsidR="00D0276D" w:rsidRPr="001D6512" w:rsidRDefault="00D0276D" w:rsidP="00C3606E">
            <w:pPr>
              <w:pStyle w:val="TableCell"/>
              <w:spacing w:before="60" w:after="60"/>
            </w:pPr>
            <w:r w:rsidRPr="001D6512">
              <w:t>8” and 12” LED traffic signals</w:t>
            </w:r>
          </w:p>
        </w:tc>
        <w:tc>
          <w:tcPr>
            <w:tcW w:w="3060" w:type="pct"/>
            <w:shd w:val="clear" w:color="auto" w:fill="auto"/>
            <w:noWrap/>
            <w:vAlign w:val="center"/>
          </w:tcPr>
          <w:p w:rsidR="00D0276D" w:rsidRPr="001D6512" w:rsidRDefault="00D0276D" w:rsidP="00C3606E">
            <w:pPr>
              <w:pStyle w:val="TableCell"/>
              <w:spacing w:before="60" w:after="60"/>
            </w:pPr>
            <w:r w:rsidRPr="001D6512">
              <w:t>Leotek Models TSL-ES08 and TSL-ES12</w:t>
            </w:r>
          </w:p>
        </w:tc>
      </w:tr>
      <w:tr w:rsidR="00D0276D" w:rsidRPr="008D5C6E" w:rsidTr="00DC157F">
        <w:trPr>
          <w:trHeight w:val="300"/>
        </w:trPr>
        <w:tc>
          <w:tcPr>
            <w:tcW w:w="1940" w:type="pct"/>
            <w:shd w:val="clear" w:color="auto" w:fill="auto"/>
            <w:noWrap/>
            <w:vAlign w:val="center"/>
          </w:tcPr>
          <w:p w:rsidR="00D0276D" w:rsidRPr="001D6512" w:rsidRDefault="00D0276D" w:rsidP="00C3606E">
            <w:pPr>
              <w:pStyle w:val="TableCell"/>
              <w:spacing w:before="60" w:after="60"/>
            </w:pPr>
            <w:r w:rsidRPr="001D6512">
              <w:t>8” LED Yellow Arrow</w:t>
            </w:r>
          </w:p>
        </w:tc>
        <w:tc>
          <w:tcPr>
            <w:tcW w:w="3060" w:type="pct"/>
            <w:shd w:val="clear" w:color="auto" w:fill="auto"/>
            <w:noWrap/>
            <w:vAlign w:val="center"/>
          </w:tcPr>
          <w:p w:rsidR="00D0276D" w:rsidRPr="001D6512" w:rsidRDefault="00D0276D" w:rsidP="00C3606E">
            <w:pPr>
              <w:pStyle w:val="TableCell"/>
              <w:spacing w:before="60" w:after="60"/>
            </w:pPr>
            <w:r w:rsidRPr="001D6512">
              <w:t>General Electric Model DR4-YTA2-01A</w:t>
            </w:r>
          </w:p>
        </w:tc>
      </w:tr>
      <w:tr w:rsidR="00D0276D" w:rsidRPr="008D5C6E" w:rsidTr="00DC157F">
        <w:trPr>
          <w:trHeight w:val="300"/>
        </w:trPr>
        <w:tc>
          <w:tcPr>
            <w:tcW w:w="1940" w:type="pct"/>
            <w:shd w:val="clear" w:color="auto" w:fill="auto"/>
            <w:noWrap/>
            <w:vAlign w:val="center"/>
          </w:tcPr>
          <w:p w:rsidR="00D0276D" w:rsidRPr="001D6512" w:rsidRDefault="00D0276D" w:rsidP="00C3606E">
            <w:pPr>
              <w:pStyle w:val="TableCell"/>
              <w:spacing w:before="60" w:after="60"/>
            </w:pPr>
            <w:r w:rsidRPr="001D6512">
              <w:t>8” LED Green Arrow</w:t>
            </w:r>
          </w:p>
        </w:tc>
        <w:tc>
          <w:tcPr>
            <w:tcW w:w="3060" w:type="pct"/>
            <w:shd w:val="clear" w:color="auto" w:fill="auto"/>
            <w:noWrap/>
            <w:vAlign w:val="center"/>
          </w:tcPr>
          <w:p w:rsidR="00D0276D" w:rsidRPr="001D6512" w:rsidRDefault="00D0276D" w:rsidP="00C3606E">
            <w:pPr>
              <w:pStyle w:val="TableCell"/>
              <w:spacing w:before="60" w:after="60"/>
            </w:pPr>
            <w:r w:rsidRPr="001D6512">
              <w:t>General Electric Model DR4-GCA2-01A</w:t>
            </w:r>
          </w:p>
        </w:tc>
      </w:tr>
      <w:tr w:rsidR="00D0276D" w:rsidRPr="008D5C6E" w:rsidTr="00DC157F">
        <w:trPr>
          <w:trHeight w:val="300"/>
        </w:trPr>
        <w:tc>
          <w:tcPr>
            <w:tcW w:w="1940" w:type="pct"/>
            <w:shd w:val="clear" w:color="auto" w:fill="auto"/>
            <w:noWrap/>
            <w:vAlign w:val="center"/>
          </w:tcPr>
          <w:p w:rsidR="00D0276D" w:rsidRPr="001D6512" w:rsidRDefault="00D0276D" w:rsidP="00C3606E">
            <w:pPr>
              <w:pStyle w:val="TableCell"/>
              <w:spacing w:before="60" w:after="60"/>
            </w:pPr>
            <w:r w:rsidRPr="001D6512">
              <w:t>12” LED Yellow Arrow</w:t>
            </w:r>
          </w:p>
        </w:tc>
        <w:tc>
          <w:tcPr>
            <w:tcW w:w="3060" w:type="pct"/>
            <w:shd w:val="clear" w:color="auto" w:fill="auto"/>
            <w:noWrap/>
            <w:vAlign w:val="center"/>
          </w:tcPr>
          <w:p w:rsidR="00D0276D" w:rsidRPr="001D6512" w:rsidRDefault="00D0276D" w:rsidP="00C3606E">
            <w:pPr>
              <w:pStyle w:val="TableCell"/>
              <w:spacing w:before="60" w:after="60"/>
            </w:pPr>
            <w:r w:rsidRPr="001D6512">
              <w:t>Dialight Model 431-3334-001X</w:t>
            </w:r>
          </w:p>
        </w:tc>
      </w:tr>
      <w:tr w:rsidR="00D0276D" w:rsidRPr="008D5C6E" w:rsidTr="00DC157F">
        <w:trPr>
          <w:trHeight w:val="300"/>
        </w:trPr>
        <w:tc>
          <w:tcPr>
            <w:tcW w:w="1940" w:type="pct"/>
            <w:shd w:val="clear" w:color="auto" w:fill="auto"/>
            <w:noWrap/>
            <w:vAlign w:val="center"/>
          </w:tcPr>
          <w:p w:rsidR="00D0276D" w:rsidRPr="001D6512" w:rsidRDefault="00D0276D" w:rsidP="00C3606E">
            <w:pPr>
              <w:pStyle w:val="TableCell"/>
              <w:spacing w:before="60" w:after="60"/>
            </w:pPr>
            <w:r w:rsidRPr="001D6512">
              <w:t>12" LED Green Arrow</w:t>
            </w:r>
          </w:p>
        </w:tc>
        <w:tc>
          <w:tcPr>
            <w:tcW w:w="3060" w:type="pct"/>
            <w:shd w:val="clear" w:color="auto" w:fill="auto"/>
            <w:noWrap/>
            <w:vAlign w:val="center"/>
          </w:tcPr>
          <w:p w:rsidR="00D0276D" w:rsidRPr="001D6512" w:rsidRDefault="00D0276D" w:rsidP="00C3606E">
            <w:pPr>
              <w:pStyle w:val="TableCell"/>
              <w:spacing w:before="60" w:after="60"/>
            </w:pPr>
            <w:r w:rsidRPr="001D6512">
              <w:t>Dialight Model 432-2324-001X</w:t>
            </w:r>
          </w:p>
        </w:tc>
      </w:tr>
      <w:tr w:rsidR="00D0276D" w:rsidRPr="008D5C6E" w:rsidTr="00DC157F">
        <w:trPr>
          <w:trHeight w:val="300"/>
        </w:trPr>
        <w:tc>
          <w:tcPr>
            <w:tcW w:w="1940" w:type="pct"/>
            <w:shd w:val="clear" w:color="auto" w:fill="auto"/>
            <w:noWrap/>
            <w:vAlign w:val="center"/>
          </w:tcPr>
          <w:p w:rsidR="00D0276D" w:rsidRPr="001D6512" w:rsidRDefault="00D0276D" w:rsidP="00C3606E">
            <w:pPr>
              <w:pStyle w:val="TableCell"/>
              <w:spacing w:before="60" w:after="60"/>
            </w:pPr>
            <w:r w:rsidRPr="001D6512">
              <w:t>LED Hand/Man Pedestrian Sign</w:t>
            </w:r>
          </w:p>
        </w:tc>
        <w:tc>
          <w:tcPr>
            <w:tcW w:w="3060" w:type="pct"/>
            <w:shd w:val="clear" w:color="auto" w:fill="auto"/>
            <w:noWrap/>
            <w:vAlign w:val="center"/>
          </w:tcPr>
          <w:p w:rsidR="00D0276D" w:rsidRPr="001D6512" w:rsidRDefault="00D0276D" w:rsidP="00C3606E">
            <w:pPr>
              <w:pStyle w:val="TableCell"/>
              <w:spacing w:before="60" w:after="60"/>
            </w:pPr>
            <w:r w:rsidRPr="001D6512">
              <w:t>Dialight Model 430-6450-001X</w:t>
            </w:r>
          </w:p>
        </w:tc>
      </w:tr>
    </w:tbl>
    <w:p w:rsidR="00A22E85" w:rsidRPr="00726DEA" w:rsidRDefault="00A22E85" w:rsidP="00C3606E">
      <w:pPr>
        <w:spacing w:after="0"/>
      </w:pPr>
    </w:p>
    <w:p w:rsidR="0071013F" w:rsidRDefault="0071013F" w:rsidP="00E568D4">
      <w:pPr>
        <w:pStyle w:val="Heading4"/>
      </w:pPr>
      <w:r>
        <w:t>LED Exit Signs</w:t>
      </w:r>
    </w:p>
    <w:p w:rsidR="0071013F" w:rsidRDefault="0071013F" w:rsidP="0071013F">
      <w:r>
        <w:t xml:space="preserve">This measure includes the early replacement of existing incandescent or fluorescent exit signs with a new LED exit sign.  </w:t>
      </w:r>
      <w:r w:rsidR="00DD3918">
        <w:t xml:space="preserve">If the exit signs match those listed in </w:t>
      </w:r>
      <w:r w:rsidR="00274AB1">
        <w:fldChar w:fldCharType="begin"/>
      </w:r>
      <w:r w:rsidR="00274AB1">
        <w:instrText xml:space="preserve"> REF _Ref275549500 \h  \* MERGEFORMAT </w:instrText>
      </w:r>
      <w:r w:rsidR="00274AB1">
        <w:fldChar w:fldCharType="separate"/>
      </w:r>
      <w:r w:rsidR="00C0292F">
        <w:t xml:space="preserve">Table </w:t>
      </w:r>
      <w:r w:rsidR="00C0292F">
        <w:rPr>
          <w:noProof/>
        </w:rPr>
        <w:t>3</w:t>
      </w:r>
      <w:r w:rsidR="00C0292F">
        <w:rPr>
          <w:noProof/>
        </w:rPr>
        <w:noBreakHyphen/>
        <w:t>10</w:t>
      </w:r>
      <w:r w:rsidR="00274AB1">
        <w:fldChar w:fldCharType="end"/>
      </w:r>
      <w:r w:rsidR="00DD3918">
        <w:t xml:space="preserve">, the </w:t>
      </w:r>
      <w:r w:rsidR="00DD69F1">
        <w:t xml:space="preserve">deemed savings value for LED exit signs can be used without completing Appendix C. </w:t>
      </w:r>
      <w:r>
        <w:t>The deemed savings for this measure are:</w:t>
      </w:r>
    </w:p>
    <w:p w:rsidR="007850A2" w:rsidRPr="007850A2" w:rsidRDefault="007850A2" w:rsidP="00E568D4">
      <w:pPr>
        <w:pStyle w:val="Heading4"/>
      </w:pPr>
      <w:r>
        <w:t>Single-Sided LED Exit Signs replacing Incandescent Exit Signs</w:t>
      </w:r>
    </w:p>
    <w:p w:rsidR="0071013F" w:rsidRPr="00F5204A" w:rsidRDefault="00162F8B" w:rsidP="00ED65F0">
      <w:pPr>
        <w:pStyle w:val="Equation"/>
        <w:rPr>
          <w:rFonts w:cs="Arial"/>
          <w:szCs w:val="20"/>
        </w:rPr>
      </w:pPr>
      <w:r w:rsidRPr="00F5204A">
        <w:rPr>
          <w:rFonts w:cs="Arial"/>
          <w:szCs w:val="20"/>
        </w:rPr>
        <w:sym w:font="Symbol" w:char="F044"/>
      </w:r>
      <w:r w:rsidRPr="00F5204A">
        <w:rPr>
          <w:rFonts w:cs="Arial"/>
          <w:szCs w:val="20"/>
        </w:rPr>
        <w:t>kWh</w:t>
      </w:r>
      <w:r w:rsidRPr="00F5204A">
        <w:rPr>
          <w:rFonts w:cs="Arial"/>
          <w:szCs w:val="20"/>
        </w:rPr>
        <w:tab/>
      </w:r>
      <w:r w:rsidR="00ED65F0" w:rsidRPr="00F5204A">
        <w:rPr>
          <w:rFonts w:cs="Arial"/>
          <w:szCs w:val="20"/>
        </w:rPr>
        <w:tab/>
      </w:r>
      <w:r w:rsidR="0071013F" w:rsidRPr="00F5204A">
        <w:rPr>
          <w:rFonts w:cs="Arial"/>
          <w:szCs w:val="20"/>
        </w:rPr>
        <w:t xml:space="preserve">= </w:t>
      </w:r>
      <w:r w:rsidR="007850A2">
        <w:rPr>
          <w:rFonts w:cs="Arial"/>
          <w:szCs w:val="20"/>
        </w:rPr>
        <w:t>176</w:t>
      </w:r>
      <w:r w:rsidR="0071013F" w:rsidRPr="00F5204A">
        <w:rPr>
          <w:rFonts w:cs="Arial"/>
          <w:szCs w:val="20"/>
        </w:rPr>
        <w:t xml:space="preserve"> kWh</w:t>
      </w:r>
    </w:p>
    <w:p w:rsidR="0071013F" w:rsidRDefault="00162F8B" w:rsidP="00ED65F0">
      <w:pPr>
        <w:pStyle w:val="Equation"/>
        <w:rPr>
          <w:rFonts w:cs="Arial"/>
          <w:szCs w:val="20"/>
        </w:rPr>
      </w:pPr>
      <w:r w:rsidRPr="00F5204A">
        <w:rPr>
          <w:rFonts w:cs="Arial"/>
          <w:szCs w:val="20"/>
        </w:rPr>
        <w:sym w:font="Symbol" w:char="F044"/>
      </w:r>
      <w:r w:rsidRPr="00F5204A">
        <w:rPr>
          <w:rFonts w:cs="Arial"/>
          <w:szCs w:val="20"/>
        </w:rPr>
        <w:t>kW</w:t>
      </w:r>
      <w:r w:rsidRPr="00F5204A">
        <w:rPr>
          <w:rFonts w:cs="Arial"/>
          <w:szCs w:val="20"/>
          <w:vertAlign w:val="subscript"/>
        </w:rPr>
        <w:t>peak</w:t>
      </w:r>
      <w:r w:rsidR="00ED65F0" w:rsidRPr="00F5204A">
        <w:rPr>
          <w:rFonts w:cs="Arial"/>
          <w:szCs w:val="20"/>
        </w:rPr>
        <w:tab/>
      </w:r>
      <w:r w:rsidRPr="00F5204A">
        <w:rPr>
          <w:rFonts w:cs="Arial"/>
          <w:szCs w:val="20"/>
        </w:rPr>
        <w:tab/>
      </w:r>
      <w:r w:rsidR="0071013F" w:rsidRPr="00F5204A">
        <w:rPr>
          <w:rFonts w:cs="Arial"/>
          <w:szCs w:val="20"/>
        </w:rPr>
        <w:t>= 0.0</w:t>
      </w:r>
      <w:r w:rsidR="007850A2">
        <w:rPr>
          <w:rFonts w:cs="Arial"/>
          <w:szCs w:val="20"/>
        </w:rPr>
        <w:t>24</w:t>
      </w:r>
      <w:r w:rsidR="0071013F" w:rsidRPr="00F5204A">
        <w:rPr>
          <w:rFonts w:cs="Arial"/>
          <w:szCs w:val="20"/>
        </w:rPr>
        <w:t xml:space="preserve"> kW</w:t>
      </w:r>
    </w:p>
    <w:p w:rsidR="007850A2" w:rsidRPr="007850A2" w:rsidRDefault="007850A2" w:rsidP="00E568D4">
      <w:pPr>
        <w:pStyle w:val="Heading4"/>
      </w:pPr>
      <w:r>
        <w:t>Dual-Sided LED Exit Signs replacing Incandescent Exit Signs</w:t>
      </w:r>
    </w:p>
    <w:p w:rsidR="00BA4082" w:rsidRDefault="00BA4082" w:rsidP="00ED65F0">
      <w:pPr>
        <w:pStyle w:val="Equation"/>
        <w:rPr>
          <w:rFonts w:cs="Arial"/>
          <w:szCs w:val="20"/>
        </w:rPr>
      </w:pPr>
      <w:r w:rsidRPr="00F5204A">
        <w:rPr>
          <w:rFonts w:cs="Arial"/>
          <w:szCs w:val="20"/>
        </w:rPr>
        <w:sym w:font="Symbol" w:char="F044"/>
      </w:r>
      <w:r w:rsidRPr="00F5204A">
        <w:rPr>
          <w:rFonts w:cs="Arial"/>
          <w:szCs w:val="20"/>
        </w:rPr>
        <w:t>kWh</w:t>
      </w:r>
      <w:r w:rsidRPr="00F5204A">
        <w:rPr>
          <w:rFonts w:cs="Arial"/>
          <w:szCs w:val="20"/>
        </w:rPr>
        <w:tab/>
      </w:r>
      <w:r w:rsidRPr="00F5204A">
        <w:rPr>
          <w:rFonts w:cs="Arial"/>
          <w:szCs w:val="20"/>
        </w:rPr>
        <w:tab/>
        <w:t>=</w:t>
      </w:r>
      <w:r w:rsidR="007850A2" w:rsidRPr="00F5204A">
        <w:rPr>
          <w:rFonts w:cs="Arial"/>
          <w:szCs w:val="20"/>
        </w:rPr>
        <w:t xml:space="preserve"> </w:t>
      </w:r>
      <w:r w:rsidR="007850A2">
        <w:rPr>
          <w:rFonts w:cs="Arial"/>
          <w:szCs w:val="20"/>
        </w:rPr>
        <w:t>353</w:t>
      </w:r>
      <w:r w:rsidR="007850A2" w:rsidRPr="00F5204A">
        <w:rPr>
          <w:rFonts w:cs="Arial"/>
          <w:szCs w:val="20"/>
        </w:rPr>
        <w:t xml:space="preserve"> kWh</w:t>
      </w:r>
    </w:p>
    <w:p w:rsidR="00BA4082" w:rsidRPr="00BA4082" w:rsidRDefault="00BA4082" w:rsidP="00BA4082">
      <w:pPr>
        <w:pStyle w:val="Equation"/>
        <w:rPr>
          <w:rFonts w:cs="Arial"/>
          <w:szCs w:val="20"/>
        </w:rPr>
      </w:pPr>
      <w:r w:rsidRPr="00F5204A">
        <w:rPr>
          <w:rFonts w:cs="Arial"/>
          <w:szCs w:val="20"/>
        </w:rPr>
        <w:sym w:font="Symbol" w:char="F044"/>
      </w:r>
      <w:r w:rsidRPr="00F5204A">
        <w:rPr>
          <w:rFonts w:cs="Arial"/>
          <w:szCs w:val="20"/>
        </w:rPr>
        <w:t>kW</w:t>
      </w:r>
      <w:r w:rsidRPr="00F5204A">
        <w:rPr>
          <w:rFonts w:cs="Arial"/>
          <w:szCs w:val="20"/>
          <w:vertAlign w:val="subscript"/>
        </w:rPr>
        <w:t>peak</w:t>
      </w:r>
      <w:r w:rsidRPr="00F5204A">
        <w:rPr>
          <w:rFonts w:cs="Arial"/>
          <w:szCs w:val="20"/>
        </w:rPr>
        <w:tab/>
      </w:r>
      <w:r w:rsidRPr="00F5204A">
        <w:rPr>
          <w:rFonts w:cs="Arial"/>
          <w:szCs w:val="20"/>
        </w:rPr>
        <w:tab/>
      </w:r>
      <w:r>
        <w:rPr>
          <w:rFonts w:cs="Arial"/>
          <w:szCs w:val="20"/>
        </w:rPr>
        <w:t>=</w:t>
      </w:r>
      <w:r w:rsidR="007850A2" w:rsidRPr="00F5204A">
        <w:rPr>
          <w:rFonts w:cs="Arial"/>
          <w:szCs w:val="20"/>
        </w:rPr>
        <w:t xml:space="preserve"> </w:t>
      </w:r>
      <w:r w:rsidR="007850A2">
        <w:rPr>
          <w:rFonts w:cs="Arial"/>
          <w:szCs w:val="20"/>
        </w:rPr>
        <w:t>0.048</w:t>
      </w:r>
      <w:r w:rsidR="007850A2" w:rsidRPr="00F5204A">
        <w:rPr>
          <w:rFonts w:cs="Arial"/>
          <w:szCs w:val="20"/>
        </w:rPr>
        <w:t xml:space="preserve"> kWh</w:t>
      </w:r>
      <w:r>
        <w:rPr>
          <w:rFonts w:cs="Arial"/>
          <w:szCs w:val="20"/>
        </w:rPr>
        <w:t xml:space="preserve"> </w:t>
      </w:r>
    </w:p>
    <w:p w:rsidR="007850A2" w:rsidRPr="007850A2" w:rsidRDefault="007850A2" w:rsidP="00E568D4">
      <w:pPr>
        <w:pStyle w:val="Heading4"/>
      </w:pPr>
      <w:r>
        <w:t>Single-Sided LED Exit Signs replacing Fluorescent Exit Signs</w:t>
      </w:r>
    </w:p>
    <w:p w:rsidR="007850A2" w:rsidRPr="00F5204A" w:rsidRDefault="007850A2" w:rsidP="007850A2">
      <w:pPr>
        <w:pStyle w:val="Equation"/>
        <w:rPr>
          <w:rFonts w:cs="Arial"/>
          <w:szCs w:val="20"/>
        </w:rPr>
      </w:pPr>
      <w:r w:rsidRPr="00F5204A">
        <w:rPr>
          <w:rFonts w:cs="Arial"/>
          <w:szCs w:val="20"/>
        </w:rPr>
        <w:sym w:font="Symbol" w:char="F044"/>
      </w:r>
      <w:r w:rsidRPr="00F5204A">
        <w:rPr>
          <w:rFonts w:cs="Arial"/>
          <w:szCs w:val="20"/>
        </w:rPr>
        <w:t>kWh</w:t>
      </w:r>
      <w:r w:rsidRPr="00F5204A">
        <w:rPr>
          <w:rFonts w:cs="Arial"/>
          <w:szCs w:val="20"/>
        </w:rPr>
        <w:tab/>
      </w:r>
      <w:r w:rsidRPr="00F5204A">
        <w:rPr>
          <w:rFonts w:cs="Arial"/>
          <w:szCs w:val="20"/>
        </w:rPr>
        <w:tab/>
      </w:r>
      <w:r>
        <w:rPr>
          <w:rFonts w:cs="Arial"/>
          <w:szCs w:val="20"/>
        </w:rPr>
        <w:t>= 69</w:t>
      </w:r>
      <w:r w:rsidRPr="00F5204A">
        <w:rPr>
          <w:rFonts w:cs="Arial"/>
          <w:szCs w:val="20"/>
        </w:rPr>
        <w:t xml:space="preserve"> kWh</w:t>
      </w:r>
    </w:p>
    <w:p w:rsidR="007850A2" w:rsidRDefault="007850A2" w:rsidP="007850A2">
      <w:pPr>
        <w:pStyle w:val="Equation"/>
        <w:rPr>
          <w:rFonts w:cs="Arial"/>
          <w:szCs w:val="20"/>
        </w:rPr>
      </w:pPr>
      <w:r w:rsidRPr="00F5204A">
        <w:rPr>
          <w:rFonts w:cs="Arial"/>
          <w:szCs w:val="20"/>
        </w:rPr>
        <w:sym w:font="Symbol" w:char="F044"/>
      </w:r>
      <w:r w:rsidRPr="00F5204A">
        <w:rPr>
          <w:rFonts w:cs="Arial"/>
          <w:szCs w:val="20"/>
        </w:rPr>
        <w:t>kW</w:t>
      </w:r>
      <w:r w:rsidRPr="00F5204A">
        <w:rPr>
          <w:rFonts w:cs="Arial"/>
          <w:szCs w:val="20"/>
          <w:vertAlign w:val="subscript"/>
        </w:rPr>
        <w:t>peak</w:t>
      </w:r>
      <w:r w:rsidRPr="00F5204A">
        <w:rPr>
          <w:rFonts w:cs="Arial"/>
          <w:szCs w:val="20"/>
        </w:rPr>
        <w:tab/>
      </w:r>
      <w:r w:rsidRPr="00F5204A">
        <w:rPr>
          <w:rFonts w:cs="Arial"/>
          <w:szCs w:val="20"/>
        </w:rPr>
        <w:tab/>
        <w:t>= 0.0</w:t>
      </w:r>
      <w:r>
        <w:rPr>
          <w:rFonts w:cs="Arial"/>
          <w:szCs w:val="20"/>
        </w:rPr>
        <w:t>09</w:t>
      </w:r>
      <w:r w:rsidRPr="00F5204A">
        <w:rPr>
          <w:rFonts w:cs="Arial"/>
          <w:szCs w:val="20"/>
        </w:rPr>
        <w:t xml:space="preserve"> kW</w:t>
      </w:r>
    </w:p>
    <w:p w:rsidR="007850A2" w:rsidRPr="007850A2" w:rsidRDefault="007850A2" w:rsidP="00E568D4">
      <w:pPr>
        <w:pStyle w:val="Heading4"/>
      </w:pPr>
      <w:r>
        <w:t>Dual-Sided LED Exit Signs replacing Fluorescent Exit Signs</w:t>
      </w:r>
    </w:p>
    <w:p w:rsidR="007850A2" w:rsidRPr="00F5204A" w:rsidRDefault="007850A2" w:rsidP="007850A2">
      <w:pPr>
        <w:pStyle w:val="Equation"/>
        <w:rPr>
          <w:rFonts w:cs="Arial"/>
          <w:szCs w:val="20"/>
        </w:rPr>
      </w:pPr>
      <w:r w:rsidRPr="00F5204A">
        <w:rPr>
          <w:rFonts w:cs="Arial"/>
          <w:szCs w:val="20"/>
        </w:rPr>
        <w:sym w:font="Symbol" w:char="F044"/>
      </w:r>
      <w:r w:rsidRPr="00F5204A">
        <w:rPr>
          <w:rFonts w:cs="Arial"/>
          <w:szCs w:val="20"/>
        </w:rPr>
        <w:t>kWh</w:t>
      </w:r>
      <w:r w:rsidRPr="00F5204A">
        <w:rPr>
          <w:rFonts w:cs="Arial"/>
          <w:szCs w:val="20"/>
        </w:rPr>
        <w:tab/>
      </w:r>
      <w:r w:rsidRPr="00F5204A">
        <w:rPr>
          <w:rFonts w:cs="Arial"/>
          <w:szCs w:val="20"/>
        </w:rPr>
        <w:tab/>
        <w:t xml:space="preserve">= </w:t>
      </w:r>
      <w:r>
        <w:rPr>
          <w:rFonts w:cs="Arial"/>
          <w:szCs w:val="20"/>
        </w:rPr>
        <w:t>157</w:t>
      </w:r>
      <w:r w:rsidRPr="00F5204A">
        <w:rPr>
          <w:rFonts w:cs="Arial"/>
          <w:szCs w:val="20"/>
        </w:rPr>
        <w:t xml:space="preserve"> kWh</w:t>
      </w:r>
    </w:p>
    <w:p w:rsidR="007850A2" w:rsidRDefault="007850A2" w:rsidP="007850A2">
      <w:pPr>
        <w:pStyle w:val="Equation"/>
        <w:rPr>
          <w:rFonts w:cs="Arial"/>
          <w:szCs w:val="20"/>
        </w:rPr>
      </w:pPr>
      <w:r w:rsidRPr="00F5204A">
        <w:rPr>
          <w:rFonts w:cs="Arial"/>
          <w:szCs w:val="20"/>
        </w:rPr>
        <w:sym w:font="Symbol" w:char="F044"/>
      </w:r>
      <w:r w:rsidRPr="00F5204A">
        <w:rPr>
          <w:rFonts w:cs="Arial"/>
          <w:szCs w:val="20"/>
        </w:rPr>
        <w:t>kW</w:t>
      </w:r>
      <w:r w:rsidRPr="00F5204A">
        <w:rPr>
          <w:rFonts w:cs="Arial"/>
          <w:szCs w:val="20"/>
          <w:vertAlign w:val="subscript"/>
        </w:rPr>
        <w:t>peak</w:t>
      </w:r>
      <w:r w:rsidRPr="00F5204A">
        <w:rPr>
          <w:rFonts w:cs="Arial"/>
          <w:szCs w:val="20"/>
        </w:rPr>
        <w:tab/>
      </w:r>
      <w:r w:rsidRPr="00F5204A">
        <w:rPr>
          <w:rFonts w:cs="Arial"/>
          <w:szCs w:val="20"/>
        </w:rPr>
        <w:tab/>
        <w:t>= 0.0</w:t>
      </w:r>
      <w:r>
        <w:rPr>
          <w:rFonts w:cs="Arial"/>
          <w:szCs w:val="20"/>
        </w:rPr>
        <w:t>21</w:t>
      </w:r>
      <w:r w:rsidRPr="00F5204A">
        <w:rPr>
          <w:rFonts w:cs="Arial"/>
          <w:szCs w:val="20"/>
        </w:rPr>
        <w:t xml:space="preserve"> kW</w:t>
      </w:r>
    </w:p>
    <w:p w:rsidR="0071013F" w:rsidRDefault="0071013F" w:rsidP="0071013F">
      <w:r w:rsidRPr="00AF340F">
        <w:t xml:space="preserve">The savings are calculated using the algorithms in Section </w:t>
      </w:r>
      <w:r w:rsidR="00274AB1">
        <w:fldChar w:fldCharType="begin"/>
      </w:r>
      <w:r w:rsidR="00274AB1">
        <w:instrText xml:space="preserve"> REF _Ref275549499 \r \h  \* MERGEFORMAT </w:instrText>
      </w:r>
      <w:r w:rsidR="00274AB1">
        <w:fldChar w:fldCharType="separate"/>
      </w:r>
      <w:r w:rsidR="00C0292F">
        <w:t>3.2.2</w:t>
      </w:r>
      <w:r w:rsidR="00274AB1">
        <w:fldChar w:fldCharType="end"/>
      </w:r>
      <w:r w:rsidR="00AF340F" w:rsidRPr="00AF340F">
        <w:t xml:space="preserve"> with </w:t>
      </w:r>
      <w:r w:rsidRPr="00AF340F">
        <w:t xml:space="preserve">assumptions in </w:t>
      </w:r>
      <w:r w:rsidR="00274AB1">
        <w:fldChar w:fldCharType="begin"/>
      </w:r>
      <w:r w:rsidR="00274AB1">
        <w:instrText xml:space="preserve"> REF _Ref275549500 \h  \* MERGEFORMAT </w:instrText>
      </w:r>
      <w:r w:rsidR="00274AB1">
        <w:fldChar w:fldCharType="separate"/>
      </w:r>
      <w:r w:rsidR="00C0292F">
        <w:t xml:space="preserve">Table </w:t>
      </w:r>
      <w:r w:rsidR="00C0292F">
        <w:rPr>
          <w:noProof/>
        </w:rPr>
        <w:t>3</w:t>
      </w:r>
      <w:r w:rsidR="00C0292F">
        <w:rPr>
          <w:noProof/>
        </w:rPr>
        <w:noBreakHyphen/>
        <w:t>10</w:t>
      </w:r>
      <w:r w:rsidR="00274AB1">
        <w:fldChar w:fldCharType="end"/>
      </w:r>
      <w:r w:rsidR="00AF340F" w:rsidRPr="00AF340F">
        <w:t>.</w:t>
      </w:r>
    </w:p>
    <w:p w:rsidR="00AF340F" w:rsidRDefault="00AF340F" w:rsidP="00B20F6B">
      <w:pPr>
        <w:pStyle w:val="Caption"/>
      </w:pPr>
      <w:bookmarkStart w:id="549" w:name="_Ref275549500"/>
      <w:bookmarkStart w:id="550" w:name="_Toc310875562"/>
      <w:r>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w:instrText>
      </w:r>
      <w:r w:rsidR="00274AB1">
        <w:instrText xml:space="preserve"> \s 1 </w:instrText>
      </w:r>
      <w:r w:rsidR="00274AB1">
        <w:fldChar w:fldCharType="separate"/>
      </w:r>
      <w:r w:rsidR="00C0292F">
        <w:rPr>
          <w:noProof/>
        </w:rPr>
        <w:t>10</w:t>
      </w:r>
      <w:r w:rsidR="00274AB1">
        <w:rPr>
          <w:noProof/>
        </w:rPr>
        <w:fldChar w:fldCharType="end"/>
      </w:r>
      <w:bookmarkEnd w:id="549"/>
      <w:r>
        <w:t>: LED Exit Signs</w:t>
      </w:r>
      <w:bookmarkEnd w:id="550"/>
    </w:p>
    <w:tbl>
      <w:tblPr>
        <w:tblW w:w="5000" w:type="pct"/>
        <w:tblLook w:val="00A0" w:firstRow="1" w:lastRow="0" w:firstColumn="1" w:lastColumn="0" w:noHBand="0" w:noVBand="0"/>
      </w:tblPr>
      <w:tblGrid>
        <w:gridCol w:w="1457"/>
        <w:gridCol w:w="1350"/>
        <w:gridCol w:w="4051"/>
        <w:gridCol w:w="1998"/>
      </w:tblGrid>
      <w:tr w:rsidR="0071013F" w:rsidRPr="00ED65F0" w:rsidTr="00F61D55">
        <w:trPr>
          <w:trHeight w:val="20"/>
        </w:trPr>
        <w:tc>
          <w:tcPr>
            <w:tcW w:w="823" w:type="pct"/>
            <w:tcBorders>
              <w:top w:val="single" w:sz="8" w:space="0" w:color="auto"/>
              <w:left w:val="single" w:sz="8" w:space="0" w:color="auto"/>
              <w:bottom w:val="single" w:sz="8" w:space="0" w:color="auto"/>
              <w:right w:val="single" w:sz="8" w:space="0" w:color="auto"/>
            </w:tcBorders>
            <w:shd w:val="clear" w:color="000000" w:fill="BFBFBF"/>
            <w:vAlign w:val="center"/>
          </w:tcPr>
          <w:p w:rsidR="0071013F" w:rsidRPr="001D6512" w:rsidRDefault="0071013F" w:rsidP="00C3606E">
            <w:pPr>
              <w:pStyle w:val="TableCell"/>
              <w:spacing w:before="60" w:after="60"/>
              <w:rPr>
                <w:b/>
              </w:rPr>
            </w:pPr>
            <w:r w:rsidRPr="001D6512">
              <w:rPr>
                <w:b/>
              </w:rPr>
              <w:t>Component</w:t>
            </w:r>
          </w:p>
        </w:tc>
        <w:tc>
          <w:tcPr>
            <w:tcW w:w="762" w:type="pct"/>
            <w:tcBorders>
              <w:top w:val="single" w:sz="8" w:space="0" w:color="auto"/>
              <w:left w:val="nil"/>
              <w:bottom w:val="single" w:sz="8" w:space="0" w:color="auto"/>
              <w:right w:val="single" w:sz="8" w:space="0" w:color="auto"/>
            </w:tcBorders>
            <w:shd w:val="clear" w:color="000000" w:fill="BFBFBF"/>
            <w:vAlign w:val="center"/>
          </w:tcPr>
          <w:p w:rsidR="0071013F" w:rsidRPr="001D6512" w:rsidRDefault="0071013F" w:rsidP="00C3606E">
            <w:pPr>
              <w:pStyle w:val="TableCell"/>
              <w:spacing w:before="60" w:after="60"/>
              <w:rPr>
                <w:b/>
              </w:rPr>
            </w:pPr>
            <w:r w:rsidRPr="001D6512">
              <w:rPr>
                <w:b/>
              </w:rPr>
              <w:t>Type</w:t>
            </w:r>
          </w:p>
        </w:tc>
        <w:tc>
          <w:tcPr>
            <w:tcW w:w="2287" w:type="pct"/>
            <w:tcBorders>
              <w:top w:val="single" w:sz="8" w:space="0" w:color="auto"/>
              <w:left w:val="nil"/>
              <w:bottom w:val="single" w:sz="8" w:space="0" w:color="auto"/>
              <w:right w:val="single" w:sz="8" w:space="0" w:color="auto"/>
            </w:tcBorders>
            <w:shd w:val="clear" w:color="000000" w:fill="BFBFBF"/>
            <w:vAlign w:val="center"/>
          </w:tcPr>
          <w:p w:rsidR="0071013F" w:rsidRPr="001D6512" w:rsidRDefault="0071013F" w:rsidP="00C3606E">
            <w:pPr>
              <w:pStyle w:val="TableCell"/>
              <w:spacing w:before="60" w:after="60"/>
              <w:rPr>
                <w:b/>
              </w:rPr>
            </w:pPr>
            <w:r w:rsidRPr="001D6512">
              <w:rPr>
                <w:b/>
              </w:rPr>
              <w:t>Value</w:t>
            </w:r>
          </w:p>
        </w:tc>
        <w:tc>
          <w:tcPr>
            <w:tcW w:w="1128" w:type="pct"/>
            <w:tcBorders>
              <w:top w:val="single" w:sz="8" w:space="0" w:color="auto"/>
              <w:left w:val="nil"/>
              <w:bottom w:val="single" w:sz="8" w:space="0" w:color="auto"/>
              <w:right w:val="single" w:sz="8" w:space="0" w:color="auto"/>
            </w:tcBorders>
            <w:shd w:val="clear" w:color="000000" w:fill="BFBFBF"/>
            <w:vAlign w:val="center"/>
          </w:tcPr>
          <w:p w:rsidR="0071013F" w:rsidRPr="001D6512" w:rsidRDefault="0071013F" w:rsidP="00C3606E">
            <w:pPr>
              <w:pStyle w:val="TableCell"/>
              <w:spacing w:before="60" w:after="60"/>
              <w:rPr>
                <w:b/>
              </w:rPr>
            </w:pPr>
            <w:r w:rsidRPr="001D6512">
              <w:rPr>
                <w:b/>
              </w:rPr>
              <w:t>Source</w:t>
            </w:r>
          </w:p>
        </w:tc>
      </w:tr>
      <w:tr w:rsidR="00F61D55" w:rsidRPr="00123BD8" w:rsidTr="00F61D55">
        <w:trPr>
          <w:trHeight w:val="20"/>
        </w:trPr>
        <w:tc>
          <w:tcPr>
            <w:tcW w:w="823" w:type="pct"/>
            <w:vMerge w:val="restart"/>
            <w:tcBorders>
              <w:top w:val="nil"/>
              <w:left w:val="single" w:sz="8" w:space="0" w:color="auto"/>
              <w:right w:val="single" w:sz="8" w:space="0" w:color="auto"/>
            </w:tcBorders>
            <w:vAlign w:val="center"/>
          </w:tcPr>
          <w:p w:rsidR="00F61D55" w:rsidRPr="001D6512" w:rsidRDefault="00F61D55" w:rsidP="00F61D55">
            <w:pPr>
              <w:pStyle w:val="TableCell"/>
              <w:spacing w:before="60" w:after="60"/>
            </w:pPr>
            <w:r w:rsidRPr="001D6512">
              <w:t>kW</w:t>
            </w:r>
            <w:r w:rsidRPr="001D6512">
              <w:rPr>
                <w:i/>
                <w:iCs/>
                <w:vertAlign w:val="subscript"/>
              </w:rPr>
              <w:t xml:space="preserve">base </w:t>
            </w:r>
          </w:p>
        </w:tc>
        <w:tc>
          <w:tcPr>
            <w:tcW w:w="762" w:type="pct"/>
            <w:vMerge w:val="restart"/>
            <w:tcBorders>
              <w:top w:val="nil"/>
              <w:left w:val="nil"/>
              <w:right w:val="single" w:sz="8" w:space="0" w:color="auto"/>
            </w:tcBorders>
            <w:vAlign w:val="center"/>
          </w:tcPr>
          <w:p w:rsidR="00F61D55" w:rsidRPr="001D6512" w:rsidRDefault="00F61D55" w:rsidP="00F61D55">
            <w:pPr>
              <w:pStyle w:val="TableCell"/>
              <w:spacing w:before="60" w:after="60"/>
            </w:pPr>
            <w:r w:rsidRPr="001D6512">
              <w:t>Fixed</w:t>
            </w:r>
          </w:p>
        </w:tc>
        <w:tc>
          <w:tcPr>
            <w:tcW w:w="2287" w:type="pct"/>
            <w:tcBorders>
              <w:top w:val="nil"/>
              <w:left w:val="nil"/>
              <w:bottom w:val="single" w:sz="8" w:space="0" w:color="auto"/>
              <w:right w:val="single" w:sz="8" w:space="0" w:color="auto"/>
            </w:tcBorders>
            <w:vAlign w:val="center"/>
          </w:tcPr>
          <w:p w:rsidR="00F61D55" w:rsidRPr="001D6512" w:rsidRDefault="00F61D55" w:rsidP="00F61D55">
            <w:pPr>
              <w:pStyle w:val="TableCell"/>
              <w:spacing w:before="60" w:after="60"/>
            </w:pPr>
            <w:r w:rsidRPr="001D6512">
              <w:t>Single-Sided Incandescent: 20W</w:t>
            </w:r>
          </w:p>
          <w:p w:rsidR="00F61D55" w:rsidRPr="001D6512" w:rsidRDefault="00F61D55" w:rsidP="00F61D55">
            <w:pPr>
              <w:pStyle w:val="TableCell"/>
              <w:spacing w:before="60" w:after="60"/>
            </w:pPr>
            <w:r w:rsidRPr="001D6512">
              <w:t>Dual-Sided Incandescent: 40W</w:t>
            </w:r>
          </w:p>
          <w:p w:rsidR="00F61D55" w:rsidRPr="001D6512" w:rsidRDefault="00F61D55" w:rsidP="00F61D55">
            <w:pPr>
              <w:pStyle w:val="TableCell"/>
              <w:spacing w:before="60" w:after="60"/>
            </w:pPr>
            <w:r w:rsidRPr="001D6512">
              <w:t>Single-Sided Fluorescent: 9W</w:t>
            </w:r>
          </w:p>
          <w:p w:rsidR="00F61D55" w:rsidRPr="001D6512" w:rsidRDefault="00F61D55" w:rsidP="00F61D55">
            <w:pPr>
              <w:pStyle w:val="TableCell"/>
              <w:spacing w:before="60" w:after="60"/>
            </w:pPr>
            <w:r w:rsidRPr="001D6512">
              <w:t>Dual-Sided Fluorescent: 20W</w:t>
            </w:r>
          </w:p>
        </w:tc>
        <w:tc>
          <w:tcPr>
            <w:tcW w:w="1128" w:type="pct"/>
            <w:tcBorders>
              <w:top w:val="nil"/>
              <w:left w:val="nil"/>
              <w:bottom w:val="single" w:sz="8" w:space="0" w:color="auto"/>
              <w:right w:val="single" w:sz="8" w:space="0" w:color="auto"/>
            </w:tcBorders>
            <w:vAlign w:val="center"/>
          </w:tcPr>
          <w:p w:rsidR="00F61D55" w:rsidRPr="001D6512" w:rsidRDefault="00F61D55" w:rsidP="00F61D55">
            <w:pPr>
              <w:pStyle w:val="TableCell"/>
              <w:spacing w:before="60" w:after="60"/>
            </w:pPr>
            <w:r w:rsidRPr="001D6512">
              <w:t>Appendix C: Standard Wattage Table</w:t>
            </w:r>
          </w:p>
        </w:tc>
      </w:tr>
      <w:tr w:rsidR="00F61D55" w:rsidRPr="00123BD8" w:rsidTr="00F61D55">
        <w:trPr>
          <w:trHeight w:val="20"/>
        </w:trPr>
        <w:tc>
          <w:tcPr>
            <w:tcW w:w="823" w:type="pct"/>
            <w:vMerge/>
            <w:tcBorders>
              <w:left w:val="single" w:sz="8" w:space="0" w:color="auto"/>
              <w:bottom w:val="single" w:sz="8" w:space="0" w:color="auto"/>
              <w:right w:val="single" w:sz="8" w:space="0" w:color="auto"/>
            </w:tcBorders>
            <w:vAlign w:val="center"/>
          </w:tcPr>
          <w:p w:rsidR="00F61D55" w:rsidRPr="001D6512" w:rsidRDefault="00F61D55" w:rsidP="00F61D55">
            <w:pPr>
              <w:pStyle w:val="TableCell"/>
              <w:spacing w:before="60" w:after="60"/>
            </w:pPr>
          </w:p>
        </w:tc>
        <w:tc>
          <w:tcPr>
            <w:tcW w:w="762" w:type="pct"/>
            <w:vMerge/>
            <w:tcBorders>
              <w:left w:val="nil"/>
              <w:bottom w:val="single" w:sz="8" w:space="0" w:color="auto"/>
              <w:right w:val="single" w:sz="8" w:space="0" w:color="auto"/>
            </w:tcBorders>
            <w:vAlign w:val="center"/>
          </w:tcPr>
          <w:p w:rsidR="00F61D55" w:rsidRPr="001D6512" w:rsidRDefault="00F61D55" w:rsidP="00F61D55">
            <w:pPr>
              <w:pStyle w:val="TableCell"/>
              <w:spacing w:before="60" w:after="60"/>
            </w:pPr>
          </w:p>
        </w:tc>
        <w:tc>
          <w:tcPr>
            <w:tcW w:w="2287" w:type="pct"/>
            <w:tcBorders>
              <w:top w:val="nil"/>
              <w:left w:val="nil"/>
              <w:bottom w:val="single" w:sz="8" w:space="0" w:color="auto"/>
              <w:right w:val="single" w:sz="8" w:space="0" w:color="auto"/>
            </w:tcBorders>
            <w:vAlign w:val="center"/>
          </w:tcPr>
          <w:p w:rsidR="00F61D55" w:rsidRPr="001D6512" w:rsidRDefault="00A86C60" w:rsidP="00F61D55">
            <w:pPr>
              <w:pStyle w:val="TableCell"/>
              <w:spacing w:before="60" w:after="60"/>
            </w:pPr>
            <w:r w:rsidRPr="001D6512">
              <w:t>Actual Wattage</w:t>
            </w:r>
          </w:p>
        </w:tc>
        <w:tc>
          <w:tcPr>
            <w:tcW w:w="1128" w:type="pct"/>
            <w:tcBorders>
              <w:top w:val="nil"/>
              <w:left w:val="nil"/>
              <w:bottom w:val="single" w:sz="8" w:space="0" w:color="auto"/>
              <w:right w:val="single" w:sz="8" w:space="0" w:color="auto"/>
            </w:tcBorders>
            <w:vAlign w:val="center"/>
          </w:tcPr>
          <w:p w:rsidR="00F61D55" w:rsidRPr="001D6512" w:rsidRDefault="00F61D55" w:rsidP="00F61D55">
            <w:pPr>
              <w:pStyle w:val="TableCell"/>
              <w:spacing w:before="60" w:after="60"/>
            </w:pPr>
            <w:r w:rsidRPr="001D6512">
              <w:t>EDC Data Gathering</w:t>
            </w:r>
          </w:p>
        </w:tc>
      </w:tr>
      <w:tr w:rsidR="00F61D55" w:rsidRPr="00123BD8" w:rsidTr="00F61D55">
        <w:trPr>
          <w:trHeight w:val="20"/>
        </w:trPr>
        <w:tc>
          <w:tcPr>
            <w:tcW w:w="823" w:type="pct"/>
            <w:vMerge w:val="restart"/>
            <w:tcBorders>
              <w:top w:val="nil"/>
              <w:left w:val="single" w:sz="8" w:space="0" w:color="auto"/>
              <w:right w:val="single" w:sz="8" w:space="0" w:color="auto"/>
            </w:tcBorders>
            <w:vAlign w:val="center"/>
          </w:tcPr>
          <w:p w:rsidR="00F61D55" w:rsidRPr="001D6512" w:rsidRDefault="00F61D55" w:rsidP="00F61D55">
            <w:pPr>
              <w:pStyle w:val="TableCell"/>
              <w:spacing w:before="60" w:after="60"/>
            </w:pPr>
            <w:r w:rsidRPr="001D6512">
              <w:t>kW</w:t>
            </w:r>
            <w:r w:rsidRPr="001D6512">
              <w:rPr>
                <w:i/>
                <w:iCs/>
                <w:vertAlign w:val="subscript"/>
              </w:rPr>
              <w:t>inst</w:t>
            </w:r>
          </w:p>
        </w:tc>
        <w:tc>
          <w:tcPr>
            <w:tcW w:w="762" w:type="pct"/>
            <w:vMerge w:val="restart"/>
            <w:tcBorders>
              <w:top w:val="nil"/>
              <w:left w:val="nil"/>
              <w:right w:val="single" w:sz="8" w:space="0" w:color="auto"/>
            </w:tcBorders>
            <w:vAlign w:val="center"/>
          </w:tcPr>
          <w:p w:rsidR="00F61D55" w:rsidRPr="001D6512" w:rsidRDefault="00F61D55" w:rsidP="00F61D55">
            <w:pPr>
              <w:pStyle w:val="TableCell"/>
              <w:spacing w:before="60" w:after="60"/>
            </w:pPr>
            <w:r w:rsidRPr="001D6512">
              <w:t>Fixed</w:t>
            </w:r>
          </w:p>
        </w:tc>
        <w:tc>
          <w:tcPr>
            <w:tcW w:w="2287" w:type="pct"/>
            <w:tcBorders>
              <w:top w:val="nil"/>
              <w:left w:val="nil"/>
              <w:bottom w:val="single" w:sz="8" w:space="0" w:color="auto"/>
              <w:right w:val="single" w:sz="8" w:space="0" w:color="auto"/>
            </w:tcBorders>
            <w:vAlign w:val="center"/>
          </w:tcPr>
          <w:p w:rsidR="00F61D55" w:rsidRPr="001D6512" w:rsidRDefault="00F61D55" w:rsidP="00F61D55">
            <w:pPr>
              <w:pStyle w:val="TableCell"/>
              <w:spacing w:before="60" w:after="60"/>
            </w:pPr>
            <w:r w:rsidRPr="001D6512">
              <w:t>Single-Sided: 2W</w:t>
            </w:r>
          </w:p>
          <w:p w:rsidR="00F61D55" w:rsidRPr="001D6512" w:rsidRDefault="00F61D55" w:rsidP="00F61D55">
            <w:pPr>
              <w:pStyle w:val="TableCell"/>
              <w:spacing w:before="60" w:after="60"/>
            </w:pPr>
            <w:r w:rsidRPr="001D6512">
              <w:t>Dual-Sided: 4W</w:t>
            </w:r>
          </w:p>
        </w:tc>
        <w:tc>
          <w:tcPr>
            <w:tcW w:w="1128" w:type="pct"/>
            <w:tcBorders>
              <w:top w:val="nil"/>
              <w:left w:val="nil"/>
              <w:bottom w:val="single" w:sz="8" w:space="0" w:color="auto"/>
              <w:right w:val="single" w:sz="8" w:space="0" w:color="auto"/>
            </w:tcBorders>
            <w:vAlign w:val="center"/>
          </w:tcPr>
          <w:p w:rsidR="00F61D55" w:rsidRPr="001D6512" w:rsidRDefault="00F61D55" w:rsidP="00F61D55">
            <w:pPr>
              <w:pStyle w:val="TableCell"/>
              <w:spacing w:before="60" w:after="60"/>
            </w:pPr>
            <w:r w:rsidRPr="001D6512">
              <w:t>Appendix C: Standard Wattage Table</w:t>
            </w:r>
          </w:p>
        </w:tc>
      </w:tr>
      <w:tr w:rsidR="00F61D55" w:rsidRPr="00123BD8" w:rsidTr="00F61D55">
        <w:trPr>
          <w:trHeight w:val="20"/>
        </w:trPr>
        <w:tc>
          <w:tcPr>
            <w:tcW w:w="823" w:type="pct"/>
            <w:vMerge/>
            <w:tcBorders>
              <w:left w:val="single" w:sz="8" w:space="0" w:color="auto"/>
              <w:bottom w:val="single" w:sz="8" w:space="0" w:color="auto"/>
              <w:right w:val="single" w:sz="8" w:space="0" w:color="auto"/>
            </w:tcBorders>
            <w:vAlign w:val="center"/>
          </w:tcPr>
          <w:p w:rsidR="00F61D55" w:rsidRPr="001D6512" w:rsidRDefault="00F61D55" w:rsidP="00F61D55">
            <w:pPr>
              <w:pStyle w:val="TableCell"/>
              <w:spacing w:before="60" w:after="60"/>
            </w:pPr>
          </w:p>
        </w:tc>
        <w:tc>
          <w:tcPr>
            <w:tcW w:w="762" w:type="pct"/>
            <w:vMerge/>
            <w:tcBorders>
              <w:left w:val="nil"/>
              <w:bottom w:val="single" w:sz="8" w:space="0" w:color="auto"/>
              <w:right w:val="single" w:sz="8" w:space="0" w:color="auto"/>
            </w:tcBorders>
            <w:vAlign w:val="center"/>
          </w:tcPr>
          <w:p w:rsidR="00F61D55" w:rsidRPr="001D6512" w:rsidRDefault="00F61D55" w:rsidP="00F61D55">
            <w:pPr>
              <w:pStyle w:val="TableCell"/>
              <w:spacing w:before="60" w:after="60"/>
            </w:pPr>
          </w:p>
        </w:tc>
        <w:tc>
          <w:tcPr>
            <w:tcW w:w="2287" w:type="pct"/>
            <w:tcBorders>
              <w:top w:val="nil"/>
              <w:left w:val="nil"/>
              <w:bottom w:val="single" w:sz="8" w:space="0" w:color="auto"/>
              <w:right w:val="single" w:sz="8" w:space="0" w:color="auto"/>
            </w:tcBorders>
            <w:vAlign w:val="center"/>
          </w:tcPr>
          <w:p w:rsidR="00F61D55" w:rsidRPr="001D6512" w:rsidRDefault="00A86C60" w:rsidP="00F61D55">
            <w:pPr>
              <w:pStyle w:val="TableCell"/>
              <w:spacing w:before="60" w:after="60"/>
            </w:pPr>
            <w:r w:rsidRPr="001D6512">
              <w:t>Actual Wattage</w:t>
            </w:r>
          </w:p>
        </w:tc>
        <w:tc>
          <w:tcPr>
            <w:tcW w:w="1128" w:type="pct"/>
            <w:tcBorders>
              <w:top w:val="nil"/>
              <w:left w:val="nil"/>
              <w:bottom w:val="single" w:sz="8" w:space="0" w:color="auto"/>
              <w:right w:val="single" w:sz="8" w:space="0" w:color="auto"/>
            </w:tcBorders>
            <w:vAlign w:val="center"/>
          </w:tcPr>
          <w:p w:rsidR="00F61D55" w:rsidRPr="001D6512" w:rsidRDefault="00F61D55" w:rsidP="00F61D55">
            <w:pPr>
              <w:pStyle w:val="TableCell"/>
              <w:spacing w:before="60" w:after="60"/>
            </w:pPr>
            <w:r w:rsidRPr="001D6512">
              <w:t>EDC Data Gathering</w:t>
            </w:r>
          </w:p>
        </w:tc>
      </w:tr>
      <w:tr w:rsidR="0071013F" w:rsidRPr="00123BD8" w:rsidTr="00F61D55">
        <w:trPr>
          <w:trHeight w:val="20"/>
        </w:trPr>
        <w:tc>
          <w:tcPr>
            <w:tcW w:w="823" w:type="pct"/>
            <w:tcBorders>
              <w:top w:val="nil"/>
              <w:left w:val="single" w:sz="8" w:space="0" w:color="auto"/>
              <w:bottom w:val="single" w:sz="8" w:space="0" w:color="auto"/>
              <w:right w:val="single" w:sz="8" w:space="0" w:color="auto"/>
            </w:tcBorders>
            <w:vAlign w:val="center"/>
          </w:tcPr>
          <w:p w:rsidR="0071013F" w:rsidRPr="001D6512" w:rsidRDefault="0071013F" w:rsidP="00F61D55">
            <w:pPr>
              <w:pStyle w:val="TableCell"/>
              <w:spacing w:before="60" w:after="60"/>
            </w:pPr>
            <w:r w:rsidRPr="001D6512">
              <w:t>CF</w:t>
            </w:r>
          </w:p>
        </w:tc>
        <w:tc>
          <w:tcPr>
            <w:tcW w:w="762" w:type="pct"/>
            <w:tcBorders>
              <w:top w:val="nil"/>
              <w:left w:val="nil"/>
              <w:bottom w:val="single" w:sz="8" w:space="0" w:color="auto"/>
              <w:right w:val="single" w:sz="8" w:space="0" w:color="auto"/>
            </w:tcBorders>
            <w:vAlign w:val="center"/>
          </w:tcPr>
          <w:p w:rsidR="0071013F" w:rsidRPr="001D6512" w:rsidRDefault="0071013F" w:rsidP="00F61D55">
            <w:pPr>
              <w:pStyle w:val="TableCell"/>
              <w:spacing w:before="60" w:after="60"/>
            </w:pPr>
            <w:r w:rsidRPr="001D6512">
              <w:t>Fixed</w:t>
            </w:r>
          </w:p>
        </w:tc>
        <w:tc>
          <w:tcPr>
            <w:tcW w:w="2287" w:type="pct"/>
            <w:tcBorders>
              <w:top w:val="nil"/>
              <w:left w:val="nil"/>
              <w:bottom w:val="single" w:sz="8" w:space="0" w:color="auto"/>
              <w:right w:val="single" w:sz="8" w:space="0" w:color="auto"/>
            </w:tcBorders>
            <w:vAlign w:val="center"/>
          </w:tcPr>
          <w:p w:rsidR="0071013F" w:rsidRPr="001D6512" w:rsidRDefault="0071013F" w:rsidP="00F61D55">
            <w:pPr>
              <w:pStyle w:val="TableCell"/>
              <w:spacing w:before="60" w:after="60"/>
            </w:pPr>
            <w:r w:rsidRPr="001D6512">
              <w:t>1.0</w:t>
            </w:r>
          </w:p>
        </w:tc>
        <w:tc>
          <w:tcPr>
            <w:tcW w:w="1128" w:type="pct"/>
            <w:tcBorders>
              <w:top w:val="nil"/>
              <w:left w:val="nil"/>
              <w:bottom w:val="single" w:sz="8" w:space="0" w:color="auto"/>
              <w:right w:val="single" w:sz="8" w:space="0" w:color="auto"/>
            </w:tcBorders>
            <w:vAlign w:val="center"/>
          </w:tcPr>
          <w:p w:rsidR="0071013F" w:rsidRPr="001D6512" w:rsidRDefault="004A043C" w:rsidP="00F61D55">
            <w:pPr>
              <w:pStyle w:val="TableCell"/>
              <w:spacing w:before="60" w:after="60"/>
            </w:pPr>
            <w:r w:rsidRPr="001D6512">
              <w:t>1</w:t>
            </w:r>
          </w:p>
        </w:tc>
      </w:tr>
      <w:tr w:rsidR="0071013F" w:rsidRPr="00123BD8" w:rsidTr="00F61D55">
        <w:trPr>
          <w:trHeight w:val="20"/>
        </w:trPr>
        <w:tc>
          <w:tcPr>
            <w:tcW w:w="823" w:type="pct"/>
            <w:tcBorders>
              <w:top w:val="nil"/>
              <w:left w:val="single" w:sz="8" w:space="0" w:color="auto"/>
              <w:bottom w:val="single" w:sz="8" w:space="0" w:color="auto"/>
              <w:right w:val="single" w:sz="8" w:space="0" w:color="auto"/>
            </w:tcBorders>
            <w:vAlign w:val="center"/>
          </w:tcPr>
          <w:p w:rsidR="0071013F" w:rsidRPr="001D6512" w:rsidRDefault="00371EF1" w:rsidP="00F61D55">
            <w:pPr>
              <w:pStyle w:val="TableCell"/>
              <w:spacing w:before="60" w:after="60"/>
            </w:pPr>
            <w:r w:rsidRPr="001D6512">
              <w:t>HOU</w:t>
            </w:r>
          </w:p>
        </w:tc>
        <w:tc>
          <w:tcPr>
            <w:tcW w:w="762" w:type="pct"/>
            <w:tcBorders>
              <w:top w:val="nil"/>
              <w:left w:val="nil"/>
              <w:bottom w:val="single" w:sz="8" w:space="0" w:color="auto"/>
              <w:right w:val="single" w:sz="8" w:space="0" w:color="auto"/>
            </w:tcBorders>
            <w:vAlign w:val="center"/>
          </w:tcPr>
          <w:p w:rsidR="0071013F" w:rsidRPr="001D6512" w:rsidRDefault="0071013F" w:rsidP="00F61D55">
            <w:pPr>
              <w:pStyle w:val="TableCell"/>
              <w:spacing w:before="60" w:after="60"/>
            </w:pPr>
            <w:r w:rsidRPr="001D6512">
              <w:t>Fixed</w:t>
            </w:r>
          </w:p>
        </w:tc>
        <w:tc>
          <w:tcPr>
            <w:tcW w:w="2287" w:type="pct"/>
            <w:tcBorders>
              <w:top w:val="nil"/>
              <w:left w:val="nil"/>
              <w:bottom w:val="single" w:sz="8" w:space="0" w:color="auto"/>
              <w:right w:val="single" w:sz="8" w:space="0" w:color="auto"/>
            </w:tcBorders>
            <w:vAlign w:val="center"/>
          </w:tcPr>
          <w:p w:rsidR="0071013F" w:rsidRPr="001D6512" w:rsidRDefault="0071013F" w:rsidP="00F61D55">
            <w:pPr>
              <w:pStyle w:val="TableCell"/>
              <w:spacing w:before="60" w:after="60"/>
            </w:pPr>
            <w:r w:rsidRPr="001D6512">
              <w:t>8760</w:t>
            </w:r>
          </w:p>
        </w:tc>
        <w:tc>
          <w:tcPr>
            <w:tcW w:w="1128" w:type="pct"/>
            <w:tcBorders>
              <w:top w:val="nil"/>
              <w:left w:val="nil"/>
              <w:bottom w:val="single" w:sz="8" w:space="0" w:color="auto"/>
              <w:right w:val="single" w:sz="8" w:space="0" w:color="auto"/>
            </w:tcBorders>
            <w:vAlign w:val="center"/>
          </w:tcPr>
          <w:p w:rsidR="0071013F" w:rsidRPr="001D6512" w:rsidRDefault="004A043C" w:rsidP="00F61D55">
            <w:pPr>
              <w:pStyle w:val="TableCell"/>
              <w:spacing w:before="60" w:after="60"/>
            </w:pPr>
            <w:r w:rsidRPr="001D6512">
              <w:t>1</w:t>
            </w:r>
          </w:p>
        </w:tc>
      </w:tr>
      <w:tr w:rsidR="0071013F" w:rsidRPr="00123BD8" w:rsidTr="00F61D55">
        <w:trPr>
          <w:trHeight w:val="20"/>
        </w:trPr>
        <w:tc>
          <w:tcPr>
            <w:tcW w:w="823" w:type="pct"/>
            <w:tcBorders>
              <w:top w:val="nil"/>
              <w:left w:val="single" w:sz="8" w:space="0" w:color="auto"/>
              <w:bottom w:val="single" w:sz="8" w:space="0" w:color="auto"/>
              <w:right w:val="single" w:sz="8" w:space="0" w:color="auto"/>
            </w:tcBorders>
            <w:vAlign w:val="center"/>
          </w:tcPr>
          <w:p w:rsidR="0071013F" w:rsidRPr="001D6512" w:rsidRDefault="0071013F" w:rsidP="00F61D55">
            <w:pPr>
              <w:pStyle w:val="TableCell"/>
              <w:spacing w:before="60" w:after="60"/>
            </w:pPr>
            <w:r w:rsidRPr="001D6512">
              <w:t>IF</w:t>
            </w:r>
            <w:r w:rsidRPr="001D6512">
              <w:rPr>
                <w:vertAlign w:val="subscript"/>
              </w:rPr>
              <w:t>energy</w:t>
            </w:r>
          </w:p>
        </w:tc>
        <w:tc>
          <w:tcPr>
            <w:tcW w:w="762" w:type="pct"/>
            <w:tcBorders>
              <w:top w:val="nil"/>
              <w:left w:val="nil"/>
              <w:bottom w:val="single" w:sz="8" w:space="0" w:color="auto"/>
              <w:right w:val="single" w:sz="8" w:space="0" w:color="auto"/>
            </w:tcBorders>
            <w:vAlign w:val="center"/>
          </w:tcPr>
          <w:p w:rsidR="0071013F" w:rsidRPr="001D6512" w:rsidRDefault="0071013F" w:rsidP="00F61D55">
            <w:pPr>
              <w:pStyle w:val="TableCell"/>
              <w:spacing w:before="60" w:after="60"/>
            </w:pPr>
            <w:r w:rsidRPr="001D6512">
              <w:t>Fixed</w:t>
            </w:r>
          </w:p>
        </w:tc>
        <w:tc>
          <w:tcPr>
            <w:tcW w:w="2287" w:type="pct"/>
            <w:tcBorders>
              <w:top w:val="nil"/>
              <w:left w:val="nil"/>
              <w:bottom w:val="single" w:sz="8" w:space="0" w:color="auto"/>
              <w:right w:val="single" w:sz="8" w:space="0" w:color="auto"/>
            </w:tcBorders>
            <w:vAlign w:val="center"/>
          </w:tcPr>
          <w:p w:rsidR="0071013F" w:rsidRPr="001D6512" w:rsidRDefault="004A043C" w:rsidP="00F61D55">
            <w:pPr>
              <w:pStyle w:val="TableCell"/>
              <w:spacing w:before="60" w:after="60"/>
            </w:pPr>
            <w:r w:rsidRPr="001D6512">
              <w:t xml:space="preserve">Cooled Space: </w:t>
            </w:r>
            <w:r w:rsidR="0071013F" w:rsidRPr="001D6512">
              <w:t>0.</w:t>
            </w:r>
            <w:r w:rsidRPr="001D6512">
              <w:t>12</w:t>
            </w:r>
          </w:p>
        </w:tc>
        <w:tc>
          <w:tcPr>
            <w:tcW w:w="1128" w:type="pct"/>
            <w:tcBorders>
              <w:top w:val="nil"/>
              <w:left w:val="nil"/>
              <w:bottom w:val="single" w:sz="8" w:space="0" w:color="auto"/>
              <w:right w:val="single" w:sz="8" w:space="0" w:color="auto"/>
            </w:tcBorders>
            <w:vAlign w:val="center"/>
          </w:tcPr>
          <w:p w:rsidR="0071013F" w:rsidRPr="001D6512" w:rsidRDefault="004A043C" w:rsidP="00F61D55">
            <w:pPr>
              <w:pStyle w:val="TableCell"/>
              <w:spacing w:before="60" w:after="60"/>
            </w:pPr>
            <w:r w:rsidRPr="001D6512">
              <w:t>Table 3-6</w:t>
            </w:r>
          </w:p>
        </w:tc>
      </w:tr>
      <w:tr w:rsidR="0071013F" w:rsidRPr="00123BD8" w:rsidTr="00F61D55">
        <w:trPr>
          <w:trHeight w:val="20"/>
        </w:trPr>
        <w:tc>
          <w:tcPr>
            <w:tcW w:w="823" w:type="pct"/>
            <w:tcBorders>
              <w:top w:val="nil"/>
              <w:left w:val="single" w:sz="8" w:space="0" w:color="auto"/>
              <w:bottom w:val="single" w:sz="8" w:space="0" w:color="auto"/>
              <w:right w:val="single" w:sz="8" w:space="0" w:color="auto"/>
            </w:tcBorders>
            <w:vAlign w:val="center"/>
          </w:tcPr>
          <w:p w:rsidR="0071013F" w:rsidRPr="001D6512" w:rsidRDefault="0071013F" w:rsidP="00F61D55">
            <w:pPr>
              <w:pStyle w:val="TableCell"/>
              <w:keepNext w:val="0"/>
              <w:spacing w:before="60" w:after="60"/>
            </w:pPr>
            <w:r w:rsidRPr="001D6512">
              <w:t>IF</w:t>
            </w:r>
            <w:r w:rsidRPr="001D6512">
              <w:rPr>
                <w:vertAlign w:val="subscript"/>
              </w:rPr>
              <w:t>demand</w:t>
            </w:r>
          </w:p>
        </w:tc>
        <w:tc>
          <w:tcPr>
            <w:tcW w:w="762" w:type="pct"/>
            <w:tcBorders>
              <w:top w:val="nil"/>
              <w:left w:val="nil"/>
              <w:bottom w:val="single" w:sz="8" w:space="0" w:color="auto"/>
              <w:right w:val="single" w:sz="8" w:space="0" w:color="auto"/>
            </w:tcBorders>
            <w:vAlign w:val="center"/>
          </w:tcPr>
          <w:p w:rsidR="0071013F" w:rsidRPr="001D6512" w:rsidRDefault="0071013F" w:rsidP="00F61D55">
            <w:pPr>
              <w:pStyle w:val="TableCell"/>
              <w:keepNext w:val="0"/>
              <w:spacing w:before="60" w:after="60"/>
            </w:pPr>
            <w:r w:rsidRPr="001D6512">
              <w:t>Fixed</w:t>
            </w:r>
          </w:p>
        </w:tc>
        <w:tc>
          <w:tcPr>
            <w:tcW w:w="2287" w:type="pct"/>
            <w:tcBorders>
              <w:top w:val="nil"/>
              <w:left w:val="nil"/>
              <w:bottom w:val="single" w:sz="8" w:space="0" w:color="auto"/>
              <w:right w:val="single" w:sz="8" w:space="0" w:color="auto"/>
            </w:tcBorders>
            <w:vAlign w:val="center"/>
          </w:tcPr>
          <w:p w:rsidR="0071013F" w:rsidRPr="001D6512" w:rsidRDefault="004A043C" w:rsidP="00F61D55">
            <w:pPr>
              <w:pStyle w:val="TableCell"/>
              <w:keepNext w:val="0"/>
              <w:spacing w:before="60" w:after="60"/>
            </w:pPr>
            <w:r w:rsidRPr="001D6512">
              <w:t xml:space="preserve">Cooled Space: </w:t>
            </w:r>
            <w:r w:rsidR="0071013F" w:rsidRPr="001D6512">
              <w:t>0.</w:t>
            </w:r>
            <w:r w:rsidRPr="001D6512">
              <w:t>34</w:t>
            </w:r>
          </w:p>
        </w:tc>
        <w:tc>
          <w:tcPr>
            <w:tcW w:w="1128" w:type="pct"/>
            <w:tcBorders>
              <w:top w:val="nil"/>
              <w:left w:val="nil"/>
              <w:bottom w:val="single" w:sz="8" w:space="0" w:color="auto"/>
              <w:right w:val="single" w:sz="8" w:space="0" w:color="auto"/>
            </w:tcBorders>
            <w:vAlign w:val="center"/>
          </w:tcPr>
          <w:p w:rsidR="0071013F" w:rsidRPr="001D6512" w:rsidRDefault="004A043C" w:rsidP="00F61D55">
            <w:pPr>
              <w:pStyle w:val="TableCell"/>
              <w:keepNext w:val="0"/>
              <w:spacing w:before="60" w:after="60"/>
            </w:pPr>
            <w:r w:rsidRPr="001D6512">
              <w:t>Table 3-6</w:t>
            </w:r>
          </w:p>
        </w:tc>
      </w:tr>
    </w:tbl>
    <w:p w:rsidR="00ED65F0" w:rsidRDefault="00ED65F0" w:rsidP="00C3606E">
      <w:pPr>
        <w:spacing w:after="0"/>
      </w:pPr>
    </w:p>
    <w:p w:rsidR="0071013F" w:rsidRPr="00BC5194" w:rsidRDefault="0071013F" w:rsidP="00B20F6B">
      <w:pPr>
        <w:rPr>
          <w:b/>
        </w:rPr>
      </w:pPr>
      <w:r w:rsidRPr="00BC5194">
        <w:rPr>
          <w:b/>
        </w:rPr>
        <w:t>Sources:</w:t>
      </w:r>
    </w:p>
    <w:p w:rsidR="00791069" w:rsidRPr="004A043C" w:rsidRDefault="0071013F" w:rsidP="0005632A">
      <w:pPr>
        <w:pStyle w:val="source1"/>
        <w:numPr>
          <w:ilvl w:val="0"/>
          <w:numId w:val="69"/>
        </w:numPr>
      </w:pPr>
      <w:r w:rsidRPr="004A043C">
        <w:rPr>
          <w:iCs/>
          <w:szCs w:val="24"/>
        </w:rPr>
        <w:t>WI Focus on Energy,</w:t>
      </w:r>
      <w:r w:rsidRPr="004A043C">
        <w:rPr>
          <w:i/>
          <w:iCs/>
          <w:szCs w:val="24"/>
        </w:rPr>
        <w:t xml:space="preserve"> </w:t>
      </w:r>
      <w:r w:rsidRPr="004A043C">
        <w:rPr>
          <w:iCs/>
          <w:szCs w:val="24"/>
        </w:rPr>
        <w:t>“</w:t>
      </w:r>
      <w:r w:rsidRPr="004A043C">
        <w:rPr>
          <w:i/>
          <w:iCs/>
          <w:szCs w:val="24"/>
        </w:rPr>
        <w:t>Business Programs: Deemed Savings Manual V1.0</w:t>
      </w:r>
      <w:r w:rsidRPr="004A043C">
        <w:rPr>
          <w:iCs/>
          <w:szCs w:val="24"/>
        </w:rPr>
        <w:t xml:space="preserve">.” </w:t>
      </w:r>
      <w:r w:rsidRPr="004A043C">
        <w:rPr>
          <w:szCs w:val="24"/>
        </w:rPr>
        <w:t>Update Date: March 22, 2010.  LED Exit Sign.</w:t>
      </w:r>
    </w:p>
    <w:p w:rsidR="00A22E85" w:rsidRPr="001C4AD5" w:rsidRDefault="001E6208" w:rsidP="00E568D4">
      <w:pPr>
        <w:pStyle w:val="Heading2"/>
      </w:pPr>
      <w:r>
        <w:br w:type="page"/>
      </w:r>
      <w:bookmarkStart w:id="551" w:name="_Toc310875442"/>
      <w:r w:rsidR="00A22E85" w:rsidRPr="001C4AD5">
        <w:lastRenderedPageBreak/>
        <w:t>Premium Efficiency Motors</w:t>
      </w:r>
      <w:bookmarkEnd w:id="543"/>
      <w:bookmarkEnd w:id="544"/>
      <w:bookmarkEnd w:id="551"/>
    </w:p>
    <w:p w:rsidR="00A22E85" w:rsidRPr="001C4AD5" w:rsidRDefault="00A22E85" w:rsidP="00726DEA">
      <w:pPr>
        <w:pStyle w:val="BodyText"/>
      </w:pPr>
      <w:r w:rsidRPr="001C4AD5">
        <w:t>For constant speed and uniformly loaded motors, the prescriptive measurement and verification protocols described below apply for replacement of old motors with new energy efficient motors of the same rated horsepower</w:t>
      </w:r>
      <w:r w:rsidR="00566F6C">
        <w:t xml:space="preserve"> and for New Construction</w:t>
      </w:r>
      <w:r w:rsidRPr="001C4AD5">
        <w:t xml:space="preserve">. Replacements where the old motor and new motor have different horsepower ratings are considered custom measures. </w:t>
      </w:r>
      <w:r w:rsidR="00D84436">
        <w:t>Motors</w:t>
      </w:r>
      <w:r w:rsidRPr="001C4AD5">
        <w:t xml:space="preserve"> with variable speeds, variable loading, or industrial-specific applications</w:t>
      </w:r>
      <w:r w:rsidR="00A86C60">
        <w:t xml:space="preserve"> are also considered custom measures.</w:t>
      </w:r>
      <w:r w:rsidRPr="001C4AD5">
        <w:t xml:space="preserve"> </w:t>
      </w:r>
    </w:p>
    <w:p w:rsidR="00A22E85" w:rsidRPr="001C4AD5" w:rsidRDefault="00A22E85" w:rsidP="005D7F62">
      <w:pPr>
        <w:rPr>
          <w:szCs w:val="24"/>
        </w:rPr>
      </w:pPr>
      <w:r w:rsidRPr="001C4AD5">
        <w:rPr>
          <w:szCs w:val="24"/>
        </w:rPr>
        <w:t xml:space="preserve">Note that the Coincidence Factor and Run Hours of Use for motors specified below do not take into account systems with multiple motors serving the same load, such as duplex motor sets with </w:t>
      </w:r>
      <w:r w:rsidR="006A2E12">
        <w:rPr>
          <w:szCs w:val="24"/>
        </w:rPr>
        <w:t>a lead-lag setup</w:t>
      </w:r>
      <w:r w:rsidRPr="001C4AD5">
        <w:rPr>
          <w:szCs w:val="24"/>
        </w:rPr>
        <w:t xml:space="preserve">. Under these circumstances, </w:t>
      </w:r>
      <w:r w:rsidR="0071013F">
        <w:rPr>
          <w:szCs w:val="24"/>
        </w:rPr>
        <w:t xml:space="preserve">a </w:t>
      </w:r>
      <w:r w:rsidR="006A2E12">
        <w:rPr>
          <w:szCs w:val="24"/>
        </w:rPr>
        <w:t>custom measure protocol is required</w:t>
      </w:r>
      <w:r w:rsidRPr="001C4AD5">
        <w:rPr>
          <w:szCs w:val="24"/>
        </w:rPr>
        <w:t>.</w:t>
      </w:r>
      <w:r w:rsidR="006A2E12">
        <w:rPr>
          <w:szCs w:val="24"/>
        </w:rPr>
        <w:t xml:space="preserve"> Duplex motor sets in which the second motor serves as a standby motor can utilize this protocol with an adjustment made such that savings are correctly attributed to a single motor. </w:t>
      </w:r>
    </w:p>
    <w:p w:rsidR="00A22E85" w:rsidRPr="001C4AD5" w:rsidRDefault="00A22E85" w:rsidP="00871FA2">
      <w:pPr>
        <w:pStyle w:val="Heading3"/>
      </w:pPr>
      <w:bookmarkStart w:id="552" w:name="_Toc249174106"/>
      <w:r w:rsidRPr="001C4AD5">
        <w:t>Algorithms</w:t>
      </w:r>
      <w:bookmarkEnd w:id="552"/>
    </w:p>
    <w:p w:rsidR="00A22E85" w:rsidRPr="001C4AD5" w:rsidRDefault="00A22E85" w:rsidP="005D7F62">
      <w:pPr>
        <w:keepNext/>
      </w:pPr>
      <w:r w:rsidRPr="001C4AD5">
        <w:t xml:space="preserve">From AEPS application form or EDC data gathering calculate </w:t>
      </w:r>
      <w:r w:rsidRPr="001C4AD5">
        <w:rPr>
          <w:szCs w:val="24"/>
        </w:rPr>
        <w:sym w:font="Symbol" w:char="F044"/>
      </w:r>
      <w:r w:rsidRPr="001C4AD5">
        <w:t>kW where:</w:t>
      </w:r>
    </w:p>
    <w:p w:rsidR="00212DB6" w:rsidRPr="00F5204A" w:rsidRDefault="00212DB6" w:rsidP="00212DB6">
      <w:pPr>
        <w:pStyle w:val="Equation"/>
        <w:rPr>
          <w:rFonts w:cs="Arial"/>
          <w:szCs w:val="20"/>
          <w:vertAlign w:val="subscript"/>
        </w:rPr>
      </w:pPr>
      <w:r w:rsidRPr="00F5204A">
        <w:rPr>
          <w:rFonts w:cs="Arial"/>
          <w:szCs w:val="20"/>
        </w:rPr>
        <w:sym w:font="Symbol" w:char="F044"/>
      </w:r>
      <w:r w:rsidRPr="00F5204A">
        <w:rPr>
          <w:rFonts w:cs="Arial"/>
          <w:szCs w:val="20"/>
        </w:rPr>
        <w:t>kWh</w:t>
      </w:r>
      <w:r w:rsidRPr="00F5204A">
        <w:rPr>
          <w:rFonts w:cs="Arial"/>
          <w:szCs w:val="20"/>
        </w:rPr>
        <w:tab/>
        <w:t xml:space="preserve"> </w:t>
      </w:r>
      <w:r w:rsidRPr="00F5204A">
        <w:rPr>
          <w:rFonts w:cs="Arial"/>
          <w:szCs w:val="20"/>
        </w:rPr>
        <w:tab/>
        <w:t>= kWh</w:t>
      </w:r>
      <w:r w:rsidRPr="00F5204A">
        <w:rPr>
          <w:rFonts w:cs="Arial"/>
          <w:szCs w:val="20"/>
          <w:vertAlign w:val="subscript"/>
        </w:rPr>
        <w:t xml:space="preserve">base </w:t>
      </w:r>
      <w:r w:rsidRPr="00F5204A">
        <w:rPr>
          <w:rFonts w:cs="Arial"/>
          <w:szCs w:val="20"/>
        </w:rPr>
        <w:t>- kWh</w:t>
      </w:r>
      <w:r w:rsidRPr="00F5204A">
        <w:rPr>
          <w:rFonts w:cs="Arial"/>
          <w:szCs w:val="20"/>
          <w:vertAlign w:val="subscript"/>
        </w:rPr>
        <w:t>ee</w:t>
      </w:r>
    </w:p>
    <w:p w:rsidR="00212DB6" w:rsidRPr="00212DB6" w:rsidRDefault="00212DB6" w:rsidP="00212DB6">
      <w:pPr>
        <w:pStyle w:val="Equation"/>
        <w:rPr>
          <w:rFonts w:cs="Arial"/>
          <w:szCs w:val="20"/>
        </w:rPr>
      </w:pPr>
      <w:r w:rsidRPr="00F5204A">
        <w:rPr>
          <w:rFonts w:cs="Arial"/>
          <w:szCs w:val="20"/>
        </w:rPr>
        <w:t>kWh</w:t>
      </w:r>
      <w:r w:rsidRPr="00F5204A">
        <w:rPr>
          <w:rFonts w:cs="Arial"/>
          <w:szCs w:val="20"/>
          <w:vertAlign w:val="subscript"/>
        </w:rPr>
        <w:t>base</w:t>
      </w:r>
      <w:r w:rsidRPr="00F5204A">
        <w:rPr>
          <w:rFonts w:cs="Arial"/>
          <w:szCs w:val="20"/>
        </w:rPr>
        <w:t xml:space="preserve"> </w:t>
      </w:r>
      <w:r w:rsidRPr="00F5204A">
        <w:rPr>
          <w:rFonts w:cs="Arial"/>
          <w:szCs w:val="20"/>
        </w:rPr>
        <w:tab/>
        <w:t>= 0.746 X HP X LF/η</w:t>
      </w:r>
      <w:r>
        <w:rPr>
          <w:rFonts w:cs="Arial"/>
          <w:szCs w:val="20"/>
          <w:vertAlign w:val="subscript"/>
        </w:rPr>
        <w:t>base</w:t>
      </w:r>
      <w:r w:rsidRPr="00F5204A">
        <w:rPr>
          <w:rFonts w:cs="Arial"/>
          <w:szCs w:val="20"/>
        </w:rPr>
        <w:t xml:space="preserve"> X RHRS</w:t>
      </w:r>
    </w:p>
    <w:p w:rsidR="00212DB6" w:rsidRPr="00F5204A" w:rsidRDefault="00212DB6" w:rsidP="00212DB6">
      <w:pPr>
        <w:pStyle w:val="Equation"/>
        <w:rPr>
          <w:rFonts w:cs="Arial"/>
          <w:szCs w:val="20"/>
        </w:rPr>
      </w:pPr>
      <w:r w:rsidRPr="00F5204A">
        <w:rPr>
          <w:rFonts w:cs="Arial"/>
          <w:szCs w:val="20"/>
        </w:rPr>
        <w:t>kWh</w:t>
      </w:r>
      <w:r w:rsidRPr="00F5204A">
        <w:rPr>
          <w:rFonts w:cs="Arial"/>
          <w:szCs w:val="20"/>
          <w:vertAlign w:val="subscript"/>
        </w:rPr>
        <w:t>ee</w:t>
      </w:r>
      <w:r w:rsidRPr="00F5204A">
        <w:rPr>
          <w:rFonts w:cs="Arial"/>
          <w:szCs w:val="20"/>
        </w:rPr>
        <w:t xml:space="preserve"> </w:t>
      </w:r>
      <w:r w:rsidRPr="00F5204A">
        <w:rPr>
          <w:rFonts w:cs="Arial"/>
          <w:szCs w:val="20"/>
        </w:rPr>
        <w:tab/>
      </w:r>
      <w:r w:rsidRPr="00F5204A">
        <w:rPr>
          <w:rFonts w:cs="Arial"/>
          <w:szCs w:val="20"/>
        </w:rPr>
        <w:tab/>
        <w:t>= 0.746 X HP X LF/η</w:t>
      </w:r>
      <w:r>
        <w:rPr>
          <w:rFonts w:cs="Arial"/>
          <w:szCs w:val="20"/>
          <w:vertAlign w:val="subscript"/>
        </w:rPr>
        <w:t>ee</w:t>
      </w:r>
      <w:r w:rsidRPr="00F5204A">
        <w:rPr>
          <w:rFonts w:cs="Arial"/>
          <w:szCs w:val="20"/>
        </w:rPr>
        <w:t xml:space="preserve"> X RHRS</w:t>
      </w:r>
    </w:p>
    <w:p w:rsidR="00861542" w:rsidRPr="00F5204A" w:rsidRDefault="00861542" w:rsidP="00861542">
      <w:pPr>
        <w:pStyle w:val="Equation"/>
        <w:rPr>
          <w:rFonts w:cs="Arial"/>
          <w:szCs w:val="20"/>
        </w:rPr>
      </w:pPr>
      <w:r w:rsidRPr="00F5204A">
        <w:rPr>
          <w:rFonts w:cs="Arial"/>
          <w:szCs w:val="20"/>
        </w:rPr>
        <w:sym w:font="Symbol" w:char="F044"/>
      </w:r>
      <w:r w:rsidRPr="00F5204A">
        <w:rPr>
          <w:rFonts w:cs="Arial"/>
          <w:szCs w:val="20"/>
        </w:rPr>
        <w:t>kW</w:t>
      </w:r>
      <w:r w:rsidRPr="00F5204A">
        <w:rPr>
          <w:rFonts w:cs="Arial"/>
          <w:szCs w:val="20"/>
          <w:vertAlign w:val="subscript"/>
        </w:rPr>
        <w:t>peak</w:t>
      </w:r>
      <w:r w:rsidRPr="00F5204A">
        <w:rPr>
          <w:rFonts w:cs="Arial"/>
          <w:szCs w:val="20"/>
        </w:rPr>
        <w:tab/>
        <w:t xml:space="preserve"> </w:t>
      </w:r>
      <w:r w:rsidRPr="00F5204A">
        <w:rPr>
          <w:rFonts w:cs="Arial"/>
          <w:szCs w:val="20"/>
        </w:rPr>
        <w:tab/>
        <w:t>= kW</w:t>
      </w:r>
      <w:r w:rsidRPr="00F5204A">
        <w:rPr>
          <w:rFonts w:cs="Arial"/>
          <w:szCs w:val="20"/>
          <w:vertAlign w:val="subscript"/>
        </w:rPr>
        <w:t xml:space="preserve">base </w:t>
      </w:r>
      <w:r w:rsidRPr="00F5204A">
        <w:rPr>
          <w:rFonts w:cs="Arial"/>
          <w:szCs w:val="20"/>
        </w:rPr>
        <w:t>- kW</w:t>
      </w:r>
      <w:r w:rsidRPr="00F5204A">
        <w:rPr>
          <w:rFonts w:cs="Arial"/>
          <w:szCs w:val="20"/>
          <w:vertAlign w:val="subscript"/>
        </w:rPr>
        <w:t>ee</w:t>
      </w:r>
    </w:p>
    <w:p w:rsidR="00212DB6" w:rsidRPr="00F5204A" w:rsidRDefault="00212DB6" w:rsidP="00212DB6">
      <w:pPr>
        <w:pStyle w:val="Equation"/>
        <w:rPr>
          <w:rFonts w:cs="Arial"/>
          <w:szCs w:val="20"/>
        </w:rPr>
      </w:pPr>
      <w:r w:rsidRPr="00F5204A">
        <w:rPr>
          <w:rFonts w:cs="Arial"/>
          <w:szCs w:val="20"/>
        </w:rPr>
        <w:t>kW</w:t>
      </w:r>
      <w:r w:rsidRPr="00F5204A">
        <w:rPr>
          <w:rFonts w:cs="Arial"/>
          <w:szCs w:val="20"/>
          <w:vertAlign w:val="subscript"/>
        </w:rPr>
        <w:t>base</w:t>
      </w:r>
      <w:r w:rsidRPr="00F5204A">
        <w:rPr>
          <w:rFonts w:cs="Arial"/>
          <w:szCs w:val="20"/>
        </w:rPr>
        <w:t xml:space="preserve"> </w:t>
      </w:r>
      <w:r w:rsidRPr="00F5204A">
        <w:rPr>
          <w:rFonts w:cs="Arial"/>
          <w:szCs w:val="20"/>
        </w:rPr>
        <w:tab/>
      </w:r>
      <w:r w:rsidRPr="00F5204A">
        <w:rPr>
          <w:rFonts w:cs="Arial"/>
          <w:szCs w:val="20"/>
        </w:rPr>
        <w:tab/>
        <w:t>= 0.746 X HP X LF/η</w:t>
      </w:r>
      <w:r>
        <w:rPr>
          <w:rFonts w:cs="Arial"/>
          <w:szCs w:val="20"/>
          <w:vertAlign w:val="subscript"/>
        </w:rPr>
        <w:t>base</w:t>
      </w:r>
      <w:r w:rsidRPr="00F5204A">
        <w:rPr>
          <w:rFonts w:cs="Arial"/>
          <w:szCs w:val="20"/>
        </w:rPr>
        <w:t xml:space="preserve"> X CF</w:t>
      </w:r>
    </w:p>
    <w:p w:rsidR="00212DB6" w:rsidRPr="00F5204A" w:rsidRDefault="00212DB6" w:rsidP="00212DB6">
      <w:pPr>
        <w:pStyle w:val="Equation"/>
        <w:rPr>
          <w:rFonts w:cs="Arial"/>
          <w:szCs w:val="20"/>
        </w:rPr>
      </w:pPr>
      <w:r w:rsidRPr="00F5204A">
        <w:rPr>
          <w:rFonts w:cs="Arial"/>
          <w:szCs w:val="20"/>
        </w:rPr>
        <w:t>kW</w:t>
      </w:r>
      <w:r w:rsidRPr="00F5204A">
        <w:rPr>
          <w:rFonts w:cs="Arial"/>
          <w:szCs w:val="20"/>
          <w:vertAlign w:val="subscript"/>
        </w:rPr>
        <w:t>ee</w:t>
      </w:r>
      <w:r w:rsidRPr="00F5204A">
        <w:rPr>
          <w:rFonts w:cs="Arial"/>
          <w:szCs w:val="20"/>
        </w:rPr>
        <w:t xml:space="preserve"> </w:t>
      </w:r>
      <w:r w:rsidRPr="00F5204A">
        <w:rPr>
          <w:rFonts w:cs="Arial"/>
          <w:szCs w:val="20"/>
        </w:rPr>
        <w:tab/>
      </w:r>
      <w:r w:rsidRPr="00F5204A">
        <w:rPr>
          <w:rFonts w:cs="Arial"/>
          <w:szCs w:val="20"/>
        </w:rPr>
        <w:tab/>
        <w:t>= 0.746 X HP X LF/η</w:t>
      </w:r>
      <w:r>
        <w:rPr>
          <w:rFonts w:cs="Arial"/>
          <w:szCs w:val="20"/>
          <w:vertAlign w:val="subscript"/>
        </w:rPr>
        <w:t>ee</w:t>
      </w:r>
      <w:r w:rsidRPr="00F5204A">
        <w:rPr>
          <w:rFonts w:cs="Arial"/>
          <w:szCs w:val="20"/>
        </w:rPr>
        <w:t xml:space="preserve"> X CF</w:t>
      </w:r>
    </w:p>
    <w:p w:rsidR="00A22E85" w:rsidRPr="001C4AD5" w:rsidRDefault="00A22E85" w:rsidP="00871FA2">
      <w:pPr>
        <w:pStyle w:val="Heading3"/>
      </w:pPr>
      <w:bookmarkStart w:id="553" w:name="_Toc249174107"/>
      <w:r w:rsidRPr="001C4AD5">
        <w:t xml:space="preserve">Definition of </w:t>
      </w:r>
      <w:bookmarkEnd w:id="553"/>
      <w:r w:rsidR="001D7420">
        <w:t>Terms</w:t>
      </w:r>
    </w:p>
    <w:p w:rsidR="00A22E85" w:rsidRPr="00F5204A" w:rsidRDefault="00ED65F0" w:rsidP="00F5204A">
      <w:pPr>
        <w:pStyle w:val="Equation"/>
        <w:rPr>
          <w:rFonts w:cs="Arial"/>
          <w:szCs w:val="20"/>
        </w:rPr>
      </w:pPr>
      <w:r w:rsidRPr="00F5204A">
        <w:rPr>
          <w:rFonts w:cs="Arial"/>
          <w:szCs w:val="20"/>
        </w:rPr>
        <w:tab/>
      </w:r>
      <w:r w:rsidR="00A22E85" w:rsidRPr="00F5204A">
        <w:rPr>
          <w:rFonts w:cs="Arial"/>
          <w:szCs w:val="20"/>
        </w:rPr>
        <w:t xml:space="preserve">HP </w:t>
      </w:r>
      <w:r w:rsidRPr="00F5204A">
        <w:rPr>
          <w:rFonts w:cs="Arial"/>
          <w:szCs w:val="20"/>
        </w:rPr>
        <w:tab/>
      </w:r>
      <w:r w:rsidR="00A22E85" w:rsidRPr="00F5204A">
        <w:rPr>
          <w:rFonts w:cs="Arial"/>
          <w:szCs w:val="20"/>
        </w:rPr>
        <w:t>= Rated horsepower of the baseline and energy efficient motor</w:t>
      </w:r>
    </w:p>
    <w:p w:rsidR="00A22E85" w:rsidRPr="00F5204A" w:rsidRDefault="00F5204A" w:rsidP="00F5204A">
      <w:pPr>
        <w:pStyle w:val="Equation"/>
        <w:rPr>
          <w:rFonts w:cs="Arial"/>
          <w:szCs w:val="20"/>
        </w:rPr>
      </w:pPr>
      <w:r>
        <w:rPr>
          <w:rFonts w:cs="Arial"/>
          <w:szCs w:val="20"/>
        </w:rPr>
        <w:tab/>
      </w:r>
      <w:r w:rsidR="00A22E85" w:rsidRPr="00F5204A">
        <w:rPr>
          <w:rFonts w:cs="Arial"/>
          <w:szCs w:val="20"/>
        </w:rPr>
        <w:t xml:space="preserve">LF </w:t>
      </w:r>
      <w:r w:rsidR="00ED65F0" w:rsidRPr="00F5204A">
        <w:rPr>
          <w:rFonts w:cs="Arial"/>
          <w:szCs w:val="20"/>
        </w:rPr>
        <w:tab/>
      </w:r>
      <w:r w:rsidR="00A22E85" w:rsidRPr="00F5204A">
        <w:rPr>
          <w:rFonts w:cs="Arial"/>
          <w:szCs w:val="20"/>
        </w:rPr>
        <w:t xml:space="preserve">= </w:t>
      </w:r>
      <w:r w:rsidR="0071112F" w:rsidRPr="00F5204A">
        <w:rPr>
          <w:rFonts w:cs="Arial"/>
          <w:szCs w:val="20"/>
        </w:rPr>
        <w:t>Load Factor. Ratio between the actual load and the rated load. Motor efficiency curves typically result in motors being most efficient at approximately 75% of the rated load. The default value is 0.75. Variable loaded motors should use custom measure protocols.</w:t>
      </w:r>
      <w:r w:rsidR="004F54BC" w:rsidRPr="00F5204A">
        <w:rPr>
          <w:rFonts w:cs="Arial"/>
          <w:szCs w:val="20"/>
        </w:rPr>
        <w:t>; LF = Measured motor kW / (Rated motor HP x 0.746 /nameplate efficiency)</w:t>
      </w:r>
      <w:r w:rsidR="004F54BC" w:rsidRPr="00F5204A">
        <w:rPr>
          <w:rStyle w:val="FootnoteReference"/>
          <w:rFonts w:cs="Arial"/>
          <w:i w:val="0"/>
          <w:szCs w:val="20"/>
        </w:rPr>
        <w:footnoteReference w:id="147"/>
      </w:r>
    </w:p>
    <w:p w:rsidR="00A22E85" w:rsidRPr="00F5204A" w:rsidRDefault="00ED65F0" w:rsidP="00F5204A">
      <w:pPr>
        <w:pStyle w:val="Equation"/>
        <w:rPr>
          <w:rFonts w:cs="Arial"/>
          <w:szCs w:val="20"/>
        </w:rPr>
      </w:pPr>
      <w:r w:rsidRPr="00F5204A">
        <w:rPr>
          <w:rFonts w:cs="Arial"/>
          <w:szCs w:val="20"/>
        </w:rPr>
        <w:tab/>
      </w:r>
      <w:r w:rsidR="00A22E85" w:rsidRPr="00F5204A">
        <w:rPr>
          <w:rFonts w:cs="Arial"/>
          <w:szCs w:val="20"/>
        </w:rPr>
        <w:t>η</w:t>
      </w:r>
      <w:r w:rsidR="00A22E85" w:rsidRPr="00F5204A">
        <w:rPr>
          <w:rFonts w:cs="Arial"/>
          <w:szCs w:val="20"/>
          <w:vertAlign w:val="subscript"/>
        </w:rPr>
        <w:t>base</w:t>
      </w:r>
      <w:r w:rsidR="00A22E85" w:rsidRPr="00F5204A">
        <w:rPr>
          <w:rFonts w:cs="Arial"/>
          <w:szCs w:val="20"/>
        </w:rPr>
        <w:t xml:space="preserve"> </w:t>
      </w:r>
      <w:r w:rsidRPr="00F5204A">
        <w:rPr>
          <w:rFonts w:cs="Arial"/>
          <w:szCs w:val="20"/>
        </w:rPr>
        <w:tab/>
      </w:r>
      <w:r w:rsidR="00A22E85" w:rsidRPr="00F5204A">
        <w:rPr>
          <w:rFonts w:cs="Arial"/>
          <w:szCs w:val="20"/>
        </w:rPr>
        <w:t>= Efficiency of the baseline motor</w:t>
      </w:r>
    </w:p>
    <w:p w:rsidR="00A22E85" w:rsidRPr="00F5204A" w:rsidRDefault="00ED65F0" w:rsidP="00F5204A">
      <w:pPr>
        <w:pStyle w:val="Equation"/>
        <w:rPr>
          <w:rFonts w:cs="Arial"/>
          <w:szCs w:val="20"/>
        </w:rPr>
      </w:pPr>
      <w:r w:rsidRPr="00F5204A">
        <w:rPr>
          <w:rFonts w:cs="Arial"/>
          <w:szCs w:val="20"/>
        </w:rPr>
        <w:tab/>
      </w:r>
      <w:r w:rsidR="00A22E85" w:rsidRPr="00F5204A">
        <w:rPr>
          <w:rFonts w:cs="Arial"/>
          <w:szCs w:val="20"/>
        </w:rPr>
        <w:t>η</w:t>
      </w:r>
      <w:r w:rsidR="00A22E85" w:rsidRPr="00F5204A">
        <w:rPr>
          <w:rFonts w:cs="Arial"/>
          <w:szCs w:val="20"/>
          <w:vertAlign w:val="subscript"/>
        </w:rPr>
        <w:t>ee</w:t>
      </w:r>
      <w:r w:rsidR="00A22E85" w:rsidRPr="00F5204A">
        <w:rPr>
          <w:rFonts w:cs="Arial"/>
          <w:szCs w:val="20"/>
        </w:rPr>
        <w:t xml:space="preserve"> </w:t>
      </w:r>
      <w:r w:rsidRPr="00F5204A">
        <w:rPr>
          <w:rFonts w:cs="Arial"/>
          <w:szCs w:val="20"/>
        </w:rPr>
        <w:tab/>
      </w:r>
      <w:r w:rsidR="00A22E85" w:rsidRPr="00F5204A">
        <w:rPr>
          <w:rFonts w:cs="Arial"/>
          <w:szCs w:val="20"/>
        </w:rPr>
        <w:t>= Efficiency of the energy-efficient motor</w:t>
      </w:r>
    </w:p>
    <w:p w:rsidR="00A22E85" w:rsidRPr="00F5204A" w:rsidRDefault="00ED65F0" w:rsidP="00F5204A">
      <w:pPr>
        <w:pStyle w:val="Equation"/>
        <w:rPr>
          <w:rFonts w:cs="Arial"/>
          <w:szCs w:val="20"/>
        </w:rPr>
      </w:pPr>
      <w:r w:rsidRPr="00F5204A">
        <w:rPr>
          <w:rFonts w:cs="Arial"/>
          <w:szCs w:val="20"/>
        </w:rPr>
        <w:tab/>
      </w:r>
      <w:r w:rsidR="00A22E85" w:rsidRPr="00F5204A">
        <w:rPr>
          <w:rFonts w:cs="Arial"/>
          <w:szCs w:val="20"/>
        </w:rPr>
        <w:t xml:space="preserve">RHRS </w:t>
      </w:r>
      <w:r w:rsidRPr="00F5204A">
        <w:rPr>
          <w:rFonts w:cs="Arial"/>
          <w:szCs w:val="20"/>
        </w:rPr>
        <w:tab/>
      </w:r>
      <w:r w:rsidR="00A22E85" w:rsidRPr="00F5204A">
        <w:rPr>
          <w:rFonts w:cs="Arial"/>
          <w:szCs w:val="20"/>
        </w:rPr>
        <w:t>= Annual run hours of the motor</w:t>
      </w:r>
    </w:p>
    <w:p w:rsidR="00A22E85" w:rsidRPr="001C4AD5" w:rsidRDefault="00ED65F0" w:rsidP="00F5204A">
      <w:pPr>
        <w:pStyle w:val="Equation"/>
      </w:pPr>
      <w:r w:rsidRPr="00F5204A">
        <w:rPr>
          <w:rFonts w:cs="Arial"/>
          <w:szCs w:val="20"/>
        </w:rPr>
        <w:tab/>
      </w:r>
      <w:r w:rsidR="00A22E85" w:rsidRPr="00F5204A">
        <w:rPr>
          <w:rFonts w:cs="Arial"/>
          <w:szCs w:val="20"/>
        </w:rPr>
        <w:t xml:space="preserve">CF </w:t>
      </w:r>
      <w:r w:rsidRPr="00F5204A">
        <w:rPr>
          <w:rFonts w:cs="Arial"/>
          <w:szCs w:val="20"/>
        </w:rPr>
        <w:tab/>
      </w:r>
      <w:r w:rsidR="00A22E85" w:rsidRPr="00F5204A">
        <w:rPr>
          <w:rFonts w:cs="Arial"/>
          <w:szCs w:val="20"/>
        </w:rPr>
        <w:t xml:space="preserve">= </w:t>
      </w:r>
      <w:r w:rsidR="005478EE" w:rsidRPr="00F5204A">
        <w:rPr>
          <w:rFonts w:cs="Arial"/>
          <w:szCs w:val="20"/>
        </w:rPr>
        <w:t>Demand Coincidence Factor (See Section 1.4)</w:t>
      </w:r>
      <w:bookmarkStart w:id="554" w:name="_Toc249174108"/>
    </w:p>
    <w:p w:rsidR="00A22E85" w:rsidRPr="001C4AD5" w:rsidRDefault="00A22E85" w:rsidP="00871FA2">
      <w:pPr>
        <w:pStyle w:val="Heading3"/>
      </w:pPr>
      <w:r w:rsidRPr="001C4AD5">
        <w:lastRenderedPageBreak/>
        <w:t>Description of Calculation Method</w:t>
      </w:r>
      <w:bookmarkEnd w:id="554"/>
    </w:p>
    <w:p w:rsidR="00A22E85" w:rsidRPr="001C4AD5" w:rsidRDefault="00A22E85" w:rsidP="005D7F62">
      <w:r w:rsidRPr="001C4AD5">
        <w:t xml:space="preserve">Relative to the </w:t>
      </w:r>
      <w:r w:rsidR="0071112F">
        <w:rPr>
          <w:rFonts w:ascii="PalatinoLinotype" w:hAnsi="PalatinoLinotype" w:cs="PalatinoLinotype"/>
        </w:rPr>
        <w:t>algorithms in section (3.3.1)</w:t>
      </w:r>
      <w:r w:rsidRPr="001C4AD5">
        <w:t xml:space="preserve">, </w:t>
      </w:r>
      <w:r w:rsidRPr="001C4AD5">
        <w:rPr>
          <w:szCs w:val="24"/>
        </w:rPr>
        <w:sym w:font="Symbol" w:char="F044"/>
      </w:r>
      <w:r w:rsidRPr="001C4AD5">
        <w:t xml:space="preserve">kW values will be calculated for each motor improvement in any project (account number). </w:t>
      </w:r>
      <w:r w:rsidR="00D84436">
        <w:t>For the efficiency of the baseline motor, if a new motor was purchased as an alternative to rewinding an old motor, the nameplate efficiency of the old motor may be used as the baseline.</w:t>
      </w:r>
    </w:p>
    <w:p w:rsidR="001C4AD5" w:rsidRPr="001C4AD5" w:rsidRDefault="001C4AD5" w:rsidP="00B20F6B">
      <w:pPr>
        <w:pStyle w:val="Caption"/>
      </w:pPr>
      <w:bookmarkStart w:id="555" w:name="_Ref275549496"/>
      <w:bookmarkStart w:id="556" w:name="_Toc310875563"/>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11</w:t>
      </w:r>
      <w:r w:rsidR="00274AB1">
        <w:rPr>
          <w:noProof/>
        </w:rPr>
        <w:fldChar w:fldCharType="end"/>
      </w:r>
      <w:bookmarkEnd w:id="555"/>
      <w:r>
        <w:t xml:space="preserve">: </w:t>
      </w:r>
      <w:r w:rsidR="00081878">
        <w:t xml:space="preserve">Building Mechanical System </w:t>
      </w:r>
      <w:r>
        <w:t>Variables for Premium Efficiency Motor Calculations</w:t>
      </w:r>
      <w:bookmarkEnd w:id="556"/>
    </w:p>
    <w:tbl>
      <w:tblPr>
        <w:tblW w:w="4472" w:type="pct"/>
        <w:jc w:val="center"/>
        <w:tblInd w:w="385" w:type="dxa"/>
        <w:tblLayout w:type="fixed"/>
        <w:tblCellMar>
          <w:left w:w="115" w:type="dxa"/>
          <w:right w:w="115" w:type="dxa"/>
        </w:tblCellMar>
        <w:tblLook w:val="00A0" w:firstRow="1" w:lastRow="0" w:firstColumn="1" w:lastColumn="0" w:noHBand="0" w:noVBand="0"/>
      </w:tblPr>
      <w:tblGrid>
        <w:gridCol w:w="1532"/>
        <w:gridCol w:w="1092"/>
        <w:gridCol w:w="3413"/>
        <w:gridCol w:w="1896"/>
      </w:tblGrid>
      <w:tr w:rsidR="00A22E85" w:rsidRPr="000151F9" w:rsidTr="00ED5493">
        <w:trPr>
          <w:trHeight w:val="317"/>
          <w:jc w:val="center"/>
        </w:trPr>
        <w:tc>
          <w:tcPr>
            <w:tcW w:w="966" w:type="pct"/>
            <w:tcBorders>
              <w:top w:val="single" w:sz="8" w:space="0" w:color="auto"/>
              <w:left w:val="single" w:sz="8" w:space="0" w:color="auto"/>
              <w:bottom w:val="single" w:sz="8" w:space="0" w:color="auto"/>
              <w:right w:val="single" w:sz="8" w:space="0" w:color="auto"/>
            </w:tcBorders>
            <w:shd w:val="clear" w:color="auto" w:fill="BFBFBF"/>
            <w:vAlign w:val="center"/>
          </w:tcPr>
          <w:p w:rsidR="00A22E85" w:rsidRPr="001D6512" w:rsidRDefault="00A22E85" w:rsidP="00C3606E">
            <w:pPr>
              <w:pStyle w:val="TableCell"/>
              <w:spacing w:before="60" w:after="60"/>
              <w:rPr>
                <w:b/>
              </w:rPr>
            </w:pPr>
            <w:r w:rsidRPr="001D6512">
              <w:rPr>
                <w:b/>
              </w:rPr>
              <w:t>Component</w:t>
            </w:r>
          </w:p>
        </w:tc>
        <w:tc>
          <w:tcPr>
            <w:tcW w:w="688" w:type="pct"/>
            <w:tcBorders>
              <w:top w:val="single" w:sz="8" w:space="0" w:color="auto"/>
              <w:left w:val="nil"/>
              <w:bottom w:val="single" w:sz="8" w:space="0" w:color="auto"/>
              <w:right w:val="single" w:sz="8" w:space="0" w:color="auto"/>
            </w:tcBorders>
            <w:shd w:val="clear" w:color="auto" w:fill="BFBFBF"/>
            <w:vAlign w:val="center"/>
          </w:tcPr>
          <w:p w:rsidR="00A22E85" w:rsidRPr="001D6512" w:rsidRDefault="00A22E85" w:rsidP="00C3606E">
            <w:pPr>
              <w:pStyle w:val="TableCell"/>
              <w:spacing w:before="60" w:after="60"/>
              <w:rPr>
                <w:b/>
              </w:rPr>
            </w:pPr>
            <w:r w:rsidRPr="001D6512">
              <w:rPr>
                <w:b/>
              </w:rPr>
              <w:t>Type</w:t>
            </w:r>
          </w:p>
        </w:tc>
        <w:tc>
          <w:tcPr>
            <w:tcW w:w="2151" w:type="pct"/>
            <w:tcBorders>
              <w:top w:val="single" w:sz="8" w:space="0" w:color="auto"/>
              <w:left w:val="nil"/>
              <w:bottom w:val="single" w:sz="8" w:space="0" w:color="auto"/>
              <w:right w:val="single" w:sz="8" w:space="0" w:color="auto"/>
            </w:tcBorders>
            <w:shd w:val="clear" w:color="auto" w:fill="BFBFBF"/>
            <w:vAlign w:val="center"/>
          </w:tcPr>
          <w:p w:rsidR="00A22E85" w:rsidRPr="001D6512" w:rsidRDefault="00A22E85" w:rsidP="00C3606E">
            <w:pPr>
              <w:pStyle w:val="TableCell"/>
              <w:spacing w:before="60" w:after="60"/>
              <w:rPr>
                <w:b/>
              </w:rPr>
            </w:pPr>
            <w:r w:rsidRPr="001D6512">
              <w:rPr>
                <w:b/>
              </w:rPr>
              <w:t>Value</w:t>
            </w:r>
          </w:p>
        </w:tc>
        <w:tc>
          <w:tcPr>
            <w:tcW w:w="1195" w:type="pct"/>
            <w:tcBorders>
              <w:top w:val="single" w:sz="8" w:space="0" w:color="auto"/>
              <w:left w:val="nil"/>
              <w:bottom w:val="single" w:sz="8" w:space="0" w:color="auto"/>
              <w:right w:val="single" w:sz="8" w:space="0" w:color="auto"/>
            </w:tcBorders>
            <w:shd w:val="clear" w:color="auto" w:fill="BFBFBF"/>
            <w:vAlign w:val="center"/>
          </w:tcPr>
          <w:p w:rsidR="00A22E85" w:rsidRPr="001D6512" w:rsidRDefault="00A22E85" w:rsidP="00C3606E">
            <w:pPr>
              <w:pStyle w:val="TableCell"/>
              <w:spacing w:before="60" w:after="60"/>
              <w:rPr>
                <w:b/>
              </w:rPr>
            </w:pPr>
            <w:r w:rsidRPr="001D6512">
              <w:rPr>
                <w:b/>
              </w:rPr>
              <w:t>Source</w:t>
            </w:r>
          </w:p>
        </w:tc>
      </w:tr>
      <w:tr w:rsidR="00A22E85" w:rsidRPr="000151F9" w:rsidTr="00ED5493">
        <w:trPr>
          <w:trHeight w:val="317"/>
          <w:jc w:val="center"/>
        </w:trPr>
        <w:tc>
          <w:tcPr>
            <w:tcW w:w="966" w:type="pct"/>
            <w:tcBorders>
              <w:top w:val="nil"/>
              <w:left w:val="single" w:sz="8" w:space="0" w:color="auto"/>
              <w:bottom w:val="single" w:sz="8" w:space="0" w:color="auto"/>
              <w:right w:val="single" w:sz="8" w:space="0" w:color="auto"/>
            </w:tcBorders>
            <w:vAlign w:val="center"/>
          </w:tcPr>
          <w:p w:rsidR="00A22E85" w:rsidRPr="001D6512" w:rsidRDefault="00A22E85" w:rsidP="00C3606E">
            <w:pPr>
              <w:pStyle w:val="TableCell"/>
              <w:spacing w:before="60" w:after="60"/>
            </w:pPr>
            <w:r w:rsidRPr="001D6512">
              <w:t>HP</w:t>
            </w:r>
          </w:p>
        </w:tc>
        <w:tc>
          <w:tcPr>
            <w:tcW w:w="688" w:type="pct"/>
            <w:tcBorders>
              <w:top w:val="nil"/>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Variable</w:t>
            </w:r>
          </w:p>
        </w:tc>
        <w:tc>
          <w:tcPr>
            <w:tcW w:w="2151" w:type="pct"/>
            <w:tcBorders>
              <w:top w:val="nil"/>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Nameplate</w:t>
            </w:r>
          </w:p>
        </w:tc>
        <w:tc>
          <w:tcPr>
            <w:tcW w:w="1195" w:type="pct"/>
            <w:tcBorders>
              <w:top w:val="nil"/>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EDC Data Gathering</w:t>
            </w:r>
          </w:p>
        </w:tc>
      </w:tr>
      <w:tr w:rsidR="00A22E85" w:rsidRPr="000151F9" w:rsidTr="00ED5493">
        <w:trPr>
          <w:trHeight w:val="317"/>
          <w:jc w:val="center"/>
        </w:trPr>
        <w:tc>
          <w:tcPr>
            <w:tcW w:w="966" w:type="pct"/>
            <w:vMerge w:val="restart"/>
            <w:tcBorders>
              <w:top w:val="nil"/>
              <w:left w:val="single" w:sz="8" w:space="0" w:color="auto"/>
              <w:bottom w:val="nil"/>
              <w:right w:val="single" w:sz="8" w:space="0" w:color="auto"/>
            </w:tcBorders>
            <w:vAlign w:val="center"/>
          </w:tcPr>
          <w:p w:rsidR="00A22E85" w:rsidRPr="001D6512" w:rsidRDefault="00A22E85" w:rsidP="00C3606E">
            <w:pPr>
              <w:pStyle w:val="TableCell"/>
              <w:spacing w:before="60" w:after="60"/>
            </w:pPr>
            <w:r w:rsidRPr="001D6512">
              <w:t>RHRS</w:t>
            </w:r>
            <w:r w:rsidRPr="001D6512">
              <w:rPr>
                <w:rStyle w:val="FootnoteReference"/>
                <w:rFonts w:cs="Arial"/>
                <w:color w:val="000000"/>
              </w:rPr>
              <w:footnoteReference w:id="148"/>
            </w:r>
          </w:p>
        </w:tc>
        <w:tc>
          <w:tcPr>
            <w:tcW w:w="688" w:type="pct"/>
            <w:vMerge w:val="restart"/>
            <w:tcBorders>
              <w:top w:val="nil"/>
              <w:left w:val="single" w:sz="8" w:space="0" w:color="auto"/>
              <w:bottom w:val="nil"/>
              <w:right w:val="single" w:sz="8" w:space="0" w:color="auto"/>
            </w:tcBorders>
            <w:vAlign w:val="center"/>
          </w:tcPr>
          <w:p w:rsidR="00A22E85" w:rsidRPr="001D6512" w:rsidRDefault="00A22E85" w:rsidP="00C3606E">
            <w:pPr>
              <w:pStyle w:val="TableCell"/>
              <w:spacing w:before="60" w:after="60"/>
            </w:pPr>
            <w:r w:rsidRPr="001D6512">
              <w:t>Variable</w:t>
            </w:r>
          </w:p>
        </w:tc>
        <w:tc>
          <w:tcPr>
            <w:tcW w:w="2151" w:type="pct"/>
            <w:tcBorders>
              <w:top w:val="single" w:sz="8" w:space="0" w:color="auto"/>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Based on logging and modeling</w:t>
            </w:r>
          </w:p>
        </w:tc>
        <w:tc>
          <w:tcPr>
            <w:tcW w:w="1195" w:type="pct"/>
            <w:tcBorders>
              <w:top w:val="single" w:sz="8" w:space="0" w:color="auto"/>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 xml:space="preserve">EDC Data Gathering </w:t>
            </w:r>
          </w:p>
        </w:tc>
      </w:tr>
      <w:tr w:rsidR="00A22E85" w:rsidRPr="000151F9" w:rsidTr="00ED5493">
        <w:trPr>
          <w:trHeight w:val="317"/>
          <w:jc w:val="center"/>
        </w:trPr>
        <w:tc>
          <w:tcPr>
            <w:tcW w:w="966" w:type="pct"/>
            <w:vMerge/>
            <w:tcBorders>
              <w:top w:val="nil"/>
              <w:left w:val="single" w:sz="8" w:space="0" w:color="auto"/>
              <w:bottom w:val="nil"/>
              <w:right w:val="single" w:sz="8" w:space="0" w:color="auto"/>
            </w:tcBorders>
            <w:vAlign w:val="center"/>
          </w:tcPr>
          <w:p w:rsidR="00A22E85" w:rsidRPr="001D6512" w:rsidRDefault="00A22E85" w:rsidP="00C3606E">
            <w:pPr>
              <w:pStyle w:val="TableCell"/>
              <w:spacing w:before="60" w:after="60"/>
            </w:pPr>
          </w:p>
        </w:tc>
        <w:tc>
          <w:tcPr>
            <w:tcW w:w="688" w:type="pct"/>
            <w:vMerge/>
            <w:tcBorders>
              <w:top w:val="nil"/>
              <w:left w:val="single" w:sz="8" w:space="0" w:color="auto"/>
              <w:bottom w:val="nil"/>
              <w:right w:val="single" w:sz="8" w:space="0" w:color="auto"/>
            </w:tcBorders>
            <w:vAlign w:val="center"/>
          </w:tcPr>
          <w:p w:rsidR="00A22E85" w:rsidRPr="001D6512" w:rsidRDefault="00A22E85" w:rsidP="00C3606E">
            <w:pPr>
              <w:pStyle w:val="TableCell"/>
              <w:spacing w:before="60" w:after="60"/>
            </w:pPr>
          </w:p>
        </w:tc>
        <w:tc>
          <w:tcPr>
            <w:tcW w:w="2151" w:type="pct"/>
            <w:tcBorders>
              <w:top w:val="single" w:sz="8" w:space="0" w:color="auto"/>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 xml:space="preserve">Default </w:t>
            </w:r>
            <w:r w:rsidR="007A1FB6" w:rsidRPr="001D6512">
              <w:fldChar w:fldCharType="begin"/>
            </w:r>
            <w:r w:rsidR="007A4AD8" w:rsidRPr="001D6512">
              <w:instrText xml:space="preserve"> REF _Ref275556522 \h </w:instrText>
            </w:r>
            <w:r w:rsidR="007A1FB6" w:rsidRPr="001D6512">
              <w:fldChar w:fldCharType="separate"/>
            </w:r>
            <w:r w:rsidR="00C0292F">
              <w:t xml:space="preserve">Table </w:t>
            </w:r>
            <w:r w:rsidR="00C0292F">
              <w:rPr>
                <w:noProof/>
              </w:rPr>
              <w:t>3</w:t>
            </w:r>
            <w:r w:rsidR="00C0292F">
              <w:noBreakHyphen/>
            </w:r>
            <w:r w:rsidR="00C0292F">
              <w:rPr>
                <w:noProof/>
              </w:rPr>
              <w:t>14</w:t>
            </w:r>
            <w:r w:rsidR="007A1FB6" w:rsidRPr="001D6512">
              <w:fldChar w:fldCharType="end"/>
            </w:r>
          </w:p>
        </w:tc>
        <w:tc>
          <w:tcPr>
            <w:tcW w:w="1195" w:type="pct"/>
            <w:tcBorders>
              <w:top w:val="single" w:sz="8" w:space="0" w:color="auto"/>
              <w:left w:val="nil"/>
              <w:bottom w:val="single" w:sz="8" w:space="0" w:color="auto"/>
              <w:right w:val="single" w:sz="8" w:space="0" w:color="auto"/>
            </w:tcBorders>
            <w:vAlign w:val="center"/>
          </w:tcPr>
          <w:p w:rsidR="00A22E85" w:rsidRPr="001D6512" w:rsidRDefault="0071013F" w:rsidP="00C3606E">
            <w:pPr>
              <w:pStyle w:val="TableCell"/>
              <w:spacing w:before="60" w:after="60"/>
            </w:pPr>
            <w:r w:rsidRPr="001D6512">
              <w:t xml:space="preserve">From </w:t>
            </w:r>
            <w:r w:rsidR="007A1FB6" w:rsidRPr="001D6512">
              <w:fldChar w:fldCharType="begin"/>
            </w:r>
            <w:r w:rsidR="007A4AD8" w:rsidRPr="001D6512">
              <w:instrText xml:space="preserve"> REF _Ref275556522 \h </w:instrText>
            </w:r>
            <w:r w:rsidR="007A1FB6" w:rsidRPr="001D6512">
              <w:fldChar w:fldCharType="separate"/>
            </w:r>
            <w:r w:rsidR="00C0292F">
              <w:t xml:space="preserve">Table </w:t>
            </w:r>
            <w:r w:rsidR="00C0292F">
              <w:rPr>
                <w:noProof/>
              </w:rPr>
              <w:t>3</w:t>
            </w:r>
            <w:r w:rsidR="00C0292F">
              <w:noBreakHyphen/>
            </w:r>
            <w:r w:rsidR="00C0292F">
              <w:rPr>
                <w:noProof/>
              </w:rPr>
              <w:t>14</w:t>
            </w:r>
            <w:r w:rsidR="007A1FB6" w:rsidRPr="001D6512">
              <w:fldChar w:fldCharType="end"/>
            </w:r>
          </w:p>
        </w:tc>
      </w:tr>
      <w:tr w:rsidR="00A22E85" w:rsidRPr="000151F9" w:rsidTr="00ED5493">
        <w:trPr>
          <w:trHeight w:val="317"/>
          <w:jc w:val="center"/>
        </w:trPr>
        <w:tc>
          <w:tcPr>
            <w:tcW w:w="966" w:type="pct"/>
            <w:vMerge w:val="restart"/>
            <w:tcBorders>
              <w:top w:val="single" w:sz="8" w:space="0" w:color="auto"/>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r w:rsidRPr="001D6512">
              <w:t>LF</w:t>
            </w:r>
            <w:r w:rsidRPr="001D6512">
              <w:rPr>
                <w:rStyle w:val="FootnoteReference"/>
                <w:rFonts w:cs="Arial"/>
                <w:color w:val="000000"/>
              </w:rPr>
              <w:footnoteReference w:id="149"/>
            </w:r>
          </w:p>
        </w:tc>
        <w:tc>
          <w:tcPr>
            <w:tcW w:w="688" w:type="pct"/>
            <w:vMerge w:val="restart"/>
            <w:tcBorders>
              <w:top w:val="single" w:sz="8" w:space="0" w:color="auto"/>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r w:rsidRPr="001D6512">
              <w:t>Variable</w:t>
            </w:r>
          </w:p>
        </w:tc>
        <w:tc>
          <w:tcPr>
            <w:tcW w:w="2151" w:type="pct"/>
            <w:tcBorders>
              <w:top w:val="single" w:sz="8" w:space="0" w:color="auto"/>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Based on spot metering</w:t>
            </w:r>
            <w:r w:rsidR="00542459" w:rsidRPr="001D6512">
              <w:rPr>
                <w:rStyle w:val="FootnoteReference"/>
              </w:rPr>
              <w:footnoteReference w:id="150"/>
            </w:r>
          </w:p>
        </w:tc>
        <w:tc>
          <w:tcPr>
            <w:tcW w:w="1195" w:type="pct"/>
            <w:tcBorders>
              <w:top w:val="single" w:sz="8" w:space="0" w:color="auto"/>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EDC Data Gathering</w:t>
            </w:r>
          </w:p>
        </w:tc>
      </w:tr>
      <w:tr w:rsidR="00A22E85" w:rsidRPr="000151F9" w:rsidTr="00ED5493">
        <w:trPr>
          <w:trHeight w:val="317"/>
          <w:jc w:val="center"/>
        </w:trPr>
        <w:tc>
          <w:tcPr>
            <w:tcW w:w="966" w:type="pct"/>
            <w:vMerge/>
            <w:tcBorders>
              <w:top w:val="single" w:sz="8" w:space="0" w:color="auto"/>
              <w:left w:val="single" w:sz="8" w:space="0" w:color="auto"/>
              <w:bottom w:val="single" w:sz="4" w:space="0" w:color="auto"/>
              <w:right w:val="single" w:sz="8" w:space="0" w:color="auto"/>
            </w:tcBorders>
            <w:vAlign w:val="center"/>
          </w:tcPr>
          <w:p w:rsidR="00A22E85" w:rsidRPr="001D6512" w:rsidRDefault="00A22E85" w:rsidP="00C3606E">
            <w:pPr>
              <w:pStyle w:val="TableCell"/>
              <w:spacing w:before="60" w:after="60"/>
            </w:pPr>
          </w:p>
        </w:tc>
        <w:tc>
          <w:tcPr>
            <w:tcW w:w="688" w:type="pct"/>
            <w:vMerge/>
            <w:tcBorders>
              <w:top w:val="single" w:sz="8" w:space="0" w:color="auto"/>
              <w:left w:val="single" w:sz="8" w:space="0" w:color="auto"/>
              <w:bottom w:val="single" w:sz="4" w:space="0" w:color="auto"/>
              <w:right w:val="single" w:sz="8" w:space="0" w:color="auto"/>
            </w:tcBorders>
            <w:vAlign w:val="center"/>
          </w:tcPr>
          <w:p w:rsidR="00A22E85" w:rsidRPr="001D6512" w:rsidRDefault="00A22E85" w:rsidP="00C3606E">
            <w:pPr>
              <w:pStyle w:val="TableCell"/>
              <w:spacing w:before="60" w:after="60"/>
            </w:pPr>
          </w:p>
        </w:tc>
        <w:tc>
          <w:tcPr>
            <w:tcW w:w="2151" w:type="pct"/>
            <w:tcBorders>
              <w:top w:val="single" w:sz="8" w:space="0" w:color="auto"/>
              <w:left w:val="nil"/>
              <w:bottom w:val="single" w:sz="4" w:space="0" w:color="auto"/>
              <w:right w:val="single" w:sz="8" w:space="0" w:color="auto"/>
            </w:tcBorders>
            <w:vAlign w:val="center"/>
          </w:tcPr>
          <w:p w:rsidR="00A22E85" w:rsidRPr="001D6512" w:rsidRDefault="00A22E85" w:rsidP="00C3606E">
            <w:pPr>
              <w:pStyle w:val="TableCell"/>
              <w:spacing w:before="60" w:after="60"/>
            </w:pPr>
            <w:r w:rsidRPr="001D6512">
              <w:t>Default 75%</w:t>
            </w:r>
          </w:p>
        </w:tc>
        <w:tc>
          <w:tcPr>
            <w:tcW w:w="1195" w:type="pct"/>
            <w:tcBorders>
              <w:top w:val="single" w:sz="8" w:space="0" w:color="auto"/>
              <w:left w:val="nil"/>
              <w:bottom w:val="single" w:sz="4" w:space="0" w:color="auto"/>
              <w:right w:val="single" w:sz="8" w:space="0" w:color="auto"/>
            </w:tcBorders>
            <w:vAlign w:val="center"/>
          </w:tcPr>
          <w:p w:rsidR="00A22E85" w:rsidRPr="001D6512" w:rsidRDefault="00A22E85" w:rsidP="00C3606E">
            <w:pPr>
              <w:pStyle w:val="TableCell"/>
              <w:spacing w:before="60" w:after="60"/>
            </w:pPr>
            <w:r w:rsidRPr="001D6512">
              <w:t>1</w:t>
            </w:r>
          </w:p>
        </w:tc>
      </w:tr>
      <w:tr w:rsidR="00A22E85" w:rsidRPr="000151F9" w:rsidTr="00ED5493">
        <w:trPr>
          <w:trHeight w:val="317"/>
          <w:jc w:val="center"/>
        </w:trPr>
        <w:tc>
          <w:tcPr>
            <w:tcW w:w="966" w:type="pct"/>
            <w:vMerge w:val="restart"/>
            <w:tcBorders>
              <w:top w:val="single" w:sz="4" w:space="0" w:color="auto"/>
              <w:left w:val="single" w:sz="4" w:space="0" w:color="auto"/>
              <w:right w:val="single" w:sz="8" w:space="0" w:color="auto"/>
            </w:tcBorders>
            <w:vAlign w:val="center"/>
          </w:tcPr>
          <w:p w:rsidR="00A22E85" w:rsidRPr="001D6512" w:rsidRDefault="00A22E85" w:rsidP="00C3606E">
            <w:pPr>
              <w:pStyle w:val="TableCell"/>
              <w:spacing w:before="60" w:after="60"/>
            </w:pPr>
            <w:r w:rsidRPr="001D6512">
              <w:t>η</w:t>
            </w:r>
            <w:r w:rsidRPr="001D6512">
              <w:rPr>
                <w:vertAlign w:val="subscript"/>
              </w:rPr>
              <w:t>base</w:t>
            </w:r>
          </w:p>
        </w:tc>
        <w:tc>
          <w:tcPr>
            <w:tcW w:w="688" w:type="pct"/>
            <w:vMerge w:val="restart"/>
            <w:tcBorders>
              <w:top w:val="single" w:sz="4" w:space="0" w:color="auto"/>
              <w:left w:val="nil"/>
              <w:right w:val="single" w:sz="4" w:space="0" w:color="auto"/>
            </w:tcBorders>
            <w:noWrap/>
            <w:vAlign w:val="center"/>
          </w:tcPr>
          <w:p w:rsidR="00A22E85" w:rsidRPr="001D6512" w:rsidRDefault="00A22E85" w:rsidP="00C3606E">
            <w:pPr>
              <w:pStyle w:val="TableCell"/>
              <w:spacing w:before="60" w:after="60"/>
            </w:pPr>
            <w:r w:rsidRPr="001D6512">
              <w:t>Variable</w:t>
            </w:r>
          </w:p>
        </w:tc>
        <w:tc>
          <w:tcPr>
            <w:tcW w:w="2151" w:type="pct"/>
            <w:tcBorders>
              <w:top w:val="single" w:sz="4" w:space="0" w:color="auto"/>
              <w:left w:val="single" w:sz="4" w:space="0" w:color="auto"/>
              <w:bottom w:val="single" w:sz="4" w:space="0" w:color="auto"/>
              <w:right w:val="single" w:sz="8" w:space="0" w:color="auto"/>
            </w:tcBorders>
            <w:vAlign w:val="center"/>
          </w:tcPr>
          <w:p w:rsidR="00A22E85" w:rsidRPr="001D6512" w:rsidRDefault="008B435E" w:rsidP="00C3606E">
            <w:pPr>
              <w:pStyle w:val="TableCell"/>
              <w:spacing w:before="60" w:after="60"/>
            </w:pPr>
            <w:r w:rsidRPr="001D6512">
              <w:t xml:space="preserve">Early </w:t>
            </w:r>
            <w:r w:rsidR="004D308B" w:rsidRPr="001D6512">
              <w:t>Replacement</w:t>
            </w:r>
            <w:r w:rsidRPr="001D6512">
              <w:t xml:space="preserve">: </w:t>
            </w:r>
            <w:r w:rsidR="00A22E85" w:rsidRPr="001D6512">
              <w:t xml:space="preserve">Nameplate </w:t>
            </w:r>
          </w:p>
        </w:tc>
        <w:tc>
          <w:tcPr>
            <w:tcW w:w="1195" w:type="pct"/>
            <w:tcBorders>
              <w:top w:val="single" w:sz="4" w:space="0" w:color="auto"/>
              <w:left w:val="nil"/>
              <w:bottom w:val="single" w:sz="4" w:space="0" w:color="auto"/>
              <w:right w:val="single" w:sz="4" w:space="0" w:color="auto"/>
            </w:tcBorders>
            <w:vAlign w:val="center"/>
          </w:tcPr>
          <w:p w:rsidR="00A22E85" w:rsidRPr="001D6512" w:rsidRDefault="00A22E85" w:rsidP="00C3606E">
            <w:pPr>
              <w:pStyle w:val="TableCell"/>
              <w:spacing w:before="60" w:after="60"/>
            </w:pPr>
            <w:r w:rsidRPr="001D6512">
              <w:t>EDC Data Gathering</w:t>
            </w:r>
          </w:p>
        </w:tc>
      </w:tr>
      <w:tr w:rsidR="00A22E85" w:rsidRPr="000151F9" w:rsidTr="00ED5493">
        <w:trPr>
          <w:trHeight w:val="317"/>
          <w:jc w:val="center"/>
        </w:trPr>
        <w:tc>
          <w:tcPr>
            <w:tcW w:w="966" w:type="pct"/>
            <w:vMerge/>
            <w:tcBorders>
              <w:left w:val="single" w:sz="4" w:space="0" w:color="auto"/>
              <w:bottom w:val="single" w:sz="4" w:space="0" w:color="auto"/>
              <w:right w:val="single" w:sz="8" w:space="0" w:color="auto"/>
            </w:tcBorders>
            <w:vAlign w:val="center"/>
          </w:tcPr>
          <w:p w:rsidR="00A22E85" w:rsidRPr="001D6512" w:rsidRDefault="00A22E85" w:rsidP="00C3606E">
            <w:pPr>
              <w:pStyle w:val="TableCell"/>
              <w:spacing w:before="60" w:after="60"/>
            </w:pPr>
          </w:p>
        </w:tc>
        <w:tc>
          <w:tcPr>
            <w:tcW w:w="688" w:type="pct"/>
            <w:vMerge/>
            <w:tcBorders>
              <w:left w:val="nil"/>
              <w:bottom w:val="single" w:sz="4" w:space="0" w:color="auto"/>
              <w:right w:val="single" w:sz="8" w:space="0" w:color="auto"/>
            </w:tcBorders>
            <w:vAlign w:val="center"/>
          </w:tcPr>
          <w:p w:rsidR="00A22E85" w:rsidRPr="001D6512" w:rsidRDefault="00A22E85" w:rsidP="00C3606E">
            <w:pPr>
              <w:pStyle w:val="TableCell"/>
              <w:spacing w:before="60" w:after="60"/>
            </w:pPr>
          </w:p>
        </w:tc>
        <w:tc>
          <w:tcPr>
            <w:tcW w:w="2151" w:type="pct"/>
            <w:tcBorders>
              <w:top w:val="single" w:sz="4" w:space="0" w:color="auto"/>
              <w:left w:val="nil"/>
              <w:bottom w:val="single" w:sz="4" w:space="0" w:color="auto"/>
              <w:right w:val="single" w:sz="8" w:space="0" w:color="auto"/>
            </w:tcBorders>
            <w:vAlign w:val="center"/>
          </w:tcPr>
          <w:p w:rsidR="00DD69F1" w:rsidRPr="001D6512" w:rsidRDefault="008B435E" w:rsidP="00C3606E">
            <w:pPr>
              <w:pStyle w:val="TableCell"/>
              <w:spacing w:before="60" w:after="60"/>
            </w:pPr>
            <w:r w:rsidRPr="001D6512">
              <w:t xml:space="preserve">New </w:t>
            </w:r>
            <w:r w:rsidR="00566F6C" w:rsidRPr="001D6512">
              <w:t xml:space="preserve">Construction </w:t>
            </w:r>
            <w:r w:rsidRPr="001D6512">
              <w:t xml:space="preserve">or </w:t>
            </w:r>
            <w:r w:rsidR="004D308B" w:rsidRPr="001D6512">
              <w:t>Replace on Burnout</w:t>
            </w:r>
            <w:r w:rsidRPr="001D6512">
              <w:t xml:space="preserve">: </w:t>
            </w:r>
            <w:r w:rsidR="00A22E85" w:rsidRPr="001D6512">
              <w:t xml:space="preserve">Default comparable standard </w:t>
            </w:r>
            <w:r w:rsidR="004D308B" w:rsidRPr="001D6512">
              <w:t>m</w:t>
            </w:r>
            <w:r w:rsidR="00A22E85" w:rsidRPr="001D6512">
              <w:t>otor</w:t>
            </w:r>
            <w:r w:rsidR="00566F6C" w:rsidRPr="001D6512">
              <w:t xml:space="preserve">. </w:t>
            </w:r>
          </w:p>
          <w:p w:rsidR="00A22E85" w:rsidRPr="001D6512" w:rsidRDefault="00566F6C" w:rsidP="00C3606E">
            <w:pPr>
              <w:pStyle w:val="TableCell"/>
              <w:spacing w:before="60" w:after="60"/>
            </w:pPr>
            <w:r w:rsidRPr="001D6512">
              <w:t>For PY1 and PY2, EPACT Standard (See Table 3-13). For PY3 and PY3, NEMA Premium (See Table 3-14)</w:t>
            </w:r>
          </w:p>
        </w:tc>
        <w:tc>
          <w:tcPr>
            <w:tcW w:w="1195" w:type="pct"/>
            <w:tcBorders>
              <w:top w:val="single" w:sz="4" w:space="0" w:color="auto"/>
              <w:left w:val="nil"/>
              <w:bottom w:val="single" w:sz="4" w:space="0" w:color="auto"/>
              <w:right w:val="single" w:sz="4" w:space="0" w:color="auto"/>
            </w:tcBorders>
            <w:vAlign w:val="center"/>
          </w:tcPr>
          <w:p w:rsidR="008B435E" w:rsidRPr="001D6512" w:rsidRDefault="00A22E85" w:rsidP="00C3606E">
            <w:pPr>
              <w:pStyle w:val="TableCell"/>
              <w:spacing w:before="60" w:after="60"/>
            </w:pPr>
            <w:r w:rsidRPr="001D6512">
              <w:t xml:space="preserve">From </w:t>
            </w:r>
            <w:r w:rsidR="00274AB1">
              <w:fldChar w:fldCharType="begin"/>
            </w:r>
            <w:r w:rsidR="00274AB1">
              <w:instrText xml:space="preserve"> REF _Ref261523159 \h  \* MERGEFORMAT </w:instrText>
            </w:r>
            <w:r w:rsidR="00274AB1">
              <w:fldChar w:fldCharType="separate"/>
            </w:r>
            <w:r w:rsidR="00C0292F">
              <w:t xml:space="preserve">Table </w:t>
            </w:r>
            <w:r w:rsidR="00C0292F">
              <w:rPr>
                <w:noProof/>
              </w:rPr>
              <w:t>3</w:t>
            </w:r>
            <w:r w:rsidR="00C0292F">
              <w:rPr>
                <w:noProof/>
              </w:rPr>
              <w:noBreakHyphen/>
              <w:t>12</w:t>
            </w:r>
            <w:r w:rsidR="00274AB1">
              <w:fldChar w:fldCharType="end"/>
            </w:r>
            <w:r w:rsidR="008B435E" w:rsidRPr="001D6512">
              <w:t xml:space="preserve"> for PY1 and PY2. </w:t>
            </w:r>
          </w:p>
          <w:p w:rsidR="00A22E85" w:rsidRPr="001D6512" w:rsidRDefault="008B435E" w:rsidP="00C3606E">
            <w:pPr>
              <w:pStyle w:val="TableCell"/>
              <w:spacing w:before="60" w:after="60"/>
            </w:pPr>
            <w:r w:rsidRPr="001D6512">
              <w:t xml:space="preserve">From </w:t>
            </w:r>
            <w:r w:rsidR="007A1FB6" w:rsidRPr="001D6512">
              <w:fldChar w:fldCharType="begin"/>
            </w:r>
            <w:r w:rsidR="007A4AD8" w:rsidRPr="001D6512">
              <w:instrText xml:space="preserve"> REF _Ref275556725 \h </w:instrText>
            </w:r>
            <w:r w:rsidR="007A1FB6" w:rsidRPr="001D6512">
              <w:fldChar w:fldCharType="separate"/>
            </w:r>
            <w:r w:rsidR="00C0292F">
              <w:t xml:space="preserve">Table </w:t>
            </w:r>
            <w:r w:rsidR="00C0292F">
              <w:rPr>
                <w:noProof/>
              </w:rPr>
              <w:t>3</w:t>
            </w:r>
            <w:r w:rsidR="00C0292F">
              <w:noBreakHyphen/>
            </w:r>
            <w:r w:rsidR="00C0292F">
              <w:rPr>
                <w:noProof/>
              </w:rPr>
              <w:t>13</w:t>
            </w:r>
            <w:r w:rsidR="007A1FB6" w:rsidRPr="001D6512">
              <w:fldChar w:fldCharType="end"/>
            </w:r>
            <w:r w:rsidR="007A4AD8" w:rsidRPr="001D6512">
              <w:t xml:space="preserve"> </w:t>
            </w:r>
            <w:r w:rsidRPr="001D6512">
              <w:t>for PY3 and PY4.</w:t>
            </w:r>
          </w:p>
        </w:tc>
      </w:tr>
      <w:tr w:rsidR="00A22E85" w:rsidRPr="000151F9" w:rsidTr="00ED5493">
        <w:trPr>
          <w:trHeight w:val="317"/>
          <w:jc w:val="center"/>
        </w:trPr>
        <w:tc>
          <w:tcPr>
            <w:tcW w:w="966" w:type="pct"/>
            <w:tcBorders>
              <w:top w:val="single" w:sz="4" w:space="0" w:color="auto"/>
              <w:left w:val="single" w:sz="8" w:space="0" w:color="auto"/>
              <w:bottom w:val="single" w:sz="8" w:space="0" w:color="auto"/>
              <w:right w:val="single" w:sz="8" w:space="0" w:color="auto"/>
            </w:tcBorders>
            <w:vAlign w:val="center"/>
          </w:tcPr>
          <w:p w:rsidR="00A22E85" w:rsidRPr="001D6512" w:rsidRDefault="00A22E85" w:rsidP="00C3606E">
            <w:pPr>
              <w:pStyle w:val="TableCell"/>
              <w:spacing w:before="60" w:after="60"/>
            </w:pPr>
            <w:r w:rsidRPr="001D6512">
              <w:t>η</w:t>
            </w:r>
            <w:r w:rsidRPr="001D6512">
              <w:rPr>
                <w:vertAlign w:val="subscript"/>
              </w:rPr>
              <w:t>ee</w:t>
            </w:r>
          </w:p>
        </w:tc>
        <w:tc>
          <w:tcPr>
            <w:tcW w:w="688" w:type="pct"/>
            <w:tcBorders>
              <w:top w:val="single" w:sz="4" w:space="0" w:color="auto"/>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Variable</w:t>
            </w:r>
          </w:p>
        </w:tc>
        <w:tc>
          <w:tcPr>
            <w:tcW w:w="2151" w:type="pct"/>
            <w:tcBorders>
              <w:top w:val="single" w:sz="4" w:space="0" w:color="auto"/>
              <w:left w:val="nil"/>
              <w:bottom w:val="single" w:sz="8" w:space="0" w:color="auto"/>
              <w:right w:val="single" w:sz="8" w:space="0" w:color="auto"/>
            </w:tcBorders>
            <w:vAlign w:val="center"/>
          </w:tcPr>
          <w:p w:rsidR="00A22E85" w:rsidRPr="001D6512" w:rsidRDefault="008B435E" w:rsidP="00C3606E">
            <w:pPr>
              <w:pStyle w:val="TableCell"/>
              <w:spacing w:before="60" w:after="60"/>
            </w:pPr>
            <w:r w:rsidRPr="001D6512">
              <w:t>Nameplate</w:t>
            </w:r>
          </w:p>
        </w:tc>
        <w:tc>
          <w:tcPr>
            <w:tcW w:w="1195" w:type="pct"/>
            <w:tcBorders>
              <w:top w:val="single" w:sz="4" w:space="0" w:color="auto"/>
              <w:left w:val="nil"/>
              <w:bottom w:val="single" w:sz="8" w:space="0" w:color="auto"/>
              <w:right w:val="single" w:sz="8" w:space="0" w:color="auto"/>
            </w:tcBorders>
            <w:vAlign w:val="center"/>
          </w:tcPr>
          <w:p w:rsidR="00A22E85" w:rsidRPr="001D6512" w:rsidRDefault="008B435E" w:rsidP="00C3606E">
            <w:pPr>
              <w:pStyle w:val="TableCell"/>
              <w:spacing w:before="60" w:after="60"/>
            </w:pPr>
            <w:r w:rsidRPr="001D6512">
              <w:t>EDC Data Gathering</w:t>
            </w:r>
          </w:p>
        </w:tc>
      </w:tr>
      <w:tr w:rsidR="00A22E85" w:rsidRPr="000151F9" w:rsidTr="00ED5493">
        <w:trPr>
          <w:trHeight w:val="317"/>
          <w:jc w:val="center"/>
        </w:trPr>
        <w:tc>
          <w:tcPr>
            <w:tcW w:w="966" w:type="pct"/>
            <w:tcBorders>
              <w:top w:val="nil"/>
              <w:left w:val="single" w:sz="8" w:space="0" w:color="auto"/>
              <w:bottom w:val="single" w:sz="8" w:space="0" w:color="auto"/>
              <w:right w:val="single" w:sz="8" w:space="0" w:color="auto"/>
            </w:tcBorders>
            <w:vAlign w:val="center"/>
          </w:tcPr>
          <w:p w:rsidR="00A22E85" w:rsidRPr="001D6512" w:rsidRDefault="00A22E85" w:rsidP="00C3606E">
            <w:pPr>
              <w:pStyle w:val="TableCell"/>
              <w:spacing w:before="60" w:after="60"/>
            </w:pPr>
            <w:r w:rsidRPr="001D6512">
              <w:t>CF</w:t>
            </w:r>
            <w:r w:rsidRPr="001D6512">
              <w:rPr>
                <w:rStyle w:val="FootnoteReference"/>
                <w:rFonts w:cs="Arial"/>
                <w:color w:val="000000"/>
              </w:rPr>
              <w:footnoteReference w:id="151"/>
            </w:r>
          </w:p>
        </w:tc>
        <w:tc>
          <w:tcPr>
            <w:tcW w:w="688" w:type="pct"/>
            <w:tcBorders>
              <w:top w:val="nil"/>
              <w:left w:val="nil"/>
              <w:bottom w:val="single" w:sz="8" w:space="0" w:color="auto"/>
              <w:right w:val="single" w:sz="8" w:space="0" w:color="auto"/>
            </w:tcBorders>
            <w:vAlign w:val="center"/>
          </w:tcPr>
          <w:p w:rsidR="00A22E85" w:rsidRPr="001D6512" w:rsidRDefault="004D308B" w:rsidP="00C3606E">
            <w:pPr>
              <w:pStyle w:val="TableCell"/>
              <w:spacing w:before="60" w:after="60"/>
            </w:pPr>
            <w:r w:rsidRPr="001D6512">
              <w:t>Variable</w:t>
            </w:r>
          </w:p>
        </w:tc>
        <w:tc>
          <w:tcPr>
            <w:tcW w:w="2151" w:type="pct"/>
            <w:tcBorders>
              <w:top w:val="nil"/>
              <w:left w:val="nil"/>
              <w:bottom w:val="single" w:sz="8" w:space="0" w:color="auto"/>
              <w:right w:val="single" w:sz="8" w:space="0" w:color="auto"/>
            </w:tcBorders>
            <w:vAlign w:val="center"/>
          </w:tcPr>
          <w:p w:rsidR="00A22E85" w:rsidRPr="001D6512" w:rsidRDefault="004D308B" w:rsidP="00C3606E">
            <w:pPr>
              <w:pStyle w:val="TableCell"/>
              <w:spacing w:before="60" w:after="60"/>
            </w:pPr>
            <w:r w:rsidRPr="001D6512">
              <w:t xml:space="preserve">Single Motor Configuration: </w:t>
            </w:r>
            <w:r w:rsidR="00A22E85" w:rsidRPr="001D6512">
              <w:t>74%</w:t>
            </w:r>
          </w:p>
          <w:p w:rsidR="004D308B" w:rsidRPr="001D6512" w:rsidRDefault="004D308B" w:rsidP="00C3606E">
            <w:pPr>
              <w:pStyle w:val="TableCell"/>
              <w:spacing w:before="60" w:after="60"/>
            </w:pPr>
            <w:r w:rsidRPr="001D6512">
              <w:t>Duplex Motor Configuration: 37%</w:t>
            </w:r>
          </w:p>
        </w:tc>
        <w:tc>
          <w:tcPr>
            <w:tcW w:w="1195" w:type="pct"/>
            <w:tcBorders>
              <w:top w:val="nil"/>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1</w:t>
            </w:r>
          </w:p>
        </w:tc>
      </w:tr>
    </w:tbl>
    <w:p w:rsidR="00A22E85" w:rsidRPr="001C4AD5" w:rsidRDefault="00A22E85" w:rsidP="00C3606E">
      <w:pPr>
        <w:spacing w:after="0"/>
        <w:ind w:left="475" w:hanging="475"/>
      </w:pPr>
    </w:p>
    <w:p w:rsidR="00A22E85" w:rsidRPr="00BC5194" w:rsidRDefault="00A22E85" w:rsidP="00B20F6B">
      <w:pPr>
        <w:rPr>
          <w:b/>
        </w:rPr>
      </w:pPr>
      <w:r w:rsidRPr="00BC5194">
        <w:rPr>
          <w:b/>
        </w:rPr>
        <w:t>Sources:</w:t>
      </w:r>
    </w:p>
    <w:p w:rsidR="00A22E85" w:rsidRPr="001C4AD5" w:rsidRDefault="00A22E85" w:rsidP="0005632A">
      <w:pPr>
        <w:numPr>
          <w:ilvl w:val="0"/>
          <w:numId w:val="12"/>
        </w:numPr>
      </w:pPr>
      <w:smartTag w:uri="urn:schemas-microsoft-com:office:smarttags" w:element="State">
        <w:smartTag w:uri="urn:schemas-microsoft-com:office:smarttags" w:element="place">
          <w:r w:rsidRPr="001C4AD5">
            <w:t>California</w:t>
          </w:r>
        </w:smartTag>
      </w:smartTag>
      <w:r w:rsidRPr="001C4AD5">
        <w:t xml:space="preserve"> Public Utility Commission. </w:t>
      </w:r>
      <w:r w:rsidRPr="001C4AD5">
        <w:rPr>
          <w:i/>
        </w:rPr>
        <w:t>Database for Energy Efficiency Resources</w:t>
      </w:r>
      <w:r w:rsidRPr="001C4AD5">
        <w:t xml:space="preserve"> 2005</w:t>
      </w:r>
    </w:p>
    <w:p w:rsidR="001C4AD5" w:rsidRPr="001C4AD5" w:rsidRDefault="001C4AD5" w:rsidP="00B20F6B">
      <w:pPr>
        <w:pStyle w:val="Caption"/>
      </w:pPr>
      <w:bookmarkStart w:id="557" w:name="_Ref261523159"/>
      <w:bookmarkStart w:id="558" w:name="_Toc310875564"/>
      <w:r>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12</w:t>
      </w:r>
      <w:r w:rsidR="00274AB1">
        <w:rPr>
          <w:noProof/>
        </w:rPr>
        <w:fldChar w:fldCharType="end"/>
      </w:r>
      <w:bookmarkEnd w:id="557"/>
      <w:r>
        <w:t xml:space="preserve">: Baseline Motor </w:t>
      </w:r>
      <w:r w:rsidR="00C33F28">
        <w:t xml:space="preserve">Nominal </w:t>
      </w:r>
      <w:r>
        <w:t>Efficienc</w:t>
      </w:r>
      <w:r w:rsidRPr="00B137EF">
        <w:t>ies</w:t>
      </w:r>
      <w:r w:rsidR="008B435E">
        <w:t xml:space="preserve"> for PY1 and PY2</w:t>
      </w:r>
      <w:r>
        <w:rPr>
          <w:rStyle w:val="FootnoteReference"/>
          <w:b w:val="0"/>
          <w:bCs w:val="0"/>
        </w:rPr>
        <w:footnoteReference w:id="152"/>
      </w:r>
      <w:bookmarkEnd w:id="55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1276"/>
        <w:gridCol w:w="1275"/>
        <w:gridCol w:w="1275"/>
        <w:gridCol w:w="1275"/>
        <w:gridCol w:w="1275"/>
        <w:gridCol w:w="1275"/>
      </w:tblGrid>
      <w:tr w:rsidR="00A22E85" w:rsidRPr="000151F9" w:rsidTr="005D7F62">
        <w:trPr>
          <w:trHeight w:val="259"/>
          <w:tblHeader/>
          <w:jc w:val="center"/>
        </w:trPr>
        <w:tc>
          <w:tcPr>
            <w:tcW w:w="680" w:type="pct"/>
            <w:vMerge w:val="restart"/>
            <w:shd w:val="clear" w:color="auto" w:fill="BFBFBF"/>
            <w:vAlign w:val="bottom"/>
          </w:tcPr>
          <w:p w:rsidR="00A22E85" w:rsidRPr="001D6512" w:rsidRDefault="00A22E85" w:rsidP="00C3606E">
            <w:pPr>
              <w:pStyle w:val="TableCell"/>
              <w:spacing w:before="60" w:after="60"/>
              <w:jc w:val="center"/>
              <w:rPr>
                <w:b/>
              </w:rPr>
            </w:pPr>
            <w:r w:rsidRPr="001D6512">
              <w:rPr>
                <w:b/>
              </w:rPr>
              <w:t>Size HP</w:t>
            </w:r>
          </w:p>
        </w:tc>
        <w:tc>
          <w:tcPr>
            <w:tcW w:w="2160" w:type="pct"/>
            <w:gridSpan w:val="3"/>
            <w:shd w:val="clear" w:color="auto" w:fill="BFBFBF"/>
            <w:vAlign w:val="bottom"/>
          </w:tcPr>
          <w:p w:rsidR="00A6516D" w:rsidRPr="001D6512" w:rsidRDefault="00A22E85" w:rsidP="00C3606E">
            <w:pPr>
              <w:pStyle w:val="TableCell"/>
              <w:spacing w:before="60" w:after="60"/>
              <w:jc w:val="center"/>
              <w:rPr>
                <w:b/>
                <w:iCs/>
              </w:rPr>
            </w:pPr>
            <w:r w:rsidRPr="001D6512">
              <w:rPr>
                <w:b/>
                <w:iCs/>
              </w:rPr>
              <w:t>Open Drip Proof (ODP)</w:t>
            </w:r>
          </w:p>
          <w:p w:rsidR="00A22E85" w:rsidRPr="001D6512" w:rsidRDefault="00A22E85" w:rsidP="00C3606E">
            <w:pPr>
              <w:pStyle w:val="TableCell"/>
              <w:spacing w:before="60" w:after="60"/>
              <w:jc w:val="center"/>
              <w:rPr>
                <w:b/>
                <w:iCs/>
              </w:rPr>
            </w:pPr>
            <w:r w:rsidRPr="001D6512">
              <w:rPr>
                <w:b/>
                <w:iCs/>
              </w:rPr>
              <w:t># of Poles</w:t>
            </w:r>
          </w:p>
        </w:tc>
        <w:tc>
          <w:tcPr>
            <w:tcW w:w="2160" w:type="pct"/>
            <w:gridSpan w:val="3"/>
            <w:shd w:val="clear" w:color="auto" w:fill="BFBFBF"/>
            <w:vAlign w:val="bottom"/>
          </w:tcPr>
          <w:p w:rsidR="00A22E85" w:rsidRPr="001D6512" w:rsidRDefault="00A22E85" w:rsidP="00C3606E">
            <w:pPr>
              <w:pStyle w:val="TableCell"/>
              <w:spacing w:before="60" w:after="60"/>
              <w:jc w:val="center"/>
              <w:rPr>
                <w:b/>
                <w:iCs/>
              </w:rPr>
            </w:pPr>
            <w:r w:rsidRPr="001D6512">
              <w:rPr>
                <w:b/>
                <w:iCs/>
              </w:rPr>
              <w:t>Totally Enclosed Fan-Cooled (TEFC)</w:t>
            </w:r>
          </w:p>
          <w:p w:rsidR="00A22E85" w:rsidRPr="001D6512" w:rsidRDefault="00A22E85" w:rsidP="00C3606E">
            <w:pPr>
              <w:pStyle w:val="TableCell"/>
              <w:spacing w:before="60" w:after="60"/>
              <w:jc w:val="center"/>
              <w:rPr>
                <w:b/>
                <w:iCs/>
              </w:rPr>
            </w:pPr>
            <w:r w:rsidRPr="001D6512">
              <w:rPr>
                <w:b/>
                <w:iCs/>
              </w:rPr>
              <w:t># of Poles</w:t>
            </w:r>
          </w:p>
        </w:tc>
      </w:tr>
      <w:tr w:rsidR="00A22E85" w:rsidRPr="000151F9" w:rsidTr="005D7F62">
        <w:trPr>
          <w:trHeight w:val="259"/>
          <w:tblHeader/>
          <w:jc w:val="center"/>
        </w:trPr>
        <w:tc>
          <w:tcPr>
            <w:tcW w:w="680" w:type="pct"/>
            <w:vMerge/>
            <w:shd w:val="clear" w:color="auto" w:fill="BFBFBF"/>
            <w:vAlign w:val="bottom"/>
          </w:tcPr>
          <w:p w:rsidR="00A22E85" w:rsidRPr="001D6512" w:rsidRDefault="00A22E85" w:rsidP="00C3606E">
            <w:pPr>
              <w:pStyle w:val="TableCell"/>
              <w:spacing w:before="60" w:after="60"/>
              <w:jc w:val="center"/>
            </w:pPr>
          </w:p>
        </w:tc>
        <w:tc>
          <w:tcPr>
            <w:tcW w:w="720" w:type="pct"/>
            <w:shd w:val="clear" w:color="auto" w:fill="BFBFBF"/>
            <w:vAlign w:val="bottom"/>
          </w:tcPr>
          <w:p w:rsidR="00A22E85" w:rsidRPr="001D6512" w:rsidRDefault="00A22E85" w:rsidP="00C3606E">
            <w:pPr>
              <w:pStyle w:val="TableCell"/>
              <w:spacing w:before="60" w:after="60"/>
              <w:jc w:val="center"/>
              <w:rPr>
                <w:b/>
                <w:iCs/>
              </w:rPr>
            </w:pPr>
            <w:r w:rsidRPr="001D6512">
              <w:rPr>
                <w:b/>
                <w:iCs/>
              </w:rPr>
              <w:t>6</w:t>
            </w:r>
          </w:p>
        </w:tc>
        <w:tc>
          <w:tcPr>
            <w:tcW w:w="720" w:type="pct"/>
            <w:shd w:val="clear" w:color="auto" w:fill="BFBFBF"/>
            <w:vAlign w:val="bottom"/>
          </w:tcPr>
          <w:p w:rsidR="00A22E85" w:rsidRPr="001D6512" w:rsidRDefault="00A22E85" w:rsidP="00C3606E">
            <w:pPr>
              <w:pStyle w:val="TableCell"/>
              <w:spacing w:before="60" w:after="60"/>
              <w:jc w:val="center"/>
              <w:rPr>
                <w:b/>
                <w:iCs/>
              </w:rPr>
            </w:pPr>
            <w:r w:rsidRPr="001D6512">
              <w:rPr>
                <w:b/>
                <w:iCs/>
              </w:rPr>
              <w:t>4</w:t>
            </w:r>
          </w:p>
        </w:tc>
        <w:tc>
          <w:tcPr>
            <w:tcW w:w="720" w:type="pct"/>
            <w:shd w:val="clear" w:color="auto" w:fill="BFBFBF"/>
            <w:vAlign w:val="bottom"/>
          </w:tcPr>
          <w:p w:rsidR="00A22E85" w:rsidRPr="001D6512" w:rsidRDefault="00A22E85" w:rsidP="00C3606E">
            <w:pPr>
              <w:pStyle w:val="TableCell"/>
              <w:spacing w:before="60" w:after="60"/>
              <w:jc w:val="center"/>
              <w:rPr>
                <w:b/>
                <w:iCs/>
              </w:rPr>
            </w:pPr>
            <w:r w:rsidRPr="001D6512">
              <w:rPr>
                <w:b/>
                <w:iCs/>
              </w:rPr>
              <w:t>2</w:t>
            </w:r>
          </w:p>
        </w:tc>
        <w:tc>
          <w:tcPr>
            <w:tcW w:w="720" w:type="pct"/>
            <w:shd w:val="clear" w:color="auto" w:fill="BFBFBF"/>
            <w:vAlign w:val="bottom"/>
          </w:tcPr>
          <w:p w:rsidR="00A22E85" w:rsidRPr="001D6512" w:rsidRDefault="00A22E85" w:rsidP="00C3606E">
            <w:pPr>
              <w:pStyle w:val="TableCell"/>
              <w:spacing w:before="60" w:after="60"/>
              <w:jc w:val="center"/>
              <w:rPr>
                <w:b/>
                <w:iCs/>
              </w:rPr>
            </w:pPr>
            <w:r w:rsidRPr="001D6512">
              <w:rPr>
                <w:b/>
                <w:iCs/>
              </w:rPr>
              <w:t>6</w:t>
            </w:r>
          </w:p>
        </w:tc>
        <w:tc>
          <w:tcPr>
            <w:tcW w:w="720" w:type="pct"/>
            <w:shd w:val="clear" w:color="auto" w:fill="BFBFBF"/>
            <w:vAlign w:val="bottom"/>
          </w:tcPr>
          <w:p w:rsidR="00A22E85" w:rsidRPr="001D6512" w:rsidRDefault="00A22E85" w:rsidP="00C3606E">
            <w:pPr>
              <w:pStyle w:val="TableCell"/>
              <w:spacing w:before="60" w:after="60"/>
              <w:jc w:val="center"/>
              <w:rPr>
                <w:b/>
                <w:iCs/>
              </w:rPr>
            </w:pPr>
            <w:r w:rsidRPr="001D6512">
              <w:rPr>
                <w:b/>
                <w:iCs/>
              </w:rPr>
              <w:t>4</w:t>
            </w:r>
          </w:p>
        </w:tc>
        <w:tc>
          <w:tcPr>
            <w:tcW w:w="720" w:type="pct"/>
            <w:shd w:val="clear" w:color="auto" w:fill="BFBFBF"/>
            <w:vAlign w:val="bottom"/>
          </w:tcPr>
          <w:p w:rsidR="00A22E85" w:rsidRPr="001D6512" w:rsidRDefault="00A22E85" w:rsidP="00C3606E">
            <w:pPr>
              <w:pStyle w:val="TableCell"/>
              <w:spacing w:before="60" w:after="60"/>
              <w:jc w:val="center"/>
              <w:rPr>
                <w:b/>
                <w:iCs/>
              </w:rPr>
            </w:pPr>
            <w:r w:rsidRPr="001D6512">
              <w:rPr>
                <w:b/>
                <w:iCs/>
              </w:rPr>
              <w:t>2</w:t>
            </w:r>
          </w:p>
        </w:tc>
      </w:tr>
      <w:tr w:rsidR="00A22E85" w:rsidRPr="000151F9" w:rsidTr="005D7F62">
        <w:trPr>
          <w:trHeight w:val="259"/>
          <w:tblHeader/>
          <w:jc w:val="center"/>
        </w:trPr>
        <w:tc>
          <w:tcPr>
            <w:tcW w:w="680" w:type="pct"/>
            <w:vMerge/>
            <w:shd w:val="clear" w:color="auto" w:fill="D9D9D9"/>
            <w:vAlign w:val="bottom"/>
          </w:tcPr>
          <w:p w:rsidR="00A22E85" w:rsidRPr="001D6512" w:rsidRDefault="00A22E85" w:rsidP="00C3606E">
            <w:pPr>
              <w:pStyle w:val="TableCell"/>
              <w:spacing w:before="60" w:after="60"/>
              <w:jc w:val="center"/>
            </w:pPr>
          </w:p>
        </w:tc>
        <w:tc>
          <w:tcPr>
            <w:tcW w:w="2160" w:type="pct"/>
            <w:gridSpan w:val="3"/>
            <w:shd w:val="clear" w:color="auto" w:fill="D9D9D9"/>
            <w:vAlign w:val="bottom"/>
          </w:tcPr>
          <w:p w:rsidR="00A22E85" w:rsidRPr="001D6512" w:rsidRDefault="00A22E85" w:rsidP="00C3606E">
            <w:pPr>
              <w:pStyle w:val="TableCell"/>
              <w:spacing w:before="60" w:after="60"/>
              <w:jc w:val="center"/>
              <w:rPr>
                <w:iCs/>
              </w:rPr>
            </w:pPr>
            <w:r w:rsidRPr="001D6512">
              <w:rPr>
                <w:iCs/>
              </w:rPr>
              <w:t>Speed (RPM)</w:t>
            </w:r>
          </w:p>
        </w:tc>
        <w:tc>
          <w:tcPr>
            <w:tcW w:w="2160" w:type="pct"/>
            <w:gridSpan w:val="3"/>
            <w:shd w:val="clear" w:color="auto" w:fill="D9D9D9"/>
            <w:vAlign w:val="bottom"/>
          </w:tcPr>
          <w:p w:rsidR="00A22E85" w:rsidRPr="001D6512" w:rsidRDefault="00A22E85" w:rsidP="00C3606E">
            <w:pPr>
              <w:pStyle w:val="TableCell"/>
              <w:spacing w:before="60" w:after="60"/>
              <w:jc w:val="center"/>
              <w:rPr>
                <w:iCs/>
              </w:rPr>
            </w:pPr>
            <w:r w:rsidRPr="001D6512">
              <w:rPr>
                <w:iCs/>
              </w:rPr>
              <w:t>Speed (RPM)</w:t>
            </w:r>
          </w:p>
        </w:tc>
      </w:tr>
      <w:tr w:rsidR="00A22E85" w:rsidRPr="000151F9" w:rsidTr="005D7F62">
        <w:trPr>
          <w:trHeight w:val="259"/>
          <w:tblHeader/>
          <w:jc w:val="center"/>
        </w:trPr>
        <w:tc>
          <w:tcPr>
            <w:tcW w:w="680" w:type="pct"/>
            <w:vMerge/>
            <w:shd w:val="clear" w:color="auto" w:fill="D9D9D9"/>
            <w:vAlign w:val="bottom"/>
          </w:tcPr>
          <w:p w:rsidR="00A22E85" w:rsidRPr="001D6512" w:rsidRDefault="00A22E85" w:rsidP="00C3606E">
            <w:pPr>
              <w:pStyle w:val="TableCell"/>
              <w:spacing w:before="60" w:after="60"/>
              <w:jc w:val="center"/>
            </w:pPr>
          </w:p>
        </w:tc>
        <w:tc>
          <w:tcPr>
            <w:tcW w:w="720" w:type="pct"/>
            <w:shd w:val="clear" w:color="auto" w:fill="D9D9D9"/>
            <w:vAlign w:val="bottom"/>
          </w:tcPr>
          <w:p w:rsidR="00A22E85" w:rsidRPr="001D6512" w:rsidRDefault="00A22E85" w:rsidP="00C3606E">
            <w:pPr>
              <w:pStyle w:val="TableCell"/>
              <w:spacing w:before="60" w:after="60"/>
              <w:jc w:val="center"/>
              <w:rPr>
                <w:iCs/>
              </w:rPr>
            </w:pPr>
            <w:r w:rsidRPr="001D6512">
              <w:rPr>
                <w:iCs/>
              </w:rPr>
              <w:t>1200</w:t>
            </w:r>
          </w:p>
        </w:tc>
        <w:tc>
          <w:tcPr>
            <w:tcW w:w="720" w:type="pct"/>
            <w:shd w:val="clear" w:color="auto" w:fill="D9D9D9"/>
            <w:vAlign w:val="bottom"/>
          </w:tcPr>
          <w:p w:rsidR="00A22E85" w:rsidRPr="001D6512" w:rsidRDefault="00A22E85" w:rsidP="00C3606E">
            <w:pPr>
              <w:pStyle w:val="TableCell"/>
              <w:spacing w:before="60" w:after="60"/>
              <w:jc w:val="center"/>
              <w:rPr>
                <w:iCs/>
              </w:rPr>
            </w:pPr>
            <w:r w:rsidRPr="001D6512">
              <w:rPr>
                <w:iCs/>
              </w:rPr>
              <w:t>1800</w:t>
            </w:r>
          </w:p>
        </w:tc>
        <w:tc>
          <w:tcPr>
            <w:tcW w:w="720" w:type="pct"/>
            <w:shd w:val="clear" w:color="auto" w:fill="D9D9D9"/>
            <w:vAlign w:val="bottom"/>
          </w:tcPr>
          <w:p w:rsidR="00A22E85" w:rsidRPr="001D6512" w:rsidRDefault="00A22E85" w:rsidP="00C3606E">
            <w:pPr>
              <w:pStyle w:val="TableCell"/>
              <w:spacing w:before="60" w:after="60"/>
              <w:jc w:val="center"/>
              <w:rPr>
                <w:iCs/>
              </w:rPr>
            </w:pPr>
            <w:r w:rsidRPr="001D6512">
              <w:rPr>
                <w:iCs/>
              </w:rPr>
              <w:t>3600</w:t>
            </w:r>
          </w:p>
        </w:tc>
        <w:tc>
          <w:tcPr>
            <w:tcW w:w="720" w:type="pct"/>
            <w:shd w:val="clear" w:color="auto" w:fill="D9D9D9"/>
            <w:vAlign w:val="bottom"/>
          </w:tcPr>
          <w:p w:rsidR="00A22E85" w:rsidRPr="001D6512" w:rsidRDefault="00A22E85" w:rsidP="00C3606E">
            <w:pPr>
              <w:pStyle w:val="TableCell"/>
              <w:spacing w:before="60" w:after="60"/>
              <w:jc w:val="center"/>
              <w:rPr>
                <w:iCs/>
              </w:rPr>
            </w:pPr>
            <w:r w:rsidRPr="001D6512">
              <w:rPr>
                <w:iCs/>
              </w:rPr>
              <w:t>1200</w:t>
            </w:r>
          </w:p>
        </w:tc>
        <w:tc>
          <w:tcPr>
            <w:tcW w:w="720" w:type="pct"/>
            <w:shd w:val="clear" w:color="auto" w:fill="D9D9D9"/>
            <w:vAlign w:val="bottom"/>
          </w:tcPr>
          <w:p w:rsidR="00A22E85" w:rsidRPr="001D6512" w:rsidRDefault="00A22E85" w:rsidP="00C3606E">
            <w:pPr>
              <w:pStyle w:val="TableCell"/>
              <w:spacing w:before="60" w:after="60"/>
              <w:jc w:val="center"/>
              <w:rPr>
                <w:iCs/>
              </w:rPr>
            </w:pPr>
            <w:r w:rsidRPr="001D6512">
              <w:rPr>
                <w:iCs/>
              </w:rPr>
              <w:t>1800</w:t>
            </w:r>
          </w:p>
        </w:tc>
        <w:tc>
          <w:tcPr>
            <w:tcW w:w="720" w:type="pct"/>
            <w:shd w:val="clear" w:color="auto" w:fill="D9D9D9"/>
            <w:vAlign w:val="bottom"/>
          </w:tcPr>
          <w:p w:rsidR="00A22E85" w:rsidRPr="001D6512" w:rsidRDefault="00A22E85" w:rsidP="00C3606E">
            <w:pPr>
              <w:pStyle w:val="TableCell"/>
              <w:spacing w:before="60" w:after="60"/>
              <w:jc w:val="center"/>
              <w:rPr>
                <w:iCs/>
              </w:rPr>
            </w:pPr>
            <w:r w:rsidRPr="001D6512">
              <w:rPr>
                <w:iCs/>
              </w:rPr>
              <w:t>3600</w:t>
            </w:r>
          </w:p>
        </w:tc>
      </w:tr>
      <w:tr w:rsidR="00A22E85" w:rsidRPr="000151F9" w:rsidTr="005D7F62">
        <w:trPr>
          <w:trHeight w:val="259"/>
          <w:jc w:val="center"/>
        </w:trPr>
        <w:tc>
          <w:tcPr>
            <w:tcW w:w="680" w:type="pct"/>
            <w:vAlign w:val="bottom"/>
          </w:tcPr>
          <w:p w:rsidR="00A22E85" w:rsidRPr="001D6512" w:rsidRDefault="00A22E85" w:rsidP="00C3606E">
            <w:pPr>
              <w:pStyle w:val="TableCell"/>
              <w:spacing w:before="60" w:after="60"/>
              <w:jc w:val="center"/>
            </w:pPr>
            <w:r w:rsidRPr="001D6512">
              <w:t>1</w:t>
            </w:r>
          </w:p>
        </w:tc>
        <w:tc>
          <w:tcPr>
            <w:tcW w:w="720" w:type="pct"/>
            <w:vAlign w:val="bottom"/>
          </w:tcPr>
          <w:p w:rsidR="00A22E85" w:rsidRPr="001D6512" w:rsidRDefault="00A22E85" w:rsidP="00C3606E">
            <w:pPr>
              <w:pStyle w:val="TableCell"/>
              <w:spacing w:before="60" w:after="60"/>
              <w:jc w:val="center"/>
            </w:pPr>
            <w:r w:rsidRPr="001D6512">
              <w:t>80.0%</w:t>
            </w:r>
          </w:p>
        </w:tc>
        <w:tc>
          <w:tcPr>
            <w:tcW w:w="720" w:type="pct"/>
            <w:vAlign w:val="bottom"/>
          </w:tcPr>
          <w:p w:rsidR="00A22E85" w:rsidRPr="001D6512" w:rsidRDefault="00A22E85" w:rsidP="00C3606E">
            <w:pPr>
              <w:pStyle w:val="TableCell"/>
              <w:spacing w:before="60" w:after="60"/>
              <w:jc w:val="center"/>
            </w:pPr>
            <w:r w:rsidRPr="001D6512">
              <w:t>82.5%</w:t>
            </w:r>
          </w:p>
        </w:tc>
        <w:tc>
          <w:tcPr>
            <w:tcW w:w="720" w:type="pct"/>
            <w:vAlign w:val="bottom"/>
          </w:tcPr>
          <w:p w:rsidR="00A22E85" w:rsidRPr="001D6512" w:rsidRDefault="00A22E85" w:rsidP="00C3606E">
            <w:pPr>
              <w:pStyle w:val="TableCell"/>
              <w:spacing w:before="60" w:after="60"/>
              <w:jc w:val="center"/>
            </w:pPr>
            <w:r w:rsidRPr="001D6512">
              <w:t>75.5%</w:t>
            </w:r>
          </w:p>
        </w:tc>
        <w:tc>
          <w:tcPr>
            <w:tcW w:w="720" w:type="pct"/>
            <w:vAlign w:val="bottom"/>
          </w:tcPr>
          <w:p w:rsidR="00A22E85" w:rsidRPr="001D6512" w:rsidRDefault="00A22E85" w:rsidP="00C3606E">
            <w:pPr>
              <w:pStyle w:val="TableCell"/>
              <w:spacing w:before="60" w:after="60"/>
              <w:jc w:val="center"/>
            </w:pPr>
            <w:r w:rsidRPr="001D6512">
              <w:t>80.0%</w:t>
            </w:r>
          </w:p>
        </w:tc>
        <w:tc>
          <w:tcPr>
            <w:tcW w:w="720" w:type="pct"/>
            <w:vAlign w:val="bottom"/>
          </w:tcPr>
          <w:p w:rsidR="00A22E85" w:rsidRPr="001D6512" w:rsidRDefault="00A22E85" w:rsidP="00C3606E">
            <w:pPr>
              <w:pStyle w:val="TableCell"/>
              <w:spacing w:before="60" w:after="60"/>
              <w:jc w:val="center"/>
            </w:pPr>
            <w:r w:rsidRPr="001D6512">
              <w:t>82.5%</w:t>
            </w:r>
          </w:p>
        </w:tc>
        <w:tc>
          <w:tcPr>
            <w:tcW w:w="720" w:type="pct"/>
            <w:vAlign w:val="bottom"/>
          </w:tcPr>
          <w:p w:rsidR="00A22E85" w:rsidRPr="001D6512" w:rsidRDefault="00A22E85" w:rsidP="00C3606E">
            <w:pPr>
              <w:pStyle w:val="TableCell"/>
              <w:spacing w:before="60" w:after="60"/>
              <w:jc w:val="center"/>
            </w:pPr>
            <w:r w:rsidRPr="001D6512">
              <w:t>75.5%</w:t>
            </w:r>
          </w:p>
        </w:tc>
      </w:tr>
      <w:tr w:rsidR="00A22E85" w:rsidRPr="000151F9" w:rsidTr="005D7F62">
        <w:trPr>
          <w:trHeight w:val="259"/>
          <w:jc w:val="center"/>
        </w:trPr>
        <w:tc>
          <w:tcPr>
            <w:tcW w:w="680" w:type="pct"/>
            <w:vAlign w:val="bottom"/>
          </w:tcPr>
          <w:p w:rsidR="00A22E85" w:rsidRPr="001D6512" w:rsidRDefault="00A22E85" w:rsidP="00C3606E">
            <w:pPr>
              <w:pStyle w:val="TableCell"/>
              <w:spacing w:before="60" w:after="60"/>
              <w:jc w:val="center"/>
            </w:pPr>
            <w:r w:rsidRPr="001D6512">
              <w:t>1.5</w:t>
            </w:r>
          </w:p>
        </w:tc>
        <w:tc>
          <w:tcPr>
            <w:tcW w:w="720" w:type="pct"/>
            <w:vAlign w:val="bottom"/>
          </w:tcPr>
          <w:p w:rsidR="00A22E85" w:rsidRPr="001D6512" w:rsidRDefault="00A22E85" w:rsidP="00C3606E">
            <w:pPr>
              <w:pStyle w:val="TableCell"/>
              <w:spacing w:before="60" w:after="60"/>
              <w:jc w:val="center"/>
            </w:pPr>
            <w:r w:rsidRPr="001D6512">
              <w:t>84.0%</w:t>
            </w:r>
          </w:p>
        </w:tc>
        <w:tc>
          <w:tcPr>
            <w:tcW w:w="720" w:type="pct"/>
            <w:vAlign w:val="bottom"/>
          </w:tcPr>
          <w:p w:rsidR="00A22E85" w:rsidRPr="001D6512" w:rsidRDefault="00A22E85" w:rsidP="00C3606E">
            <w:pPr>
              <w:pStyle w:val="TableCell"/>
              <w:spacing w:before="60" w:after="60"/>
              <w:jc w:val="center"/>
            </w:pPr>
            <w:r w:rsidRPr="001D6512">
              <w:t>84.0%</w:t>
            </w:r>
          </w:p>
        </w:tc>
        <w:tc>
          <w:tcPr>
            <w:tcW w:w="720" w:type="pct"/>
            <w:vAlign w:val="bottom"/>
          </w:tcPr>
          <w:p w:rsidR="00A22E85" w:rsidRPr="001D6512" w:rsidRDefault="00A22E85" w:rsidP="00C3606E">
            <w:pPr>
              <w:pStyle w:val="TableCell"/>
              <w:spacing w:before="60" w:after="60"/>
              <w:jc w:val="center"/>
            </w:pPr>
            <w:r w:rsidRPr="001D6512">
              <w:t>82.5%</w:t>
            </w:r>
          </w:p>
        </w:tc>
        <w:tc>
          <w:tcPr>
            <w:tcW w:w="720" w:type="pct"/>
            <w:vAlign w:val="bottom"/>
          </w:tcPr>
          <w:p w:rsidR="00A22E85" w:rsidRPr="001D6512" w:rsidRDefault="00A22E85" w:rsidP="00C3606E">
            <w:pPr>
              <w:pStyle w:val="TableCell"/>
              <w:spacing w:before="60" w:after="60"/>
              <w:jc w:val="center"/>
            </w:pPr>
            <w:r w:rsidRPr="001D6512">
              <w:t>85.5%</w:t>
            </w:r>
          </w:p>
        </w:tc>
        <w:tc>
          <w:tcPr>
            <w:tcW w:w="720" w:type="pct"/>
            <w:vAlign w:val="bottom"/>
          </w:tcPr>
          <w:p w:rsidR="00A22E85" w:rsidRPr="001D6512" w:rsidRDefault="00A22E85" w:rsidP="00C3606E">
            <w:pPr>
              <w:pStyle w:val="TableCell"/>
              <w:spacing w:before="60" w:after="60"/>
              <w:jc w:val="center"/>
            </w:pPr>
            <w:r w:rsidRPr="001D6512">
              <w:t>84.0%</w:t>
            </w:r>
          </w:p>
        </w:tc>
        <w:tc>
          <w:tcPr>
            <w:tcW w:w="720" w:type="pct"/>
            <w:vAlign w:val="bottom"/>
          </w:tcPr>
          <w:p w:rsidR="00A22E85" w:rsidRPr="001D6512" w:rsidRDefault="00A22E85" w:rsidP="00C3606E">
            <w:pPr>
              <w:pStyle w:val="TableCell"/>
              <w:spacing w:before="60" w:after="60"/>
              <w:jc w:val="center"/>
            </w:pPr>
            <w:r w:rsidRPr="001D6512">
              <w:t>82.5%</w:t>
            </w:r>
          </w:p>
        </w:tc>
      </w:tr>
      <w:tr w:rsidR="00A22E85" w:rsidRPr="000151F9" w:rsidTr="005D7F62">
        <w:trPr>
          <w:trHeight w:val="259"/>
          <w:jc w:val="center"/>
        </w:trPr>
        <w:tc>
          <w:tcPr>
            <w:tcW w:w="680" w:type="pct"/>
            <w:vAlign w:val="bottom"/>
          </w:tcPr>
          <w:p w:rsidR="00A22E85" w:rsidRPr="001D6512" w:rsidRDefault="00A22E85" w:rsidP="00C3606E">
            <w:pPr>
              <w:pStyle w:val="TableCell"/>
              <w:spacing w:before="60" w:after="60"/>
              <w:jc w:val="center"/>
            </w:pPr>
            <w:r w:rsidRPr="001D6512">
              <w:t>2</w:t>
            </w:r>
          </w:p>
        </w:tc>
        <w:tc>
          <w:tcPr>
            <w:tcW w:w="720" w:type="pct"/>
            <w:vAlign w:val="bottom"/>
          </w:tcPr>
          <w:p w:rsidR="00A22E85" w:rsidRPr="001D6512" w:rsidRDefault="00A22E85" w:rsidP="00C3606E">
            <w:pPr>
              <w:pStyle w:val="TableCell"/>
              <w:spacing w:before="60" w:after="60"/>
              <w:jc w:val="center"/>
            </w:pPr>
            <w:r w:rsidRPr="001D6512">
              <w:t>85.5%</w:t>
            </w:r>
          </w:p>
        </w:tc>
        <w:tc>
          <w:tcPr>
            <w:tcW w:w="720" w:type="pct"/>
            <w:vAlign w:val="bottom"/>
          </w:tcPr>
          <w:p w:rsidR="00A22E85" w:rsidRPr="001D6512" w:rsidRDefault="00A22E85" w:rsidP="00C3606E">
            <w:pPr>
              <w:pStyle w:val="TableCell"/>
              <w:spacing w:before="60" w:after="60"/>
              <w:jc w:val="center"/>
            </w:pPr>
            <w:r w:rsidRPr="001D6512">
              <w:t>84.0%</w:t>
            </w:r>
          </w:p>
        </w:tc>
        <w:tc>
          <w:tcPr>
            <w:tcW w:w="720" w:type="pct"/>
            <w:vAlign w:val="bottom"/>
          </w:tcPr>
          <w:p w:rsidR="00A22E85" w:rsidRPr="001D6512" w:rsidRDefault="00A22E85" w:rsidP="00C3606E">
            <w:pPr>
              <w:pStyle w:val="TableCell"/>
              <w:spacing w:before="60" w:after="60"/>
              <w:jc w:val="center"/>
            </w:pPr>
            <w:r w:rsidRPr="001D6512">
              <w:t>84.0%</w:t>
            </w:r>
          </w:p>
        </w:tc>
        <w:tc>
          <w:tcPr>
            <w:tcW w:w="720" w:type="pct"/>
            <w:vAlign w:val="bottom"/>
          </w:tcPr>
          <w:p w:rsidR="00A22E85" w:rsidRPr="001D6512" w:rsidRDefault="00A22E85" w:rsidP="00C3606E">
            <w:pPr>
              <w:pStyle w:val="TableCell"/>
              <w:spacing w:before="60" w:after="60"/>
              <w:jc w:val="center"/>
            </w:pPr>
            <w:r w:rsidRPr="001D6512">
              <w:t>86.5%</w:t>
            </w:r>
          </w:p>
        </w:tc>
        <w:tc>
          <w:tcPr>
            <w:tcW w:w="720" w:type="pct"/>
            <w:vAlign w:val="bottom"/>
          </w:tcPr>
          <w:p w:rsidR="00A22E85" w:rsidRPr="001D6512" w:rsidRDefault="00A22E85" w:rsidP="00C3606E">
            <w:pPr>
              <w:pStyle w:val="TableCell"/>
              <w:spacing w:before="60" w:after="60"/>
              <w:jc w:val="center"/>
            </w:pPr>
            <w:r w:rsidRPr="001D6512">
              <w:t>84.0%</w:t>
            </w:r>
          </w:p>
        </w:tc>
        <w:tc>
          <w:tcPr>
            <w:tcW w:w="720" w:type="pct"/>
            <w:vAlign w:val="bottom"/>
          </w:tcPr>
          <w:p w:rsidR="00A22E85" w:rsidRPr="001D6512" w:rsidRDefault="00A22E85" w:rsidP="00C3606E">
            <w:pPr>
              <w:pStyle w:val="TableCell"/>
              <w:spacing w:before="60" w:after="60"/>
              <w:jc w:val="center"/>
            </w:pPr>
            <w:r w:rsidRPr="001D6512">
              <w:t>84.0%</w:t>
            </w:r>
          </w:p>
        </w:tc>
      </w:tr>
      <w:tr w:rsidR="00A22E85" w:rsidRPr="000151F9" w:rsidTr="005D7F62">
        <w:trPr>
          <w:trHeight w:val="259"/>
          <w:jc w:val="center"/>
        </w:trPr>
        <w:tc>
          <w:tcPr>
            <w:tcW w:w="680" w:type="pct"/>
            <w:vAlign w:val="bottom"/>
          </w:tcPr>
          <w:p w:rsidR="00A22E85" w:rsidRPr="001D6512" w:rsidRDefault="00A22E85" w:rsidP="00C3606E">
            <w:pPr>
              <w:pStyle w:val="TableCell"/>
              <w:spacing w:before="60" w:after="60"/>
              <w:jc w:val="center"/>
            </w:pPr>
            <w:r w:rsidRPr="001D6512">
              <w:t>3</w:t>
            </w:r>
          </w:p>
        </w:tc>
        <w:tc>
          <w:tcPr>
            <w:tcW w:w="720" w:type="pct"/>
            <w:vAlign w:val="bottom"/>
          </w:tcPr>
          <w:p w:rsidR="00A22E85" w:rsidRPr="001D6512" w:rsidRDefault="00A22E85" w:rsidP="00C3606E">
            <w:pPr>
              <w:pStyle w:val="TableCell"/>
              <w:spacing w:before="60" w:after="60"/>
              <w:jc w:val="center"/>
            </w:pPr>
            <w:r w:rsidRPr="001D6512">
              <w:t>86.5%</w:t>
            </w:r>
          </w:p>
        </w:tc>
        <w:tc>
          <w:tcPr>
            <w:tcW w:w="720" w:type="pct"/>
            <w:vAlign w:val="bottom"/>
          </w:tcPr>
          <w:p w:rsidR="00A22E85" w:rsidRPr="001D6512" w:rsidRDefault="00A22E85" w:rsidP="00C3606E">
            <w:pPr>
              <w:pStyle w:val="TableCell"/>
              <w:spacing w:before="60" w:after="60"/>
              <w:jc w:val="center"/>
            </w:pPr>
            <w:r w:rsidRPr="001D6512">
              <w:t>86.5%</w:t>
            </w:r>
          </w:p>
        </w:tc>
        <w:tc>
          <w:tcPr>
            <w:tcW w:w="720" w:type="pct"/>
            <w:vAlign w:val="bottom"/>
          </w:tcPr>
          <w:p w:rsidR="00A22E85" w:rsidRPr="001D6512" w:rsidRDefault="00A22E85" w:rsidP="00C3606E">
            <w:pPr>
              <w:pStyle w:val="TableCell"/>
              <w:spacing w:before="60" w:after="60"/>
              <w:jc w:val="center"/>
            </w:pPr>
            <w:r w:rsidRPr="001D6512">
              <w:t>84.0%</w:t>
            </w:r>
          </w:p>
        </w:tc>
        <w:tc>
          <w:tcPr>
            <w:tcW w:w="720" w:type="pct"/>
            <w:vAlign w:val="bottom"/>
          </w:tcPr>
          <w:p w:rsidR="00A22E85" w:rsidRPr="001D6512" w:rsidRDefault="00A22E85" w:rsidP="00C3606E">
            <w:pPr>
              <w:pStyle w:val="TableCell"/>
              <w:spacing w:before="60" w:after="60"/>
              <w:jc w:val="center"/>
            </w:pPr>
            <w:r w:rsidRPr="001D6512">
              <w:t>87.5%</w:t>
            </w:r>
          </w:p>
        </w:tc>
        <w:tc>
          <w:tcPr>
            <w:tcW w:w="720" w:type="pct"/>
            <w:vAlign w:val="bottom"/>
          </w:tcPr>
          <w:p w:rsidR="00A22E85" w:rsidRPr="001D6512" w:rsidRDefault="00A22E85" w:rsidP="00C3606E">
            <w:pPr>
              <w:pStyle w:val="TableCell"/>
              <w:spacing w:before="60" w:after="60"/>
              <w:jc w:val="center"/>
            </w:pPr>
            <w:r w:rsidRPr="001D6512">
              <w:t>87.5%</w:t>
            </w:r>
          </w:p>
        </w:tc>
        <w:tc>
          <w:tcPr>
            <w:tcW w:w="720" w:type="pct"/>
            <w:vAlign w:val="bottom"/>
          </w:tcPr>
          <w:p w:rsidR="00A22E85" w:rsidRPr="001D6512" w:rsidRDefault="00A22E85" w:rsidP="00C3606E">
            <w:pPr>
              <w:pStyle w:val="TableCell"/>
              <w:spacing w:before="60" w:after="60"/>
              <w:jc w:val="center"/>
            </w:pPr>
            <w:r w:rsidRPr="001D6512">
              <w:t>85.5%</w:t>
            </w:r>
          </w:p>
        </w:tc>
      </w:tr>
      <w:tr w:rsidR="00A22E85" w:rsidRPr="000151F9" w:rsidTr="005D7F62">
        <w:trPr>
          <w:trHeight w:val="259"/>
          <w:jc w:val="center"/>
        </w:trPr>
        <w:tc>
          <w:tcPr>
            <w:tcW w:w="680" w:type="pct"/>
            <w:vAlign w:val="bottom"/>
          </w:tcPr>
          <w:p w:rsidR="00A22E85" w:rsidRPr="001D6512" w:rsidRDefault="00A22E85" w:rsidP="00C3606E">
            <w:pPr>
              <w:pStyle w:val="TableCell"/>
              <w:spacing w:before="60" w:after="60"/>
              <w:jc w:val="center"/>
            </w:pPr>
            <w:r w:rsidRPr="001D6512">
              <w:t>5</w:t>
            </w:r>
          </w:p>
        </w:tc>
        <w:tc>
          <w:tcPr>
            <w:tcW w:w="720" w:type="pct"/>
            <w:vAlign w:val="bottom"/>
          </w:tcPr>
          <w:p w:rsidR="00A22E85" w:rsidRPr="001D6512" w:rsidRDefault="00A22E85" w:rsidP="00C3606E">
            <w:pPr>
              <w:pStyle w:val="TableCell"/>
              <w:spacing w:before="60" w:after="60"/>
              <w:jc w:val="center"/>
            </w:pPr>
            <w:r w:rsidRPr="001D6512">
              <w:t>87.5%</w:t>
            </w:r>
          </w:p>
        </w:tc>
        <w:tc>
          <w:tcPr>
            <w:tcW w:w="720" w:type="pct"/>
            <w:vAlign w:val="bottom"/>
          </w:tcPr>
          <w:p w:rsidR="00A22E85" w:rsidRPr="001D6512" w:rsidRDefault="00A22E85" w:rsidP="00C3606E">
            <w:pPr>
              <w:pStyle w:val="TableCell"/>
              <w:spacing w:before="60" w:after="60"/>
              <w:jc w:val="center"/>
            </w:pPr>
            <w:r w:rsidRPr="001D6512">
              <w:t>87.5%</w:t>
            </w:r>
          </w:p>
        </w:tc>
        <w:tc>
          <w:tcPr>
            <w:tcW w:w="720" w:type="pct"/>
            <w:vAlign w:val="bottom"/>
          </w:tcPr>
          <w:p w:rsidR="00A22E85" w:rsidRPr="001D6512" w:rsidRDefault="00A22E85" w:rsidP="00C3606E">
            <w:pPr>
              <w:pStyle w:val="TableCell"/>
              <w:spacing w:before="60" w:after="60"/>
              <w:jc w:val="center"/>
            </w:pPr>
            <w:r w:rsidRPr="001D6512">
              <w:t>85.5%</w:t>
            </w:r>
          </w:p>
        </w:tc>
        <w:tc>
          <w:tcPr>
            <w:tcW w:w="720" w:type="pct"/>
            <w:vAlign w:val="bottom"/>
          </w:tcPr>
          <w:p w:rsidR="00A22E85" w:rsidRPr="001D6512" w:rsidRDefault="00A22E85" w:rsidP="00C3606E">
            <w:pPr>
              <w:pStyle w:val="TableCell"/>
              <w:spacing w:before="60" w:after="60"/>
              <w:jc w:val="center"/>
            </w:pPr>
            <w:r w:rsidRPr="001D6512">
              <w:t>87.5%</w:t>
            </w:r>
          </w:p>
        </w:tc>
        <w:tc>
          <w:tcPr>
            <w:tcW w:w="720" w:type="pct"/>
            <w:vAlign w:val="bottom"/>
          </w:tcPr>
          <w:p w:rsidR="00A22E85" w:rsidRPr="001D6512" w:rsidRDefault="00A22E85" w:rsidP="00C3606E">
            <w:pPr>
              <w:pStyle w:val="TableCell"/>
              <w:spacing w:before="60" w:after="60"/>
              <w:jc w:val="center"/>
            </w:pPr>
            <w:r w:rsidRPr="001D6512">
              <w:t>87.5%</w:t>
            </w:r>
          </w:p>
        </w:tc>
        <w:tc>
          <w:tcPr>
            <w:tcW w:w="720" w:type="pct"/>
            <w:vAlign w:val="bottom"/>
          </w:tcPr>
          <w:p w:rsidR="00A22E85" w:rsidRPr="001D6512" w:rsidRDefault="00A22E85" w:rsidP="00C3606E">
            <w:pPr>
              <w:pStyle w:val="TableCell"/>
              <w:spacing w:before="60" w:after="60"/>
              <w:jc w:val="center"/>
            </w:pPr>
            <w:r w:rsidRPr="001D6512">
              <w:t>87.5%</w:t>
            </w:r>
          </w:p>
        </w:tc>
      </w:tr>
      <w:tr w:rsidR="00A22E85" w:rsidRPr="000151F9" w:rsidTr="005D7F62">
        <w:trPr>
          <w:trHeight w:val="259"/>
          <w:jc w:val="center"/>
        </w:trPr>
        <w:tc>
          <w:tcPr>
            <w:tcW w:w="680" w:type="pct"/>
            <w:vAlign w:val="bottom"/>
          </w:tcPr>
          <w:p w:rsidR="00A22E85" w:rsidRPr="001D6512" w:rsidRDefault="00A22E85" w:rsidP="00C3606E">
            <w:pPr>
              <w:pStyle w:val="TableCell"/>
              <w:spacing w:before="60" w:after="60"/>
              <w:jc w:val="center"/>
            </w:pPr>
            <w:r w:rsidRPr="001D6512">
              <w:t>7.5</w:t>
            </w:r>
          </w:p>
        </w:tc>
        <w:tc>
          <w:tcPr>
            <w:tcW w:w="720" w:type="pct"/>
            <w:vAlign w:val="bottom"/>
          </w:tcPr>
          <w:p w:rsidR="00A22E85" w:rsidRPr="001D6512" w:rsidRDefault="00A22E85" w:rsidP="00C3606E">
            <w:pPr>
              <w:pStyle w:val="TableCell"/>
              <w:spacing w:before="60" w:after="60"/>
              <w:jc w:val="center"/>
            </w:pPr>
            <w:r w:rsidRPr="001D6512">
              <w:t>88.5%</w:t>
            </w:r>
          </w:p>
        </w:tc>
        <w:tc>
          <w:tcPr>
            <w:tcW w:w="720" w:type="pct"/>
            <w:vAlign w:val="bottom"/>
          </w:tcPr>
          <w:p w:rsidR="00A22E85" w:rsidRPr="001D6512" w:rsidRDefault="00A22E85" w:rsidP="00C3606E">
            <w:pPr>
              <w:pStyle w:val="TableCell"/>
              <w:spacing w:before="60" w:after="60"/>
              <w:jc w:val="center"/>
            </w:pPr>
            <w:r w:rsidRPr="001D6512">
              <w:t>88.5%</w:t>
            </w:r>
          </w:p>
        </w:tc>
        <w:tc>
          <w:tcPr>
            <w:tcW w:w="720" w:type="pct"/>
            <w:vAlign w:val="bottom"/>
          </w:tcPr>
          <w:p w:rsidR="00A22E85" w:rsidRPr="001D6512" w:rsidRDefault="00A22E85" w:rsidP="00C3606E">
            <w:pPr>
              <w:pStyle w:val="TableCell"/>
              <w:spacing w:before="60" w:after="60"/>
              <w:jc w:val="center"/>
            </w:pPr>
            <w:r w:rsidRPr="001D6512">
              <w:t>87.5%</w:t>
            </w:r>
          </w:p>
        </w:tc>
        <w:tc>
          <w:tcPr>
            <w:tcW w:w="720" w:type="pct"/>
            <w:vAlign w:val="bottom"/>
          </w:tcPr>
          <w:p w:rsidR="00A22E85" w:rsidRPr="001D6512" w:rsidRDefault="00A22E85" w:rsidP="00C3606E">
            <w:pPr>
              <w:pStyle w:val="TableCell"/>
              <w:spacing w:before="60" w:after="60"/>
              <w:jc w:val="center"/>
            </w:pPr>
            <w:r w:rsidRPr="001D6512">
              <w:t>89.5%</w:t>
            </w:r>
          </w:p>
        </w:tc>
        <w:tc>
          <w:tcPr>
            <w:tcW w:w="720" w:type="pct"/>
            <w:vAlign w:val="bottom"/>
          </w:tcPr>
          <w:p w:rsidR="00A22E85" w:rsidRPr="001D6512" w:rsidRDefault="00A22E85" w:rsidP="00C3606E">
            <w:pPr>
              <w:pStyle w:val="TableCell"/>
              <w:spacing w:before="60" w:after="60"/>
              <w:jc w:val="center"/>
            </w:pPr>
            <w:r w:rsidRPr="001D6512">
              <w:t>89.5%</w:t>
            </w:r>
          </w:p>
        </w:tc>
        <w:tc>
          <w:tcPr>
            <w:tcW w:w="720" w:type="pct"/>
            <w:vAlign w:val="bottom"/>
          </w:tcPr>
          <w:p w:rsidR="00A22E85" w:rsidRPr="001D6512" w:rsidRDefault="00A22E85" w:rsidP="00C3606E">
            <w:pPr>
              <w:pStyle w:val="TableCell"/>
              <w:spacing w:before="60" w:after="60"/>
              <w:jc w:val="center"/>
            </w:pPr>
            <w:r w:rsidRPr="001D6512">
              <w:t>88.5%</w:t>
            </w:r>
          </w:p>
        </w:tc>
      </w:tr>
      <w:tr w:rsidR="00A22E85" w:rsidRPr="000151F9" w:rsidTr="005D7F62">
        <w:trPr>
          <w:trHeight w:val="259"/>
          <w:jc w:val="center"/>
        </w:trPr>
        <w:tc>
          <w:tcPr>
            <w:tcW w:w="680" w:type="pct"/>
            <w:vAlign w:val="bottom"/>
          </w:tcPr>
          <w:p w:rsidR="00A22E85" w:rsidRPr="001D6512" w:rsidRDefault="00A22E85" w:rsidP="00C3606E">
            <w:pPr>
              <w:pStyle w:val="TableCell"/>
              <w:spacing w:before="60" w:after="60"/>
              <w:jc w:val="center"/>
            </w:pPr>
            <w:r w:rsidRPr="001D6512">
              <w:t>10</w:t>
            </w:r>
          </w:p>
        </w:tc>
        <w:tc>
          <w:tcPr>
            <w:tcW w:w="720" w:type="pct"/>
            <w:vAlign w:val="bottom"/>
          </w:tcPr>
          <w:p w:rsidR="00A22E85" w:rsidRPr="001D6512" w:rsidRDefault="00A22E85" w:rsidP="00C3606E">
            <w:pPr>
              <w:pStyle w:val="TableCell"/>
              <w:spacing w:before="60" w:after="60"/>
              <w:jc w:val="center"/>
            </w:pPr>
            <w:r w:rsidRPr="001D6512">
              <w:t>90.2%</w:t>
            </w:r>
          </w:p>
        </w:tc>
        <w:tc>
          <w:tcPr>
            <w:tcW w:w="720" w:type="pct"/>
            <w:vAlign w:val="bottom"/>
          </w:tcPr>
          <w:p w:rsidR="00A22E85" w:rsidRPr="001D6512" w:rsidRDefault="00A22E85" w:rsidP="00C3606E">
            <w:pPr>
              <w:pStyle w:val="TableCell"/>
              <w:spacing w:before="60" w:after="60"/>
              <w:jc w:val="center"/>
            </w:pPr>
            <w:r w:rsidRPr="001D6512">
              <w:t>89.5%</w:t>
            </w:r>
          </w:p>
        </w:tc>
        <w:tc>
          <w:tcPr>
            <w:tcW w:w="720" w:type="pct"/>
            <w:vAlign w:val="bottom"/>
          </w:tcPr>
          <w:p w:rsidR="00A22E85" w:rsidRPr="001D6512" w:rsidRDefault="00A22E85" w:rsidP="00C3606E">
            <w:pPr>
              <w:pStyle w:val="TableCell"/>
              <w:spacing w:before="60" w:after="60"/>
              <w:jc w:val="center"/>
            </w:pPr>
            <w:r w:rsidRPr="001D6512">
              <w:t>88.5%</w:t>
            </w:r>
          </w:p>
        </w:tc>
        <w:tc>
          <w:tcPr>
            <w:tcW w:w="720" w:type="pct"/>
            <w:vAlign w:val="bottom"/>
          </w:tcPr>
          <w:p w:rsidR="00A22E85" w:rsidRPr="001D6512" w:rsidRDefault="00A22E85" w:rsidP="00C3606E">
            <w:pPr>
              <w:pStyle w:val="TableCell"/>
              <w:spacing w:before="60" w:after="60"/>
              <w:jc w:val="center"/>
            </w:pPr>
            <w:r w:rsidRPr="001D6512">
              <w:t>89.5%</w:t>
            </w:r>
          </w:p>
        </w:tc>
        <w:tc>
          <w:tcPr>
            <w:tcW w:w="720" w:type="pct"/>
            <w:vAlign w:val="bottom"/>
          </w:tcPr>
          <w:p w:rsidR="00A22E85" w:rsidRPr="001D6512" w:rsidRDefault="00A22E85" w:rsidP="00C3606E">
            <w:pPr>
              <w:pStyle w:val="TableCell"/>
              <w:spacing w:before="60" w:after="60"/>
              <w:jc w:val="center"/>
            </w:pPr>
            <w:r w:rsidRPr="001D6512">
              <w:t>89.5%</w:t>
            </w:r>
          </w:p>
        </w:tc>
        <w:tc>
          <w:tcPr>
            <w:tcW w:w="720" w:type="pct"/>
            <w:vAlign w:val="bottom"/>
          </w:tcPr>
          <w:p w:rsidR="00A22E85" w:rsidRPr="001D6512" w:rsidRDefault="00A22E85" w:rsidP="00C3606E">
            <w:pPr>
              <w:pStyle w:val="TableCell"/>
              <w:spacing w:before="60" w:after="60"/>
              <w:jc w:val="center"/>
            </w:pPr>
            <w:r w:rsidRPr="001D6512">
              <w:t>89.5%</w:t>
            </w:r>
          </w:p>
        </w:tc>
      </w:tr>
      <w:tr w:rsidR="00A22E85" w:rsidRPr="000151F9" w:rsidTr="005D7F62">
        <w:trPr>
          <w:trHeight w:val="259"/>
          <w:jc w:val="center"/>
        </w:trPr>
        <w:tc>
          <w:tcPr>
            <w:tcW w:w="680" w:type="pct"/>
            <w:vAlign w:val="bottom"/>
          </w:tcPr>
          <w:p w:rsidR="00A22E85" w:rsidRPr="001D6512" w:rsidRDefault="00A22E85" w:rsidP="00C3606E">
            <w:pPr>
              <w:pStyle w:val="TableCell"/>
              <w:spacing w:before="60" w:after="60"/>
              <w:jc w:val="center"/>
            </w:pPr>
            <w:r w:rsidRPr="001D6512">
              <w:t>15</w:t>
            </w:r>
          </w:p>
        </w:tc>
        <w:tc>
          <w:tcPr>
            <w:tcW w:w="720" w:type="pct"/>
            <w:vAlign w:val="bottom"/>
          </w:tcPr>
          <w:p w:rsidR="00A22E85" w:rsidRPr="001D6512" w:rsidRDefault="00A22E85" w:rsidP="00C3606E">
            <w:pPr>
              <w:pStyle w:val="TableCell"/>
              <w:spacing w:before="60" w:after="60"/>
              <w:jc w:val="center"/>
            </w:pPr>
            <w:r w:rsidRPr="001D6512">
              <w:t>90.2%</w:t>
            </w:r>
          </w:p>
        </w:tc>
        <w:tc>
          <w:tcPr>
            <w:tcW w:w="720" w:type="pct"/>
            <w:vAlign w:val="bottom"/>
          </w:tcPr>
          <w:p w:rsidR="00A22E85" w:rsidRPr="001D6512" w:rsidRDefault="00A22E85" w:rsidP="00C3606E">
            <w:pPr>
              <w:pStyle w:val="TableCell"/>
              <w:spacing w:before="60" w:after="60"/>
              <w:jc w:val="center"/>
            </w:pPr>
            <w:r w:rsidRPr="001D6512">
              <w:t>91.0%</w:t>
            </w:r>
          </w:p>
        </w:tc>
        <w:tc>
          <w:tcPr>
            <w:tcW w:w="720" w:type="pct"/>
            <w:vAlign w:val="bottom"/>
          </w:tcPr>
          <w:p w:rsidR="00A22E85" w:rsidRPr="001D6512" w:rsidRDefault="00A22E85" w:rsidP="00C3606E">
            <w:pPr>
              <w:pStyle w:val="TableCell"/>
              <w:spacing w:before="60" w:after="60"/>
              <w:jc w:val="center"/>
            </w:pPr>
            <w:r w:rsidRPr="001D6512">
              <w:t>89.5%</w:t>
            </w:r>
          </w:p>
        </w:tc>
        <w:tc>
          <w:tcPr>
            <w:tcW w:w="720" w:type="pct"/>
            <w:vAlign w:val="bottom"/>
          </w:tcPr>
          <w:p w:rsidR="00A22E85" w:rsidRPr="001D6512" w:rsidRDefault="00A22E85" w:rsidP="00C3606E">
            <w:pPr>
              <w:pStyle w:val="TableCell"/>
              <w:spacing w:before="60" w:after="60"/>
              <w:jc w:val="center"/>
            </w:pPr>
            <w:r w:rsidRPr="001D6512">
              <w:t>90.2%</w:t>
            </w:r>
          </w:p>
        </w:tc>
        <w:tc>
          <w:tcPr>
            <w:tcW w:w="720" w:type="pct"/>
            <w:vAlign w:val="bottom"/>
          </w:tcPr>
          <w:p w:rsidR="00A22E85" w:rsidRPr="001D6512" w:rsidRDefault="00A22E85" w:rsidP="00C3606E">
            <w:pPr>
              <w:pStyle w:val="TableCell"/>
              <w:spacing w:before="60" w:after="60"/>
              <w:jc w:val="center"/>
            </w:pPr>
            <w:r w:rsidRPr="001D6512">
              <w:t>91.0%</w:t>
            </w:r>
          </w:p>
        </w:tc>
        <w:tc>
          <w:tcPr>
            <w:tcW w:w="720" w:type="pct"/>
            <w:vAlign w:val="bottom"/>
          </w:tcPr>
          <w:p w:rsidR="00A22E85" w:rsidRPr="001D6512" w:rsidRDefault="00A22E85" w:rsidP="00C3606E">
            <w:pPr>
              <w:pStyle w:val="TableCell"/>
              <w:spacing w:before="60" w:after="60"/>
              <w:jc w:val="center"/>
            </w:pPr>
            <w:r w:rsidRPr="001D6512">
              <w:t>90.2%</w:t>
            </w:r>
          </w:p>
        </w:tc>
      </w:tr>
      <w:tr w:rsidR="00A22E85" w:rsidRPr="000151F9" w:rsidTr="005D7F62">
        <w:trPr>
          <w:trHeight w:val="259"/>
          <w:jc w:val="center"/>
        </w:trPr>
        <w:tc>
          <w:tcPr>
            <w:tcW w:w="680" w:type="pct"/>
            <w:vAlign w:val="bottom"/>
          </w:tcPr>
          <w:p w:rsidR="00A22E85" w:rsidRPr="001D6512" w:rsidRDefault="00A22E85" w:rsidP="00C3606E">
            <w:pPr>
              <w:pStyle w:val="TableCell"/>
              <w:spacing w:before="60" w:after="60"/>
              <w:jc w:val="center"/>
            </w:pPr>
            <w:r w:rsidRPr="001D6512">
              <w:t>20</w:t>
            </w:r>
          </w:p>
        </w:tc>
        <w:tc>
          <w:tcPr>
            <w:tcW w:w="720" w:type="pct"/>
            <w:vAlign w:val="bottom"/>
          </w:tcPr>
          <w:p w:rsidR="00A22E85" w:rsidRPr="001D6512" w:rsidRDefault="00A22E85" w:rsidP="00C3606E">
            <w:pPr>
              <w:pStyle w:val="TableCell"/>
              <w:spacing w:before="60" w:after="60"/>
              <w:jc w:val="center"/>
            </w:pPr>
            <w:r w:rsidRPr="001D6512">
              <w:t>91.0%</w:t>
            </w:r>
          </w:p>
        </w:tc>
        <w:tc>
          <w:tcPr>
            <w:tcW w:w="720" w:type="pct"/>
            <w:vAlign w:val="bottom"/>
          </w:tcPr>
          <w:p w:rsidR="00A22E85" w:rsidRPr="001D6512" w:rsidRDefault="00A22E85" w:rsidP="00C3606E">
            <w:pPr>
              <w:pStyle w:val="TableCell"/>
              <w:spacing w:before="60" w:after="60"/>
              <w:jc w:val="center"/>
            </w:pPr>
            <w:r w:rsidRPr="001D6512">
              <w:t>91.0%</w:t>
            </w:r>
          </w:p>
        </w:tc>
        <w:tc>
          <w:tcPr>
            <w:tcW w:w="720" w:type="pct"/>
            <w:vAlign w:val="bottom"/>
          </w:tcPr>
          <w:p w:rsidR="00A22E85" w:rsidRPr="001D6512" w:rsidRDefault="00A22E85" w:rsidP="00C3606E">
            <w:pPr>
              <w:pStyle w:val="TableCell"/>
              <w:spacing w:before="60" w:after="60"/>
              <w:jc w:val="center"/>
            </w:pPr>
            <w:r w:rsidRPr="001D6512">
              <w:t>90.2%</w:t>
            </w:r>
          </w:p>
        </w:tc>
        <w:tc>
          <w:tcPr>
            <w:tcW w:w="720" w:type="pct"/>
            <w:vAlign w:val="bottom"/>
          </w:tcPr>
          <w:p w:rsidR="00A22E85" w:rsidRPr="001D6512" w:rsidRDefault="00A22E85" w:rsidP="00C3606E">
            <w:pPr>
              <w:pStyle w:val="TableCell"/>
              <w:spacing w:before="60" w:after="60"/>
              <w:jc w:val="center"/>
            </w:pPr>
            <w:r w:rsidRPr="001D6512">
              <w:t>90.2%</w:t>
            </w:r>
          </w:p>
        </w:tc>
        <w:tc>
          <w:tcPr>
            <w:tcW w:w="720" w:type="pct"/>
            <w:vAlign w:val="bottom"/>
          </w:tcPr>
          <w:p w:rsidR="00A22E85" w:rsidRPr="001D6512" w:rsidRDefault="00A22E85" w:rsidP="00C3606E">
            <w:pPr>
              <w:pStyle w:val="TableCell"/>
              <w:spacing w:before="60" w:after="60"/>
              <w:jc w:val="center"/>
            </w:pPr>
            <w:r w:rsidRPr="001D6512">
              <w:t>91.0%</w:t>
            </w:r>
          </w:p>
        </w:tc>
        <w:tc>
          <w:tcPr>
            <w:tcW w:w="720" w:type="pct"/>
            <w:vAlign w:val="bottom"/>
          </w:tcPr>
          <w:p w:rsidR="00A22E85" w:rsidRPr="001D6512" w:rsidRDefault="00A22E85" w:rsidP="00C3606E">
            <w:pPr>
              <w:pStyle w:val="TableCell"/>
              <w:spacing w:before="60" w:after="60"/>
              <w:jc w:val="center"/>
            </w:pPr>
            <w:r w:rsidRPr="001D6512">
              <w:t>90.2%</w:t>
            </w:r>
          </w:p>
        </w:tc>
      </w:tr>
      <w:tr w:rsidR="00A22E85" w:rsidRPr="000151F9" w:rsidTr="005D7F62">
        <w:trPr>
          <w:trHeight w:val="259"/>
          <w:jc w:val="center"/>
        </w:trPr>
        <w:tc>
          <w:tcPr>
            <w:tcW w:w="680" w:type="pct"/>
            <w:vAlign w:val="bottom"/>
          </w:tcPr>
          <w:p w:rsidR="00A22E85" w:rsidRPr="001D6512" w:rsidRDefault="00A22E85" w:rsidP="00C3606E">
            <w:pPr>
              <w:pStyle w:val="TableCell"/>
              <w:spacing w:before="60" w:after="60"/>
              <w:jc w:val="center"/>
            </w:pPr>
            <w:r w:rsidRPr="001D6512">
              <w:t>25</w:t>
            </w:r>
          </w:p>
        </w:tc>
        <w:tc>
          <w:tcPr>
            <w:tcW w:w="720" w:type="pct"/>
            <w:vAlign w:val="bottom"/>
          </w:tcPr>
          <w:p w:rsidR="00A22E85" w:rsidRPr="001D6512" w:rsidRDefault="00A22E85" w:rsidP="00C3606E">
            <w:pPr>
              <w:pStyle w:val="TableCell"/>
              <w:spacing w:before="60" w:after="60"/>
              <w:jc w:val="center"/>
            </w:pPr>
            <w:r w:rsidRPr="001D6512">
              <w:t>91.7%</w:t>
            </w:r>
          </w:p>
        </w:tc>
        <w:tc>
          <w:tcPr>
            <w:tcW w:w="720" w:type="pct"/>
            <w:vAlign w:val="bottom"/>
          </w:tcPr>
          <w:p w:rsidR="00A22E85" w:rsidRPr="001D6512" w:rsidRDefault="00A22E85" w:rsidP="00C3606E">
            <w:pPr>
              <w:pStyle w:val="TableCell"/>
              <w:spacing w:before="60" w:after="60"/>
              <w:jc w:val="center"/>
            </w:pPr>
            <w:r w:rsidRPr="001D6512">
              <w:t>91.7%</w:t>
            </w:r>
          </w:p>
        </w:tc>
        <w:tc>
          <w:tcPr>
            <w:tcW w:w="720" w:type="pct"/>
            <w:vAlign w:val="bottom"/>
          </w:tcPr>
          <w:p w:rsidR="00A22E85" w:rsidRPr="001D6512" w:rsidRDefault="00A22E85" w:rsidP="00C3606E">
            <w:pPr>
              <w:pStyle w:val="TableCell"/>
              <w:spacing w:before="60" w:after="60"/>
              <w:jc w:val="center"/>
            </w:pPr>
            <w:r w:rsidRPr="001D6512">
              <w:t>91.0%</w:t>
            </w:r>
          </w:p>
        </w:tc>
        <w:tc>
          <w:tcPr>
            <w:tcW w:w="720" w:type="pct"/>
            <w:vAlign w:val="bottom"/>
          </w:tcPr>
          <w:p w:rsidR="00A22E85" w:rsidRPr="001D6512" w:rsidRDefault="00A22E85" w:rsidP="00C3606E">
            <w:pPr>
              <w:pStyle w:val="TableCell"/>
              <w:spacing w:before="60" w:after="60"/>
              <w:jc w:val="center"/>
            </w:pPr>
            <w:r w:rsidRPr="001D6512">
              <w:t>91.7%</w:t>
            </w:r>
          </w:p>
        </w:tc>
        <w:tc>
          <w:tcPr>
            <w:tcW w:w="720" w:type="pct"/>
            <w:vAlign w:val="bottom"/>
          </w:tcPr>
          <w:p w:rsidR="00A22E85" w:rsidRPr="001D6512" w:rsidRDefault="00A22E85" w:rsidP="00C3606E">
            <w:pPr>
              <w:pStyle w:val="TableCell"/>
              <w:spacing w:before="60" w:after="60"/>
              <w:jc w:val="center"/>
            </w:pPr>
            <w:r w:rsidRPr="001D6512">
              <w:t>92.4%</w:t>
            </w:r>
          </w:p>
        </w:tc>
        <w:tc>
          <w:tcPr>
            <w:tcW w:w="720" w:type="pct"/>
            <w:vAlign w:val="bottom"/>
          </w:tcPr>
          <w:p w:rsidR="00A22E85" w:rsidRPr="001D6512" w:rsidRDefault="00A22E85" w:rsidP="00C3606E">
            <w:pPr>
              <w:pStyle w:val="TableCell"/>
              <w:spacing w:before="60" w:after="60"/>
              <w:jc w:val="center"/>
            </w:pPr>
            <w:r w:rsidRPr="001D6512">
              <w:t>91.0%</w:t>
            </w:r>
          </w:p>
        </w:tc>
      </w:tr>
      <w:tr w:rsidR="00A22E85" w:rsidRPr="000151F9" w:rsidTr="005D7F62">
        <w:trPr>
          <w:trHeight w:val="259"/>
          <w:jc w:val="center"/>
        </w:trPr>
        <w:tc>
          <w:tcPr>
            <w:tcW w:w="680" w:type="pct"/>
            <w:vAlign w:val="bottom"/>
          </w:tcPr>
          <w:p w:rsidR="00A22E85" w:rsidRPr="001D6512" w:rsidRDefault="00A22E85" w:rsidP="00C3606E">
            <w:pPr>
              <w:pStyle w:val="TableCell"/>
              <w:spacing w:before="60" w:after="60"/>
              <w:jc w:val="center"/>
            </w:pPr>
            <w:r w:rsidRPr="001D6512">
              <w:t>30</w:t>
            </w:r>
          </w:p>
        </w:tc>
        <w:tc>
          <w:tcPr>
            <w:tcW w:w="720" w:type="pct"/>
            <w:vAlign w:val="bottom"/>
          </w:tcPr>
          <w:p w:rsidR="00A22E85" w:rsidRPr="001D6512" w:rsidRDefault="00A22E85" w:rsidP="00C3606E">
            <w:pPr>
              <w:pStyle w:val="TableCell"/>
              <w:spacing w:before="60" w:after="60"/>
              <w:jc w:val="center"/>
            </w:pPr>
            <w:r w:rsidRPr="001D6512">
              <w:t>92.4%</w:t>
            </w:r>
          </w:p>
        </w:tc>
        <w:tc>
          <w:tcPr>
            <w:tcW w:w="720" w:type="pct"/>
            <w:vAlign w:val="bottom"/>
          </w:tcPr>
          <w:p w:rsidR="00A22E85" w:rsidRPr="001D6512" w:rsidRDefault="00A22E85" w:rsidP="00C3606E">
            <w:pPr>
              <w:pStyle w:val="TableCell"/>
              <w:spacing w:before="60" w:after="60"/>
              <w:jc w:val="center"/>
            </w:pPr>
            <w:r w:rsidRPr="001D6512">
              <w:t>92.4%</w:t>
            </w:r>
          </w:p>
        </w:tc>
        <w:tc>
          <w:tcPr>
            <w:tcW w:w="720" w:type="pct"/>
            <w:vAlign w:val="bottom"/>
          </w:tcPr>
          <w:p w:rsidR="00A22E85" w:rsidRPr="001D6512" w:rsidRDefault="00A22E85" w:rsidP="00C3606E">
            <w:pPr>
              <w:pStyle w:val="TableCell"/>
              <w:spacing w:before="60" w:after="60"/>
              <w:jc w:val="center"/>
            </w:pPr>
            <w:r w:rsidRPr="001D6512">
              <w:t>91.0%</w:t>
            </w:r>
          </w:p>
        </w:tc>
        <w:tc>
          <w:tcPr>
            <w:tcW w:w="720" w:type="pct"/>
            <w:vAlign w:val="bottom"/>
          </w:tcPr>
          <w:p w:rsidR="00A22E85" w:rsidRPr="001D6512" w:rsidRDefault="00A22E85" w:rsidP="00C3606E">
            <w:pPr>
              <w:pStyle w:val="TableCell"/>
              <w:spacing w:before="60" w:after="60"/>
              <w:jc w:val="center"/>
            </w:pPr>
            <w:r w:rsidRPr="001D6512">
              <w:t>91.7%</w:t>
            </w:r>
          </w:p>
        </w:tc>
        <w:tc>
          <w:tcPr>
            <w:tcW w:w="720" w:type="pct"/>
            <w:vAlign w:val="bottom"/>
          </w:tcPr>
          <w:p w:rsidR="00A22E85" w:rsidRPr="001D6512" w:rsidRDefault="00A22E85" w:rsidP="00C3606E">
            <w:pPr>
              <w:pStyle w:val="TableCell"/>
              <w:spacing w:before="60" w:after="60"/>
              <w:jc w:val="center"/>
            </w:pPr>
            <w:r w:rsidRPr="001D6512">
              <w:t>92.4%</w:t>
            </w:r>
          </w:p>
        </w:tc>
        <w:tc>
          <w:tcPr>
            <w:tcW w:w="720" w:type="pct"/>
            <w:vAlign w:val="bottom"/>
          </w:tcPr>
          <w:p w:rsidR="00A22E85" w:rsidRPr="001D6512" w:rsidRDefault="00A22E85" w:rsidP="00C3606E">
            <w:pPr>
              <w:pStyle w:val="TableCell"/>
              <w:spacing w:before="60" w:after="60"/>
              <w:jc w:val="center"/>
            </w:pPr>
            <w:r w:rsidRPr="001D6512">
              <w:t>91.0%</w:t>
            </w:r>
          </w:p>
        </w:tc>
      </w:tr>
      <w:tr w:rsidR="00A22E85" w:rsidRPr="000151F9" w:rsidTr="005D7F62">
        <w:trPr>
          <w:trHeight w:val="259"/>
          <w:jc w:val="center"/>
        </w:trPr>
        <w:tc>
          <w:tcPr>
            <w:tcW w:w="680" w:type="pct"/>
            <w:vAlign w:val="bottom"/>
          </w:tcPr>
          <w:p w:rsidR="00A22E85" w:rsidRPr="001D6512" w:rsidRDefault="00A22E85" w:rsidP="00C3606E">
            <w:pPr>
              <w:pStyle w:val="TableCell"/>
              <w:spacing w:before="60" w:after="60"/>
              <w:jc w:val="center"/>
            </w:pPr>
            <w:r w:rsidRPr="001D6512">
              <w:t>40</w:t>
            </w:r>
          </w:p>
        </w:tc>
        <w:tc>
          <w:tcPr>
            <w:tcW w:w="720" w:type="pct"/>
            <w:vAlign w:val="bottom"/>
          </w:tcPr>
          <w:p w:rsidR="00A22E85" w:rsidRPr="001D6512" w:rsidRDefault="00A22E85" w:rsidP="00C3606E">
            <w:pPr>
              <w:pStyle w:val="TableCell"/>
              <w:spacing w:before="60" w:after="60"/>
              <w:jc w:val="center"/>
            </w:pPr>
            <w:r w:rsidRPr="001D6512">
              <w:t>93.0%</w:t>
            </w:r>
          </w:p>
        </w:tc>
        <w:tc>
          <w:tcPr>
            <w:tcW w:w="720" w:type="pct"/>
            <w:vAlign w:val="bottom"/>
          </w:tcPr>
          <w:p w:rsidR="00A22E85" w:rsidRPr="001D6512" w:rsidRDefault="00A22E85" w:rsidP="00C3606E">
            <w:pPr>
              <w:pStyle w:val="TableCell"/>
              <w:spacing w:before="60" w:after="60"/>
              <w:jc w:val="center"/>
            </w:pPr>
            <w:r w:rsidRPr="001D6512">
              <w:t>93.0%</w:t>
            </w:r>
          </w:p>
        </w:tc>
        <w:tc>
          <w:tcPr>
            <w:tcW w:w="720" w:type="pct"/>
            <w:vAlign w:val="bottom"/>
          </w:tcPr>
          <w:p w:rsidR="00A22E85" w:rsidRPr="001D6512" w:rsidRDefault="00A22E85" w:rsidP="00C3606E">
            <w:pPr>
              <w:pStyle w:val="TableCell"/>
              <w:spacing w:before="60" w:after="60"/>
              <w:jc w:val="center"/>
            </w:pPr>
            <w:r w:rsidRPr="001D6512">
              <w:t>91.7%</w:t>
            </w:r>
          </w:p>
        </w:tc>
        <w:tc>
          <w:tcPr>
            <w:tcW w:w="720" w:type="pct"/>
            <w:vAlign w:val="bottom"/>
          </w:tcPr>
          <w:p w:rsidR="00A22E85" w:rsidRPr="001D6512" w:rsidRDefault="00A22E85" w:rsidP="00C3606E">
            <w:pPr>
              <w:pStyle w:val="TableCell"/>
              <w:spacing w:before="60" w:after="60"/>
              <w:jc w:val="center"/>
            </w:pPr>
            <w:r w:rsidRPr="001D6512">
              <w:t>93.0%</w:t>
            </w:r>
          </w:p>
        </w:tc>
        <w:tc>
          <w:tcPr>
            <w:tcW w:w="720" w:type="pct"/>
            <w:vAlign w:val="bottom"/>
          </w:tcPr>
          <w:p w:rsidR="00A22E85" w:rsidRPr="001D6512" w:rsidRDefault="00A22E85" w:rsidP="00C3606E">
            <w:pPr>
              <w:pStyle w:val="TableCell"/>
              <w:spacing w:before="60" w:after="60"/>
              <w:jc w:val="center"/>
            </w:pPr>
            <w:r w:rsidRPr="001D6512">
              <w:t>93.0%</w:t>
            </w:r>
          </w:p>
        </w:tc>
        <w:tc>
          <w:tcPr>
            <w:tcW w:w="720" w:type="pct"/>
            <w:vAlign w:val="bottom"/>
          </w:tcPr>
          <w:p w:rsidR="00A22E85" w:rsidRPr="001D6512" w:rsidRDefault="00A22E85" w:rsidP="00C3606E">
            <w:pPr>
              <w:pStyle w:val="TableCell"/>
              <w:spacing w:before="60" w:after="60"/>
              <w:jc w:val="center"/>
            </w:pPr>
            <w:r w:rsidRPr="001D6512">
              <w:t>91.7%</w:t>
            </w:r>
          </w:p>
        </w:tc>
      </w:tr>
      <w:tr w:rsidR="00A22E85" w:rsidRPr="000151F9" w:rsidTr="005D7F62">
        <w:trPr>
          <w:trHeight w:val="259"/>
          <w:jc w:val="center"/>
        </w:trPr>
        <w:tc>
          <w:tcPr>
            <w:tcW w:w="680" w:type="pct"/>
            <w:vAlign w:val="bottom"/>
          </w:tcPr>
          <w:p w:rsidR="00A22E85" w:rsidRPr="001D6512" w:rsidRDefault="00A22E85" w:rsidP="00C3606E">
            <w:pPr>
              <w:pStyle w:val="TableCell"/>
              <w:spacing w:before="60" w:after="60"/>
              <w:jc w:val="center"/>
            </w:pPr>
            <w:r w:rsidRPr="001D6512">
              <w:t>50</w:t>
            </w:r>
          </w:p>
        </w:tc>
        <w:tc>
          <w:tcPr>
            <w:tcW w:w="720" w:type="pct"/>
            <w:vAlign w:val="bottom"/>
          </w:tcPr>
          <w:p w:rsidR="00A22E85" w:rsidRPr="001D6512" w:rsidRDefault="00A22E85" w:rsidP="00C3606E">
            <w:pPr>
              <w:pStyle w:val="TableCell"/>
              <w:spacing w:before="60" w:after="60"/>
              <w:jc w:val="center"/>
            </w:pPr>
            <w:r w:rsidRPr="001D6512">
              <w:t>93.0%</w:t>
            </w:r>
          </w:p>
        </w:tc>
        <w:tc>
          <w:tcPr>
            <w:tcW w:w="720" w:type="pct"/>
            <w:vAlign w:val="bottom"/>
          </w:tcPr>
          <w:p w:rsidR="00A22E85" w:rsidRPr="001D6512" w:rsidRDefault="00A22E85" w:rsidP="00C3606E">
            <w:pPr>
              <w:pStyle w:val="TableCell"/>
              <w:spacing w:before="60" w:after="60"/>
              <w:jc w:val="center"/>
            </w:pPr>
            <w:r w:rsidRPr="001D6512">
              <w:t>93.0%</w:t>
            </w:r>
          </w:p>
        </w:tc>
        <w:tc>
          <w:tcPr>
            <w:tcW w:w="720" w:type="pct"/>
            <w:vAlign w:val="bottom"/>
          </w:tcPr>
          <w:p w:rsidR="00A22E85" w:rsidRPr="001D6512" w:rsidRDefault="00A22E85" w:rsidP="00C3606E">
            <w:pPr>
              <w:pStyle w:val="TableCell"/>
              <w:spacing w:before="60" w:after="60"/>
              <w:jc w:val="center"/>
            </w:pPr>
            <w:r w:rsidRPr="001D6512">
              <w:t>92.4%</w:t>
            </w:r>
          </w:p>
        </w:tc>
        <w:tc>
          <w:tcPr>
            <w:tcW w:w="720" w:type="pct"/>
            <w:vAlign w:val="bottom"/>
          </w:tcPr>
          <w:p w:rsidR="00A22E85" w:rsidRPr="001D6512" w:rsidRDefault="00A22E85" w:rsidP="00C3606E">
            <w:pPr>
              <w:pStyle w:val="TableCell"/>
              <w:spacing w:before="60" w:after="60"/>
              <w:jc w:val="center"/>
            </w:pPr>
            <w:r w:rsidRPr="001D6512">
              <w:t>93.0%</w:t>
            </w:r>
          </w:p>
        </w:tc>
        <w:tc>
          <w:tcPr>
            <w:tcW w:w="720" w:type="pct"/>
            <w:vAlign w:val="bottom"/>
          </w:tcPr>
          <w:p w:rsidR="00A22E85" w:rsidRPr="001D6512" w:rsidRDefault="00A22E85" w:rsidP="00C3606E">
            <w:pPr>
              <w:pStyle w:val="TableCell"/>
              <w:spacing w:before="60" w:after="60"/>
              <w:jc w:val="center"/>
            </w:pPr>
            <w:r w:rsidRPr="001D6512">
              <w:t>93.0%</w:t>
            </w:r>
          </w:p>
        </w:tc>
        <w:tc>
          <w:tcPr>
            <w:tcW w:w="720" w:type="pct"/>
            <w:vAlign w:val="bottom"/>
          </w:tcPr>
          <w:p w:rsidR="00A22E85" w:rsidRPr="001D6512" w:rsidRDefault="00A22E85" w:rsidP="00C3606E">
            <w:pPr>
              <w:pStyle w:val="TableCell"/>
              <w:spacing w:before="60" w:after="60"/>
              <w:jc w:val="center"/>
            </w:pPr>
            <w:r w:rsidRPr="001D6512">
              <w:t>92.4%</w:t>
            </w:r>
          </w:p>
        </w:tc>
      </w:tr>
      <w:tr w:rsidR="00A22E85" w:rsidRPr="000151F9" w:rsidTr="005D7F62">
        <w:trPr>
          <w:trHeight w:val="259"/>
          <w:jc w:val="center"/>
        </w:trPr>
        <w:tc>
          <w:tcPr>
            <w:tcW w:w="680" w:type="pct"/>
            <w:vAlign w:val="bottom"/>
          </w:tcPr>
          <w:p w:rsidR="00A22E85" w:rsidRPr="001D6512" w:rsidRDefault="00A22E85" w:rsidP="00C3606E">
            <w:pPr>
              <w:pStyle w:val="TableCell"/>
              <w:spacing w:before="60" w:after="60"/>
              <w:jc w:val="center"/>
            </w:pPr>
            <w:r w:rsidRPr="001D6512">
              <w:t>60</w:t>
            </w:r>
          </w:p>
        </w:tc>
        <w:tc>
          <w:tcPr>
            <w:tcW w:w="720" w:type="pct"/>
            <w:vAlign w:val="bottom"/>
          </w:tcPr>
          <w:p w:rsidR="00A22E85" w:rsidRPr="001D6512" w:rsidRDefault="00A22E85" w:rsidP="00C3606E">
            <w:pPr>
              <w:pStyle w:val="TableCell"/>
              <w:spacing w:before="60" w:after="60"/>
              <w:jc w:val="center"/>
            </w:pPr>
            <w:r w:rsidRPr="001D6512">
              <w:t>93.6%</w:t>
            </w:r>
          </w:p>
        </w:tc>
        <w:tc>
          <w:tcPr>
            <w:tcW w:w="720" w:type="pct"/>
            <w:vAlign w:val="bottom"/>
          </w:tcPr>
          <w:p w:rsidR="00A22E85" w:rsidRPr="001D6512" w:rsidRDefault="00A22E85" w:rsidP="00C3606E">
            <w:pPr>
              <w:pStyle w:val="TableCell"/>
              <w:spacing w:before="60" w:after="60"/>
              <w:jc w:val="center"/>
            </w:pPr>
            <w:r w:rsidRPr="001D6512">
              <w:t>93.6%</w:t>
            </w:r>
          </w:p>
        </w:tc>
        <w:tc>
          <w:tcPr>
            <w:tcW w:w="720" w:type="pct"/>
            <w:vAlign w:val="bottom"/>
          </w:tcPr>
          <w:p w:rsidR="00A22E85" w:rsidRPr="001D6512" w:rsidRDefault="00A22E85" w:rsidP="00C3606E">
            <w:pPr>
              <w:pStyle w:val="TableCell"/>
              <w:spacing w:before="60" w:after="60"/>
              <w:jc w:val="center"/>
            </w:pPr>
            <w:r w:rsidRPr="001D6512">
              <w:t>93.0%</w:t>
            </w:r>
          </w:p>
        </w:tc>
        <w:tc>
          <w:tcPr>
            <w:tcW w:w="720" w:type="pct"/>
            <w:vAlign w:val="bottom"/>
          </w:tcPr>
          <w:p w:rsidR="00A22E85" w:rsidRPr="001D6512" w:rsidRDefault="00A22E85" w:rsidP="00C3606E">
            <w:pPr>
              <w:pStyle w:val="TableCell"/>
              <w:spacing w:before="60" w:after="60"/>
              <w:jc w:val="center"/>
            </w:pPr>
            <w:r w:rsidRPr="001D6512">
              <w:t>93.6%</w:t>
            </w:r>
          </w:p>
        </w:tc>
        <w:tc>
          <w:tcPr>
            <w:tcW w:w="720" w:type="pct"/>
            <w:vAlign w:val="bottom"/>
          </w:tcPr>
          <w:p w:rsidR="00A22E85" w:rsidRPr="001D6512" w:rsidRDefault="00A22E85" w:rsidP="00C3606E">
            <w:pPr>
              <w:pStyle w:val="TableCell"/>
              <w:spacing w:before="60" w:after="60"/>
              <w:jc w:val="center"/>
            </w:pPr>
            <w:r w:rsidRPr="001D6512">
              <w:t>93.6%</w:t>
            </w:r>
          </w:p>
        </w:tc>
        <w:tc>
          <w:tcPr>
            <w:tcW w:w="720" w:type="pct"/>
            <w:vAlign w:val="bottom"/>
          </w:tcPr>
          <w:p w:rsidR="00A22E85" w:rsidRPr="001D6512" w:rsidRDefault="00A22E85" w:rsidP="00C3606E">
            <w:pPr>
              <w:pStyle w:val="TableCell"/>
              <w:spacing w:before="60" w:after="60"/>
              <w:jc w:val="center"/>
            </w:pPr>
            <w:r w:rsidRPr="001D6512">
              <w:t>93.0%</w:t>
            </w:r>
          </w:p>
        </w:tc>
      </w:tr>
      <w:tr w:rsidR="00A22E85" w:rsidRPr="000151F9" w:rsidTr="005D7F62">
        <w:trPr>
          <w:trHeight w:val="259"/>
          <w:jc w:val="center"/>
        </w:trPr>
        <w:tc>
          <w:tcPr>
            <w:tcW w:w="680" w:type="pct"/>
            <w:vAlign w:val="bottom"/>
          </w:tcPr>
          <w:p w:rsidR="00A22E85" w:rsidRPr="001D6512" w:rsidRDefault="00A22E85" w:rsidP="00C3606E">
            <w:pPr>
              <w:pStyle w:val="TableCell"/>
              <w:spacing w:before="60" w:after="60"/>
              <w:jc w:val="center"/>
            </w:pPr>
            <w:r w:rsidRPr="001D6512">
              <w:t>75</w:t>
            </w:r>
          </w:p>
        </w:tc>
        <w:tc>
          <w:tcPr>
            <w:tcW w:w="720" w:type="pct"/>
            <w:vAlign w:val="bottom"/>
          </w:tcPr>
          <w:p w:rsidR="00A22E85" w:rsidRPr="001D6512" w:rsidRDefault="00A22E85" w:rsidP="00C3606E">
            <w:pPr>
              <w:pStyle w:val="TableCell"/>
              <w:spacing w:before="60" w:after="60"/>
              <w:jc w:val="center"/>
            </w:pPr>
            <w:r w:rsidRPr="001D6512">
              <w:t>93.6%</w:t>
            </w:r>
          </w:p>
        </w:tc>
        <w:tc>
          <w:tcPr>
            <w:tcW w:w="720" w:type="pct"/>
            <w:vAlign w:val="bottom"/>
          </w:tcPr>
          <w:p w:rsidR="00A22E85" w:rsidRPr="001D6512" w:rsidRDefault="00A22E85" w:rsidP="00C3606E">
            <w:pPr>
              <w:pStyle w:val="TableCell"/>
              <w:spacing w:before="60" w:after="60"/>
              <w:jc w:val="center"/>
            </w:pPr>
            <w:r w:rsidRPr="001D6512">
              <w:t>94.1%</w:t>
            </w:r>
          </w:p>
        </w:tc>
        <w:tc>
          <w:tcPr>
            <w:tcW w:w="720" w:type="pct"/>
            <w:vAlign w:val="bottom"/>
          </w:tcPr>
          <w:p w:rsidR="00A22E85" w:rsidRPr="001D6512" w:rsidRDefault="00A22E85" w:rsidP="00C3606E">
            <w:pPr>
              <w:pStyle w:val="TableCell"/>
              <w:spacing w:before="60" w:after="60"/>
              <w:jc w:val="center"/>
            </w:pPr>
            <w:r w:rsidRPr="001D6512">
              <w:t>93.0%</w:t>
            </w:r>
          </w:p>
        </w:tc>
        <w:tc>
          <w:tcPr>
            <w:tcW w:w="720" w:type="pct"/>
            <w:vAlign w:val="bottom"/>
          </w:tcPr>
          <w:p w:rsidR="00A22E85" w:rsidRPr="001D6512" w:rsidRDefault="00A22E85" w:rsidP="00C3606E">
            <w:pPr>
              <w:pStyle w:val="TableCell"/>
              <w:spacing w:before="60" w:after="60"/>
              <w:jc w:val="center"/>
            </w:pPr>
            <w:r w:rsidRPr="001D6512">
              <w:t>93.6%</w:t>
            </w:r>
          </w:p>
        </w:tc>
        <w:tc>
          <w:tcPr>
            <w:tcW w:w="720" w:type="pct"/>
            <w:vAlign w:val="bottom"/>
          </w:tcPr>
          <w:p w:rsidR="00A22E85" w:rsidRPr="001D6512" w:rsidRDefault="00A22E85" w:rsidP="00C3606E">
            <w:pPr>
              <w:pStyle w:val="TableCell"/>
              <w:spacing w:before="60" w:after="60"/>
              <w:jc w:val="center"/>
            </w:pPr>
            <w:r w:rsidRPr="001D6512">
              <w:t>94.1%</w:t>
            </w:r>
          </w:p>
        </w:tc>
        <w:tc>
          <w:tcPr>
            <w:tcW w:w="720" w:type="pct"/>
            <w:vAlign w:val="bottom"/>
          </w:tcPr>
          <w:p w:rsidR="00A22E85" w:rsidRPr="001D6512" w:rsidRDefault="00A22E85" w:rsidP="00C3606E">
            <w:pPr>
              <w:pStyle w:val="TableCell"/>
              <w:spacing w:before="60" w:after="60"/>
              <w:jc w:val="center"/>
            </w:pPr>
            <w:r w:rsidRPr="001D6512">
              <w:t>93.0%</w:t>
            </w:r>
          </w:p>
        </w:tc>
      </w:tr>
      <w:tr w:rsidR="00A22E85" w:rsidRPr="000151F9" w:rsidTr="005D7F62">
        <w:trPr>
          <w:trHeight w:val="259"/>
          <w:jc w:val="center"/>
        </w:trPr>
        <w:tc>
          <w:tcPr>
            <w:tcW w:w="680" w:type="pct"/>
            <w:vAlign w:val="bottom"/>
          </w:tcPr>
          <w:p w:rsidR="00A22E85" w:rsidRPr="001D6512" w:rsidRDefault="00A22E85" w:rsidP="00C3606E">
            <w:pPr>
              <w:pStyle w:val="TableCell"/>
              <w:spacing w:before="60" w:after="60"/>
              <w:jc w:val="center"/>
            </w:pPr>
            <w:r w:rsidRPr="001D6512">
              <w:t>100</w:t>
            </w:r>
          </w:p>
        </w:tc>
        <w:tc>
          <w:tcPr>
            <w:tcW w:w="720" w:type="pct"/>
            <w:vAlign w:val="bottom"/>
          </w:tcPr>
          <w:p w:rsidR="00A22E85" w:rsidRPr="001D6512" w:rsidRDefault="00A22E85" w:rsidP="00C3606E">
            <w:pPr>
              <w:pStyle w:val="TableCell"/>
              <w:spacing w:before="60" w:after="60"/>
              <w:jc w:val="center"/>
            </w:pPr>
            <w:r w:rsidRPr="001D6512">
              <w:t>94.1%</w:t>
            </w:r>
          </w:p>
        </w:tc>
        <w:tc>
          <w:tcPr>
            <w:tcW w:w="720" w:type="pct"/>
            <w:vAlign w:val="bottom"/>
          </w:tcPr>
          <w:p w:rsidR="00A22E85" w:rsidRPr="001D6512" w:rsidRDefault="00A22E85" w:rsidP="00C3606E">
            <w:pPr>
              <w:pStyle w:val="TableCell"/>
              <w:spacing w:before="60" w:after="60"/>
              <w:jc w:val="center"/>
            </w:pPr>
            <w:r w:rsidRPr="001D6512">
              <w:t>94.1%</w:t>
            </w:r>
          </w:p>
        </w:tc>
        <w:tc>
          <w:tcPr>
            <w:tcW w:w="720" w:type="pct"/>
            <w:vAlign w:val="bottom"/>
          </w:tcPr>
          <w:p w:rsidR="00A22E85" w:rsidRPr="001D6512" w:rsidRDefault="00A22E85" w:rsidP="00C3606E">
            <w:pPr>
              <w:pStyle w:val="TableCell"/>
              <w:spacing w:before="60" w:after="60"/>
              <w:jc w:val="center"/>
            </w:pPr>
            <w:r w:rsidRPr="001D6512">
              <w:t>93.0%</w:t>
            </w:r>
          </w:p>
        </w:tc>
        <w:tc>
          <w:tcPr>
            <w:tcW w:w="720" w:type="pct"/>
            <w:vAlign w:val="bottom"/>
          </w:tcPr>
          <w:p w:rsidR="00A22E85" w:rsidRPr="001D6512" w:rsidRDefault="00A22E85" w:rsidP="00C3606E">
            <w:pPr>
              <w:pStyle w:val="TableCell"/>
              <w:spacing w:before="60" w:after="60"/>
              <w:jc w:val="center"/>
            </w:pPr>
            <w:r w:rsidRPr="001D6512">
              <w:t>94.1%</w:t>
            </w:r>
          </w:p>
        </w:tc>
        <w:tc>
          <w:tcPr>
            <w:tcW w:w="720" w:type="pct"/>
            <w:vAlign w:val="bottom"/>
          </w:tcPr>
          <w:p w:rsidR="00A22E85" w:rsidRPr="001D6512" w:rsidRDefault="00A22E85" w:rsidP="00C3606E">
            <w:pPr>
              <w:pStyle w:val="TableCell"/>
              <w:spacing w:before="60" w:after="60"/>
              <w:jc w:val="center"/>
            </w:pPr>
            <w:r w:rsidRPr="001D6512">
              <w:t>94.5%</w:t>
            </w:r>
          </w:p>
        </w:tc>
        <w:tc>
          <w:tcPr>
            <w:tcW w:w="720" w:type="pct"/>
            <w:vAlign w:val="bottom"/>
          </w:tcPr>
          <w:p w:rsidR="00A22E85" w:rsidRPr="001D6512" w:rsidRDefault="00A22E85" w:rsidP="00C3606E">
            <w:pPr>
              <w:pStyle w:val="TableCell"/>
              <w:spacing w:before="60" w:after="60"/>
              <w:jc w:val="center"/>
            </w:pPr>
            <w:r w:rsidRPr="001D6512">
              <w:t>93.6%</w:t>
            </w:r>
          </w:p>
        </w:tc>
      </w:tr>
      <w:tr w:rsidR="00A22E85" w:rsidRPr="000151F9" w:rsidTr="005D7F62">
        <w:trPr>
          <w:trHeight w:val="259"/>
          <w:jc w:val="center"/>
        </w:trPr>
        <w:tc>
          <w:tcPr>
            <w:tcW w:w="680" w:type="pct"/>
            <w:vAlign w:val="bottom"/>
          </w:tcPr>
          <w:p w:rsidR="00A22E85" w:rsidRPr="001D6512" w:rsidRDefault="00A22E85" w:rsidP="00C3606E">
            <w:pPr>
              <w:pStyle w:val="TableCell"/>
              <w:spacing w:before="60" w:after="60"/>
              <w:jc w:val="center"/>
            </w:pPr>
            <w:r w:rsidRPr="001D6512">
              <w:t>125</w:t>
            </w:r>
          </w:p>
        </w:tc>
        <w:tc>
          <w:tcPr>
            <w:tcW w:w="720" w:type="pct"/>
            <w:vAlign w:val="bottom"/>
          </w:tcPr>
          <w:p w:rsidR="00A22E85" w:rsidRPr="001D6512" w:rsidRDefault="00A22E85" w:rsidP="00C3606E">
            <w:pPr>
              <w:pStyle w:val="TableCell"/>
              <w:spacing w:before="60" w:after="60"/>
              <w:jc w:val="center"/>
            </w:pPr>
            <w:r w:rsidRPr="001D6512">
              <w:t>94.1%</w:t>
            </w:r>
          </w:p>
        </w:tc>
        <w:tc>
          <w:tcPr>
            <w:tcW w:w="720" w:type="pct"/>
            <w:vAlign w:val="bottom"/>
          </w:tcPr>
          <w:p w:rsidR="00A22E85" w:rsidRPr="001D6512" w:rsidRDefault="00A22E85" w:rsidP="00C3606E">
            <w:pPr>
              <w:pStyle w:val="TableCell"/>
              <w:spacing w:before="60" w:after="60"/>
              <w:jc w:val="center"/>
            </w:pPr>
            <w:r w:rsidRPr="001D6512">
              <w:t>94.5%</w:t>
            </w:r>
          </w:p>
        </w:tc>
        <w:tc>
          <w:tcPr>
            <w:tcW w:w="720" w:type="pct"/>
            <w:vAlign w:val="bottom"/>
          </w:tcPr>
          <w:p w:rsidR="00A22E85" w:rsidRPr="001D6512" w:rsidRDefault="00A22E85" w:rsidP="00C3606E">
            <w:pPr>
              <w:pStyle w:val="TableCell"/>
              <w:spacing w:before="60" w:after="60"/>
              <w:jc w:val="center"/>
            </w:pPr>
            <w:r w:rsidRPr="001D6512">
              <w:t>93.6%</w:t>
            </w:r>
          </w:p>
        </w:tc>
        <w:tc>
          <w:tcPr>
            <w:tcW w:w="720" w:type="pct"/>
            <w:vAlign w:val="bottom"/>
          </w:tcPr>
          <w:p w:rsidR="00A22E85" w:rsidRPr="001D6512" w:rsidRDefault="00A22E85" w:rsidP="00C3606E">
            <w:pPr>
              <w:pStyle w:val="TableCell"/>
              <w:spacing w:before="60" w:after="60"/>
              <w:jc w:val="center"/>
            </w:pPr>
            <w:r w:rsidRPr="001D6512">
              <w:t>94.1%</w:t>
            </w:r>
          </w:p>
        </w:tc>
        <w:tc>
          <w:tcPr>
            <w:tcW w:w="720" w:type="pct"/>
            <w:vAlign w:val="bottom"/>
          </w:tcPr>
          <w:p w:rsidR="00A22E85" w:rsidRPr="001D6512" w:rsidRDefault="00A22E85" w:rsidP="00C3606E">
            <w:pPr>
              <w:pStyle w:val="TableCell"/>
              <w:spacing w:before="60" w:after="60"/>
              <w:jc w:val="center"/>
            </w:pPr>
            <w:r w:rsidRPr="001D6512">
              <w:t>94.5%</w:t>
            </w:r>
          </w:p>
        </w:tc>
        <w:tc>
          <w:tcPr>
            <w:tcW w:w="720" w:type="pct"/>
            <w:vAlign w:val="bottom"/>
          </w:tcPr>
          <w:p w:rsidR="00A22E85" w:rsidRPr="001D6512" w:rsidRDefault="00A22E85" w:rsidP="00C3606E">
            <w:pPr>
              <w:pStyle w:val="TableCell"/>
              <w:spacing w:before="60" w:after="60"/>
              <w:jc w:val="center"/>
            </w:pPr>
            <w:r w:rsidRPr="001D6512">
              <w:t>94.5%</w:t>
            </w:r>
          </w:p>
        </w:tc>
      </w:tr>
      <w:tr w:rsidR="00A22E85" w:rsidRPr="000151F9" w:rsidTr="005D7F62">
        <w:trPr>
          <w:trHeight w:val="259"/>
          <w:jc w:val="center"/>
        </w:trPr>
        <w:tc>
          <w:tcPr>
            <w:tcW w:w="680" w:type="pct"/>
            <w:vAlign w:val="bottom"/>
          </w:tcPr>
          <w:p w:rsidR="00A22E85" w:rsidRPr="001D6512" w:rsidRDefault="00A22E85" w:rsidP="00C3606E">
            <w:pPr>
              <w:pStyle w:val="TableCell"/>
              <w:spacing w:before="60" w:after="60"/>
              <w:jc w:val="center"/>
            </w:pPr>
            <w:r w:rsidRPr="001D6512">
              <w:t>150</w:t>
            </w:r>
          </w:p>
        </w:tc>
        <w:tc>
          <w:tcPr>
            <w:tcW w:w="720" w:type="pct"/>
            <w:vAlign w:val="bottom"/>
          </w:tcPr>
          <w:p w:rsidR="00A22E85" w:rsidRPr="001D6512" w:rsidRDefault="00A22E85" w:rsidP="00C3606E">
            <w:pPr>
              <w:pStyle w:val="TableCell"/>
              <w:spacing w:before="60" w:after="60"/>
              <w:jc w:val="center"/>
            </w:pPr>
            <w:r w:rsidRPr="001D6512">
              <w:t>94.5%</w:t>
            </w:r>
          </w:p>
        </w:tc>
        <w:tc>
          <w:tcPr>
            <w:tcW w:w="720" w:type="pct"/>
            <w:vAlign w:val="bottom"/>
          </w:tcPr>
          <w:p w:rsidR="00A22E85" w:rsidRPr="001D6512" w:rsidRDefault="00A22E85" w:rsidP="00C3606E">
            <w:pPr>
              <w:pStyle w:val="TableCell"/>
              <w:spacing w:before="60" w:after="60"/>
              <w:jc w:val="center"/>
            </w:pPr>
            <w:r w:rsidRPr="001D6512">
              <w:t>95.0%</w:t>
            </w:r>
          </w:p>
        </w:tc>
        <w:tc>
          <w:tcPr>
            <w:tcW w:w="720" w:type="pct"/>
            <w:vAlign w:val="bottom"/>
          </w:tcPr>
          <w:p w:rsidR="00A22E85" w:rsidRPr="001D6512" w:rsidRDefault="00A22E85" w:rsidP="00C3606E">
            <w:pPr>
              <w:pStyle w:val="TableCell"/>
              <w:spacing w:before="60" w:after="60"/>
              <w:jc w:val="center"/>
            </w:pPr>
            <w:r w:rsidRPr="001D6512">
              <w:t>93.6%</w:t>
            </w:r>
          </w:p>
        </w:tc>
        <w:tc>
          <w:tcPr>
            <w:tcW w:w="720" w:type="pct"/>
            <w:vAlign w:val="bottom"/>
          </w:tcPr>
          <w:p w:rsidR="00A22E85" w:rsidRPr="001D6512" w:rsidRDefault="00A22E85" w:rsidP="00C3606E">
            <w:pPr>
              <w:pStyle w:val="TableCell"/>
              <w:spacing w:before="60" w:after="60"/>
              <w:jc w:val="center"/>
            </w:pPr>
            <w:r w:rsidRPr="001D6512">
              <w:t>95.0%</w:t>
            </w:r>
          </w:p>
        </w:tc>
        <w:tc>
          <w:tcPr>
            <w:tcW w:w="720" w:type="pct"/>
            <w:vAlign w:val="bottom"/>
          </w:tcPr>
          <w:p w:rsidR="00A22E85" w:rsidRPr="001D6512" w:rsidRDefault="00A22E85" w:rsidP="00C3606E">
            <w:pPr>
              <w:pStyle w:val="TableCell"/>
              <w:spacing w:before="60" w:after="60"/>
              <w:jc w:val="center"/>
            </w:pPr>
            <w:r w:rsidRPr="001D6512">
              <w:t>95.0%</w:t>
            </w:r>
          </w:p>
        </w:tc>
        <w:tc>
          <w:tcPr>
            <w:tcW w:w="720" w:type="pct"/>
            <w:vAlign w:val="bottom"/>
          </w:tcPr>
          <w:p w:rsidR="00A22E85" w:rsidRPr="001D6512" w:rsidRDefault="00A22E85" w:rsidP="00C3606E">
            <w:pPr>
              <w:pStyle w:val="TableCell"/>
              <w:spacing w:before="60" w:after="60"/>
              <w:jc w:val="center"/>
            </w:pPr>
            <w:r w:rsidRPr="001D6512">
              <w:t>94.5%</w:t>
            </w:r>
          </w:p>
        </w:tc>
      </w:tr>
      <w:tr w:rsidR="00A22E85" w:rsidRPr="000151F9" w:rsidTr="005D7F62">
        <w:trPr>
          <w:trHeight w:val="259"/>
          <w:jc w:val="center"/>
        </w:trPr>
        <w:tc>
          <w:tcPr>
            <w:tcW w:w="680" w:type="pct"/>
            <w:vAlign w:val="bottom"/>
          </w:tcPr>
          <w:p w:rsidR="00A22E85" w:rsidRPr="001D6512" w:rsidRDefault="00A22E85" w:rsidP="00C3606E">
            <w:pPr>
              <w:pStyle w:val="TableCell"/>
              <w:spacing w:before="60" w:after="60"/>
              <w:jc w:val="center"/>
            </w:pPr>
            <w:r w:rsidRPr="001D6512">
              <w:t>200</w:t>
            </w:r>
          </w:p>
        </w:tc>
        <w:tc>
          <w:tcPr>
            <w:tcW w:w="720" w:type="pct"/>
            <w:vAlign w:val="bottom"/>
          </w:tcPr>
          <w:p w:rsidR="00A22E85" w:rsidRPr="001D6512" w:rsidRDefault="00A22E85" w:rsidP="00C3606E">
            <w:pPr>
              <w:pStyle w:val="TableCell"/>
              <w:spacing w:before="60" w:after="60"/>
              <w:jc w:val="center"/>
            </w:pPr>
            <w:r w:rsidRPr="001D6512">
              <w:t>94.5%</w:t>
            </w:r>
          </w:p>
        </w:tc>
        <w:tc>
          <w:tcPr>
            <w:tcW w:w="720" w:type="pct"/>
            <w:vAlign w:val="bottom"/>
          </w:tcPr>
          <w:p w:rsidR="00A22E85" w:rsidRPr="001D6512" w:rsidRDefault="00A22E85" w:rsidP="00C3606E">
            <w:pPr>
              <w:pStyle w:val="TableCell"/>
              <w:spacing w:before="60" w:after="60"/>
              <w:jc w:val="center"/>
            </w:pPr>
            <w:r w:rsidRPr="001D6512">
              <w:t>95.0%</w:t>
            </w:r>
          </w:p>
        </w:tc>
        <w:tc>
          <w:tcPr>
            <w:tcW w:w="720" w:type="pct"/>
            <w:vAlign w:val="bottom"/>
          </w:tcPr>
          <w:p w:rsidR="00A22E85" w:rsidRPr="001D6512" w:rsidRDefault="00A22E85" w:rsidP="00C3606E">
            <w:pPr>
              <w:pStyle w:val="TableCell"/>
              <w:spacing w:before="60" w:after="60"/>
              <w:jc w:val="center"/>
            </w:pPr>
            <w:r w:rsidRPr="001D6512">
              <w:t>94.5%</w:t>
            </w:r>
          </w:p>
        </w:tc>
        <w:tc>
          <w:tcPr>
            <w:tcW w:w="720" w:type="pct"/>
            <w:vAlign w:val="bottom"/>
          </w:tcPr>
          <w:p w:rsidR="00A22E85" w:rsidRPr="001D6512" w:rsidRDefault="00A22E85" w:rsidP="00C3606E">
            <w:pPr>
              <w:pStyle w:val="TableCell"/>
              <w:spacing w:before="60" w:after="60"/>
              <w:jc w:val="center"/>
            </w:pPr>
            <w:r w:rsidRPr="001D6512">
              <w:t>95.0%</w:t>
            </w:r>
          </w:p>
        </w:tc>
        <w:tc>
          <w:tcPr>
            <w:tcW w:w="720" w:type="pct"/>
            <w:vAlign w:val="bottom"/>
          </w:tcPr>
          <w:p w:rsidR="00A22E85" w:rsidRPr="001D6512" w:rsidRDefault="00A22E85" w:rsidP="00C3606E">
            <w:pPr>
              <w:pStyle w:val="TableCell"/>
              <w:spacing w:before="60" w:after="60"/>
              <w:jc w:val="center"/>
            </w:pPr>
            <w:r w:rsidRPr="001D6512">
              <w:t>95.0%</w:t>
            </w:r>
          </w:p>
        </w:tc>
        <w:tc>
          <w:tcPr>
            <w:tcW w:w="720" w:type="pct"/>
            <w:vAlign w:val="bottom"/>
          </w:tcPr>
          <w:p w:rsidR="00A22E85" w:rsidRPr="001D6512" w:rsidRDefault="00A22E85" w:rsidP="00C3606E">
            <w:pPr>
              <w:pStyle w:val="TableCell"/>
              <w:spacing w:before="60" w:after="60"/>
              <w:jc w:val="center"/>
            </w:pPr>
            <w:r w:rsidRPr="001D6512">
              <w:t>95.0%</w:t>
            </w:r>
          </w:p>
        </w:tc>
      </w:tr>
    </w:tbl>
    <w:p w:rsidR="00A22E85" w:rsidRPr="001C4AD5" w:rsidRDefault="00A22E85" w:rsidP="00C3606E"/>
    <w:p w:rsidR="001C4AD5" w:rsidRPr="001C4AD5" w:rsidRDefault="001C4AD5" w:rsidP="00B20F6B">
      <w:pPr>
        <w:pStyle w:val="Caption"/>
      </w:pPr>
      <w:bookmarkStart w:id="559" w:name="_Ref275556725"/>
      <w:bookmarkStart w:id="560" w:name="_Ref261523165"/>
      <w:bookmarkStart w:id="561" w:name="_Toc310875565"/>
      <w:r>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13</w:t>
      </w:r>
      <w:r w:rsidR="00274AB1">
        <w:rPr>
          <w:noProof/>
        </w:rPr>
        <w:fldChar w:fldCharType="end"/>
      </w:r>
      <w:bookmarkEnd w:id="559"/>
      <w:bookmarkEnd w:id="560"/>
      <w:r>
        <w:t xml:space="preserve">: </w:t>
      </w:r>
      <w:r w:rsidR="008B435E">
        <w:t>Baseline</w:t>
      </w:r>
      <w:r>
        <w:t xml:space="preserve"> </w:t>
      </w:r>
      <w:r w:rsidRPr="00EC672D">
        <w:t xml:space="preserve">Motor </w:t>
      </w:r>
      <w:r w:rsidR="00C33F28">
        <w:t xml:space="preserve">Nominal </w:t>
      </w:r>
      <w:r w:rsidR="00F11594" w:rsidRPr="00EC672D">
        <w:t>Efficiencies</w:t>
      </w:r>
      <w:r w:rsidR="00F11594">
        <w:t xml:space="preserve"> for</w:t>
      </w:r>
      <w:r w:rsidR="008B435E">
        <w:t xml:space="preserve"> PY3 and PY4</w:t>
      </w:r>
      <w:r>
        <w:rPr>
          <w:rStyle w:val="FootnoteReference"/>
          <w:b w:val="0"/>
          <w:bCs w:val="0"/>
        </w:rPr>
        <w:footnoteReference w:id="153"/>
      </w:r>
      <w:bookmarkEnd w:id="561"/>
    </w:p>
    <w:tbl>
      <w:tblPr>
        <w:tblW w:w="5000" w:type="pct"/>
        <w:tblLook w:val="00A0" w:firstRow="1" w:lastRow="0" w:firstColumn="1" w:lastColumn="0" w:noHBand="0" w:noVBand="0"/>
      </w:tblPr>
      <w:tblGrid>
        <w:gridCol w:w="1188"/>
        <w:gridCol w:w="1341"/>
        <w:gridCol w:w="1265"/>
        <w:gridCol w:w="1266"/>
        <w:gridCol w:w="1265"/>
        <w:gridCol w:w="1265"/>
        <w:gridCol w:w="1266"/>
      </w:tblGrid>
      <w:tr w:rsidR="00A22E85" w:rsidRPr="00E467B4" w:rsidTr="00170F92">
        <w:trPr>
          <w:trHeight w:val="308"/>
        </w:trPr>
        <w:tc>
          <w:tcPr>
            <w:tcW w:w="671" w:type="pct"/>
            <w:vMerge w:val="restart"/>
            <w:tcBorders>
              <w:top w:val="single" w:sz="8" w:space="0" w:color="000000"/>
              <w:left w:val="single" w:sz="8" w:space="0" w:color="000000"/>
              <w:bottom w:val="single" w:sz="8" w:space="0" w:color="000000"/>
              <w:right w:val="single" w:sz="8" w:space="0" w:color="000000"/>
            </w:tcBorders>
            <w:shd w:val="clear" w:color="000000" w:fill="BFBFBF"/>
            <w:vAlign w:val="bottom"/>
          </w:tcPr>
          <w:p w:rsidR="00A22E85" w:rsidRPr="001D6512" w:rsidRDefault="00A22E85" w:rsidP="00C3606E">
            <w:pPr>
              <w:pStyle w:val="TableCell"/>
              <w:spacing w:before="60" w:after="60"/>
              <w:jc w:val="center"/>
              <w:rPr>
                <w:b/>
              </w:rPr>
            </w:pPr>
            <w:r w:rsidRPr="001D6512">
              <w:rPr>
                <w:b/>
              </w:rPr>
              <w:t>Size HP</w:t>
            </w:r>
          </w:p>
        </w:tc>
        <w:tc>
          <w:tcPr>
            <w:tcW w:w="2186" w:type="pct"/>
            <w:gridSpan w:val="3"/>
            <w:vMerge w:val="restart"/>
            <w:tcBorders>
              <w:top w:val="single" w:sz="8" w:space="0" w:color="auto"/>
              <w:left w:val="single" w:sz="8" w:space="0" w:color="000000"/>
              <w:bottom w:val="single" w:sz="8" w:space="0" w:color="000000"/>
              <w:right w:val="single" w:sz="8" w:space="0" w:color="000000"/>
            </w:tcBorders>
            <w:shd w:val="clear" w:color="000000" w:fill="BFBFBF"/>
            <w:vAlign w:val="bottom"/>
          </w:tcPr>
          <w:p w:rsidR="00A6516D" w:rsidRPr="001D6512" w:rsidRDefault="00A22E85" w:rsidP="00C3606E">
            <w:pPr>
              <w:pStyle w:val="TableCell"/>
              <w:spacing w:before="60" w:after="60"/>
              <w:jc w:val="center"/>
              <w:rPr>
                <w:b/>
                <w:iCs/>
              </w:rPr>
            </w:pPr>
            <w:r w:rsidRPr="001D6512">
              <w:rPr>
                <w:b/>
                <w:iCs/>
              </w:rPr>
              <w:t>Open Drip Proof (ODP)</w:t>
            </w:r>
          </w:p>
          <w:p w:rsidR="00A22E85" w:rsidRPr="001D6512" w:rsidRDefault="00A22E85" w:rsidP="00C3606E">
            <w:pPr>
              <w:pStyle w:val="TableCell"/>
              <w:spacing w:before="60" w:after="60"/>
              <w:jc w:val="center"/>
              <w:rPr>
                <w:b/>
              </w:rPr>
            </w:pPr>
            <w:r w:rsidRPr="001D6512">
              <w:rPr>
                <w:b/>
                <w:iCs/>
              </w:rPr>
              <w:t># of Poles</w:t>
            </w:r>
          </w:p>
        </w:tc>
        <w:tc>
          <w:tcPr>
            <w:tcW w:w="2143" w:type="pct"/>
            <w:gridSpan w:val="3"/>
            <w:vMerge w:val="restart"/>
            <w:tcBorders>
              <w:top w:val="single" w:sz="8" w:space="0" w:color="auto"/>
              <w:left w:val="single" w:sz="8" w:space="0" w:color="auto"/>
              <w:bottom w:val="single" w:sz="8" w:space="0" w:color="000000"/>
              <w:right w:val="single" w:sz="8" w:space="0" w:color="000000"/>
            </w:tcBorders>
            <w:shd w:val="clear" w:color="000000" w:fill="BFBFBF"/>
            <w:vAlign w:val="bottom"/>
          </w:tcPr>
          <w:p w:rsidR="00A22E85" w:rsidRPr="001D6512" w:rsidRDefault="00A22E85" w:rsidP="00C3606E">
            <w:pPr>
              <w:pStyle w:val="TableCell"/>
              <w:spacing w:before="60" w:after="60"/>
              <w:jc w:val="center"/>
              <w:rPr>
                <w:b/>
                <w:iCs/>
              </w:rPr>
            </w:pPr>
            <w:r w:rsidRPr="001D6512">
              <w:rPr>
                <w:b/>
                <w:iCs/>
              </w:rPr>
              <w:t>Totally Enclosed Fan-Cooled (TEFC)</w:t>
            </w:r>
          </w:p>
          <w:p w:rsidR="00A22E85" w:rsidRPr="001D6512" w:rsidRDefault="00A22E85" w:rsidP="00C3606E">
            <w:pPr>
              <w:pStyle w:val="TableCell"/>
              <w:spacing w:before="60" w:after="60"/>
              <w:jc w:val="center"/>
              <w:rPr>
                <w:b/>
              </w:rPr>
            </w:pPr>
            <w:r w:rsidRPr="001D6512">
              <w:rPr>
                <w:b/>
                <w:iCs/>
              </w:rPr>
              <w:t># of Poles</w:t>
            </w:r>
          </w:p>
        </w:tc>
      </w:tr>
      <w:tr w:rsidR="00A22E85" w:rsidRPr="00EC672D" w:rsidTr="00170F92">
        <w:trPr>
          <w:trHeight w:val="368"/>
        </w:trPr>
        <w:tc>
          <w:tcPr>
            <w:tcW w:w="671" w:type="pct"/>
            <w:vMerge/>
            <w:tcBorders>
              <w:top w:val="nil"/>
              <w:left w:val="single" w:sz="8" w:space="0" w:color="000000"/>
              <w:bottom w:val="single" w:sz="8" w:space="0" w:color="000000"/>
              <w:right w:val="single" w:sz="8" w:space="0" w:color="000000"/>
            </w:tcBorders>
            <w:vAlign w:val="bottom"/>
          </w:tcPr>
          <w:p w:rsidR="00A22E85" w:rsidRPr="001D6512" w:rsidRDefault="00A22E85" w:rsidP="00C3606E">
            <w:pPr>
              <w:pStyle w:val="TableCell"/>
              <w:spacing w:before="60" w:after="60"/>
              <w:jc w:val="center"/>
              <w:rPr>
                <w:b/>
              </w:rPr>
            </w:pPr>
          </w:p>
        </w:tc>
        <w:tc>
          <w:tcPr>
            <w:tcW w:w="2186" w:type="pct"/>
            <w:gridSpan w:val="3"/>
            <w:vMerge/>
            <w:tcBorders>
              <w:top w:val="single" w:sz="8" w:space="0" w:color="auto"/>
              <w:left w:val="single" w:sz="8" w:space="0" w:color="000000"/>
              <w:bottom w:val="single" w:sz="8" w:space="0" w:color="000000"/>
              <w:right w:val="single" w:sz="8" w:space="0" w:color="000000"/>
            </w:tcBorders>
            <w:vAlign w:val="bottom"/>
          </w:tcPr>
          <w:p w:rsidR="00A22E85" w:rsidRPr="001D6512" w:rsidRDefault="00A22E85" w:rsidP="00C3606E">
            <w:pPr>
              <w:pStyle w:val="TableCell"/>
              <w:spacing w:before="60" w:after="60"/>
              <w:jc w:val="center"/>
              <w:rPr>
                <w:b/>
              </w:rPr>
            </w:pPr>
          </w:p>
        </w:tc>
        <w:tc>
          <w:tcPr>
            <w:tcW w:w="2143" w:type="pct"/>
            <w:gridSpan w:val="3"/>
            <w:vMerge/>
            <w:tcBorders>
              <w:top w:val="single" w:sz="8" w:space="0" w:color="auto"/>
              <w:left w:val="single" w:sz="8" w:space="0" w:color="auto"/>
              <w:bottom w:val="single" w:sz="8" w:space="0" w:color="000000"/>
              <w:right w:val="single" w:sz="8" w:space="0" w:color="000000"/>
            </w:tcBorders>
            <w:vAlign w:val="bottom"/>
          </w:tcPr>
          <w:p w:rsidR="00A22E85" w:rsidRPr="001D6512" w:rsidRDefault="00A22E85" w:rsidP="00C3606E">
            <w:pPr>
              <w:pStyle w:val="TableCell"/>
              <w:spacing w:before="60" w:after="60"/>
              <w:jc w:val="center"/>
              <w:rPr>
                <w:b/>
              </w:rPr>
            </w:pPr>
          </w:p>
        </w:tc>
      </w:tr>
      <w:tr w:rsidR="00A22E85" w:rsidRPr="00EC672D" w:rsidTr="005D7F62">
        <w:trPr>
          <w:trHeight w:val="259"/>
        </w:trPr>
        <w:tc>
          <w:tcPr>
            <w:tcW w:w="671" w:type="pct"/>
            <w:vMerge/>
            <w:tcBorders>
              <w:top w:val="nil"/>
              <w:left w:val="single" w:sz="8" w:space="0" w:color="000000"/>
              <w:bottom w:val="single" w:sz="8" w:space="0" w:color="000000"/>
              <w:right w:val="single" w:sz="8" w:space="0" w:color="000000"/>
            </w:tcBorders>
            <w:vAlign w:val="bottom"/>
          </w:tcPr>
          <w:p w:rsidR="00A22E85" w:rsidRPr="001D6512" w:rsidRDefault="00A22E85" w:rsidP="00C3606E">
            <w:pPr>
              <w:pStyle w:val="TableCell"/>
              <w:spacing w:before="60" w:after="60"/>
              <w:jc w:val="center"/>
              <w:rPr>
                <w:b/>
              </w:rPr>
            </w:pPr>
          </w:p>
        </w:tc>
        <w:tc>
          <w:tcPr>
            <w:tcW w:w="757" w:type="pct"/>
            <w:tcBorders>
              <w:top w:val="nil"/>
              <w:left w:val="single" w:sz="8" w:space="0" w:color="000000"/>
              <w:bottom w:val="single" w:sz="8" w:space="0" w:color="auto"/>
              <w:right w:val="single" w:sz="8" w:space="0" w:color="auto"/>
            </w:tcBorders>
            <w:shd w:val="clear" w:color="000000" w:fill="BFBFBF"/>
            <w:vAlign w:val="bottom"/>
          </w:tcPr>
          <w:p w:rsidR="00A22E85" w:rsidRPr="001D6512" w:rsidRDefault="00A22E85" w:rsidP="00C3606E">
            <w:pPr>
              <w:pStyle w:val="TableCell"/>
              <w:spacing w:before="60" w:after="60"/>
              <w:jc w:val="center"/>
              <w:rPr>
                <w:b/>
                <w:iCs/>
              </w:rPr>
            </w:pPr>
            <w:r w:rsidRPr="001D6512">
              <w:rPr>
                <w:b/>
                <w:iCs/>
              </w:rPr>
              <w:t>6</w:t>
            </w:r>
          </w:p>
        </w:tc>
        <w:tc>
          <w:tcPr>
            <w:tcW w:w="714" w:type="pct"/>
            <w:tcBorders>
              <w:top w:val="nil"/>
              <w:left w:val="nil"/>
              <w:bottom w:val="single" w:sz="8" w:space="0" w:color="auto"/>
              <w:right w:val="single" w:sz="8" w:space="0" w:color="auto"/>
            </w:tcBorders>
            <w:shd w:val="clear" w:color="000000" w:fill="BFBFBF"/>
            <w:vAlign w:val="bottom"/>
          </w:tcPr>
          <w:p w:rsidR="00A22E85" w:rsidRPr="001D6512" w:rsidRDefault="00A22E85" w:rsidP="00C3606E">
            <w:pPr>
              <w:pStyle w:val="TableCell"/>
              <w:spacing w:before="60" w:after="60"/>
              <w:jc w:val="center"/>
              <w:rPr>
                <w:b/>
                <w:iCs/>
              </w:rPr>
            </w:pPr>
            <w:r w:rsidRPr="001D6512">
              <w:rPr>
                <w:b/>
                <w:iCs/>
              </w:rPr>
              <w:t>4</w:t>
            </w:r>
          </w:p>
        </w:tc>
        <w:tc>
          <w:tcPr>
            <w:tcW w:w="715" w:type="pct"/>
            <w:tcBorders>
              <w:top w:val="nil"/>
              <w:left w:val="nil"/>
              <w:bottom w:val="single" w:sz="8" w:space="0" w:color="auto"/>
              <w:right w:val="single" w:sz="8" w:space="0" w:color="auto"/>
            </w:tcBorders>
            <w:shd w:val="clear" w:color="000000" w:fill="BFBFBF"/>
            <w:vAlign w:val="bottom"/>
          </w:tcPr>
          <w:p w:rsidR="00A22E85" w:rsidRPr="001D6512" w:rsidRDefault="00A22E85" w:rsidP="00C3606E">
            <w:pPr>
              <w:pStyle w:val="TableCell"/>
              <w:spacing w:before="60" w:after="60"/>
              <w:jc w:val="center"/>
              <w:rPr>
                <w:b/>
                <w:iCs/>
              </w:rPr>
            </w:pPr>
            <w:r w:rsidRPr="001D6512">
              <w:rPr>
                <w:b/>
                <w:iCs/>
              </w:rPr>
              <w:t>2</w:t>
            </w:r>
          </w:p>
        </w:tc>
        <w:tc>
          <w:tcPr>
            <w:tcW w:w="714" w:type="pct"/>
            <w:tcBorders>
              <w:top w:val="nil"/>
              <w:left w:val="nil"/>
              <w:bottom w:val="single" w:sz="8" w:space="0" w:color="auto"/>
              <w:right w:val="single" w:sz="8" w:space="0" w:color="auto"/>
            </w:tcBorders>
            <w:shd w:val="clear" w:color="000000" w:fill="BFBFBF"/>
            <w:vAlign w:val="bottom"/>
          </w:tcPr>
          <w:p w:rsidR="00A22E85" w:rsidRPr="001D6512" w:rsidRDefault="00A22E85" w:rsidP="00C3606E">
            <w:pPr>
              <w:pStyle w:val="TableCell"/>
              <w:spacing w:before="60" w:after="60"/>
              <w:jc w:val="center"/>
              <w:rPr>
                <w:b/>
                <w:iCs/>
              </w:rPr>
            </w:pPr>
            <w:r w:rsidRPr="001D6512">
              <w:rPr>
                <w:b/>
                <w:iCs/>
              </w:rPr>
              <w:t>6</w:t>
            </w:r>
          </w:p>
        </w:tc>
        <w:tc>
          <w:tcPr>
            <w:tcW w:w="714" w:type="pct"/>
            <w:tcBorders>
              <w:top w:val="nil"/>
              <w:left w:val="nil"/>
              <w:bottom w:val="single" w:sz="8" w:space="0" w:color="auto"/>
              <w:right w:val="single" w:sz="8" w:space="0" w:color="auto"/>
            </w:tcBorders>
            <w:shd w:val="clear" w:color="000000" w:fill="BFBFBF"/>
            <w:vAlign w:val="bottom"/>
          </w:tcPr>
          <w:p w:rsidR="00A22E85" w:rsidRPr="001D6512" w:rsidRDefault="00A22E85" w:rsidP="00C3606E">
            <w:pPr>
              <w:pStyle w:val="TableCell"/>
              <w:spacing w:before="60" w:after="60"/>
              <w:jc w:val="center"/>
              <w:rPr>
                <w:b/>
                <w:iCs/>
              </w:rPr>
            </w:pPr>
            <w:r w:rsidRPr="001D6512">
              <w:rPr>
                <w:b/>
                <w:iCs/>
              </w:rPr>
              <w:t>4</w:t>
            </w:r>
          </w:p>
        </w:tc>
        <w:tc>
          <w:tcPr>
            <w:tcW w:w="715" w:type="pct"/>
            <w:tcBorders>
              <w:top w:val="nil"/>
              <w:left w:val="nil"/>
              <w:bottom w:val="single" w:sz="8" w:space="0" w:color="auto"/>
              <w:right w:val="single" w:sz="8" w:space="0" w:color="auto"/>
            </w:tcBorders>
            <w:shd w:val="clear" w:color="000000" w:fill="BFBFBF"/>
            <w:vAlign w:val="bottom"/>
          </w:tcPr>
          <w:p w:rsidR="00A22E85" w:rsidRPr="001D6512" w:rsidRDefault="00A22E85" w:rsidP="00C3606E">
            <w:pPr>
              <w:pStyle w:val="TableCell"/>
              <w:spacing w:before="60" w:after="60"/>
              <w:jc w:val="center"/>
              <w:rPr>
                <w:b/>
                <w:iCs/>
              </w:rPr>
            </w:pPr>
            <w:r w:rsidRPr="001D6512">
              <w:rPr>
                <w:b/>
                <w:iCs/>
              </w:rPr>
              <w:t>2</w:t>
            </w:r>
          </w:p>
        </w:tc>
      </w:tr>
      <w:tr w:rsidR="00A22E85" w:rsidRPr="00EC672D" w:rsidTr="005D7F62">
        <w:trPr>
          <w:trHeight w:val="259"/>
        </w:trPr>
        <w:tc>
          <w:tcPr>
            <w:tcW w:w="671" w:type="pct"/>
            <w:vMerge/>
            <w:tcBorders>
              <w:top w:val="nil"/>
              <w:left w:val="single" w:sz="8" w:space="0" w:color="000000"/>
              <w:bottom w:val="single" w:sz="8" w:space="0" w:color="000000"/>
              <w:right w:val="single" w:sz="8" w:space="0" w:color="000000"/>
            </w:tcBorders>
            <w:vAlign w:val="bottom"/>
          </w:tcPr>
          <w:p w:rsidR="00A22E85" w:rsidRPr="001D6512" w:rsidRDefault="00A22E85" w:rsidP="00C3606E">
            <w:pPr>
              <w:pStyle w:val="TableCell"/>
              <w:spacing w:before="60" w:after="60"/>
              <w:jc w:val="center"/>
            </w:pPr>
          </w:p>
        </w:tc>
        <w:tc>
          <w:tcPr>
            <w:tcW w:w="2186" w:type="pct"/>
            <w:gridSpan w:val="3"/>
            <w:tcBorders>
              <w:top w:val="single" w:sz="8" w:space="0" w:color="auto"/>
              <w:left w:val="single" w:sz="8" w:space="0" w:color="000000"/>
              <w:bottom w:val="single" w:sz="8" w:space="0" w:color="auto"/>
              <w:right w:val="single" w:sz="8" w:space="0" w:color="000000"/>
            </w:tcBorders>
            <w:shd w:val="clear" w:color="000000" w:fill="D9D9D9"/>
            <w:vAlign w:val="bottom"/>
          </w:tcPr>
          <w:p w:rsidR="00A22E85" w:rsidRPr="001D6512" w:rsidRDefault="00A22E85" w:rsidP="00C3606E">
            <w:pPr>
              <w:pStyle w:val="TableCell"/>
              <w:spacing w:before="60" w:after="60"/>
              <w:jc w:val="center"/>
            </w:pPr>
            <w:r w:rsidRPr="001D6512">
              <w:rPr>
                <w:iCs/>
              </w:rPr>
              <w:t>Speed (RPM)</w:t>
            </w:r>
          </w:p>
        </w:tc>
        <w:tc>
          <w:tcPr>
            <w:tcW w:w="2143" w:type="pct"/>
            <w:gridSpan w:val="3"/>
            <w:tcBorders>
              <w:top w:val="single" w:sz="8" w:space="0" w:color="auto"/>
              <w:left w:val="nil"/>
              <w:bottom w:val="single" w:sz="8" w:space="0" w:color="auto"/>
              <w:right w:val="single" w:sz="8" w:space="0" w:color="000000"/>
            </w:tcBorders>
            <w:shd w:val="clear" w:color="000000" w:fill="D9D9D9"/>
            <w:vAlign w:val="bottom"/>
          </w:tcPr>
          <w:p w:rsidR="00A22E85" w:rsidRPr="001D6512" w:rsidRDefault="00A22E85" w:rsidP="00C3606E">
            <w:pPr>
              <w:pStyle w:val="TableCell"/>
              <w:spacing w:before="60" w:after="60"/>
              <w:jc w:val="center"/>
            </w:pPr>
            <w:r w:rsidRPr="001D6512">
              <w:rPr>
                <w:iCs/>
              </w:rPr>
              <w:t>Speed (RPM)</w:t>
            </w:r>
          </w:p>
        </w:tc>
      </w:tr>
      <w:tr w:rsidR="00A22E85" w:rsidRPr="00EC672D" w:rsidTr="005D7F62">
        <w:trPr>
          <w:trHeight w:val="259"/>
        </w:trPr>
        <w:tc>
          <w:tcPr>
            <w:tcW w:w="671" w:type="pct"/>
            <w:vMerge/>
            <w:tcBorders>
              <w:top w:val="nil"/>
              <w:left w:val="single" w:sz="8" w:space="0" w:color="000000"/>
              <w:bottom w:val="single" w:sz="8" w:space="0" w:color="000000"/>
              <w:right w:val="single" w:sz="8" w:space="0" w:color="000000"/>
            </w:tcBorders>
            <w:vAlign w:val="bottom"/>
          </w:tcPr>
          <w:p w:rsidR="00A22E85" w:rsidRPr="001D6512" w:rsidRDefault="00A22E85" w:rsidP="00C3606E">
            <w:pPr>
              <w:pStyle w:val="TableCell"/>
              <w:spacing w:before="60" w:after="60"/>
              <w:jc w:val="center"/>
            </w:pPr>
          </w:p>
        </w:tc>
        <w:tc>
          <w:tcPr>
            <w:tcW w:w="757" w:type="pct"/>
            <w:tcBorders>
              <w:top w:val="nil"/>
              <w:left w:val="single" w:sz="8" w:space="0" w:color="000000"/>
              <w:bottom w:val="single" w:sz="8" w:space="0" w:color="auto"/>
              <w:right w:val="single" w:sz="8" w:space="0" w:color="auto"/>
            </w:tcBorders>
            <w:shd w:val="clear" w:color="000000" w:fill="D9D9D9"/>
            <w:vAlign w:val="bottom"/>
          </w:tcPr>
          <w:p w:rsidR="00A22E85" w:rsidRPr="001D6512" w:rsidRDefault="00A22E85" w:rsidP="00C3606E">
            <w:pPr>
              <w:pStyle w:val="TableCell"/>
              <w:spacing w:before="60" w:after="60"/>
              <w:jc w:val="center"/>
              <w:rPr>
                <w:iCs/>
              </w:rPr>
            </w:pPr>
            <w:r w:rsidRPr="001D6512">
              <w:rPr>
                <w:iCs/>
              </w:rPr>
              <w:t>1200</w:t>
            </w:r>
          </w:p>
        </w:tc>
        <w:tc>
          <w:tcPr>
            <w:tcW w:w="714" w:type="pct"/>
            <w:tcBorders>
              <w:top w:val="nil"/>
              <w:left w:val="nil"/>
              <w:bottom w:val="single" w:sz="8" w:space="0" w:color="auto"/>
              <w:right w:val="single" w:sz="8" w:space="0" w:color="auto"/>
            </w:tcBorders>
            <w:shd w:val="clear" w:color="000000" w:fill="D9D9D9"/>
            <w:vAlign w:val="bottom"/>
          </w:tcPr>
          <w:p w:rsidR="00A22E85" w:rsidRPr="001D6512" w:rsidRDefault="00A22E85" w:rsidP="00C3606E">
            <w:pPr>
              <w:pStyle w:val="TableCell"/>
              <w:spacing w:before="60" w:after="60"/>
              <w:jc w:val="center"/>
              <w:rPr>
                <w:iCs/>
              </w:rPr>
            </w:pPr>
            <w:r w:rsidRPr="001D6512">
              <w:rPr>
                <w:iCs/>
              </w:rPr>
              <w:t>1800</w:t>
            </w:r>
          </w:p>
        </w:tc>
        <w:tc>
          <w:tcPr>
            <w:tcW w:w="715" w:type="pct"/>
            <w:tcBorders>
              <w:top w:val="nil"/>
              <w:left w:val="nil"/>
              <w:bottom w:val="single" w:sz="8" w:space="0" w:color="auto"/>
              <w:right w:val="single" w:sz="8" w:space="0" w:color="auto"/>
            </w:tcBorders>
            <w:shd w:val="clear" w:color="000000" w:fill="D9D9D9"/>
            <w:vAlign w:val="bottom"/>
          </w:tcPr>
          <w:p w:rsidR="00A22E85" w:rsidRPr="001D6512" w:rsidRDefault="00A22E85" w:rsidP="00C3606E">
            <w:pPr>
              <w:pStyle w:val="TableCell"/>
              <w:spacing w:before="60" w:after="60"/>
              <w:jc w:val="center"/>
              <w:rPr>
                <w:iCs/>
              </w:rPr>
            </w:pPr>
            <w:r w:rsidRPr="001D6512">
              <w:rPr>
                <w:iCs/>
              </w:rPr>
              <w:t>3600</w:t>
            </w:r>
          </w:p>
        </w:tc>
        <w:tc>
          <w:tcPr>
            <w:tcW w:w="714" w:type="pct"/>
            <w:tcBorders>
              <w:top w:val="nil"/>
              <w:left w:val="nil"/>
              <w:bottom w:val="single" w:sz="8" w:space="0" w:color="auto"/>
              <w:right w:val="single" w:sz="8" w:space="0" w:color="auto"/>
            </w:tcBorders>
            <w:shd w:val="clear" w:color="000000" w:fill="D9D9D9"/>
            <w:vAlign w:val="bottom"/>
          </w:tcPr>
          <w:p w:rsidR="00A22E85" w:rsidRPr="001D6512" w:rsidRDefault="00A22E85" w:rsidP="00C3606E">
            <w:pPr>
              <w:pStyle w:val="TableCell"/>
              <w:spacing w:before="60" w:after="60"/>
              <w:jc w:val="center"/>
              <w:rPr>
                <w:iCs/>
              </w:rPr>
            </w:pPr>
            <w:r w:rsidRPr="001D6512">
              <w:rPr>
                <w:iCs/>
              </w:rPr>
              <w:t>1200</w:t>
            </w:r>
          </w:p>
        </w:tc>
        <w:tc>
          <w:tcPr>
            <w:tcW w:w="714" w:type="pct"/>
            <w:tcBorders>
              <w:top w:val="nil"/>
              <w:left w:val="nil"/>
              <w:bottom w:val="single" w:sz="8" w:space="0" w:color="auto"/>
              <w:right w:val="single" w:sz="8" w:space="0" w:color="auto"/>
            </w:tcBorders>
            <w:shd w:val="clear" w:color="000000" w:fill="D9D9D9"/>
            <w:vAlign w:val="bottom"/>
          </w:tcPr>
          <w:p w:rsidR="00A22E85" w:rsidRPr="001D6512" w:rsidRDefault="00A22E85" w:rsidP="00C3606E">
            <w:pPr>
              <w:pStyle w:val="TableCell"/>
              <w:spacing w:before="60" w:after="60"/>
              <w:jc w:val="center"/>
              <w:rPr>
                <w:iCs/>
              </w:rPr>
            </w:pPr>
            <w:r w:rsidRPr="001D6512">
              <w:rPr>
                <w:iCs/>
              </w:rPr>
              <w:t>1800</w:t>
            </w:r>
          </w:p>
        </w:tc>
        <w:tc>
          <w:tcPr>
            <w:tcW w:w="715" w:type="pct"/>
            <w:tcBorders>
              <w:top w:val="nil"/>
              <w:left w:val="nil"/>
              <w:bottom w:val="single" w:sz="8" w:space="0" w:color="auto"/>
              <w:right w:val="single" w:sz="8" w:space="0" w:color="auto"/>
            </w:tcBorders>
            <w:shd w:val="clear" w:color="000000" w:fill="D9D9D9"/>
            <w:vAlign w:val="bottom"/>
          </w:tcPr>
          <w:p w:rsidR="00A22E85" w:rsidRPr="001D6512" w:rsidRDefault="00A22E85" w:rsidP="00C3606E">
            <w:pPr>
              <w:pStyle w:val="TableCell"/>
              <w:spacing w:before="60" w:after="60"/>
              <w:jc w:val="center"/>
              <w:rPr>
                <w:iCs/>
              </w:rPr>
            </w:pPr>
            <w:r w:rsidRPr="001D6512">
              <w:rPr>
                <w:iCs/>
              </w:rPr>
              <w:t>3600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1</w:t>
            </w:r>
          </w:p>
        </w:tc>
        <w:tc>
          <w:tcPr>
            <w:tcW w:w="757"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82.50%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85.50%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77.00%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82.50%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85.50%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77.00%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1.5</w:t>
            </w:r>
          </w:p>
        </w:tc>
        <w:tc>
          <w:tcPr>
            <w:tcW w:w="757"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86.50%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86.50%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84.00%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87.50%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86.50%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84.00%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2</w:t>
            </w:r>
          </w:p>
        </w:tc>
        <w:tc>
          <w:tcPr>
            <w:tcW w:w="757"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87.50%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86.50%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85.50%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88.50%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86.50%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85.50%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3</w:t>
            </w:r>
          </w:p>
        </w:tc>
        <w:tc>
          <w:tcPr>
            <w:tcW w:w="757"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88.50%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89.50%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85.50%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89.50%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89.50%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86.50%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5</w:t>
            </w:r>
          </w:p>
        </w:tc>
        <w:tc>
          <w:tcPr>
            <w:tcW w:w="757"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89.50%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89.50%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86.50%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89.50%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89.50%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88.50%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7.5</w:t>
            </w:r>
          </w:p>
        </w:tc>
        <w:tc>
          <w:tcPr>
            <w:tcW w:w="757"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90.20%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91.00%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88.50%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91.00%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91.70%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89.50%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10</w:t>
            </w:r>
          </w:p>
        </w:tc>
        <w:tc>
          <w:tcPr>
            <w:tcW w:w="757"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91.70%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91.70%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89.50%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91.00%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91.70%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90.20%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15</w:t>
            </w:r>
          </w:p>
        </w:tc>
        <w:tc>
          <w:tcPr>
            <w:tcW w:w="757"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91.70%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93.00%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90.20%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91.70%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92.40%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91.00%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20</w:t>
            </w:r>
          </w:p>
        </w:tc>
        <w:tc>
          <w:tcPr>
            <w:tcW w:w="757"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92.40%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93.00%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91.00%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91.70%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93.00%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91.00%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25</w:t>
            </w:r>
          </w:p>
        </w:tc>
        <w:tc>
          <w:tcPr>
            <w:tcW w:w="757"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93.00%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93.60%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91.70%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93.00%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93.60%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91.70%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30</w:t>
            </w:r>
          </w:p>
        </w:tc>
        <w:tc>
          <w:tcPr>
            <w:tcW w:w="757"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93.60%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94.10%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91.70%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93.00%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93.60%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91.70%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40</w:t>
            </w:r>
          </w:p>
        </w:tc>
        <w:tc>
          <w:tcPr>
            <w:tcW w:w="757"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94.10%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94.10%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92.40%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94.10%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94.10%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92.40%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50</w:t>
            </w:r>
          </w:p>
        </w:tc>
        <w:tc>
          <w:tcPr>
            <w:tcW w:w="757"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94.10%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94.50%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93.00%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94.10%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94.50%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93.00%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60</w:t>
            </w:r>
          </w:p>
        </w:tc>
        <w:tc>
          <w:tcPr>
            <w:tcW w:w="757"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94.50%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95.00%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93.60%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94.50%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95.00%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93.60%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75</w:t>
            </w:r>
          </w:p>
        </w:tc>
        <w:tc>
          <w:tcPr>
            <w:tcW w:w="757"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94.50%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95.00%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93.60%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94.50%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95.40%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93.60%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100</w:t>
            </w:r>
          </w:p>
        </w:tc>
        <w:tc>
          <w:tcPr>
            <w:tcW w:w="757"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95.00%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95.40%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93.60%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95.00%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95.40%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94.10%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125</w:t>
            </w:r>
          </w:p>
        </w:tc>
        <w:tc>
          <w:tcPr>
            <w:tcW w:w="757"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95.00%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95.40%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94.10%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95.00%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95.40%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95.00%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150</w:t>
            </w:r>
          </w:p>
        </w:tc>
        <w:tc>
          <w:tcPr>
            <w:tcW w:w="757"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95.40%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95.80%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94.10%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95.80%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95.80%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95.00%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200</w:t>
            </w:r>
          </w:p>
        </w:tc>
        <w:tc>
          <w:tcPr>
            <w:tcW w:w="757"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95.40%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95.80%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95.00%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95.80%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96.20%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95.40%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250</w:t>
            </w:r>
          </w:p>
        </w:tc>
        <w:tc>
          <w:tcPr>
            <w:tcW w:w="757"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95.40%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95.80%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95.00%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95.80%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96.20%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95.80%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300</w:t>
            </w:r>
          </w:p>
        </w:tc>
        <w:tc>
          <w:tcPr>
            <w:tcW w:w="757"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95.40%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95.80%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95.40%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95.80%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96.20%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95.80%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350</w:t>
            </w:r>
          </w:p>
        </w:tc>
        <w:tc>
          <w:tcPr>
            <w:tcW w:w="757"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95.40%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95.80%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95.40%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95.80%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96.20%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95.80%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400</w:t>
            </w:r>
          </w:p>
        </w:tc>
        <w:tc>
          <w:tcPr>
            <w:tcW w:w="757"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95.80%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95.80%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95.80%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95.80%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96.20%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95.80%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450</w:t>
            </w:r>
          </w:p>
        </w:tc>
        <w:tc>
          <w:tcPr>
            <w:tcW w:w="757"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96.20%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96.20%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95.80%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95.80%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96.20%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95.80%</w:t>
            </w:r>
          </w:p>
        </w:tc>
      </w:tr>
      <w:tr w:rsidR="00A22E85" w:rsidRPr="00E467B4" w:rsidTr="005D7F62">
        <w:trPr>
          <w:trHeight w:val="259"/>
        </w:trPr>
        <w:tc>
          <w:tcPr>
            <w:tcW w:w="671" w:type="pct"/>
            <w:tcBorders>
              <w:top w:val="nil"/>
              <w:left w:val="single" w:sz="8" w:space="0" w:color="auto"/>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500</w:t>
            </w:r>
          </w:p>
        </w:tc>
        <w:tc>
          <w:tcPr>
            <w:tcW w:w="757"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96.20%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96.20%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95.80%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95.80%</w:t>
            </w:r>
          </w:p>
        </w:tc>
        <w:tc>
          <w:tcPr>
            <w:tcW w:w="714"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96.20%</w:t>
            </w:r>
          </w:p>
        </w:tc>
        <w:tc>
          <w:tcPr>
            <w:tcW w:w="715" w:type="pct"/>
            <w:tcBorders>
              <w:top w:val="nil"/>
              <w:left w:val="nil"/>
              <w:bottom w:val="single" w:sz="8" w:space="0" w:color="auto"/>
              <w:right w:val="single" w:sz="8" w:space="0" w:color="auto"/>
            </w:tcBorders>
            <w:vAlign w:val="bottom"/>
          </w:tcPr>
          <w:p w:rsidR="00A22E85" w:rsidRPr="001D6512" w:rsidRDefault="00A22E85" w:rsidP="00C3606E">
            <w:pPr>
              <w:pStyle w:val="TableCell"/>
              <w:spacing w:before="60" w:after="60"/>
              <w:jc w:val="center"/>
            </w:pPr>
            <w:r w:rsidRPr="001D6512">
              <w:t>95.80%</w:t>
            </w:r>
          </w:p>
        </w:tc>
      </w:tr>
    </w:tbl>
    <w:p w:rsidR="001C4AD5" w:rsidRPr="001C4AD5" w:rsidRDefault="001C4AD5" w:rsidP="00C3606E">
      <w:pPr>
        <w:pStyle w:val="StyleCaptionCentered"/>
      </w:pPr>
      <w:bookmarkStart w:id="562" w:name="_Ref261523047"/>
      <w:bookmarkStart w:id="563" w:name="_Ref275556522"/>
      <w:bookmarkStart w:id="564" w:name="_Toc310875566"/>
      <w:r>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14</w:t>
      </w:r>
      <w:r w:rsidR="00274AB1">
        <w:rPr>
          <w:noProof/>
        </w:rPr>
        <w:fldChar w:fldCharType="end"/>
      </w:r>
      <w:bookmarkEnd w:id="562"/>
      <w:bookmarkEnd w:id="563"/>
      <w:r>
        <w:t>: Stipulated Hours of Use for Motors in Commercial Buildings</w:t>
      </w:r>
      <w:bookmarkEnd w:id="564"/>
    </w:p>
    <w:tbl>
      <w:tblPr>
        <w:tblW w:w="5000" w:type="pct"/>
        <w:tblLook w:val="00A0" w:firstRow="1" w:lastRow="0" w:firstColumn="1" w:lastColumn="0" w:noHBand="0" w:noVBand="0"/>
      </w:tblPr>
      <w:tblGrid>
        <w:gridCol w:w="3708"/>
        <w:gridCol w:w="3419"/>
        <w:gridCol w:w="1729"/>
      </w:tblGrid>
      <w:tr w:rsidR="00A22E85" w:rsidRPr="00671152" w:rsidTr="008B435E">
        <w:trPr>
          <w:trHeight w:val="259"/>
          <w:tblHeader/>
        </w:trPr>
        <w:tc>
          <w:tcPr>
            <w:tcW w:w="2093" w:type="pct"/>
            <w:tcBorders>
              <w:top w:val="single" w:sz="4" w:space="0" w:color="auto"/>
              <w:left w:val="single" w:sz="4" w:space="0" w:color="auto"/>
              <w:bottom w:val="single" w:sz="4" w:space="0" w:color="auto"/>
              <w:right w:val="single" w:sz="4" w:space="0" w:color="auto"/>
            </w:tcBorders>
            <w:shd w:val="clear" w:color="auto" w:fill="A6A6A6"/>
            <w:vAlign w:val="bottom"/>
          </w:tcPr>
          <w:p w:rsidR="00A22E85" w:rsidRPr="001D6512" w:rsidRDefault="00A22E85" w:rsidP="00C3606E">
            <w:pPr>
              <w:pStyle w:val="TableCell"/>
              <w:spacing w:before="60" w:after="60"/>
              <w:rPr>
                <w:b/>
              </w:rPr>
            </w:pPr>
            <w:r w:rsidRPr="001D6512">
              <w:rPr>
                <w:b/>
              </w:rPr>
              <w:t>Building Type</w:t>
            </w:r>
          </w:p>
        </w:tc>
        <w:tc>
          <w:tcPr>
            <w:tcW w:w="1930" w:type="pct"/>
            <w:tcBorders>
              <w:top w:val="single" w:sz="4" w:space="0" w:color="auto"/>
              <w:left w:val="nil"/>
              <w:bottom w:val="single" w:sz="4" w:space="0" w:color="auto"/>
              <w:right w:val="single" w:sz="4" w:space="0" w:color="auto"/>
            </w:tcBorders>
            <w:shd w:val="clear" w:color="auto" w:fill="A6A6A6"/>
            <w:vAlign w:val="bottom"/>
          </w:tcPr>
          <w:p w:rsidR="00A22E85" w:rsidRPr="001D6512" w:rsidRDefault="00A22E85" w:rsidP="00C3606E">
            <w:pPr>
              <w:pStyle w:val="TableCell"/>
              <w:spacing w:before="60" w:after="60"/>
              <w:rPr>
                <w:b/>
              </w:rPr>
            </w:pPr>
            <w:r w:rsidRPr="001D6512">
              <w:rPr>
                <w:b/>
              </w:rPr>
              <w:t>Motor Usage Group</w:t>
            </w:r>
          </w:p>
        </w:tc>
        <w:tc>
          <w:tcPr>
            <w:tcW w:w="976" w:type="pct"/>
            <w:tcBorders>
              <w:top w:val="single" w:sz="4" w:space="0" w:color="auto"/>
              <w:left w:val="nil"/>
              <w:bottom w:val="single" w:sz="4" w:space="0" w:color="auto"/>
              <w:right w:val="single" w:sz="4" w:space="0" w:color="auto"/>
            </w:tcBorders>
            <w:shd w:val="clear" w:color="auto" w:fill="A6A6A6"/>
            <w:vAlign w:val="bottom"/>
          </w:tcPr>
          <w:p w:rsidR="00A22E85" w:rsidRPr="001D6512" w:rsidRDefault="00081878" w:rsidP="00C3606E">
            <w:pPr>
              <w:pStyle w:val="TableCell"/>
              <w:spacing w:before="60" w:after="60"/>
              <w:rPr>
                <w:b/>
              </w:rPr>
            </w:pPr>
            <w:r w:rsidRPr="001D6512">
              <w:rPr>
                <w:b/>
              </w:rPr>
              <w:t>RHRS</w:t>
            </w:r>
            <w:r w:rsidR="00A22E85" w:rsidRPr="001D6512">
              <w:rPr>
                <w:rStyle w:val="FootnoteReference"/>
                <w:rFonts w:cs="Arial"/>
                <w:b/>
                <w:bCs/>
                <w:color w:val="000000"/>
              </w:rPr>
              <w:footnoteReference w:id="154"/>
            </w:r>
          </w:p>
        </w:tc>
      </w:tr>
      <w:tr w:rsidR="00A22E85" w:rsidRPr="00671152" w:rsidTr="008B435E">
        <w:trPr>
          <w:trHeight w:val="259"/>
        </w:trPr>
        <w:tc>
          <w:tcPr>
            <w:tcW w:w="2093" w:type="pct"/>
            <w:vMerge w:val="restart"/>
            <w:tcBorders>
              <w:top w:val="single" w:sz="4" w:space="0" w:color="auto"/>
              <w:left w:val="single" w:sz="8" w:space="0" w:color="auto"/>
              <w:bottom w:val="single" w:sz="8" w:space="0" w:color="000000"/>
              <w:right w:val="nil"/>
            </w:tcBorders>
            <w:shd w:val="clear" w:color="auto" w:fill="D9D9D9"/>
            <w:vAlign w:val="center"/>
          </w:tcPr>
          <w:p w:rsidR="00A22E85" w:rsidRPr="001D6512" w:rsidRDefault="00A22E85" w:rsidP="00C3606E">
            <w:pPr>
              <w:pStyle w:val="TableCell"/>
              <w:spacing w:before="60" w:after="60"/>
            </w:pPr>
            <w:r w:rsidRPr="001D6512">
              <w:t>Office - Large</w:t>
            </w:r>
          </w:p>
        </w:tc>
        <w:tc>
          <w:tcPr>
            <w:tcW w:w="1930"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A22E85" w:rsidRPr="001D6512" w:rsidRDefault="00A22E85" w:rsidP="00C3606E">
            <w:pPr>
              <w:pStyle w:val="TableCell"/>
              <w:spacing w:before="60" w:after="60"/>
            </w:pPr>
            <w:r w:rsidRPr="001D6512">
              <w:t>Chilled Water Pump</w:t>
            </w:r>
          </w:p>
        </w:tc>
        <w:tc>
          <w:tcPr>
            <w:tcW w:w="976" w:type="pct"/>
            <w:tcBorders>
              <w:top w:val="single" w:sz="4" w:space="0" w:color="auto"/>
              <w:left w:val="nil"/>
              <w:bottom w:val="single" w:sz="4" w:space="0" w:color="auto"/>
              <w:right w:val="single" w:sz="8" w:space="0" w:color="auto"/>
            </w:tcBorders>
            <w:shd w:val="clear" w:color="auto" w:fill="D9D9D9"/>
            <w:noWrap/>
            <w:vAlign w:val="bottom"/>
          </w:tcPr>
          <w:p w:rsidR="00A22E85" w:rsidRPr="001D6512" w:rsidRDefault="00A22E85" w:rsidP="00C3606E">
            <w:pPr>
              <w:pStyle w:val="TableCell"/>
              <w:spacing w:before="60" w:after="60"/>
            </w:pPr>
            <w:r w:rsidRPr="001D6512">
              <w:t>1610</w:t>
            </w:r>
          </w:p>
        </w:tc>
      </w:tr>
      <w:tr w:rsidR="00A22E85" w:rsidRPr="00671152" w:rsidTr="008B435E">
        <w:trPr>
          <w:trHeight w:val="259"/>
        </w:trPr>
        <w:tc>
          <w:tcPr>
            <w:tcW w:w="2093" w:type="pct"/>
            <w:vMerge/>
            <w:tcBorders>
              <w:top w:val="single" w:sz="8" w:space="0" w:color="auto"/>
              <w:left w:val="single" w:sz="8" w:space="0" w:color="auto"/>
              <w:bottom w:val="single" w:sz="8" w:space="0" w:color="000000"/>
              <w:right w:val="nil"/>
            </w:tcBorders>
            <w:shd w:val="clear" w:color="auto" w:fill="D9D9D9"/>
            <w:vAlign w:val="center"/>
          </w:tcPr>
          <w:p w:rsidR="00A22E85" w:rsidRPr="001D6512" w:rsidRDefault="00A22E85" w:rsidP="00C3606E">
            <w:pPr>
              <w:pStyle w:val="TableCell"/>
              <w:spacing w:before="60" w:after="60"/>
            </w:pPr>
          </w:p>
        </w:tc>
        <w:tc>
          <w:tcPr>
            <w:tcW w:w="1930" w:type="pct"/>
            <w:tcBorders>
              <w:top w:val="nil"/>
              <w:left w:val="single" w:sz="4" w:space="0" w:color="auto"/>
              <w:bottom w:val="single" w:sz="4" w:space="0" w:color="auto"/>
              <w:right w:val="single" w:sz="4" w:space="0" w:color="auto"/>
            </w:tcBorders>
            <w:shd w:val="clear" w:color="auto" w:fill="D9D9D9"/>
            <w:noWrap/>
            <w:vAlign w:val="bottom"/>
          </w:tcPr>
          <w:p w:rsidR="00A22E85" w:rsidRPr="001D6512" w:rsidRDefault="00A22E85" w:rsidP="00C3606E">
            <w:pPr>
              <w:pStyle w:val="TableCell"/>
              <w:spacing w:before="60" w:after="60"/>
            </w:pPr>
            <w:r w:rsidRPr="001D6512">
              <w:t>Heating Hot Water Pump</w:t>
            </w:r>
          </w:p>
        </w:tc>
        <w:tc>
          <w:tcPr>
            <w:tcW w:w="976" w:type="pct"/>
            <w:tcBorders>
              <w:top w:val="nil"/>
              <w:left w:val="nil"/>
              <w:bottom w:val="single" w:sz="4" w:space="0" w:color="auto"/>
              <w:right w:val="single" w:sz="8" w:space="0" w:color="auto"/>
            </w:tcBorders>
            <w:shd w:val="clear" w:color="auto" w:fill="D9D9D9"/>
            <w:noWrap/>
            <w:vAlign w:val="bottom"/>
          </w:tcPr>
          <w:p w:rsidR="00A22E85" w:rsidRPr="001D6512" w:rsidRDefault="00A22E85" w:rsidP="00C3606E">
            <w:pPr>
              <w:pStyle w:val="TableCell"/>
              <w:spacing w:before="60" w:after="60"/>
            </w:pPr>
            <w:r w:rsidRPr="001D6512">
              <w:t>4959</w:t>
            </w:r>
          </w:p>
        </w:tc>
      </w:tr>
      <w:tr w:rsidR="00A22E85" w:rsidRPr="00671152" w:rsidTr="008B435E">
        <w:trPr>
          <w:trHeight w:val="259"/>
        </w:trPr>
        <w:tc>
          <w:tcPr>
            <w:tcW w:w="2093" w:type="pct"/>
            <w:vMerge/>
            <w:tcBorders>
              <w:top w:val="single" w:sz="8" w:space="0" w:color="auto"/>
              <w:left w:val="single" w:sz="8" w:space="0" w:color="auto"/>
              <w:bottom w:val="single" w:sz="8" w:space="0" w:color="000000"/>
              <w:right w:val="nil"/>
            </w:tcBorders>
            <w:shd w:val="clear" w:color="auto" w:fill="D9D9D9"/>
            <w:vAlign w:val="center"/>
          </w:tcPr>
          <w:p w:rsidR="00A22E85" w:rsidRPr="001D6512" w:rsidRDefault="00A22E85" w:rsidP="00C3606E">
            <w:pPr>
              <w:pStyle w:val="TableCell"/>
              <w:spacing w:before="60" w:after="60"/>
            </w:pPr>
          </w:p>
        </w:tc>
        <w:tc>
          <w:tcPr>
            <w:tcW w:w="1930" w:type="pct"/>
            <w:tcBorders>
              <w:top w:val="nil"/>
              <w:left w:val="single" w:sz="4" w:space="0" w:color="auto"/>
              <w:bottom w:val="single" w:sz="4" w:space="0" w:color="auto"/>
              <w:right w:val="single" w:sz="4" w:space="0" w:color="auto"/>
            </w:tcBorders>
            <w:shd w:val="clear" w:color="auto" w:fill="D9D9D9"/>
            <w:noWrap/>
            <w:vAlign w:val="bottom"/>
          </w:tcPr>
          <w:p w:rsidR="00A22E85" w:rsidRPr="001D6512" w:rsidRDefault="00A22E85" w:rsidP="00C3606E">
            <w:pPr>
              <w:pStyle w:val="TableCell"/>
              <w:spacing w:before="60" w:after="60"/>
            </w:pPr>
            <w:r w:rsidRPr="001D6512">
              <w:t>Condenser Water Pump</w:t>
            </w:r>
          </w:p>
        </w:tc>
        <w:tc>
          <w:tcPr>
            <w:tcW w:w="976" w:type="pct"/>
            <w:tcBorders>
              <w:top w:val="nil"/>
              <w:left w:val="nil"/>
              <w:bottom w:val="single" w:sz="4" w:space="0" w:color="auto"/>
              <w:right w:val="single" w:sz="8" w:space="0" w:color="auto"/>
            </w:tcBorders>
            <w:shd w:val="clear" w:color="auto" w:fill="D9D9D9"/>
            <w:noWrap/>
            <w:vAlign w:val="bottom"/>
          </w:tcPr>
          <w:p w:rsidR="00A22E85" w:rsidRPr="001D6512" w:rsidRDefault="00A22E85" w:rsidP="00C3606E">
            <w:pPr>
              <w:pStyle w:val="TableCell"/>
              <w:spacing w:before="60" w:after="60"/>
            </w:pPr>
            <w:r w:rsidRPr="001D6512">
              <w:t>1610</w:t>
            </w:r>
          </w:p>
        </w:tc>
      </w:tr>
      <w:tr w:rsidR="00A22E85" w:rsidRPr="00671152" w:rsidTr="008B435E">
        <w:trPr>
          <w:trHeight w:val="259"/>
        </w:trPr>
        <w:tc>
          <w:tcPr>
            <w:tcW w:w="2093" w:type="pct"/>
            <w:vMerge/>
            <w:tcBorders>
              <w:top w:val="single" w:sz="8" w:space="0" w:color="auto"/>
              <w:left w:val="single" w:sz="8" w:space="0" w:color="auto"/>
              <w:bottom w:val="single" w:sz="8" w:space="0" w:color="000000"/>
              <w:right w:val="nil"/>
            </w:tcBorders>
            <w:shd w:val="clear" w:color="auto" w:fill="D9D9D9"/>
            <w:vAlign w:val="center"/>
          </w:tcPr>
          <w:p w:rsidR="00A22E85" w:rsidRPr="001D6512" w:rsidRDefault="00A22E85" w:rsidP="00C3606E">
            <w:pPr>
              <w:pStyle w:val="TableCell"/>
              <w:spacing w:before="60" w:after="60"/>
            </w:pPr>
          </w:p>
        </w:tc>
        <w:tc>
          <w:tcPr>
            <w:tcW w:w="1930" w:type="pct"/>
            <w:tcBorders>
              <w:top w:val="nil"/>
              <w:left w:val="single" w:sz="4" w:space="0" w:color="auto"/>
              <w:bottom w:val="single" w:sz="4" w:space="0" w:color="auto"/>
              <w:right w:val="single" w:sz="4" w:space="0" w:color="auto"/>
            </w:tcBorders>
            <w:shd w:val="clear" w:color="auto" w:fill="D9D9D9"/>
            <w:noWrap/>
            <w:vAlign w:val="bottom"/>
          </w:tcPr>
          <w:p w:rsidR="00A22E85" w:rsidRPr="001D6512" w:rsidRDefault="00A22E85" w:rsidP="00C3606E">
            <w:pPr>
              <w:pStyle w:val="TableCell"/>
              <w:spacing w:before="60" w:after="60"/>
            </w:pPr>
            <w:r w:rsidRPr="001D6512">
              <w:t>HVAC Fan</w:t>
            </w:r>
          </w:p>
        </w:tc>
        <w:tc>
          <w:tcPr>
            <w:tcW w:w="976" w:type="pct"/>
            <w:tcBorders>
              <w:top w:val="nil"/>
              <w:left w:val="nil"/>
              <w:bottom w:val="single" w:sz="4" w:space="0" w:color="auto"/>
              <w:right w:val="single" w:sz="8" w:space="0" w:color="auto"/>
            </w:tcBorders>
            <w:shd w:val="clear" w:color="auto" w:fill="D9D9D9"/>
            <w:noWrap/>
            <w:vAlign w:val="bottom"/>
          </w:tcPr>
          <w:p w:rsidR="00A22E85" w:rsidRPr="001D6512" w:rsidRDefault="00A22E85" w:rsidP="00C3606E">
            <w:pPr>
              <w:pStyle w:val="TableCell"/>
              <w:spacing w:before="60" w:after="60"/>
            </w:pPr>
            <w:r w:rsidRPr="001D6512">
              <w:t>4414</w:t>
            </w:r>
          </w:p>
        </w:tc>
      </w:tr>
      <w:tr w:rsidR="00A22E85" w:rsidRPr="00671152" w:rsidTr="008B435E">
        <w:trPr>
          <w:trHeight w:val="259"/>
        </w:trPr>
        <w:tc>
          <w:tcPr>
            <w:tcW w:w="2093" w:type="pct"/>
            <w:vMerge/>
            <w:tcBorders>
              <w:top w:val="single" w:sz="8" w:space="0" w:color="auto"/>
              <w:left w:val="single" w:sz="8" w:space="0" w:color="auto"/>
              <w:bottom w:val="single" w:sz="8" w:space="0" w:color="000000"/>
              <w:right w:val="nil"/>
            </w:tcBorders>
            <w:shd w:val="clear" w:color="auto" w:fill="D9D9D9"/>
            <w:vAlign w:val="center"/>
          </w:tcPr>
          <w:p w:rsidR="00A22E85" w:rsidRPr="001D6512" w:rsidRDefault="00A22E85" w:rsidP="00C3606E">
            <w:pPr>
              <w:pStyle w:val="TableCell"/>
              <w:spacing w:before="60" w:after="60"/>
            </w:pPr>
          </w:p>
        </w:tc>
        <w:tc>
          <w:tcPr>
            <w:tcW w:w="1930" w:type="pct"/>
            <w:tcBorders>
              <w:top w:val="nil"/>
              <w:left w:val="single" w:sz="4" w:space="0" w:color="auto"/>
              <w:bottom w:val="single" w:sz="8" w:space="0" w:color="auto"/>
              <w:right w:val="single" w:sz="4" w:space="0" w:color="auto"/>
            </w:tcBorders>
            <w:shd w:val="clear" w:color="auto" w:fill="D9D9D9"/>
            <w:noWrap/>
            <w:vAlign w:val="bottom"/>
          </w:tcPr>
          <w:p w:rsidR="00A22E85" w:rsidRPr="001D6512" w:rsidRDefault="00A22E85" w:rsidP="00C3606E">
            <w:pPr>
              <w:pStyle w:val="TableCell"/>
              <w:spacing w:before="60" w:after="60"/>
            </w:pPr>
            <w:r w:rsidRPr="001D6512">
              <w:t>Cooling Tower Fan</w:t>
            </w:r>
          </w:p>
        </w:tc>
        <w:tc>
          <w:tcPr>
            <w:tcW w:w="976" w:type="pct"/>
            <w:tcBorders>
              <w:top w:val="nil"/>
              <w:left w:val="nil"/>
              <w:bottom w:val="single" w:sz="8" w:space="0" w:color="auto"/>
              <w:right w:val="single" w:sz="8" w:space="0" w:color="auto"/>
            </w:tcBorders>
            <w:shd w:val="clear" w:color="auto" w:fill="D9D9D9"/>
            <w:noWrap/>
            <w:vAlign w:val="bottom"/>
          </w:tcPr>
          <w:p w:rsidR="00A22E85" w:rsidRPr="001D6512" w:rsidRDefault="00A22E85" w:rsidP="00C3606E">
            <w:pPr>
              <w:pStyle w:val="TableCell"/>
              <w:spacing w:before="60" w:after="60"/>
            </w:pPr>
            <w:r w:rsidRPr="001D6512">
              <w:t>1032</w:t>
            </w:r>
          </w:p>
        </w:tc>
      </w:tr>
      <w:tr w:rsidR="00A22E85" w:rsidRPr="00671152" w:rsidTr="008B435E">
        <w:trPr>
          <w:trHeight w:val="259"/>
        </w:trPr>
        <w:tc>
          <w:tcPr>
            <w:tcW w:w="2093" w:type="pct"/>
            <w:vMerge w:val="restart"/>
            <w:tcBorders>
              <w:top w:val="nil"/>
              <w:left w:val="single" w:sz="8" w:space="0" w:color="auto"/>
              <w:bottom w:val="single" w:sz="8" w:space="0" w:color="000000"/>
              <w:right w:val="nil"/>
            </w:tcBorders>
            <w:vAlign w:val="center"/>
          </w:tcPr>
          <w:p w:rsidR="00A22E85" w:rsidRPr="001D6512" w:rsidRDefault="00A22E85" w:rsidP="00C3606E">
            <w:pPr>
              <w:pStyle w:val="TableCell"/>
              <w:spacing w:before="60" w:after="60"/>
            </w:pPr>
            <w:r w:rsidRPr="001D6512">
              <w:t>Office - Small</w:t>
            </w:r>
          </w:p>
        </w:tc>
        <w:tc>
          <w:tcPr>
            <w:tcW w:w="1930" w:type="pct"/>
            <w:tcBorders>
              <w:top w:val="nil"/>
              <w:left w:val="single" w:sz="4" w:space="0" w:color="auto"/>
              <w:bottom w:val="single" w:sz="4" w:space="0" w:color="auto"/>
              <w:right w:val="single" w:sz="4" w:space="0" w:color="auto"/>
            </w:tcBorders>
            <w:noWrap/>
            <w:vAlign w:val="bottom"/>
          </w:tcPr>
          <w:p w:rsidR="00A22E85" w:rsidRPr="001D6512" w:rsidRDefault="00A22E85" w:rsidP="00C3606E">
            <w:pPr>
              <w:pStyle w:val="TableCell"/>
              <w:spacing w:before="60" w:after="60"/>
            </w:pPr>
            <w:r w:rsidRPr="001D6512">
              <w:t>Chilled Water Pump</w:t>
            </w:r>
          </w:p>
        </w:tc>
        <w:tc>
          <w:tcPr>
            <w:tcW w:w="976" w:type="pct"/>
            <w:tcBorders>
              <w:top w:val="nil"/>
              <w:left w:val="nil"/>
              <w:bottom w:val="single" w:sz="4" w:space="0" w:color="auto"/>
              <w:right w:val="single" w:sz="8" w:space="0" w:color="auto"/>
            </w:tcBorders>
            <w:noWrap/>
            <w:vAlign w:val="bottom"/>
          </w:tcPr>
          <w:p w:rsidR="00A22E85" w:rsidRPr="001D6512" w:rsidRDefault="00A22E85" w:rsidP="00C3606E">
            <w:pPr>
              <w:pStyle w:val="TableCell"/>
              <w:spacing w:before="60" w:after="60"/>
            </w:pPr>
            <w:r w:rsidRPr="001D6512">
              <w:t>1375</w:t>
            </w:r>
          </w:p>
        </w:tc>
      </w:tr>
      <w:tr w:rsidR="00A22E85" w:rsidRPr="00671152" w:rsidTr="008B435E">
        <w:trPr>
          <w:trHeight w:val="259"/>
        </w:trPr>
        <w:tc>
          <w:tcPr>
            <w:tcW w:w="2093" w:type="pct"/>
            <w:vMerge/>
            <w:tcBorders>
              <w:top w:val="nil"/>
              <w:left w:val="single" w:sz="8" w:space="0" w:color="auto"/>
              <w:bottom w:val="single" w:sz="8" w:space="0" w:color="000000"/>
              <w:right w:val="nil"/>
            </w:tcBorders>
            <w:vAlign w:val="center"/>
          </w:tcPr>
          <w:p w:rsidR="00A22E85" w:rsidRPr="001D6512" w:rsidRDefault="00A22E85" w:rsidP="00C3606E">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D6512" w:rsidRDefault="00A22E85" w:rsidP="00C3606E">
            <w:pPr>
              <w:pStyle w:val="TableCell"/>
              <w:spacing w:before="60" w:after="60"/>
            </w:pPr>
            <w:r w:rsidRPr="001D6512">
              <w:t>Heating Hot Water Pump</w:t>
            </w:r>
          </w:p>
        </w:tc>
        <w:tc>
          <w:tcPr>
            <w:tcW w:w="976" w:type="pct"/>
            <w:tcBorders>
              <w:top w:val="nil"/>
              <w:left w:val="nil"/>
              <w:bottom w:val="single" w:sz="4" w:space="0" w:color="auto"/>
              <w:right w:val="single" w:sz="8" w:space="0" w:color="auto"/>
            </w:tcBorders>
            <w:noWrap/>
            <w:vAlign w:val="bottom"/>
          </w:tcPr>
          <w:p w:rsidR="00A22E85" w:rsidRPr="001D6512" w:rsidRDefault="00A22E85" w:rsidP="00C3606E">
            <w:pPr>
              <w:pStyle w:val="TableCell"/>
              <w:spacing w:before="60" w:after="60"/>
            </w:pPr>
            <w:r w:rsidRPr="001D6512">
              <w:t>4959</w:t>
            </w:r>
          </w:p>
        </w:tc>
      </w:tr>
      <w:tr w:rsidR="00A22E85" w:rsidRPr="00671152" w:rsidTr="008B435E">
        <w:trPr>
          <w:trHeight w:val="259"/>
        </w:trPr>
        <w:tc>
          <w:tcPr>
            <w:tcW w:w="2093" w:type="pct"/>
            <w:vMerge/>
            <w:tcBorders>
              <w:top w:val="nil"/>
              <w:left w:val="single" w:sz="8" w:space="0" w:color="auto"/>
              <w:bottom w:val="single" w:sz="8" w:space="0" w:color="000000"/>
              <w:right w:val="nil"/>
            </w:tcBorders>
            <w:vAlign w:val="center"/>
          </w:tcPr>
          <w:p w:rsidR="00A22E85" w:rsidRPr="001D6512" w:rsidRDefault="00A22E85" w:rsidP="00C3606E">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D6512" w:rsidRDefault="00A22E85" w:rsidP="00C3606E">
            <w:pPr>
              <w:pStyle w:val="TableCell"/>
              <w:spacing w:before="60" w:after="60"/>
            </w:pPr>
            <w:r w:rsidRPr="001D6512">
              <w:t>Condenser Water Pump</w:t>
            </w:r>
          </w:p>
        </w:tc>
        <w:tc>
          <w:tcPr>
            <w:tcW w:w="976" w:type="pct"/>
            <w:tcBorders>
              <w:top w:val="nil"/>
              <w:left w:val="nil"/>
              <w:bottom w:val="single" w:sz="4" w:space="0" w:color="auto"/>
              <w:right w:val="single" w:sz="8" w:space="0" w:color="auto"/>
            </w:tcBorders>
            <w:noWrap/>
            <w:vAlign w:val="bottom"/>
          </w:tcPr>
          <w:p w:rsidR="00A22E85" w:rsidRPr="001D6512" w:rsidRDefault="00A22E85" w:rsidP="00C3606E">
            <w:pPr>
              <w:pStyle w:val="TableCell"/>
              <w:spacing w:before="60" w:after="60"/>
            </w:pPr>
            <w:r w:rsidRPr="001D6512">
              <w:t>1375</w:t>
            </w:r>
          </w:p>
        </w:tc>
      </w:tr>
      <w:tr w:rsidR="00A22E85" w:rsidRPr="00671152" w:rsidTr="008B435E">
        <w:trPr>
          <w:trHeight w:val="259"/>
        </w:trPr>
        <w:tc>
          <w:tcPr>
            <w:tcW w:w="2093" w:type="pct"/>
            <w:vMerge/>
            <w:tcBorders>
              <w:top w:val="nil"/>
              <w:left w:val="single" w:sz="8" w:space="0" w:color="auto"/>
              <w:bottom w:val="single" w:sz="8" w:space="0" w:color="000000"/>
              <w:right w:val="nil"/>
            </w:tcBorders>
            <w:vAlign w:val="center"/>
          </w:tcPr>
          <w:p w:rsidR="00A22E85" w:rsidRPr="001D6512" w:rsidRDefault="00A22E85" w:rsidP="00C3606E">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D6512" w:rsidRDefault="00A22E85" w:rsidP="00C3606E">
            <w:pPr>
              <w:pStyle w:val="TableCell"/>
              <w:spacing w:before="60" w:after="60"/>
            </w:pPr>
            <w:r w:rsidRPr="001D6512">
              <w:t>HVAC Fan</w:t>
            </w:r>
          </w:p>
        </w:tc>
        <w:tc>
          <w:tcPr>
            <w:tcW w:w="976" w:type="pct"/>
            <w:tcBorders>
              <w:top w:val="nil"/>
              <w:left w:val="nil"/>
              <w:bottom w:val="single" w:sz="4" w:space="0" w:color="auto"/>
              <w:right w:val="single" w:sz="8" w:space="0" w:color="auto"/>
            </w:tcBorders>
            <w:noWrap/>
            <w:vAlign w:val="bottom"/>
          </w:tcPr>
          <w:p w:rsidR="00A22E85" w:rsidRPr="001D6512" w:rsidRDefault="00A22E85" w:rsidP="00C3606E">
            <w:pPr>
              <w:pStyle w:val="TableCell"/>
              <w:spacing w:before="60" w:after="60"/>
            </w:pPr>
            <w:r w:rsidRPr="001D6512">
              <w:t>3998</w:t>
            </w:r>
          </w:p>
        </w:tc>
      </w:tr>
      <w:tr w:rsidR="00A22E85" w:rsidRPr="00671152" w:rsidTr="008B435E">
        <w:trPr>
          <w:trHeight w:val="259"/>
        </w:trPr>
        <w:tc>
          <w:tcPr>
            <w:tcW w:w="2093" w:type="pct"/>
            <w:vMerge/>
            <w:tcBorders>
              <w:top w:val="nil"/>
              <w:left w:val="single" w:sz="8" w:space="0" w:color="auto"/>
              <w:bottom w:val="single" w:sz="4" w:space="0" w:color="auto"/>
              <w:right w:val="nil"/>
            </w:tcBorders>
            <w:vAlign w:val="center"/>
          </w:tcPr>
          <w:p w:rsidR="00A22E85" w:rsidRPr="001D6512" w:rsidRDefault="00A22E85" w:rsidP="00C3606E">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D6512" w:rsidRDefault="00A22E85" w:rsidP="00C3606E">
            <w:pPr>
              <w:pStyle w:val="TableCell"/>
              <w:spacing w:before="60" w:after="60"/>
            </w:pPr>
            <w:r w:rsidRPr="001D6512">
              <w:t>Cooling Tower Fan</w:t>
            </w:r>
          </w:p>
        </w:tc>
        <w:tc>
          <w:tcPr>
            <w:tcW w:w="976" w:type="pct"/>
            <w:tcBorders>
              <w:top w:val="nil"/>
              <w:left w:val="nil"/>
              <w:bottom w:val="single" w:sz="4" w:space="0" w:color="auto"/>
              <w:right w:val="single" w:sz="8" w:space="0" w:color="auto"/>
            </w:tcBorders>
            <w:noWrap/>
            <w:vAlign w:val="bottom"/>
          </w:tcPr>
          <w:p w:rsidR="00A22E85" w:rsidRPr="001D6512" w:rsidRDefault="00A22E85" w:rsidP="00C3606E">
            <w:pPr>
              <w:pStyle w:val="TableCell"/>
              <w:spacing w:before="60" w:after="60"/>
            </w:pPr>
            <w:r w:rsidRPr="001D6512">
              <w:t>1032</w:t>
            </w:r>
          </w:p>
        </w:tc>
      </w:tr>
      <w:tr w:rsidR="00A22E85" w:rsidRPr="00671152" w:rsidTr="008B435E">
        <w:trPr>
          <w:trHeight w:val="259"/>
        </w:trPr>
        <w:tc>
          <w:tcPr>
            <w:tcW w:w="2093" w:type="pct"/>
            <w:vMerge w:val="restart"/>
            <w:tcBorders>
              <w:top w:val="single" w:sz="4" w:space="0" w:color="auto"/>
              <w:left w:val="single" w:sz="8" w:space="0" w:color="auto"/>
              <w:bottom w:val="single" w:sz="8" w:space="0" w:color="000000"/>
              <w:right w:val="nil"/>
            </w:tcBorders>
            <w:shd w:val="clear" w:color="auto" w:fill="D9D9D9"/>
            <w:vAlign w:val="center"/>
          </w:tcPr>
          <w:p w:rsidR="00A22E85" w:rsidRPr="001D6512" w:rsidRDefault="00A22E85" w:rsidP="00C3606E">
            <w:pPr>
              <w:pStyle w:val="TableCell"/>
              <w:spacing w:before="60" w:after="60"/>
            </w:pPr>
            <w:r w:rsidRPr="001D6512">
              <w:t xml:space="preserve">Hospitals &amp; Healthcare </w:t>
            </w:r>
          </w:p>
        </w:tc>
        <w:tc>
          <w:tcPr>
            <w:tcW w:w="1930"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A22E85" w:rsidRPr="001D6512" w:rsidRDefault="00A22E85" w:rsidP="00C3606E">
            <w:pPr>
              <w:pStyle w:val="TableCell"/>
              <w:spacing w:before="60" w:after="60"/>
            </w:pPr>
            <w:r w:rsidRPr="001D6512">
              <w:t>Chilled Water Pump</w:t>
            </w:r>
          </w:p>
        </w:tc>
        <w:tc>
          <w:tcPr>
            <w:tcW w:w="976" w:type="pct"/>
            <w:tcBorders>
              <w:top w:val="single" w:sz="4" w:space="0" w:color="auto"/>
              <w:left w:val="nil"/>
              <w:bottom w:val="single" w:sz="4" w:space="0" w:color="auto"/>
              <w:right w:val="single" w:sz="8" w:space="0" w:color="auto"/>
            </w:tcBorders>
            <w:shd w:val="clear" w:color="auto" w:fill="D9D9D9"/>
            <w:noWrap/>
            <w:vAlign w:val="bottom"/>
          </w:tcPr>
          <w:p w:rsidR="00A22E85" w:rsidRPr="001D6512" w:rsidRDefault="00A22E85" w:rsidP="00C3606E">
            <w:pPr>
              <w:pStyle w:val="TableCell"/>
              <w:spacing w:before="60" w:after="60"/>
            </w:pPr>
            <w:r w:rsidRPr="001D6512">
              <w:t>3801</w:t>
            </w:r>
          </w:p>
        </w:tc>
      </w:tr>
      <w:tr w:rsidR="00A22E85" w:rsidRPr="00671152" w:rsidTr="008B435E">
        <w:trPr>
          <w:trHeight w:val="259"/>
        </w:trPr>
        <w:tc>
          <w:tcPr>
            <w:tcW w:w="2093" w:type="pct"/>
            <w:vMerge/>
            <w:tcBorders>
              <w:top w:val="nil"/>
              <w:left w:val="single" w:sz="8" w:space="0" w:color="auto"/>
              <w:bottom w:val="single" w:sz="8" w:space="0" w:color="000000"/>
              <w:right w:val="nil"/>
            </w:tcBorders>
            <w:shd w:val="clear" w:color="auto" w:fill="D9D9D9"/>
            <w:vAlign w:val="center"/>
          </w:tcPr>
          <w:p w:rsidR="00A22E85" w:rsidRPr="001D6512" w:rsidRDefault="00A22E85" w:rsidP="00C3606E">
            <w:pPr>
              <w:pStyle w:val="TableCell"/>
              <w:spacing w:before="60" w:after="60"/>
            </w:pPr>
          </w:p>
        </w:tc>
        <w:tc>
          <w:tcPr>
            <w:tcW w:w="1930" w:type="pct"/>
            <w:tcBorders>
              <w:top w:val="nil"/>
              <w:left w:val="single" w:sz="4" w:space="0" w:color="auto"/>
              <w:bottom w:val="single" w:sz="4" w:space="0" w:color="auto"/>
              <w:right w:val="single" w:sz="4" w:space="0" w:color="auto"/>
            </w:tcBorders>
            <w:shd w:val="clear" w:color="auto" w:fill="D9D9D9"/>
            <w:noWrap/>
            <w:vAlign w:val="bottom"/>
          </w:tcPr>
          <w:p w:rsidR="00A22E85" w:rsidRPr="001D6512" w:rsidRDefault="00A22E85" w:rsidP="00C3606E">
            <w:pPr>
              <w:pStyle w:val="TableCell"/>
              <w:spacing w:before="60" w:after="60"/>
            </w:pPr>
            <w:r w:rsidRPr="001D6512">
              <w:t>Heating Hot Water Pump</w:t>
            </w:r>
          </w:p>
        </w:tc>
        <w:tc>
          <w:tcPr>
            <w:tcW w:w="976" w:type="pct"/>
            <w:tcBorders>
              <w:top w:val="nil"/>
              <w:left w:val="nil"/>
              <w:bottom w:val="single" w:sz="4" w:space="0" w:color="auto"/>
              <w:right w:val="single" w:sz="8" w:space="0" w:color="auto"/>
            </w:tcBorders>
            <w:shd w:val="clear" w:color="auto" w:fill="D9D9D9"/>
            <w:noWrap/>
            <w:vAlign w:val="bottom"/>
          </w:tcPr>
          <w:p w:rsidR="00A22E85" w:rsidRPr="001D6512" w:rsidRDefault="00A22E85" w:rsidP="00C3606E">
            <w:pPr>
              <w:pStyle w:val="TableCell"/>
              <w:spacing w:before="60" w:after="60"/>
            </w:pPr>
            <w:r w:rsidRPr="001D6512">
              <w:t>4959</w:t>
            </w:r>
          </w:p>
        </w:tc>
      </w:tr>
      <w:tr w:rsidR="00A22E85" w:rsidRPr="00671152" w:rsidTr="008B435E">
        <w:trPr>
          <w:trHeight w:val="259"/>
        </w:trPr>
        <w:tc>
          <w:tcPr>
            <w:tcW w:w="2093" w:type="pct"/>
            <w:vMerge/>
            <w:tcBorders>
              <w:top w:val="nil"/>
              <w:left w:val="single" w:sz="8" w:space="0" w:color="auto"/>
              <w:bottom w:val="single" w:sz="8" w:space="0" w:color="000000"/>
              <w:right w:val="nil"/>
            </w:tcBorders>
            <w:shd w:val="clear" w:color="auto" w:fill="D9D9D9"/>
            <w:vAlign w:val="center"/>
          </w:tcPr>
          <w:p w:rsidR="00A22E85" w:rsidRPr="001D6512" w:rsidRDefault="00A22E85" w:rsidP="00C3606E">
            <w:pPr>
              <w:pStyle w:val="TableCell"/>
              <w:spacing w:before="60" w:after="60"/>
            </w:pPr>
          </w:p>
        </w:tc>
        <w:tc>
          <w:tcPr>
            <w:tcW w:w="1930" w:type="pct"/>
            <w:tcBorders>
              <w:top w:val="nil"/>
              <w:left w:val="single" w:sz="4" w:space="0" w:color="auto"/>
              <w:bottom w:val="single" w:sz="4" w:space="0" w:color="auto"/>
              <w:right w:val="single" w:sz="4" w:space="0" w:color="auto"/>
            </w:tcBorders>
            <w:shd w:val="clear" w:color="auto" w:fill="D9D9D9"/>
            <w:noWrap/>
            <w:vAlign w:val="bottom"/>
          </w:tcPr>
          <w:p w:rsidR="00A22E85" w:rsidRPr="001D6512" w:rsidRDefault="00A22E85" w:rsidP="00C3606E">
            <w:pPr>
              <w:pStyle w:val="TableCell"/>
              <w:spacing w:before="60" w:after="60"/>
            </w:pPr>
            <w:r w:rsidRPr="001D6512">
              <w:t>Condenser Water Pump</w:t>
            </w:r>
          </w:p>
        </w:tc>
        <w:tc>
          <w:tcPr>
            <w:tcW w:w="976" w:type="pct"/>
            <w:tcBorders>
              <w:top w:val="nil"/>
              <w:left w:val="nil"/>
              <w:bottom w:val="single" w:sz="4" w:space="0" w:color="auto"/>
              <w:right w:val="single" w:sz="8" w:space="0" w:color="auto"/>
            </w:tcBorders>
            <w:shd w:val="clear" w:color="auto" w:fill="D9D9D9"/>
            <w:noWrap/>
            <w:vAlign w:val="bottom"/>
          </w:tcPr>
          <w:p w:rsidR="00A22E85" w:rsidRPr="001D6512" w:rsidRDefault="00A22E85" w:rsidP="00C3606E">
            <w:pPr>
              <w:pStyle w:val="TableCell"/>
              <w:spacing w:before="60" w:after="60"/>
            </w:pPr>
            <w:r w:rsidRPr="001D6512">
              <w:t>3801</w:t>
            </w:r>
          </w:p>
        </w:tc>
      </w:tr>
      <w:tr w:rsidR="00A22E85" w:rsidRPr="00671152" w:rsidTr="008B435E">
        <w:trPr>
          <w:trHeight w:val="259"/>
        </w:trPr>
        <w:tc>
          <w:tcPr>
            <w:tcW w:w="2093" w:type="pct"/>
            <w:vMerge/>
            <w:tcBorders>
              <w:top w:val="nil"/>
              <w:left w:val="single" w:sz="8" w:space="0" w:color="auto"/>
              <w:bottom w:val="single" w:sz="8" w:space="0" w:color="000000"/>
              <w:right w:val="nil"/>
            </w:tcBorders>
            <w:shd w:val="clear" w:color="auto" w:fill="D9D9D9"/>
            <w:vAlign w:val="center"/>
          </w:tcPr>
          <w:p w:rsidR="00A22E85" w:rsidRPr="001D6512" w:rsidRDefault="00A22E85" w:rsidP="00C3606E">
            <w:pPr>
              <w:pStyle w:val="TableCell"/>
              <w:spacing w:before="60" w:after="60"/>
            </w:pPr>
          </w:p>
        </w:tc>
        <w:tc>
          <w:tcPr>
            <w:tcW w:w="1930" w:type="pct"/>
            <w:tcBorders>
              <w:top w:val="nil"/>
              <w:left w:val="single" w:sz="4" w:space="0" w:color="auto"/>
              <w:bottom w:val="single" w:sz="4" w:space="0" w:color="auto"/>
              <w:right w:val="single" w:sz="4" w:space="0" w:color="auto"/>
            </w:tcBorders>
            <w:shd w:val="clear" w:color="auto" w:fill="D9D9D9"/>
            <w:noWrap/>
            <w:vAlign w:val="bottom"/>
          </w:tcPr>
          <w:p w:rsidR="00A22E85" w:rsidRPr="001D6512" w:rsidRDefault="00A22E85" w:rsidP="00C3606E">
            <w:pPr>
              <w:pStyle w:val="TableCell"/>
              <w:spacing w:before="60" w:after="60"/>
            </w:pPr>
            <w:r w:rsidRPr="001D6512">
              <w:t>HVAC Fan</w:t>
            </w:r>
          </w:p>
        </w:tc>
        <w:tc>
          <w:tcPr>
            <w:tcW w:w="976" w:type="pct"/>
            <w:tcBorders>
              <w:top w:val="nil"/>
              <w:left w:val="nil"/>
              <w:bottom w:val="single" w:sz="4" w:space="0" w:color="auto"/>
              <w:right w:val="single" w:sz="8" w:space="0" w:color="auto"/>
            </w:tcBorders>
            <w:shd w:val="clear" w:color="auto" w:fill="D9D9D9"/>
            <w:noWrap/>
            <w:vAlign w:val="bottom"/>
          </w:tcPr>
          <w:p w:rsidR="00A22E85" w:rsidRPr="001D6512" w:rsidRDefault="00A22E85" w:rsidP="00C3606E">
            <w:pPr>
              <w:pStyle w:val="TableCell"/>
              <w:spacing w:before="60" w:after="60"/>
            </w:pPr>
            <w:r w:rsidRPr="001D6512">
              <w:t>7243</w:t>
            </w:r>
          </w:p>
        </w:tc>
      </w:tr>
      <w:tr w:rsidR="00A22E85" w:rsidRPr="00671152" w:rsidTr="008B435E">
        <w:trPr>
          <w:trHeight w:val="259"/>
        </w:trPr>
        <w:tc>
          <w:tcPr>
            <w:tcW w:w="2093" w:type="pct"/>
            <w:vMerge/>
            <w:tcBorders>
              <w:top w:val="nil"/>
              <w:left w:val="single" w:sz="8" w:space="0" w:color="auto"/>
              <w:bottom w:val="single" w:sz="8" w:space="0" w:color="000000"/>
              <w:right w:val="nil"/>
            </w:tcBorders>
            <w:shd w:val="clear" w:color="auto" w:fill="D9D9D9"/>
            <w:vAlign w:val="center"/>
          </w:tcPr>
          <w:p w:rsidR="00A22E85" w:rsidRPr="001D6512" w:rsidRDefault="00A22E85" w:rsidP="00C3606E">
            <w:pPr>
              <w:pStyle w:val="TableCell"/>
              <w:spacing w:before="60" w:after="60"/>
            </w:pPr>
          </w:p>
        </w:tc>
        <w:tc>
          <w:tcPr>
            <w:tcW w:w="1930" w:type="pct"/>
            <w:tcBorders>
              <w:top w:val="nil"/>
              <w:left w:val="single" w:sz="4" w:space="0" w:color="auto"/>
              <w:bottom w:val="single" w:sz="8" w:space="0" w:color="auto"/>
              <w:right w:val="single" w:sz="4" w:space="0" w:color="auto"/>
            </w:tcBorders>
            <w:shd w:val="clear" w:color="auto" w:fill="D9D9D9"/>
            <w:noWrap/>
            <w:vAlign w:val="bottom"/>
          </w:tcPr>
          <w:p w:rsidR="00A22E85" w:rsidRPr="001D6512" w:rsidRDefault="00A22E85" w:rsidP="00C3606E">
            <w:pPr>
              <w:pStyle w:val="TableCell"/>
              <w:spacing w:before="60" w:after="60"/>
            </w:pPr>
            <w:r w:rsidRPr="001D6512">
              <w:t>Cooling Tower Fan</w:t>
            </w:r>
          </w:p>
        </w:tc>
        <w:tc>
          <w:tcPr>
            <w:tcW w:w="976" w:type="pct"/>
            <w:tcBorders>
              <w:top w:val="nil"/>
              <w:left w:val="nil"/>
              <w:bottom w:val="single" w:sz="8" w:space="0" w:color="auto"/>
              <w:right w:val="single" w:sz="8" w:space="0" w:color="auto"/>
            </w:tcBorders>
            <w:shd w:val="clear" w:color="auto" w:fill="D9D9D9"/>
            <w:noWrap/>
            <w:vAlign w:val="bottom"/>
          </w:tcPr>
          <w:p w:rsidR="00A22E85" w:rsidRPr="001D6512" w:rsidRDefault="00A22E85" w:rsidP="00C3606E">
            <w:pPr>
              <w:pStyle w:val="TableCell"/>
              <w:spacing w:before="60" w:after="60"/>
            </w:pPr>
            <w:r w:rsidRPr="001D6512">
              <w:t>1032</w:t>
            </w:r>
          </w:p>
        </w:tc>
      </w:tr>
      <w:tr w:rsidR="00A22E85" w:rsidRPr="00671152" w:rsidTr="008B435E">
        <w:trPr>
          <w:trHeight w:val="259"/>
        </w:trPr>
        <w:tc>
          <w:tcPr>
            <w:tcW w:w="2093" w:type="pct"/>
            <w:vMerge w:val="restart"/>
            <w:tcBorders>
              <w:top w:val="nil"/>
              <w:left w:val="single" w:sz="8" w:space="0" w:color="auto"/>
              <w:bottom w:val="single" w:sz="8" w:space="0" w:color="000000"/>
              <w:right w:val="nil"/>
            </w:tcBorders>
            <w:vAlign w:val="center"/>
          </w:tcPr>
          <w:p w:rsidR="00A22E85" w:rsidRPr="001D6512" w:rsidRDefault="00A22E85" w:rsidP="00C3606E">
            <w:pPr>
              <w:pStyle w:val="TableCell"/>
              <w:spacing w:before="60" w:after="60"/>
            </w:pPr>
            <w:r w:rsidRPr="001D6512">
              <w:t>Education - K-12</w:t>
            </w:r>
          </w:p>
        </w:tc>
        <w:tc>
          <w:tcPr>
            <w:tcW w:w="1930" w:type="pct"/>
            <w:tcBorders>
              <w:top w:val="nil"/>
              <w:left w:val="single" w:sz="4" w:space="0" w:color="auto"/>
              <w:bottom w:val="single" w:sz="4" w:space="0" w:color="auto"/>
              <w:right w:val="single" w:sz="4" w:space="0" w:color="auto"/>
            </w:tcBorders>
            <w:noWrap/>
            <w:vAlign w:val="bottom"/>
          </w:tcPr>
          <w:p w:rsidR="00A22E85" w:rsidRPr="001D6512" w:rsidRDefault="00A22E85" w:rsidP="00C3606E">
            <w:pPr>
              <w:pStyle w:val="TableCell"/>
              <w:spacing w:before="60" w:after="60"/>
            </w:pPr>
            <w:r w:rsidRPr="001D6512">
              <w:t>Chilled Water Pump</w:t>
            </w:r>
          </w:p>
        </w:tc>
        <w:tc>
          <w:tcPr>
            <w:tcW w:w="976" w:type="pct"/>
            <w:tcBorders>
              <w:top w:val="nil"/>
              <w:left w:val="nil"/>
              <w:bottom w:val="single" w:sz="4" w:space="0" w:color="auto"/>
              <w:right w:val="single" w:sz="8" w:space="0" w:color="auto"/>
            </w:tcBorders>
            <w:noWrap/>
            <w:vAlign w:val="bottom"/>
          </w:tcPr>
          <w:p w:rsidR="00A22E85" w:rsidRPr="001D6512" w:rsidRDefault="00A22E85" w:rsidP="00C3606E">
            <w:pPr>
              <w:pStyle w:val="TableCell"/>
              <w:spacing w:before="60" w:after="60"/>
            </w:pPr>
            <w:r w:rsidRPr="001D6512">
              <w:t>1444</w:t>
            </w:r>
          </w:p>
        </w:tc>
      </w:tr>
      <w:tr w:rsidR="00A22E85" w:rsidRPr="00671152" w:rsidTr="008B435E">
        <w:trPr>
          <w:trHeight w:val="259"/>
        </w:trPr>
        <w:tc>
          <w:tcPr>
            <w:tcW w:w="2093" w:type="pct"/>
            <w:vMerge/>
            <w:tcBorders>
              <w:top w:val="nil"/>
              <w:left w:val="single" w:sz="8" w:space="0" w:color="auto"/>
              <w:bottom w:val="single" w:sz="8" w:space="0" w:color="000000"/>
              <w:right w:val="nil"/>
            </w:tcBorders>
            <w:vAlign w:val="center"/>
          </w:tcPr>
          <w:p w:rsidR="00A22E85" w:rsidRPr="001D6512" w:rsidRDefault="00A22E85" w:rsidP="00C3606E">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D6512" w:rsidRDefault="00A22E85" w:rsidP="00C3606E">
            <w:pPr>
              <w:pStyle w:val="TableCell"/>
              <w:spacing w:before="60" w:after="60"/>
            </w:pPr>
            <w:r w:rsidRPr="001D6512">
              <w:t>Heating Hot Water Pump</w:t>
            </w:r>
          </w:p>
        </w:tc>
        <w:tc>
          <w:tcPr>
            <w:tcW w:w="976" w:type="pct"/>
            <w:tcBorders>
              <w:top w:val="nil"/>
              <w:left w:val="nil"/>
              <w:bottom w:val="single" w:sz="4" w:space="0" w:color="auto"/>
              <w:right w:val="single" w:sz="8" w:space="0" w:color="auto"/>
            </w:tcBorders>
            <w:noWrap/>
            <w:vAlign w:val="bottom"/>
          </w:tcPr>
          <w:p w:rsidR="00A22E85" w:rsidRPr="001D6512" w:rsidRDefault="00A22E85" w:rsidP="00C3606E">
            <w:pPr>
              <w:pStyle w:val="TableCell"/>
              <w:spacing w:before="60" w:after="60"/>
            </w:pPr>
            <w:r w:rsidRPr="001D6512">
              <w:t>4959</w:t>
            </w:r>
          </w:p>
        </w:tc>
      </w:tr>
      <w:tr w:rsidR="00A22E85" w:rsidRPr="00671152" w:rsidTr="008B435E">
        <w:trPr>
          <w:trHeight w:val="259"/>
        </w:trPr>
        <w:tc>
          <w:tcPr>
            <w:tcW w:w="2093" w:type="pct"/>
            <w:vMerge/>
            <w:tcBorders>
              <w:top w:val="nil"/>
              <w:left w:val="single" w:sz="8" w:space="0" w:color="auto"/>
              <w:bottom w:val="single" w:sz="8" w:space="0" w:color="000000"/>
              <w:right w:val="nil"/>
            </w:tcBorders>
            <w:vAlign w:val="center"/>
          </w:tcPr>
          <w:p w:rsidR="00A22E85" w:rsidRPr="001D6512" w:rsidRDefault="00A22E85" w:rsidP="00C3606E">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D6512" w:rsidRDefault="00A22E85" w:rsidP="00C3606E">
            <w:pPr>
              <w:pStyle w:val="TableCell"/>
              <w:spacing w:before="60" w:after="60"/>
            </w:pPr>
            <w:r w:rsidRPr="001D6512">
              <w:t>Condenser Water Pump</w:t>
            </w:r>
          </w:p>
        </w:tc>
        <w:tc>
          <w:tcPr>
            <w:tcW w:w="976" w:type="pct"/>
            <w:tcBorders>
              <w:top w:val="nil"/>
              <w:left w:val="nil"/>
              <w:bottom w:val="single" w:sz="4" w:space="0" w:color="auto"/>
              <w:right w:val="single" w:sz="8" w:space="0" w:color="auto"/>
            </w:tcBorders>
            <w:noWrap/>
            <w:vAlign w:val="bottom"/>
          </w:tcPr>
          <w:p w:rsidR="00A22E85" w:rsidRPr="001D6512" w:rsidRDefault="00A22E85" w:rsidP="00C3606E">
            <w:pPr>
              <w:pStyle w:val="TableCell"/>
              <w:spacing w:before="60" w:after="60"/>
            </w:pPr>
            <w:r w:rsidRPr="001D6512">
              <w:t>1444</w:t>
            </w:r>
          </w:p>
        </w:tc>
      </w:tr>
      <w:tr w:rsidR="00A22E85" w:rsidRPr="00671152" w:rsidTr="008B435E">
        <w:trPr>
          <w:trHeight w:val="259"/>
        </w:trPr>
        <w:tc>
          <w:tcPr>
            <w:tcW w:w="2093" w:type="pct"/>
            <w:vMerge/>
            <w:tcBorders>
              <w:top w:val="nil"/>
              <w:left w:val="single" w:sz="8" w:space="0" w:color="auto"/>
              <w:bottom w:val="single" w:sz="8" w:space="0" w:color="000000"/>
              <w:right w:val="nil"/>
            </w:tcBorders>
            <w:vAlign w:val="center"/>
          </w:tcPr>
          <w:p w:rsidR="00A22E85" w:rsidRPr="001D6512" w:rsidRDefault="00A22E85" w:rsidP="00C3606E">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D6512" w:rsidRDefault="00A22E85" w:rsidP="00C3606E">
            <w:pPr>
              <w:pStyle w:val="TableCell"/>
              <w:spacing w:before="60" w:after="60"/>
            </w:pPr>
            <w:r w:rsidRPr="001D6512">
              <w:t>HVAC Fan</w:t>
            </w:r>
          </w:p>
        </w:tc>
        <w:tc>
          <w:tcPr>
            <w:tcW w:w="976" w:type="pct"/>
            <w:tcBorders>
              <w:top w:val="nil"/>
              <w:left w:val="nil"/>
              <w:bottom w:val="single" w:sz="4" w:space="0" w:color="auto"/>
              <w:right w:val="single" w:sz="8" w:space="0" w:color="auto"/>
            </w:tcBorders>
            <w:noWrap/>
            <w:vAlign w:val="bottom"/>
          </w:tcPr>
          <w:p w:rsidR="00A22E85" w:rsidRPr="001D6512" w:rsidRDefault="00A22E85" w:rsidP="00C3606E">
            <w:pPr>
              <w:pStyle w:val="TableCell"/>
              <w:spacing w:before="60" w:after="60"/>
            </w:pPr>
            <w:r w:rsidRPr="001D6512">
              <w:t>4165</w:t>
            </w:r>
          </w:p>
        </w:tc>
      </w:tr>
      <w:tr w:rsidR="00A22E85" w:rsidRPr="00671152" w:rsidTr="008B435E">
        <w:trPr>
          <w:trHeight w:val="259"/>
        </w:trPr>
        <w:tc>
          <w:tcPr>
            <w:tcW w:w="2093" w:type="pct"/>
            <w:vMerge/>
            <w:tcBorders>
              <w:top w:val="nil"/>
              <w:left w:val="single" w:sz="8" w:space="0" w:color="auto"/>
              <w:bottom w:val="single" w:sz="4" w:space="0" w:color="auto"/>
              <w:right w:val="nil"/>
            </w:tcBorders>
            <w:vAlign w:val="center"/>
          </w:tcPr>
          <w:p w:rsidR="00A22E85" w:rsidRPr="001D6512" w:rsidRDefault="00A22E85" w:rsidP="00C3606E">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D6512" w:rsidRDefault="00A22E85" w:rsidP="00C3606E">
            <w:pPr>
              <w:pStyle w:val="TableCell"/>
              <w:spacing w:before="60" w:after="60"/>
            </w:pPr>
            <w:r w:rsidRPr="001D6512">
              <w:t>Cooling Tower Fan</w:t>
            </w:r>
          </w:p>
        </w:tc>
        <w:tc>
          <w:tcPr>
            <w:tcW w:w="976" w:type="pct"/>
            <w:tcBorders>
              <w:top w:val="nil"/>
              <w:left w:val="nil"/>
              <w:bottom w:val="single" w:sz="4" w:space="0" w:color="auto"/>
              <w:right w:val="single" w:sz="8" w:space="0" w:color="auto"/>
            </w:tcBorders>
            <w:noWrap/>
            <w:vAlign w:val="bottom"/>
          </w:tcPr>
          <w:p w:rsidR="00A22E85" w:rsidRPr="001D6512" w:rsidRDefault="00A22E85" w:rsidP="00C3606E">
            <w:pPr>
              <w:pStyle w:val="TableCell"/>
              <w:spacing w:before="60" w:after="60"/>
            </w:pPr>
            <w:r w:rsidRPr="001D6512">
              <w:t>1032</w:t>
            </w:r>
          </w:p>
        </w:tc>
      </w:tr>
      <w:tr w:rsidR="00A22E85" w:rsidRPr="00671152" w:rsidTr="008B435E">
        <w:trPr>
          <w:trHeight w:val="259"/>
        </w:trPr>
        <w:tc>
          <w:tcPr>
            <w:tcW w:w="2093" w:type="pct"/>
            <w:vMerge w:val="restart"/>
            <w:tcBorders>
              <w:top w:val="single" w:sz="4" w:space="0" w:color="auto"/>
              <w:left w:val="single" w:sz="8" w:space="0" w:color="auto"/>
              <w:bottom w:val="single" w:sz="8" w:space="0" w:color="000000"/>
              <w:right w:val="nil"/>
            </w:tcBorders>
            <w:shd w:val="clear" w:color="auto" w:fill="D9D9D9"/>
            <w:vAlign w:val="center"/>
          </w:tcPr>
          <w:p w:rsidR="00A22E85" w:rsidRPr="001D6512" w:rsidRDefault="00A22E85" w:rsidP="00C3606E">
            <w:pPr>
              <w:pStyle w:val="TableCell"/>
              <w:keepNext w:val="0"/>
              <w:spacing w:before="60" w:after="60"/>
            </w:pPr>
            <w:r w:rsidRPr="001D6512">
              <w:t>Education - College &amp; University</w:t>
            </w:r>
          </w:p>
        </w:tc>
        <w:tc>
          <w:tcPr>
            <w:tcW w:w="1930"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A22E85" w:rsidRPr="001D6512" w:rsidRDefault="00A22E85" w:rsidP="00C3606E">
            <w:pPr>
              <w:pStyle w:val="TableCell"/>
              <w:keepNext w:val="0"/>
              <w:spacing w:before="60" w:after="60"/>
            </w:pPr>
            <w:r w:rsidRPr="001D6512">
              <w:t>Chilled Water Pump</w:t>
            </w:r>
          </w:p>
        </w:tc>
        <w:tc>
          <w:tcPr>
            <w:tcW w:w="976" w:type="pct"/>
            <w:tcBorders>
              <w:top w:val="single" w:sz="4" w:space="0" w:color="auto"/>
              <w:left w:val="nil"/>
              <w:bottom w:val="single" w:sz="4" w:space="0" w:color="auto"/>
              <w:right w:val="single" w:sz="8" w:space="0" w:color="auto"/>
            </w:tcBorders>
            <w:shd w:val="clear" w:color="auto" w:fill="D9D9D9"/>
            <w:noWrap/>
            <w:vAlign w:val="bottom"/>
          </w:tcPr>
          <w:p w:rsidR="00A22E85" w:rsidRPr="001D6512" w:rsidRDefault="00A22E85" w:rsidP="00C3606E">
            <w:pPr>
              <w:pStyle w:val="TableCell"/>
              <w:keepNext w:val="0"/>
              <w:spacing w:before="60" w:after="60"/>
            </w:pPr>
            <w:r w:rsidRPr="001D6512">
              <w:t>1718</w:t>
            </w:r>
          </w:p>
        </w:tc>
      </w:tr>
      <w:tr w:rsidR="00A22E85" w:rsidRPr="00671152" w:rsidTr="008B435E">
        <w:trPr>
          <w:trHeight w:val="259"/>
        </w:trPr>
        <w:tc>
          <w:tcPr>
            <w:tcW w:w="2093" w:type="pct"/>
            <w:vMerge/>
            <w:tcBorders>
              <w:top w:val="nil"/>
              <w:left w:val="single" w:sz="8" w:space="0" w:color="auto"/>
              <w:bottom w:val="single" w:sz="8" w:space="0" w:color="000000"/>
              <w:right w:val="nil"/>
            </w:tcBorders>
            <w:shd w:val="clear" w:color="auto" w:fill="D9D9D9"/>
            <w:vAlign w:val="center"/>
          </w:tcPr>
          <w:p w:rsidR="00A22E85" w:rsidRPr="001D6512" w:rsidRDefault="00A22E85" w:rsidP="00C3606E">
            <w:pPr>
              <w:pStyle w:val="TableCell"/>
              <w:keepNext w:val="0"/>
              <w:spacing w:before="60" w:after="60"/>
            </w:pPr>
          </w:p>
        </w:tc>
        <w:tc>
          <w:tcPr>
            <w:tcW w:w="1930" w:type="pct"/>
            <w:tcBorders>
              <w:top w:val="nil"/>
              <w:left w:val="single" w:sz="4" w:space="0" w:color="auto"/>
              <w:bottom w:val="single" w:sz="4" w:space="0" w:color="auto"/>
              <w:right w:val="single" w:sz="4" w:space="0" w:color="auto"/>
            </w:tcBorders>
            <w:shd w:val="clear" w:color="auto" w:fill="D9D9D9"/>
            <w:noWrap/>
            <w:vAlign w:val="bottom"/>
          </w:tcPr>
          <w:p w:rsidR="00A22E85" w:rsidRPr="001D6512" w:rsidRDefault="00A22E85" w:rsidP="00C3606E">
            <w:pPr>
              <w:pStyle w:val="TableCell"/>
              <w:keepNext w:val="0"/>
              <w:spacing w:before="60" w:after="60"/>
            </w:pPr>
            <w:r w:rsidRPr="001D6512">
              <w:t>Heating Hot Water Pump</w:t>
            </w:r>
          </w:p>
        </w:tc>
        <w:tc>
          <w:tcPr>
            <w:tcW w:w="976" w:type="pct"/>
            <w:tcBorders>
              <w:top w:val="nil"/>
              <w:left w:val="nil"/>
              <w:bottom w:val="single" w:sz="4" w:space="0" w:color="auto"/>
              <w:right w:val="single" w:sz="8" w:space="0" w:color="auto"/>
            </w:tcBorders>
            <w:shd w:val="clear" w:color="auto" w:fill="D9D9D9"/>
            <w:noWrap/>
            <w:vAlign w:val="bottom"/>
          </w:tcPr>
          <w:p w:rsidR="00A22E85" w:rsidRPr="001D6512" w:rsidRDefault="00A22E85" w:rsidP="00C3606E">
            <w:pPr>
              <w:pStyle w:val="TableCell"/>
              <w:keepNext w:val="0"/>
              <w:spacing w:before="60" w:after="60"/>
            </w:pPr>
            <w:r w:rsidRPr="001D6512">
              <w:t>4959</w:t>
            </w:r>
          </w:p>
        </w:tc>
      </w:tr>
      <w:tr w:rsidR="00A22E85" w:rsidRPr="00671152" w:rsidTr="008B435E">
        <w:trPr>
          <w:trHeight w:val="259"/>
        </w:trPr>
        <w:tc>
          <w:tcPr>
            <w:tcW w:w="2093" w:type="pct"/>
            <w:vMerge/>
            <w:tcBorders>
              <w:top w:val="nil"/>
              <w:left w:val="single" w:sz="8" w:space="0" w:color="auto"/>
              <w:bottom w:val="single" w:sz="8" w:space="0" w:color="000000"/>
              <w:right w:val="nil"/>
            </w:tcBorders>
            <w:shd w:val="clear" w:color="auto" w:fill="D9D9D9"/>
            <w:vAlign w:val="center"/>
          </w:tcPr>
          <w:p w:rsidR="00A22E85" w:rsidRPr="001D6512" w:rsidRDefault="00A22E85" w:rsidP="00C3606E">
            <w:pPr>
              <w:pStyle w:val="TableCell"/>
              <w:keepNext w:val="0"/>
              <w:spacing w:before="60" w:after="60"/>
            </w:pPr>
          </w:p>
        </w:tc>
        <w:tc>
          <w:tcPr>
            <w:tcW w:w="1930" w:type="pct"/>
            <w:tcBorders>
              <w:top w:val="nil"/>
              <w:left w:val="single" w:sz="4" w:space="0" w:color="auto"/>
              <w:bottom w:val="single" w:sz="4" w:space="0" w:color="auto"/>
              <w:right w:val="single" w:sz="4" w:space="0" w:color="auto"/>
            </w:tcBorders>
            <w:shd w:val="clear" w:color="auto" w:fill="D9D9D9"/>
            <w:noWrap/>
            <w:vAlign w:val="bottom"/>
          </w:tcPr>
          <w:p w:rsidR="00A22E85" w:rsidRPr="001D6512" w:rsidRDefault="00A22E85" w:rsidP="00C3606E">
            <w:pPr>
              <w:pStyle w:val="TableCell"/>
              <w:keepNext w:val="0"/>
              <w:spacing w:before="60" w:after="60"/>
            </w:pPr>
            <w:r w:rsidRPr="001D6512">
              <w:t>Condenser Water Pump</w:t>
            </w:r>
          </w:p>
        </w:tc>
        <w:tc>
          <w:tcPr>
            <w:tcW w:w="976" w:type="pct"/>
            <w:tcBorders>
              <w:top w:val="nil"/>
              <w:left w:val="nil"/>
              <w:bottom w:val="single" w:sz="4" w:space="0" w:color="auto"/>
              <w:right w:val="single" w:sz="8" w:space="0" w:color="auto"/>
            </w:tcBorders>
            <w:shd w:val="clear" w:color="auto" w:fill="D9D9D9"/>
            <w:noWrap/>
            <w:vAlign w:val="bottom"/>
          </w:tcPr>
          <w:p w:rsidR="00A22E85" w:rsidRPr="001D6512" w:rsidRDefault="00A22E85" w:rsidP="00C3606E">
            <w:pPr>
              <w:pStyle w:val="TableCell"/>
              <w:keepNext w:val="0"/>
              <w:spacing w:before="60" w:after="60"/>
            </w:pPr>
            <w:r w:rsidRPr="001D6512">
              <w:t>1718</w:t>
            </w:r>
          </w:p>
        </w:tc>
      </w:tr>
      <w:tr w:rsidR="00A22E85" w:rsidRPr="00671152" w:rsidTr="008B435E">
        <w:trPr>
          <w:trHeight w:val="259"/>
        </w:trPr>
        <w:tc>
          <w:tcPr>
            <w:tcW w:w="2093" w:type="pct"/>
            <w:vMerge/>
            <w:tcBorders>
              <w:top w:val="nil"/>
              <w:left w:val="single" w:sz="8" w:space="0" w:color="auto"/>
              <w:bottom w:val="single" w:sz="8" w:space="0" w:color="000000"/>
              <w:right w:val="nil"/>
            </w:tcBorders>
            <w:shd w:val="clear" w:color="auto" w:fill="D9D9D9"/>
            <w:vAlign w:val="center"/>
          </w:tcPr>
          <w:p w:rsidR="00A22E85" w:rsidRPr="001D6512" w:rsidRDefault="00A22E85" w:rsidP="00C3606E">
            <w:pPr>
              <w:pStyle w:val="TableCell"/>
              <w:keepNext w:val="0"/>
              <w:spacing w:before="60" w:after="60"/>
            </w:pPr>
          </w:p>
        </w:tc>
        <w:tc>
          <w:tcPr>
            <w:tcW w:w="1930" w:type="pct"/>
            <w:tcBorders>
              <w:top w:val="nil"/>
              <w:left w:val="single" w:sz="4" w:space="0" w:color="auto"/>
              <w:bottom w:val="single" w:sz="4" w:space="0" w:color="auto"/>
              <w:right w:val="single" w:sz="4" w:space="0" w:color="auto"/>
            </w:tcBorders>
            <w:shd w:val="clear" w:color="auto" w:fill="D9D9D9"/>
            <w:noWrap/>
            <w:vAlign w:val="bottom"/>
          </w:tcPr>
          <w:p w:rsidR="00A22E85" w:rsidRPr="001D6512" w:rsidRDefault="00A22E85" w:rsidP="00C3606E">
            <w:pPr>
              <w:pStyle w:val="TableCell"/>
              <w:keepNext w:val="0"/>
              <w:spacing w:before="60" w:after="60"/>
            </w:pPr>
            <w:r w:rsidRPr="001D6512">
              <w:t>HVAC Fan</w:t>
            </w:r>
          </w:p>
        </w:tc>
        <w:tc>
          <w:tcPr>
            <w:tcW w:w="976" w:type="pct"/>
            <w:tcBorders>
              <w:top w:val="nil"/>
              <w:left w:val="nil"/>
              <w:bottom w:val="single" w:sz="4" w:space="0" w:color="auto"/>
              <w:right w:val="single" w:sz="8" w:space="0" w:color="auto"/>
            </w:tcBorders>
            <w:shd w:val="clear" w:color="auto" w:fill="D9D9D9"/>
            <w:noWrap/>
            <w:vAlign w:val="bottom"/>
          </w:tcPr>
          <w:p w:rsidR="00A22E85" w:rsidRPr="001D6512" w:rsidRDefault="00A22E85" w:rsidP="00C3606E">
            <w:pPr>
              <w:pStyle w:val="TableCell"/>
              <w:keepNext w:val="0"/>
              <w:spacing w:before="60" w:after="60"/>
            </w:pPr>
            <w:r w:rsidRPr="001D6512">
              <w:t>4581</w:t>
            </w:r>
          </w:p>
        </w:tc>
      </w:tr>
      <w:tr w:rsidR="00A22E85" w:rsidRPr="00671152" w:rsidTr="008B435E">
        <w:trPr>
          <w:trHeight w:val="259"/>
        </w:trPr>
        <w:tc>
          <w:tcPr>
            <w:tcW w:w="2093" w:type="pct"/>
            <w:vMerge/>
            <w:tcBorders>
              <w:top w:val="nil"/>
              <w:left w:val="single" w:sz="8" w:space="0" w:color="auto"/>
              <w:bottom w:val="single" w:sz="8" w:space="0" w:color="000000"/>
              <w:right w:val="nil"/>
            </w:tcBorders>
            <w:shd w:val="clear" w:color="auto" w:fill="D9D9D9"/>
            <w:vAlign w:val="center"/>
          </w:tcPr>
          <w:p w:rsidR="00A22E85" w:rsidRPr="001D6512" w:rsidRDefault="00A22E85" w:rsidP="00C3606E">
            <w:pPr>
              <w:pStyle w:val="TableCell"/>
              <w:keepNext w:val="0"/>
              <w:spacing w:before="60" w:after="60"/>
            </w:pPr>
          </w:p>
        </w:tc>
        <w:tc>
          <w:tcPr>
            <w:tcW w:w="1930" w:type="pct"/>
            <w:tcBorders>
              <w:top w:val="nil"/>
              <w:left w:val="single" w:sz="4" w:space="0" w:color="auto"/>
              <w:bottom w:val="single" w:sz="8" w:space="0" w:color="auto"/>
              <w:right w:val="single" w:sz="4" w:space="0" w:color="auto"/>
            </w:tcBorders>
            <w:shd w:val="clear" w:color="auto" w:fill="D9D9D9"/>
            <w:noWrap/>
            <w:vAlign w:val="bottom"/>
          </w:tcPr>
          <w:p w:rsidR="00A22E85" w:rsidRPr="001D6512" w:rsidRDefault="00A22E85" w:rsidP="00C3606E">
            <w:pPr>
              <w:pStyle w:val="TableCell"/>
              <w:keepNext w:val="0"/>
              <w:spacing w:before="60" w:after="60"/>
            </w:pPr>
            <w:r w:rsidRPr="001D6512">
              <w:t>Cooling Tower Fan</w:t>
            </w:r>
          </w:p>
        </w:tc>
        <w:tc>
          <w:tcPr>
            <w:tcW w:w="976" w:type="pct"/>
            <w:tcBorders>
              <w:top w:val="nil"/>
              <w:left w:val="nil"/>
              <w:bottom w:val="single" w:sz="8" w:space="0" w:color="auto"/>
              <w:right w:val="single" w:sz="8" w:space="0" w:color="auto"/>
            </w:tcBorders>
            <w:shd w:val="clear" w:color="auto" w:fill="D9D9D9"/>
            <w:noWrap/>
            <w:vAlign w:val="bottom"/>
          </w:tcPr>
          <w:p w:rsidR="00A22E85" w:rsidRPr="001D6512" w:rsidRDefault="00A22E85" w:rsidP="00C3606E">
            <w:pPr>
              <w:pStyle w:val="TableCell"/>
              <w:keepNext w:val="0"/>
              <w:spacing w:before="60" w:after="60"/>
            </w:pPr>
            <w:r w:rsidRPr="001D6512">
              <w:t>1032</w:t>
            </w:r>
          </w:p>
        </w:tc>
      </w:tr>
      <w:tr w:rsidR="00A22E85" w:rsidRPr="00671152" w:rsidTr="008B435E">
        <w:trPr>
          <w:trHeight w:val="259"/>
        </w:trPr>
        <w:tc>
          <w:tcPr>
            <w:tcW w:w="2093" w:type="pct"/>
            <w:vMerge w:val="restart"/>
            <w:tcBorders>
              <w:top w:val="nil"/>
              <w:left w:val="single" w:sz="8" w:space="0" w:color="auto"/>
              <w:bottom w:val="single" w:sz="8" w:space="0" w:color="000000"/>
              <w:right w:val="nil"/>
            </w:tcBorders>
            <w:vAlign w:val="center"/>
          </w:tcPr>
          <w:p w:rsidR="00A22E85" w:rsidRPr="001D6512" w:rsidRDefault="00A22E85" w:rsidP="00C3606E">
            <w:pPr>
              <w:pStyle w:val="TableCell"/>
              <w:spacing w:before="60" w:after="60"/>
            </w:pPr>
            <w:r w:rsidRPr="001D6512">
              <w:lastRenderedPageBreak/>
              <w:t>Retail</w:t>
            </w:r>
          </w:p>
        </w:tc>
        <w:tc>
          <w:tcPr>
            <w:tcW w:w="1930" w:type="pct"/>
            <w:tcBorders>
              <w:top w:val="nil"/>
              <w:left w:val="single" w:sz="4" w:space="0" w:color="auto"/>
              <w:bottom w:val="single" w:sz="4" w:space="0" w:color="auto"/>
              <w:right w:val="single" w:sz="4" w:space="0" w:color="auto"/>
            </w:tcBorders>
            <w:noWrap/>
            <w:vAlign w:val="bottom"/>
          </w:tcPr>
          <w:p w:rsidR="00A22E85" w:rsidRPr="001D6512" w:rsidRDefault="00A22E85" w:rsidP="00C3606E">
            <w:pPr>
              <w:pStyle w:val="TableCell"/>
              <w:spacing w:before="60" w:after="60"/>
            </w:pPr>
            <w:r w:rsidRPr="001D6512">
              <w:t>Chilled Water Pump</w:t>
            </w:r>
          </w:p>
        </w:tc>
        <w:tc>
          <w:tcPr>
            <w:tcW w:w="976" w:type="pct"/>
            <w:tcBorders>
              <w:top w:val="nil"/>
              <w:left w:val="nil"/>
              <w:bottom w:val="single" w:sz="4" w:space="0" w:color="auto"/>
              <w:right w:val="single" w:sz="8" w:space="0" w:color="auto"/>
            </w:tcBorders>
            <w:noWrap/>
            <w:vAlign w:val="bottom"/>
          </w:tcPr>
          <w:p w:rsidR="00A22E85" w:rsidRPr="001D6512" w:rsidRDefault="00A22E85" w:rsidP="00C3606E">
            <w:pPr>
              <w:pStyle w:val="TableCell"/>
              <w:spacing w:before="60" w:after="60"/>
            </w:pPr>
            <w:r w:rsidRPr="001D6512">
              <w:t>2347</w:t>
            </w:r>
          </w:p>
        </w:tc>
      </w:tr>
      <w:tr w:rsidR="00A22E85" w:rsidRPr="00671152" w:rsidTr="008B435E">
        <w:trPr>
          <w:trHeight w:val="259"/>
        </w:trPr>
        <w:tc>
          <w:tcPr>
            <w:tcW w:w="2093" w:type="pct"/>
            <w:vMerge/>
            <w:tcBorders>
              <w:top w:val="nil"/>
              <w:left w:val="single" w:sz="8" w:space="0" w:color="auto"/>
              <w:bottom w:val="single" w:sz="8" w:space="0" w:color="000000"/>
              <w:right w:val="nil"/>
            </w:tcBorders>
            <w:vAlign w:val="center"/>
          </w:tcPr>
          <w:p w:rsidR="00A22E85" w:rsidRPr="001D6512" w:rsidRDefault="00A22E85" w:rsidP="00C3606E">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D6512" w:rsidRDefault="00A22E85" w:rsidP="00C3606E">
            <w:pPr>
              <w:pStyle w:val="TableCell"/>
              <w:spacing w:before="60" w:after="60"/>
            </w:pPr>
            <w:r w:rsidRPr="001D6512">
              <w:t>Heating Hot Water Pump</w:t>
            </w:r>
          </w:p>
        </w:tc>
        <w:tc>
          <w:tcPr>
            <w:tcW w:w="976" w:type="pct"/>
            <w:tcBorders>
              <w:top w:val="nil"/>
              <w:left w:val="nil"/>
              <w:bottom w:val="single" w:sz="4" w:space="0" w:color="auto"/>
              <w:right w:val="single" w:sz="8" w:space="0" w:color="auto"/>
            </w:tcBorders>
            <w:noWrap/>
            <w:vAlign w:val="bottom"/>
          </w:tcPr>
          <w:p w:rsidR="00A22E85" w:rsidRPr="001D6512" w:rsidRDefault="00A22E85" w:rsidP="00C3606E">
            <w:pPr>
              <w:pStyle w:val="TableCell"/>
              <w:spacing w:before="60" w:after="60"/>
            </w:pPr>
            <w:r w:rsidRPr="001D6512">
              <w:t>4959</w:t>
            </w:r>
          </w:p>
        </w:tc>
      </w:tr>
      <w:tr w:rsidR="00A22E85" w:rsidRPr="00671152" w:rsidTr="008B435E">
        <w:trPr>
          <w:trHeight w:val="259"/>
        </w:trPr>
        <w:tc>
          <w:tcPr>
            <w:tcW w:w="2093" w:type="pct"/>
            <w:vMerge/>
            <w:tcBorders>
              <w:top w:val="nil"/>
              <w:left w:val="single" w:sz="8" w:space="0" w:color="auto"/>
              <w:bottom w:val="single" w:sz="8" w:space="0" w:color="000000"/>
              <w:right w:val="nil"/>
            </w:tcBorders>
            <w:vAlign w:val="center"/>
          </w:tcPr>
          <w:p w:rsidR="00A22E85" w:rsidRPr="001D6512" w:rsidRDefault="00A22E85" w:rsidP="00C3606E">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D6512" w:rsidRDefault="00A22E85" w:rsidP="00C3606E">
            <w:pPr>
              <w:pStyle w:val="TableCell"/>
              <w:spacing w:before="60" w:after="60"/>
            </w:pPr>
            <w:r w:rsidRPr="001D6512">
              <w:t>Condenser Water Pump</w:t>
            </w:r>
          </w:p>
        </w:tc>
        <w:tc>
          <w:tcPr>
            <w:tcW w:w="976" w:type="pct"/>
            <w:tcBorders>
              <w:top w:val="nil"/>
              <w:left w:val="nil"/>
              <w:bottom w:val="single" w:sz="4" w:space="0" w:color="auto"/>
              <w:right w:val="single" w:sz="8" w:space="0" w:color="auto"/>
            </w:tcBorders>
            <w:noWrap/>
            <w:vAlign w:val="bottom"/>
          </w:tcPr>
          <w:p w:rsidR="00A22E85" w:rsidRPr="001D6512" w:rsidRDefault="00A22E85" w:rsidP="00C3606E">
            <w:pPr>
              <w:pStyle w:val="TableCell"/>
              <w:spacing w:before="60" w:after="60"/>
            </w:pPr>
            <w:r w:rsidRPr="001D6512">
              <w:t>2347</w:t>
            </w:r>
          </w:p>
        </w:tc>
      </w:tr>
      <w:tr w:rsidR="00A22E85" w:rsidRPr="00671152" w:rsidTr="008B435E">
        <w:trPr>
          <w:trHeight w:val="259"/>
        </w:trPr>
        <w:tc>
          <w:tcPr>
            <w:tcW w:w="2093" w:type="pct"/>
            <w:vMerge/>
            <w:tcBorders>
              <w:top w:val="nil"/>
              <w:left w:val="single" w:sz="8" w:space="0" w:color="auto"/>
              <w:bottom w:val="single" w:sz="8" w:space="0" w:color="000000"/>
              <w:right w:val="nil"/>
            </w:tcBorders>
            <w:vAlign w:val="center"/>
          </w:tcPr>
          <w:p w:rsidR="00A22E85" w:rsidRPr="001D6512" w:rsidRDefault="00A22E85" w:rsidP="00C3606E">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D6512" w:rsidRDefault="00A22E85" w:rsidP="00C3606E">
            <w:pPr>
              <w:pStyle w:val="TableCell"/>
              <w:spacing w:before="60" w:after="60"/>
            </w:pPr>
            <w:r w:rsidRPr="001D6512">
              <w:t>HVAC Fan</w:t>
            </w:r>
          </w:p>
        </w:tc>
        <w:tc>
          <w:tcPr>
            <w:tcW w:w="976" w:type="pct"/>
            <w:tcBorders>
              <w:top w:val="nil"/>
              <w:left w:val="nil"/>
              <w:bottom w:val="single" w:sz="4" w:space="0" w:color="auto"/>
              <w:right w:val="single" w:sz="8" w:space="0" w:color="auto"/>
            </w:tcBorders>
            <w:noWrap/>
            <w:vAlign w:val="bottom"/>
          </w:tcPr>
          <w:p w:rsidR="00A22E85" w:rsidRPr="001D6512" w:rsidRDefault="00A22E85" w:rsidP="00C3606E">
            <w:pPr>
              <w:pStyle w:val="TableCell"/>
              <w:spacing w:before="60" w:after="60"/>
            </w:pPr>
            <w:r w:rsidRPr="001D6512">
              <w:t>5538</w:t>
            </w:r>
          </w:p>
        </w:tc>
      </w:tr>
      <w:tr w:rsidR="00A22E85" w:rsidRPr="00671152" w:rsidTr="008B435E">
        <w:trPr>
          <w:trHeight w:val="259"/>
        </w:trPr>
        <w:tc>
          <w:tcPr>
            <w:tcW w:w="2093" w:type="pct"/>
            <w:vMerge/>
            <w:tcBorders>
              <w:top w:val="nil"/>
              <w:left w:val="single" w:sz="8" w:space="0" w:color="auto"/>
              <w:bottom w:val="single" w:sz="4" w:space="0" w:color="auto"/>
              <w:right w:val="nil"/>
            </w:tcBorders>
            <w:vAlign w:val="center"/>
          </w:tcPr>
          <w:p w:rsidR="00A22E85" w:rsidRPr="001D6512" w:rsidRDefault="00A22E85" w:rsidP="00C3606E">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D6512" w:rsidRDefault="00A22E85" w:rsidP="00C3606E">
            <w:pPr>
              <w:pStyle w:val="TableCell"/>
              <w:spacing w:before="60" w:after="60"/>
            </w:pPr>
            <w:r w:rsidRPr="001D6512">
              <w:t>Cooling Tower Fan</w:t>
            </w:r>
          </w:p>
        </w:tc>
        <w:tc>
          <w:tcPr>
            <w:tcW w:w="976" w:type="pct"/>
            <w:tcBorders>
              <w:top w:val="nil"/>
              <w:left w:val="nil"/>
              <w:bottom w:val="single" w:sz="4" w:space="0" w:color="auto"/>
              <w:right w:val="single" w:sz="8" w:space="0" w:color="auto"/>
            </w:tcBorders>
            <w:noWrap/>
            <w:vAlign w:val="bottom"/>
          </w:tcPr>
          <w:p w:rsidR="00A22E85" w:rsidRPr="001D6512" w:rsidRDefault="00A22E85" w:rsidP="00C3606E">
            <w:pPr>
              <w:pStyle w:val="TableCell"/>
              <w:spacing w:before="60" w:after="60"/>
            </w:pPr>
            <w:r w:rsidRPr="001D6512">
              <w:t>1032</w:t>
            </w:r>
          </w:p>
        </w:tc>
      </w:tr>
      <w:tr w:rsidR="00A22E85" w:rsidRPr="00671152" w:rsidTr="008B435E">
        <w:trPr>
          <w:trHeight w:val="259"/>
        </w:trPr>
        <w:tc>
          <w:tcPr>
            <w:tcW w:w="2093" w:type="pct"/>
            <w:vMerge w:val="restart"/>
            <w:tcBorders>
              <w:top w:val="single" w:sz="4" w:space="0" w:color="auto"/>
              <w:left w:val="single" w:sz="8" w:space="0" w:color="auto"/>
              <w:bottom w:val="single" w:sz="8" w:space="0" w:color="000000"/>
              <w:right w:val="nil"/>
            </w:tcBorders>
            <w:shd w:val="clear" w:color="auto" w:fill="D9D9D9"/>
            <w:vAlign w:val="center"/>
          </w:tcPr>
          <w:p w:rsidR="00A22E85" w:rsidRPr="001D6512" w:rsidRDefault="00A22E85" w:rsidP="00C3606E">
            <w:pPr>
              <w:pStyle w:val="TableCell"/>
              <w:spacing w:before="60" w:after="60"/>
            </w:pPr>
            <w:r w:rsidRPr="001D6512">
              <w:t>Restaurants - Fast Food</w:t>
            </w:r>
          </w:p>
        </w:tc>
        <w:tc>
          <w:tcPr>
            <w:tcW w:w="1930"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A22E85" w:rsidRPr="001D6512" w:rsidRDefault="00A22E85" w:rsidP="00C3606E">
            <w:pPr>
              <w:pStyle w:val="TableCell"/>
              <w:spacing w:before="60" w:after="60"/>
            </w:pPr>
            <w:r w:rsidRPr="001D6512">
              <w:t>Chilled Water Pump</w:t>
            </w:r>
          </w:p>
        </w:tc>
        <w:tc>
          <w:tcPr>
            <w:tcW w:w="976" w:type="pct"/>
            <w:tcBorders>
              <w:top w:val="single" w:sz="4" w:space="0" w:color="auto"/>
              <w:left w:val="nil"/>
              <w:bottom w:val="single" w:sz="4" w:space="0" w:color="auto"/>
              <w:right w:val="single" w:sz="8" w:space="0" w:color="auto"/>
            </w:tcBorders>
            <w:shd w:val="clear" w:color="auto" w:fill="D9D9D9"/>
            <w:noWrap/>
            <w:vAlign w:val="bottom"/>
          </w:tcPr>
          <w:p w:rsidR="00A22E85" w:rsidRPr="001D6512" w:rsidRDefault="00A22E85" w:rsidP="00C3606E">
            <w:pPr>
              <w:pStyle w:val="TableCell"/>
              <w:spacing w:before="60" w:after="60"/>
            </w:pPr>
            <w:r w:rsidRPr="001D6512">
              <w:t>2901</w:t>
            </w:r>
          </w:p>
        </w:tc>
      </w:tr>
      <w:tr w:rsidR="00A22E85" w:rsidRPr="00671152" w:rsidTr="008B435E">
        <w:trPr>
          <w:trHeight w:val="259"/>
        </w:trPr>
        <w:tc>
          <w:tcPr>
            <w:tcW w:w="2093" w:type="pct"/>
            <w:vMerge/>
            <w:tcBorders>
              <w:top w:val="nil"/>
              <w:left w:val="single" w:sz="8" w:space="0" w:color="auto"/>
              <w:bottom w:val="single" w:sz="8" w:space="0" w:color="000000"/>
              <w:right w:val="nil"/>
            </w:tcBorders>
            <w:shd w:val="clear" w:color="auto" w:fill="D9D9D9"/>
            <w:vAlign w:val="center"/>
          </w:tcPr>
          <w:p w:rsidR="00A22E85" w:rsidRPr="001D6512" w:rsidRDefault="00A22E85" w:rsidP="00C3606E">
            <w:pPr>
              <w:pStyle w:val="TableCell"/>
              <w:spacing w:before="60" w:after="60"/>
            </w:pPr>
          </w:p>
        </w:tc>
        <w:tc>
          <w:tcPr>
            <w:tcW w:w="1930" w:type="pct"/>
            <w:tcBorders>
              <w:top w:val="nil"/>
              <w:left w:val="single" w:sz="4" w:space="0" w:color="auto"/>
              <w:bottom w:val="single" w:sz="4" w:space="0" w:color="auto"/>
              <w:right w:val="single" w:sz="4" w:space="0" w:color="auto"/>
            </w:tcBorders>
            <w:shd w:val="clear" w:color="auto" w:fill="D9D9D9"/>
            <w:noWrap/>
            <w:vAlign w:val="bottom"/>
          </w:tcPr>
          <w:p w:rsidR="00A22E85" w:rsidRPr="001D6512" w:rsidRDefault="00A22E85" w:rsidP="00C3606E">
            <w:pPr>
              <w:pStyle w:val="TableCell"/>
              <w:spacing w:before="60" w:after="60"/>
            </w:pPr>
            <w:r w:rsidRPr="001D6512">
              <w:t>Heating Hot Water Pump</w:t>
            </w:r>
          </w:p>
        </w:tc>
        <w:tc>
          <w:tcPr>
            <w:tcW w:w="976" w:type="pct"/>
            <w:tcBorders>
              <w:top w:val="nil"/>
              <w:left w:val="nil"/>
              <w:bottom w:val="single" w:sz="4" w:space="0" w:color="auto"/>
              <w:right w:val="single" w:sz="8" w:space="0" w:color="auto"/>
            </w:tcBorders>
            <w:shd w:val="clear" w:color="auto" w:fill="D9D9D9"/>
            <w:noWrap/>
            <w:vAlign w:val="bottom"/>
          </w:tcPr>
          <w:p w:rsidR="00A22E85" w:rsidRPr="001D6512" w:rsidRDefault="00A22E85" w:rsidP="00C3606E">
            <w:pPr>
              <w:pStyle w:val="TableCell"/>
              <w:spacing w:before="60" w:after="60"/>
            </w:pPr>
            <w:r w:rsidRPr="001D6512">
              <w:t>4959</w:t>
            </w:r>
          </w:p>
        </w:tc>
      </w:tr>
      <w:tr w:rsidR="00A22E85" w:rsidRPr="00671152" w:rsidTr="008B435E">
        <w:trPr>
          <w:trHeight w:val="259"/>
        </w:trPr>
        <w:tc>
          <w:tcPr>
            <w:tcW w:w="2093" w:type="pct"/>
            <w:vMerge/>
            <w:tcBorders>
              <w:top w:val="nil"/>
              <w:left w:val="single" w:sz="8" w:space="0" w:color="auto"/>
              <w:bottom w:val="single" w:sz="8" w:space="0" w:color="000000"/>
              <w:right w:val="nil"/>
            </w:tcBorders>
            <w:shd w:val="clear" w:color="auto" w:fill="D9D9D9"/>
            <w:vAlign w:val="center"/>
          </w:tcPr>
          <w:p w:rsidR="00A22E85" w:rsidRPr="001D6512" w:rsidRDefault="00A22E85" w:rsidP="00C3606E">
            <w:pPr>
              <w:pStyle w:val="TableCell"/>
              <w:spacing w:before="60" w:after="60"/>
            </w:pPr>
          </w:p>
        </w:tc>
        <w:tc>
          <w:tcPr>
            <w:tcW w:w="1930" w:type="pct"/>
            <w:tcBorders>
              <w:top w:val="nil"/>
              <w:left w:val="single" w:sz="4" w:space="0" w:color="auto"/>
              <w:bottom w:val="single" w:sz="4" w:space="0" w:color="auto"/>
              <w:right w:val="single" w:sz="4" w:space="0" w:color="auto"/>
            </w:tcBorders>
            <w:shd w:val="clear" w:color="auto" w:fill="D9D9D9"/>
            <w:noWrap/>
            <w:vAlign w:val="bottom"/>
          </w:tcPr>
          <w:p w:rsidR="00A22E85" w:rsidRPr="001D6512" w:rsidRDefault="00A22E85" w:rsidP="00C3606E">
            <w:pPr>
              <w:pStyle w:val="TableCell"/>
              <w:spacing w:before="60" w:after="60"/>
            </w:pPr>
            <w:r w:rsidRPr="001D6512">
              <w:t>Condenser Water Pump</w:t>
            </w:r>
          </w:p>
        </w:tc>
        <w:tc>
          <w:tcPr>
            <w:tcW w:w="976" w:type="pct"/>
            <w:tcBorders>
              <w:top w:val="nil"/>
              <w:left w:val="nil"/>
              <w:bottom w:val="single" w:sz="4" w:space="0" w:color="auto"/>
              <w:right w:val="single" w:sz="8" w:space="0" w:color="auto"/>
            </w:tcBorders>
            <w:shd w:val="clear" w:color="auto" w:fill="D9D9D9"/>
            <w:noWrap/>
            <w:vAlign w:val="bottom"/>
          </w:tcPr>
          <w:p w:rsidR="00A22E85" w:rsidRPr="001D6512" w:rsidRDefault="00A22E85" w:rsidP="00C3606E">
            <w:pPr>
              <w:pStyle w:val="TableCell"/>
              <w:spacing w:before="60" w:after="60"/>
            </w:pPr>
            <w:r w:rsidRPr="001D6512">
              <w:t>2901</w:t>
            </w:r>
          </w:p>
        </w:tc>
      </w:tr>
      <w:tr w:rsidR="00A22E85" w:rsidRPr="00671152" w:rsidTr="008B435E">
        <w:trPr>
          <w:trHeight w:val="259"/>
        </w:trPr>
        <w:tc>
          <w:tcPr>
            <w:tcW w:w="2093" w:type="pct"/>
            <w:vMerge/>
            <w:tcBorders>
              <w:top w:val="nil"/>
              <w:left w:val="single" w:sz="8" w:space="0" w:color="auto"/>
              <w:bottom w:val="single" w:sz="8" w:space="0" w:color="000000"/>
              <w:right w:val="nil"/>
            </w:tcBorders>
            <w:shd w:val="clear" w:color="auto" w:fill="D9D9D9"/>
            <w:vAlign w:val="center"/>
          </w:tcPr>
          <w:p w:rsidR="00A22E85" w:rsidRPr="001D6512" w:rsidRDefault="00A22E85" w:rsidP="00C3606E">
            <w:pPr>
              <w:pStyle w:val="TableCell"/>
              <w:spacing w:before="60" w:after="60"/>
            </w:pPr>
          </w:p>
        </w:tc>
        <w:tc>
          <w:tcPr>
            <w:tcW w:w="1930" w:type="pct"/>
            <w:tcBorders>
              <w:top w:val="nil"/>
              <w:left w:val="single" w:sz="4" w:space="0" w:color="auto"/>
              <w:bottom w:val="single" w:sz="4" w:space="0" w:color="auto"/>
              <w:right w:val="single" w:sz="4" w:space="0" w:color="auto"/>
            </w:tcBorders>
            <w:shd w:val="clear" w:color="auto" w:fill="D9D9D9"/>
            <w:noWrap/>
            <w:vAlign w:val="bottom"/>
          </w:tcPr>
          <w:p w:rsidR="00A22E85" w:rsidRPr="001D6512" w:rsidRDefault="00A22E85" w:rsidP="00C3606E">
            <w:pPr>
              <w:pStyle w:val="TableCell"/>
              <w:spacing w:before="60" w:after="60"/>
            </w:pPr>
            <w:r w:rsidRPr="001D6512">
              <w:t>HVAC Fan</w:t>
            </w:r>
          </w:p>
        </w:tc>
        <w:tc>
          <w:tcPr>
            <w:tcW w:w="976" w:type="pct"/>
            <w:tcBorders>
              <w:top w:val="nil"/>
              <w:left w:val="nil"/>
              <w:bottom w:val="single" w:sz="4" w:space="0" w:color="auto"/>
              <w:right w:val="single" w:sz="8" w:space="0" w:color="auto"/>
            </w:tcBorders>
            <w:shd w:val="clear" w:color="auto" w:fill="D9D9D9"/>
            <w:noWrap/>
            <w:vAlign w:val="bottom"/>
          </w:tcPr>
          <w:p w:rsidR="00A22E85" w:rsidRPr="001D6512" w:rsidRDefault="00A22E85" w:rsidP="00C3606E">
            <w:pPr>
              <w:pStyle w:val="TableCell"/>
              <w:spacing w:before="60" w:after="60"/>
            </w:pPr>
            <w:r w:rsidRPr="001D6512">
              <w:t>6702</w:t>
            </w:r>
          </w:p>
        </w:tc>
      </w:tr>
      <w:tr w:rsidR="00A22E85" w:rsidRPr="00671152" w:rsidTr="008B435E">
        <w:trPr>
          <w:trHeight w:val="259"/>
        </w:trPr>
        <w:tc>
          <w:tcPr>
            <w:tcW w:w="2093" w:type="pct"/>
            <w:vMerge/>
            <w:tcBorders>
              <w:top w:val="nil"/>
              <w:left w:val="single" w:sz="8" w:space="0" w:color="auto"/>
              <w:bottom w:val="single" w:sz="8" w:space="0" w:color="000000"/>
              <w:right w:val="nil"/>
            </w:tcBorders>
            <w:shd w:val="clear" w:color="auto" w:fill="D9D9D9"/>
            <w:vAlign w:val="center"/>
          </w:tcPr>
          <w:p w:rsidR="00A22E85" w:rsidRPr="001D6512" w:rsidRDefault="00A22E85" w:rsidP="00C3606E">
            <w:pPr>
              <w:pStyle w:val="TableCell"/>
              <w:spacing w:before="60" w:after="60"/>
            </w:pPr>
          </w:p>
        </w:tc>
        <w:tc>
          <w:tcPr>
            <w:tcW w:w="1930" w:type="pct"/>
            <w:tcBorders>
              <w:top w:val="nil"/>
              <w:left w:val="single" w:sz="4" w:space="0" w:color="auto"/>
              <w:bottom w:val="single" w:sz="8" w:space="0" w:color="auto"/>
              <w:right w:val="single" w:sz="4" w:space="0" w:color="auto"/>
            </w:tcBorders>
            <w:shd w:val="clear" w:color="auto" w:fill="D9D9D9"/>
            <w:noWrap/>
            <w:vAlign w:val="bottom"/>
          </w:tcPr>
          <w:p w:rsidR="00A22E85" w:rsidRPr="001D6512" w:rsidRDefault="00A22E85" w:rsidP="00C3606E">
            <w:pPr>
              <w:pStyle w:val="TableCell"/>
              <w:spacing w:before="60" w:after="60"/>
            </w:pPr>
            <w:r w:rsidRPr="001D6512">
              <w:t>Cooling Tower Fan</w:t>
            </w:r>
          </w:p>
        </w:tc>
        <w:tc>
          <w:tcPr>
            <w:tcW w:w="976" w:type="pct"/>
            <w:tcBorders>
              <w:top w:val="nil"/>
              <w:left w:val="nil"/>
              <w:bottom w:val="single" w:sz="8" w:space="0" w:color="auto"/>
              <w:right w:val="single" w:sz="8" w:space="0" w:color="auto"/>
            </w:tcBorders>
            <w:shd w:val="clear" w:color="auto" w:fill="D9D9D9"/>
            <w:noWrap/>
            <w:vAlign w:val="bottom"/>
          </w:tcPr>
          <w:p w:rsidR="00A22E85" w:rsidRPr="001D6512" w:rsidRDefault="00A22E85" w:rsidP="00C3606E">
            <w:pPr>
              <w:pStyle w:val="TableCell"/>
              <w:spacing w:before="60" w:after="60"/>
            </w:pPr>
            <w:r w:rsidRPr="001D6512">
              <w:t>1032</w:t>
            </w:r>
          </w:p>
        </w:tc>
      </w:tr>
      <w:tr w:rsidR="00A22E85" w:rsidRPr="00671152" w:rsidTr="007F7B42">
        <w:trPr>
          <w:cantSplit/>
          <w:trHeight w:val="259"/>
        </w:trPr>
        <w:tc>
          <w:tcPr>
            <w:tcW w:w="2093" w:type="pct"/>
            <w:vMerge w:val="restart"/>
            <w:tcBorders>
              <w:top w:val="nil"/>
              <w:left w:val="single" w:sz="8" w:space="0" w:color="auto"/>
              <w:bottom w:val="single" w:sz="8" w:space="0" w:color="000000"/>
              <w:right w:val="nil"/>
            </w:tcBorders>
            <w:vAlign w:val="center"/>
          </w:tcPr>
          <w:p w:rsidR="00A22E85" w:rsidRPr="001D6512" w:rsidRDefault="00A22E85" w:rsidP="007F7B42">
            <w:pPr>
              <w:pStyle w:val="TableCell"/>
              <w:spacing w:before="60" w:after="60"/>
            </w:pPr>
            <w:r w:rsidRPr="001D6512">
              <w:t>Restaurants - Sit Down</w:t>
            </w:r>
          </w:p>
        </w:tc>
        <w:tc>
          <w:tcPr>
            <w:tcW w:w="1930" w:type="pct"/>
            <w:tcBorders>
              <w:top w:val="nil"/>
              <w:left w:val="single" w:sz="4" w:space="0" w:color="auto"/>
              <w:bottom w:val="single" w:sz="4" w:space="0" w:color="auto"/>
              <w:right w:val="single" w:sz="4" w:space="0" w:color="auto"/>
            </w:tcBorders>
            <w:noWrap/>
            <w:vAlign w:val="bottom"/>
          </w:tcPr>
          <w:p w:rsidR="00A22E85" w:rsidRPr="001D6512" w:rsidRDefault="00A22E85" w:rsidP="00C3606E">
            <w:pPr>
              <w:pStyle w:val="TableCell"/>
              <w:spacing w:before="60" w:after="60"/>
            </w:pPr>
            <w:r w:rsidRPr="001D6512">
              <w:t>Chilled Water Pump</w:t>
            </w:r>
          </w:p>
        </w:tc>
        <w:tc>
          <w:tcPr>
            <w:tcW w:w="976" w:type="pct"/>
            <w:tcBorders>
              <w:top w:val="nil"/>
              <w:left w:val="nil"/>
              <w:bottom w:val="single" w:sz="4" w:space="0" w:color="auto"/>
              <w:right w:val="single" w:sz="8" w:space="0" w:color="auto"/>
            </w:tcBorders>
            <w:noWrap/>
            <w:vAlign w:val="bottom"/>
          </w:tcPr>
          <w:p w:rsidR="00A22E85" w:rsidRPr="001D6512" w:rsidRDefault="00A22E85" w:rsidP="00C3606E">
            <w:pPr>
              <w:pStyle w:val="TableCell"/>
              <w:spacing w:before="60" w:after="60"/>
            </w:pPr>
            <w:r w:rsidRPr="001D6512">
              <w:t>2160</w:t>
            </w:r>
          </w:p>
        </w:tc>
      </w:tr>
      <w:tr w:rsidR="00A22E85" w:rsidRPr="00671152" w:rsidTr="007F7B42">
        <w:trPr>
          <w:cantSplit/>
          <w:trHeight w:val="259"/>
        </w:trPr>
        <w:tc>
          <w:tcPr>
            <w:tcW w:w="2093" w:type="pct"/>
            <w:vMerge/>
            <w:tcBorders>
              <w:top w:val="nil"/>
              <w:left w:val="single" w:sz="8" w:space="0" w:color="auto"/>
              <w:bottom w:val="single" w:sz="8" w:space="0" w:color="000000"/>
              <w:right w:val="nil"/>
            </w:tcBorders>
            <w:vAlign w:val="center"/>
          </w:tcPr>
          <w:p w:rsidR="00A22E85" w:rsidRPr="001D6512" w:rsidRDefault="00A22E85" w:rsidP="007F7B42">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D6512" w:rsidRDefault="00A22E85" w:rsidP="00C3606E">
            <w:pPr>
              <w:pStyle w:val="TableCell"/>
              <w:spacing w:before="60" w:after="60"/>
            </w:pPr>
            <w:r w:rsidRPr="001D6512">
              <w:t>Heating Hot Water Pump</w:t>
            </w:r>
          </w:p>
        </w:tc>
        <w:tc>
          <w:tcPr>
            <w:tcW w:w="976" w:type="pct"/>
            <w:tcBorders>
              <w:top w:val="nil"/>
              <w:left w:val="nil"/>
              <w:bottom w:val="single" w:sz="4" w:space="0" w:color="auto"/>
              <w:right w:val="single" w:sz="8" w:space="0" w:color="auto"/>
            </w:tcBorders>
            <w:noWrap/>
            <w:vAlign w:val="bottom"/>
          </w:tcPr>
          <w:p w:rsidR="00A22E85" w:rsidRPr="001D6512" w:rsidRDefault="00A22E85" w:rsidP="00C3606E">
            <w:pPr>
              <w:pStyle w:val="TableCell"/>
              <w:spacing w:before="60" w:after="60"/>
            </w:pPr>
            <w:r w:rsidRPr="001D6512">
              <w:t>4959</w:t>
            </w:r>
          </w:p>
        </w:tc>
      </w:tr>
      <w:tr w:rsidR="00A22E85" w:rsidRPr="00671152" w:rsidTr="007F7B42">
        <w:trPr>
          <w:cantSplit/>
          <w:trHeight w:val="259"/>
        </w:trPr>
        <w:tc>
          <w:tcPr>
            <w:tcW w:w="2093" w:type="pct"/>
            <w:vMerge/>
            <w:tcBorders>
              <w:top w:val="nil"/>
              <w:left w:val="single" w:sz="8" w:space="0" w:color="auto"/>
              <w:bottom w:val="single" w:sz="8" w:space="0" w:color="000000"/>
              <w:right w:val="nil"/>
            </w:tcBorders>
            <w:vAlign w:val="center"/>
          </w:tcPr>
          <w:p w:rsidR="00A22E85" w:rsidRPr="001D6512" w:rsidRDefault="00A22E85" w:rsidP="007F7B42">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D6512" w:rsidRDefault="00A22E85" w:rsidP="00C3606E">
            <w:pPr>
              <w:pStyle w:val="TableCell"/>
              <w:spacing w:before="60" w:after="60"/>
            </w:pPr>
            <w:r w:rsidRPr="001D6512">
              <w:t>Condenser Water Pump</w:t>
            </w:r>
          </w:p>
        </w:tc>
        <w:tc>
          <w:tcPr>
            <w:tcW w:w="976" w:type="pct"/>
            <w:tcBorders>
              <w:top w:val="nil"/>
              <w:left w:val="nil"/>
              <w:bottom w:val="single" w:sz="4" w:space="0" w:color="auto"/>
              <w:right w:val="single" w:sz="8" w:space="0" w:color="auto"/>
            </w:tcBorders>
            <w:noWrap/>
            <w:vAlign w:val="bottom"/>
          </w:tcPr>
          <w:p w:rsidR="00A22E85" w:rsidRPr="001D6512" w:rsidRDefault="00A22E85" w:rsidP="00C3606E">
            <w:pPr>
              <w:pStyle w:val="TableCell"/>
              <w:spacing w:before="60" w:after="60"/>
            </w:pPr>
            <w:r w:rsidRPr="001D6512">
              <w:t>2160</w:t>
            </w:r>
          </w:p>
        </w:tc>
      </w:tr>
      <w:tr w:rsidR="00A22E85" w:rsidRPr="00671152" w:rsidTr="007F7B42">
        <w:trPr>
          <w:cantSplit/>
          <w:trHeight w:val="259"/>
        </w:trPr>
        <w:tc>
          <w:tcPr>
            <w:tcW w:w="2093" w:type="pct"/>
            <w:vMerge/>
            <w:tcBorders>
              <w:top w:val="nil"/>
              <w:left w:val="single" w:sz="8" w:space="0" w:color="auto"/>
              <w:bottom w:val="single" w:sz="8" w:space="0" w:color="000000"/>
              <w:right w:val="nil"/>
            </w:tcBorders>
            <w:vAlign w:val="center"/>
          </w:tcPr>
          <w:p w:rsidR="00A22E85" w:rsidRPr="001D6512" w:rsidRDefault="00A22E85" w:rsidP="007F7B42">
            <w:pPr>
              <w:pStyle w:val="TableCell"/>
              <w:spacing w:before="60" w:after="60"/>
            </w:pPr>
          </w:p>
        </w:tc>
        <w:tc>
          <w:tcPr>
            <w:tcW w:w="1930" w:type="pct"/>
            <w:tcBorders>
              <w:top w:val="nil"/>
              <w:left w:val="single" w:sz="4" w:space="0" w:color="auto"/>
              <w:bottom w:val="single" w:sz="4" w:space="0" w:color="auto"/>
              <w:right w:val="single" w:sz="4" w:space="0" w:color="auto"/>
            </w:tcBorders>
            <w:noWrap/>
            <w:vAlign w:val="bottom"/>
          </w:tcPr>
          <w:p w:rsidR="00A22E85" w:rsidRPr="001D6512" w:rsidRDefault="00A22E85" w:rsidP="00C3606E">
            <w:pPr>
              <w:pStyle w:val="TableCell"/>
              <w:spacing w:before="60" w:after="60"/>
            </w:pPr>
            <w:r w:rsidRPr="001D6512">
              <w:t>HVAC Fan</w:t>
            </w:r>
          </w:p>
        </w:tc>
        <w:tc>
          <w:tcPr>
            <w:tcW w:w="976" w:type="pct"/>
            <w:tcBorders>
              <w:top w:val="nil"/>
              <w:left w:val="nil"/>
              <w:bottom w:val="single" w:sz="4" w:space="0" w:color="auto"/>
              <w:right w:val="single" w:sz="8" w:space="0" w:color="auto"/>
            </w:tcBorders>
            <w:noWrap/>
            <w:vAlign w:val="bottom"/>
          </w:tcPr>
          <w:p w:rsidR="00A22E85" w:rsidRPr="001D6512" w:rsidRDefault="00A22E85" w:rsidP="00C3606E">
            <w:pPr>
              <w:pStyle w:val="TableCell"/>
              <w:spacing w:before="60" w:after="60"/>
            </w:pPr>
            <w:r w:rsidRPr="001D6512">
              <w:t>5246</w:t>
            </w:r>
          </w:p>
        </w:tc>
      </w:tr>
      <w:tr w:rsidR="00A22E85" w:rsidRPr="00671152" w:rsidTr="007F7B42">
        <w:trPr>
          <w:cantSplit/>
          <w:trHeight w:val="259"/>
        </w:trPr>
        <w:tc>
          <w:tcPr>
            <w:tcW w:w="2093" w:type="pct"/>
            <w:vMerge/>
            <w:tcBorders>
              <w:top w:val="nil"/>
              <w:left w:val="single" w:sz="8" w:space="0" w:color="auto"/>
              <w:bottom w:val="single" w:sz="4" w:space="0" w:color="auto"/>
              <w:right w:val="nil"/>
            </w:tcBorders>
            <w:vAlign w:val="center"/>
          </w:tcPr>
          <w:p w:rsidR="00A22E85" w:rsidRPr="001D6512" w:rsidRDefault="00A22E85" w:rsidP="007F7B42">
            <w:pPr>
              <w:pStyle w:val="TableCell"/>
              <w:spacing w:before="60" w:after="60"/>
            </w:pPr>
          </w:p>
        </w:tc>
        <w:tc>
          <w:tcPr>
            <w:tcW w:w="1930" w:type="pct"/>
            <w:tcBorders>
              <w:top w:val="single" w:sz="4" w:space="0" w:color="auto"/>
              <w:left w:val="single" w:sz="4" w:space="0" w:color="auto"/>
              <w:bottom w:val="single" w:sz="4" w:space="0" w:color="auto"/>
              <w:right w:val="single" w:sz="4" w:space="0" w:color="auto"/>
            </w:tcBorders>
            <w:noWrap/>
            <w:vAlign w:val="bottom"/>
          </w:tcPr>
          <w:p w:rsidR="00A22E85" w:rsidRPr="001D6512" w:rsidRDefault="00A22E85" w:rsidP="00C3606E">
            <w:pPr>
              <w:pStyle w:val="TableCell"/>
              <w:spacing w:before="60" w:after="60"/>
            </w:pPr>
            <w:r w:rsidRPr="001D6512">
              <w:t>Cooling Tower Fan</w:t>
            </w:r>
          </w:p>
        </w:tc>
        <w:tc>
          <w:tcPr>
            <w:tcW w:w="976" w:type="pct"/>
            <w:tcBorders>
              <w:top w:val="single" w:sz="4" w:space="0" w:color="auto"/>
              <w:left w:val="nil"/>
              <w:bottom w:val="single" w:sz="4" w:space="0" w:color="auto"/>
              <w:right w:val="single" w:sz="8" w:space="0" w:color="auto"/>
            </w:tcBorders>
            <w:noWrap/>
            <w:vAlign w:val="bottom"/>
          </w:tcPr>
          <w:p w:rsidR="00A22E85" w:rsidRPr="001D6512" w:rsidRDefault="00A22E85" w:rsidP="00C3606E">
            <w:pPr>
              <w:pStyle w:val="TableCell"/>
              <w:spacing w:before="60" w:after="60"/>
            </w:pPr>
            <w:r w:rsidRPr="001D6512">
              <w:t>1032</w:t>
            </w:r>
          </w:p>
        </w:tc>
      </w:tr>
      <w:tr w:rsidR="007F7B42" w:rsidRPr="00671152" w:rsidTr="007F7B42">
        <w:trPr>
          <w:trHeight w:val="259"/>
        </w:trPr>
        <w:tc>
          <w:tcPr>
            <w:tcW w:w="2093" w:type="pct"/>
            <w:vMerge w:val="restart"/>
            <w:tcBorders>
              <w:top w:val="single" w:sz="4" w:space="0" w:color="auto"/>
              <w:left w:val="single" w:sz="8" w:space="0" w:color="auto"/>
              <w:right w:val="nil"/>
            </w:tcBorders>
            <w:shd w:val="clear" w:color="auto" w:fill="D9D9D9"/>
            <w:vAlign w:val="center"/>
          </w:tcPr>
          <w:p w:rsidR="007F7B42" w:rsidRPr="001D6512" w:rsidRDefault="007F7B42" w:rsidP="007F7B42">
            <w:pPr>
              <w:pStyle w:val="TableCell"/>
              <w:spacing w:before="60" w:after="60"/>
            </w:pPr>
            <w:r w:rsidRPr="001D6512">
              <w:t>Other</w:t>
            </w:r>
          </w:p>
        </w:tc>
        <w:tc>
          <w:tcPr>
            <w:tcW w:w="1930"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7F7B42" w:rsidRPr="001D6512" w:rsidRDefault="007F7B42" w:rsidP="00C3606E">
            <w:pPr>
              <w:pStyle w:val="TableCell"/>
              <w:spacing w:before="60" w:after="60"/>
            </w:pPr>
            <w:r w:rsidRPr="001D6512">
              <w:t>Chilled Water Pump</w:t>
            </w:r>
          </w:p>
        </w:tc>
        <w:tc>
          <w:tcPr>
            <w:tcW w:w="976" w:type="pct"/>
            <w:tcBorders>
              <w:top w:val="single" w:sz="4" w:space="0" w:color="auto"/>
              <w:left w:val="nil"/>
              <w:bottom w:val="single" w:sz="4" w:space="0" w:color="auto"/>
              <w:right w:val="single" w:sz="8" w:space="0" w:color="auto"/>
            </w:tcBorders>
            <w:shd w:val="clear" w:color="auto" w:fill="D9D9D9"/>
            <w:noWrap/>
            <w:vAlign w:val="bottom"/>
          </w:tcPr>
          <w:p w:rsidR="007F7B42" w:rsidRPr="001D6512" w:rsidRDefault="007F7B42" w:rsidP="00C3606E">
            <w:pPr>
              <w:pStyle w:val="TableCell"/>
              <w:spacing w:before="60" w:after="60"/>
            </w:pPr>
            <w:r w:rsidRPr="001D6512">
              <w:rPr>
                <w:rFonts w:cs="Arial"/>
                <w:color w:val="000000"/>
                <w:szCs w:val="18"/>
              </w:rPr>
              <w:t>2170</w:t>
            </w:r>
          </w:p>
        </w:tc>
      </w:tr>
      <w:tr w:rsidR="007F7B42" w:rsidRPr="00671152" w:rsidTr="00C60D3E">
        <w:trPr>
          <w:trHeight w:val="259"/>
        </w:trPr>
        <w:tc>
          <w:tcPr>
            <w:tcW w:w="2093" w:type="pct"/>
            <w:vMerge/>
            <w:tcBorders>
              <w:left w:val="single" w:sz="8" w:space="0" w:color="auto"/>
              <w:right w:val="nil"/>
            </w:tcBorders>
            <w:shd w:val="clear" w:color="auto" w:fill="D9D9D9"/>
            <w:vAlign w:val="bottom"/>
          </w:tcPr>
          <w:p w:rsidR="007F7B42" w:rsidRPr="001D6512" w:rsidRDefault="007F7B42" w:rsidP="00C3606E">
            <w:pPr>
              <w:pStyle w:val="TableCell"/>
              <w:spacing w:before="60" w:after="60"/>
            </w:pPr>
          </w:p>
        </w:tc>
        <w:tc>
          <w:tcPr>
            <w:tcW w:w="1930"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7F7B42" w:rsidRPr="001D6512" w:rsidRDefault="007F7B42" w:rsidP="00C3606E">
            <w:pPr>
              <w:pStyle w:val="TableCell"/>
              <w:spacing w:before="60" w:after="60"/>
            </w:pPr>
            <w:r w:rsidRPr="001D6512">
              <w:t>Heating Hot Water Pump</w:t>
            </w:r>
          </w:p>
        </w:tc>
        <w:tc>
          <w:tcPr>
            <w:tcW w:w="976" w:type="pct"/>
            <w:tcBorders>
              <w:top w:val="single" w:sz="4" w:space="0" w:color="auto"/>
              <w:left w:val="nil"/>
              <w:bottom w:val="single" w:sz="4" w:space="0" w:color="auto"/>
              <w:right w:val="single" w:sz="8" w:space="0" w:color="auto"/>
            </w:tcBorders>
            <w:shd w:val="clear" w:color="auto" w:fill="D9D9D9"/>
            <w:noWrap/>
            <w:vAlign w:val="bottom"/>
          </w:tcPr>
          <w:p w:rsidR="007F7B42" w:rsidRPr="001D6512" w:rsidRDefault="007F7B42" w:rsidP="00C3606E">
            <w:pPr>
              <w:pStyle w:val="TableCell"/>
              <w:spacing w:before="60" w:after="60"/>
            </w:pPr>
            <w:r w:rsidRPr="001D6512">
              <w:rPr>
                <w:rFonts w:cs="Arial"/>
                <w:color w:val="000000"/>
                <w:szCs w:val="18"/>
              </w:rPr>
              <w:t>4959</w:t>
            </w:r>
          </w:p>
        </w:tc>
      </w:tr>
      <w:tr w:rsidR="007F7B42" w:rsidRPr="00671152" w:rsidTr="00C60D3E">
        <w:trPr>
          <w:trHeight w:val="259"/>
        </w:trPr>
        <w:tc>
          <w:tcPr>
            <w:tcW w:w="2093" w:type="pct"/>
            <w:vMerge/>
            <w:tcBorders>
              <w:left w:val="single" w:sz="8" w:space="0" w:color="auto"/>
              <w:right w:val="nil"/>
            </w:tcBorders>
            <w:shd w:val="clear" w:color="auto" w:fill="D9D9D9"/>
            <w:vAlign w:val="bottom"/>
          </w:tcPr>
          <w:p w:rsidR="007F7B42" w:rsidRPr="001D6512" w:rsidRDefault="007F7B42" w:rsidP="00C3606E">
            <w:pPr>
              <w:pStyle w:val="TableCell"/>
              <w:spacing w:before="60" w:after="60"/>
            </w:pPr>
          </w:p>
        </w:tc>
        <w:tc>
          <w:tcPr>
            <w:tcW w:w="1930"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7F7B42" w:rsidRPr="001D6512" w:rsidRDefault="007F7B42" w:rsidP="00C3606E">
            <w:pPr>
              <w:pStyle w:val="TableCell"/>
              <w:spacing w:before="60" w:after="60"/>
            </w:pPr>
            <w:r w:rsidRPr="001D6512">
              <w:t>Condenser Water Pump</w:t>
            </w:r>
          </w:p>
        </w:tc>
        <w:tc>
          <w:tcPr>
            <w:tcW w:w="976" w:type="pct"/>
            <w:tcBorders>
              <w:top w:val="single" w:sz="4" w:space="0" w:color="auto"/>
              <w:left w:val="nil"/>
              <w:bottom w:val="single" w:sz="4" w:space="0" w:color="auto"/>
              <w:right w:val="single" w:sz="8" w:space="0" w:color="auto"/>
            </w:tcBorders>
            <w:shd w:val="clear" w:color="auto" w:fill="D9D9D9"/>
            <w:noWrap/>
            <w:vAlign w:val="bottom"/>
          </w:tcPr>
          <w:p w:rsidR="007F7B42" w:rsidRPr="001D6512" w:rsidRDefault="007F7B42" w:rsidP="00C3606E">
            <w:pPr>
              <w:pStyle w:val="TableCell"/>
              <w:spacing w:before="60" w:after="60"/>
            </w:pPr>
            <w:r w:rsidRPr="001D6512">
              <w:rPr>
                <w:rFonts w:cs="Arial"/>
                <w:color w:val="000000"/>
                <w:szCs w:val="18"/>
              </w:rPr>
              <w:t>2170</w:t>
            </w:r>
          </w:p>
        </w:tc>
      </w:tr>
      <w:tr w:rsidR="007F7B42" w:rsidRPr="00671152" w:rsidTr="00C60D3E">
        <w:trPr>
          <w:trHeight w:val="259"/>
        </w:trPr>
        <w:tc>
          <w:tcPr>
            <w:tcW w:w="2093" w:type="pct"/>
            <w:vMerge/>
            <w:tcBorders>
              <w:left w:val="single" w:sz="8" w:space="0" w:color="auto"/>
              <w:right w:val="nil"/>
            </w:tcBorders>
            <w:shd w:val="clear" w:color="auto" w:fill="D9D9D9"/>
            <w:vAlign w:val="bottom"/>
          </w:tcPr>
          <w:p w:rsidR="007F7B42" w:rsidRPr="001D6512" w:rsidRDefault="007F7B42" w:rsidP="00C3606E">
            <w:pPr>
              <w:pStyle w:val="TableCell"/>
              <w:spacing w:before="60" w:after="60"/>
            </w:pPr>
          </w:p>
        </w:tc>
        <w:tc>
          <w:tcPr>
            <w:tcW w:w="1930"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7F7B42" w:rsidRPr="001D6512" w:rsidRDefault="007F7B42" w:rsidP="00C3606E">
            <w:pPr>
              <w:pStyle w:val="TableCell"/>
              <w:spacing w:before="60" w:after="60"/>
            </w:pPr>
            <w:r w:rsidRPr="001D6512">
              <w:t>HVAC Fan</w:t>
            </w:r>
          </w:p>
        </w:tc>
        <w:tc>
          <w:tcPr>
            <w:tcW w:w="976" w:type="pct"/>
            <w:tcBorders>
              <w:top w:val="single" w:sz="4" w:space="0" w:color="auto"/>
              <w:left w:val="nil"/>
              <w:bottom w:val="single" w:sz="4" w:space="0" w:color="auto"/>
              <w:right w:val="single" w:sz="8" w:space="0" w:color="auto"/>
            </w:tcBorders>
            <w:shd w:val="clear" w:color="auto" w:fill="D9D9D9"/>
            <w:noWrap/>
            <w:vAlign w:val="bottom"/>
          </w:tcPr>
          <w:p w:rsidR="007F7B42" w:rsidRPr="001D6512" w:rsidRDefault="007F7B42" w:rsidP="00C3606E">
            <w:pPr>
              <w:pStyle w:val="TableCell"/>
              <w:spacing w:before="60" w:after="60"/>
            </w:pPr>
            <w:r w:rsidRPr="001D6512">
              <w:rPr>
                <w:rFonts w:cs="Arial"/>
                <w:color w:val="000000"/>
                <w:szCs w:val="18"/>
              </w:rPr>
              <w:t>5236</w:t>
            </w:r>
          </w:p>
        </w:tc>
      </w:tr>
      <w:tr w:rsidR="007F7B42" w:rsidRPr="00671152" w:rsidTr="00C60D3E">
        <w:trPr>
          <w:trHeight w:val="259"/>
        </w:trPr>
        <w:tc>
          <w:tcPr>
            <w:tcW w:w="2093" w:type="pct"/>
            <w:vMerge/>
            <w:tcBorders>
              <w:left w:val="single" w:sz="8" w:space="0" w:color="auto"/>
              <w:right w:val="nil"/>
            </w:tcBorders>
            <w:shd w:val="clear" w:color="auto" w:fill="D9D9D9"/>
            <w:vAlign w:val="bottom"/>
          </w:tcPr>
          <w:p w:rsidR="007F7B42" w:rsidRPr="001D6512" w:rsidRDefault="007F7B42" w:rsidP="00C3606E">
            <w:pPr>
              <w:pStyle w:val="TableCell"/>
              <w:spacing w:before="60" w:after="60"/>
            </w:pPr>
          </w:p>
        </w:tc>
        <w:tc>
          <w:tcPr>
            <w:tcW w:w="1930"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7F7B42" w:rsidRPr="001D6512" w:rsidRDefault="007F7B42" w:rsidP="00C3606E">
            <w:pPr>
              <w:pStyle w:val="TableCell"/>
              <w:spacing w:before="60" w:after="60"/>
            </w:pPr>
            <w:r w:rsidRPr="001D6512">
              <w:t>Cooling Tower Fan</w:t>
            </w:r>
          </w:p>
        </w:tc>
        <w:tc>
          <w:tcPr>
            <w:tcW w:w="976" w:type="pct"/>
            <w:tcBorders>
              <w:top w:val="single" w:sz="4" w:space="0" w:color="auto"/>
              <w:left w:val="nil"/>
              <w:bottom w:val="single" w:sz="4" w:space="0" w:color="auto"/>
              <w:right w:val="single" w:sz="8" w:space="0" w:color="auto"/>
            </w:tcBorders>
            <w:shd w:val="clear" w:color="auto" w:fill="D9D9D9"/>
            <w:noWrap/>
            <w:vAlign w:val="bottom"/>
          </w:tcPr>
          <w:p w:rsidR="007F7B42" w:rsidRPr="001D6512" w:rsidRDefault="007F7B42" w:rsidP="00C3606E">
            <w:pPr>
              <w:pStyle w:val="TableCell"/>
              <w:spacing w:before="60" w:after="60"/>
            </w:pPr>
            <w:r w:rsidRPr="001D6512">
              <w:rPr>
                <w:rFonts w:cs="Arial"/>
                <w:color w:val="000000"/>
                <w:szCs w:val="18"/>
              </w:rPr>
              <w:t>1032</w:t>
            </w:r>
          </w:p>
        </w:tc>
      </w:tr>
      <w:tr w:rsidR="007F7B42" w:rsidRPr="00671152" w:rsidTr="00C60D3E">
        <w:trPr>
          <w:trHeight w:val="259"/>
        </w:trPr>
        <w:tc>
          <w:tcPr>
            <w:tcW w:w="2093" w:type="pct"/>
            <w:vMerge/>
            <w:tcBorders>
              <w:left w:val="single" w:sz="8" w:space="0" w:color="auto"/>
              <w:bottom w:val="single" w:sz="8" w:space="0" w:color="000000"/>
              <w:right w:val="nil"/>
            </w:tcBorders>
            <w:shd w:val="clear" w:color="auto" w:fill="D9D9D9"/>
            <w:vAlign w:val="bottom"/>
          </w:tcPr>
          <w:p w:rsidR="007F7B42" w:rsidRPr="001D6512" w:rsidRDefault="007F7B42" w:rsidP="00C3606E">
            <w:pPr>
              <w:pStyle w:val="TableCell"/>
              <w:spacing w:before="60" w:after="60"/>
            </w:pPr>
          </w:p>
        </w:tc>
        <w:tc>
          <w:tcPr>
            <w:tcW w:w="1930" w:type="pct"/>
            <w:tcBorders>
              <w:top w:val="single" w:sz="4" w:space="0" w:color="auto"/>
              <w:left w:val="single" w:sz="4" w:space="0" w:color="auto"/>
              <w:bottom w:val="single" w:sz="8" w:space="0" w:color="auto"/>
              <w:right w:val="single" w:sz="4" w:space="0" w:color="auto"/>
            </w:tcBorders>
            <w:shd w:val="clear" w:color="auto" w:fill="D9D9D9"/>
            <w:noWrap/>
            <w:vAlign w:val="bottom"/>
          </w:tcPr>
          <w:p w:rsidR="007F7B42" w:rsidRPr="001D6512" w:rsidRDefault="007F7B42" w:rsidP="00C3606E">
            <w:pPr>
              <w:pStyle w:val="TableCell"/>
              <w:spacing w:before="60" w:after="60"/>
            </w:pPr>
            <w:r w:rsidRPr="001D6512">
              <w:t>Other</w:t>
            </w:r>
          </w:p>
        </w:tc>
        <w:tc>
          <w:tcPr>
            <w:tcW w:w="976" w:type="pct"/>
            <w:tcBorders>
              <w:top w:val="single" w:sz="4" w:space="0" w:color="auto"/>
              <w:left w:val="nil"/>
              <w:bottom w:val="single" w:sz="8" w:space="0" w:color="auto"/>
              <w:right w:val="single" w:sz="8" w:space="0" w:color="auto"/>
            </w:tcBorders>
            <w:shd w:val="clear" w:color="auto" w:fill="D9D9D9"/>
            <w:noWrap/>
            <w:vAlign w:val="bottom"/>
          </w:tcPr>
          <w:p w:rsidR="007F7B42" w:rsidRPr="001D6512" w:rsidRDefault="007F7B42" w:rsidP="00C3606E">
            <w:pPr>
              <w:pStyle w:val="TableCell"/>
              <w:spacing w:before="60" w:after="60"/>
              <w:rPr>
                <w:rFonts w:cs="Arial"/>
                <w:color w:val="000000"/>
                <w:szCs w:val="18"/>
              </w:rPr>
            </w:pPr>
            <w:r w:rsidRPr="001D6512">
              <w:rPr>
                <w:rFonts w:cs="Arial"/>
                <w:color w:val="000000"/>
                <w:szCs w:val="18"/>
              </w:rPr>
              <w:t>3113</w:t>
            </w:r>
          </w:p>
        </w:tc>
      </w:tr>
    </w:tbl>
    <w:p w:rsidR="00A22E85" w:rsidRPr="001C4AD5" w:rsidRDefault="00A22E85" w:rsidP="00C3606E">
      <w:pPr>
        <w:spacing w:after="0"/>
      </w:pPr>
    </w:p>
    <w:p w:rsidR="00A22E85" w:rsidRPr="00BC5194" w:rsidRDefault="00A22E85" w:rsidP="00B20F6B">
      <w:pPr>
        <w:rPr>
          <w:b/>
        </w:rPr>
      </w:pPr>
      <w:r w:rsidRPr="00BC5194">
        <w:rPr>
          <w:b/>
        </w:rPr>
        <w:t>Source</w:t>
      </w:r>
      <w:r w:rsidR="00BC5194" w:rsidRPr="00BC5194">
        <w:rPr>
          <w:b/>
        </w:rPr>
        <w:t>s</w:t>
      </w:r>
      <w:r w:rsidRPr="00BC5194">
        <w:rPr>
          <w:b/>
        </w:rPr>
        <w:t xml:space="preserve">: </w:t>
      </w:r>
    </w:p>
    <w:p w:rsidR="00A22E85" w:rsidRDefault="00A22E85" w:rsidP="0005632A">
      <w:pPr>
        <w:pStyle w:val="source1"/>
        <w:numPr>
          <w:ilvl w:val="0"/>
          <w:numId w:val="126"/>
        </w:numPr>
      </w:pPr>
      <w:r w:rsidRPr="001C4AD5">
        <w:t xml:space="preserve">Motor Inventory Form, PA Technical Working Group. (See notes below in </w:t>
      </w:r>
      <w:r w:rsidR="00274AB1">
        <w:fldChar w:fldCharType="begin"/>
      </w:r>
      <w:r w:rsidR="00274AB1">
        <w:instrText xml:space="preserve"> REF _Ref274653038 \h  \* MERGEFORMAT </w:instrText>
      </w:r>
      <w:r w:rsidR="00274AB1">
        <w:fldChar w:fldCharType="separate"/>
      </w:r>
      <w:r w:rsidR="00C0292F">
        <w:t xml:space="preserve">Table </w:t>
      </w:r>
      <w:r w:rsidR="00C0292F">
        <w:rPr>
          <w:noProof/>
        </w:rPr>
        <w:t>3</w:t>
      </w:r>
      <w:r w:rsidR="00C0292F">
        <w:rPr>
          <w:noProof/>
        </w:rPr>
        <w:noBreakHyphen/>
        <w:t>15</w:t>
      </w:r>
      <w:r w:rsidR="00274AB1">
        <w:fldChar w:fldCharType="end"/>
      </w:r>
      <w:r w:rsidRPr="001C4AD5">
        <w:t>)</w:t>
      </w:r>
    </w:p>
    <w:p w:rsidR="007F7B42" w:rsidRPr="001C4AD5" w:rsidRDefault="007F7B42" w:rsidP="007F7B42">
      <w:pPr>
        <w:pStyle w:val="source1"/>
      </w:pPr>
      <w:r>
        <w:t>Other category calculated based on simple averages.</w:t>
      </w:r>
    </w:p>
    <w:p w:rsidR="001C4AD5" w:rsidRPr="001C4AD5" w:rsidRDefault="001C4AD5" w:rsidP="00B20F6B">
      <w:pPr>
        <w:pStyle w:val="Caption"/>
        <w:rPr>
          <w:noProof/>
        </w:rPr>
      </w:pPr>
      <w:bookmarkStart w:id="565" w:name="_Ref274653038"/>
      <w:bookmarkStart w:id="566" w:name="_Toc310875567"/>
      <w:r>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15</w:t>
      </w:r>
      <w:r w:rsidR="00274AB1">
        <w:rPr>
          <w:noProof/>
        </w:rPr>
        <w:fldChar w:fldCharType="end"/>
      </w:r>
      <w:bookmarkEnd w:id="565"/>
      <w:r>
        <w:t xml:space="preserve">: Notes for </w:t>
      </w:r>
      <w:r>
        <w:rPr>
          <w:noProof/>
        </w:rPr>
        <w:t>Stipulated Hours of Use Table</w:t>
      </w:r>
      <w:bookmarkEnd w:id="566"/>
    </w:p>
    <w:tbl>
      <w:tblPr>
        <w:tblW w:w="5000" w:type="pct"/>
        <w:tblLayout w:type="fixed"/>
        <w:tblLook w:val="0000" w:firstRow="0" w:lastRow="0" w:firstColumn="0" w:lastColumn="0" w:noHBand="0" w:noVBand="0"/>
      </w:tblPr>
      <w:tblGrid>
        <w:gridCol w:w="2538"/>
        <w:gridCol w:w="6318"/>
      </w:tblGrid>
      <w:tr w:rsidR="00A22E85" w:rsidRPr="00671152" w:rsidTr="005D7F62">
        <w:trPr>
          <w:trHeight w:val="300"/>
        </w:trPr>
        <w:tc>
          <w:tcPr>
            <w:tcW w:w="1433" w:type="pct"/>
            <w:tcBorders>
              <w:top w:val="single" w:sz="4" w:space="0" w:color="auto"/>
              <w:left w:val="single" w:sz="4" w:space="0" w:color="auto"/>
              <w:bottom w:val="single" w:sz="4" w:space="0" w:color="auto"/>
              <w:right w:val="nil"/>
            </w:tcBorders>
            <w:shd w:val="clear" w:color="auto" w:fill="BFBFBF"/>
            <w:noWrap/>
            <w:vAlign w:val="bottom"/>
          </w:tcPr>
          <w:p w:rsidR="00A22E85" w:rsidRPr="001D6512" w:rsidRDefault="00A22E85" w:rsidP="00C3606E">
            <w:pPr>
              <w:pStyle w:val="TableCell"/>
              <w:spacing w:before="60" w:after="60"/>
              <w:rPr>
                <w:b/>
              </w:rPr>
            </w:pPr>
            <w:r w:rsidRPr="001D6512">
              <w:rPr>
                <w:b/>
              </w:rPr>
              <w:t>Motor Usage Group</w:t>
            </w:r>
          </w:p>
        </w:tc>
        <w:tc>
          <w:tcPr>
            <w:tcW w:w="3567" w:type="pct"/>
            <w:tcBorders>
              <w:top w:val="single" w:sz="4" w:space="0" w:color="auto"/>
              <w:left w:val="single" w:sz="4" w:space="0" w:color="auto"/>
              <w:bottom w:val="single" w:sz="4" w:space="0" w:color="auto"/>
              <w:right w:val="single" w:sz="4" w:space="0" w:color="auto"/>
            </w:tcBorders>
            <w:shd w:val="clear" w:color="auto" w:fill="BFBFBF"/>
            <w:noWrap/>
            <w:vAlign w:val="bottom"/>
          </w:tcPr>
          <w:p w:rsidR="00A22E85" w:rsidRPr="001D6512" w:rsidRDefault="00A22E85" w:rsidP="00C3606E">
            <w:pPr>
              <w:pStyle w:val="TableCell"/>
              <w:spacing w:before="60" w:after="60"/>
              <w:rPr>
                <w:b/>
              </w:rPr>
            </w:pPr>
            <w:r w:rsidRPr="001D6512">
              <w:rPr>
                <w:b/>
              </w:rPr>
              <w:t>Method of Operating Hours Calculation</w:t>
            </w:r>
          </w:p>
        </w:tc>
      </w:tr>
      <w:tr w:rsidR="00A22E85" w:rsidRPr="00671152" w:rsidTr="005D7F62">
        <w:trPr>
          <w:trHeight w:val="576"/>
        </w:trPr>
        <w:tc>
          <w:tcPr>
            <w:tcW w:w="1433" w:type="pct"/>
            <w:tcBorders>
              <w:top w:val="nil"/>
              <w:left w:val="single" w:sz="4" w:space="0" w:color="auto"/>
              <w:bottom w:val="single" w:sz="4" w:space="0" w:color="auto"/>
              <w:right w:val="nil"/>
            </w:tcBorders>
            <w:noWrap/>
            <w:vAlign w:val="center"/>
          </w:tcPr>
          <w:p w:rsidR="00A22E85" w:rsidRPr="001D6512" w:rsidRDefault="00A22E85" w:rsidP="00C3606E">
            <w:pPr>
              <w:pStyle w:val="TableCell"/>
              <w:spacing w:before="60" w:after="60"/>
            </w:pPr>
            <w:r w:rsidRPr="001D6512">
              <w:t>Chilled Water Pump</w:t>
            </w:r>
          </w:p>
        </w:tc>
        <w:tc>
          <w:tcPr>
            <w:tcW w:w="3567" w:type="pct"/>
            <w:tcBorders>
              <w:top w:val="single" w:sz="4" w:space="0" w:color="auto"/>
              <w:left w:val="single" w:sz="4" w:space="0" w:color="auto"/>
              <w:bottom w:val="single" w:sz="4" w:space="0" w:color="auto"/>
              <w:right w:val="single" w:sz="4" w:space="0" w:color="000000"/>
            </w:tcBorders>
            <w:noWrap/>
            <w:vAlign w:val="center"/>
          </w:tcPr>
          <w:p w:rsidR="00A22E85" w:rsidRPr="001D6512" w:rsidRDefault="00A22E85" w:rsidP="00C3606E">
            <w:pPr>
              <w:pStyle w:val="TableCell"/>
              <w:spacing w:before="60" w:after="60"/>
            </w:pPr>
            <w:r w:rsidRPr="001D6512">
              <w:t>Hours when ambient temperature is above 60°F during building operating hours</w:t>
            </w:r>
          </w:p>
        </w:tc>
      </w:tr>
      <w:tr w:rsidR="00A22E85" w:rsidRPr="00671152" w:rsidTr="005D7F62">
        <w:trPr>
          <w:trHeight w:val="576"/>
        </w:trPr>
        <w:tc>
          <w:tcPr>
            <w:tcW w:w="1433" w:type="pct"/>
            <w:tcBorders>
              <w:top w:val="nil"/>
              <w:left w:val="single" w:sz="4" w:space="0" w:color="auto"/>
              <w:bottom w:val="single" w:sz="4" w:space="0" w:color="auto"/>
              <w:right w:val="nil"/>
            </w:tcBorders>
            <w:noWrap/>
            <w:vAlign w:val="center"/>
          </w:tcPr>
          <w:p w:rsidR="00A22E85" w:rsidRPr="001D6512" w:rsidRDefault="00A22E85" w:rsidP="00C3606E">
            <w:pPr>
              <w:pStyle w:val="TableCell"/>
              <w:spacing w:before="60" w:after="60"/>
            </w:pPr>
            <w:r w:rsidRPr="001D6512">
              <w:t>Heating Hot Water Pump</w:t>
            </w:r>
          </w:p>
        </w:tc>
        <w:tc>
          <w:tcPr>
            <w:tcW w:w="3567" w:type="pct"/>
            <w:tcBorders>
              <w:top w:val="single" w:sz="4" w:space="0" w:color="auto"/>
              <w:left w:val="single" w:sz="4" w:space="0" w:color="auto"/>
              <w:bottom w:val="single" w:sz="4" w:space="0" w:color="auto"/>
              <w:right w:val="single" w:sz="4" w:space="0" w:color="auto"/>
            </w:tcBorders>
            <w:noWrap/>
            <w:vAlign w:val="center"/>
          </w:tcPr>
          <w:p w:rsidR="00A22E85" w:rsidRPr="001D6512" w:rsidRDefault="00A22E85" w:rsidP="00C3606E">
            <w:pPr>
              <w:pStyle w:val="TableCell"/>
              <w:spacing w:before="60" w:after="60"/>
            </w:pPr>
            <w:r w:rsidRPr="001D6512">
              <w:t>Hours when ambient temperature is below 60°F during all hours</w:t>
            </w:r>
          </w:p>
        </w:tc>
      </w:tr>
      <w:tr w:rsidR="00A22E85" w:rsidRPr="00671152" w:rsidTr="005D7F62">
        <w:trPr>
          <w:trHeight w:val="576"/>
        </w:trPr>
        <w:tc>
          <w:tcPr>
            <w:tcW w:w="1433" w:type="pct"/>
            <w:tcBorders>
              <w:top w:val="nil"/>
              <w:left w:val="single" w:sz="4" w:space="0" w:color="auto"/>
              <w:bottom w:val="single" w:sz="4" w:space="0" w:color="auto"/>
              <w:right w:val="nil"/>
            </w:tcBorders>
            <w:noWrap/>
            <w:vAlign w:val="center"/>
          </w:tcPr>
          <w:p w:rsidR="00A22E85" w:rsidRPr="001D6512" w:rsidRDefault="00A22E85" w:rsidP="00C3606E">
            <w:pPr>
              <w:pStyle w:val="TableCell"/>
              <w:spacing w:before="60" w:after="60"/>
            </w:pPr>
            <w:r w:rsidRPr="001D6512">
              <w:t>Condenser Water Pump</w:t>
            </w:r>
          </w:p>
        </w:tc>
        <w:tc>
          <w:tcPr>
            <w:tcW w:w="3567" w:type="pct"/>
            <w:tcBorders>
              <w:top w:val="single" w:sz="4" w:space="0" w:color="auto"/>
              <w:left w:val="single" w:sz="4" w:space="0" w:color="auto"/>
              <w:bottom w:val="single" w:sz="4" w:space="0" w:color="auto"/>
              <w:right w:val="single" w:sz="4" w:space="0" w:color="000000"/>
            </w:tcBorders>
            <w:noWrap/>
            <w:vAlign w:val="center"/>
          </w:tcPr>
          <w:p w:rsidR="00A22E85" w:rsidRPr="001D6512" w:rsidRDefault="00A22E85" w:rsidP="00C3606E">
            <w:pPr>
              <w:pStyle w:val="TableCell"/>
              <w:spacing w:before="60" w:after="60"/>
            </w:pPr>
            <w:r w:rsidRPr="001D6512">
              <w:t>Hours when ambient temperature is above 60°F during building operating hours</w:t>
            </w:r>
          </w:p>
        </w:tc>
      </w:tr>
      <w:tr w:rsidR="00A22E85" w:rsidRPr="00671152" w:rsidTr="005D7F62">
        <w:trPr>
          <w:trHeight w:val="576"/>
        </w:trPr>
        <w:tc>
          <w:tcPr>
            <w:tcW w:w="1433" w:type="pct"/>
            <w:tcBorders>
              <w:top w:val="nil"/>
              <w:left w:val="single" w:sz="4" w:space="0" w:color="auto"/>
              <w:bottom w:val="single" w:sz="4" w:space="0" w:color="auto"/>
              <w:right w:val="nil"/>
            </w:tcBorders>
            <w:noWrap/>
            <w:vAlign w:val="center"/>
          </w:tcPr>
          <w:p w:rsidR="00A22E85" w:rsidRPr="001D6512" w:rsidRDefault="00A22E85" w:rsidP="00C3606E">
            <w:pPr>
              <w:pStyle w:val="TableCell"/>
              <w:spacing w:before="60" w:after="60"/>
            </w:pPr>
            <w:r w:rsidRPr="001D6512">
              <w:t>HVAC Fan</w:t>
            </w:r>
          </w:p>
        </w:tc>
        <w:tc>
          <w:tcPr>
            <w:tcW w:w="3567" w:type="pct"/>
            <w:tcBorders>
              <w:top w:val="single" w:sz="4" w:space="0" w:color="auto"/>
              <w:left w:val="single" w:sz="4" w:space="0" w:color="auto"/>
              <w:bottom w:val="single" w:sz="4" w:space="0" w:color="auto"/>
              <w:right w:val="single" w:sz="4" w:space="0" w:color="auto"/>
            </w:tcBorders>
            <w:noWrap/>
            <w:vAlign w:val="center"/>
          </w:tcPr>
          <w:p w:rsidR="00A22E85" w:rsidRPr="001D6512" w:rsidRDefault="00A22E85" w:rsidP="00C3606E">
            <w:pPr>
              <w:pStyle w:val="TableCell"/>
              <w:spacing w:before="60" w:after="60"/>
            </w:pPr>
            <w:r w:rsidRPr="001D6512">
              <w:t>Operating hours plus 20% of unoccupied hours </w:t>
            </w:r>
          </w:p>
        </w:tc>
      </w:tr>
      <w:tr w:rsidR="00A22E85" w:rsidRPr="00671152" w:rsidTr="005D7F62">
        <w:trPr>
          <w:trHeight w:val="576"/>
        </w:trPr>
        <w:tc>
          <w:tcPr>
            <w:tcW w:w="1433" w:type="pct"/>
            <w:tcBorders>
              <w:top w:val="nil"/>
              <w:left w:val="single" w:sz="4" w:space="0" w:color="auto"/>
              <w:bottom w:val="single" w:sz="4" w:space="0" w:color="auto"/>
              <w:right w:val="nil"/>
            </w:tcBorders>
            <w:noWrap/>
            <w:vAlign w:val="center"/>
          </w:tcPr>
          <w:p w:rsidR="00A22E85" w:rsidRPr="001D6512" w:rsidRDefault="00A22E85" w:rsidP="00C3606E">
            <w:pPr>
              <w:pStyle w:val="TableCell"/>
              <w:spacing w:before="60" w:after="60"/>
            </w:pPr>
            <w:r w:rsidRPr="001D6512">
              <w:t>Cooling Tower Fan</w:t>
            </w:r>
          </w:p>
        </w:tc>
        <w:tc>
          <w:tcPr>
            <w:tcW w:w="3567" w:type="pct"/>
            <w:tcBorders>
              <w:top w:val="single" w:sz="4" w:space="0" w:color="auto"/>
              <w:left w:val="single" w:sz="4" w:space="0" w:color="auto"/>
              <w:bottom w:val="single" w:sz="4" w:space="0" w:color="auto"/>
              <w:right w:val="single" w:sz="4" w:space="0" w:color="auto"/>
            </w:tcBorders>
            <w:noWrap/>
            <w:vAlign w:val="center"/>
          </w:tcPr>
          <w:p w:rsidR="00A22E85" w:rsidRPr="001D6512" w:rsidRDefault="00A22E85" w:rsidP="00C3606E">
            <w:pPr>
              <w:pStyle w:val="TableCell"/>
              <w:spacing w:before="60" w:after="60"/>
            </w:pPr>
            <w:r w:rsidRPr="001D6512">
              <w:t>Cooling EFLH according to EPA 2002</w:t>
            </w:r>
            <w:r w:rsidRPr="001D6512">
              <w:rPr>
                <w:rStyle w:val="FootnoteReference"/>
                <w:rFonts w:cs="Arial"/>
                <w:color w:val="000000"/>
              </w:rPr>
              <w:footnoteReference w:id="155"/>
            </w:r>
            <w:r w:rsidRPr="001D6512">
              <w:t xml:space="preserve"> (1032 hours for Philadelphia) </w:t>
            </w:r>
          </w:p>
        </w:tc>
      </w:tr>
    </w:tbl>
    <w:p w:rsidR="00AF340F" w:rsidRDefault="00AF340F" w:rsidP="00C3606E">
      <w:pPr>
        <w:keepNext/>
        <w:spacing w:after="0"/>
      </w:pPr>
    </w:p>
    <w:p w:rsidR="00945444" w:rsidRPr="00716DAB" w:rsidRDefault="00945444" w:rsidP="00C3606E">
      <w:pPr>
        <w:keepNext/>
        <w:rPr>
          <w:i/>
        </w:rPr>
      </w:pPr>
      <w:r w:rsidRPr="00716DAB">
        <w:rPr>
          <w:i/>
        </w:rPr>
        <w:t xml:space="preserve">Notes: </w:t>
      </w:r>
    </w:p>
    <w:p w:rsidR="00945444" w:rsidRDefault="00945444" w:rsidP="0005632A">
      <w:pPr>
        <w:pStyle w:val="source1"/>
        <w:numPr>
          <w:ilvl w:val="0"/>
          <w:numId w:val="42"/>
        </w:numPr>
      </w:pPr>
      <w:r>
        <w:t xml:space="preserve">Ambient temperature is derived from BIN Master weather data from Philadelphia. </w:t>
      </w:r>
    </w:p>
    <w:p w:rsidR="00AF340F" w:rsidRDefault="00945444" w:rsidP="00C3606E">
      <w:pPr>
        <w:pStyle w:val="source1"/>
      </w:pPr>
      <w:r>
        <w:t>Operating hours for each building type is estimated for typical use</w:t>
      </w:r>
      <w:r w:rsidR="00081878">
        <w:t>.</w:t>
      </w:r>
      <w:r>
        <w:t xml:space="preserve"> </w:t>
      </w:r>
    </w:p>
    <w:p w:rsidR="00945444" w:rsidRDefault="00945444" w:rsidP="00C3606E">
      <w:pPr>
        <w:pStyle w:val="source1"/>
      </w:pPr>
      <w:r>
        <w:t xml:space="preserve">Hospital &amp; Healthcare operating hours differ for pumps and HVAC. </w:t>
      </w:r>
    </w:p>
    <w:p w:rsidR="00945444" w:rsidRDefault="00945444" w:rsidP="00C3606E">
      <w:pPr>
        <w:pStyle w:val="source1"/>
        <w:spacing w:after="200"/>
      </w:pPr>
      <w:r>
        <w:t xml:space="preserve">Back up calculations and reference material can be found on the PA PUC website at the following address:  </w:t>
      </w:r>
      <w:hyperlink r:id="rId38" w:history="1">
        <w:r w:rsidR="00AF340F" w:rsidRPr="00002DB9">
          <w:rPr>
            <w:rStyle w:val="Hyperlink"/>
          </w:rPr>
          <w:t>http://www.puc.state.pa.us/electric/xls/Act129/TRM-Motor_Operating_Hours_Worksheet.xls</w:t>
        </w:r>
      </w:hyperlink>
    </w:p>
    <w:p w:rsidR="00791069" w:rsidRDefault="008E44A4" w:rsidP="008E44A4">
      <w:pPr>
        <w:pStyle w:val="Heading3"/>
      </w:pPr>
      <w:bookmarkStart w:id="567" w:name="_Ref248897685"/>
      <w:bookmarkStart w:id="568" w:name="_Toc249174109"/>
      <w:r>
        <w:t>Evaluation Protocol</w:t>
      </w:r>
    </w:p>
    <w:p w:rsidR="008E44A4" w:rsidRPr="008E44A4" w:rsidRDefault="007F7B42" w:rsidP="008E44A4">
      <w:r>
        <w:t>Motor projects achieving reported savings greater than 50,000 kWh and selected in the evaluator sample must be metered to verify reported savings. In addition, if any motor within a sampled project uses the other category to stipulate hours, the threshold is decreased to 25,000 kWh.</w:t>
      </w:r>
      <w:r w:rsidR="00B53C71">
        <w:t xml:space="preserve"> Metering is not mandatory where the motors in question are constant speed and hours can be easily verified through a building automation system schedule that clearly shows motor run time.</w:t>
      </w:r>
    </w:p>
    <w:p w:rsidR="00A22E85" w:rsidRPr="001C4AD5" w:rsidRDefault="001E6208" w:rsidP="00E568D4">
      <w:pPr>
        <w:pStyle w:val="Heading2"/>
      </w:pPr>
      <w:r>
        <w:br w:type="page"/>
      </w:r>
      <w:bookmarkStart w:id="569" w:name="_Toc310875443"/>
      <w:r w:rsidR="00A22E85" w:rsidRPr="001C4AD5">
        <w:lastRenderedPageBreak/>
        <w:t>Variable Frequency Drive (VFD) Improvements</w:t>
      </w:r>
      <w:bookmarkEnd w:id="567"/>
      <w:bookmarkEnd w:id="568"/>
      <w:bookmarkEnd w:id="569"/>
    </w:p>
    <w:p w:rsidR="00CB4A19" w:rsidRPr="001E62F4" w:rsidRDefault="00A22E85" w:rsidP="001669F2">
      <w:pPr>
        <w:pStyle w:val="BodyText"/>
      </w:pPr>
      <w:r w:rsidRPr="001C4AD5">
        <w:t>The following protocol for the measurement of energy and demand savings applies to the installation of Variable Frequency Drives (VFDs) in standard commercial building applications</w:t>
      </w:r>
      <w:r w:rsidR="00081878">
        <w:t xml:space="preserve"> shown in </w:t>
      </w:r>
      <w:r w:rsidR="007A1FB6">
        <w:fldChar w:fldCharType="begin"/>
      </w:r>
      <w:r w:rsidR="00081415">
        <w:instrText xml:space="preserve"> REF _Ref275556523 \h </w:instrText>
      </w:r>
      <w:r w:rsidR="007A1FB6">
        <w:fldChar w:fldCharType="separate"/>
      </w:r>
      <w:r w:rsidR="00C0292F">
        <w:t xml:space="preserve">Table </w:t>
      </w:r>
      <w:r w:rsidR="00C0292F">
        <w:rPr>
          <w:noProof/>
        </w:rPr>
        <w:t>3</w:t>
      </w:r>
      <w:r w:rsidR="00C0292F">
        <w:noBreakHyphen/>
      </w:r>
      <w:r w:rsidR="00C0292F">
        <w:rPr>
          <w:noProof/>
        </w:rPr>
        <w:t>17</w:t>
      </w:r>
      <w:r w:rsidR="007A1FB6">
        <w:fldChar w:fldCharType="end"/>
      </w:r>
      <w:r w:rsidRPr="001C4AD5">
        <w:t xml:space="preserve">: </w:t>
      </w:r>
      <w:r w:rsidR="001E62F4">
        <w:t>The baseline condition is a motor without a VFD control. The efficient condition is a motor with a VFD control.</w:t>
      </w:r>
    </w:p>
    <w:p w:rsidR="00A22E85" w:rsidRPr="001C4AD5" w:rsidRDefault="00A22E85" w:rsidP="00871FA2">
      <w:pPr>
        <w:pStyle w:val="Heading3"/>
      </w:pPr>
      <w:bookmarkStart w:id="570" w:name="_Toc249174110"/>
      <w:r w:rsidRPr="001C4AD5">
        <w:t>Algorithms</w:t>
      </w:r>
      <w:bookmarkEnd w:id="570"/>
    </w:p>
    <w:p w:rsidR="00A22E85" w:rsidRPr="00F5204A" w:rsidRDefault="00CB4A19" w:rsidP="00F7332F">
      <w:pPr>
        <w:pStyle w:val="Equation"/>
        <w:rPr>
          <w:rFonts w:cs="Arial"/>
          <w:szCs w:val="20"/>
          <w:vertAlign w:val="subscript"/>
        </w:rPr>
      </w:pPr>
      <w:r w:rsidRPr="00F5204A">
        <w:rPr>
          <w:rFonts w:cs="Arial"/>
          <w:szCs w:val="20"/>
        </w:rPr>
        <w:sym w:font="Symbol" w:char="F044"/>
      </w:r>
      <w:r w:rsidRPr="00F5204A">
        <w:rPr>
          <w:rFonts w:cs="Arial"/>
          <w:szCs w:val="20"/>
        </w:rPr>
        <w:t>kWh</w:t>
      </w:r>
      <w:r w:rsidRPr="00F5204A">
        <w:rPr>
          <w:rFonts w:cs="Arial"/>
          <w:szCs w:val="20"/>
        </w:rPr>
        <w:tab/>
      </w:r>
      <w:r w:rsidR="00A22E85" w:rsidRPr="00F5204A">
        <w:rPr>
          <w:rFonts w:cs="Arial"/>
          <w:szCs w:val="20"/>
        </w:rPr>
        <w:t xml:space="preserve"> </w:t>
      </w:r>
      <w:r w:rsidR="00ED65F0" w:rsidRPr="00F5204A">
        <w:rPr>
          <w:rFonts w:cs="Arial"/>
          <w:szCs w:val="20"/>
        </w:rPr>
        <w:tab/>
      </w:r>
      <w:r w:rsidR="00A22E85" w:rsidRPr="00F5204A">
        <w:rPr>
          <w:rFonts w:cs="Arial"/>
          <w:szCs w:val="20"/>
        </w:rPr>
        <w:t xml:space="preserve">= </w:t>
      </w:r>
      <w:r w:rsidR="0066238D" w:rsidRPr="00F5204A">
        <w:rPr>
          <w:rFonts w:cs="Arial"/>
          <w:szCs w:val="20"/>
        </w:rPr>
        <w:t>0.746 X HP X LF</w:t>
      </w:r>
      <w:r w:rsidR="00DC0817">
        <w:rPr>
          <w:rFonts w:cs="Arial"/>
          <w:szCs w:val="20"/>
        </w:rPr>
        <w:t xml:space="preserve"> </w:t>
      </w:r>
      <w:r w:rsidR="0066238D" w:rsidRPr="00F5204A">
        <w:rPr>
          <w:rFonts w:cs="Arial"/>
          <w:szCs w:val="20"/>
        </w:rPr>
        <w:t>/</w:t>
      </w:r>
      <w:r w:rsidR="00DC0817">
        <w:rPr>
          <w:rFonts w:cs="Arial"/>
          <w:szCs w:val="20"/>
        </w:rPr>
        <w:t xml:space="preserve"> </w:t>
      </w:r>
      <w:r w:rsidR="0066238D" w:rsidRPr="00F5204A">
        <w:rPr>
          <w:rFonts w:cs="Arial"/>
          <w:szCs w:val="20"/>
        </w:rPr>
        <w:t>η</w:t>
      </w:r>
      <w:r w:rsidR="0066238D" w:rsidRPr="00F5204A">
        <w:rPr>
          <w:rFonts w:cs="Arial"/>
          <w:szCs w:val="20"/>
          <w:vertAlign w:val="subscript"/>
        </w:rPr>
        <w:t>motor</w:t>
      </w:r>
      <w:r w:rsidR="0066238D" w:rsidRPr="00F5204A">
        <w:rPr>
          <w:rFonts w:cs="Arial"/>
          <w:szCs w:val="20"/>
        </w:rPr>
        <w:t xml:space="preserve"> X RHRS</w:t>
      </w:r>
      <w:r w:rsidR="0066238D" w:rsidRPr="00F5204A">
        <w:rPr>
          <w:rFonts w:cs="Arial"/>
          <w:szCs w:val="20"/>
          <w:vertAlign w:val="subscript"/>
        </w:rPr>
        <w:t>base</w:t>
      </w:r>
      <w:r w:rsidR="0066238D">
        <w:rPr>
          <w:rFonts w:cs="Arial"/>
          <w:szCs w:val="20"/>
        </w:rPr>
        <w:t xml:space="preserve"> X ESF</w:t>
      </w:r>
    </w:p>
    <w:p w:rsidR="0066238D" w:rsidRDefault="00CB4A19" w:rsidP="00F7332F">
      <w:pPr>
        <w:pStyle w:val="Equation"/>
        <w:rPr>
          <w:rFonts w:cs="Arial"/>
          <w:szCs w:val="20"/>
        </w:rPr>
      </w:pPr>
      <w:r w:rsidRPr="00F5204A">
        <w:rPr>
          <w:rFonts w:cs="Arial"/>
          <w:szCs w:val="20"/>
        </w:rPr>
        <w:sym w:font="Symbol" w:char="F044"/>
      </w:r>
      <w:r w:rsidRPr="00F5204A">
        <w:rPr>
          <w:rFonts w:cs="Arial"/>
          <w:szCs w:val="20"/>
        </w:rPr>
        <w:t>kW</w:t>
      </w:r>
      <w:r w:rsidRPr="00F5204A">
        <w:rPr>
          <w:rFonts w:cs="Arial"/>
          <w:szCs w:val="20"/>
          <w:vertAlign w:val="subscript"/>
        </w:rPr>
        <w:t>peak</w:t>
      </w:r>
      <w:r w:rsidRPr="00F5204A">
        <w:rPr>
          <w:rFonts w:cs="Arial"/>
          <w:szCs w:val="20"/>
        </w:rPr>
        <w:tab/>
      </w:r>
      <w:r w:rsidR="00A22E85" w:rsidRPr="00F5204A">
        <w:rPr>
          <w:rFonts w:cs="Arial"/>
          <w:szCs w:val="20"/>
        </w:rPr>
        <w:t xml:space="preserve"> </w:t>
      </w:r>
      <w:r w:rsidR="00ED65F0" w:rsidRPr="00F5204A">
        <w:rPr>
          <w:rFonts w:cs="Arial"/>
          <w:szCs w:val="20"/>
        </w:rPr>
        <w:tab/>
      </w:r>
      <w:r w:rsidR="00A22E85" w:rsidRPr="00F5204A">
        <w:rPr>
          <w:rFonts w:cs="Arial"/>
          <w:szCs w:val="20"/>
        </w:rPr>
        <w:t xml:space="preserve">= </w:t>
      </w:r>
      <w:r w:rsidR="0066238D" w:rsidRPr="00F5204A">
        <w:rPr>
          <w:rFonts w:cs="Arial"/>
          <w:szCs w:val="20"/>
        </w:rPr>
        <w:t>0.746 X HP X LF</w:t>
      </w:r>
      <w:r w:rsidR="00DC0817">
        <w:rPr>
          <w:rFonts w:cs="Arial"/>
          <w:szCs w:val="20"/>
        </w:rPr>
        <w:t xml:space="preserve"> </w:t>
      </w:r>
      <w:r w:rsidR="0066238D" w:rsidRPr="00F5204A">
        <w:rPr>
          <w:rFonts w:cs="Arial"/>
          <w:szCs w:val="20"/>
        </w:rPr>
        <w:t>/</w:t>
      </w:r>
      <w:r w:rsidR="00DC0817">
        <w:rPr>
          <w:rFonts w:cs="Arial"/>
          <w:szCs w:val="20"/>
        </w:rPr>
        <w:t xml:space="preserve"> </w:t>
      </w:r>
      <w:r w:rsidR="0066238D" w:rsidRPr="00F5204A">
        <w:rPr>
          <w:rFonts w:cs="Arial"/>
          <w:szCs w:val="20"/>
        </w:rPr>
        <w:t>η</w:t>
      </w:r>
      <w:r w:rsidR="0066238D" w:rsidRPr="00F5204A">
        <w:rPr>
          <w:rFonts w:cs="Arial"/>
          <w:szCs w:val="20"/>
          <w:vertAlign w:val="subscript"/>
        </w:rPr>
        <w:t>motor</w:t>
      </w:r>
      <w:r w:rsidR="0066238D" w:rsidRPr="00F5204A">
        <w:rPr>
          <w:rFonts w:cs="Arial"/>
          <w:szCs w:val="20"/>
        </w:rPr>
        <w:t xml:space="preserve"> X CF</w:t>
      </w:r>
      <w:r w:rsidR="0066238D">
        <w:rPr>
          <w:rFonts w:cs="Arial"/>
          <w:szCs w:val="20"/>
        </w:rPr>
        <w:t xml:space="preserve"> X DSF</w:t>
      </w:r>
      <w:r w:rsidR="0066238D" w:rsidRPr="00F5204A" w:rsidDel="0066238D">
        <w:rPr>
          <w:rFonts w:cs="Arial"/>
          <w:szCs w:val="20"/>
        </w:rPr>
        <w:t xml:space="preserve"> </w:t>
      </w:r>
    </w:p>
    <w:p w:rsidR="00A22E85" w:rsidRPr="001C4AD5" w:rsidRDefault="00A22E85" w:rsidP="00871FA2">
      <w:pPr>
        <w:pStyle w:val="Heading3"/>
      </w:pPr>
      <w:bookmarkStart w:id="571" w:name="_Toc249174111"/>
      <w:r w:rsidRPr="001C4AD5">
        <w:t xml:space="preserve">Definitions of </w:t>
      </w:r>
      <w:bookmarkEnd w:id="571"/>
      <w:r w:rsidR="001D7420">
        <w:t>Terms</w:t>
      </w:r>
    </w:p>
    <w:p w:rsidR="00A22E85" w:rsidRPr="00F5204A" w:rsidRDefault="00ED65F0" w:rsidP="00ED65F0">
      <w:pPr>
        <w:pStyle w:val="Equation"/>
        <w:rPr>
          <w:rFonts w:cs="Arial"/>
          <w:szCs w:val="20"/>
        </w:rPr>
      </w:pPr>
      <w:r w:rsidRPr="00F5204A">
        <w:rPr>
          <w:rFonts w:cs="Arial"/>
          <w:szCs w:val="20"/>
        </w:rPr>
        <w:tab/>
      </w:r>
      <w:r w:rsidR="00A22E85" w:rsidRPr="00F5204A">
        <w:rPr>
          <w:rFonts w:cs="Arial"/>
          <w:szCs w:val="20"/>
        </w:rPr>
        <w:t xml:space="preserve">HP </w:t>
      </w:r>
      <w:r w:rsidR="00F5204A" w:rsidRPr="00F5204A">
        <w:rPr>
          <w:rFonts w:cs="Arial"/>
          <w:szCs w:val="20"/>
        </w:rPr>
        <w:tab/>
      </w:r>
      <w:r w:rsidR="00A22E85" w:rsidRPr="00F5204A">
        <w:rPr>
          <w:rFonts w:cs="Arial"/>
          <w:szCs w:val="20"/>
        </w:rPr>
        <w:t>= Rated horsepower of the motor</w:t>
      </w:r>
    </w:p>
    <w:p w:rsidR="00A22E85" w:rsidRPr="00F5204A" w:rsidRDefault="00F5204A" w:rsidP="00F5204A">
      <w:pPr>
        <w:pStyle w:val="Equation"/>
        <w:rPr>
          <w:rFonts w:cs="Arial"/>
          <w:szCs w:val="20"/>
        </w:rPr>
      </w:pPr>
      <w:r w:rsidRPr="00F5204A">
        <w:rPr>
          <w:rFonts w:cs="Arial"/>
          <w:szCs w:val="20"/>
        </w:rPr>
        <w:tab/>
      </w:r>
      <w:r w:rsidR="00A22E85" w:rsidRPr="00F5204A">
        <w:rPr>
          <w:rFonts w:cs="Arial"/>
          <w:szCs w:val="20"/>
        </w:rPr>
        <w:t xml:space="preserve">LF </w:t>
      </w:r>
      <w:r w:rsidRPr="00F5204A">
        <w:rPr>
          <w:rFonts w:cs="Arial"/>
          <w:szCs w:val="20"/>
        </w:rPr>
        <w:tab/>
      </w:r>
      <w:r w:rsidR="00A22E85" w:rsidRPr="00F5204A">
        <w:rPr>
          <w:rFonts w:cs="Arial"/>
          <w:szCs w:val="20"/>
        </w:rPr>
        <w:t>=</w:t>
      </w:r>
      <w:r w:rsidRPr="00F5204A">
        <w:rPr>
          <w:rFonts w:cs="Arial"/>
          <w:szCs w:val="20"/>
        </w:rPr>
        <w:t xml:space="preserve"> </w:t>
      </w:r>
      <w:r w:rsidR="00A22E85" w:rsidRPr="00F5204A">
        <w:rPr>
          <w:rFonts w:cs="Arial"/>
          <w:szCs w:val="20"/>
        </w:rPr>
        <w:t xml:space="preserve">Load Factor. </w:t>
      </w:r>
      <w:r w:rsidR="0071112F" w:rsidRPr="00F5204A">
        <w:rPr>
          <w:rFonts w:cs="Arial"/>
          <w:szCs w:val="20"/>
        </w:rPr>
        <w:t>Ratio between the actual load and the rated load. Motor efficiency curves typically result in motors being most efficient at approximately 75% of the rated load. The default value is 0.75. Variable loaded motors should use custom measure protocols.</w:t>
      </w:r>
      <w:r w:rsidR="00C13D6E" w:rsidRPr="00F5204A">
        <w:rPr>
          <w:rStyle w:val="FootnoteReference"/>
          <w:rFonts w:cs="Arial"/>
          <w:szCs w:val="20"/>
        </w:rPr>
        <w:footnoteReference w:id="156"/>
      </w:r>
    </w:p>
    <w:p w:rsidR="00A22E85" w:rsidRPr="00F5204A" w:rsidRDefault="00ED65F0" w:rsidP="00ED65F0">
      <w:pPr>
        <w:pStyle w:val="Equation"/>
        <w:rPr>
          <w:rFonts w:cs="Arial"/>
          <w:szCs w:val="20"/>
        </w:rPr>
      </w:pPr>
      <w:r w:rsidRPr="00F5204A">
        <w:rPr>
          <w:rFonts w:cs="Arial"/>
          <w:szCs w:val="20"/>
        </w:rPr>
        <w:tab/>
      </w:r>
      <w:r w:rsidR="00A22E85" w:rsidRPr="00F5204A">
        <w:rPr>
          <w:rFonts w:cs="Arial"/>
          <w:szCs w:val="20"/>
        </w:rPr>
        <w:t>η</w:t>
      </w:r>
      <w:r w:rsidR="00A22E85" w:rsidRPr="00F5204A">
        <w:rPr>
          <w:rFonts w:cs="Arial"/>
          <w:szCs w:val="20"/>
          <w:vertAlign w:val="subscript"/>
        </w:rPr>
        <w:t>motor</w:t>
      </w:r>
      <w:r w:rsidR="00A22E85" w:rsidRPr="00F5204A">
        <w:rPr>
          <w:rFonts w:cs="Arial"/>
          <w:szCs w:val="20"/>
        </w:rPr>
        <w:t xml:space="preserve"> </w:t>
      </w:r>
      <w:r w:rsidRPr="00F5204A">
        <w:rPr>
          <w:rFonts w:cs="Arial"/>
          <w:szCs w:val="20"/>
        </w:rPr>
        <w:tab/>
      </w:r>
      <w:r w:rsidR="00A22E85" w:rsidRPr="00F5204A">
        <w:rPr>
          <w:rFonts w:cs="Arial"/>
          <w:szCs w:val="20"/>
        </w:rPr>
        <w:t xml:space="preserve">= Motor efficiency at the full-rated load. For VFD installations, this can be either an energy efficient motor or standard efficiency motor. Motor efficiency varies with load and decreases dramatically below 50% load; this is reflected in the ESF term of the algorithm. </w:t>
      </w:r>
    </w:p>
    <w:p w:rsidR="00A22E85" w:rsidRPr="00F5204A" w:rsidRDefault="00ED65F0" w:rsidP="00ED65F0">
      <w:pPr>
        <w:pStyle w:val="Equation"/>
        <w:rPr>
          <w:rFonts w:cs="Arial"/>
          <w:szCs w:val="20"/>
        </w:rPr>
      </w:pPr>
      <w:r w:rsidRPr="00F5204A">
        <w:rPr>
          <w:rFonts w:cs="Arial"/>
          <w:szCs w:val="20"/>
        </w:rPr>
        <w:tab/>
      </w:r>
      <w:r w:rsidR="00A22E85" w:rsidRPr="00F5204A">
        <w:rPr>
          <w:rFonts w:cs="Arial"/>
          <w:szCs w:val="20"/>
        </w:rPr>
        <w:t>RHRS</w:t>
      </w:r>
      <w:r w:rsidR="00A22E85" w:rsidRPr="00F5204A">
        <w:rPr>
          <w:rFonts w:cs="Arial"/>
          <w:szCs w:val="20"/>
          <w:vertAlign w:val="subscript"/>
        </w:rPr>
        <w:t>base</w:t>
      </w:r>
      <w:r w:rsidR="00A22E85" w:rsidRPr="00F5204A">
        <w:rPr>
          <w:rFonts w:cs="Arial"/>
          <w:szCs w:val="20"/>
        </w:rPr>
        <w:t xml:space="preserve"> </w:t>
      </w:r>
      <w:r w:rsidRPr="00F5204A">
        <w:rPr>
          <w:rFonts w:cs="Arial"/>
          <w:szCs w:val="20"/>
        </w:rPr>
        <w:tab/>
      </w:r>
      <w:r w:rsidR="00A22E85" w:rsidRPr="00F5204A">
        <w:rPr>
          <w:rFonts w:cs="Arial"/>
          <w:szCs w:val="20"/>
        </w:rPr>
        <w:t>= Annual run hours of the baseline motor</w:t>
      </w:r>
    </w:p>
    <w:p w:rsidR="00A22E85" w:rsidRPr="00F5204A" w:rsidRDefault="00ED65F0" w:rsidP="00ED65F0">
      <w:pPr>
        <w:pStyle w:val="Equation"/>
        <w:rPr>
          <w:rFonts w:cs="Arial"/>
          <w:szCs w:val="20"/>
        </w:rPr>
      </w:pPr>
      <w:r w:rsidRPr="00F5204A">
        <w:rPr>
          <w:rFonts w:cs="Arial"/>
          <w:szCs w:val="20"/>
        </w:rPr>
        <w:tab/>
      </w:r>
      <w:r w:rsidR="00A22E85" w:rsidRPr="00F5204A">
        <w:rPr>
          <w:rFonts w:cs="Arial"/>
          <w:szCs w:val="20"/>
        </w:rPr>
        <w:t xml:space="preserve">CF </w:t>
      </w:r>
      <w:r w:rsidRPr="00F5204A">
        <w:rPr>
          <w:rFonts w:cs="Arial"/>
          <w:szCs w:val="20"/>
        </w:rPr>
        <w:tab/>
      </w:r>
      <w:r w:rsidR="00A22E85" w:rsidRPr="00F5204A">
        <w:rPr>
          <w:rFonts w:cs="Arial"/>
          <w:szCs w:val="20"/>
        </w:rPr>
        <w:t xml:space="preserve">= </w:t>
      </w:r>
      <w:r w:rsidR="005478EE" w:rsidRPr="00F5204A">
        <w:rPr>
          <w:rFonts w:cs="Arial"/>
          <w:szCs w:val="20"/>
        </w:rPr>
        <w:t>Demand Coincidence Factor (See Section 1.4)</w:t>
      </w:r>
    </w:p>
    <w:p w:rsidR="00A22E85" w:rsidRPr="0066238D" w:rsidRDefault="00ED65F0" w:rsidP="00ED65F0">
      <w:pPr>
        <w:pStyle w:val="Equation"/>
        <w:rPr>
          <w:rFonts w:cs="Arial"/>
          <w:szCs w:val="20"/>
        </w:rPr>
      </w:pPr>
      <w:r w:rsidRPr="00F5204A">
        <w:rPr>
          <w:rFonts w:cs="Arial"/>
          <w:szCs w:val="20"/>
        </w:rPr>
        <w:tab/>
      </w:r>
      <w:r w:rsidR="00A22E85" w:rsidRPr="00F5204A">
        <w:rPr>
          <w:rFonts w:cs="Arial"/>
          <w:szCs w:val="20"/>
        </w:rPr>
        <w:t>ESF</w:t>
      </w:r>
      <w:r w:rsidRPr="00F5204A">
        <w:rPr>
          <w:rFonts w:cs="Arial"/>
          <w:szCs w:val="20"/>
        </w:rPr>
        <w:tab/>
      </w:r>
      <w:r w:rsidR="00A22E85" w:rsidRPr="00F5204A">
        <w:rPr>
          <w:rFonts w:cs="Arial"/>
          <w:szCs w:val="20"/>
        </w:rPr>
        <w:t xml:space="preserve">= Energy Savings Factor.  </w:t>
      </w:r>
      <w:r w:rsidR="0066238D">
        <w:rPr>
          <w:rFonts w:cs="Arial"/>
          <w:szCs w:val="20"/>
        </w:rPr>
        <w:t>Percent of baseline energy consumption saved by installing VFD.</w:t>
      </w:r>
    </w:p>
    <w:p w:rsidR="00A22E85" w:rsidRPr="0066238D" w:rsidRDefault="00D81E45" w:rsidP="00ED65F0">
      <w:pPr>
        <w:pStyle w:val="Equation"/>
        <w:rPr>
          <w:rFonts w:cs="Arial"/>
          <w:szCs w:val="20"/>
        </w:rPr>
      </w:pPr>
      <w:r w:rsidRPr="00F5204A">
        <w:rPr>
          <w:rFonts w:cs="Arial"/>
          <w:szCs w:val="20"/>
        </w:rPr>
        <w:tab/>
      </w:r>
      <w:r w:rsidR="00A22E85" w:rsidRPr="00F5204A">
        <w:rPr>
          <w:rFonts w:cs="Arial"/>
          <w:szCs w:val="20"/>
        </w:rPr>
        <w:t>DSF</w:t>
      </w:r>
      <w:r w:rsidRPr="00F5204A">
        <w:rPr>
          <w:rFonts w:cs="Arial"/>
          <w:szCs w:val="20"/>
        </w:rPr>
        <w:tab/>
      </w:r>
      <w:r w:rsidR="00A22E85" w:rsidRPr="00F5204A">
        <w:rPr>
          <w:rFonts w:cs="Arial"/>
          <w:szCs w:val="20"/>
        </w:rPr>
        <w:t xml:space="preserve">= Demand Savings Factor. </w:t>
      </w:r>
      <w:r w:rsidR="0066238D">
        <w:rPr>
          <w:rFonts w:cs="Arial"/>
          <w:szCs w:val="20"/>
        </w:rPr>
        <w:t>Percent of baseline demand saved by installing VFD</w:t>
      </w:r>
    </w:p>
    <w:p w:rsidR="00A22E85" w:rsidRPr="001C4AD5" w:rsidRDefault="00A22E85" w:rsidP="00871FA2">
      <w:pPr>
        <w:pStyle w:val="Heading3"/>
      </w:pPr>
      <w:bookmarkStart w:id="572" w:name="_Toc249174112"/>
      <w:r w:rsidRPr="001C4AD5">
        <w:t>Description of Calculation Method</w:t>
      </w:r>
      <w:bookmarkEnd w:id="572"/>
    </w:p>
    <w:p w:rsidR="00A22E85" w:rsidRPr="001C4AD5" w:rsidRDefault="00A22E85" w:rsidP="005D7F62">
      <w:r w:rsidRPr="001C4AD5">
        <w:t xml:space="preserve">Relative to the </w:t>
      </w:r>
      <w:r w:rsidR="009F3AAE">
        <w:rPr>
          <w:rFonts w:ascii="PalatinoLinotype" w:hAnsi="PalatinoLinotype" w:cs="PalatinoLinotype"/>
        </w:rPr>
        <w:t>algorithms in section (3.4.1)</w:t>
      </w:r>
      <w:r w:rsidRPr="001C4AD5">
        <w:t xml:space="preserve">, </w:t>
      </w:r>
      <w:r w:rsidRPr="001C4AD5">
        <w:rPr>
          <w:szCs w:val="24"/>
        </w:rPr>
        <w:sym w:font="Symbol" w:char="F044"/>
      </w:r>
      <w:r w:rsidRPr="001C4AD5">
        <w:t xml:space="preserve">kW values will be calculated for each VFD improvement in any project (account number). </w:t>
      </w:r>
    </w:p>
    <w:p w:rsidR="001C4AD5" w:rsidRDefault="001C4AD5" w:rsidP="00B20F6B">
      <w:pPr>
        <w:pStyle w:val="Caption"/>
      </w:pPr>
      <w:bookmarkStart w:id="573" w:name="_Ref275556726"/>
      <w:bookmarkStart w:id="574" w:name="_Toc310875568"/>
      <w:r>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16</w:t>
      </w:r>
      <w:r w:rsidR="00274AB1">
        <w:rPr>
          <w:noProof/>
        </w:rPr>
        <w:fldChar w:fldCharType="end"/>
      </w:r>
      <w:bookmarkEnd w:id="573"/>
      <w:r>
        <w:t>: Variables for VFD Calculations</w:t>
      </w:r>
      <w:bookmarkEnd w:id="574"/>
    </w:p>
    <w:tbl>
      <w:tblPr>
        <w:tblW w:w="5000" w:type="pct"/>
        <w:tblLook w:val="00A0" w:firstRow="1" w:lastRow="0" w:firstColumn="1" w:lastColumn="0" w:noHBand="0" w:noVBand="0"/>
      </w:tblPr>
      <w:tblGrid>
        <w:gridCol w:w="2070"/>
        <w:gridCol w:w="1098"/>
        <w:gridCol w:w="3240"/>
        <w:gridCol w:w="2448"/>
      </w:tblGrid>
      <w:tr w:rsidR="00A22E85" w:rsidRPr="00671152" w:rsidTr="0066238D">
        <w:trPr>
          <w:trHeight w:val="20"/>
        </w:trPr>
        <w:tc>
          <w:tcPr>
            <w:tcW w:w="1169" w:type="pct"/>
            <w:tcBorders>
              <w:top w:val="single" w:sz="8" w:space="0" w:color="auto"/>
              <w:left w:val="single" w:sz="8" w:space="0" w:color="auto"/>
              <w:bottom w:val="single" w:sz="4" w:space="0" w:color="auto"/>
              <w:right w:val="single" w:sz="8" w:space="0" w:color="auto"/>
            </w:tcBorders>
            <w:shd w:val="clear" w:color="auto" w:fill="BFBFBF"/>
            <w:vAlign w:val="center"/>
          </w:tcPr>
          <w:p w:rsidR="00A22E85" w:rsidRPr="001D6512" w:rsidRDefault="00A22E85" w:rsidP="00C3606E">
            <w:pPr>
              <w:pStyle w:val="TableCell"/>
              <w:spacing w:before="60" w:after="60"/>
              <w:rPr>
                <w:b/>
              </w:rPr>
            </w:pPr>
            <w:r w:rsidRPr="001D6512">
              <w:rPr>
                <w:b/>
              </w:rPr>
              <w:t>Component</w:t>
            </w:r>
          </w:p>
        </w:tc>
        <w:tc>
          <w:tcPr>
            <w:tcW w:w="620" w:type="pct"/>
            <w:tcBorders>
              <w:top w:val="single" w:sz="8" w:space="0" w:color="auto"/>
              <w:left w:val="nil"/>
              <w:bottom w:val="single" w:sz="4" w:space="0" w:color="auto"/>
              <w:right w:val="single" w:sz="8" w:space="0" w:color="auto"/>
            </w:tcBorders>
            <w:shd w:val="clear" w:color="auto" w:fill="BFBFBF"/>
            <w:vAlign w:val="center"/>
          </w:tcPr>
          <w:p w:rsidR="00A22E85" w:rsidRPr="001D6512" w:rsidRDefault="00A22E85" w:rsidP="00C3606E">
            <w:pPr>
              <w:pStyle w:val="TableCell"/>
              <w:spacing w:before="60" w:after="60"/>
              <w:rPr>
                <w:b/>
              </w:rPr>
            </w:pPr>
            <w:r w:rsidRPr="001D6512">
              <w:rPr>
                <w:b/>
              </w:rPr>
              <w:t>Type</w:t>
            </w:r>
          </w:p>
        </w:tc>
        <w:tc>
          <w:tcPr>
            <w:tcW w:w="1829" w:type="pct"/>
            <w:tcBorders>
              <w:top w:val="single" w:sz="8" w:space="0" w:color="auto"/>
              <w:left w:val="nil"/>
              <w:bottom w:val="single" w:sz="4" w:space="0" w:color="auto"/>
              <w:right w:val="single" w:sz="8" w:space="0" w:color="auto"/>
            </w:tcBorders>
            <w:shd w:val="clear" w:color="auto" w:fill="BFBFBF"/>
            <w:vAlign w:val="center"/>
          </w:tcPr>
          <w:p w:rsidR="00A22E85" w:rsidRPr="001D6512" w:rsidRDefault="00A22E85" w:rsidP="00C3606E">
            <w:pPr>
              <w:pStyle w:val="TableCell"/>
              <w:spacing w:before="60" w:after="60"/>
              <w:rPr>
                <w:b/>
              </w:rPr>
            </w:pPr>
            <w:r w:rsidRPr="001D6512">
              <w:rPr>
                <w:b/>
              </w:rPr>
              <w:t>Value</w:t>
            </w:r>
          </w:p>
        </w:tc>
        <w:tc>
          <w:tcPr>
            <w:tcW w:w="1382" w:type="pct"/>
            <w:tcBorders>
              <w:top w:val="single" w:sz="8" w:space="0" w:color="auto"/>
              <w:left w:val="nil"/>
              <w:bottom w:val="single" w:sz="4" w:space="0" w:color="auto"/>
              <w:right w:val="single" w:sz="8" w:space="0" w:color="auto"/>
            </w:tcBorders>
            <w:shd w:val="clear" w:color="auto" w:fill="BFBFBF"/>
            <w:vAlign w:val="center"/>
          </w:tcPr>
          <w:p w:rsidR="00A22E85" w:rsidRPr="001D6512" w:rsidRDefault="00A22E85" w:rsidP="00C3606E">
            <w:pPr>
              <w:pStyle w:val="TableCell"/>
              <w:spacing w:before="60" w:after="60"/>
              <w:rPr>
                <w:b/>
              </w:rPr>
            </w:pPr>
            <w:r w:rsidRPr="001D6512">
              <w:rPr>
                <w:b/>
              </w:rPr>
              <w:t>Source</w:t>
            </w:r>
          </w:p>
        </w:tc>
      </w:tr>
      <w:tr w:rsidR="00A22E85" w:rsidRPr="00671152" w:rsidTr="0066238D">
        <w:trPr>
          <w:trHeight w:val="20"/>
        </w:trPr>
        <w:tc>
          <w:tcPr>
            <w:tcW w:w="1169" w:type="pct"/>
            <w:tcBorders>
              <w:top w:val="single" w:sz="4" w:space="0" w:color="auto"/>
              <w:left w:val="single" w:sz="4" w:space="0" w:color="auto"/>
              <w:bottom w:val="single" w:sz="8" w:space="0" w:color="auto"/>
              <w:right w:val="single" w:sz="8" w:space="0" w:color="auto"/>
            </w:tcBorders>
            <w:vAlign w:val="center"/>
          </w:tcPr>
          <w:p w:rsidR="00A22E85" w:rsidRPr="001D6512" w:rsidRDefault="00A22E85" w:rsidP="00C3606E">
            <w:pPr>
              <w:pStyle w:val="TableCell"/>
              <w:spacing w:before="60" w:after="60"/>
            </w:pPr>
            <w:r w:rsidRPr="001D6512">
              <w:t>Motor HP</w:t>
            </w:r>
          </w:p>
        </w:tc>
        <w:tc>
          <w:tcPr>
            <w:tcW w:w="620" w:type="pct"/>
            <w:tcBorders>
              <w:top w:val="single" w:sz="4" w:space="0" w:color="auto"/>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Variable</w:t>
            </w:r>
          </w:p>
        </w:tc>
        <w:tc>
          <w:tcPr>
            <w:tcW w:w="1829" w:type="pct"/>
            <w:tcBorders>
              <w:top w:val="single" w:sz="4" w:space="0" w:color="auto"/>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Nameplate</w:t>
            </w:r>
          </w:p>
        </w:tc>
        <w:tc>
          <w:tcPr>
            <w:tcW w:w="1382" w:type="pct"/>
            <w:tcBorders>
              <w:top w:val="single" w:sz="4" w:space="0" w:color="auto"/>
              <w:left w:val="nil"/>
              <w:bottom w:val="single" w:sz="8" w:space="0" w:color="auto"/>
              <w:right w:val="single" w:sz="4" w:space="0" w:color="auto"/>
            </w:tcBorders>
            <w:vAlign w:val="center"/>
          </w:tcPr>
          <w:p w:rsidR="00A22E85" w:rsidRPr="001D6512" w:rsidRDefault="00A22E85" w:rsidP="00C3606E">
            <w:pPr>
              <w:pStyle w:val="TableCell"/>
              <w:spacing w:before="60" w:after="60"/>
            </w:pPr>
            <w:r w:rsidRPr="001D6512">
              <w:t>EDC Data Gathering</w:t>
            </w:r>
          </w:p>
        </w:tc>
      </w:tr>
      <w:tr w:rsidR="00A22E85" w:rsidRPr="00671152" w:rsidTr="0066238D">
        <w:trPr>
          <w:trHeight w:val="20"/>
        </w:trPr>
        <w:tc>
          <w:tcPr>
            <w:tcW w:w="1169" w:type="pct"/>
            <w:vMerge w:val="restart"/>
            <w:tcBorders>
              <w:top w:val="nil"/>
              <w:left w:val="single" w:sz="4" w:space="0" w:color="auto"/>
              <w:bottom w:val="nil"/>
              <w:right w:val="single" w:sz="8" w:space="0" w:color="auto"/>
            </w:tcBorders>
            <w:vAlign w:val="center"/>
          </w:tcPr>
          <w:p w:rsidR="00A22E85" w:rsidRPr="001D6512" w:rsidRDefault="00A22E85" w:rsidP="00C3606E">
            <w:pPr>
              <w:pStyle w:val="TableCell"/>
              <w:spacing w:before="60" w:after="60"/>
            </w:pPr>
            <w:r w:rsidRPr="001D6512">
              <w:t>RHRS</w:t>
            </w:r>
            <w:r w:rsidRPr="001D6512">
              <w:rPr>
                <w:rStyle w:val="FootnoteReference"/>
                <w:rFonts w:cs="Arial"/>
                <w:color w:val="000000"/>
              </w:rPr>
              <w:footnoteReference w:id="157"/>
            </w:r>
          </w:p>
        </w:tc>
        <w:tc>
          <w:tcPr>
            <w:tcW w:w="620" w:type="pct"/>
            <w:vMerge w:val="restart"/>
            <w:tcBorders>
              <w:top w:val="nil"/>
              <w:left w:val="single" w:sz="8" w:space="0" w:color="auto"/>
              <w:bottom w:val="nil"/>
              <w:right w:val="single" w:sz="8" w:space="0" w:color="auto"/>
            </w:tcBorders>
            <w:vAlign w:val="center"/>
          </w:tcPr>
          <w:p w:rsidR="00A22E85" w:rsidRPr="001D6512" w:rsidRDefault="00A22E85" w:rsidP="00C3606E">
            <w:pPr>
              <w:pStyle w:val="TableCell"/>
              <w:spacing w:before="60" w:after="60"/>
            </w:pPr>
            <w:r w:rsidRPr="001D6512">
              <w:t>Variable</w:t>
            </w:r>
          </w:p>
        </w:tc>
        <w:tc>
          <w:tcPr>
            <w:tcW w:w="1829" w:type="pct"/>
            <w:tcBorders>
              <w:top w:val="single" w:sz="8" w:space="0" w:color="auto"/>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Based on logging and modeling</w:t>
            </w:r>
          </w:p>
        </w:tc>
        <w:tc>
          <w:tcPr>
            <w:tcW w:w="1382" w:type="pct"/>
            <w:tcBorders>
              <w:top w:val="single" w:sz="8" w:space="0" w:color="auto"/>
              <w:left w:val="nil"/>
              <w:bottom w:val="single" w:sz="8" w:space="0" w:color="auto"/>
              <w:right w:val="single" w:sz="4" w:space="0" w:color="auto"/>
            </w:tcBorders>
            <w:vAlign w:val="center"/>
          </w:tcPr>
          <w:p w:rsidR="00A22E85" w:rsidRPr="001D6512" w:rsidRDefault="00A22E85" w:rsidP="00C3606E">
            <w:pPr>
              <w:pStyle w:val="TableCell"/>
              <w:spacing w:before="60" w:after="60"/>
            </w:pPr>
            <w:r w:rsidRPr="001D6512">
              <w:t xml:space="preserve">EDC Data Gathering </w:t>
            </w:r>
          </w:p>
        </w:tc>
      </w:tr>
      <w:tr w:rsidR="00A22E85" w:rsidRPr="00671152" w:rsidTr="0066238D">
        <w:trPr>
          <w:trHeight w:val="20"/>
        </w:trPr>
        <w:tc>
          <w:tcPr>
            <w:tcW w:w="1169" w:type="pct"/>
            <w:vMerge/>
            <w:tcBorders>
              <w:top w:val="nil"/>
              <w:left w:val="single" w:sz="4" w:space="0" w:color="auto"/>
              <w:bottom w:val="single" w:sz="4" w:space="0" w:color="auto"/>
              <w:right w:val="single" w:sz="8" w:space="0" w:color="auto"/>
            </w:tcBorders>
            <w:vAlign w:val="center"/>
          </w:tcPr>
          <w:p w:rsidR="00A22E85" w:rsidRPr="001D6512" w:rsidRDefault="00A22E85" w:rsidP="00C3606E">
            <w:pPr>
              <w:pStyle w:val="TableCell"/>
              <w:spacing w:before="60" w:after="60"/>
            </w:pPr>
          </w:p>
        </w:tc>
        <w:tc>
          <w:tcPr>
            <w:tcW w:w="620" w:type="pct"/>
            <w:vMerge/>
            <w:tcBorders>
              <w:top w:val="nil"/>
              <w:left w:val="single" w:sz="8" w:space="0" w:color="auto"/>
              <w:bottom w:val="single" w:sz="4" w:space="0" w:color="auto"/>
              <w:right w:val="single" w:sz="8" w:space="0" w:color="auto"/>
            </w:tcBorders>
            <w:vAlign w:val="center"/>
          </w:tcPr>
          <w:p w:rsidR="00A22E85" w:rsidRPr="001D6512" w:rsidRDefault="00A22E85" w:rsidP="00C3606E">
            <w:pPr>
              <w:pStyle w:val="TableCell"/>
              <w:spacing w:before="60" w:after="60"/>
            </w:pPr>
          </w:p>
        </w:tc>
        <w:tc>
          <w:tcPr>
            <w:tcW w:w="1829" w:type="pct"/>
            <w:tcBorders>
              <w:top w:val="single" w:sz="8" w:space="0" w:color="auto"/>
              <w:left w:val="nil"/>
              <w:bottom w:val="single" w:sz="4" w:space="0" w:color="auto"/>
              <w:right w:val="single" w:sz="8" w:space="0" w:color="auto"/>
            </w:tcBorders>
            <w:vAlign w:val="center"/>
          </w:tcPr>
          <w:p w:rsidR="00A22E85" w:rsidRPr="001D6512" w:rsidRDefault="007A1FB6" w:rsidP="00C3606E">
            <w:pPr>
              <w:pStyle w:val="TableCell"/>
              <w:spacing w:before="60" w:after="60"/>
            </w:pPr>
            <w:r w:rsidRPr="001D6512">
              <w:fldChar w:fldCharType="begin"/>
            </w:r>
            <w:r w:rsidR="00BB2D8C" w:rsidRPr="001D6512">
              <w:instrText xml:space="preserve"> REF _Ref275556522 \h </w:instrText>
            </w:r>
            <w:r w:rsidRPr="001D6512">
              <w:fldChar w:fldCharType="separate"/>
            </w:r>
            <w:r w:rsidR="00C0292F">
              <w:t xml:space="preserve">Table </w:t>
            </w:r>
            <w:r w:rsidR="00C0292F">
              <w:rPr>
                <w:noProof/>
              </w:rPr>
              <w:t>3</w:t>
            </w:r>
            <w:r w:rsidR="00C0292F">
              <w:noBreakHyphen/>
            </w:r>
            <w:r w:rsidR="00C0292F">
              <w:rPr>
                <w:noProof/>
              </w:rPr>
              <w:t>14</w:t>
            </w:r>
            <w:r w:rsidRPr="001D6512">
              <w:fldChar w:fldCharType="end"/>
            </w:r>
          </w:p>
        </w:tc>
        <w:tc>
          <w:tcPr>
            <w:tcW w:w="1382" w:type="pct"/>
            <w:tcBorders>
              <w:top w:val="single" w:sz="8" w:space="0" w:color="auto"/>
              <w:left w:val="nil"/>
              <w:bottom w:val="single" w:sz="4" w:space="0" w:color="auto"/>
              <w:right w:val="single" w:sz="4" w:space="0" w:color="auto"/>
            </w:tcBorders>
            <w:vAlign w:val="center"/>
          </w:tcPr>
          <w:p w:rsidR="00A22E85" w:rsidRPr="001D6512" w:rsidRDefault="00A22E85" w:rsidP="00C3606E">
            <w:pPr>
              <w:pStyle w:val="TableCell"/>
              <w:spacing w:before="60" w:after="60"/>
            </w:pPr>
            <w:r w:rsidRPr="001D6512">
              <w:t xml:space="preserve">See </w:t>
            </w:r>
            <w:r w:rsidR="00081878" w:rsidRPr="001D6512">
              <w:t xml:space="preserve"> </w:t>
            </w:r>
            <w:r w:rsidR="007A1FB6" w:rsidRPr="001D6512">
              <w:fldChar w:fldCharType="begin"/>
            </w:r>
            <w:r w:rsidR="00BB2D8C" w:rsidRPr="001D6512">
              <w:instrText xml:space="preserve"> REF _Ref275556522 \h </w:instrText>
            </w:r>
            <w:r w:rsidR="007A1FB6" w:rsidRPr="001D6512">
              <w:fldChar w:fldCharType="separate"/>
            </w:r>
            <w:r w:rsidR="00C0292F">
              <w:t xml:space="preserve">Table </w:t>
            </w:r>
            <w:r w:rsidR="00C0292F">
              <w:rPr>
                <w:noProof/>
              </w:rPr>
              <w:t>3</w:t>
            </w:r>
            <w:r w:rsidR="00C0292F">
              <w:noBreakHyphen/>
            </w:r>
            <w:r w:rsidR="00C0292F">
              <w:rPr>
                <w:noProof/>
              </w:rPr>
              <w:t>14</w:t>
            </w:r>
            <w:r w:rsidR="007A1FB6" w:rsidRPr="001D6512">
              <w:fldChar w:fldCharType="end"/>
            </w:r>
          </w:p>
        </w:tc>
      </w:tr>
      <w:tr w:rsidR="00A22E85" w:rsidRPr="00671152" w:rsidTr="0066238D">
        <w:trPr>
          <w:trHeight w:val="20"/>
        </w:trPr>
        <w:tc>
          <w:tcPr>
            <w:tcW w:w="1169" w:type="pct"/>
            <w:vMerge w:val="restart"/>
            <w:tcBorders>
              <w:top w:val="single" w:sz="4" w:space="0" w:color="auto"/>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r w:rsidRPr="001D6512">
              <w:t>LF</w:t>
            </w:r>
            <w:r w:rsidRPr="001D6512">
              <w:rPr>
                <w:rStyle w:val="FootnoteReference"/>
                <w:rFonts w:cs="Arial"/>
                <w:color w:val="000000"/>
              </w:rPr>
              <w:footnoteReference w:id="158"/>
            </w:r>
          </w:p>
        </w:tc>
        <w:tc>
          <w:tcPr>
            <w:tcW w:w="620" w:type="pct"/>
            <w:vMerge w:val="restart"/>
            <w:tcBorders>
              <w:top w:val="single" w:sz="4" w:space="0" w:color="auto"/>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r w:rsidRPr="001D6512">
              <w:t>Variable</w:t>
            </w:r>
          </w:p>
        </w:tc>
        <w:tc>
          <w:tcPr>
            <w:tcW w:w="1829" w:type="pct"/>
            <w:tcBorders>
              <w:top w:val="single" w:sz="4" w:space="0" w:color="auto"/>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Based on spot metering and nameplate</w:t>
            </w:r>
          </w:p>
        </w:tc>
        <w:tc>
          <w:tcPr>
            <w:tcW w:w="1382" w:type="pct"/>
            <w:tcBorders>
              <w:top w:val="single" w:sz="4" w:space="0" w:color="auto"/>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EDC Data Gathering</w:t>
            </w:r>
          </w:p>
        </w:tc>
      </w:tr>
      <w:tr w:rsidR="00A22E85" w:rsidRPr="00671152" w:rsidTr="0066238D">
        <w:trPr>
          <w:trHeight w:val="20"/>
        </w:trPr>
        <w:tc>
          <w:tcPr>
            <w:tcW w:w="1169" w:type="pct"/>
            <w:vMerge/>
            <w:tcBorders>
              <w:top w:val="single" w:sz="8" w:space="0" w:color="auto"/>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p>
        </w:tc>
        <w:tc>
          <w:tcPr>
            <w:tcW w:w="620" w:type="pct"/>
            <w:vMerge/>
            <w:tcBorders>
              <w:top w:val="single" w:sz="8" w:space="0" w:color="auto"/>
              <w:left w:val="single" w:sz="8" w:space="0" w:color="auto"/>
              <w:bottom w:val="single" w:sz="8" w:space="0" w:color="000000"/>
              <w:right w:val="single" w:sz="8" w:space="0" w:color="auto"/>
            </w:tcBorders>
            <w:vAlign w:val="center"/>
          </w:tcPr>
          <w:p w:rsidR="00A22E85" w:rsidRPr="001D6512" w:rsidRDefault="00A22E85" w:rsidP="00C3606E">
            <w:pPr>
              <w:pStyle w:val="TableCell"/>
              <w:spacing w:before="60" w:after="60"/>
            </w:pPr>
          </w:p>
        </w:tc>
        <w:tc>
          <w:tcPr>
            <w:tcW w:w="1829" w:type="pct"/>
            <w:tcBorders>
              <w:top w:val="single" w:sz="8" w:space="0" w:color="auto"/>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Default 75%</w:t>
            </w:r>
          </w:p>
        </w:tc>
        <w:tc>
          <w:tcPr>
            <w:tcW w:w="1382" w:type="pct"/>
            <w:tcBorders>
              <w:top w:val="single" w:sz="8" w:space="0" w:color="auto"/>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1</w:t>
            </w:r>
          </w:p>
        </w:tc>
      </w:tr>
      <w:tr w:rsidR="00A22E85" w:rsidRPr="00671152" w:rsidTr="0066238D">
        <w:trPr>
          <w:trHeight w:val="20"/>
        </w:trPr>
        <w:tc>
          <w:tcPr>
            <w:tcW w:w="1169" w:type="pct"/>
            <w:tcBorders>
              <w:top w:val="nil"/>
              <w:left w:val="single" w:sz="8" w:space="0" w:color="auto"/>
              <w:bottom w:val="single" w:sz="8" w:space="0" w:color="auto"/>
              <w:right w:val="single" w:sz="8" w:space="0" w:color="auto"/>
            </w:tcBorders>
            <w:vAlign w:val="center"/>
          </w:tcPr>
          <w:p w:rsidR="00A22E85" w:rsidRPr="001D6512" w:rsidRDefault="00A22E85" w:rsidP="00C3606E">
            <w:pPr>
              <w:pStyle w:val="TableCell"/>
              <w:spacing w:before="60" w:after="60"/>
            </w:pPr>
            <w:r w:rsidRPr="001D6512">
              <w:t>ESF</w:t>
            </w:r>
          </w:p>
        </w:tc>
        <w:tc>
          <w:tcPr>
            <w:tcW w:w="620" w:type="pct"/>
            <w:tcBorders>
              <w:top w:val="nil"/>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Variable</w:t>
            </w:r>
          </w:p>
        </w:tc>
        <w:tc>
          <w:tcPr>
            <w:tcW w:w="1829" w:type="pct"/>
            <w:tcBorders>
              <w:top w:val="nil"/>
              <w:left w:val="nil"/>
              <w:bottom w:val="single" w:sz="8" w:space="0" w:color="auto"/>
              <w:right w:val="single" w:sz="8" w:space="0" w:color="auto"/>
            </w:tcBorders>
            <w:vAlign w:val="center"/>
          </w:tcPr>
          <w:p w:rsidR="00A22E85" w:rsidRPr="001D6512" w:rsidRDefault="00081878" w:rsidP="00C3606E">
            <w:pPr>
              <w:pStyle w:val="TableCell"/>
              <w:spacing w:before="60" w:after="60"/>
            </w:pPr>
            <w:r w:rsidRPr="001D6512">
              <w:t xml:space="preserve">See </w:t>
            </w:r>
            <w:r w:rsidR="00274AB1">
              <w:fldChar w:fldCharType="begin"/>
            </w:r>
            <w:r w:rsidR="00274AB1">
              <w:instrText xml:space="preserve"> REF _Ref261523229 \h  \* MERGEFORMAT </w:instrText>
            </w:r>
            <w:r w:rsidR="00274AB1">
              <w:fldChar w:fldCharType="separate"/>
            </w:r>
            <w:r w:rsidR="00C0292F">
              <w:t xml:space="preserve">Table </w:t>
            </w:r>
            <w:r w:rsidR="00C0292F">
              <w:rPr>
                <w:noProof/>
              </w:rPr>
              <w:t>3</w:t>
            </w:r>
            <w:r w:rsidR="00C0292F">
              <w:rPr>
                <w:noProof/>
              </w:rPr>
              <w:noBreakHyphen/>
              <w:t>17</w:t>
            </w:r>
            <w:r w:rsidR="00274AB1">
              <w:fldChar w:fldCharType="end"/>
            </w:r>
          </w:p>
        </w:tc>
        <w:tc>
          <w:tcPr>
            <w:tcW w:w="1382" w:type="pct"/>
            <w:tcBorders>
              <w:top w:val="nil"/>
              <w:left w:val="nil"/>
              <w:bottom w:val="single" w:sz="8" w:space="0" w:color="auto"/>
              <w:right w:val="single" w:sz="8" w:space="0" w:color="auto"/>
            </w:tcBorders>
            <w:vAlign w:val="center"/>
          </w:tcPr>
          <w:p w:rsidR="00A22E85" w:rsidRPr="001D6512" w:rsidRDefault="00A22E85" w:rsidP="00C3606E">
            <w:pPr>
              <w:pStyle w:val="TableCell"/>
              <w:spacing w:before="60" w:after="60"/>
              <w:rPr>
                <w:highlight w:val="yellow"/>
              </w:rPr>
            </w:pPr>
            <w:r w:rsidRPr="001D6512">
              <w:t xml:space="preserve">See </w:t>
            </w:r>
            <w:r w:rsidR="007A1FB6" w:rsidRPr="001D6512">
              <w:fldChar w:fldCharType="begin"/>
            </w:r>
            <w:r w:rsidR="00BB2D8C" w:rsidRPr="001D6512">
              <w:instrText xml:space="preserve"> REF _Ref275556523 \h </w:instrText>
            </w:r>
            <w:r w:rsidR="007A1FB6" w:rsidRPr="001D6512">
              <w:fldChar w:fldCharType="separate"/>
            </w:r>
            <w:r w:rsidR="00C0292F">
              <w:t xml:space="preserve">Table </w:t>
            </w:r>
            <w:r w:rsidR="00C0292F">
              <w:rPr>
                <w:noProof/>
              </w:rPr>
              <w:t>3</w:t>
            </w:r>
            <w:r w:rsidR="00C0292F">
              <w:noBreakHyphen/>
            </w:r>
            <w:r w:rsidR="00C0292F">
              <w:rPr>
                <w:noProof/>
              </w:rPr>
              <w:t>17</w:t>
            </w:r>
            <w:r w:rsidR="007A1FB6" w:rsidRPr="001D6512">
              <w:fldChar w:fldCharType="end"/>
            </w:r>
          </w:p>
        </w:tc>
      </w:tr>
      <w:tr w:rsidR="00A22E85" w:rsidRPr="00671152" w:rsidTr="0066238D">
        <w:trPr>
          <w:trHeight w:val="20"/>
        </w:trPr>
        <w:tc>
          <w:tcPr>
            <w:tcW w:w="1169" w:type="pct"/>
            <w:tcBorders>
              <w:top w:val="nil"/>
              <w:left w:val="single" w:sz="8" w:space="0" w:color="auto"/>
              <w:bottom w:val="single" w:sz="8" w:space="0" w:color="auto"/>
              <w:right w:val="single" w:sz="8" w:space="0" w:color="auto"/>
            </w:tcBorders>
            <w:vAlign w:val="center"/>
          </w:tcPr>
          <w:p w:rsidR="00A22E85" w:rsidRPr="001D6512" w:rsidRDefault="00A22E85" w:rsidP="00C3606E">
            <w:pPr>
              <w:pStyle w:val="TableCell"/>
              <w:spacing w:before="60" w:after="60"/>
            </w:pPr>
            <w:r w:rsidRPr="001D6512">
              <w:t>DSF</w:t>
            </w:r>
          </w:p>
        </w:tc>
        <w:tc>
          <w:tcPr>
            <w:tcW w:w="620" w:type="pct"/>
            <w:tcBorders>
              <w:top w:val="nil"/>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Variable</w:t>
            </w:r>
          </w:p>
        </w:tc>
        <w:tc>
          <w:tcPr>
            <w:tcW w:w="1829" w:type="pct"/>
            <w:tcBorders>
              <w:top w:val="nil"/>
              <w:left w:val="nil"/>
              <w:bottom w:val="single" w:sz="8" w:space="0" w:color="auto"/>
              <w:right w:val="single" w:sz="8" w:space="0" w:color="auto"/>
            </w:tcBorders>
            <w:vAlign w:val="center"/>
          </w:tcPr>
          <w:p w:rsidR="00A22E85" w:rsidRPr="001D6512" w:rsidRDefault="00081878" w:rsidP="00C3606E">
            <w:pPr>
              <w:pStyle w:val="TableCell"/>
              <w:spacing w:before="60" w:after="60"/>
            </w:pPr>
            <w:r w:rsidRPr="001D6512">
              <w:t xml:space="preserve">See </w:t>
            </w:r>
            <w:r w:rsidR="007A1FB6" w:rsidRPr="001D6512">
              <w:fldChar w:fldCharType="begin"/>
            </w:r>
            <w:r w:rsidR="00BB2D8C" w:rsidRPr="001D6512">
              <w:instrText xml:space="preserve"> REF _Ref275556523 \h </w:instrText>
            </w:r>
            <w:r w:rsidR="007A1FB6" w:rsidRPr="001D6512">
              <w:fldChar w:fldCharType="separate"/>
            </w:r>
            <w:r w:rsidR="00C0292F">
              <w:t xml:space="preserve">Table </w:t>
            </w:r>
            <w:r w:rsidR="00C0292F">
              <w:rPr>
                <w:noProof/>
              </w:rPr>
              <w:t>3</w:t>
            </w:r>
            <w:r w:rsidR="00C0292F">
              <w:noBreakHyphen/>
            </w:r>
            <w:r w:rsidR="00C0292F">
              <w:rPr>
                <w:noProof/>
              </w:rPr>
              <w:t>17</w:t>
            </w:r>
            <w:r w:rsidR="007A1FB6" w:rsidRPr="001D6512">
              <w:fldChar w:fldCharType="end"/>
            </w:r>
          </w:p>
        </w:tc>
        <w:tc>
          <w:tcPr>
            <w:tcW w:w="1382" w:type="pct"/>
            <w:tcBorders>
              <w:top w:val="nil"/>
              <w:left w:val="nil"/>
              <w:bottom w:val="single" w:sz="8" w:space="0" w:color="auto"/>
              <w:right w:val="single" w:sz="8" w:space="0" w:color="auto"/>
            </w:tcBorders>
            <w:vAlign w:val="center"/>
          </w:tcPr>
          <w:p w:rsidR="00A22E85" w:rsidRPr="001D6512" w:rsidRDefault="00A22E85" w:rsidP="00C3606E">
            <w:pPr>
              <w:pStyle w:val="TableCell"/>
              <w:spacing w:before="60" w:after="60"/>
              <w:rPr>
                <w:highlight w:val="yellow"/>
              </w:rPr>
            </w:pPr>
            <w:r w:rsidRPr="001D6512">
              <w:t xml:space="preserve">See </w:t>
            </w:r>
            <w:r w:rsidR="007A1FB6" w:rsidRPr="001D6512">
              <w:fldChar w:fldCharType="begin"/>
            </w:r>
            <w:r w:rsidR="00BB2D8C" w:rsidRPr="001D6512">
              <w:instrText xml:space="preserve"> REF _Ref275556523 \h </w:instrText>
            </w:r>
            <w:r w:rsidR="007A1FB6" w:rsidRPr="001D6512">
              <w:fldChar w:fldCharType="separate"/>
            </w:r>
            <w:r w:rsidR="00C0292F">
              <w:t xml:space="preserve">Table </w:t>
            </w:r>
            <w:r w:rsidR="00C0292F">
              <w:rPr>
                <w:noProof/>
              </w:rPr>
              <w:t>3</w:t>
            </w:r>
            <w:r w:rsidR="00C0292F">
              <w:noBreakHyphen/>
            </w:r>
            <w:r w:rsidR="00C0292F">
              <w:rPr>
                <w:noProof/>
              </w:rPr>
              <w:t>17</w:t>
            </w:r>
            <w:r w:rsidR="007A1FB6" w:rsidRPr="001D6512">
              <w:fldChar w:fldCharType="end"/>
            </w:r>
          </w:p>
        </w:tc>
      </w:tr>
      <w:tr w:rsidR="00A22E85" w:rsidRPr="00671152" w:rsidTr="0066238D">
        <w:trPr>
          <w:trHeight w:val="20"/>
        </w:trPr>
        <w:tc>
          <w:tcPr>
            <w:tcW w:w="1169" w:type="pct"/>
            <w:tcBorders>
              <w:top w:val="nil"/>
              <w:left w:val="single" w:sz="8" w:space="0" w:color="auto"/>
              <w:bottom w:val="single" w:sz="8" w:space="0" w:color="auto"/>
              <w:right w:val="single" w:sz="8" w:space="0" w:color="auto"/>
            </w:tcBorders>
            <w:vAlign w:val="center"/>
          </w:tcPr>
          <w:p w:rsidR="00A22E85" w:rsidRPr="001D6512" w:rsidRDefault="00A22E85" w:rsidP="00C3606E">
            <w:pPr>
              <w:pStyle w:val="TableCell"/>
              <w:spacing w:before="60" w:after="60"/>
            </w:pPr>
            <w:r w:rsidRPr="001D6512">
              <w:t>Efficiency - η</w:t>
            </w:r>
            <w:r w:rsidRPr="001D6512">
              <w:rPr>
                <w:vertAlign w:val="subscript"/>
              </w:rPr>
              <w:t>base</w:t>
            </w:r>
          </w:p>
        </w:tc>
        <w:tc>
          <w:tcPr>
            <w:tcW w:w="620" w:type="pct"/>
            <w:tcBorders>
              <w:top w:val="nil"/>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Fixed</w:t>
            </w:r>
          </w:p>
        </w:tc>
        <w:tc>
          <w:tcPr>
            <w:tcW w:w="1829" w:type="pct"/>
            <w:tcBorders>
              <w:top w:val="nil"/>
              <w:left w:val="nil"/>
              <w:bottom w:val="single" w:sz="8" w:space="0" w:color="auto"/>
              <w:right w:val="single" w:sz="8" w:space="0" w:color="auto"/>
            </w:tcBorders>
            <w:vAlign w:val="center"/>
          </w:tcPr>
          <w:p w:rsidR="00A22E85" w:rsidRPr="001D6512" w:rsidRDefault="006A2E12" w:rsidP="00C3606E">
            <w:pPr>
              <w:pStyle w:val="TableCell"/>
              <w:spacing w:before="60" w:after="60"/>
            </w:pPr>
            <w:r w:rsidRPr="001D6512">
              <w:t>Nameplate</w:t>
            </w:r>
          </w:p>
        </w:tc>
        <w:tc>
          <w:tcPr>
            <w:tcW w:w="1382" w:type="pct"/>
            <w:tcBorders>
              <w:top w:val="nil"/>
              <w:left w:val="nil"/>
              <w:bottom w:val="single" w:sz="8" w:space="0" w:color="auto"/>
              <w:right w:val="single" w:sz="8" w:space="0" w:color="auto"/>
            </w:tcBorders>
            <w:vAlign w:val="center"/>
          </w:tcPr>
          <w:p w:rsidR="00A22E85" w:rsidRPr="001D6512" w:rsidRDefault="006A2E12" w:rsidP="00C3606E">
            <w:pPr>
              <w:pStyle w:val="TableCell"/>
              <w:spacing w:before="60" w:after="60"/>
            </w:pPr>
            <w:r w:rsidRPr="001D6512">
              <w:t>EDC Data Gathering</w:t>
            </w:r>
          </w:p>
        </w:tc>
      </w:tr>
      <w:tr w:rsidR="00A22E85" w:rsidRPr="00671152" w:rsidTr="0066238D">
        <w:trPr>
          <w:trHeight w:val="20"/>
        </w:trPr>
        <w:tc>
          <w:tcPr>
            <w:tcW w:w="1169" w:type="pct"/>
            <w:tcBorders>
              <w:top w:val="nil"/>
              <w:left w:val="single" w:sz="8" w:space="0" w:color="auto"/>
              <w:bottom w:val="single" w:sz="8" w:space="0" w:color="auto"/>
              <w:right w:val="single" w:sz="8" w:space="0" w:color="auto"/>
            </w:tcBorders>
            <w:vAlign w:val="center"/>
          </w:tcPr>
          <w:p w:rsidR="00A22E85" w:rsidRPr="001D6512" w:rsidRDefault="00A22E85" w:rsidP="00C3606E">
            <w:pPr>
              <w:pStyle w:val="TableCell"/>
              <w:spacing w:before="60" w:after="60"/>
            </w:pPr>
            <w:r w:rsidRPr="001D6512">
              <w:t>CF</w:t>
            </w:r>
            <w:r w:rsidRPr="001D6512">
              <w:rPr>
                <w:rStyle w:val="FootnoteReference"/>
                <w:rFonts w:cs="Arial"/>
                <w:color w:val="000000"/>
              </w:rPr>
              <w:footnoteReference w:id="159"/>
            </w:r>
          </w:p>
        </w:tc>
        <w:tc>
          <w:tcPr>
            <w:tcW w:w="620" w:type="pct"/>
            <w:tcBorders>
              <w:top w:val="nil"/>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Fixed</w:t>
            </w:r>
          </w:p>
        </w:tc>
        <w:tc>
          <w:tcPr>
            <w:tcW w:w="1829" w:type="pct"/>
            <w:tcBorders>
              <w:top w:val="nil"/>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74%</w:t>
            </w:r>
          </w:p>
        </w:tc>
        <w:tc>
          <w:tcPr>
            <w:tcW w:w="1382" w:type="pct"/>
            <w:tcBorders>
              <w:top w:val="nil"/>
              <w:left w:val="nil"/>
              <w:bottom w:val="single" w:sz="8" w:space="0" w:color="auto"/>
              <w:right w:val="single" w:sz="8" w:space="0" w:color="auto"/>
            </w:tcBorders>
            <w:vAlign w:val="center"/>
          </w:tcPr>
          <w:p w:rsidR="00A22E85" w:rsidRPr="001D6512" w:rsidRDefault="00A22E85" w:rsidP="00C3606E">
            <w:pPr>
              <w:pStyle w:val="TableCell"/>
              <w:spacing w:before="60" w:after="60"/>
            </w:pPr>
            <w:r w:rsidRPr="001D6512">
              <w:t>1</w:t>
            </w:r>
          </w:p>
        </w:tc>
      </w:tr>
    </w:tbl>
    <w:p w:rsidR="00A22E85" w:rsidRPr="001C4AD5" w:rsidRDefault="00A22E85" w:rsidP="00C3606E">
      <w:pPr>
        <w:spacing w:after="0"/>
        <w:rPr>
          <w:b/>
          <w:bCs/>
          <w:szCs w:val="24"/>
        </w:rPr>
      </w:pPr>
    </w:p>
    <w:p w:rsidR="00A22E85" w:rsidRPr="00BC5194" w:rsidRDefault="00BE0D4B" w:rsidP="00B20F6B">
      <w:pPr>
        <w:rPr>
          <w:b/>
        </w:rPr>
      </w:pPr>
      <w:r w:rsidRPr="00BC5194">
        <w:rPr>
          <w:b/>
        </w:rPr>
        <w:t>Source</w:t>
      </w:r>
      <w:r w:rsidR="0007450F" w:rsidRPr="00BC5194">
        <w:rPr>
          <w:b/>
        </w:rPr>
        <w:t>s</w:t>
      </w:r>
      <w:r w:rsidR="00A22E85" w:rsidRPr="00BC5194">
        <w:rPr>
          <w:b/>
        </w:rPr>
        <w:t>:</w:t>
      </w:r>
    </w:p>
    <w:p w:rsidR="00A22E85" w:rsidRPr="001C4AD5" w:rsidRDefault="00A22E85" w:rsidP="0005632A">
      <w:pPr>
        <w:numPr>
          <w:ilvl w:val="0"/>
          <w:numId w:val="11"/>
        </w:numPr>
        <w:rPr>
          <w:b/>
          <w:bCs/>
          <w:szCs w:val="24"/>
        </w:rPr>
      </w:pPr>
      <w:smartTag w:uri="urn:schemas-microsoft-com:office:smarttags" w:element="State">
        <w:smartTag w:uri="urn:schemas-microsoft-com:office:smarttags" w:element="place">
          <w:r w:rsidRPr="001C4AD5">
            <w:t>California</w:t>
          </w:r>
        </w:smartTag>
      </w:smartTag>
      <w:r w:rsidRPr="001C4AD5">
        <w:t xml:space="preserve"> Public Utility Commission. </w:t>
      </w:r>
      <w:r w:rsidRPr="001C4AD5">
        <w:rPr>
          <w:i/>
        </w:rPr>
        <w:t>Database for Energy Efficiency Resources</w:t>
      </w:r>
      <w:r w:rsidRPr="001C4AD5">
        <w:t xml:space="preserve"> 2005</w:t>
      </w:r>
    </w:p>
    <w:p w:rsidR="001C4AD5" w:rsidRDefault="001C4AD5" w:rsidP="00B20F6B">
      <w:pPr>
        <w:pStyle w:val="Caption"/>
      </w:pPr>
      <w:bookmarkStart w:id="575" w:name="_Ref275556523"/>
      <w:bookmarkStart w:id="576" w:name="_Ref261523229"/>
      <w:bookmarkStart w:id="577" w:name="_Toc310875569"/>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17</w:t>
      </w:r>
      <w:r w:rsidR="00274AB1">
        <w:rPr>
          <w:noProof/>
        </w:rPr>
        <w:fldChar w:fldCharType="end"/>
      </w:r>
      <w:bookmarkEnd w:id="575"/>
      <w:bookmarkEnd w:id="576"/>
      <w:r>
        <w:t>: ESF and DSF for Typical Commercial VFD Installations</w:t>
      </w:r>
      <w:r w:rsidR="0066238D">
        <w:rPr>
          <w:rStyle w:val="FootnoteReference"/>
        </w:rPr>
        <w:footnoteReference w:id="160"/>
      </w:r>
      <w:bookmarkEnd w:id="577"/>
    </w:p>
    <w:tbl>
      <w:tblPr>
        <w:tblW w:w="7165" w:type="dxa"/>
        <w:jc w:val="center"/>
        <w:tblInd w:w="-1966" w:type="dxa"/>
        <w:tblLook w:val="00A0" w:firstRow="1" w:lastRow="0" w:firstColumn="1" w:lastColumn="0" w:noHBand="0" w:noVBand="0"/>
      </w:tblPr>
      <w:tblGrid>
        <w:gridCol w:w="4234"/>
        <w:gridCol w:w="1440"/>
        <w:gridCol w:w="1491"/>
      </w:tblGrid>
      <w:tr w:rsidR="0066238D" w:rsidRPr="0066238D" w:rsidTr="0066238D">
        <w:trPr>
          <w:trHeight w:val="20"/>
          <w:jc w:val="center"/>
        </w:trPr>
        <w:tc>
          <w:tcPr>
            <w:tcW w:w="7165" w:type="dxa"/>
            <w:gridSpan w:val="3"/>
            <w:tcBorders>
              <w:top w:val="single" w:sz="8" w:space="0" w:color="auto"/>
              <w:left w:val="single" w:sz="8" w:space="0" w:color="auto"/>
              <w:bottom w:val="single" w:sz="8" w:space="0" w:color="auto"/>
              <w:right w:val="single" w:sz="8" w:space="0" w:color="000000"/>
            </w:tcBorders>
            <w:shd w:val="clear" w:color="auto" w:fill="D9D9D9"/>
            <w:noWrap/>
            <w:vAlign w:val="center"/>
          </w:tcPr>
          <w:p w:rsidR="0066238D" w:rsidRPr="0066238D" w:rsidRDefault="0066238D" w:rsidP="0066238D">
            <w:pPr>
              <w:spacing w:before="60" w:after="60"/>
              <w:jc w:val="center"/>
              <w:rPr>
                <w:rFonts w:cs="Arial"/>
                <w:b/>
                <w:color w:val="000000"/>
                <w:sz w:val="18"/>
                <w:szCs w:val="18"/>
              </w:rPr>
            </w:pPr>
            <w:r w:rsidRPr="0066238D">
              <w:rPr>
                <w:rFonts w:cs="Arial"/>
                <w:b/>
                <w:color w:val="000000"/>
                <w:sz w:val="18"/>
                <w:szCs w:val="18"/>
              </w:rPr>
              <w:t>HVAC Fan VFD Savings Factors</w:t>
            </w:r>
          </w:p>
        </w:tc>
      </w:tr>
      <w:tr w:rsidR="0066238D" w:rsidRPr="0066238D" w:rsidTr="0066238D">
        <w:trPr>
          <w:trHeight w:val="20"/>
          <w:jc w:val="center"/>
        </w:trPr>
        <w:tc>
          <w:tcPr>
            <w:tcW w:w="4234" w:type="dxa"/>
            <w:tcBorders>
              <w:top w:val="nil"/>
              <w:left w:val="single" w:sz="8" w:space="0" w:color="auto"/>
              <w:bottom w:val="single" w:sz="8" w:space="0" w:color="auto"/>
              <w:right w:val="single" w:sz="8" w:space="0" w:color="auto"/>
            </w:tcBorders>
            <w:shd w:val="clear" w:color="auto" w:fill="D9D9D9"/>
            <w:noWrap/>
            <w:vAlign w:val="center"/>
          </w:tcPr>
          <w:p w:rsidR="0066238D" w:rsidRPr="0066238D" w:rsidRDefault="0066238D" w:rsidP="0066238D">
            <w:pPr>
              <w:spacing w:before="60" w:after="60"/>
              <w:rPr>
                <w:rFonts w:cs="Arial"/>
                <w:b/>
                <w:bCs/>
                <w:color w:val="000000"/>
                <w:sz w:val="18"/>
                <w:szCs w:val="18"/>
              </w:rPr>
            </w:pPr>
            <w:r w:rsidRPr="0066238D">
              <w:rPr>
                <w:rFonts w:cs="Arial"/>
                <w:b/>
                <w:bCs/>
                <w:color w:val="000000"/>
                <w:sz w:val="18"/>
                <w:szCs w:val="18"/>
              </w:rPr>
              <w:t xml:space="preserve">Baseline </w:t>
            </w:r>
          </w:p>
        </w:tc>
        <w:tc>
          <w:tcPr>
            <w:tcW w:w="1440" w:type="dxa"/>
            <w:tcBorders>
              <w:top w:val="nil"/>
              <w:left w:val="nil"/>
              <w:bottom w:val="single" w:sz="8" w:space="0" w:color="auto"/>
              <w:right w:val="single" w:sz="8" w:space="0" w:color="auto"/>
            </w:tcBorders>
            <w:shd w:val="clear" w:color="auto" w:fill="D9D9D9"/>
            <w:noWrap/>
            <w:vAlign w:val="center"/>
          </w:tcPr>
          <w:p w:rsidR="0066238D" w:rsidRPr="0066238D" w:rsidRDefault="0066238D" w:rsidP="0066238D">
            <w:pPr>
              <w:spacing w:before="60" w:after="60"/>
              <w:jc w:val="center"/>
              <w:rPr>
                <w:rFonts w:cs="Arial"/>
                <w:b/>
                <w:bCs/>
                <w:color w:val="000000"/>
                <w:sz w:val="18"/>
                <w:szCs w:val="18"/>
              </w:rPr>
            </w:pPr>
            <w:r w:rsidRPr="0066238D">
              <w:rPr>
                <w:rFonts w:cs="Arial"/>
                <w:b/>
                <w:bCs/>
                <w:color w:val="000000"/>
                <w:sz w:val="18"/>
                <w:szCs w:val="18"/>
              </w:rPr>
              <w:t>ESF</w:t>
            </w:r>
          </w:p>
        </w:tc>
        <w:tc>
          <w:tcPr>
            <w:tcW w:w="1491" w:type="dxa"/>
            <w:tcBorders>
              <w:top w:val="nil"/>
              <w:left w:val="nil"/>
              <w:bottom w:val="single" w:sz="8" w:space="0" w:color="auto"/>
              <w:right w:val="single" w:sz="8" w:space="0" w:color="auto"/>
            </w:tcBorders>
            <w:shd w:val="clear" w:color="auto" w:fill="D9D9D9"/>
            <w:noWrap/>
            <w:vAlign w:val="center"/>
          </w:tcPr>
          <w:p w:rsidR="0066238D" w:rsidRPr="0066238D" w:rsidRDefault="0066238D" w:rsidP="0066238D">
            <w:pPr>
              <w:spacing w:before="60" w:after="60"/>
              <w:jc w:val="center"/>
              <w:rPr>
                <w:rFonts w:cs="Arial"/>
                <w:b/>
                <w:bCs/>
                <w:color w:val="000000"/>
                <w:sz w:val="18"/>
                <w:szCs w:val="18"/>
              </w:rPr>
            </w:pPr>
            <w:r w:rsidRPr="0066238D">
              <w:rPr>
                <w:rFonts w:cs="Arial"/>
                <w:b/>
                <w:bCs/>
                <w:color w:val="000000"/>
                <w:sz w:val="18"/>
                <w:szCs w:val="18"/>
              </w:rPr>
              <w:t>DSF</w:t>
            </w:r>
          </w:p>
        </w:tc>
      </w:tr>
      <w:tr w:rsidR="0066238D" w:rsidRPr="0066238D" w:rsidTr="0066238D">
        <w:trPr>
          <w:trHeight w:val="20"/>
          <w:jc w:val="center"/>
        </w:trPr>
        <w:tc>
          <w:tcPr>
            <w:tcW w:w="4234" w:type="dxa"/>
            <w:tcBorders>
              <w:top w:val="nil"/>
              <w:left w:val="single" w:sz="8" w:space="0" w:color="auto"/>
              <w:bottom w:val="single" w:sz="8" w:space="0" w:color="auto"/>
              <w:right w:val="single" w:sz="8" w:space="0" w:color="auto"/>
            </w:tcBorders>
            <w:noWrap/>
            <w:vAlign w:val="center"/>
          </w:tcPr>
          <w:p w:rsidR="0066238D" w:rsidRPr="0066238D" w:rsidRDefault="0066238D" w:rsidP="0066238D">
            <w:pPr>
              <w:spacing w:before="60" w:after="60"/>
              <w:rPr>
                <w:rFonts w:cs="Arial"/>
                <w:color w:val="000000"/>
                <w:sz w:val="18"/>
                <w:szCs w:val="18"/>
              </w:rPr>
            </w:pPr>
            <w:r w:rsidRPr="0066238D">
              <w:rPr>
                <w:rFonts w:cs="Arial"/>
                <w:color w:val="000000"/>
                <w:sz w:val="18"/>
                <w:szCs w:val="18"/>
              </w:rPr>
              <w:t xml:space="preserve">Constant Volume </w:t>
            </w:r>
          </w:p>
        </w:tc>
        <w:tc>
          <w:tcPr>
            <w:tcW w:w="1440" w:type="dxa"/>
            <w:tcBorders>
              <w:top w:val="nil"/>
              <w:left w:val="nil"/>
              <w:bottom w:val="single" w:sz="8" w:space="0" w:color="auto"/>
              <w:right w:val="single" w:sz="8" w:space="0" w:color="auto"/>
            </w:tcBorders>
            <w:noWrap/>
            <w:vAlign w:val="center"/>
          </w:tcPr>
          <w:p w:rsidR="0066238D" w:rsidRPr="0066238D" w:rsidRDefault="0066238D" w:rsidP="0066238D">
            <w:pPr>
              <w:spacing w:before="60" w:after="60"/>
              <w:jc w:val="center"/>
              <w:rPr>
                <w:rFonts w:cs="Arial"/>
                <w:color w:val="000000"/>
                <w:sz w:val="18"/>
                <w:szCs w:val="18"/>
              </w:rPr>
            </w:pPr>
            <w:r w:rsidRPr="0066238D">
              <w:rPr>
                <w:rFonts w:cs="Arial"/>
                <w:color w:val="000000"/>
                <w:sz w:val="18"/>
                <w:szCs w:val="18"/>
              </w:rPr>
              <w:t>0.717</w:t>
            </w:r>
          </w:p>
        </w:tc>
        <w:tc>
          <w:tcPr>
            <w:tcW w:w="1491" w:type="dxa"/>
            <w:tcBorders>
              <w:top w:val="nil"/>
              <w:left w:val="nil"/>
              <w:bottom w:val="single" w:sz="8" w:space="0" w:color="auto"/>
              <w:right w:val="single" w:sz="8" w:space="0" w:color="auto"/>
            </w:tcBorders>
            <w:noWrap/>
            <w:vAlign w:val="center"/>
          </w:tcPr>
          <w:p w:rsidR="0066238D" w:rsidRPr="0066238D" w:rsidRDefault="0066238D" w:rsidP="0066238D">
            <w:pPr>
              <w:spacing w:before="60" w:after="60"/>
              <w:jc w:val="center"/>
              <w:rPr>
                <w:rFonts w:cs="Arial"/>
                <w:color w:val="000000"/>
                <w:sz w:val="18"/>
                <w:szCs w:val="18"/>
              </w:rPr>
            </w:pPr>
            <w:r w:rsidRPr="0066238D">
              <w:rPr>
                <w:rFonts w:cs="Arial"/>
                <w:color w:val="000000"/>
                <w:sz w:val="18"/>
                <w:szCs w:val="18"/>
              </w:rPr>
              <w:t>0.466</w:t>
            </w:r>
          </w:p>
        </w:tc>
      </w:tr>
      <w:tr w:rsidR="0066238D" w:rsidRPr="0066238D" w:rsidTr="0066238D">
        <w:trPr>
          <w:trHeight w:val="20"/>
          <w:jc w:val="center"/>
        </w:trPr>
        <w:tc>
          <w:tcPr>
            <w:tcW w:w="4234" w:type="dxa"/>
            <w:tcBorders>
              <w:top w:val="nil"/>
              <w:left w:val="single" w:sz="8" w:space="0" w:color="auto"/>
              <w:bottom w:val="single" w:sz="8" w:space="0" w:color="auto"/>
              <w:right w:val="single" w:sz="8" w:space="0" w:color="auto"/>
            </w:tcBorders>
            <w:noWrap/>
            <w:vAlign w:val="center"/>
          </w:tcPr>
          <w:p w:rsidR="0066238D" w:rsidRPr="0066238D" w:rsidRDefault="0066238D" w:rsidP="0066238D">
            <w:pPr>
              <w:spacing w:before="60" w:after="60"/>
              <w:rPr>
                <w:rFonts w:cs="Arial"/>
                <w:color w:val="000000"/>
                <w:sz w:val="18"/>
                <w:szCs w:val="18"/>
              </w:rPr>
            </w:pPr>
            <w:r w:rsidRPr="0066238D">
              <w:rPr>
                <w:rFonts w:cs="Arial"/>
                <w:color w:val="000000"/>
                <w:sz w:val="18"/>
                <w:szCs w:val="18"/>
              </w:rPr>
              <w:t>A</w:t>
            </w:r>
            <w:r>
              <w:rPr>
                <w:rFonts w:cs="Arial"/>
                <w:color w:val="000000"/>
                <w:sz w:val="18"/>
                <w:szCs w:val="18"/>
              </w:rPr>
              <w:t>ir Foil</w:t>
            </w:r>
            <w:r w:rsidRPr="0066238D">
              <w:rPr>
                <w:rFonts w:cs="Arial"/>
                <w:color w:val="000000"/>
                <w:sz w:val="18"/>
                <w:szCs w:val="18"/>
              </w:rPr>
              <w:t>/B</w:t>
            </w:r>
            <w:r>
              <w:rPr>
                <w:rFonts w:cs="Arial"/>
                <w:color w:val="000000"/>
                <w:sz w:val="18"/>
                <w:szCs w:val="18"/>
              </w:rPr>
              <w:t>ackward Incline</w:t>
            </w:r>
          </w:p>
        </w:tc>
        <w:tc>
          <w:tcPr>
            <w:tcW w:w="1440" w:type="dxa"/>
            <w:tcBorders>
              <w:top w:val="nil"/>
              <w:left w:val="nil"/>
              <w:bottom w:val="single" w:sz="8" w:space="0" w:color="auto"/>
              <w:right w:val="single" w:sz="8" w:space="0" w:color="auto"/>
            </w:tcBorders>
            <w:noWrap/>
            <w:vAlign w:val="center"/>
          </w:tcPr>
          <w:p w:rsidR="0066238D" w:rsidRPr="0066238D" w:rsidRDefault="0066238D" w:rsidP="0066238D">
            <w:pPr>
              <w:spacing w:before="60" w:after="60"/>
              <w:jc w:val="center"/>
              <w:rPr>
                <w:rFonts w:cs="Arial"/>
                <w:color w:val="000000"/>
                <w:sz w:val="18"/>
                <w:szCs w:val="18"/>
              </w:rPr>
            </w:pPr>
            <w:r w:rsidRPr="0066238D">
              <w:rPr>
                <w:rFonts w:cs="Arial"/>
                <w:color w:val="000000"/>
                <w:sz w:val="18"/>
                <w:szCs w:val="18"/>
              </w:rPr>
              <w:t>0.475</w:t>
            </w:r>
          </w:p>
        </w:tc>
        <w:tc>
          <w:tcPr>
            <w:tcW w:w="1491" w:type="dxa"/>
            <w:tcBorders>
              <w:top w:val="nil"/>
              <w:left w:val="nil"/>
              <w:bottom w:val="single" w:sz="8" w:space="0" w:color="auto"/>
              <w:right w:val="single" w:sz="8" w:space="0" w:color="auto"/>
            </w:tcBorders>
            <w:noWrap/>
            <w:vAlign w:val="center"/>
          </w:tcPr>
          <w:p w:rsidR="0066238D" w:rsidRPr="0066238D" w:rsidRDefault="0066238D" w:rsidP="0066238D">
            <w:pPr>
              <w:spacing w:before="60" w:after="60"/>
              <w:jc w:val="center"/>
              <w:rPr>
                <w:rFonts w:cs="Arial"/>
                <w:color w:val="000000"/>
                <w:sz w:val="18"/>
                <w:szCs w:val="18"/>
              </w:rPr>
            </w:pPr>
            <w:r w:rsidRPr="0066238D">
              <w:rPr>
                <w:rFonts w:cs="Arial"/>
                <w:color w:val="000000"/>
                <w:sz w:val="18"/>
                <w:szCs w:val="18"/>
              </w:rPr>
              <w:t>0.349</w:t>
            </w:r>
          </w:p>
        </w:tc>
      </w:tr>
      <w:tr w:rsidR="0066238D" w:rsidRPr="0066238D" w:rsidTr="0066238D">
        <w:trPr>
          <w:trHeight w:val="20"/>
          <w:jc w:val="center"/>
        </w:trPr>
        <w:tc>
          <w:tcPr>
            <w:tcW w:w="4234" w:type="dxa"/>
            <w:tcBorders>
              <w:top w:val="nil"/>
              <w:left w:val="single" w:sz="8" w:space="0" w:color="auto"/>
              <w:bottom w:val="single" w:sz="8" w:space="0" w:color="auto"/>
              <w:right w:val="single" w:sz="8" w:space="0" w:color="auto"/>
            </w:tcBorders>
            <w:noWrap/>
            <w:vAlign w:val="center"/>
          </w:tcPr>
          <w:p w:rsidR="0066238D" w:rsidRPr="0066238D" w:rsidRDefault="0066238D" w:rsidP="0066238D">
            <w:pPr>
              <w:spacing w:before="60" w:after="60"/>
              <w:rPr>
                <w:rFonts w:cs="Arial"/>
                <w:color w:val="000000"/>
                <w:sz w:val="18"/>
                <w:szCs w:val="18"/>
              </w:rPr>
            </w:pPr>
            <w:r w:rsidRPr="0066238D">
              <w:rPr>
                <w:rFonts w:cs="Arial"/>
                <w:color w:val="000000"/>
                <w:sz w:val="18"/>
                <w:szCs w:val="18"/>
              </w:rPr>
              <w:t>A</w:t>
            </w:r>
            <w:r>
              <w:rPr>
                <w:rFonts w:cs="Arial"/>
                <w:color w:val="000000"/>
                <w:sz w:val="18"/>
                <w:szCs w:val="18"/>
              </w:rPr>
              <w:t>ir Foil</w:t>
            </w:r>
            <w:r w:rsidRPr="0066238D">
              <w:rPr>
                <w:rFonts w:cs="Arial"/>
                <w:color w:val="000000"/>
                <w:sz w:val="18"/>
                <w:szCs w:val="18"/>
              </w:rPr>
              <w:t>/B</w:t>
            </w:r>
            <w:r>
              <w:rPr>
                <w:rFonts w:cs="Arial"/>
                <w:color w:val="000000"/>
                <w:sz w:val="18"/>
                <w:szCs w:val="18"/>
              </w:rPr>
              <w:t>ackward Incline with Inlet Guide Vanes</w:t>
            </w:r>
          </w:p>
        </w:tc>
        <w:tc>
          <w:tcPr>
            <w:tcW w:w="1440" w:type="dxa"/>
            <w:tcBorders>
              <w:top w:val="nil"/>
              <w:left w:val="nil"/>
              <w:bottom w:val="single" w:sz="8" w:space="0" w:color="auto"/>
              <w:right w:val="single" w:sz="8" w:space="0" w:color="auto"/>
            </w:tcBorders>
            <w:noWrap/>
            <w:vAlign w:val="center"/>
          </w:tcPr>
          <w:p w:rsidR="0066238D" w:rsidRPr="0066238D" w:rsidRDefault="0066238D" w:rsidP="0066238D">
            <w:pPr>
              <w:spacing w:before="60" w:after="60"/>
              <w:jc w:val="center"/>
              <w:rPr>
                <w:rFonts w:cs="Arial"/>
                <w:color w:val="000000"/>
                <w:sz w:val="18"/>
                <w:szCs w:val="18"/>
              </w:rPr>
            </w:pPr>
            <w:r w:rsidRPr="0066238D">
              <w:rPr>
                <w:rFonts w:cs="Arial"/>
                <w:color w:val="000000"/>
                <w:sz w:val="18"/>
                <w:szCs w:val="18"/>
              </w:rPr>
              <w:t>0.304</w:t>
            </w:r>
          </w:p>
        </w:tc>
        <w:tc>
          <w:tcPr>
            <w:tcW w:w="1491" w:type="dxa"/>
            <w:tcBorders>
              <w:top w:val="nil"/>
              <w:left w:val="nil"/>
              <w:bottom w:val="single" w:sz="8" w:space="0" w:color="auto"/>
              <w:right w:val="single" w:sz="8" w:space="0" w:color="auto"/>
            </w:tcBorders>
            <w:noWrap/>
            <w:vAlign w:val="center"/>
          </w:tcPr>
          <w:p w:rsidR="0066238D" w:rsidRPr="0066238D" w:rsidRDefault="0066238D" w:rsidP="0066238D">
            <w:pPr>
              <w:spacing w:before="60" w:after="60"/>
              <w:jc w:val="center"/>
              <w:rPr>
                <w:rFonts w:cs="Arial"/>
                <w:color w:val="000000"/>
                <w:sz w:val="18"/>
                <w:szCs w:val="18"/>
              </w:rPr>
            </w:pPr>
            <w:r w:rsidRPr="0066238D">
              <w:rPr>
                <w:rFonts w:cs="Arial"/>
                <w:color w:val="000000"/>
                <w:sz w:val="18"/>
                <w:szCs w:val="18"/>
              </w:rPr>
              <w:t>0.174</w:t>
            </w:r>
          </w:p>
        </w:tc>
      </w:tr>
      <w:tr w:rsidR="0066238D" w:rsidRPr="0066238D" w:rsidTr="0066238D">
        <w:trPr>
          <w:trHeight w:val="20"/>
          <w:jc w:val="center"/>
        </w:trPr>
        <w:tc>
          <w:tcPr>
            <w:tcW w:w="4234" w:type="dxa"/>
            <w:tcBorders>
              <w:top w:val="nil"/>
              <w:left w:val="single" w:sz="8" w:space="0" w:color="auto"/>
              <w:bottom w:val="single" w:sz="8" w:space="0" w:color="auto"/>
              <w:right w:val="single" w:sz="8" w:space="0" w:color="auto"/>
            </w:tcBorders>
            <w:noWrap/>
            <w:vAlign w:val="center"/>
          </w:tcPr>
          <w:p w:rsidR="0066238D" w:rsidRPr="0066238D" w:rsidRDefault="0066238D" w:rsidP="0066238D">
            <w:pPr>
              <w:spacing w:before="60" w:after="60"/>
              <w:rPr>
                <w:rFonts w:cs="Arial"/>
                <w:color w:val="000000"/>
                <w:sz w:val="18"/>
                <w:szCs w:val="18"/>
              </w:rPr>
            </w:pPr>
            <w:r w:rsidRPr="0066238D">
              <w:rPr>
                <w:rFonts w:cs="Arial"/>
                <w:color w:val="000000"/>
                <w:sz w:val="18"/>
                <w:szCs w:val="18"/>
              </w:rPr>
              <w:t>F</w:t>
            </w:r>
            <w:r>
              <w:rPr>
                <w:rFonts w:cs="Arial"/>
                <w:color w:val="000000"/>
                <w:sz w:val="18"/>
                <w:szCs w:val="18"/>
              </w:rPr>
              <w:t>orward Curved</w:t>
            </w:r>
          </w:p>
        </w:tc>
        <w:tc>
          <w:tcPr>
            <w:tcW w:w="1440" w:type="dxa"/>
            <w:tcBorders>
              <w:top w:val="nil"/>
              <w:left w:val="nil"/>
              <w:bottom w:val="single" w:sz="8" w:space="0" w:color="auto"/>
              <w:right w:val="single" w:sz="8" w:space="0" w:color="auto"/>
            </w:tcBorders>
            <w:noWrap/>
            <w:vAlign w:val="center"/>
          </w:tcPr>
          <w:p w:rsidR="0066238D" w:rsidRPr="0066238D" w:rsidRDefault="0066238D" w:rsidP="0066238D">
            <w:pPr>
              <w:spacing w:before="60" w:after="60"/>
              <w:jc w:val="center"/>
              <w:rPr>
                <w:rFonts w:cs="Arial"/>
                <w:color w:val="000000"/>
                <w:sz w:val="18"/>
                <w:szCs w:val="18"/>
              </w:rPr>
            </w:pPr>
            <w:r w:rsidRPr="0066238D">
              <w:rPr>
                <w:rFonts w:cs="Arial"/>
                <w:color w:val="000000"/>
                <w:sz w:val="18"/>
                <w:szCs w:val="18"/>
              </w:rPr>
              <w:t>0.240</w:t>
            </w:r>
          </w:p>
        </w:tc>
        <w:tc>
          <w:tcPr>
            <w:tcW w:w="1491" w:type="dxa"/>
            <w:tcBorders>
              <w:top w:val="nil"/>
              <w:left w:val="nil"/>
              <w:bottom w:val="single" w:sz="8" w:space="0" w:color="auto"/>
              <w:right w:val="single" w:sz="8" w:space="0" w:color="auto"/>
            </w:tcBorders>
            <w:noWrap/>
            <w:vAlign w:val="center"/>
          </w:tcPr>
          <w:p w:rsidR="0066238D" w:rsidRPr="0066238D" w:rsidRDefault="0066238D" w:rsidP="0066238D">
            <w:pPr>
              <w:spacing w:before="60" w:after="60"/>
              <w:jc w:val="center"/>
              <w:rPr>
                <w:rFonts w:cs="Arial"/>
                <w:color w:val="000000"/>
                <w:sz w:val="18"/>
                <w:szCs w:val="18"/>
              </w:rPr>
            </w:pPr>
            <w:r w:rsidRPr="0066238D">
              <w:rPr>
                <w:rFonts w:cs="Arial"/>
                <w:color w:val="000000"/>
                <w:sz w:val="18"/>
                <w:szCs w:val="18"/>
              </w:rPr>
              <w:t>0.182</w:t>
            </w:r>
          </w:p>
        </w:tc>
      </w:tr>
      <w:tr w:rsidR="0066238D" w:rsidRPr="0066238D" w:rsidTr="0066238D">
        <w:trPr>
          <w:trHeight w:val="20"/>
          <w:jc w:val="center"/>
        </w:trPr>
        <w:tc>
          <w:tcPr>
            <w:tcW w:w="4234" w:type="dxa"/>
            <w:tcBorders>
              <w:top w:val="nil"/>
              <w:left w:val="single" w:sz="8" w:space="0" w:color="auto"/>
              <w:bottom w:val="single" w:sz="8" w:space="0" w:color="auto"/>
              <w:right w:val="single" w:sz="8" w:space="0" w:color="auto"/>
            </w:tcBorders>
            <w:noWrap/>
            <w:vAlign w:val="center"/>
          </w:tcPr>
          <w:p w:rsidR="0066238D" w:rsidRPr="0066238D" w:rsidRDefault="0066238D" w:rsidP="0066238D">
            <w:pPr>
              <w:spacing w:before="60" w:after="60"/>
              <w:rPr>
                <w:rFonts w:cs="Arial"/>
                <w:color w:val="000000"/>
                <w:sz w:val="18"/>
                <w:szCs w:val="18"/>
              </w:rPr>
            </w:pPr>
            <w:r>
              <w:rPr>
                <w:rFonts w:cs="Arial"/>
                <w:color w:val="000000"/>
                <w:sz w:val="18"/>
                <w:szCs w:val="18"/>
              </w:rPr>
              <w:t>Forward Curved with Inlet Guide Vanes</w:t>
            </w:r>
          </w:p>
        </w:tc>
        <w:tc>
          <w:tcPr>
            <w:tcW w:w="1440" w:type="dxa"/>
            <w:tcBorders>
              <w:top w:val="nil"/>
              <w:left w:val="nil"/>
              <w:bottom w:val="single" w:sz="8" w:space="0" w:color="auto"/>
              <w:right w:val="single" w:sz="8" w:space="0" w:color="auto"/>
            </w:tcBorders>
            <w:noWrap/>
            <w:vAlign w:val="center"/>
          </w:tcPr>
          <w:p w:rsidR="0066238D" w:rsidRPr="0066238D" w:rsidRDefault="0066238D" w:rsidP="0066238D">
            <w:pPr>
              <w:spacing w:before="60" w:after="60"/>
              <w:jc w:val="center"/>
              <w:rPr>
                <w:rFonts w:cs="Arial"/>
                <w:color w:val="000000"/>
                <w:sz w:val="18"/>
                <w:szCs w:val="18"/>
              </w:rPr>
            </w:pPr>
            <w:r w:rsidRPr="0066238D">
              <w:rPr>
                <w:rFonts w:cs="Arial"/>
                <w:color w:val="000000"/>
                <w:sz w:val="18"/>
                <w:szCs w:val="18"/>
              </w:rPr>
              <w:t>0.123</w:t>
            </w:r>
          </w:p>
        </w:tc>
        <w:tc>
          <w:tcPr>
            <w:tcW w:w="1491" w:type="dxa"/>
            <w:tcBorders>
              <w:top w:val="nil"/>
              <w:left w:val="nil"/>
              <w:bottom w:val="single" w:sz="8" w:space="0" w:color="auto"/>
              <w:right w:val="single" w:sz="8" w:space="0" w:color="auto"/>
            </w:tcBorders>
            <w:noWrap/>
            <w:vAlign w:val="center"/>
          </w:tcPr>
          <w:p w:rsidR="0066238D" w:rsidRPr="0066238D" w:rsidRDefault="0066238D" w:rsidP="0066238D">
            <w:pPr>
              <w:spacing w:before="60" w:after="60"/>
              <w:jc w:val="center"/>
              <w:rPr>
                <w:rFonts w:cs="Arial"/>
                <w:color w:val="000000"/>
                <w:sz w:val="18"/>
                <w:szCs w:val="18"/>
              </w:rPr>
            </w:pPr>
            <w:r w:rsidRPr="0066238D">
              <w:rPr>
                <w:rFonts w:cs="Arial"/>
                <w:color w:val="000000"/>
                <w:sz w:val="18"/>
                <w:szCs w:val="18"/>
              </w:rPr>
              <w:t>0.039</w:t>
            </w:r>
          </w:p>
        </w:tc>
      </w:tr>
      <w:tr w:rsidR="0066238D" w:rsidRPr="0066238D" w:rsidTr="0066238D">
        <w:trPr>
          <w:trHeight w:val="20"/>
          <w:jc w:val="center"/>
        </w:trPr>
        <w:tc>
          <w:tcPr>
            <w:tcW w:w="7165" w:type="dxa"/>
            <w:gridSpan w:val="3"/>
            <w:tcBorders>
              <w:top w:val="single" w:sz="8" w:space="0" w:color="auto"/>
              <w:left w:val="single" w:sz="8" w:space="0" w:color="auto"/>
              <w:bottom w:val="single" w:sz="8" w:space="0" w:color="auto"/>
              <w:right w:val="single" w:sz="8" w:space="0" w:color="000000"/>
            </w:tcBorders>
            <w:shd w:val="clear" w:color="auto" w:fill="D9D9D9"/>
            <w:noWrap/>
            <w:vAlign w:val="center"/>
          </w:tcPr>
          <w:p w:rsidR="0066238D" w:rsidRPr="0066238D" w:rsidRDefault="0066238D" w:rsidP="0066238D">
            <w:pPr>
              <w:spacing w:before="60" w:after="60"/>
              <w:jc w:val="center"/>
              <w:rPr>
                <w:rFonts w:cs="Arial"/>
                <w:b/>
                <w:color w:val="000000"/>
                <w:sz w:val="18"/>
                <w:szCs w:val="18"/>
              </w:rPr>
            </w:pPr>
            <w:r w:rsidRPr="0066238D">
              <w:rPr>
                <w:rFonts w:cs="Arial"/>
                <w:b/>
                <w:color w:val="000000"/>
                <w:sz w:val="18"/>
                <w:szCs w:val="18"/>
              </w:rPr>
              <w:t>HVAC Pump VFD Savings Factors</w:t>
            </w:r>
          </w:p>
        </w:tc>
      </w:tr>
      <w:tr w:rsidR="0066238D" w:rsidRPr="0066238D" w:rsidTr="0066238D">
        <w:trPr>
          <w:trHeight w:val="20"/>
          <w:jc w:val="center"/>
        </w:trPr>
        <w:tc>
          <w:tcPr>
            <w:tcW w:w="4234" w:type="dxa"/>
            <w:tcBorders>
              <w:top w:val="nil"/>
              <w:left w:val="single" w:sz="8" w:space="0" w:color="auto"/>
              <w:bottom w:val="single" w:sz="8" w:space="0" w:color="auto"/>
              <w:right w:val="single" w:sz="8" w:space="0" w:color="auto"/>
            </w:tcBorders>
            <w:shd w:val="clear" w:color="auto" w:fill="D9D9D9"/>
            <w:noWrap/>
            <w:vAlign w:val="center"/>
          </w:tcPr>
          <w:p w:rsidR="0066238D" w:rsidRPr="0066238D" w:rsidRDefault="0066238D" w:rsidP="0066238D">
            <w:pPr>
              <w:spacing w:before="60" w:after="60"/>
              <w:rPr>
                <w:rFonts w:cs="Arial"/>
                <w:b/>
                <w:bCs/>
                <w:color w:val="000000"/>
                <w:sz w:val="18"/>
                <w:szCs w:val="18"/>
              </w:rPr>
            </w:pPr>
            <w:r w:rsidRPr="0066238D">
              <w:rPr>
                <w:rFonts w:cs="Arial"/>
                <w:b/>
                <w:bCs/>
                <w:color w:val="000000"/>
                <w:sz w:val="18"/>
                <w:szCs w:val="18"/>
              </w:rPr>
              <w:t xml:space="preserve">System </w:t>
            </w:r>
          </w:p>
        </w:tc>
        <w:tc>
          <w:tcPr>
            <w:tcW w:w="1440" w:type="dxa"/>
            <w:tcBorders>
              <w:top w:val="nil"/>
              <w:left w:val="nil"/>
              <w:bottom w:val="single" w:sz="8" w:space="0" w:color="auto"/>
              <w:right w:val="single" w:sz="8" w:space="0" w:color="auto"/>
            </w:tcBorders>
            <w:shd w:val="clear" w:color="auto" w:fill="D9D9D9"/>
            <w:noWrap/>
            <w:vAlign w:val="center"/>
          </w:tcPr>
          <w:p w:rsidR="0066238D" w:rsidRPr="0066238D" w:rsidRDefault="0066238D" w:rsidP="0066238D">
            <w:pPr>
              <w:spacing w:before="60" w:after="60"/>
              <w:jc w:val="center"/>
              <w:rPr>
                <w:rFonts w:cs="Arial"/>
                <w:b/>
                <w:bCs/>
                <w:color w:val="000000"/>
                <w:sz w:val="18"/>
                <w:szCs w:val="18"/>
              </w:rPr>
            </w:pPr>
            <w:r w:rsidRPr="0066238D">
              <w:rPr>
                <w:rFonts w:cs="Arial"/>
                <w:b/>
                <w:bCs/>
                <w:color w:val="000000"/>
                <w:sz w:val="18"/>
                <w:szCs w:val="18"/>
              </w:rPr>
              <w:t>ESF</w:t>
            </w:r>
          </w:p>
        </w:tc>
        <w:tc>
          <w:tcPr>
            <w:tcW w:w="1491" w:type="dxa"/>
            <w:tcBorders>
              <w:top w:val="nil"/>
              <w:left w:val="nil"/>
              <w:bottom w:val="single" w:sz="8" w:space="0" w:color="auto"/>
              <w:right w:val="single" w:sz="8" w:space="0" w:color="auto"/>
            </w:tcBorders>
            <w:shd w:val="clear" w:color="auto" w:fill="D9D9D9"/>
            <w:noWrap/>
            <w:vAlign w:val="center"/>
          </w:tcPr>
          <w:p w:rsidR="0066238D" w:rsidRPr="0066238D" w:rsidRDefault="0066238D" w:rsidP="0066238D">
            <w:pPr>
              <w:spacing w:before="60" w:after="60"/>
              <w:jc w:val="center"/>
              <w:rPr>
                <w:rFonts w:cs="Arial"/>
                <w:b/>
                <w:bCs/>
                <w:color w:val="000000"/>
                <w:sz w:val="18"/>
                <w:szCs w:val="18"/>
              </w:rPr>
            </w:pPr>
            <w:r w:rsidRPr="0066238D">
              <w:rPr>
                <w:rFonts w:cs="Arial"/>
                <w:b/>
                <w:bCs/>
                <w:color w:val="000000"/>
                <w:sz w:val="18"/>
                <w:szCs w:val="18"/>
              </w:rPr>
              <w:t>DSF</w:t>
            </w:r>
          </w:p>
        </w:tc>
      </w:tr>
      <w:tr w:rsidR="0066238D" w:rsidRPr="0066238D" w:rsidTr="0066238D">
        <w:trPr>
          <w:trHeight w:val="20"/>
          <w:jc w:val="center"/>
        </w:trPr>
        <w:tc>
          <w:tcPr>
            <w:tcW w:w="4234" w:type="dxa"/>
            <w:tcBorders>
              <w:top w:val="nil"/>
              <w:left w:val="single" w:sz="8" w:space="0" w:color="auto"/>
              <w:bottom w:val="single" w:sz="8" w:space="0" w:color="auto"/>
              <w:right w:val="single" w:sz="8" w:space="0" w:color="auto"/>
            </w:tcBorders>
            <w:noWrap/>
            <w:vAlign w:val="center"/>
          </w:tcPr>
          <w:p w:rsidR="0066238D" w:rsidRPr="0066238D" w:rsidRDefault="0066238D" w:rsidP="0066238D">
            <w:pPr>
              <w:spacing w:before="60" w:after="60"/>
              <w:rPr>
                <w:rFonts w:cs="Arial"/>
                <w:color w:val="000000"/>
                <w:sz w:val="18"/>
                <w:szCs w:val="18"/>
              </w:rPr>
            </w:pPr>
            <w:r w:rsidRPr="0066238D">
              <w:rPr>
                <w:rFonts w:cs="Arial"/>
                <w:color w:val="000000"/>
                <w:sz w:val="18"/>
                <w:szCs w:val="18"/>
              </w:rPr>
              <w:t>Chilled Water Pump</w:t>
            </w:r>
          </w:p>
        </w:tc>
        <w:tc>
          <w:tcPr>
            <w:tcW w:w="1440" w:type="dxa"/>
            <w:tcBorders>
              <w:top w:val="nil"/>
              <w:left w:val="nil"/>
              <w:bottom w:val="single" w:sz="8" w:space="0" w:color="auto"/>
              <w:right w:val="single" w:sz="8" w:space="0" w:color="auto"/>
            </w:tcBorders>
            <w:noWrap/>
            <w:vAlign w:val="center"/>
          </w:tcPr>
          <w:p w:rsidR="0066238D" w:rsidRPr="0066238D" w:rsidRDefault="0066238D" w:rsidP="0066238D">
            <w:pPr>
              <w:spacing w:before="60" w:after="60"/>
              <w:jc w:val="center"/>
              <w:rPr>
                <w:rFonts w:cs="Arial"/>
                <w:color w:val="000000"/>
                <w:sz w:val="18"/>
                <w:szCs w:val="18"/>
              </w:rPr>
            </w:pPr>
            <w:r w:rsidRPr="0066238D">
              <w:rPr>
                <w:rFonts w:cs="Arial"/>
                <w:color w:val="000000"/>
                <w:sz w:val="18"/>
                <w:szCs w:val="18"/>
              </w:rPr>
              <w:t>0.580</w:t>
            </w:r>
          </w:p>
        </w:tc>
        <w:tc>
          <w:tcPr>
            <w:tcW w:w="1491" w:type="dxa"/>
            <w:tcBorders>
              <w:top w:val="nil"/>
              <w:left w:val="nil"/>
              <w:bottom w:val="single" w:sz="8" w:space="0" w:color="auto"/>
              <w:right w:val="single" w:sz="8" w:space="0" w:color="auto"/>
            </w:tcBorders>
            <w:noWrap/>
            <w:vAlign w:val="center"/>
          </w:tcPr>
          <w:p w:rsidR="0066238D" w:rsidRPr="0066238D" w:rsidRDefault="0066238D" w:rsidP="0066238D">
            <w:pPr>
              <w:spacing w:before="60" w:after="60"/>
              <w:jc w:val="center"/>
              <w:rPr>
                <w:rFonts w:cs="Arial"/>
                <w:color w:val="000000"/>
                <w:sz w:val="18"/>
                <w:szCs w:val="18"/>
              </w:rPr>
            </w:pPr>
            <w:r w:rsidRPr="0066238D">
              <w:rPr>
                <w:rFonts w:cs="Arial"/>
                <w:color w:val="000000"/>
                <w:sz w:val="18"/>
                <w:szCs w:val="18"/>
              </w:rPr>
              <w:t>0.401</w:t>
            </w:r>
          </w:p>
        </w:tc>
      </w:tr>
      <w:tr w:rsidR="0066238D" w:rsidRPr="0066238D" w:rsidTr="0066238D">
        <w:trPr>
          <w:trHeight w:val="20"/>
          <w:jc w:val="center"/>
        </w:trPr>
        <w:tc>
          <w:tcPr>
            <w:tcW w:w="4234" w:type="dxa"/>
            <w:tcBorders>
              <w:top w:val="nil"/>
              <w:left w:val="single" w:sz="8" w:space="0" w:color="auto"/>
              <w:bottom w:val="single" w:sz="8" w:space="0" w:color="auto"/>
              <w:right w:val="single" w:sz="8" w:space="0" w:color="auto"/>
            </w:tcBorders>
            <w:noWrap/>
            <w:vAlign w:val="center"/>
          </w:tcPr>
          <w:p w:rsidR="0066238D" w:rsidRPr="0066238D" w:rsidRDefault="0066238D" w:rsidP="0066238D">
            <w:pPr>
              <w:spacing w:before="60" w:after="60"/>
              <w:rPr>
                <w:rFonts w:cs="Arial"/>
                <w:color w:val="000000"/>
                <w:sz w:val="18"/>
                <w:szCs w:val="18"/>
              </w:rPr>
            </w:pPr>
            <w:r w:rsidRPr="0066238D">
              <w:rPr>
                <w:rFonts w:cs="Arial"/>
                <w:color w:val="000000"/>
                <w:sz w:val="18"/>
                <w:szCs w:val="18"/>
              </w:rPr>
              <w:t xml:space="preserve">Hot Water Pump </w:t>
            </w:r>
          </w:p>
        </w:tc>
        <w:tc>
          <w:tcPr>
            <w:tcW w:w="1440" w:type="dxa"/>
            <w:tcBorders>
              <w:top w:val="nil"/>
              <w:left w:val="nil"/>
              <w:bottom w:val="single" w:sz="8" w:space="0" w:color="auto"/>
              <w:right w:val="single" w:sz="8" w:space="0" w:color="auto"/>
            </w:tcBorders>
            <w:noWrap/>
            <w:vAlign w:val="center"/>
          </w:tcPr>
          <w:p w:rsidR="0066238D" w:rsidRPr="0066238D" w:rsidRDefault="0066238D" w:rsidP="0066238D">
            <w:pPr>
              <w:spacing w:before="60" w:after="60"/>
              <w:jc w:val="center"/>
              <w:rPr>
                <w:rFonts w:cs="Arial"/>
                <w:color w:val="000000"/>
                <w:sz w:val="18"/>
                <w:szCs w:val="18"/>
              </w:rPr>
            </w:pPr>
            <w:r w:rsidRPr="0066238D">
              <w:rPr>
                <w:rFonts w:cs="Arial"/>
                <w:color w:val="000000"/>
                <w:sz w:val="18"/>
                <w:szCs w:val="18"/>
              </w:rPr>
              <w:t>0.646</w:t>
            </w:r>
          </w:p>
        </w:tc>
        <w:tc>
          <w:tcPr>
            <w:tcW w:w="1491" w:type="dxa"/>
            <w:tcBorders>
              <w:top w:val="nil"/>
              <w:left w:val="nil"/>
              <w:bottom w:val="single" w:sz="8" w:space="0" w:color="auto"/>
              <w:right w:val="single" w:sz="8" w:space="0" w:color="auto"/>
            </w:tcBorders>
            <w:noWrap/>
            <w:vAlign w:val="center"/>
          </w:tcPr>
          <w:p w:rsidR="0066238D" w:rsidRPr="0066238D" w:rsidRDefault="0066238D" w:rsidP="0066238D">
            <w:pPr>
              <w:spacing w:before="60" w:after="60"/>
              <w:jc w:val="center"/>
              <w:rPr>
                <w:rFonts w:cs="Arial"/>
                <w:color w:val="000000"/>
                <w:sz w:val="18"/>
                <w:szCs w:val="18"/>
              </w:rPr>
            </w:pPr>
            <w:r w:rsidRPr="0066238D">
              <w:rPr>
                <w:rFonts w:cs="Arial"/>
                <w:color w:val="000000"/>
                <w:sz w:val="18"/>
                <w:szCs w:val="18"/>
              </w:rPr>
              <w:t>0.000</w:t>
            </w:r>
          </w:p>
        </w:tc>
      </w:tr>
    </w:tbl>
    <w:p w:rsidR="00A22E85" w:rsidRDefault="00A22E85" w:rsidP="00C3606E">
      <w:pPr>
        <w:spacing w:after="0"/>
        <w:rPr>
          <w:rFonts w:ascii="Arial Black" w:hAnsi="Arial Black"/>
        </w:rPr>
      </w:pPr>
    </w:p>
    <w:p w:rsidR="0066238D" w:rsidRDefault="0066238D" w:rsidP="0066238D">
      <w:pPr>
        <w:pStyle w:val="Heading3"/>
      </w:pPr>
      <w:r>
        <w:lastRenderedPageBreak/>
        <w:t>Evaluation Protocol</w:t>
      </w:r>
    </w:p>
    <w:p w:rsidR="00791069" w:rsidRDefault="0066238D" w:rsidP="0066238D">
      <w:pPr>
        <w:rPr>
          <w:rFonts w:cs="Arial"/>
          <w:b/>
          <w:bCs/>
          <w:iCs/>
          <w:sz w:val="24"/>
          <w:szCs w:val="28"/>
        </w:rPr>
      </w:pPr>
      <w:r>
        <w:t>VFD projects achieving reported savings greater than 50,000 kWh and selected in the evaluator sample must be metered to verify reported savings. In addition, if any VFD within a sampled project uses the other category to stipulate hours, the threshold is decreased to 25,000 kWh.</w:t>
      </w:r>
      <w:r w:rsidR="00941160" w:rsidRPr="00941160">
        <w:t xml:space="preserve"> </w:t>
      </w:r>
      <w:r w:rsidR="00941160">
        <w:t>Metering is not mandatory where hours can be easily verified through a building automation system schedule that clearly shows motor run time.</w:t>
      </w:r>
      <w:bookmarkStart w:id="578" w:name="_Toc249174113"/>
    </w:p>
    <w:p w:rsidR="00981D38" w:rsidRPr="00E75089" w:rsidRDefault="00791069" w:rsidP="00E568D4">
      <w:pPr>
        <w:pStyle w:val="Heading2"/>
      </w:pPr>
      <w:bookmarkStart w:id="579" w:name="_Toc283146727"/>
      <w:bookmarkStart w:id="580" w:name="_Toc283154210"/>
      <w:bookmarkStart w:id="581" w:name="_Toc283715959"/>
      <w:bookmarkStart w:id="582" w:name="_Toc283719094"/>
      <w:bookmarkStart w:id="583" w:name="_Toc283719270"/>
      <w:bookmarkStart w:id="584" w:name="_Toc283719446"/>
      <w:bookmarkStart w:id="585" w:name="_Toc283739033"/>
      <w:bookmarkStart w:id="586" w:name="_Toc283739385"/>
      <w:bookmarkStart w:id="587" w:name="_Toc283739736"/>
      <w:bookmarkStart w:id="588" w:name="_Toc283740080"/>
      <w:bookmarkStart w:id="589" w:name="_Toc283740421"/>
      <w:bookmarkStart w:id="590" w:name="_Toc283740754"/>
      <w:bookmarkStart w:id="591" w:name="_Toc283741083"/>
      <w:bookmarkStart w:id="592" w:name="_Toc283741406"/>
      <w:bookmarkStart w:id="593" w:name="_Toc283741716"/>
      <w:bookmarkStart w:id="594" w:name="_Toc283742025"/>
      <w:bookmarkStart w:id="595" w:name="_Toc283742519"/>
      <w:bookmarkStart w:id="596" w:name="_Toc283742780"/>
      <w:bookmarkStart w:id="597" w:name="_Toc283743013"/>
      <w:bookmarkStart w:id="598" w:name="_Toc283743190"/>
      <w:bookmarkStart w:id="599" w:name="_Toc283743366"/>
      <w:bookmarkStart w:id="600" w:name="_Toc283743543"/>
      <w:bookmarkStart w:id="601" w:name="_Toc283743719"/>
      <w:bookmarkStart w:id="602" w:name="_Toc283146729"/>
      <w:bookmarkStart w:id="603" w:name="_Toc283154212"/>
      <w:bookmarkStart w:id="604" w:name="_Toc283715961"/>
      <w:bookmarkStart w:id="605" w:name="_Toc283719096"/>
      <w:bookmarkStart w:id="606" w:name="_Toc283719272"/>
      <w:bookmarkStart w:id="607" w:name="_Toc283719448"/>
      <w:bookmarkStart w:id="608" w:name="_Toc283739035"/>
      <w:bookmarkStart w:id="609" w:name="_Toc283739387"/>
      <w:bookmarkStart w:id="610" w:name="_Toc283739738"/>
      <w:bookmarkStart w:id="611" w:name="_Toc283740082"/>
      <w:bookmarkStart w:id="612" w:name="_Toc283740423"/>
      <w:bookmarkStart w:id="613" w:name="_Toc283740756"/>
      <w:bookmarkStart w:id="614" w:name="_Toc283741085"/>
      <w:bookmarkStart w:id="615" w:name="_Toc283741408"/>
      <w:bookmarkStart w:id="616" w:name="_Toc283741718"/>
      <w:bookmarkStart w:id="617" w:name="_Toc283742027"/>
      <w:bookmarkStart w:id="618" w:name="_Toc283742521"/>
      <w:bookmarkStart w:id="619" w:name="_Toc283742782"/>
      <w:bookmarkStart w:id="620" w:name="_Toc283743015"/>
      <w:bookmarkStart w:id="621" w:name="_Toc283743192"/>
      <w:bookmarkStart w:id="622" w:name="_Toc283743368"/>
      <w:bookmarkStart w:id="623" w:name="_Toc283743545"/>
      <w:bookmarkStart w:id="624" w:name="_Toc283743721"/>
      <w:bookmarkStart w:id="625" w:name="_Toc283146735"/>
      <w:bookmarkStart w:id="626" w:name="_Toc283154218"/>
      <w:bookmarkStart w:id="627" w:name="_Toc283715967"/>
      <w:bookmarkStart w:id="628" w:name="_Toc283719102"/>
      <w:bookmarkStart w:id="629" w:name="_Toc283719278"/>
      <w:bookmarkStart w:id="630" w:name="_Toc283719454"/>
      <w:bookmarkStart w:id="631" w:name="_Toc283739041"/>
      <w:bookmarkStart w:id="632" w:name="_Toc283739393"/>
      <w:bookmarkStart w:id="633" w:name="_Toc283739744"/>
      <w:bookmarkStart w:id="634" w:name="_Toc283740088"/>
      <w:bookmarkStart w:id="635" w:name="_Toc283740429"/>
      <w:bookmarkStart w:id="636" w:name="_Toc283740762"/>
      <w:bookmarkStart w:id="637" w:name="_Toc283741091"/>
      <w:bookmarkStart w:id="638" w:name="_Toc283741414"/>
      <w:bookmarkStart w:id="639" w:name="_Toc283741724"/>
      <w:bookmarkStart w:id="640" w:name="_Toc283742033"/>
      <w:bookmarkStart w:id="641" w:name="_Toc283742527"/>
      <w:bookmarkStart w:id="642" w:name="_Toc283742788"/>
      <w:bookmarkStart w:id="643" w:name="_Toc283743021"/>
      <w:bookmarkStart w:id="644" w:name="_Toc283743198"/>
      <w:bookmarkStart w:id="645" w:name="_Toc283743374"/>
      <w:bookmarkStart w:id="646" w:name="_Toc283743551"/>
      <w:bookmarkStart w:id="647" w:name="_Toc283743727"/>
      <w:bookmarkStart w:id="648" w:name="_Toc283146739"/>
      <w:bookmarkStart w:id="649" w:name="_Toc283154222"/>
      <w:bookmarkStart w:id="650" w:name="_Toc283715971"/>
      <w:bookmarkStart w:id="651" w:name="_Toc283719106"/>
      <w:bookmarkStart w:id="652" w:name="_Toc283719282"/>
      <w:bookmarkStart w:id="653" w:name="_Toc283719458"/>
      <w:bookmarkStart w:id="654" w:name="_Toc283739045"/>
      <w:bookmarkStart w:id="655" w:name="_Toc283739397"/>
      <w:bookmarkStart w:id="656" w:name="_Toc283739748"/>
      <w:bookmarkStart w:id="657" w:name="_Toc283740092"/>
      <w:bookmarkStart w:id="658" w:name="_Toc283740433"/>
      <w:bookmarkStart w:id="659" w:name="_Toc283740766"/>
      <w:bookmarkStart w:id="660" w:name="_Toc283741095"/>
      <w:bookmarkStart w:id="661" w:name="_Toc283741418"/>
      <w:bookmarkStart w:id="662" w:name="_Toc283741728"/>
      <w:bookmarkStart w:id="663" w:name="_Toc283742037"/>
      <w:bookmarkStart w:id="664" w:name="_Toc283742531"/>
      <w:bookmarkStart w:id="665" w:name="_Toc283742792"/>
      <w:bookmarkStart w:id="666" w:name="_Toc283743025"/>
      <w:bookmarkStart w:id="667" w:name="_Toc283743202"/>
      <w:bookmarkStart w:id="668" w:name="_Toc283743378"/>
      <w:bookmarkStart w:id="669" w:name="_Toc283743555"/>
      <w:bookmarkStart w:id="670" w:name="_Toc283743731"/>
      <w:bookmarkStart w:id="671" w:name="_Toc283146740"/>
      <w:bookmarkStart w:id="672" w:name="_Toc283146899"/>
      <w:bookmarkStart w:id="673" w:name="_Toc283154223"/>
      <w:bookmarkStart w:id="674" w:name="_Toc283715972"/>
      <w:bookmarkStart w:id="675" w:name="_Toc283719107"/>
      <w:bookmarkStart w:id="676" w:name="_Toc283719283"/>
      <w:bookmarkStart w:id="677" w:name="_Toc283719459"/>
      <w:bookmarkStart w:id="678" w:name="_Toc283739046"/>
      <w:bookmarkStart w:id="679" w:name="_Toc283739398"/>
      <w:bookmarkStart w:id="680" w:name="_Toc283739749"/>
      <w:bookmarkStart w:id="681" w:name="_Toc283740093"/>
      <w:bookmarkStart w:id="682" w:name="_Toc283740434"/>
      <w:bookmarkStart w:id="683" w:name="_Toc283740767"/>
      <w:bookmarkStart w:id="684" w:name="_Toc283741096"/>
      <w:bookmarkStart w:id="685" w:name="_Toc283741419"/>
      <w:bookmarkStart w:id="686" w:name="_Toc283741729"/>
      <w:bookmarkStart w:id="687" w:name="_Toc283742038"/>
      <w:bookmarkStart w:id="688" w:name="_Toc283742532"/>
      <w:bookmarkStart w:id="689" w:name="_Toc283742793"/>
      <w:bookmarkStart w:id="690" w:name="_Toc283743026"/>
      <w:bookmarkStart w:id="691" w:name="_Toc283743203"/>
      <w:bookmarkStart w:id="692" w:name="_Toc283743379"/>
      <w:bookmarkStart w:id="693" w:name="_Toc283743556"/>
      <w:bookmarkStart w:id="694" w:name="_Toc283743732"/>
      <w:bookmarkStart w:id="695" w:name="_Toc283146773"/>
      <w:bookmarkStart w:id="696" w:name="_Toc283154256"/>
      <w:bookmarkStart w:id="697" w:name="_Toc283716005"/>
      <w:bookmarkStart w:id="698" w:name="_Toc283719140"/>
      <w:bookmarkStart w:id="699" w:name="_Toc283719316"/>
      <w:bookmarkStart w:id="700" w:name="_Toc283719492"/>
      <w:bookmarkStart w:id="701" w:name="_Toc283739079"/>
      <w:bookmarkStart w:id="702" w:name="_Toc283739431"/>
      <w:bookmarkStart w:id="703" w:name="_Toc283739782"/>
      <w:bookmarkStart w:id="704" w:name="_Toc283740126"/>
      <w:bookmarkStart w:id="705" w:name="_Toc283740467"/>
      <w:bookmarkStart w:id="706" w:name="_Toc283740800"/>
      <w:bookmarkStart w:id="707" w:name="_Toc283741129"/>
      <w:bookmarkStart w:id="708" w:name="_Toc283741452"/>
      <w:bookmarkStart w:id="709" w:name="_Toc283741762"/>
      <w:bookmarkStart w:id="710" w:name="_Toc283742071"/>
      <w:bookmarkStart w:id="711" w:name="_Toc283742565"/>
      <w:bookmarkStart w:id="712" w:name="_Toc283742826"/>
      <w:bookmarkStart w:id="713" w:name="_Toc283743059"/>
      <w:bookmarkStart w:id="714" w:name="_Toc283743236"/>
      <w:bookmarkStart w:id="715" w:name="_Toc283743412"/>
      <w:bookmarkStart w:id="716" w:name="_Toc283743589"/>
      <w:bookmarkStart w:id="717" w:name="_Toc283743765"/>
      <w:bookmarkStart w:id="718" w:name="_Toc283146775"/>
      <w:bookmarkStart w:id="719" w:name="_Toc283154258"/>
      <w:bookmarkStart w:id="720" w:name="_Toc283716007"/>
      <w:bookmarkStart w:id="721" w:name="_Toc283719142"/>
      <w:bookmarkStart w:id="722" w:name="_Toc283719318"/>
      <w:bookmarkStart w:id="723" w:name="_Toc283719494"/>
      <w:bookmarkStart w:id="724" w:name="_Toc283739081"/>
      <w:bookmarkStart w:id="725" w:name="_Toc283739433"/>
      <w:bookmarkStart w:id="726" w:name="_Toc283739784"/>
      <w:bookmarkStart w:id="727" w:name="_Toc283740128"/>
      <w:bookmarkStart w:id="728" w:name="_Toc283740469"/>
      <w:bookmarkStart w:id="729" w:name="_Toc283740802"/>
      <w:bookmarkStart w:id="730" w:name="_Toc283741131"/>
      <w:bookmarkStart w:id="731" w:name="_Toc283741454"/>
      <w:bookmarkStart w:id="732" w:name="_Toc283741764"/>
      <w:bookmarkStart w:id="733" w:name="_Toc283742073"/>
      <w:bookmarkStart w:id="734" w:name="_Toc283742567"/>
      <w:bookmarkStart w:id="735" w:name="_Toc283742828"/>
      <w:bookmarkStart w:id="736" w:name="_Toc283743061"/>
      <w:bookmarkStart w:id="737" w:name="_Toc283743238"/>
      <w:bookmarkStart w:id="738" w:name="_Toc283743414"/>
      <w:bookmarkStart w:id="739" w:name="_Toc283743591"/>
      <w:bookmarkStart w:id="740" w:name="_Toc28374376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r>
        <w:br w:type="page"/>
      </w:r>
      <w:bookmarkStart w:id="741" w:name="_Toc310875444"/>
      <w:r w:rsidR="00981D38" w:rsidRPr="00E75089">
        <w:lastRenderedPageBreak/>
        <w:t>Variable Frequency Drive</w:t>
      </w:r>
      <w:r w:rsidR="00981D38">
        <w:t xml:space="preserve"> </w:t>
      </w:r>
      <w:r w:rsidR="00A658FF">
        <w:t xml:space="preserve">(VFD) </w:t>
      </w:r>
      <w:r w:rsidR="00981D38">
        <w:t>Improvement for Industrial Air Compressors</w:t>
      </w:r>
      <w:bookmarkEnd w:id="741"/>
    </w:p>
    <w:p w:rsidR="00981D38" w:rsidRPr="00E75089" w:rsidRDefault="00981D38" w:rsidP="00981D38">
      <w:pPr>
        <w:pStyle w:val="BodyText"/>
      </w:pPr>
      <w:r w:rsidRPr="00E75089">
        <w:t xml:space="preserve">The energy and demand savings for variable frequency drives (VFDs) installed on industrial air compressors is based on the loading and hours of use of the compressor. In industrial settings, these factors can be highly variable and may be best evaluated using a custom path. The method for measurement set forth below may be appropriate for </w:t>
      </w:r>
      <w:r>
        <w:t xml:space="preserve">systems </w:t>
      </w:r>
      <w:r w:rsidR="001D7420">
        <w:t>that have</w:t>
      </w:r>
      <w:r>
        <w:t xml:space="preserve"> a single compressor servicing a single load </w:t>
      </w:r>
      <w:r w:rsidRPr="00E75089">
        <w:t xml:space="preserve">and </w:t>
      </w:r>
      <w:r>
        <w:t xml:space="preserve">that have </w:t>
      </w:r>
      <w:r w:rsidRPr="00E75089">
        <w:t>some of the elements of both a deemed and custom approach.</w:t>
      </w:r>
    </w:p>
    <w:p w:rsidR="00981D38" w:rsidRPr="00E75089" w:rsidRDefault="00981D38" w:rsidP="00981D38">
      <w:pPr>
        <w:pStyle w:val="BodyText"/>
      </w:pPr>
      <w:r>
        <w:t>S</w:t>
      </w:r>
      <w:r w:rsidRPr="00E75089">
        <w:t>ystems with multiple compressors</w:t>
      </w:r>
      <w:r w:rsidRPr="00081878">
        <w:t xml:space="preserve"> </w:t>
      </w:r>
      <w:r>
        <w:t>are defined as non-standard applications and must follow a custom measure protocol.</w:t>
      </w:r>
    </w:p>
    <w:p w:rsidR="00981D38" w:rsidRPr="00E75089" w:rsidRDefault="00981D38" w:rsidP="00871FA2">
      <w:pPr>
        <w:pStyle w:val="Heading3"/>
      </w:pPr>
      <w:r w:rsidRPr="00E75089">
        <w:t>Algorithms</w:t>
      </w:r>
    </w:p>
    <w:p w:rsidR="00981D38" w:rsidRPr="00F5204A" w:rsidRDefault="00981D38" w:rsidP="00981D38">
      <w:pPr>
        <w:pStyle w:val="Equation"/>
        <w:rPr>
          <w:rFonts w:cs="Arial"/>
          <w:szCs w:val="20"/>
        </w:rPr>
      </w:pPr>
      <w:r w:rsidRPr="00F5204A">
        <w:rPr>
          <w:rFonts w:cs="Arial"/>
          <w:szCs w:val="20"/>
        </w:rPr>
        <w:sym w:font="Symbol" w:char="F044"/>
      </w:r>
      <w:r w:rsidRPr="00F5204A">
        <w:rPr>
          <w:rFonts w:cs="Arial"/>
          <w:szCs w:val="20"/>
        </w:rPr>
        <w:t>kWh</w:t>
      </w:r>
      <w:r w:rsidRPr="00F5204A">
        <w:rPr>
          <w:rFonts w:cs="Arial"/>
          <w:szCs w:val="20"/>
        </w:rPr>
        <w:tab/>
      </w:r>
      <w:r w:rsidRPr="00F5204A">
        <w:rPr>
          <w:rFonts w:cs="Arial"/>
          <w:szCs w:val="20"/>
        </w:rPr>
        <w:tab/>
        <w:t>= 0.129 X HP X LF/η</w:t>
      </w:r>
      <w:r w:rsidRPr="00F5204A">
        <w:rPr>
          <w:rFonts w:cs="Arial"/>
          <w:szCs w:val="20"/>
          <w:vertAlign w:val="subscript"/>
        </w:rPr>
        <w:t>motor</w:t>
      </w:r>
      <w:r w:rsidRPr="00F5204A">
        <w:rPr>
          <w:rFonts w:cs="Arial"/>
          <w:szCs w:val="20"/>
        </w:rPr>
        <w:t xml:space="preserve"> X RHRS</w:t>
      </w:r>
      <w:r w:rsidRPr="00F5204A">
        <w:rPr>
          <w:rFonts w:cs="Arial"/>
          <w:szCs w:val="20"/>
          <w:vertAlign w:val="subscript"/>
        </w:rPr>
        <w:t>base</w:t>
      </w:r>
    </w:p>
    <w:p w:rsidR="00981D38" w:rsidRPr="00F5204A" w:rsidRDefault="00981D38" w:rsidP="00981D38">
      <w:pPr>
        <w:pStyle w:val="Equation"/>
        <w:rPr>
          <w:rFonts w:cs="Arial"/>
          <w:szCs w:val="20"/>
        </w:rPr>
      </w:pPr>
      <w:r w:rsidRPr="00F5204A">
        <w:rPr>
          <w:rFonts w:cs="Arial"/>
          <w:szCs w:val="20"/>
        </w:rPr>
        <w:sym w:font="Symbol" w:char="F044"/>
      </w:r>
      <w:r w:rsidRPr="00F5204A">
        <w:rPr>
          <w:rFonts w:cs="Arial"/>
          <w:szCs w:val="20"/>
        </w:rPr>
        <w:t>kW</w:t>
      </w:r>
      <w:r w:rsidRPr="00F5204A">
        <w:rPr>
          <w:rFonts w:cs="Arial"/>
          <w:szCs w:val="20"/>
        </w:rPr>
        <w:tab/>
      </w:r>
      <w:r w:rsidRPr="00F5204A">
        <w:rPr>
          <w:rFonts w:cs="Arial"/>
          <w:szCs w:val="20"/>
        </w:rPr>
        <w:tab/>
        <w:t>= 0.129 X HP</w:t>
      </w:r>
    </w:p>
    <w:p w:rsidR="00981D38" w:rsidRPr="00F5204A" w:rsidRDefault="00981D38" w:rsidP="00981D38">
      <w:pPr>
        <w:pStyle w:val="Equation"/>
        <w:rPr>
          <w:rFonts w:cs="Arial"/>
          <w:szCs w:val="20"/>
        </w:rPr>
      </w:pPr>
      <w:r w:rsidRPr="00F5204A">
        <w:rPr>
          <w:rFonts w:cs="Arial"/>
          <w:szCs w:val="20"/>
        </w:rPr>
        <w:sym w:font="Symbol" w:char="F044"/>
      </w:r>
      <w:r w:rsidRPr="00F5204A">
        <w:rPr>
          <w:rFonts w:cs="Arial"/>
          <w:szCs w:val="20"/>
        </w:rPr>
        <w:t>kW</w:t>
      </w:r>
      <w:r w:rsidRPr="00F5204A">
        <w:rPr>
          <w:rFonts w:cs="Arial"/>
          <w:szCs w:val="20"/>
          <w:vertAlign w:val="subscript"/>
        </w:rPr>
        <w:t>peak</w:t>
      </w:r>
      <w:r w:rsidRPr="00F5204A">
        <w:rPr>
          <w:rFonts w:cs="Arial"/>
          <w:szCs w:val="20"/>
        </w:rPr>
        <w:tab/>
      </w:r>
      <w:r w:rsidRPr="00F5204A">
        <w:rPr>
          <w:rFonts w:cs="Arial"/>
          <w:szCs w:val="20"/>
        </w:rPr>
        <w:tab/>
        <w:t>= 0.106 X HP</w:t>
      </w:r>
    </w:p>
    <w:p w:rsidR="00981D38" w:rsidRPr="00E75089" w:rsidRDefault="00981D38" w:rsidP="00871FA2">
      <w:pPr>
        <w:pStyle w:val="Heading3"/>
      </w:pPr>
      <w:r>
        <w:t>Definition</w:t>
      </w:r>
      <w:r w:rsidRPr="00E75089">
        <w:t xml:space="preserve"> of </w:t>
      </w:r>
      <w:r w:rsidR="001D7420">
        <w:t>Terms</w:t>
      </w:r>
    </w:p>
    <w:p w:rsidR="00981D38" w:rsidRPr="00F5204A" w:rsidRDefault="00981D38" w:rsidP="00981D38">
      <w:pPr>
        <w:pStyle w:val="Equation"/>
        <w:rPr>
          <w:rFonts w:cs="Arial"/>
          <w:szCs w:val="20"/>
        </w:rPr>
      </w:pPr>
      <w:r w:rsidRPr="00F5204A">
        <w:rPr>
          <w:rFonts w:cs="Arial"/>
          <w:szCs w:val="20"/>
        </w:rPr>
        <w:tab/>
        <w:t xml:space="preserve">HP </w:t>
      </w:r>
      <w:r w:rsidRPr="00F5204A">
        <w:rPr>
          <w:rFonts w:cs="Arial"/>
          <w:szCs w:val="20"/>
        </w:rPr>
        <w:tab/>
        <w:t>= Rated horsepower of the motor</w:t>
      </w:r>
    </w:p>
    <w:p w:rsidR="006B515B" w:rsidRPr="00F5204A" w:rsidRDefault="00981D38" w:rsidP="00145952">
      <w:pPr>
        <w:pStyle w:val="Equation"/>
        <w:rPr>
          <w:rFonts w:cs="Arial"/>
          <w:szCs w:val="20"/>
        </w:rPr>
      </w:pPr>
      <w:r w:rsidRPr="00F5204A">
        <w:rPr>
          <w:rFonts w:cs="Arial"/>
          <w:szCs w:val="20"/>
        </w:rPr>
        <w:tab/>
        <w:t xml:space="preserve">LF </w:t>
      </w:r>
      <w:r w:rsidRPr="00F5204A">
        <w:rPr>
          <w:rFonts w:cs="Arial"/>
          <w:szCs w:val="20"/>
        </w:rPr>
        <w:tab/>
        <w:t xml:space="preserve">= Load Factor. </w:t>
      </w:r>
      <w:r w:rsidR="006B515B" w:rsidRPr="00F5204A">
        <w:rPr>
          <w:rFonts w:cs="Arial"/>
          <w:szCs w:val="20"/>
        </w:rPr>
        <w:t>Ratio between the actual load and the rated load. Motor efficiency curves typically result in motors being most efficient at approximately 75% of the rated load. The default value is 0.75.</w:t>
      </w:r>
      <w:r w:rsidR="006B515B" w:rsidRPr="00F5204A">
        <w:rPr>
          <w:rStyle w:val="FootnoteReference"/>
          <w:rFonts w:cs="Arial"/>
          <w:szCs w:val="20"/>
        </w:rPr>
        <w:footnoteReference w:id="161"/>
      </w:r>
    </w:p>
    <w:p w:rsidR="00981D38" w:rsidRPr="00F5204A" w:rsidRDefault="00981D38" w:rsidP="00981D38">
      <w:pPr>
        <w:pStyle w:val="Equation"/>
        <w:rPr>
          <w:rFonts w:cs="Arial"/>
          <w:szCs w:val="20"/>
        </w:rPr>
      </w:pPr>
      <w:r w:rsidRPr="00F5204A">
        <w:rPr>
          <w:rFonts w:cs="Arial"/>
          <w:szCs w:val="20"/>
        </w:rPr>
        <w:tab/>
        <w:t>η</w:t>
      </w:r>
      <w:r w:rsidRPr="00F5204A">
        <w:rPr>
          <w:rFonts w:cs="Arial"/>
          <w:szCs w:val="20"/>
          <w:vertAlign w:val="subscript"/>
        </w:rPr>
        <w:t>base</w:t>
      </w:r>
      <w:r w:rsidRPr="00F5204A">
        <w:rPr>
          <w:rFonts w:cs="Arial"/>
          <w:szCs w:val="20"/>
        </w:rPr>
        <w:t xml:space="preserve"> </w:t>
      </w:r>
      <w:r w:rsidRPr="00F5204A">
        <w:rPr>
          <w:rFonts w:cs="Arial"/>
          <w:szCs w:val="20"/>
        </w:rPr>
        <w:tab/>
        <w:t xml:space="preserve">= Efficiency of the baseline motor </w:t>
      </w:r>
    </w:p>
    <w:p w:rsidR="00981D38" w:rsidRPr="00F5204A" w:rsidRDefault="00981D38" w:rsidP="00981D38">
      <w:pPr>
        <w:pStyle w:val="Equation"/>
        <w:rPr>
          <w:rFonts w:cs="Arial"/>
          <w:szCs w:val="20"/>
        </w:rPr>
      </w:pPr>
      <w:r w:rsidRPr="00F5204A">
        <w:rPr>
          <w:rFonts w:cs="Arial"/>
          <w:szCs w:val="20"/>
        </w:rPr>
        <w:tab/>
        <w:t xml:space="preserve">RHRS </w:t>
      </w:r>
      <w:r w:rsidRPr="00F5204A">
        <w:rPr>
          <w:rFonts w:cs="Arial"/>
          <w:szCs w:val="20"/>
        </w:rPr>
        <w:tab/>
        <w:t>= Annual run hours of the motor</w:t>
      </w:r>
    </w:p>
    <w:p w:rsidR="00981D38" w:rsidRPr="00F5204A" w:rsidRDefault="00981D38" w:rsidP="00981D38">
      <w:pPr>
        <w:pStyle w:val="Equation"/>
        <w:rPr>
          <w:rFonts w:cs="Arial"/>
          <w:szCs w:val="20"/>
        </w:rPr>
      </w:pPr>
      <w:r w:rsidRPr="00F5204A">
        <w:rPr>
          <w:rFonts w:cs="Arial"/>
          <w:szCs w:val="20"/>
        </w:rPr>
        <w:tab/>
        <w:t xml:space="preserve">CF </w:t>
      </w:r>
      <w:r w:rsidRPr="00F5204A">
        <w:rPr>
          <w:rFonts w:cs="Arial"/>
          <w:szCs w:val="20"/>
        </w:rPr>
        <w:tab/>
        <w:t xml:space="preserve">= </w:t>
      </w:r>
      <w:r w:rsidR="005478EE" w:rsidRPr="00F5204A">
        <w:rPr>
          <w:rFonts w:cs="Arial"/>
          <w:szCs w:val="20"/>
        </w:rPr>
        <w:t>Demand Coincidence Factor (See Section 1.4)</w:t>
      </w:r>
    </w:p>
    <w:p w:rsidR="00981D38" w:rsidRPr="00E75089" w:rsidRDefault="00981D38" w:rsidP="00B20F6B">
      <w:pPr>
        <w:pStyle w:val="Caption"/>
      </w:pPr>
      <w:bookmarkStart w:id="742" w:name="_Toc310875570"/>
      <w:r>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18</w:t>
      </w:r>
      <w:r w:rsidR="00274AB1">
        <w:rPr>
          <w:noProof/>
        </w:rPr>
        <w:fldChar w:fldCharType="end"/>
      </w:r>
      <w:r>
        <w:t>: Variables for Industrial Air Compressor Calculation</w:t>
      </w:r>
      <w:bookmarkEnd w:id="7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1350"/>
        <w:gridCol w:w="2496"/>
        <w:gridCol w:w="1867"/>
      </w:tblGrid>
      <w:tr w:rsidR="00981D38" w:rsidRPr="00671152" w:rsidTr="001D7420">
        <w:trPr>
          <w:trHeight w:val="317"/>
          <w:jc w:val="center"/>
        </w:trPr>
        <w:tc>
          <w:tcPr>
            <w:tcW w:w="2718" w:type="dxa"/>
            <w:shd w:val="clear" w:color="auto" w:fill="BFBFBF"/>
            <w:vAlign w:val="center"/>
          </w:tcPr>
          <w:p w:rsidR="00981D38" w:rsidRPr="001D6512" w:rsidRDefault="00981D38" w:rsidP="00C3606E">
            <w:pPr>
              <w:pStyle w:val="TableCell"/>
              <w:spacing w:before="60" w:after="60"/>
              <w:rPr>
                <w:b/>
              </w:rPr>
            </w:pPr>
            <w:r w:rsidRPr="001D6512">
              <w:rPr>
                <w:b/>
              </w:rPr>
              <w:t>Component</w:t>
            </w:r>
          </w:p>
        </w:tc>
        <w:tc>
          <w:tcPr>
            <w:tcW w:w="1350" w:type="dxa"/>
            <w:shd w:val="clear" w:color="auto" w:fill="BFBFBF"/>
            <w:vAlign w:val="center"/>
          </w:tcPr>
          <w:p w:rsidR="00981D38" w:rsidRPr="001D6512" w:rsidRDefault="00981D38" w:rsidP="00C3606E">
            <w:pPr>
              <w:pStyle w:val="TableCell"/>
              <w:spacing w:before="60" w:after="60"/>
              <w:rPr>
                <w:b/>
              </w:rPr>
            </w:pPr>
            <w:r w:rsidRPr="001D6512">
              <w:rPr>
                <w:b/>
              </w:rPr>
              <w:t>Type</w:t>
            </w:r>
          </w:p>
        </w:tc>
        <w:tc>
          <w:tcPr>
            <w:tcW w:w="2496" w:type="dxa"/>
            <w:shd w:val="clear" w:color="auto" w:fill="BFBFBF"/>
            <w:vAlign w:val="center"/>
          </w:tcPr>
          <w:p w:rsidR="00981D38" w:rsidRPr="001D6512" w:rsidRDefault="00981D38" w:rsidP="00C3606E">
            <w:pPr>
              <w:pStyle w:val="TableCell"/>
              <w:spacing w:before="60" w:after="60"/>
              <w:rPr>
                <w:b/>
              </w:rPr>
            </w:pPr>
            <w:r w:rsidRPr="001D6512">
              <w:rPr>
                <w:b/>
              </w:rPr>
              <w:t>Value</w:t>
            </w:r>
          </w:p>
        </w:tc>
        <w:tc>
          <w:tcPr>
            <w:tcW w:w="0" w:type="auto"/>
            <w:shd w:val="clear" w:color="auto" w:fill="BFBFBF"/>
            <w:vAlign w:val="center"/>
          </w:tcPr>
          <w:p w:rsidR="00981D38" w:rsidRPr="001D6512" w:rsidRDefault="00981D38" w:rsidP="00C3606E">
            <w:pPr>
              <w:pStyle w:val="TableCell"/>
              <w:spacing w:before="60" w:after="60"/>
              <w:rPr>
                <w:b/>
              </w:rPr>
            </w:pPr>
            <w:r w:rsidRPr="001D6512">
              <w:rPr>
                <w:b/>
              </w:rPr>
              <w:t>Source</w:t>
            </w:r>
          </w:p>
        </w:tc>
      </w:tr>
      <w:tr w:rsidR="00981D38" w:rsidRPr="00671152" w:rsidTr="001D7420">
        <w:trPr>
          <w:trHeight w:val="432"/>
          <w:jc w:val="center"/>
        </w:trPr>
        <w:tc>
          <w:tcPr>
            <w:tcW w:w="2718" w:type="dxa"/>
            <w:vAlign w:val="center"/>
          </w:tcPr>
          <w:p w:rsidR="00981D38" w:rsidRPr="001D6512" w:rsidRDefault="00981D38" w:rsidP="00C3606E">
            <w:pPr>
              <w:pStyle w:val="TableCell"/>
              <w:spacing w:before="60" w:after="60"/>
            </w:pPr>
            <w:r w:rsidRPr="001D6512">
              <w:t>Motor HP</w:t>
            </w:r>
          </w:p>
        </w:tc>
        <w:tc>
          <w:tcPr>
            <w:tcW w:w="1350" w:type="dxa"/>
            <w:vAlign w:val="center"/>
          </w:tcPr>
          <w:p w:rsidR="00981D38" w:rsidRPr="001D6512" w:rsidRDefault="00981D38" w:rsidP="00C3606E">
            <w:pPr>
              <w:pStyle w:val="TableCell"/>
              <w:spacing w:before="60" w:after="60"/>
            </w:pPr>
            <w:r w:rsidRPr="001D6512">
              <w:t>Variable</w:t>
            </w:r>
          </w:p>
        </w:tc>
        <w:tc>
          <w:tcPr>
            <w:tcW w:w="2496" w:type="dxa"/>
            <w:vAlign w:val="center"/>
          </w:tcPr>
          <w:p w:rsidR="00981D38" w:rsidRPr="001D6512" w:rsidRDefault="00981D38" w:rsidP="00C3606E">
            <w:pPr>
              <w:pStyle w:val="TableCell"/>
              <w:spacing w:before="60" w:after="60"/>
            </w:pPr>
            <w:r w:rsidRPr="001D6512">
              <w:t>Nameplate</w:t>
            </w:r>
          </w:p>
        </w:tc>
        <w:tc>
          <w:tcPr>
            <w:tcW w:w="0" w:type="auto"/>
            <w:vAlign w:val="center"/>
          </w:tcPr>
          <w:p w:rsidR="00981D38" w:rsidRPr="001D6512" w:rsidRDefault="00981D38" w:rsidP="00C3606E">
            <w:pPr>
              <w:pStyle w:val="TableCell"/>
              <w:spacing w:before="60" w:after="60"/>
            </w:pPr>
            <w:r w:rsidRPr="001D6512">
              <w:t>EDC Data Gathering</w:t>
            </w:r>
          </w:p>
        </w:tc>
      </w:tr>
      <w:tr w:rsidR="00981D38" w:rsidRPr="00671152" w:rsidTr="001D7420">
        <w:trPr>
          <w:trHeight w:val="432"/>
          <w:jc w:val="center"/>
        </w:trPr>
        <w:tc>
          <w:tcPr>
            <w:tcW w:w="2718" w:type="dxa"/>
            <w:vAlign w:val="center"/>
          </w:tcPr>
          <w:p w:rsidR="00981D38" w:rsidRPr="001D6512" w:rsidRDefault="00981D38" w:rsidP="00C3606E">
            <w:pPr>
              <w:pStyle w:val="TableCell"/>
              <w:spacing w:before="60" w:after="60"/>
            </w:pPr>
            <w:r w:rsidRPr="001D6512">
              <w:t>RHRS</w:t>
            </w:r>
          </w:p>
        </w:tc>
        <w:tc>
          <w:tcPr>
            <w:tcW w:w="1350" w:type="dxa"/>
            <w:vAlign w:val="center"/>
          </w:tcPr>
          <w:p w:rsidR="00981D38" w:rsidRPr="001D6512" w:rsidRDefault="00981D38" w:rsidP="00C3606E">
            <w:pPr>
              <w:pStyle w:val="TableCell"/>
              <w:spacing w:before="60" w:after="60"/>
            </w:pPr>
            <w:r w:rsidRPr="001D6512">
              <w:t>Variable</w:t>
            </w:r>
          </w:p>
        </w:tc>
        <w:tc>
          <w:tcPr>
            <w:tcW w:w="2496" w:type="dxa"/>
            <w:vAlign w:val="center"/>
          </w:tcPr>
          <w:p w:rsidR="00981D38" w:rsidRPr="001D6512" w:rsidRDefault="00981D38" w:rsidP="00C3606E">
            <w:pPr>
              <w:pStyle w:val="TableCell"/>
              <w:spacing w:before="60" w:after="60"/>
            </w:pPr>
            <w:r w:rsidRPr="001D6512">
              <w:t>Based on logging and modeling</w:t>
            </w:r>
          </w:p>
        </w:tc>
        <w:tc>
          <w:tcPr>
            <w:tcW w:w="0" w:type="auto"/>
            <w:vAlign w:val="center"/>
          </w:tcPr>
          <w:p w:rsidR="00981D38" w:rsidRPr="001D6512" w:rsidRDefault="00981D38" w:rsidP="00C3606E">
            <w:pPr>
              <w:pStyle w:val="TableCell"/>
              <w:spacing w:before="60" w:after="60"/>
            </w:pPr>
            <w:r w:rsidRPr="001D6512">
              <w:t xml:space="preserve">EDC Data Gathering </w:t>
            </w:r>
          </w:p>
        </w:tc>
      </w:tr>
      <w:tr w:rsidR="00981D38" w:rsidRPr="00671152" w:rsidTr="001D7420">
        <w:trPr>
          <w:trHeight w:val="432"/>
          <w:jc w:val="center"/>
        </w:trPr>
        <w:tc>
          <w:tcPr>
            <w:tcW w:w="2718" w:type="dxa"/>
            <w:vAlign w:val="center"/>
          </w:tcPr>
          <w:p w:rsidR="00981D38" w:rsidRPr="001D6512" w:rsidRDefault="00981D38" w:rsidP="00C3606E">
            <w:pPr>
              <w:pStyle w:val="TableCell"/>
              <w:spacing w:before="60" w:after="60"/>
            </w:pPr>
            <w:r w:rsidRPr="001D6512">
              <w:t>kW/motor HP, Saved</w:t>
            </w:r>
          </w:p>
        </w:tc>
        <w:tc>
          <w:tcPr>
            <w:tcW w:w="1350" w:type="dxa"/>
            <w:vAlign w:val="center"/>
          </w:tcPr>
          <w:p w:rsidR="00981D38" w:rsidRPr="001D6512" w:rsidRDefault="00981D38" w:rsidP="00C3606E">
            <w:pPr>
              <w:pStyle w:val="TableCell"/>
              <w:spacing w:before="60" w:after="60"/>
            </w:pPr>
            <w:r w:rsidRPr="001D6512">
              <w:t>Fixed</w:t>
            </w:r>
          </w:p>
        </w:tc>
        <w:tc>
          <w:tcPr>
            <w:tcW w:w="2496" w:type="dxa"/>
            <w:vAlign w:val="center"/>
          </w:tcPr>
          <w:p w:rsidR="00981D38" w:rsidRPr="001D6512" w:rsidRDefault="00981D38" w:rsidP="00C3606E">
            <w:pPr>
              <w:pStyle w:val="TableCell"/>
              <w:spacing w:before="60" w:after="60"/>
            </w:pPr>
            <w:r w:rsidRPr="001D6512">
              <w:t>0.129</w:t>
            </w:r>
          </w:p>
        </w:tc>
        <w:tc>
          <w:tcPr>
            <w:tcW w:w="0" w:type="auto"/>
            <w:vAlign w:val="center"/>
          </w:tcPr>
          <w:p w:rsidR="00981D38" w:rsidRPr="001D6512" w:rsidRDefault="00981D38" w:rsidP="00C3606E">
            <w:pPr>
              <w:pStyle w:val="TableCell"/>
              <w:spacing w:before="60" w:after="60"/>
            </w:pPr>
            <w:r w:rsidRPr="001D6512">
              <w:t>1</w:t>
            </w:r>
          </w:p>
        </w:tc>
      </w:tr>
      <w:tr w:rsidR="00981D38" w:rsidRPr="00671152" w:rsidTr="001D7420">
        <w:trPr>
          <w:trHeight w:val="432"/>
          <w:jc w:val="center"/>
        </w:trPr>
        <w:tc>
          <w:tcPr>
            <w:tcW w:w="2718" w:type="dxa"/>
            <w:vAlign w:val="center"/>
          </w:tcPr>
          <w:p w:rsidR="00981D38" w:rsidRPr="001D6512" w:rsidRDefault="00981D38" w:rsidP="00C3606E">
            <w:pPr>
              <w:pStyle w:val="TableCell"/>
              <w:spacing w:before="60" w:after="60"/>
            </w:pPr>
            <w:r w:rsidRPr="001D6512">
              <w:t>Coincident Peak kW/motor HP</w:t>
            </w:r>
          </w:p>
        </w:tc>
        <w:tc>
          <w:tcPr>
            <w:tcW w:w="1350" w:type="dxa"/>
            <w:vAlign w:val="center"/>
          </w:tcPr>
          <w:p w:rsidR="00981D38" w:rsidRPr="001D6512" w:rsidRDefault="00981D38" w:rsidP="00C3606E">
            <w:pPr>
              <w:pStyle w:val="TableCell"/>
              <w:spacing w:before="60" w:after="60"/>
            </w:pPr>
            <w:r w:rsidRPr="001D6512">
              <w:t>Fixed</w:t>
            </w:r>
          </w:p>
        </w:tc>
        <w:tc>
          <w:tcPr>
            <w:tcW w:w="2496" w:type="dxa"/>
            <w:vAlign w:val="center"/>
          </w:tcPr>
          <w:p w:rsidR="00981D38" w:rsidRPr="001D6512" w:rsidRDefault="00981D38" w:rsidP="00C3606E">
            <w:pPr>
              <w:pStyle w:val="TableCell"/>
              <w:spacing w:before="60" w:after="60"/>
            </w:pPr>
            <w:r w:rsidRPr="001D6512">
              <w:t>0.106</w:t>
            </w:r>
          </w:p>
        </w:tc>
        <w:tc>
          <w:tcPr>
            <w:tcW w:w="0" w:type="auto"/>
            <w:vAlign w:val="center"/>
          </w:tcPr>
          <w:p w:rsidR="00981D38" w:rsidRPr="001D6512" w:rsidRDefault="00981D38" w:rsidP="00C3606E">
            <w:pPr>
              <w:pStyle w:val="TableCell"/>
              <w:spacing w:before="60" w:after="60"/>
            </w:pPr>
            <w:r w:rsidRPr="001D6512">
              <w:t>1</w:t>
            </w:r>
          </w:p>
        </w:tc>
      </w:tr>
      <w:tr w:rsidR="00981D38" w:rsidRPr="00671152" w:rsidTr="001D7420">
        <w:trPr>
          <w:trHeight w:val="432"/>
          <w:jc w:val="center"/>
        </w:trPr>
        <w:tc>
          <w:tcPr>
            <w:tcW w:w="2718" w:type="dxa"/>
            <w:vAlign w:val="center"/>
          </w:tcPr>
          <w:p w:rsidR="00981D38" w:rsidRPr="001D6512" w:rsidRDefault="00981D38" w:rsidP="00C3606E">
            <w:pPr>
              <w:pStyle w:val="TableCell"/>
              <w:spacing w:before="60" w:after="60"/>
            </w:pPr>
            <w:r w:rsidRPr="001D6512">
              <w:t>LF</w:t>
            </w:r>
          </w:p>
        </w:tc>
        <w:tc>
          <w:tcPr>
            <w:tcW w:w="1350" w:type="dxa"/>
            <w:vAlign w:val="center"/>
          </w:tcPr>
          <w:p w:rsidR="00981D38" w:rsidRPr="001D6512" w:rsidRDefault="00981D38" w:rsidP="00C3606E">
            <w:pPr>
              <w:pStyle w:val="TableCell"/>
              <w:spacing w:before="60" w:after="60"/>
            </w:pPr>
            <w:r w:rsidRPr="001D6512">
              <w:t>Variable</w:t>
            </w:r>
          </w:p>
        </w:tc>
        <w:tc>
          <w:tcPr>
            <w:tcW w:w="2496" w:type="dxa"/>
            <w:vAlign w:val="center"/>
          </w:tcPr>
          <w:p w:rsidR="00981D38" w:rsidRPr="001D6512" w:rsidRDefault="00981D38" w:rsidP="00C3606E">
            <w:pPr>
              <w:pStyle w:val="TableCell"/>
              <w:spacing w:before="60" w:after="60"/>
            </w:pPr>
            <w:r w:rsidRPr="001D6512">
              <w:t>Based on spot metering/ nameplate</w:t>
            </w:r>
          </w:p>
        </w:tc>
        <w:tc>
          <w:tcPr>
            <w:tcW w:w="0" w:type="auto"/>
            <w:vAlign w:val="center"/>
          </w:tcPr>
          <w:p w:rsidR="00981D38" w:rsidRPr="001D6512" w:rsidRDefault="00981D38" w:rsidP="00C3606E">
            <w:pPr>
              <w:pStyle w:val="TableCell"/>
              <w:spacing w:before="60" w:after="60"/>
            </w:pPr>
            <w:r w:rsidRPr="001D6512">
              <w:t>EDC Data Gathering</w:t>
            </w:r>
          </w:p>
          <w:p w:rsidR="00981D38" w:rsidRPr="001D6512" w:rsidRDefault="00981D38" w:rsidP="00C3606E">
            <w:pPr>
              <w:pStyle w:val="TableCell"/>
              <w:spacing w:before="60" w:after="60"/>
            </w:pPr>
          </w:p>
        </w:tc>
      </w:tr>
    </w:tbl>
    <w:p w:rsidR="00981D38" w:rsidRPr="00E75089" w:rsidRDefault="00981D38" w:rsidP="00C3606E">
      <w:pPr>
        <w:spacing w:after="0"/>
      </w:pPr>
    </w:p>
    <w:p w:rsidR="00981D38" w:rsidRPr="00BC5194" w:rsidRDefault="00981D38" w:rsidP="00B20F6B">
      <w:pPr>
        <w:rPr>
          <w:b/>
        </w:rPr>
      </w:pPr>
      <w:r w:rsidRPr="00BC5194">
        <w:rPr>
          <w:b/>
        </w:rPr>
        <w:t>Sources:</w:t>
      </w:r>
    </w:p>
    <w:p w:rsidR="00791069" w:rsidRDefault="00981D38" w:rsidP="0005632A">
      <w:pPr>
        <w:numPr>
          <w:ilvl w:val="0"/>
          <w:numId w:val="68"/>
        </w:numPr>
        <w:overflowPunct/>
        <w:autoSpaceDE/>
        <w:autoSpaceDN/>
        <w:adjustRightInd/>
        <w:spacing w:after="0" w:line="240" w:lineRule="auto"/>
        <w:textAlignment w:val="auto"/>
        <w:rPr>
          <w:rFonts w:cs="Arial"/>
          <w:b/>
          <w:bCs/>
          <w:iCs/>
          <w:sz w:val="24"/>
          <w:szCs w:val="28"/>
        </w:rPr>
      </w:pPr>
      <w:r w:rsidRPr="00E75089">
        <w:t>Aspen Systems Corporation, Prescriptive Variable Speed Drive Incentive Development Support for Industrial Air Compressors, Executive Summary, June 20, 2005.</w:t>
      </w:r>
      <w:r w:rsidRPr="00E75089">
        <w:rPr>
          <w:rStyle w:val="FootnoteReference"/>
        </w:rPr>
        <w:footnoteReference w:id="162"/>
      </w:r>
      <w:r w:rsidRPr="00694566">
        <w:rPr>
          <w:rFonts w:ascii="Arial Black" w:hAnsi="Arial Black"/>
        </w:rPr>
        <w:br/>
      </w:r>
    </w:p>
    <w:p w:rsidR="001C1DCC" w:rsidRPr="00E75089" w:rsidRDefault="00C33F28" w:rsidP="00E568D4">
      <w:pPr>
        <w:pStyle w:val="Heading2"/>
      </w:pPr>
      <w:r>
        <w:br w:type="page"/>
      </w:r>
      <w:bookmarkStart w:id="743" w:name="_Toc310875445"/>
      <w:r w:rsidR="00A22E85" w:rsidRPr="00E75089">
        <w:lastRenderedPageBreak/>
        <w:t>HVAC Systems</w:t>
      </w:r>
      <w:bookmarkEnd w:id="743"/>
    </w:p>
    <w:p w:rsidR="00A22E85" w:rsidRPr="00E75089" w:rsidRDefault="00A22E85" w:rsidP="005D7F62">
      <w:r w:rsidRPr="00E75089">
        <w:t xml:space="preserve">The energy and demand savings for Commercial and </w:t>
      </w:r>
      <w:r w:rsidR="00AA7563">
        <w:t>I</w:t>
      </w:r>
      <w:r w:rsidR="00AA7563" w:rsidRPr="00E75089">
        <w:t xml:space="preserve">ndustrial </w:t>
      </w:r>
      <w:r w:rsidRPr="00E75089">
        <w:t>HVAC is determined from the algorithms listed in below.</w:t>
      </w:r>
      <w:r w:rsidR="00412363">
        <w:t xml:space="preserve"> This protocol excludes water source, ground source, and groundwater source heat pumps.</w:t>
      </w:r>
    </w:p>
    <w:p w:rsidR="00A22E85" w:rsidRPr="00E75089" w:rsidRDefault="00A22E85" w:rsidP="00871FA2">
      <w:pPr>
        <w:pStyle w:val="Heading3"/>
      </w:pPr>
      <w:bookmarkStart w:id="744" w:name="_Ref295410401"/>
      <w:r w:rsidRPr="00E75089">
        <w:t>Algorithms</w:t>
      </w:r>
      <w:bookmarkEnd w:id="744"/>
    </w:p>
    <w:p w:rsidR="00861542" w:rsidRDefault="00A22E85" w:rsidP="00E568D4">
      <w:pPr>
        <w:pStyle w:val="Heading4"/>
      </w:pPr>
      <w:r w:rsidRPr="00E75089">
        <w:t>Air Conditioning (includes</w:t>
      </w:r>
      <w:r w:rsidR="00E75089">
        <w:t xml:space="preserve"> central AC, air-</w:t>
      </w:r>
      <w:r w:rsidRPr="00E75089">
        <w:t>cooled DX, split systems, and packaged terminal AC)</w:t>
      </w:r>
    </w:p>
    <w:p w:rsidR="00A22E85" w:rsidRPr="00861542" w:rsidRDefault="00861542" w:rsidP="00861542">
      <w:r>
        <w:t xml:space="preserve">For A/C units &lt; 65,000 BtuH, use SEER instead of EER to calculate </w:t>
      </w:r>
      <w:r w:rsidRPr="00F5204A">
        <w:rPr>
          <w:rFonts w:cs="Arial"/>
        </w:rPr>
        <w:sym w:font="Symbol" w:char="F044"/>
      </w:r>
      <w:r w:rsidRPr="00F5204A">
        <w:rPr>
          <w:rFonts w:cs="Arial"/>
        </w:rPr>
        <w:t>kWh</w:t>
      </w:r>
      <w:r>
        <w:rPr>
          <w:rFonts w:cs="Arial"/>
        </w:rPr>
        <w:t xml:space="preserve"> and convert SEER to EER t</w:t>
      </w:r>
      <w:r>
        <w:t xml:space="preserve">o calculate </w:t>
      </w:r>
      <w:r w:rsidRPr="00F5204A">
        <w:rPr>
          <w:rFonts w:cs="Arial"/>
        </w:rPr>
        <w:sym w:font="Symbol" w:char="F044"/>
      </w:r>
      <w:r w:rsidRPr="00F5204A">
        <w:rPr>
          <w:rFonts w:cs="Arial"/>
        </w:rPr>
        <w:t>kW</w:t>
      </w:r>
      <w:r>
        <w:rPr>
          <w:rFonts w:cs="Arial"/>
          <w:vertAlign w:val="subscript"/>
        </w:rPr>
        <w:t>peak</w:t>
      </w:r>
      <w:r>
        <w:rPr>
          <w:rFonts w:cs="Arial"/>
        </w:rPr>
        <w:t xml:space="preserve"> using 11.3/13 as the conversion factor</w:t>
      </w:r>
      <w:r w:rsidR="00A22E85" w:rsidRPr="00E75089">
        <w:t>.</w:t>
      </w:r>
    </w:p>
    <w:p w:rsidR="00A22E85" w:rsidRPr="008075FC" w:rsidRDefault="00B35EBC" w:rsidP="00F7332F">
      <w:pPr>
        <w:pStyle w:val="Equation"/>
        <w:rPr>
          <w:rFonts w:cs="Arial"/>
          <w:szCs w:val="20"/>
        </w:rPr>
      </w:pPr>
      <w:r w:rsidRPr="00F5204A">
        <w:rPr>
          <w:rFonts w:cs="Arial"/>
          <w:szCs w:val="20"/>
        </w:rPr>
        <w:sym w:font="Symbol" w:char="F044"/>
      </w:r>
      <w:r w:rsidRPr="00F5204A">
        <w:rPr>
          <w:rFonts w:cs="Arial"/>
          <w:szCs w:val="20"/>
        </w:rPr>
        <w:t>kWh</w:t>
      </w:r>
      <w:r w:rsidRPr="00F5204A">
        <w:rPr>
          <w:rFonts w:cs="Arial"/>
          <w:szCs w:val="20"/>
        </w:rPr>
        <w:tab/>
      </w:r>
      <w:r w:rsidR="00694566" w:rsidRPr="00F5204A">
        <w:rPr>
          <w:rFonts w:cs="Arial"/>
          <w:szCs w:val="20"/>
        </w:rPr>
        <w:tab/>
      </w:r>
      <w:r w:rsidR="00A22E85" w:rsidRPr="00F5204A">
        <w:rPr>
          <w:rFonts w:cs="Arial"/>
          <w:szCs w:val="20"/>
        </w:rPr>
        <w:t>= (BtuH</w:t>
      </w:r>
      <w:r w:rsidR="002751ED">
        <w:rPr>
          <w:rFonts w:cs="Arial"/>
          <w:szCs w:val="20"/>
          <w:vertAlign w:val="subscript"/>
        </w:rPr>
        <w:t>cool</w:t>
      </w:r>
      <w:r w:rsidR="0091516E" w:rsidRPr="00F5204A">
        <w:rPr>
          <w:rFonts w:cs="Arial"/>
          <w:szCs w:val="20"/>
        </w:rPr>
        <w:t xml:space="preserve"> </w:t>
      </w:r>
      <w:r w:rsidR="00665F36" w:rsidRPr="00F5204A">
        <w:rPr>
          <w:rFonts w:cs="Arial"/>
          <w:szCs w:val="20"/>
        </w:rPr>
        <w:t>/</w:t>
      </w:r>
      <w:r w:rsidR="0091516E" w:rsidRPr="00F5204A">
        <w:rPr>
          <w:rFonts w:cs="Arial"/>
          <w:szCs w:val="20"/>
        </w:rPr>
        <w:t xml:space="preserve"> </w:t>
      </w:r>
      <w:r w:rsidR="00A22E85" w:rsidRPr="00F5204A">
        <w:rPr>
          <w:rFonts w:cs="Arial"/>
          <w:szCs w:val="20"/>
        </w:rPr>
        <w:t>1000) X (1/</w:t>
      </w:r>
      <w:r w:rsidR="00530167" w:rsidRPr="00F5204A">
        <w:rPr>
          <w:rFonts w:cs="Arial"/>
          <w:szCs w:val="20"/>
        </w:rPr>
        <w:t>EER</w:t>
      </w:r>
      <w:r w:rsidR="00530167" w:rsidRPr="00F5204A">
        <w:rPr>
          <w:rFonts w:cs="Arial"/>
          <w:szCs w:val="20"/>
          <w:vertAlign w:val="subscript"/>
        </w:rPr>
        <w:t>base</w:t>
      </w:r>
      <w:r w:rsidR="0091516E" w:rsidRPr="00F5204A">
        <w:rPr>
          <w:rFonts w:cs="Arial"/>
          <w:szCs w:val="20"/>
        </w:rPr>
        <w:t xml:space="preserve"> – </w:t>
      </w:r>
      <w:r w:rsidR="00A22E85" w:rsidRPr="00F5204A">
        <w:rPr>
          <w:rFonts w:cs="Arial"/>
          <w:szCs w:val="20"/>
        </w:rPr>
        <w:t>1/</w:t>
      </w:r>
      <w:r w:rsidR="00530167" w:rsidRPr="00F5204A">
        <w:rPr>
          <w:rFonts w:cs="Arial"/>
          <w:szCs w:val="20"/>
        </w:rPr>
        <w:t>EER</w:t>
      </w:r>
      <w:r w:rsidR="00530167" w:rsidRPr="00F5204A">
        <w:rPr>
          <w:rFonts w:cs="Arial"/>
          <w:szCs w:val="20"/>
          <w:vertAlign w:val="subscript"/>
        </w:rPr>
        <w:t>ee</w:t>
      </w:r>
      <w:r w:rsidR="00A22E85" w:rsidRPr="00F5204A">
        <w:rPr>
          <w:rFonts w:cs="Arial"/>
          <w:szCs w:val="20"/>
        </w:rPr>
        <w:t xml:space="preserve">) X </w:t>
      </w:r>
      <w:r w:rsidR="006B515B" w:rsidRPr="00F5204A">
        <w:rPr>
          <w:rFonts w:cs="Arial"/>
          <w:szCs w:val="20"/>
        </w:rPr>
        <w:t>EFLH</w:t>
      </w:r>
      <w:r w:rsidR="006B515B" w:rsidRPr="00212DB6">
        <w:rPr>
          <w:rFonts w:cs="Arial"/>
          <w:szCs w:val="20"/>
          <w:vertAlign w:val="subscript"/>
        </w:rPr>
        <w:t>cool</w:t>
      </w:r>
      <w:r w:rsidR="00A22E85" w:rsidRPr="00F5204A">
        <w:rPr>
          <w:rFonts w:cs="Arial"/>
          <w:szCs w:val="20"/>
        </w:rPr>
        <w:t xml:space="preserve"> </w:t>
      </w:r>
      <w:r w:rsidR="008075FC">
        <w:rPr>
          <w:rFonts w:cs="Arial"/>
          <w:szCs w:val="20"/>
        </w:rPr>
        <w:br/>
      </w:r>
      <w:r w:rsidR="008075FC" w:rsidRPr="00F5204A">
        <w:rPr>
          <w:rFonts w:cs="Arial"/>
          <w:szCs w:val="20"/>
        </w:rPr>
        <w:t>= (BtuH</w:t>
      </w:r>
      <w:r w:rsidR="002751ED">
        <w:rPr>
          <w:rFonts w:cs="Arial"/>
          <w:szCs w:val="20"/>
          <w:vertAlign w:val="subscript"/>
        </w:rPr>
        <w:t>cool</w:t>
      </w:r>
      <w:r w:rsidR="008075FC" w:rsidRPr="00F5204A">
        <w:rPr>
          <w:rFonts w:cs="Arial"/>
          <w:szCs w:val="20"/>
        </w:rPr>
        <w:t xml:space="preserve"> / 1000) X (1/</w:t>
      </w:r>
      <w:r w:rsidR="008075FC">
        <w:rPr>
          <w:rFonts w:cs="Arial"/>
          <w:szCs w:val="20"/>
        </w:rPr>
        <w:t>S</w:t>
      </w:r>
      <w:r w:rsidR="008075FC" w:rsidRPr="00F5204A">
        <w:rPr>
          <w:rFonts w:cs="Arial"/>
          <w:szCs w:val="20"/>
        </w:rPr>
        <w:t>EER</w:t>
      </w:r>
      <w:r w:rsidR="008075FC" w:rsidRPr="00F5204A">
        <w:rPr>
          <w:rFonts w:cs="Arial"/>
          <w:szCs w:val="20"/>
          <w:vertAlign w:val="subscript"/>
        </w:rPr>
        <w:t>base</w:t>
      </w:r>
      <w:r w:rsidR="008075FC" w:rsidRPr="00F5204A">
        <w:rPr>
          <w:rFonts w:cs="Arial"/>
          <w:szCs w:val="20"/>
        </w:rPr>
        <w:t xml:space="preserve"> – 1/</w:t>
      </w:r>
      <w:r w:rsidR="008075FC">
        <w:rPr>
          <w:rFonts w:cs="Arial"/>
          <w:szCs w:val="20"/>
        </w:rPr>
        <w:t>S</w:t>
      </w:r>
      <w:r w:rsidR="008075FC" w:rsidRPr="00F5204A">
        <w:rPr>
          <w:rFonts w:cs="Arial"/>
          <w:szCs w:val="20"/>
        </w:rPr>
        <w:t>EER</w:t>
      </w:r>
      <w:r w:rsidR="008075FC" w:rsidRPr="00F5204A">
        <w:rPr>
          <w:rFonts w:cs="Arial"/>
          <w:szCs w:val="20"/>
          <w:vertAlign w:val="subscript"/>
        </w:rPr>
        <w:t>ee</w:t>
      </w:r>
      <w:r w:rsidR="008075FC" w:rsidRPr="00F5204A">
        <w:rPr>
          <w:rFonts w:cs="Arial"/>
          <w:szCs w:val="20"/>
        </w:rPr>
        <w:t>) X EFLH</w:t>
      </w:r>
      <w:r w:rsidR="008075FC" w:rsidRPr="00212DB6">
        <w:rPr>
          <w:rFonts w:cs="Arial"/>
          <w:szCs w:val="20"/>
          <w:vertAlign w:val="subscript"/>
        </w:rPr>
        <w:t>cool</w:t>
      </w:r>
    </w:p>
    <w:p w:rsidR="00861542" w:rsidRPr="00861542" w:rsidRDefault="00B35EBC" w:rsidP="00F7332F">
      <w:pPr>
        <w:pStyle w:val="Equation"/>
        <w:rPr>
          <w:rFonts w:cs="Arial"/>
          <w:szCs w:val="20"/>
        </w:rPr>
      </w:pPr>
      <w:r w:rsidRPr="00F5204A">
        <w:rPr>
          <w:rFonts w:cs="Arial"/>
          <w:szCs w:val="20"/>
        </w:rPr>
        <w:sym w:font="Symbol" w:char="F044"/>
      </w:r>
      <w:r w:rsidRPr="00F5204A">
        <w:rPr>
          <w:rFonts w:cs="Arial"/>
          <w:szCs w:val="20"/>
        </w:rPr>
        <w:t>kW</w:t>
      </w:r>
      <w:r w:rsidRPr="00F5204A">
        <w:rPr>
          <w:rFonts w:cs="Arial"/>
          <w:szCs w:val="20"/>
          <w:vertAlign w:val="subscript"/>
        </w:rPr>
        <w:t>peak</w:t>
      </w:r>
      <w:r w:rsidRPr="00F5204A">
        <w:rPr>
          <w:rFonts w:cs="Arial"/>
          <w:szCs w:val="20"/>
          <w:vertAlign w:val="subscript"/>
        </w:rPr>
        <w:tab/>
      </w:r>
      <w:r w:rsidR="00694566" w:rsidRPr="00F5204A">
        <w:rPr>
          <w:rFonts w:cs="Arial"/>
          <w:szCs w:val="20"/>
        </w:rPr>
        <w:tab/>
      </w:r>
      <w:r w:rsidR="00A22E85" w:rsidRPr="00F5204A">
        <w:rPr>
          <w:rFonts w:cs="Arial"/>
          <w:szCs w:val="20"/>
        </w:rPr>
        <w:t>= (BtuH</w:t>
      </w:r>
      <w:r w:rsidR="002751ED">
        <w:rPr>
          <w:rFonts w:cs="Arial"/>
          <w:szCs w:val="20"/>
          <w:vertAlign w:val="subscript"/>
        </w:rPr>
        <w:t>cool</w:t>
      </w:r>
      <w:r w:rsidR="0091516E" w:rsidRPr="00F5204A">
        <w:rPr>
          <w:rFonts w:cs="Arial"/>
          <w:szCs w:val="20"/>
        </w:rPr>
        <w:t xml:space="preserve"> </w:t>
      </w:r>
      <w:r w:rsidR="00665F36" w:rsidRPr="00F5204A">
        <w:rPr>
          <w:rFonts w:cs="Arial"/>
          <w:szCs w:val="20"/>
        </w:rPr>
        <w:t>/</w:t>
      </w:r>
      <w:r w:rsidR="0091516E" w:rsidRPr="00F5204A">
        <w:rPr>
          <w:rFonts w:cs="Arial"/>
          <w:szCs w:val="20"/>
        </w:rPr>
        <w:t xml:space="preserve"> </w:t>
      </w:r>
      <w:r w:rsidR="00A22E85" w:rsidRPr="00F5204A">
        <w:rPr>
          <w:rFonts w:cs="Arial"/>
          <w:szCs w:val="20"/>
        </w:rPr>
        <w:t>1000) X (1/EER</w:t>
      </w:r>
      <w:r w:rsidR="00530167" w:rsidRPr="00F5204A">
        <w:rPr>
          <w:rFonts w:cs="Arial"/>
          <w:szCs w:val="20"/>
          <w:vertAlign w:val="subscript"/>
        </w:rPr>
        <w:t>base</w:t>
      </w:r>
      <w:r w:rsidR="0091516E" w:rsidRPr="00F5204A">
        <w:rPr>
          <w:rFonts w:cs="Arial"/>
          <w:szCs w:val="20"/>
        </w:rPr>
        <w:t xml:space="preserve"> – </w:t>
      </w:r>
      <w:r w:rsidR="00A22E85" w:rsidRPr="00F5204A">
        <w:rPr>
          <w:rFonts w:cs="Arial"/>
          <w:szCs w:val="20"/>
        </w:rPr>
        <w:t>1/EER</w:t>
      </w:r>
      <w:r w:rsidR="00530167" w:rsidRPr="00F5204A">
        <w:rPr>
          <w:rFonts w:cs="Arial"/>
          <w:szCs w:val="20"/>
          <w:vertAlign w:val="subscript"/>
        </w:rPr>
        <w:t>ee</w:t>
      </w:r>
      <w:r w:rsidR="00A22E85" w:rsidRPr="00F5204A">
        <w:rPr>
          <w:rFonts w:cs="Arial"/>
          <w:szCs w:val="20"/>
        </w:rPr>
        <w:t xml:space="preserve">) X CF </w:t>
      </w:r>
    </w:p>
    <w:p w:rsidR="00A22E85" w:rsidRDefault="00412363" w:rsidP="00E568D4">
      <w:pPr>
        <w:pStyle w:val="Heading4"/>
      </w:pPr>
      <w:r>
        <w:t xml:space="preserve">Air Source and Packaged Terminal </w:t>
      </w:r>
      <w:r w:rsidR="00A22E85">
        <w:t>Heat Pump</w:t>
      </w:r>
    </w:p>
    <w:p w:rsidR="00861542" w:rsidRPr="00861542" w:rsidRDefault="00861542" w:rsidP="00861542">
      <w:r>
        <w:t xml:space="preserve">For ASHP units &lt; 65,000 BtuH, use SEER instead of EER to calculate </w:t>
      </w:r>
      <w:r w:rsidRPr="00F5204A">
        <w:rPr>
          <w:rFonts w:cs="Arial"/>
        </w:rPr>
        <w:sym w:font="Symbol" w:char="F044"/>
      </w:r>
      <w:r w:rsidRPr="00F5204A">
        <w:rPr>
          <w:rFonts w:cs="Arial"/>
        </w:rPr>
        <w:t>kWh</w:t>
      </w:r>
      <w:r>
        <w:rPr>
          <w:rFonts w:cs="Arial"/>
          <w:vertAlign w:val="subscript"/>
        </w:rPr>
        <w:t>cool</w:t>
      </w:r>
      <w:r>
        <w:rPr>
          <w:rFonts w:cs="Arial"/>
        </w:rPr>
        <w:t xml:space="preserve"> and HSPF instead of COP to calculate </w:t>
      </w:r>
      <w:r w:rsidRPr="00F5204A">
        <w:rPr>
          <w:rFonts w:cs="Arial"/>
        </w:rPr>
        <w:sym w:font="Symbol" w:char="F044"/>
      </w:r>
      <w:r w:rsidRPr="00F5204A">
        <w:rPr>
          <w:rFonts w:cs="Arial"/>
        </w:rPr>
        <w:t>kWh</w:t>
      </w:r>
      <w:r>
        <w:rPr>
          <w:rFonts w:cs="Arial"/>
          <w:vertAlign w:val="subscript"/>
        </w:rPr>
        <w:t>heat</w:t>
      </w:r>
      <w:r>
        <w:rPr>
          <w:rFonts w:cs="Arial"/>
        </w:rPr>
        <w:t xml:space="preserve">. Convert SEER to EER to calculate </w:t>
      </w:r>
      <w:r w:rsidRPr="00F5204A">
        <w:rPr>
          <w:rFonts w:cs="Arial"/>
        </w:rPr>
        <w:sym w:font="Symbol" w:char="F044"/>
      </w:r>
      <w:r w:rsidRPr="00F5204A">
        <w:rPr>
          <w:rFonts w:cs="Arial"/>
        </w:rPr>
        <w:t>kW</w:t>
      </w:r>
      <w:r>
        <w:rPr>
          <w:rFonts w:cs="Arial"/>
          <w:vertAlign w:val="subscript"/>
        </w:rPr>
        <w:t>peak</w:t>
      </w:r>
      <w:r>
        <w:rPr>
          <w:rFonts w:cs="Arial"/>
        </w:rPr>
        <w:t xml:space="preserve"> using 11.3/13 as the conversion factor.</w:t>
      </w:r>
    </w:p>
    <w:p w:rsidR="00B35EBC" w:rsidRPr="00F5204A" w:rsidRDefault="00B35EBC" w:rsidP="00F7332F">
      <w:pPr>
        <w:pStyle w:val="Equation"/>
        <w:rPr>
          <w:rFonts w:cs="Arial"/>
          <w:szCs w:val="20"/>
        </w:rPr>
      </w:pPr>
      <w:r w:rsidRPr="00F5204A">
        <w:rPr>
          <w:rFonts w:cs="Arial"/>
          <w:szCs w:val="20"/>
        </w:rPr>
        <w:sym w:font="Symbol" w:char="F044"/>
      </w:r>
      <w:r w:rsidRPr="00F5204A">
        <w:rPr>
          <w:rFonts w:cs="Arial"/>
          <w:szCs w:val="20"/>
        </w:rPr>
        <w:t>kWh</w:t>
      </w:r>
      <w:r w:rsidRPr="00F5204A">
        <w:rPr>
          <w:rFonts w:cs="Arial"/>
          <w:szCs w:val="20"/>
        </w:rPr>
        <w:tab/>
      </w:r>
      <w:r w:rsidRPr="00F5204A">
        <w:rPr>
          <w:rFonts w:cs="Arial"/>
          <w:szCs w:val="20"/>
        </w:rPr>
        <w:tab/>
        <w:t xml:space="preserve">= </w:t>
      </w:r>
      <w:r w:rsidRPr="00F5204A">
        <w:rPr>
          <w:rFonts w:cs="Arial"/>
          <w:szCs w:val="20"/>
        </w:rPr>
        <w:sym w:font="Symbol" w:char="F044"/>
      </w:r>
      <w:r w:rsidRPr="00F5204A">
        <w:rPr>
          <w:rFonts w:cs="Arial"/>
          <w:szCs w:val="20"/>
        </w:rPr>
        <w:t>kWh</w:t>
      </w:r>
      <w:r w:rsidRPr="00F5204A">
        <w:rPr>
          <w:rFonts w:cs="Arial"/>
          <w:szCs w:val="20"/>
          <w:vertAlign w:val="subscript"/>
        </w:rPr>
        <w:t>cool</w:t>
      </w:r>
      <w:r w:rsidRPr="00F5204A">
        <w:rPr>
          <w:rFonts w:cs="Arial"/>
          <w:szCs w:val="20"/>
        </w:rPr>
        <w:t xml:space="preserve"> + </w:t>
      </w:r>
      <w:r w:rsidRPr="00F5204A">
        <w:rPr>
          <w:rFonts w:cs="Arial"/>
          <w:szCs w:val="20"/>
        </w:rPr>
        <w:sym w:font="Symbol" w:char="F044"/>
      </w:r>
      <w:r w:rsidRPr="00F5204A">
        <w:rPr>
          <w:rFonts w:cs="Arial"/>
          <w:szCs w:val="20"/>
        </w:rPr>
        <w:t>kWh</w:t>
      </w:r>
      <w:r w:rsidRPr="00F5204A">
        <w:rPr>
          <w:rFonts w:cs="Arial"/>
          <w:szCs w:val="20"/>
          <w:vertAlign w:val="subscript"/>
        </w:rPr>
        <w:t>heat</w:t>
      </w:r>
    </w:p>
    <w:p w:rsidR="00AA7563" w:rsidRPr="00F5204A" w:rsidRDefault="00B35EBC" w:rsidP="00AA7563">
      <w:pPr>
        <w:pStyle w:val="Equation"/>
        <w:rPr>
          <w:rFonts w:cs="Arial"/>
          <w:szCs w:val="20"/>
        </w:rPr>
      </w:pPr>
      <w:r w:rsidRPr="00F5204A">
        <w:rPr>
          <w:rFonts w:cs="Arial"/>
          <w:szCs w:val="20"/>
        </w:rPr>
        <w:sym w:font="Symbol" w:char="F044"/>
      </w:r>
      <w:r w:rsidRPr="00F5204A">
        <w:rPr>
          <w:rFonts w:cs="Arial"/>
          <w:szCs w:val="20"/>
        </w:rPr>
        <w:t>kWh</w:t>
      </w:r>
      <w:r w:rsidRPr="00F5204A">
        <w:rPr>
          <w:rFonts w:cs="Arial"/>
          <w:szCs w:val="20"/>
          <w:vertAlign w:val="subscript"/>
        </w:rPr>
        <w:t>cool</w:t>
      </w:r>
      <w:r w:rsidR="00694566" w:rsidRPr="00F5204A">
        <w:rPr>
          <w:rFonts w:cs="Arial"/>
          <w:szCs w:val="20"/>
        </w:rPr>
        <w:tab/>
      </w:r>
      <w:r w:rsidR="00AA7563" w:rsidRPr="00F5204A">
        <w:rPr>
          <w:rFonts w:cs="Arial"/>
          <w:szCs w:val="20"/>
        </w:rPr>
        <w:t>= (BtuH</w:t>
      </w:r>
      <w:r w:rsidR="00AA7563" w:rsidRPr="00F5204A">
        <w:rPr>
          <w:rFonts w:cs="Arial"/>
          <w:szCs w:val="20"/>
          <w:vertAlign w:val="subscript"/>
        </w:rPr>
        <w:t>cool</w:t>
      </w:r>
      <w:r w:rsidR="0091516E" w:rsidRPr="00F5204A">
        <w:rPr>
          <w:rFonts w:cs="Arial"/>
          <w:szCs w:val="20"/>
        </w:rPr>
        <w:t xml:space="preserve"> </w:t>
      </w:r>
      <w:r w:rsidR="00AA7563" w:rsidRPr="00F5204A">
        <w:rPr>
          <w:rFonts w:cs="Arial"/>
          <w:szCs w:val="20"/>
        </w:rPr>
        <w:t>/</w:t>
      </w:r>
      <w:r w:rsidR="0091516E" w:rsidRPr="00F5204A">
        <w:rPr>
          <w:rFonts w:cs="Arial"/>
          <w:szCs w:val="20"/>
        </w:rPr>
        <w:t xml:space="preserve"> </w:t>
      </w:r>
      <w:r w:rsidR="00AA7563" w:rsidRPr="00F5204A">
        <w:rPr>
          <w:rFonts w:cs="Arial"/>
          <w:szCs w:val="20"/>
        </w:rPr>
        <w:t>1000) X (1/EER</w:t>
      </w:r>
      <w:r w:rsidR="00AA7563" w:rsidRPr="00F5204A">
        <w:rPr>
          <w:rFonts w:cs="Arial"/>
          <w:szCs w:val="20"/>
          <w:vertAlign w:val="subscript"/>
        </w:rPr>
        <w:t>base</w:t>
      </w:r>
      <w:r w:rsidR="0091516E" w:rsidRPr="00F5204A">
        <w:rPr>
          <w:rFonts w:cs="Arial"/>
          <w:szCs w:val="20"/>
          <w:vertAlign w:val="subscript"/>
        </w:rPr>
        <w:t xml:space="preserve"> </w:t>
      </w:r>
      <w:r w:rsidR="0091516E" w:rsidRPr="00F5204A">
        <w:rPr>
          <w:rFonts w:cs="Arial"/>
          <w:szCs w:val="20"/>
        </w:rPr>
        <w:t xml:space="preserve">–  </w:t>
      </w:r>
      <w:r w:rsidR="00AA7563" w:rsidRPr="00F5204A">
        <w:rPr>
          <w:rFonts w:cs="Arial"/>
          <w:szCs w:val="20"/>
        </w:rPr>
        <w:t>1/EER</w:t>
      </w:r>
      <w:r w:rsidR="00AA7563" w:rsidRPr="00F5204A">
        <w:rPr>
          <w:rFonts w:cs="Arial"/>
          <w:szCs w:val="20"/>
          <w:vertAlign w:val="subscript"/>
        </w:rPr>
        <w:t>ee</w:t>
      </w:r>
      <w:r w:rsidR="00AA7563" w:rsidRPr="00F5204A">
        <w:rPr>
          <w:rFonts w:cs="Arial"/>
          <w:szCs w:val="20"/>
        </w:rPr>
        <w:t>) X EFLH</w:t>
      </w:r>
      <w:r w:rsidR="00AA7563" w:rsidRPr="00F5204A">
        <w:rPr>
          <w:rFonts w:cs="Arial"/>
          <w:szCs w:val="20"/>
          <w:vertAlign w:val="subscript"/>
        </w:rPr>
        <w:t>cool</w:t>
      </w:r>
      <w:r w:rsidR="00861542">
        <w:rPr>
          <w:rFonts w:cs="Arial"/>
          <w:szCs w:val="20"/>
          <w:vertAlign w:val="subscript"/>
        </w:rPr>
        <w:br/>
      </w:r>
      <w:r w:rsidR="00A22E85" w:rsidRPr="00F5204A">
        <w:rPr>
          <w:rFonts w:cs="Arial"/>
          <w:szCs w:val="20"/>
        </w:rPr>
        <w:t>= (BtuH</w:t>
      </w:r>
      <w:r w:rsidR="00AA7563" w:rsidRPr="00F5204A">
        <w:rPr>
          <w:rFonts w:cs="Arial"/>
          <w:szCs w:val="20"/>
          <w:vertAlign w:val="subscript"/>
        </w:rPr>
        <w:t>cool</w:t>
      </w:r>
      <w:r w:rsidR="0091516E" w:rsidRPr="00F5204A">
        <w:rPr>
          <w:rFonts w:cs="Arial"/>
          <w:szCs w:val="20"/>
        </w:rPr>
        <w:t xml:space="preserve"> </w:t>
      </w:r>
      <w:r w:rsidR="00665F36" w:rsidRPr="00F5204A">
        <w:rPr>
          <w:rFonts w:cs="Arial"/>
          <w:szCs w:val="20"/>
        </w:rPr>
        <w:t>/</w:t>
      </w:r>
      <w:r w:rsidR="0091516E" w:rsidRPr="00F5204A">
        <w:rPr>
          <w:rFonts w:cs="Arial"/>
          <w:szCs w:val="20"/>
        </w:rPr>
        <w:t xml:space="preserve"> </w:t>
      </w:r>
      <w:r w:rsidR="00A22E85" w:rsidRPr="00F5204A">
        <w:rPr>
          <w:rFonts w:cs="Arial"/>
          <w:szCs w:val="20"/>
        </w:rPr>
        <w:t>1000) X (1/</w:t>
      </w:r>
      <w:r w:rsidR="00AA7563" w:rsidRPr="00F5204A">
        <w:rPr>
          <w:rFonts w:cs="Arial"/>
          <w:szCs w:val="20"/>
        </w:rPr>
        <w:t>S</w:t>
      </w:r>
      <w:r w:rsidR="00530167" w:rsidRPr="00F5204A">
        <w:rPr>
          <w:rFonts w:cs="Arial"/>
          <w:szCs w:val="20"/>
        </w:rPr>
        <w:t>EER</w:t>
      </w:r>
      <w:r w:rsidR="00530167" w:rsidRPr="00F5204A">
        <w:rPr>
          <w:rFonts w:cs="Arial"/>
          <w:szCs w:val="20"/>
          <w:vertAlign w:val="subscript"/>
        </w:rPr>
        <w:t>base</w:t>
      </w:r>
      <w:r w:rsidR="0091516E" w:rsidRPr="00F5204A">
        <w:rPr>
          <w:rFonts w:cs="Arial"/>
          <w:szCs w:val="20"/>
          <w:vertAlign w:val="subscript"/>
        </w:rPr>
        <w:t xml:space="preserve"> </w:t>
      </w:r>
      <w:r w:rsidR="0091516E" w:rsidRPr="00F5204A">
        <w:rPr>
          <w:rFonts w:cs="Arial"/>
          <w:szCs w:val="20"/>
        </w:rPr>
        <w:t xml:space="preserve">– </w:t>
      </w:r>
      <w:r w:rsidR="00A22E85" w:rsidRPr="00F5204A">
        <w:rPr>
          <w:rFonts w:cs="Arial"/>
          <w:szCs w:val="20"/>
        </w:rPr>
        <w:t>1/</w:t>
      </w:r>
      <w:r w:rsidR="00AA7563" w:rsidRPr="00F5204A">
        <w:rPr>
          <w:rFonts w:cs="Arial"/>
          <w:szCs w:val="20"/>
        </w:rPr>
        <w:t>S</w:t>
      </w:r>
      <w:r w:rsidR="00530167" w:rsidRPr="00F5204A">
        <w:rPr>
          <w:rFonts w:cs="Arial"/>
          <w:szCs w:val="20"/>
        </w:rPr>
        <w:t>EER</w:t>
      </w:r>
      <w:r w:rsidR="00530167" w:rsidRPr="00F5204A">
        <w:rPr>
          <w:rFonts w:cs="Arial"/>
          <w:szCs w:val="20"/>
          <w:vertAlign w:val="subscript"/>
        </w:rPr>
        <w:t>ee</w:t>
      </w:r>
      <w:r w:rsidR="00A22E85" w:rsidRPr="00F5204A">
        <w:rPr>
          <w:rFonts w:cs="Arial"/>
          <w:szCs w:val="20"/>
        </w:rPr>
        <w:t>) X EFLH</w:t>
      </w:r>
      <w:r w:rsidR="00A22E85" w:rsidRPr="00F5204A">
        <w:rPr>
          <w:rFonts w:cs="Arial"/>
          <w:szCs w:val="20"/>
          <w:vertAlign w:val="subscript"/>
        </w:rPr>
        <w:t>c</w:t>
      </w:r>
      <w:r w:rsidR="00530167" w:rsidRPr="00F5204A">
        <w:rPr>
          <w:rFonts w:cs="Arial"/>
          <w:szCs w:val="20"/>
          <w:vertAlign w:val="subscript"/>
        </w:rPr>
        <w:t>ool</w:t>
      </w:r>
      <w:r w:rsidR="00A22E85" w:rsidRPr="00F5204A">
        <w:rPr>
          <w:rFonts w:cs="Arial"/>
          <w:szCs w:val="20"/>
        </w:rPr>
        <w:t xml:space="preserve"> </w:t>
      </w:r>
    </w:p>
    <w:p w:rsidR="00AA7563" w:rsidRPr="00F5204A" w:rsidRDefault="00B35EBC" w:rsidP="00F7332F">
      <w:pPr>
        <w:pStyle w:val="Equation"/>
        <w:rPr>
          <w:rFonts w:cs="Arial"/>
          <w:szCs w:val="20"/>
          <w:vertAlign w:val="subscript"/>
        </w:rPr>
      </w:pPr>
      <w:r w:rsidRPr="00F5204A">
        <w:rPr>
          <w:rFonts w:cs="Arial"/>
          <w:szCs w:val="20"/>
        </w:rPr>
        <w:sym w:font="Symbol" w:char="F044"/>
      </w:r>
      <w:r w:rsidRPr="00F5204A">
        <w:rPr>
          <w:rFonts w:cs="Arial"/>
          <w:szCs w:val="20"/>
        </w:rPr>
        <w:t>kWh</w:t>
      </w:r>
      <w:r w:rsidRPr="00F5204A">
        <w:rPr>
          <w:rFonts w:cs="Arial"/>
          <w:szCs w:val="20"/>
          <w:vertAlign w:val="subscript"/>
        </w:rPr>
        <w:t>heat</w:t>
      </w:r>
      <w:r w:rsidR="00A22E85" w:rsidRPr="00F5204A">
        <w:rPr>
          <w:rFonts w:cs="Arial"/>
          <w:szCs w:val="20"/>
        </w:rPr>
        <w:t xml:space="preserve"> </w:t>
      </w:r>
      <w:r w:rsidR="00694566" w:rsidRPr="00F5204A">
        <w:rPr>
          <w:rFonts w:cs="Arial"/>
          <w:szCs w:val="20"/>
        </w:rPr>
        <w:tab/>
      </w:r>
      <w:r w:rsidR="00AA7563" w:rsidRPr="00F5204A">
        <w:rPr>
          <w:rFonts w:cs="Arial"/>
          <w:szCs w:val="20"/>
        </w:rPr>
        <w:t>= (BtuH</w:t>
      </w:r>
      <w:r w:rsidR="00AA7563" w:rsidRPr="00F5204A">
        <w:rPr>
          <w:rFonts w:cs="Arial"/>
          <w:szCs w:val="20"/>
          <w:vertAlign w:val="subscript"/>
        </w:rPr>
        <w:t>heat</w:t>
      </w:r>
      <w:r w:rsidR="0091516E" w:rsidRPr="00F5204A">
        <w:rPr>
          <w:rFonts w:cs="Arial"/>
          <w:szCs w:val="20"/>
        </w:rPr>
        <w:t xml:space="preserve"> </w:t>
      </w:r>
      <w:r w:rsidR="00AA7563" w:rsidRPr="00F5204A">
        <w:rPr>
          <w:rFonts w:cs="Arial"/>
          <w:szCs w:val="20"/>
        </w:rPr>
        <w:t>/</w:t>
      </w:r>
      <w:r w:rsidR="0091516E" w:rsidRPr="00F5204A">
        <w:rPr>
          <w:rFonts w:cs="Arial"/>
          <w:szCs w:val="20"/>
        </w:rPr>
        <w:t xml:space="preserve"> </w:t>
      </w:r>
      <w:r w:rsidR="00AA7563" w:rsidRPr="00F5204A">
        <w:rPr>
          <w:rFonts w:cs="Arial"/>
          <w:szCs w:val="20"/>
        </w:rPr>
        <w:t>1000) / 3.412 X (1/COP</w:t>
      </w:r>
      <w:r w:rsidR="00AA7563" w:rsidRPr="00F5204A">
        <w:rPr>
          <w:rFonts w:cs="Arial"/>
          <w:szCs w:val="20"/>
          <w:vertAlign w:val="subscript"/>
        </w:rPr>
        <w:t>base</w:t>
      </w:r>
      <w:r w:rsidR="0091516E" w:rsidRPr="00F5204A">
        <w:rPr>
          <w:rFonts w:cs="Arial"/>
          <w:szCs w:val="20"/>
          <w:vertAlign w:val="subscript"/>
        </w:rPr>
        <w:t xml:space="preserve"> </w:t>
      </w:r>
      <w:r w:rsidR="0091516E" w:rsidRPr="00F5204A">
        <w:rPr>
          <w:rFonts w:cs="Arial"/>
          <w:szCs w:val="20"/>
        </w:rPr>
        <w:t xml:space="preserve">– </w:t>
      </w:r>
      <w:r w:rsidR="00AA7563" w:rsidRPr="00F5204A">
        <w:rPr>
          <w:rFonts w:cs="Arial"/>
          <w:szCs w:val="20"/>
        </w:rPr>
        <w:t>1/COP</w:t>
      </w:r>
      <w:r w:rsidR="00AA7563" w:rsidRPr="00F5204A">
        <w:rPr>
          <w:rFonts w:cs="Arial"/>
          <w:szCs w:val="20"/>
          <w:vertAlign w:val="subscript"/>
        </w:rPr>
        <w:t>ee</w:t>
      </w:r>
      <w:r w:rsidR="00AA7563" w:rsidRPr="00F5204A">
        <w:rPr>
          <w:rFonts w:cs="Arial"/>
          <w:szCs w:val="20"/>
        </w:rPr>
        <w:t xml:space="preserve"> ) X EFLH</w:t>
      </w:r>
      <w:r w:rsidR="00AA7563" w:rsidRPr="00F5204A">
        <w:rPr>
          <w:rFonts w:cs="Arial"/>
          <w:szCs w:val="20"/>
          <w:vertAlign w:val="subscript"/>
        </w:rPr>
        <w:t>heat</w:t>
      </w:r>
      <w:r w:rsidR="00AA7563" w:rsidRPr="00F5204A">
        <w:rPr>
          <w:rFonts w:cs="Arial"/>
          <w:szCs w:val="20"/>
        </w:rPr>
        <w:t xml:space="preserve"> </w:t>
      </w:r>
      <w:r w:rsidR="00861542">
        <w:rPr>
          <w:rFonts w:cs="Arial"/>
          <w:szCs w:val="20"/>
        </w:rPr>
        <w:br/>
      </w:r>
      <w:r w:rsidR="00A22E85" w:rsidRPr="00F5204A">
        <w:rPr>
          <w:rFonts w:cs="Arial"/>
          <w:szCs w:val="20"/>
        </w:rPr>
        <w:t xml:space="preserve">= </w:t>
      </w:r>
      <w:r w:rsidR="00B13510" w:rsidRPr="00F5204A">
        <w:rPr>
          <w:rFonts w:cs="Arial"/>
          <w:szCs w:val="20"/>
        </w:rPr>
        <w:t>(</w:t>
      </w:r>
      <w:r w:rsidR="00A22E85" w:rsidRPr="00F5204A">
        <w:rPr>
          <w:rFonts w:cs="Arial"/>
          <w:szCs w:val="20"/>
        </w:rPr>
        <w:t>BtuH</w:t>
      </w:r>
      <w:r w:rsidR="00AA7563" w:rsidRPr="00F5204A">
        <w:rPr>
          <w:rFonts w:cs="Arial"/>
          <w:szCs w:val="20"/>
          <w:vertAlign w:val="subscript"/>
        </w:rPr>
        <w:t>heat</w:t>
      </w:r>
      <w:r w:rsidR="0091516E" w:rsidRPr="00F5204A">
        <w:rPr>
          <w:rFonts w:cs="Arial"/>
          <w:szCs w:val="20"/>
        </w:rPr>
        <w:t xml:space="preserve"> </w:t>
      </w:r>
      <w:r w:rsidR="00665F36" w:rsidRPr="00F5204A">
        <w:rPr>
          <w:rFonts w:cs="Arial"/>
          <w:szCs w:val="20"/>
        </w:rPr>
        <w:t>/</w:t>
      </w:r>
      <w:r w:rsidR="0091516E" w:rsidRPr="00F5204A">
        <w:rPr>
          <w:rFonts w:cs="Arial"/>
          <w:szCs w:val="20"/>
        </w:rPr>
        <w:t xml:space="preserve"> </w:t>
      </w:r>
      <w:r w:rsidR="00D81E45" w:rsidRPr="00F5204A">
        <w:rPr>
          <w:rFonts w:cs="Arial"/>
          <w:szCs w:val="20"/>
        </w:rPr>
        <w:t>1</w:t>
      </w:r>
      <w:r w:rsidR="00A22E85" w:rsidRPr="00F5204A">
        <w:rPr>
          <w:rFonts w:cs="Arial"/>
          <w:szCs w:val="20"/>
        </w:rPr>
        <w:t>000</w:t>
      </w:r>
      <w:r w:rsidR="00B13510" w:rsidRPr="00F5204A">
        <w:rPr>
          <w:rFonts w:cs="Arial"/>
          <w:szCs w:val="20"/>
        </w:rPr>
        <w:t>)</w:t>
      </w:r>
      <w:r w:rsidR="00A22E85" w:rsidRPr="00F5204A">
        <w:rPr>
          <w:rFonts w:cs="Arial"/>
          <w:szCs w:val="20"/>
        </w:rPr>
        <w:t xml:space="preserve"> X (1/</w:t>
      </w:r>
      <w:r w:rsidR="00AA7563" w:rsidRPr="00F5204A">
        <w:rPr>
          <w:rFonts w:cs="Arial"/>
          <w:szCs w:val="20"/>
        </w:rPr>
        <w:t>HSPF</w:t>
      </w:r>
      <w:r w:rsidR="00AA7563" w:rsidRPr="00F5204A">
        <w:rPr>
          <w:rFonts w:cs="Arial"/>
          <w:szCs w:val="20"/>
          <w:vertAlign w:val="subscript"/>
        </w:rPr>
        <w:t>base</w:t>
      </w:r>
      <w:r w:rsidR="0091516E" w:rsidRPr="00F5204A">
        <w:rPr>
          <w:rFonts w:cs="Arial"/>
          <w:szCs w:val="20"/>
          <w:vertAlign w:val="subscript"/>
        </w:rPr>
        <w:t xml:space="preserve"> </w:t>
      </w:r>
      <w:r w:rsidR="0091516E" w:rsidRPr="00F5204A">
        <w:rPr>
          <w:rFonts w:cs="Arial"/>
          <w:szCs w:val="20"/>
        </w:rPr>
        <w:t xml:space="preserve">– </w:t>
      </w:r>
      <w:r w:rsidR="00A22E85" w:rsidRPr="00F5204A">
        <w:rPr>
          <w:rFonts w:cs="Arial"/>
          <w:szCs w:val="20"/>
        </w:rPr>
        <w:t>1/</w:t>
      </w:r>
      <w:r w:rsidR="00AA7563" w:rsidRPr="00F5204A">
        <w:rPr>
          <w:rFonts w:cs="Arial"/>
          <w:szCs w:val="20"/>
        </w:rPr>
        <w:t>HSPF</w:t>
      </w:r>
      <w:r w:rsidR="00530167" w:rsidRPr="00F5204A">
        <w:rPr>
          <w:rFonts w:cs="Arial"/>
          <w:szCs w:val="20"/>
          <w:vertAlign w:val="subscript"/>
        </w:rPr>
        <w:t>ee</w:t>
      </w:r>
      <w:r w:rsidR="00A22E85" w:rsidRPr="00F5204A">
        <w:rPr>
          <w:rFonts w:cs="Arial"/>
          <w:szCs w:val="20"/>
        </w:rPr>
        <w:t xml:space="preserve"> ) X EFLH</w:t>
      </w:r>
      <w:r w:rsidR="00A22E85" w:rsidRPr="00F5204A">
        <w:rPr>
          <w:rFonts w:cs="Arial"/>
          <w:szCs w:val="20"/>
          <w:vertAlign w:val="subscript"/>
        </w:rPr>
        <w:t>h</w:t>
      </w:r>
      <w:r w:rsidR="00530167" w:rsidRPr="00F5204A">
        <w:rPr>
          <w:rFonts w:cs="Arial"/>
          <w:szCs w:val="20"/>
          <w:vertAlign w:val="subscript"/>
        </w:rPr>
        <w:t>ea</w:t>
      </w:r>
      <w:r w:rsidR="0091516E" w:rsidRPr="00F5204A">
        <w:rPr>
          <w:rFonts w:cs="Arial"/>
          <w:szCs w:val="20"/>
          <w:vertAlign w:val="subscript"/>
        </w:rPr>
        <w:t>t</w:t>
      </w:r>
    </w:p>
    <w:p w:rsidR="00A22E85" w:rsidRPr="00F5204A" w:rsidRDefault="00B35EBC" w:rsidP="0091516E">
      <w:pPr>
        <w:pStyle w:val="Equation"/>
        <w:rPr>
          <w:rFonts w:cs="Arial"/>
          <w:szCs w:val="20"/>
        </w:rPr>
      </w:pPr>
      <w:r w:rsidRPr="00F5204A">
        <w:rPr>
          <w:rFonts w:cs="Arial"/>
          <w:szCs w:val="20"/>
        </w:rPr>
        <w:sym w:font="Symbol" w:char="F044"/>
      </w:r>
      <w:r w:rsidRPr="00F5204A">
        <w:rPr>
          <w:rFonts w:cs="Arial"/>
          <w:szCs w:val="20"/>
        </w:rPr>
        <w:t>kW</w:t>
      </w:r>
      <w:r w:rsidRPr="00F5204A">
        <w:rPr>
          <w:rFonts w:cs="Arial"/>
          <w:szCs w:val="20"/>
          <w:vertAlign w:val="subscript"/>
        </w:rPr>
        <w:t>peak</w:t>
      </w:r>
      <w:r w:rsidRPr="00F5204A">
        <w:rPr>
          <w:rFonts w:cs="Arial"/>
          <w:szCs w:val="20"/>
          <w:vertAlign w:val="subscript"/>
        </w:rPr>
        <w:tab/>
      </w:r>
      <w:r w:rsidR="00A22E85" w:rsidRPr="00F5204A">
        <w:rPr>
          <w:rFonts w:cs="Arial"/>
          <w:szCs w:val="20"/>
        </w:rPr>
        <w:t xml:space="preserve"> </w:t>
      </w:r>
      <w:r w:rsidR="00694566" w:rsidRPr="00F5204A">
        <w:rPr>
          <w:rFonts w:cs="Arial"/>
          <w:szCs w:val="20"/>
        </w:rPr>
        <w:tab/>
      </w:r>
      <w:r w:rsidR="00A22E85" w:rsidRPr="00F5204A">
        <w:rPr>
          <w:rFonts w:cs="Arial"/>
          <w:szCs w:val="20"/>
        </w:rPr>
        <w:t>= (BtuH</w:t>
      </w:r>
      <w:r w:rsidR="00AA7563" w:rsidRPr="00F5204A">
        <w:rPr>
          <w:rFonts w:cs="Arial"/>
          <w:szCs w:val="20"/>
          <w:vertAlign w:val="subscript"/>
        </w:rPr>
        <w:t>cool</w:t>
      </w:r>
      <w:r w:rsidR="0091516E" w:rsidRPr="00F5204A">
        <w:rPr>
          <w:rFonts w:cs="Arial"/>
          <w:szCs w:val="20"/>
        </w:rPr>
        <w:t xml:space="preserve"> </w:t>
      </w:r>
      <w:r w:rsidR="00665F36" w:rsidRPr="00F5204A">
        <w:rPr>
          <w:rFonts w:cs="Arial"/>
          <w:szCs w:val="20"/>
        </w:rPr>
        <w:t>/</w:t>
      </w:r>
      <w:r w:rsidR="0091516E" w:rsidRPr="00F5204A">
        <w:rPr>
          <w:rFonts w:cs="Arial"/>
          <w:szCs w:val="20"/>
        </w:rPr>
        <w:t xml:space="preserve"> </w:t>
      </w:r>
      <w:r w:rsidR="00A22E85" w:rsidRPr="00F5204A">
        <w:rPr>
          <w:rFonts w:cs="Arial"/>
          <w:szCs w:val="20"/>
        </w:rPr>
        <w:t>1000) X (1/EER</w:t>
      </w:r>
      <w:r w:rsidR="00A22E85" w:rsidRPr="00F5204A">
        <w:rPr>
          <w:rFonts w:cs="Arial"/>
          <w:szCs w:val="20"/>
          <w:vertAlign w:val="subscript"/>
        </w:rPr>
        <w:t>b</w:t>
      </w:r>
      <w:r w:rsidR="00530167" w:rsidRPr="00F5204A">
        <w:rPr>
          <w:rFonts w:cs="Arial"/>
          <w:szCs w:val="20"/>
          <w:vertAlign w:val="subscript"/>
        </w:rPr>
        <w:t>ase</w:t>
      </w:r>
      <w:r w:rsidR="0091516E" w:rsidRPr="00F5204A">
        <w:rPr>
          <w:rFonts w:cs="Arial"/>
          <w:szCs w:val="20"/>
          <w:vertAlign w:val="subscript"/>
        </w:rPr>
        <w:t xml:space="preserve"> </w:t>
      </w:r>
      <w:r w:rsidR="0091516E" w:rsidRPr="00F5204A">
        <w:rPr>
          <w:rFonts w:cs="Arial"/>
          <w:szCs w:val="20"/>
        </w:rPr>
        <w:t xml:space="preserve">– </w:t>
      </w:r>
      <w:r w:rsidR="00A22E85" w:rsidRPr="00F5204A">
        <w:rPr>
          <w:rFonts w:cs="Arial"/>
          <w:szCs w:val="20"/>
        </w:rPr>
        <w:t>1/EER</w:t>
      </w:r>
      <w:r w:rsidR="00530167" w:rsidRPr="00F5204A">
        <w:rPr>
          <w:rFonts w:cs="Arial"/>
          <w:szCs w:val="20"/>
          <w:vertAlign w:val="subscript"/>
        </w:rPr>
        <w:t>ee</w:t>
      </w:r>
      <w:r w:rsidR="00A22E85" w:rsidRPr="00F5204A">
        <w:rPr>
          <w:rFonts w:cs="Arial"/>
          <w:szCs w:val="20"/>
        </w:rPr>
        <w:t xml:space="preserve">) X CF </w:t>
      </w:r>
    </w:p>
    <w:p w:rsidR="00A22E85" w:rsidRPr="00E75089" w:rsidRDefault="00A22E85" w:rsidP="00871FA2">
      <w:pPr>
        <w:pStyle w:val="Heading3"/>
      </w:pPr>
      <w:r w:rsidRPr="00E75089">
        <w:t xml:space="preserve">Definition of </w:t>
      </w:r>
      <w:r w:rsidR="00AA7563">
        <w:t>Terms</w:t>
      </w:r>
    </w:p>
    <w:p w:rsidR="00C23369" w:rsidRPr="00A41BC2" w:rsidRDefault="00694566" w:rsidP="00694566">
      <w:pPr>
        <w:pStyle w:val="Equation"/>
        <w:rPr>
          <w:rFonts w:cs="Arial"/>
          <w:szCs w:val="20"/>
        </w:rPr>
      </w:pPr>
      <w:r w:rsidRPr="00F5204A">
        <w:rPr>
          <w:rFonts w:cs="Arial"/>
          <w:szCs w:val="20"/>
        </w:rPr>
        <w:tab/>
      </w:r>
      <w:r w:rsidR="006B515B" w:rsidRPr="00F5204A">
        <w:rPr>
          <w:rFonts w:cs="Arial"/>
          <w:szCs w:val="20"/>
        </w:rPr>
        <w:t>BtuH</w:t>
      </w:r>
      <w:r w:rsidR="006B515B" w:rsidRPr="00F5204A">
        <w:rPr>
          <w:rFonts w:cs="Arial"/>
          <w:szCs w:val="20"/>
          <w:vertAlign w:val="subscript"/>
        </w:rPr>
        <w:t>cool</w:t>
      </w:r>
      <w:r w:rsidRPr="00F5204A">
        <w:rPr>
          <w:rFonts w:cs="Arial"/>
          <w:szCs w:val="20"/>
        </w:rPr>
        <w:tab/>
      </w:r>
      <w:r w:rsidR="00A22E85" w:rsidRPr="00F5204A">
        <w:rPr>
          <w:rFonts w:cs="Arial"/>
          <w:szCs w:val="20"/>
        </w:rPr>
        <w:t>=</w:t>
      </w:r>
      <w:r w:rsidR="006B515B" w:rsidRPr="00F5204A">
        <w:rPr>
          <w:rFonts w:cs="Arial"/>
          <w:szCs w:val="20"/>
        </w:rPr>
        <w:t xml:space="preserve"> Rated cooling capacity of the energy efficient unit in BtuH</w:t>
      </w:r>
      <w:r w:rsidR="006B515B" w:rsidRPr="00F5204A">
        <w:rPr>
          <w:rFonts w:cs="Arial"/>
          <w:szCs w:val="20"/>
          <w:vertAlign w:val="subscript"/>
        </w:rPr>
        <w:t>cool</w:t>
      </w:r>
    </w:p>
    <w:p w:rsidR="006B515B" w:rsidRPr="00A41BC2" w:rsidRDefault="006B515B" w:rsidP="00694566">
      <w:pPr>
        <w:pStyle w:val="Equation"/>
        <w:rPr>
          <w:rFonts w:cs="Arial"/>
          <w:szCs w:val="20"/>
        </w:rPr>
      </w:pPr>
      <w:r w:rsidRPr="00F5204A">
        <w:rPr>
          <w:rFonts w:cs="Arial"/>
          <w:szCs w:val="20"/>
        </w:rPr>
        <w:t xml:space="preserve"> </w:t>
      </w:r>
      <w:r w:rsidRPr="00F5204A">
        <w:rPr>
          <w:rFonts w:cs="Arial"/>
          <w:szCs w:val="20"/>
        </w:rPr>
        <w:tab/>
        <w:t>BtuH</w:t>
      </w:r>
      <w:r w:rsidRPr="00F5204A">
        <w:rPr>
          <w:rFonts w:cs="Arial"/>
          <w:szCs w:val="20"/>
          <w:vertAlign w:val="subscript"/>
        </w:rPr>
        <w:t>heat</w:t>
      </w:r>
      <w:r w:rsidRPr="00F5204A">
        <w:rPr>
          <w:rFonts w:cs="Arial"/>
          <w:szCs w:val="20"/>
        </w:rPr>
        <w:tab/>
        <w:t>= Rated heating capacity of the energy efficient unit in BtuH</w:t>
      </w:r>
      <w:r w:rsidRPr="00F5204A">
        <w:rPr>
          <w:rFonts w:cs="Arial"/>
          <w:szCs w:val="20"/>
          <w:vertAlign w:val="subscript"/>
        </w:rPr>
        <w:t>heat</w:t>
      </w:r>
    </w:p>
    <w:p w:rsidR="00A22E85" w:rsidRPr="00F5204A" w:rsidRDefault="00694566" w:rsidP="00694566">
      <w:pPr>
        <w:pStyle w:val="Equation"/>
        <w:rPr>
          <w:rFonts w:cs="Arial"/>
          <w:szCs w:val="20"/>
        </w:rPr>
      </w:pPr>
      <w:r w:rsidRPr="00F5204A">
        <w:rPr>
          <w:rFonts w:cs="Arial"/>
          <w:szCs w:val="20"/>
        </w:rPr>
        <w:tab/>
      </w:r>
      <w:r w:rsidR="00530167" w:rsidRPr="00F5204A">
        <w:rPr>
          <w:rFonts w:cs="Arial"/>
          <w:szCs w:val="20"/>
        </w:rPr>
        <w:t>EER</w:t>
      </w:r>
      <w:r w:rsidR="00530167" w:rsidRPr="00F5204A">
        <w:rPr>
          <w:rFonts w:cs="Arial"/>
          <w:szCs w:val="20"/>
          <w:vertAlign w:val="subscript"/>
        </w:rPr>
        <w:t>base</w:t>
      </w:r>
      <w:r w:rsidR="00530167" w:rsidRPr="00F5204A">
        <w:rPr>
          <w:rFonts w:cs="Arial"/>
          <w:szCs w:val="20"/>
        </w:rPr>
        <w:t xml:space="preserve"> </w:t>
      </w:r>
      <w:r w:rsidRPr="00F5204A">
        <w:rPr>
          <w:rFonts w:cs="Arial"/>
          <w:szCs w:val="20"/>
        </w:rPr>
        <w:tab/>
      </w:r>
      <w:r w:rsidR="00A22E85" w:rsidRPr="00F5204A">
        <w:rPr>
          <w:rFonts w:cs="Arial"/>
          <w:szCs w:val="20"/>
        </w:rPr>
        <w:t xml:space="preserve">= Efficiency rating of the baseline unit.  For </w:t>
      </w:r>
      <w:r w:rsidR="00861542">
        <w:rPr>
          <w:rFonts w:cs="Arial"/>
          <w:szCs w:val="20"/>
        </w:rPr>
        <w:t xml:space="preserve">air-source AC and ASHP </w:t>
      </w:r>
      <w:r w:rsidR="00A22E85" w:rsidRPr="00F5204A">
        <w:rPr>
          <w:rFonts w:cs="Arial"/>
          <w:szCs w:val="20"/>
        </w:rPr>
        <w:t>units &lt; 65,000</w:t>
      </w:r>
      <w:r w:rsidR="00665F36" w:rsidRPr="00F5204A">
        <w:rPr>
          <w:rFonts w:cs="Arial"/>
          <w:szCs w:val="20"/>
        </w:rPr>
        <w:t xml:space="preserve"> BtuH</w:t>
      </w:r>
      <w:r w:rsidR="00A22E85" w:rsidRPr="00F5204A">
        <w:rPr>
          <w:rFonts w:cs="Arial"/>
          <w:szCs w:val="20"/>
        </w:rPr>
        <w:t>, SEER should be used for cooling</w:t>
      </w:r>
      <w:r w:rsidR="00AA7563" w:rsidRPr="00F5204A">
        <w:rPr>
          <w:rFonts w:cs="Arial"/>
          <w:szCs w:val="20"/>
        </w:rPr>
        <w:t xml:space="preserve"> </w:t>
      </w:r>
      <w:r w:rsidR="00A22E85" w:rsidRPr="00F5204A">
        <w:rPr>
          <w:rFonts w:cs="Arial"/>
          <w:szCs w:val="20"/>
        </w:rPr>
        <w:t>saving</w:t>
      </w:r>
      <w:r w:rsidR="001D7420">
        <w:rPr>
          <w:rFonts w:cs="Arial"/>
          <w:szCs w:val="20"/>
        </w:rPr>
        <w:t>s</w:t>
      </w:r>
      <w:r w:rsidR="00A22E85" w:rsidRPr="00F5204A">
        <w:rPr>
          <w:rFonts w:cs="Arial"/>
          <w:szCs w:val="20"/>
        </w:rPr>
        <w:t xml:space="preserve">. </w:t>
      </w:r>
    </w:p>
    <w:p w:rsidR="00A22E85" w:rsidRDefault="00694566" w:rsidP="00694566">
      <w:pPr>
        <w:pStyle w:val="Equation"/>
        <w:rPr>
          <w:rFonts w:cs="Arial"/>
          <w:szCs w:val="20"/>
        </w:rPr>
      </w:pPr>
      <w:r w:rsidRPr="00F5204A">
        <w:rPr>
          <w:rFonts w:cs="Arial"/>
          <w:szCs w:val="20"/>
        </w:rPr>
        <w:tab/>
      </w:r>
      <w:r w:rsidR="00530167" w:rsidRPr="00F5204A">
        <w:rPr>
          <w:rFonts w:cs="Arial"/>
          <w:szCs w:val="20"/>
        </w:rPr>
        <w:t>EER</w:t>
      </w:r>
      <w:r w:rsidR="00530167" w:rsidRPr="00F5204A">
        <w:rPr>
          <w:rFonts w:cs="Arial"/>
          <w:szCs w:val="20"/>
          <w:vertAlign w:val="subscript"/>
        </w:rPr>
        <w:t>ee</w:t>
      </w:r>
      <w:r w:rsidR="00530167" w:rsidRPr="00F5204A">
        <w:rPr>
          <w:rFonts w:cs="Arial"/>
          <w:szCs w:val="20"/>
        </w:rPr>
        <w:t xml:space="preserve"> </w:t>
      </w:r>
      <w:r w:rsidRPr="00F5204A">
        <w:rPr>
          <w:rFonts w:cs="Arial"/>
          <w:szCs w:val="20"/>
        </w:rPr>
        <w:tab/>
      </w:r>
      <w:r w:rsidR="00A22E85" w:rsidRPr="00F5204A">
        <w:rPr>
          <w:rFonts w:cs="Arial"/>
          <w:szCs w:val="20"/>
        </w:rPr>
        <w:t xml:space="preserve">= Efficiency rating of the </w:t>
      </w:r>
      <w:r w:rsidR="00AA7563" w:rsidRPr="00F5204A">
        <w:rPr>
          <w:rFonts w:cs="Arial"/>
          <w:szCs w:val="20"/>
        </w:rPr>
        <w:t xml:space="preserve">energy efficiency </w:t>
      </w:r>
      <w:r w:rsidR="00A22E85" w:rsidRPr="00F5204A">
        <w:rPr>
          <w:rFonts w:cs="Arial"/>
          <w:szCs w:val="20"/>
        </w:rPr>
        <w:t xml:space="preserve">unit. For </w:t>
      </w:r>
      <w:r w:rsidR="00861542">
        <w:rPr>
          <w:rFonts w:cs="Arial"/>
          <w:szCs w:val="20"/>
        </w:rPr>
        <w:t xml:space="preserve">air-source AC and ASHP </w:t>
      </w:r>
      <w:r w:rsidR="00A22E85" w:rsidRPr="00F5204A">
        <w:rPr>
          <w:rFonts w:cs="Arial"/>
          <w:szCs w:val="20"/>
        </w:rPr>
        <w:t>units &lt; 65,000</w:t>
      </w:r>
      <w:r w:rsidR="00665F36" w:rsidRPr="00F5204A">
        <w:rPr>
          <w:rFonts w:cs="Arial"/>
          <w:szCs w:val="20"/>
        </w:rPr>
        <w:t xml:space="preserve"> BtuH</w:t>
      </w:r>
      <w:r w:rsidR="00A22E85" w:rsidRPr="00F5204A">
        <w:rPr>
          <w:rFonts w:cs="Arial"/>
          <w:szCs w:val="20"/>
        </w:rPr>
        <w:t xml:space="preserve">, SEER should be used for cooling savings. </w:t>
      </w:r>
    </w:p>
    <w:p w:rsidR="00A41BC2" w:rsidRPr="00F5204A" w:rsidRDefault="00A41BC2" w:rsidP="00A41BC2">
      <w:pPr>
        <w:pStyle w:val="Equation"/>
        <w:rPr>
          <w:rFonts w:cs="Arial"/>
          <w:szCs w:val="20"/>
        </w:rPr>
      </w:pPr>
      <w:r w:rsidRPr="00F5204A">
        <w:rPr>
          <w:rFonts w:cs="Arial"/>
          <w:szCs w:val="20"/>
        </w:rPr>
        <w:tab/>
      </w:r>
      <w:r>
        <w:rPr>
          <w:rFonts w:cs="Arial"/>
          <w:szCs w:val="20"/>
        </w:rPr>
        <w:t>S</w:t>
      </w:r>
      <w:r w:rsidRPr="00F5204A">
        <w:rPr>
          <w:rFonts w:cs="Arial"/>
          <w:szCs w:val="20"/>
        </w:rPr>
        <w:t>EER</w:t>
      </w:r>
      <w:r w:rsidRPr="00F5204A">
        <w:rPr>
          <w:rFonts w:cs="Arial"/>
          <w:szCs w:val="20"/>
          <w:vertAlign w:val="subscript"/>
        </w:rPr>
        <w:t>base</w:t>
      </w:r>
      <w:r w:rsidRPr="00F5204A">
        <w:rPr>
          <w:rFonts w:cs="Arial"/>
          <w:szCs w:val="20"/>
        </w:rPr>
        <w:t xml:space="preserve"> </w:t>
      </w:r>
      <w:r w:rsidRPr="00F5204A">
        <w:rPr>
          <w:rFonts w:cs="Arial"/>
          <w:szCs w:val="20"/>
        </w:rPr>
        <w:tab/>
        <w:t xml:space="preserve">= </w:t>
      </w:r>
      <w:r>
        <w:rPr>
          <w:rFonts w:cs="Arial"/>
          <w:szCs w:val="20"/>
        </w:rPr>
        <w:t>Seasonal e</w:t>
      </w:r>
      <w:r w:rsidRPr="00F5204A">
        <w:rPr>
          <w:rFonts w:cs="Arial"/>
          <w:szCs w:val="20"/>
        </w:rPr>
        <w:t xml:space="preserve">fficiency rating of the baseline unit.  For units </w:t>
      </w:r>
      <w:r>
        <w:rPr>
          <w:rFonts w:cs="Arial"/>
          <w:szCs w:val="20"/>
        </w:rPr>
        <w:t>&gt;</w:t>
      </w:r>
      <w:r w:rsidRPr="00F5204A">
        <w:rPr>
          <w:rFonts w:cs="Arial"/>
          <w:szCs w:val="20"/>
        </w:rPr>
        <w:t xml:space="preserve"> 65,000 BtuH, EER should be used for cooling saving</w:t>
      </w:r>
      <w:r>
        <w:rPr>
          <w:rFonts w:cs="Arial"/>
          <w:szCs w:val="20"/>
        </w:rPr>
        <w:t>s</w:t>
      </w:r>
      <w:r w:rsidRPr="00F5204A">
        <w:rPr>
          <w:rFonts w:cs="Arial"/>
          <w:szCs w:val="20"/>
        </w:rPr>
        <w:t xml:space="preserve">. </w:t>
      </w:r>
    </w:p>
    <w:p w:rsidR="00A41BC2" w:rsidRPr="00A41BC2" w:rsidRDefault="00A41BC2" w:rsidP="00A41BC2">
      <w:pPr>
        <w:pStyle w:val="Equation"/>
        <w:rPr>
          <w:rFonts w:cs="Arial"/>
          <w:szCs w:val="20"/>
        </w:rPr>
      </w:pPr>
      <w:r w:rsidRPr="00F5204A">
        <w:rPr>
          <w:rFonts w:cs="Arial"/>
          <w:szCs w:val="20"/>
        </w:rPr>
        <w:lastRenderedPageBreak/>
        <w:tab/>
      </w:r>
      <w:r>
        <w:rPr>
          <w:rFonts w:cs="Arial"/>
          <w:szCs w:val="20"/>
        </w:rPr>
        <w:t>S</w:t>
      </w:r>
      <w:r w:rsidRPr="00F5204A">
        <w:rPr>
          <w:rFonts w:cs="Arial"/>
          <w:szCs w:val="20"/>
        </w:rPr>
        <w:t>EER</w:t>
      </w:r>
      <w:r w:rsidRPr="00F5204A">
        <w:rPr>
          <w:rFonts w:cs="Arial"/>
          <w:szCs w:val="20"/>
          <w:vertAlign w:val="subscript"/>
        </w:rPr>
        <w:t>ee</w:t>
      </w:r>
      <w:r w:rsidRPr="00F5204A">
        <w:rPr>
          <w:rFonts w:cs="Arial"/>
          <w:szCs w:val="20"/>
        </w:rPr>
        <w:t xml:space="preserve"> </w:t>
      </w:r>
      <w:r w:rsidRPr="00F5204A">
        <w:rPr>
          <w:rFonts w:cs="Arial"/>
          <w:szCs w:val="20"/>
        </w:rPr>
        <w:tab/>
        <w:t xml:space="preserve">= </w:t>
      </w:r>
      <w:r>
        <w:rPr>
          <w:rFonts w:cs="Arial"/>
          <w:szCs w:val="20"/>
        </w:rPr>
        <w:t>Seasonal e</w:t>
      </w:r>
      <w:r w:rsidRPr="00F5204A">
        <w:rPr>
          <w:rFonts w:cs="Arial"/>
          <w:szCs w:val="20"/>
        </w:rPr>
        <w:t xml:space="preserve">fficiency rating of the energy efficiency unit. For units </w:t>
      </w:r>
      <w:r>
        <w:rPr>
          <w:rFonts w:cs="Arial"/>
          <w:szCs w:val="20"/>
        </w:rPr>
        <w:t>&gt;</w:t>
      </w:r>
      <w:r w:rsidRPr="00F5204A">
        <w:rPr>
          <w:rFonts w:cs="Arial"/>
          <w:szCs w:val="20"/>
        </w:rPr>
        <w:t xml:space="preserve"> 65,000 BtuH, EER should be used for cooling savings.</w:t>
      </w:r>
    </w:p>
    <w:p w:rsidR="00AA7563" w:rsidRPr="00F5204A" w:rsidRDefault="00AA7563" w:rsidP="00AA7563">
      <w:pPr>
        <w:pStyle w:val="Equation"/>
        <w:rPr>
          <w:rFonts w:cs="Arial"/>
          <w:szCs w:val="20"/>
        </w:rPr>
      </w:pPr>
      <w:r w:rsidRPr="00F5204A">
        <w:rPr>
          <w:rFonts w:cs="Arial"/>
          <w:szCs w:val="20"/>
        </w:rPr>
        <w:tab/>
        <w:t>COP</w:t>
      </w:r>
      <w:r w:rsidRPr="00F5204A">
        <w:rPr>
          <w:rFonts w:cs="Arial"/>
          <w:szCs w:val="20"/>
          <w:vertAlign w:val="subscript"/>
        </w:rPr>
        <w:t>base</w:t>
      </w:r>
      <w:r w:rsidRPr="00F5204A">
        <w:rPr>
          <w:rFonts w:cs="Arial"/>
          <w:szCs w:val="20"/>
        </w:rPr>
        <w:t xml:space="preserve"> </w:t>
      </w:r>
      <w:r w:rsidRPr="00F5204A">
        <w:rPr>
          <w:rFonts w:cs="Arial"/>
          <w:szCs w:val="20"/>
        </w:rPr>
        <w:tab/>
        <w:t xml:space="preserve">= Efficiency rating of the baseline unit.  For </w:t>
      </w:r>
      <w:r w:rsidR="00861542">
        <w:rPr>
          <w:rFonts w:cs="Arial"/>
          <w:szCs w:val="20"/>
        </w:rPr>
        <w:t xml:space="preserve">ASHP </w:t>
      </w:r>
      <w:r w:rsidRPr="00F5204A">
        <w:rPr>
          <w:rFonts w:cs="Arial"/>
          <w:szCs w:val="20"/>
        </w:rPr>
        <w:t xml:space="preserve">units &lt; 65,000 BtuH, HSPF should be used for heating savings. </w:t>
      </w:r>
    </w:p>
    <w:p w:rsidR="00AA7563" w:rsidRPr="00F5204A" w:rsidRDefault="00AA7563" w:rsidP="00AA7563">
      <w:pPr>
        <w:pStyle w:val="Equation"/>
        <w:rPr>
          <w:rFonts w:cs="Arial"/>
          <w:szCs w:val="20"/>
        </w:rPr>
      </w:pPr>
      <w:r w:rsidRPr="00F5204A">
        <w:rPr>
          <w:rFonts w:cs="Arial"/>
          <w:szCs w:val="20"/>
        </w:rPr>
        <w:tab/>
        <w:t>COP</w:t>
      </w:r>
      <w:r w:rsidRPr="00F5204A">
        <w:rPr>
          <w:rFonts w:cs="Arial"/>
          <w:szCs w:val="20"/>
          <w:vertAlign w:val="subscript"/>
        </w:rPr>
        <w:t>ee</w:t>
      </w:r>
      <w:r w:rsidRPr="00F5204A">
        <w:rPr>
          <w:rFonts w:cs="Arial"/>
          <w:szCs w:val="20"/>
        </w:rPr>
        <w:t xml:space="preserve"> </w:t>
      </w:r>
      <w:r w:rsidRPr="00F5204A">
        <w:rPr>
          <w:rFonts w:cs="Arial"/>
          <w:szCs w:val="20"/>
        </w:rPr>
        <w:tab/>
        <w:t xml:space="preserve">= Efficiency rating of the energy efficiency unit. For </w:t>
      </w:r>
      <w:r w:rsidR="00861542">
        <w:rPr>
          <w:rFonts w:cs="Arial"/>
          <w:szCs w:val="20"/>
        </w:rPr>
        <w:t xml:space="preserve">ASHP </w:t>
      </w:r>
      <w:r w:rsidRPr="00F5204A">
        <w:rPr>
          <w:rFonts w:cs="Arial"/>
          <w:szCs w:val="20"/>
        </w:rPr>
        <w:t xml:space="preserve">units &lt; 65,000 BtuH, HSPF should be used for heating savings. </w:t>
      </w:r>
    </w:p>
    <w:p w:rsidR="00A41BC2" w:rsidRPr="00F5204A" w:rsidRDefault="00A41BC2" w:rsidP="00A41BC2">
      <w:pPr>
        <w:pStyle w:val="Equation"/>
        <w:rPr>
          <w:rFonts w:cs="Arial"/>
          <w:szCs w:val="20"/>
        </w:rPr>
      </w:pPr>
      <w:r w:rsidRPr="00F5204A">
        <w:rPr>
          <w:rFonts w:cs="Arial"/>
          <w:szCs w:val="20"/>
        </w:rPr>
        <w:tab/>
      </w:r>
      <w:r>
        <w:rPr>
          <w:rFonts w:cs="Arial"/>
          <w:szCs w:val="20"/>
        </w:rPr>
        <w:t>HSPF</w:t>
      </w:r>
      <w:r w:rsidRPr="00F5204A">
        <w:rPr>
          <w:rFonts w:cs="Arial"/>
          <w:szCs w:val="20"/>
          <w:vertAlign w:val="subscript"/>
        </w:rPr>
        <w:t>base</w:t>
      </w:r>
      <w:r w:rsidRPr="00F5204A">
        <w:rPr>
          <w:rFonts w:cs="Arial"/>
          <w:szCs w:val="20"/>
        </w:rPr>
        <w:t xml:space="preserve"> </w:t>
      </w:r>
      <w:r w:rsidRPr="00F5204A">
        <w:rPr>
          <w:rFonts w:cs="Arial"/>
          <w:szCs w:val="20"/>
        </w:rPr>
        <w:tab/>
        <w:t xml:space="preserve">= </w:t>
      </w:r>
      <w:r>
        <w:rPr>
          <w:rFonts w:cs="Arial"/>
          <w:szCs w:val="20"/>
        </w:rPr>
        <w:t>Heating seasonal performance factor</w:t>
      </w:r>
      <w:r w:rsidRPr="00F5204A">
        <w:rPr>
          <w:rFonts w:cs="Arial"/>
          <w:szCs w:val="20"/>
        </w:rPr>
        <w:t xml:space="preserve"> of the baseline unit.  For units </w:t>
      </w:r>
      <w:r>
        <w:rPr>
          <w:rFonts w:cs="Arial"/>
          <w:szCs w:val="20"/>
        </w:rPr>
        <w:t>&gt;</w:t>
      </w:r>
      <w:r w:rsidRPr="00F5204A">
        <w:rPr>
          <w:rFonts w:cs="Arial"/>
          <w:szCs w:val="20"/>
        </w:rPr>
        <w:t xml:space="preserve"> 65,000 BtuH, </w:t>
      </w:r>
      <w:r>
        <w:rPr>
          <w:rFonts w:cs="Arial"/>
          <w:szCs w:val="20"/>
        </w:rPr>
        <w:t>COP</w:t>
      </w:r>
      <w:r w:rsidRPr="00F5204A">
        <w:rPr>
          <w:rFonts w:cs="Arial"/>
          <w:szCs w:val="20"/>
        </w:rPr>
        <w:t xml:space="preserve"> should be used for heating savings. </w:t>
      </w:r>
    </w:p>
    <w:p w:rsidR="00A41BC2" w:rsidRPr="00F5204A" w:rsidRDefault="00A41BC2" w:rsidP="00A41BC2">
      <w:pPr>
        <w:pStyle w:val="Equation"/>
        <w:rPr>
          <w:rFonts w:cs="Arial"/>
          <w:szCs w:val="20"/>
        </w:rPr>
      </w:pPr>
      <w:r w:rsidRPr="00F5204A">
        <w:rPr>
          <w:rFonts w:cs="Arial"/>
          <w:szCs w:val="20"/>
        </w:rPr>
        <w:tab/>
      </w:r>
      <w:r>
        <w:rPr>
          <w:rFonts w:cs="Arial"/>
          <w:szCs w:val="20"/>
        </w:rPr>
        <w:t>HSPF</w:t>
      </w:r>
      <w:r w:rsidRPr="00F5204A">
        <w:rPr>
          <w:rFonts w:cs="Arial"/>
          <w:szCs w:val="20"/>
          <w:vertAlign w:val="subscript"/>
        </w:rPr>
        <w:t>ee</w:t>
      </w:r>
      <w:r w:rsidRPr="00F5204A">
        <w:rPr>
          <w:rFonts w:cs="Arial"/>
          <w:szCs w:val="20"/>
        </w:rPr>
        <w:t xml:space="preserve"> </w:t>
      </w:r>
      <w:r w:rsidRPr="00F5204A">
        <w:rPr>
          <w:rFonts w:cs="Arial"/>
          <w:szCs w:val="20"/>
        </w:rPr>
        <w:tab/>
        <w:t xml:space="preserve">= </w:t>
      </w:r>
      <w:r>
        <w:rPr>
          <w:rFonts w:cs="Arial"/>
          <w:szCs w:val="20"/>
        </w:rPr>
        <w:t>Heating seasonal performance factor</w:t>
      </w:r>
      <w:r w:rsidRPr="00F5204A">
        <w:rPr>
          <w:rFonts w:cs="Arial"/>
          <w:szCs w:val="20"/>
        </w:rPr>
        <w:t xml:space="preserve"> of the energy efficiency unit. For units </w:t>
      </w:r>
      <w:r>
        <w:rPr>
          <w:rFonts w:cs="Arial"/>
          <w:szCs w:val="20"/>
        </w:rPr>
        <w:t>&gt;</w:t>
      </w:r>
      <w:r w:rsidRPr="00F5204A">
        <w:rPr>
          <w:rFonts w:cs="Arial"/>
          <w:szCs w:val="20"/>
        </w:rPr>
        <w:t xml:space="preserve"> 65,000 BtuH, </w:t>
      </w:r>
      <w:r>
        <w:rPr>
          <w:rFonts w:cs="Arial"/>
          <w:szCs w:val="20"/>
        </w:rPr>
        <w:t>COP</w:t>
      </w:r>
      <w:r w:rsidRPr="00F5204A">
        <w:rPr>
          <w:rFonts w:cs="Arial"/>
          <w:szCs w:val="20"/>
        </w:rPr>
        <w:t xml:space="preserve"> should be used for heating savings. </w:t>
      </w:r>
    </w:p>
    <w:p w:rsidR="00A22E85" w:rsidRPr="00F5204A" w:rsidRDefault="00694566" w:rsidP="00C23369">
      <w:pPr>
        <w:pStyle w:val="Equation"/>
        <w:rPr>
          <w:rFonts w:cs="Arial"/>
          <w:szCs w:val="20"/>
        </w:rPr>
      </w:pPr>
      <w:r w:rsidRPr="00F5204A">
        <w:rPr>
          <w:rFonts w:cs="Arial"/>
          <w:szCs w:val="20"/>
        </w:rPr>
        <w:tab/>
      </w:r>
      <w:r w:rsidR="00A22E85" w:rsidRPr="00F5204A">
        <w:rPr>
          <w:rFonts w:cs="Arial"/>
          <w:szCs w:val="20"/>
        </w:rPr>
        <w:t xml:space="preserve">CF </w:t>
      </w:r>
      <w:r w:rsidRPr="00F5204A">
        <w:rPr>
          <w:rFonts w:cs="Arial"/>
          <w:szCs w:val="20"/>
        </w:rPr>
        <w:tab/>
      </w:r>
      <w:r w:rsidR="00A22E85" w:rsidRPr="00F5204A">
        <w:rPr>
          <w:rFonts w:cs="Arial"/>
          <w:szCs w:val="20"/>
        </w:rPr>
        <w:t xml:space="preserve">= </w:t>
      </w:r>
      <w:r w:rsidR="005478EE" w:rsidRPr="00F5204A">
        <w:rPr>
          <w:rFonts w:cs="Arial"/>
          <w:szCs w:val="20"/>
        </w:rPr>
        <w:t>Demand Coincidence Factor (See Section 1.4)</w:t>
      </w:r>
    </w:p>
    <w:p w:rsidR="00A22E85" w:rsidRPr="00F5204A" w:rsidRDefault="00694566" w:rsidP="00694566">
      <w:pPr>
        <w:pStyle w:val="Equation"/>
        <w:rPr>
          <w:rFonts w:cs="Arial"/>
          <w:szCs w:val="20"/>
        </w:rPr>
      </w:pPr>
      <w:r w:rsidRPr="00F5204A">
        <w:rPr>
          <w:rFonts w:cs="Arial"/>
          <w:szCs w:val="20"/>
        </w:rPr>
        <w:tab/>
      </w:r>
      <w:r w:rsidR="00A22E85" w:rsidRPr="00F5204A">
        <w:rPr>
          <w:rFonts w:cs="Arial"/>
          <w:szCs w:val="20"/>
        </w:rPr>
        <w:t>EFLH</w:t>
      </w:r>
      <w:r w:rsidR="00530167" w:rsidRPr="00F5204A">
        <w:rPr>
          <w:rFonts w:cs="Arial"/>
          <w:szCs w:val="20"/>
          <w:vertAlign w:val="subscript"/>
        </w:rPr>
        <w:t>cool</w:t>
      </w:r>
      <w:r w:rsidR="00A22E85" w:rsidRPr="00F5204A">
        <w:rPr>
          <w:rFonts w:cs="Arial"/>
          <w:szCs w:val="20"/>
        </w:rPr>
        <w:t xml:space="preserve"> </w:t>
      </w:r>
      <w:r w:rsidRPr="00F5204A">
        <w:rPr>
          <w:rFonts w:cs="Arial"/>
          <w:szCs w:val="20"/>
        </w:rPr>
        <w:tab/>
      </w:r>
      <w:r w:rsidR="00A22E85" w:rsidRPr="00F5204A">
        <w:rPr>
          <w:rFonts w:cs="Arial"/>
          <w:szCs w:val="20"/>
        </w:rPr>
        <w:t>= Equivalent Full Load Hours</w:t>
      </w:r>
      <w:r w:rsidR="00530167" w:rsidRPr="00F5204A">
        <w:rPr>
          <w:rFonts w:cs="Arial"/>
          <w:szCs w:val="20"/>
        </w:rPr>
        <w:t xml:space="preserve"> for the cooling season</w:t>
      </w:r>
      <w:r w:rsidR="00A22E85" w:rsidRPr="00F5204A">
        <w:rPr>
          <w:rFonts w:cs="Arial"/>
          <w:szCs w:val="20"/>
        </w:rPr>
        <w:t xml:space="preserve"> – The kWh during the entire operating season divided by the kW at design conditions.</w:t>
      </w:r>
    </w:p>
    <w:p w:rsidR="00530167" w:rsidRDefault="00530167" w:rsidP="00530167">
      <w:pPr>
        <w:pStyle w:val="Equation"/>
        <w:rPr>
          <w:rFonts w:cs="Arial"/>
          <w:szCs w:val="20"/>
        </w:rPr>
      </w:pPr>
      <w:r w:rsidRPr="00F5204A">
        <w:rPr>
          <w:rFonts w:cs="Arial"/>
          <w:szCs w:val="20"/>
        </w:rPr>
        <w:tab/>
        <w:t>EFLH</w:t>
      </w:r>
      <w:r w:rsidRPr="00F5204A">
        <w:rPr>
          <w:rFonts w:cs="Arial"/>
          <w:szCs w:val="20"/>
          <w:vertAlign w:val="subscript"/>
        </w:rPr>
        <w:t>heat</w:t>
      </w:r>
      <w:r w:rsidRPr="00F5204A">
        <w:rPr>
          <w:rFonts w:cs="Arial"/>
          <w:szCs w:val="20"/>
        </w:rPr>
        <w:t xml:space="preserve"> </w:t>
      </w:r>
      <w:r w:rsidRPr="00F5204A">
        <w:rPr>
          <w:rFonts w:cs="Arial"/>
          <w:szCs w:val="20"/>
        </w:rPr>
        <w:tab/>
        <w:t>= Equivalent Full Load Hours for the heating season – The kWh during the entire operating season divided by the kW at design conditions.</w:t>
      </w:r>
    </w:p>
    <w:p w:rsidR="00861542" w:rsidRPr="00861542" w:rsidRDefault="00861542" w:rsidP="00530167">
      <w:pPr>
        <w:pStyle w:val="Equation"/>
        <w:rPr>
          <w:rFonts w:cs="Arial"/>
          <w:szCs w:val="20"/>
        </w:rPr>
      </w:pPr>
      <w:r>
        <w:rPr>
          <w:rFonts w:cs="Arial"/>
          <w:szCs w:val="20"/>
        </w:rPr>
        <w:tab/>
        <w:t>11.3/13</w:t>
      </w:r>
      <w:r>
        <w:rPr>
          <w:rFonts w:cs="Arial"/>
          <w:szCs w:val="20"/>
        </w:rPr>
        <w:tab/>
        <w:t xml:space="preserve">= Conversion factor from SEER to EER, based on average EER of a SEER 13 unit. See Section </w:t>
      </w:r>
      <w:r w:rsidR="007A1FB6">
        <w:rPr>
          <w:rFonts w:cs="Arial"/>
          <w:szCs w:val="20"/>
        </w:rPr>
        <w:fldChar w:fldCharType="begin"/>
      </w:r>
      <w:r>
        <w:rPr>
          <w:rFonts w:cs="Arial"/>
          <w:szCs w:val="20"/>
        </w:rPr>
        <w:instrText xml:space="preserve"> REF _Ref298613000 \r \h </w:instrText>
      </w:r>
      <w:r w:rsidR="007A1FB6">
        <w:rPr>
          <w:rFonts w:cs="Arial"/>
          <w:szCs w:val="20"/>
        </w:rPr>
      </w:r>
      <w:r w:rsidR="007A1FB6">
        <w:rPr>
          <w:rFonts w:cs="Arial"/>
          <w:szCs w:val="20"/>
        </w:rPr>
        <w:fldChar w:fldCharType="separate"/>
      </w:r>
      <w:r w:rsidR="00C0292F">
        <w:rPr>
          <w:rFonts w:cs="Arial"/>
          <w:szCs w:val="20"/>
        </w:rPr>
        <w:t>2.1</w:t>
      </w:r>
      <w:r w:rsidR="007A1FB6">
        <w:rPr>
          <w:rFonts w:cs="Arial"/>
          <w:szCs w:val="20"/>
        </w:rPr>
        <w:fldChar w:fldCharType="end"/>
      </w:r>
      <w:r>
        <w:rPr>
          <w:rFonts w:cs="Arial"/>
          <w:szCs w:val="20"/>
        </w:rPr>
        <w:t>.</w:t>
      </w:r>
    </w:p>
    <w:p w:rsidR="00E75089" w:rsidRDefault="00E75089" w:rsidP="00B20F6B">
      <w:pPr>
        <w:pStyle w:val="Caption"/>
      </w:pPr>
      <w:bookmarkStart w:id="745" w:name="_Toc310875571"/>
      <w:r>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19</w:t>
      </w:r>
      <w:r w:rsidR="00274AB1">
        <w:rPr>
          <w:noProof/>
        </w:rPr>
        <w:fldChar w:fldCharType="end"/>
      </w:r>
      <w:r>
        <w:t xml:space="preserve">: Variables for </w:t>
      </w:r>
      <w:r w:rsidR="008F19A8">
        <w:t>HVAC Systems</w:t>
      </w:r>
      <w:bookmarkEnd w:id="7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08"/>
        <w:gridCol w:w="1065"/>
        <w:gridCol w:w="3156"/>
        <w:gridCol w:w="2727"/>
      </w:tblGrid>
      <w:tr w:rsidR="00081878" w:rsidRPr="00530167" w:rsidTr="00530167">
        <w:trPr>
          <w:trHeight w:val="317"/>
          <w:tblHeader/>
          <w:jc w:val="center"/>
        </w:trPr>
        <w:tc>
          <w:tcPr>
            <w:tcW w:w="1908" w:type="dxa"/>
            <w:shd w:val="clear" w:color="auto" w:fill="BFBFBF"/>
            <w:vAlign w:val="center"/>
          </w:tcPr>
          <w:p w:rsidR="00E75089" w:rsidRPr="001D6512" w:rsidRDefault="00E75089" w:rsidP="00C3606E">
            <w:pPr>
              <w:pStyle w:val="TableCell"/>
              <w:spacing w:before="60" w:after="60"/>
              <w:rPr>
                <w:rFonts w:cs="Arial"/>
                <w:b/>
              </w:rPr>
            </w:pPr>
            <w:r w:rsidRPr="001D6512">
              <w:rPr>
                <w:rFonts w:cs="Arial"/>
                <w:b/>
              </w:rPr>
              <w:t>Component</w:t>
            </w:r>
          </w:p>
        </w:tc>
        <w:tc>
          <w:tcPr>
            <w:tcW w:w="1065" w:type="dxa"/>
            <w:shd w:val="clear" w:color="auto" w:fill="BFBFBF"/>
            <w:vAlign w:val="center"/>
          </w:tcPr>
          <w:p w:rsidR="00E75089" w:rsidRPr="001D6512" w:rsidRDefault="00E75089" w:rsidP="00C3606E">
            <w:pPr>
              <w:pStyle w:val="TableCell"/>
              <w:spacing w:before="60" w:after="60"/>
              <w:rPr>
                <w:rFonts w:cs="Arial"/>
                <w:b/>
              </w:rPr>
            </w:pPr>
            <w:r w:rsidRPr="001D6512">
              <w:rPr>
                <w:rFonts w:cs="Arial"/>
                <w:b/>
              </w:rPr>
              <w:t>Type</w:t>
            </w:r>
          </w:p>
        </w:tc>
        <w:tc>
          <w:tcPr>
            <w:tcW w:w="3156" w:type="dxa"/>
            <w:shd w:val="clear" w:color="auto" w:fill="BFBFBF"/>
            <w:vAlign w:val="center"/>
          </w:tcPr>
          <w:p w:rsidR="00E75089" w:rsidRPr="001D6512" w:rsidRDefault="00E75089" w:rsidP="00C3606E">
            <w:pPr>
              <w:pStyle w:val="TableCell"/>
              <w:spacing w:before="60" w:after="60"/>
              <w:rPr>
                <w:rFonts w:cs="Arial"/>
                <w:b/>
              </w:rPr>
            </w:pPr>
            <w:r w:rsidRPr="001D6512">
              <w:rPr>
                <w:rFonts w:cs="Arial"/>
                <w:b/>
              </w:rPr>
              <w:t>Value</w:t>
            </w:r>
          </w:p>
        </w:tc>
        <w:tc>
          <w:tcPr>
            <w:tcW w:w="2727" w:type="dxa"/>
            <w:shd w:val="clear" w:color="auto" w:fill="BFBFBF"/>
            <w:vAlign w:val="center"/>
          </w:tcPr>
          <w:p w:rsidR="00E75089" w:rsidRPr="001D6512" w:rsidRDefault="00E75089" w:rsidP="00C3606E">
            <w:pPr>
              <w:pStyle w:val="TableCell"/>
              <w:spacing w:before="60" w:after="60"/>
              <w:rPr>
                <w:rFonts w:cs="Arial"/>
                <w:b/>
              </w:rPr>
            </w:pPr>
            <w:r w:rsidRPr="001D6512">
              <w:rPr>
                <w:rFonts w:cs="Arial"/>
                <w:b/>
              </w:rPr>
              <w:t>Source</w:t>
            </w:r>
          </w:p>
        </w:tc>
      </w:tr>
      <w:tr w:rsidR="00081878" w:rsidRPr="00530167" w:rsidTr="00530167">
        <w:trPr>
          <w:trHeight w:val="317"/>
          <w:jc w:val="center"/>
        </w:trPr>
        <w:tc>
          <w:tcPr>
            <w:tcW w:w="1908" w:type="dxa"/>
            <w:vAlign w:val="center"/>
          </w:tcPr>
          <w:p w:rsidR="00E75089" w:rsidRPr="001D6512" w:rsidRDefault="00E75089" w:rsidP="00C3606E">
            <w:pPr>
              <w:pStyle w:val="TableCell"/>
              <w:spacing w:before="60" w:after="60"/>
              <w:rPr>
                <w:rFonts w:cs="Arial"/>
              </w:rPr>
            </w:pPr>
            <w:r w:rsidRPr="001D6512">
              <w:rPr>
                <w:rFonts w:cs="Arial"/>
              </w:rPr>
              <w:t>BtuH</w:t>
            </w:r>
          </w:p>
        </w:tc>
        <w:tc>
          <w:tcPr>
            <w:tcW w:w="1065" w:type="dxa"/>
            <w:vAlign w:val="center"/>
          </w:tcPr>
          <w:p w:rsidR="00E75089" w:rsidRPr="001D6512" w:rsidRDefault="00E75089" w:rsidP="00C3606E">
            <w:pPr>
              <w:pStyle w:val="TableCell"/>
              <w:spacing w:before="60" w:after="60"/>
              <w:rPr>
                <w:rFonts w:cs="Arial"/>
              </w:rPr>
            </w:pPr>
            <w:r w:rsidRPr="001D6512">
              <w:rPr>
                <w:rFonts w:cs="Arial"/>
              </w:rPr>
              <w:t>Variable</w:t>
            </w:r>
          </w:p>
        </w:tc>
        <w:tc>
          <w:tcPr>
            <w:tcW w:w="3156" w:type="dxa"/>
            <w:vAlign w:val="center"/>
          </w:tcPr>
          <w:p w:rsidR="00E75089" w:rsidRPr="001D6512" w:rsidRDefault="004D308B" w:rsidP="00C3606E">
            <w:pPr>
              <w:pStyle w:val="TableCell"/>
              <w:spacing w:before="60" w:after="60"/>
              <w:rPr>
                <w:rFonts w:cs="Arial"/>
              </w:rPr>
            </w:pPr>
            <w:r w:rsidRPr="001D6512">
              <w:rPr>
                <w:rFonts w:cs="Arial"/>
              </w:rPr>
              <w:t>Nameplate data (A</w:t>
            </w:r>
            <w:r w:rsidR="0074274E" w:rsidRPr="001D6512">
              <w:rPr>
                <w:rFonts w:cs="Arial"/>
              </w:rPr>
              <w:t>H</w:t>
            </w:r>
            <w:r w:rsidRPr="001D6512">
              <w:rPr>
                <w:rFonts w:cs="Arial"/>
              </w:rPr>
              <w:t>RI or AHAM)</w:t>
            </w:r>
          </w:p>
        </w:tc>
        <w:tc>
          <w:tcPr>
            <w:tcW w:w="2727" w:type="dxa"/>
            <w:vAlign w:val="center"/>
          </w:tcPr>
          <w:p w:rsidR="00E75089" w:rsidRPr="001D6512" w:rsidRDefault="00E75089" w:rsidP="00C3606E">
            <w:pPr>
              <w:pStyle w:val="TableCell"/>
              <w:spacing w:before="60" w:after="60"/>
              <w:rPr>
                <w:rFonts w:cs="Arial"/>
              </w:rPr>
            </w:pPr>
            <w:r w:rsidRPr="001D6512">
              <w:rPr>
                <w:rFonts w:cs="Arial"/>
              </w:rPr>
              <w:t>EDC’s Data Gathering</w:t>
            </w:r>
          </w:p>
        </w:tc>
      </w:tr>
      <w:tr w:rsidR="00081878" w:rsidRPr="00530167" w:rsidTr="00530167">
        <w:trPr>
          <w:trHeight w:val="317"/>
          <w:jc w:val="center"/>
        </w:trPr>
        <w:tc>
          <w:tcPr>
            <w:tcW w:w="1908" w:type="dxa"/>
            <w:vMerge w:val="restart"/>
            <w:vAlign w:val="center"/>
          </w:tcPr>
          <w:p w:rsidR="00E75089" w:rsidRPr="001D6512" w:rsidRDefault="00E75089" w:rsidP="00C3606E">
            <w:pPr>
              <w:pStyle w:val="TableCell"/>
              <w:spacing w:before="60" w:after="60"/>
              <w:rPr>
                <w:rFonts w:cs="Arial"/>
              </w:rPr>
            </w:pPr>
            <w:r w:rsidRPr="001D6512">
              <w:rPr>
                <w:rFonts w:cs="Arial"/>
              </w:rPr>
              <w:t>EER</w:t>
            </w:r>
            <w:r w:rsidR="00530167" w:rsidRPr="001D6512">
              <w:rPr>
                <w:rFonts w:cs="Arial"/>
                <w:vertAlign w:val="subscript"/>
              </w:rPr>
              <w:t>base</w:t>
            </w:r>
          </w:p>
        </w:tc>
        <w:tc>
          <w:tcPr>
            <w:tcW w:w="1065" w:type="dxa"/>
            <w:vMerge w:val="restart"/>
            <w:vAlign w:val="center"/>
          </w:tcPr>
          <w:p w:rsidR="00E75089" w:rsidRPr="001D6512" w:rsidRDefault="00E75089" w:rsidP="00C3606E">
            <w:pPr>
              <w:pStyle w:val="TableCell"/>
              <w:spacing w:before="60" w:after="60"/>
              <w:rPr>
                <w:rFonts w:cs="Arial"/>
              </w:rPr>
            </w:pPr>
            <w:r w:rsidRPr="001D6512">
              <w:rPr>
                <w:rFonts w:cs="Arial"/>
              </w:rPr>
              <w:t>Variable</w:t>
            </w:r>
          </w:p>
        </w:tc>
        <w:tc>
          <w:tcPr>
            <w:tcW w:w="3156" w:type="dxa"/>
            <w:vAlign w:val="center"/>
          </w:tcPr>
          <w:p w:rsidR="00E75089" w:rsidRPr="001D6512" w:rsidRDefault="00212DB6" w:rsidP="00C3606E">
            <w:pPr>
              <w:pStyle w:val="TableCell"/>
              <w:spacing w:before="60" w:after="60"/>
              <w:rPr>
                <w:rFonts w:cs="Arial"/>
              </w:rPr>
            </w:pPr>
            <w:r w:rsidRPr="001D6512">
              <w:rPr>
                <w:rFonts w:cs="Arial"/>
              </w:rPr>
              <w:t xml:space="preserve">Early Replacement: </w:t>
            </w:r>
            <w:r w:rsidR="00E75089" w:rsidRPr="001D6512">
              <w:rPr>
                <w:rFonts w:cs="Arial"/>
              </w:rPr>
              <w:t>Nameplate data</w:t>
            </w:r>
          </w:p>
        </w:tc>
        <w:tc>
          <w:tcPr>
            <w:tcW w:w="2727" w:type="dxa"/>
            <w:vAlign w:val="center"/>
          </w:tcPr>
          <w:p w:rsidR="00E75089" w:rsidRPr="001D6512" w:rsidRDefault="00E75089" w:rsidP="00C3606E">
            <w:pPr>
              <w:pStyle w:val="TableCell"/>
              <w:spacing w:before="60" w:after="60"/>
              <w:rPr>
                <w:rFonts w:cs="Arial"/>
              </w:rPr>
            </w:pPr>
            <w:r w:rsidRPr="001D6512">
              <w:rPr>
                <w:rFonts w:cs="Arial"/>
              </w:rPr>
              <w:t>EDC’s Data Gathering</w:t>
            </w:r>
          </w:p>
        </w:tc>
      </w:tr>
      <w:tr w:rsidR="00081878" w:rsidRPr="00530167" w:rsidTr="00530167">
        <w:trPr>
          <w:trHeight w:val="317"/>
          <w:jc w:val="center"/>
        </w:trPr>
        <w:tc>
          <w:tcPr>
            <w:tcW w:w="1908" w:type="dxa"/>
            <w:vMerge/>
            <w:vAlign w:val="center"/>
          </w:tcPr>
          <w:p w:rsidR="00E75089" w:rsidRPr="001D6512" w:rsidRDefault="00E75089" w:rsidP="00C3606E">
            <w:pPr>
              <w:pStyle w:val="TableCell"/>
              <w:spacing w:before="60" w:after="60"/>
              <w:rPr>
                <w:rFonts w:cs="Arial"/>
              </w:rPr>
            </w:pPr>
          </w:p>
        </w:tc>
        <w:tc>
          <w:tcPr>
            <w:tcW w:w="1065" w:type="dxa"/>
            <w:vMerge/>
            <w:vAlign w:val="center"/>
          </w:tcPr>
          <w:p w:rsidR="00E75089" w:rsidRPr="001D6512" w:rsidRDefault="00E75089" w:rsidP="00C3606E">
            <w:pPr>
              <w:pStyle w:val="TableCell"/>
              <w:spacing w:before="60" w:after="60"/>
              <w:rPr>
                <w:rFonts w:cs="Arial"/>
              </w:rPr>
            </w:pPr>
          </w:p>
        </w:tc>
        <w:tc>
          <w:tcPr>
            <w:tcW w:w="3156" w:type="dxa"/>
            <w:vAlign w:val="center"/>
          </w:tcPr>
          <w:p w:rsidR="00E75089" w:rsidRPr="001D6512" w:rsidRDefault="00212DB6" w:rsidP="00C3606E">
            <w:pPr>
              <w:pStyle w:val="TableCell"/>
              <w:spacing w:before="60" w:after="60"/>
              <w:rPr>
                <w:rFonts w:cs="Arial"/>
              </w:rPr>
            </w:pPr>
            <w:r w:rsidRPr="001D6512">
              <w:rPr>
                <w:rFonts w:cs="Arial"/>
              </w:rPr>
              <w:t xml:space="preserve">New Construction or Replace on Burnout: </w:t>
            </w:r>
            <w:r w:rsidR="001D7420" w:rsidRPr="001D6512">
              <w:rPr>
                <w:rFonts w:cs="Arial"/>
              </w:rPr>
              <w:t xml:space="preserve">Default values from </w:t>
            </w:r>
            <w:r w:rsidR="00274AB1">
              <w:fldChar w:fldCharType="begin"/>
            </w:r>
            <w:r w:rsidR="00274AB1">
              <w:instrText xml:space="preserve"> REF _Ref275556733 \h  \* MERGEFORMAT </w:instrText>
            </w:r>
            <w:r w:rsidR="00274AB1">
              <w:fldChar w:fldCharType="separate"/>
            </w:r>
            <w:r w:rsidR="00C0292F" w:rsidRPr="00C0292F">
              <w:rPr>
                <w:rFonts w:cs="Arial"/>
              </w:rPr>
              <w:t xml:space="preserve">Table </w:t>
            </w:r>
            <w:r w:rsidR="00C0292F" w:rsidRPr="00C0292F">
              <w:rPr>
                <w:rFonts w:cs="Arial"/>
                <w:noProof/>
              </w:rPr>
              <w:t>3</w:t>
            </w:r>
            <w:r w:rsidR="00C0292F" w:rsidRPr="00C0292F">
              <w:rPr>
                <w:rFonts w:cs="Arial"/>
                <w:noProof/>
              </w:rPr>
              <w:noBreakHyphen/>
              <w:t>20</w:t>
            </w:r>
            <w:r w:rsidR="00274AB1">
              <w:fldChar w:fldCharType="end"/>
            </w:r>
          </w:p>
        </w:tc>
        <w:tc>
          <w:tcPr>
            <w:tcW w:w="2727" w:type="dxa"/>
            <w:vAlign w:val="center"/>
          </w:tcPr>
          <w:p w:rsidR="00E75089" w:rsidRPr="001D6512" w:rsidRDefault="00E75089" w:rsidP="00C3606E">
            <w:pPr>
              <w:pStyle w:val="TableCell"/>
              <w:spacing w:before="60" w:after="60"/>
              <w:rPr>
                <w:rFonts w:cs="Arial"/>
              </w:rPr>
            </w:pPr>
            <w:r w:rsidRPr="001D6512">
              <w:rPr>
                <w:rFonts w:cs="Arial"/>
              </w:rPr>
              <w:t xml:space="preserve">See </w:t>
            </w:r>
            <w:r w:rsidR="00274AB1">
              <w:fldChar w:fldCharType="begin"/>
            </w:r>
            <w:r w:rsidR="00274AB1">
              <w:instrText xml:space="preserve"> REF _Ref275556733 \h  \* MERGEFORMAT </w:instrText>
            </w:r>
            <w:r w:rsidR="00274AB1">
              <w:fldChar w:fldCharType="separate"/>
            </w:r>
            <w:r w:rsidR="00C0292F" w:rsidRPr="00C0292F">
              <w:rPr>
                <w:rFonts w:cs="Arial"/>
              </w:rPr>
              <w:t xml:space="preserve">Table </w:t>
            </w:r>
            <w:r w:rsidR="00C0292F" w:rsidRPr="00C0292F">
              <w:rPr>
                <w:rFonts w:cs="Arial"/>
                <w:noProof/>
              </w:rPr>
              <w:t>3</w:t>
            </w:r>
            <w:r w:rsidR="00C0292F" w:rsidRPr="00C0292F">
              <w:rPr>
                <w:rFonts w:cs="Arial"/>
                <w:noProof/>
              </w:rPr>
              <w:noBreakHyphen/>
              <w:t>20</w:t>
            </w:r>
            <w:r w:rsidR="00274AB1">
              <w:fldChar w:fldCharType="end"/>
            </w:r>
          </w:p>
        </w:tc>
      </w:tr>
      <w:tr w:rsidR="00081878" w:rsidRPr="00530167" w:rsidTr="00530167">
        <w:trPr>
          <w:trHeight w:val="317"/>
          <w:jc w:val="center"/>
        </w:trPr>
        <w:tc>
          <w:tcPr>
            <w:tcW w:w="1908" w:type="dxa"/>
            <w:vAlign w:val="center"/>
          </w:tcPr>
          <w:p w:rsidR="00E75089" w:rsidRPr="001D6512" w:rsidRDefault="00E75089" w:rsidP="00C3606E">
            <w:pPr>
              <w:pStyle w:val="TableCell"/>
              <w:spacing w:before="60" w:after="60"/>
              <w:rPr>
                <w:rFonts w:cs="Arial"/>
              </w:rPr>
            </w:pPr>
            <w:r w:rsidRPr="001D6512">
              <w:rPr>
                <w:rFonts w:cs="Arial"/>
              </w:rPr>
              <w:t>EER</w:t>
            </w:r>
            <w:r w:rsidR="00530167" w:rsidRPr="001D6512">
              <w:rPr>
                <w:rFonts w:cs="Arial"/>
                <w:vertAlign w:val="subscript"/>
              </w:rPr>
              <w:t>ee</w:t>
            </w:r>
          </w:p>
        </w:tc>
        <w:tc>
          <w:tcPr>
            <w:tcW w:w="1065" w:type="dxa"/>
            <w:vAlign w:val="center"/>
          </w:tcPr>
          <w:p w:rsidR="00E75089" w:rsidRPr="001D6512" w:rsidRDefault="00E75089" w:rsidP="00C3606E">
            <w:pPr>
              <w:pStyle w:val="TableCell"/>
              <w:spacing w:before="60" w:after="60"/>
              <w:rPr>
                <w:rFonts w:cs="Arial"/>
              </w:rPr>
            </w:pPr>
            <w:r w:rsidRPr="001D6512">
              <w:rPr>
                <w:rFonts w:cs="Arial"/>
              </w:rPr>
              <w:t>Variable</w:t>
            </w:r>
          </w:p>
        </w:tc>
        <w:tc>
          <w:tcPr>
            <w:tcW w:w="3156" w:type="dxa"/>
            <w:vAlign w:val="center"/>
          </w:tcPr>
          <w:p w:rsidR="00E75089" w:rsidRPr="001D6512" w:rsidRDefault="00E75089" w:rsidP="00C3606E">
            <w:pPr>
              <w:pStyle w:val="TableCell"/>
              <w:spacing w:before="60" w:after="60"/>
              <w:rPr>
                <w:rFonts w:cs="Arial"/>
              </w:rPr>
            </w:pPr>
            <w:r w:rsidRPr="001D6512">
              <w:rPr>
                <w:rFonts w:cs="Arial"/>
              </w:rPr>
              <w:t>Nameplate data (A</w:t>
            </w:r>
            <w:r w:rsidR="0074274E" w:rsidRPr="001D6512">
              <w:rPr>
                <w:rFonts w:cs="Arial"/>
              </w:rPr>
              <w:t>H</w:t>
            </w:r>
            <w:r w:rsidRPr="001D6512">
              <w:rPr>
                <w:rFonts w:cs="Arial"/>
              </w:rPr>
              <w:t>RI or AHAM)</w:t>
            </w:r>
          </w:p>
        </w:tc>
        <w:tc>
          <w:tcPr>
            <w:tcW w:w="2727" w:type="dxa"/>
            <w:vAlign w:val="center"/>
          </w:tcPr>
          <w:p w:rsidR="00E75089" w:rsidRPr="001D6512" w:rsidRDefault="00E75089" w:rsidP="00C3606E">
            <w:pPr>
              <w:pStyle w:val="TableCell"/>
              <w:spacing w:before="60" w:after="60"/>
              <w:rPr>
                <w:rFonts w:cs="Arial"/>
              </w:rPr>
            </w:pPr>
            <w:r w:rsidRPr="001D6512">
              <w:rPr>
                <w:rFonts w:cs="Arial"/>
              </w:rPr>
              <w:t>EDC’s Data Gathering</w:t>
            </w:r>
          </w:p>
        </w:tc>
      </w:tr>
      <w:tr w:rsidR="00A41BC2" w:rsidRPr="00877D9B" w:rsidTr="00C7059C">
        <w:trPr>
          <w:trHeight w:val="317"/>
          <w:jc w:val="center"/>
        </w:trPr>
        <w:tc>
          <w:tcPr>
            <w:tcW w:w="1908" w:type="dxa"/>
            <w:vMerge w:val="restart"/>
            <w:vAlign w:val="center"/>
          </w:tcPr>
          <w:p w:rsidR="00A41BC2" w:rsidRPr="001D6512" w:rsidRDefault="00A41BC2" w:rsidP="00C7059C">
            <w:pPr>
              <w:pStyle w:val="TableCell"/>
              <w:spacing w:before="60" w:after="60"/>
              <w:rPr>
                <w:rFonts w:cs="Arial"/>
              </w:rPr>
            </w:pPr>
            <w:r w:rsidRPr="001D6512">
              <w:rPr>
                <w:rFonts w:cs="Arial"/>
              </w:rPr>
              <w:t>SEER</w:t>
            </w:r>
            <w:r w:rsidRPr="001D6512">
              <w:rPr>
                <w:rFonts w:cs="Arial"/>
                <w:vertAlign w:val="subscript"/>
              </w:rPr>
              <w:t>base</w:t>
            </w:r>
          </w:p>
        </w:tc>
        <w:tc>
          <w:tcPr>
            <w:tcW w:w="1065" w:type="dxa"/>
            <w:vMerge w:val="restart"/>
            <w:vAlign w:val="center"/>
          </w:tcPr>
          <w:p w:rsidR="00A41BC2" w:rsidRPr="001D6512" w:rsidRDefault="00A41BC2" w:rsidP="00C7059C">
            <w:pPr>
              <w:pStyle w:val="TableCell"/>
              <w:spacing w:before="60" w:after="60"/>
              <w:rPr>
                <w:rFonts w:cs="Arial"/>
              </w:rPr>
            </w:pPr>
            <w:r w:rsidRPr="001D6512">
              <w:rPr>
                <w:rFonts w:cs="Arial"/>
              </w:rPr>
              <w:t>Variable</w:t>
            </w:r>
          </w:p>
        </w:tc>
        <w:tc>
          <w:tcPr>
            <w:tcW w:w="3156" w:type="dxa"/>
            <w:vAlign w:val="center"/>
          </w:tcPr>
          <w:p w:rsidR="00A41BC2" w:rsidRPr="001D6512" w:rsidRDefault="00A41BC2" w:rsidP="00C7059C">
            <w:pPr>
              <w:pStyle w:val="TableCell"/>
              <w:spacing w:before="60" w:after="60"/>
              <w:rPr>
                <w:rFonts w:cs="Arial"/>
              </w:rPr>
            </w:pPr>
            <w:r w:rsidRPr="001D6512">
              <w:rPr>
                <w:rFonts w:cs="Arial"/>
              </w:rPr>
              <w:t>Early Replacement: Nameplate data</w:t>
            </w:r>
          </w:p>
        </w:tc>
        <w:tc>
          <w:tcPr>
            <w:tcW w:w="2727" w:type="dxa"/>
            <w:vAlign w:val="center"/>
          </w:tcPr>
          <w:p w:rsidR="00A41BC2" w:rsidRPr="001D6512" w:rsidRDefault="00A41BC2" w:rsidP="00C7059C">
            <w:pPr>
              <w:pStyle w:val="TableCell"/>
              <w:spacing w:before="60" w:after="60"/>
              <w:rPr>
                <w:rFonts w:cs="Arial"/>
              </w:rPr>
            </w:pPr>
            <w:r w:rsidRPr="001D6512">
              <w:rPr>
                <w:rFonts w:cs="Arial"/>
              </w:rPr>
              <w:t>EDC’s Data Gathering</w:t>
            </w:r>
          </w:p>
        </w:tc>
      </w:tr>
      <w:tr w:rsidR="00A41BC2" w:rsidRPr="00877D9B" w:rsidTr="00C7059C">
        <w:trPr>
          <w:trHeight w:val="317"/>
          <w:jc w:val="center"/>
        </w:trPr>
        <w:tc>
          <w:tcPr>
            <w:tcW w:w="1908" w:type="dxa"/>
            <w:vMerge/>
            <w:vAlign w:val="center"/>
          </w:tcPr>
          <w:p w:rsidR="00A41BC2" w:rsidRPr="001D6512" w:rsidRDefault="00A41BC2" w:rsidP="00C7059C">
            <w:pPr>
              <w:pStyle w:val="TableCell"/>
              <w:spacing w:before="60" w:after="60"/>
              <w:rPr>
                <w:rFonts w:cs="Arial"/>
              </w:rPr>
            </w:pPr>
          </w:p>
        </w:tc>
        <w:tc>
          <w:tcPr>
            <w:tcW w:w="1065" w:type="dxa"/>
            <w:vMerge/>
            <w:vAlign w:val="center"/>
          </w:tcPr>
          <w:p w:rsidR="00A41BC2" w:rsidRPr="001D6512" w:rsidRDefault="00A41BC2" w:rsidP="00C7059C">
            <w:pPr>
              <w:pStyle w:val="TableCell"/>
              <w:spacing w:before="60" w:after="60"/>
              <w:rPr>
                <w:rFonts w:cs="Arial"/>
              </w:rPr>
            </w:pPr>
          </w:p>
        </w:tc>
        <w:tc>
          <w:tcPr>
            <w:tcW w:w="3156" w:type="dxa"/>
            <w:vAlign w:val="center"/>
          </w:tcPr>
          <w:p w:rsidR="00A41BC2" w:rsidRPr="001D6512" w:rsidRDefault="00A41BC2" w:rsidP="00C7059C">
            <w:pPr>
              <w:pStyle w:val="TableCell"/>
              <w:spacing w:before="60" w:after="60"/>
              <w:rPr>
                <w:rFonts w:cs="Arial"/>
              </w:rPr>
            </w:pPr>
            <w:r w:rsidRPr="001D6512">
              <w:rPr>
                <w:rFonts w:cs="Arial"/>
              </w:rPr>
              <w:t xml:space="preserve">New Construction or Replace on Burnout: Default values from </w:t>
            </w:r>
            <w:r w:rsidR="00274AB1">
              <w:fldChar w:fldCharType="begin"/>
            </w:r>
            <w:r w:rsidR="00274AB1">
              <w:instrText xml:space="preserve"> REF _Ref275556733 \h  \* MERGEFORMAT </w:instrText>
            </w:r>
            <w:r w:rsidR="00274AB1">
              <w:fldChar w:fldCharType="separate"/>
            </w:r>
            <w:r w:rsidR="00C0292F" w:rsidRPr="00C0292F">
              <w:rPr>
                <w:rFonts w:cs="Arial"/>
              </w:rPr>
              <w:t xml:space="preserve">Table </w:t>
            </w:r>
            <w:r w:rsidR="00C0292F" w:rsidRPr="00C0292F">
              <w:rPr>
                <w:rFonts w:cs="Arial"/>
                <w:noProof/>
              </w:rPr>
              <w:t>3</w:t>
            </w:r>
            <w:r w:rsidR="00C0292F" w:rsidRPr="00C0292F">
              <w:rPr>
                <w:rFonts w:cs="Arial"/>
                <w:noProof/>
              </w:rPr>
              <w:noBreakHyphen/>
              <w:t>20</w:t>
            </w:r>
            <w:r w:rsidR="00274AB1">
              <w:fldChar w:fldCharType="end"/>
            </w:r>
          </w:p>
        </w:tc>
        <w:tc>
          <w:tcPr>
            <w:tcW w:w="2727" w:type="dxa"/>
            <w:vAlign w:val="center"/>
          </w:tcPr>
          <w:p w:rsidR="00A41BC2" w:rsidRPr="001D6512" w:rsidRDefault="00A41BC2" w:rsidP="00C7059C">
            <w:pPr>
              <w:pStyle w:val="TableCell"/>
              <w:spacing w:before="60" w:after="60"/>
              <w:rPr>
                <w:rFonts w:cs="Arial"/>
              </w:rPr>
            </w:pPr>
            <w:r w:rsidRPr="001D6512">
              <w:rPr>
                <w:rFonts w:cs="Arial"/>
              </w:rPr>
              <w:t xml:space="preserve">See </w:t>
            </w:r>
            <w:r w:rsidR="00274AB1">
              <w:fldChar w:fldCharType="begin"/>
            </w:r>
            <w:r w:rsidR="00274AB1">
              <w:instrText xml:space="preserve"> REF _Ref275556733 \h  \* MERGEFORMAT </w:instrText>
            </w:r>
            <w:r w:rsidR="00274AB1">
              <w:fldChar w:fldCharType="separate"/>
            </w:r>
            <w:r w:rsidR="00C0292F" w:rsidRPr="00C0292F">
              <w:rPr>
                <w:rFonts w:cs="Arial"/>
              </w:rPr>
              <w:t xml:space="preserve">Table </w:t>
            </w:r>
            <w:r w:rsidR="00C0292F" w:rsidRPr="00C0292F">
              <w:rPr>
                <w:rFonts w:cs="Arial"/>
                <w:noProof/>
              </w:rPr>
              <w:t>3</w:t>
            </w:r>
            <w:r w:rsidR="00C0292F" w:rsidRPr="00C0292F">
              <w:rPr>
                <w:rFonts w:cs="Arial"/>
                <w:noProof/>
              </w:rPr>
              <w:noBreakHyphen/>
              <w:t>20</w:t>
            </w:r>
            <w:r w:rsidR="00274AB1">
              <w:fldChar w:fldCharType="end"/>
            </w:r>
          </w:p>
        </w:tc>
      </w:tr>
      <w:tr w:rsidR="00A41BC2" w:rsidRPr="00877D9B" w:rsidTr="00C7059C">
        <w:trPr>
          <w:trHeight w:val="317"/>
          <w:jc w:val="center"/>
        </w:trPr>
        <w:tc>
          <w:tcPr>
            <w:tcW w:w="1908" w:type="dxa"/>
            <w:vAlign w:val="center"/>
          </w:tcPr>
          <w:p w:rsidR="00A41BC2" w:rsidRPr="001D6512" w:rsidRDefault="00A41BC2" w:rsidP="00C7059C">
            <w:pPr>
              <w:pStyle w:val="TableCell"/>
              <w:spacing w:before="60" w:after="60"/>
              <w:rPr>
                <w:rFonts w:cs="Arial"/>
              </w:rPr>
            </w:pPr>
            <w:r w:rsidRPr="001D6512">
              <w:rPr>
                <w:rFonts w:cs="Arial"/>
              </w:rPr>
              <w:t>SEER</w:t>
            </w:r>
            <w:r w:rsidRPr="001D6512">
              <w:rPr>
                <w:rFonts w:cs="Arial"/>
                <w:vertAlign w:val="subscript"/>
              </w:rPr>
              <w:t>ee</w:t>
            </w:r>
          </w:p>
        </w:tc>
        <w:tc>
          <w:tcPr>
            <w:tcW w:w="1065" w:type="dxa"/>
            <w:vAlign w:val="center"/>
          </w:tcPr>
          <w:p w:rsidR="00A41BC2" w:rsidRPr="001D6512" w:rsidRDefault="00A41BC2" w:rsidP="00C7059C">
            <w:pPr>
              <w:pStyle w:val="TableCell"/>
              <w:spacing w:before="60" w:after="60"/>
              <w:rPr>
                <w:rFonts w:cs="Arial"/>
              </w:rPr>
            </w:pPr>
            <w:r w:rsidRPr="001D6512">
              <w:rPr>
                <w:rFonts w:cs="Arial"/>
              </w:rPr>
              <w:t>Variable</w:t>
            </w:r>
          </w:p>
        </w:tc>
        <w:tc>
          <w:tcPr>
            <w:tcW w:w="3156" w:type="dxa"/>
            <w:vAlign w:val="center"/>
          </w:tcPr>
          <w:p w:rsidR="00A41BC2" w:rsidRPr="001D6512" w:rsidRDefault="00A41BC2" w:rsidP="00C7059C">
            <w:pPr>
              <w:pStyle w:val="TableCell"/>
              <w:spacing w:before="60" w:after="60"/>
              <w:rPr>
                <w:rFonts w:cs="Arial"/>
              </w:rPr>
            </w:pPr>
            <w:r w:rsidRPr="001D6512">
              <w:rPr>
                <w:rFonts w:cs="Arial"/>
              </w:rPr>
              <w:t>Nameplate data (AHRI or AHAM)</w:t>
            </w:r>
          </w:p>
        </w:tc>
        <w:tc>
          <w:tcPr>
            <w:tcW w:w="2727" w:type="dxa"/>
            <w:vAlign w:val="center"/>
          </w:tcPr>
          <w:p w:rsidR="00A41BC2" w:rsidRPr="001D6512" w:rsidRDefault="00A41BC2" w:rsidP="00C7059C">
            <w:pPr>
              <w:pStyle w:val="TableCell"/>
              <w:spacing w:before="60" w:after="60"/>
              <w:rPr>
                <w:rFonts w:cs="Arial"/>
              </w:rPr>
            </w:pPr>
            <w:r w:rsidRPr="001D6512">
              <w:rPr>
                <w:rFonts w:cs="Arial"/>
              </w:rPr>
              <w:t>EDC’s Data Gathering</w:t>
            </w:r>
          </w:p>
        </w:tc>
      </w:tr>
      <w:tr w:rsidR="00A41BC2" w:rsidRPr="00877D9B" w:rsidTr="00C7059C">
        <w:trPr>
          <w:trHeight w:val="317"/>
          <w:jc w:val="center"/>
        </w:trPr>
        <w:tc>
          <w:tcPr>
            <w:tcW w:w="1908" w:type="dxa"/>
            <w:vMerge w:val="restart"/>
            <w:vAlign w:val="center"/>
          </w:tcPr>
          <w:p w:rsidR="00A41BC2" w:rsidRPr="001D6512" w:rsidRDefault="00A41BC2" w:rsidP="00C7059C">
            <w:pPr>
              <w:pStyle w:val="TableCell"/>
              <w:spacing w:before="60" w:after="60"/>
              <w:rPr>
                <w:rFonts w:cs="Arial"/>
              </w:rPr>
            </w:pPr>
            <w:r w:rsidRPr="001D6512">
              <w:rPr>
                <w:rFonts w:cs="Arial"/>
              </w:rPr>
              <w:t>COP</w:t>
            </w:r>
            <w:r w:rsidRPr="001D6512">
              <w:rPr>
                <w:rFonts w:cs="Arial"/>
                <w:vertAlign w:val="subscript"/>
              </w:rPr>
              <w:t>base</w:t>
            </w:r>
          </w:p>
        </w:tc>
        <w:tc>
          <w:tcPr>
            <w:tcW w:w="1065" w:type="dxa"/>
            <w:vMerge w:val="restart"/>
            <w:vAlign w:val="center"/>
          </w:tcPr>
          <w:p w:rsidR="00A41BC2" w:rsidRPr="001D6512" w:rsidRDefault="00A41BC2" w:rsidP="00C7059C">
            <w:pPr>
              <w:pStyle w:val="TableCell"/>
              <w:spacing w:before="60" w:after="60"/>
              <w:rPr>
                <w:rFonts w:cs="Arial"/>
              </w:rPr>
            </w:pPr>
            <w:r w:rsidRPr="001D6512">
              <w:rPr>
                <w:rFonts w:cs="Arial"/>
              </w:rPr>
              <w:t>Variable</w:t>
            </w:r>
          </w:p>
        </w:tc>
        <w:tc>
          <w:tcPr>
            <w:tcW w:w="3156" w:type="dxa"/>
            <w:vAlign w:val="center"/>
          </w:tcPr>
          <w:p w:rsidR="00A41BC2" w:rsidRPr="001D6512" w:rsidRDefault="00A41BC2" w:rsidP="00C7059C">
            <w:pPr>
              <w:pStyle w:val="TableCell"/>
              <w:spacing w:before="60" w:after="60"/>
              <w:rPr>
                <w:rFonts w:cs="Arial"/>
              </w:rPr>
            </w:pPr>
            <w:r w:rsidRPr="001D6512">
              <w:rPr>
                <w:rFonts w:cs="Arial"/>
              </w:rPr>
              <w:t>Early Replacement: Nameplate data</w:t>
            </w:r>
          </w:p>
        </w:tc>
        <w:tc>
          <w:tcPr>
            <w:tcW w:w="2727" w:type="dxa"/>
            <w:vAlign w:val="center"/>
          </w:tcPr>
          <w:p w:rsidR="00A41BC2" w:rsidRPr="001D6512" w:rsidRDefault="00A41BC2" w:rsidP="00C7059C">
            <w:pPr>
              <w:pStyle w:val="TableCell"/>
              <w:spacing w:before="60" w:after="60"/>
              <w:rPr>
                <w:rFonts w:cs="Arial"/>
              </w:rPr>
            </w:pPr>
            <w:r w:rsidRPr="001D6512">
              <w:rPr>
                <w:rFonts w:cs="Arial"/>
              </w:rPr>
              <w:t>EDC’s Data Gathering</w:t>
            </w:r>
          </w:p>
        </w:tc>
      </w:tr>
      <w:tr w:rsidR="00A41BC2" w:rsidRPr="00877D9B" w:rsidTr="00C7059C">
        <w:trPr>
          <w:trHeight w:val="317"/>
          <w:jc w:val="center"/>
        </w:trPr>
        <w:tc>
          <w:tcPr>
            <w:tcW w:w="1908" w:type="dxa"/>
            <w:vMerge/>
            <w:vAlign w:val="center"/>
          </w:tcPr>
          <w:p w:rsidR="00A41BC2" w:rsidRPr="001D6512" w:rsidRDefault="00A41BC2" w:rsidP="00C7059C">
            <w:pPr>
              <w:pStyle w:val="TableCell"/>
              <w:spacing w:before="60" w:after="60"/>
              <w:rPr>
                <w:rFonts w:cs="Arial"/>
              </w:rPr>
            </w:pPr>
          </w:p>
        </w:tc>
        <w:tc>
          <w:tcPr>
            <w:tcW w:w="1065" w:type="dxa"/>
            <w:vMerge/>
            <w:vAlign w:val="center"/>
          </w:tcPr>
          <w:p w:rsidR="00A41BC2" w:rsidRPr="001D6512" w:rsidRDefault="00A41BC2" w:rsidP="00C7059C">
            <w:pPr>
              <w:pStyle w:val="TableCell"/>
              <w:spacing w:before="60" w:after="60"/>
              <w:rPr>
                <w:rFonts w:cs="Arial"/>
              </w:rPr>
            </w:pPr>
          </w:p>
        </w:tc>
        <w:tc>
          <w:tcPr>
            <w:tcW w:w="3156" w:type="dxa"/>
            <w:vAlign w:val="center"/>
          </w:tcPr>
          <w:p w:rsidR="00A41BC2" w:rsidRPr="001D6512" w:rsidRDefault="00A41BC2" w:rsidP="00C7059C">
            <w:pPr>
              <w:pStyle w:val="TableCell"/>
              <w:spacing w:before="60" w:after="60"/>
              <w:rPr>
                <w:rFonts w:cs="Arial"/>
              </w:rPr>
            </w:pPr>
            <w:r w:rsidRPr="001D6512">
              <w:rPr>
                <w:rFonts w:cs="Arial"/>
              </w:rPr>
              <w:t xml:space="preserve">New Construction or Replace on Burnout: Default values from </w:t>
            </w:r>
            <w:r w:rsidR="00274AB1">
              <w:fldChar w:fldCharType="begin"/>
            </w:r>
            <w:r w:rsidR="00274AB1">
              <w:instrText xml:space="preserve"> REF _Ref275556733 \h  \* MERGEFORMAT </w:instrText>
            </w:r>
            <w:r w:rsidR="00274AB1">
              <w:fldChar w:fldCharType="separate"/>
            </w:r>
            <w:r w:rsidR="00C0292F" w:rsidRPr="00C0292F">
              <w:rPr>
                <w:rFonts w:cs="Arial"/>
              </w:rPr>
              <w:t xml:space="preserve">Table </w:t>
            </w:r>
            <w:r w:rsidR="00C0292F" w:rsidRPr="00C0292F">
              <w:rPr>
                <w:rFonts w:cs="Arial"/>
                <w:noProof/>
              </w:rPr>
              <w:t>3</w:t>
            </w:r>
            <w:r w:rsidR="00C0292F" w:rsidRPr="00C0292F">
              <w:rPr>
                <w:rFonts w:cs="Arial"/>
                <w:noProof/>
              </w:rPr>
              <w:noBreakHyphen/>
              <w:t>20</w:t>
            </w:r>
            <w:r w:rsidR="00274AB1">
              <w:fldChar w:fldCharType="end"/>
            </w:r>
          </w:p>
        </w:tc>
        <w:tc>
          <w:tcPr>
            <w:tcW w:w="2727" w:type="dxa"/>
            <w:vAlign w:val="center"/>
          </w:tcPr>
          <w:p w:rsidR="00A41BC2" w:rsidRPr="001D6512" w:rsidRDefault="00A41BC2" w:rsidP="00C7059C">
            <w:pPr>
              <w:pStyle w:val="TableCell"/>
              <w:spacing w:before="60" w:after="60"/>
              <w:rPr>
                <w:rFonts w:cs="Arial"/>
              </w:rPr>
            </w:pPr>
            <w:r w:rsidRPr="001D6512">
              <w:rPr>
                <w:rFonts w:cs="Arial"/>
              </w:rPr>
              <w:t xml:space="preserve">See </w:t>
            </w:r>
            <w:r w:rsidR="00274AB1">
              <w:fldChar w:fldCharType="begin"/>
            </w:r>
            <w:r w:rsidR="00274AB1">
              <w:instrText xml:space="preserve"> REF _Ref275556733 \h  \* MERGEFORMAT </w:instrText>
            </w:r>
            <w:r w:rsidR="00274AB1">
              <w:fldChar w:fldCharType="separate"/>
            </w:r>
            <w:r w:rsidR="00C0292F" w:rsidRPr="00C0292F">
              <w:rPr>
                <w:rFonts w:cs="Arial"/>
              </w:rPr>
              <w:t xml:space="preserve">Table </w:t>
            </w:r>
            <w:r w:rsidR="00C0292F" w:rsidRPr="00C0292F">
              <w:rPr>
                <w:rFonts w:cs="Arial"/>
                <w:noProof/>
              </w:rPr>
              <w:t>3</w:t>
            </w:r>
            <w:r w:rsidR="00C0292F" w:rsidRPr="00C0292F">
              <w:rPr>
                <w:rFonts w:cs="Arial"/>
                <w:noProof/>
              </w:rPr>
              <w:noBreakHyphen/>
              <w:t>20</w:t>
            </w:r>
            <w:r w:rsidR="00274AB1">
              <w:fldChar w:fldCharType="end"/>
            </w:r>
          </w:p>
        </w:tc>
      </w:tr>
      <w:tr w:rsidR="00A41BC2" w:rsidRPr="00877D9B" w:rsidTr="00C7059C">
        <w:trPr>
          <w:trHeight w:val="317"/>
          <w:jc w:val="center"/>
        </w:trPr>
        <w:tc>
          <w:tcPr>
            <w:tcW w:w="1908" w:type="dxa"/>
            <w:vAlign w:val="center"/>
          </w:tcPr>
          <w:p w:rsidR="00A41BC2" w:rsidRPr="001D6512" w:rsidRDefault="00A41BC2" w:rsidP="00C7059C">
            <w:pPr>
              <w:pStyle w:val="TableCell"/>
              <w:spacing w:before="60" w:after="60"/>
              <w:rPr>
                <w:rFonts w:cs="Arial"/>
                <w:vertAlign w:val="subscript"/>
              </w:rPr>
            </w:pPr>
            <w:r w:rsidRPr="001D6512">
              <w:rPr>
                <w:rFonts w:cs="Arial"/>
              </w:rPr>
              <w:t>COP</w:t>
            </w:r>
            <w:r w:rsidRPr="001D6512">
              <w:rPr>
                <w:rFonts w:cs="Arial"/>
                <w:vertAlign w:val="subscript"/>
              </w:rPr>
              <w:t>ee</w:t>
            </w:r>
          </w:p>
        </w:tc>
        <w:tc>
          <w:tcPr>
            <w:tcW w:w="1065" w:type="dxa"/>
            <w:vAlign w:val="center"/>
          </w:tcPr>
          <w:p w:rsidR="00A41BC2" w:rsidRPr="001D6512" w:rsidRDefault="00A41BC2" w:rsidP="00C7059C">
            <w:pPr>
              <w:pStyle w:val="TableCell"/>
              <w:spacing w:before="60" w:after="60"/>
              <w:rPr>
                <w:rFonts w:cs="Arial"/>
              </w:rPr>
            </w:pPr>
            <w:r w:rsidRPr="001D6512">
              <w:rPr>
                <w:rFonts w:cs="Arial"/>
              </w:rPr>
              <w:t>Variable</w:t>
            </w:r>
          </w:p>
        </w:tc>
        <w:tc>
          <w:tcPr>
            <w:tcW w:w="3156" w:type="dxa"/>
            <w:vAlign w:val="center"/>
          </w:tcPr>
          <w:p w:rsidR="00A41BC2" w:rsidRPr="001D6512" w:rsidRDefault="00A41BC2" w:rsidP="00C7059C">
            <w:pPr>
              <w:pStyle w:val="TableCell"/>
              <w:spacing w:before="60" w:after="60"/>
              <w:rPr>
                <w:rFonts w:cs="Arial"/>
              </w:rPr>
            </w:pPr>
            <w:r w:rsidRPr="001D6512">
              <w:rPr>
                <w:rFonts w:cs="Arial"/>
              </w:rPr>
              <w:t>Nameplate data (AHRI or AHAM)</w:t>
            </w:r>
          </w:p>
        </w:tc>
        <w:tc>
          <w:tcPr>
            <w:tcW w:w="2727" w:type="dxa"/>
            <w:vAlign w:val="center"/>
          </w:tcPr>
          <w:p w:rsidR="00A41BC2" w:rsidRPr="001D6512" w:rsidRDefault="00A41BC2" w:rsidP="00C7059C">
            <w:pPr>
              <w:pStyle w:val="TableCell"/>
              <w:spacing w:before="60" w:after="60"/>
              <w:rPr>
                <w:rFonts w:cs="Arial"/>
              </w:rPr>
            </w:pPr>
            <w:r w:rsidRPr="001D6512">
              <w:rPr>
                <w:rFonts w:cs="Arial"/>
              </w:rPr>
              <w:t>EDC’s Data Gathering</w:t>
            </w:r>
          </w:p>
        </w:tc>
      </w:tr>
      <w:tr w:rsidR="00861542" w:rsidRPr="00877D9B" w:rsidTr="00352B77">
        <w:trPr>
          <w:trHeight w:val="317"/>
          <w:jc w:val="center"/>
        </w:trPr>
        <w:tc>
          <w:tcPr>
            <w:tcW w:w="1908" w:type="dxa"/>
            <w:vMerge w:val="restart"/>
            <w:vAlign w:val="center"/>
          </w:tcPr>
          <w:p w:rsidR="00861542" w:rsidRPr="001D6512" w:rsidRDefault="00861542" w:rsidP="00352B77">
            <w:pPr>
              <w:pStyle w:val="TableCell"/>
              <w:spacing w:before="60" w:after="60"/>
              <w:rPr>
                <w:rFonts w:cs="Arial"/>
              </w:rPr>
            </w:pPr>
            <w:r w:rsidRPr="001D6512">
              <w:rPr>
                <w:rFonts w:cs="Arial"/>
              </w:rPr>
              <w:t>HSPF</w:t>
            </w:r>
            <w:r w:rsidRPr="001D6512">
              <w:rPr>
                <w:rFonts w:cs="Arial"/>
                <w:vertAlign w:val="subscript"/>
              </w:rPr>
              <w:t>base</w:t>
            </w:r>
          </w:p>
        </w:tc>
        <w:tc>
          <w:tcPr>
            <w:tcW w:w="1065" w:type="dxa"/>
            <w:vMerge w:val="restart"/>
            <w:vAlign w:val="center"/>
          </w:tcPr>
          <w:p w:rsidR="00861542" w:rsidRPr="001D6512" w:rsidRDefault="00861542" w:rsidP="00352B77">
            <w:pPr>
              <w:pStyle w:val="TableCell"/>
              <w:spacing w:before="60" w:after="60"/>
              <w:rPr>
                <w:rFonts w:cs="Arial"/>
              </w:rPr>
            </w:pPr>
            <w:r w:rsidRPr="001D6512">
              <w:rPr>
                <w:rFonts w:cs="Arial"/>
              </w:rPr>
              <w:t>Variable</w:t>
            </w:r>
          </w:p>
        </w:tc>
        <w:tc>
          <w:tcPr>
            <w:tcW w:w="3156" w:type="dxa"/>
            <w:vAlign w:val="center"/>
          </w:tcPr>
          <w:p w:rsidR="00861542" w:rsidRPr="001D6512" w:rsidRDefault="00861542" w:rsidP="00352B77">
            <w:pPr>
              <w:pStyle w:val="TableCell"/>
              <w:spacing w:before="60" w:after="60"/>
              <w:rPr>
                <w:rFonts w:cs="Arial"/>
              </w:rPr>
            </w:pPr>
            <w:r w:rsidRPr="001D6512">
              <w:rPr>
                <w:rFonts w:cs="Arial"/>
              </w:rPr>
              <w:t>Early Replacement: Nameplate data</w:t>
            </w:r>
          </w:p>
        </w:tc>
        <w:tc>
          <w:tcPr>
            <w:tcW w:w="2727" w:type="dxa"/>
            <w:vAlign w:val="center"/>
          </w:tcPr>
          <w:p w:rsidR="00861542" w:rsidRPr="001D6512" w:rsidRDefault="00861542" w:rsidP="00352B77">
            <w:pPr>
              <w:pStyle w:val="TableCell"/>
              <w:spacing w:before="60" w:after="60"/>
              <w:rPr>
                <w:rFonts w:cs="Arial"/>
              </w:rPr>
            </w:pPr>
            <w:r w:rsidRPr="001D6512">
              <w:rPr>
                <w:rFonts w:cs="Arial"/>
              </w:rPr>
              <w:t>EDC’s Data Gathering</w:t>
            </w:r>
          </w:p>
        </w:tc>
      </w:tr>
      <w:tr w:rsidR="00861542" w:rsidRPr="00877D9B" w:rsidTr="00352B77">
        <w:trPr>
          <w:trHeight w:val="317"/>
          <w:jc w:val="center"/>
        </w:trPr>
        <w:tc>
          <w:tcPr>
            <w:tcW w:w="1908" w:type="dxa"/>
            <w:vMerge/>
            <w:vAlign w:val="center"/>
          </w:tcPr>
          <w:p w:rsidR="00861542" w:rsidRPr="001D6512" w:rsidRDefault="00861542" w:rsidP="00352B77">
            <w:pPr>
              <w:pStyle w:val="TableCell"/>
              <w:spacing w:before="60" w:after="60"/>
              <w:rPr>
                <w:rFonts w:cs="Arial"/>
              </w:rPr>
            </w:pPr>
          </w:p>
        </w:tc>
        <w:tc>
          <w:tcPr>
            <w:tcW w:w="1065" w:type="dxa"/>
            <w:vMerge/>
            <w:vAlign w:val="center"/>
          </w:tcPr>
          <w:p w:rsidR="00861542" w:rsidRPr="001D6512" w:rsidRDefault="00861542" w:rsidP="00352B77">
            <w:pPr>
              <w:pStyle w:val="TableCell"/>
              <w:spacing w:before="60" w:after="60"/>
              <w:rPr>
                <w:rFonts w:cs="Arial"/>
              </w:rPr>
            </w:pPr>
          </w:p>
        </w:tc>
        <w:tc>
          <w:tcPr>
            <w:tcW w:w="3156" w:type="dxa"/>
            <w:vAlign w:val="center"/>
          </w:tcPr>
          <w:p w:rsidR="00861542" w:rsidRPr="001D6512" w:rsidRDefault="00861542" w:rsidP="00352B77">
            <w:pPr>
              <w:pStyle w:val="TableCell"/>
              <w:spacing w:before="60" w:after="60"/>
              <w:rPr>
                <w:rFonts w:cs="Arial"/>
              </w:rPr>
            </w:pPr>
            <w:r w:rsidRPr="001D6512">
              <w:rPr>
                <w:rFonts w:cs="Arial"/>
              </w:rPr>
              <w:t xml:space="preserve">New Construction or Replace on Burnout: Default values from </w:t>
            </w:r>
            <w:r w:rsidR="00274AB1">
              <w:fldChar w:fldCharType="begin"/>
            </w:r>
            <w:r w:rsidR="00274AB1">
              <w:instrText xml:space="preserve"> REF _Ref275556733 \h  \* MERGEFORMAT </w:instrText>
            </w:r>
            <w:r w:rsidR="00274AB1">
              <w:fldChar w:fldCharType="separate"/>
            </w:r>
            <w:r w:rsidR="00C0292F" w:rsidRPr="00C0292F">
              <w:rPr>
                <w:rFonts w:cs="Arial"/>
              </w:rPr>
              <w:t xml:space="preserve">Table </w:t>
            </w:r>
            <w:r w:rsidR="00C0292F" w:rsidRPr="00C0292F">
              <w:rPr>
                <w:rFonts w:cs="Arial"/>
                <w:noProof/>
              </w:rPr>
              <w:t>3</w:t>
            </w:r>
            <w:r w:rsidR="00C0292F" w:rsidRPr="00C0292F">
              <w:rPr>
                <w:rFonts w:cs="Arial"/>
                <w:noProof/>
              </w:rPr>
              <w:noBreakHyphen/>
              <w:t>20</w:t>
            </w:r>
            <w:r w:rsidR="00274AB1">
              <w:fldChar w:fldCharType="end"/>
            </w:r>
          </w:p>
        </w:tc>
        <w:tc>
          <w:tcPr>
            <w:tcW w:w="2727" w:type="dxa"/>
            <w:vAlign w:val="center"/>
          </w:tcPr>
          <w:p w:rsidR="00861542" w:rsidRPr="001D6512" w:rsidRDefault="00861542" w:rsidP="00352B77">
            <w:pPr>
              <w:pStyle w:val="TableCell"/>
              <w:spacing w:before="60" w:after="60"/>
              <w:rPr>
                <w:rFonts w:cs="Arial"/>
              </w:rPr>
            </w:pPr>
            <w:r w:rsidRPr="001D6512">
              <w:rPr>
                <w:rFonts w:cs="Arial"/>
              </w:rPr>
              <w:t xml:space="preserve">See </w:t>
            </w:r>
            <w:r w:rsidR="00274AB1">
              <w:fldChar w:fldCharType="begin"/>
            </w:r>
            <w:r w:rsidR="00274AB1">
              <w:instrText xml:space="preserve"> REF _Ref275556733 \h  \* MERGEFORMAT </w:instrText>
            </w:r>
            <w:r w:rsidR="00274AB1">
              <w:fldChar w:fldCharType="separate"/>
            </w:r>
            <w:r w:rsidR="00C0292F" w:rsidRPr="00C0292F">
              <w:rPr>
                <w:rFonts w:cs="Arial"/>
              </w:rPr>
              <w:t xml:space="preserve">Table </w:t>
            </w:r>
            <w:r w:rsidR="00C0292F" w:rsidRPr="00C0292F">
              <w:rPr>
                <w:rFonts w:cs="Arial"/>
                <w:noProof/>
              </w:rPr>
              <w:t>3</w:t>
            </w:r>
            <w:r w:rsidR="00C0292F" w:rsidRPr="00C0292F">
              <w:rPr>
                <w:rFonts w:cs="Arial"/>
                <w:noProof/>
              </w:rPr>
              <w:noBreakHyphen/>
              <w:t>20</w:t>
            </w:r>
            <w:r w:rsidR="00274AB1">
              <w:fldChar w:fldCharType="end"/>
            </w:r>
          </w:p>
        </w:tc>
      </w:tr>
      <w:tr w:rsidR="00861542" w:rsidRPr="00877D9B" w:rsidTr="00C7059C">
        <w:trPr>
          <w:trHeight w:val="317"/>
          <w:jc w:val="center"/>
        </w:trPr>
        <w:tc>
          <w:tcPr>
            <w:tcW w:w="1908" w:type="dxa"/>
            <w:vAlign w:val="center"/>
          </w:tcPr>
          <w:p w:rsidR="00861542" w:rsidRPr="001D6512" w:rsidRDefault="00861542" w:rsidP="00C7059C">
            <w:pPr>
              <w:pStyle w:val="TableCell"/>
              <w:spacing w:before="60" w:after="60"/>
              <w:rPr>
                <w:rFonts w:cs="Arial"/>
              </w:rPr>
            </w:pPr>
            <w:r w:rsidRPr="001D6512">
              <w:rPr>
                <w:rFonts w:cs="Arial"/>
              </w:rPr>
              <w:t>HSPF</w:t>
            </w:r>
            <w:r w:rsidRPr="001D6512">
              <w:rPr>
                <w:rFonts w:cs="Arial"/>
                <w:vertAlign w:val="subscript"/>
              </w:rPr>
              <w:t>ee</w:t>
            </w:r>
          </w:p>
        </w:tc>
        <w:tc>
          <w:tcPr>
            <w:tcW w:w="1065" w:type="dxa"/>
            <w:vAlign w:val="center"/>
          </w:tcPr>
          <w:p w:rsidR="00861542" w:rsidRPr="001D6512" w:rsidRDefault="00861542" w:rsidP="00C7059C">
            <w:pPr>
              <w:pStyle w:val="TableCell"/>
              <w:spacing w:before="60" w:after="60"/>
              <w:rPr>
                <w:rFonts w:cs="Arial"/>
              </w:rPr>
            </w:pPr>
            <w:r w:rsidRPr="001D6512">
              <w:rPr>
                <w:rFonts w:cs="Arial"/>
              </w:rPr>
              <w:t>Variable</w:t>
            </w:r>
          </w:p>
        </w:tc>
        <w:tc>
          <w:tcPr>
            <w:tcW w:w="3156" w:type="dxa"/>
            <w:vAlign w:val="center"/>
          </w:tcPr>
          <w:p w:rsidR="00861542" w:rsidRPr="001D6512" w:rsidRDefault="00861542" w:rsidP="00C7059C">
            <w:pPr>
              <w:pStyle w:val="TableCell"/>
              <w:spacing w:before="60" w:after="60"/>
              <w:rPr>
                <w:rFonts w:cs="Arial"/>
              </w:rPr>
            </w:pPr>
            <w:r w:rsidRPr="001D6512">
              <w:rPr>
                <w:rFonts w:cs="Arial"/>
              </w:rPr>
              <w:t>Nameplate data (AHRI or AHAM)</w:t>
            </w:r>
          </w:p>
        </w:tc>
        <w:tc>
          <w:tcPr>
            <w:tcW w:w="2727" w:type="dxa"/>
            <w:vAlign w:val="center"/>
          </w:tcPr>
          <w:p w:rsidR="00861542" w:rsidRPr="001D6512" w:rsidRDefault="00861542" w:rsidP="00C7059C">
            <w:pPr>
              <w:pStyle w:val="TableCell"/>
              <w:spacing w:before="60" w:after="60"/>
              <w:rPr>
                <w:rFonts w:cs="Arial"/>
              </w:rPr>
            </w:pPr>
            <w:r w:rsidRPr="001D6512">
              <w:rPr>
                <w:rFonts w:cs="Arial"/>
              </w:rPr>
              <w:t>EDC’s Data Gathering</w:t>
            </w:r>
          </w:p>
        </w:tc>
      </w:tr>
      <w:tr w:rsidR="00861542" w:rsidRPr="00530167" w:rsidTr="00530167">
        <w:trPr>
          <w:trHeight w:val="317"/>
          <w:jc w:val="center"/>
        </w:trPr>
        <w:tc>
          <w:tcPr>
            <w:tcW w:w="1908" w:type="dxa"/>
            <w:vAlign w:val="center"/>
          </w:tcPr>
          <w:p w:rsidR="00861542" w:rsidRPr="001D6512" w:rsidRDefault="00861542" w:rsidP="00C3606E">
            <w:pPr>
              <w:pStyle w:val="TableCell"/>
              <w:spacing w:before="60" w:after="60"/>
              <w:rPr>
                <w:rFonts w:cs="Arial"/>
              </w:rPr>
            </w:pPr>
            <w:r w:rsidRPr="001D6512">
              <w:rPr>
                <w:rFonts w:cs="Arial"/>
              </w:rPr>
              <w:t>CF</w:t>
            </w:r>
          </w:p>
        </w:tc>
        <w:tc>
          <w:tcPr>
            <w:tcW w:w="1065" w:type="dxa"/>
            <w:vAlign w:val="center"/>
          </w:tcPr>
          <w:p w:rsidR="00861542" w:rsidRPr="001D6512" w:rsidRDefault="00861542" w:rsidP="00C3606E">
            <w:pPr>
              <w:pStyle w:val="TableCell"/>
              <w:spacing w:before="60" w:after="60"/>
              <w:rPr>
                <w:rFonts w:cs="Arial"/>
              </w:rPr>
            </w:pPr>
            <w:r w:rsidRPr="001D6512">
              <w:rPr>
                <w:rFonts w:cs="Arial"/>
              </w:rPr>
              <w:t>Fixed</w:t>
            </w:r>
          </w:p>
        </w:tc>
        <w:tc>
          <w:tcPr>
            <w:tcW w:w="3156" w:type="dxa"/>
            <w:vAlign w:val="center"/>
          </w:tcPr>
          <w:p w:rsidR="00861542" w:rsidRPr="001D6512" w:rsidRDefault="00FF69CD" w:rsidP="00C3606E">
            <w:pPr>
              <w:pStyle w:val="TableCell"/>
              <w:spacing w:before="60" w:after="60"/>
              <w:rPr>
                <w:rFonts w:cs="Arial"/>
              </w:rPr>
            </w:pPr>
            <w:r w:rsidRPr="001D6512">
              <w:rPr>
                <w:rFonts w:cs="Arial"/>
              </w:rPr>
              <w:t>80%</w:t>
            </w:r>
          </w:p>
        </w:tc>
        <w:tc>
          <w:tcPr>
            <w:tcW w:w="2727" w:type="dxa"/>
            <w:vAlign w:val="center"/>
          </w:tcPr>
          <w:p w:rsidR="00861542" w:rsidRPr="001D6512" w:rsidRDefault="00FF69CD" w:rsidP="00C3606E">
            <w:pPr>
              <w:pStyle w:val="TableCell"/>
              <w:spacing w:before="60" w:after="60"/>
              <w:rPr>
                <w:rFonts w:cs="Arial"/>
              </w:rPr>
            </w:pPr>
            <w:r w:rsidRPr="001D6512">
              <w:rPr>
                <w:rFonts w:cs="Arial"/>
              </w:rPr>
              <w:t>2</w:t>
            </w:r>
          </w:p>
        </w:tc>
      </w:tr>
      <w:tr w:rsidR="00861542" w:rsidRPr="00530167" w:rsidTr="00530167">
        <w:trPr>
          <w:trHeight w:val="317"/>
          <w:jc w:val="center"/>
        </w:trPr>
        <w:tc>
          <w:tcPr>
            <w:tcW w:w="1908" w:type="dxa"/>
            <w:vMerge w:val="restart"/>
            <w:vAlign w:val="center"/>
          </w:tcPr>
          <w:p w:rsidR="00861542" w:rsidRPr="001D6512" w:rsidRDefault="00861542" w:rsidP="00C3606E">
            <w:pPr>
              <w:pStyle w:val="TableCell"/>
              <w:spacing w:before="60" w:after="60"/>
              <w:rPr>
                <w:rFonts w:cs="Arial"/>
              </w:rPr>
            </w:pPr>
            <w:r w:rsidRPr="001D6512">
              <w:rPr>
                <w:rFonts w:cs="Arial"/>
              </w:rPr>
              <w:t>EFLH</w:t>
            </w:r>
            <w:r w:rsidRPr="001D6512">
              <w:rPr>
                <w:rFonts w:cs="Arial"/>
                <w:vertAlign w:val="subscript"/>
              </w:rPr>
              <w:t>cool</w:t>
            </w:r>
          </w:p>
        </w:tc>
        <w:tc>
          <w:tcPr>
            <w:tcW w:w="1065" w:type="dxa"/>
            <w:vMerge w:val="restart"/>
            <w:vAlign w:val="center"/>
          </w:tcPr>
          <w:p w:rsidR="00861542" w:rsidRPr="001D6512" w:rsidRDefault="00861542" w:rsidP="00C3606E">
            <w:pPr>
              <w:pStyle w:val="TableCell"/>
              <w:spacing w:before="60" w:after="60"/>
              <w:rPr>
                <w:rFonts w:cs="Arial"/>
              </w:rPr>
            </w:pPr>
            <w:r w:rsidRPr="001D6512">
              <w:rPr>
                <w:rFonts w:cs="Arial"/>
              </w:rPr>
              <w:t>Variable</w:t>
            </w:r>
          </w:p>
        </w:tc>
        <w:tc>
          <w:tcPr>
            <w:tcW w:w="3156" w:type="dxa"/>
            <w:vAlign w:val="center"/>
          </w:tcPr>
          <w:p w:rsidR="00861542" w:rsidRPr="001D6512" w:rsidRDefault="00861542" w:rsidP="00C3606E">
            <w:pPr>
              <w:pStyle w:val="TableCell"/>
              <w:spacing w:before="60" w:after="60"/>
              <w:rPr>
                <w:rFonts w:cs="Arial"/>
              </w:rPr>
            </w:pPr>
            <w:r w:rsidRPr="001D6512">
              <w:rPr>
                <w:rFonts w:cs="Arial"/>
              </w:rPr>
              <w:t>Based on Logging or Modeling</w:t>
            </w:r>
          </w:p>
        </w:tc>
        <w:tc>
          <w:tcPr>
            <w:tcW w:w="2727" w:type="dxa"/>
            <w:vAlign w:val="center"/>
          </w:tcPr>
          <w:p w:rsidR="00861542" w:rsidRPr="001D6512" w:rsidRDefault="00861542" w:rsidP="00C3606E">
            <w:pPr>
              <w:pStyle w:val="TableCell"/>
              <w:spacing w:before="60" w:after="60"/>
              <w:rPr>
                <w:rFonts w:cs="Arial"/>
              </w:rPr>
            </w:pPr>
            <w:r w:rsidRPr="001D6512">
              <w:rPr>
                <w:rFonts w:cs="Arial"/>
              </w:rPr>
              <w:t>EDC’s Data Gathering</w:t>
            </w:r>
            <w:r w:rsidRPr="001D6512" w:rsidDel="007012A0">
              <w:rPr>
                <w:rFonts w:cs="Arial"/>
              </w:rPr>
              <w:t xml:space="preserve"> </w:t>
            </w:r>
          </w:p>
        </w:tc>
      </w:tr>
      <w:tr w:rsidR="00861542" w:rsidRPr="00530167" w:rsidTr="001D7420">
        <w:trPr>
          <w:trHeight w:val="317"/>
          <w:jc w:val="center"/>
        </w:trPr>
        <w:tc>
          <w:tcPr>
            <w:tcW w:w="1908" w:type="dxa"/>
            <w:vMerge/>
            <w:tcBorders>
              <w:bottom w:val="single" w:sz="4" w:space="0" w:color="auto"/>
            </w:tcBorders>
            <w:vAlign w:val="center"/>
          </w:tcPr>
          <w:p w:rsidR="00861542" w:rsidRPr="001D6512" w:rsidRDefault="00861542" w:rsidP="00C3606E">
            <w:pPr>
              <w:pStyle w:val="TableCell"/>
              <w:spacing w:before="60" w:after="60"/>
              <w:rPr>
                <w:rFonts w:cs="Arial"/>
              </w:rPr>
            </w:pPr>
          </w:p>
        </w:tc>
        <w:tc>
          <w:tcPr>
            <w:tcW w:w="1065" w:type="dxa"/>
            <w:vMerge/>
            <w:tcBorders>
              <w:bottom w:val="single" w:sz="4" w:space="0" w:color="auto"/>
            </w:tcBorders>
            <w:vAlign w:val="center"/>
          </w:tcPr>
          <w:p w:rsidR="00861542" w:rsidRPr="001D6512" w:rsidRDefault="00861542" w:rsidP="00C3606E">
            <w:pPr>
              <w:pStyle w:val="TableCell"/>
              <w:spacing w:before="60" w:after="60"/>
              <w:rPr>
                <w:rFonts w:cs="Arial"/>
              </w:rPr>
            </w:pPr>
          </w:p>
        </w:tc>
        <w:tc>
          <w:tcPr>
            <w:tcW w:w="3156" w:type="dxa"/>
            <w:tcBorders>
              <w:bottom w:val="single" w:sz="4" w:space="0" w:color="auto"/>
            </w:tcBorders>
            <w:vAlign w:val="center"/>
          </w:tcPr>
          <w:p w:rsidR="00861542" w:rsidRPr="001D6512" w:rsidRDefault="00861542" w:rsidP="008075FC">
            <w:pPr>
              <w:pStyle w:val="TableCell"/>
              <w:spacing w:before="60" w:after="60"/>
              <w:rPr>
                <w:rFonts w:cs="Arial"/>
              </w:rPr>
            </w:pPr>
            <w:r w:rsidRPr="001D6512">
              <w:rPr>
                <w:rFonts w:cs="Arial"/>
              </w:rPr>
              <w:t xml:space="preserve">Default values from </w:t>
            </w:r>
            <w:r w:rsidR="00274AB1">
              <w:fldChar w:fldCharType="begin"/>
            </w:r>
            <w:r w:rsidR="00274AB1">
              <w:instrText xml:space="preserve"> REF _Ref275556730 \h  \* MERGEFORMAT </w:instrText>
            </w:r>
            <w:r w:rsidR="00274AB1">
              <w:fldChar w:fldCharType="separate"/>
            </w:r>
            <w:r w:rsidR="00C0292F" w:rsidRPr="00C0292F">
              <w:rPr>
                <w:rFonts w:cs="Arial"/>
              </w:rPr>
              <w:t xml:space="preserve">Table </w:t>
            </w:r>
            <w:r w:rsidR="00C0292F" w:rsidRPr="00C0292F">
              <w:rPr>
                <w:rFonts w:cs="Arial"/>
                <w:noProof/>
              </w:rPr>
              <w:t>3</w:t>
            </w:r>
            <w:r w:rsidR="00C0292F" w:rsidRPr="00C0292F">
              <w:rPr>
                <w:rFonts w:cs="Arial"/>
                <w:noProof/>
              </w:rPr>
              <w:noBreakHyphen/>
              <w:t>21</w:t>
            </w:r>
            <w:r w:rsidR="00274AB1">
              <w:fldChar w:fldCharType="end"/>
            </w:r>
            <w:r w:rsidRPr="001D6512">
              <w:rPr>
                <w:rFonts w:cs="Arial"/>
              </w:rPr>
              <w:t xml:space="preserve"> </w:t>
            </w:r>
          </w:p>
        </w:tc>
        <w:tc>
          <w:tcPr>
            <w:tcW w:w="2727" w:type="dxa"/>
            <w:tcBorders>
              <w:bottom w:val="single" w:sz="4" w:space="0" w:color="auto"/>
            </w:tcBorders>
            <w:vAlign w:val="center"/>
          </w:tcPr>
          <w:p w:rsidR="00861542" w:rsidRPr="001D6512" w:rsidRDefault="00861542" w:rsidP="008075FC">
            <w:pPr>
              <w:pStyle w:val="TableCell"/>
              <w:spacing w:before="60" w:after="60"/>
              <w:rPr>
                <w:rFonts w:cs="Arial"/>
              </w:rPr>
            </w:pPr>
            <w:r w:rsidRPr="001D6512">
              <w:rPr>
                <w:rFonts w:cs="Arial"/>
              </w:rPr>
              <w:t xml:space="preserve">See </w:t>
            </w:r>
            <w:r w:rsidR="00274AB1">
              <w:fldChar w:fldCharType="begin"/>
            </w:r>
            <w:r w:rsidR="00274AB1">
              <w:instrText xml:space="preserve"> REF _Ref275556730 \h  \* MERGEFORMAT </w:instrText>
            </w:r>
            <w:r w:rsidR="00274AB1">
              <w:fldChar w:fldCharType="separate"/>
            </w:r>
            <w:r w:rsidR="00C0292F" w:rsidRPr="00C0292F">
              <w:rPr>
                <w:rFonts w:cs="Arial"/>
              </w:rPr>
              <w:t xml:space="preserve">Table </w:t>
            </w:r>
            <w:r w:rsidR="00C0292F" w:rsidRPr="00C0292F">
              <w:rPr>
                <w:rFonts w:cs="Arial"/>
                <w:noProof/>
              </w:rPr>
              <w:t>3</w:t>
            </w:r>
            <w:r w:rsidR="00C0292F" w:rsidRPr="00C0292F">
              <w:rPr>
                <w:rFonts w:cs="Arial"/>
                <w:noProof/>
              </w:rPr>
              <w:noBreakHyphen/>
              <w:t>21</w:t>
            </w:r>
            <w:r w:rsidR="00274AB1">
              <w:fldChar w:fldCharType="end"/>
            </w:r>
            <w:r w:rsidRPr="001D6512">
              <w:rPr>
                <w:rFonts w:cs="Arial"/>
              </w:rPr>
              <w:t xml:space="preserve"> </w:t>
            </w:r>
          </w:p>
        </w:tc>
      </w:tr>
      <w:tr w:rsidR="00861542" w:rsidRPr="00530167" w:rsidTr="00530167">
        <w:trPr>
          <w:trHeight w:val="317"/>
          <w:jc w:val="center"/>
        </w:trPr>
        <w:tc>
          <w:tcPr>
            <w:tcW w:w="1908" w:type="dxa"/>
            <w:vMerge w:val="restart"/>
            <w:vAlign w:val="center"/>
          </w:tcPr>
          <w:p w:rsidR="00861542" w:rsidRPr="001D6512" w:rsidRDefault="00861542" w:rsidP="00C3606E">
            <w:pPr>
              <w:pStyle w:val="TableCell"/>
              <w:spacing w:before="60" w:after="60"/>
              <w:rPr>
                <w:rFonts w:cs="Arial"/>
              </w:rPr>
            </w:pPr>
            <w:r w:rsidRPr="001D6512">
              <w:rPr>
                <w:rFonts w:cs="Arial"/>
              </w:rPr>
              <w:t>EFLH</w:t>
            </w:r>
            <w:r w:rsidRPr="001D6512">
              <w:rPr>
                <w:rFonts w:cs="Arial"/>
                <w:vertAlign w:val="subscript"/>
              </w:rPr>
              <w:t>heat</w:t>
            </w:r>
          </w:p>
        </w:tc>
        <w:tc>
          <w:tcPr>
            <w:tcW w:w="1065" w:type="dxa"/>
            <w:vMerge w:val="restart"/>
            <w:vAlign w:val="center"/>
          </w:tcPr>
          <w:p w:rsidR="00861542" w:rsidRPr="001D6512" w:rsidRDefault="00861542" w:rsidP="00C3606E">
            <w:pPr>
              <w:pStyle w:val="TableCell"/>
              <w:spacing w:before="60" w:after="60"/>
              <w:rPr>
                <w:rFonts w:cs="Arial"/>
              </w:rPr>
            </w:pPr>
            <w:r w:rsidRPr="001D6512">
              <w:rPr>
                <w:rFonts w:cs="Arial"/>
              </w:rPr>
              <w:t>Variable</w:t>
            </w:r>
          </w:p>
        </w:tc>
        <w:tc>
          <w:tcPr>
            <w:tcW w:w="3156" w:type="dxa"/>
            <w:vAlign w:val="center"/>
          </w:tcPr>
          <w:p w:rsidR="00861542" w:rsidRPr="001D6512" w:rsidRDefault="00861542" w:rsidP="00C3606E">
            <w:pPr>
              <w:pStyle w:val="TableCell"/>
              <w:spacing w:before="60" w:after="60"/>
              <w:rPr>
                <w:rFonts w:cs="Arial"/>
              </w:rPr>
            </w:pPr>
            <w:r w:rsidRPr="001D6512">
              <w:rPr>
                <w:rFonts w:cs="Arial"/>
              </w:rPr>
              <w:t>Based on Logging or Modeling</w:t>
            </w:r>
          </w:p>
        </w:tc>
        <w:tc>
          <w:tcPr>
            <w:tcW w:w="2727" w:type="dxa"/>
            <w:vAlign w:val="center"/>
          </w:tcPr>
          <w:p w:rsidR="00861542" w:rsidRPr="001D6512" w:rsidRDefault="00861542" w:rsidP="00C3606E">
            <w:pPr>
              <w:pStyle w:val="TableCell"/>
              <w:spacing w:before="60" w:after="60"/>
              <w:rPr>
                <w:rFonts w:cs="Arial"/>
              </w:rPr>
            </w:pPr>
            <w:r w:rsidRPr="001D6512">
              <w:rPr>
                <w:rFonts w:cs="Arial"/>
              </w:rPr>
              <w:t>EDC’s Data Gathering</w:t>
            </w:r>
          </w:p>
        </w:tc>
      </w:tr>
      <w:tr w:rsidR="00861542" w:rsidRPr="00530167" w:rsidTr="00530167">
        <w:trPr>
          <w:trHeight w:val="317"/>
          <w:jc w:val="center"/>
        </w:trPr>
        <w:tc>
          <w:tcPr>
            <w:tcW w:w="1908" w:type="dxa"/>
            <w:vMerge/>
            <w:vAlign w:val="center"/>
          </w:tcPr>
          <w:p w:rsidR="00861542" w:rsidRPr="001D6512" w:rsidRDefault="00861542" w:rsidP="00C3606E">
            <w:pPr>
              <w:pStyle w:val="TableCell"/>
              <w:spacing w:before="60" w:after="60"/>
              <w:rPr>
                <w:rFonts w:cs="Arial"/>
              </w:rPr>
            </w:pPr>
          </w:p>
        </w:tc>
        <w:tc>
          <w:tcPr>
            <w:tcW w:w="1065" w:type="dxa"/>
            <w:vMerge/>
            <w:vAlign w:val="center"/>
          </w:tcPr>
          <w:p w:rsidR="00861542" w:rsidRPr="001D6512" w:rsidRDefault="00861542" w:rsidP="00C3606E">
            <w:pPr>
              <w:pStyle w:val="TableCell"/>
              <w:spacing w:before="60" w:after="60"/>
              <w:rPr>
                <w:rFonts w:cs="Arial"/>
              </w:rPr>
            </w:pPr>
          </w:p>
        </w:tc>
        <w:tc>
          <w:tcPr>
            <w:tcW w:w="3156" w:type="dxa"/>
            <w:vAlign w:val="center"/>
          </w:tcPr>
          <w:p w:rsidR="00861542" w:rsidRPr="001D6512" w:rsidRDefault="00861542" w:rsidP="008075FC">
            <w:pPr>
              <w:pStyle w:val="TableCell"/>
              <w:spacing w:before="60" w:after="60"/>
              <w:rPr>
                <w:rFonts w:cs="Arial"/>
              </w:rPr>
            </w:pPr>
            <w:r w:rsidRPr="001D6512">
              <w:rPr>
                <w:rFonts w:cs="Arial"/>
              </w:rPr>
              <w:t xml:space="preserve">Default values from </w:t>
            </w:r>
            <w:r w:rsidR="00274AB1">
              <w:fldChar w:fldCharType="begin"/>
            </w:r>
            <w:r w:rsidR="00274AB1">
              <w:instrText xml:space="preserve"> REF _Ref275556731 \h  \* MERGEFORMAT </w:instrText>
            </w:r>
            <w:r w:rsidR="00274AB1">
              <w:fldChar w:fldCharType="separate"/>
            </w:r>
            <w:r w:rsidR="00C0292F" w:rsidRPr="00C0292F">
              <w:rPr>
                <w:rFonts w:cs="Arial"/>
              </w:rPr>
              <w:t xml:space="preserve">Table </w:t>
            </w:r>
            <w:r w:rsidR="00C0292F" w:rsidRPr="00C0292F">
              <w:rPr>
                <w:rFonts w:cs="Arial"/>
                <w:noProof/>
              </w:rPr>
              <w:t>3</w:t>
            </w:r>
            <w:r w:rsidR="00C0292F" w:rsidRPr="00C0292F">
              <w:rPr>
                <w:rFonts w:cs="Arial"/>
                <w:noProof/>
              </w:rPr>
              <w:noBreakHyphen/>
              <w:t>22</w:t>
            </w:r>
            <w:r w:rsidR="00274AB1">
              <w:fldChar w:fldCharType="end"/>
            </w:r>
          </w:p>
        </w:tc>
        <w:tc>
          <w:tcPr>
            <w:tcW w:w="2727" w:type="dxa"/>
            <w:vAlign w:val="center"/>
          </w:tcPr>
          <w:p w:rsidR="00861542" w:rsidRPr="001D6512" w:rsidRDefault="00861542" w:rsidP="008075FC">
            <w:pPr>
              <w:pStyle w:val="TableCell"/>
              <w:spacing w:before="60" w:after="60"/>
              <w:rPr>
                <w:rFonts w:cs="Arial"/>
              </w:rPr>
            </w:pPr>
            <w:r w:rsidRPr="001D6512">
              <w:rPr>
                <w:rFonts w:cs="Arial"/>
              </w:rPr>
              <w:t xml:space="preserve">See </w:t>
            </w:r>
            <w:r w:rsidR="00274AB1">
              <w:fldChar w:fldCharType="begin"/>
            </w:r>
            <w:r w:rsidR="00274AB1">
              <w:instrText xml:space="preserve"> REF _Ref275556731 \h  \* MERGEFORMAT </w:instrText>
            </w:r>
            <w:r w:rsidR="00274AB1">
              <w:fldChar w:fldCharType="separate"/>
            </w:r>
            <w:r w:rsidR="00C0292F" w:rsidRPr="00C0292F">
              <w:rPr>
                <w:rFonts w:cs="Arial"/>
              </w:rPr>
              <w:t xml:space="preserve">Table </w:t>
            </w:r>
            <w:r w:rsidR="00C0292F" w:rsidRPr="00C0292F">
              <w:rPr>
                <w:rFonts w:cs="Arial"/>
                <w:noProof/>
              </w:rPr>
              <w:t>3</w:t>
            </w:r>
            <w:r w:rsidR="00C0292F" w:rsidRPr="00C0292F">
              <w:rPr>
                <w:rFonts w:cs="Arial"/>
                <w:noProof/>
              </w:rPr>
              <w:noBreakHyphen/>
              <w:t>22</w:t>
            </w:r>
            <w:r w:rsidR="00274AB1">
              <w:fldChar w:fldCharType="end"/>
            </w:r>
          </w:p>
        </w:tc>
      </w:tr>
    </w:tbl>
    <w:p w:rsidR="00A22E85" w:rsidRDefault="00A22E85" w:rsidP="00896814"/>
    <w:p w:rsidR="00A22E85" w:rsidRPr="00BC5194" w:rsidRDefault="00A22E85" w:rsidP="00B20F6B">
      <w:pPr>
        <w:rPr>
          <w:b/>
        </w:rPr>
      </w:pPr>
      <w:r w:rsidRPr="00BC5194">
        <w:rPr>
          <w:b/>
        </w:rPr>
        <w:t>Sources:</w:t>
      </w:r>
    </w:p>
    <w:p w:rsidR="00A22E85" w:rsidRDefault="00A22E85" w:rsidP="00173C8E">
      <w:pPr>
        <w:numPr>
          <w:ilvl w:val="0"/>
          <w:numId w:val="3"/>
        </w:numPr>
      </w:pPr>
      <w:r w:rsidRPr="00E75089">
        <w:t xml:space="preserve">US Department of Energy.  </w:t>
      </w:r>
      <w:r w:rsidR="00325EF4">
        <w:t>ENERGY STAR</w:t>
      </w:r>
      <w:r w:rsidRPr="00E75089">
        <w:t xml:space="preserve"> Calculator and Bin Analysis Models</w:t>
      </w:r>
    </w:p>
    <w:p w:rsidR="00FF69CD" w:rsidRDefault="00FF69CD" w:rsidP="00173C8E">
      <w:pPr>
        <w:numPr>
          <w:ilvl w:val="0"/>
          <w:numId w:val="3"/>
        </w:numPr>
      </w:pPr>
      <w:r>
        <w:t xml:space="preserve">Average based on </w:t>
      </w:r>
      <w:r w:rsidR="00412363">
        <w:t>coincidence factors</w:t>
      </w:r>
      <w:r>
        <w:t xml:space="preserve"> from Ohio, New Jersey, Mid-Atlantic, Massachusetts, Connecticut, Illinois, New York, CEE and Minnesota. (74%, 67%, 81%, 94%, 82%, 72%, 100%, </w:t>
      </w:r>
      <w:r w:rsidR="00412363">
        <w:t>70% and</w:t>
      </w:r>
      <w:r>
        <w:t xml:space="preserve"> 76%</w:t>
      </w:r>
      <w:r w:rsidR="00412363">
        <w:t xml:space="preserve"> respectively</w:t>
      </w:r>
      <w:r>
        <w:t>)</w:t>
      </w:r>
    </w:p>
    <w:p w:rsidR="007E213C" w:rsidRDefault="007E213C" w:rsidP="00B20F6B">
      <w:pPr>
        <w:pStyle w:val="Caption"/>
      </w:pPr>
      <w:bookmarkStart w:id="746" w:name="_Ref275556733"/>
      <w:bookmarkStart w:id="747" w:name="_Toc310875572"/>
      <w:r>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20</w:t>
      </w:r>
      <w:r w:rsidR="00274AB1">
        <w:rPr>
          <w:noProof/>
        </w:rPr>
        <w:fldChar w:fldCharType="end"/>
      </w:r>
      <w:bookmarkEnd w:id="746"/>
      <w:r>
        <w:t>: HVAC Baseline Efficiencies</w:t>
      </w:r>
      <w:r>
        <w:rPr>
          <w:rStyle w:val="FootnoteReference"/>
        </w:rPr>
        <w:footnoteReference w:id="163"/>
      </w:r>
      <w:bookmarkEnd w:id="747"/>
    </w:p>
    <w:tbl>
      <w:tblPr>
        <w:tblW w:w="5000" w:type="pct"/>
        <w:jc w:val="center"/>
        <w:tblLook w:val="00A0" w:firstRow="1" w:lastRow="0" w:firstColumn="1" w:lastColumn="0" w:noHBand="0" w:noVBand="0"/>
      </w:tblPr>
      <w:tblGrid>
        <w:gridCol w:w="4518"/>
        <w:gridCol w:w="2170"/>
        <w:gridCol w:w="2168"/>
      </w:tblGrid>
      <w:tr w:rsidR="00FE4B48" w:rsidRPr="00064E44" w:rsidTr="008075FC">
        <w:trPr>
          <w:trHeight w:val="20"/>
          <w:tblHeader/>
          <w:jc w:val="center"/>
        </w:trPr>
        <w:tc>
          <w:tcPr>
            <w:tcW w:w="2551" w:type="pct"/>
            <w:tcBorders>
              <w:top w:val="single" w:sz="8" w:space="0" w:color="auto"/>
              <w:left w:val="single" w:sz="8" w:space="0" w:color="auto"/>
              <w:bottom w:val="single" w:sz="8" w:space="0" w:color="auto"/>
              <w:right w:val="single" w:sz="8" w:space="0" w:color="000000"/>
            </w:tcBorders>
            <w:shd w:val="clear" w:color="000000" w:fill="BFBFBF"/>
            <w:vAlign w:val="center"/>
          </w:tcPr>
          <w:p w:rsidR="00FE4B48" w:rsidRPr="001D6512" w:rsidRDefault="00FE4B48" w:rsidP="008075FC">
            <w:pPr>
              <w:pStyle w:val="TableCell"/>
              <w:spacing w:before="60" w:after="60"/>
              <w:jc w:val="center"/>
              <w:rPr>
                <w:rFonts w:cs="Arial"/>
                <w:b/>
                <w:szCs w:val="18"/>
              </w:rPr>
            </w:pPr>
            <w:r w:rsidRPr="001D6512">
              <w:rPr>
                <w:rFonts w:cs="Arial"/>
                <w:b/>
                <w:szCs w:val="18"/>
              </w:rPr>
              <w:t>Equipment Type and Capacity</w:t>
            </w:r>
          </w:p>
        </w:tc>
        <w:tc>
          <w:tcPr>
            <w:tcW w:w="1225" w:type="pct"/>
            <w:tcBorders>
              <w:top w:val="single" w:sz="8" w:space="0" w:color="auto"/>
              <w:left w:val="nil"/>
              <w:bottom w:val="single" w:sz="8" w:space="0" w:color="auto"/>
              <w:right w:val="single" w:sz="8" w:space="0" w:color="auto"/>
            </w:tcBorders>
            <w:shd w:val="clear" w:color="000000" w:fill="BFBFBF"/>
            <w:vAlign w:val="center"/>
          </w:tcPr>
          <w:p w:rsidR="00FE4B48" w:rsidRPr="001D6512" w:rsidRDefault="00FE4B48" w:rsidP="008075FC">
            <w:pPr>
              <w:pStyle w:val="TableCell"/>
              <w:spacing w:before="60" w:after="60"/>
              <w:jc w:val="center"/>
              <w:rPr>
                <w:rFonts w:cs="Arial"/>
                <w:b/>
                <w:szCs w:val="18"/>
              </w:rPr>
            </w:pPr>
            <w:r w:rsidRPr="001D6512">
              <w:rPr>
                <w:rFonts w:cs="Arial"/>
                <w:b/>
                <w:szCs w:val="18"/>
              </w:rPr>
              <w:t>Cooling Baseline</w:t>
            </w:r>
          </w:p>
        </w:tc>
        <w:tc>
          <w:tcPr>
            <w:tcW w:w="1224" w:type="pct"/>
            <w:tcBorders>
              <w:top w:val="single" w:sz="8" w:space="0" w:color="auto"/>
              <w:left w:val="nil"/>
              <w:bottom w:val="single" w:sz="8" w:space="0" w:color="auto"/>
              <w:right w:val="single" w:sz="8" w:space="0" w:color="auto"/>
            </w:tcBorders>
            <w:shd w:val="clear" w:color="000000" w:fill="BFBFBF"/>
            <w:vAlign w:val="center"/>
          </w:tcPr>
          <w:p w:rsidR="00FE4B48" w:rsidRPr="001D6512" w:rsidRDefault="00FE4B48" w:rsidP="008075FC">
            <w:pPr>
              <w:pStyle w:val="TableCell"/>
              <w:spacing w:before="60" w:after="60"/>
              <w:jc w:val="center"/>
              <w:rPr>
                <w:rFonts w:cs="Arial"/>
                <w:b/>
                <w:szCs w:val="18"/>
              </w:rPr>
            </w:pPr>
            <w:r w:rsidRPr="001D6512">
              <w:rPr>
                <w:rFonts w:cs="Arial"/>
                <w:b/>
                <w:szCs w:val="18"/>
              </w:rPr>
              <w:t>Heating Baseline</w:t>
            </w:r>
          </w:p>
        </w:tc>
      </w:tr>
      <w:tr w:rsidR="008075FC" w:rsidRPr="00064E44" w:rsidTr="008075FC">
        <w:trPr>
          <w:trHeight w:val="20"/>
          <w:jc w:val="center"/>
        </w:trPr>
        <w:tc>
          <w:tcPr>
            <w:tcW w:w="5000" w:type="pct"/>
            <w:gridSpan w:val="3"/>
            <w:tcBorders>
              <w:top w:val="single" w:sz="8" w:space="0" w:color="auto"/>
              <w:left w:val="single" w:sz="8" w:space="0" w:color="auto"/>
              <w:bottom w:val="single" w:sz="8" w:space="0" w:color="auto"/>
              <w:right w:val="single" w:sz="8" w:space="0" w:color="auto"/>
            </w:tcBorders>
            <w:shd w:val="clear" w:color="000000" w:fill="D8D8D8"/>
            <w:tcMar>
              <w:left w:w="115" w:type="dxa"/>
              <w:right w:w="115" w:type="dxa"/>
            </w:tcMar>
            <w:vAlign w:val="center"/>
          </w:tcPr>
          <w:p w:rsidR="008075FC" w:rsidRPr="001D6512" w:rsidRDefault="008075FC" w:rsidP="00C3606E">
            <w:pPr>
              <w:pStyle w:val="TableCell"/>
              <w:spacing w:before="40" w:after="40" w:line="240" w:lineRule="auto"/>
              <w:rPr>
                <w:rFonts w:cs="Arial"/>
                <w:szCs w:val="18"/>
              </w:rPr>
            </w:pPr>
            <w:r w:rsidRPr="001D6512">
              <w:rPr>
                <w:rFonts w:cs="Arial"/>
                <w:szCs w:val="18"/>
              </w:rPr>
              <w:t>Air-Source Air Conditioners</w:t>
            </w:r>
          </w:p>
        </w:tc>
      </w:tr>
      <w:tr w:rsidR="00FE4B48" w:rsidRPr="00064E44" w:rsidTr="008075FC">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1D6512" w:rsidRDefault="00FE4B48" w:rsidP="008075FC">
            <w:pPr>
              <w:pStyle w:val="TableCell"/>
              <w:spacing w:before="40" w:after="40" w:line="240" w:lineRule="auto"/>
              <w:rPr>
                <w:rFonts w:cs="Arial"/>
                <w:szCs w:val="18"/>
              </w:rPr>
            </w:pPr>
            <w:r w:rsidRPr="001D6512">
              <w:rPr>
                <w:rFonts w:cs="Arial"/>
                <w:szCs w:val="18"/>
              </w:rPr>
              <w:t xml:space="preserve">&lt; </w:t>
            </w:r>
            <w:r w:rsidR="008075FC" w:rsidRPr="001D6512">
              <w:rPr>
                <w:rFonts w:cs="Arial"/>
                <w:szCs w:val="18"/>
              </w:rPr>
              <w:t>65,000 BtuH</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1D6512" w:rsidRDefault="00FE4B48" w:rsidP="00C3606E">
            <w:pPr>
              <w:pStyle w:val="TableCell"/>
              <w:spacing w:before="40" w:after="40" w:line="240" w:lineRule="auto"/>
              <w:rPr>
                <w:rFonts w:cs="Arial"/>
                <w:szCs w:val="18"/>
              </w:rPr>
            </w:pPr>
            <w:r w:rsidRPr="00064E44">
              <w:rPr>
                <w:rFonts w:cs="Arial"/>
                <w:szCs w:val="18"/>
                <w:lang w:val="de-DE"/>
              </w:rPr>
              <w:t>13.0 SEER</w:t>
            </w:r>
          </w:p>
        </w:tc>
        <w:tc>
          <w:tcPr>
            <w:tcW w:w="1224" w:type="pct"/>
            <w:tcBorders>
              <w:top w:val="single" w:sz="8" w:space="0" w:color="auto"/>
              <w:left w:val="nil"/>
              <w:bottom w:val="single" w:sz="8" w:space="0" w:color="auto"/>
              <w:right w:val="single" w:sz="8" w:space="0" w:color="auto"/>
            </w:tcBorders>
            <w:vAlign w:val="center"/>
          </w:tcPr>
          <w:p w:rsidR="00FE4B48" w:rsidRPr="001D6512" w:rsidRDefault="00FE4B48" w:rsidP="00C3606E">
            <w:pPr>
              <w:pStyle w:val="TableCell"/>
              <w:spacing w:before="40" w:after="40" w:line="240" w:lineRule="auto"/>
              <w:rPr>
                <w:rFonts w:cs="Arial"/>
                <w:szCs w:val="18"/>
              </w:rPr>
            </w:pPr>
            <w:r w:rsidRPr="001D6512">
              <w:rPr>
                <w:rFonts w:cs="Arial"/>
                <w:szCs w:val="18"/>
              </w:rPr>
              <w:t>N/A</w:t>
            </w:r>
          </w:p>
        </w:tc>
      </w:tr>
      <w:tr w:rsidR="00FE4B48" w:rsidRPr="00064E44" w:rsidTr="008075FC">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1D6512" w:rsidRDefault="00FE4B48" w:rsidP="008075FC">
            <w:pPr>
              <w:pStyle w:val="TableCell"/>
              <w:spacing w:before="40" w:after="40" w:line="240" w:lineRule="auto"/>
              <w:rPr>
                <w:rFonts w:cs="Arial"/>
                <w:szCs w:val="18"/>
              </w:rPr>
            </w:pPr>
            <w:r w:rsidRPr="001D6512">
              <w:rPr>
                <w:rFonts w:cs="Arial"/>
                <w:szCs w:val="18"/>
                <w:u w:val="single"/>
              </w:rPr>
              <w:t>&gt;</w:t>
            </w:r>
            <w:r w:rsidRPr="001D6512">
              <w:rPr>
                <w:rFonts w:cs="Arial"/>
                <w:szCs w:val="18"/>
              </w:rPr>
              <w:t xml:space="preserve"> </w:t>
            </w:r>
            <w:r w:rsidR="008075FC" w:rsidRPr="001D6512">
              <w:rPr>
                <w:rFonts w:cs="Arial"/>
                <w:szCs w:val="18"/>
              </w:rPr>
              <w:t>65,000 BtuH</w:t>
            </w:r>
            <w:r w:rsidRPr="001D6512">
              <w:rPr>
                <w:rFonts w:cs="Arial"/>
                <w:szCs w:val="18"/>
              </w:rPr>
              <w:t xml:space="preserve"> and &lt;</w:t>
            </w:r>
            <w:r w:rsidR="008075FC" w:rsidRPr="001D6512">
              <w:rPr>
                <w:rFonts w:cs="Arial"/>
                <w:szCs w:val="18"/>
              </w:rPr>
              <w:t>135,000 BtuH</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1D6512" w:rsidRDefault="00FE4B48" w:rsidP="00C3606E">
            <w:pPr>
              <w:pStyle w:val="TableCell"/>
              <w:spacing w:before="40" w:after="40" w:line="240" w:lineRule="auto"/>
              <w:rPr>
                <w:rFonts w:cs="Arial"/>
                <w:szCs w:val="18"/>
              </w:rPr>
            </w:pPr>
            <w:r w:rsidRPr="00064E44">
              <w:rPr>
                <w:rFonts w:cs="Arial"/>
                <w:szCs w:val="18"/>
                <w:lang w:val="de-DE"/>
              </w:rPr>
              <w:t>11.2 EER</w:t>
            </w:r>
          </w:p>
        </w:tc>
        <w:tc>
          <w:tcPr>
            <w:tcW w:w="1224" w:type="pct"/>
            <w:tcBorders>
              <w:top w:val="single" w:sz="8" w:space="0" w:color="auto"/>
              <w:left w:val="nil"/>
              <w:bottom w:val="single" w:sz="8" w:space="0" w:color="auto"/>
              <w:right w:val="single" w:sz="8" w:space="0" w:color="auto"/>
            </w:tcBorders>
            <w:vAlign w:val="center"/>
          </w:tcPr>
          <w:p w:rsidR="00FE4B48" w:rsidRPr="001D6512" w:rsidRDefault="00FE4B48" w:rsidP="00C3606E">
            <w:pPr>
              <w:pStyle w:val="TableCell"/>
              <w:spacing w:before="40" w:after="40" w:line="240" w:lineRule="auto"/>
              <w:rPr>
                <w:rFonts w:cs="Arial"/>
                <w:szCs w:val="18"/>
              </w:rPr>
            </w:pPr>
            <w:r w:rsidRPr="001D6512">
              <w:rPr>
                <w:rFonts w:cs="Arial"/>
                <w:szCs w:val="18"/>
              </w:rPr>
              <w:t>N/A</w:t>
            </w:r>
          </w:p>
        </w:tc>
      </w:tr>
      <w:tr w:rsidR="00FE4B48" w:rsidRPr="00064E44" w:rsidTr="008075FC">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14435C" w:rsidRPr="001D6512" w:rsidRDefault="00FE4B48" w:rsidP="008075FC">
            <w:pPr>
              <w:pStyle w:val="TableCell"/>
              <w:spacing w:before="40" w:after="40" w:line="240" w:lineRule="auto"/>
              <w:rPr>
                <w:rFonts w:cs="Arial"/>
                <w:szCs w:val="18"/>
              </w:rPr>
            </w:pPr>
            <w:r w:rsidRPr="001D6512">
              <w:rPr>
                <w:rFonts w:cs="Arial"/>
                <w:szCs w:val="18"/>
                <w:u w:val="single"/>
              </w:rPr>
              <w:t>&gt;</w:t>
            </w:r>
            <w:r w:rsidRPr="001D6512">
              <w:rPr>
                <w:rFonts w:cs="Arial"/>
                <w:szCs w:val="18"/>
              </w:rPr>
              <w:t xml:space="preserve"> </w:t>
            </w:r>
            <w:r w:rsidR="008075FC" w:rsidRPr="001D6512">
              <w:rPr>
                <w:rFonts w:cs="Arial"/>
                <w:szCs w:val="18"/>
              </w:rPr>
              <w:t>135,000 BtuH</w:t>
            </w:r>
            <w:r w:rsidRPr="001D6512">
              <w:rPr>
                <w:rFonts w:cs="Arial"/>
                <w:szCs w:val="18"/>
              </w:rPr>
              <w:t xml:space="preserve"> and &lt; </w:t>
            </w:r>
            <w:r w:rsidR="008075FC" w:rsidRPr="001D6512">
              <w:rPr>
                <w:rFonts w:cs="Arial"/>
                <w:szCs w:val="18"/>
              </w:rPr>
              <w:t>240,000 BtuH</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1D6512" w:rsidRDefault="00FE4B48" w:rsidP="00C3606E">
            <w:pPr>
              <w:pStyle w:val="TableCell"/>
              <w:spacing w:before="40" w:after="40" w:line="240" w:lineRule="auto"/>
              <w:rPr>
                <w:rFonts w:cs="Arial"/>
                <w:szCs w:val="18"/>
              </w:rPr>
            </w:pPr>
            <w:r w:rsidRPr="00064E44">
              <w:rPr>
                <w:rFonts w:cs="Arial"/>
                <w:szCs w:val="18"/>
                <w:lang w:val="de-DE"/>
              </w:rPr>
              <w:t>11.0 EER</w:t>
            </w:r>
          </w:p>
        </w:tc>
        <w:tc>
          <w:tcPr>
            <w:tcW w:w="1224" w:type="pct"/>
            <w:tcBorders>
              <w:top w:val="single" w:sz="8" w:space="0" w:color="auto"/>
              <w:left w:val="nil"/>
              <w:bottom w:val="single" w:sz="8" w:space="0" w:color="auto"/>
              <w:right w:val="single" w:sz="8" w:space="0" w:color="auto"/>
            </w:tcBorders>
            <w:vAlign w:val="center"/>
          </w:tcPr>
          <w:p w:rsidR="00FE4B48" w:rsidRPr="001D6512" w:rsidRDefault="00FE4B48" w:rsidP="00C3606E">
            <w:pPr>
              <w:pStyle w:val="TableCell"/>
              <w:spacing w:before="40" w:after="40" w:line="240" w:lineRule="auto"/>
              <w:rPr>
                <w:rFonts w:cs="Arial"/>
                <w:szCs w:val="18"/>
              </w:rPr>
            </w:pPr>
            <w:r w:rsidRPr="001D6512">
              <w:rPr>
                <w:rFonts w:cs="Arial"/>
                <w:szCs w:val="18"/>
              </w:rPr>
              <w:t>N/A</w:t>
            </w:r>
          </w:p>
        </w:tc>
      </w:tr>
      <w:tr w:rsidR="00FE4B48" w:rsidRPr="00064E44" w:rsidTr="008075FC">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1D6512" w:rsidRDefault="00FE4B48" w:rsidP="00C3606E">
            <w:pPr>
              <w:pStyle w:val="TableCell"/>
              <w:spacing w:before="40" w:after="40" w:line="240" w:lineRule="auto"/>
              <w:rPr>
                <w:rFonts w:cs="Arial"/>
                <w:szCs w:val="18"/>
              </w:rPr>
            </w:pPr>
            <w:r w:rsidRPr="001D6512">
              <w:rPr>
                <w:rFonts w:cs="Arial"/>
                <w:szCs w:val="18"/>
                <w:u w:val="single"/>
              </w:rPr>
              <w:t>&gt;</w:t>
            </w:r>
            <w:r w:rsidRPr="001D6512">
              <w:rPr>
                <w:rFonts w:cs="Arial"/>
                <w:szCs w:val="18"/>
              </w:rPr>
              <w:t xml:space="preserve"> </w:t>
            </w:r>
            <w:r w:rsidR="008075FC" w:rsidRPr="001D6512">
              <w:rPr>
                <w:rFonts w:cs="Arial"/>
                <w:szCs w:val="18"/>
              </w:rPr>
              <w:t>240,000 BtuH</w:t>
            </w:r>
            <w:r w:rsidRPr="001D6512">
              <w:rPr>
                <w:rFonts w:cs="Arial"/>
                <w:szCs w:val="18"/>
              </w:rPr>
              <w:t xml:space="preserve"> and &lt; </w:t>
            </w:r>
            <w:r w:rsidR="008075FC" w:rsidRPr="001D6512">
              <w:rPr>
                <w:rFonts w:cs="Arial"/>
                <w:szCs w:val="18"/>
              </w:rPr>
              <w:t>760,000 BtuH</w:t>
            </w:r>
          </w:p>
          <w:p w:rsidR="0014435C" w:rsidRPr="001D6512" w:rsidRDefault="0014435C" w:rsidP="00C3606E">
            <w:pPr>
              <w:pStyle w:val="TableCell"/>
              <w:spacing w:before="40" w:after="40" w:line="240" w:lineRule="auto"/>
              <w:rPr>
                <w:rFonts w:cs="Arial"/>
                <w:szCs w:val="18"/>
              </w:rPr>
            </w:pPr>
            <w:r w:rsidRPr="001D6512">
              <w:rPr>
                <w:rFonts w:cs="Arial"/>
                <w:szCs w:val="18"/>
              </w:rPr>
              <w:t>(IPLV for units with capacity-modulation only)</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1D6512" w:rsidRDefault="00FE4B48" w:rsidP="00C3606E">
            <w:pPr>
              <w:pStyle w:val="TableCell"/>
              <w:spacing w:before="40" w:after="40" w:line="240" w:lineRule="auto"/>
              <w:rPr>
                <w:rFonts w:cs="Arial"/>
                <w:szCs w:val="18"/>
              </w:rPr>
            </w:pPr>
            <w:r w:rsidRPr="00064E44">
              <w:rPr>
                <w:rFonts w:cs="Arial"/>
                <w:szCs w:val="18"/>
                <w:lang w:val="de-DE"/>
              </w:rPr>
              <w:t>10.0 EER</w:t>
            </w:r>
            <w:r w:rsidR="0014435C">
              <w:rPr>
                <w:rFonts w:cs="Arial"/>
                <w:szCs w:val="18"/>
                <w:lang w:val="de-DE"/>
              </w:rPr>
              <w:t xml:space="preserve"> / 9.7 IPLV</w:t>
            </w:r>
          </w:p>
        </w:tc>
        <w:tc>
          <w:tcPr>
            <w:tcW w:w="1224" w:type="pct"/>
            <w:tcBorders>
              <w:top w:val="single" w:sz="8" w:space="0" w:color="auto"/>
              <w:left w:val="nil"/>
              <w:bottom w:val="single" w:sz="8" w:space="0" w:color="auto"/>
              <w:right w:val="single" w:sz="8" w:space="0" w:color="auto"/>
            </w:tcBorders>
            <w:vAlign w:val="center"/>
          </w:tcPr>
          <w:p w:rsidR="00FE4B48" w:rsidRPr="001D6512" w:rsidRDefault="00FE4B48" w:rsidP="00C3606E">
            <w:pPr>
              <w:pStyle w:val="TableCell"/>
              <w:spacing w:before="40" w:after="40" w:line="240" w:lineRule="auto"/>
              <w:rPr>
                <w:rFonts w:cs="Arial"/>
                <w:szCs w:val="18"/>
              </w:rPr>
            </w:pPr>
            <w:r w:rsidRPr="001D6512">
              <w:rPr>
                <w:rFonts w:cs="Arial"/>
                <w:szCs w:val="18"/>
              </w:rPr>
              <w:t>N/A</w:t>
            </w:r>
          </w:p>
        </w:tc>
      </w:tr>
      <w:tr w:rsidR="00FE4B48" w:rsidRPr="00064E44" w:rsidTr="008075FC">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1D6512" w:rsidRDefault="00FE4B48" w:rsidP="00C3606E">
            <w:pPr>
              <w:pStyle w:val="TableCell"/>
              <w:spacing w:before="40" w:after="40" w:line="240" w:lineRule="auto"/>
              <w:rPr>
                <w:rFonts w:cs="Arial"/>
                <w:szCs w:val="18"/>
              </w:rPr>
            </w:pPr>
            <w:r w:rsidRPr="001D6512">
              <w:rPr>
                <w:rFonts w:cs="Arial"/>
                <w:szCs w:val="18"/>
                <w:u w:val="single"/>
              </w:rPr>
              <w:t>&gt;</w:t>
            </w:r>
            <w:r w:rsidRPr="001D6512">
              <w:rPr>
                <w:rFonts w:cs="Arial"/>
                <w:szCs w:val="18"/>
              </w:rPr>
              <w:t xml:space="preserve"> </w:t>
            </w:r>
            <w:r w:rsidR="008075FC" w:rsidRPr="001D6512">
              <w:rPr>
                <w:rFonts w:cs="Arial"/>
                <w:szCs w:val="18"/>
              </w:rPr>
              <w:t>760,000 BtuH</w:t>
            </w:r>
          </w:p>
          <w:p w:rsidR="0014435C" w:rsidRPr="001D6512" w:rsidRDefault="0014435C" w:rsidP="00C3606E">
            <w:pPr>
              <w:pStyle w:val="TableCell"/>
              <w:spacing w:before="40" w:after="40" w:line="240" w:lineRule="auto"/>
              <w:rPr>
                <w:rFonts w:cs="Arial"/>
                <w:szCs w:val="18"/>
              </w:rPr>
            </w:pPr>
            <w:r w:rsidRPr="001D6512">
              <w:rPr>
                <w:rFonts w:cs="Arial"/>
                <w:szCs w:val="18"/>
              </w:rPr>
              <w:t>(IPLV for units with capacity-modulation only)</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1D6512" w:rsidRDefault="00FE4B48" w:rsidP="00C3606E">
            <w:pPr>
              <w:pStyle w:val="TableCell"/>
              <w:spacing w:before="40" w:after="40" w:line="240" w:lineRule="auto"/>
              <w:rPr>
                <w:rFonts w:cs="Arial"/>
                <w:szCs w:val="18"/>
              </w:rPr>
            </w:pPr>
            <w:r w:rsidRPr="00064E44">
              <w:rPr>
                <w:rFonts w:cs="Arial"/>
                <w:szCs w:val="18"/>
                <w:lang w:val="de-DE"/>
              </w:rPr>
              <w:t>9.7 EER</w:t>
            </w:r>
            <w:r w:rsidR="0014435C">
              <w:rPr>
                <w:rFonts w:cs="Arial"/>
                <w:szCs w:val="18"/>
                <w:lang w:val="de-DE"/>
              </w:rPr>
              <w:t xml:space="preserve"> / 9.4 IPLV</w:t>
            </w:r>
          </w:p>
        </w:tc>
        <w:tc>
          <w:tcPr>
            <w:tcW w:w="1224" w:type="pct"/>
            <w:tcBorders>
              <w:top w:val="single" w:sz="8" w:space="0" w:color="auto"/>
              <w:left w:val="nil"/>
              <w:bottom w:val="single" w:sz="8" w:space="0" w:color="auto"/>
              <w:right w:val="single" w:sz="8" w:space="0" w:color="auto"/>
            </w:tcBorders>
            <w:vAlign w:val="center"/>
          </w:tcPr>
          <w:p w:rsidR="00FE4B48" w:rsidRPr="001D6512" w:rsidRDefault="00FE4B48" w:rsidP="00C3606E">
            <w:pPr>
              <w:pStyle w:val="TableCell"/>
              <w:spacing w:before="40" w:after="40" w:line="240" w:lineRule="auto"/>
              <w:rPr>
                <w:rFonts w:cs="Arial"/>
                <w:szCs w:val="18"/>
              </w:rPr>
            </w:pPr>
            <w:r w:rsidRPr="001D6512">
              <w:rPr>
                <w:rFonts w:cs="Arial"/>
                <w:szCs w:val="18"/>
              </w:rPr>
              <w:t>N/A</w:t>
            </w:r>
          </w:p>
        </w:tc>
      </w:tr>
      <w:tr w:rsidR="008075FC" w:rsidRPr="00064E44" w:rsidTr="008075FC">
        <w:trPr>
          <w:trHeight w:val="20"/>
          <w:jc w:val="center"/>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noWrap/>
            <w:tcMar>
              <w:left w:w="115" w:type="dxa"/>
              <w:right w:w="115" w:type="dxa"/>
            </w:tcMar>
            <w:vAlign w:val="center"/>
          </w:tcPr>
          <w:p w:rsidR="008075FC" w:rsidRPr="00064E44" w:rsidRDefault="008075FC" w:rsidP="00C3606E">
            <w:pPr>
              <w:pStyle w:val="TableCell"/>
              <w:spacing w:before="40" w:after="40" w:line="240" w:lineRule="auto"/>
              <w:rPr>
                <w:rFonts w:cs="Arial"/>
                <w:szCs w:val="18"/>
                <w:lang w:val="de-DE"/>
              </w:rPr>
            </w:pPr>
            <w:r w:rsidRPr="001D6512">
              <w:rPr>
                <w:rFonts w:cs="Arial"/>
                <w:szCs w:val="18"/>
              </w:rPr>
              <w:t>Water-Source and Evaporatively-Cooled Air Conditioners</w:t>
            </w:r>
          </w:p>
        </w:tc>
      </w:tr>
      <w:tr w:rsidR="008075FC" w:rsidRPr="00064E44" w:rsidTr="008075FC">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8075FC" w:rsidRPr="001D6512" w:rsidRDefault="008075FC" w:rsidP="00C3606E">
            <w:pPr>
              <w:pStyle w:val="TableCell"/>
              <w:spacing w:before="40" w:after="40" w:line="240" w:lineRule="auto"/>
              <w:rPr>
                <w:rFonts w:cs="Arial"/>
                <w:szCs w:val="18"/>
              </w:rPr>
            </w:pPr>
            <w:r w:rsidRPr="001D6512">
              <w:rPr>
                <w:rFonts w:cs="Arial"/>
                <w:szCs w:val="18"/>
              </w:rPr>
              <w:t>&lt; 65,000 BtuH</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8075FC" w:rsidRPr="00064E44" w:rsidRDefault="008075FC" w:rsidP="00C3606E">
            <w:pPr>
              <w:pStyle w:val="TableCell"/>
              <w:spacing w:before="40" w:after="40" w:line="240" w:lineRule="auto"/>
              <w:rPr>
                <w:rFonts w:cs="Arial"/>
                <w:szCs w:val="18"/>
                <w:lang w:val="de-DE"/>
              </w:rPr>
            </w:pPr>
            <w:r>
              <w:rPr>
                <w:rFonts w:cs="Arial"/>
                <w:szCs w:val="18"/>
                <w:lang w:val="de-DE"/>
              </w:rPr>
              <w:t>12.1 EER</w:t>
            </w:r>
          </w:p>
        </w:tc>
        <w:tc>
          <w:tcPr>
            <w:tcW w:w="1224" w:type="pct"/>
            <w:tcBorders>
              <w:top w:val="single" w:sz="8" w:space="0" w:color="auto"/>
              <w:left w:val="nil"/>
              <w:bottom w:val="single" w:sz="8" w:space="0" w:color="auto"/>
              <w:right w:val="single" w:sz="8" w:space="0" w:color="auto"/>
            </w:tcBorders>
            <w:vAlign w:val="center"/>
          </w:tcPr>
          <w:p w:rsidR="008075FC" w:rsidRPr="00064E44" w:rsidRDefault="008075FC" w:rsidP="00C3606E">
            <w:pPr>
              <w:pStyle w:val="TableCell"/>
              <w:spacing w:before="40" w:after="40" w:line="240" w:lineRule="auto"/>
              <w:rPr>
                <w:rFonts w:cs="Arial"/>
                <w:szCs w:val="18"/>
                <w:lang w:val="de-DE"/>
              </w:rPr>
            </w:pPr>
            <w:r w:rsidRPr="001D6512">
              <w:rPr>
                <w:rFonts w:cs="Arial"/>
                <w:szCs w:val="18"/>
              </w:rPr>
              <w:t>N/A</w:t>
            </w:r>
          </w:p>
        </w:tc>
      </w:tr>
      <w:tr w:rsidR="008075FC" w:rsidRPr="00064E44" w:rsidTr="008075FC">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8075FC" w:rsidRPr="001D6512" w:rsidRDefault="008075FC" w:rsidP="00C3606E">
            <w:pPr>
              <w:pStyle w:val="TableCell"/>
              <w:spacing w:before="40" w:after="40" w:line="240" w:lineRule="auto"/>
              <w:rPr>
                <w:rFonts w:cs="Arial"/>
                <w:szCs w:val="18"/>
              </w:rPr>
            </w:pPr>
            <w:r w:rsidRPr="001D6512">
              <w:rPr>
                <w:rFonts w:cs="Arial"/>
                <w:szCs w:val="18"/>
                <w:u w:val="single"/>
              </w:rPr>
              <w:t>&gt;</w:t>
            </w:r>
            <w:r w:rsidRPr="001D6512">
              <w:rPr>
                <w:rFonts w:cs="Arial"/>
                <w:szCs w:val="18"/>
              </w:rPr>
              <w:t xml:space="preserve"> 65,000 BtuH and &lt;135,000 BtuH</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8075FC" w:rsidRPr="00064E44" w:rsidRDefault="008075FC" w:rsidP="00C3606E">
            <w:pPr>
              <w:pStyle w:val="TableCell"/>
              <w:spacing w:before="40" w:after="40" w:line="240" w:lineRule="auto"/>
              <w:rPr>
                <w:rFonts w:cs="Arial"/>
                <w:szCs w:val="18"/>
                <w:lang w:val="de-DE"/>
              </w:rPr>
            </w:pPr>
            <w:r>
              <w:rPr>
                <w:rFonts w:cs="Arial"/>
                <w:szCs w:val="18"/>
                <w:lang w:val="de-DE"/>
              </w:rPr>
              <w:t>11.5 EER</w:t>
            </w:r>
          </w:p>
        </w:tc>
        <w:tc>
          <w:tcPr>
            <w:tcW w:w="1224" w:type="pct"/>
            <w:tcBorders>
              <w:top w:val="single" w:sz="8" w:space="0" w:color="auto"/>
              <w:left w:val="nil"/>
              <w:bottom w:val="single" w:sz="8" w:space="0" w:color="auto"/>
              <w:right w:val="single" w:sz="8" w:space="0" w:color="auto"/>
            </w:tcBorders>
            <w:vAlign w:val="center"/>
          </w:tcPr>
          <w:p w:rsidR="008075FC" w:rsidRPr="00064E44" w:rsidRDefault="008075FC" w:rsidP="00C3606E">
            <w:pPr>
              <w:pStyle w:val="TableCell"/>
              <w:spacing w:before="40" w:after="40" w:line="240" w:lineRule="auto"/>
              <w:rPr>
                <w:rFonts w:cs="Arial"/>
                <w:szCs w:val="18"/>
                <w:lang w:val="de-DE"/>
              </w:rPr>
            </w:pPr>
            <w:r w:rsidRPr="001D6512">
              <w:rPr>
                <w:rFonts w:cs="Arial"/>
                <w:szCs w:val="18"/>
              </w:rPr>
              <w:t>N/A</w:t>
            </w:r>
          </w:p>
        </w:tc>
      </w:tr>
      <w:tr w:rsidR="008075FC" w:rsidRPr="00064E44" w:rsidTr="008075FC">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8075FC" w:rsidRPr="001D6512" w:rsidRDefault="008075FC" w:rsidP="00C3606E">
            <w:pPr>
              <w:pStyle w:val="TableCell"/>
              <w:spacing w:before="40" w:after="40" w:line="240" w:lineRule="auto"/>
              <w:rPr>
                <w:rFonts w:cs="Arial"/>
                <w:szCs w:val="18"/>
              </w:rPr>
            </w:pPr>
            <w:r w:rsidRPr="001D6512">
              <w:rPr>
                <w:rFonts w:cs="Arial"/>
                <w:szCs w:val="18"/>
                <w:u w:val="single"/>
              </w:rPr>
              <w:t>&gt;</w:t>
            </w:r>
            <w:r w:rsidRPr="001D6512">
              <w:rPr>
                <w:rFonts w:cs="Arial"/>
                <w:szCs w:val="18"/>
              </w:rPr>
              <w:t xml:space="preserve"> 135,000 BtuH and &lt; 240,000 BtuH</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8075FC" w:rsidRPr="00064E44" w:rsidRDefault="008075FC" w:rsidP="00C3606E">
            <w:pPr>
              <w:pStyle w:val="TableCell"/>
              <w:spacing w:before="40" w:after="40" w:line="240" w:lineRule="auto"/>
              <w:rPr>
                <w:rFonts w:cs="Arial"/>
                <w:szCs w:val="18"/>
                <w:lang w:val="de-DE"/>
              </w:rPr>
            </w:pPr>
            <w:r>
              <w:rPr>
                <w:rFonts w:cs="Arial"/>
                <w:szCs w:val="18"/>
                <w:lang w:val="de-DE"/>
              </w:rPr>
              <w:t>11.0 EER</w:t>
            </w:r>
          </w:p>
        </w:tc>
        <w:tc>
          <w:tcPr>
            <w:tcW w:w="1224" w:type="pct"/>
            <w:tcBorders>
              <w:top w:val="single" w:sz="8" w:space="0" w:color="auto"/>
              <w:left w:val="nil"/>
              <w:bottom w:val="single" w:sz="8" w:space="0" w:color="auto"/>
              <w:right w:val="single" w:sz="8" w:space="0" w:color="auto"/>
            </w:tcBorders>
            <w:vAlign w:val="center"/>
          </w:tcPr>
          <w:p w:rsidR="008075FC" w:rsidRPr="00064E44" w:rsidRDefault="008075FC" w:rsidP="00C3606E">
            <w:pPr>
              <w:pStyle w:val="TableCell"/>
              <w:spacing w:before="40" w:after="40" w:line="240" w:lineRule="auto"/>
              <w:rPr>
                <w:rFonts w:cs="Arial"/>
                <w:szCs w:val="18"/>
                <w:lang w:val="de-DE"/>
              </w:rPr>
            </w:pPr>
            <w:r w:rsidRPr="001D6512">
              <w:rPr>
                <w:rFonts w:cs="Arial"/>
                <w:szCs w:val="18"/>
              </w:rPr>
              <w:t>N/A</w:t>
            </w:r>
          </w:p>
        </w:tc>
      </w:tr>
      <w:tr w:rsidR="00FE4B48" w:rsidRPr="00064E44" w:rsidTr="008075FC">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1D6512" w:rsidRDefault="00FE4B48" w:rsidP="008075FC">
            <w:pPr>
              <w:pStyle w:val="TableCell"/>
              <w:spacing w:before="40" w:after="40" w:line="240" w:lineRule="auto"/>
              <w:rPr>
                <w:rFonts w:cs="Arial"/>
                <w:szCs w:val="18"/>
              </w:rPr>
            </w:pPr>
            <w:r w:rsidRPr="001D6512">
              <w:rPr>
                <w:rFonts w:cs="Arial"/>
                <w:szCs w:val="18"/>
                <w:u w:val="single"/>
              </w:rPr>
              <w:t>&gt;</w:t>
            </w:r>
            <w:r w:rsidRPr="001D6512">
              <w:rPr>
                <w:rFonts w:cs="Arial"/>
                <w:szCs w:val="18"/>
              </w:rPr>
              <w:t xml:space="preserve"> </w:t>
            </w:r>
            <w:r w:rsidR="008075FC" w:rsidRPr="001D6512">
              <w:rPr>
                <w:rFonts w:cs="Arial"/>
                <w:szCs w:val="18"/>
              </w:rPr>
              <w:t>240,000 BtuH</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064E44" w:rsidRDefault="00FE4B48" w:rsidP="00C3606E">
            <w:pPr>
              <w:pStyle w:val="TableCell"/>
              <w:spacing w:before="40" w:after="40" w:line="240" w:lineRule="auto"/>
              <w:rPr>
                <w:rFonts w:cs="Arial"/>
                <w:szCs w:val="18"/>
                <w:lang w:val="de-DE"/>
              </w:rPr>
            </w:pPr>
            <w:r>
              <w:rPr>
                <w:rFonts w:cs="Arial"/>
                <w:szCs w:val="18"/>
                <w:lang w:val="de-DE"/>
              </w:rPr>
              <w:t>11.5 EER</w:t>
            </w:r>
          </w:p>
        </w:tc>
        <w:tc>
          <w:tcPr>
            <w:tcW w:w="1224" w:type="pct"/>
            <w:tcBorders>
              <w:top w:val="single" w:sz="8" w:space="0" w:color="auto"/>
              <w:left w:val="nil"/>
              <w:bottom w:val="single" w:sz="8" w:space="0" w:color="auto"/>
              <w:right w:val="single" w:sz="8" w:space="0" w:color="auto"/>
            </w:tcBorders>
            <w:vAlign w:val="center"/>
          </w:tcPr>
          <w:p w:rsidR="00FE4B48" w:rsidRPr="00064E44" w:rsidRDefault="00FE4B48" w:rsidP="00C3606E">
            <w:pPr>
              <w:pStyle w:val="TableCell"/>
              <w:spacing w:before="40" w:after="40" w:line="240" w:lineRule="auto"/>
              <w:rPr>
                <w:rFonts w:cs="Arial"/>
                <w:szCs w:val="18"/>
                <w:lang w:val="de-DE"/>
              </w:rPr>
            </w:pPr>
            <w:r w:rsidRPr="001D6512">
              <w:rPr>
                <w:rFonts w:cs="Arial"/>
                <w:szCs w:val="18"/>
              </w:rPr>
              <w:t>N/A</w:t>
            </w:r>
          </w:p>
        </w:tc>
      </w:tr>
      <w:tr w:rsidR="008075FC" w:rsidRPr="00064E44" w:rsidTr="008075FC">
        <w:trPr>
          <w:trHeight w:val="20"/>
          <w:jc w:val="center"/>
        </w:trPr>
        <w:tc>
          <w:tcPr>
            <w:tcW w:w="5000" w:type="pct"/>
            <w:gridSpan w:val="3"/>
            <w:tcBorders>
              <w:top w:val="single" w:sz="8" w:space="0" w:color="auto"/>
              <w:left w:val="single" w:sz="8" w:space="0" w:color="auto"/>
              <w:bottom w:val="single" w:sz="8" w:space="0" w:color="auto"/>
              <w:right w:val="single" w:sz="8" w:space="0" w:color="auto"/>
            </w:tcBorders>
            <w:shd w:val="clear" w:color="000000" w:fill="D8D8D8"/>
            <w:tcMar>
              <w:left w:w="115" w:type="dxa"/>
              <w:right w:w="115" w:type="dxa"/>
            </w:tcMar>
            <w:vAlign w:val="center"/>
          </w:tcPr>
          <w:p w:rsidR="008075FC" w:rsidRPr="001D6512" w:rsidRDefault="008075FC" w:rsidP="00C3606E">
            <w:pPr>
              <w:pStyle w:val="TableCell"/>
              <w:spacing w:before="40" w:after="40" w:line="240" w:lineRule="auto"/>
              <w:rPr>
                <w:rFonts w:cs="Arial"/>
                <w:szCs w:val="18"/>
              </w:rPr>
            </w:pPr>
            <w:r w:rsidRPr="001D6512">
              <w:rPr>
                <w:rFonts w:cs="Arial"/>
                <w:szCs w:val="18"/>
              </w:rPr>
              <w:t xml:space="preserve">Air-Source Heat Pumps </w:t>
            </w:r>
          </w:p>
        </w:tc>
      </w:tr>
      <w:tr w:rsidR="008075FC" w:rsidRPr="00064E44" w:rsidTr="008075FC">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8075FC" w:rsidRPr="001D6512" w:rsidRDefault="008075FC" w:rsidP="00C3606E">
            <w:pPr>
              <w:pStyle w:val="TableCell"/>
              <w:spacing w:before="40" w:after="40" w:line="240" w:lineRule="auto"/>
              <w:rPr>
                <w:rFonts w:cs="Arial"/>
                <w:szCs w:val="18"/>
              </w:rPr>
            </w:pPr>
            <w:r w:rsidRPr="001D6512">
              <w:rPr>
                <w:rFonts w:cs="Arial"/>
                <w:szCs w:val="18"/>
              </w:rPr>
              <w:t>&lt; 65,000 BtuH</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8075FC" w:rsidRPr="001D6512" w:rsidRDefault="008075FC" w:rsidP="00C3606E">
            <w:pPr>
              <w:pStyle w:val="TableCell"/>
              <w:spacing w:before="40" w:after="40" w:line="240" w:lineRule="auto"/>
              <w:rPr>
                <w:rFonts w:cs="Arial"/>
                <w:szCs w:val="18"/>
              </w:rPr>
            </w:pPr>
            <w:r w:rsidRPr="001D6512">
              <w:rPr>
                <w:rFonts w:cs="Arial"/>
                <w:szCs w:val="18"/>
              </w:rPr>
              <w:t>13 SEER</w:t>
            </w:r>
          </w:p>
        </w:tc>
        <w:tc>
          <w:tcPr>
            <w:tcW w:w="1224" w:type="pct"/>
            <w:tcBorders>
              <w:top w:val="single" w:sz="8" w:space="0" w:color="auto"/>
              <w:left w:val="nil"/>
              <w:bottom w:val="single" w:sz="8" w:space="0" w:color="auto"/>
              <w:right w:val="single" w:sz="8" w:space="0" w:color="auto"/>
            </w:tcBorders>
            <w:vAlign w:val="center"/>
          </w:tcPr>
          <w:p w:rsidR="008075FC" w:rsidRPr="001D6512" w:rsidRDefault="008075FC" w:rsidP="00C3606E">
            <w:pPr>
              <w:pStyle w:val="TableCell"/>
              <w:spacing w:before="40" w:after="40" w:line="240" w:lineRule="auto"/>
              <w:rPr>
                <w:rFonts w:cs="Arial"/>
                <w:szCs w:val="18"/>
              </w:rPr>
            </w:pPr>
            <w:r w:rsidRPr="001D6512">
              <w:rPr>
                <w:rFonts w:cs="Arial"/>
                <w:szCs w:val="18"/>
              </w:rPr>
              <w:t>7.7 HSPF</w:t>
            </w:r>
          </w:p>
        </w:tc>
      </w:tr>
      <w:tr w:rsidR="008075FC" w:rsidRPr="00064E44" w:rsidTr="008075FC">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8075FC" w:rsidRPr="001D6512" w:rsidRDefault="008075FC" w:rsidP="00C3606E">
            <w:pPr>
              <w:pStyle w:val="TableCell"/>
              <w:spacing w:before="40" w:after="40" w:line="240" w:lineRule="auto"/>
              <w:rPr>
                <w:rFonts w:cs="Arial"/>
                <w:szCs w:val="18"/>
              </w:rPr>
            </w:pPr>
            <w:r w:rsidRPr="001D6512">
              <w:rPr>
                <w:rFonts w:cs="Arial"/>
                <w:szCs w:val="18"/>
                <w:u w:val="single"/>
              </w:rPr>
              <w:t>&gt;</w:t>
            </w:r>
            <w:r w:rsidRPr="001D6512">
              <w:rPr>
                <w:rFonts w:cs="Arial"/>
                <w:szCs w:val="18"/>
              </w:rPr>
              <w:t xml:space="preserve"> 65,000 BtuH and &lt;135,000 BtuH</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8075FC" w:rsidRPr="001D6512" w:rsidRDefault="008075FC" w:rsidP="00C3606E">
            <w:pPr>
              <w:pStyle w:val="TableCell"/>
              <w:spacing w:before="40" w:after="40" w:line="240" w:lineRule="auto"/>
              <w:rPr>
                <w:rFonts w:cs="Arial"/>
                <w:szCs w:val="18"/>
              </w:rPr>
            </w:pPr>
            <w:r w:rsidRPr="001D6512">
              <w:rPr>
                <w:rFonts w:cs="Arial"/>
                <w:szCs w:val="18"/>
              </w:rPr>
              <w:t>11.0 EER</w:t>
            </w:r>
          </w:p>
        </w:tc>
        <w:tc>
          <w:tcPr>
            <w:tcW w:w="1224" w:type="pct"/>
            <w:tcBorders>
              <w:top w:val="single" w:sz="8" w:space="0" w:color="auto"/>
              <w:left w:val="nil"/>
              <w:bottom w:val="single" w:sz="8" w:space="0" w:color="auto"/>
              <w:right w:val="single" w:sz="8" w:space="0" w:color="auto"/>
            </w:tcBorders>
            <w:vAlign w:val="center"/>
          </w:tcPr>
          <w:p w:rsidR="008075FC" w:rsidRPr="001D6512" w:rsidRDefault="008075FC" w:rsidP="00C3606E">
            <w:pPr>
              <w:pStyle w:val="TableCell"/>
              <w:spacing w:before="40" w:after="40" w:line="240" w:lineRule="auto"/>
              <w:rPr>
                <w:rFonts w:cs="Arial"/>
                <w:szCs w:val="18"/>
              </w:rPr>
            </w:pPr>
            <w:r w:rsidRPr="001D6512">
              <w:rPr>
                <w:rFonts w:cs="Arial"/>
                <w:szCs w:val="18"/>
              </w:rPr>
              <w:t>3.3 COP</w:t>
            </w:r>
          </w:p>
        </w:tc>
      </w:tr>
      <w:tr w:rsidR="008075FC" w:rsidRPr="00064E44" w:rsidTr="008075FC">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8075FC" w:rsidRPr="001D6512" w:rsidRDefault="008075FC" w:rsidP="00C3606E">
            <w:pPr>
              <w:pStyle w:val="TableCell"/>
              <w:spacing w:before="40" w:after="40" w:line="240" w:lineRule="auto"/>
              <w:rPr>
                <w:rFonts w:cs="Arial"/>
                <w:szCs w:val="18"/>
              </w:rPr>
            </w:pPr>
            <w:r w:rsidRPr="001D6512">
              <w:rPr>
                <w:rFonts w:cs="Arial"/>
                <w:szCs w:val="18"/>
                <w:u w:val="single"/>
              </w:rPr>
              <w:t>&gt;</w:t>
            </w:r>
            <w:r w:rsidRPr="001D6512">
              <w:rPr>
                <w:rFonts w:cs="Arial"/>
                <w:szCs w:val="18"/>
              </w:rPr>
              <w:t xml:space="preserve"> 135,000 BtuH and &lt; 240,000 BtuH</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8075FC" w:rsidRPr="001D6512" w:rsidRDefault="008075FC" w:rsidP="00C3606E">
            <w:pPr>
              <w:pStyle w:val="TableCell"/>
              <w:spacing w:before="40" w:after="40" w:line="240" w:lineRule="auto"/>
              <w:rPr>
                <w:rFonts w:cs="Arial"/>
                <w:szCs w:val="18"/>
              </w:rPr>
            </w:pPr>
            <w:r w:rsidRPr="001D6512">
              <w:rPr>
                <w:rFonts w:cs="Arial"/>
                <w:szCs w:val="18"/>
              </w:rPr>
              <w:t>10.6 EER</w:t>
            </w:r>
          </w:p>
        </w:tc>
        <w:tc>
          <w:tcPr>
            <w:tcW w:w="1224" w:type="pct"/>
            <w:tcBorders>
              <w:top w:val="single" w:sz="8" w:space="0" w:color="auto"/>
              <w:left w:val="nil"/>
              <w:bottom w:val="single" w:sz="8" w:space="0" w:color="auto"/>
              <w:right w:val="single" w:sz="8" w:space="0" w:color="auto"/>
            </w:tcBorders>
            <w:vAlign w:val="center"/>
          </w:tcPr>
          <w:p w:rsidR="008075FC" w:rsidRPr="001D6512" w:rsidRDefault="008075FC" w:rsidP="00C3606E">
            <w:pPr>
              <w:pStyle w:val="TableCell"/>
              <w:spacing w:before="40" w:after="40" w:line="240" w:lineRule="auto"/>
              <w:rPr>
                <w:rFonts w:cs="Arial"/>
                <w:szCs w:val="18"/>
              </w:rPr>
            </w:pPr>
            <w:r w:rsidRPr="001D6512">
              <w:rPr>
                <w:rFonts w:cs="Arial"/>
                <w:szCs w:val="18"/>
              </w:rPr>
              <w:t>3.2 COP</w:t>
            </w:r>
          </w:p>
        </w:tc>
      </w:tr>
      <w:tr w:rsidR="00FE4B48" w:rsidRPr="00064E44" w:rsidTr="008075FC">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1D6512" w:rsidRDefault="00FE4B48" w:rsidP="00C3606E">
            <w:pPr>
              <w:pStyle w:val="TableCell"/>
              <w:spacing w:before="40" w:after="40" w:line="240" w:lineRule="auto"/>
              <w:rPr>
                <w:rFonts w:cs="Arial"/>
                <w:szCs w:val="18"/>
              </w:rPr>
            </w:pPr>
            <w:r w:rsidRPr="001D6512">
              <w:rPr>
                <w:rFonts w:cs="Arial"/>
                <w:szCs w:val="18"/>
                <w:u w:val="single"/>
              </w:rPr>
              <w:t>&gt;</w:t>
            </w:r>
            <w:r w:rsidRPr="001D6512">
              <w:rPr>
                <w:rFonts w:cs="Arial"/>
                <w:szCs w:val="18"/>
              </w:rPr>
              <w:t xml:space="preserve"> </w:t>
            </w:r>
            <w:r w:rsidR="008075FC" w:rsidRPr="001D6512">
              <w:rPr>
                <w:rFonts w:cs="Arial"/>
                <w:szCs w:val="18"/>
              </w:rPr>
              <w:t>240,000 BtuH</w:t>
            </w:r>
          </w:p>
          <w:p w:rsidR="0014435C" w:rsidRPr="001D6512" w:rsidRDefault="0014435C" w:rsidP="00C3606E">
            <w:pPr>
              <w:pStyle w:val="TableCell"/>
              <w:spacing w:before="40" w:after="40" w:line="240" w:lineRule="auto"/>
              <w:rPr>
                <w:rFonts w:cs="Arial"/>
                <w:szCs w:val="18"/>
              </w:rPr>
            </w:pPr>
            <w:r w:rsidRPr="001D6512">
              <w:rPr>
                <w:rFonts w:cs="Arial"/>
                <w:szCs w:val="18"/>
              </w:rPr>
              <w:t>(IPLV for units with capacity-modulation only)</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1D6512" w:rsidRDefault="00FE4B48" w:rsidP="00C3606E">
            <w:pPr>
              <w:pStyle w:val="TableCell"/>
              <w:spacing w:before="40" w:after="40" w:line="240" w:lineRule="auto"/>
              <w:rPr>
                <w:rFonts w:cs="Arial"/>
                <w:szCs w:val="18"/>
              </w:rPr>
            </w:pPr>
            <w:r w:rsidRPr="001D6512">
              <w:rPr>
                <w:rFonts w:cs="Arial"/>
                <w:szCs w:val="18"/>
              </w:rPr>
              <w:t>9.5 EER</w:t>
            </w:r>
            <w:r w:rsidR="0014435C" w:rsidRPr="001D6512">
              <w:rPr>
                <w:rFonts w:cs="Arial"/>
                <w:szCs w:val="18"/>
              </w:rPr>
              <w:t xml:space="preserve"> / 9.2 IPLV</w:t>
            </w:r>
          </w:p>
        </w:tc>
        <w:tc>
          <w:tcPr>
            <w:tcW w:w="1224" w:type="pct"/>
            <w:tcBorders>
              <w:top w:val="single" w:sz="8" w:space="0" w:color="auto"/>
              <w:left w:val="nil"/>
              <w:bottom w:val="single" w:sz="8" w:space="0" w:color="auto"/>
              <w:right w:val="single" w:sz="8" w:space="0" w:color="auto"/>
            </w:tcBorders>
            <w:vAlign w:val="center"/>
          </w:tcPr>
          <w:p w:rsidR="00FE4B48" w:rsidRPr="001D6512" w:rsidRDefault="00FE4B48" w:rsidP="00C3606E">
            <w:pPr>
              <w:pStyle w:val="TableCell"/>
              <w:spacing w:before="40" w:after="40" w:line="240" w:lineRule="auto"/>
              <w:rPr>
                <w:rFonts w:cs="Arial"/>
                <w:szCs w:val="18"/>
              </w:rPr>
            </w:pPr>
            <w:r w:rsidRPr="001D6512">
              <w:rPr>
                <w:rFonts w:cs="Arial"/>
                <w:szCs w:val="18"/>
              </w:rPr>
              <w:t>3.2 COP</w:t>
            </w:r>
          </w:p>
        </w:tc>
      </w:tr>
      <w:tr w:rsidR="008075FC" w:rsidRPr="00064E44" w:rsidTr="008075FC">
        <w:trPr>
          <w:trHeight w:val="20"/>
          <w:jc w:val="center"/>
        </w:trPr>
        <w:tc>
          <w:tcPr>
            <w:tcW w:w="5000" w:type="pct"/>
            <w:gridSpan w:val="3"/>
            <w:tcBorders>
              <w:top w:val="single" w:sz="8" w:space="0" w:color="auto"/>
              <w:left w:val="single" w:sz="8" w:space="0" w:color="auto"/>
              <w:bottom w:val="single" w:sz="8" w:space="0" w:color="auto"/>
              <w:right w:val="single" w:sz="8" w:space="0" w:color="auto"/>
            </w:tcBorders>
            <w:shd w:val="clear" w:color="000000" w:fill="D8D8D8"/>
            <w:tcMar>
              <w:left w:w="115" w:type="dxa"/>
              <w:right w:w="115" w:type="dxa"/>
            </w:tcMar>
            <w:vAlign w:val="center"/>
          </w:tcPr>
          <w:p w:rsidR="008075FC" w:rsidRPr="001D6512" w:rsidRDefault="008075FC" w:rsidP="00C3606E">
            <w:pPr>
              <w:pStyle w:val="TableCell"/>
              <w:keepNext w:val="0"/>
              <w:spacing w:before="40" w:after="40" w:line="240" w:lineRule="auto"/>
              <w:rPr>
                <w:rFonts w:cs="Arial"/>
                <w:szCs w:val="18"/>
              </w:rPr>
            </w:pPr>
            <w:r w:rsidRPr="001D6512">
              <w:rPr>
                <w:rFonts w:cs="Arial"/>
                <w:szCs w:val="18"/>
              </w:rPr>
              <w:t xml:space="preserve">Water-Source Heat Pumps </w:t>
            </w:r>
          </w:p>
        </w:tc>
      </w:tr>
      <w:tr w:rsidR="00FE4B48" w:rsidRPr="00064E44" w:rsidTr="008075FC">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1D6512" w:rsidRDefault="00FE4B48" w:rsidP="008075FC">
            <w:pPr>
              <w:pStyle w:val="TableCell"/>
              <w:keepNext w:val="0"/>
              <w:spacing w:before="40" w:after="40" w:line="240" w:lineRule="auto"/>
              <w:rPr>
                <w:rFonts w:cs="Arial"/>
                <w:szCs w:val="18"/>
              </w:rPr>
            </w:pPr>
            <w:r w:rsidRPr="001D6512">
              <w:rPr>
                <w:rFonts w:cs="Arial"/>
                <w:szCs w:val="18"/>
              </w:rPr>
              <w:t xml:space="preserve">&lt; </w:t>
            </w:r>
            <w:r w:rsidR="008075FC" w:rsidRPr="001D6512">
              <w:rPr>
                <w:rFonts w:cs="Arial"/>
                <w:szCs w:val="18"/>
              </w:rPr>
              <w:t>17,000 BtuH</w:t>
            </w:r>
            <w:r w:rsidRPr="001D6512">
              <w:rPr>
                <w:rFonts w:cs="Arial"/>
                <w:szCs w:val="18"/>
              </w:rPr>
              <w:t xml:space="preserve"> </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1D6512" w:rsidRDefault="00FE4B48" w:rsidP="00C3606E">
            <w:pPr>
              <w:pStyle w:val="TableCell"/>
              <w:keepNext w:val="0"/>
              <w:spacing w:before="40" w:after="40" w:line="240" w:lineRule="auto"/>
              <w:rPr>
                <w:rFonts w:cs="Arial"/>
                <w:szCs w:val="18"/>
              </w:rPr>
            </w:pPr>
            <w:r w:rsidRPr="001D6512">
              <w:rPr>
                <w:rFonts w:cs="Arial"/>
                <w:szCs w:val="18"/>
              </w:rPr>
              <w:t>11.2 EER</w:t>
            </w:r>
          </w:p>
        </w:tc>
        <w:tc>
          <w:tcPr>
            <w:tcW w:w="1224" w:type="pct"/>
            <w:tcBorders>
              <w:top w:val="single" w:sz="8" w:space="0" w:color="auto"/>
              <w:left w:val="nil"/>
              <w:bottom w:val="single" w:sz="8" w:space="0" w:color="auto"/>
              <w:right w:val="single" w:sz="8" w:space="0" w:color="auto"/>
            </w:tcBorders>
            <w:vAlign w:val="center"/>
          </w:tcPr>
          <w:p w:rsidR="00FE4B48" w:rsidRPr="001D6512" w:rsidRDefault="00FE4B48" w:rsidP="00C3606E">
            <w:pPr>
              <w:pStyle w:val="TableCell"/>
              <w:keepNext w:val="0"/>
              <w:spacing w:before="40" w:after="40" w:line="240" w:lineRule="auto"/>
              <w:rPr>
                <w:rFonts w:cs="Arial"/>
                <w:szCs w:val="18"/>
              </w:rPr>
            </w:pPr>
            <w:r w:rsidRPr="001D6512">
              <w:rPr>
                <w:rFonts w:cs="Arial"/>
                <w:szCs w:val="18"/>
              </w:rPr>
              <w:t>4.2 COP</w:t>
            </w:r>
          </w:p>
        </w:tc>
      </w:tr>
      <w:tr w:rsidR="00FE4B48" w:rsidRPr="00064E44" w:rsidTr="008075FC">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1D6512" w:rsidRDefault="00FE4B48" w:rsidP="008075FC">
            <w:pPr>
              <w:pStyle w:val="TableCell"/>
              <w:keepNext w:val="0"/>
              <w:spacing w:before="40" w:after="40" w:line="240" w:lineRule="auto"/>
              <w:rPr>
                <w:rFonts w:cs="Arial"/>
                <w:szCs w:val="18"/>
              </w:rPr>
            </w:pPr>
            <w:r w:rsidRPr="001D6512">
              <w:rPr>
                <w:rFonts w:cs="Arial"/>
                <w:szCs w:val="18"/>
                <w:u w:val="single"/>
              </w:rPr>
              <w:t>&gt;</w:t>
            </w:r>
            <w:r w:rsidRPr="001D6512">
              <w:rPr>
                <w:rFonts w:cs="Arial"/>
                <w:szCs w:val="18"/>
              </w:rPr>
              <w:t xml:space="preserve"> 1</w:t>
            </w:r>
            <w:r w:rsidR="008075FC" w:rsidRPr="001D6512">
              <w:rPr>
                <w:rFonts w:cs="Arial"/>
                <w:szCs w:val="18"/>
              </w:rPr>
              <w:t>7,000 BtuH</w:t>
            </w:r>
            <w:r w:rsidRPr="001D6512">
              <w:rPr>
                <w:rFonts w:cs="Arial"/>
                <w:szCs w:val="18"/>
              </w:rPr>
              <w:t xml:space="preserve"> and </w:t>
            </w:r>
            <w:r w:rsidRPr="001D6512">
              <w:rPr>
                <w:rFonts w:cs="Arial"/>
                <w:szCs w:val="18"/>
                <w:u w:val="single"/>
              </w:rPr>
              <w:t>&lt;</w:t>
            </w:r>
            <w:r w:rsidRPr="001D6512">
              <w:rPr>
                <w:rFonts w:cs="Arial"/>
                <w:szCs w:val="18"/>
              </w:rPr>
              <w:t xml:space="preserve"> </w:t>
            </w:r>
            <w:r w:rsidR="008075FC" w:rsidRPr="001D6512">
              <w:rPr>
                <w:rFonts w:cs="Arial"/>
                <w:szCs w:val="18"/>
              </w:rPr>
              <w:t>135,000 BtuH</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1D6512" w:rsidRDefault="00FE4B48" w:rsidP="00C3606E">
            <w:pPr>
              <w:pStyle w:val="TableCell"/>
              <w:keepNext w:val="0"/>
              <w:spacing w:before="40" w:after="40" w:line="240" w:lineRule="auto"/>
              <w:rPr>
                <w:rFonts w:cs="Arial"/>
                <w:szCs w:val="18"/>
              </w:rPr>
            </w:pPr>
            <w:r w:rsidRPr="001D6512">
              <w:rPr>
                <w:rFonts w:cs="Arial"/>
                <w:szCs w:val="18"/>
              </w:rPr>
              <w:t>12.0 EER</w:t>
            </w:r>
          </w:p>
        </w:tc>
        <w:tc>
          <w:tcPr>
            <w:tcW w:w="1224" w:type="pct"/>
            <w:tcBorders>
              <w:top w:val="single" w:sz="8" w:space="0" w:color="auto"/>
              <w:left w:val="nil"/>
              <w:bottom w:val="single" w:sz="8" w:space="0" w:color="auto"/>
              <w:right w:val="single" w:sz="8" w:space="0" w:color="auto"/>
            </w:tcBorders>
            <w:vAlign w:val="center"/>
          </w:tcPr>
          <w:p w:rsidR="00FE4B48" w:rsidRPr="001D6512" w:rsidRDefault="00FE4B48" w:rsidP="00C3606E">
            <w:pPr>
              <w:pStyle w:val="TableCell"/>
              <w:keepNext w:val="0"/>
              <w:spacing w:before="40" w:after="40" w:line="240" w:lineRule="auto"/>
              <w:rPr>
                <w:rFonts w:cs="Arial"/>
                <w:szCs w:val="18"/>
              </w:rPr>
            </w:pPr>
            <w:r w:rsidRPr="001D6512">
              <w:rPr>
                <w:rFonts w:cs="Arial"/>
                <w:szCs w:val="18"/>
              </w:rPr>
              <w:t>4.2 COP</w:t>
            </w:r>
          </w:p>
        </w:tc>
      </w:tr>
      <w:tr w:rsidR="008075FC" w:rsidRPr="00064E44" w:rsidTr="008075FC">
        <w:trPr>
          <w:trHeight w:val="20"/>
          <w:jc w:val="center"/>
        </w:trPr>
        <w:tc>
          <w:tcPr>
            <w:tcW w:w="5000" w:type="pct"/>
            <w:gridSpan w:val="3"/>
            <w:tcBorders>
              <w:top w:val="single" w:sz="8" w:space="0" w:color="auto"/>
              <w:left w:val="single" w:sz="8" w:space="0" w:color="auto"/>
              <w:bottom w:val="single" w:sz="8" w:space="0" w:color="auto"/>
              <w:right w:val="single" w:sz="8" w:space="0" w:color="auto"/>
            </w:tcBorders>
            <w:shd w:val="clear" w:color="000000" w:fill="D8D8D8"/>
            <w:tcMar>
              <w:left w:w="115" w:type="dxa"/>
              <w:right w:w="115" w:type="dxa"/>
            </w:tcMar>
            <w:vAlign w:val="center"/>
          </w:tcPr>
          <w:p w:rsidR="008075FC" w:rsidRPr="001D6512" w:rsidRDefault="008075FC" w:rsidP="00C3606E">
            <w:pPr>
              <w:pStyle w:val="TableCell"/>
              <w:keepNext w:val="0"/>
              <w:spacing w:before="40" w:after="40" w:line="240" w:lineRule="auto"/>
              <w:rPr>
                <w:rFonts w:cs="Arial"/>
                <w:szCs w:val="18"/>
              </w:rPr>
            </w:pPr>
            <w:r w:rsidRPr="001D6512">
              <w:rPr>
                <w:rFonts w:cs="Arial"/>
                <w:szCs w:val="18"/>
              </w:rPr>
              <w:t xml:space="preserve">Ground Water Source Heat Pumps </w:t>
            </w:r>
          </w:p>
        </w:tc>
      </w:tr>
      <w:tr w:rsidR="00FE4B48" w:rsidRPr="00064E44" w:rsidTr="008075FC">
        <w:trPr>
          <w:trHeight w:val="20"/>
          <w:jc w:val="center"/>
        </w:trPr>
        <w:tc>
          <w:tcPr>
            <w:tcW w:w="2551" w:type="pct"/>
            <w:tcBorders>
              <w:top w:val="single" w:sz="8" w:space="0" w:color="auto"/>
              <w:left w:val="single" w:sz="8" w:space="0" w:color="auto"/>
              <w:bottom w:val="single" w:sz="8" w:space="0" w:color="auto"/>
            </w:tcBorders>
            <w:shd w:val="clear" w:color="auto" w:fill="auto"/>
            <w:tcMar>
              <w:left w:w="115" w:type="dxa"/>
              <w:right w:w="115" w:type="dxa"/>
            </w:tcMar>
            <w:vAlign w:val="center"/>
          </w:tcPr>
          <w:p w:rsidR="00FE4B48" w:rsidRPr="001D6512" w:rsidRDefault="00FE4B48" w:rsidP="008075FC">
            <w:pPr>
              <w:pStyle w:val="TableCell"/>
              <w:keepNext w:val="0"/>
              <w:spacing w:before="40" w:after="40" w:line="240" w:lineRule="auto"/>
              <w:rPr>
                <w:rFonts w:cs="Arial"/>
                <w:szCs w:val="18"/>
              </w:rPr>
            </w:pPr>
            <w:r w:rsidRPr="001D6512">
              <w:rPr>
                <w:rFonts w:cs="Arial"/>
                <w:szCs w:val="18"/>
              </w:rPr>
              <w:t xml:space="preserve">&lt; </w:t>
            </w:r>
            <w:r w:rsidR="008075FC" w:rsidRPr="001D6512">
              <w:rPr>
                <w:rFonts w:cs="Arial"/>
                <w:szCs w:val="18"/>
              </w:rPr>
              <w:t>135,000 BtuH</w:t>
            </w:r>
          </w:p>
        </w:tc>
        <w:tc>
          <w:tcPr>
            <w:tcW w:w="1225" w:type="pct"/>
            <w:tcBorders>
              <w:top w:val="single" w:sz="8" w:space="0" w:color="auto"/>
              <w:bottom w:val="single" w:sz="8" w:space="0" w:color="auto"/>
            </w:tcBorders>
            <w:shd w:val="clear" w:color="auto" w:fill="auto"/>
            <w:tcMar>
              <w:left w:w="115" w:type="dxa"/>
              <w:right w:w="115" w:type="dxa"/>
            </w:tcMar>
            <w:vAlign w:val="center"/>
          </w:tcPr>
          <w:p w:rsidR="00FE4B48" w:rsidRPr="001D6512" w:rsidRDefault="00FE4B48" w:rsidP="00C3606E">
            <w:pPr>
              <w:pStyle w:val="TableCell"/>
              <w:keepNext w:val="0"/>
              <w:spacing w:before="40" w:after="40" w:line="240" w:lineRule="auto"/>
              <w:rPr>
                <w:rFonts w:cs="Arial"/>
                <w:szCs w:val="18"/>
              </w:rPr>
            </w:pPr>
            <w:r w:rsidRPr="001D6512">
              <w:rPr>
                <w:rFonts w:cs="Arial"/>
                <w:szCs w:val="18"/>
              </w:rPr>
              <w:t>16.2 EER</w:t>
            </w:r>
          </w:p>
        </w:tc>
        <w:tc>
          <w:tcPr>
            <w:tcW w:w="1224" w:type="pct"/>
            <w:tcBorders>
              <w:top w:val="single" w:sz="8" w:space="0" w:color="auto"/>
              <w:bottom w:val="single" w:sz="8" w:space="0" w:color="auto"/>
              <w:right w:val="single" w:sz="8" w:space="0" w:color="auto"/>
            </w:tcBorders>
            <w:shd w:val="clear" w:color="auto" w:fill="auto"/>
            <w:vAlign w:val="center"/>
          </w:tcPr>
          <w:p w:rsidR="00FE4B48" w:rsidRPr="001D6512" w:rsidRDefault="00FE4B48" w:rsidP="00C3606E">
            <w:pPr>
              <w:pStyle w:val="TableCell"/>
              <w:keepNext w:val="0"/>
              <w:spacing w:before="40" w:after="40" w:line="240" w:lineRule="auto"/>
              <w:rPr>
                <w:rFonts w:cs="Arial"/>
                <w:szCs w:val="18"/>
              </w:rPr>
            </w:pPr>
            <w:r w:rsidRPr="001D6512">
              <w:rPr>
                <w:rFonts w:cs="Arial"/>
                <w:szCs w:val="18"/>
              </w:rPr>
              <w:t>3.6 COP</w:t>
            </w:r>
          </w:p>
        </w:tc>
      </w:tr>
      <w:tr w:rsidR="008075FC" w:rsidRPr="00064E44" w:rsidTr="008075FC">
        <w:trPr>
          <w:trHeight w:val="20"/>
          <w:jc w:val="center"/>
        </w:trPr>
        <w:tc>
          <w:tcPr>
            <w:tcW w:w="5000" w:type="pct"/>
            <w:gridSpan w:val="3"/>
            <w:tcBorders>
              <w:top w:val="single" w:sz="8" w:space="0" w:color="auto"/>
              <w:left w:val="single" w:sz="8" w:space="0" w:color="auto"/>
              <w:bottom w:val="single" w:sz="8" w:space="0" w:color="auto"/>
              <w:right w:val="single" w:sz="8" w:space="0" w:color="auto"/>
            </w:tcBorders>
            <w:shd w:val="clear" w:color="000000" w:fill="D8D8D8"/>
            <w:tcMar>
              <w:left w:w="115" w:type="dxa"/>
              <w:right w:w="115" w:type="dxa"/>
            </w:tcMar>
            <w:vAlign w:val="center"/>
          </w:tcPr>
          <w:p w:rsidR="008075FC" w:rsidRPr="001D6512" w:rsidRDefault="008075FC" w:rsidP="00C3606E">
            <w:pPr>
              <w:pStyle w:val="TableCell"/>
              <w:keepNext w:val="0"/>
              <w:spacing w:before="40" w:after="40" w:line="240" w:lineRule="auto"/>
              <w:rPr>
                <w:rFonts w:cs="Arial"/>
                <w:szCs w:val="18"/>
              </w:rPr>
            </w:pPr>
            <w:r w:rsidRPr="001D6512">
              <w:rPr>
                <w:rFonts w:cs="Arial"/>
                <w:szCs w:val="18"/>
              </w:rPr>
              <w:t xml:space="preserve">Ground Source Heat Pumps </w:t>
            </w:r>
          </w:p>
        </w:tc>
      </w:tr>
      <w:tr w:rsidR="00FE4B48" w:rsidRPr="00064E44" w:rsidTr="008075FC">
        <w:trPr>
          <w:trHeight w:val="20"/>
          <w:jc w:val="center"/>
        </w:trPr>
        <w:tc>
          <w:tcPr>
            <w:tcW w:w="2551" w:type="pct"/>
            <w:tcBorders>
              <w:top w:val="single" w:sz="8" w:space="0" w:color="auto"/>
              <w:left w:val="single" w:sz="8" w:space="0" w:color="auto"/>
              <w:bottom w:val="single" w:sz="8" w:space="0" w:color="auto"/>
              <w:right w:val="single" w:sz="8" w:space="0" w:color="000000"/>
            </w:tcBorders>
            <w:tcMar>
              <w:left w:w="115" w:type="dxa"/>
              <w:right w:w="115" w:type="dxa"/>
            </w:tcMar>
            <w:vAlign w:val="center"/>
          </w:tcPr>
          <w:p w:rsidR="00FE4B48" w:rsidRPr="001D6512" w:rsidRDefault="008075FC" w:rsidP="00C3606E">
            <w:pPr>
              <w:pStyle w:val="TableCell"/>
              <w:keepNext w:val="0"/>
              <w:spacing w:before="40" w:after="40" w:line="240" w:lineRule="auto"/>
              <w:rPr>
                <w:rFonts w:cs="Arial"/>
                <w:szCs w:val="18"/>
              </w:rPr>
            </w:pPr>
            <w:r w:rsidRPr="001D6512">
              <w:rPr>
                <w:rFonts w:cs="Arial"/>
                <w:szCs w:val="18"/>
              </w:rPr>
              <w:t>&lt; 135,000 BtuH</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1D6512" w:rsidRDefault="00FE4B48" w:rsidP="00C3606E">
            <w:pPr>
              <w:pStyle w:val="TableCell"/>
              <w:keepNext w:val="0"/>
              <w:spacing w:before="40" w:after="40" w:line="240" w:lineRule="auto"/>
              <w:rPr>
                <w:rFonts w:cs="Arial"/>
                <w:szCs w:val="18"/>
              </w:rPr>
            </w:pPr>
            <w:r w:rsidRPr="001D6512">
              <w:rPr>
                <w:rFonts w:cs="Arial"/>
                <w:szCs w:val="18"/>
              </w:rPr>
              <w:t>13.4 EER</w:t>
            </w:r>
          </w:p>
        </w:tc>
        <w:tc>
          <w:tcPr>
            <w:tcW w:w="1224" w:type="pct"/>
            <w:tcBorders>
              <w:top w:val="single" w:sz="8" w:space="0" w:color="auto"/>
              <w:left w:val="nil"/>
              <w:bottom w:val="single" w:sz="8" w:space="0" w:color="auto"/>
              <w:right w:val="single" w:sz="8" w:space="0" w:color="auto"/>
            </w:tcBorders>
            <w:vAlign w:val="center"/>
          </w:tcPr>
          <w:p w:rsidR="00FE4B48" w:rsidRPr="001D6512" w:rsidRDefault="00FE4B48" w:rsidP="00C3606E">
            <w:pPr>
              <w:pStyle w:val="TableCell"/>
              <w:keepNext w:val="0"/>
              <w:spacing w:before="40" w:after="40" w:line="240" w:lineRule="auto"/>
              <w:rPr>
                <w:rFonts w:cs="Arial"/>
                <w:szCs w:val="18"/>
              </w:rPr>
            </w:pPr>
            <w:r w:rsidRPr="001D6512">
              <w:rPr>
                <w:rFonts w:cs="Arial"/>
                <w:szCs w:val="18"/>
              </w:rPr>
              <w:t>3.1 COP</w:t>
            </w:r>
          </w:p>
        </w:tc>
      </w:tr>
      <w:tr w:rsidR="008075FC" w:rsidRPr="00064E44" w:rsidTr="008075FC">
        <w:trPr>
          <w:trHeight w:val="20"/>
          <w:jc w:val="center"/>
        </w:trPr>
        <w:tc>
          <w:tcPr>
            <w:tcW w:w="5000" w:type="pct"/>
            <w:gridSpan w:val="3"/>
            <w:tcBorders>
              <w:top w:val="single" w:sz="8" w:space="0" w:color="auto"/>
              <w:left w:val="single" w:sz="8" w:space="0" w:color="auto"/>
              <w:bottom w:val="single" w:sz="8" w:space="0" w:color="auto"/>
              <w:right w:val="single" w:sz="8" w:space="0" w:color="auto"/>
            </w:tcBorders>
            <w:shd w:val="clear" w:color="000000" w:fill="D8D8D8"/>
            <w:tcMar>
              <w:left w:w="115" w:type="dxa"/>
              <w:right w:w="115" w:type="dxa"/>
            </w:tcMar>
            <w:vAlign w:val="center"/>
          </w:tcPr>
          <w:p w:rsidR="008075FC" w:rsidRPr="001D6512" w:rsidRDefault="008075FC" w:rsidP="00C3606E">
            <w:pPr>
              <w:pStyle w:val="TableCell"/>
              <w:keepNext w:val="0"/>
              <w:spacing w:before="40" w:after="40" w:line="240" w:lineRule="auto"/>
              <w:rPr>
                <w:rFonts w:cs="Arial"/>
                <w:szCs w:val="18"/>
              </w:rPr>
            </w:pPr>
            <w:r w:rsidRPr="001D6512">
              <w:rPr>
                <w:rFonts w:cs="Arial"/>
                <w:szCs w:val="18"/>
              </w:rPr>
              <w:t>Packaged Terminal Systems (Replacements)</w:t>
            </w:r>
            <w:r w:rsidRPr="001D6512">
              <w:rPr>
                <w:rStyle w:val="FootnoteReference"/>
                <w:szCs w:val="18"/>
              </w:rPr>
              <w:footnoteReference w:id="164"/>
            </w:r>
          </w:p>
        </w:tc>
      </w:tr>
      <w:tr w:rsidR="00FE4B48" w:rsidRPr="00064E44" w:rsidTr="008075FC">
        <w:trPr>
          <w:trHeight w:val="20"/>
          <w:jc w:val="center"/>
        </w:trPr>
        <w:tc>
          <w:tcPr>
            <w:tcW w:w="2551" w:type="pct"/>
            <w:tcBorders>
              <w:top w:val="single" w:sz="8" w:space="0" w:color="auto"/>
              <w:left w:val="single" w:sz="8" w:space="0" w:color="auto"/>
              <w:bottom w:val="single" w:sz="8" w:space="0" w:color="auto"/>
              <w:right w:val="single" w:sz="8" w:space="0" w:color="000000"/>
            </w:tcBorders>
            <w:tcMar>
              <w:left w:w="115" w:type="dxa"/>
              <w:right w:w="115" w:type="dxa"/>
            </w:tcMar>
            <w:vAlign w:val="center"/>
          </w:tcPr>
          <w:p w:rsidR="00FE4B48" w:rsidRPr="001D6512" w:rsidRDefault="00FE4B48" w:rsidP="00C3606E">
            <w:pPr>
              <w:pStyle w:val="TableCell"/>
              <w:keepNext w:val="0"/>
              <w:spacing w:before="40" w:after="40" w:line="240" w:lineRule="auto"/>
              <w:rPr>
                <w:rFonts w:cs="Arial"/>
                <w:szCs w:val="18"/>
              </w:rPr>
            </w:pPr>
            <w:r w:rsidRPr="001D6512">
              <w:rPr>
                <w:rFonts w:cs="Arial"/>
                <w:szCs w:val="18"/>
              </w:rPr>
              <w:t>PTAC (cooling)</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1D6512" w:rsidRDefault="00FE4B48" w:rsidP="00FC60CE">
            <w:pPr>
              <w:pStyle w:val="TableCell"/>
              <w:keepNext w:val="0"/>
              <w:spacing w:before="40" w:after="40" w:line="240" w:lineRule="auto"/>
              <w:rPr>
                <w:rFonts w:cs="Arial"/>
                <w:szCs w:val="18"/>
              </w:rPr>
            </w:pPr>
            <w:r w:rsidRPr="001D6512">
              <w:rPr>
                <w:rFonts w:cs="Arial"/>
                <w:szCs w:val="18"/>
              </w:rPr>
              <w:t>10.9 - (0.213 x Cap / 1000) EER</w:t>
            </w:r>
          </w:p>
        </w:tc>
        <w:tc>
          <w:tcPr>
            <w:tcW w:w="1224" w:type="pct"/>
            <w:tcBorders>
              <w:top w:val="single" w:sz="8" w:space="0" w:color="auto"/>
              <w:left w:val="nil"/>
              <w:bottom w:val="single" w:sz="8" w:space="0" w:color="auto"/>
              <w:right w:val="single" w:sz="8" w:space="0" w:color="auto"/>
            </w:tcBorders>
            <w:vAlign w:val="center"/>
          </w:tcPr>
          <w:p w:rsidR="00FE4B48" w:rsidRPr="001D6512" w:rsidRDefault="00FE4B48" w:rsidP="00C3606E">
            <w:pPr>
              <w:pStyle w:val="TableCell"/>
              <w:keepNext w:val="0"/>
              <w:spacing w:before="40" w:after="40" w:line="240" w:lineRule="auto"/>
              <w:rPr>
                <w:rFonts w:cs="Arial"/>
                <w:szCs w:val="18"/>
              </w:rPr>
            </w:pPr>
          </w:p>
        </w:tc>
      </w:tr>
      <w:tr w:rsidR="00FE4B48" w:rsidRPr="00064E44" w:rsidTr="008075FC">
        <w:trPr>
          <w:trHeight w:val="20"/>
          <w:jc w:val="center"/>
        </w:trPr>
        <w:tc>
          <w:tcPr>
            <w:tcW w:w="2551" w:type="pct"/>
            <w:tcBorders>
              <w:top w:val="single" w:sz="8" w:space="0" w:color="auto"/>
              <w:left w:val="single" w:sz="8" w:space="0" w:color="auto"/>
              <w:bottom w:val="single" w:sz="8" w:space="0" w:color="auto"/>
              <w:right w:val="single" w:sz="8" w:space="0" w:color="000000"/>
            </w:tcBorders>
            <w:tcMar>
              <w:left w:w="115" w:type="dxa"/>
              <w:right w:w="115" w:type="dxa"/>
            </w:tcMar>
            <w:vAlign w:val="center"/>
          </w:tcPr>
          <w:p w:rsidR="00FE4B48" w:rsidRPr="001D6512" w:rsidRDefault="00FE4B48" w:rsidP="00C3606E">
            <w:pPr>
              <w:pStyle w:val="TableCell"/>
              <w:keepNext w:val="0"/>
              <w:spacing w:before="40" w:after="40" w:line="240" w:lineRule="auto"/>
              <w:rPr>
                <w:rFonts w:cs="Arial"/>
                <w:szCs w:val="18"/>
              </w:rPr>
            </w:pPr>
            <w:r w:rsidRPr="001D6512">
              <w:rPr>
                <w:rFonts w:cs="Arial"/>
                <w:szCs w:val="18"/>
              </w:rPr>
              <w:t xml:space="preserve">PTHP </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FE4B48" w:rsidRPr="001D6512" w:rsidRDefault="00FE4B48" w:rsidP="00FC60CE">
            <w:pPr>
              <w:pStyle w:val="TableCell"/>
              <w:keepNext w:val="0"/>
              <w:spacing w:before="40" w:after="40" w:line="240" w:lineRule="auto"/>
              <w:rPr>
                <w:rFonts w:cs="Arial"/>
                <w:szCs w:val="18"/>
              </w:rPr>
            </w:pPr>
            <w:r w:rsidRPr="001D6512">
              <w:rPr>
                <w:rFonts w:cs="Arial"/>
                <w:szCs w:val="18"/>
              </w:rPr>
              <w:t>10.8 - (0.213 x Cap / 1000) EER</w:t>
            </w:r>
          </w:p>
        </w:tc>
        <w:tc>
          <w:tcPr>
            <w:tcW w:w="1224" w:type="pct"/>
            <w:tcBorders>
              <w:top w:val="single" w:sz="8" w:space="0" w:color="auto"/>
              <w:left w:val="nil"/>
              <w:bottom w:val="single" w:sz="8" w:space="0" w:color="auto"/>
              <w:right w:val="single" w:sz="8" w:space="0" w:color="auto"/>
            </w:tcBorders>
            <w:vAlign w:val="center"/>
          </w:tcPr>
          <w:p w:rsidR="00FE4B48" w:rsidRPr="001D6512" w:rsidRDefault="00FE4B48" w:rsidP="00C3606E">
            <w:pPr>
              <w:pStyle w:val="TableCell"/>
              <w:keepNext w:val="0"/>
              <w:spacing w:before="40" w:after="40" w:line="240" w:lineRule="auto"/>
              <w:rPr>
                <w:rFonts w:cs="Arial"/>
                <w:szCs w:val="18"/>
              </w:rPr>
            </w:pPr>
            <w:r w:rsidRPr="001D6512">
              <w:rPr>
                <w:rFonts w:cs="Arial"/>
                <w:szCs w:val="18"/>
              </w:rPr>
              <w:t>2.9 - (0.</w:t>
            </w:r>
            <w:r w:rsidR="002E1D01" w:rsidRPr="001D6512">
              <w:rPr>
                <w:rFonts w:cs="Arial"/>
                <w:szCs w:val="18"/>
              </w:rPr>
              <w:t>026</w:t>
            </w:r>
            <w:r w:rsidRPr="001D6512">
              <w:rPr>
                <w:rFonts w:cs="Arial"/>
                <w:szCs w:val="18"/>
              </w:rPr>
              <w:t xml:space="preserve"> x Cap / 1000) COP</w:t>
            </w:r>
          </w:p>
        </w:tc>
      </w:tr>
      <w:tr w:rsidR="008075FC" w:rsidRPr="00064E44" w:rsidTr="008075FC">
        <w:trPr>
          <w:trHeight w:val="20"/>
          <w:jc w:val="center"/>
        </w:trPr>
        <w:tc>
          <w:tcPr>
            <w:tcW w:w="5000" w:type="pct"/>
            <w:gridSpan w:val="3"/>
            <w:tcBorders>
              <w:top w:val="single" w:sz="8" w:space="0" w:color="auto"/>
              <w:left w:val="single" w:sz="8" w:space="0" w:color="auto"/>
              <w:bottom w:val="single" w:sz="8" w:space="0" w:color="auto"/>
              <w:right w:val="single" w:sz="8" w:space="0" w:color="auto"/>
            </w:tcBorders>
            <w:shd w:val="clear" w:color="000000" w:fill="D8D8D8"/>
            <w:tcMar>
              <w:left w:w="115" w:type="dxa"/>
              <w:right w:w="115" w:type="dxa"/>
            </w:tcMar>
            <w:vAlign w:val="center"/>
          </w:tcPr>
          <w:p w:rsidR="008075FC" w:rsidRPr="001D6512" w:rsidRDefault="008075FC" w:rsidP="008075FC">
            <w:pPr>
              <w:pStyle w:val="TableCell"/>
              <w:keepNext w:val="0"/>
              <w:spacing w:before="40" w:after="40" w:line="240" w:lineRule="auto"/>
              <w:rPr>
                <w:rFonts w:cs="Arial"/>
                <w:szCs w:val="18"/>
              </w:rPr>
            </w:pPr>
            <w:r w:rsidRPr="001D6512">
              <w:rPr>
                <w:rFonts w:cs="Arial"/>
                <w:szCs w:val="18"/>
              </w:rPr>
              <w:t>Packaged Terminal Systems (New Construction)</w:t>
            </w:r>
          </w:p>
        </w:tc>
      </w:tr>
      <w:tr w:rsidR="00C34721" w:rsidRPr="00064E44" w:rsidTr="008075FC">
        <w:trPr>
          <w:trHeight w:val="20"/>
          <w:jc w:val="center"/>
        </w:trPr>
        <w:tc>
          <w:tcPr>
            <w:tcW w:w="2551" w:type="pct"/>
            <w:tcBorders>
              <w:top w:val="single" w:sz="8" w:space="0" w:color="auto"/>
              <w:left w:val="single" w:sz="8" w:space="0" w:color="auto"/>
              <w:bottom w:val="single" w:sz="8" w:space="0" w:color="auto"/>
              <w:right w:val="single" w:sz="8" w:space="0" w:color="000000"/>
            </w:tcBorders>
            <w:tcMar>
              <w:left w:w="115" w:type="dxa"/>
              <w:right w:w="115" w:type="dxa"/>
            </w:tcMar>
            <w:vAlign w:val="center"/>
          </w:tcPr>
          <w:p w:rsidR="00C34721" w:rsidRPr="001D6512" w:rsidRDefault="00C34721" w:rsidP="00C3606E">
            <w:pPr>
              <w:pStyle w:val="TableCell"/>
              <w:keepNext w:val="0"/>
              <w:spacing w:before="40" w:after="40" w:line="240" w:lineRule="auto"/>
              <w:rPr>
                <w:rFonts w:cs="Arial"/>
                <w:szCs w:val="18"/>
              </w:rPr>
            </w:pPr>
            <w:r w:rsidRPr="001D6512">
              <w:rPr>
                <w:rFonts w:cs="Arial"/>
                <w:szCs w:val="18"/>
              </w:rPr>
              <w:t>PTAC (cooling)</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C34721" w:rsidRPr="002E1D01" w:rsidRDefault="00C34721" w:rsidP="00FC60CE">
            <w:pPr>
              <w:overflowPunct/>
              <w:spacing w:before="40" w:after="40" w:line="240" w:lineRule="auto"/>
              <w:textAlignment w:val="auto"/>
            </w:pPr>
            <w:r w:rsidRPr="002E1D01">
              <w:rPr>
                <w:rFonts w:cs="Arial"/>
                <w:sz w:val="18"/>
                <w:szCs w:val="18"/>
              </w:rPr>
              <w:t>12.5 - (0.213 x</w:t>
            </w:r>
            <w:r w:rsidR="002E1D01">
              <w:rPr>
                <w:rFonts w:cs="Arial"/>
                <w:sz w:val="18"/>
                <w:szCs w:val="18"/>
              </w:rPr>
              <w:t xml:space="preserve"> </w:t>
            </w:r>
            <w:r w:rsidRPr="002E1D01">
              <w:rPr>
                <w:rFonts w:cs="Arial"/>
                <w:sz w:val="18"/>
                <w:szCs w:val="18"/>
              </w:rPr>
              <w:t>Cap / 1000)</w:t>
            </w:r>
            <w:r w:rsidR="002E1D01">
              <w:rPr>
                <w:rFonts w:cs="Arial"/>
                <w:sz w:val="18"/>
                <w:szCs w:val="18"/>
              </w:rPr>
              <w:t xml:space="preserve"> </w:t>
            </w:r>
            <w:r w:rsidRPr="00A41BC2">
              <w:rPr>
                <w:sz w:val="18"/>
                <w:szCs w:val="18"/>
              </w:rPr>
              <w:t>EER</w:t>
            </w:r>
          </w:p>
        </w:tc>
        <w:tc>
          <w:tcPr>
            <w:tcW w:w="1224" w:type="pct"/>
            <w:tcBorders>
              <w:top w:val="single" w:sz="8" w:space="0" w:color="auto"/>
              <w:left w:val="nil"/>
              <w:bottom w:val="single" w:sz="8" w:space="0" w:color="auto"/>
              <w:right w:val="single" w:sz="8" w:space="0" w:color="auto"/>
            </w:tcBorders>
            <w:vAlign w:val="center"/>
          </w:tcPr>
          <w:p w:rsidR="00C34721" w:rsidRPr="001D6512" w:rsidRDefault="00C34721" w:rsidP="00C3606E">
            <w:pPr>
              <w:pStyle w:val="TableCell"/>
              <w:keepNext w:val="0"/>
              <w:spacing w:before="40" w:after="40" w:line="240" w:lineRule="auto"/>
              <w:rPr>
                <w:rFonts w:cs="Arial"/>
                <w:szCs w:val="18"/>
              </w:rPr>
            </w:pPr>
          </w:p>
        </w:tc>
      </w:tr>
      <w:tr w:rsidR="00C34721" w:rsidRPr="00064E44" w:rsidTr="008075FC">
        <w:trPr>
          <w:trHeight w:val="20"/>
          <w:jc w:val="center"/>
        </w:trPr>
        <w:tc>
          <w:tcPr>
            <w:tcW w:w="2551" w:type="pct"/>
            <w:tcBorders>
              <w:top w:val="single" w:sz="8" w:space="0" w:color="auto"/>
              <w:left w:val="single" w:sz="8" w:space="0" w:color="auto"/>
              <w:bottom w:val="single" w:sz="8" w:space="0" w:color="auto"/>
              <w:right w:val="single" w:sz="8" w:space="0" w:color="000000"/>
            </w:tcBorders>
            <w:tcMar>
              <w:left w:w="115" w:type="dxa"/>
              <w:right w:w="115" w:type="dxa"/>
            </w:tcMar>
            <w:vAlign w:val="center"/>
          </w:tcPr>
          <w:p w:rsidR="00C34721" w:rsidRPr="001D6512" w:rsidRDefault="00C34721" w:rsidP="00C3606E">
            <w:pPr>
              <w:pStyle w:val="TableCell"/>
              <w:keepNext w:val="0"/>
              <w:spacing w:before="40" w:after="40" w:line="240" w:lineRule="auto"/>
              <w:rPr>
                <w:rFonts w:cs="Arial"/>
                <w:szCs w:val="18"/>
              </w:rPr>
            </w:pPr>
            <w:r w:rsidRPr="001D6512">
              <w:rPr>
                <w:rFonts w:cs="Arial"/>
                <w:szCs w:val="18"/>
              </w:rPr>
              <w:t xml:space="preserve">PTHP </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C34721" w:rsidRPr="00A41BC2" w:rsidRDefault="00C34721" w:rsidP="00FC60CE">
            <w:pPr>
              <w:overflowPunct/>
              <w:spacing w:before="40" w:after="40" w:line="240" w:lineRule="auto"/>
              <w:textAlignment w:val="auto"/>
              <w:rPr>
                <w:sz w:val="18"/>
                <w:szCs w:val="18"/>
              </w:rPr>
            </w:pPr>
            <w:r w:rsidRPr="00A41BC2">
              <w:rPr>
                <w:rFonts w:cs="Arial"/>
                <w:sz w:val="18"/>
                <w:szCs w:val="18"/>
              </w:rPr>
              <w:t>12.3 - (0.213 x</w:t>
            </w:r>
            <w:r w:rsidR="002E1D01" w:rsidRPr="00A41BC2">
              <w:rPr>
                <w:rFonts w:cs="Arial"/>
                <w:sz w:val="18"/>
                <w:szCs w:val="18"/>
              </w:rPr>
              <w:t xml:space="preserve"> </w:t>
            </w:r>
            <w:r w:rsidRPr="00A41BC2">
              <w:rPr>
                <w:rFonts w:cs="Arial"/>
                <w:sz w:val="18"/>
                <w:szCs w:val="18"/>
              </w:rPr>
              <w:t>Cap / 1000)</w:t>
            </w:r>
            <w:r w:rsidR="002E1D01" w:rsidRPr="00A41BC2">
              <w:rPr>
                <w:rFonts w:cs="Arial"/>
                <w:sz w:val="18"/>
                <w:szCs w:val="18"/>
              </w:rPr>
              <w:t xml:space="preserve"> </w:t>
            </w:r>
            <w:r w:rsidRPr="00A41BC2">
              <w:rPr>
                <w:sz w:val="18"/>
                <w:szCs w:val="18"/>
              </w:rPr>
              <w:t>EER</w:t>
            </w:r>
          </w:p>
        </w:tc>
        <w:tc>
          <w:tcPr>
            <w:tcW w:w="1224" w:type="pct"/>
            <w:tcBorders>
              <w:top w:val="single" w:sz="8" w:space="0" w:color="auto"/>
              <w:left w:val="nil"/>
              <w:bottom w:val="single" w:sz="8" w:space="0" w:color="auto"/>
              <w:right w:val="single" w:sz="8" w:space="0" w:color="auto"/>
            </w:tcBorders>
            <w:vAlign w:val="center"/>
          </w:tcPr>
          <w:p w:rsidR="00C34721" w:rsidRPr="00A41BC2" w:rsidRDefault="00C34721" w:rsidP="00FC60CE">
            <w:pPr>
              <w:overflowPunct/>
              <w:spacing w:before="40" w:after="40" w:line="240" w:lineRule="auto"/>
              <w:textAlignment w:val="auto"/>
              <w:rPr>
                <w:sz w:val="18"/>
                <w:szCs w:val="18"/>
              </w:rPr>
            </w:pPr>
            <w:r w:rsidRPr="00A41BC2">
              <w:rPr>
                <w:rFonts w:cs="Arial"/>
                <w:sz w:val="18"/>
                <w:szCs w:val="18"/>
              </w:rPr>
              <w:t>3.2 - (0.026 x</w:t>
            </w:r>
            <w:r w:rsidR="002E1D01" w:rsidRPr="00A41BC2">
              <w:rPr>
                <w:rFonts w:cs="Arial"/>
                <w:sz w:val="18"/>
                <w:szCs w:val="18"/>
              </w:rPr>
              <w:t xml:space="preserve"> </w:t>
            </w:r>
            <w:r w:rsidRPr="00A41BC2">
              <w:rPr>
                <w:rFonts w:cs="Arial"/>
                <w:sz w:val="18"/>
                <w:szCs w:val="18"/>
              </w:rPr>
              <w:t>Cap / 1000)</w:t>
            </w:r>
            <w:r w:rsidR="002E1D01" w:rsidRPr="00A41BC2">
              <w:rPr>
                <w:rFonts w:cs="Arial"/>
                <w:sz w:val="18"/>
                <w:szCs w:val="18"/>
              </w:rPr>
              <w:t xml:space="preserve"> </w:t>
            </w:r>
            <w:r w:rsidRPr="00A41BC2">
              <w:rPr>
                <w:sz w:val="18"/>
                <w:szCs w:val="18"/>
              </w:rPr>
              <w:t>COP</w:t>
            </w:r>
          </w:p>
        </w:tc>
      </w:tr>
    </w:tbl>
    <w:p w:rsidR="00A22E85" w:rsidRPr="00E75089" w:rsidRDefault="00E75089" w:rsidP="00C3606E">
      <w:pPr>
        <w:pStyle w:val="StyleCaptionCentered"/>
      </w:pPr>
      <w:bookmarkStart w:id="748" w:name="_Ref275556730"/>
      <w:bookmarkStart w:id="749" w:name="_Toc310875573"/>
      <w:r>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21</w:t>
      </w:r>
      <w:r w:rsidR="00274AB1">
        <w:rPr>
          <w:noProof/>
        </w:rPr>
        <w:fldChar w:fldCharType="end"/>
      </w:r>
      <w:bookmarkEnd w:id="748"/>
      <w:r>
        <w:t xml:space="preserve">: Cooling EFLH for </w:t>
      </w:r>
      <w:r w:rsidR="00861542">
        <w:t>Pennsylvania Cities</w:t>
      </w:r>
      <w:r>
        <w:rPr>
          <w:rStyle w:val="FootnoteReference"/>
        </w:rPr>
        <w:footnoteReference w:id="165"/>
      </w:r>
      <w:bookmarkEnd w:id="749"/>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5"/>
        <w:gridCol w:w="810"/>
        <w:gridCol w:w="810"/>
        <w:gridCol w:w="810"/>
        <w:gridCol w:w="810"/>
        <w:gridCol w:w="810"/>
        <w:gridCol w:w="810"/>
        <w:gridCol w:w="810"/>
      </w:tblGrid>
      <w:tr w:rsidR="00540C52" w:rsidRPr="00861542" w:rsidTr="00540C52">
        <w:trPr>
          <w:cantSplit/>
          <w:trHeight w:hRule="exact" w:val="1296"/>
          <w:tblHeader/>
        </w:trPr>
        <w:tc>
          <w:tcPr>
            <w:tcW w:w="1835" w:type="pct"/>
            <w:shd w:val="clear" w:color="auto" w:fill="BFBFBF"/>
            <w:vAlign w:val="bottom"/>
          </w:tcPr>
          <w:p w:rsidR="00861542" w:rsidRPr="001D6512" w:rsidRDefault="00861542" w:rsidP="00352B77">
            <w:pPr>
              <w:pStyle w:val="TableCell"/>
              <w:spacing w:before="60" w:after="60" w:line="240" w:lineRule="auto"/>
              <w:contextualSpacing/>
              <w:rPr>
                <w:rFonts w:cs="Arial"/>
                <w:b/>
                <w:szCs w:val="18"/>
              </w:rPr>
            </w:pPr>
            <w:r w:rsidRPr="001D6512">
              <w:rPr>
                <w:rFonts w:cs="Arial"/>
                <w:b/>
                <w:szCs w:val="18"/>
              </w:rPr>
              <w:t>Space and/or Building Type</w:t>
            </w:r>
          </w:p>
        </w:tc>
        <w:tc>
          <w:tcPr>
            <w:tcW w:w="452" w:type="pct"/>
            <w:shd w:val="clear" w:color="auto" w:fill="BFBFBF"/>
            <w:textDirection w:val="btLr"/>
            <w:vAlign w:val="center"/>
          </w:tcPr>
          <w:p w:rsidR="00861542" w:rsidRPr="001D6512" w:rsidRDefault="00861542" w:rsidP="00861542">
            <w:pPr>
              <w:pStyle w:val="TableCell"/>
              <w:spacing w:before="60" w:after="60" w:line="240" w:lineRule="auto"/>
              <w:ind w:left="60"/>
              <w:contextualSpacing/>
              <w:rPr>
                <w:rFonts w:cs="Arial"/>
                <w:b/>
                <w:szCs w:val="18"/>
              </w:rPr>
            </w:pPr>
            <w:r w:rsidRPr="001D6512">
              <w:rPr>
                <w:rFonts w:cs="Arial"/>
                <w:b/>
                <w:szCs w:val="18"/>
              </w:rPr>
              <w:t>Allentown</w:t>
            </w:r>
          </w:p>
        </w:tc>
        <w:tc>
          <w:tcPr>
            <w:tcW w:w="452" w:type="pct"/>
            <w:shd w:val="clear" w:color="auto" w:fill="BFBFBF"/>
            <w:textDirection w:val="btLr"/>
            <w:vAlign w:val="center"/>
          </w:tcPr>
          <w:p w:rsidR="00861542" w:rsidRPr="001D6512" w:rsidRDefault="00861542" w:rsidP="00861542">
            <w:pPr>
              <w:pStyle w:val="TableCell"/>
              <w:spacing w:before="60" w:after="60" w:line="240" w:lineRule="auto"/>
              <w:ind w:left="60"/>
              <w:contextualSpacing/>
              <w:rPr>
                <w:rFonts w:cs="Arial"/>
                <w:b/>
                <w:szCs w:val="18"/>
              </w:rPr>
            </w:pPr>
            <w:r w:rsidRPr="001D6512">
              <w:rPr>
                <w:rFonts w:cs="Arial"/>
                <w:b/>
                <w:szCs w:val="18"/>
              </w:rPr>
              <w:t>Erie</w:t>
            </w:r>
          </w:p>
        </w:tc>
        <w:tc>
          <w:tcPr>
            <w:tcW w:w="452" w:type="pct"/>
            <w:shd w:val="clear" w:color="auto" w:fill="BFBFBF"/>
            <w:textDirection w:val="btLr"/>
            <w:vAlign w:val="center"/>
          </w:tcPr>
          <w:p w:rsidR="00861542" w:rsidRPr="001D6512" w:rsidRDefault="00861542" w:rsidP="00861542">
            <w:pPr>
              <w:pStyle w:val="TableCell"/>
              <w:spacing w:before="60" w:after="60" w:line="240" w:lineRule="auto"/>
              <w:ind w:left="60"/>
              <w:contextualSpacing/>
              <w:rPr>
                <w:rFonts w:cs="Arial"/>
                <w:b/>
                <w:szCs w:val="18"/>
              </w:rPr>
            </w:pPr>
            <w:r w:rsidRPr="001D6512">
              <w:rPr>
                <w:rFonts w:cs="Arial"/>
                <w:b/>
                <w:szCs w:val="18"/>
              </w:rPr>
              <w:t>Harrisburg</w:t>
            </w:r>
          </w:p>
        </w:tc>
        <w:tc>
          <w:tcPr>
            <w:tcW w:w="452" w:type="pct"/>
            <w:shd w:val="clear" w:color="auto" w:fill="BFBFBF"/>
            <w:textDirection w:val="btLr"/>
            <w:vAlign w:val="center"/>
          </w:tcPr>
          <w:p w:rsidR="00861542" w:rsidRPr="001D6512" w:rsidRDefault="00861542" w:rsidP="00861542">
            <w:pPr>
              <w:pStyle w:val="TableCell"/>
              <w:spacing w:before="60" w:after="60" w:line="240" w:lineRule="auto"/>
              <w:ind w:left="60"/>
              <w:contextualSpacing/>
              <w:rPr>
                <w:rFonts w:cs="Arial"/>
                <w:b/>
                <w:szCs w:val="18"/>
              </w:rPr>
            </w:pPr>
            <w:r w:rsidRPr="001D6512">
              <w:rPr>
                <w:rFonts w:cs="Arial"/>
                <w:b/>
                <w:szCs w:val="18"/>
              </w:rPr>
              <w:t>Pittsburgh</w:t>
            </w:r>
          </w:p>
        </w:tc>
        <w:tc>
          <w:tcPr>
            <w:tcW w:w="452" w:type="pct"/>
            <w:shd w:val="clear" w:color="auto" w:fill="BFBFBF"/>
            <w:textDirection w:val="btLr"/>
            <w:vAlign w:val="center"/>
          </w:tcPr>
          <w:p w:rsidR="00861542" w:rsidRPr="001D6512" w:rsidRDefault="00861542" w:rsidP="00861542">
            <w:pPr>
              <w:pStyle w:val="TableCell"/>
              <w:spacing w:before="60" w:after="60" w:line="240" w:lineRule="auto"/>
              <w:ind w:left="60"/>
              <w:contextualSpacing/>
              <w:rPr>
                <w:rFonts w:cs="Arial"/>
                <w:b/>
                <w:szCs w:val="18"/>
              </w:rPr>
            </w:pPr>
            <w:r w:rsidRPr="001D6512">
              <w:rPr>
                <w:rFonts w:cs="Arial"/>
                <w:b/>
                <w:szCs w:val="18"/>
              </w:rPr>
              <w:t>Williamsport</w:t>
            </w:r>
          </w:p>
        </w:tc>
        <w:tc>
          <w:tcPr>
            <w:tcW w:w="452" w:type="pct"/>
            <w:shd w:val="clear" w:color="auto" w:fill="BFBFBF"/>
            <w:textDirection w:val="btLr"/>
            <w:vAlign w:val="center"/>
          </w:tcPr>
          <w:p w:rsidR="00861542" w:rsidRPr="001D6512" w:rsidRDefault="00861542" w:rsidP="00861542">
            <w:pPr>
              <w:pStyle w:val="TableCell"/>
              <w:spacing w:before="60" w:after="60" w:line="240" w:lineRule="auto"/>
              <w:ind w:left="60"/>
              <w:contextualSpacing/>
              <w:rPr>
                <w:rFonts w:cs="Arial"/>
                <w:b/>
                <w:szCs w:val="18"/>
              </w:rPr>
            </w:pPr>
            <w:r w:rsidRPr="001D6512">
              <w:rPr>
                <w:rFonts w:cs="Arial"/>
                <w:b/>
                <w:szCs w:val="18"/>
              </w:rPr>
              <w:t>Philadelphia</w:t>
            </w:r>
          </w:p>
        </w:tc>
        <w:tc>
          <w:tcPr>
            <w:tcW w:w="452" w:type="pct"/>
            <w:shd w:val="clear" w:color="auto" w:fill="BFBFBF"/>
            <w:textDirection w:val="btLr"/>
            <w:vAlign w:val="center"/>
          </w:tcPr>
          <w:p w:rsidR="00861542" w:rsidRPr="001D6512" w:rsidRDefault="00861542" w:rsidP="00861542">
            <w:pPr>
              <w:pStyle w:val="TableCell"/>
              <w:spacing w:before="60" w:after="60" w:line="240" w:lineRule="auto"/>
              <w:ind w:left="60"/>
              <w:rPr>
                <w:rFonts w:cs="Arial"/>
                <w:b/>
                <w:szCs w:val="18"/>
              </w:rPr>
            </w:pPr>
            <w:r w:rsidRPr="001D6512">
              <w:rPr>
                <w:rFonts w:cs="Arial"/>
                <w:b/>
                <w:szCs w:val="18"/>
              </w:rPr>
              <w:t>Scranton</w:t>
            </w:r>
          </w:p>
        </w:tc>
      </w:tr>
      <w:tr w:rsidR="00540C52" w:rsidRPr="00861542" w:rsidTr="00540C52">
        <w:trPr>
          <w:trHeight w:val="300"/>
        </w:trPr>
        <w:tc>
          <w:tcPr>
            <w:tcW w:w="1835" w:type="pct"/>
            <w:noWrap/>
          </w:tcPr>
          <w:p w:rsidR="00861542" w:rsidRPr="001D6512" w:rsidRDefault="00861542" w:rsidP="00861542">
            <w:pPr>
              <w:pStyle w:val="TableCell"/>
              <w:spacing w:before="60" w:after="60" w:line="240" w:lineRule="auto"/>
              <w:rPr>
                <w:rFonts w:cs="Arial"/>
                <w:color w:val="000000"/>
                <w:szCs w:val="18"/>
              </w:rPr>
            </w:pPr>
            <w:r w:rsidRPr="001D6512">
              <w:rPr>
                <w:rFonts w:cs="Arial"/>
                <w:color w:val="000000"/>
                <w:szCs w:val="18"/>
              </w:rPr>
              <w:t>Arena/Auditorium/Convention Center</w:t>
            </w:r>
          </w:p>
        </w:tc>
        <w:tc>
          <w:tcPr>
            <w:tcW w:w="452" w:type="pct"/>
            <w:noWrap/>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602</w:t>
            </w:r>
          </w:p>
        </w:tc>
        <w:tc>
          <w:tcPr>
            <w:tcW w:w="452" w:type="pct"/>
            <w:noWrap/>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332</w:t>
            </w:r>
          </w:p>
        </w:tc>
        <w:tc>
          <w:tcPr>
            <w:tcW w:w="452" w:type="pct"/>
            <w:noWrap/>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640</w:t>
            </w:r>
          </w:p>
        </w:tc>
        <w:tc>
          <w:tcPr>
            <w:tcW w:w="452" w:type="pct"/>
            <w:noWrap/>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508</w:t>
            </w:r>
          </w:p>
        </w:tc>
        <w:tc>
          <w:tcPr>
            <w:tcW w:w="452" w:type="pct"/>
            <w:noWrap/>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454</w:t>
            </w:r>
          </w:p>
        </w:tc>
        <w:tc>
          <w:tcPr>
            <w:tcW w:w="452" w:type="pct"/>
            <w:noWrap/>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711</w:t>
            </w:r>
          </w:p>
        </w:tc>
        <w:tc>
          <w:tcPr>
            <w:tcW w:w="452" w:type="pct"/>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428</w:t>
            </w:r>
          </w:p>
        </w:tc>
      </w:tr>
      <w:tr w:rsidR="00540C52" w:rsidRPr="00861542" w:rsidTr="00540C52">
        <w:trPr>
          <w:trHeight w:val="300"/>
        </w:trPr>
        <w:tc>
          <w:tcPr>
            <w:tcW w:w="1835" w:type="pct"/>
            <w:noWrap/>
          </w:tcPr>
          <w:p w:rsidR="00861542" w:rsidRPr="001D6512" w:rsidRDefault="00861542" w:rsidP="00861542">
            <w:pPr>
              <w:pStyle w:val="TableCell"/>
              <w:spacing w:before="60" w:after="60" w:line="240" w:lineRule="auto"/>
              <w:rPr>
                <w:rFonts w:cs="Arial"/>
                <w:color w:val="000000"/>
                <w:szCs w:val="18"/>
              </w:rPr>
            </w:pPr>
            <w:r w:rsidRPr="001D6512">
              <w:rPr>
                <w:rFonts w:cs="Arial"/>
                <w:color w:val="000000"/>
                <w:szCs w:val="18"/>
              </w:rPr>
              <w:t>College: Classes/Administrative</w:t>
            </w:r>
          </w:p>
        </w:tc>
        <w:tc>
          <w:tcPr>
            <w:tcW w:w="452" w:type="pct"/>
            <w:noWrap/>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690</w:t>
            </w:r>
          </w:p>
        </w:tc>
        <w:tc>
          <w:tcPr>
            <w:tcW w:w="452" w:type="pct"/>
            <w:noWrap/>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380</w:t>
            </w:r>
          </w:p>
        </w:tc>
        <w:tc>
          <w:tcPr>
            <w:tcW w:w="452" w:type="pct"/>
            <w:noWrap/>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733</w:t>
            </w:r>
          </w:p>
        </w:tc>
        <w:tc>
          <w:tcPr>
            <w:tcW w:w="452" w:type="pct"/>
            <w:noWrap/>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582</w:t>
            </w:r>
          </w:p>
        </w:tc>
        <w:tc>
          <w:tcPr>
            <w:tcW w:w="452" w:type="pct"/>
            <w:noWrap/>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520</w:t>
            </w:r>
          </w:p>
        </w:tc>
        <w:tc>
          <w:tcPr>
            <w:tcW w:w="452" w:type="pct"/>
            <w:noWrap/>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815</w:t>
            </w:r>
          </w:p>
        </w:tc>
        <w:tc>
          <w:tcPr>
            <w:tcW w:w="452" w:type="pct"/>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490</w:t>
            </w:r>
          </w:p>
        </w:tc>
      </w:tr>
      <w:tr w:rsidR="00540C52" w:rsidRPr="00861542" w:rsidTr="00540C52">
        <w:trPr>
          <w:trHeight w:val="300"/>
        </w:trPr>
        <w:tc>
          <w:tcPr>
            <w:tcW w:w="1835" w:type="pct"/>
            <w:noWrap/>
          </w:tcPr>
          <w:p w:rsidR="00861542" w:rsidRPr="001D6512" w:rsidRDefault="00861542" w:rsidP="00861542">
            <w:pPr>
              <w:pStyle w:val="TableCell"/>
              <w:spacing w:before="60" w:after="60" w:line="240" w:lineRule="auto"/>
              <w:rPr>
                <w:rFonts w:cs="Arial"/>
                <w:color w:val="000000"/>
                <w:szCs w:val="18"/>
              </w:rPr>
            </w:pPr>
            <w:r w:rsidRPr="001D6512">
              <w:rPr>
                <w:rFonts w:cs="Arial"/>
                <w:color w:val="000000"/>
                <w:szCs w:val="18"/>
              </w:rPr>
              <w:t>Convenience Stores</w:t>
            </w:r>
          </w:p>
        </w:tc>
        <w:tc>
          <w:tcPr>
            <w:tcW w:w="452" w:type="pct"/>
            <w:noWrap/>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1,216</w:t>
            </w:r>
          </w:p>
        </w:tc>
        <w:tc>
          <w:tcPr>
            <w:tcW w:w="452" w:type="pct"/>
            <w:noWrap/>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671</w:t>
            </w:r>
          </w:p>
        </w:tc>
        <w:tc>
          <w:tcPr>
            <w:tcW w:w="452" w:type="pct"/>
            <w:noWrap/>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1,293</w:t>
            </w:r>
          </w:p>
        </w:tc>
        <w:tc>
          <w:tcPr>
            <w:tcW w:w="452" w:type="pct"/>
            <w:noWrap/>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1,026</w:t>
            </w:r>
          </w:p>
        </w:tc>
        <w:tc>
          <w:tcPr>
            <w:tcW w:w="452" w:type="pct"/>
            <w:noWrap/>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917</w:t>
            </w:r>
          </w:p>
        </w:tc>
        <w:tc>
          <w:tcPr>
            <w:tcW w:w="452" w:type="pct"/>
            <w:noWrap/>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1,436</w:t>
            </w:r>
          </w:p>
        </w:tc>
        <w:tc>
          <w:tcPr>
            <w:tcW w:w="452" w:type="pct"/>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864</w:t>
            </w:r>
          </w:p>
        </w:tc>
      </w:tr>
      <w:tr w:rsidR="00540C52" w:rsidRPr="00861542" w:rsidTr="00540C52">
        <w:trPr>
          <w:trHeight w:val="300"/>
        </w:trPr>
        <w:tc>
          <w:tcPr>
            <w:tcW w:w="1835" w:type="pct"/>
            <w:noWrap/>
          </w:tcPr>
          <w:p w:rsidR="00861542" w:rsidRPr="001D6512" w:rsidRDefault="00861542" w:rsidP="00861542">
            <w:pPr>
              <w:pStyle w:val="TableCell"/>
              <w:spacing w:before="60" w:after="60" w:line="240" w:lineRule="auto"/>
              <w:rPr>
                <w:rFonts w:cs="Arial"/>
                <w:color w:val="000000"/>
                <w:szCs w:val="18"/>
              </w:rPr>
            </w:pPr>
            <w:r w:rsidRPr="001D6512">
              <w:rPr>
                <w:rFonts w:cs="Arial"/>
                <w:color w:val="000000"/>
                <w:szCs w:val="18"/>
              </w:rPr>
              <w:t>Dining: Bar Lounge/Leisure</w:t>
            </w:r>
          </w:p>
        </w:tc>
        <w:tc>
          <w:tcPr>
            <w:tcW w:w="452" w:type="pct"/>
            <w:noWrap/>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912</w:t>
            </w:r>
          </w:p>
        </w:tc>
        <w:tc>
          <w:tcPr>
            <w:tcW w:w="452" w:type="pct"/>
            <w:noWrap/>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503</w:t>
            </w:r>
          </w:p>
        </w:tc>
        <w:tc>
          <w:tcPr>
            <w:tcW w:w="452" w:type="pct"/>
            <w:noWrap/>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969</w:t>
            </w:r>
          </w:p>
        </w:tc>
        <w:tc>
          <w:tcPr>
            <w:tcW w:w="452" w:type="pct"/>
            <w:noWrap/>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769</w:t>
            </w:r>
          </w:p>
        </w:tc>
        <w:tc>
          <w:tcPr>
            <w:tcW w:w="452" w:type="pct"/>
            <w:noWrap/>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688</w:t>
            </w:r>
          </w:p>
        </w:tc>
        <w:tc>
          <w:tcPr>
            <w:tcW w:w="452" w:type="pct"/>
            <w:noWrap/>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1,077</w:t>
            </w:r>
          </w:p>
        </w:tc>
        <w:tc>
          <w:tcPr>
            <w:tcW w:w="452" w:type="pct"/>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648</w:t>
            </w:r>
          </w:p>
        </w:tc>
      </w:tr>
      <w:tr w:rsidR="00540C52" w:rsidRPr="00861542" w:rsidTr="00540C52">
        <w:trPr>
          <w:trHeight w:val="300"/>
        </w:trPr>
        <w:tc>
          <w:tcPr>
            <w:tcW w:w="1835" w:type="pct"/>
            <w:noWrap/>
          </w:tcPr>
          <w:p w:rsidR="00861542" w:rsidRPr="001D6512" w:rsidRDefault="00861542" w:rsidP="00861542">
            <w:pPr>
              <w:pStyle w:val="TableCell"/>
              <w:keepNext w:val="0"/>
              <w:spacing w:before="60" w:after="60" w:line="240" w:lineRule="auto"/>
              <w:rPr>
                <w:rFonts w:cs="Arial"/>
                <w:color w:val="000000"/>
                <w:szCs w:val="18"/>
              </w:rPr>
            </w:pPr>
            <w:r w:rsidRPr="001D6512">
              <w:rPr>
                <w:rFonts w:cs="Arial"/>
                <w:color w:val="000000"/>
                <w:szCs w:val="18"/>
              </w:rPr>
              <w:t>Dining: Cafeteria / Fast Food</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1,227</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677</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1,304</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1,035</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925</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1,449</w:t>
            </w:r>
          </w:p>
        </w:tc>
        <w:tc>
          <w:tcPr>
            <w:tcW w:w="452"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872</w:t>
            </w:r>
          </w:p>
        </w:tc>
      </w:tr>
      <w:tr w:rsidR="00540C52" w:rsidRPr="00861542" w:rsidTr="00540C52">
        <w:trPr>
          <w:trHeight w:val="300"/>
        </w:trPr>
        <w:tc>
          <w:tcPr>
            <w:tcW w:w="1835" w:type="pct"/>
            <w:noWrap/>
          </w:tcPr>
          <w:p w:rsidR="00861542" w:rsidRPr="001D6512" w:rsidRDefault="00861542" w:rsidP="00861542">
            <w:pPr>
              <w:pStyle w:val="TableCell"/>
              <w:keepNext w:val="0"/>
              <w:spacing w:before="60" w:after="60" w:line="240" w:lineRule="auto"/>
              <w:rPr>
                <w:rFonts w:cs="Arial"/>
                <w:color w:val="000000"/>
                <w:szCs w:val="18"/>
              </w:rPr>
            </w:pPr>
            <w:r w:rsidRPr="001D6512">
              <w:rPr>
                <w:rFonts w:cs="Arial"/>
                <w:color w:val="000000"/>
                <w:szCs w:val="18"/>
              </w:rPr>
              <w:t>Dining: Restaurants</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912</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503</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969</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769</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688</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1,077</w:t>
            </w:r>
          </w:p>
        </w:tc>
        <w:tc>
          <w:tcPr>
            <w:tcW w:w="452"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648</w:t>
            </w:r>
          </w:p>
        </w:tc>
      </w:tr>
      <w:tr w:rsidR="00540C52" w:rsidRPr="00861542" w:rsidTr="00540C52">
        <w:trPr>
          <w:trHeight w:val="300"/>
        </w:trPr>
        <w:tc>
          <w:tcPr>
            <w:tcW w:w="1835" w:type="pct"/>
            <w:noWrap/>
          </w:tcPr>
          <w:p w:rsidR="00861542" w:rsidRPr="001D6512" w:rsidRDefault="00861542" w:rsidP="00861542">
            <w:pPr>
              <w:pStyle w:val="TableCell"/>
              <w:keepNext w:val="0"/>
              <w:spacing w:before="60" w:after="60" w:line="240" w:lineRule="auto"/>
              <w:rPr>
                <w:rFonts w:cs="Arial"/>
                <w:color w:val="000000"/>
                <w:szCs w:val="18"/>
              </w:rPr>
            </w:pPr>
            <w:r w:rsidRPr="001D6512">
              <w:rPr>
                <w:rFonts w:cs="Arial"/>
                <w:color w:val="000000"/>
                <w:szCs w:val="18"/>
              </w:rPr>
              <w:t>Gymnasium/Performing Arts Theatre</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690</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380</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733</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582</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520</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815</w:t>
            </w:r>
          </w:p>
        </w:tc>
        <w:tc>
          <w:tcPr>
            <w:tcW w:w="452"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490</w:t>
            </w:r>
          </w:p>
        </w:tc>
      </w:tr>
      <w:tr w:rsidR="00540C52" w:rsidRPr="00861542" w:rsidTr="00540C52">
        <w:trPr>
          <w:trHeight w:val="300"/>
        </w:trPr>
        <w:tc>
          <w:tcPr>
            <w:tcW w:w="1835" w:type="pct"/>
            <w:noWrap/>
          </w:tcPr>
          <w:p w:rsidR="00861542" w:rsidRPr="001D6512" w:rsidRDefault="00861542" w:rsidP="00861542">
            <w:pPr>
              <w:pStyle w:val="TableCell"/>
              <w:keepNext w:val="0"/>
              <w:spacing w:before="60" w:after="60" w:line="240" w:lineRule="auto"/>
              <w:rPr>
                <w:rFonts w:cs="Arial"/>
                <w:color w:val="000000"/>
                <w:szCs w:val="18"/>
              </w:rPr>
            </w:pPr>
            <w:r w:rsidRPr="001D6512">
              <w:rPr>
                <w:rFonts w:cs="Arial"/>
                <w:color w:val="000000"/>
                <w:szCs w:val="18"/>
              </w:rPr>
              <w:t>Hospitals/Health care</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1,396</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770</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1,483</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1,177</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1,052</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1,648</w:t>
            </w:r>
          </w:p>
        </w:tc>
        <w:tc>
          <w:tcPr>
            <w:tcW w:w="452"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992</w:t>
            </w:r>
          </w:p>
        </w:tc>
      </w:tr>
      <w:tr w:rsidR="00540C52" w:rsidRPr="00861542" w:rsidTr="00540C52">
        <w:trPr>
          <w:trHeight w:val="300"/>
        </w:trPr>
        <w:tc>
          <w:tcPr>
            <w:tcW w:w="1835" w:type="pct"/>
            <w:noWrap/>
          </w:tcPr>
          <w:p w:rsidR="00861542" w:rsidRPr="001D6512" w:rsidRDefault="00861542" w:rsidP="00861542">
            <w:pPr>
              <w:pStyle w:val="TableCell"/>
              <w:keepNext w:val="0"/>
              <w:spacing w:before="60" w:after="60" w:line="240" w:lineRule="auto"/>
              <w:rPr>
                <w:rFonts w:cs="Arial"/>
                <w:color w:val="000000"/>
                <w:szCs w:val="18"/>
              </w:rPr>
            </w:pPr>
            <w:r w:rsidRPr="001D6512">
              <w:rPr>
                <w:rFonts w:cs="Arial"/>
                <w:color w:val="000000"/>
                <w:szCs w:val="18"/>
              </w:rPr>
              <w:t>Industrial: 1 Shift/Light Manufacturing</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727</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401</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773</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613</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548</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859</w:t>
            </w:r>
          </w:p>
        </w:tc>
        <w:tc>
          <w:tcPr>
            <w:tcW w:w="452"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517</w:t>
            </w:r>
          </w:p>
        </w:tc>
      </w:tr>
      <w:tr w:rsidR="00540C52" w:rsidRPr="00861542" w:rsidTr="00540C52">
        <w:trPr>
          <w:trHeight w:val="300"/>
        </w:trPr>
        <w:tc>
          <w:tcPr>
            <w:tcW w:w="1835" w:type="pct"/>
            <w:noWrap/>
          </w:tcPr>
          <w:p w:rsidR="00861542" w:rsidRPr="001D6512" w:rsidRDefault="00861542" w:rsidP="00861542">
            <w:pPr>
              <w:pStyle w:val="TableCell"/>
              <w:keepNext w:val="0"/>
              <w:spacing w:before="60" w:after="60" w:line="240" w:lineRule="auto"/>
              <w:rPr>
                <w:rFonts w:cs="Arial"/>
                <w:color w:val="000000"/>
                <w:szCs w:val="18"/>
              </w:rPr>
            </w:pPr>
            <w:r w:rsidRPr="001D6512">
              <w:rPr>
                <w:rFonts w:cs="Arial"/>
                <w:color w:val="000000"/>
                <w:szCs w:val="18"/>
              </w:rPr>
              <w:t>Industrial: 2 Shift</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988</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545</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1,050</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833</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745</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1,166</w:t>
            </w:r>
          </w:p>
        </w:tc>
        <w:tc>
          <w:tcPr>
            <w:tcW w:w="452"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702</w:t>
            </w:r>
          </w:p>
        </w:tc>
      </w:tr>
      <w:tr w:rsidR="00540C52" w:rsidRPr="00861542" w:rsidTr="00540C52">
        <w:trPr>
          <w:trHeight w:val="300"/>
        </w:trPr>
        <w:tc>
          <w:tcPr>
            <w:tcW w:w="1835" w:type="pct"/>
            <w:noWrap/>
          </w:tcPr>
          <w:p w:rsidR="00861542" w:rsidRPr="001D6512" w:rsidRDefault="00861542" w:rsidP="00861542">
            <w:pPr>
              <w:pStyle w:val="TableCell"/>
              <w:keepNext w:val="0"/>
              <w:spacing w:before="60" w:after="60" w:line="240" w:lineRule="auto"/>
              <w:rPr>
                <w:rFonts w:cs="Arial"/>
                <w:color w:val="000000"/>
                <w:szCs w:val="18"/>
              </w:rPr>
            </w:pPr>
            <w:r w:rsidRPr="001D6512">
              <w:rPr>
                <w:rFonts w:cs="Arial"/>
                <w:color w:val="000000"/>
                <w:szCs w:val="18"/>
              </w:rPr>
              <w:t>Industrial: 3 Shift</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1,251</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690</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1,330</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1,055</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944</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1,478</w:t>
            </w:r>
          </w:p>
        </w:tc>
        <w:tc>
          <w:tcPr>
            <w:tcW w:w="452"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889</w:t>
            </w:r>
          </w:p>
        </w:tc>
      </w:tr>
      <w:tr w:rsidR="00540C52" w:rsidRPr="00861542" w:rsidTr="00540C52">
        <w:trPr>
          <w:trHeight w:val="300"/>
        </w:trPr>
        <w:tc>
          <w:tcPr>
            <w:tcW w:w="1835" w:type="pct"/>
            <w:noWrap/>
          </w:tcPr>
          <w:p w:rsidR="00861542" w:rsidRPr="001D6512" w:rsidRDefault="00861542" w:rsidP="00861542">
            <w:pPr>
              <w:pStyle w:val="TableCell"/>
              <w:keepNext w:val="0"/>
              <w:spacing w:before="60" w:after="60" w:line="240" w:lineRule="auto"/>
              <w:rPr>
                <w:rFonts w:cs="Arial"/>
                <w:color w:val="000000"/>
                <w:szCs w:val="18"/>
              </w:rPr>
            </w:pPr>
            <w:r w:rsidRPr="001D6512">
              <w:rPr>
                <w:rFonts w:cs="Arial"/>
                <w:color w:val="000000"/>
                <w:szCs w:val="18"/>
              </w:rPr>
              <w:t>Lodging: Hotels/Motels/Dormitories</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756</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418</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805</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638</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571</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894</w:t>
            </w:r>
          </w:p>
        </w:tc>
        <w:tc>
          <w:tcPr>
            <w:tcW w:w="452"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538</w:t>
            </w:r>
          </w:p>
        </w:tc>
      </w:tr>
      <w:tr w:rsidR="00540C52" w:rsidRPr="00861542" w:rsidTr="00540C52">
        <w:trPr>
          <w:trHeight w:val="300"/>
        </w:trPr>
        <w:tc>
          <w:tcPr>
            <w:tcW w:w="1835" w:type="pct"/>
            <w:noWrap/>
          </w:tcPr>
          <w:p w:rsidR="00861542" w:rsidRPr="001D6512" w:rsidRDefault="00861542" w:rsidP="00861542">
            <w:pPr>
              <w:pStyle w:val="TableCell"/>
              <w:keepNext w:val="0"/>
              <w:spacing w:before="60" w:after="60" w:line="240" w:lineRule="auto"/>
              <w:rPr>
                <w:rFonts w:cs="Arial"/>
                <w:color w:val="000000"/>
                <w:szCs w:val="18"/>
              </w:rPr>
            </w:pPr>
            <w:r w:rsidRPr="001D6512">
              <w:rPr>
                <w:rFonts w:cs="Arial"/>
                <w:color w:val="000000"/>
                <w:szCs w:val="18"/>
              </w:rPr>
              <w:t>Lodging: Residential</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757</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418</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805</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638</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571</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894</w:t>
            </w:r>
          </w:p>
        </w:tc>
        <w:tc>
          <w:tcPr>
            <w:tcW w:w="452"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538</w:t>
            </w:r>
          </w:p>
        </w:tc>
      </w:tr>
      <w:tr w:rsidR="00540C52" w:rsidRPr="00861542" w:rsidTr="00540C52">
        <w:trPr>
          <w:trHeight w:val="300"/>
        </w:trPr>
        <w:tc>
          <w:tcPr>
            <w:tcW w:w="1835" w:type="pct"/>
            <w:noWrap/>
          </w:tcPr>
          <w:p w:rsidR="00861542" w:rsidRPr="001D6512" w:rsidRDefault="00861542" w:rsidP="00861542">
            <w:pPr>
              <w:pStyle w:val="TableCell"/>
              <w:keepNext w:val="0"/>
              <w:spacing w:before="60" w:after="60" w:line="240" w:lineRule="auto"/>
              <w:rPr>
                <w:rFonts w:cs="Arial"/>
                <w:color w:val="000000"/>
                <w:szCs w:val="18"/>
              </w:rPr>
            </w:pPr>
            <w:r w:rsidRPr="001D6512">
              <w:rPr>
                <w:rFonts w:cs="Arial"/>
                <w:color w:val="000000"/>
                <w:szCs w:val="18"/>
              </w:rPr>
              <w:t>Multi-Family (Common Areas)</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1,395</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769</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1,482</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1,176</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1,052</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1,647</w:t>
            </w:r>
          </w:p>
        </w:tc>
        <w:tc>
          <w:tcPr>
            <w:tcW w:w="452"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991</w:t>
            </w:r>
          </w:p>
        </w:tc>
      </w:tr>
      <w:tr w:rsidR="00540C52" w:rsidRPr="00861542" w:rsidTr="00540C52">
        <w:trPr>
          <w:trHeight w:val="300"/>
        </w:trPr>
        <w:tc>
          <w:tcPr>
            <w:tcW w:w="1835" w:type="pct"/>
            <w:noWrap/>
          </w:tcPr>
          <w:p w:rsidR="00861542" w:rsidRPr="001D6512" w:rsidRDefault="00861542" w:rsidP="00861542">
            <w:pPr>
              <w:pStyle w:val="TableCell"/>
              <w:keepNext w:val="0"/>
              <w:spacing w:before="60" w:after="60" w:line="240" w:lineRule="auto"/>
              <w:rPr>
                <w:rFonts w:cs="Arial"/>
                <w:color w:val="000000"/>
                <w:szCs w:val="18"/>
              </w:rPr>
            </w:pPr>
            <w:r w:rsidRPr="001D6512">
              <w:rPr>
                <w:rFonts w:cs="Arial"/>
                <w:color w:val="000000"/>
                <w:szCs w:val="18"/>
              </w:rPr>
              <w:t>Museum/Library</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851</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469</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905</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718</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642</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1,005</w:t>
            </w:r>
          </w:p>
        </w:tc>
        <w:tc>
          <w:tcPr>
            <w:tcW w:w="452"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605</w:t>
            </w:r>
          </w:p>
        </w:tc>
      </w:tr>
      <w:tr w:rsidR="00540C52" w:rsidRPr="00861542" w:rsidTr="00540C52">
        <w:trPr>
          <w:trHeight w:val="300"/>
        </w:trPr>
        <w:tc>
          <w:tcPr>
            <w:tcW w:w="1835" w:type="pct"/>
            <w:noWrap/>
          </w:tcPr>
          <w:p w:rsidR="00861542" w:rsidRPr="001D6512" w:rsidRDefault="00861542" w:rsidP="00861542">
            <w:pPr>
              <w:pStyle w:val="TableCell"/>
              <w:keepNext w:val="0"/>
              <w:spacing w:before="60" w:after="60" w:line="240" w:lineRule="auto"/>
              <w:rPr>
                <w:rFonts w:cs="Arial"/>
                <w:color w:val="000000"/>
                <w:szCs w:val="18"/>
              </w:rPr>
            </w:pPr>
            <w:r w:rsidRPr="001D6512">
              <w:rPr>
                <w:rFonts w:cs="Arial"/>
                <w:color w:val="000000"/>
                <w:szCs w:val="18"/>
              </w:rPr>
              <w:t>Nursing Homes</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1,141</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630</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1,213</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963</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861</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1,348</w:t>
            </w:r>
          </w:p>
        </w:tc>
        <w:tc>
          <w:tcPr>
            <w:tcW w:w="452"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811</w:t>
            </w:r>
          </w:p>
        </w:tc>
      </w:tr>
      <w:tr w:rsidR="00540C52" w:rsidRPr="00861542" w:rsidTr="00540C52">
        <w:trPr>
          <w:trHeight w:val="300"/>
        </w:trPr>
        <w:tc>
          <w:tcPr>
            <w:tcW w:w="1835" w:type="pct"/>
            <w:noWrap/>
          </w:tcPr>
          <w:p w:rsidR="00861542" w:rsidRPr="001D6512" w:rsidRDefault="00861542" w:rsidP="00861542">
            <w:pPr>
              <w:pStyle w:val="TableCell"/>
              <w:keepNext w:val="0"/>
              <w:spacing w:before="60" w:after="60" w:line="240" w:lineRule="auto"/>
              <w:rPr>
                <w:rFonts w:cs="Arial"/>
                <w:color w:val="000000"/>
                <w:szCs w:val="18"/>
              </w:rPr>
            </w:pPr>
            <w:r w:rsidRPr="001D6512">
              <w:rPr>
                <w:rFonts w:cs="Arial"/>
                <w:color w:val="000000"/>
                <w:szCs w:val="18"/>
              </w:rPr>
              <w:t>Office: General/Retail</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851</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469</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905</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718</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642</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1,005</w:t>
            </w:r>
          </w:p>
        </w:tc>
        <w:tc>
          <w:tcPr>
            <w:tcW w:w="452"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605</w:t>
            </w:r>
          </w:p>
        </w:tc>
      </w:tr>
      <w:tr w:rsidR="00540C52" w:rsidRPr="00861542" w:rsidTr="00540C52">
        <w:trPr>
          <w:trHeight w:val="300"/>
        </w:trPr>
        <w:tc>
          <w:tcPr>
            <w:tcW w:w="1835" w:type="pct"/>
            <w:noWrap/>
          </w:tcPr>
          <w:p w:rsidR="00861542" w:rsidRPr="001D6512" w:rsidRDefault="00861542" w:rsidP="00861542">
            <w:pPr>
              <w:pStyle w:val="TableCell"/>
              <w:keepNext w:val="0"/>
              <w:spacing w:before="60" w:after="60" w:line="240" w:lineRule="auto"/>
              <w:rPr>
                <w:rFonts w:cs="Arial"/>
                <w:color w:val="000000"/>
                <w:szCs w:val="18"/>
              </w:rPr>
            </w:pPr>
            <w:r w:rsidRPr="001D6512">
              <w:rPr>
                <w:rFonts w:cs="Arial"/>
                <w:color w:val="000000"/>
                <w:szCs w:val="18"/>
              </w:rPr>
              <w:t>Office: Medical/Banks</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851</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469</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905</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718</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642</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1,005</w:t>
            </w:r>
          </w:p>
        </w:tc>
        <w:tc>
          <w:tcPr>
            <w:tcW w:w="452"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605</w:t>
            </w:r>
          </w:p>
        </w:tc>
      </w:tr>
      <w:tr w:rsidR="00540C52" w:rsidRPr="00861542" w:rsidTr="00540C52">
        <w:trPr>
          <w:trHeight w:val="300"/>
        </w:trPr>
        <w:tc>
          <w:tcPr>
            <w:tcW w:w="1835" w:type="pct"/>
            <w:noWrap/>
          </w:tcPr>
          <w:p w:rsidR="00861542" w:rsidRPr="001D6512" w:rsidRDefault="00861542" w:rsidP="00861542">
            <w:pPr>
              <w:pStyle w:val="TableCell"/>
              <w:keepNext w:val="0"/>
              <w:spacing w:before="60" w:after="60" w:line="240" w:lineRule="auto"/>
              <w:rPr>
                <w:rFonts w:cs="Arial"/>
                <w:color w:val="000000"/>
                <w:szCs w:val="18"/>
              </w:rPr>
            </w:pPr>
            <w:r w:rsidRPr="001D6512">
              <w:rPr>
                <w:rFonts w:cs="Arial"/>
                <w:color w:val="000000"/>
                <w:szCs w:val="18"/>
              </w:rPr>
              <w:t>Parking Garages &amp; Lots</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938</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517</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997</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791</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707</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1,107</w:t>
            </w:r>
          </w:p>
        </w:tc>
        <w:tc>
          <w:tcPr>
            <w:tcW w:w="452"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666</w:t>
            </w:r>
          </w:p>
        </w:tc>
      </w:tr>
      <w:tr w:rsidR="00540C52" w:rsidRPr="00861542" w:rsidTr="00540C52">
        <w:trPr>
          <w:trHeight w:val="300"/>
        </w:trPr>
        <w:tc>
          <w:tcPr>
            <w:tcW w:w="1835" w:type="pct"/>
            <w:noWrap/>
          </w:tcPr>
          <w:p w:rsidR="00861542" w:rsidRPr="001D6512" w:rsidRDefault="00861542" w:rsidP="00861542">
            <w:pPr>
              <w:pStyle w:val="TableCell"/>
              <w:keepNext w:val="0"/>
              <w:spacing w:before="60" w:after="60" w:line="240" w:lineRule="auto"/>
              <w:rPr>
                <w:rFonts w:cs="Arial"/>
                <w:color w:val="000000"/>
                <w:szCs w:val="18"/>
              </w:rPr>
            </w:pPr>
            <w:r w:rsidRPr="001D6512">
              <w:rPr>
                <w:rFonts w:cs="Arial"/>
                <w:color w:val="000000"/>
                <w:szCs w:val="18"/>
              </w:rPr>
              <w:t>Penitentiary</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1,091</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602</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1,160</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920</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823</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1,289</w:t>
            </w:r>
          </w:p>
        </w:tc>
        <w:tc>
          <w:tcPr>
            <w:tcW w:w="452"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775</w:t>
            </w:r>
          </w:p>
        </w:tc>
      </w:tr>
      <w:tr w:rsidR="00540C52" w:rsidRPr="00861542" w:rsidTr="00540C52">
        <w:trPr>
          <w:trHeight w:val="300"/>
        </w:trPr>
        <w:tc>
          <w:tcPr>
            <w:tcW w:w="1835" w:type="pct"/>
            <w:noWrap/>
          </w:tcPr>
          <w:p w:rsidR="00861542" w:rsidRPr="001D6512" w:rsidRDefault="00861542" w:rsidP="00861542">
            <w:pPr>
              <w:pStyle w:val="TableCell"/>
              <w:keepNext w:val="0"/>
              <w:spacing w:before="60" w:after="60" w:line="240" w:lineRule="auto"/>
              <w:rPr>
                <w:rFonts w:cs="Arial"/>
                <w:color w:val="000000"/>
                <w:szCs w:val="18"/>
              </w:rPr>
            </w:pPr>
            <w:r w:rsidRPr="001D6512">
              <w:rPr>
                <w:rFonts w:cs="Arial"/>
                <w:color w:val="000000"/>
                <w:szCs w:val="18"/>
              </w:rPr>
              <w:t>Police/Fire Stations (24 Hr)</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1,395</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769</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1,482</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1,176</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1,052</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1,647</w:t>
            </w:r>
          </w:p>
        </w:tc>
        <w:tc>
          <w:tcPr>
            <w:tcW w:w="452"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991</w:t>
            </w:r>
          </w:p>
        </w:tc>
      </w:tr>
      <w:tr w:rsidR="00540C52" w:rsidRPr="00861542" w:rsidTr="00540C52">
        <w:trPr>
          <w:trHeight w:val="300"/>
        </w:trPr>
        <w:tc>
          <w:tcPr>
            <w:tcW w:w="1835" w:type="pct"/>
            <w:noWrap/>
          </w:tcPr>
          <w:p w:rsidR="00861542" w:rsidRPr="001D6512" w:rsidRDefault="00861542" w:rsidP="00861542">
            <w:pPr>
              <w:pStyle w:val="TableCell"/>
              <w:keepNext w:val="0"/>
              <w:spacing w:before="60" w:after="60" w:line="240" w:lineRule="auto"/>
              <w:rPr>
                <w:rFonts w:cs="Arial"/>
                <w:color w:val="000000"/>
                <w:szCs w:val="18"/>
              </w:rPr>
            </w:pPr>
            <w:r w:rsidRPr="001D6512">
              <w:rPr>
                <w:rFonts w:cs="Arial"/>
                <w:color w:val="000000"/>
                <w:szCs w:val="18"/>
              </w:rPr>
              <w:t>Post Office/Town Hall/Court House</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851</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469</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905</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718</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642</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1,005</w:t>
            </w:r>
          </w:p>
        </w:tc>
        <w:tc>
          <w:tcPr>
            <w:tcW w:w="452"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605</w:t>
            </w:r>
          </w:p>
        </w:tc>
      </w:tr>
      <w:tr w:rsidR="00540C52" w:rsidRPr="00861542" w:rsidTr="00540C52">
        <w:trPr>
          <w:trHeight w:val="300"/>
        </w:trPr>
        <w:tc>
          <w:tcPr>
            <w:tcW w:w="1835" w:type="pct"/>
            <w:noWrap/>
          </w:tcPr>
          <w:p w:rsidR="00861542" w:rsidRPr="001D6512" w:rsidRDefault="00861542" w:rsidP="00861542">
            <w:pPr>
              <w:pStyle w:val="TableCell"/>
              <w:keepNext w:val="0"/>
              <w:spacing w:before="60" w:after="60" w:line="240" w:lineRule="auto"/>
              <w:rPr>
                <w:rFonts w:cs="Arial"/>
                <w:color w:val="000000"/>
                <w:szCs w:val="18"/>
              </w:rPr>
            </w:pPr>
            <w:r w:rsidRPr="001D6512">
              <w:rPr>
                <w:rFonts w:cs="Arial"/>
                <w:color w:val="000000"/>
                <w:szCs w:val="18"/>
              </w:rPr>
              <w:t>Religious Buildings/Church</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602</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332</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640</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508</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454</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711</w:t>
            </w:r>
          </w:p>
        </w:tc>
        <w:tc>
          <w:tcPr>
            <w:tcW w:w="452"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428</w:t>
            </w:r>
          </w:p>
        </w:tc>
      </w:tr>
      <w:tr w:rsidR="00540C52" w:rsidRPr="00861542" w:rsidTr="00540C52">
        <w:trPr>
          <w:trHeight w:val="300"/>
        </w:trPr>
        <w:tc>
          <w:tcPr>
            <w:tcW w:w="1835" w:type="pct"/>
            <w:noWrap/>
          </w:tcPr>
          <w:p w:rsidR="00861542" w:rsidRPr="001D6512" w:rsidRDefault="00861542" w:rsidP="00861542">
            <w:pPr>
              <w:pStyle w:val="TableCell"/>
              <w:keepNext w:val="0"/>
              <w:spacing w:before="60" w:after="60" w:line="240" w:lineRule="auto"/>
              <w:rPr>
                <w:rFonts w:cs="Arial"/>
                <w:color w:val="000000"/>
                <w:szCs w:val="18"/>
              </w:rPr>
            </w:pPr>
            <w:r w:rsidRPr="001D6512">
              <w:rPr>
                <w:rFonts w:cs="Arial"/>
                <w:color w:val="000000"/>
                <w:szCs w:val="18"/>
              </w:rPr>
              <w:t>Retail</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894</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493</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950</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754</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674</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1,055</w:t>
            </w:r>
          </w:p>
        </w:tc>
        <w:tc>
          <w:tcPr>
            <w:tcW w:w="452"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635</w:t>
            </w:r>
          </w:p>
        </w:tc>
      </w:tr>
      <w:tr w:rsidR="00540C52" w:rsidRPr="00861542" w:rsidTr="00540C52">
        <w:trPr>
          <w:trHeight w:val="300"/>
        </w:trPr>
        <w:tc>
          <w:tcPr>
            <w:tcW w:w="1835" w:type="pct"/>
            <w:noWrap/>
          </w:tcPr>
          <w:p w:rsidR="00861542" w:rsidRPr="001D6512" w:rsidRDefault="00861542" w:rsidP="00861542">
            <w:pPr>
              <w:pStyle w:val="TableCell"/>
              <w:keepNext w:val="0"/>
              <w:spacing w:before="60" w:after="60" w:line="240" w:lineRule="auto"/>
              <w:rPr>
                <w:rFonts w:cs="Arial"/>
                <w:color w:val="000000"/>
                <w:szCs w:val="18"/>
              </w:rPr>
            </w:pPr>
            <w:r w:rsidRPr="001D6512">
              <w:rPr>
                <w:rFonts w:cs="Arial"/>
                <w:color w:val="000000"/>
                <w:szCs w:val="18"/>
              </w:rPr>
              <w:t>Schools/University</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634</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350</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674</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535</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478</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749</w:t>
            </w:r>
          </w:p>
        </w:tc>
        <w:tc>
          <w:tcPr>
            <w:tcW w:w="452"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451</w:t>
            </w:r>
          </w:p>
        </w:tc>
      </w:tr>
      <w:tr w:rsidR="00540C52" w:rsidRPr="00861542" w:rsidTr="00540C52">
        <w:trPr>
          <w:trHeight w:val="300"/>
        </w:trPr>
        <w:tc>
          <w:tcPr>
            <w:tcW w:w="1835" w:type="pct"/>
            <w:noWrap/>
          </w:tcPr>
          <w:p w:rsidR="00861542" w:rsidRPr="001D6512" w:rsidRDefault="00861542" w:rsidP="00861542">
            <w:pPr>
              <w:pStyle w:val="TableCell"/>
              <w:keepNext w:val="0"/>
              <w:spacing w:before="60" w:after="60" w:line="240" w:lineRule="auto"/>
              <w:rPr>
                <w:rFonts w:cs="Arial"/>
                <w:color w:val="000000"/>
                <w:szCs w:val="18"/>
              </w:rPr>
            </w:pPr>
            <w:r w:rsidRPr="001D6512">
              <w:rPr>
                <w:rFonts w:cs="Arial"/>
                <w:color w:val="000000"/>
                <w:szCs w:val="18"/>
              </w:rPr>
              <w:t>Warehouses (Not Refrigerated)</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692</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382</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735</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583</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522</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817</w:t>
            </w:r>
          </w:p>
        </w:tc>
        <w:tc>
          <w:tcPr>
            <w:tcW w:w="452"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492</w:t>
            </w:r>
          </w:p>
        </w:tc>
      </w:tr>
      <w:tr w:rsidR="00540C52" w:rsidRPr="00861542" w:rsidTr="00540C52">
        <w:trPr>
          <w:trHeight w:val="300"/>
        </w:trPr>
        <w:tc>
          <w:tcPr>
            <w:tcW w:w="1835" w:type="pct"/>
            <w:noWrap/>
          </w:tcPr>
          <w:p w:rsidR="00861542" w:rsidRPr="001D6512" w:rsidRDefault="00861542" w:rsidP="00861542">
            <w:pPr>
              <w:pStyle w:val="TableCell"/>
              <w:keepNext w:val="0"/>
              <w:spacing w:before="60" w:after="60" w:line="240" w:lineRule="auto"/>
              <w:rPr>
                <w:rFonts w:cs="Arial"/>
                <w:color w:val="000000"/>
                <w:szCs w:val="18"/>
              </w:rPr>
            </w:pPr>
            <w:r w:rsidRPr="001D6512">
              <w:rPr>
                <w:rFonts w:cs="Arial"/>
                <w:color w:val="000000"/>
                <w:szCs w:val="18"/>
              </w:rPr>
              <w:t>Warehouses (Refrigerated)</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692</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382</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735</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583</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522</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817</w:t>
            </w:r>
          </w:p>
        </w:tc>
        <w:tc>
          <w:tcPr>
            <w:tcW w:w="452"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492</w:t>
            </w:r>
          </w:p>
        </w:tc>
      </w:tr>
      <w:tr w:rsidR="00540C52" w:rsidRPr="00861542" w:rsidTr="00540C52">
        <w:trPr>
          <w:trHeight w:val="300"/>
        </w:trPr>
        <w:tc>
          <w:tcPr>
            <w:tcW w:w="1835" w:type="pct"/>
            <w:noWrap/>
          </w:tcPr>
          <w:p w:rsidR="00861542" w:rsidRPr="001D6512" w:rsidRDefault="00861542" w:rsidP="00861542">
            <w:pPr>
              <w:pStyle w:val="TableCell"/>
              <w:keepNext w:val="0"/>
              <w:spacing w:before="60" w:after="60" w:line="240" w:lineRule="auto"/>
              <w:rPr>
                <w:rFonts w:cs="Arial"/>
                <w:color w:val="000000"/>
                <w:szCs w:val="18"/>
              </w:rPr>
            </w:pPr>
            <w:r w:rsidRPr="001D6512">
              <w:rPr>
                <w:rFonts w:cs="Arial"/>
                <w:color w:val="000000"/>
                <w:szCs w:val="18"/>
              </w:rPr>
              <w:t>Waste Water Treatment Plant</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1,265</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1,473</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1,204</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1,208</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1,270</w:t>
            </w:r>
          </w:p>
        </w:tc>
        <w:tc>
          <w:tcPr>
            <w:tcW w:w="452" w:type="pct"/>
            <w:noWrap/>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1,182</w:t>
            </w:r>
          </w:p>
        </w:tc>
        <w:tc>
          <w:tcPr>
            <w:tcW w:w="452"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1,285</w:t>
            </w:r>
          </w:p>
        </w:tc>
      </w:tr>
    </w:tbl>
    <w:p w:rsidR="00A22E85" w:rsidRDefault="00E75089" w:rsidP="00B20F6B">
      <w:pPr>
        <w:pStyle w:val="Caption"/>
      </w:pPr>
      <w:bookmarkStart w:id="750" w:name="_Ref275556731"/>
      <w:bookmarkStart w:id="751" w:name="_Toc310875574"/>
      <w:r>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22</w:t>
      </w:r>
      <w:r w:rsidR="00274AB1">
        <w:rPr>
          <w:noProof/>
        </w:rPr>
        <w:fldChar w:fldCharType="end"/>
      </w:r>
      <w:bookmarkEnd w:id="750"/>
      <w:r>
        <w:t xml:space="preserve">: </w:t>
      </w:r>
      <w:r w:rsidRPr="00EC21E5">
        <w:t xml:space="preserve">Heating EFLH for </w:t>
      </w:r>
      <w:r w:rsidR="00861542">
        <w:t>Pennsylvania Cities</w:t>
      </w:r>
      <w:r>
        <w:rPr>
          <w:rStyle w:val="FootnoteReference"/>
        </w:rPr>
        <w:footnoteReference w:id="166"/>
      </w:r>
      <w:bookmarkEnd w:id="751"/>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79"/>
        <w:gridCol w:w="812"/>
        <w:gridCol w:w="812"/>
        <w:gridCol w:w="813"/>
        <w:gridCol w:w="813"/>
        <w:gridCol w:w="813"/>
        <w:gridCol w:w="813"/>
        <w:gridCol w:w="813"/>
      </w:tblGrid>
      <w:tr w:rsidR="00540C52" w:rsidRPr="008B1B2F" w:rsidTr="00540C52">
        <w:trPr>
          <w:cantSplit/>
          <w:trHeight w:hRule="exact" w:val="1296"/>
          <w:tblHeader/>
        </w:trPr>
        <w:tc>
          <w:tcPr>
            <w:tcW w:w="1829" w:type="pct"/>
            <w:shd w:val="clear" w:color="auto" w:fill="BFBFBF"/>
            <w:vAlign w:val="bottom"/>
          </w:tcPr>
          <w:p w:rsidR="00861542" w:rsidRPr="001D6512" w:rsidRDefault="00861542" w:rsidP="00861542">
            <w:pPr>
              <w:pStyle w:val="TableCell"/>
              <w:spacing w:before="60" w:after="60" w:line="240" w:lineRule="auto"/>
              <w:contextualSpacing/>
              <w:rPr>
                <w:rFonts w:cs="Arial"/>
                <w:b/>
                <w:szCs w:val="18"/>
              </w:rPr>
            </w:pPr>
            <w:r w:rsidRPr="001D6512">
              <w:rPr>
                <w:rFonts w:cs="Arial"/>
                <w:b/>
                <w:szCs w:val="18"/>
              </w:rPr>
              <w:t>Space and/or Building Type</w:t>
            </w:r>
          </w:p>
        </w:tc>
        <w:tc>
          <w:tcPr>
            <w:tcW w:w="453" w:type="pct"/>
            <w:shd w:val="clear" w:color="auto" w:fill="BFBFBF"/>
            <w:textDirection w:val="btLr"/>
            <w:vAlign w:val="center"/>
          </w:tcPr>
          <w:p w:rsidR="00861542" w:rsidRPr="001D6512" w:rsidRDefault="00861542" w:rsidP="00861542">
            <w:pPr>
              <w:pStyle w:val="TableCell"/>
              <w:spacing w:before="60" w:after="60" w:line="240" w:lineRule="auto"/>
              <w:ind w:left="60"/>
              <w:contextualSpacing/>
              <w:rPr>
                <w:rFonts w:cs="Arial"/>
                <w:b/>
                <w:szCs w:val="18"/>
              </w:rPr>
            </w:pPr>
            <w:r w:rsidRPr="001D6512">
              <w:rPr>
                <w:rFonts w:cs="Arial"/>
                <w:b/>
                <w:szCs w:val="18"/>
              </w:rPr>
              <w:t>Allentown</w:t>
            </w:r>
          </w:p>
        </w:tc>
        <w:tc>
          <w:tcPr>
            <w:tcW w:w="453" w:type="pct"/>
            <w:shd w:val="clear" w:color="auto" w:fill="BFBFBF"/>
            <w:textDirection w:val="btLr"/>
            <w:vAlign w:val="center"/>
          </w:tcPr>
          <w:p w:rsidR="00861542" w:rsidRPr="001D6512" w:rsidRDefault="00861542" w:rsidP="00861542">
            <w:pPr>
              <w:pStyle w:val="TableCell"/>
              <w:spacing w:before="60" w:after="60" w:line="240" w:lineRule="auto"/>
              <w:ind w:left="60"/>
              <w:contextualSpacing/>
              <w:rPr>
                <w:rFonts w:cs="Arial"/>
                <w:b/>
                <w:szCs w:val="18"/>
              </w:rPr>
            </w:pPr>
            <w:r w:rsidRPr="001D6512">
              <w:rPr>
                <w:rFonts w:cs="Arial"/>
                <w:b/>
                <w:szCs w:val="18"/>
              </w:rPr>
              <w:t>Erie</w:t>
            </w:r>
          </w:p>
        </w:tc>
        <w:tc>
          <w:tcPr>
            <w:tcW w:w="453" w:type="pct"/>
            <w:shd w:val="clear" w:color="auto" w:fill="BFBFBF"/>
            <w:textDirection w:val="btLr"/>
            <w:vAlign w:val="center"/>
          </w:tcPr>
          <w:p w:rsidR="00861542" w:rsidRPr="001D6512" w:rsidRDefault="00861542" w:rsidP="00861542">
            <w:pPr>
              <w:pStyle w:val="TableCell"/>
              <w:spacing w:before="60" w:after="60" w:line="240" w:lineRule="auto"/>
              <w:ind w:left="60"/>
              <w:contextualSpacing/>
              <w:rPr>
                <w:rFonts w:cs="Arial"/>
                <w:b/>
                <w:szCs w:val="18"/>
              </w:rPr>
            </w:pPr>
            <w:r w:rsidRPr="001D6512">
              <w:rPr>
                <w:rFonts w:cs="Arial"/>
                <w:b/>
                <w:szCs w:val="18"/>
              </w:rPr>
              <w:t>Harrisburg</w:t>
            </w:r>
          </w:p>
        </w:tc>
        <w:tc>
          <w:tcPr>
            <w:tcW w:w="453" w:type="pct"/>
            <w:shd w:val="clear" w:color="auto" w:fill="BFBFBF"/>
            <w:textDirection w:val="btLr"/>
            <w:vAlign w:val="center"/>
          </w:tcPr>
          <w:p w:rsidR="00861542" w:rsidRPr="001D6512" w:rsidRDefault="00861542" w:rsidP="00861542">
            <w:pPr>
              <w:pStyle w:val="TableCell"/>
              <w:spacing w:before="60" w:after="60" w:line="240" w:lineRule="auto"/>
              <w:ind w:left="60"/>
              <w:contextualSpacing/>
              <w:rPr>
                <w:rFonts w:cs="Arial"/>
                <w:b/>
                <w:szCs w:val="18"/>
              </w:rPr>
            </w:pPr>
            <w:r w:rsidRPr="001D6512">
              <w:rPr>
                <w:rFonts w:cs="Arial"/>
                <w:b/>
                <w:szCs w:val="18"/>
              </w:rPr>
              <w:t>Pittsburgh</w:t>
            </w:r>
          </w:p>
        </w:tc>
        <w:tc>
          <w:tcPr>
            <w:tcW w:w="453" w:type="pct"/>
            <w:shd w:val="clear" w:color="auto" w:fill="BFBFBF"/>
            <w:textDirection w:val="btLr"/>
            <w:vAlign w:val="center"/>
          </w:tcPr>
          <w:p w:rsidR="00861542" w:rsidRPr="001D6512" w:rsidRDefault="00861542" w:rsidP="00861542">
            <w:pPr>
              <w:pStyle w:val="TableCell"/>
              <w:spacing w:before="60" w:after="60" w:line="240" w:lineRule="auto"/>
              <w:ind w:left="60"/>
              <w:contextualSpacing/>
              <w:rPr>
                <w:rFonts w:cs="Arial"/>
                <w:b/>
                <w:szCs w:val="18"/>
              </w:rPr>
            </w:pPr>
            <w:r w:rsidRPr="001D6512">
              <w:rPr>
                <w:rFonts w:cs="Arial"/>
                <w:b/>
                <w:szCs w:val="18"/>
              </w:rPr>
              <w:t>Williamsport</w:t>
            </w:r>
          </w:p>
        </w:tc>
        <w:tc>
          <w:tcPr>
            <w:tcW w:w="453" w:type="pct"/>
            <w:shd w:val="clear" w:color="auto" w:fill="BFBFBF"/>
            <w:textDirection w:val="btLr"/>
            <w:vAlign w:val="center"/>
          </w:tcPr>
          <w:p w:rsidR="00861542" w:rsidRPr="001D6512" w:rsidRDefault="00861542" w:rsidP="00861542">
            <w:pPr>
              <w:pStyle w:val="TableCell"/>
              <w:spacing w:before="60" w:after="60" w:line="240" w:lineRule="auto"/>
              <w:ind w:left="60"/>
              <w:contextualSpacing/>
              <w:rPr>
                <w:rFonts w:cs="Arial"/>
                <w:b/>
                <w:szCs w:val="18"/>
              </w:rPr>
            </w:pPr>
            <w:r w:rsidRPr="001D6512">
              <w:rPr>
                <w:rFonts w:cs="Arial"/>
                <w:b/>
                <w:szCs w:val="18"/>
              </w:rPr>
              <w:t>Philadelphia</w:t>
            </w:r>
          </w:p>
        </w:tc>
        <w:tc>
          <w:tcPr>
            <w:tcW w:w="453" w:type="pct"/>
            <w:shd w:val="clear" w:color="auto" w:fill="BFBFBF"/>
            <w:textDirection w:val="btLr"/>
            <w:vAlign w:val="center"/>
          </w:tcPr>
          <w:p w:rsidR="00861542" w:rsidRPr="001D6512" w:rsidRDefault="00861542" w:rsidP="00861542">
            <w:pPr>
              <w:pStyle w:val="TableCell"/>
              <w:spacing w:before="60" w:after="60" w:line="240" w:lineRule="auto"/>
              <w:ind w:left="60"/>
              <w:rPr>
                <w:rFonts w:cs="Arial"/>
                <w:b/>
                <w:szCs w:val="18"/>
              </w:rPr>
            </w:pPr>
            <w:r w:rsidRPr="001D6512">
              <w:rPr>
                <w:rFonts w:cs="Arial"/>
                <w:b/>
                <w:szCs w:val="18"/>
              </w:rPr>
              <w:t>Scranton</w:t>
            </w:r>
          </w:p>
        </w:tc>
      </w:tr>
      <w:tr w:rsidR="00540C52" w:rsidRPr="008B1B2F" w:rsidTr="00540C52">
        <w:trPr>
          <w:trHeight w:val="300"/>
        </w:trPr>
        <w:tc>
          <w:tcPr>
            <w:tcW w:w="1829" w:type="pct"/>
            <w:noWrap/>
          </w:tcPr>
          <w:p w:rsidR="00861542" w:rsidRPr="001D6512" w:rsidRDefault="00861542" w:rsidP="00861542">
            <w:pPr>
              <w:pStyle w:val="TableCell"/>
              <w:spacing w:before="60" w:after="60" w:line="240" w:lineRule="auto"/>
              <w:contextualSpacing/>
              <w:rPr>
                <w:rFonts w:cs="Arial"/>
                <w:color w:val="000000"/>
                <w:szCs w:val="18"/>
              </w:rPr>
            </w:pPr>
            <w:r w:rsidRPr="001D6512">
              <w:rPr>
                <w:rFonts w:cs="Arial"/>
                <w:color w:val="000000"/>
                <w:szCs w:val="18"/>
              </w:rPr>
              <w:t>Arena/Auditorium/Convention Center</w:t>
            </w:r>
          </w:p>
        </w:tc>
        <w:tc>
          <w:tcPr>
            <w:tcW w:w="453" w:type="pct"/>
            <w:noWrap/>
          </w:tcPr>
          <w:p w:rsidR="00861542" w:rsidRPr="001D6512" w:rsidRDefault="00861542" w:rsidP="00540C52">
            <w:pPr>
              <w:pStyle w:val="TableCell"/>
              <w:spacing w:before="60" w:after="60" w:line="240" w:lineRule="auto"/>
              <w:contextualSpacing/>
              <w:jc w:val="right"/>
              <w:rPr>
                <w:rFonts w:cs="Arial"/>
                <w:color w:val="000000"/>
                <w:szCs w:val="18"/>
              </w:rPr>
            </w:pPr>
            <w:r w:rsidRPr="001D6512">
              <w:rPr>
                <w:rFonts w:cs="Arial"/>
                <w:color w:val="000000"/>
                <w:szCs w:val="18"/>
              </w:rPr>
              <w:t>1,719</w:t>
            </w:r>
          </w:p>
        </w:tc>
        <w:tc>
          <w:tcPr>
            <w:tcW w:w="453" w:type="pct"/>
            <w:noWrap/>
          </w:tcPr>
          <w:p w:rsidR="00861542" w:rsidRPr="001D6512" w:rsidRDefault="00861542" w:rsidP="00540C52">
            <w:pPr>
              <w:pStyle w:val="TableCell"/>
              <w:spacing w:before="60" w:after="60" w:line="240" w:lineRule="auto"/>
              <w:contextualSpacing/>
              <w:jc w:val="right"/>
              <w:rPr>
                <w:rFonts w:cs="Arial"/>
                <w:color w:val="000000"/>
                <w:szCs w:val="18"/>
              </w:rPr>
            </w:pPr>
            <w:r w:rsidRPr="001D6512">
              <w:rPr>
                <w:rFonts w:cs="Arial"/>
                <w:color w:val="000000"/>
                <w:szCs w:val="18"/>
              </w:rPr>
              <w:t>2,002</w:t>
            </w:r>
          </w:p>
        </w:tc>
        <w:tc>
          <w:tcPr>
            <w:tcW w:w="453" w:type="pct"/>
            <w:noWrap/>
          </w:tcPr>
          <w:p w:rsidR="00861542" w:rsidRPr="001D6512" w:rsidRDefault="00861542" w:rsidP="00540C52">
            <w:pPr>
              <w:pStyle w:val="TableCell"/>
              <w:spacing w:before="60" w:after="60" w:line="240" w:lineRule="auto"/>
              <w:contextualSpacing/>
              <w:jc w:val="right"/>
              <w:rPr>
                <w:rFonts w:cs="Arial"/>
                <w:color w:val="000000"/>
                <w:szCs w:val="18"/>
              </w:rPr>
            </w:pPr>
            <w:r w:rsidRPr="001D6512">
              <w:rPr>
                <w:rFonts w:cs="Arial"/>
                <w:color w:val="000000"/>
                <w:szCs w:val="18"/>
              </w:rPr>
              <w:t>1,636</w:t>
            </w:r>
          </w:p>
        </w:tc>
        <w:tc>
          <w:tcPr>
            <w:tcW w:w="453" w:type="pct"/>
            <w:noWrap/>
          </w:tcPr>
          <w:p w:rsidR="00861542" w:rsidRPr="001D6512" w:rsidRDefault="00861542" w:rsidP="00540C52">
            <w:pPr>
              <w:pStyle w:val="TableCell"/>
              <w:spacing w:before="60" w:after="60" w:line="240" w:lineRule="auto"/>
              <w:contextualSpacing/>
              <w:jc w:val="right"/>
              <w:rPr>
                <w:rFonts w:cs="Arial"/>
                <w:color w:val="000000"/>
                <w:szCs w:val="18"/>
              </w:rPr>
            </w:pPr>
            <w:r w:rsidRPr="001D6512">
              <w:rPr>
                <w:rFonts w:cs="Arial"/>
                <w:color w:val="000000"/>
                <w:szCs w:val="18"/>
              </w:rPr>
              <w:t>1,642</w:t>
            </w:r>
          </w:p>
        </w:tc>
        <w:tc>
          <w:tcPr>
            <w:tcW w:w="453" w:type="pct"/>
            <w:noWrap/>
          </w:tcPr>
          <w:p w:rsidR="00861542" w:rsidRPr="001D6512" w:rsidRDefault="00861542" w:rsidP="00540C52">
            <w:pPr>
              <w:pStyle w:val="TableCell"/>
              <w:spacing w:before="60" w:after="60" w:line="240" w:lineRule="auto"/>
              <w:contextualSpacing/>
              <w:jc w:val="right"/>
              <w:rPr>
                <w:rFonts w:cs="Arial"/>
                <w:color w:val="000000"/>
                <w:szCs w:val="18"/>
              </w:rPr>
            </w:pPr>
            <w:r w:rsidRPr="001D6512">
              <w:rPr>
                <w:rFonts w:cs="Arial"/>
                <w:color w:val="000000"/>
                <w:szCs w:val="18"/>
              </w:rPr>
              <w:t>1,726</w:t>
            </w:r>
          </w:p>
        </w:tc>
        <w:tc>
          <w:tcPr>
            <w:tcW w:w="453" w:type="pct"/>
            <w:noWrap/>
          </w:tcPr>
          <w:p w:rsidR="00861542" w:rsidRPr="001D6512" w:rsidRDefault="00861542" w:rsidP="00540C52">
            <w:pPr>
              <w:pStyle w:val="TableCell"/>
              <w:spacing w:before="60" w:after="60" w:line="240" w:lineRule="auto"/>
              <w:contextualSpacing/>
              <w:jc w:val="right"/>
              <w:rPr>
                <w:rFonts w:cs="Arial"/>
                <w:color w:val="000000"/>
                <w:szCs w:val="18"/>
              </w:rPr>
            </w:pPr>
            <w:r w:rsidRPr="001D6512">
              <w:rPr>
                <w:rFonts w:cs="Arial"/>
                <w:color w:val="000000"/>
                <w:szCs w:val="18"/>
              </w:rPr>
              <w:t>1,606</w:t>
            </w:r>
          </w:p>
        </w:tc>
        <w:tc>
          <w:tcPr>
            <w:tcW w:w="453" w:type="pct"/>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1,747</w:t>
            </w:r>
          </w:p>
        </w:tc>
      </w:tr>
      <w:tr w:rsidR="00540C52" w:rsidRPr="008B1B2F" w:rsidTr="00540C52">
        <w:trPr>
          <w:trHeight w:val="300"/>
        </w:trPr>
        <w:tc>
          <w:tcPr>
            <w:tcW w:w="1829" w:type="pct"/>
            <w:noWrap/>
          </w:tcPr>
          <w:p w:rsidR="00861542" w:rsidRPr="001D6512" w:rsidRDefault="00861542" w:rsidP="00861542">
            <w:pPr>
              <w:pStyle w:val="TableCell"/>
              <w:spacing w:before="60" w:after="60" w:line="240" w:lineRule="auto"/>
              <w:contextualSpacing/>
              <w:rPr>
                <w:rFonts w:cs="Arial"/>
                <w:color w:val="000000"/>
                <w:szCs w:val="18"/>
              </w:rPr>
            </w:pPr>
            <w:r w:rsidRPr="001D6512">
              <w:rPr>
                <w:rFonts w:cs="Arial"/>
                <w:color w:val="000000"/>
                <w:szCs w:val="18"/>
              </w:rPr>
              <w:t>College: Classes/Administrative</w:t>
            </w:r>
          </w:p>
        </w:tc>
        <w:tc>
          <w:tcPr>
            <w:tcW w:w="453" w:type="pct"/>
            <w:noWrap/>
          </w:tcPr>
          <w:p w:rsidR="00861542" w:rsidRPr="001D6512" w:rsidRDefault="00861542" w:rsidP="00540C52">
            <w:pPr>
              <w:pStyle w:val="TableCell"/>
              <w:spacing w:before="60" w:after="60" w:line="240" w:lineRule="auto"/>
              <w:contextualSpacing/>
              <w:jc w:val="right"/>
              <w:rPr>
                <w:rFonts w:cs="Arial"/>
                <w:color w:val="000000"/>
                <w:szCs w:val="18"/>
              </w:rPr>
            </w:pPr>
            <w:r w:rsidRPr="001D6512">
              <w:rPr>
                <w:rFonts w:cs="Arial"/>
                <w:color w:val="000000"/>
                <w:szCs w:val="18"/>
              </w:rPr>
              <w:t>1,559</w:t>
            </w:r>
          </w:p>
        </w:tc>
        <w:tc>
          <w:tcPr>
            <w:tcW w:w="453" w:type="pct"/>
            <w:noWrap/>
          </w:tcPr>
          <w:p w:rsidR="00861542" w:rsidRPr="001D6512" w:rsidRDefault="00861542" w:rsidP="00540C52">
            <w:pPr>
              <w:pStyle w:val="TableCell"/>
              <w:spacing w:before="60" w:after="60" w:line="240" w:lineRule="auto"/>
              <w:contextualSpacing/>
              <w:jc w:val="right"/>
              <w:rPr>
                <w:rFonts w:cs="Arial"/>
                <w:color w:val="000000"/>
                <w:szCs w:val="18"/>
              </w:rPr>
            </w:pPr>
            <w:r w:rsidRPr="001D6512">
              <w:rPr>
                <w:rFonts w:cs="Arial"/>
                <w:color w:val="000000"/>
                <w:szCs w:val="18"/>
              </w:rPr>
              <w:t>1,815</w:t>
            </w:r>
          </w:p>
        </w:tc>
        <w:tc>
          <w:tcPr>
            <w:tcW w:w="453" w:type="pct"/>
            <w:noWrap/>
          </w:tcPr>
          <w:p w:rsidR="00861542" w:rsidRPr="001D6512" w:rsidRDefault="00861542" w:rsidP="00540C52">
            <w:pPr>
              <w:pStyle w:val="TableCell"/>
              <w:spacing w:before="60" w:after="60" w:line="240" w:lineRule="auto"/>
              <w:contextualSpacing/>
              <w:jc w:val="right"/>
              <w:rPr>
                <w:rFonts w:cs="Arial"/>
                <w:color w:val="000000"/>
                <w:szCs w:val="18"/>
              </w:rPr>
            </w:pPr>
            <w:r w:rsidRPr="001D6512">
              <w:rPr>
                <w:rFonts w:cs="Arial"/>
                <w:color w:val="000000"/>
                <w:szCs w:val="18"/>
              </w:rPr>
              <w:t>1,484</w:t>
            </w:r>
          </w:p>
        </w:tc>
        <w:tc>
          <w:tcPr>
            <w:tcW w:w="453" w:type="pct"/>
            <w:noWrap/>
          </w:tcPr>
          <w:p w:rsidR="00861542" w:rsidRPr="001D6512" w:rsidRDefault="00861542" w:rsidP="00540C52">
            <w:pPr>
              <w:pStyle w:val="TableCell"/>
              <w:spacing w:before="60" w:after="60" w:line="240" w:lineRule="auto"/>
              <w:contextualSpacing/>
              <w:jc w:val="right"/>
              <w:rPr>
                <w:rFonts w:cs="Arial"/>
                <w:color w:val="000000"/>
                <w:szCs w:val="18"/>
              </w:rPr>
            </w:pPr>
            <w:r w:rsidRPr="001D6512">
              <w:rPr>
                <w:rFonts w:cs="Arial"/>
                <w:color w:val="000000"/>
                <w:szCs w:val="18"/>
              </w:rPr>
              <w:t>1,489</w:t>
            </w:r>
          </w:p>
        </w:tc>
        <w:tc>
          <w:tcPr>
            <w:tcW w:w="453" w:type="pct"/>
            <w:noWrap/>
          </w:tcPr>
          <w:p w:rsidR="00861542" w:rsidRPr="001D6512" w:rsidRDefault="00861542" w:rsidP="00540C52">
            <w:pPr>
              <w:pStyle w:val="TableCell"/>
              <w:spacing w:before="60" w:after="60" w:line="240" w:lineRule="auto"/>
              <w:contextualSpacing/>
              <w:jc w:val="right"/>
              <w:rPr>
                <w:rFonts w:cs="Arial"/>
                <w:color w:val="000000"/>
                <w:szCs w:val="18"/>
              </w:rPr>
            </w:pPr>
            <w:r w:rsidRPr="001D6512">
              <w:rPr>
                <w:rFonts w:cs="Arial"/>
                <w:color w:val="000000"/>
                <w:szCs w:val="18"/>
              </w:rPr>
              <w:t>1,565</w:t>
            </w:r>
          </w:p>
        </w:tc>
        <w:tc>
          <w:tcPr>
            <w:tcW w:w="453" w:type="pct"/>
            <w:noWrap/>
          </w:tcPr>
          <w:p w:rsidR="00861542" w:rsidRPr="001D6512" w:rsidRDefault="00861542" w:rsidP="00540C52">
            <w:pPr>
              <w:pStyle w:val="TableCell"/>
              <w:spacing w:before="60" w:after="60" w:line="240" w:lineRule="auto"/>
              <w:contextualSpacing/>
              <w:jc w:val="right"/>
              <w:rPr>
                <w:rFonts w:cs="Arial"/>
                <w:color w:val="000000"/>
                <w:szCs w:val="18"/>
              </w:rPr>
            </w:pPr>
            <w:r w:rsidRPr="001D6512">
              <w:rPr>
                <w:rFonts w:cs="Arial"/>
                <w:color w:val="000000"/>
                <w:szCs w:val="18"/>
              </w:rPr>
              <w:t>1,457</w:t>
            </w:r>
          </w:p>
        </w:tc>
        <w:tc>
          <w:tcPr>
            <w:tcW w:w="453" w:type="pct"/>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1,584</w:t>
            </w:r>
          </w:p>
        </w:tc>
      </w:tr>
      <w:tr w:rsidR="00540C52" w:rsidRPr="008B1B2F" w:rsidTr="00540C52">
        <w:trPr>
          <w:trHeight w:val="300"/>
        </w:trPr>
        <w:tc>
          <w:tcPr>
            <w:tcW w:w="1829" w:type="pct"/>
            <w:noWrap/>
          </w:tcPr>
          <w:p w:rsidR="00861542" w:rsidRPr="001D6512" w:rsidRDefault="00861542" w:rsidP="00861542">
            <w:pPr>
              <w:pStyle w:val="TableCell"/>
              <w:spacing w:before="60" w:after="60" w:line="240" w:lineRule="auto"/>
              <w:contextualSpacing/>
              <w:rPr>
                <w:rFonts w:cs="Arial"/>
                <w:color w:val="000000"/>
                <w:szCs w:val="18"/>
              </w:rPr>
            </w:pPr>
            <w:r w:rsidRPr="001D6512">
              <w:rPr>
                <w:rFonts w:cs="Arial"/>
                <w:color w:val="000000"/>
                <w:szCs w:val="18"/>
              </w:rPr>
              <w:t>Convenience Stores</w:t>
            </w:r>
          </w:p>
        </w:tc>
        <w:tc>
          <w:tcPr>
            <w:tcW w:w="453" w:type="pct"/>
            <w:noWrap/>
          </w:tcPr>
          <w:p w:rsidR="00861542" w:rsidRPr="001D6512" w:rsidRDefault="00861542" w:rsidP="00540C52">
            <w:pPr>
              <w:pStyle w:val="TableCell"/>
              <w:spacing w:before="60" w:after="60" w:line="240" w:lineRule="auto"/>
              <w:contextualSpacing/>
              <w:jc w:val="right"/>
              <w:rPr>
                <w:rFonts w:cs="Arial"/>
                <w:color w:val="000000"/>
                <w:szCs w:val="18"/>
              </w:rPr>
            </w:pPr>
            <w:r w:rsidRPr="001D6512">
              <w:rPr>
                <w:rFonts w:cs="Arial"/>
                <w:color w:val="000000"/>
                <w:szCs w:val="18"/>
              </w:rPr>
              <w:t>603</w:t>
            </w:r>
          </w:p>
        </w:tc>
        <w:tc>
          <w:tcPr>
            <w:tcW w:w="453" w:type="pct"/>
            <w:noWrap/>
          </w:tcPr>
          <w:p w:rsidR="00861542" w:rsidRPr="001D6512" w:rsidRDefault="00861542" w:rsidP="00540C52">
            <w:pPr>
              <w:pStyle w:val="TableCell"/>
              <w:spacing w:before="60" w:after="60" w:line="240" w:lineRule="auto"/>
              <w:contextualSpacing/>
              <w:jc w:val="right"/>
              <w:rPr>
                <w:rFonts w:cs="Arial"/>
                <w:color w:val="000000"/>
                <w:szCs w:val="18"/>
              </w:rPr>
            </w:pPr>
            <w:r w:rsidRPr="001D6512">
              <w:rPr>
                <w:rFonts w:cs="Arial"/>
                <w:color w:val="000000"/>
                <w:szCs w:val="18"/>
              </w:rPr>
              <w:t>3,148</w:t>
            </w:r>
          </w:p>
        </w:tc>
        <w:tc>
          <w:tcPr>
            <w:tcW w:w="453" w:type="pct"/>
            <w:noWrap/>
          </w:tcPr>
          <w:p w:rsidR="00861542" w:rsidRPr="001D6512" w:rsidRDefault="00861542" w:rsidP="00540C52">
            <w:pPr>
              <w:pStyle w:val="TableCell"/>
              <w:spacing w:before="60" w:after="60" w:line="240" w:lineRule="auto"/>
              <w:contextualSpacing/>
              <w:jc w:val="right"/>
              <w:rPr>
                <w:rFonts w:cs="Arial"/>
                <w:color w:val="000000"/>
                <w:szCs w:val="18"/>
              </w:rPr>
            </w:pPr>
            <w:r w:rsidRPr="001D6512">
              <w:rPr>
                <w:rFonts w:cs="Arial"/>
                <w:color w:val="000000"/>
                <w:szCs w:val="18"/>
              </w:rPr>
              <w:t>2,573</w:t>
            </w:r>
          </w:p>
        </w:tc>
        <w:tc>
          <w:tcPr>
            <w:tcW w:w="453" w:type="pct"/>
            <w:noWrap/>
          </w:tcPr>
          <w:p w:rsidR="00861542" w:rsidRPr="001D6512" w:rsidRDefault="00861542" w:rsidP="00540C52">
            <w:pPr>
              <w:pStyle w:val="TableCell"/>
              <w:spacing w:before="60" w:after="60" w:line="240" w:lineRule="auto"/>
              <w:contextualSpacing/>
              <w:jc w:val="right"/>
              <w:rPr>
                <w:rFonts w:cs="Arial"/>
                <w:color w:val="000000"/>
                <w:szCs w:val="18"/>
              </w:rPr>
            </w:pPr>
            <w:r w:rsidRPr="001D6512">
              <w:rPr>
                <w:rFonts w:cs="Arial"/>
                <w:color w:val="000000"/>
                <w:szCs w:val="18"/>
              </w:rPr>
              <w:t>2,582</w:t>
            </w:r>
          </w:p>
        </w:tc>
        <w:tc>
          <w:tcPr>
            <w:tcW w:w="453" w:type="pct"/>
            <w:noWrap/>
          </w:tcPr>
          <w:p w:rsidR="00861542" w:rsidRPr="001D6512" w:rsidRDefault="00861542" w:rsidP="00540C52">
            <w:pPr>
              <w:pStyle w:val="TableCell"/>
              <w:spacing w:before="60" w:after="60" w:line="240" w:lineRule="auto"/>
              <w:contextualSpacing/>
              <w:jc w:val="right"/>
              <w:rPr>
                <w:rFonts w:cs="Arial"/>
                <w:color w:val="000000"/>
                <w:szCs w:val="18"/>
              </w:rPr>
            </w:pPr>
            <w:r w:rsidRPr="001D6512">
              <w:rPr>
                <w:rFonts w:cs="Arial"/>
                <w:color w:val="000000"/>
                <w:szCs w:val="18"/>
              </w:rPr>
              <w:t>2,715</w:t>
            </w:r>
          </w:p>
        </w:tc>
        <w:tc>
          <w:tcPr>
            <w:tcW w:w="453" w:type="pct"/>
            <w:noWrap/>
          </w:tcPr>
          <w:p w:rsidR="00861542" w:rsidRPr="001D6512" w:rsidRDefault="00861542" w:rsidP="00540C52">
            <w:pPr>
              <w:pStyle w:val="TableCell"/>
              <w:spacing w:before="60" w:after="60" w:line="240" w:lineRule="auto"/>
              <w:contextualSpacing/>
              <w:jc w:val="right"/>
              <w:rPr>
                <w:rFonts w:cs="Arial"/>
                <w:color w:val="000000"/>
                <w:szCs w:val="18"/>
              </w:rPr>
            </w:pPr>
            <w:r w:rsidRPr="001D6512">
              <w:rPr>
                <w:rFonts w:cs="Arial"/>
                <w:color w:val="000000"/>
                <w:szCs w:val="18"/>
              </w:rPr>
              <w:t>2,526</w:t>
            </w:r>
          </w:p>
        </w:tc>
        <w:tc>
          <w:tcPr>
            <w:tcW w:w="453" w:type="pct"/>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2,747</w:t>
            </w:r>
          </w:p>
        </w:tc>
      </w:tr>
      <w:tr w:rsidR="00540C52" w:rsidRPr="008B1B2F" w:rsidTr="00540C52">
        <w:trPr>
          <w:trHeight w:val="300"/>
        </w:trPr>
        <w:tc>
          <w:tcPr>
            <w:tcW w:w="1829" w:type="pct"/>
            <w:noWrap/>
          </w:tcPr>
          <w:p w:rsidR="00861542" w:rsidRPr="001D6512" w:rsidRDefault="00861542" w:rsidP="00861542">
            <w:pPr>
              <w:pStyle w:val="TableCell"/>
              <w:spacing w:before="60" w:after="60" w:line="240" w:lineRule="auto"/>
              <w:contextualSpacing/>
              <w:rPr>
                <w:rFonts w:cs="Arial"/>
                <w:color w:val="000000"/>
                <w:szCs w:val="18"/>
              </w:rPr>
            </w:pPr>
            <w:r w:rsidRPr="001D6512">
              <w:rPr>
                <w:rFonts w:cs="Arial"/>
                <w:color w:val="000000"/>
                <w:szCs w:val="18"/>
              </w:rPr>
              <w:t>Dining: Bar Lounge/Leisure</w:t>
            </w:r>
          </w:p>
        </w:tc>
        <w:tc>
          <w:tcPr>
            <w:tcW w:w="453" w:type="pct"/>
            <w:noWrap/>
          </w:tcPr>
          <w:p w:rsidR="00861542" w:rsidRPr="001D6512" w:rsidRDefault="00861542" w:rsidP="00540C52">
            <w:pPr>
              <w:pStyle w:val="TableCell"/>
              <w:spacing w:before="60" w:after="60" w:line="240" w:lineRule="auto"/>
              <w:contextualSpacing/>
              <w:jc w:val="right"/>
              <w:rPr>
                <w:rFonts w:cs="Arial"/>
                <w:color w:val="000000"/>
                <w:szCs w:val="18"/>
              </w:rPr>
            </w:pPr>
            <w:r w:rsidRPr="001D6512">
              <w:rPr>
                <w:rFonts w:cs="Arial"/>
                <w:color w:val="000000"/>
                <w:szCs w:val="18"/>
              </w:rPr>
              <w:t>1,156</w:t>
            </w:r>
          </w:p>
        </w:tc>
        <w:tc>
          <w:tcPr>
            <w:tcW w:w="453" w:type="pct"/>
            <w:noWrap/>
          </w:tcPr>
          <w:p w:rsidR="00861542" w:rsidRPr="001D6512" w:rsidRDefault="00861542" w:rsidP="00540C52">
            <w:pPr>
              <w:pStyle w:val="TableCell"/>
              <w:spacing w:before="60" w:after="60" w:line="240" w:lineRule="auto"/>
              <w:contextualSpacing/>
              <w:jc w:val="right"/>
              <w:rPr>
                <w:rFonts w:cs="Arial"/>
                <w:color w:val="000000"/>
                <w:szCs w:val="18"/>
              </w:rPr>
            </w:pPr>
            <w:r w:rsidRPr="001D6512">
              <w:rPr>
                <w:rFonts w:cs="Arial"/>
                <w:color w:val="000000"/>
                <w:szCs w:val="18"/>
              </w:rPr>
              <w:t>1,346</w:t>
            </w:r>
          </w:p>
        </w:tc>
        <w:tc>
          <w:tcPr>
            <w:tcW w:w="453" w:type="pct"/>
            <w:noWrap/>
          </w:tcPr>
          <w:p w:rsidR="00861542" w:rsidRPr="001D6512" w:rsidRDefault="00861542" w:rsidP="00540C52">
            <w:pPr>
              <w:pStyle w:val="TableCell"/>
              <w:spacing w:before="60" w:after="60" w:line="240" w:lineRule="auto"/>
              <w:contextualSpacing/>
              <w:jc w:val="right"/>
              <w:rPr>
                <w:rFonts w:cs="Arial"/>
                <w:color w:val="000000"/>
                <w:szCs w:val="18"/>
              </w:rPr>
            </w:pPr>
            <w:r w:rsidRPr="001D6512">
              <w:rPr>
                <w:rFonts w:cs="Arial"/>
                <w:color w:val="000000"/>
                <w:szCs w:val="18"/>
              </w:rPr>
              <w:t>1,100</w:t>
            </w:r>
          </w:p>
        </w:tc>
        <w:tc>
          <w:tcPr>
            <w:tcW w:w="453" w:type="pct"/>
            <w:noWrap/>
          </w:tcPr>
          <w:p w:rsidR="00861542" w:rsidRPr="001D6512" w:rsidRDefault="00861542" w:rsidP="00540C52">
            <w:pPr>
              <w:pStyle w:val="TableCell"/>
              <w:spacing w:before="60" w:after="60" w:line="240" w:lineRule="auto"/>
              <w:contextualSpacing/>
              <w:jc w:val="right"/>
              <w:rPr>
                <w:rFonts w:cs="Arial"/>
                <w:color w:val="000000"/>
                <w:szCs w:val="18"/>
              </w:rPr>
            </w:pPr>
            <w:r w:rsidRPr="001D6512">
              <w:rPr>
                <w:rFonts w:cs="Arial"/>
                <w:color w:val="000000"/>
                <w:szCs w:val="18"/>
              </w:rPr>
              <w:t>1,104</w:t>
            </w:r>
          </w:p>
        </w:tc>
        <w:tc>
          <w:tcPr>
            <w:tcW w:w="453" w:type="pct"/>
            <w:noWrap/>
          </w:tcPr>
          <w:p w:rsidR="00861542" w:rsidRPr="001D6512" w:rsidRDefault="00861542" w:rsidP="00540C52">
            <w:pPr>
              <w:pStyle w:val="TableCell"/>
              <w:spacing w:before="60" w:after="60" w:line="240" w:lineRule="auto"/>
              <w:contextualSpacing/>
              <w:jc w:val="right"/>
              <w:rPr>
                <w:rFonts w:cs="Arial"/>
                <w:color w:val="000000"/>
                <w:szCs w:val="18"/>
              </w:rPr>
            </w:pPr>
            <w:r w:rsidRPr="001D6512">
              <w:rPr>
                <w:rFonts w:cs="Arial"/>
                <w:color w:val="000000"/>
                <w:szCs w:val="18"/>
              </w:rPr>
              <w:t>1,161</w:t>
            </w:r>
          </w:p>
        </w:tc>
        <w:tc>
          <w:tcPr>
            <w:tcW w:w="453" w:type="pct"/>
            <w:noWrap/>
          </w:tcPr>
          <w:p w:rsidR="00861542" w:rsidRPr="001D6512" w:rsidRDefault="00861542" w:rsidP="00540C52">
            <w:pPr>
              <w:pStyle w:val="TableCell"/>
              <w:spacing w:before="60" w:after="60" w:line="240" w:lineRule="auto"/>
              <w:contextualSpacing/>
              <w:jc w:val="right"/>
              <w:rPr>
                <w:rFonts w:cs="Arial"/>
                <w:color w:val="000000"/>
                <w:szCs w:val="18"/>
              </w:rPr>
            </w:pPr>
            <w:r w:rsidRPr="001D6512">
              <w:rPr>
                <w:rFonts w:cs="Arial"/>
                <w:color w:val="000000"/>
                <w:szCs w:val="18"/>
              </w:rPr>
              <w:t>1,080</w:t>
            </w:r>
          </w:p>
        </w:tc>
        <w:tc>
          <w:tcPr>
            <w:tcW w:w="453" w:type="pct"/>
          </w:tcPr>
          <w:p w:rsidR="00861542" w:rsidRPr="001D6512" w:rsidRDefault="00861542" w:rsidP="00540C52">
            <w:pPr>
              <w:pStyle w:val="TableCell"/>
              <w:spacing w:before="60" w:after="60" w:line="240" w:lineRule="auto"/>
              <w:jc w:val="right"/>
              <w:rPr>
                <w:rFonts w:cs="Arial"/>
                <w:color w:val="000000"/>
                <w:szCs w:val="18"/>
              </w:rPr>
            </w:pPr>
            <w:r w:rsidRPr="001D6512">
              <w:rPr>
                <w:rFonts w:cs="Arial"/>
                <w:color w:val="000000"/>
                <w:szCs w:val="18"/>
              </w:rPr>
              <w:t>1,175</w:t>
            </w:r>
          </w:p>
        </w:tc>
      </w:tr>
      <w:tr w:rsidR="00540C52" w:rsidRPr="008B1B2F" w:rsidTr="00540C52">
        <w:trPr>
          <w:trHeight w:val="300"/>
        </w:trPr>
        <w:tc>
          <w:tcPr>
            <w:tcW w:w="1829" w:type="pct"/>
            <w:noWrap/>
          </w:tcPr>
          <w:p w:rsidR="00861542" w:rsidRPr="001D6512" w:rsidRDefault="00861542" w:rsidP="00861542">
            <w:pPr>
              <w:pStyle w:val="TableCell"/>
              <w:keepNext w:val="0"/>
              <w:spacing w:before="60" w:after="60" w:line="240" w:lineRule="auto"/>
              <w:contextualSpacing/>
              <w:rPr>
                <w:rFonts w:cs="Arial"/>
                <w:color w:val="000000"/>
                <w:szCs w:val="18"/>
              </w:rPr>
            </w:pPr>
            <w:r w:rsidRPr="001D6512">
              <w:rPr>
                <w:rFonts w:cs="Arial"/>
                <w:color w:val="000000"/>
                <w:szCs w:val="18"/>
              </w:rPr>
              <w:t>Dining: Cafeteria / Fast Food</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582</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2,066</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1,689</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1,695</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1,782</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1,658</w:t>
            </w:r>
          </w:p>
        </w:tc>
        <w:tc>
          <w:tcPr>
            <w:tcW w:w="453"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1,803</w:t>
            </w:r>
          </w:p>
        </w:tc>
      </w:tr>
      <w:tr w:rsidR="00540C52" w:rsidRPr="008B1B2F" w:rsidTr="00540C52">
        <w:trPr>
          <w:trHeight w:val="300"/>
        </w:trPr>
        <w:tc>
          <w:tcPr>
            <w:tcW w:w="1829" w:type="pct"/>
            <w:noWrap/>
          </w:tcPr>
          <w:p w:rsidR="00861542" w:rsidRPr="001D6512" w:rsidRDefault="00861542" w:rsidP="00861542">
            <w:pPr>
              <w:pStyle w:val="TableCell"/>
              <w:keepNext w:val="0"/>
              <w:spacing w:before="60" w:after="60" w:line="240" w:lineRule="auto"/>
              <w:contextualSpacing/>
              <w:rPr>
                <w:rFonts w:cs="Arial"/>
                <w:color w:val="000000"/>
                <w:szCs w:val="18"/>
              </w:rPr>
            </w:pPr>
            <w:r w:rsidRPr="001D6512">
              <w:rPr>
                <w:rFonts w:cs="Arial"/>
                <w:color w:val="000000"/>
                <w:szCs w:val="18"/>
              </w:rPr>
              <w:t>Dining: Restaurants</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1,156</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1,346</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1,100</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1,104</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1,161</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1,080</w:t>
            </w:r>
          </w:p>
        </w:tc>
        <w:tc>
          <w:tcPr>
            <w:tcW w:w="453"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1,175</w:t>
            </w:r>
          </w:p>
        </w:tc>
      </w:tr>
      <w:tr w:rsidR="00540C52" w:rsidRPr="008B1B2F" w:rsidTr="00540C52">
        <w:trPr>
          <w:trHeight w:val="300"/>
        </w:trPr>
        <w:tc>
          <w:tcPr>
            <w:tcW w:w="1829" w:type="pct"/>
            <w:noWrap/>
          </w:tcPr>
          <w:p w:rsidR="00861542" w:rsidRPr="001D6512" w:rsidRDefault="00861542" w:rsidP="00861542">
            <w:pPr>
              <w:pStyle w:val="TableCell"/>
              <w:keepNext w:val="0"/>
              <w:spacing w:before="60" w:after="60" w:line="240" w:lineRule="auto"/>
              <w:contextualSpacing/>
              <w:rPr>
                <w:rFonts w:cs="Arial"/>
                <w:color w:val="000000"/>
                <w:szCs w:val="18"/>
              </w:rPr>
            </w:pPr>
            <w:r w:rsidRPr="001D6512">
              <w:rPr>
                <w:rFonts w:cs="Arial"/>
                <w:color w:val="000000"/>
                <w:szCs w:val="18"/>
              </w:rPr>
              <w:t>Gymnasium/Performing Arts Theatre</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1,559</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1,815</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1,484</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1,489</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1,565</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1,457</w:t>
            </w:r>
          </w:p>
        </w:tc>
        <w:tc>
          <w:tcPr>
            <w:tcW w:w="453"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1,584</w:t>
            </w:r>
          </w:p>
        </w:tc>
      </w:tr>
      <w:tr w:rsidR="00540C52" w:rsidRPr="008B1B2F" w:rsidTr="00540C52">
        <w:trPr>
          <w:trHeight w:val="300"/>
        </w:trPr>
        <w:tc>
          <w:tcPr>
            <w:tcW w:w="1829" w:type="pct"/>
            <w:noWrap/>
          </w:tcPr>
          <w:p w:rsidR="00861542" w:rsidRPr="001D6512" w:rsidRDefault="00861542" w:rsidP="00861542">
            <w:pPr>
              <w:pStyle w:val="TableCell"/>
              <w:keepNext w:val="0"/>
              <w:spacing w:before="60" w:after="60" w:line="240" w:lineRule="auto"/>
              <w:contextualSpacing/>
              <w:rPr>
                <w:rFonts w:cs="Arial"/>
                <w:color w:val="000000"/>
                <w:szCs w:val="18"/>
              </w:rPr>
            </w:pPr>
            <w:r w:rsidRPr="001D6512">
              <w:rPr>
                <w:rFonts w:cs="Arial"/>
                <w:color w:val="000000"/>
                <w:szCs w:val="18"/>
              </w:rPr>
              <w:t>Hospitals/Health care</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276</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321</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263</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264</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277</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2,526</w:t>
            </w:r>
          </w:p>
        </w:tc>
        <w:tc>
          <w:tcPr>
            <w:tcW w:w="453"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280</w:t>
            </w:r>
          </w:p>
        </w:tc>
      </w:tr>
      <w:tr w:rsidR="00540C52" w:rsidRPr="008B1B2F" w:rsidTr="00540C52">
        <w:trPr>
          <w:trHeight w:val="300"/>
        </w:trPr>
        <w:tc>
          <w:tcPr>
            <w:tcW w:w="1829" w:type="pct"/>
            <w:noWrap/>
          </w:tcPr>
          <w:p w:rsidR="00861542" w:rsidRPr="001D6512" w:rsidRDefault="00861542" w:rsidP="00861542">
            <w:pPr>
              <w:pStyle w:val="TableCell"/>
              <w:keepNext w:val="0"/>
              <w:spacing w:before="60" w:after="60" w:line="240" w:lineRule="auto"/>
              <w:contextualSpacing/>
              <w:rPr>
                <w:rFonts w:cs="Arial"/>
                <w:color w:val="000000"/>
                <w:szCs w:val="18"/>
              </w:rPr>
            </w:pPr>
            <w:r w:rsidRPr="001D6512">
              <w:rPr>
                <w:rFonts w:cs="Arial"/>
                <w:color w:val="000000"/>
                <w:szCs w:val="18"/>
              </w:rPr>
              <w:t>Industrial: 1 Shift/Light Manufacturing</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1,491</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1,737</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1,420</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1,425</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1,498</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1,394</w:t>
            </w:r>
          </w:p>
        </w:tc>
        <w:tc>
          <w:tcPr>
            <w:tcW w:w="453"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1,516</w:t>
            </w:r>
          </w:p>
        </w:tc>
      </w:tr>
      <w:tr w:rsidR="00540C52" w:rsidRPr="008B1B2F" w:rsidTr="00540C52">
        <w:trPr>
          <w:trHeight w:val="300"/>
        </w:trPr>
        <w:tc>
          <w:tcPr>
            <w:tcW w:w="1829" w:type="pct"/>
            <w:noWrap/>
          </w:tcPr>
          <w:p w:rsidR="00861542" w:rsidRPr="001D6512" w:rsidRDefault="00861542" w:rsidP="00861542">
            <w:pPr>
              <w:pStyle w:val="TableCell"/>
              <w:keepNext w:val="0"/>
              <w:spacing w:before="60" w:after="60" w:line="240" w:lineRule="auto"/>
              <w:contextualSpacing/>
              <w:rPr>
                <w:rFonts w:cs="Arial"/>
                <w:color w:val="000000"/>
                <w:szCs w:val="18"/>
              </w:rPr>
            </w:pPr>
            <w:r w:rsidRPr="001D6512">
              <w:rPr>
                <w:rFonts w:cs="Arial"/>
                <w:color w:val="000000"/>
                <w:szCs w:val="18"/>
              </w:rPr>
              <w:t>Industrial: 2 Shift</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1,017</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1,184</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968</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972</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1,022</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951</w:t>
            </w:r>
          </w:p>
        </w:tc>
        <w:tc>
          <w:tcPr>
            <w:tcW w:w="453"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1,034</w:t>
            </w:r>
          </w:p>
        </w:tc>
      </w:tr>
      <w:tr w:rsidR="00540C52" w:rsidRPr="008B1B2F" w:rsidTr="00540C52">
        <w:trPr>
          <w:trHeight w:val="300"/>
        </w:trPr>
        <w:tc>
          <w:tcPr>
            <w:tcW w:w="1829" w:type="pct"/>
            <w:noWrap/>
          </w:tcPr>
          <w:p w:rsidR="00861542" w:rsidRPr="001D6512" w:rsidRDefault="00861542" w:rsidP="00861542">
            <w:pPr>
              <w:pStyle w:val="TableCell"/>
              <w:keepNext w:val="0"/>
              <w:spacing w:before="60" w:after="60" w:line="240" w:lineRule="auto"/>
              <w:contextualSpacing/>
              <w:rPr>
                <w:rFonts w:cs="Arial"/>
                <w:color w:val="000000"/>
                <w:szCs w:val="18"/>
              </w:rPr>
            </w:pPr>
            <w:r w:rsidRPr="001D6512">
              <w:rPr>
                <w:rFonts w:cs="Arial"/>
                <w:color w:val="000000"/>
                <w:szCs w:val="18"/>
              </w:rPr>
              <w:t>Industrial: 3 Shift</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538</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626</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512</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513</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540</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502</w:t>
            </w:r>
          </w:p>
        </w:tc>
        <w:tc>
          <w:tcPr>
            <w:tcW w:w="453"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546</w:t>
            </w:r>
          </w:p>
        </w:tc>
      </w:tr>
      <w:tr w:rsidR="00540C52" w:rsidRPr="008B1B2F" w:rsidTr="00540C52">
        <w:trPr>
          <w:trHeight w:val="300"/>
        </w:trPr>
        <w:tc>
          <w:tcPr>
            <w:tcW w:w="1829" w:type="pct"/>
            <w:noWrap/>
          </w:tcPr>
          <w:p w:rsidR="00861542" w:rsidRPr="001D6512" w:rsidRDefault="00861542" w:rsidP="00861542">
            <w:pPr>
              <w:pStyle w:val="TableCell"/>
              <w:keepNext w:val="0"/>
              <w:spacing w:before="60" w:after="60" w:line="240" w:lineRule="auto"/>
              <w:contextualSpacing/>
              <w:rPr>
                <w:rFonts w:cs="Arial"/>
                <w:color w:val="000000"/>
                <w:szCs w:val="18"/>
              </w:rPr>
            </w:pPr>
            <w:r w:rsidRPr="001D6512">
              <w:rPr>
                <w:rFonts w:cs="Arial"/>
                <w:color w:val="000000"/>
                <w:szCs w:val="18"/>
              </w:rPr>
              <w:t>Lodging: Hotels/Motels/Dormitories</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1,438</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1,675</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1,369</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1,374</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1,444</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1,344</w:t>
            </w:r>
          </w:p>
        </w:tc>
        <w:tc>
          <w:tcPr>
            <w:tcW w:w="453"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1,462</w:t>
            </w:r>
          </w:p>
        </w:tc>
      </w:tr>
      <w:tr w:rsidR="00540C52" w:rsidRPr="008B1B2F" w:rsidTr="00540C52">
        <w:trPr>
          <w:trHeight w:val="300"/>
        </w:trPr>
        <w:tc>
          <w:tcPr>
            <w:tcW w:w="1829" w:type="pct"/>
            <w:noWrap/>
          </w:tcPr>
          <w:p w:rsidR="00861542" w:rsidRPr="001D6512" w:rsidRDefault="00861542" w:rsidP="00861542">
            <w:pPr>
              <w:pStyle w:val="TableCell"/>
              <w:keepNext w:val="0"/>
              <w:spacing w:before="60" w:after="60" w:line="240" w:lineRule="auto"/>
              <w:contextualSpacing/>
              <w:rPr>
                <w:rFonts w:cs="Arial"/>
                <w:color w:val="000000"/>
                <w:szCs w:val="18"/>
              </w:rPr>
            </w:pPr>
            <w:r w:rsidRPr="001D6512">
              <w:rPr>
                <w:rFonts w:cs="Arial"/>
                <w:color w:val="000000"/>
                <w:szCs w:val="18"/>
              </w:rPr>
              <w:t>Lodging: Residential</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1,438</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1,675</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1,369</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1,374</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1,444</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1,344</w:t>
            </w:r>
          </w:p>
        </w:tc>
        <w:tc>
          <w:tcPr>
            <w:tcW w:w="453"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1,462</w:t>
            </w:r>
          </w:p>
        </w:tc>
      </w:tr>
      <w:tr w:rsidR="00540C52" w:rsidRPr="008B1B2F" w:rsidTr="00540C52">
        <w:trPr>
          <w:trHeight w:val="300"/>
        </w:trPr>
        <w:tc>
          <w:tcPr>
            <w:tcW w:w="1829" w:type="pct"/>
            <w:noWrap/>
          </w:tcPr>
          <w:p w:rsidR="00861542" w:rsidRPr="001D6512" w:rsidRDefault="00861542" w:rsidP="00861542">
            <w:pPr>
              <w:pStyle w:val="TableCell"/>
              <w:keepNext w:val="0"/>
              <w:spacing w:before="60" w:after="60" w:line="240" w:lineRule="auto"/>
              <w:contextualSpacing/>
              <w:rPr>
                <w:rFonts w:cs="Arial"/>
                <w:color w:val="000000"/>
                <w:szCs w:val="18"/>
              </w:rPr>
            </w:pPr>
            <w:r w:rsidRPr="001D6512">
              <w:rPr>
                <w:rFonts w:cs="Arial"/>
                <w:color w:val="000000"/>
                <w:szCs w:val="18"/>
              </w:rPr>
              <w:t>Multi-Family (Common Areas)</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277</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3,148</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2,573</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2,582</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2,715</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2,526</w:t>
            </w:r>
          </w:p>
        </w:tc>
        <w:tc>
          <w:tcPr>
            <w:tcW w:w="453"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2,747</w:t>
            </w:r>
          </w:p>
        </w:tc>
      </w:tr>
      <w:tr w:rsidR="00540C52" w:rsidRPr="008B1B2F" w:rsidTr="00540C52">
        <w:trPr>
          <w:trHeight w:val="300"/>
        </w:trPr>
        <w:tc>
          <w:tcPr>
            <w:tcW w:w="1829" w:type="pct"/>
            <w:noWrap/>
          </w:tcPr>
          <w:p w:rsidR="00861542" w:rsidRPr="001D6512" w:rsidRDefault="00861542" w:rsidP="00861542">
            <w:pPr>
              <w:pStyle w:val="TableCell"/>
              <w:keepNext w:val="0"/>
              <w:spacing w:before="60" w:after="60" w:line="240" w:lineRule="auto"/>
              <w:contextualSpacing/>
              <w:rPr>
                <w:rFonts w:cs="Arial"/>
                <w:color w:val="000000"/>
                <w:szCs w:val="18"/>
              </w:rPr>
            </w:pPr>
            <w:r w:rsidRPr="001D6512">
              <w:rPr>
                <w:rFonts w:cs="Arial"/>
                <w:color w:val="000000"/>
                <w:szCs w:val="18"/>
              </w:rPr>
              <w:t>Museum/Library</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1,266</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1,474</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1,205</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1,209</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1,271</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1,183</w:t>
            </w:r>
          </w:p>
        </w:tc>
        <w:tc>
          <w:tcPr>
            <w:tcW w:w="453"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1,286</w:t>
            </w:r>
          </w:p>
        </w:tc>
      </w:tr>
      <w:tr w:rsidR="00540C52" w:rsidRPr="008B1B2F" w:rsidTr="00540C52">
        <w:trPr>
          <w:trHeight w:val="300"/>
        </w:trPr>
        <w:tc>
          <w:tcPr>
            <w:tcW w:w="1829" w:type="pct"/>
            <w:noWrap/>
          </w:tcPr>
          <w:p w:rsidR="00861542" w:rsidRPr="001D6512" w:rsidRDefault="00861542" w:rsidP="00861542">
            <w:pPr>
              <w:pStyle w:val="TableCell"/>
              <w:keepNext w:val="0"/>
              <w:spacing w:before="60" w:after="60" w:line="240" w:lineRule="auto"/>
              <w:contextualSpacing/>
              <w:rPr>
                <w:rFonts w:cs="Arial"/>
                <w:color w:val="000000"/>
                <w:szCs w:val="18"/>
              </w:rPr>
            </w:pPr>
            <w:r w:rsidRPr="001D6512">
              <w:rPr>
                <w:rFonts w:cs="Arial"/>
                <w:color w:val="000000"/>
                <w:szCs w:val="18"/>
              </w:rPr>
              <w:t>Nursing Homes</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738</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3,148</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2,573</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2,582</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2,715</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2,526</w:t>
            </w:r>
          </w:p>
        </w:tc>
        <w:tc>
          <w:tcPr>
            <w:tcW w:w="453"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2,747</w:t>
            </w:r>
          </w:p>
        </w:tc>
      </w:tr>
      <w:tr w:rsidR="00540C52" w:rsidRPr="008B1B2F" w:rsidTr="00540C52">
        <w:trPr>
          <w:trHeight w:val="300"/>
        </w:trPr>
        <w:tc>
          <w:tcPr>
            <w:tcW w:w="1829" w:type="pct"/>
            <w:noWrap/>
          </w:tcPr>
          <w:p w:rsidR="00861542" w:rsidRPr="001D6512" w:rsidRDefault="00861542" w:rsidP="00861542">
            <w:pPr>
              <w:pStyle w:val="TableCell"/>
              <w:keepNext w:val="0"/>
              <w:spacing w:before="60" w:after="60" w:line="240" w:lineRule="auto"/>
              <w:contextualSpacing/>
              <w:rPr>
                <w:rFonts w:cs="Arial"/>
                <w:color w:val="000000"/>
                <w:szCs w:val="18"/>
              </w:rPr>
            </w:pPr>
            <w:r w:rsidRPr="001D6512">
              <w:rPr>
                <w:rFonts w:cs="Arial"/>
                <w:color w:val="000000"/>
                <w:szCs w:val="18"/>
              </w:rPr>
              <w:t>Office: General/Retail</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1,266</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884</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722</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725</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762</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709</w:t>
            </w:r>
          </w:p>
        </w:tc>
        <w:tc>
          <w:tcPr>
            <w:tcW w:w="453"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771</w:t>
            </w:r>
          </w:p>
        </w:tc>
      </w:tr>
      <w:tr w:rsidR="00540C52" w:rsidRPr="008B1B2F" w:rsidTr="00540C52">
        <w:trPr>
          <w:trHeight w:val="300"/>
        </w:trPr>
        <w:tc>
          <w:tcPr>
            <w:tcW w:w="1829" w:type="pct"/>
            <w:noWrap/>
          </w:tcPr>
          <w:p w:rsidR="00861542" w:rsidRPr="001D6512" w:rsidRDefault="00861542" w:rsidP="00861542">
            <w:pPr>
              <w:pStyle w:val="TableCell"/>
              <w:keepNext w:val="0"/>
              <w:spacing w:before="60" w:after="60" w:line="240" w:lineRule="auto"/>
              <w:contextualSpacing/>
              <w:rPr>
                <w:rFonts w:cs="Arial"/>
                <w:color w:val="000000"/>
                <w:szCs w:val="18"/>
              </w:rPr>
            </w:pPr>
            <w:r w:rsidRPr="001D6512">
              <w:rPr>
                <w:rFonts w:cs="Arial"/>
                <w:color w:val="000000"/>
                <w:szCs w:val="18"/>
              </w:rPr>
              <w:t>Office: Medical/Banks</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1,266</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1,474</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1,205</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1,209</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1,271</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1,183</w:t>
            </w:r>
          </w:p>
        </w:tc>
        <w:tc>
          <w:tcPr>
            <w:tcW w:w="453"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1,286</w:t>
            </w:r>
          </w:p>
        </w:tc>
      </w:tr>
      <w:tr w:rsidR="00540C52" w:rsidRPr="008B1B2F" w:rsidTr="00540C52">
        <w:trPr>
          <w:trHeight w:val="300"/>
        </w:trPr>
        <w:tc>
          <w:tcPr>
            <w:tcW w:w="1829" w:type="pct"/>
            <w:noWrap/>
          </w:tcPr>
          <w:p w:rsidR="00861542" w:rsidRPr="001D6512" w:rsidRDefault="00861542" w:rsidP="00861542">
            <w:pPr>
              <w:pStyle w:val="TableCell"/>
              <w:keepNext w:val="0"/>
              <w:spacing w:before="60" w:after="60" w:line="240" w:lineRule="auto"/>
              <w:contextualSpacing/>
              <w:rPr>
                <w:rFonts w:cs="Arial"/>
                <w:color w:val="000000"/>
                <w:szCs w:val="18"/>
              </w:rPr>
            </w:pPr>
            <w:r w:rsidRPr="001D6512">
              <w:rPr>
                <w:rFonts w:cs="Arial"/>
                <w:color w:val="000000"/>
                <w:szCs w:val="18"/>
              </w:rPr>
              <w:t>Parking Garages &amp; Lots</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1,110</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1,292</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1,056</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1,060</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1,114</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1,037</w:t>
            </w:r>
          </w:p>
        </w:tc>
        <w:tc>
          <w:tcPr>
            <w:tcW w:w="453"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1,128</w:t>
            </w:r>
          </w:p>
        </w:tc>
      </w:tr>
      <w:tr w:rsidR="00540C52" w:rsidRPr="008B1B2F" w:rsidTr="00540C52">
        <w:trPr>
          <w:trHeight w:val="300"/>
        </w:trPr>
        <w:tc>
          <w:tcPr>
            <w:tcW w:w="1829" w:type="pct"/>
            <w:noWrap/>
          </w:tcPr>
          <w:p w:rsidR="00861542" w:rsidRPr="001D6512" w:rsidRDefault="00861542" w:rsidP="00861542">
            <w:pPr>
              <w:pStyle w:val="TableCell"/>
              <w:keepNext w:val="0"/>
              <w:spacing w:before="60" w:after="60" w:line="240" w:lineRule="auto"/>
              <w:contextualSpacing/>
              <w:rPr>
                <w:rFonts w:cs="Arial"/>
                <w:color w:val="000000"/>
                <w:szCs w:val="18"/>
              </w:rPr>
            </w:pPr>
            <w:r w:rsidRPr="001D6512">
              <w:rPr>
                <w:rFonts w:cs="Arial"/>
                <w:color w:val="000000"/>
                <w:szCs w:val="18"/>
              </w:rPr>
              <w:t>Penitentiary</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829</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3,148</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2,573</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2,582</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2,715</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2,526</w:t>
            </w:r>
          </w:p>
        </w:tc>
        <w:tc>
          <w:tcPr>
            <w:tcW w:w="453"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2,747</w:t>
            </w:r>
          </w:p>
        </w:tc>
      </w:tr>
      <w:tr w:rsidR="00540C52" w:rsidRPr="008B1B2F" w:rsidTr="00540C52">
        <w:trPr>
          <w:trHeight w:val="300"/>
        </w:trPr>
        <w:tc>
          <w:tcPr>
            <w:tcW w:w="1829" w:type="pct"/>
            <w:noWrap/>
          </w:tcPr>
          <w:p w:rsidR="00861542" w:rsidRPr="001D6512" w:rsidRDefault="00861542" w:rsidP="00861542">
            <w:pPr>
              <w:pStyle w:val="TableCell"/>
              <w:keepNext w:val="0"/>
              <w:spacing w:before="60" w:after="60" w:line="240" w:lineRule="auto"/>
              <w:contextualSpacing/>
              <w:rPr>
                <w:rFonts w:cs="Arial"/>
                <w:color w:val="000000"/>
                <w:szCs w:val="18"/>
              </w:rPr>
            </w:pPr>
            <w:r w:rsidRPr="001D6512">
              <w:rPr>
                <w:rFonts w:cs="Arial"/>
                <w:color w:val="000000"/>
                <w:szCs w:val="18"/>
              </w:rPr>
              <w:t>Police/Fire Stations (24 Hr)</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277</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3,148</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2,573</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2,582</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2,715</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2,526</w:t>
            </w:r>
          </w:p>
        </w:tc>
        <w:tc>
          <w:tcPr>
            <w:tcW w:w="453"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2,747</w:t>
            </w:r>
          </w:p>
        </w:tc>
      </w:tr>
      <w:tr w:rsidR="00540C52" w:rsidRPr="008B1B2F" w:rsidTr="00540C52">
        <w:trPr>
          <w:trHeight w:val="300"/>
        </w:trPr>
        <w:tc>
          <w:tcPr>
            <w:tcW w:w="1829" w:type="pct"/>
            <w:noWrap/>
          </w:tcPr>
          <w:p w:rsidR="00861542" w:rsidRPr="001D6512" w:rsidRDefault="00861542" w:rsidP="00861542">
            <w:pPr>
              <w:pStyle w:val="TableCell"/>
              <w:keepNext w:val="0"/>
              <w:spacing w:before="60" w:after="60" w:line="240" w:lineRule="auto"/>
              <w:contextualSpacing/>
              <w:rPr>
                <w:rFonts w:cs="Arial"/>
                <w:color w:val="000000"/>
                <w:szCs w:val="18"/>
              </w:rPr>
            </w:pPr>
            <w:r w:rsidRPr="001D6512">
              <w:rPr>
                <w:rFonts w:cs="Arial"/>
                <w:color w:val="000000"/>
                <w:szCs w:val="18"/>
              </w:rPr>
              <w:t>Post Office/Town Hall/Court House</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1,266</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1,474</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1,205</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1,209</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1,271</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1,183</w:t>
            </w:r>
          </w:p>
        </w:tc>
        <w:tc>
          <w:tcPr>
            <w:tcW w:w="453"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1,286</w:t>
            </w:r>
          </w:p>
        </w:tc>
      </w:tr>
      <w:tr w:rsidR="00540C52" w:rsidRPr="008B1B2F" w:rsidTr="00540C52">
        <w:trPr>
          <w:trHeight w:val="300"/>
        </w:trPr>
        <w:tc>
          <w:tcPr>
            <w:tcW w:w="1829" w:type="pct"/>
            <w:noWrap/>
          </w:tcPr>
          <w:p w:rsidR="00861542" w:rsidRPr="001D6512" w:rsidRDefault="00861542" w:rsidP="00861542">
            <w:pPr>
              <w:pStyle w:val="TableCell"/>
              <w:keepNext w:val="0"/>
              <w:spacing w:before="60" w:after="60" w:line="240" w:lineRule="auto"/>
              <w:contextualSpacing/>
              <w:rPr>
                <w:rFonts w:cs="Arial"/>
                <w:color w:val="000000"/>
                <w:szCs w:val="18"/>
              </w:rPr>
            </w:pPr>
            <w:r w:rsidRPr="001D6512">
              <w:rPr>
                <w:rFonts w:cs="Arial"/>
                <w:color w:val="000000"/>
                <w:szCs w:val="18"/>
              </w:rPr>
              <w:t>Religious Buildings/Church</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1,718</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2,001</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1,635</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1,641</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1,725</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1,605</w:t>
            </w:r>
          </w:p>
        </w:tc>
        <w:tc>
          <w:tcPr>
            <w:tcW w:w="453"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1,746</w:t>
            </w:r>
          </w:p>
        </w:tc>
      </w:tr>
      <w:tr w:rsidR="00540C52" w:rsidRPr="008B1B2F" w:rsidTr="00540C52">
        <w:trPr>
          <w:trHeight w:val="300"/>
        </w:trPr>
        <w:tc>
          <w:tcPr>
            <w:tcW w:w="1829" w:type="pct"/>
            <w:noWrap/>
          </w:tcPr>
          <w:p w:rsidR="00861542" w:rsidRPr="001D6512" w:rsidRDefault="00861542" w:rsidP="00861542">
            <w:pPr>
              <w:pStyle w:val="TableCell"/>
              <w:keepNext w:val="0"/>
              <w:spacing w:before="60" w:after="60" w:line="240" w:lineRule="auto"/>
              <w:contextualSpacing/>
              <w:rPr>
                <w:rFonts w:cs="Arial"/>
                <w:color w:val="000000"/>
                <w:szCs w:val="18"/>
              </w:rPr>
            </w:pPr>
            <w:r w:rsidRPr="001D6512">
              <w:rPr>
                <w:rFonts w:cs="Arial"/>
                <w:color w:val="000000"/>
                <w:szCs w:val="18"/>
              </w:rPr>
              <w:t>Retail</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1,188</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1,383</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1,130</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1,135</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1,193</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1,110</w:t>
            </w:r>
          </w:p>
        </w:tc>
        <w:tc>
          <w:tcPr>
            <w:tcW w:w="453"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1,207</w:t>
            </w:r>
          </w:p>
        </w:tc>
      </w:tr>
      <w:tr w:rsidR="00540C52" w:rsidRPr="008B1B2F" w:rsidTr="00540C52">
        <w:trPr>
          <w:trHeight w:val="300"/>
        </w:trPr>
        <w:tc>
          <w:tcPr>
            <w:tcW w:w="1829" w:type="pct"/>
            <w:noWrap/>
          </w:tcPr>
          <w:p w:rsidR="00861542" w:rsidRPr="001D6512" w:rsidRDefault="00861542" w:rsidP="00861542">
            <w:pPr>
              <w:pStyle w:val="TableCell"/>
              <w:keepNext w:val="0"/>
              <w:spacing w:before="60" w:after="60" w:line="240" w:lineRule="auto"/>
              <w:contextualSpacing/>
              <w:rPr>
                <w:rFonts w:cs="Arial"/>
                <w:color w:val="000000"/>
                <w:szCs w:val="18"/>
              </w:rPr>
            </w:pPr>
            <w:r w:rsidRPr="001D6512">
              <w:rPr>
                <w:rFonts w:cs="Arial"/>
                <w:color w:val="000000"/>
                <w:szCs w:val="18"/>
              </w:rPr>
              <w:t>Schools/University</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1,661</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984</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805</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808</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849</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790</w:t>
            </w:r>
          </w:p>
        </w:tc>
        <w:tc>
          <w:tcPr>
            <w:tcW w:w="453"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859</w:t>
            </w:r>
          </w:p>
        </w:tc>
      </w:tr>
      <w:tr w:rsidR="00540C52" w:rsidRPr="008B1B2F" w:rsidTr="00540C52">
        <w:trPr>
          <w:trHeight w:val="300"/>
        </w:trPr>
        <w:tc>
          <w:tcPr>
            <w:tcW w:w="1829" w:type="pct"/>
            <w:noWrap/>
          </w:tcPr>
          <w:p w:rsidR="00861542" w:rsidRPr="001D6512" w:rsidRDefault="00861542" w:rsidP="00861542">
            <w:pPr>
              <w:pStyle w:val="TableCell"/>
              <w:keepNext w:val="0"/>
              <w:spacing w:before="60" w:after="60" w:line="240" w:lineRule="auto"/>
              <w:contextualSpacing/>
              <w:rPr>
                <w:rFonts w:cs="Arial"/>
                <w:color w:val="000000"/>
                <w:szCs w:val="18"/>
              </w:rPr>
            </w:pPr>
            <w:r w:rsidRPr="001D6512">
              <w:rPr>
                <w:rFonts w:cs="Arial"/>
                <w:color w:val="000000"/>
                <w:szCs w:val="18"/>
              </w:rPr>
              <w:t>Warehouses (Not Refrigerated)</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538</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567</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463</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465</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489</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455</w:t>
            </w:r>
          </w:p>
        </w:tc>
        <w:tc>
          <w:tcPr>
            <w:tcW w:w="453"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495</w:t>
            </w:r>
          </w:p>
        </w:tc>
      </w:tr>
      <w:tr w:rsidR="00540C52" w:rsidRPr="008B1B2F" w:rsidTr="00540C52">
        <w:trPr>
          <w:trHeight w:val="300"/>
        </w:trPr>
        <w:tc>
          <w:tcPr>
            <w:tcW w:w="1829" w:type="pct"/>
            <w:noWrap/>
          </w:tcPr>
          <w:p w:rsidR="00861542" w:rsidRPr="001D6512" w:rsidRDefault="00861542" w:rsidP="00861542">
            <w:pPr>
              <w:pStyle w:val="TableCell"/>
              <w:keepNext w:val="0"/>
              <w:spacing w:before="60" w:after="60" w:line="240" w:lineRule="auto"/>
              <w:contextualSpacing/>
              <w:rPr>
                <w:rFonts w:cs="Arial"/>
                <w:color w:val="000000"/>
                <w:szCs w:val="18"/>
              </w:rPr>
            </w:pPr>
            <w:r w:rsidRPr="001D6512">
              <w:rPr>
                <w:rFonts w:cs="Arial"/>
                <w:color w:val="000000"/>
                <w:szCs w:val="18"/>
              </w:rPr>
              <w:t>Warehouses (Refrigerated)</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1,555</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1,810</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1,480</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1,485</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1,561</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1,453</w:t>
            </w:r>
          </w:p>
        </w:tc>
        <w:tc>
          <w:tcPr>
            <w:tcW w:w="453"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1,580</w:t>
            </w:r>
          </w:p>
        </w:tc>
      </w:tr>
      <w:tr w:rsidR="00540C52" w:rsidRPr="008B1B2F" w:rsidTr="00540C52">
        <w:trPr>
          <w:trHeight w:val="300"/>
        </w:trPr>
        <w:tc>
          <w:tcPr>
            <w:tcW w:w="1829" w:type="pct"/>
            <w:noWrap/>
          </w:tcPr>
          <w:p w:rsidR="00861542" w:rsidRPr="001D6512" w:rsidRDefault="00861542" w:rsidP="00861542">
            <w:pPr>
              <w:pStyle w:val="TableCell"/>
              <w:keepNext w:val="0"/>
              <w:spacing w:before="60" w:after="60" w:line="240" w:lineRule="auto"/>
              <w:contextualSpacing/>
              <w:rPr>
                <w:rFonts w:cs="Arial"/>
                <w:color w:val="000000"/>
                <w:szCs w:val="18"/>
              </w:rPr>
            </w:pPr>
            <w:r w:rsidRPr="001D6512">
              <w:rPr>
                <w:rFonts w:cs="Arial"/>
                <w:color w:val="000000"/>
                <w:szCs w:val="18"/>
              </w:rPr>
              <w:t>Waste Water Treatment Plant</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1,265</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1,473</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1,204</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1,208</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1,270</w:t>
            </w:r>
          </w:p>
        </w:tc>
        <w:tc>
          <w:tcPr>
            <w:tcW w:w="453" w:type="pct"/>
            <w:noWrap/>
          </w:tcPr>
          <w:p w:rsidR="00861542" w:rsidRPr="001D6512" w:rsidRDefault="00861542" w:rsidP="00540C52">
            <w:pPr>
              <w:pStyle w:val="TableCell"/>
              <w:keepNext w:val="0"/>
              <w:spacing w:before="60" w:after="60" w:line="240" w:lineRule="auto"/>
              <w:contextualSpacing/>
              <w:jc w:val="right"/>
              <w:rPr>
                <w:rFonts w:cs="Arial"/>
                <w:color w:val="000000"/>
                <w:szCs w:val="18"/>
              </w:rPr>
            </w:pPr>
            <w:r w:rsidRPr="001D6512">
              <w:rPr>
                <w:rFonts w:cs="Arial"/>
                <w:color w:val="000000"/>
                <w:szCs w:val="18"/>
              </w:rPr>
              <w:t>1,182</w:t>
            </w:r>
          </w:p>
        </w:tc>
        <w:tc>
          <w:tcPr>
            <w:tcW w:w="453" w:type="pct"/>
          </w:tcPr>
          <w:p w:rsidR="00861542" w:rsidRPr="001D6512" w:rsidRDefault="00861542" w:rsidP="00540C52">
            <w:pPr>
              <w:pStyle w:val="TableCell"/>
              <w:keepNext w:val="0"/>
              <w:spacing w:before="60" w:after="60" w:line="240" w:lineRule="auto"/>
              <w:jc w:val="right"/>
              <w:rPr>
                <w:rFonts w:cs="Arial"/>
                <w:color w:val="000000"/>
                <w:szCs w:val="18"/>
              </w:rPr>
            </w:pPr>
            <w:r w:rsidRPr="001D6512">
              <w:rPr>
                <w:rFonts w:cs="Arial"/>
                <w:color w:val="000000"/>
                <w:szCs w:val="18"/>
              </w:rPr>
              <w:t>1,285</w:t>
            </w:r>
          </w:p>
        </w:tc>
      </w:tr>
    </w:tbl>
    <w:p w:rsidR="001C1DCC" w:rsidRPr="00E75089" w:rsidRDefault="00750794" w:rsidP="00861542">
      <w:pPr>
        <w:pStyle w:val="Heading2"/>
      </w:pPr>
      <w:bookmarkStart w:id="752" w:name="_Toc298621165"/>
      <w:bookmarkStart w:id="753" w:name="_Toc298621244"/>
      <w:bookmarkStart w:id="754" w:name="_Toc298621431"/>
      <w:bookmarkStart w:id="755" w:name="_Toc303086222"/>
      <w:bookmarkStart w:id="756" w:name="_Toc303339092"/>
      <w:bookmarkStart w:id="757" w:name="_Toc303347589"/>
      <w:bookmarkStart w:id="758" w:name="_Toc303352527"/>
      <w:bookmarkStart w:id="759" w:name="_Toc310868458"/>
      <w:bookmarkEnd w:id="752"/>
      <w:bookmarkEnd w:id="753"/>
      <w:bookmarkEnd w:id="754"/>
      <w:bookmarkEnd w:id="755"/>
      <w:bookmarkEnd w:id="756"/>
      <w:bookmarkEnd w:id="757"/>
      <w:bookmarkEnd w:id="758"/>
      <w:bookmarkEnd w:id="759"/>
      <w:r>
        <w:br w:type="page"/>
      </w:r>
      <w:bookmarkStart w:id="760" w:name="_Toc310875446"/>
      <w:r w:rsidR="009A4B7C" w:rsidRPr="00E75089">
        <w:lastRenderedPageBreak/>
        <w:t>Electric Chillers</w:t>
      </w:r>
      <w:bookmarkEnd w:id="760"/>
    </w:p>
    <w:p w:rsidR="00A22E85" w:rsidRDefault="00FD5A67" w:rsidP="00212DB6">
      <w:r>
        <w:rPr>
          <w:rFonts w:ascii="PalatinoLinotype" w:hAnsi="PalatinoLinotype" w:cs="PalatinoLinotype"/>
        </w:rPr>
        <w:t xml:space="preserve">This protocol estimates savings for installing high </w:t>
      </w:r>
      <w:r w:rsidRPr="00750794">
        <w:t>efficiency electric chillers as compared to chillers that meet the minimum performance allowed by the current PA Energy Code.</w:t>
      </w:r>
      <w:r w:rsidR="00884BF0" w:rsidRPr="00750794">
        <w:t xml:space="preserve"> </w:t>
      </w:r>
      <w:r w:rsidR="009A4B7C" w:rsidRPr="00750794">
        <w:t xml:space="preserve">The measurement of energy and demand savings for </w:t>
      </w:r>
      <w:r w:rsidR="008075FC">
        <w:t>c</w:t>
      </w:r>
      <w:r w:rsidR="009A4B7C" w:rsidRPr="00750794">
        <w:t xml:space="preserve">hillers is based on algorithms with key variables (i.e., </w:t>
      </w:r>
      <w:r w:rsidR="004762A3" w:rsidRPr="00750794">
        <w:t>Efficiency</w:t>
      </w:r>
      <w:r w:rsidR="009A4B7C" w:rsidRPr="00750794">
        <w:t xml:space="preserve">, Coincidence Factor, </w:t>
      </w:r>
      <w:r w:rsidR="00750794" w:rsidRPr="00750794">
        <w:t>and Equivalent</w:t>
      </w:r>
      <w:r w:rsidR="009A4B7C" w:rsidRPr="00750794">
        <w:t xml:space="preserve"> Full Load Hours).</w:t>
      </w:r>
      <w:r w:rsidR="00A22E85" w:rsidRPr="00750794">
        <w:t xml:space="preserve"> These prescriptive algorithms and stipulated values are valid for standard </w:t>
      </w:r>
      <w:r w:rsidR="0053511F" w:rsidRPr="00750794">
        <w:t xml:space="preserve">commercial </w:t>
      </w:r>
      <w:r w:rsidR="00A22E85" w:rsidRPr="00750794">
        <w:t>applications, defined as unitary electric chillers serving a single load at the system or sub-system</w:t>
      </w:r>
      <w:r w:rsidR="00A22E85">
        <w:t xml:space="preserve"> level.</w:t>
      </w:r>
      <w:r w:rsidR="003426F7">
        <w:t xml:space="preserve"> The savings calculated using the prescriptive algorithms need to be supported by a certification that the chiller is </w:t>
      </w:r>
      <w:r w:rsidR="0070045F">
        <w:t>appropriately sized for</w:t>
      </w:r>
      <w:r w:rsidR="003426F7">
        <w:t xml:space="preserve"> </w:t>
      </w:r>
      <w:r w:rsidR="00B55360">
        <w:t xml:space="preserve">site </w:t>
      </w:r>
      <w:r w:rsidR="003426F7">
        <w:t xml:space="preserve">design </w:t>
      </w:r>
      <w:r w:rsidR="00B55360">
        <w:t>load condition.</w:t>
      </w:r>
    </w:p>
    <w:p w:rsidR="00A22E85" w:rsidRPr="00F805B4" w:rsidRDefault="00A22E85" w:rsidP="00212DB6">
      <w:pPr>
        <w:rPr>
          <w:rFonts w:ascii="PalatinoLinotype" w:hAnsi="PalatinoLinotype" w:cs="PalatinoLinotype"/>
        </w:rPr>
      </w:pPr>
      <w:r>
        <w:t xml:space="preserve">All other chiller applications, including </w:t>
      </w:r>
      <w:r w:rsidR="00F805B4">
        <w:t xml:space="preserve">existing </w:t>
      </w:r>
      <w:r>
        <w:t xml:space="preserve">multiple chiller configurations, </w:t>
      </w:r>
      <w:r w:rsidR="00F805B4">
        <w:t xml:space="preserve">existing </w:t>
      </w:r>
      <w:r>
        <w:t>chillers serving multiple load groups,</w:t>
      </w:r>
      <w:r w:rsidR="0053511F">
        <w:t xml:space="preserve"> and chiller</w:t>
      </w:r>
      <w:r w:rsidR="00B55360">
        <w:t>s</w:t>
      </w:r>
      <w:r w:rsidR="0053511F">
        <w:t xml:space="preserve"> in industrial applications</w:t>
      </w:r>
      <w:r>
        <w:t xml:space="preserve"> are defined as non-standard applications and must follow a site specific custom protocol. </w:t>
      </w:r>
      <w:r w:rsidR="00F805B4">
        <w:t xml:space="preserve"> Situations with existing non-VFD chillers upgrading to VFD chillers may use the protocol algorithm.</w:t>
      </w:r>
      <w:r w:rsidR="00F805B4" w:rsidRPr="00F805B4">
        <w:rPr>
          <w:rFonts w:ascii="PalatinoLinotype" w:hAnsi="PalatinoLinotype" w:cs="PalatinoLinotype"/>
        </w:rPr>
        <w:t xml:space="preserve"> </w:t>
      </w:r>
      <w:r w:rsidR="00F805B4">
        <w:rPr>
          <w:rFonts w:ascii="PalatinoLinotype" w:hAnsi="PalatinoLinotype" w:cs="PalatinoLinotype"/>
        </w:rPr>
        <w:t>The algorithms, assumptions and default factors in this Section may be applied to New Construction applications.</w:t>
      </w:r>
    </w:p>
    <w:p w:rsidR="00A22E85" w:rsidRPr="00A22E85" w:rsidRDefault="009A4B7C" w:rsidP="00871FA2">
      <w:pPr>
        <w:pStyle w:val="Heading3"/>
      </w:pPr>
      <w:r w:rsidRPr="009A4B7C">
        <w:t>Algorithms</w:t>
      </w:r>
    </w:p>
    <w:p w:rsidR="0068523E" w:rsidRPr="0068523E" w:rsidRDefault="0068523E" w:rsidP="00E568D4">
      <w:pPr>
        <w:pStyle w:val="Heading4"/>
      </w:pPr>
      <w:r>
        <w:t>Efficiency ratings in EER</w:t>
      </w:r>
    </w:p>
    <w:p w:rsidR="00A22E85" w:rsidRPr="005021BC" w:rsidRDefault="00D820B3" w:rsidP="00F7332F">
      <w:pPr>
        <w:pStyle w:val="Equation"/>
        <w:rPr>
          <w:rFonts w:cs="Arial"/>
          <w:szCs w:val="20"/>
        </w:rPr>
      </w:pPr>
      <w:r w:rsidRPr="005021BC">
        <w:rPr>
          <w:rFonts w:cs="Arial"/>
          <w:szCs w:val="20"/>
        </w:rPr>
        <w:sym w:font="Symbol" w:char="F044"/>
      </w:r>
      <w:r w:rsidRPr="005021BC">
        <w:rPr>
          <w:rFonts w:cs="Arial"/>
          <w:szCs w:val="20"/>
        </w:rPr>
        <w:t>kWh</w:t>
      </w:r>
      <w:r w:rsidR="0068523E" w:rsidRPr="005021BC">
        <w:rPr>
          <w:rFonts w:cs="Arial"/>
          <w:szCs w:val="20"/>
        </w:rPr>
        <w:tab/>
      </w:r>
      <w:r w:rsidR="009A4B7C" w:rsidRPr="005021BC">
        <w:rPr>
          <w:rFonts w:cs="Arial"/>
          <w:szCs w:val="20"/>
        </w:rPr>
        <w:t xml:space="preserve"> </w:t>
      </w:r>
      <w:r w:rsidR="00694566" w:rsidRPr="005021BC">
        <w:rPr>
          <w:rFonts w:cs="Arial"/>
          <w:szCs w:val="20"/>
        </w:rPr>
        <w:tab/>
      </w:r>
      <w:r w:rsidR="009A4B7C" w:rsidRPr="005021BC">
        <w:rPr>
          <w:rFonts w:cs="Arial"/>
          <w:szCs w:val="20"/>
        </w:rPr>
        <w:t xml:space="preserve">= </w:t>
      </w:r>
      <w:r w:rsidR="00672244" w:rsidRPr="005021BC">
        <w:rPr>
          <w:rFonts w:cs="Arial"/>
          <w:szCs w:val="20"/>
        </w:rPr>
        <w:t>Tons</w:t>
      </w:r>
      <w:r w:rsidR="00672244" w:rsidRPr="005021BC">
        <w:rPr>
          <w:rFonts w:cs="Arial"/>
          <w:szCs w:val="20"/>
          <w:vertAlign w:val="subscript"/>
        </w:rPr>
        <w:t>ee</w:t>
      </w:r>
      <w:r w:rsidR="0005174F" w:rsidRPr="005021BC">
        <w:rPr>
          <w:rFonts w:cs="Arial"/>
          <w:szCs w:val="20"/>
        </w:rPr>
        <w:t xml:space="preserve"> X 12</w:t>
      </w:r>
      <w:r w:rsidR="009A4B7C" w:rsidRPr="005021BC">
        <w:rPr>
          <w:rFonts w:cs="Arial"/>
          <w:szCs w:val="20"/>
        </w:rPr>
        <w:t xml:space="preserve"> X (</w:t>
      </w:r>
      <w:r w:rsidR="00D03028" w:rsidRPr="005021BC">
        <w:rPr>
          <w:rFonts w:cs="Arial"/>
          <w:szCs w:val="20"/>
        </w:rPr>
        <w:t xml:space="preserve">1 / </w:t>
      </w:r>
      <w:r w:rsidR="0068523E" w:rsidRPr="005021BC">
        <w:rPr>
          <w:rFonts w:cs="Arial"/>
          <w:szCs w:val="20"/>
        </w:rPr>
        <w:t>EER</w:t>
      </w:r>
      <w:r w:rsidR="0068523E" w:rsidRPr="005021BC">
        <w:rPr>
          <w:rFonts w:cs="Arial"/>
          <w:szCs w:val="20"/>
          <w:vertAlign w:val="subscript"/>
        </w:rPr>
        <w:t>base</w:t>
      </w:r>
      <w:r w:rsidR="0068523E" w:rsidRPr="005021BC">
        <w:rPr>
          <w:rFonts w:cs="Arial"/>
          <w:szCs w:val="20"/>
        </w:rPr>
        <w:t xml:space="preserve"> </w:t>
      </w:r>
      <w:r w:rsidR="00A22E85" w:rsidRPr="005021BC">
        <w:rPr>
          <w:rFonts w:cs="Arial"/>
          <w:szCs w:val="20"/>
        </w:rPr>
        <w:t>–</w:t>
      </w:r>
      <w:r w:rsidR="009A4B7C" w:rsidRPr="005021BC">
        <w:rPr>
          <w:rFonts w:cs="Arial"/>
          <w:szCs w:val="20"/>
        </w:rPr>
        <w:t xml:space="preserve"> </w:t>
      </w:r>
      <w:r w:rsidR="00D03028" w:rsidRPr="005021BC">
        <w:rPr>
          <w:rFonts w:cs="Arial"/>
          <w:szCs w:val="20"/>
        </w:rPr>
        <w:t xml:space="preserve">1 / </w:t>
      </w:r>
      <w:r w:rsidR="0068523E" w:rsidRPr="005021BC">
        <w:rPr>
          <w:rFonts w:cs="Arial"/>
          <w:szCs w:val="20"/>
        </w:rPr>
        <w:t>EER</w:t>
      </w:r>
      <w:r w:rsidR="0068523E" w:rsidRPr="005021BC">
        <w:rPr>
          <w:rFonts w:cs="Arial"/>
          <w:szCs w:val="20"/>
          <w:vertAlign w:val="subscript"/>
        </w:rPr>
        <w:t>ee</w:t>
      </w:r>
      <w:r w:rsidR="009A4B7C" w:rsidRPr="005021BC">
        <w:rPr>
          <w:rFonts w:cs="Arial"/>
          <w:szCs w:val="20"/>
        </w:rPr>
        <w:t xml:space="preserve">) </w:t>
      </w:r>
      <w:r w:rsidR="00AA1D35" w:rsidRPr="005021BC">
        <w:rPr>
          <w:rFonts w:cs="Arial"/>
          <w:szCs w:val="20"/>
        </w:rPr>
        <w:t>X</w:t>
      </w:r>
      <w:r w:rsidR="00D03028" w:rsidRPr="005021BC">
        <w:rPr>
          <w:rFonts w:cs="Arial"/>
          <w:szCs w:val="20"/>
        </w:rPr>
        <w:t xml:space="preserve"> </w:t>
      </w:r>
      <w:r w:rsidR="009A4B7C" w:rsidRPr="005021BC">
        <w:rPr>
          <w:rFonts w:cs="Arial"/>
          <w:szCs w:val="20"/>
        </w:rPr>
        <w:t xml:space="preserve">EFLH </w:t>
      </w:r>
    </w:p>
    <w:p w:rsidR="00A22E85" w:rsidRPr="005021BC" w:rsidRDefault="00D820B3" w:rsidP="00F7332F">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Pr>
          <w:rFonts w:cs="Arial"/>
          <w:szCs w:val="20"/>
        </w:rPr>
        <w:tab/>
      </w:r>
      <w:r w:rsidR="00694566" w:rsidRPr="005021BC">
        <w:rPr>
          <w:rFonts w:cs="Arial"/>
          <w:szCs w:val="20"/>
        </w:rPr>
        <w:tab/>
      </w:r>
      <w:r w:rsidR="009A4B7C" w:rsidRPr="005021BC">
        <w:rPr>
          <w:rFonts w:cs="Arial"/>
          <w:szCs w:val="20"/>
        </w:rPr>
        <w:t xml:space="preserve"> = </w:t>
      </w:r>
      <w:r w:rsidR="00672244" w:rsidRPr="005021BC">
        <w:rPr>
          <w:rFonts w:cs="Arial"/>
          <w:szCs w:val="20"/>
        </w:rPr>
        <w:t>Tons</w:t>
      </w:r>
      <w:r w:rsidR="00672244" w:rsidRPr="005021BC">
        <w:rPr>
          <w:rFonts w:cs="Arial"/>
          <w:szCs w:val="20"/>
          <w:vertAlign w:val="subscript"/>
        </w:rPr>
        <w:t>ee</w:t>
      </w:r>
      <w:r w:rsidR="009A4B7C" w:rsidRPr="005021BC">
        <w:rPr>
          <w:rFonts w:cs="Arial"/>
          <w:szCs w:val="20"/>
        </w:rPr>
        <w:t xml:space="preserve"> X </w:t>
      </w:r>
      <w:r w:rsidR="0068523E" w:rsidRPr="005021BC">
        <w:rPr>
          <w:rFonts w:cs="Arial"/>
          <w:szCs w:val="20"/>
        </w:rPr>
        <w:t xml:space="preserve">12 X </w:t>
      </w:r>
      <w:r w:rsidR="009A4B7C" w:rsidRPr="005021BC">
        <w:rPr>
          <w:rFonts w:cs="Arial"/>
          <w:szCs w:val="20"/>
        </w:rPr>
        <w:t>(</w:t>
      </w:r>
      <w:r w:rsidR="0068523E" w:rsidRPr="005021BC">
        <w:rPr>
          <w:rFonts w:cs="Arial"/>
          <w:szCs w:val="20"/>
        </w:rPr>
        <w:t>1 / EER</w:t>
      </w:r>
      <w:r w:rsidR="0068523E" w:rsidRPr="005021BC">
        <w:rPr>
          <w:rFonts w:cs="Arial"/>
          <w:szCs w:val="20"/>
          <w:vertAlign w:val="subscript"/>
        </w:rPr>
        <w:t>base</w:t>
      </w:r>
      <w:r w:rsidR="0068523E" w:rsidRPr="005021BC">
        <w:rPr>
          <w:rFonts w:cs="Arial"/>
          <w:szCs w:val="20"/>
        </w:rPr>
        <w:t xml:space="preserve"> – 1 / EER</w:t>
      </w:r>
      <w:r w:rsidR="0068523E" w:rsidRPr="005021BC">
        <w:rPr>
          <w:rFonts w:cs="Arial"/>
          <w:szCs w:val="20"/>
          <w:vertAlign w:val="subscript"/>
        </w:rPr>
        <w:t>ee</w:t>
      </w:r>
      <w:r w:rsidR="009A4B7C" w:rsidRPr="005021BC">
        <w:rPr>
          <w:rFonts w:cs="Arial"/>
          <w:szCs w:val="20"/>
        </w:rPr>
        <w:t xml:space="preserve">) X </w:t>
      </w:r>
      <w:r w:rsidR="00672244" w:rsidRPr="005021BC">
        <w:rPr>
          <w:rFonts w:cs="Arial"/>
          <w:szCs w:val="20"/>
        </w:rPr>
        <w:t xml:space="preserve">CF </w:t>
      </w:r>
    </w:p>
    <w:p w:rsidR="0068523E" w:rsidRDefault="0068523E" w:rsidP="00E568D4">
      <w:pPr>
        <w:pStyle w:val="Heading4"/>
      </w:pPr>
      <w:r>
        <w:t>Efficiency ratings in kW/ton</w:t>
      </w:r>
    </w:p>
    <w:p w:rsidR="0068523E" w:rsidRPr="005021BC" w:rsidRDefault="0068523E" w:rsidP="0068523E">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rPr>
        <w:tab/>
        <w:t xml:space="preserve"> </w:t>
      </w:r>
      <w:r w:rsidRPr="005021BC">
        <w:rPr>
          <w:rFonts w:cs="Arial"/>
          <w:szCs w:val="20"/>
        </w:rPr>
        <w:tab/>
        <w:t xml:space="preserve">= </w:t>
      </w:r>
      <w:r w:rsidR="00672244" w:rsidRPr="005021BC">
        <w:rPr>
          <w:rFonts w:cs="Arial"/>
          <w:szCs w:val="20"/>
        </w:rPr>
        <w:t>Tons</w:t>
      </w:r>
      <w:r w:rsidR="00672244" w:rsidRPr="005021BC">
        <w:rPr>
          <w:rFonts w:cs="Arial"/>
          <w:szCs w:val="20"/>
          <w:vertAlign w:val="subscript"/>
        </w:rPr>
        <w:t>ee</w:t>
      </w:r>
      <w:r w:rsidRPr="005021BC">
        <w:rPr>
          <w:rFonts w:cs="Arial"/>
          <w:szCs w:val="20"/>
        </w:rPr>
        <w:t xml:space="preserve"> X (kW/ton</w:t>
      </w:r>
      <w:r w:rsidRPr="005021BC">
        <w:rPr>
          <w:rFonts w:cs="Arial"/>
          <w:szCs w:val="20"/>
          <w:vertAlign w:val="subscript"/>
        </w:rPr>
        <w:t>base</w:t>
      </w:r>
      <w:r w:rsidRPr="005021BC">
        <w:rPr>
          <w:rFonts w:cs="Arial"/>
          <w:szCs w:val="20"/>
        </w:rPr>
        <w:t xml:space="preserve"> – kW/ton</w:t>
      </w:r>
      <w:r w:rsidRPr="005021BC">
        <w:rPr>
          <w:rFonts w:cs="Arial"/>
          <w:szCs w:val="20"/>
          <w:vertAlign w:val="subscript"/>
        </w:rPr>
        <w:t>ee</w:t>
      </w:r>
      <w:r w:rsidRPr="005021BC">
        <w:rPr>
          <w:rFonts w:cs="Arial"/>
          <w:szCs w:val="20"/>
        </w:rPr>
        <w:t xml:space="preserve">) X EFLH </w:t>
      </w:r>
    </w:p>
    <w:p w:rsidR="0068523E" w:rsidRPr="005021BC" w:rsidRDefault="0068523E" w:rsidP="0068523E">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Pr>
          <w:rFonts w:cs="Arial"/>
          <w:szCs w:val="20"/>
        </w:rPr>
        <w:tab/>
      </w:r>
      <w:r w:rsidRPr="005021BC">
        <w:rPr>
          <w:rFonts w:cs="Arial"/>
          <w:szCs w:val="20"/>
        </w:rPr>
        <w:tab/>
        <w:t xml:space="preserve"> = </w:t>
      </w:r>
      <w:r w:rsidR="00672244" w:rsidRPr="005021BC">
        <w:rPr>
          <w:rFonts w:cs="Arial"/>
          <w:szCs w:val="20"/>
        </w:rPr>
        <w:t>Tons</w:t>
      </w:r>
      <w:r w:rsidR="00672244" w:rsidRPr="005021BC">
        <w:rPr>
          <w:rFonts w:cs="Arial"/>
          <w:szCs w:val="20"/>
          <w:vertAlign w:val="subscript"/>
        </w:rPr>
        <w:t>ee</w:t>
      </w:r>
      <w:r w:rsidRPr="005021BC">
        <w:rPr>
          <w:rFonts w:cs="Arial"/>
          <w:szCs w:val="20"/>
        </w:rPr>
        <w:t xml:space="preserve"> X (kW/ton</w:t>
      </w:r>
      <w:r w:rsidRPr="005021BC">
        <w:rPr>
          <w:rFonts w:cs="Arial"/>
          <w:szCs w:val="20"/>
          <w:vertAlign w:val="subscript"/>
        </w:rPr>
        <w:t>base</w:t>
      </w:r>
      <w:r w:rsidRPr="005021BC">
        <w:rPr>
          <w:rFonts w:cs="Arial"/>
          <w:szCs w:val="20"/>
        </w:rPr>
        <w:t xml:space="preserve"> – kW/ton</w:t>
      </w:r>
      <w:r w:rsidRPr="005021BC">
        <w:rPr>
          <w:rFonts w:cs="Arial"/>
          <w:szCs w:val="20"/>
          <w:vertAlign w:val="subscript"/>
        </w:rPr>
        <w:t>ee</w:t>
      </w:r>
      <w:r w:rsidRPr="005021BC">
        <w:rPr>
          <w:rFonts w:cs="Arial"/>
          <w:szCs w:val="20"/>
        </w:rPr>
        <w:t xml:space="preserve">) X </w:t>
      </w:r>
      <w:r w:rsidR="00672244" w:rsidRPr="005021BC">
        <w:rPr>
          <w:rFonts w:cs="Arial"/>
          <w:szCs w:val="20"/>
        </w:rPr>
        <w:t>CF</w:t>
      </w:r>
      <w:r w:rsidRPr="005021BC">
        <w:rPr>
          <w:rFonts w:cs="Arial"/>
          <w:szCs w:val="20"/>
        </w:rPr>
        <w:t xml:space="preserve"> </w:t>
      </w:r>
    </w:p>
    <w:p w:rsidR="00A22E85" w:rsidRPr="00A22E85" w:rsidRDefault="009A4B7C" w:rsidP="00871FA2">
      <w:pPr>
        <w:pStyle w:val="Heading3"/>
      </w:pPr>
      <w:r w:rsidRPr="009A4B7C">
        <w:t xml:space="preserve">Definition of </w:t>
      </w:r>
      <w:r w:rsidR="001D7420">
        <w:t>Terms</w:t>
      </w:r>
    </w:p>
    <w:p w:rsidR="00A22E85" w:rsidRPr="005021BC" w:rsidRDefault="00694566" w:rsidP="00750794">
      <w:pPr>
        <w:pStyle w:val="Equation"/>
        <w:rPr>
          <w:rFonts w:cs="Arial"/>
          <w:szCs w:val="20"/>
        </w:rPr>
      </w:pPr>
      <w:r w:rsidRPr="005021BC">
        <w:rPr>
          <w:rFonts w:cs="Arial"/>
          <w:szCs w:val="20"/>
        </w:rPr>
        <w:tab/>
      </w:r>
      <w:r w:rsidR="00672244" w:rsidRPr="005021BC">
        <w:rPr>
          <w:rFonts w:cs="Arial"/>
          <w:szCs w:val="20"/>
        </w:rPr>
        <w:t>Tons</w:t>
      </w:r>
      <w:r w:rsidR="00672244" w:rsidRPr="005021BC">
        <w:rPr>
          <w:rFonts w:cs="Arial"/>
          <w:szCs w:val="20"/>
          <w:vertAlign w:val="subscript"/>
        </w:rPr>
        <w:t>ee</w:t>
      </w:r>
      <w:r w:rsidR="009A4B7C" w:rsidRPr="005021BC">
        <w:rPr>
          <w:rFonts w:cs="Arial"/>
          <w:szCs w:val="20"/>
          <w:vertAlign w:val="subscript"/>
        </w:rPr>
        <w:t xml:space="preserve"> </w:t>
      </w:r>
      <w:r w:rsidRPr="005021BC">
        <w:rPr>
          <w:rFonts w:cs="Arial"/>
          <w:szCs w:val="20"/>
        </w:rPr>
        <w:tab/>
      </w:r>
      <w:r w:rsidR="009A4B7C" w:rsidRPr="005021BC">
        <w:rPr>
          <w:rFonts w:cs="Arial"/>
          <w:szCs w:val="20"/>
        </w:rPr>
        <w:t>= The capacity of the chiller (in tons) at site design conditions accepted by the program.</w:t>
      </w:r>
    </w:p>
    <w:p w:rsidR="00A22E85" w:rsidRPr="005021BC" w:rsidRDefault="00694566" w:rsidP="00750794">
      <w:pPr>
        <w:pStyle w:val="Equation"/>
        <w:rPr>
          <w:rFonts w:cs="Arial"/>
          <w:szCs w:val="20"/>
        </w:rPr>
      </w:pPr>
      <w:r w:rsidRPr="005021BC">
        <w:rPr>
          <w:rFonts w:cs="Arial"/>
          <w:szCs w:val="20"/>
        </w:rPr>
        <w:tab/>
      </w:r>
      <w:r w:rsidR="009A4B7C" w:rsidRPr="005021BC">
        <w:rPr>
          <w:rFonts w:cs="Arial"/>
          <w:szCs w:val="20"/>
        </w:rPr>
        <w:t>kW/ton</w:t>
      </w:r>
      <w:r w:rsidR="009A4B7C" w:rsidRPr="005021BC">
        <w:rPr>
          <w:rFonts w:cs="Arial"/>
          <w:szCs w:val="20"/>
          <w:vertAlign w:val="subscript"/>
        </w:rPr>
        <w:t>b</w:t>
      </w:r>
      <w:r w:rsidR="009735EA" w:rsidRPr="005021BC">
        <w:rPr>
          <w:rFonts w:cs="Arial"/>
          <w:szCs w:val="20"/>
          <w:vertAlign w:val="subscript"/>
        </w:rPr>
        <w:t>ase</w:t>
      </w:r>
      <w:r w:rsidR="009A4B7C" w:rsidRPr="005021BC">
        <w:rPr>
          <w:rFonts w:cs="Arial"/>
          <w:szCs w:val="20"/>
          <w:vertAlign w:val="subscript"/>
        </w:rPr>
        <w:t xml:space="preserve"> </w:t>
      </w:r>
      <w:r w:rsidRPr="005021BC">
        <w:rPr>
          <w:rFonts w:cs="Arial"/>
          <w:szCs w:val="20"/>
        </w:rPr>
        <w:tab/>
      </w:r>
      <w:r w:rsidR="009A4B7C" w:rsidRPr="005021BC">
        <w:rPr>
          <w:rFonts w:cs="Arial"/>
          <w:szCs w:val="20"/>
        </w:rPr>
        <w:t xml:space="preserve">= </w:t>
      </w:r>
      <w:r w:rsidR="00D03028" w:rsidRPr="005021BC">
        <w:rPr>
          <w:rFonts w:cs="Arial"/>
          <w:szCs w:val="20"/>
        </w:rPr>
        <w:t>Design Rated</w:t>
      </w:r>
      <w:r w:rsidR="0005174F" w:rsidRPr="005021BC">
        <w:rPr>
          <w:rFonts w:cs="Arial"/>
          <w:szCs w:val="20"/>
        </w:rPr>
        <w:t xml:space="preserve"> </w:t>
      </w:r>
      <w:r w:rsidR="00A22E85" w:rsidRPr="005021BC">
        <w:rPr>
          <w:rFonts w:cs="Arial"/>
          <w:szCs w:val="20"/>
        </w:rPr>
        <w:t>Efficiency of the b</w:t>
      </w:r>
      <w:r w:rsidR="009A4B7C" w:rsidRPr="005021BC">
        <w:rPr>
          <w:rFonts w:cs="Arial"/>
          <w:szCs w:val="20"/>
        </w:rPr>
        <w:t>aseline</w:t>
      </w:r>
      <w:r w:rsidR="00A22E85" w:rsidRPr="005021BC">
        <w:rPr>
          <w:rFonts w:cs="Arial"/>
          <w:szCs w:val="20"/>
        </w:rPr>
        <w:t xml:space="preserve"> chiller.</w:t>
      </w:r>
      <w:r w:rsidR="001A63F0" w:rsidRPr="005021BC">
        <w:rPr>
          <w:rFonts w:cs="Arial"/>
          <w:szCs w:val="20"/>
        </w:rPr>
        <w:t xml:space="preserve"> See </w:t>
      </w:r>
      <w:r w:rsidR="00274AB1">
        <w:fldChar w:fldCharType="begin"/>
      </w:r>
      <w:r w:rsidR="00274AB1">
        <w:instrText xml:space="preserve"> REF _Ref275556732 \h  \* MERGEFORMAT </w:instrText>
      </w:r>
      <w:r w:rsidR="00274AB1">
        <w:fldChar w:fldCharType="separate"/>
      </w:r>
      <w:r w:rsidR="00C0292F" w:rsidRPr="00C0292F">
        <w:rPr>
          <w:rFonts w:cs="Arial"/>
          <w:szCs w:val="20"/>
        </w:rPr>
        <w:t>Table 3</w:t>
      </w:r>
      <w:r w:rsidR="00C0292F" w:rsidRPr="00C0292F">
        <w:rPr>
          <w:rFonts w:cs="Arial"/>
          <w:szCs w:val="20"/>
        </w:rPr>
        <w:noBreakHyphen/>
        <w:t>23</w:t>
      </w:r>
      <w:r w:rsidR="00274AB1">
        <w:fldChar w:fldCharType="end"/>
      </w:r>
      <w:r w:rsidR="008C5CBF" w:rsidRPr="005021BC">
        <w:rPr>
          <w:rFonts w:cs="Arial"/>
          <w:szCs w:val="20"/>
        </w:rPr>
        <w:t xml:space="preserve"> </w:t>
      </w:r>
      <w:r w:rsidR="001A63F0" w:rsidRPr="005021BC">
        <w:rPr>
          <w:rFonts w:cs="Arial"/>
          <w:szCs w:val="20"/>
        </w:rPr>
        <w:t>for values.</w:t>
      </w:r>
    </w:p>
    <w:p w:rsidR="00A22E85" w:rsidRPr="005021BC" w:rsidRDefault="00694566" w:rsidP="00750794">
      <w:pPr>
        <w:pStyle w:val="Equation"/>
        <w:rPr>
          <w:rFonts w:cs="Arial"/>
          <w:szCs w:val="20"/>
        </w:rPr>
      </w:pPr>
      <w:r w:rsidRPr="005021BC">
        <w:rPr>
          <w:rFonts w:cs="Arial"/>
          <w:szCs w:val="20"/>
        </w:rPr>
        <w:tab/>
      </w:r>
      <w:r w:rsidR="009A4B7C" w:rsidRPr="005021BC">
        <w:rPr>
          <w:rFonts w:cs="Arial"/>
          <w:szCs w:val="20"/>
        </w:rPr>
        <w:t>kW/</w:t>
      </w:r>
      <w:r w:rsidR="009735EA" w:rsidRPr="005021BC">
        <w:rPr>
          <w:rFonts w:cs="Arial"/>
          <w:szCs w:val="20"/>
        </w:rPr>
        <w:t>ton</w:t>
      </w:r>
      <w:r w:rsidR="009735EA" w:rsidRPr="005021BC">
        <w:rPr>
          <w:rFonts w:cs="Arial"/>
          <w:szCs w:val="20"/>
          <w:vertAlign w:val="subscript"/>
        </w:rPr>
        <w:t xml:space="preserve">ee </w:t>
      </w:r>
      <w:r w:rsidRPr="005021BC">
        <w:rPr>
          <w:rFonts w:cs="Arial"/>
          <w:szCs w:val="20"/>
        </w:rPr>
        <w:tab/>
      </w:r>
      <w:r w:rsidR="009A4B7C" w:rsidRPr="005021BC">
        <w:rPr>
          <w:rFonts w:cs="Arial"/>
          <w:szCs w:val="20"/>
        </w:rPr>
        <w:t xml:space="preserve">= </w:t>
      </w:r>
      <w:r w:rsidR="00D03028" w:rsidRPr="005021BC">
        <w:rPr>
          <w:rFonts w:cs="Arial"/>
          <w:szCs w:val="20"/>
        </w:rPr>
        <w:t>Design Rated</w:t>
      </w:r>
      <w:r w:rsidR="0005174F" w:rsidRPr="005021BC">
        <w:rPr>
          <w:rFonts w:cs="Arial"/>
          <w:szCs w:val="20"/>
        </w:rPr>
        <w:t xml:space="preserve"> </w:t>
      </w:r>
      <w:r w:rsidR="00A22E85" w:rsidRPr="005021BC">
        <w:rPr>
          <w:rFonts w:cs="Arial"/>
          <w:szCs w:val="20"/>
        </w:rPr>
        <w:t xml:space="preserve">Efficiency of the </w:t>
      </w:r>
      <w:r w:rsidR="009735EA" w:rsidRPr="005021BC">
        <w:rPr>
          <w:rFonts w:cs="Arial"/>
          <w:szCs w:val="20"/>
        </w:rPr>
        <w:t xml:space="preserve">energy efficient </w:t>
      </w:r>
      <w:r w:rsidR="00A22E85" w:rsidRPr="005021BC">
        <w:rPr>
          <w:rFonts w:cs="Arial"/>
          <w:szCs w:val="20"/>
        </w:rPr>
        <w:t xml:space="preserve">chiller from </w:t>
      </w:r>
      <w:r w:rsidR="009A4B7C" w:rsidRPr="005021BC">
        <w:rPr>
          <w:rFonts w:cs="Arial"/>
          <w:szCs w:val="20"/>
        </w:rPr>
        <w:t>the manufacturer data and equipment ratings in accordance with ARI Standard</w:t>
      </w:r>
      <w:r w:rsidR="0068523E" w:rsidRPr="005021BC">
        <w:rPr>
          <w:rFonts w:cs="Arial"/>
          <w:szCs w:val="20"/>
        </w:rPr>
        <w:t>s</w:t>
      </w:r>
      <w:r w:rsidR="009A4B7C" w:rsidRPr="005021BC">
        <w:rPr>
          <w:rFonts w:cs="Arial"/>
          <w:szCs w:val="20"/>
        </w:rPr>
        <w:t>.</w:t>
      </w:r>
    </w:p>
    <w:p w:rsidR="00E2451B" w:rsidRPr="005021BC" w:rsidRDefault="00E2451B" w:rsidP="00E2451B">
      <w:pPr>
        <w:pStyle w:val="Equation"/>
        <w:rPr>
          <w:rFonts w:cs="Arial"/>
          <w:szCs w:val="20"/>
        </w:rPr>
      </w:pPr>
      <w:r w:rsidRPr="005021BC">
        <w:rPr>
          <w:rFonts w:cs="Arial"/>
          <w:szCs w:val="20"/>
        </w:rPr>
        <w:tab/>
        <w:t>EER</w:t>
      </w:r>
      <w:r w:rsidRPr="005021BC">
        <w:rPr>
          <w:rFonts w:cs="Arial"/>
          <w:szCs w:val="20"/>
          <w:vertAlign w:val="subscript"/>
        </w:rPr>
        <w:t>base</w:t>
      </w:r>
      <w:r w:rsidRPr="005021BC">
        <w:rPr>
          <w:rFonts w:cs="Arial"/>
          <w:szCs w:val="20"/>
        </w:rPr>
        <w:tab/>
        <w:t xml:space="preserve">=Energy Efficiency Ratio of the baseline unit. See Table 3-24 for values. </w:t>
      </w:r>
    </w:p>
    <w:p w:rsidR="00E2451B" w:rsidRPr="005021BC" w:rsidRDefault="00E2451B" w:rsidP="00E2451B">
      <w:pPr>
        <w:pStyle w:val="Equation"/>
        <w:rPr>
          <w:rFonts w:cs="Arial"/>
          <w:szCs w:val="20"/>
        </w:rPr>
      </w:pPr>
      <w:r w:rsidRPr="005021BC">
        <w:rPr>
          <w:rFonts w:cs="Arial"/>
          <w:szCs w:val="20"/>
        </w:rPr>
        <w:tab/>
        <w:t>EER</w:t>
      </w:r>
      <w:r w:rsidRPr="005021BC">
        <w:rPr>
          <w:rFonts w:cs="Arial"/>
          <w:szCs w:val="20"/>
          <w:vertAlign w:val="subscript"/>
        </w:rPr>
        <w:t>ee</w:t>
      </w:r>
      <w:r w:rsidRPr="005021BC">
        <w:rPr>
          <w:rFonts w:cs="Arial"/>
          <w:szCs w:val="20"/>
        </w:rPr>
        <w:tab/>
        <w:t>=Energy Efficiency Ratio of the efficient unit from the manufacturer data and equipment ratings in accordance with ARI Standards.</w:t>
      </w:r>
    </w:p>
    <w:p w:rsidR="00672244" w:rsidRPr="005021BC" w:rsidRDefault="00694566" w:rsidP="00750794">
      <w:pPr>
        <w:pStyle w:val="Equation"/>
        <w:rPr>
          <w:rFonts w:cs="Arial"/>
          <w:szCs w:val="20"/>
        </w:rPr>
      </w:pPr>
      <w:r w:rsidRPr="005021BC">
        <w:rPr>
          <w:rFonts w:cs="Arial"/>
          <w:szCs w:val="20"/>
        </w:rPr>
        <w:tab/>
      </w:r>
      <w:r w:rsidR="00672244" w:rsidRPr="005021BC">
        <w:rPr>
          <w:rFonts w:cs="Arial"/>
          <w:szCs w:val="20"/>
        </w:rPr>
        <w:t xml:space="preserve">CF </w:t>
      </w:r>
      <w:r w:rsidRPr="005021BC">
        <w:rPr>
          <w:rFonts w:cs="Arial"/>
          <w:szCs w:val="20"/>
        </w:rPr>
        <w:tab/>
      </w:r>
      <w:r w:rsidR="009A4B7C" w:rsidRPr="005021BC">
        <w:rPr>
          <w:rFonts w:cs="Arial"/>
          <w:szCs w:val="20"/>
        </w:rPr>
        <w:t xml:space="preserve">= </w:t>
      </w:r>
      <w:r w:rsidR="005478EE" w:rsidRPr="005021BC">
        <w:rPr>
          <w:rFonts w:cs="Arial"/>
          <w:szCs w:val="20"/>
        </w:rPr>
        <w:t>Demand Coincidence Factor (See Section 1.4)</w:t>
      </w:r>
    </w:p>
    <w:p w:rsidR="00A22E85" w:rsidRPr="005021BC" w:rsidRDefault="00694566" w:rsidP="00750794">
      <w:pPr>
        <w:pStyle w:val="Equation"/>
        <w:rPr>
          <w:rFonts w:cs="Arial"/>
          <w:szCs w:val="20"/>
        </w:rPr>
      </w:pPr>
      <w:r w:rsidRPr="005021BC">
        <w:rPr>
          <w:rFonts w:cs="Arial"/>
          <w:szCs w:val="20"/>
        </w:rPr>
        <w:lastRenderedPageBreak/>
        <w:tab/>
      </w:r>
      <w:r w:rsidR="009A4B7C" w:rsidRPr="005021BC">
        <w:rPr>
          <w:rFonts w:cs="Arial"/>
          <w:szCs w:val="20"/>
        </w:rPr>
        <w:t xml:space="preserve">EFLH </w:t>
      </w:r>
      <w:r w:rsidRPr="005021BC">
        <w:rPr>
          <w:rFonts w:cs="Arial"/>
          <w:szCs w:val="20"/>
        </w:rPr>
        <w:tab/>
      </w:r>
      <w:r w:rsidR="009A4B7C" w:rsidRPr="005021BC">
        <w:rPr>
          <w:rFonts w:cs="Arial"/>
          <w:szCs w:val="20"/>
        </w:rPr>
        <w:t xml:space="preserve">= Equivalent Full Load Hours </w:t>
      </w:r>
      <w:r w:rsidR="00A22E85" w:rsidRPr="005021BC">
        <w:rPr>
          <w:rFonts w:cs="Arial"/>
          <w:szCs w:val="20"/>
        </w:rPr>
        <w:t>–</w:t>
      </w:r>
      <w:r w:rsidR="009A4B7C" w:rsidRPr="005021BC">
        <w:rPr>
          <w:rFonts w:cs="Arial"/>
          <w:szCs w:val="20"/>
        </w:rPr>
        <w:t xml:space="preserve"> </w:t>
      </w:r>
      <w:r w:rsidR="00A22E85" w:rsidRPr="005021BC">
        <w:rPr>
          <w:rFonts w:cs="Arial"/>
          <w:szCs w:val="20"/>
        </w:rPr>
        <w:t>The kWh during the entire operating season divided by the kW at design conditions.</w:t>
      </w:r>
      <w:r w:rsidR="004E6A91" w:rsidRPr="005021BC">
        <w:rPr>
          <w:rFonts w:cs="Arial"/>
          <w:szCs w:val="20"/>
        </w:rPr>
        <w:t xml:space="preserve">  The most appropriate EFLH from Table 3-26 shall be utilized in the calculation.</w:t>
      </w:r>
    </w:p>
    <w:p w:rsidR="00A22E85" w:rsidRPr="00A22E85" w:rsidRDefault="00A22E85" w:rsidP="005D7F62">
      <w:pPr>
        <w:ind w:right="-187"/>
      </w:pPr>
    </w:p>
    <w:p w:rsidR="007E213C" w:rsidRDefault="007E213C" w:rsidP="00B20F6B">
      <w:pPr>
        <w:pStyle w:val="Caption"/>
      </w:pPr>
      <w:bookmarkStart w:id="761" w:name="_Ref275556732"/>
      <w:bookmarkStart w:id="762" w:name="_Toc310875575"/>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23</w:t>
      </w:r>
      <w:r w:rsidR="00274AB1">
        <w:rPr>
          <w:noProof/>
        </w:rPr>
        <w:fldChar w:fldCharType="end"/>
      </w:r>
      <w:bookmarkEnd w:id="761"/>
      <w:r>
        <w:t>:</w:t>
      </w:r>
      <w:r w:rsidRPr="007E213C">
        <w:t xml:space="preserve"> </w:t>
      </w:r>
      <w:r w:rsidR="00C420A7">
        <w:t>Electric Chiller</w:t>
      </w:r>
      <w:r w:rsidR="00376BD1">
        <w:t xml:space="preserve"> Variables</w:t>
      </w:r>
      <w:bookmarkEnd w:id="762"/>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93"/>
        <w:gridCol w:w="1145"/>
        <w:gridCol w:w="4233"/>
        <w:gridCol w:w="1885"/>
      </w:tblGrid>
      <w:tr w:rsidR="00376BD1" w:rsidRPr="006A2E12" w:rsidTr="00403124">
        <w:trPr>
          <w:trHeight w:val="360"/>
          <w:tblHeader/>
          <w:jc w:val="center"/>
        </w:trPr>
        <w:tc>
          <w:tcPr>
            <w:tcW w:w="899" w:type="pct"/>
            <w:shd w:val="clear" w:color="auto" w:fill="BFBFBF"/>
          </w:tcPr>
          <w:p w:rsidR="00376BD1" w:rsidRPr="001D6512" w:rsidRDefault="00376BD1" w:rsidP="00C3606E">
            <w:pPr>
              <w:pStyle w:val="TableCell"/>
              <w:spacing w:before="60" w:after="60"/>
              <w:rPr>
                <w:b/>
              </w:rPr>
            </w:pPr>
            <w:r w:rsidRPr="001D6512">
              <w:rPr>
                <w:b/>
              </w:rPr>
              <w:t>Component</w:t>
            </w:r>
          </w:p>
        </w:tc>
        <w:tc>
          <w:tcPr>
            <w:tcW w:w="646" w:type="pct"/>
            <w:shd w:val="clear" w:color="auto" w:fill="BFBFBF"/>
          </w:tcPr>
          <w:p w:rsidR="00376BD1" w:rsidRPr="001D6512" w:rsidRDefault="00376BD1" w:rsidP="00C3606E">
            <w:pPr>
              <w:pStyle w:val="TableCell"/>
              <w:spacing w:before="60" w:after="60"/>
              <w:rPr>
                <w:b/>
              </w:rPr>
            </w:pPr>
            <w:r w:rsidRPr="001D6512">
              <w:rPr>
                <w:b/>
              </w:rPr>
              <w:t>Type</w:t>
            </w:r>
          </w:p>
        </w:tc>
        <w:tc>
          <w:tcPr>
            <w:tcW w:w="2390" w:type="pct"/>
            <w:shd w:val="clear" w:color="auto" w:fill="BFBFBF"/>
          </w:tcPr>
          <w:p w:rsidR="00376BD1" w:rsidRPr="001D6512" w:rsidRDefault="00376BD1" w:rsidP="00C3606E">
            <w:pPr>
              <w:pStyle w:val="TableCell"/>
              <w:spacing w:before="60" w:after="60"/>
              <w:rPr>
                <w:b/>
              </w:rPr>
            </w:pPr>
            <w:r w:rsidRPr="001D6512">
              <w:rPr>
                <w:b/>
              </w:rPr>
              <w:t>Value</w:t>
            </w:r>
          </w:p>
        </w:tc>
        <w:tc>
          <w:tcPr>
            <w:tcW w:w="1064" w:type="pct"/>
            <w:shd w:val="clear" w:color="auto" w:fill="BFBFBF"/>
          </w:tcPr>
          <w:p w:rsidR="00376BD1" w:rsidRPr="001D6512" w:rsidRDefault="00376BD1" w:rsidP="00C3606E">
            <w:pPr>
              <w:pStyle w:val="TableCell"/>
              <w:spacing w:before="60" w:after="60"/>
              <w:rPr>
                <w:b/>
              </w:rPr>
            </w:pPr>
            <w:r w:rsidRPr="001D6512">
              <w:rPr>
                <w:b/>
              </w:rPr>
              <w:t>Source</w:t>
            </w:r>
          </w:p>
        </w:tc>
      </w:tr>
      <w:tr w:rsidR="00376BD1" w:rsidRPr="006A2E12" w:rsidTr="00403124">
        <w:trPr>
          <w:trHeight w:val="317"/>
          <w:jc w:val="center"/>
        </w:trPr>
        <w:tc>
          <w:tcPr>
            <w:tcW w:w="899" w:type="pct"/>
          </w:tcPr>
          <w:p w:rsidR="00376BD1" w:rsidRPr="001D6512" w:rsidRDefault="00376BD1" w:rsidP="00C3606E">
            <w:pPr>
              <w:pStyle w:val="TableCell"/>
              <w:spacing w:before="60" w:after="60"/>
            </w:pPr>
            <w:r w:rsidRPr="001D6512">
              <w:t>Tons</w:t>
            </w:r>
            <w:r w:rsidR="00D97E84" w:rsidRPr="001D6512">
              <w:rPr>
                <w:vertAlign w:val="subscript"/>
              </w:rPr>
              <w:t>ee</w:t>
            </w:r>
          </w:p>
        </w:tc>
        <w:tc>
          <w:tcPr>
            <w:tcW w:w="646" w:type="pct"/>
          </w:tcPr>
          <w:p w:rsidR="00376BD1" w:rsidRPr="001D6512" w:rsidRDefault="00376BD1" w:rsidP="00C3606E">
            <w:pPr>
              <w:pStyle w:val="TableCell"/>
              <w:spacing w:before="60" w:after="60"/>
            </w:pPr>
            <w:r w:rsidRPr="001D6512">
              <w:t>Variable</w:t>
            </w:r>
          </w:p>
        </w:tc>
        <w:tc>
          <w:tcPr>
            <w:tcW w:w="2390" w:type="pct"/>
          </w:tcPr>
          <w:p w:rsidR="00376BD1" w:rsidRPr="001D6512" w:rsidRDefault="009C552F" w:rsidP="00C3606E">
            <w:pPr>
              <w:pStyle w:val="TableCell"/>
              <w:spacing w:before="60" w:after="60"/>
            </w:pPr>
            <w:r w:rsidRPr="001D6512">
              <w:t>Nameplate Data</w:t>
            </w:r>
          </w:p>
        </w:tc>
        <w:tc>
          <w:tcPr>
            <w:tcW w:w="1064" w:type="pct"/>
          </w:tcPr>
          <w:p w:rsidR="00376BD1" w:rsidRPr="001D6512" w:rsidRDefault="00376BD1" w:rsidP="00C3606E">
            <w:pPr>
              <w:pStyle w:val="TableCell"/>
              <w:spacing w:before="60" w:after="60"/>
            </w:pPr>
            <w:r w:rsidRPr="001D6512">
              <w:t>EDC Data Gathering</w:t>
            </w:r>
          </w:p>
        </w:tc>
      </w:tr>
      <w:tr w:rsidR="00403124" w:rsidRPr="006A2E12" w:rsidTr="00403124">
        <w:trPr>
          <w:trHeight w:val="338"/>
          <w:jc w:val="center"/>
        </w:trPr>
        <w:tc>
          <w:tcPr>
            <w:tcW w:w="899" w:type="pct"/>
            <w:vMerge w:val="restart"/>
          </w:tcPr>
          <w:p w:rsidR="00403124" w:rsidRPr="001D6512" w:rsidRDefault="00403124" w:rsidP="00C3606E">
            <w:pPr>
              <w:pStyle w:val="TableCell"/>
              <w:keepNext w:val="0"/>
              <w:spacing w:before="60" w:after="60"/>
              <w:rPr>
                <w:vertAlign w:val="subscript"/>
              </w:rPr>
            </w:pPr>
            <w:r w:rsidRPr="001D6512">
              <w:t>kW/ton</w:t>
            </w:r>
            <w:r w:rsidRPr="001D6512">
              <w:rPr>
                <w:vertAlign w:val="subscript"/>
              </w:rPr>
              <w:t>base</w:t>
            </w:r>
          </w:p>
        </w:tc>
        <w:tc>
          <w:tcPr>
            <w:tcW w:w="646" w:type="pct"/>
            <w:vMerge w:val="restart"/>
          </w:tcPr>
          <w:p w:rsidR="00403124" w:rsidRPr="001D6512" w:rsidRDefault="00403124" w:rsidP="00C3606E">
            <w:pPr>
              <w:pStyle w:val="TableCell"/>
              <w:keepNext w:val="0"/>
              <w:spacing w:before="60" w:after="60"/>
            </w:pPr>
            <w:r w:rsidRPr="001D6512">
              <w:t>Variable</w:t>
            </w:r>
          </w:p>
        </w:tc>
        <w:tc>
          <w:tcPr>
            <w:tcW w:w="2390" w:type="pct"/>
          </w:tcPr>
          <w:p w:rsidR="00403124" w:rsidRPr="001D6512" w:rsidRDefault="00403124" w:rsidP="00C3606E">
            <w:pPr>
              <w:pStyle w:val="TableCell"/>
              <w:keepNext w:val="0"/>
              <w:spacing w:before="60" w:after="60"/>
            </w:pPr>
            <w:r w:rsidRPr="001D6512">
              <w:t>New Construction</w:t>
            </w:r>
            <w:r w:rsidR="00212DB6" w:rsidRPr="001D6512">
              <w:t xml:space="preserve"> or Replace on Burnout</w:t>
            </w:r>
            <w:r w:rsidRPr="001D6512">
              <w:t xml:space="preserve">: Default value from </w:t>
            </w:r>
            <w:r w:rsidR="007A1FB6" w:rsidRPr="001D6512">
              <w:fldChar w:fldCharType="begin"/>
            </w:r>
            <w:r w:rsidRPr="001D6512">
              <w:instrText xml:space="preserve"> REF _Ref275892974 \h </w:instrText>
            </w:r>
            <w:r w:rsidR="007A1FB6" w:rsidRPr="001D6512">
              <w:fldChar w:fldCharType="separate"/>
            </w:r>
            <w:r w:rsidR="00C0292F">
              <w:t xml:space="preserve">Table </w:t>
            </w:r>
            <w:r w:rsidR="00C0292F">
              <w:rPr>
                <w:noProof/>
              </w:rPr>
              <w:t>3</w:t>
            </w:r>
            <w:r w:rsidR="00C0292F">
              <w:noBreakHyphen/>
            </w:r>
            <w:r w:rsidR="00C0292F">
              <w:rPr>
                <w:noProof/>
              </w:rPr>
              <w:t>24</w:t>
            </w:r>
            <w:r w:rsidR="007A1FB6" w:rsidRPr="001D6512">
              <w:fldChar w:fldCharType="end"/>
            </w:r>
          </w:p>
        </w:tc>
        <w:tc>
          <w:tcPr>
            <w:tcW w:w="1064" w:type="pct"/>
          </w:tcPr>
          <w:p w:rsidR="00403124" w:rsidRPr="001D6512" w:rsidRDefault="00403124" w:rsidP="00C3606E">
            <w:pPr>
              <w:pStyle w:val="TableCell"/>
              <w:keepNext w:val="0"/>
              <w:spacing w:before="60" w:after="60"/>
              <w:rPr>
                <w:highlight w:val="lightGray"/>
              </w:rPr>
            </w:pPr>
            <w:r w:rsidRPr="001D6512">
              <w:t xml:space="preserve">See </w:t>
            </w:r>
            <w:r w:rsidR="007A1FB6" w:rsidRPr="001D6512">
              <w:fldChar w:fldCharType="begin"/>
            </w:r>
            <w:r w:rsidRPr="001D6512">
              <w:instrText xml:space="preserve"> REF _Ref275892974 \h </w:instrText>
            </w:r>
            <w:r w:rsidR="007A1FB6" w:rsidRPr="001D6512">
              <w:fldChar w:fldCharType="separate"/>
            </w:r>
            <w:r w:rsidR="00C0292F">
              <w:t xml:space="preserve">Table </w:t>
            </w:r>
            <w:r w:rsidR="00C0292F">
              <w:rPr>
                <w:noProof/>
              </w:rPr>
              <w:t>3</w:t>
            </w:r>
            <w:r w:rsidR="00C0292F">
              <w:noBreakHyphen/>
            </w:r>
            <w:r w:rsidR="00C0292F">
              <w:rPr>
                <w:noProof/>
              </w:rPr>
              <w:t>24</w:t>
            </w:r>
            <w:r w:rsidR="007A1FB6" w:rsidRPr="001D6512">
              <w:fldChar w:fldCharType="end"/>
            </w:r>
          </w:p>
        </w:tc>
      </w:tr>
      <w:tr w:rsidR="00403124" w:rsidRPr="006A2E12" w:rsidTr="00403124">
        <w:trPr>
          <w:trHeight w:val="337"/>
          <w:jc w:val="center"/>
        </w:trPr>
        <w:tc>
          <w:tcPr>
            <w:tcW w:w="899" w:type="pct"/>
            <w:vMerge/>
          </w:tcPr>
          <w:p w:rsidR="00403124" w:rsidRPr="001D6512" w:rsidRDefault="00403124" w:rsidP="00C3606E">
            <w:pPr>
              <w:pStyle w:val="TableCell"/>
              <w:keepNext w:val="0"/>
              <w:spacing w:before="60" w:after="60"/>
            </w:pPr>
          </w:p>
        </w:tc>
        <w:tc>
          <w:tcPr>
            <w:tcW w:w="646" w:type="pct"/>
            <w:vMerge/>
          </w:tcPr>
          <w:p w:rsidR="00403124" w:rsidRPr="001D6512" w:rsidRDefault="00403124" w:rsidP="00C3606E">
            <w:pPr>
              <w:pStyle w:val="TableCell"/>
              <w:keepNext w:val="0"/>
              <w:spacing w:before="60" w:after="60"/>
            </w:pPr>
          </w:p>
        </w:tc>
        <w:tc>
          <w:tcPr>
            <w:tcW w:w="2390" w:type="pct"/>
          </w:tcPr>
          <w:p w:rsidR="00403124" w:rsidRPr="001D6512" w:rsidRDefault="00403124" w:rsidP="00C3606E">
            <w:pPr>
              <w:pStyle w:val="TableCell"/>
              <w:keepNext w:val="0"/>
              <w:spacing w:before="60" w:after="60"/>
            </w:pPr>
            <w:r w:rsidRPr="001D6512">
              <w:t>Early Replacement: Nameplate</w:t>
            </w:r>
            <w:r w:rsidR="007E1E86" w:rsidRPr="001D6512">
              <w:t xml:space="preserve"> Data</w:t>
            </w:r>
          </w:p>
        </w:tc>
        <w:tc>
          <w:tcPr>
            <w:tcW w:w="1064" w:type="pct"/>
          </w:tcPr>
          <w:p w:rsidR="00403124" w:rsidRPr="001D6512" w:rsidRDefault="00403124" w:rsidP="00C3606E">
            <w:pPr>
              <w:pStyle w:val="TableCell"/>
              <w:keepNext w:val="0"/>
              <w:spacing w:before="60" w:after="60"/>
            </w:pPr>
            <w:r w:rsidRPr="001D6512">
              <w:t>EDC Data Gathering</w:t>
            </w:r>
          </w:p>
        </w:tc>
      </w:tr>
      <w:tr w:rsidR="00376BD1" w:rsidRPr="006A2E12" w:rsidTr="00403124">
        <w:trPr>
          <w:trHeight w:val="317"/>
          <w:jc w:val="center"/>
        </w:trPr>
        <w:tc>
          <w:tcPr>
            <w:tcW w:w="899" w:type="pct"/>
          </w:tcPr>
          <w:p w:rsidR="0068523E" w:rsidRPr="001D6512" w:rsidRDefault="00376BD1" w:rsidP="00C3606E">
            <w:pPr>
              <w:pStyle w:val="TableCell"/>
              <w:keepNext w:val="0"/>
              <w:spacing w:before="60" w:after="60"/>
            </w:pPr>
            <w:r w:rsidRPr="001D6512">
              <w:t>kW/ton</w:t>
            </w:r>
            <w:r w:rsidR="0068523E" w:rsidRPr="001D6512">
              <w:rPr>
                <w:vertAlign w:val="subscript"/>
              </w:rPr>
              <w:t>ee</w:t>
            </w:r>
          </w:p>
        </w:tc>
        <w:tc>
          <w:tcPr>
            <w:tcW w:w="646" w:type="pct"/>
          </w:tcPr>
          <w:p w:rsidR="00376BD1" w:rsidRPr="001D6512" w:rsidRDefault="00376BD1" w:rsidP="00C3606E">
            <w:pPr>
              <w:pStyle w:val="TableCell"/>
              <w:keepNext w:val="0"/>
              <w:spacing w:before="60" w:after="60"/>
            </w:pPr>
            <w:r w:rsidRPr="001D6512">
              <w:t>Variable</w:t>
            </w:r>
          </w:p>
        </w:tc>
        <w:tc>
          <w:tcPr>
            <w:tcW w:w="2390" w:type="pct"/>
          </w:tcPr>
          <w:p w:rsidR="00376BD1" w:rsidRPr="001D6512" w:rsidRDefault="00376BD1" w:rsidP="00C3606E">
            <w:pPr>
              <w:pStyle w:val="TableCell"/>
              <w:keepNext w:val="0"/>
              <w:spacing w:before="60" w:after="60"/>
            </w:pPr>
            <w:r w:rsidRPr="001D6512">
              <w:t xml:space="preserve">Nameplate Data </w:t>
            </w:r>
            <w:r w:rsidR="001D7420" w:rsidRPr="001D6512">
              <w:t>(</w:t>
            </w:r>
            <w:r w:rsidRPr="001D6512">
              <w:t>ARI Standards 550/590</w:t>
            </w:r>
            <w:r w:rsidR="001D7420" w:rsidRPr="001D6512">
              <w:t>)</w:t>
            </w:r>
            <w:r w:rsidR="007E1E86" w:rsidRPr="001D6512">
              <w:t xml:space="preserve">. At minimum, must satisfy standard </w:t>
            </w:r>
            <w:r w:rsidR="001D7420" w:rsidRPr="001D6512">
              <w:t xml:space="preserve">listed in </w:t>
            </w:r>
            <w:r w:rsidR="007A1FB6" w:rsidRPr="001D6512">
              <w:fldChar w:fldCharType="begin"/>
            </w:r>
            <w:r w:rsidR="001D7420" w:rsidRPr="001D6512">
              <w:instrText xml:space="preserve"> REF _Ref275892974 \h </w:instrText>
            </w:r>
            <w:r w:rsidR="007A1FB6" w:rsidRPr="001D6512">
              <w:fldChar w:fldCharType="separate"/>
            </w:r>
            <w:r w:rsidR="00C0292F">
              <w:t xml:space="preserve">Table </w:t>
            </w:r>
            <w:r w:rsidR="00C0292F">
              <w:rPr>
                <w:noProof/>
              </w:rPr>
              <w:t>3</w:t>
            </w:r>
            <w:r w:rsidR="00C0292F">
              <w:noBreakHyphen/>
            </w:r>
            <w:r w:rsidR="00C0292F">
              <w:rPr>
                <w:noProof/>
              </w:rPr>
              <w:t>24</w:t>
            </w:r>
            <w:r w:rsidR="007A1FB6" w:rsidRPr="001D6512">
              <w:fldChar w:fldCharType="end"/>
            </w:r>
          </w:p>
        </w:tc>
        <w:tc>
          <w:tcPr>
            <w:tcW w:w="1064" w:type="pct"/>
          </w:tcPr>
          <w:p w:rsidR="00376BD1" w:rsidRPr="001D6512" w:rsidRDefault="00376BD1" w:rsidP="00C3606E">
            <w:pPr>
              <w:pStyle w:val="TableCell"/>
              <w:keepNext w:val="0"/>
              <w:spacing w:before="60" w:after="60"/>
            </w:pPr>
            <w:r w:rsidRPr="001D6512">
              <w:t>EDC Data Gathering</w:t>
            </w:r>
          </w:p>
        </w:tc>
      </w:tr>
      <w:tr w:rsidR="001D7420" w:rsidTr="00EA27B2">
        <w:trPr>
          <w:trHeight w:val="337"/>
          <w:jc w:val="center"/>
        </w:trPr>
        <w:tc>
          <w:tcPr>
            <w:tcW w:w="899" w:type="pct"/>
            <w:vMerge w:val="restart"/>
          </w:tcPr>
          <w:p w:rsidR="001D7420" w:rsidRPr="001D6512" w:rsidRDefault="001D7420" w:rsidP="00C3606E">
            <w:pPr>
              <w:pStyle w:val="TableCell"/>
              <w:keepNext w:val="0"/>
              <w:spacing w:before="60" w:after="60"/>
            </w:pPr>
            <w:r w:rsidRPr="001D6512">
              <w:t>EER</w:t>
            </w:r>
            <w:r w:rsidRPr="001D6512">
              <w:rPr>
                <w:vertAlign w:val="subscript"/>
              </w:rPr>
              <w:t>base</w:t>
            </w:r>
          </w:p>
        </w:tc>
        <w:tc>
          <w:tcPr>
            <w:tcW w:w="646" w:type="pct"/>
            <w:vMerge w:val="restart"/>
          </w:tcPr>
          <w:p w:rsidR="001D7420" w:rsidRPr="001D6512" w:rsidRDefault="001D7420" w:rsidP="00C3606E">
            <w:pPr>
              <w:pStyle w:val="TableCell"/>
              <w:keepNext w:val="0"/>
              <w:spacing w:before="60" w:after="60"/>
            </w:pPr>
            <w:r w:rsidRPr="001D6512">
              <w:t>Variable</w:t>
            </w:r>
          </w:p>
        </w:tc>
        <w:tc>
          <w:tcPr>
            <w:tcW w:w="2390" w:type="pct"/>
          </w:tcPr>
          <w:p w:rsidR="001D7420" w:rsidRPr="001D6512" w:rsidRDefault="001D7420" w:rsidP="00C3606E">
            <w:pPr>
              <w:pStyle w:val="TableCell"/>
              <w:keepNext w:val="0"/>
              <w:spacing w:before="60" w:after="60"/>
            </w:pPr>
            <w:r w:rsidRPr="001D6512">
              <w:t xml:space="preserve">New Construction or Replace on Burnout: Default value from </w:t>
            </w:r>
            <w:r w:rsidR="007A1FB6" w:rsidRPr="001D6512">
              <w:fldChar w:fldCharType="begin"/>
            </w:r>
            <w:r w:rsidRPr="001D6512">
              <w:instrText xml:space="preserve"> REF _Ref275892974 \h </w:instrText>
            </w:r>
            <w:r w:rsidR="007A1FB6" w:rsidRPr="001D6512">
              <w:fldChar w:fldCharType="separate"/>
            </w:r>
            <w:r w:rsidR="00C0292F">
              <w:t xml:space="preserve">Table </w:t>
            </w:r>
            <w:r w:rsidR="00C0292F">
              <w:rPr>
                <w:noProof/>
              </w:rPr>
              <w:t>3</w:t>
            </w:r>
            <w:r w:rsidR="00C0292F">
              <w:noBreakHyphen/>
            </w:r>
            <w:r w:rsidR="00C0292F">
              <w:rPr>
                <w:noProof/>
              </w:rPr>
              <w:t>24</w:t>
            </w:r>
            <w:r w:rsidR="007A1FB6" w:rsidRPr="001D6512">
              <w:fldChar w:fldCharType="end"/>
            </w:r>
          </w:p>
        </w:tc>
        <w:tc>
          <w:tcPr>
            <w:tcW w:w="1064" w:type="pct"/>
          </w:tcPr>
          <w:p w:rsidR="001D7420" w:rsidRPr="001D6512" w:rsidRDefault="001D7420" w:rsidP="00C3606E">
            <w:pPr>
              <w:pStyle w:val="TableCell"/>
              <w:keepNext w:val="0"/>
              <w:spacing w:before="60" w:after="60"/>
            </w:pPr>
            <w:r w:rsidRPr="001D6512">
              <w:t xml:space="preserve">See </w:t>
            </w:r>
            <w:r w:rsidR="007A1FB6" w:rsidRPr="001D6512">
              <w:fldChar w:fldCharType="begin"/>
            </w:r>
            <w:r w:rsidRPr="001D6512">
              <w:instrText xml:space="preserve"> REF _Ref275892974 \h </w:instrText>
            </w:r>
            <w:r w:rsidR="007A1FB6" w:rsidRPr="001D6512">
              <w:fldChar w:fldCharType="separate"/>
            </w:r>
            <w:r w:rsidR="00C0292F">
              <w:t xml:space="preserve">Table </w:t>
            </w:r>
            <w:r w:rsidR="00C0292F">
              <w:rPr>
                <w:noProof/>
              </w:rPr>
              <w:t>3</w:t>
            </w:r>
            <w:r w:rsidR="00C0292F">
              <w:noBreakHyphen/>
            </w:r>
            <w:r w:rsidR="00C0292F">
              <w:rPr>
                <w:noProof/>
              </w:rPr>
              <w:t>24</w:t>
            </w:r>
            <w:r w:rsidR="007A1FB6" w:rsidRPr="001D6512">
              <w:fldChar w:fldCharType="end"/>
            </w:r>
          </w:p>
        </w:tc>
      </w:tr>
      <w:tr w:rsidR="001D7420" w:rsidTr="00EA27B2">
        <w:trPr>
          <w:trHeight w:val="337"/>
          <w:jc w:val="center"/>
        </w:trPr>
        <w:tc>
          <w:tcPr>
            <w:tcW w:w="899" w:type="pct"/>
            <w:vMerge/>
          </w:tcPr>
          <w:p w:rsidR="001D7420" w:rsidRPr="001D6512" w:rsidRDefault="001D7420" w:rsidP="00C3606E">
            <w:pPr>
              <w:pStyle w:val="TableCell"/>
              <w:keepNext w:val="0"/>
              <w:spacing w:before="60" w:after="60"/>
            </w:pPr>
          </w:p>
        </w:tc>
        <w:tc>
          <w:tcPr>
            <w:tcW w:w="646" w:type="pct"/>
            <w:vMerge/>
          </w:tcPr>
          <w:p w:rsidR="001D7420" w:rsidRPr="001D6512" w:rsidRDefault="001D7420" w:rsidP="00C3606E">
            <w:pPr>
              <w:pStyle w:val="TableCell"/>
              <w:keepNext w:val="0"/>
              <w:spacing w:before="60" w:after="60"/>
            </w:pPr>
          </w:p>
        </w:tc>
        <w:tc>
          <w:tcPr>
            <w:tcW w:w="2390" w:type="pct"/>
          </w:tcPr>
          <w:p w:rsidR="001D7420" w:rsidRPr="001D6512" w:rsidRDefault="001D7420" w:rsidP="00C3606E">
            <w:pPr>
              <w:pStyle w:val="TableCell"/>
              <w:keepNext w:val="0"/>
              <w:spacing w:before="60" w:after="60"/>
            </w:pPr>
            <w:r w:rsidRPr="001D6512">
              <w:t>Early Replacement: Nameplate Data</w:t>
            </w:r>
          </w:p>
        </w:tc>
        <w:tc>
          <w:tcPr>
            <w:tcW w:w="1064" w:type="pct"/>
          </w:tcPr>
          <w:p w:rsidR="001D7420" w:rsidRPr="001D6512" w:rsidRDefault="001D7420" w:rsidP="00C3606E">
            <w:pPr>
              <w:pStyle w:val="TableCell"/>
              <w:keepNext w:val="0"/>
              <w:spacing w:before="60" w:after="60"/>
            </w:pPr>
            <w:r w:rsidRPr="001D6512">
              <w:t>EDC Data Gathering</w:t>
            </w:r>
          </w:p>
        </w:tc>
      </w:tr>
      <w:tr w:rsidR="001D7420" w:rsidRPr="006A2E12" w:rsidTr="00403124">
        <w:trPr>
          <w:trHeight w:val="317"/>
          <w:jc w:val="center"/>
        </w:trPr>
        <w:tc>
          <w:tcPr>
            <w:tcW w:w="899" w:type="pct"/>
          </w:tcPr>
          <w:p w:rsidR="001D7420" w:rsidRPr="001D6512" w:rsidRDefault="001D7420" w:rsidP="00C3606E">
            <w:pPr>
              <w:pStyle w:val="TableCell"/>
              <w:keepNext w:val="0"/>
              <w:spacing w:before="60" w:after="60"/>
            </w:pPr>
            <w:r w:rsidRPr="001D6512">
              <w:t>EER</w:t>
            </w:r>
            <w:r w:rsidRPr="001D6512">
              <w:rPr>
                <w:vertAlign w:val="subscript"/>
              </w:rPr>
              <w:t>ee</w:t>
            </w:r>
          </w:p>
        </w:tc>
        <w:tc>
          <w:tcPr>
            <w:tcW w:w="646" w:type="pct"/>
          </w:tcPr>
          <w:p w:rsidR="001D7420" w:rsidRPr="001D6512" w:rsidRDefault="001D7420" w:rsidP="00C3606E">
            <w:pPr>
              <w:pStyle w:val="TableCell"/>
              <w:keepNext w:val="0"/>
              <w:spacing w:before="60" w:after="60"/>
            </w:pPr>
            <w:r w:rsidRPr="001D6512">
              <w:t>Variable</w:t>
            </w:r>
          </w:p>
        </w:tc>
        <w:tc>
          <w:tcPr>
            <w:tcW w:w="2390" w:type="pct"/>
          </w:tcPr>
          <w:p w:rsidR="001D7420" w:rsidRPr="001D6512" w:rsidRDefault="001D7420" w:rsidP="00C3606E">
            <w:pPr>
              <w:pStyle w:val="TableCell"/>
              <w:keepNext w:val="0"/>
              <w:spacing w:before="60" w:after="60"/>
            </w:pPr>
            <w:r w:rsidRPr="001D6512">
              <w:t xml:space="preserve">Nameplate Data (ARI Standards 550/590). At minimum, must satisfy standard listed in </w:t>
            </w:r>
            <w:r w:rsidR="007A1FB6" w:rsidRPr="001D6512">
              <w:fldChar w:fldCharType="begin"/>
            </w:r>
            <w:r w:rsidRPr="001D6512">
              <w:instrText xml:space="preserve"> REF _Ref275892974 \h </w:instrText>
            </w:r>
            <w:r w:rsidR="007A1FB6" w:rsidRPr="001D6512">
              <w:fldChar w:fldCharType="separate"/>
            </w:r>
            <w:r w:rsidR="00C0292F">
              <w:t xml:space="preserve">Table </w:t>
            </w:r>
            <w:r w:rsidR="00C0292F">
              <w:rPr>
                <w:noProof/>
              </w:rPr>
              <w:t>3</w:t>
            </w:r>
            <w:r w:rsidR="00C0292F">
              <w:noBreakHyphen/>
            </w:r>
            <w:r w:rsidR="00C0292F">
              <w:rPr>
                <w:noProof/>
              </w:rPr>
              <w:t>24</w:t>
            </w:r>
            <w:r w:rsidR="007A1FB6" w:rsidRPr="001D6512">
              <w:fldChar w:fldCharType="end"/>
            </w:r>
          </w:p>
        </w:tc>
        <w:tc>
          <w:tcPr>
            <w:tcW w:w="1064" w:type="pct"/>
          </w:tcPr>
          <w:p w:rsidR="001D7420" w:rsidRPr="001D6512" w:rsidRDefault="001D7420" w:rsidP="00C3606E">
            <w:pPr>
              <w:pStyle w:val="TableCell"/>
              <w:keepNext w:val="0"/>
              <w:spacing w:before="60" w:after="60"/>
              <w:rPr>
                <w:highlight w:val="lightGray"/>
              </w:rPr>
            </w:pPr>
            <w:r w:rsidRPr="001D6512">
              <w:t>EDC Data Gathering</w:t>
            </w:r>
          </w:p>
        </w:tc>
      </w:tr>
      <w:tr w:rsidR="00376BD1" w:rsidRPr="006A2E12" w:rsidTr="00403124">
        <w:trPr>
          <w:trHeight w:val="317"/>
          <w:jc w:val="center"/>
        </w:trPr>
        <w:tc>
          <w:tcPr>
            <w:tcW w:w="899" w:type="pct"/>
          </w:tcPr>
          <w:p w:rsidR="00376BD1" w:rsidRPr="001D6512" w:rsidRDefault="00376BD1" w:rsidP="00C3606E">
            <w:pPr>
              <w:pStyle w:val="TableCell"/>
              <w:keepNext w:val="0"/>
              <w:spacing w:before="60" w:after="60"/>
            </w:pPr>
            <w:r w:rsidRPr="001D6512">
              <w:t>CF</w:t>
            </w:r>
          </w:p>
        </w:tc>
        <w:tc>
          <w:tcPr>
            <w:tcW w:w="646" w:type="pct"/>
          </w:tcPr>
          <w:p w:rsidR="00376BD1" w:rsidRPr="001D6512" w:rsidRDefault="00376BD1" w:rsidP="00C3606E">
            <w:pPr>
              <w:pStyle w:val="TableCell"/>
              <w:keepNext w:val="0"/>
              <w:spacing w:before="60" w:after="60"/>
            </w:pPr>
            <w:r w:rsidRPr="001D6512">
              <w:t>Fixed</w:t>
            </w:r>
          </w:p>
        </w:tc>
        <w:tc>
          <w:tcPr>
            <w:tcW w:w="2390" w:type="pct"/>
          </w:tcPr>
          <w:p w:rsidR="00376BD1" w:rsidRPr="001D6512" w:rsidRDefault="00412363" w:rsidP="00C3606E">
            <w:pPr>
              <w:pStyle w:val="TableCell"/>
              <w:keepNext w:val="0"/>
              <w:spacing w:before="60" w:after="60"/>
            </w:pPr>
            <w:r w:rsidRPr="001D6512">
              <w:t>80%</w:t>
            </w:r>
          </w:p>
        </w:tc>
        <w:tc>
          <w:tcPr>
            <w:tcW w:w="1064" w:type="pct"/>
          </w:tcPr>
          <w:p w:rsidR="00376BD1" w:rsidRPr="001D6512" w:rsidRDefault="00412363" w:rsidP="00C3606E">
            <w:pPr>
              <w:pStyle w:val="TableCell"/>
              <w:keepNext w:val="0"/>
              <w:spacing w:before="60" w:after="60"/>
            </w:pPr>
            <w:r w:rsidRPr="001D6512">
              <w:t>1</w:t>
            </w:r>
            <w:r w:rsidR="00376BD1" w:rsidRPr="001D6512">
              <w:t xml:space="preserve"> </w:t>
            </w:r>
          </w:p>
        </w:tc>
      </w:tr>
      <w:tr w:rsidR="00376BD1" w:rsidRPr="006A2E12" w:rsidTr="00403124">
        <w:trPr>
          <w:trHeight w:val="317"/>
          <w:jc w:val="center"/>
        </w:trPr>
        <w:tc>
          <w:tcPr>
            <w:tcW w:w="899" w:type="pct"/>
          </w:tcPr>
          <w:p w:rsidR="00376BD1" w:rsidRPr="001D6512" w:rsidRDefault="00376BD1" w:rsidP="00C3606E">
            <w:pPr>
              <w:pStyle w:val="TableCell"/>
              <w:keepNext w:val="0"/>
              <w:spacing w:before="60" w:after="60"/>
            </w:pPr>
            <w:r w:rsidRPr="001D6512">
              <w:t>EFLH</w:t>
            </w:r>
          </w:p>
        </w:tc>
        <w:tc>
          <w:tcPr>
            <w:tcW w:w="646" w:type="pct"/>
          </w:tcPr>
          <w:p w:rsidR="00376BD1" w:rsidRPr="001D6512" w:rsidRDefault="00376BD1" w:rsidP="00C3606E">
            <w:pPr>
              <w:pStyle w:val="TableCell"/>
              <w:keepNext w:val="0"/>
              <w:spacing w:before="60" w:after="60"/>
            </w:pPr>
            <w:r w:rsidRPr="001D6512">
              <w:t>Fixed</w:t>
            </w:r>
          </w:p>
        </w:tc>
        <w:tc>
          <w:tcPr>
            <w:tcW w:w="2390" w:type="pct"/>
          </w:tcPr>
          <w:p w:rsidR="00376BD1" w:rsidRPr="001D6512" w:rsidRDefault="00376BD1" w:rsidP="00C3606E">
            <w:pPr>
              <w:pStyle w:val="TableCell"/>
              <w:keepNext w:val="0"/>
              <w:spacing w:before="60" w:after="60"/>
            </w:pPr>
            <w:r w:rsidRPr="001D6512">
              <w:t xml:space="preserve">Default </w:t>
            </w:r>
            <w:r w:rsidR="007E1E86" w:rsidRPr="001D6512">
              <w:t>value</w:t>
            </w:r>
            <w:r w:rsidRPr="001D6512">
              <w:t xml:space="preserve"> from </w:t>
            </w:r>
            <w:r w:rsidR="007A1FB6" w:rsidRPr="001D6512">
              <w:fldChar w:fldCharType="begin"/>
            </w:r>
            <w:r w:rsidRPr="001D6512">
              <w:instrText xml:space="preserve"> REF _Ref275549497 \h </w:instrText>
            </w:r>
            <w:r w:rsidR="007A1FB6" w:rsidRPr="001D6512">
              <w:fldChar w:fldCharType="separate"/>
            </w:r>
            <w:r w:rsidR="00C0292F">
              <w:t xml:space="preserve">Table </w:t>
            </w:r>
            <w:r w:rsidR="00C0292F">
              <w:rPr>
                <w:noProof/>
              </w:rPr>
              <w:t>3</w:t>
            </w:r>
            <w:r w:rsidR="00C0292F">
              <w:noBreakHyphen/>
            </w:r>
            <w:r w:rsidR="00C0292F">
              <w:rPr>
                <w:noProof/>
              </w:rPr>
              <w:t>25</w:t>
            </w:r>
            <w:r w:rsidR="007A1FB6" w:rsidRPr="001D6512">
              <w:fldChar w:fldCharType="end"/>
            </w:r>
          </w:p>
        </w:tc>
        <w:tc>
          <w:tcPr>
            <w:tcW w:w="1064" w:type="pct"/>
          </w:tcPr>
          <w:p w:rsidR="00376BD1" w:rsidRPr="001D6512" w:rsidRDefault="00376BD1" w:rsidP="00C3606E">
            <w:pPr>
              <w:pStyle w:val="TableCell"/>
              <w:keepNext w:val="0"/>
              <w:spacing w:before="60" w:after="60"/>
            </w:pPr>
            <w:r w:rsidRPr="001D6512">
              <w:t xml:space="preserve">See </w:t>
            </w:r>
            <w:r w:rsidR="007A1FB6" w:rsidRPr="001D6512">
              <w:fldChar w:fldCharType="begin"/>
            </w:r>
            <w:r w:rsidR="004762A3" w:rsidRPr="001D6512">
              <w:instrText xml:space="preserve"> REF _Ref275549497 \h </w:instrText>
            </w:r>
            <w:r w:rsidR="007A1FB6" w:rsidRPr="001D6512">
              <w:fldChar w:fldCharType="separate"/>
            </w:r>
            <w:r w:rsidR="00C0292F">
              <w:t xml:space="preserve">Table </w:t>
            </w:r>
            <w:r w:rsidR="00C0292F">
              <w:rPr>
                <w:noProof/>
              </w:rPr>
              <w:t>3</w:t>
            </w:r>
            <w:r w:rsidR="00C0292F">
              <w:noBreakHyphen/>
            </w:r>
            <w:r w:rsidR="00C0292F">
              <w:rPr>
                <w:noProof/>
              </w:rPr>
              <w:t>25</w:t>
            </w:r>
            <w:r w:rsidR="007A1FB6" w:rsidRPr="001D6512">
              <w:fldChar w:fldCharType="end"/>
            </w:r>
          </w:p>
        </w:tc>
      </w:tr>
    </w:tbl>
    <w:p w:rsidR="00A22E85" w:rsidRDefault="00A22E85" w:rsidP="00C3606E">
      <w:pPr>
        <w:spacing w:before="60" w:after="60"/>
      </w:pPr>
    </w:p>
    <w:p w:rsidR="00412363" w:rsidRDefault="00412363" w:rsidP="00C3606E">
      <w:pPr>
        <w:spacing w:before="60" w:after="60"/>
        <w:rPr>
          <w:b/>
        </w:rPr>
      </w:pPr>
      <w:r w:rsidRPr="00412363">
        <w:rPr>
          <w:b/>
        </w:rPr>
        <w:t>Sources:</w:t>
      </w:r>
    </w:p>
    <w:p w:rsidR="00412363" w:rsidRDefault="00412363" w:rsidP="0005632A">
      <w:pPr>
        <w:pStyle w:val="source1"/>
        <w:numPr>
          <w:ilvl w:val="0"/>
          <w:numId w:val="121"/>
        </w:numPr>
      </w:pPr>
      <w:r>
        <w:t>Average based on coincidence factors from Ohio, New Jersey, Mid-Atlantic, Massachusetts, Connecticut, Illinois, New York, CEE and Minnesota. (74%, 67%, 81%, 94%, 82%, 72%, 100%, 70% and 76% respectively)</w:t>
      </w:r>
    </w:p>
    <w:p w:rsidR="00412363" w:rsidRPr="00412363" w:rsidRDefault="00412363" w:rsidP="00412363"/>
    <w:p w:rsidR="009735EA" w:rsidRDefault="009735EA" w:rsidP="00B20F6B">
      <w:pPr>
        <w:pStyle w:val="Caption"/>
      </w:pPr>
      <w:bookmarkStart w:id="763" w:name="_Ref275892974"/>
      <w:bookmarkStart w:id="764" w:name="_Toc310875576"/>
      <w:r>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24</w:t>
      </w:r>
      <w:r w:rsidR="00274AB1">
        <w:rPr>
          <w:noProof/>
        </w:rPr>
        <w:fldChar w:fldCharType="end"/>
      </w:r>
      <w:bookmarkEnd w:id="763"/>
      <w:r>
        <w:t>: Electric Chiller Baseline Efficiencies (IECC 2009)</w:t>
      </w:r>
      <w:r w:rsidR="0068523E">
        <w:rPr>
          <w:rStyle w:val="FootnoteReference"/>
        </w:rPr>
        <w:footnoteReference w:id="167"/>
      </w:r>
      <w:bookmarkEnd w:id="764"/>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460"/>
        <w:gridCol w:w="1440"/>
        <w:gridCol w:w="2249"/>
        <w:gridCol w:w="2251"/>
        <w:gridCol w:w="1456"/>
      </w:tblGrid>
      <w:tr w:rsidR="009735EA" w:rsidRPr="00376BD1" w:rsidTr="00403124">
        <w:trPr>
          <w:trHeight w:val="288"/>
          <w:tblHeader/>
          <w:jc w:val="center"/>
        </w:trPr>
        <w:tc>
          <w:tcPr>
            <w:tcW w:w="824" w:type="pct"/>
            <w:shd w:val="clear" w:color="auto" w:fill="BFBFBF"/>
          </w:tcPr>
          <w:p w:rsidR="009735EA" w:rsidRPr="001D6512" w:rsidRDefault="0068523E" w:rsidP="00C3606E">
            <w:pPr>
              <w:pStyle w:val="TableCell"/>
              <w:spacing w:before="60" w:after="60"/>
              <w:rPr>
                <w:rFonts w:cs="Arial"/>
                <w:b/>
                <w:szCs w:val="18"/>
              </w:rPr>
            </w:pPr>
            <w:r w:rsidRPr="001D6512">
              <w:rPr>
                <w:rFonts w:cs="Arial"/>
                <w:b/>
                <w:szCs w:val="18"/>
              </w:rPr>
              <w:t>Chiller Type</w:t>
            </w:r>
          </w:p>
        </w:tc>
        <w:tc>
          <w:tcPr>
            <w:tcW w:w="813" w:type="pct"/>
            <w:shd w:val="clear" w:color="auto" w:fill="BFBFBF"/>
          </w:tcPr>
          <w:p w:rsidR="009735EA" w:rsidRPr="001D6512" w:rsidRDefault="009735EA" w:rsidP="00C3606E">
            <w:pPr>
              <w:pStyle w:val="TableCell"/>
              <w:spacing w:before="60" w:after="60"/>
              <w:rPr>
                <w:rFonts w:cs="Arial"/>
                <w:b/>
                <w:szCs w:val="18"/>
              </w:rPr>
            </w:pPr>
            <w:r w:rsidRPr="001D6512">
              <w:rPr>
                <w:rFonts w:cs="Arial"/>
                <w:b/>
                <w:szCs w:val="18"/>
              </w:rPr>
              <w:t>Size</w:t>
            </w:r>
          </w:p>
        </w:tc>
        <w:tc>
          <w:tcPr>
            <w:tcW w:w="1270" w:type="pct"/>
            <w:shd w:val="clear" w:color="auto" w:fill="BFBFBF"/>
          </w:tcPr>
          <w:p w:rsidR="009735EA" w:rsidRPr="001D6512" w:rsidRDefault="009735EA" w:rsidP="00C3606E">
            <w:pPr>
              <w:pStyle w:val="TableCell"/>
              <w:spacing w:before="60" w:after="60"/>
              <w:rPr>
                <w:rFonts w:cs="Arial"/>
                <w:b/>
                <w:szCs w:val="18"/>
              </w:rPr>
            </w:pPr>
            <w:r w:rsidRPr="001D6512">
              <w:rPr>
                <w:rFonts w:cs="Arial"/>
                <w:b/>
                <w:szCs w:val="18"/>
              </w:rPr>
              <w:t>Path A</w:t>
            </w:r>
          </w:p>
        </w:tc>
        <w:tc>
          <w:tcPr>
            <w:tcW w:w="1271" w:type="pct"/>
            <w:shd w:val="clear" w:color="auto" w:fill="BFBFBF"/>
          </w:tcPr>
          <w:p w:rsidR="009735EA" w:rsidRPr="001D6512" w:rsidRDefault="009735EA" w:rsidP="00C3606E">
            <w:pPr>
              <w:pStyle w:val="TableCell"/>
              <w:spacing w:before="60" w:after="60"/>
              <w:rPr>
                <w:rFonts w:cs="Arial"/>
                <w:b/>
                <w:szCs w:val="18"/>
              </w:rPr>
            </w:pPr>
            <w:r w:rsidRPr="001D6512">
              <w:rPr>
                <w:rFonts w:cs="Arial"/>
                <w:b/>
                <w:szCs w:val="18"/>
              </w:rPr>
              <w:t>Path B</w:t>
            </w:r>
          </w:p>
        </w:tc>
        <w:tc>
          <w:tcPr>
            <w:tcW w:w="822" w:type="pct"/>
            <w:shd w:val="clear" w:color="auto" w:fill="BFBFBF"/>
          </w:tcPr>
          <w:p w:rsidR="009735EA" w:rsidRPr="001D6512" w:rsidRDefault="009735EA" w:rsidP="00C3606E">
            <w:pPr>
              <w:pStyle w:val="TableCell"/>
              <w:spacing w:before="60" w:after="60"/>
              <w:rPr>
                <w:rFonts w:cs="Arial"/>
                <w:b/>
                <w:szCs w:val="18"/>
              </w:rPr>
            </w:pPr>
            <w:r w:rsidRPr="001D6512">
              <w:rPr>
                <w:rFonts w:cs="Arial"/>
                <w:b/>
                <w:szCs w:val="18"/>
              </w:rPr>
              <w:t>Source</w:t>
            </w:r>
          </w:p>
        </w:tc>
      </w:tr>
      <w:tr w:rsidR="0068523E" w:rsidRPr="006A2E12" w:rsidTr="00403124">
        <w:trPr>
          <w:trHeight w:val="288"/>
          <w:jc w:val="center"/>
        </w:trPr>
        <w:tc>
          <w:tcPr>
            <w:tcW w:w="824" w:type="pct"/>
            <w:vMerge w:val="restart"/>
          </w:tcPr>
          <w:p w:rsidR="0068523E" w:rsidRPr="001D6512" w:rsidRDefault="0068523E" w:rsidP="00C3606E">
            <w:pPr>
              <w:pStyle w:val="TableCell"/>
              <w:spacing w:before="60" w:after="60"/>
              <w:rPr>
                <w:rFonts w:cs="Arial"/>
                <w:szCs w:val="18"/>
              </w:rPr>
            </w:pPr>
            <w:r w:rsidRPr="001D6512">
              <w:rPr>
                <w:rFonts w:cs="Arial"/>
                <w:szCs w:val="18"/>
              </w:rPr>
              <w:t>Air Cooled Chillers</w:t>
            </w:r>
          </w:p>
        </w:tc>
        <w:tc>
          <w:tcPr>
            <w:tcW w:w="813" w:type="pct"/>
          </w:tcPr>
          <w:p w:rsidR="0068523E" w:rsidRPr="001D6512" w:rsidRDefault="0068523E" w:rsidP="00C3606E">
            <w:pPr>
              <w:pStyle w:val="TableCell"/>
              <w:spacing w:before="60" w:after="60"/>
              <w:rPr>
                <w:rFonts w:cs="Arial"/>
                <w:szCs w:val="18"/>
              </w:rPr>
            </w:pPr>
            <w:r w:rsidRPr="001D6512">
              <w:rPr>
                <w:rFonts w:cs="Arial"/>
                <w:szCs w:val="18"/>
              </w:rPr>
              <w:t>&lt; 150 tons</w:t>
            </w:r>
          </w:p>
        </w:tc>
        <w:tc>
          <w:tcPr>
            <w:tcW w:w="1270" w:type="pct"/>
          </w:tcPr>
          <w:p w:rsidR="0068523E" w:rsidRPr="001D6512" w:rsidRDefault="0068523E" w:rsidP="00C3606E">
            <w:pPr>
              <w:pStyle w:val="TableCell"/>
              <w:spacing w:before="60" w:after="60"/>
              <w:rPr>
                <w:rFonts w:cs="Arial"/>
                <w:szCs w:val="18"/>
              </w:rPr>
            </w:pPr>
            <w:r w:rsidRPr="001D6512">
              <w:rPr>
                <w:rFonts w:cs="Arial"/>
                <w:szCs w:val="18"/>
              </w:rPr>
              <w:t>Full load: 9.562 EER</w:t>
            </w:r>
          </w:p>
          <w:p w:rsidR="009C552F" w:rsidRPr="001D6512" w:rsidRDefault="009C552F" w:rsidP="00C3606E">
            <w:pPr>
              <w:pStyle w:val="TableCell"/>
              <w:spacing w:before="60" w:after="60"/>
              <w:rPr>
                <w:rFonts w:cs="Arial"/>
                <w:szCs w:val="18"/>
              </w:rPr>
            </w:pPr>
            <w:r w:rsidRPr="001D6512">
              <w:rPr>
                <w:rFonts w:cs="Arial"/>
                <w:szCs w:val="18"/>
              </w:rPr>
              <w:t>IPLV: 12.500 EER</w:t>
            </w:r>
          </w:p>
        </w:tc>
        <w:tc>
          <w:tcPr>
            <w:tcW w:w="1271" w:type="pct"/>
          </w:tcPr>
          <w:p w:rsidR="0068523E" w:rsidRPr="001D6512" w:rsidRDefault="009C552F" w:rsidP="00C3606E">
            <w:pPr>
              <w:pStyle w:val="TableCell"/>
              <w:spacing w:before="60" w:after="60"/>
              <w:rPr>
                <w:rFonts w:cs="Arial"/>
                <w:szCs w:val="18"/>
              </w:rPr>
            </w:pPr>
            <w:r w:rsidRPr="001D6512">
              <w:rPr>
                <w:rFonts w:cs="Arial"/>
                <w:szCs w:val="18"/>
              </w:rPr>
              <w:t>N/A</w:t>
            </w:r>
          </w:p>
        </w:tc>
        <w:tc>
          <w:tcPr>
            <w:tcW w:w="822" w:type="pct"/>
            <w:vMerge w:val="restart"/>
          </w:tcPr>
          <w:p w:rsidR="0068523E" w:rsidRPr="001D6512" w:rsidRDefault="0068523E" w:rsidP="00C3606E">
            <w:pPr>
              <w:pStyle w:val="TableCell"/>
              <w:spacing w:before="60" w:after="60"/>
              <w:rPr>
                <w:rFonts w:cs="Arial"/>
                <w:szCs w:val="18"/>
              </w:rPr>
            </w:pPr>
            <w:r w:rsidRPr="001D6512">
              <w:rPr>
                <w:rFonts w:cs="Arial"/>
                <w:szCs w:val="18"/>
              </w:rPr>
              <w:t>IECC 2009 Table 503.2.3 (7) Post 1/1/2010</w:t>
            </w:r>
          </w:p>
        </w:tc>
      </w:tr>
      <w:tr w:rsidR="0068523E" w:rsidRPr="006A2E12" w:rsidTr="00403124">
        <w:trPr>
          <w:trHeight w:val="288"/>
          <w:jc w:val="center"/>
        </w:trPr>
        <w:tc>
          <w:tcPr>
            <w:tcW w:w="824" w:type="pct"/>
            <w:vMerge/>
          </w:tcPr>
          <w:p w:rsidR="0068523E" w:rsidRPr="001D6512" w:rsidRDefault="0068523E" w:rsidP="00C3606E">
            <w:pPr>
              <w:pStyle w:val="TableCell"/>
              <w:spacing w:before="60" w:after="60"/>
              <w:rPr>
                <w:rFonts w:cs="Arial"/>
                <w:szCs w:val="18"/>
              </w:rPr>
            </w:pPr>
          </w:p>
        </w:tc>
        <w:tc>
          <w:tcPr>
            <w:tcW w:w="813" w:type="pct"/>
          </w:tcPr>
          <w:p w:rsidR="0068523E" w:rsidRPr="001D6512" w:rsidRDefault="0068523E" w:rsidP="00C3606E">
            <w:pPr>
              <w:pStyle w:val="TableCell"/>
              <w:spacing w:before="60" w:after="60"/>
              <w:rPr>
                <w:rFonts w:cs="Arial"/>
                <w:szCs w:val="18"/>
              </w:rPr>
            </w:pPr>
            <w:r w:rsidRPr="001D6512">
              <w:rPr>
                <w:rFonts w:cs="Arial"/>
                <w:szCs w:val="18"/>
              </w:rPr>
              <w:t>&gt;=150 tons</w:t>
            </w:r>
          </w:p>
        </w:tc>
        <w:tc>
          <w:tcPr>
            <w:tcW w:w="1270" w:type="pct"/>
          </w:tcPr>
          <w:p w:rsidR="0068523E" w:rsidRPr="001D6512" w:rsidRDefault="0068523E" w:rsidP="00C3606E">
            <w:pPr>
              <w:pStyle w:val="TableCell"/>
              <w:spacing w:before="60" w:after="60"/>
              <w:rPr>
                <w:rFonts w:cs="Arial"/>
                <w:szCs w:val="18"/>
              </w:rPr>
            </w:pPr>
            <w:r w:rsidRPr="001D6512">
              <w:rPr>
                <w:rFonts w:cs="Arial"/>
                <w:szCs w:val="18"/>
              </w:rPr>
              <w:t>Full load: 9.562 EER</w:t>
            </w:r>
          </w:p>
          <w:p w:rsidR="009C552F" w:rsidRPr="001D6512" w:rsidRDefault="009C552F" w:rsidP="00C3606E">
            <w:pPr>
              <w:pStyle w:val="TableCell"/>
              <w:spacing w:before="60" w:after="60"/>
              <w:rPr>
                <w:rFonts w:cs="Arial"/>
                <w:szCs w:val="18"/>
              </w:rPr>
            </w:pPr>
            <w:r w:rsidRPr="001D6512">
              <w:rPr>
                <w:rFonts w:cs="Arial"/>
                <w:szCs w:val="18"/>
              </w:rPr>
              <w:t>IPLV: 12.</w:t>
            </w:r>
            <w:r w:rsidR="00403124" w:rsidRPr="001D6512">
              <w:rPr>
                <w:rFonts w:cs="Arial"/>
                <w:szCs w:val="18"/>
              </w:rPr>
              <w:t>75</w:t>
            </w:r>
            <w:r w:rsidRPr="001D6512">
              <w:rPr>
                <w:rFonts w:cs="Arial"/>
                <w:szCs w:val="18"/>
              </w:rPr>
              <w:t>0 EER</w:t>
            </w:r>
          </w:p>
        </w:tc>
        <w:tc>
          <w:tcPr>
            <w:tcW w:w="1271" w:type="pct"/>
          </w:tcPr>
          <w:p w:rsidR="0068523E" w:rsidRPr="001D6512" w:rsidRDefault="009C552F" w:rsidP="00C3606E">
            <w:pPr>
              <w:pStyle w:val="TableCell"/>
              <w:spacing w:before="60" w:after="60"/>
              <w:rPr>
                <w:rFonts w:cs="Arial"/>
                <w:szCs w:val="18"/>
              </w:rPr>
            </w:pPr>
            <w:r w:rsidRPr="001D6512">
              <w:rPr>
                <w:rFonts w:cs="Arial"/>
                <w:szCs w:val="18"/>
              </w:rPr>
              <w:t>N/A</w:t>
            </w:r>
          </w:p>
        </w:tc>
        <w:tc>
          <w:tcPr>
            <w:tcW w:w="822" w:type="pct"/>
            <w:vMerge/>
          </w:tcPr>
          <w:p w:rsidR="0068523E" w:rsidRPr="001D6512" w:rsidRDefault="0068523E" w:rsidP="00C3606E">
            <w:pPr>
              <w:pStyle w:val="TableCell"/>
              <w:spacing w:before="60" w:after="60"/>
              <w:rPr>
                <w:rFonts w:cs="Arial"/>
                <w:szCs w:val="18"/>
              </w:rPr>
            </w:pPr>
          </w:p>
        </w:tc>
      </w:tr>
      <w:tr w:rsidR="009735EA" w:rsidRPr="006A2E12" w:rsidTr="00403124">
        <w:trPr>
          <w:trHeight w:val="288"/>
          <w:jc w:val="center"/>
        </w:trPr>
        <w:tc>
          <w:tcPr>
            <w:tcW w:w="824" w:type="pct"/>
            <w:vMerge w:val="restart"/>
          </w:tcPr>
          <w:p w:rsidR="009735EA" w:rsidRPr="001D6512" w:rsidRDefault="009735EA" w:rsidP="00C3606E">
            <w:pPr>
              <w:pStyle w:val="TableCell"/>
              <w:spacing w:before="60" w:after="60"/>
              <w:rPr>
                <w:rFonts w:cs="Arial"/>
                <w:szCs w:val="18"/>
              </w:rPr>
            </w:pPr>
            <w:r w:rsidRPr="001D6512">
              <w:rPr>
                <w:rFonts w:cs="Arial"/>
                <w:szCs w:val="18"/>
              </w:rPr>
              <w:t>Water Cooled Positive Displacement or Reciprocating Chiller</w:t>
            </w:r>
          </w:p>
        </w:tc>
        <w:tc>
          <w:tcPr>
            <w:tcW w:w="813" w:type="pct"/>
          </w:tcPr>
          <w:p w:rsidR="009735EA" w:rsidRPr="001D6512" w:rsidRDefault="009735EA" w:rsidP="00C3606E">
            <w:pPr>
              <w:pStyle w:val="TableCell"/>
              <w:spacing w:before="60" w:after="60"/>
              <w:rPr>
                <w:rFonts w:cs="Arial"/>
                <w:szCs w:val="18"/>
              </w:rPr>
            </w:pPr>
            <w:r w:rsidRPr="001D6512">
              <w:rPr>
                <w:rFonts w:cs="Arial"/>
                <w:szCs w:val="18"/>
              </w:rPr>
              <w:t>&lt; 75 tons</w:t>
            </w:r>
          </w:p>
        </w:tc>
        <w:tc>
          <w:tcPr>
            <w:tcW w:w="1270" w:type="pct"/>
          </w:tcPr>
          <w:p w:rsidR="009735EA" w:rsidRPr="001D6512" w:rsidRDefault="009735EA" w:rsidP="00C3606E">
            <w:pPr>
              <w:pStyle w:val="TableCell"/>
              <w:spacing w:before="60" w:after="60"/>
              <w:rPr>
                <w:rFonts w:cs="Arial"/>
                <w:szCs w:val="18"/>
              </w:rPr>
            </w:pPr>
            <w:r w:rsidRPr="001D6512">
              <w:rPr>
                <w:rFonts w:cs="Arial"/>
                <w:szCs w:val="18"/>
              </w:rPr>
              <w:t>Full load: 0.780 kW/ton</w:t>
            </w:r>
          </w:p>
          <w:p w:rsidR="009C552F" w:rsidRPr="001D6512" w:rsidRDefault="009C552F" w:rsidP="00C3606E">
            <w:pPr>
              <w:pStyle w:val="TableCell"/>
              <w:spacing w:before="60" w:after="60"/>
              <w:rPr>
                <w:rFonts w:cs="Arial"/>
                <w:szCs w:val="18"/>
              </w:rPr>
            </w:pPr>
            <w:r w:rsidRPr="001D6512">
              <w:rPr>
                <w:rFonts w:cs="Arial"/>
                <w:szCs w:val="18"/>
              </w:rPr>
              <w:t>IPLV: 0.630 kW/ton</w:t>
            </w:r>
          </w:p>
        </w:tc>
        <w:tc>
          <w:tcPr>
            <w:tcW w:w="1271" w:type="pct"/>
          </w:tcPr>
          <w:p w:rsidR="00403124" w:rsidRPr="001D6512" w:rsidRDefault="00403124" w:rsidP="00C3606E">
            <w:pPr>
              <w:pStyle w:val="TableCell"/>
              <w:spacing w:before="60" w:after="60"/>
              <w:rPr>
                <w:rFonts w:cs="Arial"/>
                <w:szCs w:val="18"/>
              </w:rPr>
            </w:pPr>
            <w:r w:rsidRPr="001D6512">
              <w:rPr>
                <w:rFonts w:cs="Arial"/>
                <w:szCs w:val="18"/>
              </w:rPr>
              <w:t>Full load: 0.800 kW/ton</w:t>
            </w:r>
          </w:p>
          <w:p w:rsidR="009735EA" w:rsidRPr="001D6512" w:rsidRDefault="009735EA" w:rsidP="00C3606E">
            <w:pPr>
              <w:pStyle w:val="TableCell"/>
              <w:spacing w:before="60" w:after="60"/>
              <w:rPr>
                <w:rFonts w:cs="Arial"/>
                <w:szCs w:val="18"/>
              </w:rPr>
            </w:pPr>
            <w:r w:rsidRPr="001D6512">
              <w:rPr>
                <w:rFonts w:cs="Arial"/>
                <w:szCs w:val="18"/>
              </w:rPr>
              <w:t>IPLV: 0.600 kW/ton</w:t>
            </w:r>
          </w:p>
        </w:tc>
        <w:tc>
          <w:tcPr>
            <w:tcW w:w="822" w:type="pct"/>
            <w:vMerge/>
          </w:tcPr>
          <w:p w:rsidR="009735EA" w:rsidRPr="001D6512" w:rsidRDefault="009735EA" w:rsidP="00C3606E">
            <w:pPr>
              <w:pStyle w:val="TableCell"/>
              <w:spacing w:before="60" w:after="60"/>
              <w:rPr>
                <w:rFonts w:cs="Arial"/>
                <w:szCs w:val="18"/>
              </w:rPr>
            </w:pPr>
          </w:p>
        </w:tc>
      </w:tr>
      <w:tr w:rsidR="009735EA" w:rsidRPr="006A2E12" w:rsidTr="00403124">
        <w:trPr>
          <w:trHeight w:val="288"/>
          <w:jc w:val="center"/>
        </w:trPr>
        <w:tc>
          <w:tcPr>
            <w:tcW w:w="824" w:type="pct"/>
            <w:vMerge/>
          </w:tcPr>
          <w:p w:rsidR="009735EA" w:rsidRPr="001D6512" w:rsidRDefault="009735EA" w:rsidP="00C3606E">
            <w:pPr>
              <w:pStyle w:val="TableCell"/>
              <w:spacing w:before="60" w:after="60"/>
              <w:rPr>
                <w:rFonts w:cs="Arial"/>
                <w:szCs w:val="18"/>
              </w:rPr>
            </w:pPr>
          </w:p>
        </w:tc>
        <w:tc>
          <w:tcPr>
            <w:tcW w:w="813" w:type="pct"/>
          </w:tcPr>
          <w:p w:rsidR="009735EA" w:rsidRPr="001D6512" w:rsidRDefault="009735EA" w:rsidP="00C3606E">
            <w:pPr>
              <w:pStyle w:val="TableCell"/>
              <w:spacing w:before="60" w:after="60"/>
              <w:rPr>
                <w:rFonts w:cs="Arial"/>
                <w:szCs w:val="18"/>
              </w:rPr>
            </w:pPr>
            <w:r w:rsidRPr="001D6512">
              <w:rPr>
                <w:rFonts w:cs="Arial"/>
                <w:szCs w:val="18"/>
              </w:rPr>
              <w:t>&gt;=75 tons and &lt; 150 tons</w:t>
            </w:r>
          </w:p>
        </w:tc>
        <w:tc>
          <w:tcPr>
            <w:tcW w:w="1270" w:type="pct"/>
          </w:tcPr>
          <w:p w:rsidR="009735EA" w:rsidRPr="001D6512" w:rsidRDefault="009735EA" w:rsidP="00C3606E">
            <w:pPr>
              <w:pStyle w:val="TableCell"/>
              <w:spacing w:before="60" w:after="60"/>
              <w:rPr>
                <w:rFonts w:cs="Arial"/>
                <w:szCs w:val="18"/>
              </w:rPr>
            </w:pPr>
            <w:r w:rsidRPr="001D6512">
              <w:rPr>
                <w:rFonts w:cs="Arial"/>
                <w:szCs w:val="18"/>
              </w:rPr>
              <w:t>Full load: 0.775 kW/ton</w:t>
            </w:r>
          </w:p>
          <w:p w:rsidR="009C552F" w:rsidRPr="001D6512" w:rsidRDefault="009C552F" w:rsidP="00C3606E">
            <w:pPr>
              <w:pStyle w:val="TableCell"/>
              <w:spacing w:before="60" w:after="60"/>
              <w:rPr>
                <w:rFonts w:cs="Arial"/>
                <w:szCs w:val="18"/>
              </w:rPr>
            </w:pPr>
            <w:r w:rsidRPr="001D6512">
              <w:rPr>
                <w:rFonts w:cs="Arial"/>
                <w:szCs w:val="18"/>
              </w:rPr>
              <w:t>IPLV: 0.615 kW/ton</w:t>
            </w:r>
          </w:p>
        </w:tc>
        <w:tc>
          <w:tcPr>
            <w:tcW w:w="1271" w:type="pct"/>
          </w:tcPr>
          <w:p w:rsidR="00403124" w:rsidRPr="001D6512" w:rsidRDefault="00403124" w:rsidP="00C3606E">
            <w:pPr>
              <w:pStyle w:val="TableCell"/>
              <w:spacing w:before="60" w:after="60"/>
              <w:rPr>
                <w:rFonts w:cs="Arial"/>
                <w:szCs w:val="18"/>
              </w:rPr>
            </w:pPr>
            <w:r w:rsidRPr="001D6512">
              <w:rPr>
                <w:rFonts w:cs="Arial"/>
                <w:szCs w:val="18"/>
              </w:rPr>
              <w:t>Full load: 0.790 kW/ton</w:t>
            </w:r>
          </w:p>
          <w:p w:rsidR="009735EA" w:rsidRPr="001D6512" w:rsidRDefault="009735EA" w:rsidP="00C3606E">
            <w:pPr>
              <w:pStyle w:val="TableCell"/>
              <w:spacing w:before="60" w:after="60"/>
              <w:rPr>
                <w:rFonts w:cs="Arial"/>
                <w:szCs w:val="18"/>
              </w:rPr>
            </w:pPr>
            <w:r w:rsidRPr="001D6512">
              <w:rPr>
                <w:rFonts w:cs="Arial"/>
                <w:szCs w:val="18"/>
              </w:rPr>
              <w:t>IPLV: 0.586 kW/ton</w:t>
            </w:r>
          </w:p>
        </w:tc>
        <w:tc>
          <w:tcPr>
            <w:tcW w:w="822" w:type="pct"/>
            <w:vMerge/>
          </w:tcPr>
          <w:p w:rsidR="009735EA" w:rsidRPr="001D6512" w:rsidRDefault="009735EA" w:rsidP="00C3606E">
            <w:pPr>
              <w:pStyle w:val="TableCell"/>
              <w:spacing w:before="60" w:after="60"/>
              <w:rPr>
                <w:rFonts w:cs="Arial"/>
                <w:szCs w:val="18"/>
              </w:rPr>
            </w:pPr>
          </w:p>
        </w:tc>
      </w:tr>
      <w:tr w:rsidR="009735EA" w:rsidRPr="006A2E12" w:rsidTr="00403124">
        <w:trPr>
          <w:trHeight w:val="288"/>
          <w:jc w:val="center"/>
        </w:trPr>
        <w:tc>
          <w:tcPr>
            <w:tcW w:w="824" w:type="pct"/>
            <w:vMerge/>
          </w:tcPr>
          <w:p w:rsidR="009735EA" w:rsidRPr="001D6512" w:rsidRDefault="009735EA" w:rsidP="00C3606E">
            <w:pPr>
              <w:pStyle w:val="TableCell"/>
              <w:spacing w:before="60" w:after="60"/>
              <w:rPr>
                <w:rFonts w:cs="Arial"/>
                <w:szCs w:val="18"/>
              </w:rPr>
            </w:pPr>
          </w:p>
        </w:tc>
        <w:tc>
          <w:tcPr>
            <w:tcW w:w="813" w:type="pct"/>
          </w:tcPr>
          <w:p w:rsidR="009735EA" w:rsidRPr="001D6512" w:rsidRDefault="009735EA" w:rsidP="00C3606E">
            <w:pPr>
              <w:pStyle w:val="TableCell"/>
              <w:spacing w:before="60" w:after="60"/>
              <w:rPr>
                <w:rFonts w:cs="Arial"/>
                <w:szCs w:val="18"/>
              </w:rPr>
            </w:pPr>
            <w:r w:rsidRPr="001D6512">
              <w:rPr>
                <w:rFonts w:cs="Arial"/>
                <w:szCs w:val="18"/>
              </w:rPr>
              <w:t>&gt;=150 tons and &lt; 300 tons</w:t>
            </w:r>
          </w:p>
        </w:tc>
        <w:tc>
          <w:tcPr>
            <w:tcW w:w="1270" w:type="pct"/>
          </w:tcPr>
          <w:p w:rsidR="009735EA" w:rsidRPr="001D6512" w:rsidRDefault="009735EA" w:rsidP="00C3606E">
            <w:pPr>
              <w:pStyle w:val="TableCell"/>
              <w:spacing w:before="60" w:after="60"/>
              <w:rPr>
                <w:rFonts w:cs="Arial"/>
                <w:szCs w:val="18"/>
              </w:rPr>
            </w:pPr>
            <w:r w:rsidRPr="001D6512">
              <w:rPr>
                <w:rFonts w:cs="Arial"/>
                <w:szCs w:val="18"/>
              </w:rPr>
              <w:t>Full load: 0.680 kW/ton</w:t>
            </w:r>
          </w:p>
          <w:p w:rsidR="009C552F" w:rsidRPr="001D6512" w:rsidRDefault="009C552F" w:rsidP="00C3606E">
            <w:pPr>
              <w:pStyle w:val="TableCell"/>
              <w:spacing w:before="60" w:after="60"/>
              <w:rPr>
                <w:rFonts w:cs="Arial"/>
                <w:szCs w:val="18"/>
              </w:rPr>
            </w:pPr>
            <w:r w:rsidRPr="001D6512">
              <w:rPr>
                <w:rFonts w:cs="Arial"/>
                <w:szCs w:val="18"/>
              </w:rPr>
              <w:t xml:space="preserve">IPLV: </w:t>
            </w:r>
            <w:r w:rsidR="00403124" w:rsidRPr="001D6512">
              <w:rPr>
                <w:rFonts w:cs="Arial"/>
                <w:szCs w:val="18"/>
              </w:rPr>
              <w:t>0.580 kW/ton</w:t>
            </w:r>
          </w:p>
        </w:tc>
        <w:tc>
          <w:tcPr>
            <w:tcW w:w="1271" w:type="pct"/>
          </w:tcPr>
          <w:p w:rsidR="00403124" w:rsidRPr="001D6512" w:rsidRDefault="00403124" w:rsidP="00C3606E">
            <w:pPr>
              <w:pStyle w:val="TableCell"/>
              <w:spacing w:before="60" w:after="60"/>
              <w:rPr>
                <w:rFonts w:cs="Arial"/>
                <w:szCs w:val="18"/>
              </w:rPr>
            </w:pPr>
            <w:r w:rsidRPr="001D6512">
              <w:rPr>
                <w:rFonts w:cs="Arial"/>
                <w:szCs w:val="18"/>
              </w:rPr>
              <w:t>Full load: 0.718 kW/ton</w:t>
            </w:r>
          </w:p>
          <w:p w:rsidR="009735EA" w:rsidRPr="001D6512" w:rsidRDefault="009735EA" w:rsidP="00C3606E">
            <w:pPr>
              <w:pStyle w:val="TableCell"/>
              <w:spacing w:before="60" w:after="60"/>
              <w:rPr>
                <w:rFonts w:cs="Arial"/>
                <w:szCs w:val="18"/>
              </w:rPr>
            </w:pPr>
            <w:r w:rsidRPr="001D6512">
              <w:rPr>
                <w:rFonts w:cs="Arial"/>
                <w:szCs w:val="18"/>
              </w:rPr>
              <w:t>IPLV: 0.540 kW/ton</w:t>
            </w:r>
          </w:p>
        </w:tc>
        <w:tc>
          <w:tcPr>
            <w:tcW w:w="822" w:type="pct"/>
            <w:vMerge/>
          </w:tcPr>
          <w:p w:rsidR="009735EA" w:rsidRPr="001D6512" w:rsidRDefault="009735EA" w:rsidP="00C3606E">
            <w:pPr>
              <w:pStyle w:val="TableCell"/>
              <w:spacing w:before="60" w:after="60"/>
              <w:rPr>
                <w:rFonts w:cs="Arial"/>
                <w:szCs w:val="18"/>
              </w:rPr>
            </w:pPr>
          </w:p>
        </w:tc>
      </w:tr>
      <w:tr w:rsidR="009735EA" w:rsidRPr="006A2E12" w:rsidTr="00403124">
        <w:trPr>
          <w:trHeight w:val="288"/>
          <w:jc w:val="center"/>
        </w:trPr>
        <w:tc>
          <w:tcPr>
            <w:tcW w:w="824" w:type="pct"/>
            <w:vMerge/>
          </w:tcPr>
          <w:p w:rsidR="009735EA" w:rsidRPr="001D6512" w:rsidRDefault="009735EA" w:rsidP="00C3606E">
            <w:pPr>
              <w:pStyle w:val="TableCell"/>
              <w:spacing w:before="60" w:after="60"/>
              <w:rPr>
                <w:rFonts w:cs="Arial"/>
                <w:szCs w:val="18"/>
              </w:rPr>
            </w:pPr>
          </w:p>
        </w:tc>
        <w:tc>
          <w:tcPr>
            <w:tcW w:w="813" w:type="pct"/>
          </w:tcPr>
          <w:p w:rsidR="009735EA" w:rsidRPr="001D6512" w:rsidRDefault="009735EA" w:rsidP="00C3606E">
            <w:pPr>
              <w:pStyle w:val="TableCell"/>
              <w:spacing w:before="60" w:after="60"/>
              <w:rPr>
                <w:rFonts w:cs="Arial"/>
                <w:szCs w:val="18"/>
              </w:rPr>
            </w:pPr>
            <w:r w:rsidRPr="001D6512">
              <w:rPr>
                <w:rFonts w:cs="Arial"/>
                <w:szCs w:val="18"/>
              </w:rPr>
              <w:t>&gt;=300 tons</w:t>
            </w:r>
          </w:p>
        </w:tc>
        <w:tc>
          <w:tcPr>
            <w:tcW w:w="1270" w:type="pct"/>
          </w:tcPr>
          <w:p w:rsidR="009735EA" w:rsidRPr="001D6512" w:rsidRDefault="009735EA" w:rsidP="00C3606E">
            <w:pPr>
              <w:pStyle w:val="TableCell"/>
              <w:spacing w:before="60" w:after="60"/>
              <w:rPr>
                <w:rFonts w:cs="Arial"/>
                <w:szCs w:val="18"/>
              </w:rPr>
            </w:pPr>
            <w:r w:rsidRPr="001D6512">
              <w:rPr>
                <w:rFonts w:cs="Arial"/>
                <w:szCs w:val="18"/>
              </w:rPr>
              <w:t>Full load: 0.620 kW/ton</w:t>
            </w:r>
          </w:p>
          <w:p w:rsidR="00403124" w:rsidRPr="001D6512" w:rsidRDefault="00403124" w:rsidP="00C3606E">
            <w:pPr>
              <w:pStyle w:val="TableCell"/>
              <w:spacing w:before="60" w:after="60"/>
              <w:rPr>
                <w:rFonts w:cs="Arial"/>
                <w:szCs w:val="18"/>
              </w:rPr>
            </w:pPr>
            <w:r w:rsidRPr="001D6512">
              <w:rPr>
                <w:rFonts w:cs="Arial"/>
                <w:szCs w:val="18"/>
              </w:rPr>
              <w:t>IPLV: 0.540 kW/ton</w:t>
            </w:r>
          </w:p>
        </w:tc>
        <w:tc>
          <w:tcPr>
            <w:tcW w:w="1271" w:type="pct"/>
          </w:tcPr>
          <w:p w:rsidR="00403124" w:rsidRPr="001D6512" w:rsidRDefault="00403124" w:rsidP="00C3606E">
            <w:pPr>
              <w:pStyle w:val="TableCell"/>
              <w:spacing w:before="60" w:after="60"/>
              <w:rPr>
                <w:rFonts w:cs="Arial"/>
                <w:szCs w:val="18"/>
              </w:rPr>
            </w:pPr>
            <w:r w:rsidRPr="001D6512">
              <w:rPr>
                <w:rFonts w:cs="Arial"/>
                <w:szCs w:val="18"/>
              </w:rPr>
              <w:t>Full load: 0.639 kW/ton</w:t>
            </w:r>
          </w:p>
          <w:p w:rsidR="009735EA" w:rsidRPr="001D6512" w:rsidRDefault="009735EA" w:rsidP="00C3606E">
            <w:pPr>
              <w:pStyle w:val="TableCell"/>
              <w:spacing w:before="60" w:after="60"/>
              <w:rPr>
                <w:rFonts w:cs="Arial"/>
                <w:szCs w:val="18"/>
              </w:rPr>
            </w:pPr>
            <w:r w:rsidRPr="001D6512">
              <w:rPr>
                <w:rFonts w:cs="Arial"/>
                <w:szCs w:val="18"/>
              </w:rPr>
              <w:t>IPLV: 0.490 kW/ton</w:t>
            </w:r>
          </w:p>
        </w:tc>
        <w:tc>
          <w:tcPr>
            <w:tcW w:w="822" w:type="pct"/>
            <w:vMerge/>
          </w:tcPr>
          <w:p w:rsidR="009735EA" w:rsidRPr="001D6512" w:rsidRDefault="009735EA" w:rsidP="00C3606E">
            <w:pPr>
              <w:pStyle w:val="TableCell"/>
              <w:spacing w:before="60" w:after="60"/>
              <w:rPr>
                <w:rFonts w:cs="Arial"/>
                <w:szCs w:val="18"/>
              </w:rPr>
            </w:pPr>
          </w:p>
        </w:tc>
      </w:tr>
      <w:tr w:rsidR="009735EA" w:rsidRPr="006A2E12" w:rsidTr="00403124">
        <w:trPr>
          <w:trHeight w:val="288"/>
          <w:jc w:val="center"/>
        </w:trPr>
        <w:tc>
          <w:tcPr>
            <w:tcW w:w="824" w:type="pct"/>
            <w:vMerge w:val="restart"/>
          </w:tcPr>
          <w:p w:rsidR="009735EA" w:rsidRPr="001D6512" w:rsidRDefault="009735EA" w:rsidP="00C3606E">
            <w:pPr>
              <w:pStyle w:val="TableCell"/>
              <w:keepNext w:val="0"/>
              <w:spacing w:before="60" w:after="60"/>
              <w:rPr>
                <w:rFonts w:cs="Arial"/>
                <w:szCs w:val="18"/>
              </w:rPr>
            </w:pPr>
            <w:r w:rsidRPr="001D6512">
              <w:rPr>
                <w:rFonts w:cs="Arial"/>
                <w:szCs w:val="18"/>
              </w:rPr>
              <w:t>Water Cooled Centrifugal Chiller</w:t>
            </w:r>
          </w:p>
        </w:tc>
        <w:tc>
          <w:tcPr>
            <w:tcW w:w="813" w:type="pct"/>
          </w:tcPr>
          <w:p w:rsidR="009735EA" w:rsidRPr="001D6512" w:rsidRDefault="009735EA" w:rsidP="00C3606E">
            <w:pPr>
              <w:pStyle w:val="TableCell"/>
              <w:keepNext w:val="0"/>
              <w:spacing w:before="60" w:after="60"/>
              <w:rPr>
                <w:rFonts w:cs="Arial"/>
                <w:szCs w:val="18"/>
              </w:rPr>
            </w:pPr>
            <w:r w:rsidRPr="001D6512">
              <w:rPr>
                <w:rFonts w:cs="Arial"/>
                <w:szCs w:val="18"/>
              </w:rPr>
              <w:t>&lt;300 tons</w:t>
            </w:r>
          </w:p>
        </w:tc>
        <w:tc>
          <w:tcPr>
            <w:tcW w:w="1270" w:type="pct"/>
          </w:tcPr>
          <w:p w:rsidR="009735EA" w:rsidRPr="001D6512" w:rsidRDefault="009735EA" w:rsidP="00C3606E">
            <w:pPr>
              <w:pStyle w:val="TableCell"/>
              <w:keepNext w:val="0"/>
              <w:spacing w:before="60" w:after="60"/>
              <w:rPr>
                <w:rFonts w:cs="Arial"/>
                <w:szCs w:val="18"/>
              </w:rPr>
            </w:pPr>
            <w:r w:rsidRPr="001D6512">
              <w:rPr>
                <w:rFonts w:cs="Arial"/>
                <w:szCs w:val="18"/>
              </w:rPr>
              <w:t>Full load: 0.634 kW/ton</w:t>
            </w:r>
          </w:p>
          <w:p w:rsidR="00403124" w:rsidRPr="001D6512" w:rsidRDefault="00403124" w:rsidP="00C3606E">
            <w:pPr>
              <w:pStyle w:val="TableCell"/>
              <w:keepNext w:val="0"/>
              <w:spacing w:before="60" w:after="60"/>
              <w:rPr>
                <w:rFonts w:cs="Arial"/>
                <w:szCs w:val="18"/>
              </w:rPr>
            </w:pPr>
            <w:r w:rsidRPr="001D6512">
              <w:rPr>
                <w:rFonts w:cs="Arial"/>
                <w:szCs w:val="18"/>
              </w:rPr>
              <w:t>IPLV: 0.596 kW/ton</w:t>
            </w:r>
          </w:p>
        </w:tc>
        <w:tc>
          <w:tcPr>
            <w:tcW w:w="1271" w:type="pct"/>
          </w:tcPr>
          <w:p w:rsidR="00403124" w:rsidRPr="001D6512" w:rsidRDefault="00403124" w:rsidP="00C3606E">
            <w:pPr>
              <w:pStyle w:val="TableCell"/>
              <w:spacing w:before="60" w:after="60"/>
              <w:rPr>
                <w:rFonts w:cs="Arial"/>
                <w:szCs w:val="18"/>
              </w:rPr>
            </w:pPr>
            <w:r w:rsidRPr="001D6512">
              <w:rPr>
                <w:rFonts w:cs="Arial"/>
                <w:szCs w:val="18"/>
              </w:rPr>
              <w:t>Full load: 0.639 kW/ton</w:t>
            </w:r>
          </w:p>
          <w:p w:rsidR="009735EA" w:rsidRPr="001D6512" w:rsidRDefault="009735EA" w:rsidP="00C3606E">
            <w:pPr>
              <w:pStyle w:val="TableCell"/>
              <w:keepNext w:val="0"/>
              <w:spacing w:before="60" w:after="60"/>
              <w:rPr>
                <w:rFonts w:cs="Arial"/>
                <w:szCs w:val="18"/>
              </w:rPr>
            </w:pPr>
            <w:r w:rsidRPr="001D6512">
              <w:rPr>
                <w:rFonts w:cs="Arial"/>
                <w:szCs w:val="18"/>
              </w:rPr>
              <w:t>IPLV: 0.450 kW/ton</w:t>
            </w:r>
          </w:p>
        </w:tc>
        <w:tc>
          <w:tcPr>
            <w:tcW w:w="822" w:type="pct"/>
            <w:vMerge/>
          </w:tcPr>
          <w:p w:rsidR="009735EA" w:rsidRPr="001D6512" w:rsidRDefault="009735EA" w:rsidP="00C3606E">
            <w:pPr>
              <w:pStyle w:val="TableCell"/>
              <w:keepNext w:val="0"/>
              <w:spacing w:before="60" w:after="60"/>
              <w:rPr>
                <w:rFonts w:cs="Arial"/>
                <w:szCs w:val="18"/>
              </w:rPr>
            </w:pPr>
          </w:p>
        </w:tc>
      </w:tr>
      <w:tr w:rsidR="009735EA" w:rsidRPr="006A2E12" w:rsidTr="00403124">
        <w:trPr>
          <w:trHeight w:val="288"/>
          <w:jc w:val="center"/>
        </w:trPr>
        <w:tc>
          <w:tcPr>
            <w:tcW w:w="824" w:type="pct"/>
            <w:vMerge/>
          </w:tcPr>
          <w:p w:rsidR="009735EA" w:rsidRPr="001D6512" w:rsidRDefault="009735EA" w:rsidP="00C3606E">
            <w:pPr>
              <w:pStyle w:val="TableCell"/>
              <w:keepNext w:val="0"/>
              <w:spacing w:before="60" w:after="60"/>
              <w:rPr>
                <w:rFonts w:cs="Arial"/>
                <w:szCs w:val="18"/>
              </w:rPr>
            </w:pPr>
          </w:p>
        </w:tc>
        <w:tc>
          <w:tcPr>
            <w:tcW w:w="813" w:type="pct"/>
          </w:tcPr>
          <w:p w:rsidR="009735EA" w:rsidRPr="001D6512" w:rsidRDefault="009735EA" w:rsidP="00C3606E">
            <w:pPr>
              <w:pStyle w:val="TableCell"/>
              <w:keepNext w:val="0"/>
              <w:spacing w:before="60" w:after="60"/>
              <w:rPr>
                <w:rFonts w:cs="Arial"/>
                <w:szCs w:val="18"/>
              </w:rPr>
            </w:pPr>
            <w:r w:rsidRPr="001D6512">
              <w:rPr>
                <w:rFonts w:cs="Arial"/>
                <w:szCs w:val="18"/>
              </w:rPr>
              <w:t>&gt;=300 tons and &lt; 600 tons</w:t>
            </w:r>
          </w:p>
        </w:tc>
        <w:tc>
          <w:tcPr>
            <w:tcW w:w="1270" w:type="pct"/>
          </w:tcPr>
          <w:p w:rsidR="009735EA" w:rsidRPr="001D6512" w:rsidRDefault="009735EA" w:rsidP="00C3606E">
            <w:pPr>
              <w:pStyle w:val="TableCell"/>
              <w:keepNext w:val="0"/>
              <w:spacing w:before="60" w:after="60"/>
              <w:rPr>
                <w:rFonts w:cs="Arial"/>
                <w:szCs w:val="18"/>
              </w:rPr>
            </w:pPr>
            <w:r w:rsidRPr="001D6512">
              <w:rPr>
                <w:rFonts w:cs="Arial"/>
                <w:szCs w:val="18"/>
              </w:rPr>
              <w:t>Full load: 0.576 kW/ton</w:t>
            </w:r>
          </w:p>
          <w:p w:rsidR="00403124" w:rsidRPr="001D6512" w:rsidRDefault="00403124" w:rsidP="00C3606E">
            <w:pPr>
              <w:pStyle w:val="TableCell"/>
              <w:keepNext w:val="0"/>
              <w:spacing w:before="60" w:after="60"/>
              <w:rPr>
                <w:rFonts w:cs="Arial"/>
                <w:szCs w:val="18"/>
              </w:rPr>
            </w:pPr>
            <w:r w:rsidRPr="001D6512">
              <w:rPr>
                <w:rFonts w:cs="Arial"/>
                <w:szCs w:val="18"/>
              </w:rPr>
              <w:t>IPLV: 0.549 kW/ton</w:t>
            </w:r>
          </w:p>
        </w:tc>
        <w:tc>
          <w:tcPr>
            <w:tcW w:w="1271" w:type="pct"/>
          </w:tcPr>
          <w:p w:rsidR="00403124" w:rsidRPr="001D6512" w:rsidRDefault="00403124" w:rsidP="00C3606E">
            <w:pPr>
              <w:pStyle w:val="TableCell"/>
              <w:spacing w:before="60" w:after="60"/>
              <w:rPr>
                <w:rFonts w:cs="Arial"/>
                <w:szCs w:val="18"/>
              </w:rPr>
            </w:pPr>
            <w:r w:rsidRPr="001D6512">
              <w:rPr>
                <w:rFonts w:cs="Arial"/>
                <w:szCs w:val="18"/>
              </w:rPr>
              <w:t>Full load: 0.600 kW/ton</w:t>
            </w:r>
          </w:p>
          <w:p w:rsidR="009735EA" w:rsidRPr="001D6512" w:rsidRDefault="009735EA" w:rsidP="00C3606E">
            <w:pPr>
              <w:pStyle w:val="TableCell"/>
              <w:keepNext w:val="0"/>
              <w:spacing w:before="60" w:after="60"/>
              <w:rPr>
                <w:rFonts w:cs="Arial"/>
                <w:szCs w:val="18"/>
              </w:rPr>
            </w:pPr>
            <w:r w:rsidRPr="001D6512">
              <w:rPr>
                <w:rFonts w:cs="Arial"/>
                <w:szCs w:val="18"/>
              </w:rPr>
              <w:t>IPLV: 0.400 kW/ton</w:t>
            </w:r>
          </w:p>
        </w:tc>
        <w:tc>
          <w:tcPr>
            <w:tcW w:w="822" w:type="pct"/>
            <w:vMerge/>
          </w:tcPr>
          <w:p w:rsidR="009735EA" w:rsidRPr="001D6512" w:rsidRDefault="009735EA" w:rsidP="00C3606E">
            <w:pPr>
              <w:pStyle w:val="TableCell"/>
              <w:keepNext w:val="0"/>
              <w:spacing w:before="60" w:after="60"/>
              <w:rPr>
                <w:rFonts w:cs="Arial"/>
                <w:szCs w:val="18"/>
              </w:rPr>
            </w:pPr>
          </w:p>
        </w:tc>
      </w:tr>
      <w:tr w:rsidR="009735EA" w:rsidRPr="006A2E12" w:rsidTr="00403124">
        <w:trPr>
          <w:trHeight w:val="288"/>
          <w:jc w:val="center"/>
        </w:trPr>
        <w:tc>
          <w:tcPr>
            <w:tcW w:w="824" w:type="pct"/>
            <w:vMerge/>
          </w:tcPr>
          <w:p w:rsidR="009735EA" w:rsidRPr="001D6512" w:rsidRDefault="009735EA" w:rsidP="00C3606E">
            <w:pPr>
              <w:pStyle w:val="TableCell"/>
              <w:keepNext w:val="0"/>
              <w:spacing w:before="60" w:after="60"/>
              <w:rPr>
                <w:rFonts w:cs="Arial"/>
                <w:szCs w:val="18"/>
              </w:rPr>
            </w:pPr>
          </w:p>
        </w:tc>
        <w:tc>
          <w:tcPr>
            <w:tcW w:w="813" w:type="pct"/>
          </w:tcPr>
          <w:p w:rsidR="009735EA" w:rsidRPr="001D6512" w:rsidRDefault="009735EA" w:rsidP="00C3606E">
            <w:pPr>
              <w:pStyle w:val="TableCell"/>
              <w:keepNext w:val="0"/>
              <w:spacing w:before="60" w:after="60"/>
              <w:rPr>
                <w:rFonts w:cs="Arial"/>
                <w:szCs w:val="18"/>
              </w:rPr>
            </w:pPr>
            <w:r w:rsidRPr="001D6512">
              <w:rPr>
                <w:rFonts w:cs="Arial"/>
                <w:szCs w:val="18"/>
              </w:rPr>
              <w:t>&gt;=600 tons</w:t>
            </w:r>
          </w:p>
        </w:tc>
        <w:tc>
          <w:tcPr>
            <w:tcW w:w="1270" w:type="pct"/>
          </w:tcPr>
          <w:p w:rsidR="009735EA" w:rsidRPr="001D6512" w:rsidRDefault="009735EA" w:rsidP="00C3606E">
            <w:pPr>
              <w:pStyle w:val="TableCell"/>
              <w:keepNext w:val="0"/>
              <w:spacing w:before="60" w:after="60"/>
              <w:rPr>
                <w:rFonts w:cs="Arial"/>
                <w:szCs w:val="18"/>
              </w:rPr>
            </w:pPr>
            <w:r w:rsidRPr="001D6512">
              <w:rPr>
                <w:rFonts w:cs="Arial"/>
                <w:szCs w:val="18"/>
              </w:rPr>
              <w:t>Full load: 0.570 kW/ton</w:t>
            </w:r>
          </w:p>
          <w:p w:rsidR="00403124" w:rsidRPr="001D6512" w:rsidRDefault="00403124" w:rsidP="0074274E">
            <w:pPr>
              <w:pStyle w:val="TableCell"/>
              <w:keepNext w:val="0"/>
              <w:spacing w:before="60" w:after="60"/>
              <w:rPr>
                <w:rFonts w:cs="Arial"/>
                <w:szCs w:val="18"/>
              </w:rPr>
            </w:pPr>
            <w:r w:rsidRPr="001D6512">
              <w:rPr>
                <w:rFonts w:cs="Arial"/>
                <w:szCs w:val="18"/>
              </w:rPr>
              <w:t>IPLV: 0.</w:t>
            </w:r>
            <w:r w:rsidR="0074274E" w:rsidRPr="001D6512">
              <w:rPr>
                <w:rFonts w:cs="Arial"/>
                <w:szCs w:val="18"/>
              </w:rPr>
              <w:t xml:space="preserve">539 </w:t>
            </w:r>
            <w:r w:rsidRPr="001D6512">
              <w:rPr>
                <w:rFonts w:cs="Arial"/>
                <w:szCs w:val="18"/>
              </w:rPr>
              <w:t>kW/ton</w:t>
            </w:r>
          </w:p>
        </w:tc>
        <w:tc>
          <w:tcPr>
            <w:tcW w:w="1271" w:type="pct"/>
          </w:tcPr>
          <w:p w:rsidR="00403124" w:rsidRPr="001D6512" w:rsidRDefault="00403124" w:rsidP="00C3606E">
            <w:pPr>
              <w:pStyle w:val="TableCell"/>
              <w:spacing w:before="60" w:after="60"/>
              <w:rPr>
                <w:rFonts w:cs="Arial"/>
                <w:szCs w:val="18"/>
              </w:rPr>
            </w:pPr>
            <w:r w:rsidRPr="001D6512">
              <w:rPr>
                <w:rFonts w:cs="Arial"/>
                <w:szCs w:val="18"/>
              </w:rPr>
              <w:t>Full load: 0.590 kW/ton</w:t>
            </w:r>
          </w:p>
          <w:p w:rsidR="009735EA" w:rsidRPr="001D6512" w:rsidRDefault="009735EA" w:rsidP="00C3606E">
            <w:pPr>
              <w:pStyle w:val="TableCell"/>
              <w:keepNext w:val="0"/>
              <w:spacing w:before="60" w:after="60"/>
              <w:rPr>
                <w:rFonts w:cs="Arial"/>
                <w:szCs w:val="18"/>
              </w:rPr>
            </w:pPr>
            <w:r w:rsidRPr="001D6512">
              <w:rPr>
                <w:rFonts w:cs="Arial"/>
                <w:szCs w:val="18"/>
              </w:rPr>
              <w:t>IPLV: 0.400 kW/ton</w:t>
            </w:r>
          </w:p>
        </w:tc>
        <w:tc>
          <w:tcPr>
            <w:tcW w:w="822" w:type="pct"/>
            <w:vMerge/>
          </w:tcPr>
          <w:p w:rsidR="009735EA" w:rsidRPr="001D6512" w:rsidRDefault="009735EA" w:rsidP="00C3606E">
            <w:pPr>
              <w:pStyle w:val="TableCell"/>
              <w:keepNext w:val="0"/>
              <w:spacing w:before="60" w:after="60"/>
              <w:rPr>
                <w:rFonts w:cs="Arial"/>
                <w:szCs w:val="18"/>
              </w:rPr>
            </w:pPr>
          </w:p>
        </w:tc>
      </w:tr>
    </w:tbl>
    <w:p w:rsidR="00376BD1" w:rsidRPr="00A22E85" w:rsidRDefault="00376BD1" w:rsidP="00C3606E">
      <w:pPr>
        <w:spacing w:before="60" w:after="60"/>
      </w:pPr>
    </w:p>
    <w:p w:rsidR="007E213C" w:rsidRDefault="007E213C" w:rsidP="00B20F6B">
      <w:pPr>
        <w:pStyle w:val="Caption"/>
      </w:pPr>
      <w:bookmarkStart w:id="765" w:name="_Ref275549497"/>
      <w:bookmarkStart w:id="766" w:name="_Toc310875577"/>
      <w:r>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25</w:t>
      </w:r>
      <w:r w:rsidR="00274AB1">
        <w:rPr>
          <w:noProof/>
        </w:rPr>
        <w:fldChar w:fldCharType="end"/>
      </w:r>
      <w:bookmarkEnd w:id="765"/>
      <w:r>
        <w:t xml:space="preserve">: </w:t>
      </w:r>
      <w:r w:rsidRPr="007E213C">
        <w:t xml:space="preserve">Chiller </w:t>
      </w:r>
      <w:r w:rsidR="004762A3">
        <w:t xml:space="preserve">Cooling </w:t>
      </w:r>
      <w:r w:rsidRPr="007E213C">
        <w:t xml:space="preserve">EFLH </w:t>
      </w:r>
      <w:r w:rsidR="004762A3">
        <w:t>by Location</w:t>
      </w:r>
      <w:r w:rsidRPr="007E213C">
        <w:rPr>
          <w:vertAlign w:val="superscript"/>
        </w:rPr>
        <w:footnoteReference w:id="168"/>
      </w:r>
      <w:bookmarkEnd w:id="7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9"/>
        <w:gridCol w:w="801"/>
        <w:gridCol w:w="801"/>
        <w:gridCol w:w="801"/>
        <w:gridCol w:w="801"/>
        <w:gridCol w:w="801"/>
        <w:gridCol w:w="801"/>
        <w:gridCol w:w="801"/>
      </w:tblGrid>
      <w:tr w:rsidR="008075FC" w:rsidRPr="00861542" w:rsidTr="008075FC">
        <w:trPr>
          <w:cantSplit/>
          <w:trHeight w:hRule="exact" w:val="1296"/>
          <w:tblHeader/>
        </w:trPr>
        <w:tc>
          <w:tcPr>
            <w:tcW w:w="1835" w:type="pct"/>
            <w:shd w:val="clear" w:color="auto" w:fill="BFBFBF"/>
            <w:vAlign w:val="bottom"/>
          </w:tcPr>
          <w:p w:rsidR="008075FC" w:rsidRPr="001D6512" w:rsidRDefault="008075FC" w:rsidP="00352B77">
            <w:pPr>
              <w:pStyle w:val="TableCell"/>
              <w:spacing w:before="60" w:after="60" w:line="240" w:lineRule="auto"/>
              <w:contextualSpacing/>
              <w:rPr>
                <w:rFonts w:cs="Arial"/>
                <w:b/>
                <w:szCs w:val="18"/>
              </w:rPr>
            </w:pPr>
            <w:r w:rsidRPr="001D6512">
              <w:rPr>
                <w:rFonts w:cs="Arial"/>
                <w:b/>
                <w:szCs w:val="18"/>
              </w:rPr>
              <w:t>Space and/or Building Type</w:t>
            </w:r>
          </w:p>
        </w:tc>
        <w:tc>
          <w:tcPr>
            <w:tcW w:w="452" w:type="pct"/>
            <w:shd w:val="clear" w:color="auto" w:fill="BFBFBF"/>
            <w:textDirection w:val="btLr"/>
            <w:vAlign w:val="center"/>
          </w:tcPr>
          <w:p w:rsidR="008075FC" w:rsidRPr="001D6512" w:rsidRDefault="008075FC" w:rsidP="00352B77">
            <w:pPr>
              <w:pStyle w:val="TableCell"/>
              <w:spacing w:before="60" w:after="60" w:line="240" w:lineRule="auto"/>
              <w:ind w:left="60"/>
              <w:contextualSpacing/>
              <w:rPr>
                <w:rFonts w:cs="Arial"/>
                <w:b/>
                <w:szCs w:val="18"/>
              </w:rPr>
            </w:pPr>
            <w:r w:rsidRPr="001D6512">
              <w:rPr>
                <w:rFonts w:cs="Arial"/>
                <w:b/>
                <w:szCs w:val="18"/>
              </w:rPr>
              <w:t>Allentown</w:t>
            </w:r>
          </w:p>
        </w:tc>
        <w:tc>
          <w:tcPr>
            <w:tcW w:w="452" w:type="pct"/>
            <w:shd w:val="clear" w:color="auto" w:fill="BFBFBF"/>
            <w:textDirection w:val="btLr"/>
            <w:vAlign w:val="center"/>
          </w:tcPr>
          <w:p w:rsidR="008075FC" w:rsidRPr="001D6512" w:rsidRDefault="008075FC" w:rsidP="00352B77">
            <w:pPr>
              <w:pStyle w:val="TableCell"/>
              <w:spacing w:before="60" w:after="60" w:line="240" w:lineRule="auto"/>
              <w:ind w:left="60"/>
              <w:contextualSpacing/>
              <w:rPr>
                <w:rFonts w:cs="Arial"/>
                <w:b/>
                <w:szCs w:val="18"/>
              </w:rPr>
            </w:pPr>
            <w:r w:rsidRPr="001D6512">
              <w:rPr>
                <w:rFonts w:cs="Arial"/>
                <w:b/>
                <w:szCs w:val="18"/>
              </w:rPr>
              <w:t>Erie</w:t>
            </w:r>
          </w:p>
        </w:tc>
        <w:tc>
          <w:tcPr>
            <w:tcW w:w="452" w:type="pct"/>
            <w:shd w:val="clear" w:color="auto" w:fill="BFBFBF"/>
            <w:textDirection w:val="btLr"/>
            <w:vAlign w:val="center"/>
          </w:tcPr>
          <w:p w:rsidR="008075FC" w:rsidRPr="001D6512" w:rsidRDefault="008075FC" w:rsidP="00352B77">
            <w:pPr>
              <w:pStyle w:val="TableCell"/>
              <w:spacing w:before="60" w:after="60" w:line="240" w:lineRule="auto"/>
              <w:ind w:left="60"/>
              <w:contextualSpacing/>
              <w:rPr>
                <w:rFonts w:cs="Arial"/>
                <w:b/>
                <w:szCs w:val="18"/>
              </w:rPr>
            </w:pPr>
            <w:r w:rsidRPr="001D6512">
              <w:rPr>
                <w:rFonts w:cs="Arial"/>
                <w:b/>
                <w:szCs w:val="18"/>
              </w:rPr>
              <w:t>Harrisburg</w:t>
            </w:r>
          </w:p>
        </w:tc>
        <w:tc>
          <w:tcPr>
            <w:tcW w:w="452" w:type="pct"/>
            <w:shd w:val="clear" w:color="auto" w:fill="BFBFBF"/>
            <w:textDirection w:val="btLr"/>
            <w:vAlign w:val="center"/>
          </w:tcPr>
          <w:p w:rsidR="008075FC" w:rsidRPr="001D6512" w:rsidRDefault="008075FC" w:rsidP="00352B77">
            <w:pPr>
              <w:pStyle w:val="TableCell"/>
              <w:spacing w:before="60" w:after="60" w:line="240" w:lineRule="auto"/>
              <w:ind w:left="60"/>
              <w:contextualSpacing/>
              <w:rPr>
                <w:rFonts w:cs="Arial"/>
                <w:b/>
                <w:szCs w:val="18"/>
              </w:rPr>
            </w:pPr>
            <w:r w:rsidRPr="001D6512">
              <w:rPr>
                <w:rFonts w:cs="Arial"/>
                <w:b/>
                <w:szCs w:val="18"/>
              </w:rPr>
              <w:t>Pittsburgh</w:t>
            </w:r>
          </w:p>
        </w:tc>
        <w:tc>
          <w:tcPr>
            <w:tcW w:w="452" w:type="pct"/>
            <w:shd w:val="clear" w:color="auto" w:fill="BFBFBF"/>
            <w:textDirection w:val="btLr"/>
            <w:vAlign w:val="center"/>
          </w:tcPr>
          <w:p w:rsidR="008075FC" w:rsidRPr="001D6512" w:rsidRDefault="008075FC" w:rsidP="00352B77">
            <w:pPr>
              <w:pStyle w:val="TableCell"/>
              <w:spacing w:before="60" w:after="60" w:line="240" w:lineRule="auto"/>
              <w:ind w:left="60"/>
              <w:contextualSpacing/>
              <w:rPr>
                <w:rFonts w:cs="Arial"/>
                <w:b/>
                <w:szCs w:val="18"/>
              </w:rPr>
            </w:pPr>
            <w:r w:rsidRPr="001D6512">
              <w:rPr>
                <w:rFonts w:cs="Arial"/>
                <w:b/>
                <w:szCs w:val="18"/>
              </w:rPr>
              <w:t>Williamsport</w:t>
            </w:r>
          </w:p>
        </w:tc>
        <w:tc>
          <w:tcPr>
            <w:tcW w:w="452" w:type="pct"/>
            <w:shd w:val="clear" w:color="auto" w:fill="BFBFBF"/>
            <w:textDirection w:val="btLr"/>
            <w:vAlign w:val="center"/>
          </w:tcPr>
          <w:p w:rsidR="008075FC" w:rsidRPr="001D6512" w:rsidRDefault="008075FC" w:rsidP="00352B77">
            <w:pPr>
              <w:pStyle w:val="TableCell"/>
              <w:spacing w:before="60" w:after="60" w:line="240" w:lineRule="auto"/>
              <w:ind w:left="60"/>
              <w:contextualSpacing/>
              <w:rPr>
                <w:rFonts w:cs="Arial"/>
                <w:b/>
                <w:szCs w:val="18"/>
              </w:rPr>
            </w:pPr>
            <w:r w:rsidRPr="001D6512">
              <w:rPr>
                <w:rFonts w:cs="Arial"/>
                <w:b/>
                <w:szCs w:val="18"/>
              </w:rPr>
              <w:t>Philadelphia</w:t>
            </w:r>
          </w:p>
        </w:tc>
        <w:tc>
          <w:tcPr>
            <w:tcW w:w="452" w:type="pct"/>
            <w:shd w:val="clear" w:color="auto" w:fill="BFBFBF"/>
            <w:textDirection w:val="btLr"/>
            <w:vAlign w:val="center"/>
          </w:tcPr>
          <w:p w:rsidR="008075FC" w:rsidRPr="001D6512" w:rsidRDefault="008075FC" w:rsidP="00352B77">
            <w:pPr>
              <w:pStyle w:val="TableCell"/>
              <w:spacing w:before="60" w:after="60" w:line="240" w:lineRule="auto"/>
              <w:ind w:left="60"/>
              <w:rPr>
                <w:rFonts w:cs="Arial"/>
                <w:b/>
                <w:szCs w:val="18"/>
              </w:rPr>
            </w:pPr>
            <w:r w:rsidRPr="001D6512">
              <w:rPr>
                <w:rFonts w:cs="Arial"/>
                <w:b/>
                <w:szCs w:val="18"/>
              </w:rPr>
              <w:t>Scranton</w:t>
            </w:r>
          </w:p>
        </w:tc>
      </w:tr>
      <w:tr w:rsidR="008075FC" w:rsidRPr="00861542" w:rsidTr="008075FC">
        <w:trPr>
          <w:trHeight w:val="300"/>
        </w:trPr>
        <w:tc>
          <w:tcPr>
            <w:tcW w:w="1835" w:type="pct"/>
            <w:noWrap/>
          </w:tcPr>
          <w:p w:rsidR="008075FC" w:rsidRPr="001D6512" w:rsidRDefault="008075FC" w:rsidP="00352B77">
            <w:pPr>
              <w:pStyle w:val="TableCell"/>
              <w:spacing w:before="60" w:after="60" w:line="240" w:lineRule="auto"/>
              <w:rPr>
                <w:rFonts w:cs="Arial"/>
                <w:color w:val="000000"/>
                <w:szCs w:val="18"/>
              </w:rPr>
            </w:pPr>
            <w:r w:rsidRPr="001D6512">
              <w:rPr>
                <w:rFonts w:cs="Arial"/>
                <w:color w:val="000000"/>
                <w:szCs w:val="18"/>
              </w:rPr>
              <w:t>Arena/Auditorium/Convention Center</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602</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332</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640</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508</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454</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711</w:t>
            </w:r>
          </w:p>
        </w:tc>
        <w:tc>
          <w:tcPr>
            <w:tcW w:w="452" w:type="pct"/>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428</w:t>
            </w:r>
          </w:p>
        </w:tc>
      </w:tr>
      <w:tr w:rsidR="008075FC" w:rsidRPr="00861542" w:rsidTr="008075FC">
        <w:trPr>
          <w:trHeight w:val="300"/>
        </w:trPr>
        <w:tc>
          <w:tcPr>
            <w:tcW w:w="1835" w:type="pct"/>
            <w:noWrap/>
          </w:tcPr>
          <w:p w:rsidR="008075FC" w:rsidRPr="001D6512" w:rsidRDefault="008075FC" w:rsidP="00352B77">
            <w:pPr>
              <w:pStyle w:val="TableCell"/>
              <w:spacing w:before="60" w:after="60" w:line="240" w:lineRule="auto"/>
              <w:rPr>
                <w:rFonts w:cs="Arial"/>
                <w:color w:val="000000"/>
                <w:szCs w:val="18"/>
              </w:rPr>
            </w:pPr>
            <w:r w:rsidRPr="001D6512">
              <w:rPr>
                <w:rFonts w:cs="Arial"/>
                <w:color w:val="000000"/>
                <w:szCs w:val="18"/>
              </w:rPr>
              <w:t>College: Classes/Administrative</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690</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380</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733</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582</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520</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815</w:t>
            </w:r>
          </w:p>
        </w:tc>
        <w:tc>
          <w:tcPr>
            <w:tcW w:w="452" w:type="pct"/>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490</w:t>
            </w:r>
          </w:p>
        </w:tc>
      </w:tr>
      <w:tr w:rsidR="008075FC" w:rsidRPr="00861542" w:rsidTr="008075FC">
        <w:trPr>
          <w:trHeight w:val="300"/>
        </w:trPr>
        <w:tc>
          <w:tcPr>
            <w:tcW w:w="1835" w:type="pct"/>
            <w:noWrap/>
          </w:tcPr>
          <w:p w:rsidR="008075FC" w:rsidRPr="001D6512" w:rsidRDefault="008075FC" w:rsidP="00352B77">
            <w:pPr>
              <w:pStyle w:val="TableCell"/>
              <w:spacing w:before="60" w:after="60" w:line="240" w:lineRule="auto"/>
              <w:rPr>
                <w:rFonts w:cs="Arial"/>
                <w:color w:val="000000"/>
                <w:szCs w:val="18"/>
              </w:rPr>
            </w:pPr>
            <w:r w:rsidRPr="001D6512">
              <w:rPr>
                <w:rFonts w:cs="Arial"/>
                <w:color w:val="000000"/>
                <w:szCs w:val="18"/>
              </w:rPr>
              <w:t>Convenience Stores</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1,216</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671</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1,293</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1,026</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917</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1,436</w:t>
            </w:r>
          </w:p>
        </w:tc>
        <w:tc>
          <w:tcPr>
            <w:tcW w:w="452" w:type="pct"/>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864</w:t>
            </w:r>
          </w:p>
        </w:tc>
      </w:tr>
      <w:tr w:rsidR="008075FC" w:rsidRPr="00861542" w:rsidTr="008075FC">
        <w:trPr>
          <w:trHeight w:val="300"/>
        </w:trPr>
        <w:tc>
          <w:tcPr>
            <w:tcW w:w="1835" w:type="pct"/>
            <w:noWrap/>
          </w:tcPr>
          <w:p w:rsidR="008075FC" w:rsidRPr="001D6512" w:rsidRDefault="008075FC" w:rsidP="00352B77">
            <w:pPr>
              <w:pStyle w:val="TableCell"/>
              <w:spacing w:before="60" w:after="60" w:line="240" w:lineRule="auto"/>
              <w:rPr>
                <w:rFonts w:cs="Arial"/>
                <w:color w:val="000000"/>
                <w:szCs w:val="18"/>
              </w:rPr>
            </w:pPr>
            <w:r w:rsidRPr="001D6512">
              <w:rPr>
                <w:rFonts w:cs="Arial"/>
                <w:color w:val="000000"/>
                <w:szCs w:val="18"/>
              </w:rPr>
              <w:t>Dining: Bar Lounge/Leisure</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912</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503</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969</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769</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688</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1,077</w:t>
            </w:r>
          </w:p>
        </w:tc>
        <w:tc>
          <w:tcPr>
            <w:tcW w:w="452" w:type="pct"/>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648</w:t>
            </w:r>
          </w:p>
        </w:tc>
      </w:tr>
      <w:tr w:rsidR="008075FC" w:rsidRPr="00861542" w:rsidTr="008075FC">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Dining: Cafeteria / Fast Food</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1,227</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677</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1,304</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1,035</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925</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1,449</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872</w:t>
            </w:r>
          </w:p>
        </w:tc>
      </w:tr>
      <w:tr w:rsidR="008075FC" w:rsidRPr="00861542" w:rsidTr="008075FC">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Dining: Restaurants</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912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503</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969</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769</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688</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1,077</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648</w:t>
            </w:r>
          </w:p>
        </w:tc>
      </w:tr>
      <w:tr w:rsidR="008075FC" w:rsidRPr="00861542" w:rsidTr="008075FC">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Gymnasium/Performing Arts Theatre</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690</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380</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733</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582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520</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815</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490</w:t>
            </w:r>
          </w:p>
        </w:tc>
      </w:tr>
      <w:tr w:rsidR="008075FC" w:rsidRPr="00861542" w:rsidTr="008075FC">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Hospitals/Health care</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1,396</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770</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1,483</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1,177</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1,052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1,648</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992</w:t>
            </w:r>
          </w:p>
        </w:tc>
      </w:tr>
      <w:tr w:rsidR="008075FC" w:rsidRPr="00861542" w:rsidTr="008075FC">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Lodging: Hotels/Motels/Dormitories</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756</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418</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805</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638</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571</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894</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538</w:t>
            </w:r>
          </w:p>
        </w:tc>
      </w:tr>
      <w:tr w:rsidR="008075FC" w:rsidRPr="00861542" w:rsidTr="008075FC">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Lodging: Residential</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757</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418</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805</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638</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571</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894</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538</w:t>
            </w:r>
          </w:p>
        </w:tc>
      </w:tr>
      <w:tr w:rsidR="008075FC" w:rsidRPr="00861542" w:rsidTr="008075FC">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Multi-Family (Common Areas)</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1,395</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769</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1,482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1,176</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1,052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1,647</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991</w:t>
            </w:r>
          </w:p>
        </w:tc>
      </w:tr>
      <w:tr w:rsidR="008075FC" w:rsidRPr="00861542" w:rsidTr="008075FC">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Museum/Library</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851</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469</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905</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718</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642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1,005</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605</w:t>
            </w:r>
          </w:p>
        </w:tc>
      </w:tr>
      <w:tr w:rsidR="008075FC" w:rsidRPr="00861542" w:rsidTr="008075FC">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Nursing Homes</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1,141</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630</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1,213</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963</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861</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1,348</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811</w:t>
            </w:r>
          </w:p>
        </w:tc>
      </w:tr>
      <w:tr w:rsidR="008075FC" w:rsidRPr="00861542" w:rsidTr="008075FC">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Office: General/Retail</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851</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469</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905</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718</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642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1,005</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605</w:t>
            </w:r>
          </w:p>
        </w:tc>
      </w:tr>
      <w:tr w:rsidR="008075FC" w:rsidRPr="00861542" w:rsidTr="008075FC">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Office: Medical/Banks</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851</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469</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905</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718</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642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1,005</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605</w:t>
            </w:r>
          </w:p>
        </w:tc>
      </w:tr>
      <w:tr w:rsidR="008075FC" w:rsidRPr="00861542" w:rsidTr="008075FC">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Parking Garages &amp; Lots</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938</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517</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997</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791</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707</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1,107</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666</w:t>
            </w:r>
          </w:p>
        </w:tc>
      </w:tr>
      <w:tr w:rsidR="008075FC" w:rsidRPr="00861542" w:rsidTr="008075FC">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Penitentiary</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1,091</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602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1,160</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920</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823</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1,289</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775</w:t>
            </w:r>
          </w:p>
        </w:tc>
      </w:tr>
      <w:tr w:rsidR="008075FC" w:rsidRPr="00861542" w:rsidTr="008075FC">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Police/Fire Stations (24 Hr)</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1,395</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769</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1,482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1,176</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1,052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1,647</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991</w:t>
            </w:r>
          </w:p>
        </w:tc>
      </w:tr>
      <w:tr w:rsidR="008075FC" w:rsidRPr="00861542" w:rsidTr="008075FC">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Post Office/Town Hall/Court House</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851</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469</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905</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718</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642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1,005</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605</w:t>
            </w:r>
          </w:p>
        </w:tc>
      </w:tr>
      <w:tr w:rsidR="008075FC" w:rsidRPr="00861542" w:rsidTr="008075FC">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Religious Buildings/Church</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602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332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640</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508</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454</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711</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428</w:t>
            </w:r>
          </w:p>
        </w:tc>
      </w:tr>
      <w:tr w:rsidR="008075FC" w:rsidRPr="00861542" w:rsidTr="008075FC">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Retail</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894</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493</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950</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754</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674</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1,055</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635</w:t>
            </w:r>
          </w:p>
        </w:tc>
      </w:tr>
      <w:tr w:rsidR="008075FC" w:rsidRPr="00861542" w:rsidTr="008075FC">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Schools/University</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634</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350</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674</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535</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478</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749</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451</w:t>
            </w:r>
          </w:p>
        </w:tc>
      </w:tr>
      <w:tr w:rsidR="008075FC" w:rsidRPr="00861542" w:rsidTr="008075FC">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Warehouses (Not Refrigerated)</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692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382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735</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583</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522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817</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492</w:t>
            </w:r>
          </w:p>
        </w:tc>
      </w:tr>
      <w:tr w:rsidR="008075FC" w:rsidRPr="00861542" w:rsidTr="008075FC">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Warehouses (Refrigerated)</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692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382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735</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583</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522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817</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492</w:t>
            </w:r>
          </w:p>
        </w:tc>
      </w:tr>
      <w:tr w:rsidR="008075FC" w:rsidRPr="00861542" w:rsidTr="008075FC">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Waste Water Treatment Plant</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1,265</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1,473</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1,204</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1,208</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1,270</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1,182</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1,285</w:t>
            </w:r>
          </w:p>
        </w:tc>
      </w:tr>
    </w:tbl>
    <w:p w:rsidR="00A22E85" w:rsidRDefault="00A22E85" w:rsidP="00C3606E">
      <w:pPr>
        <w:spacing w:after="0"/>
        <w:rPr>
          <w:strike/>
        </w:rPr>
      </w:pPr>
    </w:p>
    <w:p w:rsidR="00EC46F4" w:rsidRDefault="00EC46F4" w:rsidP="00C3606E">
      <w:pPr>
        <w:overflowPunct/>
        <w:autoSpaceDE/>
        <w:autoSpaceDN/>
        <w:adjustRightInd/>
        <w:spacing w:after="0" w:line="240" w:lineRule="auto"/>
        <w:textAlignment w:val="auto"/>
        <w:rPr>
          <w:rFonts w:cs="Arial"/>
          <w:b/>
          <w:bCs/>
          <w:iCs/>
          <w:sz w:val="24"/>
          <w:szCs w:val="28"/>
        </w:rPr>
      </w:pPr>
      <w:bookmarkStart w:id="767" w:name="_Toc274913548"/>
      <w:bookmarkStart w:id="768" w:name="_Toc275507428"/>
      <w:bookmarkStart w:id="769" w:name="_Toc275514443"/>
      <w:bookmarkStart w:id="770" w:name="_Toc275521461"/>
      <w:bookmarkStart w:id="771" w:name="_Toc275528478"/>
      <w:bookmarkStart w:id="772" w:name="_Toc275535494"/>
      <w:bookmarkStart w:id="773" w:name="_Toc275542531"/>
      <w:bookmarkEnd w:id="767"/>
      <w:bookmarkEnd w:id="768"/>
      <w:bookmarkEnd w:id="769"/>
      <w:bookmarkEnd w:id="770"/>
      <w:bookmarkEnd w:id="771"/>
      <w:bookmarkEnd w:id="772"/>
      <w:bookmarkEnd w:id="773"/>
    </w:p>
    <w:p w:rsidR="001669F2" w:rsidRDefault="00AA7749" w:rsidP="00E568D4">
      <w:pPr>
        <w:pStyle w:val="Heading2"/>
      </w:pPr>
      <w:bookmarkStart w:id="774" w:name="_Toc275549564"/>
      <w:bookmarkStart w:id="775" w:name="_Toc275848313"/>
      <w:bookmarkStart w:id="776" w:name="_Toc275857186"/>
      <w:bookmarkStart w:id="777" w:name="_Toc275864204"/>
      <w:bookmarkStart w:id="778" w:name="_Toc275867075"/>
      <w:bookmarkStart w:id="779" w:name="_Toc275867567"/>
      <w:bookmarkStart w:id="780" w:name="_Toc275878817"/>
      <w:bookmarkStart w:id="781" w:name="_Toc275902956"/>
      <w:bookmarkStart w:id="782" w:name="_Toc275942730"/>
      <w:bookmarkStart w:id="783" w:name="_Toc275943013"/>
      <w:bookmarkStart w:id="784" w:name="_Toc275943396"/>
      <w:bookmarkStart w:id="785" w:name="_Toc276630918"/>
      <w:bookmarkStart w:id="786" w:name="_Toc276631137"/>
      <w:bookmarkStart w:id="787" w:name="_Toc276631361"/>
      <w:bookmarkStart w:id="788" w:name="_Toc276631580"/>
      <w:bookmarkStart w:id="789" w:name="_Toc283146779"/>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r>
        <w:br w:type="page"/>
      </w:r>
      <w:bookmarkStart w:id="790" w:name="_Toc283154098"/>
      <w:bookmarkStart w:id="791" w:name="_Toc283154262"/>
      <w:bookmarkStart w:id="792" w:name="_Toc283716011"/>
      <w:bookmarkStart w:id="793" w:name="_Toc283719146"/>
      <w:bookmarkStart w:id="794" w:name="_Toc283719322"/>
      <w:bookmarkStart w:id="795" w:name="_Toc283719498"/>
      <w:bookmarkStart w:id="796" w:name="_Toc283739094"/>
      <w:bookmarkStart w:id="797" w:name="_Toc283739446"/>
      <w:bookmarkStart w:id="798" w:name="_Toc283739797"/>
      <w:bookmarkStart w:id="799" w:name="_Toc283740141"/>
      <w:bookmarkStart w:id="800" w:name="_Toc283740482"/>
      <w:bookmarkStart w:id="801" w:name="_Toc283740815"/>
      <w:bookmarkStart w:id="802" w:name="_Toc283741144"/>
      <w:bookmarkStart w:id="803" w:name="_Toc283741467"/>
      <w:bookmarkStart w:id="804" w:name="_Toc283741777"/>
      <w:bookmarkStart w:id="805" w:name="_Toc283742086"/>
      <w:bookmarkStart w:id="806" w:name="_Toc283742327"/>
      <w:bookmarkStart w:id="807" w:name="_Toc283742580"/>
      <w:bookmarkStart w:id="808" w:name="_Toc283742841"/>
      <w:bookmarkStart w:id="809" w:name="_Toc283743065"/>
      <w:bookmarkStart w:id="810" w:name="_Toc283743242"/>
      <w:bookmarkStart w:id="811" w:name="_Toc283743418"/>
      <w:bookmarkStart w:id="812" w:name="_Toc283743595"/>
      <w:bookmarkStart w:id="813" w:name="_Toc283743771"/>
      <w:bookmarkStart w:id="814" w:name="_Toc310875447"/>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r w:rsidR="001669F2" w:rsidRPr="001669F2">
        <w:lastRenderedPageBreak/>
        <w:t>Anti</w:t>
      </w:r>
      <w:r w:rsidR="001669F2" w:rsidRPr="00B60E51">
        <w:t>-</w:t>
      </w:r>
      <w:r w:rsidR="001669F2">
        <w:t>S</w:t>
      </w:r>
      <w:r w:rsidR="001669F2" w:rsidRPr="00B60E51">
        <w:t xml:space="preserve">weat </w:t>
      </w:r>
      <w:r w:rsidR="001669F2">
        <w:t>H</w:t>
      </w:r>
      <w:r w:rsidR="001669F2" w:rsidRPr="00B60E51">
        <w:t xml:space="preserve">eater </w:t>
      </w:r>
      <w:r w:rsidR="001669F2" w:rsidRPr="001669F2">
        <w:t>Controls</w:t>
      </w:r>
      <w:bookmarkEnd w:id="814"/>
    </w:p>
    <w:p w:rsidR="001669F2" w:rsidRPr="001669F2" w:rsidRDefault="001669F2" w:rsidP="001669F2">
      <w:pPr>
        <w:pStyle w:val="BodyText"/>
      </w:pPr>
      <w:r w:rsidRPr="001669F2">
        <w:t xml:space="preserve">Anti-sweat heater (ASH) controls sense the humidity in the store outside of reach-in, glass door refrigerated cases and turn off anti-sweat heaters during periods of low humidity. Without controls, anti-sweat heaters run continuously whether they are necessary or not. Savings are realized from the reduction in energy used by not having the heaters running at all times. In addition, secondary savings result from reduced cooling load on the refrigeration unit when the heaters are off. The ASH control is applicable to glass doors with heaters, and the savings given below are based on adding controls to doors with uncontrolled heaters. The savings calculated from these algorithms is on a per door basis for two temperatures: Refrigerator/Coolers and Freezers.  A default value to be used when the case service temperature is unknown is also calculated. Furthermore, impacts are calculated for both a per-door and a per-linear-feet of case unit basis, because both are used for </w:t>
      </w:r>
      <w:smartTag w:uri="urn:schemas-microsoft-com:office:smarttags" w:element="State">
        <w:smartTag w:uri="urn:schemas-microsoft-com:office:smarttags" w:element="place">
          <w:r w:rsidRPr="001669F2">
            <w:t>Pennsylvania</w:t>
          </w:r>
        </w:smartTag>
      </w:smartTag>
      <w:r w:rsidRPr="001669F2">
        <w:t xml:space="preserve"> energy efficiency programs.</w:t>
      </w:r>
    </w:p>
    <w:p w:rsidR="001669F2" w:rsidRDefault="001669F2" w:rsidP="00871FA2">
      <w:pPr>
        <w:pStyle w:val="Heading3"/>
      </w:pPr>
      <w:r>
        <w:t>Algorithms</w:t>
      </w:r>
    </w:p>
    <w:p w:rsidR="001669F2" w:rsidRDefault="001669F2" w:rsidP="00E568D4">
      <w:pPr>
        <w:pStyle w:val="Heading4"/>
      </w:pPr>
      <w:r>
        <w:t>Refrigerator/Cooler</w:t>
      </w:r>
    </w:p>
    <w:p w:rsidR="001669F2" w:rsidRPr="005021BC" w:rsidRDefault="00A90B19" w:rsidP="00F7332F">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vertAlign w:val="subscript"/>
        </w:rPr>
        <w:t>per unit</w:t>
      </w:r>
      <w:r w:rsidRPr="005021BC">
        <w:rPr>
          <w:rFonts w:cs="Arial"/>
          <w:szCs w:val="20"/>
        </w:rPr>
        <w:tab/>
      </w:r>
      <w:r w:rsidR="001669F2" w:rsidRPr="005021BC">
        <w:rPr>
          <w:rFonts w:cs="Arial"/>
          <w:szCs w:val="20"/>
        </w:rPr>
        <w:t>= (kW</w:t>
      </w:r>
      <w:r w:rsidR="001669F2" w:rsidRPr="005021BC">
        <w:rPr>
          <w:rFonts w:cs="Arial"/>
          <w:szCs w:val="20"/>
          <w:vertAlign w:val="subscript"/>
        </w:rPr>
        <w:t>CoolerBase</w:t>
      </w:r>
      <w:r w:rsidR="001669F2" w:rsidRPr="005021BC">
        <w:rPr>
          <w:rFonts w:cs="Arial"/>
          <w:szCs w:val="20"/>
        </w:rPr>
        <w:t xml:space="preserve"> / DoorFt) * (8,760 * CHA</w:t>
      </w:r>
      <w:r w:rsidR="001669F2" w:rsidRPr="005021BC">
        <w:rPr>
          <w:rFonts w:cs="Arial"/>
          <w:szCs w:val="20"/>
          <w:vertAlign w:val="subscript"/>
        </w:rPr>
        <w:t>off</w:t>
      </w:r>
      <w:r w:rsidR="001669F2" w:rsidRPr="005021BC">
        <w:rPr>
          <w:rFonts w:cs="Arial"/>
          <w:szCs w:val="20"/>
        </w:rPr>
        <w:t xml:space="preserve"> ) * (1+R</w:t>
      </w:r>
      <w:r w:rsidR="001669F2" w:rsidRPr="005021BC">
        <w:rPr>
          <w:rFonts w:cs="Arial"/>
          <w:szCs w:val="20"/>
          <w:vertAlign w:val="subscript"/>
        </w:rPr>
        <w:t>H</w:t>
      </w:r>
      <w:r w:rsidR="001669F2" w:rsidRPr="005021BC">
        <w:rPr>
          <w:rFonts w:cs="Arial"/>
          <w:szCs w:val="20"/>
        </w:rPr>
        <w:t>/COP</w:t>
      </w:r>
      <w:r w:rsidR="001669F2" w:rsidRPr="005021BC">
        <w:rPr>
          <w:rFonts w:cs="Arial"/>
          <w:szCs w:val="20"/>
          <w:vertAlign w:val="subscript"/>
        </w:rPr>
        <w:t>Cool</w:t>
      </w:r>
      <w:r w:rsidR="001669F2" w:rsidRPr="005021BC">
        <w:rPr>
          <w:rFonts w:cs="Arial"/>
          <w:szCs w:val="20"/>
        </w:rPr>
        <w:t xml:space="preserve">)  </w:t>
      </w:r>
    </w:p>
    <w:p w:rsidR="001669F2" w:rsidRPr="005021BC" w:rsidRDefault="00A90B19" w:rsidP="00F7332F">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Pr>
          <w:rFonts w:cs="Arial"/>
          <w:szCs w:val="20"/>
        </w:rPr>
        <w:tab/>
        <w:t xml:space="preserve"> </w:t>
      </w:r>
      <w:r w:rsidRPr="005021BC">
        <w:rPr>
          <w:rFonts w:cs="Arial"/>
          <w:szCs w:val="20"/>
          <w:vertAlign w:val="subscript"/>
        </w:rPr>
        <w:t>per unit</w:t>
      </w:r>
      <w:r w:rsidRPr="005021BC">
        <w:rPr>
          <w:rFonts w:cs="Arial"/>
          <w:szCs w:val="20"/>
        </w:rPr>
        <w:tab/>
      </w:r>
      <w:r w:rsidR="001669F2" w:rsidRPr="005021BC">
        <w:rPr>
          <w:rFonts w:cs="Arial"/>
          <w:szCs w:val="20"/>
        </w:rPr>
        <w:t>= (kW</w:t>
      </w:r>
      <w:r w:rsidR="001669F2" w:rsidRPr="005021BC">
        <w:rPr>
          <w:rFonts w:cs="Arial"/>
          <w:szCs w:val="20"/>
          <w:vertAlign w:val="subscript"/>
        </w:rPr>
        <w:t>CoolerBase</w:t>
      </w:r>
      <w:r w:rsidR="001669F2" w:rsidRPr="005021BC">
        <w:rPr>
          <w:rFonts w:cs="Arial"/>
          <w:szCs w:val="20"/>
        </w:rPr>
        <w:t xml:space="preserve"> / DoorFt) * CHP</w:t>
      </w:r>
      <w:r w:rsidR="001669F2" w:rsidRPr="005021BC">
        <w:rPr>
          <w:rFonts w:cs="Arial"/>
          <w:szCs w:val="20"/>
          <w:vertAlign w:val="subscript"/>
        </w:rPr>
        <w:t>off</w:t>
      </w:r>
      <w:r w:rsidR="001669F2" w:rsidRPr="005021BC">
        <w:rPr>
          <w:rFonts w:cs="Arial"/>
          <w:szCs w:val="20"/>
        </w:rPr>
        <w:t xml:space="preserve">  * (1+R</w:t>
      </w:r>
      <w:r w:rsidR="001669F2" w:rsidRPr="005021BC">
        <w:rPr>
          <w:rFonts w:cs="Arial"/>
          <w:szCs w:val="20"/>
          <w:vertAlign w:val="subscript"/>
        </w:rPr>
        <w:t>H</w:t>
      </w:r>
      <w:r w:rsidR="001669F2" w:rsidRPr="005021BC">
        <w:rPr>
          <w:rFonts w:cs="Arial"/>
          <w:szCs w:val="20"/>
        </w:rPr>
        <w:t>/COP</w:t>
      </w:r>
      <w:r w:rsidR="001669F2" w:rsidRPr="005021BC">
        <w:rPr>
          <w:rFonts w:cs="Arial"/>
          <w:szCs w:val="20"/>
          <w:vertAlign w:val="subscript"/>
        </w:rPr>
        <w:t>Cool</w:t>
      </w:r>
      <w:r w:rsidR="001669F2" w:rsidRPr="005021BC">
        <w:rPr>
          <w:rFonts w:cs="Arial"/>
          <w:szCs w:val="20"/>
        </w:rPr>
        <w:t xml:space="preserve">) * DF </w:t>
      </w:r>
    </w:p>
    <w:p w:rsidR="001669F2" w:rsidRPr="005021BC" w:rsidRDefault="00A90B19" w:rsidP="00F7332F">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rPr>
        <w:tab/>
      </w:r>
      <w:r w:rsidR="001669F2" w:rsidRPr="005021BC">
        <w:rPr>
          <w:rFonts w:cs="Arial"/>
          <w:szCs w:val="20"/>
        </w:rPr>
        <w:t xml:space="preserve"> </w:t>
      </w:r>
      <w:r w:rsidR="00211842" w:rsidRPr="005021BC">
        <w:rPr>
          <w:rFonts w:cs="Arial"/>
          <w:szCs w:val="20"/>
        </w:rPr>
        <w:tab/>
      </w:r>
      <w:r w:rsidR="001669F2" w:rsidRPr="005021BC">
        <w:rPr>
          <w:rFonts w:cs="Arial"/>
          <w:szCs w:val="20"/>
        </w:rPr>
        <w:t xml:space="preserve">= N * </w:t>
      </w:r>
      <w:r w:rsidR="00B0005F" w:rsidRPr="005021BC">
        <w:rPr>
          <w:rFonts w:cs="Arial"/>
          <w:szCs w:val="20"/>
        </w:rPr>
        <w:sym w:font="Symbol" w:char="F044"/>
      </w:r>
      <w:r w:rsidR="00B0005F" w:rsidRPr="005021BC">
        <w:rPr>
          <w:rFonts w:cs="Arial"/>
          <w:szCs w:val="20"/>
        </w:rPr>
        <w:t>kWh</w:t>
      </w:r>
      <w:r w:rsidR="00B0005F" w:rsidRPr="005021BC">
        <w:rPr>
          <w:rFonts w:cs="Arial"/>
          <w:szCs w:val="20"/>
          <w:vertAlign w:val="subscript"/>
        </w:rPr>
        <w:t>per unit</w:t>
      </w:r>
    </w:p>
    <w:p w:rsidR="001669F2" w:rsidRDefault="00A90B19" w:rsidP="00F7332F">
      <w:pPr>
        <w:pStyle w:val="Equation"/>
        <w:rPr>
          <w:rFonts w:cs="Arial"/>
          <w:b/>
          <w:bCs/>
          <w:sz w:val="26"/>
          <w:szCs w:val="26"/>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Pr>
          <w:rFonts w:cs="Arial"/>
          <w:szCs w:val="20"/>
        </w:rPr>
        <w:tab/>
      </w:r>
      <w:r w:rsidRPr="005021BC">
        <w:rPr>
          <w:rFonts w:cs="Arial"/>
          <w:szCs w:val="20"/>
        </w:rPr>
        <w:tab/>
      </w:r>
      <w:r w:rsidR="001669F2" w:rsidRPr="005021BC">
        <w:rPr>
          <w:rFonts w:cs="Arial"/>
          <w:szCs w:val="20"/>
        </w:rPr>
        <w:t xml:space="preserve">= N * </w:t>
      </w:r>
      <w:r w:rsidR="00B0005F" w:rsidRPr="005021BC">
        <w:rPr>
          <w:rFonts w:cs="Arial"/>
          <w:szCs w:val="20"/>
        </w:rPr>
        <w:sym w:font="Symbol" w:char="F044"/>
      </w:r>
      <w:r w:rsidR="00B0005F" w:rsidRPr="005021BC">
        <w:rPr>
          <w:rFonts w:cs="Arial"/>
          <w:szCs w:val="20"/>
        </w:rPr>
        <w:t>kW</w:t>
      </w:r>
      <w:r w:rsidR="00B0005F" w:rsidRPr="005021BC">
        <w:rPr>
          <w:rFonts w:cs="Arial"/>
          <w:szCs w:val="20"/>
          <w:vertAlign w:val="subscript"/>
        </w:rPr>
        <w:t>peak</w:t>
      </w:r>
      <w:r w:rsidR="00B0005F" w:rsidRPr="005021BC">
        <w:rPr>
          <w:rFonts w:cs="Arial"/>
          <w:szCs w:val="20"/>
        </w:rPr>
        <w:t xml:space="preserve"> </w:t>
      </w:r>
      <w:r w:rsidR="00B0005F" w:rsidRPr="005021BC">
        <w:rPr>
          <w:rFonts w:cs="Arial"/>
          <w:szCs w:val="20"/>
          <w:vertAlign w:val="subscript"/>
        </w:rPr>
        <w:t>per unit</w:t>
      </w:r>
    </w:p>
    <w:p w:rsidR="001669F2" w:rsidRPr="001669F2" w:rsidRDefault="001669F2" w:rsidP="00E568D4">
      <w:pPr>
        <w:pStyle w:val="Heading4"/>
      </w:pPr>
      <w:r>
        <w:t>Freezer</w:t>
      </w:r>
    </w:p>
    <w:p w:rsidR="001669F2" w:rsidRPr="005021BC" w:rsidRDefault="00A90B19" w:rsidP="00F7332F">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vertAlign w:val="subscript"/>
        </w:rPr>
        <w:t>per unit</w:t>
      </w:r>
      <w:r w:rsidRPr="005021BC">
        <w:rPr>
          <w:rFonts w:cs="Arial"/>
          <w:szCs w:val="20"/>
        </w:rPr>
        <w:tab/>
      </w:r>
      <w:r w:rsidR="001669F2" w:rsidRPr="005021BC">
        <w:rPr>
          <w:rFonts w:cs="Arial"/>
          <w:szCs w:val="20"/>
        </w:rPr>
        <w:t>= (kW</w:t>
      </w:r>
      <w:r w:rsidR="001669F2" w:rsidRPr="005021BC">
        <w:rPr>
          <w:rFonts w:cs="Arial"/>
          <w:szCs w:val="20"/>
          <w:vertAlign w:val="subscript"/>
        </w:rPr>
        <w:t>FreezerBase</w:t>
      </w:r>
      <w:r w:rsidR="001669F2" w:rsidRPr="005021BC">
        <w:rPr>
          <w:rFonts w:cs="Arial"/>
          <w:szCs w:val="20"/>
        </w:rPr>
        <w:t xml:space="preserve"> / DoorFt) * (8,760 * FHA</w:t>
      </w:r>
      <w:r w:rsidR="001669F2" w:rsidRPr="005021BC">
        <w:rPr>
          <w:rFonts w:cs="Arial"/>
          <w:szCs w:val="20"/>
          <w:vertAlign w:val="subscript"/>
        </w:rPr>
        <w:t>off</w:t>
      </w:r>
      <w:r w:rsidR="001669F2" w:rsidRPr="005021BC">
        <w:rPr>
          <w:rFonts w:cs="Arial"/>
          <w:szCs w:val="20"/>
        </w:rPr>
        <w:t>)  * (1+R</w:t>
      </w:r>
      <w:r w:rsidR="001669F2" w:rsidRPr="005021BC">
        <w:rPr>
          <w:rFonts w:cs="Arial"/>
          <w:szCs w:val="20"/>
          <w:vertAlign w:val="subscript"/>
        </w:rPr>
        <w:t>H</w:t>
      </w:r>
      <w:r w:rsidR="001669F2" w:rsidRPr="005021BC">
        <w:rPr>
          <w:rFonts w:cs="Arial"/>
          <w:szCs w:val="20"/>
        </w:rPr>
        <w:t>/COP</w:t>
      </w:r>
      <w:r w:rsidR="001669F2" w:rsidRPr="005021BC">
        <w:rPr>
          <w:rFonts w:cs="Arial"/>
          <w:szCs w:val="20"/>
          <w:vertAlign w:val="subscript"/>
        </w:rPr>
        <w:t>Freeze</w:t>
      </w:r>
      <w:r w:rsidR="001669F2" w:rsidRPr="005021BC">
        <w:rPr>
          <w:rFonts w:cs="Arial"/>
          <w:szCs w:val="20"/>
        </w:rPr>
        <w:t xml:space="preserve">)  </w:t>
      </w:r>
    </w:p>
    <w:p w:rsidR="001669F2" w:rsidRPr="005021BC" w:rsidRDefault="00A90B19" w:rsidP="00F7332F">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Pr>
          <w:rFonts w:cs="Arial"/>
          <w:szCs w:val="20"/>
        </w:rPr>
        <w:tab/>
        <w:t xml:space="preserve"> </w:t>
      </w:r>
      <w:r w:rsidRPr="005021BC">
        <w:rPr>
          <w:rFonts w:cs="Arial"/>
          <w:szCs w:val="20"/>
          <w:vertAlign w:val="subscript"/>
        </w:rPr>
        <w:t>per unit</w:t>
      </w:r>
      <w:r w:rsidRPr="005021BC">
        <w:rPr>
          <w:rFonts w:cs="Arial"/>
          <w:szCs w:val="20"/>
        </w:rPr>
        <w:tab/>
      </w:r>
      <w:r w:rsidR="001669F2" w:rsidRPr="005021BC">
        <w:rPr>
          <w:rFonts w:cs="Arial"/>
          <w:szCs w:val="20"/>
        </w:rPr>
        <w:t>= (kW</w:t>
      </w:r>
      <w:r w:rsidR="001669F2" w:rsidRPr="005021BC">
        <w:rPr>
          <w:rFonts w:cs="Arial"/>
          <w:szCs w:val="20"/>
          <w:vertAlign w:val="subscript"/>
        </w:rPr>
        <w:t>FreezerBase</w:t>
      </w:r>
      <w:r w:rsidR="001669F2" w:rsidRPr="005021BC">
        <w:rPr>
          <w:rFonts w:cs="Arial"/>
          <w:szCs w:val="20"/>
        </w:rPr>
        <w:t xml:space="preserve"> / DoorFt) * FHP</w:t>
      </w:r>
      <w:r w:rsidR="001669F2" w:rsidRPr="005021BC">
        <w:rPr>
          <w:rFonts w:cs="Arial"/>
          <w:szCs w:val="20"/>
          <w:vertAlign w:val="subscript"/>
        </w:rPr>
        <w:t>off</w:t>
      </w:r>
      <w:r w:rsidR="001669F2" w:rsidRPr="005021BC">
        <w:rPr>
          <w:rFonts w:cs="Arial"/>
          <w:szCs w:val="20"/>
        </w:rPr>
        <w:t xml:space="preserve">  * (1+R</w:t>
      </w:r>
      <w:r w:rsidR="001669F2" w:rsidRPr="005021BC">
        <w:rPr>
          <w:rFonts w:cs="Arial"/>
          <w:szCs w:val="20"/>
          <w:vertAlign w:val="subscript"/>
        </w:rPr>
        <w:t>H</w:t>
      </w:r>
      <w:r w:rsidR="001669F2" w:rsidRPr="005021BC">
        <w:rPr>
          <w:rFonts w:cs="Arial"/>
          <w:szCs w:val="20"/>
        </w:rPr>
        <w:t>/COP</w:t>
      </w:r>
      <w:r w:rsidR="001669F2" w:rsidRPr="005021BC">
        <w:rPr>
          <w:rFonts w:cs="Arial"/>
          <w:szCs w:val="20"/>
          <w:vertAlign w:val="subscript"/>
        </w:rPr>
        <w:t>Freeze</w:t>
      </w:r>
      <w:r w:rsidR="001669F2" w:rsidRPr="005021BC">
        <w:rPr>
          <w:rFonts w:cs="Arial"/>
          <w:szCs w:val="20"/>
        </w:rPr>
        <w:t xml:space="preserve">) * DF </w:t>
      </w:r>
    </w:p>
    <w:p w:rsidR="001669F2" w:rsidRPr="005021BC" w:rsidRDefault="00A90B19" w:rsidP="00F7332F">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rPr>
        <w:tab/>
      </w:r>
      <w:r w:rsidR="00211842" w:rsidRPr="005021BC">
        <w:rPr>
          <w:rFonts w:cs="Arial"/>
          <w:szCs w:val="20"/>
        </w:rPr>
        <w:tab/>
      </w:r>
      <w:r w:rsidR="001669F2" w:rsidRPr="005021BC">
        <w:rPr>
          <w:rFonts w:cs="Arial"/>
          <w:szCs w:val="20"/>
        </w:rPr>
        <w:t xml:space="preserve">= N * </w:t>
      </w:r>
      <w:r w:rsidR="00B0005F" w:rsidRPr="005021BC">
        <w:rPr>
          <w:rFonts w:cs="Arial"/>
          <w:szCs w:val="20"/>
        </w:rPr>
        <w:sym w:font="Symbol" w:char="F044"/>
      </w:r>
      <w:r w:rsidR="00B0005F" w:rsidRPr="005021BC">
        <w:rPr>
          <w:rFonts w:cs="Arial"/>
          <w:szCs w:val="20"/>
        </w:rPr>
        <w:t>kWh</w:t>
      </w:r>
      <w:r w:rsidR="00B0005F" w:rsidRPr="005021BC">
        <w:rPr>
          <w:rFonts w:cs="Arial"/>
          <w:szCs w:val="20"/>
          <w:vertAlign w:val="subscript"/>
        </w:rPr>
        <w:t>per unit</w:t>
      </w:r>
    </w:p>
    <w:p w:rsidR="001669F2" w:rsidRDefault="00A90B19" w:rsidP="00F7332F">
      <w:pPr>
        <w:pStyle w:val="Equation"/>
        <w:rPr>
          <w:rFonts w:cs="Arial"/>
          <w:b/>
          <w:bCs/>
          <w:sz w:val="26"/>
          <w:szCs w:val="26"/>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Pr>
          <w:rFonts w:cs="Arial"/>
          <w:szCs w:val="20"/>
        </w:rPr>
        <w:tab/>
      </w:r>
      <w:r w:rsidRPr="005021BC">
        <w:rPr>
          <w:rFonts w:cs="Arial"/>
          <w:szCs w:val="20"/>
        </w:rPr>
        <w:tab/>
      </w:r>
      <w:r w:rsidR="001669F2" w:rsidRPr="005021BC">
        <w:rPr>
          <w:rFonts w:cs="Arial"/>
          <w:szCs w:val="20"/>
        </w:rPr>
        <w:t xml:space="preserve">= N * </w:t>
      </w:r>
      <w:r w:rsidR="00B0005F" w:rsidRPr="005021BC">
        <w:rPr>
          <w:rFonts w:cs="Arial"/>
          <w:szCs w:val="20"/>
        </w:rPr>
        <w:sym w:font="Symbol" w:char="F044"/>
      </w:r>
      <w:r w:rsidR="00B0005F" w:rsidRPr="005021BC">
        <w:rPr>
          <w:rFonts w:cs="Arial"/>
          <w:szCs w:val="20"/>
        </w:rPr>
        <w:t>kW</w:t>
      </w:r>
      <w:r w:rsidR="00B0005F" w:rsidRPr="005021BC">
        <w:rPr>
          <w:rFonts w:cs="Arial"/>
          <w:szCs w:val="20"/>
          <w:vertAlign w:val="subscript"/>
        </w:rPr>
        <w:t>peak</w:t>
      </w:r>
      <w:r w:rsidR="00B0005F" w:rsidRPr="005021BC">
        <w:rPr>
          <w:rFonts w:cs="Arial"/>
          <w:szCs w:val="20"/>
        </w:rPr>
        <w:t xml:space="preserve"> </w:t>
      </w:r>
      <w:r w:rsidR="00B0005F" w:rsidRPr="005021BC">
        <w:rPr>
          <w:rFonts w:cs="Arial"/>
          <w:szCs w:val="20"/>
          <w:vertAlign w:val="subscript"/>
        </w:rPr>
        <w:t>per unit</w:t>
      </w:r>
    </w:p>
    <w:p w:rsidR="001669F2" w:rsidRDefault="001669F2" w:rsidP="00E568D4">
      <w:pPr>
        <w:pStyle w:val="Heading4"/>
      </w:pPr>
      <w:r>
        <w:t>Default (case service temperature is unknown)</w:t>
      </w:r>
    </w:p>
    <w:p w:rsidR="001669F2" w:rsidRPr="005021BC" w:rsidRDefault="001669F2" w:rsidP="00A90B19">
      <w:pPr>
        <w:pStyle w:val="indent4"/>
        <w:ind w:left="0"/>
        <w:rPr>
          <w:rFonts w:ascii="Arial" w:hAnsi="Arial" w:cs="Arial"/>
          <w:sz w:val="20"/>
          <w:szCs w:val="20"/>
        </w:rPr>
      </w:pPr>
      <w:r w:rsidRPr="005021BC">
        <w:rPr>
          <w:rFonts w:ascii="Arial" w:hAnsi="Arial" w:cs="Arial"/>
          <w:sz w:val="20"/>
          <w:szCs w:val="20"/>
        </w:rPr>
        <w:t>This algorithm should only be used when the refrigerated case type or service temperature is unknown or this information is not tracked as part of the EDC data collection.</w:t>
      </w:r>
    </w:p>
    <w:p w:rsidR="001669F2" w:rsidRPr="005021BC" w:rsidRDefault="00A90B19" w:rsidP="00F7332F">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vertAlign w:val="subscript"/>
        </w:rPr>
        <w:t>per unit</w:t>
      </w:r>
      <w:r w:rsidR="001669F2" w:rsidRPr="005021BC">
        <w:rPr>
          <w:rFonts w:cs="Arial"/>
          <w:szCs w:val="20"/>
        </w:rPr>
        <w:t xml:space="preserve"> </w:t>
      </w:r>
      <w:r w:rsidR="00211842" w:rsidRPr="005021BC">
        <w:rPr>
          <w:rFonts w:cs="Arial"/>
          <w:szCs w:val="20"/>
        </w:rPr>
        <w:tab/>
      </w:r>
      <w:r w:rsidR="001669F2" w:rsidRPr="005021BC">
        <w:rPr>
          <w:rFonts w:cs="Arial"/>
          <w:szCs w:val="20"/>
        </w:rPr>
        <w:t>= {(1-PctCooler) * kWh</w:t>
      </w:r>
      <w:r w:rsidR="001669F2" w:rsidRPr="005021BC">
        <w:rPr>
          <w:rFonts w:cs="Arial"/>
          <w:szCs w:val="20"/>
          <w:vertAlign w:val="subscript"/>
        </w:rPr>
        <w:t>Freezer</w:t>
      </w:r>
      <w:r w:rsidR="001669F2" w:rsidRPr="005021BC">
        <w:rPr>
          <w:rFonts w:cs="Arial"/>
          <w:szCs w:val="20"/>
        </w:rPr>
        <w:t>/ DoorFt + PctCooler*kWh</w:t>
      </w:r>
      <w:r w:rsidR="001669F2" w:rsidRPr="005021BC">
        <w:rPr>
          <w:rFonts w:cs="Arial"/>
          <w:szCs w:val="20"/>
          <w:vertAlign w:val="subscript"/>
        </w:rPr>
        <w:t>Cooler</w:t>
      </w:r>
      <w:r w:rsidR="001669F2" w:rsidRPr="005021BC">
        <w:rPr>
          <w:rFonts w:cs="Arial"/>
          <w:szCs w:val="20"/>
        </w:rPr>
        <w:t>/ DoorFt }</w:t>
      </w:r>
    </w:p>
    <w:p w:rsidR="001669F2" w:rsidRPr="005021BC" w:rsidRDefault="00A90B19" w:rsidP="00F7332F">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Pr>
          <w:rFonts w:cs="Arial"/>
          <w:szCs w:val="20"/>
        </w:rPr>
        <w:tab/>
        <w:t xml:space="preserve"> </w:t>
      </w:r>
      <w:r w:rsidRPr="005021BC">
        <w:rPr>
          <w:rFonts w:cs="Arial"/>
          <w:szCs w:val="20"/>
          <w:vertAlign w:val="subscript"/>
        </w:rPr>
        <w:t>per unit</w:t>
      </w:r>
      <w:r w:rsidRPr="005021BC">
        <w:rPr>
          <w:rFonts w:cs="Arial"/>
          <w:szCs w:val="20"/>
        </w:rPr>
        <w:tab/>
      </w:r>
      <w:r w:rsidR="001669F2" w:rsidRPr="005021BC">
        <w:rPr>
          <w:rFonts w:cs="Arial"/>
          <w:szCs w:val="20"/>
        </w:rPr>
        <w:t>= {(1- PctCooler) * kW</w:t>
      </w:r>
      <w:r w:rsidR="001669F2" w:rsidRPr="005021BC">
        <w:rPr>
          <w:rFonts w:cs="Arial"/>
          <w:szCs w:val="20"/>
          <w:vertAlign w:val="subscript"/>
        </w:rPr>
        <w:t>Freezer</w:t>
      </w:r>
      <w:r w:rsidR="001669F2" w:rsidRPr="005021BC">
        <w:rPr>
          <w:rFonts w:cs="Arial"/>
          <w:szCs w:val="20"/>
        </w:rPr>
        <w:t>/ DoorFt + PctCooler *kW</w:t>
      </w:r>
      <w:r w:rsidR="001669F2" w:rsidRPr="005021BC">
        <w:rPr>
          <w:rFonts w:cs="Arial"/>
          <w:szCs w:val="20"/>
          <w:vertAlign w:val="subscript"/>
        </w:rPr>
        <w:t>Cooler</w:t>
      </w:r>
      <w:r w:rsidR="001669F2" w:rsidRPr="005021BC">
        <w:rPr>
          <w:rFonts w:cs="Arial"/>
          <w:szCs w:val="20"/>
        </w:rPr>
        <w:t>/ DoorFt }</w:t>
      </w:r>
    </w:p>
    <w:p w:rsidR="001669F2" w:rsidRPr="005021BC" w:rsidRDefault="00A90B19" w:rsidP="00F7332F">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rPr>
        <w:tab/>
      </w:r>
      <w:r w:rsidR="001669F2" w:rsidRPr="005021BC">
        <w:rPr>
          <w:rFonts w:cs="Arial"/>
          <w:szCs w:val="20"/>
        </w:rPr>
        <w:t xml:space="preserve"> </w:t>
      </w:r>
      <w:r w:rsidR="00211842" w:rsidRPr="005021BC">
        <w:rPr>
          <w:rFonts w:cs="Arial"/>
          <w:szCs w:val="20"/>
        </w:rPr>
        <w:tab/>
      </w:r>
      <w:r w:rsidR="001669F2" w:rsidRPr="005021BC">
        <w:rPr>
          <w:rFonts w:cs="Arial"/>
          <w:szCs w:val="20"/>
        </w:rPr>
        <w:t xml:space="preserve">= N * </w:t>
      </w:r>
      <w:r w:rsidR="00B0005F" w:rsidRPr="005021BC">
        <w:rPr>
          <w:rFonts w:cs="Arial"/>
          <w:szCs w:val="20"/>
        </w:rPr>
        <w:sym w:font="Symbol" w:char="F044"/>
      </w:r>
      <w:r w:rsidR="00B0005F" w:rsidRPr="005021BC">
        <w:rPr>
          <w:rFonts w:cs="Arial"/>
          <w:szCs w:val="20"/>
        </w:rPr>
        <w:t>kWh</w:t>
      </w:r>
      <w:r w:rsidR="00B0005F" w:rsidRPr="005021BC">
        <w:rPr>
          <w:rFonts w:cs="Arial"/>
          <w:szCs w:val="20"/>
          <w:vertAlign w:val="subscript"/>
        </w:rPr>
        <w:t>per unit</w:t>
      </w:r>
    </w:p>
    <w:p w:rsidR="001669F2" w:rsidRDefault="00A90B19" w:rsidP="00F7332F">
      <w:pPr>
        <w:pStyle w:val="Equation"/>
        <w:rPr>
          <w:rFonts w:cs="Arial"/>
          <w:b/>
          <w:bCs/>
          <w:sz w:val="26"/>
          <w:szCs w:val="26"/>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Pr>
          <w:rFonts w:cs="Arial"/>
          <w:szCs w:val="20"/>
        </w:rPr>
        <w:tab/>
      </w:r>
      <w:r w:rsidRPr="005021BC">
        <w:rPr>
          <w:rFonts w:cs="Arial"/>
          <w:szCs w:val="20"/>
        </w:rPr>
        <w:tab/>
      </w:r>
      <w:r w:rsidR="001669F2" w:rsidRPr="005021BC">
        <w:rPr>
          <w:rFonts w:cs="Arial"/>
          <w:szCs w:val="20"/>
        </w:rPr>
        <w:t xml:space="preserve">= N * </w:t>
      </w:r>
      <w:r w:rsidR="00B0005F" w:rsidRPr="005021BC">
        <w:rPr>
          <w:rFonts w:cs="Arial"/>
          <w:szCs w:val="20"/>
        </w:rPr>
        <w:sym w:font="Symbol" w:char="F044"/>
      </w:r>
      <w:r w:rsidR="00B0005F" w:rsidRPr="005021BC">
        <w:rPr>
          <w:rFonts w:cs="Arial"/>
          <w:szCs w:val="20"/>
        </w:rPr>
        <w:t>kW</w:t>
      </w:r>
      <w:r w:rsidR="00B0005F" w:rsidRPr="005021BC">
        <w:rPr>
          <w:rFonts w:cs="Arial"/>
          <w:szCs w:val="20"/>
          <w:vertAlign w:val="subscript"/>
        </w:rPr>
        <w:t>peak</w:t>
      </w:r>
      <w:r w:rsidR="00B0005F" w:rsidRPr="005021BC">
        <w:rPr>
          <w:rFonts w:cs="Arial"/>
          <w:szCs w:val="20"/>
        </w:rPr>
        <w:t xml:space="preserve"> </w:t>
      </w:r>
      <w:r w:rsidR="00B0005F" w:rsidRPr="005021BC">
        <w:rPr>
          <w:rFonts w:cs="Arial"/>
          <w:szCs w:val="20"/>
          <w:vertAlign w:val="subscript"/>
        </w:rPr>
        <w:t>per unit</w:t>
      </w:r>
    </w:p>
    <w:p w:rsidR="001669F2" w:rsidRDefault="001669F2" w:rsidP="00871FA2">
      <w:pPr>
        <w:pStyle w:val="Heading3"/>
      </w:pPr>
      <w:r>
        <w:lastRenderedPageBreak/>
        <w:t>Definition of Terms</w:t>
      </w:r>
    </w:p>
    <w:p w:rsidR="001669F2" w:rsidRPr="005021BC" w:rsidRDefault="00211842" w:rsidP="00211842">
      <w:pPr>
        <w:pStyle w:val="Equation"/>
        <w:rPr>
          <w:rFonts w:cs="Arial"/>
          <w:szCs w:val="20"/>
        </w:rPr>
      </w:pPr>
      <w:r w:rsidRPr="005021BC">
        <w:rPr>
          <w:rFonts w:cs="Arial"/>
          <w:szCs w:val="20"/>
        </w:rPr>
        <w:tab/>
      </w:r>
      <w:r w:rsidR="001669F2" w:rsidRPr="005021BC">
        <w:rPr>
          <w:rFonts w:cs="Arial"/>
          <w:szCs w:val="20"/>
        </w:rPr>
        <w:t xml:space="preserve">N </w:t>
      </w:r>
      <w:r w:rsidRPr="005021BC">
        <w:rPr>
          <w:rFonts w:cs="Arial"/>
          <w:szCs w:val="20"/>
        </w:rPr>
        <w:tab/>
      </w:r>
      <w:r w:rsidR="001669F2" w:rsidRPr="005021BC">
        <w:rPr>
          <w:rFonts w:cs="Arial"/>
          <w:szCs w:val="20"/>
        </w:rPr>
        <w:t>= Number of doors or case length in linear feet having ASH controls installed</w:t>
      </w:r>
    </w:p>
    <w:p w:rsidR="001669F2" w:rsidRPr="005021BC" w:rsidRDefault="00211842" w:rsidP="00211842">
      <w:pPr>
        <w:pStyle w:val="Equation"/>
        <w:rPr>
          <w:rFonts w:cs="Arial"/>
          <w:szCs w:val="20"/>
        </w:rPr>
      </w:pPr>
      <w:r w:rsidRPr="005021BC">
        <w:rPr>
          <w:rFonts w:cs="Arial"/>
          <w:szCs w:val="20"/>
        </w:rPr>
        <w:tab/>
      </w:r>
      <w:r w:rsidR="001669F2" w:rsidRPr="005021BC">
        <w:rPr>
          <w:rFonts w:cs="Arial"/>
          <w:szCs w:val="20"/>
        </w:rPr>
        <w:t>kW</w:t>
      </w:r>
      <w:r w:rsidR="001669F2" w:rsidRPr="005021BC">
        <w:rPr>
          <w:rFonts w:cs="Arial"/>
          <w:szCs w:val="20"/>
          <w:vertAlign w:val="subscript"/>
        </w:rPr>
        <w:t>CoolerBase</w:t>
      </w:r>
      <w:r w:rsidR="001669F2" w:rsidRPr="005021BC">
        <w:rPr>
          <w:rFonts w:cs="Arial"/>
          <w:szCs w:val="20"/>
        </w:rPr>
        <w:t xml:space="preserve"> </w:t>
      </w:r>
      <w:r w:rsidRPr="005021BC">
        <w:rPr>
          <w:rFonts w:cs="Arial"/>
          <w:szCs w:val="20"/>
        </w:rPr>
        <w:tab/>
      </w:r>
      <w:r w:rsidR="001669F2" w:rsidRPr="005021BC">
        <w:rPr>
          <w:rFonts w:cs="Arial"/>
          <w:szCs w:val="20"/>
        </w:rPr>
        <w:t>= Per door power consumption (kW) of cooler case ASHs without controls</w:t>
      </w:r>
    </w:p>
    <w:p w:rsidR="001669F2" w:rsidRPr="005021BC" w:rsidRDefault="00211842" w:rsidP="00211842">
      <w:pPr>
        <w:pStyle w:val="Equation"/>
        <w:rPr>
          <w:rFonts w:cs="Arial"/>
          <w:szCs w:val="20"/>
        </w:rPr>
      </w:pPr>
      <w:r w:rsidRPr="005021BC">
        <w:rPr>
          <w:rFonts w:cs="Arial"/>
          <w:szCs w:val="20"/>
        </w:rPr>
        <w:tab/>
      </w:r>
      <w:r w:rsidR="001669F2" w:rsidRPr="005021BC">
        <w:rPr>
          <w:rFonts w:cs="Arial"/>
          <w:szCs w:val="20"/>
        </w:rPr>
        <w:t>kW</w:t>
      </w:r>
      <w:r w:rsidR="001669F2" w:rsidRPr="005021BC">
        <w:rPr>
          <w:rFonts w:cs="Arial"/>
          <w:szCs w:val="20"/>
          <w:vertAlign w:val="subscript"/>
        </w:rPr>
        <w:t xml:space="preserve">FreezerBase </w:t>
      </w:r>
      <w:r w:rsidRPr="005021BC">
        <w:rPr>
          <w:rFonts w:cs="Arial"/>
          <w:szCs w:val="20"/>
          <w:vertAlign w:val="subscript"/>
        </w:rPr>
        <w:tab/>
      </w:r>
      <w:r w:rsidR="001669F2" w:rsidRPr="005021BC">
        <w:rPr>
          <w:rFonts w:cs="Arial"/>
          <w:szCs w:val="20"/>
        </w:rPr>
        <w:t>= Per door power consumption (kW) of freezer case ASHs without controls</w:t>
      </w:r>
    </w:p>
    <w:p w:rsidR="001669F2" w:rsidRPr="005021BC" w:rsidRDefault="00211842" w:rsidP="00211842">
      <w:pPr>
        <w:pStyle w:val="Equation"/>
        <w:rPr>
          <w:rFonts w:cs="Arial"/>
          <w:szCs w:val="20"/>
        </w:rPr>
      </w:pPr>
      <w:r w:rsidRPr="005021BC">
        <w:rPr>
          <w:rFonts w:cs="Arial"/>
          <w:szCs w:val="20"/>
        </w:rPr>
        <w:tab/>
      </w:r>
      <w:r w:rsidR="001669F2" w:rsidRPr="005021BC">
        <w:rPr>
          <w:rFonts w:cs="Arial"/>
          <w:szCs w:val="20"/>
        </w:rPr>
        <w:t>8760</w:t>
      </w:r>
      <w:r w:rsidR="001669F2" w:rsidRPr="005021BC">
        <w:rPr>
          <w:rFonts w:cs="Arial"/>
          <w:szCs w:val="20"/>
          <w:vertAlign w:val="subscript"/>
        </w:rPr>
        <w:t xml:space="preserve"> </w:t>
      </w:r>
      <w:r w:rsidRPr="005021BC">
        <w:rPr>
          <w:rFonts w:cs="Arial"/>
          <w:szCs w:val="20"/>
          <w:vertAlign w:val="subscript"/>
        </w:rPr>
        <w:tab/>
      </w:r>
      <w:r w:rsidR="001669F2" w:rsidRPr="005021BC">
        <w:rPr>
          <w:rFonts w:cs="Arial"/>
          <w:szCs w:val="20"/>
        </w:rPr>
        <w:t>= Operating hours (365 days * 24 hr/day)</w:t>
      </w:r>
    </w:p>
    <w:p w:rsidR="001669F2" w:rsidRPr="005021BC" w:rsidRDefault="00211842" w:rsidP="00211842">
      <w:pPr>
        <w:pStyle w:val="Equation"/>
        <w:rPr>
          <w:rFonts w:cs="Arial"/>
          <w:szCs w:val="20"/>
        </w:rPr>
      </w:pPr>
      <w:r w:rsidRPr="005021BC">
        <w:rPr>
          <w:rFonts w:cs="Arial"/>
          <w:szCs w:val="20"/>
        </w:rPr>
        <w:tab/>
      </w:r>
      <w:r w:rsidR="001669F2" w:rsidRPr="005021BC">
        <w:rPr>
          <w:rFonts w:cs="Arial"/>
          <w:szCs w:val="20"/>
        </w:rPr>
        <w:t>CHP</w:t>
      </w:r>
      <w:r w:rsidR="001669F2" w:rsidRPr="005021BC">
        <w:rPr>
          <w:rFonts w:cs="Arial"/>
          <w:szCs w:val="20"/>
          <w:vertAlign w:val="subscript"/>
        </w:rPr>
        <w:t>off</w:t>
      </w:r>
      <w:r w:rsidR="001669F2" w:rsidRPr="005021BC">
        <w:rPr>
          <w:rFonts w:cs="Arial"/>
          <w:szCs w:val="20"/>
        </w:rPr>
        <w:t xml:space="preserve"> </w:t>
      </w:r>
      <w:r w:rsidRPr="005021BC">
        <w:rPr>
          <w:rFonts w:cs="Arial"/>
          <w:szCs w:val="20"/>
        </w:rPr>
        <w:tab/>
      </w:r>
      <w:r w:rsidR="001669F2" w:rsidRPr="005021BC">
        <w:rPr>
          <w:rFonts w:cs="Arial"/>
          <w:szCs w:val="20"/>
        </w:rPr>
        <w:t>= Percent of time cooler case ASH with controls will be off during the peak period</w:t>
      </w:r>
    </w:p>
    <w:p w:rsidR="001669F2" w:rsidRPr="005021BC" w:rsidRDefault="00211842" w:rsidP="00211842">
      <w:pPr>
        <w:pStyle w:val="Equation"/>
        <w:rPr>
          <w:rFonts w:cs="Arial"/>
          <w:szCs w:val="20"/>
        </w:rPr>
      </w:pPr>
      <w:r w:rsidRPr="005021BC">
        <w:rPr>
          <w:rFonts w:cs="Arial"/>
          <w:szCs w:val="20"/>
        </w:rPr>
        <w:tab/>
      </w:r>
      <w:r w:rsidR="001669F2" w:rsidRPr="005021BC">
        <w:rPr>
          <w:rFonts w:cs="Arial"/>
          <w:szCs w:val="20"/>
        </w:rPr>
        <w:t>CHA</w:t>
      </w:r>
      <w:r w:rsidR="001669F2" w:rsidRPr="005021BC">
        <w:rPr>
          <w:rFonts w:cs="Arial"/>
          <w:szCs w:val="20"/>
          <w:vertAlign w:val="subscript"/>
        </w:rPr>
        <w:t>off</w:t>
      </w:r>
      <w:r w:rsidR="001669F2" w:rsidRPr="005021BC">
        <w:rPr>
          <w:rFonts w:cs="Arial"/>
          <w:szCs w:val="20"/>
        </w:rPr>
        <w:t xml:space="preserve"> </w:t>
      </w:r>
      <w:r w:rsidRPr="005021BC">
        <w:rPr>
          <w:rFonts w:cs="Arial"/>
          <w:szCs w:val="20"/>
        </w:rPr>
        <w:tab/>
      </w:r>
      <w:r w:rsidR="001669F2" w:rsidRPr="005021BC">
        <w:rPr>
          <w:rFonts w:cs="Arial"/>
          <w:szCs w:val="20"/>
        </w:rPr>
        <w:t>= Percent of time cooler case ASH with controls will be off annually</w:t>
      </w:r>
    </w:p>
    <w:p w:rsidR="001669F2" w:rsidRPr="005021BC" w:rsidRDefault="00211842" w:rsidP="00211842">
      <w:pPr>
        <w:pStyle w:val="Equation"/>
        <w:rPr>
          <w:rFonts w:cs="Arial"/>
          <w:szCs w:val="20"/>
        </w:rPr>
      </w:pPr>
      <w:r w:rsidRPr="005021BC">
        <w:rPr>
          <w:rFonts w:cs="Arial"/>
          <w:szCs w:val="20"/>
        </w:rPr>
        <w:tab/>
      </w:r>
      <w:r w:rsidR="001669F2" w:rsidRPr="005021BC">
        <w:rPr>
          <w:rFonts w:cs="Arial"/>
          <w:szCs w:val="20"/>
        </w:rPr>
        <w:t>FHP</w:t>
      </w:r>
      <w:r w:rsidR="001669F2" w:rsidRPr="005021BC">
        <w:rPr>
          <w:rFonts w:cs="Arial"/>
          <w:szCs w:val="20"/>
          <w:vertAlign w:val="subscript"/>
        </w:rPr>
        <w:t>off</w:t>
      </w:r>
      <w:r w:rsidR="001669F2" w:rsidRPr="005021BC">
        <w:rPr>
          <w:rFonts w:cs="Arial"/>
          <w:szCs w:val="20"/>
        </w:rPr>
        <w:t xml:space="preserve"> </w:t>
      </w:r>
      <w:r w:rsidRPr="005021BC">
        <w:rPr>
          <w:rFonts w:cs="Arial"/>
          <w:szCs w:val="20"/>
        </w:rPr>
        <w:tab/>
      </w:r>
      <w:r w:rsidR="001669F2" w:rsidRPr="005021BC">
        <w:rPr>
          <w:rFonts w:cs="Arial"/>
          <w:szCs w:val="20"/>
        </w:rPr>
        <w:t>= Percent of time freezer case ASH with controls will be off during the peak period</w:t>
      </w:r>
    </w:p>
    <w:p w:rsidR="001669F2" w:rsidRPr="005021BC" w:rsidRDefault="00211842" w:rsidP="00211842">
      <w:pPr>
        <w:pStyle w:val="Equation"/>
        <w:rPr>
          <w:rFonts w:cs="Arial"/>
          <w:szCs w:val="20"/>
        </w:rPr>
      </w:pPr>
      <w:r w:rsidRPr="005021BC">
        <w:rPr>
          <w:rFonts w:cs="Arial"/>
          <w:szCs w:val="20"/>
        </w:rPr>
        <w:tab/>
      </w:r>
      <w:r w:rsidR="001669F2" w:rsidRPr="005021BC">
        <w:rPr>
          <w:rFonts w:cs="Arial"/>
          <w:szCs w:val="20"/>
        </w:rPr>
        <w:t>FHA</w:t>
      </w:r>
      <w:r w:rsidR="001669F2" w:rsidRPr="005021BC">
        <w:rPr>
          <w:rFonts w:cs="Arial"/>
          <w:szCs w:val="20"/>
          <w:vertAlign w:val="subscript"/>
        </w:rPr>
        <w:t>off</w:t>
      </w:r>
      <w:r w:rsidR="001669F2" w:rsidRPr="005021BC">
        <w:rPr>
          <w:rFonts w:cs="Arial"/>
          <w:szCs w:val="20"/>
        </w:rPr>
        <w:t xml:space="preserve"> </w:t>
      </w:r>
      <w:r w:rsidRPr="005021BC">
        <w:rPr>
          <w:rFonts w:cs="Arial"/>
          <w:szCs w:val="20"/>
        </w:rPr>
        <w:tab/>
      </w:r>
      <w:r w:rsidR="001669F2" w:rsidRPr="005021BC">
        <w:rPr>
          <w:rFonts w:cs="Arial"/>
          <w:szCs w:val="20"/>
        </w:rPr>
        <w:t>= Percent of time freezer case ASH with controls will be off annually</w:t>
      </w:r>
    </w:p>
    <w:p w:rsidR="001669F2" w:rsidRPr="005021BC" w:rsidRDefault="00211842" w:rsidP="00211842">
      <w:pPr>
        <w:pStyle w:val="Equation"/>
        <w:rPr>
          <w:rFonts w:cs="Arial"/>
          <w:szCs w:val="20"/>
        </w:rPr>
      </w:pPr>
      <w:r w:rsidRPr="005021BC">
        <w:rPr>
          <w:rFonts w:cs="Arial"/>
          <w:szCs w:val="20"/>
        </w:rPr>
        <w:tab/>
      </w:r>
      <w:r w:rsidR="001669F2" w:rsidRPr="005021BC">
        <w:rPr>
          <w:rFonts w:cs="Arial"/>
          <w:szCs w:val="20"/>
        </w:rPr>
        <w:t xml:space="preserve">DF </w:t>
      </w:r>
      <w:r w:rsidRPr="005021BC">
        <w:rPr>
          <w:rFonts w:cs="Arial"/>
          <w:szCs w:val="20"/>
        </w:rPr>
        <w:tab/>
      </w:r>
      <w:r w:rsidR="001669F2" w:rsidRPr="005021BC">
        <w:rPr>
          <w:rFonts w:cs="Arial"/>
          <w:szCs w:val="20"/>
        </w:rPr>
        <w:t>= Demand diversity factor, accounting for the fact that not all anti-sweat heaters in all buildings in the population are operating at the same time.</w:t>
      </w:r>
    </w:p>
    <w:p w:rsidR="001669F2" w:rsidRPr="005021BC" w:rsidRDefault="00211842" w:rsidP="00211842">
      <w:pPr>
        <w:pStyle w:val="Equation"/>
        <w:rPr>
          <w:rFonts w:cs="Arial"/>
          <w:szCs w:val="20"/>
        </w:rPr>
      </w:pPr>
      <w:r w:rsidRPr="005021BC">
        <w:rPr>
          <w:rFonts w:cs="Arial"/>
          <w:szCs w:val="20"/>
        </w:rPr>
        <w:tab/>
      </w:r>
      <w:r w:rsidR="001669F2" w:rsidRPr="005021BC">
        <w:rPr>
          <w:rFonts w:cs="Arial"/>
          <w:szCs w:val="20"/>
        </w:rPr>
        <w:t>R</w:t>
      </w:r>
      <w:r w:rsidR="001669F2" w:rsidRPr="005021BC">
        <w:rPr>
          <w:rFonts w:cs="Arial"/>
          <w:szCs w:val="20"/>
          <w:vertAlign w:val="subscript"/>
        </w:rPr>
        <w:t>H</w:t>
      </w:r>
      <w:r w:rsidR="001669F2" w:rsidRPr="005021BC">
        <w:rPr>
          <w:rFonts w:cs="Arial"/>
          <w:szCs w:val="20"/>
        </w:rPr>
        <w:t xml:space="preserve"> </w:t>
      </w:r>
      <w:r w:rsidRPr="005021BC">
        <w:rPr>
          <w:rFonts w:cs="Arial"/>
          <w:szCs w:val="20"/>
        </w:rPr>
        <w:tab/>
      </w:r>
      <w:r w:rsidR="001669F2" w:rsidRPr="005021BC">
        <w:rPr>
          <w:rFonts w:cs="Arial"/>
          <w:szCs w:val="20"/>
        </w:rPr>
        <w:t xml:space="preserve">= </w:t>
      </w:r>
      <w:r w:rsidR="00540C52">
        <w:rPr>
          <w:rFonts w:cs="Arial"/>
          <w:szCs w:val="20"/>
        </w:rPr>
        <w:t>R</w:t>
      </w:r>
      <w:r w:rsidR="00540C52" w:rsidRPr="005021BC">
        <w:rPr>
          <w:rFonts w:cs="Arial"/>
          <w:szCs w:val="20"/>
        </w:rPr>
        <w:t xml:space="preserve">esidual </w:t>
      </w:r>
      <w:r w:rsidR="001669F2" w:rsidRPr="005021BC">
        <w:rPr>
          <w:rFonts w:cs="Arial"/>
          <w:szCs w:val="20"/>
        </w:rPr>
        <w:t>heat fraction; estimated percentage of the heat produced by the heaters that remains in the freezer or cooler case and must be removed by the refrigeration unit.</w:t>
      </w:r>
    </w:p>
    <w:p w:rsidR="001669F2" w:rsidRPr="005021BC" w:rsidRDefault="00211842" w:rsidP="00211842">
      <w:pPr>
        <w:pStyle w:val="Equation"/>
        <w:rPr>
          <w:rFonts w:cs="Arial"/>
          <w:szCs w:val="20"/>
        </w:rPr>
      </w:pPr>
      <w:r w:rsidRPr="005021BC">
        <w:rPr>
          <w:rFonts w:cs="Arial"/>
          <w:szCs w:val="20"/>
        </w:rPr>
        <w:tab/>
      </w:r>
      <w:r w:rsidR="001669F2" w:rsidRPr="005021BC">
        <w:rPr>
          <w:rFonts w:cs="Arial"/>
          <w:szCs w:val="20"/>
        </w:rPr>
        <w:t>COP</w:t>
      </w:r>
      <w:r w:rsidR="001669F2" w:rsidRPr="005021BC">
        <w:rPr>
          <w:rFonts w:cs="Arial"/>
          <w:szCs w:val="20"/>
          <w:vertAlign w:val="subscript"/>
        </w:rPr>
        <w:t>Cool</w:t>
      </w:r>
      <w:r w:rsidR="001669F2" w:rsidRPr="005021BC">
        <w:rPr>
          <w:rFonts w:cs="Arial"/>
          <w:szCs w:val="20"/>
        </w:rPr>
        <w:t xml:space="preserve"> </w:t>
      </w:r>
      <w:r w:rsidRPr="005021BC">
        <w:rPr>
          <w:rFonts w:cs="Arial"/>
          <w:szCs w:val="20"/>
        </w:rPr>
        <w:tab/>
      </w:r>
      <w:r w:rsidR="001669F2" w:rsidRPr="005021BC">
        <w:rPr>
          <w:rFonts w:cs="Arial"/>
          <w:szCs w:val="20"/>
        </w:rPr>
        <w:t xml:space="preserve">= </w:t>
      </w:r>
      <w:r w:rsidR="00540C52">
        <w:rPr>
          <w:rFonts w:cs="Arial"/>
          <w:szCs w:val="20"/>
        </w:rPr>
        <w:t>C</w:t>
      </w:r>
      <w:r w:rsidR="00540C52" w:rsidRPr="005021BC">
        <w:rPr>
          <w:rFonts w:cs="Arial"/>
          <w:szCs w:val="20"/>
        </w:rPr>
        <w:t xml:space="preserve">oefficient </w:t>
      </w:r>
      <w:r w:rsidR="001669F2" w:rsidRPr="005021BC">
        <w:rPr>
          <w:rFonts w:cs="Arial"/>
          <w:szCs w:val="20"/>
        </w:rPr>
        <w:t xml:space="preserve">of performance of cooler </w:t>
      </w:r>
    </w:p>
    <w:p w:rsidR="001669F2" w:rsidRPr="005021BC" w:rsidRDefault="00211842" w:rsidP="00211842">
      <w:pPr>
        <w:pStyle w:val="Equation"/>
        <w:rPr>
          <w:rFonts w:cs="Arial"/>
          <w:szCs w:val="20"/>
        </w:rPr>
      </w:pPr>
      <w:r w:rsidRPr="005021BC">
        <w:rPr>
          <w:rFonts w:cs="Arial"/>
          <w:szCs w:val="20"/>
        </w:rPr>
        <w:tab/>
      </w:r>
      <w:r w:rsidR="001669F2" w:rsidRPr="005021BC">
        <w:rPr>
          <w:rFonts w:cs="Arial"/>
          <w:szCs w:val="20"/>
        </w:rPr>
        <w:t>COP</w:t>
      </w:r>
      <w:r w:rsidR="001669F2" w:rsidRPr="005021BC">
        <w:rPr>
          <w:rFonts w:cs="Arial"/>
          <w:szCs w:val="20"/>
          <w:vertAlign w:val="subscript"/>
        </w:rPr>
        <w:t>Freeze</w:t>
      </w:r>
      <w:r w:rsidR="001669F2" w:rsidRPr="005021BC">
        <w:rPr>
          <w:rFonts w:cs="Arial"/>
          <w:szCs w:val="20"/>
        </w:rPr>
        <w:t xml:space="preserve"> </w:t>
      </w:r>
      <w:r w:rsidRPr="005021BC">
        <w:rPr>
          <w:rFonts w:cs="Arial"/>
          <w:szCs w:val="20"/>
        </w:rPr>
        <w:tab/>
      </w:r>
      <w:r w:rsidR="001669F2" w:rsidRPr="005021BC">
        <w:rPr>
          <w:rFonts w:cs="Arial"/>
          <w:szCs w:val="20"/>
        </w:rPr>
        <w:t xml:space="preserve">= </w:t>
      </w:r>
      <w:r w:rsidR="00540C52">
        <w:rPr>
          <w:rFonts w:cs="Arial"/>
          <w:szCs w:val="20"/>
        </w:rPr>
        <w:t>C</w:t>
      </w:r>
      <w:r w:rsidR="00540C52" w:rsidRPr="005021BC">
        <w:rPr>
          <w:rFonts w:cs="Arial"/>
          <w:szCs w:val="20"/>
        </w:rPr>
        <w:t xml:space="preserve">oefficient </w:t>
      </w:r>
      <w:r w:rsidR="001669F2" w:rsidRPr="005021BC">
        <w:rPr>
          <w:rFonts w:cs="Arial"/>
          <w:szCs w:val="20"/>
        </w:rPr>
        <w:t>of performance of freezer</w:t>
      </w:r>
    </w:p>
    <w:p w:rsidR="001669F2" w:rsidRPr="005021BC" w:rsidRDefault="00211842" w:rsidP="00211842">
      <w:pPr>
        <w:pStyle w:val="Equation"/>
        <w:rPr>
          <w:rFonts w:cs="Arial"/>
          <w:szCs w:val="20"/>
        </w:rPr>
      </w:pPr>
      <w:r w:rsidRPr="005021BC">
        <w:rPr>
          <w:rFonts w:cs="Arial"/>
          <w:szCs w:val="20"/>
        </w:rPr>
        <w:tab/>
      </w:r>
      <w:r w:rsidR="001669F2" w:rsidRPr="005021BC">
        <w:rPr>
          <w:rFonts w:cs="Arial"/>
          <w:szCs w:val="20"/>
        </w:rPr>
        <w:t xml:space="preserve">DoorFt </w:t>
      </w:r>
      <w:r w:rsidRPr="005021BC">
        <w:rPr>
          <w:rFonts w:cs="Arial"/>
          <w:szCs w:val="20"/>
        </w:rPr>
        <w:tab/>
      </w:r>
      <w:r w:rsidR="001669F2" w:rsidRPr="005021BC">
        <w:rPr>
          <w:rFonts w:cs="Arial"/>
          <w:szCs w:val="20"/>
        </w:rPr>
        <w:t xml:space="preserve">= Conversion factor to go between per door or per linear foot basis. Either 1 if per door or linear feet per door if per linear foot. Both unit basis values are used in Pennsylvania energy efficiency programs. </w:t>
      </w:r>
    </w:p>
    <w:p w:rsidR="001669F2" w:rsidRPr="005021BC" w:rsidRDefault="00211842" w:rsidP="00211842">
      <w:pPr>
        <w:pStyle w:val="Equation"/>
        <w:rPr>
          <w:rFonts w:cs="Arial"/>
          <w:szCs w:val="20"/>
        </w:rPr>
      </w:pPr>
      <w:r w:rsidRPr="005021BC">
        <w:rPr>
          <w:rFonts w:cs="Arial"/>
          <w:szCs w:val="20"/>
        </w:rPr>
        <w:tab/>
      </w:r>
      <w:r w:rsidR="001669F2" w:rsidRPr="005021BC">
        <w:rPr>
          <w:rFonts w:cs="Arial"/>
          <w:szCs w:val="20"/>
        </w:rPr>
        <w:t xml:space="preserve">PctCooler </w:t>
      </w:r>
      <w:r w:rsidRPr="005021BC">
        <w:rPr>
          <w:rFonts w:cs="Arial"/>
          <w:szCs w:val="20"/>
        </w:rPr>
        <w:tab/>
      </w:r>
      <w:r w:rsidR="001669F2" w:rsidRPr="005021BC">
        <w:rPr>
          <w:rFonts w:cs="Arial"/>
          <w:szCs w:val="20"/>
        </w:rPr>
        <w:t xml:space="preserve">= Typical percent of cases that are medium-temperature refrigerator/cooler cases. </w:t>
      </w:r>
    </w:p>
    <w:p w:rsidR="001669F2" w:rsidRDefault="001669F2" w:rsidP="00B20F6B">
      <w:pPr>
        <w:pStyle w:val="Caption"/>
      </w:pPr>
      <w:bookmarkStart w:id="815" w:name="_Toc310875578"/>
      <w:r w:rsidRPr="00C4206C">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26</w:t>
      </w:r>
      <w:r w:rsidR="00274AB1">
        <w:rPr>
          <w:noProof/>
        </w:rPr>
        <w:fldChar w:fldCharType="end"/>
      </w:r>
      <w:r w:rsidRPr="00C4206C">
        <w:t xml:space="preserve">  </w:t>
      </w:r>
      <w:r>
        <w:t>Anti-Sweat Heater Controls – Values and References</w:t>
      </w:r>
      <w:bookmarkEnd w:id="815"/>
    </w:p>
    <w:tbl>
      <w:tblPr>
        <w:tblW w:w="8640" w:type="dxa"/>
        <w:jc w:val="center"/>
        <w:tblCellMar>
          <w:left w:w="0" w:type="dxa"/>
          <w:right w:w="0" w:type="dxa"/>
        </w:tblCellMar>
        <w:tblLook w:val="04A0" w:firstRow="1" w:lastRow="0" w:firstColumn="1" w:lastColumn="0" w:noHBand="0" w:noVBand="1"/>
      </w:tblPr>
      <w:tblGrid>
        <w:gridCol w:w="2355"/>
        <w:gridCol w:w="1091"/>
        <w:gridCol w:w="2115"/>
        <w:gridCol w:w="3079"/>
      </w:tblGrid>
      <w:tr w:rsidR="001669F2" w:rsidTr="00D17581">
        <w:trPr>
          <w:cantSplit/>
          <w:tblHeader/>
          <w:jc w:val="center"/>
        </w:trPr>
        <w:tc>
          <w:tcPr>
            <w:tcW w:w="205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1669F2" w:rsidRPr="001D6512" w:rsidRDefault="001669F2" w:rsidP="00C3606E">
            <w:pPr>
              <w:pStyle w:val="TableCell"/>
              <w:spacing w:before="60" w:after="60"/>
              <w:rPr>
                <w:rFonts w:cs="Arial"/>
                <w:b/>
                <w:szCs w:val="18"/>
              </w:rPr>
            </w:pPr>
            <w:r w:rsidRPr="001D6512">
              <w:rPr>
                <w:rFonts w:cs="Arial"/>
                <w:b/>
                <w:szCs w:val="18"/>
              </w:rPr>
              <w:t>Component</w:t>
            </w:r>
          </w:p>
        </w:tc>
        <w:tc>
          <w:tcPr>
            <w:tcW w:w="9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1669F2" w:rsidRPr="001D6512" w:rsidRDefault="001669F2" w:rsidP="00C3606E">
            <w:pPr>
              <w:pStyle w:val="TableCell"/>
              <w:spacing w:before="60" w:after="60"/>
              <w:rPr>
                <w:rFonts w:cs="Arial"/>
                <w:b/>
                <w:szCs w:val="18"/>
              </w:rPr>
            </w:pPr>
            <w:r w:rsidRPr="001D6512">
              <w:rPr>
                <w:rFonts w:cs="Arial"/>
                <w:b/>
                <w:szCs w:val="18"/>
              </w:rPr>
              <w:t>Type</w:t>
            </w:r>
          </w:p>
        </w:tc>
        <w:tc>
          <w:tcPr>
            <w:tcW w:w="184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1669F2" w:rsidRPr="001D6512" w:rsidRDefault="001669F2" w:rsidP="00C3606E">
            <w:pPr>
              <w:pStyle w:val="TableCell"/>
              <w:spacing w:before="60" w:after="60"/>
              <w:rPr>
                <w:rFonts w:cs="Arial"/>
                <w:b/>
                <w:szCs w:val="18"/>
              </w:rPr>
            </w:pPr>
            <w:r w:rsidRPr="001D6512">
              <w:rPr>
                <w:rFonts w:cs="Arial"/>
                <w:b/>
                <w:szCs w:val="18"/>
              </w:rPr>
              <w:t>Value</w:t>
            </w:r>
          </w:p>
        </w:tc>
        <w:tc>
          <w:tcPr>
            <w:tcW w:w="268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1669F2" w:rsidRPr="001D6512" w:rsidRDefault="001669F2" w:rsidP="00C3606E">
            <w:pPr>
              <w:pStyle w:val="TableCell"/>
              <w:spacing w:before="60" w:after="60"/>
              <w:rPr>
                <w:rFonts w:cs="Arial"/>
                <w:b/>
                <w:szCs w:val="18"/>
              </w:rPr>
            </w:pPr>
            <w:r w:rsidRPr="001D6512">
              <w:rPr>
                <w:rFonts w:cs="Arial"/>
                <w:b/>
                <w:szCs w:val="18"/>
              </w:rPr>
              <w:t>Sources</w:t>
            </w:r>
          </w:p>
        </w:tc>
      </w:tr>
      <w:tr w:rsidR="001669F2" w:rsidTr="00D17581">
        <w:trPr>
          <w:cantSplit/>
          <w:jc w:val="center"/>
        </w:trPr>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bCs/>
                <w:szCs w:val="18"/>
              </w:rPr>
            </w:pPr>
            <w:r w:rsidRPr="001D6512">
              <w:rPr>
                <w:rFonts w:cs="Arial"/>
                <w:bCs/>
                <w:szCs w:val="18"/>
              </w:rPr>
              <w:t>N</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Variable</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 of doors or case length in linear feet</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 xml:space="preserve">EDC Data Gathering </w:t>
            </w:r>
          </w:p>
        </w:tc>
      </w:tr>
      <w:tr w:rsidR="001669F2" w:rsidTr="00D17581">
        <w:trPr>
          <w:cantSplit/>
          <w:jc w:val="center"/>
        </w:trPr>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bCs/>
                <w:szCs w:val="18"/>
              </w:rPr>
            </w:pPr>
            <w:r w:rsidRPr="001D6512">
              <w:rPr>
                <w:rFonts w:cs="Arial"/>
                <w:bCs/>
                <w:szCs w:val="18"/>
              </w:rPr>
              <w:t>R</w:t>
            </w:r>
            <w:r w:rsidRPr="001D6512">
              <w:rPr>
                <w:rFonts w:cs="Arial"/>
                <w:bCs/>
                <w:szCs w:val="18"/>
                <w:vertAlign w:val="subscript"/>
              </w:rPr>
              <w:t>H</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Fixed</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0.65</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1</w:t>
            </w:r>
          </w:p>
        </w:tc>
      </w:tr>
      <w:tr w:rsidR="001669F2" w:rsidTr="00D17581">
        <w:trPr>
          <w:cantSplit/>
          <w:jc w:val="center"/>
        </w:trPr>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bCs/>
                <w:szCs w:val="18"/>
              </w:rPr>
            </w:pPr>
            <w:r w:rsidRPr="001D6512">
              <w:rPr>
                <w:rFonts w:cs="Arial"/>
                <w:bCs/>
                <w:szCs w:val="18"/>
              </w:rPr>
              <w:t>Unit</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Fixed</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Door = 1</w:t>
            </w:r>
          </w:p>
          <w:p w:rsidR="001669F2" w:rsidRPr="001D6512" w:rsidRDefault="001669F2" w:rsidP="00C3606E">
            <w:pPr>
              <w:pStyle w:val="TableCell"/>
              <w:spacing w:before="60" w:after="60"/>
              <w:rPr>
                <w:rFonts w:cs="Arial"/>
                <w:szCs w:val="18"/>
              </w:rPr>
            </w:pPr>
            <w:r w:rsidRPr="001D6512">
              <w:rPr>
                <w:rFonts w:cs="Arial"/>
                <w:szCs w:val="18"/>
              </w:rPr>
              <w:t>Linear Feet= 2.5</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2</w:t>
            </w:r>
          </w:p>
        </w:tc>
      </w:tr>
      <w:tr w:rsidR="001669F2" w:rsidTr="00D17581">
        <w:trPr>
          <w:cantSplit/>
          <w:jc w:val="center"/>
        </w:trPr>
        <w:tc>
          <w:tcPr>
            <w:tcW w:w="2050" w:type="dxa"/>
            <w:tcBorders>
              <w:top w:val="single" w:sz="8" w:space="0" w:color="auto"/>
              <w:left w:val="single" w:sz="8" w:space="0" w:color="auto"/>
              <w:bottom w:val="single" w:sz="8" w:space="0" w:color="auto"/>
            </w:tcBorders>
            <w:shd w:val="pct15" w:color="auto" w:fill="auto"/>
            <w:tcMar>
              <w:top w:w="0" w:type="dxa"/>
              <w:left w:w="108" w:type="dxa"/>
              <w:bottom w:w="0" w:type="dxa"/>
              <w:right w:w="108" w:type="dxa"/>
            </w:tcMar>
          </w:tcPr>
          <w:p w:rsidR="001669F2" w:rsidRPr="001D6512" w:rsidRDefault="001669F2" w:rsidP="00C3606E">
            <w:pPr>
              <w:pStyle w:val="TableCell"/>
              <w:spacing w:before="60" w:after="60"/>
              <w:rPr>
                <w:rFonts w:cs="Arial"/>
                <w:bCs/>
                <w:szCs w:val="18"/>
              </w:rPr>
            </w:pPr>
            <w:r w:rsidRPr="001D6512">
              <w:rPr>
                <w:rFonts w:cs="Arial"/>
                <w:bCs/>
                <w:szCs w:val="18"/>
              </w:rPr>
              <w:t>Refrigerator/Cooler</w:t>
            </w:r>
          </w:p>
        </w:tc>
        <w:tc>
          <w:tcPr>
            <w:tcW w:w="950" w:type="dxa"/>
            <w:tcBorders>
              <w:top w:val="single" w:sz="8" w:space="0" w:color="auto"/>
              <w:bottom w:val="single" w:sz="8" w:space="0" w:color="auto"/>
            </w:tcBorders>
            <w:shd w:val="pct15" w:color="auto" w:fill="auto"/>
            <w:tcMar>
              <w:top w:w="0" w:type="dxa"/>
              <w:left w:w="108" w:type="dxa"/>
              <w:bottom w:w="0" w:type="dxa"/>
              <w:right w:w="108" w:type="dxa"/>
            </w:tcMar>
          </w:tcPr>
          <w:p w:rsidR="001669F2" w:rsidRPr="001D6512" w:rsidRDefault="001669F2" w:rsidP="00C3606E">
            <w:pPr>
              <w:pStyle w:val="TableCell"/>
              <w:spacing w:before="60" w:after="60"/>
              <w:rPr>
                <w:rFonts w:cs="Arial"/>
                <w:szCs w:val="18"/>
              </w:rPr>
            </w:pPr>
          </w:p>
        </w:tc>
        <w:tc>
          <w:tcPr>
            <w:tcW w:w="1841" w:type="dxa"/>
            <w:tcBorders>
              <w:top w:val="single" w:sz="8" w:space="0" w:color="auto"/>
              <w:bottom w:val="single" w:sz="8" w:space="0" w:color="auto"/>
            </w:tcBorders>
            <w:shd w:val="pct15" w:color="auto" w:fill="auto"/>
            <w:tcMar>
              <w:top w:w="0" w:type="dxa"/>
              <w:left w:w="108" w:type="dxa"/>
              <w:bottom w:w="0" w:type="dxa"/>
              <w:right w:w="108" w:type="dxa"/>
            </w:tcMar>
          </w:tcPr>
          <w:p w:rsidR="001669F2" w:rsidRPr="001D6512" w:rsidRDefault="001669F2" w:rsidP="00C3606E">
            <w:pPr>
              <w:pStyle w:val="TableCell"/>
              <w:spacing w:before="60" w:after="60"/>
              <w:rPr>
                <w:rFonts w:cs="Arial"/>
                <w:szCs w:val="18"/>
              </w:rPr>
            </w:pPr>
          </w:p>
        </w:tc>
        <w:tc>
          <w:tcPr>
            <w:tcW w:w="2681" w:type="dxa"/>
            <w:tcBorders>
              <w:top w:val="single" w:sz="8" w:space="0" w:color="auto"/>
              <w:bottom w:val="single" w:sz="8" w:space="0" w:color="auto"/>
              <w:right w:val="single" w:sz="8" w:space="0" w:color="auto"/>
            </w:tcBorders>
            <w:shd w:val="pct15" w:color="auto" w:fill="auto"/>
            <w:tcMar>
              <w:top w:w="0" w:type="dxa"/>
              <w:left w:w="108" w:type="dxa"/>
              <w:bottom w:w="0" w:type="dxa"/>
              <w:right w:w="108" w:type="dxa"/>
            </w:tcMar>
          </w:tcPr>
          <w:p w:rsidR="001669F2" w:rsidRPr="001D6512" w:rsidRDefault="001669F2" w:rsidP="00C3606E">
            <w:pPr>
              <w:pStyle w:val="TableCell"/>
              <w:spacing w:before="60" w:after="60"/>
              <w:rPr>
                <w:rFonts w:cs="Arial"/>
                <w:szCs w:val="18"/>
              </w:rPr>
            </w:pPr>
          </w:p>
        </w:tc>
      </w:tr>
      <w:tr w:rsidR="001669F2" w:rsidTr="00D17581">
        <w:trPr>
          <w:cantSplit/>
          <w:jc w:val="center"/>
        </w:trPr>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kW</w:t>
            </w:r>
            <w:r w:rsidRPr="001D6512">
              <w:rPr>
                <w:rFonts w:cs="Arial"/>
                <w:szCs w:val="18"/>
                <w:vertAlign w:val="subscript"/>
              </w:rPr>
              <w:t>CoolerBase</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Fixed</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0.109</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1</w:t>
            </w:r>
          </w:p>
        </w:tc>
      </w:tr>
      <w:tr w:rsidR="001669F2" w:rsidTr="00D17581">
        <w:trPr>
          <w:cantSplit/>
          <w:jc w:val="center"/>
        </w:trPr>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position w:val="6"/>
                <w:szCs w:val="18"/>
              </w:rPr>
              <w:t>CHP</w:t>
            </w:r>
            <w:r w:rsidRPr="001D6512">
              <w:rPr>
                <w:rFonts w:cs="Arial"/>
                <w:position w:val="6"/>
                <w:szCs w:val="18"/>
                <w:vertAlign w:val="subscript"/>
              </w:rPr>
              <w:t>off</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Fixed</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20%</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1</w:t>
            </w:r>
          </w:p>
        </w:tc>
      </w:tr>
      <w:tr w:rsidR="001669F2" w:rsidTr="00D17581">
        <w:trPr>
          <w:cantSplit/>
          <w:jc w:val="center"/>
        </w:trPr>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position w:val="6"/>
                <w:szCs w:val="18"/>
              </w:rPr>
              <w:t>CHA</w:t>
            </w:r>
            <w:r w:rsidRPr="001D6512">
              <w:rPr>
                <w:rFonts w:cs="Arial"/>
                <w:position w:val="6"/>
                <w:szCs w:val="18"/>
                <w:vertAlign w:val="subscript"/>
              </w:rPr>
              <w:t>off</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Fixed</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85%</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1</w:t>
            </w:r>
          </w:p>
        </w:tc>
      </w:tr>
      <w:tr w:rsidR="001669F2" w:rsidTr="00D17581">
        <w:trPr>
          <w:cantSplit/>
          <w:jc w:val="center"/>
        </w:trPr>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DF</w:t>
            </w:r>
            <w:r w:rsidRPr="001D6512">
              <w:rPr>
                <w:rFonts w:cs="Arial"/>
                <w:szCs w:val="18"/>
                <w:vertAlign w:val="subscript"/>
              </w:rPr>
              <w:t xml:space="preserve"> Cool</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Fixed</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1</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3</w:t>
            </w:r>
          </w:p>
        </w:tc>
      </w:tr>
      <w:tr w:rsidR="001669F2" w:rsidTr="00D17581">
        <w:trPr>
          <w:cantSplit/>
          <w:jc w:val="center"/>
        </w:trPr>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COP</w:t>
            </w:r>
            <w:r w:rsidRPr="001D6512">
              <w:rPr>
                <w:rFonts w:cs="Arial"/>
                <w:szCs w:val="18"/>
              </w:rPr>
              <w:softHyphen/>
            </w:r>
            <w:r w:rsidRPr="001D6512">
              <w:rPr>
                <w:rFonts w:cs="Arial"/>
                <w:szCs w:val="18"/>
                <w:vertAlign w:val="subscript"/>
              </w:rPr>
              <w:t>Cool</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Fixed</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2.5</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1</w:t>
            </w:r>
          </w:p>
        </w:tc>
      </w:tr>
      <w:tr w:rsidR="001669F2" w:rsidTr="00D17581">
        <w:trPr>
          <w:cantSplit/>
          <w:jc w:val="center"/>
        </w:trPr>
        <w:tc>
          <w:tcPr>
            <w:tcW w:w="2050" w:type="dxa"/>
            <w:tcBorders>
              <w:top w:val="single" w:sz="8" w:space="0" w:color="auto"/>
              <w:left w:val="single" w:sz="8" w:space="0" w:color="auto"/>
              <w:bottom w:val="single" w:sz="8" w:space="0" w:color="auto"/>
            </w:tcBorders>
            <w:shd w:val="pct15" w:color="auto" w:fill="auto"/>
            <w:tcMar>
              <w:top w:w="0" w:type="dxa"/>
              <w:left w:w="108" w:type="dxa"/>
              <w:bottom w:w="0" w:type="dxa"/>
              <w:right w:w="108" w:type="dxa"/>
            </w:tcMar>
          </w:tcPr>
          <w:p w:rsidR="001669F2" w:rsidRPr="001D6512" w:rsidRDefault="001669F2" w:rsidP="00C3606E">
            <w:pPr>
              <w:pStyle w:val="TableCell"/>
              <w:spacing w:before="60" w:after="60"/>
              <w:rPr>
                <w:rFonts w:cs="Arial"/>
                <w:bCs/>
                <w:szCs w:val="18"/>
              </w:rPr>
            </w:pPr>
            <w:r w:rsidRPr="001D6512">
              <w:rPr>
                <w:rFonts w:cs="Arial"/>
                <w:bCs/>
                <w:szCs w:val="18"/>
              </w:rPr>
              <w:t>Freezer</w:t>
            </w:r>
          </w:p>
        </w:tc>
        <w:tc>
          <w:tcPr>
            <w:tcW w:w="950" w:type="dxa"/>
            <w:tcBorders>
              <w:top w:val="single" w:sz="8" w:space="0" w:color="auto"/>
              <w:bottom w:val="single" w:sz="8" w:space="0" w:color="auto"/>
            </w:tcBorders>
            <w:shd w:val="pct15" w:color="auto" w:fill="auto"/>
            <w:tcMar>
              <w:top w:w="0" w:type="dxa"/>
              <w:left w:w="108" w:type="dxa"/>
              <w:bottom w:w="0" w:type="dxa"/>
              <w:right w:w="108" w:type="dxa"/>
            </w:tcMar>
          </w:tcPr>
          <w:p w:rsidR="001669F2" w:rsidRPr="001D6512" w:rsidRDefault="001669F2" w:rsidP="00C3606E">
            <w:pPr>
              <w:pStyle w:val="TableCell"/>
              <w:spacing w:before="60" w:after="60"/>
              <w:rPr>
                <w:rFonts w:cs="Arial"/>
                <w:szCs w:val="18"/>
              </w:rPr>
            </w:pPr>
          </w:p>
        </w:tc>
        <w:tc>
          <w:tcPr>
            <w:tcW w:w="1841" w:type="dxa"/>
            <w:tcBorders>
              <w:top w:val="single" w:sz="8" w:space="0" w:color="auto"/>
              <w:bottom w:val="single" w:sz="8" w:space="0" w:color="auto"/>
            </w:tcBorders>
            <w:shd w:val="pct15" w:color="auto" w:fill="auto"/>
            <w:tcMar>
              <w:top w:w="0" w:type="dxa"/>
              <w:left w:w="108" w:type="dxa"/>
              <w:bottom w:w="0" w:type="dxa"/>
              <w:right w:w="108" w:type="dxa"/>
            </w:tcMar>
          </w:tcPr>
          <w:p w:rsidR="001669F2" w:rsidRPr="001D6512" w:rsidRDefault="001669F2" w:rsidP="00C3606E">
            <w:pPr>
              <w:pStyle w:val="TableCell"/>
              <w:spacing w:before="60" w:after="60"/>
              <w:rPr>
                <w:rFonts w:cs="Arial"/>
                <w:szCs w:val="18"/>
              </w:rPr>
            </w:pPr>
          </w:p>
        </w:tc>
        <w:tc>
          <w:tcPr>
            <w:tcW w:w="2681" w:type="dxa"/>
            <w:tcBorders>
              <w:top w:val="single" w:sz="8" w:space="0" w:color="auto"/>
              <w:bottom w:val="single" w:sz="8" w:space="0" w:color="auto"/>
              <w:right w:val="single" w:sz="8" w:space="0" w:color="auto"/>
            </w:tcBorders>
            <w:shd w:val="pct15" w:color="auto" w:fill="auto"/>
            <w:tcMar>
              <w:top w:w="0" w:type="dxa"/>
              <w:left w:w="108" w:type="dxa"/>
              <w:bottom w:w="0" w:type="dxa"/>
              <w:right w:w="108" w:type="dxa"/>
            </w:tcMar>
          </w:tcPr>
          <w:p w:rsidR="001669F2" w:rsidRPr="001D6512" w:rsidRDefault="001669F2" w:rsidP="00C3606E">
            <w:pPr>
              <w:pStyle w:val="TableCell"/>
              <w:spacing w:before="60" w:after="60"/>
              <w:rPr>
                <w:rFonts w:cs="Arial"/>
                <w:szCs w:val="18"/>
              </w:rPr>
            </w:pPr>
          </w:p>
        </w:tc>
      </w:tr>
      <w:tr w:rsidR="001669F2" w:rsidTr="00D17581">
        <w:trPr>
          <w:cantSplit/>
          <w:jc w:val="center"/>
        </w:trPr>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kW</w:t>
            </w:r>
            <w:r w:rsidRPr="001D6512">
              <w:rPr>
                <w:rFonts w:cs="Arial"/>
                <w:szCs w:val="18"/>
                <w:vertAlign w:val="subscript"/>
              </w:rPr>
              <w:t>FreezerBase</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Fixed</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0.191</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1</w:t>
            </w:r>
          </w:p>
        </w:tc>
      </w:tr>
      <w:tr w:rsidR="001669F2" w:rsidTr="00D17581">
        <w:trPr>
          <w:cantSplit/>
          <w:jc w:val="center"/>
        </w:trPr>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position w:val="6"/>
                <w:szCs w:val="18"/>
              </w:rPr>
              <w:t>FHP</w:t>
            </w:r>
            <w:r w:rsidRPr="001D6512">
              <w:rPr>
                <w:rFonts w:cs="Arial"/>
                <w:position w:val="6"/>
                <w:szCs w:val="18"/>
                <w:vertAlign w:val="subscript"/>
              </w:rPr>
              <w:t>off</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Fixed</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10%</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1</w:t>
            </w:r>
          </w:p>
        </w:tc>
      </w:tr>
      <w:tr w:rsidR="001669F2" w:rsidTr="00D17581">
        <w:trPr>
          <w:cantSplit/>
          <w:jc w:val="center"/>
        </w:trPr>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position w:val="6"/>
                <w:szCs w:val="18"/>
              </w:rPr>
              <w:t>FHA</w:t>
            </w:r>
            <w:r w:rsidRPr="001D6512">
              <w:rPr>
                <w:rFonts w:cs="Arial"/>
                <w:position w:val="6"/>
                <w:szCs w:val="18"/>
                <w:vertAlign w:val="subscript"/>
              </w:rPr>
              <w:t>off</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Fixed</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75%</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1</w:t>
            </w:r>
          </w:p>
        </w:tc>
      </w:tr>
      <w:tr w:rsidR="001669F2" w:rsidTr="00D17581">
        <w:trPr>
          <w:cantSplit/>
          <w:jc w:val="center"/>
        </w:trPr>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DF</w:t>
            </w:r>
            <w:r w:rsidRPr="001D6512">
              <w:rPr>
                <w:rFonts w:cs="Arial"/>
                <w:szCs w:val="18"/>
                <w:vertAlign w:val="subscript"/>
              </w:rPr>
              <w:t>Freeze</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Fixed</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1</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3</w:t>
            </w:r>
          </w:p>
        </w:tc>
      </w:tr>
      <w:tr w:rsidR="001669F2" w:rsidTr="00D17581">
        <w:trPr>
          <w:cantSplit/>
          <w:jc w:val="center"/>
        </w:trPr>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COP</w:t>
            </w:r>
            <w:r w:rsidRPr="001D6512">
              <w:rPr>
                <w:rFonts w:cs="Arial"/>
                <w:szCs w:val="18"/>
                <w:vertAlign w:val="subscript"/>
              </w:rPr>
              <w:t>Freeze</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Fixed</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1.3</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1</w:t>
            </w:r>
          </w:p>
        </w:tc>
      </w:tr>
      <w:tr w:rsidR="001669F2" w:rsidTr="00D17581">
        <w:trPr>
          <w:cantSplit/>
          <w:jc w:val="center"/>
        </w:trPr>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PctCooler</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Fixed</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68%</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rsidR="001669F2" w:rsidRPr="001D6512" w:rsidRDefault="001669F2" w:rsidP="00C3606E">
            <w:pPr>
              <w:pStyle w:val="TableCell"/>
              <w:spacing w:before="60" w:after="60"/>
              <w:rPr>
                <w:rFonts w:cs="Arial"/>
                <w:szCs w:val="18"/>
              </w:rPr>
            </w:pPr>
            <w:r w:rsidRPr="001D6512">
              <w:rPr>
                <w:rFonts w:cs="Arial"/>
                <w:szCs w:val="18"/>
              </w:rPr>
              <w:t>4</w:t>
            </w:r>
          </w:p>
        </w:tc>
      </w:tr>
    </w:tbl>
    <w:p w:rsidR="001669F2" w:rsidRDefault="001669F2" w:rsidP="00C3606E">
      <w:pPr>
        <w:spacing w:after="0"/>
        <w:rPr>
          <w:rFonts w:ascii="Times New Roman" w:hAnsi="Times New Roman"/>
          <w:sz w:val="24"/>
          <w:szCs w:val="24"/>
        </w:rPr>
      </w:pPr>
    </w:p>
    <w:p w:rsidR="001669F2" w:rsidRPr="00BC5194" w:rsidRDefault="001669F2" w:rsidP="00B20F6B">
      <w:pPr>
        <w:rPr>
          <w:b/>
        </w:rPr>
      </w:pPr>
      <w:r w:rsidRPr="00BC5194">
        <w:rPr>
          <w:b/>
        </w:rPr>
        <w:t>Sources:</w:t>
      </w:r>
    </w:p>
    <w:p w:rsidR="001669F2" w:rsidRPr="00001996" w:rsidRDefault="001669F2" w:rsidP="0005632A">
      <w:pPr>
        <w:pStyle w:val="source1"/>
        <w:numPr>
          <w:ilvl w:val="0"/>
          <w:numId w:val="43"/>
        </w:numPr>
      </w:pPr>
      <w:r w:rsidRPr="00001996">
        <w:t>State of Wisconsin, Public Service Commission of Wisconsin, Focus on Energy Evaluation, Business Programs Deemed Savings Manual, March 22, 2010.</w:t>
      </w:r>
    </w:p>
    <w:p w:rsidR="001669F2" w:rsidRPr="00001996" w:rsidRDefault="001669F2" w:rsidP="00C3606E">
      <w:pPr>
        <w:pStyle w:val="source2"/>
        <w:ind w:left="1080" w:hanging="360"/>
      </w:pPr>
      <w:r w:rsidRPr="00001996">
        <w:t>Three door heating configurations are presented in this reference:  Standard, low-heat, and no-heat.  The standard configuration was chosen on the assumption that low-heat and no-heat door cases will be screened from participation.</w:t>
      </w:r>
    </w:p>
    <w:p w:rsidR="001669F2" w:rsidRPr="00001996" w:rsidRDefault="001669F2" w:rsidP="00C3606E">
      <w:pPr>
        <w:pStyle w:val="source1"/>
      </w:pPr>
      <w:r w:rsidRPr="00001996">
        <w:t>Review of various manufacturers’ web sites yields 2.5’ average door length. Sites include:</w:t>
      </w:r>
    </w:p>
    <w:p w:rsidR="001669F2" w:rsidRPr="00001996" w:rsidRDefault="00274AB1" w:rsidP="00C3606E">
      <w:pPr>
        <w:pStyle w:val="source2"/>
        <w:ind w:left="1080" w:hanging="360"/>
      </w:pPr>
      <w:hyperlink r:id="rId39" w:history="1">
        <w:r w:rsidR="001669F2" w:rsidRPr="00001996">
          <w:rPr>
            <w:rStyle w:val="Hyperlink"/>
            <w:rFonts w:cs="Arial"/>
          </w:rPr>
          <w:t>http://www.bushrefrigeration.com/bakery_glass_door_coolers.php</w:t>
        </w:r>
      </w:hyperlink>
    </w:p>
    <w:p w:rsidR="001669F2" w:rsidRPr="00001996" w:rsidRDefault="00274AB1" w:rsidP="00C3606E">
      <w:pPr>
        <w:pStyle w:val="source2"/>
        <w:ind w:left="1080" w:hanging="360"/>
      </w:pPr>
      <w:hyperlink r:id="rId40" w:history="1">
        <w:r w:rsidR="001669F2" w:rsidRPr="00001996">
          <w:rPr>
            <w:rStyle w:val="Hyperlink"/>
            <w:rFonts w:cs="Arial"/>
          </w:rPr>
          <w:t>http://www.brrr.cc/home.php?cat=427</w:t>
        </w:r>
      </w:hyperlink>
    </w:p>
    <w:p w:rsidR="001669F2" w:rsidRPr="00001996" w:rsidRDefault="00274AB1" w:rsidP="00C3606E">
      <w:pPr>
        <w:pStyle w:val="source2"/>
        <w:ind w:left="1080" w:hanging="360"/>
      </w:pPr>
      <w:hyperlink r:id="rId41" w:history="1">
        <w:r w:rsidR="001669F2" w:rsidRPr="00001996">
          <w:rPr>
            <w:rStyle w:val="Hyperlink"/>
            <w:rFonts w:cs="Arial"/>
          </w:rPr>
          <w:t>http://refrigeration-equipment.com/gdm_s_c_series_swing_door_reac.html</w:t>
        </w:r>
      </w:hyperlink>
    </w:p>
    <w:p w:rsidR="001669F2" w:rsidRPr="00001996" w:rsidRDefault="001669F2" w:rsidP="00C3606E">
      <w:pPr>
        <w:pStyle w:val="source1"/>
      </w:pPr>
      <w:r w:rsidRPr="00001996">
        <w:t>New York Standard Approach for Estimating Energy Savings from Energy Efficiency Measures in Commercial and Industrial Programs, Sept 1, 2009.</w:t>
      </w:r>
    </w:p>
    <w:p w:rsidR="001669F2" w:rsidRPr="00001996" w:rsidRDefault="001669F2" w:rsidP="00C3606E">
      <w:pPr>
        <w:pStyle w:val="source1"/>
        <w:spacing w:after="200"/>
      </w:pPr>
      <w:r w:rsidRPr="00001996">
        <w:lastRenderedPageBreak/>
        <w:t>2010 ASHRAE Refrigeration Handbook, page 15.1 “Medium- and low-temperature display refrigerator line-ups account for roughly 68 and 32%, respectively, of a typical supermarket’s total display refrigerators.”</w:t>
      </w:r>
    </w:p>
    <w:p w:rsidR="001669F2" w:rsidRPr="00C4206C" w:rsidRDefault="001669F2" w:rsidP="00B20F6B">
      <w:pPr>
        <w:pStyle w:val="Caption"/>
      </w:pPr>
      <w:bookmarkStart w:id="816" w:name="_Ref266712219"/>
      <w:bookmarkStart w:id="817" w:name="_Toc310875579"/>
      <w:r w:rsidRPr="00C4206C">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27</w:t>
      </w:r>
      <w:r w:rsidR="00274AB1">
        <w:rPr>
          <w:noProof/>
        </w:rPr>
        <w:fldChar w:fldCharType="end"/>
      </w:r>
      <w:bookmarkEnd w:id="816"/>
      <w:r w:rsidRPr="00C4206C">
        <w:t xml:space="preserve">  </w:t>
      </w:r>
      <w:r>
        <w:t>Recommended Fully Deemed Impact Estimates</w:t>
      </w:r>
      <w:bookmarkEnd w:id="817"/>
    </w:p>
    <w:tbl>
      <w:tblPr>
        <w:tblW w:w="8640" w:type="dxa"/>
        <w:tblInd w:w="468" w:type="dxa"/>
        <w:tblLayout w:type="fixed"/>
        <w:tblLook w:val="0000" w:firstRow="0" w:lastRow="0" w:firstColumn="0" w:lastColumn="0" w:noHBand="0" w:noVBand="0"/>
      </w:tblPr>
      <w:tblGrid>
        <w:gridCol w:w="4325"/>
        <w:gridCol w:w="2093"/>
        <w:gridCol w:w="2222"/>
      </w:tblGrid>
      <w:tr w:rsidR="001669F2" w:rsidRPr="00E978DA" w:rsidTr="00D17581">
        <w:trPr>
          <w:trHeight w:val="510"/>
        </w:trPr>
        <w:tc>
          <w:tcPr>
            <w:tcW w:w="3939" w:type="dxa"/>
            <w:tcBorders>
              <w:top w:val="single" w:sz="4" w:space="0" w:color="auto"/>
              <w:left w:val="single" w:sz="4" w:space="0" w:color="auto"/>
              <w:bottom w:val="single" w:sz="4" w:space="0" w:color="auto"/>
              <w:right w:val="single" w:sz="4" w:space="0" w:color="auto"/>
            </w:tcBorders>
            <w:shd w:val="clear" w:color="auto" w:fill="C0C0C0"/>
            <w:vAlign w:val="center"/>
          </w:tcPr>
          <w:p w:rsidR="001669F2" w:rsidRPr="001D6512" w:rsidRDefault="001669F2" w:rsidP="00C3606E">
            <w:pPr>
              <w:pStyle w:val="TableCell"/>
              <w:spacing w:before="60" w:after="60"/>
              <w:rPr>
                <w:b/>
              </w:rPr>
            </w:pPr>
            <w:r w:rsidRPr="001D6512">
              <w:rPr>
                <w:b/>
              </w:rPr>
              <w:t>Description</w:t>
            </w:r>
          </w:p>
        </w:tc>
        <w:tc>
          <w:tcPr>
            <w:tcW w:w="1906" w:type="dxa"/>
            <w:tcBorders>
              <w:top w:val="single" w:sz="4" w:space="0" w:color="auto"/>
              <w:left w:val="nil"/>
              <w:bottom w:val="single" w:sz="4" w:space="0" w:color="auto"/>
              <w:right w:val="single" w:sz="4" w:space="0" w:color="auto"/>
            </w:tcBorders>
            <w:shd w:val="clear" w:color="auto" w:fill="C0C0C0"/>
            <w:vAlign w:val="center"/>
          </w:tcPr>
          <w:p w:rsidR="001669F2" w:rsidRPr="001D6512" w:rsidRDefault="001669F2" w:rsidP="00C3606E">
            <w:pPr>
              <w:pStyle w:val="TableCell"/>
              <w:spacing w:before="60" w:after="60"/>
              <w:rPr>
                <w:b/>
              </w:rPr>
            </w:pPr>
            <w:r w:rsidRPr="001D6512">
              <w:rPr>
                <w:b/>
              </w:rPr>
              <w:t>Per Door</w:t>
            </w:r>
          </w:p>
          <w:p w:rsidR="001669F2" w:rsidRPr="001D6512" w:rsidRDefault="001669F2" w:rsidP="00C3606E">
            <w:pPr>
              <w:pStyle w:val="TableCell"/>
              <w:spacing w:before="60" w:after="60"/>
              <w:rPr>
                <w:b/>
              </w:rPr>
            </w:pPr>
            <w:r w:rsidRPr="001D6512">
              <w:rPr>
                <w:b/>
              </w:rPr>
              <w:t>Impact</w:t>
            </w:r>
          </w:p>
        </w:tc>
        <w:tc>
          <w:tcPr>
            <w:tcW w:w="2024" w:type="dxa"/>
            <w:tcBorders>
              <w:top w:val="single" w:sz="4" w:space="0" w:color="auto"/>
              <w:left w:val="nil"/>
              <w:bottom w:val="single" w:sz="4" w:space="0" w:color="auto"/>
              <w:right w:val="single" w:sz="4" w:space="0" w:color="auto"/>
            </w:tcBorders>
            <w:shd w:val="clear" w:color="auto" w:fill="C0C0C0"/>
            <w:vAlign w:val="center"/>
          </w:tcPr>
          <w:p w:rsidR="001669F2" w:rsidRPr="001D6512" w:rsidRDefault="001669F2" w:rsidP="00C3606E">
            <w:pPr>
              <w:pStyle w:val="TableCell"/>
              <w:spacing w:before="60" w:after="60"/>
              <w:rPr>
                <w:b/>
              </w:rPr>
            </w:pPr>
            <w:r w:rsidRPr="001D6512">
              <w:rPr>
                <w:b/>
              </w:rPr>
              <w:t>Per Linear Ft of Case</w:t>
            </w:r>
          </w:p>
          <w:p w:rsidR="001669F2" w:rsidRPr="001D6512" w:rsidRDefault="001669F2" w:rsidP="00C3606E">
            <w:pPr>
              <w:pStyle w:val="TableCell"/>
              <w:spacing w:before="60" w:after="60"/>
              <w:rPr>
                <w:b/>
              </w:rPr>
            </w:pPr>
            <w:r w:rsidRPr="001D6512">
              <w:rPr>
                <w:b/>
              </w:rPr>
              <w:t>Impact</w:t>
            </w:r>
          </w:p>
        </w:tc>
      </w:tr>
      <w:tr w:rsidR="001669F2" w:rsidRPr="00E978DA" w:rsidTr="00D17581">
        <w:trPr>
          <w:trHeight w:val="255"/>
        </w:trPr>
        <w:tc>
          <w:tcPr>
            <w:tcW w:w="3939" w:type="dxa"/>
            <w:tcBorders>
              <w:top w:val="single" w:sz="4" w:space="0" w:color="auto"/>
              <w:left w:val="single" w:sz="4" w:space="0" w:color="auto"/>
              <w:bottom w:val="single" w:sz="4" w:space="0" w:color="auto"/>
            </w:tcBorders>
            <w:shd w:val="pct15" w:color="auto" w:fill="auto"/>
            <w:noWrap/>
            <w:vAlign w:val="center"/>
          </w:tcPr>
          <w:p w:rsidR="001669F2" w:rsidRPr="001D6512" w:rsidRDefault="001669F2" w:rsidP="00C3606E">
            <w:pPr>
              <w:pStyle w:val="TableCell"/>
              <w:spacing w:before="60" w:after="60"/>
            </w:pPr>
            <w:r w:rsidRPr="001D6512">
              <w:t>Refrigerator/Cooler</w:t>
            </w:r>
          </w:p>
        </w:tc>
        <w:tc>
          <w:tcPr>
            <w:tcW w:w="1906" w:type="dxa"/>
            <w:tcBorders>
              <w:top w:val="single" w:sz="4" w:space="0" w:color="auto"/>
              <w:bottom w:val="single" w:sz="4" w:space="0" w:color="auto"/>
            </w:tcBorders>
            <w:shd w:val="pct15" w:color="auto" w:fill="auto"/>
            <w:noWrap/>
            <w:vAlign w:val="center"/>
          </w:tcPr>
          <w:p w:rsidR="001669F2" w:rsidRPr="001D6512" w:rsidRDefault="001669F2" w:rsidP="00C3606E">
            <w:pPr>
              <w:pStyle w:val="TableCell"/>
              <w:spacing w:before="60" w:after="60"/>
            </w:pPr>
          </w:p>
        </w:tc>
        <w:tc>
          <w:tcPr>
            <w:tcW w:w="2024" w:type="dxa"/>
            <w:tcBorders>
              <w:top w:val="single" w:sz="4" w:space="0" w:color="auto"/>
              <w:bottom w:val="single" w:sz="4" w:space="0" w:color="auto"/>
              <w:right w:val="single" w:sz="4" w:space="0" w:color="auto"/>
            </w:tcBorders>
            <w:shd w:val="pct15" w:color="auto" w:fill="auto"/>
          </w:tcPr>
          <w:p w:rsidR="001669F2" w:rsidRPr="001D6512" w:rsidRDefault="001669F2" w:rsidP="00C3606E">
            <w:pPr>
              <w:pStyle w:val="TableCell"/>
              <w:spacing w:before="60" w:after="60"/>
            </w:pPr>
          </w:p>
        </w:tc>
      </w:tr>
      <w:tr w:rsidR="001669F2" w:rsidRPr="00E978DA" w:rsidTr="00D17581">
        <w:trPr>
          <w:trHeight w:val="255"/>
        </w:trPr>
        <w:tc>
          <w:tcPr>
            <w:tcW w:w="3939" w:type="dxa"/>
            <w:tcBorders>
              <w:top w:val="nil"/>
              <w:left w:val="single" w:sz="4" w:space="0" w:color="auto"/>
              <w:bottom w:val="single" w:sz="4" w:space="0" w:color="auto"/>
              <w:right w:val="single" w:sz="4" w:space="0" w:color="auto"/>
            </w:tcBorders>
            <w:shd w:val="clear" w:color="auto" w:fill="auto"/>
            <w:noWrap/>
            <w:vAlign w:val="center"/>
          </w:tcPr>
          <w:p w:rsidR="001669F2" w:rsidRPr="001D6512" w:rsidRDefault="001669F2" w:rsidP="00C3606E">
            <w:pPr>
              <w:pStyle w:val="TableCell"/>
              <w:spacing w:before="60" w:after="60"/>
            </w:pPr>
            <w:r w:rsidRPr="001D6512">
              <w:t>Energy Impact</w:t>
            </w:r>
          </w:p>
        </w:tc>
        <w:tc>
          <w:tcPr>
            <w:tcW w:w="1906" w:type="dxa"/>
            <w:tcBorders>
              <w:top w:val="nil"/>
              <w:left w:val="nil"/>
              <w:bottom w:val="single" w:sz="4" w:space="0" w:color="auto"/>
              <w:right w:val="single" w:sz="4" w:space="0" w:color="auto"/>
            </w:tcBorders>
            <w:shd w:val="clear" w:color="auto" w:fill="auto"/>
            <w:noWrap/>
            <w:vAlign w:val="center"/>
          </w:tcPr>
          <w:p w:rsidR="001669F2" w:rsidRPr="001D6512" w:rsidRDefault="001669F2" w:rsidP="00C3606E">
            <w:pPr>
              <w:pStyle w:val="TableCell"/>
              <w:spacing w:before="60" w:after="60"/>
            </w:pPr>
            <w:r w:rsidRPr="001D6512">
              <w:t>1,023 kWh per door</w:t>
            </w:r>
          </w:p>
        </w:tc>
        <w:tc>
          <w:tcPr>
            <w:tcW w:w="2024" w:type="dxa"/>
            <w:tcBorders>
              <w:top w:val="nil"/>
              <w:left w:val="nil"/>
              <w:bottom w:val="single" w:sz="4" w:space="0" w:color="auto"/>
              <w:right w:val="single" w:sz="4" w:space="0" w:color="auto"/>
            </w:tcBorders>
            <w:vAlign w:val="center"/>
          </w:tcPr>
          <w:p w:rsidR="001669F2" w:rsidRPr="001D6512" w:rsidRDefault="001669F2" w:rsidP="00C3606E">
            <w:pPr>
              <w:pStyle w:val="TableCell"/>
              <w:spacing w:before="60" w:after="60"/>
            </w:pPr>
            <w:r w:rsidRPr="001D6512">
              <w:t xml:space="preserve">409 kWh per </w:t>
            </w:r>
            <w:r w:rsidR="00F11594" w:rsidRPr="001D6512">
              <w:t>linear</w:t>
            </w:r>
            <w:r w:rsidRPr="001D6512">
              <w:t xml:space="preserve"> ft</w:t>
            </w:r>
          </w:p>
        </w:tc>
      </w:tr>
      <w:tr w:rsidR="001669F2" w:rsidRPr="00E978DA" w:rsidTr="00D17581">
        <w:trPr>
          <w:trHeight w:val="255"/>
        </w:trPr>
        <w:tc>
          <w:tcPr>
            <w:tcW w:w="3939" w:type="dxa"/>
            <w:tcBorders>
              <w:top w:val="nil"/>
              <w:left w:val="single" w:sz="4" w:space="0" w:color="auto"/>
              <w:bottom w:val="single" w:sz="4" w:space="0" w:color="auto"/>
              <w:right w:val="single" w:sz="4" w:space="0" w:color="auto"/>
            </w:tcBorders>
            <w:shd w:val="clear" w:color="auto" w:fill="auto"/>
            <w:noWrap/>
            <w:vAlign w:val="center"/>
          </w:tcPr>
          <w:p w:rsidR="001669F2" w:rsidRPr="001D6512" w:rsidRDefault="001669F2" w:rsidP="00C3606E">
            <w:pPr>
              <w:pStyle w:val="TableCell"/>
              <w:spacing w:before="60" w:after="60"/>
            </w:pPr>
            <w:r w:rsidRPr="001D6512">
              <w:t>Peak Demand Impact</w:t>
            </w:r>
          </w:p>
        </w:tc>
        <w:tc>
          <w:tcPr>
            <w:tcW w:w="1906" w:type="dxa"/>
            <w:tcBorders>
              <w:top w:val="nil"/>
              <w:left w:val="nil"/>
              <w:bottom w:val="single" w:sz="4" w:space="0" w:color="auto"/>
              <w:right w:val="single" w:sz="4" w:space="0" w:color="auto"/>
            </w:tcBorders>
            <w:shd w:val="clear" w:color="auto" w:fill="auto"/>
            <w:noWrap/>
            <w:vAlign w:val="center"/>
          </w:tcPr>
          <w:p w:rsidR="001669F2" w:rsidRPr="001D6512" w:rsidRDefault="001669F2" w:rsidP="00C3606E">
            <w:pPr>
              <w:pStyle w:val="TableCell"/>
              <w:spacing w:before="60" w:after="60"/>
            </w:pPr>
            <w:r w:rsidRPr="001D6512">
              <w:t>0.0275 kW per door</w:t>
            </w:r>
          </w:p>
        </w:tc>
        <w:tc>
          <w:tcPr>
            <w:tcW w:w="2024" w:type="dxa"/>
            <w:tcBorders>
              <w:top w:val="nil"/>
              <w:left w:val="nil"/>
              <w:bottom w:val="single" w:sz="4" w:space="0" w:color="auto"/>
              <w:right w:val="single" w:sz="4" w:space="0" w:color="auto"/>
            </w:tcBorders>
            <w:vAlign w:val="center"/>
          </w:tcPr>
          <w:p w:rsidR="001669F2" w:rsidRPr="001D6512" w:rsidRDefault="001669F2" w:rsidP="00C3606E">
            <w:pPr>
              <w:pStyle w:val="TableCell"/>
              <w:spacing w:before="60" w:after="60"/>
            </w:pPr>
            <w:r w:rsidRPr="001D6512">
              <w:t xml:space="preserve">0.0110 kW per </w:t>
            </w:r>
            <w:r w:rsidR="00F11594" w:rsidRPr="001D6512">
              <w:t>linear</w:t>
            </w:r>
            <w:r w:rsidRPr="001D6512">
              <w:t xml:space="preserve"> ft</w:t>
            </w:r>
          </w:p>
        </w:tc>
      </w:tr>
      <w:tr w:rsidR="001669F2" w:rsidRPr="007031BF" w:rsidTr="00D17581">
        <w:trPr>
          <w:trHeight w:val="255"/>
        </w:trPr>
        <w:tc>
          <w:tcPr>
            <w:tcW w:w="3939" w:type="dxa"/>
            <w:tcBorders>
              <w:top w:val="single" w:sz="4" w:space="0" w:color="auto"/>
              <w:left w:val="single" w:sz="4" w:space="0" w:color="auto"/>
              <w:bottom w:val="single" w:sz="4" w:space="0" w:color="auto"/>
            </w:tcBorders>
            <w:shd w:val="pct15" w:color="auto" w:fill="auto"/>
            <w:noWrap/>
            <w:vAlign w:val="center"/>
          </w:tcPr>
          <w:p w:rsidR="001669F2" w:rsidRPr="001D6512" w:rsidRDefault="001669F2" w:rsidP="00C3606E">
            <w:pPr>
              <w:pStyle w:val="TableCell"/>
              <w:spacing w:before="60" w:after="60"/>
            </w:pPr>
            <w:r w:rsidRPr="001D6512">
              <w:t>Freezer</w:t>
            </w:r>
          </w:p>
        </w:tc>
        <w:tc>
          <w:tcPr>
            <w:tcW w:w="1906" w:type="dxa"/>
            <w:tcBorders>
              <w:top w:val="single" w:sz="4" w:space="0" w:color="auto"/>
              <w:bottom w:val="single" w:sz="4" w:space="0" w:color="auto"/>
            </w:tcBorders>
            <w:shd w:val="pct15" w:color="auto" w:fill="auto"/>
            <w:noWrap/>
            <w:vAlign w:val="center"/>
          </w:tcPr>
          <w:p w:rsidR="001669F2" w:rsidRPr="001D6512" w:rsidRDefault="001669F2" w:rsidP="00C3606E">
            <w:pPr>
              <w:pStyle w:val="TableCell"/>
              <w:spacing w:before="60" w:after="60"/>
            </w:pPr>
          </w:p>
        </w:tc>
        <w:tc>
          <w:tcPr>
            <w:tcW w:w="2024" w:type="dxa"/>
            <w:tcBorders>
              <w:top w:val="single" w:sz="4" w:space="0" w:color="auto"/>
              <w:bottom w:val="single" w:sz="4" w:space="0" w:color="auto"/>
              <w:right w:val="single" w:sz="4" w:space="0" w:color="auto"/>
            </w:tcBorders>
            <w:shd w:val="pct15" w:color="auto" w:fill="auto"/>
          </w:tcPr>
          <w:p w:rsidR="001669F2" w:rsidRPr="001D6512" w:rsidRDefault="001669F2" w:rsidP="00C3606E">
            <w:pPr>
              <w:pStyle w:val="TableCell"/>
              <w:spacing w:before="60" w:after="60"/>
            </w:pPr>
          </w:p>
        </w:tc>
      </w:tr>
      <w:tr w:rsidR="001669F2" w:rsidRPr="00E978DA" w:rsidTr="00D17581">
        <w:trPr>
          <w:trHeight w:val="255"/>
        </w:trPr>
        <w:tc>
          <w:tcPr>
            <w:tcW w:w="3939" w:type="dxa"/>
            <w:tcBorders>
              <w:top w:val="nil"/>
              <w:left w:val="single" w:sz="4" w:space="0" w:color="auto"/>
              <w:bottom w:val="single" w:sz="4" w:space="0" w:color="auto"/>
              <w:right w:val="single" w:sz="4" w:space="0" w:color="auto"/>
            </w:tcBorders>
            <w:shd w:val="clear" w:color="auto" w:fill="auto"/>
            <w:noWrap/>
            <w:vAlign w:val="center"/>
          </w:tcPr>
          <w:p w:rsidR="001669F2" w:rsidRPr="001D6512" w:rsidRDefault="001669F2" w:rsidP="00C3606E">
            <w:pPr>
              <w:pStyle w:val="TableCell"/>
              <w:spacing w:before="60" w:after="60"/>
            </w:pPr>
            <w:r w:rsidRPr="001D6512">
              <w:t>Energy Impact</w:t>
            </w:r>
          </w:p>
        </w:tc>
        <w:tc>
          <w:tcPr>
            <w:tcW w:w="1906" w:type="dxa"/>
            <w:tcBorders>
              <w:top w:val="nil"/>
              <w:left w:val="nil"/>
              <w:bottom w:val="single" w:sz="4" w:space="0" w:color="auto"/>
              <w:right w:val="single" w:sz="4" w:space="0" w:color="auto"/>
            </w:tcBorders>
            <w:shd w:val="clear" w:color="auto" w:fill="auto"/>
            <w:noWrap/>
            <w:vAlign w:val="center"/>
          </w:tcPr>
          <w:p w:rsidR="001669F2" w:rsidRPr="001D6512" w:rsidRDefault="001669F2" w:rsidP="00C3606E">
            <w:pPr>
              <w:pStyle w:val="TableCell"/>
              <w:spacing w:before="60" w:after="60"/>
            </w:pPr>
            <w:r w:rsidRPr="001D6512">
              <w:t>1,882 kWh per door</w:t>
            </w:r>
          </w:p>
        </w:tc>
        <w:tc>
          <w:tcPr>
            <w:tcW w:w="2024" w:type="dxa"/>
            <w:tcBorders>
              <w:top w:val="nil"/>
              <w:left w:val="nil"/>
              <w:bottom w:val="single" w:sz="4" w:space="0" w:color="auto"/>
              <w:right w:val="single" w:sz="4" w:space="0" w:color="auto"/>
            </w:tcBorders>
            <w:vAlign w:val="center"/>
          </w:tcPr>
          <w:p w:rsidR="001669F2" w:rsidRPr="001D6512" w:rsidRDefault="001669F2" w:rsidP="00C3606E">
            <w:pPr>
              <w:pStyle w:val="TableCell"/>
              <w:spacing w:before="60" w:after="60"/>
            </w:pPr>
            <w:r w:rsidRPr="001D6512">
              <w:t xml:space="preserve">753 kWh per </w:t>
            </w:r>
            <w:r w:rsidR="00F11594" w:rsidRPr="001D6512">
              <w:t>linear</w:t>
            </w:r>
            <w:r w:rsidRPr="001D6512">
              <w:t xml:space="preserve"> ft</w:t>
            </w:r>
          </w:p>
        </w:tc>
      </w:tr>
      <w:tr w:rsidR="001669F2" w:rsidRPr="00E978DA" w:rsidTr="00D17581">
        <w:trPr>
          <w:trHeight w:val="255"/>
        </w:trPr>
        <w:tc>
          <w:tcPr>
            <w:tcW w:w="3939" w:type="dxa"/>
            <w:tcBorders>
              <w:top w:val="nil"/>
              <w:left w:val="single" w:sz="4" w:space="0" w:color="auto"/>
              <w:bottom w:val="single" w:sz="4" w:space="0" w:color="auto"/>
              <w:right w:val="single" w:sz="4" w:space="0" w:color="auto"/>
            </w:tcBorders>
            <w:shd w:val="clear" w:color="auto" w:fill="auto"/>
            <w:noWrap/>
            <w:vAlign w:val="center"/>
          </w:tcPr>
          <w:p w:rsidR="001669F2" w:rsidRPr="001D6512" w:rsidRDefault="001669F2" w:rsidP="00C3606E">
            <w:pPr>
              <w:pStyle w:val="TableCell"/>
              <w:spacing w:before="60" w:after="60"/>
            </w:pPr>
            <w:r w:rsidRPr="001D6512">
              <w:t>Peak Demand Impact</w:t>
            </w:r>
          </w:p>
        </w:tc>
        <w:tc>
          <w:tcPr>
            <w:tcW w:w="1906" w:type="dxa"/>
            <w:tcBorders>
              <w:top w:val="nil"/>
              <w:left w:val="nil"/>
              <w:bottom w:val="single" w:sz="4" w:space="0" w:color="auto"/>
              <w:right w:val="single" w:sz="4" w:space="0" w:color="auto"/>
            </w:tcBorders>
            <w:shd w:val="clear" w:color="auto" w:fill="auto"/>
            <w:noWrap/>
            <w:vAlign w:val="center"/>
          </w:tcPr>
          <w:p w:rsidR="001669F2" w:rsidRPr="001D6512" w:rsidRDefault="001669F2" w:rsidP="00C3606E">
            <w:pPr>
              <w:pStyle w:val="TableCell"/>
              <w:spacing w:before="60" w:after="60"/>
            </w:pPr>
            <w:r w:rsidRPr="001D6512">
              <w:t>0.0287 kW per door</w:t>
            </w:r>
          </w:p>
        </w:tc>
        <w:tc>
          <w:tcPr>
            <w:tcW w:w="2024" w:type="dxa"/>
            <w:tcBorders>
              <w:top w:val="nil"/>
              <w:left w:val="nil"/>
              <w:bottom w:val="single" w:sz="4" w:space="0" w:color="auto"/>
              <w:right w:val="single" w:sz="4" w:space="0" w:color="auto"/>
            </w:tcBorders>
            <w:vAlign w:val="center"/>
          </w:tcPr>
          <w:p w:rsidR="001669F2" w:rsidRPr="001D6512" w:rsidRDefault="001669F2" w:rsidP="00C3606E">
            <w:pPr>
              <w:pStyle w:val="TableCell"/>
              <w:spacing w:before="60" w:after="60"/>
            </w:pPr>
            <w:r w:rsidRPr="001D6512">
              <w:t xml:space="preserve">0.0115 kW per </w:t>
            </w:r>
            <w:r w:rsidR="00F11594" w:rsidRPr="001D6512">
              <w:t>linear</w:t>
            </w:r>
            <w:r w:rsidRPr="001D6512">
              <w:t xml:space="preserve"> ft</w:t>
            </w:r>
          </w:p>
        </w:tc>
      </w:tr>
      <w:tr w:rsidR="001669F2" w:rsidRPr="007031BF" w:rsidTr="00D17581">
        <w:trPr>
          <w:trHeight w:val="255"/>
        </w:trPr>
        <w:tc>
          <w:tcPr>
            <w:tcW w:w="7869" w:type="dxa"/>
            <w:gridSpan w:val="3"/>
            <w:tcBorders>
              <w:top w:val="single" w:sz="4" w:space="0" w:color="auto"/>
              <w:left w:val="single" w:sz="4" w:space="0" w:color="auto"/>
              <w:bottom w:val="single" w:sz="4" w:space="0" w:color="auto"/>
              <w:right w:val="single" w:sz="4" w:space="0" w:color="auto"/>
            </w:tcBorders>
            <w:shd w:val="pct15" w:color="auto" w:fill="auto"/>
            <w:noWrap/>
            <w:vAlign w:val="center"/>
          </w:tcPr>
          <w:p w:rsidR="001669F2" w:rsidRPr="001D6512" w:rsidRDefault="001669F2" w:rsidP="00C3606E">
            <w:pPr>
              <w:pStyle w:val="TableCell"/>
              <w:spacing w:before="60" w:after="60"/>
            </w:pPr>
            <w:r w:rsidRPr="001D6512">
              <w:t>Default (case service temperature unknown)</w:t>
            </w:r>
          </w:p>
        </w:tc>
      </w:tr>
      <w:tr w:rsidR="001669F2" w:rsidRPr="00E978DA" w:rsidTr="00D17581">
        <w:trPr>
          <w:trHeight w:val="255"/>
        </w:trPr>
        <w:tc>
          <w:tcPr>
            <w:tcW w:w="3939" w:type="dxa"/>
            <w:tcBorders>
              <w:top w:val="nil"/>
              <w:left w:val="single" w:sz="4" w:space="0" w:color="auto"/>
              <w:bottom w:val="single" w:sz="4" w:space="0" w:color="auto"/>
              <w:right w:val="single" w:sz="4" w:space="0" w:color="auto"/>
            </w:tcBorders>
            <w:shd w:val="clear" w:color="auto" w:fill="auto"/>
            <w:noWrap/>
            <w:vAlign w:val="center"/>
          </w:tcPr>
          <w:p w:rsidR="001669F2" w:rsidRPr="001D6512" w:rsidRDefault="001669F2" w:rsidP="00C3606E">
            <w:pPr>
              <w:pStyle w:val="TableCell"/>
              <w:spacing w:before="60" w:after="60"/>
            </w:pPr>
            <w:r w:rsidRPr="001D6512">
              <w:t>Energy Impact</w:t>
            </w:r>
          </w:p>
        </w:tc>
        <w:tc>
          <w:tcPr>
            <w:tcW w:w="1906" w:type="dxa"/>
            <w:tcBorders>
              <w:top w:val="nil"/>
              <w:left w:val="nil"/>
              <w:bottom w:val="single" w:sz="4" w:space="0" w:color="auto"/>
              <w:right w:val="single" w:sz="4" w:space="0" w:color="auto"/>
            </w:tcBorders>
            <w:shd w:val="clear" w:color="auto" w:fill="auto"/>
            <w:noWrap/>
            <w:vAlign w:val="center"/>
          </w:tcPr>
          <w:p w:rsidR="001669F2" w:rsidRPr="001D6512" w:rsidRDefault="001669F2" w:rsidP="00C3606E">
            <w:pPr>
              <w:pStyle w:val="TableCell"/>
              <w:spacing w:before="60" w:after="60"/>
            </w:pPr>
            <w:r w:rsidRPr="001D6512">
              <w:t>1,298 kWh per door</w:t>
            </w:r>
          </w:p>
        </w:tc>
        <w:tc>
          <w:tcPr>
            <w:tcW w:w="2024" w:type="dxa"/>
            <w:tcBorders>
              <w:top w:val="nil"/>
              <w:left w:val="nil"/>
              <w:bottom w:val="single" w:sz="4" w:space="0" w:color="auto"/>
              <w:right w:val="single" w:sz="4" w:space="0" w:color="auto"/>
            </w:tcBorders>
            <w:vAlign w:val="center"/>
          </w:tcPr>
          <w:p w:rsidR="001669F2" w:rsidRPr="001D6512" w:rsidRDefault="001669F2" w:rsidP="00C3606E">
            <w:pPr>
              <w:pStyle w:val="TableCell"/>
              <w:spacing w:before="60" w:after="60"/>
            </w:pPr>
            <w:r w:rsidRPr="001D6512">
              <w:t xml:space="preserve">519 kWh per </w:t>
            </w:r>
            <w:r w:rsidR="00F11594" w:rsidRPr="001D6512">
              <w:t>linear</w:t>
            </w:r>
            <w:r w:rsidRPr="001D6512">
              <w:t xml:space="preserve"> ft</w:t>
            </w:r>
          </w:p>
        </w:tc>
      </w:tr>
      <w:tr w:rsidR="001669F2" w:rsidRPr="00E978DA" w:rsidTr="00D17581">
        <w:trPr>
          <w:trHeight w:val="255"/>
        </w:trPr>
        <w:tc>
          <w:tcPr>
            <w:tcW w:w="3939" w:type="dxa"/>
            <w:tcBorders>
              <w:top w:val="nil"/>
              <w:left w:val="single" w:sz="4" w:space="0" w:color="auto"/>
              <w:bottom w:val="single" w:sz="4" w:space="0" w:color="auto"/>
              <w:right w:val="single" w:sz="4" w:space="0" w:color="auto"/>
            </w:tcBorders>
            <w:shd w:val="clear" w:color="auto" w:fill="auto"/>
            <w:noWrap/>
            <w:vAlign w:val="center"/>
          </w:tcPr>
          <w:p w:rsidR="001669F2" w:rsidRPr="001D6512" w:rsidRDefault="001669F2" w:rsidP="00C3606E">
            <w:pPr>
              <w:pStyle w:val="TableCell"/>
              <w:spacing w:before="60" w:after="60"/>
            </w:pPr>
            <w:r w:rsidRPr="001D6512">
              <w:t>Peak Demand Impact</w:t>
            </w:r>
          </w:p>
        </w:tc>
        <w:tc>
          <w:tcPr>
            <w:tcW w:w="1906" w:type="dxa"/>
            <w:tcBorders>
              <w:top w:val="nil"/>
              <w:left w:val="nil"/>
              <w:bottom w:val="single" w:sz="4" w:space="0" w:color="auto"/>
              <w:right w:val="single" w:sz="4" w:space="0" w:color="auto"/>
            </w:tcBorders>
            <w:shd w:val="clear" w:color="auto" w:fill="auto"/>
            <w:noWrap/>
            <w:vAlign w:val="center"/>
          </w:tcPr>
          <w:p w:rsidR="001669F2" w:rsidRPr="001D6512" w:rsidRDefault="001669F2" w:rsidP="00C3606E">
            <w:pPr>
              <w:pStyle w:val="TableCell"/>
              <w:spacing w:before="60" w:after="60"/>
            </w:pPr>
            <w:r w:rsidRPr="001D6512">
              <w:t>0.0279 kW per door</w:t>
            </w:r>
          </w:p>
        </w:tc>
        <w:tc>
          <w:tcPr>
            <w:tcW w:w="2024" w:type="dxa"/>
            <w:tcBorders>
              <w:top w:val="nil"/>
              <w:left w:val="nil"/>
              <w:bottom w:val="single" w:sz="4" w:space="0" w:color="auto"/>
              <w:right w:val="single" w:sz="4" w:space="0" w:color="auto"/>
            </w:tcBorders>
            <w:vAlign w:val="center"/>
          </w:tcPr>
          <w:p w:rsidR="001669F2" w:rsidRPr="001D6512" w:rsidRDefault="001669F2" w:rsidP="00C3606E">
            <w:pPr>
              <w:pStyle w:val="TableCell"/>
              <w:spacing w:before="60" w:after="60"/>
            </w:pPr>
            <w:r w:rsidRPr="001D6512">
              <w:t xml:space="preserve">0.0112 kW per </w:t>
            </w:r>
            <w:r w:rsidR="00F11594" w:rsidRPr="001D6512">
              <w:t>linear</w:t>
            </w:r>
            <w:r w:rsidRPr="001D6512">
              <w:t xml:space="preserve"> ft</w:t>
            </w:r>
          </w:p>
        </w:tc>
      </w:tr>
    </w:tbl>
    <w:p w:rsidR="001669F2" w:rsidRDefault="001669F2" w:rsidP="00C3606E">
      <w:pPr>
        <w:rPr>
          <w:rFonts w:ascii="Times New Roman" w:hAnsi="Times New Roman"/>
          <w:sz w:val="24"/>
          <w:szCs w:val="24"/>
        </w:rPr>
      </w:pPr>
    </w:p>
    <w:p w:rsidR="001669F2" w:rsidRDefault="001669F2" w:rsidP="00871FA2">
      <w:pPr>
        <w:pStyle w:val="Heading3"/>
      </w:pPr>
      <w:r w:rsidRPr="00001996">
        <w:t>Measure Life</w:t>
      </w:r>
    </w:p>
    <w:p w:rsidR="001669F2" w:rsidRPr="00001996" w:rsidRDefault="001669F2" w:rsidP="00C3606E">
      <w:pPr>
        <w:rPr>
          <w:rFonts w:cs="Arial"/>
        </w:rPr>
      </w:pPr>
      <w:r w:rsidRPr="00001996">
        <w:rPr>
          <w:rFonts w:cs="Arial"/>
        </w:rPr>
        <w:t>12 Years (DEER 2008, Regional Technical Forum)</w:t>
      </w:r>
    </w:p>
    <w:p w:rsidR="001669F2" w:rsidRDefault="001669F2" w:rsidP="00896814"/>
    <w:p w:rsidR="006211B6" w:rsidRPr="006211B6" w:rsidRDefault="00C67DA4" w:rsidP="00E568D4">
      <w:pPr>
        <w:pStyle w:val="Heading2"/>
      </w:pPr>
      <w:r w:rsidRPr="00C67DA4">
        <w:rPr>
          <w:rFonts w:cs="Arial"/>
        </w:rPr>
        <w:br w:type="page"/>
      </w:r>
      <w:bookmarkStart w:id="818" w:name="_Toc310875448"/>
      <w:r w:rsidR="001E66AB">
        <w:lastRenderedPageBreak/>
        <w:t>High-Efficiency Refrigeration/Freezer Cases</w:t>
      </w:r>
      <w:bookmarkEnd w:id="818"/>
    </w:p>
    <w:p w:rsidR="006211B6" w:rsidRPr="006211B6" w:rsidRDefault="002146FB" w:rsidP="006211B6">
      <w:r>
        <w:rPr>
          <w:rFonts w:ascii="PalatinoLinotype" w:hAnsi="PalatinoLinotype" w:cs="PalatinoLinotype"/>
        </w:rPr>
        <w:t xml:space="preserve">This protocol estimates savings for installing high </w:t>
      </w:r>
      <w:r w:rsidRPr="00750794">
        <w:t xml:space="preserve">efficiency </w:t>
      </w:r>
      <w:r>
        <w:t>refrigeration and freezer cases</w:t>
      </w:r>
      <w:r w:rsidRPr="00750794">
        <w:t xml:space="preserve"> </w:t>
      </w:r>
      <w:r>
        <w:t xml:space="preserve">that qualify under the ENERGY STAR rating </w:t>
      </w:r>
      <w:r w:rsidRPr="00750794">
        <w:t xml:space="preserve">compared to </w:t>
      </w:r>
      <w:r>
        <w:t xml:space="preserve">refrigeration and freezer cases allowed by federal standards. </w:t>
      </w:r>
      <w:r w:rsidRPr="00750794">
        <w:t xml:space="preserve">The measurement of energy and demand savings is based </w:t>
      </w:r>
      <w:r>
        <w:t>on algorithms with volume as the key variable.</w:t>
      </w:r>
    </w:p>
    <w:p w:rsidR="001E66AB" w:rsidRPr="00686A87" w:rsidRDefault="001E66AB" w:rsidP="00871FA2">
      <w:pPr>
        <w:pStyle w:val="Heading3"/>
      </w:pPr>
      <w:r>
        <w:t>Algorithms</w:t>
      </w:r>
    </w:p>
    <w:p w:rsidR="001E66AB" w:rsidRDefault="001E66AB" w:rsidP="00E568D4">
      <w:pPr>
        <w:pStyle w:val="Heading4"/>
      </w:pPr>
      <w:r>
        <w:t xml:space="preserve">Products that can be ENERGY STAR 2.0 qualified: </w:t>
      </w:r>
    </w:p>
    <w:p w:rsidR="001E66AB" w:rsidRDefault="001E66AB" w:rsidP="00C3606E">
      <w:pPr>
        <w:pStyle w:val="BodyText"/>
      </w:pPr>
      <w:r>
        <w:t>Examples of product types that may be eligible for qualification include: reach-in, roll-in, or pass-through units; merchandisers; under</w:t>
      </w:r>
      <w:r w:rsidR="006211B6">
        <w:t xml:space="preserve"> </w:t>
      </w:r>
      <w:r>
        <w:t>counter units; milk coolers; back bar coolers; bottle coolers; glass frosters; deep well units; beer-dispensing or direct draw units; and bunker freezers.</w:t>
      </w:r>
    </w:p>
    <w:p w:rsidR="001E66AB" w:rsidRPr="005021BC" w:rsidRDefault="00A90B19" w:rsidP="00C3606E">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rPr>
        <w:tab/>
      </w:r>
      <w:r w:rsidR="00211842" w:rsidRPr="005021BC">
        <w:rPr>
          <w:rFonts w:cs="Arial"/>
          <w:szCs w:val="20"/>
        </w:rPr>
        <w:tab/>
      </w:r>
      <w:r w:rsidR="001E66AB" w:rsidRPr="005021BC">
        <w:rPr>
          <w:rFonts w:cs="Arial"/>
          <w:szCs w:val="20"/>
        </w:rPr>
        <w:t>= (kWh</w:t>
      </w:r>
      <w:r w:rsidR="001E66AB" w:rsidRPr="005021BC">
        <w:rPr>
          <w:rFonts w:cs="Arial"/>
          <w:szCs w:val="20"/>
          <w:vertAlign w:val="subscript"/>
        </w:rPr>
        <w:t>base</w:t>
      </w:r>
      <w:r w:rsidR="001E66AB" w:rsidRPr="005021BC">
        <w:rPr>
          <w:rFonts w:cs="Arial"/>
          <w:szCs w:val="20"/>
        </w:rPr>
        <w:t xml:space="preserve"> – kWh</w:t>
      </w:r>
      <w:r w:rsidRPr="005021BC">
        <w:rPr>
          <w:rFonts w:cs="Arial"/>
          <w:szCs w:val="20"/>
          <w:vertAlign w:val="subscript"/>
        </w:rPr>
        <w:t>ee</w:t>
      </w:r>
      <w:r w:rsidR="001E66AB" w:rsidRPr="005021BC">
        <w:rPr>
          <w:rFonts w:cs="Arial"/>
          <w:szCs w:val="20"/>
        </w:rPr>
        <w:t>)*days/year</w:t>
      </w:r>
    </w:p>
    <w:p w:rsidR="001E66AB" w:rsidRPr="005021BC" w:rsidRDefault="00A90B19" w:rsidP="00C3606E">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Pr>
          <w:rFonts w:cs="Arial"/>
          <w:szCs w:val="20"/>
        </w:rPr>
        <w:tab/>
      </w:r>
      <w:r w:rsidR="00211842" w:rsidRPr="005021BC">
        <w:rPr>
          <w:rFonts w:cs="Arial"/>
          <w:szCs w:val="20"/>
        </w:rPr>
        <w:tab/>
      </w:r>
      <w:r w:rsidR="001E66AB" w:rsidRPr="005021BC">
        <w:rPr>
          <w:rFonts w:cs="Arial"/>
          <w:szCs w:val="20"/>
        </w:rPr>
        <w:t>= (kWh</w:t>
      </w:r>
      <w:r w:rsidR="001E66AB" w:rsidRPr="005021BC">
        <w:rPr>
          <w:rFonts w:cs="Arial"/>
          <w:szCs w:val="20"/>
          <w:vertAlign w:val="subscript"/>
        </w:rPr>
        <w:t>base</w:t>
      </w:r>
      <w:r w:rsidR="001E66AB" w:rsidRPr="005021BC">
        <w:rPr>
          <w:rFonts w:cs="Arial"/>
          <w:szCs w:val="20"/>
        </w:rPr>
        <w:t xml:space="preserve"> – kWh</w:t>
      </w:r>
      <w:r w:rsidRPr="005021BC">
        <w:rPr>
          <w:rFonts w:cs="Arial"/>
          <w:szCs w:val="20"/>
          <w:vertAlign w:val="subscript"/>
        </w:rPr>
        <w:t>ee</w:t>
      </w:r>
      <w:r w:rsidR="001E66AB" w:rsidRPr="005021BC">
        <w:rPr>
          <w:rFonts w:cs="Arial"/>
          <w:szCs w:val="20"/>
        </w:rPr>
        <w:t>) * CF/24</w:t>
      </w:r>
    </w:p>
    <w:p w:rsidR="001E66AB" w:rsidRPr="00961244" w:rsidRDefault="001E66AB" w:rsidP="00E568D4">
      <w:pPr>
        <w:pStyle w:val="Heading4"/>
      </w:pPr>
      <w:r w:rsidRPr="00961244">
        <w:t xml:space="preserve">Products that </w:t>
      </w:r>
      <w:r>
        <w:t>can</w:t>
      </w:r>
      <w:r w:rsidRPr="00961244">
        <w:t>not be ENERGY STAR qualified:</w:t>
      </w:r>
    </w:p>
    <w:p w:rsidR="001E66AB" w:rsidRPr="0091231E" w:rsidRDefault="001E66AB" w:rsidP="00211842">
      <w:pPr>
        <w:pStyle w:val="BodyText"/>
      </w:pPr>
      <w:r w:rsidRPr="0091231E">
        <w:t>Drawer cabinets, prep tables, deli cases, and open air units are not eligible for ENERGY STAR under the Version 2.0 specification.</w:t>
      </w:r>
    </w:p>
    <w:p w:rsidR="001E66AB" w:rsidRPr="0091231E" w:rsidRDefault="001E66AB" w:rsidP="00211842">
      <w:pPr>
        <w:pStyle w:val="BodyText"/>
      </w:pPr>
      <w:r>
        <w:t xml:space="preserve">For these products, savings should be treated under a high-efficiency case fan, </w:t>
      </w:r>
      <w:r w:rsidR="00957825">
        <w:t>Electronically Commutated Motor (</w:t>
      </w:r>
      <w:r>
        <w:t>ECM</w:t>
      </w:r>
      <w:r w:rsidR="00957825">
        <w:t>)</w:t>
      </w:r>
      <w:r>
        <w:t xml:space="preserve"> option. </w:t>
      </w:r>
    </w:p>
    <w:p w:rsidR="001E66AB" w:rsidRPr="00C33ED8" w:rsidRDefault="001E66AB" w:rsidP="00871FA2">
      <w:pPr>
        <w:pStyle w:val="Heading3"/>
      </w:pPr>
      <w:r w:rsidRPr="00C33ED8">
        <w:t>Definition of Terms</w:t>
      </w:r>
    </w:p>
    <w:p w:rsidR="001E66AB" w:rsidRPr="005021BC" w:rsidRDefault="00211842" w:rsidP="00211842">
      <w:pPr>
        <w:pStyle w:val="Equation"/>
        <w:rPr>
          <w:rFonts w:cs="Arial"/>
          <w:szCs w:val="20"/>
        </w:rPr>
      </w:pPr>
      <w:r w:rsidRPr="005021BC">
        <w:rPr>
          <w:rFonts w:cs="Arial"/>
          <w:szCs w:val="20"/>
        </w:rPr>
        <w:tab/>
      </w:r>
      <w:r w:rsidR="001E66AB" w:rsidRPr="005021BC">
        <w:rPr>
          <w:rFonts w:cs="Arial"/>
          <w:szCs w:val="20"/>
        </w:rPr>
        <w:t>kWh</w:t>
      </w:r>
      <w:r w:rsidR="001E66AB" w:rsidRPr="005021BC">
        <w:rPr>
          <w:rFonts w:cs="Arial"/>
          <w:szCs w:val="20"/>
          <w:vertAlign w:val="subscript"/>
        </w:rPr>
        <w:t>base</w:t>
      </w:r>
      <w:r w:rsidR="001E66AB" w:rsidRPr="005021BC">
        <w:rPr>
          <w:rFonts w:cs="Arial"/>
          <w:szCs w:val="20"/>
        </w:rPr>
        <w:t xml:space="preserve"> </w:t>
      </w:r>
      <w:r w:rsidRPr="005021BC">
        <w:rPr>
          <w:rFonts w:cs="Arial"/>
          <w:szCs w:val="20"/>
        </w:rPr>
        <w:tab/>
      </w:r>
      <w:r w:rsidR="001E66AB" w:rsidRPr="005021BC">
        <w:rPr>
          <w:rFonts w:cs="Arial"/>
          <w:szCs w:val="20"/>
        </w:rPr>
        <w:t>= The unit energy consumption of a standard unit (kWh/day)</w:t>
      </w:r>
    </w:p>
    <w:p w:rsidR="001E66AB" w:rsidRPr="005021BC" w:rsidRDefault="00211842" w:rsidP="00211842">
      <w:pPr>
        <w:pStyle w:val="Equation"/>
        <w:rPr>
          <w:rFonts w:cs="Arial"/>
          <w:szCs w:val="20"/>
        </w:rPr>
      </w:pPr>
      <w:r w:rsidRPr="005021BC">
        <w:rPr>
          <w:rFonts w:cs="Arial"/>
          <w:szCs w:val="20"/>
        </w:rPr>
        <w:tab/>
      </w:r>
      <w:r w:rsidR="001E66AB" w:rsidRPr="005021BC">
        <w:rPr>
          <w:rFonts w:cs="Arial"/>
          <w:szCs w:val="20"/>
        </w:rPr>
        <w:t>kWh</w:t>
      </w:r>
      <w:r w:rsidR="00A90B19" w:rsidRPr="005021BC">
        <w:rPr>
          <w:rFonts w:cs="Arial"/>
          <w:szCs w:val="20"/>
          <w:vertAlign w:val="subscript"/>
        </w:rPr>
        <w:t>ee</w:t>
      </w:r>
      <w:r w:rsidR="001E66AB" w:rsidRPr="005021BC">
        <w:rPr>
          <w:rFonts w:cs="Arial"/>
          <w:szCs w:val="20"/>
        </w:rPr>
        <w:t xml:space="preserve"> </w:t>
      </w:r>
      <w:r w:rsidRPr="005021BC">
        <w:rPr>
          <w:rFonts w:cs="Arial"/>
          <w:szCs w:val="20"/>
        </w:rPr>
        <w:tab/>
      </w:r>
      <w:r w:rsidR="001E66AB" w:rsidRPr="005021BC">
        <w:rPr>
          <w:rFonts w:cs="Arial"/>
          <w:szCs w:val="20"/>
        </w:rPr>
        <w:t>= The unit energy consumption of the ENERGY STAR-qualified unit (kWh/day)</w:t>
      </w:r>
    </w:p>
    <w:p w:rsidR="001E66AB" w:rsidRPr="005021BC" w:rsidRDefault="00211842" w:rsidP="00211842">
      <w:pPr>
        <w:pStyle w:val="Equation"/>
        <w:rPr>
          <w:rFonts w:cs="Arial"/>
          <w:position w:val="6"/>
          <w:szCs w:val="20"/>
        </w:rPr>
      </w:pPr>
      <w:r w:rsidRPr="005021BC">
        <w:rPr>
          <w:rFonts w:cs="Arial"/>
          <w:szCs w:val="20"/>
        </w:rPr>
        <w:tab/>
      </w:r>
      <w:r w:rsidR="001E66AB" w:rsidRPr="005021BC">
        <w:rPr>
          <w:rFonts w:cs="Arial"/>
          <w:szCs w:val="20"/>
        </w:rPr>
        <w:t xml:space="preserve">CF </w:t>
      </w:r>
      <w:r w:rsidRPr="005021BC">
        <w:rPr>
          <w:rFonts w:cs="Arial"/>
          <w:szCs w:val="20"/>
        </w:rPr>
        <w:tab/>
      </w:r>
      <w:r w:rsidR="001E66AB" w:rsidRPr="005021BC">
        <w:rPr>
          <w:rFonts w:cs="Arial"/>
          <w:szCs w:val="20"/>
        </w:rPr>
        <w:t xml:space="preserve">= </w:t>
      </w:r>
      <w:r w:rsidR="005478EE" w:rsidRPr="005021BC">
        <w:rPr>
          <w:rFonts w:cs="Arial"/>
          <w:szCs w:val="20"/>
        </w:rPr>
        <w:t>Demand Coincidence Factor (See Section 1.4)</w:t>
      </w:r>
    </w:p>
    <w:p w:rsidR="001E66AB" w:rsidRPr="005021BC" w:rsidRDefault="00211842" w:rsidP="00211842">
      <w:pPr>
        <w:pStyle w:val="Equation"/>
        <w:rPr>
          <w:rFonts w:cs="Arial"/>
          <w:szCs w:val="20"/>
        </w:rPr>
      </w:pPr>
      <w:r w:rsidRPr="005021BC">
        <w:rPr>
          <w:rFonts w:cs="Arial"/>
          <w:szCs w:val="20"/>
        </w:rPr>
        <w:tab/>
      </w:r>
      <w:r w:rsidR="001E66AB" w:rsidRPr="005021BC">
        <w:rPr>
          <w:rFonts w:cs="Arial"/>
          <w:szCs w:val="20"/>
        </w:rPr>
        <w:t xml:space="preserve">V </w:t>
      </w:r>
      <w:r w:rsidRPr="005021BC">
        <w:rPr>
          <w:rFonts w:cs="Arial"/>
          <w:szCs w:val="20"/>
        </w:rPr>
        <w:tab/>
      </w:r>
      <w:r w:rsidR="001E66AB" w:rsidRPr="005021BC">
        <w:rPr>
          <w:rFonts w:cs="Arial"/>
          <w:szCs w:val="20"/>
        </w:rPr>
        <w:t>= Internal Volume</w:t>
      </w:r>
    </w:p>
    <w:p w:rsidR="0040225B" w:rsidRDefault="0040225B" w:rsidP="00B20F6B">
      <w:pPr>
        <w:pStyle w:val="Caption"/>
      </w:pPr>
      <w:bookmarkStart w:id="819" w:name="_Toc310875580"/>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28</w:t>
      </w:r>
      <w:r w:rsidR="00274AB1">
        <w:rPr>
          <w:noProof/>
        </w:rPr>
        <w:fldChar w:fldCharType="end"/>
      </w:r>
      <w:r>
        <w:t xml:space="preserve">: </w:t>
      </w:r>
      <w:r w:rsidRPr="007E3927">
        <w:t>Refrigeration Cases - References</w:t>
      </w:r>
      <w:bookmarkEnd w:id="819"/>
    </w:p>
    <w:tbl>
      <w:tblPr>
        <w:tblW w:w="8640" w:type="dxa"/>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020" w:firstRow="1" w:lastRow="0" w:firstColumn="0" w:lastColumn="0" w:noHBand="0" w:noVBand="0"/>
      </w:tblPr>
      <w:tblGrid>
        <w:gridCol w:w="2405"/>
        <w:gridCol w:w="1465"/>
        <w:gridCol w:w="2927"/>
        <w:gridCol w:w="1843"/>
      </w:tblGrid>
      <w:tr w:rsidR="001E66AB" w:rsidRPr="006E0899" w:rsidTr="00F01FA5">
        <w:trPr>
          <w:jc w:val="center"/>
        </w:trPr>
        <w:tc>
          <w:tcPr>
            <w:tcW w:w="2405" w:type="dxa"/>
            <w:tcBorders>
              <w:top w:val="single" w:sz="8" w:space="0" w:color="404040"/>
              <w:left w:val="single" w:sz="8" w:space="0" w:color="404040"/>
              <w:bottom w:val="single" w:sz="8" w:space="0" w:color="404040"/>
              <w:right w:val="single" w:sz="8" w:space="0" w:color="404040"/>
            </w:tcBorders>
            <w:shd w:val="clear" w:color="auto" w:fill="BFBFBF"/>
          </w:tcPr>
          <w:p w:rsidR="001E66AB" w:rsidRPr="001D6512" w:rsidRDefault="001E66AB" w:rsidP="00C3606E">
            <w:pPr>
              <w:pStyle w:val="TableCell"/>
              <w:spacing w:before="60" w:after="60"/>
              <w:rPr>
                <w:b/>
              </w:rPr>
            </w:pPr>
            <w:r w:rsidRPr="001D6512">
              <w:rPr>
                <w:b/>
              </w:rPr>
              <w:t>Component</w:t>
            </w:r>
          </w:p>
        </w:tc>
        <w:tc>
          <w:tcPr>
            <w:tcW w:w="1465" w:type="dxa"/>
            <w:tcBorders>
              <w:top w:val="single" w:sz="8" w:space="0" w:color="404040"/>
              <w:left w:val="single" w:sz="8" w:space="0" w:color="404040"/>
              <w:bottom w:val="single" w:sz="8" w:space="0" w:color="404040"/>
              <w:right w:val="single" w:sz="8" w:space="0" w:color="404040"/>
            </w:tcBorders>
            <w:shd w:val="clear" w:color="auto" w:fill="BFBFBF"/>
          </w:tcPr>
          <w:p w:rsidR="001E66AB" w:rsidRPr="001D6512" w:rsidRDefault="001E66AB" w:rsidP="00C3606E">
            <w:pPr>
              <w:pStyle w:val="TableCell"/>
              <w:spacing w:before="60" w:after="60"/>
              <w:rPr>
                <w:b/>
              </w:rPr>
            </w:pPr>
            <w:r w:rsidRPr="001D6512">
              <w:rPr>
                <w:b/>
              </w:rPr>
              <w:t>Type</w:t>
            </w:r>
          </w:p>
        </w:tc>
        <w:tc>
          <w:tcPr>
            <w:tcW w:w="2927" w:type="dxa"/>
            <w:tcBorders>
              <w:top w:val="single" w:sz="8" w:space="0" w:color="404040"/>
              <w:left w:val="single" w:sz="8" w:space="0" w:color="404040"/>
              <w:bottom w:val="single" w:sz="8" w:space="0" w:color="404040"/>
              <w:right w:val="single" w:sz="8" w:space="0" w:color="404040"/>
            </w:tcBorders>
            <w:shd w:val="clear" w:color="auto" w:fill="BFBFBF"/>
          </w:tcPr>
          <w:p w:rsidR="001E66AB" w:rsidRPr="001D6512" w:rsidRDefault="001E66AB" w:rsidP="00C3606E">
            <w:pPr>
              <w:pStyle w:val="TableCell"/>
              <w:spacing w:before="60" w:after="60"/>
              <w:rPr>
                <w:b/>
              </w:rPr>
            </w:pPr>
            <w:r w:rsidRPr="001D6512">
              <w:rPr>
                <w:b/>
              </w:rPr>
              <w:t>Value</w:t>
            </w:r>
          </w:p>
        </w:tc>
        <w:tc>
          <w:tcPr>
            <w:tcW w:w="1843" w:type="dxa"/>
            <w:tcBorders>
              <w:top w:val="single" w:sz="8" w:space="0" w:color="404040"/>
              <w:left w:val="single" w:sz="8" w:space="0" w:color="404040"/>
              <w:bottom w:val="single" w:sz="8" w:space="0" w:color="404040"/>
              <w:right w:val="single" w:sz="8" w:space="0" w:color="404040"/>
            </w:tcBorders>
            <w:shd w:val="clear" w:color="auto" w:fill="BFBFBF"/>
          </w:tcPr>
          <w:p w:rsidR="001E66AB" w:rsidRPr="001D6512" w:rsidRDefault="001E66AB" w:rsidP="00C3606E">
            <w:pPr>
              <w:pStyle w:val="TableCell"/>
              <w:spacing w:before="60" w:after="60"/>
              <w:rPr>
                <w:b/>
              </w:rPr>
            </w:pPr>
            <w:r w:rsidRPr="001D6512">
              <w:rPr>
                <w:b/>
              </w:rPr>
              <w:t>Sources</w:t>
            </w:r>
          </w:p>
        </w:tc>
      </w:tr>
      <w:tr w:rsidR="001E66AB" w:rsidRPr="006E0899" w:rsidTr="00F01FA5">
        <w:trPr>
          <w:jc w:val="center"/>
        </w:trPr>
        <w:tc>
          <w:tcPr>
            <w:tcW w:w="2405" w:type="dxa"/>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1E66AB" w:rsidP="00C3606E">
            <w:pPr>
              <w:pStyle w:val="TableCell"/>
              <w:spacing w:before="60" w:after="60"/>
            </w:pPr>
            <w:r w:rsidRPr="001D6512">
              <w:t>kWh</w:t>
            </w:r>
            <w:r w:rsidRPr="001D6512">
              <w:rPr>
                <w:vertAlign w:val="subscript"/>
              </w:rPr>
              <w:t>base</w:t>
            </w:r>
          </w:p>
        </w:tc>
        <w:tc>
          <w:tcPr>
            <w:tcW w:w="1465" w:type="dxa"/>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1E66AB" w:rsidP="00C3606E">
            <w:pPr>
              <w:pStyle w:val="TableCell"/>
              <w:spacing w:before="60" w:after="60"/>
            </w:pPr>
            <w:r w:rsidRPr="001D6512">
              <w:t xml:space="preserve"> Cal</w:t>
            </w:r>
            <w:r w:rsidR="00A90B19" w:rsidRPr="001D6512">
              <w:t>c</w:t>
            </w:r>
            <w:r w:rsidRPr="001D6512">
              <w:t>ulated</w:t>
            </w:r>
          </w:p>
        </w:tc>
        <w:tc>
          <w:tcPr>
            <w:tcW w:w="2927" w:type="dxa"/>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1E66AB" w:rsidP="00C3606E">
            <w:pPr>
              <w:pStyle w:val="TableCell"/>
              <w:spacing w:before="60" w:after="60"/>
            </w:pPr>
            <w:r w:rsidRPr="001D6512">
              <w:t xml:space="preserve">See </w:t>
            </w:r>
            <w:r w:rsidR="007A1FB6" w:rsidRPr="001D6512">
              <w:fldChar w:fldCharType="begin"/>
            </w:r>
            <w:r w:rsidR="00F01FA5" w:rsidRPr="001D6512">
              <w:instrText xml:space="preserve"> REF _Ref275903160 \h </w:instrText>
            </w:r>
            <w:r w:rsidR="007A1FB6" w:rsidRPr="001D6512">
              <w:fldChar w:fldCharType="separate"/>
            </w:r>
            <w:r w:rsidR="00C0292F">
              <w:t xml:space="preserve">Table </w:t>
            </w:r>
            <w:r w:rsidR="00C0292F">
              <w:rPr>
                <w:noProof/>
              </w:rPr>
              <w:t>3</w:t>
            </w:r>
            <w:r w:rsidR="00C0292F">
              <w:noBreakHyphen/>
            </w:r>
            <w:r w:rsidR="00C0292F">
              <w:rPr>
                <w:noProof/>
              </w:rPr>
              <w:t>29</w:t>
            </w:r>
            <w:r w:rsidR="007A1FB6" w:rsidRPr="001D6512">
              <w:fldChar w:fldCharType="end"/>
            </w:r>
            <w:r w:rsidR="00F01FA5" w:rsidRPr="001D6512">
              <w:t xml:space="preserve"> and </w:t>
            </w:r>
            <w:r w:rsidR="007A1FB6" w:rsidRPr="001D6512">
              <w:fldChar w:fldCharType="begin"/>
            </w:r>
            <w:r w:rsidR="00286F95" w:rsidRPr="001D6512">
              <w:instrText xml:space="preserve"> REF _Ref275903163 \h </w:instrText>
            </w:r>
            <w:r w:rsidR="007A1FB6" w:rsidRPr="001D6512">
              <w:fldChar w:fldCharType="separate"/>
            </w:r>
            <w:r w:rsidR="00C0292F">
              <w:t xml:space="preserve">Table </w:t>
            </w:r>
            <w:r w:rsidR="00C0292F">
              <w:rPr>
                <w:noProof/>
              </w:rPr>
              <w:t>3</w:t>
            </w:r>
            <w:r w:rsidR="00C0292F">
              <w:noBreakHyphen/>
            </w:r>
            <w:r w:rsidR="00C0292F">
              <w:rPr>
                <w:noProof/>
              </w:rPr>
              <w:t>30</w:t>
            </w:r>
            <w:r w:rsidR="007A1FB6" w:rsidRPr="001D6512">
              <w:fldChar w:fldCharType="end"/>
            </w:r>
          </w:p>
        </w:tc>
        <w:tc>
          <w:tcPr>
            <w:tcW w:w="1843" w:type="dxa"/>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1E66AB" w:rsidP="00C3606E">
            <w:pPr>
              <w:pStyle w:val="TableCell"/>
              <w:spacing w:before="60" w:after="60"/>
            </w:pPr>
            <w:r w:rsidRPr="001D6512">
              <w:t>1</w:t>
            </w:r>
          </w:p>
        </w:tc>
      </w:tr>
      <w:tr w:rsidR="001E66AB" w:rsidRPr="006E0899" w:rsidTr="00F01FA5">
        <w:trPr>
          <w:jc w:val="center"/>
        </w:trPr>
        <w:tc>
          <w:tcPr>
            <w:tcW w:w="2405" w:type="dxa"/>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1E66AB" w:rsidP="00C3606E">
            <w:pPr>
              <w:pStyle w:val="TableCell"/>
              <w:spacing w:before="60" w:after="60"/>
            </w:pPr>
            <w:r w:rsidRPr="001D6512">
              <w:t>kWh</w:t>
            </w:r>
            <w:r w:rsidR="00A90B19" w:rsidRPr="001D6512">
              <w:rPr>
                <w:vertAlign w:val="subscript"/>
              </w:rPr>
              <w:t>ee</w:t>
            </w:r>
          </w:p>
        </w:tc>
        <w:tc>
          <w:tcPr>
            <w:tcW w:w="1465" w:type="dxa"/>
            <w:tcBorders>
              <w:top w:val="single" w:sz="8" w:space="0" w:color="404040"/>
              <w:left w:val="single" w:sz="8" w:space="0" w:color="404040"/>
              <w:bottom w:val="single" w:sz="8" w:space="0" w:color="404040"/>
              <w:right w:val="single" w:sz="8" w:space="0" w:color="404040"/>
            </w:tcBorders>
          </w:tcPr>
          <w:p w:rsidR="001E66AB" w:rsidRPr="001D6512" w:rsidRDefault="001E66AB" w:rsidP="00C3606E">
            <w:pPr>
              <w:pStyle w:val="TableCell"/>
              <w:spacing w:before="60" w:after="60"/>
            </w:pPr>
            <w:r w:rsidRPr="001D6512">
              <w:t xml:space="preserve"> Cal</w:t>
            </w:r>
            <w:r w:rsidR="00A90B19" w:rsidRPr="001D6512">
              <w:t>c</w:t>
            </w:r>
            <w:r w:rsidRPr="001D6512">
              <w:t>ulated</w:t>
            </w:r>
          </w:p>
        </w:tc>
        <w:tc>
          <w:tcPr>
            <w:tcW w:w="2927" w:type="dxa"/>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1E66AB" w:rsidP="00C3606E">
            <w:pPr>
              <w:pStyle w:val="TableCell"/>
              <w:spacing w:before="60" w:after="60"/>
            </w:pPr>
            <w:r w:rsidRPr="001D6512">
              <w:t xml:space="preserve">See </w:t>
            </w:r>
            <w:r w:rsidR="007A1FB6" w:rsidRPr="001D6512">
              <w:fldChar w:fldCharType="begin"/>
            </w:r>
            <w:r w:rsidR="00286F95" w:rsidRPr="001D6512">
              <w:instrText xml:space="preserve"> REF _Ref275903160 \h </w:instrText>
            </w:r>
            <w:r w:rsidR="007A1FB6" w:rsidRPr="001D6512">
              <w:fldChar w:fldCharType="separate"/>
            </w:r>
            <w:r w:rsidR="00C0292F">
              <w:t xml:space="preserve">Table </w:t>
            </w:r>
            <w:r w:rsidR="00C0292F">
              <w:rPr>
                <w:noProof/>
              </w:rPr>
              <w:t>3</w:t>
            </w:r>
            <w:r w:rsidR="00C0292F">
              <w:noBreakHyphen/>
            </w:r>
            <w:r w:rsidR="00C0292F">
              <w:rPr>
                <w:noProof/>
              </w:rPr>
              <w:t>29</w:t>
            </w:r>
            <w:r w:rsidR="007A1FB6" w:rsidRPr="001D6512">
              <w:fldChar w:fldCharType="end"/>
            </w:r>
            <w:r w:rsidR="00286F95" w:rsidRPr="001D6512">
              <w:t xml:space="preserve"> and </w:t>
            </w:r>
            <w:r w:rsidR="007A1FB6" w:rsidRPr="001D6512">
              <w:fldChar w:fldCharType="begin"/>
            </w:r>
            <w:r w:rsidR="00286F95" w:rsidRPr="001D6512">
              <w:instrText xml:space="preserve"> REF _Ref275903163 \h </w:instrText>
            </w:r>
            <w:r w:rsidR="007A1FB6" w:rsidRPr="001D6512">
              <w:fldChar w:fldCharType="separate"/>
            </w:r>
            <w:r w:rsidR="00C0292F">
              <w:t xml:space="preserve">Table </w:t>
            </w:r>
            <w:r w:rsidR="00C0292F">
              <w:rPr>
                <w:noProof/>
              </w:rPr>
              <w:t>3</w:t>
            </w:r>
            <w:r w:rsidR="00C0292F">
              <w:noBreakHyphen/>
            </w:r>
            <w:r w:rsidR="00C0292F">
              <w:rPr>
                <w:noProof/>
              </w:rPr>
              <w:t>30</w:t>
            </w:r>
            <w:r w:rsidR="007A1FB6" w:rsidRPr="001D6512">
              <w:fldChar w:fldCharType="end"/>
            </w:r>
          </w:p>
        </w:tc>
        <w:tc>
          <w:tcPr>
            <w:tcW w:w="1843" w:type="dxa"/>
            <w:tcBorders>
              <w:top w:val="single" w:sz="8" w:space="0" w:color="404040"/>
              <w:left w:val="single" w:sz="8" w:space="0" w:color="404040"/>
              <w:bottom w:val="single" w:sz="8" w:space="0" w:color="404040"/>
              <w:right w:val="single" w:sz="8" w:space="0" w:color="404040"/>
            </w:tcBorders>
          </w:tcPr>
          <w:p w:rsidR="001E66AB" w:rsidRPr="001D6512" w:rsidRDefault="001E66AB" w:rsidP="00C3606E">
            <w:pPr>
              <w:pStyle w:val="TableCell"/>
              <w:spacing w:before="60" w:after="60"/>
            </w:pPr>
            <w:r w:rsidRPr="001D6512">
              <w:t>1</w:t>
            </w:r>
          </w:p>
        </w:tc>
      </w:tr>
      <w:tr w:rsidR="001E66AB" w:rsidRPr="006E0899" w:rsidTr="00F01FA5">
        <w:trPr>
          <w:jc w:val="center"/>
        </w:trPr>
        <w:tc>
          <w:tcPr>
            <w:tcW w:w="2405" w:type="dxa"/>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1E66AB" w:rsidP="00C3606E">
            <w:pPr>
              <w:pStyle w:val="TableCell"/>
              <w:spacing w:before="60" w:after="60"/>
            </w:pPr>
            <w:r w:rsidRPr="001D6512">
              <w:t>V</w:t>
            </w:r>
          </w:p>
        </w:tc>
        <w:tc>
          <w:tcPr>
            <w:tcW w:w="1465" w:type="dxa"/>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1E66AB" w:rsidP="00C3606E">
            <w:pPr>
              <w:pStyle w:val="TableCell"/>
              <w:spacing w:before="60" w:after="60"/>
            </w:pPr>
            <w:r w:rsidRPr="001D6512">
              <w:t>Variable</w:t>
            </w:r>
          </w:p>
        </w:tc>
        <w:tc>
          <w:tcPr>
            <w:tcW w:w="2927" w:type="dxa"/>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1E66AB" w:rsidP="00C3606E">
            <w:pPr>
              <w:pStyle w:val="TableCell"/>
              <w:spacing w:before="60" w:after="60"/>
            </w:pPr>
          </w:p>
        </w:tc>
        <w:tc>
          <w:tcPr>
            <w:tcW w:w="1843" w:type="dxa"/>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1E66AB" w:rsidP="00C3606E">
            <w:pPr>
              <w:pStyle w:val="TableCell"/>
              <w:spacing w:before="60" w:after="60"/>
            </w:pPr>
            <w:r w:rsidRPr="001D6512">
              <w:t>EDC data gathering</w:t>
            </w:r>
          </w:p>
        </w:tc>
      </w:tr>
      <w:tr w:rsidR="001E66AB" w:rsidRPr="006E0899" w:rsidTr="00F01FA5">
        <w:trPr>
          <w:jc w:val="center"/>
        </w:trPr>
        <w:tc>
          <w:tcPr>
            <w:tcW w:w="2405" w:type="dxa"/>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38789E" w:rsidP="00C3606E">
            <w:pPr>
              <w:pStyle w:val="TableCell"/>
              <w:spacing w:before="60" w:after="60"/>
            </w:pPr>
            <w:r w:rsidRPr="001D6512">
              <w:t>Days/year</w:t>
            </w:r>
          </w:p>
        </w:tc>
        <w:tc>
          <w:tcPr>
            <w:tcW w:w="1465" w:type="dxa"/>
            <w:tcBorders>
              <w:top w:val="single" w:sz="8" w:space="0" w:color="404040"/>
              <w:left w:val="single" w:sz="8" w:space="0" w:color="404040"/>
              <w:bottom w:val="single" w:sz="8" w:space="0" w:color="404040"/>
              <w:right w:val="single" w:sz="8" w:space="0" w:color="404040"/>
            </w:tcBorders>
          </w:tcPr>
          <w:p w:rsidR="001E66AB" w:rsidRPr="001D6512" w:rsidRDefault="0038789E" w:rsidP="00C3606E">
            <w:pPr>
              <w:pStyle w:val="TableCell"/>
              <w:spacing w:before="60" w:after="60"/>
            </w:pPr>
            <w:r w:rsidRPr="001D6512">
              <w:t>Fixed</w:t>
            </w:r>
          </w:p>
        </w:tc>
        <w:tc>
          <w:tcPr>
            <w:tcW w:w="2927" w:type="dxa"/>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38789E" w:rsidP="00C3606E">
            <w:pPr>
              <w:pStyle w:val="TableCell"/>
              <w:spacing w:before="60" w:after="60"/>
            </w:pPr>
            <w:r w:rsidRPr="001D6512">
              <w:t>365</w:t>
            </w:r>
          </w:p>
        </w:tc>
        <w:tc>
          <w:tcPr>
            <w:tcW w:w="1843" w:type="dxa"/>
            <w:tcBorders>
              <w:top w:val="single" w:sz="8" w:space="0" w:color="404040"/>
              <w:left w:val="single" w:sz="8" w:space="0" w:color="404040"/>
              <w:bottom w:val="single" w:sz="8" w:space="0" w:color="404040"/>
              <w:right w:val="single" w:sz="8" w:space="0" w:color="404040"/>
            </w:tcBorders>
          </w:tcPr>
          <w:p w:rsidR="001E66AB" w:rsidRPr="001D6512" w:rsidRDefault="0038789E" w:rsidP="00C3606E">
            <w:pPr>
              <w:pStyle w:val="TableCell"/>
              <w:spacing w:before="60" w:after="60"/>
            </w:pPr>
            <w:r w:rsidRPr="001D6512">
              <w:t>1</w:t>
            </w:r>
          </w:p>
        </w:tc>
      </w:tr>
      <w:tr w:rsidR="001E66AB" w:rsidRPr="006E0899" w:rsidTr="00F01FA5">
        <w:trPr>
          <w:jc w:val="center"/>
        </w:trPr>
        <w:tc>
          <w:tcPr>
            <w:tcW w:w="2405" w:type="dxa"/>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38789E" w:rsidP="00C3606E">
            <w:pPr>
              <w:pStyle w:val="TableCell"/>
              <w:spacing w:before="60" w:after="60"/>
            </w:pPr>
            <w:r w:rsidRPr="001D6512">
              <w:t>CF</w:t>
            </w:r>
          </w:p>
        </w:tc>
        <w:tc>
          <w:tcPr>
            <w:tcW w:w="1465" w:type="dxa"/>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38789E" w:rsidP="00C3606E">
            <w:pPr>
              <w:pStyle w:val="TableCell"/>
              <w:spacing w:before="60" w:after="60"/>
            </w:pPr>
            <w:r w:rsidRPr="001D6512">
              <w:t>Fixed</w:t>
            </w:r>
          </w:p>
        </w:tc>
        <w:tc>
          <w:tcPr>
            <w:tcW w:w="2927" w:type="dxa"/>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38789E" w:rsidP="00C3606E">
            <w:pPr>
              <w:pStyle w:val="TableCell"/>
              <w:spacing w:before="60" w:after="60"/>
            </w:pPr>
            <w:r w:rsidRPr="001D6512">
              <w:t>1.0</w:t>
            </w:r>
          </w:p>
        </w:tc>
        <w:tc>
          <w:tcPr>
            <w:tcW w:w="1843" w:type="dxa"/>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38789E" w:rsidP="00C3606E">
            <w:pPr>
              <w:pStyle w:val="TableCell"/>
              <w:spacing w:before="60" w:after="60"/>
            </w:pPr>
            <w:r w:rsidRPr="001D6512">
              <w:t>2</w:t>
            </w:r>
          </w:p>
        </w:tc>
      </w:tr>
    </w:tbl>
    <w:p w:rsidR="001E66AB" w:rsidRPr="003C7CF1" w:rsidRDefault="001E66AB" w:rsidP="00C3606E">
      <w:pPr>
        <w:spacing w:after="0"/>
      </w:pPr>
    </w:p>
    <w:p w:rsidR="001E66AB" w:rsidRPr="00BC5194" w:rsidRDefault="001E66AB" w:rsidP="00B20F6B">
      <w:pPr>
        <w:rPr>
          <w:b/>
        </w:rPr>
      </w:pPr>
      <w:r w:rsidRPr="00BC5194">
        <w:rPr>
          <w:b/>
        </w:rPr>
        <w:t>Sources:</w:t>
      </w:r>
    </w:p>
    <w:p w:rsidR="001E66AB" w:rsidRDefault="001E66AB" w:rsidP="0005632A">
      <w:pPr>
        <w:pStyle w:val="source1"/>
        <w:numPr>
          <w:ilvl w:val="0"/>
          <w:numId w:val="44"/>
        </w:numPr>
      </w:pPr>
      <w:r w:rsidRPr="00F634EC">
        <w:t xml:space="preserve">ENERGY STAR calculator, March, 2010 update. </w:t>
      </w:r>
      <w:r>
        <w:t xml:space="preserve"> </w:t>
      </w:r>
    </w:p>
    <w:p w:rsidR="001E66AB" w:rsidRDefault="001E66AB" w:rsidP="00C3606E">
      <w:pPr>
        <w:pStyle w:val="source1"/>
      </w:pPr>
      <w:r>
        <w:lastRenderedPageBreak/>
        <w:t>Load shape for commercial refrigeration equipment</w:t>
      </w:r>
    </w:p>
    <w:p w:rsidR="0040225B" w:rsidRDefault="0040225B" w:rsidP="00B20F6B">
      <w:pPr>
        <w:pStyle w:val="Caption"/>
      </w:pPr>
      <w:bookmarkStart w:id="820" w:name="_Ref275903160"/>
      <w:bookmarkStart w:id="821" w:name="_Toc310875581"/>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29</w:t>
      </w:r>
      <w:r w:rsidR="00274AB1">
        <w:rPr>
          <w:noProof/>
        </w:rPr>
        <w:fldChar w:fldCharType="end"/>
      </w:r>
      <w:bookmarkEnd w:id="820"/>
      <w:r>
        <w:t xml:space="preserve">: </w:t>
      </w:r>
      <w:r w:rsidRPr="001F1D5E">
        <w:t>Refrigeration Case Efficiencies</w:t>
      </w:r>
      <w:bookmarkEnd w:id="821"/>
    </w:p>
    <w:tbl>
      <w:tblPr>
        <w:tblW w:w="864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020" w:firstRow="1" w:lastRow="0" w:firstColumn="0" w:lastColumn="0" w:noHBand="0" w:noVBand="0"/>
      </w:tblPr>
      <w:tblGrid>
        <w:gridCol w:w="1799"/>
        <w:gridCol w:w="1793"/>
        <w:gridCol w:w="1557"/>
        <w:gridCol w:w="1999"/>
        <w:gridCol w:w="1492"/>
      </w:tblGrid>
      <w:tr w:rsidR="001E66AB" w:rsidRPr="006E0899" w:rsidTr="006211B6">
        <w:trPr>
          <w:trHeight w:val="288"/>
        </w:trPr>
        <w:tc>
          <w:tcPr>
            <w:tcW w:w="1809" w:type="dxa"/>
            <w:vMerge w:val="restart"/>
            <w:tcBorders>
              <w:top w:val="single" w:sz="8" w:space="0" w:color="404040"/>
              <w:left w:val="single" w:sz="8" w:space="0" w:color="404040"/>
              <w:bottom w:val="single" w:sz="8" w:space="0" w:color="404040"/>
              <w:right w:val="single" w:sz="8" w:space="0" w:color="404040"/>
            </w:tcBorders>
            <w:shd w:val="clear" w:color="auto" w:fill="BFBFBF"/>
            <w:vAlign w:val="center"/>
          </w:tcPr>
          <w:p w:rsidR="001E66AB" w:rsidRPr="001D6512" w:rsidRDefault="001E66AB" w:rsidP="00C3606E">
            <w:pPr>
              <w:pStyle w:val="TableCell"/>
              <w:spacing w:before="60" w:after="60"/>
              <w:rPr>
                <w:b/>
              </w:rPr>
            </w:pPr>
            <w:r w:rsidRPr="001D6512">
              <w:rPr>
                <w:b/>
              </w:rPr>
              <w:t>Volume (ft</w:t>
            </w:r>
            <w:r w:rsidRPr="001D6512">
              <w:rPr>
                <w:b/>
                <w:vertAlign w:val="superscript"/>
              </w:rPr>
              <w:t>3</w:t>
            </w:r>
            <w:r w:rsidRPr="001D6512">
              <w:rPr>
                <w:b/>
              </w:rPr>
              <w:t>)</w:t>
            </w:r>
          </w:p>
        </w:tc>
        <w:tc>
          <w:tcPr>
            <w:tcW w:w="3369" w:type="dxa"/>
            <w:gridSpan w:val="2"/>
            <w:tcBorders>
              <w:top w:val="single" w:sz="8" w:space="0" w:color="404040"/>
              <w:left w:val="single" w:sz="8" w:space="0" w:color="404040"/>
              <w:bottom w:val="single" w:sz="8" w:space="0" w:color="404040"/>
              <w:right w:val="single" w:sz="8" w:space="0" w:color="404040"/>
            </w:tcBorders>
            <w:shd w:val="clear" w:color="auto" w:fill="BFBFBF"/>
          </w:tcPr>
          <w:p w:rsidR="001E66AB" w:rsidRPr="001D6512" w:rsidRDefault="001E66AB" w:rsidP="00C3606E">
            <w:pPr>
              <w:pStyle w:val="TableCell"/>
              <w:spacing w:before="60" w:after="60"/>
              <w:jc w:val="center"/>
              <w:rPr>
                <w:b/>
              </w:rPr>
            </w:pPr>
            <w:r w:rsidRPr="001D6512">
              <w:rPr>
                <w:b/>
              </w:rPr>
              <w:t>Glass Door</w:t>
            </w:r>
          </w:p>
        </w:tc>
        <w:tc>
          <w:tcPr>
            <w:tcW w:w="3510" w:type="dxa"/>
            <w:gridSpan w:val="2"/>
            <w:tcBorders>
              <w:top w:val="single" w:sz="8" w:space="0" w:color="404040"/>
              <w:left w:val="single" w:sz="8" w:space="0" w:color="404040"/>
              <w:bottom w:val="single" w:sz="8" w:space="0" w:color="404040"/>
              <w:right w:val="single" w:sz="8" w:space="0" w:color="404040"/>
            </w:tcBorders>
            <w:shd w:val="clear" w:color="auto" w:fill="BFBFBF"/>
          </w:tcPr>
          <w:p w:rsidR="001E66AB" w:rsidRPr="001D6512" w:rsidRDefault="001E66AB" w:rsidP="00C3606E">
            <w:pPr>
              <w:pStyle w:val="TableCell"/>
              <w:spacing w:before="60" w:after="60"/>
              <w:jc w:val="center"/>
              <w:rPr>
                <w:b/>
              </w:rPr>
            </w:pPr>
            <w:r w:rsidRPr="001D6512">
              <w:rPr>
                <w:b/>
              </w:rPr>
              <w:t>Solid Door</w:t>
            </w:r>
          </w:p>
        </w:tc>
      </w:tr>
      <w:tr w:rsidR="001E66AB" w:rsidRPr="006E0899" w:rsidTr="00B0005F">
        <w:trPr>
          <w:trHeight w:val="288"/>
        </w:trPr>
        <w:tc>
          <w:tcPr>
            <w:tcW w:w="1809" w:type="dxa"/>
            <w:vMerge/>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1E66AB" w:rsidP="00C3606E">
            <w:pPr>
              <w:pStyle w:val="TableCell"/>
              <w:spacing w:before="60" w:after="60"/>
              <w:rPr>
                <w:b/>
                <w:color w:val="000000"/>
              </w:rPr>
            </w:pPr>
          </w:p>
        </w:tc>
        <w:tc>
          <w:tcPr>
            <w:tcW w:w="1803" w:type="dxa"/>
            <w:tcBorders>
              <w:top w:val="single" w:sz="8" w:space="0" w:color="404040"/>
              <w:left w:val="single" w:sz="8" w:space="0" w:color="404040"/>
              <w:bottom w:val="single" w:sz="8" w:space="0" w:color="404040"/>
              <w:right w:val="single" w:sz="8" w:space="0" w:color="404040"/>
            </w:tcBorders>
            <w:shd w:val="clear" w:color="auto" w:fill="BFBFBF"/>
          </w:tcPr>
          <w:p w:rsidR="001E66AB" w:rsidRPr="001D6512" w:rsidRDefault="0038789E" w:rsidP="00C3606E">
            <w:pPr>
              <w:pStyle w:val="TableCell"/>
              <w:spacing w:before="60" w:after="60"/>
              <w:rPr>
                <w:b/>
                <w:color w:val="000000"/>
              </w:rPr>
            </w:pPr>
            <w:r w:rsidRPr="001D6512">
              <w:rPr>
                <w:b/>
                <w:color w:val="000000"/>
              </w:rPr>
              <w:t>kWh</w:t>
            </w:r>
            <w:r w:rsidR="00F01FA5" w:rsidRPr="001D6512">
              <w:rPr>
                <w:b/>
                <w:color w:val="000000"/>
                <w:vertAlign w:val="subscript"/>
              </w:rPr>
              <w:t>ee</w:t>
            </w:r>
            <w:r w:rsidRPr="001D6512">
              <w:rPr>
                <w:b/>
                <w:color w:val="000000"/>
              </w:rPr>
              <w:t>/day</w:t>
            </w:r>
          </w:p>
        </w:tc>
        <w:tc>
          <w:tcPr>
            <w:tcW w:w="1566" w:type="dxa"/>
            <w:tcBorders>
              <w:top w:val="single" w:sz="8" w:space="0" w:color="404040"/>
              <w:left w:val="single" w:sz="8" w:space="0" w:color="404040"/>
              <w:bottom w:val="single" w:sz="8" w:space="0" w:color="404040"/>
              <w:right w:val="single" w:sz="8" w:space="0" w:color="404040"/>
            </w:tcBorders>
            <w:shd w:val="clear" w:color="auto" w:fill="BFBFBF"/>
          </w:tcPr>
          <w:p w:rsidR="001E66AB" w:rsidRPr="001D6512" w:rsidRDefault="0038789E" w:rsidP="00C3606E">
            <w:pPr>
              <w:pStyle w:val="TableCell"/>
              <w:spacing w:before="60" w:after="60"/>
              <w:rPr>
                <w:b/>
                <w:color w:val="000000"/>
              </w:rPr>
            </w:pPr>
            <w:r w:rsidRPr="001D6512">
              <w:rPr>
                <w:b/>
                <w:color w:val="000000"/>
              </w:rPr>
              <w:t>kWh</w:t>
            </w:r>
            <w:r w:rsidR="00DE180A" w:rsidRPr="001D6512">
              <w:rPr>
                <w:b/>
                <w:color w:val="000000"/>
                <w:vertAlign w:val="subscript"/>
              </w:rPr>
              <w:t>base</w:t>
            </w:r>
            <w:r w:rsidRPr="001D6512">
              <w:rPr>
                <w:b/>
                <w:color w:val="000000"/>
              </w:rPr>
              <w:t>/day</w:t>
            </w:r>
          </w:p>
        </w:tc>
        <w:tc>
          <w:tcPr>
            <w:tcW w:w="2010" w:type="dxa"/>
            <w:tcBorders>
              <w:top w:val="single" w:sz="8" w:space="0" w:color="404040"/>
              <w:left w:val="single" w:sz="8" w:space="0" w:color="404040"/>
              <w:bottom w:val="single" w:sz="8" w:space="0" w:color="404040"/>
              <w:right w:val="single" w:sz="8" w:space="0" w:color="404040"/>
            </w:tcBorders>
            <w:shd w:val="clear" w:color="auto" w:fill="BFBFBF"/>
          </w:tcPr>
          <w:p w:rsidR="001E66AB" w:rsidRPr="001D6512" w:rsidRDefault="0038789E" w:rsidP="00C3606E">
            <w:pPr>
              <w:pStyle w:val="TableCell"/>
              <w:spacing w:before="60" w:after="60"/>
              <w:rPr>
                <w:b/>
                <w:color w:val="000000"/>
              </w:rPr>
            </w:pPr>
            <w:r w:rsidRPr="001D6512">
              <w:rPr>
                <w:b/>
                <w:color w:val="000000"/>
              </w:rPr>
              <w:t>kWh</w:t>
            </w:r>
            <w:r w:rsidR="00F01FA5" w:rsidRPr="001D6512">
              <w:rPr>
                <w:b/>
                <w:color w:val="000000"/>
                <w:vertAlign w:val="subscript"/>
              </w:rPr>
              <w:t>ee</w:t>
            </w:r>
            <w:r w:rsidRPr="001D6512">
              <w:rPr>
                <w:b/>
                <w:color w:val="000000"/>
              </w:rPr>
              <w:t>/day</w:t>
            </w:r>
          </w:p>
        </w:tc>
        <w:tc>
          <w:tcPr>
            <w:tcW w:w="1500" w:type="dxa"/>
            <w:tcBorders>
              <w:top w:val="single" w:sz="8" w:space="0" w:color="404040"/>
              <w:left w:val="single" w:sz="8" w:space="0" w:color="404040"/>
              <w:bottom w:val="single" w:sz="8" w:space="0" w:color="404040"/>
              <w:right w:val="single" w:sz="8" w:space="0" w:color="404040"/>
            </w:tcBorders>
            <w:shd w:val="clear" w:color="auto" w:fill="BFBFBF"/>
          </w:tcPr>
          <w:p w:rsidR="001E66AB" w:rsidRPr="001D6512" w:rsidRDefault="0038789E" w:rsidP="00C3606E">
            <w:pPr>
              <w:pStyle w:val="TableCell"/>
              <w:spacing w:before="60" w:after="60"/>
              <w:rPr>
                <w:b/>
                <w:color w:val="000000"/>
              </w:rPr>
            </w:pPr>
            <w:r w:rsidRPr="001D6512">
              <w:rPr>
                <w:b/>
                <w:color w:val="000000"/>
              </w:rPr>
              <w:t>kWh</w:t>
            </w:r>
            <w:r w:rsidR="00DE180A" w:rsidRPr="001D6512">
              <w:rPr>
                <w:b/>
                <w:color w:val="000000"/>
                <w:vertAlign w:val="subscript"/>
              </w:rPr>
              <w:t>base</w:t>
            </w:r>
            <w:r w:rsidRPr="001D6512">
              <w:rPr>
                <w:b/>
                <w:color w:val="000000"/>
              </w:rPr>
              <w:t>/day</w:t>
            </w:r>
          </w:p>
        </w:tc>
      </w:tr>
      <w:tr w:rsidR="001E66AB" w:rsidRPr="006E0899" w:rsidTr="00B0005F">
        <w:trPr>
          <w:trHeight w:val="288"/>
        </w:trPr>
        <w:tc>
          <w:tcPr>
            <w:tcW w:w="1809" w:type="dxa"/>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38789E" w:rsidP="00C3606E">
            <w:pPr>
              <w:pStyle w:val="TableCell"/>
              <w:spacing w:before="60" w:after="60"/>
              <w:rPr>
                <w:rFonts w:cs="Calibri"/>
                <w:color w:val="000000"/>
              </w:rPr>
            </w:pPr>
            <w:r w:rsidRPr="001D6512">
              <w:rPr>
                <w:rFonts w:cs="Calibri"/>
                <w:color w:val="000000"/>
              </w:rPr>
              <w:t>V &lt; 15</w:t>
            </w:r>
          </w:p>
        </w:tc>
        <w:tc>
          <w:tcPr>
            <w:tcW w:w="1803" w:type="dxa"/>
            <w:tcBorders>
              <w:top w:val="single" w:sz="8" w:space="0" w:color="404040"/>
              <w:left w:val="single" w:sz="8" w:space="0" w:color="404040"/>
              <w:bottom w:val="single" w:sz="8" w:space="0" w:color="404040"/>
              <w:right w:val="single" w:sz="8" w:space="0" w:color="404040"/>
            </w:tcBorders>
          </w:tcPr>
          <w:p w:rsidR="001E66AB" w:rsidRPr="001D6512" w:rsidRDefault="0038789E" w:rsidP="00C3606E">
            <w:pPr>
              <w:pStyle w:val="TableCell"/>
              <w:spacing w:before="60" w:after="60"/>
              <w:rPr>
                <w:rFonts w:cs="Calibri"/>
                <w:color w:val="000000"/>
              </w:rPr>
            </w:pPr>
            <w:r w:rsidRPr="001D6512">
              <w:rPr>
                <w:rFonts w:cs="Calibri"/>
                <w:color w:val="000000"/>
              </w:rPr>
              <w:t>0.118*V + 1.382</w:t>
            </w:r>
          </w:p>
        </w:tc>
        <w:tc>
          <w:tcPr>
            <w:tcW w:w="1566" w:type="dxa"/>
            <w:vMerge w:val="restart"/>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38789E" w:rsidP="00C3606E">
            <w:pPr>
              <w:pStyle w:val="TableCell"/>
              <w:spacing w:before="60" w:after="60"/>
              <w:rPr>
                <w:rFonts w:cs="Calibri"/>
                <w:color w:val="000000"/>
              </w:rPr>
            </w:pPr>
            <w:r w:rsidRPr="001D6512">
              <w:rPr>
                <w:rFonts w:cs="Calibri"/>
                <w:color w:val="000000"/>
              </w:rPr>
              <w:t>0.12*V + 3.34</w:t>
            </w:r>
          </w:p>
        </w:tc>
        <w:tc>
          <w:tcPr>
            <w:tcW w:w="2010" w:type="dxa"/>
            <w:tcBorders>
              <w:top w:val="single" w:sz="8" w:space="0" w:color="404040"/>
              <w:left w:val="single" w:sz="8" w:space="0" w:color="404040"/>
              <w:bottom w:val="single" w:sz="8" w:space="0" w:color="404040"/>
              <w:right w:val="single" w:sz="8" w:space="0" w:color="404040"/>
            </w:tcBorders>
          </w:tcPr>
          <w:p w:rsidR="001E66AB" w:rsidRPr="001D6512" w:rsidRDefault="0038789E" w:rsidP="00C3606E">
            <w:pPr>
              <w:pStyle w:val="TableCell"/>
              <w:spacing w:before="60" w:after="60"/>
              <w:rPr>
                <w:rFonts w:cs="Calibri"/>
                <w:color w:val="000000"/>
              </w:rPr>
            </w:pPr>
            <w:r w:rsidRPr="001D6512">
              <w:rPr>
                <w:rFonts w:cs="Calibri"/>
                <w:color w:val="000000"/>
              </w:rPr>
              <w:t>0.089*V + 1.411</w:t>
            </w:r>
          </w:p>
        </w:tc>
        <w:tc>
          <w:tcPr>
            <w:tcW w:w="1500" w:type="dxa"/>
            <w:vMerge w:val="restart"/>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38789E" w:rsidP="00C3606E">
            <w:pPr>
              <w:pStyle w:val="TableCell"/>
              <w:spacing w:before="60" w:after="60"/>
              <w:rPr>
                <w:rFonts w:cs="Calibri"/>
                <w:color w:val="000000"/>
              </w:rPr>
            </w:pPr>
            <w:r w:rsidRPr="001D6512">
              <w:rPr>
                <w:rFonts w:cs="Calibri"/>
                <w:color w:val="000000"/>
              </w:rPr>
              <w:t>0.10*V + 2.04</w:t>
            </w:r>
          </w:p>
        </w:tc>
      </w:tr>
      <w:tr w:rsidR="001E66AB" w:rsidRPr="006E0899" w:rsidTr="00B0005F">
        <w:trPr>
          <w:trHeight w:val="288"/>
        </w:trPr>
        <w:tc>
          <w:tcPr>
            <w:tcW w:w="1809" w:type="dxa"/>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38789E" w:rsidP="00C3606E">
            <w:pPr>
              <w:pStyle w:val="TableCell"/>
              <w:spacing w:before="60" w:after="60"/>
              <w:rPr>
                <w:rFonts w:cs="Calibri"/>
                <w:color w:val="000000"/>
              </w:rPr>
            </w:pPr>
            <w:r w:rsidRPr="001D6512">
              <w:rPr>
                <w:rFonts w:cs="Calibri"/>
                <w:color w:val="000000"/>
              </w:rPr>
              <w:t>15 ≤ V &lt; 30</w:t>
            </w:r>
          </w:p>
        </w:tc>
        <w:tc>
          <w:tcPr>
            <w:tcW w:w="1803" w:type="dxa"/>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38789E" w:rsidP="00C3606E">
            <w:pPr>
              <w:pStyle w:val="TableCell"/>
              <w:spacing w:before="60" w:after="60"/>
              <w:rPr>
                <w:rFonts w:cs="Calibri"/>
                <w:color w:val="000000"/>
              </w:rPr>
            </w:pPr>
            <w:r w:rsidRPr="001D6512">
              <w:rPr>
                <w:rFonts w:cs="Calibri"/>
                <w:color w:val="000000"/>
              </w:rPr>
              <w:t>0.140*V + 1.050</w:t>
            </w:r>
          </w:p>
        </w:tc>
        <w:tc>
          <w:tcPr>
            <w:tcW w:w="1566" w:type="dxa"/>
            <w:vMerge/>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1E66AB" w:rsidP="00C3606E">
            <w:pPr>
              <w:pStyle w:val="TableCell"/>
              <w:spacing w:before="60" w:after="60"/>
              <w:rPr>
                <w:rFonts w:cs="Calibri"/>
                <w:color w:val="000000"/>
              </w:rPr>
            </w:pPr>
          </w:p>
        </w:tc>
        <w:tc>
          <w:tcPr>
            <w:tcW w:w="2010" w:type="dxa"/>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38789E" w:rsidP="00C3606E">
            <w:pPr>
              <w:pStyle w:val="TableCell"/>
              <w:spacing w:before="60" w:after="60"/>
              <w:rPr>
                <w:rFonts w:cs="Calibri"/>
                <w:color w:val="000000"/>
              </w:rPr>
            </w:pPr>
            <w:r w:rsidRPr="001D6512">
              <w:rPr>
                <w:rFonts w:cs="Calibri"/>
                <w:color w:val="000000"/>
              </w:rPr>
              <w:t>0.037*V + 2.200</w:t>
            </w:r>
          </w:p>
        </w:tc>
        <w:tc>
          <w:tcPr>
            <w:tcW w:w="1500" w:type="dxa"/>
            <w:vMerge/>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1E66AB" w:rsidP="00C3606E">
            <w:pPr>
              <w:pStyle w:val="TableCell"/>
              <w:spacing w:before="60" w:after="60"/>
              <w:rPr>
                <w:rFonts w:cs="Calibri"/>
                <w:color w:val="000000"/>
              </w:rPr>
            </w:pPr>
          </w:p>
        </w:tc>
      </w:tr>
      <w:tr w:rsidR="001E66AB" w:rsidRPr="006E0899" w:rsidTr="00B0005F">
        <w:trPr>
          <w:trHeight w:val="288"/>
        </w:trPr>
        <w:tc>
          <w:tcPr>
            <w:tcW w:w="1809" w:type="dxa"/>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38789E" w:rsidP="00C3606E">
            <w:pPr>
              <w:pStyle w:val="TableCell"/>
              <w:spacing w:before="60" w:after="60"/>
              <w:rPr>
                <w:rFonts w:cs="Calibri"/>
                <w:color w:val="000000"/>
              </w:rPr>
            </w:pPr>
            <w:r w:rsidRPr="001D6512">
              <w:rPr>
                <w:rFonts w:cs="Calibri"/>
                <w:color w:val="000000"/>
              </w:rPr>
              <w:t>30 ≤ V &lt; 50</w:t>
            </w:r>
          </w:p>
        </w:tc>
        <w:tc>
          <w:tcPr>
            <w:tcW w:w="1803" w:type="dxa"/>
            <w:tcBorders>
              <w:top w:val="single" w:sz="8" w:space="0" w:color="404040"/>
              <w:left w:val="single" w:sz="8" w:space="0" w:color="404040"/>
              <w:bottom w:val="single" w:sz="8" w:space="0" w:color="404040"/>
              <w:right w:val="single" w:sz="8" w:space="0" w:color="404040"/>
            </w:tcBorders>
          </w:tcPr>
          <w:p w:rsidR="001E66AB" w:rsidRPr="001D6512" w:rsidRDefault="0038789E" w:rsidP="00C3606E">
            <w:pPr>
              <w:pStyle w:val="TableCell"/>
              <w:spacing w:before="60" w:after="60"/>
              <w:rPr>
                <w:rFonts w:cs="Calibri"/>
                <w:color w:val="000000"/>
              </w:rPr>
            </w:pPr>
            <w:r w:rsidRPr="001D6512">
              <w:rPr>
                <w:rFonts w:cs="Calibri"/>
                <w:color w:val="000000"/>
              </w:rPr>
              <w:t>0.088*V + 2.625</w:t>
            </w:r>
          </w:p>
        </w:tc>
        <w:tc>
          <w:tcPr>
            <w:tcW w:w="1566" w:type="dxa"/>
            <w:vMerge/>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1E66AB" w:rsidP="00C3606E">
            <w:pPr>
              <w:pStyle w:val="TableCell"/>
              <w:spacing w:before="60" w:after="60"/>
              <w:rPr>
                <w:rFonts w:cs="Calibri"/>
                <w:color w:val="000000"/>
              </w:rPr>
            </w:pPr>
          </w:p>
        </w:tc>
        <w:tc>
          <w:tcPr>
            <w:tcW w:w="2010" w:type="dxa"/>
            <w:tcBorders>
              <w:top w:val="single" w:sz="8" w:space="0" w:color="404040"/>
              <w:left w:val="single" w:sz="8" w:space="0" w:color="404040"/>
              <w:bottom w:val="single" w:sz="8" w:space="0" w:color="404040"/>
              <w:right w:val="single" w:sz="8" w:space="0" w:color="404040"/>
            </w:tcBorders>
          </w:tcPr>
          <w:p w:rsidR="001E66AB" w:rsidRPr="001D6512" w:rsidRDefault="0038789E" w:rsidP="00C3606E">
            <w:pPr>
              <w:pStyle w:val="TableCell"/>
              <w:spacing w:before="60" w:after="60"/>
              <w:rPr>
                <w:rFonts w:cs="Calibri"/>
                <w:color w:val="000000"/>
              </w:rPr>
            </w:pPr>
            <w:r w:rsidRPr="001D6512">
              <w:rPr>
                <w:rFonts w:cs="Calibri"/>
                <w:color w:val="000000"/>
              </w:rPr>
              <w:t>0.056*V + 1.635</w:t>
            </w:r>
          </w:p>
        </w:tc>
        <w:tc>
          <w:tcPr>
            <w:tcW w:w="1500" w:type="dxa"/>
            <w:vMerge/>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1E66AB" w:rsidP="00C3606E">
            <w:pPr>
              <w:pStyle w:val="TableCell"/>
              <w:spacing w:before="60" w:after="60"/>
              <w:rPr>
                <w:rFonts w:cs="Calibri"/>
                <w:color w:val="000000"/>
              </w:rPr>
            </w:pPr>
          </w:p>
        </w:tc>
      </w:tr>
      <w:tr w:rsidR="001E66AB" w:rsidRPr="006E0899" w:rsidTr="00B0005F">
        <w:trPr>
          <w:trHeight w:val="288"/>
        </w:trPr>
        <w:tc>
          <w:tcPr>
            <w:tcW w:w="1809" w:type="dxa"/>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38789E" w:rsidP="00C3606E">
            <w:pPr>
              <w:pStyle w:val="TableCell"/>
              <w:spacing w:before="60" w:after="60"/>
              <w:rPr>
                <w:rFonts w:cs="Calibri"/>
                <w:color w:val="000000"/>
              </w:rPr>
            </w:pPr>
            <w:r w:rsidRPr="001D6512">
              <w:rPr>
                <w:rFonts w:cs="Calibri"/>
                <w:color w:val="000000"/>
              </w:rPr>
              <w:t>50 ≤ V</w:t>
            </w:r>
          </w:p>
        </w:tc>
        <w:tc>
          <w:tcPr>
            <w:tcW w:w="1803" w:type="dxa"/>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38789E" w:rsidP="00C3606E">
            <w:pPr>
              <w:pStyle w:val="TableCell"/>
              <w:spacing w:before="60" w:after="60"/>
              <w:rPr>
                <w:rFonts w:cs="Calibri"/>
                <w:color w:val="000000"/>
              </w:rPr>
            </w:pPr>
            <w:r w:rsidRPr="001D6512">
              <w:rPr>
                <w:rFonts w:cs="Calibri"/>
                <w:color w:val="000000"/>
              </w:rPr>
              <w:t>0.110*V + 1.50</w:t>
            </w:r>
          </w:p>
        </w:tc>
        <w:tc>
          <w:tcPr>
            <w:tcW w:w="1566" w:type="dxa"/>
            <w:vMerge/>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1E66AB" w:rsidP="00C3606E">
            <w:pPr>
              <w:pStyle w:val="TableCell"/>
              <w:spacing w:before="60" w:after="60"/>
              <w:rPr>
                <w:rFonts w:cs="Calibri"/>
                <w:color w:val="000000"/>
              </w:rPr>
            </w:pPr>
          </w:p>
        </w:tc>
        <w:tc>
          <w:tcPr>
            <w:tcW w:w="2010" w:type="dxa"/>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38789E" w:rsidP="00C3606E">
            <w:pPr>
              <w:pStyle w:val="TableCell"/>
              <w:spacing w:before="60" w:after="60"/>
              <w:rPr>
                <w:rFonts w:cs="Calibri"/>
                <w:color w:val="000000"/>
              </w:rPr>
            </w:pPr>
            <w:r w:rsidRPr="001D6512">
              <w:rPr>
                <w:rFonts w:cs="Calibri"/>
                <w:color w:val="000000"/>
              </w:rPr>
              <w:t>0.060*V + 1.416</w:t>
            </w:r>
          </w:p>
        </w:tc>
        <w:tc>
          <w:tcPr>
            <w:tcW w:w="1500" w:type="dxa"/>
            <w:vMerge/>
            <w:tcBorders>
              <w:top w:val="single" w:sz="8" w:space="0" w:color="404040"/>
              <w:left w:val="single" w:sz="8" w:space="0" w:color="404040"/>
              <w:bottom w:val="single" w:sz="8" w:space="0" w:color="404040"/>
              <w:right w:val="single" w:sz="8" w:space="0" w:color="404040"/>
            </w:tcBorders>
            <w:shd w:val="clear" w:color="auto" w:fill="FFFFFF"/>
          </w:tcPr>
          <w:p w:rsidR="001E66AB" w:rsidRPr="001D6512" w:rsidRDefault="001E66AB" w:rsidP="00C3606E">
            <w:pPr>
              <w:pStyle w:val="TableCell"/>
              <w:spacing w:before="60" w:after="60"/>
              <w:rPr>
                <w:color w:val="000000"/>
              </w:rPr>
            </w:pPr>
          </w:p>
        </w:tc>
      </w:tr>
    </w:tbl>
    <w:p w:rsidR="001E66AB" w:rsidRDefault="001E66AB" w:rsidP="00C3606E"/>
    <w:p w:rsidR="00286F95" w:rsidRDefault="00286F95" w:rsidP="00B20F6B">
      <w:pPr>
        <w:pStyle w:val="Caption"/>
      </w:pPr>
      <w:bookmarkStart w:id="822" w:name="_Ref275903163"/>
      <w:bookmarkStart w:id="823" w:name="_Toc310875582"/>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30</w:t>
      </w:r>
      <w:r w:rsidR="00274AB1">
        <w:rPr>
          <w:noProof/>
        </w:rPr>
        <w:fldChar w:fldCharType="end"/>
      </w:r>
      <w:bookmarkEnd w:id="822"/>
      <w:r>
        <w:t>: Freezer Case Efficiencies</w:t>
      </w:r>
      <w:bookmarkEnd w:id="823"/>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9"/>
        <w:gridCol w:w="1793"/>
        <w:gridCol w:w="1557"/>
        <w:gridCol w:w="1999"/>
        <w:gridCol w:w="1492"/>
      </w:tblGrid>
      <w:tr w:rsidR="00E263FC" w:rsidRPr="006E0899" w:rsidTr="006211B6">
        <w:trPr>
          <w:trHeight w:val="288"/>
        </w:trPr>
        <w:tc>
          <w:tcPr>
            <w:tcW w:w="1799" w:type="dxa"/>
            <w:vMerge w:val="restart"/>
            <w:shd w:val="clear" w:color="auto" w:fill="BFBFBF"/>
            <w:vAlign w:val="center"/>
          </w:tcPr>
          <w:p w:rsidR="001E66AB" w:rsidRPr="001D6512" w:rsidRDefault="001E66AB" w:rsidP="00C3606E">
            <w:pPr>
              <w:pStyle w:val="TableCell"/>
              <w:spacing w:before="60" w:after="60"/>
              <w:rPr>
                <w:b/>
              </w:rPr>
            </w:pPr>
            <w:r w:rsidRPr="001D6512">
              <w:rPr>
                <w:b/>
              </w:rPr>
              <w:t>Volume (ft</w:t>
            </w:r>
            <w:r w:rsidRPr="001D6512">
              <w:rPr>
                <w:b/>
                <w:vertAlign w:val="superscript"/>
              </w:rPr>
              <w:t>3</w:t>
            </w:r>
            <w:r w:rsidRPr="001D6512">
              <w:rPr>
                <w:b/>
              </w:rPr>
              <w:t>)</w:t>
            </w:r>
          </w:p>
        </w:tc>
        <w:tc>
          <w:tcPr>
            <w:tcW w:w="3350" w:type="dxa"/>
            <w:gridSpan w:val="2"/>
            <w:shd w:val="clear" w:color="auto" w:fill="BFBFBF"/>
          </w:tcPr>
          <w:p w:rsidR="001E66AB" w:rsidRPr="001D6512" w:rsidRDefault="001E66AB" w:rsidP="00C3606E">
            <w:pPr>
              <w:pStyle w:val="TableCell"/>
              <w:spacing w:before="60" w:after="60"/>
              <w:jc w:val="center"/>
              <w:rPr>
                <w:b/>
              </w:rPr>
            </w:pPr>
            <w:r w:rsidRPr="001D6512">
              <w:rPr>
                <w:b/>
              </w:rPr>
              <w:t>Glass Door</w:t>
            </w:r>
          </w:p>
        </w:tc>
        <w:tc>
          <w:tcPr>
            <w:tcW w:w="3491" w:type="dxa"/>
            <w:gridSpan w:val="2"/>
            <w:shd w:val="clear" w:color="auto" w:fill="BFBFBF"/>
          </w:tcPr>
          <w:p w:rsidR="001E66AB" w:rsidRPr="001D6512" w:rsidRDefault="001E66AB" w:rsidP="00C3606E">
            <w:pPr>
              <w:pStyle w:val="TableCell"/>
              <w:spacing w:before="60" w:after="60"/>
              <w:jc w:val="center"/>
              <w:rPr>
                <w:b/>
              </w:rPr>
            </w:pPr>
            <w:r w:rsidRPr="001D6512">
              <w:rPr>
                <w:b/>
              </w:rPr>
              <w:t>Solid Door</w:t>
            </w:r>
          </w:p>
        </w:tc>
      </w:tr>
      <w:tr w:rsidR="00E263FC" w:rsidRPr="006E0899" w:rsidTr="006211B6">
        <w:trPr>
          <w:trHeight w:val="288"/>
        </w:trPr>
        <w:tc>
          <w:tcPr>
            <w:tcW w:w="1799" w:type="dxa"/>
            <w:vMerge/>
            <w:shd w:val="clear" w:color="auto" w:fill="BFBFBF"/>
          </w:tcPr>
          <w:p w:rsidR="001E66AB" w:rsidRPr="001D6512" w:rsidRDefault="001E66AB" w:rsidP="00C3606E">
            <w:pPr>
              <w:pStyle w:val="TableCell"/>
              <w:spacing w:before="60" w:after="60"/>
              <w:rPr>
                <w:b/>
              </w:rPr>
            </w:pPr>
          </w:p>
        </w:tc>
        <w:tc>
          <w:tcPr>
            <w:tcW w:w="1793" w:type="dxa"/>
            <w:shd w:val="clear" w:color="auto" w:fill="BFBFBF"/>
            <w:vAlign w:val="center"/>
          </w:tcPr>
          <w:p w:rsidR="001E66AB" w:rsidRPr="001D6512" w:rsidRDefault="001E66AB" w:rsidP="00C3606E">
            <w:pPr>
              <w:pStyle w:val="TableCell"/>
              <w:spacing w:before="60" w:after="60"/>
              <w:rPr>
                <w:b/>
              </w:rPr>
            </w:pPr>
            <w:r w:rsidRPr="001D6512">
              <w:rPr>
                <w:b/>
              </w:rPr>
              <w:t>kWh</w:t>
            </w:r>
            <w:r w:rsidR="00F01FA5" w:rsidRPr="001D6512">
              <w:rPr>
                <w:b/>
                <w:vertAlign w:val="subscript"/>
              </w:rPr>
              <w:t>ee</w:t>
            </w:r>
            <w:r w:rsidRPr="001D6512">
              <w:rPr>
                <w:b/>
              </w:rPr>
              <w:t>/day</w:t>
            </w:r>
          </w:p>
        </w:tc>
        <w:tc>
          <w:tcPr>
            <w:tcW w:w="1557" w:type="dxa"/>
            <w:shd w:val="clear" w:color="auto" w:fill="BFBFBF"/>
            <w:vAlign w:val="center"/>
          </w:tcPr>
          <w:p w:rsidR="001E66AB" w:rsidRPr="001D6512" w:rsidRDefault="001E66AB" w:rsidP="00C3606E">
            <w:pPr>
              <w:pStyle w:val="TableCell"/>
              <w:spacing w:before="60" w:after="60"/>
              <w:rPr>
                <w:b/>
              </w:rPr>
            </w:pPr>
            <w:r w:rsidRPr="001D6512">
              <w:rPr>
                <w:b/>
              </w:rPr>
              <w:t>kWh</w:t>
            </w:r>
            <w:r w:rsidRPr="001D6512">
              <w:rPr>
                <w:b/>
                <w:vertAlign w:val="subscript"/>
              </w:rPr>
              <w:t>base</w:t>
            </w:r>
            <w:r w:rsidRPr="001D6512">
              <w:rPr>
                <w:b/>
              </w:rPr>
              <w:t>/day</w:t>
            </w:r>
          </w:p>
        </w:tc>
        <w:tc>
          <w:tcPr>
            <w:tcW w:w="1999" w:type="dxa"/>
            <w:shd w:val="clear" w:color="auto" w:fill="BFBFBF"/>
            <w:vAlign w:val="center"/>
          </w:tcPr>
          <w:p w:rsidR="001E66AB" w:rsidRPr="001D6512" w:rsidRDefault="001E66AB" w:rsidP="00C3606E">
            <w:pPr>
              <w:pStyle w:val="TableCell"/>
              <w:spacing w:before="60" w:after="60"/>
              <w:rPr>
                <w:b/>
              </w:rPr>
            </w:pPr>
            <w:r w:rsidRPr="001D6512">
              <w:rPr>
                <w:b/>
              </w:rPr>
              <w:t>kWh</w:t>
            </w:r>
            <w:r w:rsidR="00F01FA5" w:rsidRPr="001D6512">
              <w:rPr>
                <w:b/>
                <w:vertAlign w:val="subscript"/>
              </w:rPr>
              <w:t>ee</w:t>
            </w:r>
            <w:r w:rsidRPr="001D6512">
              <w:rPr>
                <w:b/>
              </w:rPr>
              <w:t>/day</w:t>
            </w:r>
          </w:p>
        </w:tc>
        <w:tc>
          <w:tcPr>
            <w:tcW w:w="1492" w:type="dxa"/>
            <w:shd w:val="clear" w:color="auto" w:fill="BFBFBF"/>
            <w:vAlign w:val="center"/>
          </w:tcPr>
          <w:p w:rsidR="001E66AB" w:rsidRPr="001D6512" w:rsidRDefault="001E66AB" w:rsidP="00C3606E">
            <w:pPr>
              <w:pStyle w:val="TableCell"/>
              <w:spacing w:before="60" w:after="60"/>
              <w:rPr>
                <w:b/>
              </w:rPr>
            </w:pPr>
            <w:r w:rsidRPr="001D6512">
              <w:rPr>
                <w:b/>
              </w:rPr>
              <w:t>kWh</w:t>
            </w:r>
            <w:r w:rsidRPr="001D6512">
              <w:rPr>
                <w:b/>
                <w:vertAlign w:val="subscript"/>
              </w:rPr>
              <w:t>base</w:t>
            </w:r>
            <w:r w:rsidRPr="001D6512">
              <w:rPr>
                <w:b/>
              </w:rPr>
              <w:t>/day</w:t>
            </w:r>
          </w:p>
        </w:tc>
      </w:tr>
      <w:tr w:rsidR="00E263FC" w:rsidRPr="006E0899" w:rsidTr="00B0005F">
        <w:trPr>
          <w:trHeight w:val="288"/>
        </w:trPr>
        <w:tc>
          <w:tcPr>
            <w:tcW w:w="1799" w:type="dxa"/>
          </w:tcPr>
          <w:p w:rsidR="001E66AB" w:rsidRPr="001D6512" w:rsidRDefault="001E66AB" w:rsidP="00C3606E">
            <w:pPr>
              <w:pStyle w:val="TableCell"/>
              <w:spacing w:before="60" w:after="60"/>
              <w:rPr>
                <w:rFonts w:cs="Calibri"/>
                <w:color w:val="000000"/>
              </w:rPr>
            </w:pPr>
            <w:r w:rsidRPr="001D6512">
              <w:rPr>
                <w:rFonts w:cs="Calibri"/>
                <w:color w:val="000000"/>
              </w:rPr>
              <w:t>V &lt; 15</w:t>
            </w:r>
          </w:p>
        </w:tc>
        <w:tc>
          <w:tcPr>
            <w:tcW w:w="1793" w:type="dxa"/>
          </w:tcPr>
          <w:p w:rsidR="001E66AB" w:rsidRPr="001D6512" w:rsidRDefault="001E66AB" w:rsidP="00C3606E">
            <w:pPr>
              <w:pStyle w:val="TableCell"/>
              <w:spacing w:before="60" w:after="60"/>
              <w:rPr>
                <w:rFonts w:cs="Calibri"/>
                <w:color w:val="000000"/>
              </w:rPr>
            </w:pPr>
            <w:r w:rsidRPr="001D6512">
              <w:rPr>
                <w:rFonts w:cs="Calibri"/>
                <w:color w:val="000000"/>
              </w:rPr>
              <w:t>0.607*V+0.893</w:t>
            </w:r>
          </w:p>
        </w:tc>
        <w:tc>
          <w:tcPr>
            <w:tcW w:w="1557" w:type="dxa"/>
            <w:vMerge w:val="restart"/>
          </w:tcPr>
          <w:p w:rsidR="001E66AB" w:rsidRPr="001D6512" w:rsidRDefault="001E66AB" w:rsidP="00C3606E">
            <w:pPr>
              <w:pStyle w:val="TableCell"/>
              <w:spacing w:before="60" w:after="60"/>
              <w:rPr>
                <w:rFonts w:cs="Calibri"/>
                <w:color w:val="000000"/>
              </w:rPr>
            </w:pPr>
            <w:r w:rsidRPr="001D6512">
              <w:rPr>
                <w:rFonts w:cs="Calibri"/>
                <w:color w:val="000000"/>
              </w:rPr>
              <w:t>0.75*V + 4.10</w:t>
            </w:r>
          </w:p>
        </w:tc>
        <w:tc>
          <w:tcPr>
            <w:tcW w:w="1999" w:type="dxa"/>
          </w:tcPr>
          <w:p w:rsidR="001E66AB" w:rsidRPr="001D6512" w:rsidRDefault="001E66AB" w:rsidP="00C3606E">
            <w:pPr>
              <w:pStyle w:val="TableCell"/>
              <w:spacing w:before="60" w:after="60"/>
              <w:rPr>
                <w:rFonts w:cs="Calibri"/>
                <w:color w:val="000000"/>
              </w:rPr>
            </w:pPr>
            <w:r w:rsidRPr="001D6512">
              <w:rPr>
                <w:rFonts w:cs="Calibri"/>
                <w:color w:val="000000"/>
              </w:rPr>
              <w:t>0.250*V + 1.25</w:t>
            </w:r>
          </w:p>
        </w:tc>
        <w:tc>
          <w:tcPr>
            <w:tcW w:w="1492" w:type="dxa"/>
            <w:vMerge w:val="restart"/>
          </w:tcPr>
          <w:p w:rsidR="001E66AB" w:rsidRPr="001D6512" w:rsidRDefault="001E66AB" w:rsidP="00C3606E">
            <w:pPr>
              <w:pStyle w:val="TableCell"/>
              <w:spacing w:before="60" w:after="60"/>
              <w:rPr>
                <w:rFonts w:cs="Calibri"/>
                <w:color w:val="000000"/>
              </w:rPr>
            </w:pPr>
            <w:r w:rsidRPr="001D6512">
              <w:rPr>
                <w:rFonts w:cs="Calibri"/>
                <w:color w:val="000000"/>
              </w:rPr>
              <w:t>0.4*V + 1.38</w:t>
            </w:r>
          </w:p>
        </w:tc>
      </w:tr>
      <w:tr w:rsidR="00E263FC" w:rsidRPr="006E0899" w:rsidTr="00B0005F">
        <w:trPr>
          <w:trHeight w:val="288"/>
        </w:trPr>
        <w:tc>
          <w:tcPr>
            <w:tcW w:w="1799" w:type="dxa"/>
          </w:tcPr>
          <w:p w:rsidR="001E66AB" w:rsidRPr="001D6512" w:rsidRDefault="0038789E" w:rsidP="00C3606E">
            <w:pPr>
              <w:pStyle w:val="TableCell"/>
              <w:spacing w:before="60" w:after="60"/>
              <w:rPr>
                <w:rFonts w:cs="Calibri"/>
                <w:color w:val="000000"/>
              </w:rPr>
            </w:pPr>
            <w:r w:rsidRPr="001D6512">
              <w:rPr>
                <w:rFonts w:cs="Calibri"/>
                <w:color w:val="000000"/>
              </w:rPr>
              <w:t>15 ≤ V &lt; 30</w:t>
            </w:r>
          </w:p>
        </w:tc>
        <w:tc>
          <w:tcPr>
            <w:tcW w:w="1793" w:type="dxa"/>
          </w:tcPr>
          <w:p w:rsidR="001E66AB" w:rsidRPr="001D6512" w:rsidRDefault="0038789E" w:rsidP="00C3606E">
            <w:pPr>
              <w:pStyle w:val="TableCell"/>
              <w:spacing w:before="60" w:after="60"/>
              <w:rPr>
                <w:rFonts w:cs="Calibri"/>
                <w:color w:val="000000"/>
              </w:rPr>
            </w:pPr>
            <w:r w:rsidRPr="001D6512">
              <w:rPr>
                <w:rFonts w:cs="Calibri"/>
                <w:color w:val="000000"/>
              </w:rPr>
              <w:t>0.733*V - 1.00</w:t>
            </w:r>
          </w:p>
        </w:tc>
        <w:tc>
          <w:tcPr>
            <w:tcW w:w="1557" w:type="dxa"/>
            <w:vMerge/>
          </w:tcPr>
          <w:p w:rsidR="001E66AB" w:rsidRPr="001D6512" w:rsidRDefault="001E66AB" w:rsidP="00C3606E">
            <w:pPr>
              <w:pStyle w:val="TableCell"/>
              <w:spacing w:before="60" w:after="60"/>
              <w:rPr>
                <w:rFonts w:cs="Calibri"/>
                <w:color w:val="000000"/>
              </w:rPr>
            </w:pPr>
          </w:p>
        </w:tc>
        <w:tc>
          <w:tcPr>
            <w:tcW w:w="1999" w:type="dxa"/>
          </w:tcPr>
          <w:p w:rsidR="001E66AB" w:rsidRPr="001D6512" w:rsidRDefault="0038789E" w:rsidP="00C3606E">
            <w:pPr>
              <w:pStyle w:val="TableCell"/>
              <w:spacing w:before="60" w:after="60"/>
              <w:rPr>
                <w:rFonts w:cs="Calibri"/>
                <w:color w:val="000000"/>
              </w:rPr>
            </w:pPr>
            <w:r w:rsidRPr="001D6512">
              <w:rPr>
                <w:rFonts w:cs="Calibri"/>
                <w:color w:val="000000"/>
              </w:rPr>
              <w:t>0.40*V – 1.00</w:t>
            </w:r>
          </w:p>
        </w:tc>
        <w:tc>
          <w:tcPr>
            <w:tcW w:w="1492" w:type="dxa"/>
            <w:vMerge/>
          </w:tcPr>
          <w:p w:rsidR="001E66AB" w:rsidRPr="001D6512" w:rsidRDefault="001E66AB" w:rsidP="00C3606E">
            <w:pPr>
              <w:pStyle w:val="TableCell"/>
              <w:spacing w:before="60" w:after="60"/>
              <w:rPr>
                <w:rFonts w:cs="Calibri"/>
                <w:color w:val="000000"/>
              </w:rPr>
            </w:pPr>
          </w:p>
        </w:tc>
      </w:tr>
      <w:tr w:rsidR="00E263FC" w:rsidRPr="006E0899" w:rsidTr="00B0005F">
        <w:trPr>
          <w:trHeight w:val="288"/>
        </w:trPr>
        <w:tc>
          <w:tcPr>
            <w:tcW w:w="1799" w:type="dxa"/>
          </w:tcPr>
          <w:p w:rsidR="001E66AB" w:rsidRPr="001D6512" w:rsidRDefault="0038789E" w:rsidP="00C3606E">
            <w:pPr>
              <w:pStyle w:val="TableCell"/>
              <w:spacing w:before="60" w:after="60"/>
              <w:rPr>
                <w:rFonts w:cs="Calibri"/>
                <w:color w:val="000000"/>
              </w:rPr>
            </w:pPr>
            <w:r w:rsidRPr="001D6512">
              <w:rPr>
                <w:rFonts w:cs="Calibri"/>
                <w:color w:val="000000"/>
              </w:rPr>
              <w:t>30 ≤ V &lt; 50</w:t>
            </w:r>
          </w:p>
        </w:tc>
        <w:tc>
          <w:tcPr>
            <w:tcW w:w="1793" w:type="dxa"/>
          </w:tcPr>
          <w:p w:rsidR="001E66AB" w:rsidRPr="001D6512" w:rsidRDefault="0038789E" w:rsidP="00C3606E">
            <w:pPr>
              <w:pStyle w:val="TableCell"/>
              <w:spacing w:before="60" w:after="60"/>
              <w:rPr>
                <w:rFonts w:cs="Calibri"/>
                <w:color w:val="000000"/>
              </w:rPr>
            </w:pPr>
            <w:r w:rsidRPr="001D6512">
              <w:rPr>
                <w:rFonts w:cs="Calibri"/>
                <w:color w:val="000000"/>
              </w:rPr>
              <w:t>0.250*V + 13.50</w:t>
            </w:r>
          </w:p>
        </w:tc>
        <w:tc>
          <w:tcPr>
            <w:tcW w:w="1557" w:type="dxa"/>
            <w:vMerge/>
          </w:tcPr>
          <w:p w:rsidR="001E66AB" w:rsidRPr="001D6512" w:rsidRDefault="001E66AB" w:rsidP="00C3606E">
            <w:pPr>
              <w:pStyle w:val="TableCell"/>
              <w:spacing w:before="60" w:after="60"/>
              <w:rPr>
                <w:rFonts w:cs="Calibri"/>
                <w:color w:val="000000"/>
              </w:rPr>
            </w:pPr>
          </w:p>
        </w:tc>
        <w:tc>
          <w:tcPr>
            <w:tcW w:w="1999" w:type="dxa"/>
          </w:tcPr>
          <w:p w:rsidR="001E66AB" w:rsidRPr="001D6512" w:rsidRDefault="0038789E" w:rsidP="00C3606E">
            <w:pPr>
              <w:pStyle w:val="TableCell"/>
              <w:spacing w:before="60" w:after="60"/>
              <w:rPr>
                <w:rFonts w:cs="Calibri"/>
                <w:color w:val="000000"/>
              </w:rPr>
            </w:pPr>
            <w:r w:rsidRPr="001D6512">
              <w:rPr>
                <w:rFonts w:cs="Calibri"/>
                <w:color w:val="000000"/>
              </w:rPr>
              <w:t>0.163*V + 6.125</w:t>
            </w:r>
          </w:p>
        </w:tc>
        <w:tc>
          <w:tcPr>
            <w:tcW w:w="1492" w:type="dxa"/>
            <w:vMerge/>
          </w:tcPr>
          <w:p w:rsidR="001E66AB" w:rsidRPr="001D6512" w:rsidRDefault="001E66AB" w:rsidP="00C3606E">
            <w:pPr>
              <w:pStyle w:val="TableCell"/>
              <w:spacing w:before="60" w:after="60"/>
            </w:pPr>
          </w:p>
        </w:tc>
      </w:tr>
      <w:tr w:rsidR="00E263FC" w:rsidRPr="006E0899" w:rsidTr="00B0005F">
        <w:trPr>
          <w:trHeight w:val="288"/>
        </w:trPr>
        <w:tc>
          <w:tcPr>
            <w:tcW w:w="1799" w:type="dxa"/>
          </w:tcPr>
          <w:p w:rsidR="001E66AB" w:rsidRPr="001D6512" w:rsidRDefault="0038789E" w:rsidP="00C3606E">
            <w:pPr>
              <w:pStyle w:val="TableCell"/>
              <w:spacing w:before="60" w:after="60"/>
              <w:rPr>
                <w:rFonts w:cs="Calibri"/>
                <w:color w:val="000000"/>
              </w:rPr>
            </w:pPr>
            <w:r w:rsidRPr="001D6512">
              <w:rPr>
                <w:rFonts w:cs="Calibri"/>
                <w:color w:val="000000"/>
              </w:rPr>
              <w:t>50 ≤ V</w:t>
            </w:r>
          </w:p>
        </w:tc>
        <w:tc>
          <w:tcPr>
            <w:tcW w:w="1793" w:type="dxa"/>
          </w:tcPr>
          <w:p w:rsidR="001E66AB" w:rsidRPr="001D6512" w:rsidRDefault="0038789E" w:rsidP="00C3606E">
            <w:pPr>
              <w:pStyle w:val="TableCell"/>
              <w:spacing w:before="60" w:after="60"/>
              <w:rPr>
                <w:rFonts w:cs="Calibri"/>
                <w:color w:val="000000"/>
              </w:rPr>
            </w:pPr>
            <w:r w:rsidRPr="001D6512">
              <w:rPr>
                <w:rFonts w:cs="Calibri"/>
                <w:color w:val="000000"/>
              </w:rPr>
              <w:t>0.450*V + 3.50</w:t>
            </w:r>
          </w:p>
        </w:tc>
        <w:tc>
          <w:tcPr>
            <w:tcW w:w="1557" w:type="dxa"/>
            <w:vMerge/>
          </w:tcPr>
          <w:p w:rsidR="001E66AB" w:rsidRPr="001D6512" w:rsidRDefault="001E66AB" w:rsidP="00C3606E">
            <w:pPr>
              <w:pStyle w:val="TableCell"/>
              <w:spacing w:before="60" w:after="60"/>
              <w:rPr>
                <w:rFonts w:cs="Calibri"/>
                <w:color w:val="000000"/>
              </w:rPr>
            </w:pPr>
          </w:p>
        </w:tc>
        <w:tc>
          <w:tcPr>
            <w:tcW w:w="1999" w:type="dxa"/>
          </w:tcPr>
          <w:p w:rsidR="001E66AB" w:rsidRPr="001D6512" w:rsidRDefault="0038789E" w:rsidP="00C3606E">
            <w:pPr>
              <w:pStyle w:val="TableCell"/>
              <w:spacing w:before="60" w:after="60"/>
              <w:rPr>
                <w:rFonts w:cs="Calibri"/>
                <w:color w:val="000000"/>
              </w:rPr>
            </w:pPr>
            <w:r w:rsidRPr="001D6512">
              <w:rPr>
                <w:rFonts w:cs="Calibri"/>
                <w:color w:val="000000"/>
              </w:rPr>
              <w:t>0.158*V + 6.333</w:t>
            </w:r>
          </w:p>
        </w:tc>
        <w:tc>
          <w:tcPr>
            <w:tcW w:w="1492" w:type="dxa"/>
            <w:vMerge/>
          </w:tcPr>
          <w:p w:rsidR="001E66AB" w:rsidRPr="001D6512" w:rsidRDefault="001E66AB" w:rsidP="00C3606E">
            <w:pPr>
              <w:pStyle w:val="TableCell"/>
              <w:spacing w:before="60" w:after="60"/>
            </w:pPr>
          </w:p>
        </w:tc>
      </w:tr>
    </w:tbl>
    <w:p w:rsidR="001E66AB" w:rsidRDefault="001E66AB" w:rsidP="00C3606E"/>
    <w:p w:rsidR="001E66AB" w:rsidRDefault="001E66AB" w:rsidP="00B20F6B">
      <w:r>
        <w:t>If precise case volume is unknown, default savings given in tables below can be used</w:t>
      </w:r>
      <w:r w:rsidR="00B20F6B">
        <w:t>.</w:t>
      </w:r>
    </w:p>
    <w:p w:rsidR="0040225B" w:rsidRDefault="0040225B" w:rsidP="00B20F6B">
      <w:pPr>
        <w:pStyle w:val="Caption"/>
      </w:pPr>
      <w:bookmarkStart w:id="824" w:name="_Toc310875583"/>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31</w:t>
      </w:r>
      <w:r w:rsidR="00274AB1">
        <w:rPr>
          <w:noProof/>
        </w:rPr>
        <w:fldChar w:fldCharType="end"/>
      </w:r>
      <w:r>
        <w:t xml:space="preserve">: </w:t>
      </w:r>
      <w:r w:rsidRPr="00363062">
        <w:t>Refrigeration Case Savings</w:t>
      </w:r>
      <w:bookmarkEnd w:id="824"/>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8"/>
        <w:gridCol w:w="1656"/>
        <w:gridCol w:w="1590"/>
        <w:gridCol w:w="1656"/>
        <w:gridCol w:w="1590"/>
      </w:tblGrid>
      <w:tr w:rsidR="001E66AB" w:rsidRPr="006E0899" w:rsidTr="006211B6">
        <w:trPr>
          <w:trHeight w:val="288"/>
          <w:jc w:val="center"/>
        </w:trPr>
        <w:tc>
          <w:tcPr>
            <w:tcW w:w="1809" w:type="dxa"/>
            <w:vMerge w:val="restart"/>
            <w:shd w:val="clear" w:color="auto" w:fill="BFBFBF"/>
            <w:vAlign w:val="center"/>
          </w:tcPr>
          <w:p w:rsidR="001E66AB" w:rsidRPr="001D6512" w:rsidRDefault="001E66AB" w:rsidP="00C3606E">
            <w:pPr>
              <w:pStyle w:val="TableCell"/>
              <w:spacing w:before="60" w:after="60"/>
              <w:rPr>
                <w:b/>
              </w:rPr>
            </w:pPr>
            <w:r w:rsidRPr="001D6512">
              <w:rPr>
                <w:b/>
              </w:rPr>
              <w:t>Volume (ft</w:t>
            </w:r>
            <w:r w:rsidRPr="001D6512">
              <w:rPr>
                <w:b/>
                <w:vertAlign w:val="superscript"/>
              </w:rPr>
              <w:t>3</w:t>
            </w:r>
            <w:r w:rsidRPr="001D6512">
              <w:rPr>
                <w:b/>
              </w:rPr>
              <w:t>)</w:t>
            </w:r>
          </w:p>
        </w:tc>
        <w:tc>
          <w:tcPr>
            <w:tcW w:w="2734" w:type="dxa"/>
            <w:gridSpan w:val="2"/>
            <w:shd w:val="clear" w:color="auto" w:fill="BFBFBF"/>
            <w:vAlign w:val="center"/>
          </w:tcPr>
          <w:p w:rsidR="001E66AB" w:rsidRPr="001D6512" w:rsidRDefault="001E66AB" w:rsidP="00C3606E">
            <w:pPr>
              <w:pStyle w:val="TableCell"/>
              <w:spacing w:before="60" w:after="60"/>
              <w:jc w:val="center"/>
              <w:rPr>
                <w:b/>
              </w:rPr>
            </w:pPr>
            <w:r w:rsidRPr="001D6512">
              <w:rPr>
                <w:b/>
              </w:rPr>
              <w:t>Annual Energy</w:t>
            </w:r>
            <w:r w:rsidR="00F01FA5" w:rsidRPr="001D6512">
              <w:rPr>
                <w:b/>
              </w:rPr>
              <w:t xml:space="preserve"> </w:t>
            </w:r>
            <w:r w:rsidRPr="001D6512">
              <w:rPr>
                <w:b/>
              </w:rPr>
              <w:t>Savings (kWh)</w:t>
            </w:r>
          </w:p>
        </w:tc>
        <w:tc>
          <w:tcPr>
            <w:tcW w:w="2734" w:type="dxa"/>
            <w:gridSpan w:val="2"/>
            <w:shd w:val="clear" w:color="auto" w:fill="BFBFBF"/>
            <w:vAlign w:val="center"/>
          </w:tcPr>
          <w:p w:rsidR="001E66AB" w:rsidRPr="001D6512" w:rsidRDefault="001E66AB" w:rsidP="00C3606E">
            <w:pPr>
              <w:pStyle w:val="TableCell"/>
              <w:spacing w:before="60" w:after="60"/>
              <w:jc w:val="center"/>
              <w:rPr>
                <w:b/>
              </w:rPr>
            </w:pPr>
            <w:r w:rsidRPr="001D6512">
              <w:rPr>
                <w:b/>
              </w:rPr>
              <w:t>Demand Impacts (kW)</w:t>
            </w:r>
          </w:p>
        </w:tc>
      </w:tr>
      <w:tr w:rsidR="001E66AB" w:rsidRPr="006E0899" w:rsidTr="006211B6">
        <w:trPr>
          <w:trHeight w:val="288"/>
          <w:jc w:val="center"/>
        </w:trPr>
        <w:tc>
          <w:tcPr>
            <w:tcW w:w="1809" w:type="dxa"/>
            <w:vMerge/>
            <w:shd w:val="clear" w:color="auto" w:fill="BFBFBF"/>
            <w:vAlign w:val="center"/>
          </w:tcPr>
          <w:p w:rsidR="001E66AB" w:rsidRPr="001D6512" w:rsidRDefault="001E66AB" w:rsidP="00C3606E">
            <w:pPr>
              <w:pStyle w:val="TableCell"/>
              <w:spacing w:before="60" w:after="60"/>
              <w:rPr>
                <w:b/>
              </w:rPr>
            </w:pPr>
          </w:p>
        </w:tc>
        <w:tc>
          <w:tcPr>
            <w:tcW w:w="1395" w:type="dxa"/>
            <w:shd w:val="clear" w:color="auto" w:fill="BFBFBF"/>
            <w:vAlign w:val="center"/>
          </w:tcPr>
          <w:p w:rsidR="001E66AB" w:rsidRPr="001D6512" w:rsidRDefault="001E66AB" w:rsidP="00C3606E">
            <w:pPr>
              <w:pStyle w:val="TableCell"/>
              <w:spacing w:before="60" w:after="60"/>
              <w:rPr>
                <w:b/>
              </w:rPr>
            </w:pPr>
            <w:r w:rsidRPr="001D6512">
              <w:rPr>
                <w:b/>
              </w:rPr>
              <w:t>Glass Door</w:t>
            </w:r>
          </w:p>
        </w:tc>
        <w:tc>
          <w:tcPr>
            <w:tcW w:w="1339" w:type="dxa"/>
            <w:shd w:val="clear" w:color="auto" w:fill="BFBFBF"/>
            <w:vAlign w:val="center"/>
          </w:tcPr>
          <w:p w:rsidR="001E66AB" w:rsidRPr="001D6512" w:rsidRDefault="001E66AB" w:rsidP="00C3606E">
            <w:pPr>
              <w:pStyle w:val="TableCell"/>
              <w:spacing w:before="60" w:after="60"/>
              <w:rPr>
                <w:b/>
              </w:rPr>
            </w:pPr>
            <w:r w:rsidRPr="001D6512">
              <w:rPr>
                <w:b/>
              </w:rPr>
              <w:t>Solid Door</w:t>
            </w:r>
          </w:p>
        </w:tc>
        <w:tc>
          <w:tcPr>
            <w:tcW w:w="1395" w:type="dxa"/>
            <w:shd w:val="clear" w:color="auto" w:fill="BFBFBF"/>
            <w:vAlign w:val="center"/>
          </w:tcPr>
          <w:p w:rsidR="001E66AB" w:rsidRPr="001D6512" w:rsidRDefault="001E66AB" w:rsidP="00C3606E">
            <w:pPr>
              <w:pStyle w:val="TableCell"/>
              <w:spacing w:before="60" w:after="60"/>
              <w:rPr>
                <w:b/>
              </w:rPr>
            </w:pPr>
            <w:r w:rsidRPr="001D6512">
              <w:rPr>
                <w:b/>
              </w:rPr>
              <w:t>Glass Door</w:t>
            </w:r>
          </w:p>
        </w:tc>
        <w:tc>
          <w:tcPr>
            <w:tcW w:w="1339" w:type="dxa"/>
            <w:shd w:val="clear" w:color="auto" w:fill="BFBFBF"/>
            <w:vAlign w:val="center"/>
          </w:tcPr>
          <w:p w:rsidR="001E66AB" w:rsidRPr="001D6512" w:rsidRDefault="001E66AB" w:rsidP="00C3606E">
            <w:pPr>
              <w:pStyle w:val="TableCell"/>
              <w:spacing w:before="60" w:after="60"/>
              <w:rPr>
                <w:b/>
              </w:rPr>
            </w:pPr>
            <w:r w:rsidRPr="001D6512">
              <w:rPr>
                <w:b/>
              </w:rPr>
              <w:t>Solid Door</w:t>
            </w:r>
          </w:p>
        </w:tc>
      </w:tr>
      <w:tr w:rsidR="001E66AB" w:rsidRPr="006E0899" w:rsidTr="00B0005F">
        <w:trPr>
          <w:trHeight w:val="288"/>
          <w:jc w:val="center"/>
        </w:trPr>
        <w:tc>
          <w:tcPr>
            <w:tcW w:w="1809" w:type="dxa"/>
          </w:tcPr>
          <w:p w:rsidR="001E66AB" w:rsidRPr="001D6512" w:rsidRDefault="001E66AB" w:rsidP="00C3606E">
            <w:pPr>
              <w:pStyle w:val="TableCell"/>
              <w:spacing w:before="60" w:after="60"/>
              <w:rPr>
                <w:rFonts w:cs="Calibri"/>
                <w:color w:val="000000"/>
              </w:rPr>
            </w:pPr>
            <w:r w:rsidRPr="001D6512">
              <w:rPr>
                <w:rFonts w:cs="Calibri"/>
                <w:color w:val="000000"/>
              </w:rPr>
              <w:t>V &lt; 15</w:t>
            </w:r>
          </w:p>
        </w:tc>
        <w:tc>
          <w:tcPr>
            <w:tcW w:w="1395" w:type="dxa"/>
          </w:tcPr>
          <w:p w:rsidR="001E66AB" w:rsidRPr="001D6512" w:rsidRDefault="001E66AB" w:rsidP="00C3606E">
            <w:pPr>
              <w:pStyle w:val="TableCell"/>
              <w:spacing w:before="60" w:after="60"/>
              <w:rPr>
                <w:rFonts w:cs="Calibri"/>
                <w:color w:val="000000"/>
              </w:rPr>
            </w:pPr>
            <w:r w:rsidRPr="001D6512">
              <w:rPr>
                <w:rFonts w:cs="Calibri"/>
                <w:color w:val="000000"/>
              </w:rPr>
              <w:t>722</w:t>
            </w:r>
          </w:p>
        </w:tc>
        <w:tc>
          <w:tcPr>
            <w:tcW w:w="1339" w:type="dxa"/>
          </w:tcPr>
          <w:p w:rsidR="001E66AB" w:rsidRPr="001D6512" w:rsidRDefault="001E66AB" w:rsidP="00C3606E">
            <w:pPr>
              <w:pStyle w:val="TableCell"/>
              <w:spacing w:before="60" w:after="60"/>
              <w:rPr>
                <w:rFonts w:cs="Calibri"/>
                <w:color w:val="000000"/>
              </w:rPr>
            </w:pPr>
            <w:r w:rsidRPr="001D6512">
              <w:rPr>
                <w:rFonts w:cs="Calibri"/>
                <w:color w:val="000000"/>
              </w:rPr>
              <w:t>268</w:t>
            </w:r>
          </w:p>
        </w:tc>
        <w:tc>
          <w:tcPr>
            <w:tcW w:w="1395" w:type="dxa"/>
          </w:tcPr>
          <w:p w:rsidR="001E66AB" w:rsidRPr="001D6512" w:rsidRDefault="001E66AB" w:rsidP="00C3606E">
            <w:pPr>
              <w:pStyle w:val="TableCell"/>
              <w:spacing w:before="60" w:after="60"/>
              <w:rPr>
                <w:rFonts w:cs="Calibri"/>
                <w:color w:val="000000"/>
              </w:rPr>
            </w:pPr>
            <w:r w:rsidRPr="001D6512">
              <w:rPr>
                <w:rFonts w:cs="Calibri"/>
                <w:color w:val="000000"/>
              </w:rPr>
              <w:t>0.0824</w:t>
            </w:r>
          </w:p>
        </w:tc>
        <w:tc>
          <w:tcPr>
            <w:tcW w:w="1339" w:type="dxa"/>
          </w:tcPr>
          <w:p w:rsidR="001E66AB" w:rsidRPr="001D6512" w:rsidRDefault="001E66AB" w:rsidP="00C3606E">
            <w:pPr>
              <w:pStyle w:val="TableCell"/>
              <w:spacing w:before="60" w:after="60"/>
              <w:rPr>
                <w:rFonts w:cs="Calibri"/>
                <w:color w:val="000000"/>
              </w:rPr>
            </w:pPr>
            <w:r w:rsidRPr="001D6512">
              <w:rPr>
                <w:rFonts w:cs="Calibri"/>
                <w:color w:val="000000"/>
              </w:rPr>
              <w:t>0.0306</w:t>
            </w:r>
          </w:p>
        </w:tc>
      </w:tr>
      <w:tr w:rsidR="001E66AB" w:rsidRPr="006E0899" w:rsidTr="00B0005F">
        <w:trPr>
          <w:trHeight w:val="288"/>
          <w:jc w:val="center"/>
        </w:trPr>
        <w:tc>
          <w:tcPr>
            <w:tcW w:w="1809" w:type="dxa"/>
          </w:tcPr>
          <w:p w:rsidR="001E66AB" w:rsidRPr="001D6512" w:rsidRDefault="001E66AB" w:rsidP="00C3606E">
            <w:pPr>
              <w:pStyle w:val="TableCell"/>
              <w:spacing w:before="60" w:after="60"/>
              <w:rPr>
                <w:rFonts w:cs="Calibri"/>
                <w:color w:val="000000"/>
              </w:rPr>
            </w:pPr>
            <w:r w:rsidRPr="001D6512">
              <w:rPr>
                <w:rFonts w:cs="Calibri"/>
                <w:color w:val="000000"/>
              </w:rPr>
              <w:t>15 ≤ V &lt; 30</w:t>
            </w:r>
          </w:p>
        </w:tc>
        <w:tc>
          <w:tcPr>
            <w:tcW w:w="1395" w:type="dxa"/>
          </w:tcPr>
          <w:p w:rsidR="001E66AB" w:rsidRPr="001D6512" w:rsidRDefault="001E66AB" w:rsidP="00C3606E">
            <w:pPr>
              <w:pStyle w:val="TableCell"/>
              <w:spacing w:before="60" w:after="60"/>
              <w:rPr>
                <w:rFonts w:cs="Calibri"/>
                <w:color w:val="000000"/>
              </w:rPr>
            </w:pPr>
            <w:r w:rsidRPr="001D6512">
              <w:rPr>
                <w:rFonts w:cs="Calibri"/>
                <w:color w:val="000000"/>
              </w:rPr>
              <w:t>683</w:t>
            </w:r>
          </w:p>
        </w:tc>
        <w:tc>
          <w:tcPr>
            <w:tcW w:w="1339" w:type="dxa"/>
          </w:tcPr>
          <w:p w:rsidR="001E66AB" w:rsidRPr="001D6512" w:rsidRDefault="001E66AB" w:rsidP="00C3606E">
            <w:pPr>
              <w:pStyle w:val="TableCell"/>
              <w:spacing w:before="60" w:after="60"/>
              <w:rPr>
                <w:rFonts w:cs="Calibri"/>
                <w:color w:val="000000"/>
              </w:rPr>
            </w:pPr>
            <w:r w:rsidRPr="001D6512">
              <w:rPr>
                <w:rFonts w:cs="Calibri"/>
                <w:color w:val="000000"/>
              </w:rPr>
              <w:t>424</w:t>
            </w:r>
          </w:p>
        </w:tc>
        <w:tc>
          <w:tcPr>
            <w:tcW w:w="1395" w:type="dxa"/>
          </w:tcPr>
          <w:p w:rsidR="001E66AB" w:rsidRPr="001D6512" w:rsidRDefault="001E66AB" w:rsidP="00C3606E">
            <w:pPr>
              <w:pStyle w:val="TableCell"/>
              <w:spacing w:before="60" w:after="60"/>
              <w:rPr>
                <w:rFonts w:cs="Calibri"/>
                <w:color w:val="000000"/>
              </w:rPr>
            </w:pPr>
            <w:r w:rsidRPr="001D6512">
              <w:rPr>
                <w:rFonts w:cs="Calibri"/>
                <w:color w:val="000000"/>
              </w:rPr>
              <w:t>0.0779</w:t>
            </w:r>
          </w:p>
        </w:tc>
        <w:tc>
          <w:tcPr>
            <w:tcW w:w="1339" w:type="dxa"/>
          </w:tcPr>
          <w:p w:rsidR="001E66AB" w:rsidRPr="001D6512" w:rsidRDefault="001E66AB" w:rsidP="00C3606E">
            <w:pPr>
              <w:pStyle w:val="TableCell"/>
              <w:spacing w:before="60" w:after="60"/>
              <w:rPr>
                <w:rFonts w:cs="Calibri"/>
                <w:color w:val="000000"/>
              </w:rPr>
            </w:pPr>
            <w:r w:rsidRPr="001D6512">
              <w:rPr>
                <w:rFonts w:cs="Calibri"/>
                <w:color w:val="000000"/>
              </w:rPr>
              <w:t>0.0484</w:t>
            </w:r>
          </w:p>
        </w:tc>
      </w:tr>
      <w:tr w:rsidR="001E66AB" w:rsidRPr="006E0899" w:rsidTr="00B0005F">
        <w:trPr>
          <w:trHeight w:val="288"/>
          <w:jc w:val="center"/>
        </w:trPr>
        <w:tc>
          <w:tcPr>
            <w:tcW w:w="1809" w:type="dxa"/>
          </w:tcPr>
          <w:p w:rsidR="001E66AB" w:rsidRPr="001D6512" w:rsidRDefault="0038789E" w:rsidP="00C3606E">
            <w:pPr>
              <w:pStyle w:val="TableCell"/>
              <w:spacing w:before="60" w:after="60"/>
              <w:rPr>
                <w:rFonts w:cs="Calibri"/>
                <w:color w:val="000000"/>
              </w:rPr>
            </w:pPr>
            <w:r w:rsidRPr="001D6512">
              <w:rPr>
                <w:rFonts w:cs="Calibri"/>
                <w:color w:val="000000"/>
              </w:rPr>
              <w:t>30 ≤ V &lt; 50</w:t>
            </w:r>
          </w:p>
        </w:tc>
        <w:tc>
          <w:tcPr>
            <w:tcW w:w="1395" w:type="dxa"/>
          </w:tcPr>
          <w:p w:rsidR="001E66AB" w:rsidRPr="001D6512" w:rsidRDefault="0038789E" w:rsidP="00C3606E">
            <w:pPr>
              <w:pStyle w:val="TableCell"/>
              <w:spacing w:before="60" w:after="60"/>
              <w:rPr>
                <w:rFonts w:cs="Calibri"/>
                <w:color w:val="000000"/>
              </w:rPr>
            </w:pPr>
            <w:r w:rsidRPr="001D6512">
              <w:rPr>
                <w:rFonts w:cs="Calibri"/>
                <w:color w:val="000000"/>
              </w:rPr>
              <w:t>763</w:t>
            </w:r>
          </w:p>
        </w:tc>
        <w:tc>
          <w:tcPr>
            <w:tcW w:w="1339" w:type="dxa"/>
          </w:tcPr>
          <w:p w:rsidR="001E66AB" w:rsidRPr="001D6512" w:rsidRDefault="0038789E" w:rsidP="00C3606E">
            <w:pPr>
              <w:pStyle w:val="TableCell"/>
              <w:spacing w:before="60" w:after="60"/>
              <w:rPr>
                <w:rFonts w:cs="Calibri"/>
                <w:color w:val="000000"/>
              </w:rPr>
            </w:pPr>
            <w:r w:rsidRPr="001D6512">
              <w:rPr>
                <w:rFonts w:cs="Calibri"/>
                <w:color w:val="000000"/>
              </w:rPr>
              <w:t>838</w:t>
            </w:r>
          </w:p>
        </w:tc>
        <w:tc>
          <w:tcPr>
            <w:tcW w:w="1395" w:type="dxa"/>
          </w:tcPr>
          <w:p w:rsidR="001E66AB" w:rsidRPr="001D6512" w:rsidRDefault="0038789E" w:rsidP="00C3606E">
            <w:pPr>
              <w:pStyle w:val="TableCell"/>
              <w:spacing w:before="60" w:after="60"/>
              <w:rPr>
                <w:rFonts w:cs="Calibri"/>
                <w:color w:val="000000"/>
              </w:rPr>
            </w:pPr>
            <w:r w:rsidRPr="001D6512">
              <w:rPr>
                <w:rFonts w:cs="Calibri"/>
                <w:color w:val="000000"/>
              </w:rPr>
              <w:t>0.0871</w:t>
            </w:r>
          </w:p>
        </w:tc>
        <w:tc>
          <w:tcPr>
            <w:tcW w:w="1339" w:type="dxa"/>
          </w:tcPr>
          <w:p w:rsidR="001E66AB" w:rsidRPr="001D6512" w:rsidRDefault="0038789E" w:rsidP="00C3606E">
            <w:pPr>
              <w:pStyle w:val="TableCell"/>
              <w:spacing w:before="60" w:after="60"/>
              <w:rPr>
                <w:rFonts w:cs="Calibri"/>
                <w:color w:val="000000"/>
              </w:rPr>
            </w:pPr>
            <w:r w:rsidRPr="001D6512">
              <w:rPr>
                <w:rFonts w:cs="Calibri"/>
                <w:color w:val="000000"/>
              </w:rPr>
              <w:t>0.0957</w:t>
            </w:r>
          </w:p>
        </w:tc>
      </w:tr>
      <w:tr w:rsidR="001E66AB" w:rsidRPr="006E0899" w:rsidTr="00B0005F">
        <w:trPr>
          <w:trHeight w:val="288"/>
          <w:jc w:val="center"/>
        </w:trPr>
        <w:tc>
          <w:tcPr>
            <w:tcW w:w="1809" w:type="dxa"/>
          </w:tcPr>
          <w:p w:rsidR="001E66AB" w:rsidRPr="001D6512" w:rsidRDefault="0038789E" w:rsidP="00C3606E">
            <w:pPr>
              <w:pStyle w:val="TableCell"/>
              <w:spacing w:before="60" w:after="60"/>
              <w:rPr>
                <w:rFonts w:cs="Calibri"/>
                <w:color w:val="000000"/>
              </w:rPr>
            </w:pPr>
            <w:r w:rsidRPr="001D6512">
              <w:rPr>
                <w:rFonts w:cs="Calibri"/>
                <w:color w:val="000000"/>
              </w:rPr>
              <w:t>50 ≤ V</w:t>
            </w:r>
          </w:p>
        </w:tc>
        <w:tc>
          <w:tcPr>
            <w:tcW w:w="1395" w:type="dxa"/>
          </w:tcPr>
          <w:p w:rsidR="001E66AB" w:rsidRPr="001D6512" w:rsidRDefault="0038789E" w:rsidP="00C3606E">
            <w:pPr>
              <w:pStyle w:val="TableCell"/>
              <w:spacing w:before="60" w:after="60"/>
              <w:rPr>
                <w:rFonts w:cs="Calibri"/>
                <w:color w:val="000000"/>
              </w:rPr>
            </w:pPr>
            <w:r w:rsidRPr="001D6512">
              <w:rPr>
                <w:rFonts w:cs="Calibri"/>
                <w:color w:val="000000"/>
              </w:rPr>
              <w:t>927</w:t>
            </w:r>
          </w:p>
        </w:tc>
        <w:tc>
          <w:tcPr>
            <w:tcW w:w="1339" w:type="dxa"/>
          </w:tcPr>
          <w:p w:rsidR="001E66AB" w:rsidRPr="001D6512" w:rsidRDefault="001E66AB" w:rsidP="00C3606E">
            <w:pPr>
              <w:pStyle w:val="TableCell"/>
              <w:spacing w:before="60" w:after="60"/>
              <w:rPr>
                <w:rFonts w:cs="Calibri"/>
                <w:color w:val="000000"/>
              </w:rPr>
            </w:pPr>
            <w:r w:rsidRPr="001D6512">
              <w:rPr>
                <w:rFonts w:cs="Calibri"/>
                <w:color w:val="000000"/>
              </w:rPr>
              <w:t>1,205</w:t>
            </w:r>
          </w:p>
        </w:tc>
        <w:tc>
          <w:tcPr>
            <w:tcW w:w="1395" w:type="dxa"/>
          </w:tcPr>
          <w:p w:rsidR="001E66AB" w:rsidRPr="001D6512" w:rsidRDefault="001E66AB" w:rsidP="00C3606E">
            <w:pPr>
              <w:pStyle w:val="TableCell"/>
              <w:spacing w:before="60" w:after="60"/>
              <w:rPr>
                <w:rFonts w:cs="Calibri"/>
                <w:color w:val="000000"/>
              </w:rPr>
            </w:pPr>
            <w:r w:rsidRPr="001D6512">
              <w:rPr>
                <w:rFonts w:cs="Calibri"/>
                <w:color w:val="000000"/>
              </w:rPr>
              <w:t>0.1058</w:t>
            </w:r>
          </w:p>
        </w:tc>
        <w:tc>
          <w:tcPr>
            <w:tcW w:w="1339" w:type="dxa"/>
          </w:tcPr>
          <w:p w:rsidR="001E66AB" w:rsidRPr="001D6512" w:rsidRDefault="001E66AB" w:rsidP="00C3606E">
            <w:pPr>
              <w:pStyle w:val="TableCell"/>
              <w:spacing w:before="60" w:after="60"/>
              <w:rPr>
                <w:rFonts w:cs="Calibri"/>
                <w:color w:val="000000"/>
              </w:rPr>
            </w:pPr>
            <w:r w:rsidRPr="001D6512">
              <w:rPr>
                <w:rFonts w:cs="Calibri"/>
                <w:color w:val="000000"/>
              </w:rPr>
              <w:t>0.1427</w:t>
            </w:r>
          </w:p>
        </w:tc>
      </w:tr>
    </w:tbl>
    <w:p w:rsidR="001E66AB" w:rsidRPr="003C7CF1" w:rsidRDefault="001E66AB" w:rsidP="00C3606E">
      <w:pPr>
        <w:spacing w:after="0"/>
      </w:pPr>
    </w:p>
    <w:p w:rsidR="0040225B" w:rsidRDefault="0040225B" w:rsidP="00B20F6B">
      <w:pPr>
        <w:pStyle w:val="Caption"/>
      </w:pPr>
      <w:bookmarkStart w:id="825" w:name="_Ref275903161"/>
      <w:bookmarkStart w:id="826" w:name="_Toc310875584"/>
      <w:r>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32</w:t>
      </w:r>
      <w:r w:rsidR="00274AB1">
        <w:rPr>
          <w:noProof/>
        </w:rPr>
        <w:fldChar w:fldCharType="end"/>
      </w:r>
      <w:bookmarkEnd w:id="825"/>
      <w:r>
        <w:t xml:space="preserve">: </w:t>
      </w:r>
      <w:r w:rsidRPr="00EF00DD">
        <w:t>Freezer Case Savings</w:t>
      </w:r>
      <w:bookmarkEnd w:id="826"/>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1"/>
        <w:gridCol w:w="1574"/>
        <w:gridCol w:w="1942"/>
        <w:gridCol w:w="1573"/>
        <w:gridCol w:w="1510"/>
      </w:tblGrid>
      <w:tr w:rsidR="001E66AB" w:rsidRPr="00E263FC" w:rsidTr="00B0005F">
        <w:trPr>
          <w:cantSplit/>
          <w:trHeight w:val="288"/>
          <w:tblHeader/>
          <w:jc w:val="center"/>
        </w:trPr>
        <w:tc>
          <w:tcPr>
            <w:tcW w:w="1809" w:type="dxa"/>
            <w:vMerge w:val="restart"/>
            <w:shd w:val="clear" w:color="auto" w:fill="BFBFBF"/>
            <w:vAlign w:val="center"/>
          </w:tcPr>
          <w:p w:rsidR="001E66AB" w:rsidRPr="001D6512" w:rsidRDefault="001E66AB" w:rsidP="00C3606E">
            <w:pPr>
              <w:pStyle w:val="TableCell"/>
              <w:spacing w:before="60" w:after="60"/>
              <w:rPr>
                <w:b/>
              </w:rPr>
            </w:pPr>
            <w:r w:rsidRPr="001D6512">
              <w:rPr>
                <w:b/>
              </w:rPr>
              <w:t>Volume (ft</w:t>
            </w:r>
            <w:r w:rsidRPr="001D6512">
              <w:rPr>
                <w:b/>
                <w:vertAlign w:val="superscript"/>
              </w:rPr>
              <w:t>3</w:t>
            </w:r>
            <w:r w:rsidRPr="001D6512">
              <w:rPr>
                <w:b/>
              </w:rPr>
              <w:t>)</w:t>
            </w:r>
          </w:p>
        </w:tc>
        <w:tc>
          <w:tcPr>
            <w:tcW w:w="3117" w:type="dxa"/>
            <w:gridSpan w:val="2"/>
            <w:shd w:val="clear" w:color="auto" w:fill="BFBFBF"/>
            <w:vAlign w:val="center"/>
          </w:tcPr>
          <w:p w:rsidR="001E66AB" w:rsidRPr="001D6512" w:rsidRDefault="001E66AB" w:rsidP="00C3606E">
            <w:pPr>
              <w:pStyle w:val="TableCell"/>
              <w:spacing w:before="60" w:after="60"/>
              <w:jc w:val="center"/>
              <w:rPr>
                <w:b/>
              </w:rPr>
            </w:pPr>
            <w:r w:rsidRPr="001D6512">
              <w:rPr>
                <w:b/>
              </w:rPr>
              <w:t>Annual Energy</w:t>
            </w:r>
            <w:r w:rsidR="006211B6" w:rsidRPr="001D6512">
              <w:rPr>
                <w:b/>
              </w:rPr>
              <w:t xml:space="preserve"> </w:t>
            </w:r>
            <w:r w:rsidRPr="001D6512">
              <w:rPr>
                <w:b/>
              </w:rPr>
              <w:t>Savings (kWh)</w:t>
            </w:r>
          </w:p>
        </w:tc>
        <w:tc>
          <w:tcPr>
            <w:tcW w:w="2734" w:type="dxa"/>
            <w:gridSpan w:val="2"/>
            <w:shd w:val="clear" w:color="auto" w:fill="BFBFBF"/>
            <w:vAlign w:val="center"/>
          </w:tcPr>
          <w:p w:rsidR="001E66AB" w:rsidRPr="001D6512" w:rsidRDefault="001E66AB" w:rsidP="00C3606E">
            <w:pPr>
              <w:pStyle w:val="TableCell"/>
              <w:spacing w:before="60" w:after="60"/>
              <w:jc w:val="center"/>
              <w:rPr>
                <w:b/>
              </w:rPr>
            </w:pPr>
            <w:r w:rsidRPr="001D6512">
              <w:rPr>
                <w:b/>
              </w:rPr>
              <w:t>Demand Impacts (kW)</w:t>
            </w:r>
          </w:p>
        </w:tc>
      </w:tr>
      <w:tr w:rsidR="001E66AB" w:rsidRPr="00E263FC" w:rsidTr="00B0005F">
        <w:trPr>
          <w:cantSplit/>
          <w:trHeight w:val="288"/>
          <w:tblHeader/>
          <w:jc w:val="center"/>
        </w:trPr>
        <w:tc>
          <w:tcPr>
            <w:tcW w:w="1809" w:type="dxa"/>
            <w:vMerge/>
            <w:shd w:val="clear" w:color="auto" w:fill="BFBFBF"/>
            <w:vAlign w:val="center"/>
          </w:tcPr>
          <w:p w:rsidR="00CD05FA" w:rsidRPr="001D6512" w:rsidRDefault="00CD05FA" w:rsidP="00C3606E">
            <w:pPr>
              <w:pStyle w:val="TableCell"/>
              <w:spacing w:before="60" w:after="60"/>
              <w:rPr>
                <w:b/>
              </w:rPr>
            </w:pPr>
          </w:p>
        </w:tc>
        <w:tc>
          <w:tcPr>
            <w:tcW w:w="1395" w:type="dxa"/>
            <w:shd w:val="clear" w:color="auto" w:fill="BFBFBF"/>
            <w:vAlign w:val="center"/>
          </w:tcPr>
          <w:p w:rsidR="00CD05FA" w:rsidRPr="001D6512" w:rsidRDefault="001E66AB" w:rsidP="00C3606E">
            <w:pPr>
              <w:pStyle w:val="TableCell"/>
              <w:spacing w:before="60" w:after="60"/>
              <w:rPr>
                <w:rFonts w:eastAsia="Arial Unicode MS" w:cs="Arial"/>
                <w:b/>
                <w:i/>
                <w:iCs/>
                <w:szCs w:val="24"/>
              </w:rPr>
            </w:pPr>
            <w:r w:rsidRPr="001D6512">
              <w:rPr>
                <w:b/>
              </w:rPr>
              <w:t>Glass Door</w:t>
            </w:r>
          </w:p>
        </w:tc>
        <w:tc>
          <w:tcPr>
            <w:tcW w:w="1722" w:type="dxa"/>
            <w:shd w:val="clear" w:color="auto" w:fill="BFBFBF"/>
            <w:vAlign w:val="center"/>
          </w:tcPr>
          <w:p w:rsidR="00CD05FA" w:rsidRPr="001D6512" w:rsidRDefault="001E66AB" w:rsidP="00C3606E">
            <w:pPr>
              <w:pStyle w:val="TableCell"/>
              <w:spacing w:before="60" w:after="60"/>
              <w:rPr>
                <w:rFonts w:eastAsia="Arial Unicode MS" w:cs="Arial"/>
                <w:b/>
                <w:i/>
                <w:iCs/>
                <w:szCs w:val="24"/>
              </w:rPr>
            </w:pPr>
            <w:r w:rsidRPr="001D6512">
              <w:rPr>
                <w:b/>
              </w:rPr>
              <w:t>Solid Door</w:t>
            </w:r>
          </w:p>
        </w:tc>
        <w:tc>
          <w:tcPr>
            <w:tcW w:w="1395" w:type="dxa"/>
            <w:shd w:val="clear" w:color="auto" w:fill="BFBFBF"/>
            <w:vAlign w:val="center"/>
          </w:tcPr>
          <w:p w:rsidR="00CD05FA" w:rsidRPr="001D6512" w:rsidRDefault="001E66AB" w:rsidP="00C3606E">
            <w:pPr>
              <w:pStyle w:val="TableCell"/>
              <w:spacing w:before="60" w:after="60"/>
              <w:rPr>
                <w:rFonts w:eastAsia="Arial Unicode MS" w:cs="Arial"/>
                <w:b/>
                <w:i/>
                <w:iCs/>
                <w:szCs w:val="24"/>
              </w:rPr>
            </w:pPr>
            <w:r w:rsidRPr="001D6512">
              <w:rPr>
                <w:b/>
              </w:rPr>
              <w:t>Glass Door</w:t>
            </w:r>
          </w:p>
        </w:tc>
        <w:tc>
          <w:tcPr>
            <w:tcW w:w="1339" w:type="dxa"/>
            <w:shd w:val="clear" w:color="auto" w:fill="BFBFBF"/>
            <w:vAlign w:val="center"/>
          </w:tcPr>
          <w:p w:rsidR="00CD05FA" w:rsidRPr="001D6512" w:rsidRDefault="001E66AB" w:rsidP="00C3606E">
            <w:pPr>
              <w:pStyle w:val="TableCell"/>
              <w:spacing w:before="60" w:after="60"/>
              <w:rPr>
                <w:b/>
              </w:rPr>
            </w:pPr>
            <w:r w:rsidRPr="001D6512">
              <w:rPr>
                <w:b/>
              </w:rPr>
              <w:t>Solid Door</w:t>
            </w:r>
          </w:p>
        </w:tc>
      </w:tr>
      <w:tr w:rsidR="001E66AB" w:rsidRPr="00E263FC" w:rsidTr="00B0005F">
        <w:trPr>
          <w:cantSplit/>
          <w:trHeight w:val="288"/>
          <w:jc w:val="center"/>
        </w:trPr>
        <w:tc>
          <w:tcPr>
            <w:tcW w:w="1809" w:type="dxa"/>
            <w:shd w:val="clear" w:color="auto" w:fill="auto"/>
            <w:vAlign w:val="center"/>
          </w:tcPr>
          <w:p w:rsidR="001E66AB" w:rsidRPr="001D6512" w:rsidRDefault="001E66AB" w:rsidP="00C3606E">
            <w:pPr>
              <w:pStyle w:val="TableCell"/>
              <w:spacing w:before="60" w:after="60"/>
              <w:rPr>
                <w:rFonts w:cs="Calibri"/>
                <w:color w:val="000000"/>
              </w:rPr>
            </w:pPr>
            <w:r w:rsidRPr="001D6512">
              <w:rPr>
                <w:rFonts w:cs="Calibri"/>
                <w:color w:val="000000"/>
              </w:rPr>
              <w:t>V &lt; 15</w:t>
            </w:r>
          </w:p>
        </w:tc>
        <w:tc>
          <w:tcPr>
            <w:tcW w:w="1395" w:type="dxa"/>
            <w:shd w:val="clear" w:color="auto" w:fill="auto"/>
            <w:vAlign w:val="center"/>
          </w:tcPr>
          <w:p w:rsidR="001E66AB" w:rsidRPr="001D6512" w:rsidRDefault="001E66AB" w:rsidP="00C3606E">
            <w:pPr>
              <w:pStyle w:val="TableCell"/>
              <w:spacing w:before="60" w:after="60"/>
              <w:rPr>
                <w:rFonts w:cs="Calibri"/>
                <w:color w:val="000000"/>
              </w:rPr>
            </w:pPr>
            <w:r w:rsidRPr="001D6512">
              <w:rPr>
                <w:rFonts w:cs="Calibri"/>
                <w:color w:val="000000"/>
              </w:rPr>
              <w:t>1,901</w:t>
            </w:r>
          </w:p>
        </w:tc>
        <w:tc>
          <w:tcPr>
            <w:tcW w:w="1722" w:type="dxa"/>
            <w:vAlign w:val="center"/>
          </w:tcPr>
          <w:p w:rsidR="001E66AB" w:rsidRPr="001D6512" w:rsidRDefault="001E66AB" w:rsidP="00C3606E">
            <w:pPr>
              <w:pStyle w:val="TableCell"/>
              <w:spacing w:before="60" w:after="60"/>
              <w:rPr>
                <w:rFonts w:cs="Calibri"/>
                <w:color w:val="000000"/>
              </w:rPr>
            </w:pPr>
            <w:r w:rsidRPr="001D6512">
              <w:rPr>
                <w:rFonts w:cs="Calibri"/>
                <w:color w:val="000000"/>
              </w:rPr>
              <w:t>814</w:t>
            </w:r>
          </w:p>
        </w:tc>
        <w:tc>
          <w:tcPr>
            <w:tcW w:w="1395" w:type="dxa"/>
            <w:vAlign w:val="center"/>
          </w:tcPr>
          <w:p w:rsidR="001E66AB" w:rsidRPr="001D6512" w:rsidRDefault="001E66AB" w:rsidP="00C3606E">
            <w:pPr>
              <w:pStyle w:val="TableCell"/>
              <w:spacing w:before="60" w:after="60"/>
              <w:rPr>
                <w:rFonts w:cs="Calibri"/>
                <w:color w:val="000000"/>
              </w:rPr>
            </w:pPr>
            <w:r w:rsidRPr="001D6512">
              <w:rPr>
                <w:rFonts w:cs="Calibri"/>
                <w:color w:val="000000"/>
              </w:rPr>
              <w:t>0.2170</w:t>
            </w:r>
          </w:p>
        </w:tc>
        <w:tc>
          <w:tcPr>
            <w:tcW w:w="1339" w:type="dxa"/>
            <w:vAlign w:val="center"/>
          </w:tcPr>
          <w:p w:rsidR="001E66AB" w:rsidRPr="001D6512" w:rsidRDefault="001E66AB" w:rsidP="00C3606E">
            <w:pPr>
              <w:pStyle w:val="TableCell"/>
              <w:spacing w:before="60" w:after="60"/>
              <w:rPr>
                <w:rFonts w:cs="Calibri"/>
                <w:color w:val="000000"/>
              </w:rPr>
            </w:pPr>
            <w:r w:rsidRPr="001D6512">
              <w:rPr>
                <w:rFonts w:cs="Calibri"/>
                <w:color w:val="000000"/>
              </w:rPr>
              <w:t>0.0929</w:t>
            </w:r>
          </w:p>
        </w:tc>
      </w:tr>
      <w:tr w:rsidR="001E66AB" w:rsidRPr="00E263FC" w:rsidTr="00B0005F">
        <w:trPr>
          <w:cantSplit/>
          <w:trHeight w:val="288"/>
          <w:jc w:val="center"/>
        </w:trPr>
        <w:tc>
          <w:tcPr>
            <w:tcW w:w="1809" w:type="dxa"/>
            <w:shd w:val="clear" w:color="auto" w:fill="auto"/>
            <w:vAlign w:val="center"/>
          </w:tcPr>
          <w:p w:rsidR="001E66AB" w:rsidRPr="001D6512" w:rsidRDefault="001E66AB" w:rsidP="00C3606E">
            <w:pPr>
              <w:pStyle w:val="TableCell"/>
              <w:spacing w:before="60" w:after="60"/>
              <w:rPr>
                <w:rFonts w:cs="Calibri"/>
                <w:color w:val="000000"/>
              </w:rPr>
            </w:pPr>
            <w:r w:rsidRPr="001D6512">
              <w:rPr>
                <w:rFonts w:cs="Calibri"/>
                <w:color w:val="000000"/>
              </w:rPr>
              <w:t>15 ≤ V &lt; 30</w:t>
            </w:r>
          </w:p>
        </w:tc>
        <w:tc>
          <w:tcPr>
            <w:tcW w:w="1395" w:type="dxa"/>
            <w:shd w:val="clear" w:color="auto" w:fill="auto"/>
            <w:vAlign w:val="center"/>
          </w:tcPr>
          <w:p w:rsidR="001E66AB" w:rsidRPr="001D6512" w:rsidRDefault="001E66AB" w:rsidP="00C3606E">
            <w:pPr>
              <w:pStyle w:val="TableCell"/>
              <w:spacing w:before="60" w:after="60"/>
              <w:rPr>
                <w:rFonts w:cs="Calibri"/>
                <w:color w:val="000000"/>
              </w:rPr>
            </w:pPr>
            <w:r w:rsidRPr="001D6512">
              <w:rPr>
                <w:rFonts w:cs="Calibri"/>
                <w:color w:val="000000"/>
              </w:rPr>
              <w:t>1,992</w:t>
            </w:r>
          </w:p>
        </w:tc>
        <w:tc>
          <w:tcPr>
            <w:tcW w:w="1722" w:type="dxa"/>
            <w:vAlign w:val="center"/>
          </w:tcPr>
          <w:p w:rsidR="001E66AB" w:rsidRPr="001D6512" w:rsidRDefault="001E66AB" w:rsidP="00C3606E">
            <w:pPr>
              <w:pStyle w:val="TableCell"/>
              <w:spacing w:before="60" w:after="60"/>
              <w:rPr>
                <w:rFonts w:cs="Calibri"/>
                <w:color w:val="000000"/>
              </w:rPr>
            </w:pPr>
            <w:r w:rsidRPr="001D6512">
              <w:rPr>
                <w:rFonts w:cs="Calibri"/>
                <w:color w:val="000000"/>
              </w:rPr>
              <w:t>869</w:t>
            </w:r>
          </w:p>
        </w:tc>
        <w:tc>
          <w:tcPr>
            <w:tcW w:w="1395" w:type="dxa"/>
            <w:vAlign w:val="center"/>
          </w:tcPr>
          <w:p w:rsidR="001E66AB" w:rsidRPr="001D6512" w:rsidRDefault="001E66AB" w:rsidP="00C3606E">
            <w:pPr>
              <w:pStyle w:val="TableCell"/>
              <w:spacing w:before="60" w:after="60"/>
              <w:rPr>
                <w:rFonts w:cs="Calibri"/>
                <w:color w:val="000000"/>
              </w:rPr>
            </w:pPr>
            <w:r w:rsidRPr="001D6512">
              <w:rPr>
                <w:rFonts w:cs="Calibri"/>
                <w:color w:val="000000"/>
              </w:rPr>
              <w:t>0.2274</w:t>
            </w:r>
          </w:p>
        </w:tc>
        <w:tc>
          <w:tcPr>
            <w:tcW w:w="1339" w:type="dxa"/>
            <w:vAlign w:val="center"/>
          </w:tcPr>
          <w:p w:rsidR="001E66AB" w:rsidRPr="001D6512" w:rsidRDefault="001E66AB" w:rsidP="00C3606E">
            <w:pPr>
              <w:pStyle w:val="TableCell"/>
              <w:spacing w:before="60" w:after="60"/>
              <w:rPr>
                <w:rFonts w:cs="Calibri"/>
                <w:color w:val="000000"/>
              </w:rPr>
            </w:pPr>
            <w:r w:rsidRPr="001D6512">
              <w:rPr>
                <w:rFonts w:cs="Calibri"/>
                <w:color w:val="000000"/>
              </w:rPr>
              <w:t>0.0992</w:t>
            </w:r>
          </w:p>
        </w:tc>
      </w:tr>
      <w:tr w:rsidR="001E66AB" w:rsidRPr="00E263FC" w:rsidTr="00B0005F">
        <w:trPr>
          <w:cantSplit/>
          <w:trHeight w:val="288"/>
          <w:jc w:val="center"/>
        </w:trPr>
        <w:tc>
          <w:tcPr>
            <w:tcW w:w="1809" w:type="dxa"/>
            <w:vAlign w:val="center"/>
          </w:tcPr>
          <w:p w:rsidR="001E66AB" w:rsidRPr="001D6512" w:rsidRDefault="001E66AB" w:rsidP="00C3606E">
            <w:pPr>
              <w:pStyle w:val="TableCell"/>
              <w:spacing w:before="60" w:after="60"/>
              <w:rPr>
                <w:rFonts w:cs="Calibri"/>
                <w:color w:val="000000"/>
              </w:rPr>
            </w:pPr>
            <w:r w:rsidRPr="001D6512">
              <w:rPr>
                <w:rFonts w:cs="Calibri"/>
                <w:color w:val="000000"/>
              </w:rPr>
              <w:t>30 ≤ V &lt; 50</w:t>
            </w:r>
          </w:p>
        </w:tc>
        <w:tc>
          <w:tcPr>
            <w:tcW w:w="1395" w:type="dxa"/>
            <w:vAlign w:val="center"/>
          </w:tcPr>
          <w:p w:rsidR="001E66AB" w:rsidRPr="001D6512" w:rsidRDefault="001E66AB" w:rsidP="00C3606E">
            <w:pPr>
              <w:pStyle w:val="TableCell"/>
              <w:spacing w:before="60" w:after="60"/>
              <w:rPr>
                <w:rFonts w:cs="Calibri"/>
                <w:color w:val="000000"/>
              </w:rPr>
            </w:pPr>
            <w:r w:rsidRPr="001D6512">
              <w:rPr>
                <w:rFonts w:cs="Calibri"/>
                <w:color w:val="000000"/>
              </w:rPr>
              <w:t>4,417</w:t>
            </w:r>
          </w:p>
        </w:tc>
        <w:tc>
          <w:tcPr>
            <w:tcW w:w="1722" w:type="dxa"/>
            <w:vAlign w:val="center"/>
          </w:tcPr>
          <w:p w:rsidR="001E66AB" w:rsidRPr="001D6512" w:rsidRDefault="001E66AB" w:rsidP="00C3606E">
            <w:pPr>
              <w:pStyle w:val="TableCell"/>
              <w:spacing w:before="60" w:after="60"/>
              <w:rPr>
                <w:rFonts w:cs="Calibri"/>
                <w:color w:val="000000"/>
              </w:rPr>
            </w:pPr>
            <w:r w:rsidRPr="001D6512">
              <w:rPr>
                <w:rFonts w:cs="Calibri"/>
                <w:color w:val="000000"/>
              </w:rPr>
              <w:t>1,988</w:t>
            </w:r>
          </w:p>
        </w:tc>
        <w:tc>
          <w:tcPr>
            <w:tcW w:w="1395" w:type="dxa"/>
            <w:vAlign w:val="center"/>
          </w:tcPr>
          <w:p w:rsidR="001E66AB" w:rsidRPr="001D6512" w:rsidRDefault="001E66AB" w:rsidP="00C3606E">
            <w:pPr>
              <w:pStyle w:val="TableCell"/>
              <w:spacing w:before="60" w:after="60"/>
              <w:rPr>
                <w:rFonts w:cs="Calibri"/>
                <w:color w:val="000000"/>
              </w:rPr>
            </w:pPr>
            <w:r w:rsidRPr="001D6512">
              <w:rPr>
                <w:rFonts w:cs="Calibri"/>
                <w:color w:val="000000"/>
              </w:rPr>
              <w:t>0.5042</w:t>
            </w:r>
          </w:p>
        </w:tc>
        <w:tc>
          <w:tcPr>
            <w:tcW w:w="1339" w:type="dxa"/>
            <w:vAlign w:val="center"/>
          </w:tcPr>
          <w:p w:rsidR="001E66AB" w:rsidRPr="001D6512" w:rsidRDefault="001E66AB" w:rsidP="00C3606E">
            <w:pPr>
              <w:pStyle w:val="TableCell"/>
              <w:spacing w:before="60" w:after="60"/>
              <w:rPr>
                <w:rFonts w:cs="Calibri"/>
                <w:color w:val="000000"/>
              </w:rPr>
            </w:pPr>
            <w:r w:rsidRPr="001D6512">
              <w:rPr>
                <w:rFonts w:cs="Calibri"/>
                <w:color w:val="000000"/>
              </w:rPr>
              <w:t>0.2269</w:t>
            </w:r>
          </w:p>
        </w:tc>
      </w:tr>
      <w:tr w:rsidR="001E66AB" w:rsidRPr="00E263FC" w:rsidTr="00B0005F">
        <w:trPr>
          <w:cantSplit/>
          <w:trHeight w:val="288"/>
          <w:jc w:val="center"/>
        </w:trPr>
        <w:tc>
          <w:tcPr>
            <w:tcW w:w="1809" w:type="dxa"/>
            <w:vAlign w:val="center"/>
          </w:tcPr>
          <w:p w:rsidR="001E66AB" w:rsidRPr="001D6512" w:rsidRDefault="001E66AB" w:rsidP="00C3606E">
            <w:pPr>
              <w:pStyle w:val="TableCell"/>
              <w:spacing w:before="60" w:after="60"/>
              <w:rPr>
                <w:rFonts w:cs="Calibri"/>
                <w:color w:val="000000"/>
              </w:rPr>
            </w:pPr>
            <w:r w:rsidRPr="001D6512">
              <w:rPr>
                <w:rFonts w:cs="Calibri"/>
                <w:color w:val="000000"/>
              </w:rPr>
              <w:t>50 ≤ V</w:t>
            </w:r>
          </w:p>
        </w:tc>
        <w:tc>
          <w:tcPr>
            <w:tcW w:w="1395" w:type="dxa"/>
            <w:vAlign w:val="center"/>
          </w:tcPr>
          <w:p w:rsidR="001E66AB" w:rsidRPr="001D6512" w:rsidRDefault="001E66AB" w:rsidP="00C3606E">
            <w:pPr>
              <w:pStyle w:val="TableCell"/>
              <w:spacing w:before="60" w:after="60"/>
              <w:rPr>
                <w:rFonts w:cs="Calibri"/>
                <w:color w:val="000000"/>
              </w:rPr>
            </w:pPr>
            <w:r w:rsidRPr="001D6512">
              <w:rPr>
                <w:rFonts w:cs="Calibri"/>
                <w:color w:val="000000"/>
              </w:rPr>
              <w:t>6,680</w:t>
            </w:r>
          </w:p>
        </w:tc>
        <w:tc>
          <w:tcPr>
            <w:tcW w:w="1722" w:type="dxa"/>
            <w:vAlign w:val="center"/>
          </w:tcPr>
          <w:p w:rsidR="001E66AB" w:rsidRPr="001D6512" w:rsidRDefault="001E66AB" w:rsidP="00C3606E">
            <w:pPr>
              <w:pStyle w:val="TableCell"/>
              <w:spacing w:before="60" w:after="60"/>
              <w:rPr>
                <w:rFonts w:cs="Calibri"/>
                <w:color w:val="000000"/>
              </w:rPr>
            </w:pPr>
            <w:r w:rsidRPr="001D6512">
              <w:rPr>
                <w:rFonts w:cs="Calibri"/>
                <w:color w:val="000000"/>
              </w:rPr>
              <w:t>3,405</w:t>
            </w:r>
          </w:p>
        </w:tc>
        <w:tc>
          <w:tcPr>
            <w:tcW w:w="1395" w:type="dxa"/>
            <w:vAlign w:val="center"/>
          </w:tcPr>
          <w:p w:rsidR="001E66AB" w:rsidRPr="001D6512" w:rsidRDefault="001E66AB" w:rsidP="00C3606E">
            <w:pPr>
              <w:pStyle w:val="TableCell"/>
              <w:spacing w:before="60" w:after="60"/>
              <w:rPr>
                <w:rFonts w:cs="Calibri"/>
                <w:color w:val="000000"/>
              </w:rPr>
            </w:pPr>
            <w:r w:rsidRPr="001D6512">
              <w:rPr>
                <w:rFonts w:cs="Calibri"/>
                <w:color w:val="000000"/>
              </w:rPr>
              <w:t>0.7625</w:t>
            </w:r>
          </w:p>
        </w:tc>
        <w:tc>
          <w:tcPr>
            <w:tcW w:w="1339" w:type="dxa"/>
            <w:vAlign w:val="center"/>
          </w:tcPr>
          <w:p w:rsidR="001E66AB" w:rsidRPr="001D6512" w:rsidRDefault="001E66AB" w:rsidP="00C3606E">
            <w:pPr>
              <w:pStyle w:val="TableCell"/>
              <w:spacing w:before="60" w:after="60"/>
              <w:rPr>
                <w:rFonts w:cs="Calibri"/>
                <w:color w:val="000000"/>
              </w:rPr>
            </w:pPr>
            <w:r w:rsidRPr="001D6512">
              <w:rPr>
                <w:rFonts w:cs="Calibri"/>
                <w:color w:val="000000"/>
              </w:rPr>
              <w:t>0.3887</w:t>
            </w:r>
          </w:p>
        </w:tc>
      </w:tr>
    </w:tbl>
    <w:p w:rsidR="001E66AB" w:rsidRPr="00D17581" w:rsidRDefault="001E66AB" w:rsidP="00C3606E"/>
    <w:p w:rsidR="00D17581" w:rsidRDefault="00D17581" w:rsidP="00C3606E">
      <w:pPr>
        <w:overflowPunct/>
        <w:autoSpaceDE/>
        <w:autoSpaceDN/>
        <w:adjustRightInd/>
        <w:spacing w:after="0" w:line="240" w:lineRule="auto"/>
        <w:textAlignment w:val="auto"/>
        <w:rPr>
          <w:rFonts w:cs="Arial"/>
          <w:b/>
          <w:bCs/>
          <w:szCs w:val="26"/>
        </w:rPr>
      </w:pPr>
    </w:p>
    <w:p w:rsidR="001E66AB" w:rsidRDefault="00C3606E" w:rsidP="00871FA2">
      <w:pPr>
        <w:pStyle w:val="Heading3"/>
      </w:pPr>
      <w:r>
        <w:t>Measure</w:t>
      </w:r>
      <w:r w:rsidR="001E66AB">
        <w:t xml:space="preserve"> Life</w:t>
      </w:r>
    </w:p>
    <w:p w:rsidR="001E66AB" w:rsidRDefault="001E66AB" w:rsidP="00C3606E">
      <w:pPr>
        <w:pStyle w:val="BodyText"/>
      </w:pPr>
      <w:r>
        <w:t xml:space="preserve">12 years </w:t>
      </w:r>
    </w:p>
    <w:p w:rsidR="00A409F1" w:rsidRPr="00BC5194" w:rsidRDefault="00A409F1" w:rsidP="00B20F6B">
      <w:pPr>
        <w:rPr>
          <w:b/>
        </w:rPr>
      </w:pPr>
      <w:r w:rsidRPr="00BC5194">
        <w:rPr>
          <w:b/>
        </w:rPr>
        <w:t>Sources:</w:t>
      </w:r>
    </w:p>
    <w:p w:rsidR="001E66AB" w:rsidRPr="00A409F1" w:rsidRDefault="001E66AB" w:rsidP="0005632A">
      <w:pPr>
        <w:pStyle w:val="source1"/>
        <w:numPr>
          <w:ilvl w:val="0"/>
          <w:numId w:val="70"/>
        </w:numPr>
      </w:pPr>
      <w:r>
        <w:t>Food Service Technology Center (as stated in ENERGY STAR calculator).</w:t>
      </w:r>
    </w:p>
    <w:p w:rsidR="00BE1832" w:rsidRPr="00B25E66" w:rsidRDefault="00BE1832" w:rsidP="00E568D4">
      <w:pPr>
        <w:pStyle w:val="Heading2"/>
      </w:pPr>
      <w:bookmarkStart w:id="827" w:name="_Toc275507452"/>
      <w:bookmarkStart w:id="828" w:name="_Toc275514467"/>
      <w:bookmarkStart w:id="829" w:name="_Toc275521485"/>
      <w:bookmarkStart w:id="830" w:name="_Toc275528502"/>
      <w:bookmarkStart w:id="831" w:name="_Toc275535518"/>
      <w:bookmarkStart w:id="832" w:name="_Toc275542555"/>
      <w:bookmarkStart w:id="833" w:name="_Toc275549588"/>
      <w:bookmarkStart w:id="834" w:name="_Toc275848337"/>
      <w:bookmarkStart w:id="835" w:name="_Toc275857210"/>
      <w:bookmarkStart w:id="836" w:name="_Toc275864228"/>
      <w:bookmarkStart w:id="837" w:name="_Toc275867099"/>
      <w:bookmarkStart w:id="838" w:name="_Toc275867591"/>
      <w:bookmarkStart w:id="839" w:name="_Toc275878841"/>
      <w:bookmarkStart w:id="840" w:name="_Toc275902980"/>
      <w:bookmarkStart w:id="841" w:name="_Toc275942754"/>
      <w:bookmarkStart w:id="842" w:name="_Toc275943037"/>
      <w:bookmarkStart w:id="843" w:name="_Toc275943420"/>
      <w:bookmarkStart w:id="844" w:name="_Toc276630942"/>
      <w:bookmarkStart w:id="845" w:name="_Toc276631161"/>
      <w:bookmarkStart w:id="846" w:name="_Toc276631385"/>
      <w:bookmarkStart w:id="847" w:name="_Toc276631604"/>
      <w:bookmarkStart w:id="848" w:name="_Toc283146803"/>
      <w:bookmarkStart w:id="849" w:name="_Toc283154117"/>
      <w:bookmarkStart w:id="850" w:name="_Toc283154286"/>
      <w:bookmarkStart w:id="851" w:name="_Toc283716035"/>
      <w:bookmarkStart w:id="852" w:name="_Toc283719170"/>
      <w:bookmarkStart w:id="853" w:name="_Toc283719346"/>
      <w:bookmarkStart w:id="854" w:name="_Toc283719522"/>
      <w:bookmarkStart w:id="855" w:name="_Toc283739129"/>
      <w:bookmarkStart w:id="856" w:name="_Toc283739481"/>
      <w:bookmarkStart w:id="857" w:name="_Toc283739832"/>
      <w:bookmarkStart w:id="858" w:name="_Toc283740176"/>
      <w:bookmarkStart w:id="859" w:name="_Toc283740517"/>
      <w:bookmarkStart w:id="860" w:name="_Toc283740850"/>
      <w:bookmarkStart w:id="861" w:name="_Toc283741179"/>
      <w:bookmarkStart w:id="862" w:name="_Toc283741502"/>
      <w:bookmarkStart w:id="863" w:name="_Toc283741812"/>
      <w:bookmarkStart w:id="864" w:name="_Toc283742121"/>
      <w:bookmarkStart w:id="865" w:name="_Toc283742357"/>
      <w:bookmarkStart w:id="866" w:name="_Toc283742615"/>
      <w:bookmarkStart w:id="867" w:name="_Toc283742876"/>
      <w:bookmarkStart w:id="868" w:name="_Toc283743089"/>
      <w:bookmarkStart w:id="869" w:name="_Toc283743266"/>
      <w:bookmarkStart w:id="870" w:name="_Toc283743442"/>
      <w:bookmarkStart w:id="871" w:name="_Toc283743619"/>
      <w:bookmarkStart w:id="872" w:name="_Toc283743795"/>
      <w:bookmarkStart w:id="873" w:name="_Toc275507469"/>
      <w:bookmarkStart w:id="874" w:name="_Toc275514484"/>
      <w:bookmarkStart w:id="875" w:name="_Toc275521502"/>
      <w:bookmarkStart w:id="876" w:name="_Toc275528519"/>
      <w:bookmarkStart w:id="877" w:name="_Toc275535535"/>
      <w:bookmarkStart w:id="878" w:name="_Toc275542572"/>
      <w:bookmarkStart w:id="879" w:name="_Toc275549605"/>
      <w:bookmarkStart w:id="880" w:name="_Toc275848354"/>
      <w:bookmarkStart w:id="881" w:name="_Toc275857227"/>
      <w:bookmarkStart w:id="882" w:name="_Toc275864245"/>
      <w:bookmarkStart w:id="883" w:name="_Toc275867116"/>
      <w:bookmarkStart w:id="884" w:name="_Toc275867608"/>
      <w:bookmarkStart w:id="885" w:name="_Toc275878858"/>
      <w:bookmarkStart w:id="886" w:name="_Toc275902997"/>
      <w:bookmarkStart w:id="887" w:name="_Toc275942771"/>
      <w:bookmarkStart w:id="888" w:name="_Toc275943054"/>
      <w:bookmarkStart w:id="889" w:name="_Toc275943437"/>
      <w:bookmarkStart w:id="890" w:name="_Toc276630959"/>
      <w:bookmarkStart w:id="891" w:name="_Toc276631178"/>
      <w:bookmarkStart w:id="892" w:name="_Toc276631402"/>
      <w:bookmarkStart w:id="893" w:name="_Toc276631621"/>
      <w:bookmarkStart w:id="894" w:name="_Toc283146820"/>
      <w:bookmarkStart w:id="895" w:name="_Toc283154129"/>
      <w:bookmarkStart w:id="896" w:name="_Toc283154303"/>
      <w:bookmarkStart w:id="897" w:name="_Toc283716052"/>
      <w:bookmarkStart w:id="898" w:name="_Toc283719187"/>
      <w:bookmarkStart w:id="899" w:name="_Toc283719363"/>
      <w:bookmarkStart w:id="900" w:name="_Toc283719539"/>
      <w:bookmarkStart w:id="901" w:name="_Toc283739146"/>
      <w:bookmarkStart w:id="902" w:name="_Toc283739498"/>
      <w:bookmarkStart w:id="903" w:name="_Toc283739849"/>
      <w:bookmarkStart w:id="904" w:name="_Toc283740193"/>
      <w:bookmarkStart w:id="905" w:name="_Toc283740534"/>
      <w:bookmarkStart w:id="906" w:name="_Toc283740867"/>
      <w:bookmarkStart w:id="907" w:name="_Toc283741196"/>
      <w:bookmarkStart w:id="908" w:name="_Toc283741519"/>
      <w:bookmarkStart w:id="909" w:name="_Toc283741829"/>
      <w:bookmarkStart w:id="910" w:name="_Toc283742138"/>
      <w:bookmarkStart w:id="911" w:name="_Toc283742369"/>
      <w:bookmarkStart w:id="912" w:name="_Toc283742632"/>
      <w:bookmarkStart w:id="913" w:name="_Toc283742893"/>
      <w:bookmarkStart w:id="914" w:name="_Toc283743106"/>
      <w:bookmarkStart w:id="915" w:name="_Toc283743283"/>
      <w:bookmarkStart w:id="916" w:name="_Toc283743459"/>
      <w:bookmarkStart w:id="917" w:name="_Toc283743636"/>
      <w:bookmarkStart w:id="918" w:name="_Toc283743812"/>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r>
        <w:br w:type="page"/>
      </w:r>
      <w:bookmarkStart w:id="919" w:name="_Toc310875449"/>
      <w:r>
        <w:lastRenderedPageBreak/>
        <w:t>High-Efficiency Evaporator Fan Motors for Reach-In Refrigerated Cases</w:t>
      </w:r>
      <w:bookmarkEnd w:id="919"/>
    </w:p>
    <w:p w:rsidR="00BE1832" w:rsidRDefault="00BE1832" w:rsidP="00BE1832">
      <w:pPr>
        <w:pStyle w:val="BodyText"/>
      </w:pPr>
      <w:r>
        <w:t>This protocol covers energy and demand savings associated with retrofit of existing shaded-pole evaporator fan motors in reach-in refrigerated display cases with either an Electronically Commutated (ECM) or Permanent Split Capacitor (PSC) motor.  PSC motors must replace shaded pole (SP) motors, and ECM motors can replace either SP or PSC motors.  A default savings option is offered if case temperature and/or motor size are not known. However, these parameters should be collected by EDCs for greatest accuracy.</w:t>
      </w:r>
    </w:p>
    <w:p w:rsidR="00BE1832" w:rsidRDefault="00BE1832" w:rsidP="00BE1832">
      <w:pPr>
        <w:pStyle w:val="BodyText"/>
      </w:pPr>
      <w:r>
        <w:t xml:space="preserve">There are two sources of energy and demand savings through this measure.  There are the direct savings associated with replacement of an inefficient motor with a more efficient one, and there are the indirect savings of a reduced cooling load on the refrigeration unit due to less heat gain from the more efficient evaporator fan motor in the air-stream. </w:t>
      </w:r>
    </w:p>
    <w:p w:rsidR="00BE1832" w:rsidRPr="00686A87" w:rsidRDefault="00BE1832" w:rsidP="00871FA2">
      <w:pPr>
        <w:pStyle w:val="Heading3"/>
      </w:pPr>
      <w:r>
        <w:t>Algorithms</w:t>
      </w:r>
    </w:p>
    <w:p w:rsidR="00BE1832" w:rsidRDefault="00BE1832" w:rsidP="00E568D4">
      <w:pPr>
        <w:pStyle w:val="Heading4"/>
      </w:pPr>
      <w:r>
        <w:t>Cooler</w:t>
      </w:r>
    </w:p>
    <w:p w:rsidR="00BE1832" w:rsidRPr="005021BC" w:rsidRDefault="00744B5F" w:rsidP="00F7332F">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 per unit</w:t>
      </w:r>
      <w:r w:rsidR="00BE1832" w:rsidRPr="005021BC">
        <w:rPr>
          <w:rFonts w:cs="Arial"/>
          <w:szCs w:val="20"/>
        </w:rPr>
        <w:t xml:space="preserve"> </w:t>
      </w:r>
      <w:r w:rsidRPr="005021BC">
        <w:rPr>
          <w:rFonts w:cs="Arial"/>
          <w:szCs w:val="20"/>
        </w:rPr>
        <w:tab/>
      </w:r>
      <w:r w:rsidR="00BE1832" w:rsidRPr="005021BC">
        <w:rPr>
          <w:rFonts w:cs="Arial"/>
          <w:szCs w:val="20"/>
        </w:rPr>
        <w:t>= (W</w:t>
      </w:r>
      <w:r w:rsidR="00BE1832" w:rsidRPr="005021BC">
        <w:rPr>
          <w:rFonts w:cs="Arial"/>
          <w:szCs w:val="20"/>
          <w:vertAlign w:val="subscript"/>
        </w:rPr>
        <w:t>base</w:t>
      </w:r>
      <w:r w:rsidR="00BE1832" w:rsidRPr="005021BC">
        <w:rPr>
          <w:rFonts w:cs="Arial"/>
          <w:szCs w:val="20"/>
        </w:rPr>
        <w:t xml:space="preserve"> – W</w:t>
      </w:r>
      <w:r w:rsidR="00BE1832" w:rsidRPr="005021BC">
        <w:rPr>
          <w:rFonts w:cs="Arial"/>
          <w:szCs w:val="20"/>
          <w:vertAlign w:val="subscript"/>
        </w:rPr>
        <w:t>ee</w:t>
      </w:r>
      <w:r w:rsidR="00BE1832" w:rsidRPr="005021BC">
        <w:rPr>
          <w:rFonts w:cs="Arial"/>
          <w:szCs w:val="20"/>
        </w:rPr>
        <w:t>) / 1,000 * LF * DC</w:t>
      </w:r>
      <w:r w:rsidR="00BE1832" w:rsidRPr="005021BC">
        <w:rPr>
          <w:rFonts w:cs="Arial"/>
          <w:szCs w:val="20"/>
          <w:vertAlign w:val="subscript"/>
        </w:rPr>
        <w:t>EvapCool</w:t>
      </w:r>
      <w:r w:rsidR="00BE1832" w:rsidRPr="005021BC">
        <w:rPr>
          <w:rFonts w:cs="Arial"/>
          <w:szCs w:val="20"/>
        </w:rPr>
        <w:t xml:space="preserve"> * (1 + 1 / (DG * COP</w:t>
      </w:r>
      <w:r w:rsidR="00BE1832" w:rsidRPr="005021BC">
        <w:rPr>
          <w:rFonts w:cs="Arial"/>
          <w:szCs w:val="20"/>
          <w:vertAlign w:val="subscript"/>
        </w:rPr>
        <w:t>cooler</w:t>
      </w:r>
      <w:r w:rsidR="00BE1832" w:rsidRPr="005021BC">
        <w:rPr>
          <w:rFonts w:cs="Arial"/>
          <w:szCs w:val="20"/>
        </w:rPr>
        <w:t>))</w:t>
      </w:r>
    </w:p>
    <w:p w:rsidR="00BE1832" w:rsidRPr="005021BC" w:rsidRDefault="00744B5F" w:rsidP="00F7332F">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vertAlign w:val="subscript"/>
        </w:rPr>
        <w:t>per unit</w:t>
      </w:r>
      <w:r w:rsidRPr="005021BC">
        <w:rPr>
          <w:rFonts w:cs="Arial"/>
          <w:szCs w:val="20"/>
        </w:rPr>
        <w:tab/>
      </w:r>
      <w:r w:rsidR="00BE1832" w:rsidRPr="005021BC">
        <w:rPr>
          <w:rFonts w:cs="Arial"/>
          <w:szCs w:val="20"/>
        </w:rPr>
        <w:t xml:space="preserve">= </w:t>
      </w:r>
      <w:r w:rsidRPr="005021BC">
        <w:rPr>
          <w:rFonts w:cs="Arial"/>
          <w:szCs w:val="20"/>
        </w:rPr>
        <w:sym w:font="Symbol" w:char="F044"/>
      </w:r>
      <w:r w:rsidRPr="005021BC">
        <w:rPr>
          <w:rFonts w:cs="Arial"/>
          <w:szCs w:val="20"/>
        </w:rPr>
        <w:t>kW</w:t>
      </w:r>
      <w:r w:rsidRPr="005021BC">
        <w:rPr>
          <w:rFonts w:cs="Arial"/>
          <w:szCs w:val="20"/>
          <w:vertAlign w:val="subscript"/>
        </w:rPr>
        <w:t>peak per unit</w:t>
      </w:r>
      <w:r w:rsidRPr="005021BC">
        <w:rPr>
          <w:rFonts w:cs="Arial"/>
          <w:szCs w:val="20"/>
        </w:rPr>
        <w:t xml:space="preserve"> </w:t>
      </w:r>
      <w:r w:rsidR="00BE1832" w:rsidRPr="005021BC">
        <w:rPr>
          <w:rFonts w:cs="Arial"/>
          <w:szCs w:val="20"/>
        </w:rPr>
        <w:t>* 8,760</w:t>
      </w:r>
    </w:p>
    <w:p w:rsidR="00BE1832" w:rsidRPr="005021BC" w:rsidRDefault="00744B5F" w:rsidP="00F7332F">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Pr>
          <w:rFonts w:cs="Arial"/>
          <w:szCs w:val="20"/>
          <w:vertAlign w:val="subscript"/>
        </w:rPr>
        <w:tab/>
      </w:r>
      <w:r w:rsidRPr="005021BC">
        <w:rPr>
          <w:rFonts w:cs="Arial"/>
          <w:szCs w:val="20"/>
          <w:vertAlign w:val="subscript"/>
        </w:rPr>
        <w:tab/>
      </w:r>
      <w:r w:rsidR="00BE1832" w:rsidRPr="005021BC">
        <w:rPr>
          <w:rFonts w:cs="Arial"/>
          <w:szCs w:val="20"/>
        </w:rPr>
        <w:t>= N *</w:t>
      </w:r>
      <w:r w:rsidRPr="005021BC">
        <w:rPr>
          <w:rFonts w:cs="Arial"/>
          <w:szCs w:val="20"/>
        </w:rPr>
        <w:sym w:font="Symbol" w:char="F044"/>
      </w:r>
      <w:r w:rsidRPr="005021BC">
        <w:rPr>
          <w:rFonts w:cs="Arial"/>
          <w:szCs w:val="20"/>
        </w:rPr>
        <w:t>kW</w:t>
      </w:r>
      <w:r w:rsidRPr="005021BC">
        <w:rPr>
          <w:rFonts w:cs="Arial"/>
          <w:szCs w:val="20"/>
          <w:vertAlign w:val="subscript"/>
        </w:rPr>
        <w:t>peak per unit</w:t>
      </w:r>
    </w:p>
    <w:p w:rsidR="00BE1832" w:rsidRPr="00C63680" w:rsidRDefault="00744B5F" w:rsidP="00F7332F">
      <w:pPr>
        <w:pStyle w:val="Equation"/>
      </w:pPr>
      <w:r w:rsidRPr="005021BC">
        <w:rPr>
          <w:rFonts w:cs="Arial"/>
          <w:szCs w:val="20"/>
        </w:rPr>
        <w:sym w:font="Symbol" w:char="F044"/>
      </w:r>
      <w:r w:rsidRPr="005021BC">
        <w:rPr>
          <w:rFonts w:cs="Arial"/>
          <w:szCs w:val="20"/>
        </w:rPr>
        <w:t>kWh</w:t>
      </w:r>
      <w:r w:rsidRPr="005021BC">
        <w:rPr>
          <w:rFonts w:cs="Arial"/>
          <w:szCs w:val="20"/>
          <w:vertAlign w:val="subscript"/>
        </w:rPr>
        <w:tab/>
      </w:r>
      <w:r w:rsidR="00BE1832" w:rsidRPr="005021BC">
        <w:rPr>
          <w:rFonts w:cs="Arial"/>
          <w:szCs w:val="20"/>
        </w:rPr>
        <w:t xml:space="preserve"> </w:t>
      </w:r>
      <w:r w:rsidRPr="005021BC">
        <w:rPr>
          <w:rFonts w:cs="Arial"/>
          <w:szCs w:val="20"/>
        </w:rPr>
        <w:tab/>
      </w:r>
      <w:r w:rsidR="00BE1832" w:rsidRPr="005021BC">
        <w:rPr>
          <w:rFonts w:cs="Arial"/>
          <w:szCs w:val="20"/>
        </w:rPr>
        <w:t xml:space="preserve">= N * </w:t>
      </w:r>
      <w:r w:rsidRPr="005021BC">
        <w:rPr>
          <w:rFonts w:cs="Arial"/>
          <w:szCs w:val="20"/>
        </w:rPr>
        <w:sym w:font="Symbol" w:char="F044"/>
      </w:r>
      <w:r w:rsidRPr="005021BC">
        <w:rPr>
          <w:rFonts w:cs="Arial"/>
          <w:szCs w:val="20"/>
        </w:rPr>
        <w:t>kWh</w:t>
      </w:r>
      <w:r w:rsidRPr="005021BC">
        <w:rPr>
          <w:rFonts w:cs="Arial"/>
          <w:szCs w:val="20"/>
          <w:vertAlign w:val="subscript"/>
        </w:rPr>
        <w:t>per unit</w:t>
      </w:r>
    </w:p>
    <w:p w:rsidR="00BE1832" w:rsidRPr="00975E1F" w:rsidRDefault="00BE1832" w:rsidP="00E568D4">
      <w:pPr>
        <w:pStyle w:val="Heading4"/>
      </w:pPr>
      <w:r w:rsidRPr="00975E1F">
        <w:t>Freezer</w:t>
      </w:r>
    </w:p>
    <w:p w:rsidR="00BE1832" w:rsidRPr="005021BC" w:rsidRDefault="00744B5F" w:rsidP="00F7332F">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 per unit</w:t>
      </w:r>
      <w:r w:rsidRPr="005021BC">
        <w:rPr>
          <w:rFonts w:cs="Arial"/>
          <w:szCs w:val="20"/>
        </w:rPr>
        <w:tab/>
      </w:r>
      <w:r w:rsidR="00BE1832" w:rsidRPr="005021BC">
        <w:rPr>
          <w:rFonts w:cs="Arial"/>
          <w:szCs w:val="20"/>
        </w:rPr>
        <w:t>= (W</w:t>
      </w:r>
      <w:r w:rsidR="00BE1832" w:rsidRPr="005021BC">
        <w:rPr>
          <w:rFonts w:cs="Arial"/>
          <w:szCs w:val="20"/>
          <w:vertAlign w:val="subscript"/>
        </w:rPr>
        <w:t>base</w:t>
      </w:r>
      <w:r w:rsidR="00BE1832" w:rsidRPr="005021BC">
        <w:rPr>
          <w:rFonts w:cs="Arial"/>
          <w:szCs w:val="20"/>
        </w:rPr>
        <w:t xml:space="preserve"> – W</w:t>
      </w:r>
      <w:r w:rsidR="00BE1832" w:rsidRPr="005021BC">
        <w:rPr>
          <w:rFonts w:cs="Arial"/>
          <w:szCs w:val="20"/>
          <w:vertAlign w:val="subscript"/>
        </w:rPr>
        <w:t>ee</w:t>
      </w:r>
      <w:r w:rsidR="00BE1832" w:rsidRPr="005021BC">
        <w:rPr>
          <w:rFonts w:cs="Arial"/>
          <w:szCs w:val="20"/>
        </w:rPr>
        <w:t>) / 1,000 * LF * DC</w:t>
      </w:r>
      <w:r w:rsidR="00BE1832" w:rsidRPr="005021BC">
        <w:rPr>
          <w:rFonts w:cs="Arial"/>
          <w:szCs w:val="20"/>
          <w:vertAlign w:val="subscript"/>
        </w:rPr>
        <w:t>EvapFreeze</w:t>
      </w:r>
      <w:r w:rsidR="00BE1832" w:rsidRPr="005021BC">
        <w:rPr>
          <w:rFonts w:cs="Arial"/>
          <w:szCs w:val="20"/>
        </w:rPr>
        <w:t xml:space="preserve"> * (1 + 1 / (DG * COP</w:t>
      </w:r>
      <w:r w:rsidR="00BE1832" w:rsidRPr="005021BC">
        <w:rPr>
          <w:rFonts w:cs="Arial"/>
          <w:szCs w:val="20"/>
          <w:vertAlign w:val="subscript"/>
        </w:rPr>
        <w:t>freezer</w:t>
      </w:r>
      <w:r w:rsidR="00BE1832" w:rsidRPr="005021BC">
        <w:rPr>
          <w:rFonts w:cs="Arial"/>
          <w:szCs w:val="20"/>
        </w:rPr>
        <w:t>))</w:t>
      </w:r>
    </w:p>
    <w:p w:rsidR="00BE1832" w:rsidRPr="005021BC" w:rsidRDefault="00744B5F" w:rsidP="00F7332F">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vertAlign w:val="subscript"/>
        </w:rPr>
        <w:t>per unit</w:t>
      </w:r>
      <w:r w:rsidRPr="005021BC">
        <w:rPr>
          <w:rFonts w:cs="Arial"/>
          <w:szCs w:val="20"/>
          <w:vertAlign w:val="subscript"/>
        </w:rPr>
        <w:tab/>
      </w:r>
      <w:r w:rsidR="00BE1832" w:rsidRPr="005021BC">
        <w:rPr>
          <w:rFonts w:cs="Arial"/>
          <w:szCs w:val="20"/>
        </w:rPr>
        <w:t xml:space="preserve">= </w:t>
      </w:r>
      <w:r w:rsidRPr="005021BC">
        <w:rPr>
          <w:rFonts w:cs="Arial"/>
          <w:szCs w:val="20"/>
        </w:rPr>
        <w:sym w:font="Symbol" w:char="F044"/>
      </w:r>
      <w:r w:rsidRPr="005021BC">
        <w:rPr>
          <w:rFonts w:cs="Arial"/>
          <w:szCs w:val="20"/>
        </w:rPr>
        <w:t>kW</w:t>
      </w:r>
      <w:r w:rsidRPr="005021BC">
        <w:rPr>
          <w:rFonts w:cs="Arial"/>
          <w:szCs w:val="20"/>
          <w:vertAlign w:val="subscript"/>
        </w:rPr>
        <w:t>peak per unit</w:t>
      </w:r>
      <w:r w:rsidRPr="005021BC">
        <w:rPr>
          <w:rFonts w:cs="Arial"/>
          <w:szCs w:val="20"/>
        </w:rPr>
        <w:t xml:space="preserve"> </w:t>
      </w:r>
      <w:r w:rsidR="00BE1832" w:rsidRPr="005021BC">
        <w:rPr>
          <w:rFonts w:cs="Arial"/>
          <w:szCs w:val="20"/>
        </w:rPr>
        <w:t>* 8,760</w:t>
      </w:r>
    </w:p>
    <w:p w:rsidR="00BE1832" w:rsidRPr="005021BC" w:rsidRDefault="00744B5F" w:rsidP="00F7332F">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Pr>
          <w:rFonts w:cs="Arial"/>
          <w:szCs w:val="20"/>
          <w:vertAlign w:val="subscript"/>
        </w:rPr>
        <w:tab/>
      </w:r>
      <w:r w:rsidRPr="005021BC">
        <w:rPr>
          <w:rFonts w:cs="Arial"/>
          <w:szCs w:val="20"/>
          <w:vertAlign w:val="subscript"/>
        </w:rPr>
        <w:tab/>
      </w:r>
      <w:r w:rsidR="00BE1832" w:rsidRPr="005021BC">
        <w:rPr>
          <w:rFonts w:cs="Arial"/>
          <w:szCs w:val="20"/>
        </w:rPr>
        <w:t>= N *</w:t>
      </w:r>
      <w:r w:rsidRPr="005021BC">
        <w:rPr>
          <w:rFonts w:cs="Arial"/>
          <w:szCs w:val="20"/>
        </w:rPr>
        <w:sym w:font="Symbol" w:char="F044"/>
      </w:r>
      <w:r w:rsidRPr="005021BC">
        <w:rPr>
          <w:rFonts w:cs="Arial"/>
          <w:szCs w:val="20"/>
        </w:rPr>
        <w:t>kW</w:t>
      </w:r>
      <w:r w:rsidRPr="005021BC">
        <w:rPr>
          <w:rFonts w:cs="Arial"/>
          <w:szCs w:val="20"/>
          <w:vertAlign w:val="subscript"/>
        </w:rPr>
        <w:t>peak per unit</w:t>
      </w:r>
    </w:p>
    <w:p w:rsidR="00BE1832" w:rsidRPr="00C63680" w:rsidRDefault="00744B5F" w:rsidP="00F7332F">
      <w:pPr>
        <w:pStyle w:val="Equation"/>
      </w:pPr>
      <w:r w:rsidRPr="005021BC">
        <w:rPr>
          <w:rFonts w:cs="Arial"/>
          <w:szCs w:val="20"/>
        </w:rPr>
        <w:sym w:font="Symbol" w:char="F044"/>
      </w:r>
      <w:r w:rsidRPr="005021BC">
        <w:rPr>
          <w:rFonts w:cs="Arial"/>
          <w:szCs w:val="20"/>
        </w:rPr>
        <w:t>kWh</w:t>
      </w:r>
      <w:r w:rsidRPr="005021BC">
        <w:rPr>
          <w:rFonts w:cs="Arial"/>
          <w:szCs w:val="20"/>
          <w:vertAlign w:val="subscript"/>
        </w:rPr>
        <w:tab/>
      </w:r>
      <w:r w:rsidRPr="005021BC">
        <w:rPr>
          <w:rFonts w:cs="Arial"/>
          <w:szCs w:val="20"/>
          <w:vertAlign w:val="subscript"/>
        </w:rPr>
        <w:tab/>
      </w:r>
      <w:r w:rsidR="00BE1832" w:rsidRPr="005021BC">
        <w:rPr>
          <w:rFonts w:cs="Arial"/>
          <w:szCs w:val="20"/>
        </w:rPr>
        <w:t xml:space="preserve">= N * </w:t>
      </w:r>
      <w:r w:rsidRPr="005021BC">
        <w:rPr>
          <w:rFonts w:cs="Arial"/>
          <w:szCs w:val="20"/>
        </w:rPr>
        <w:sym w:font="Symbol" w:char="F044"/>
      </w:r>
      <w:r w:rsidRPr="005021BC">
        <w:rPr>
          <w:rFonts w:cs="Arial"/>
          <w:szCs w:val="20"/>
        </w:rPr>
        <w:t>kWh</w:t>
      </w:r>
      <w:r w:rsidRPr="005021BC">
        <w:rPr>
          <w:rFonts w:cs="Arial"/>
          <w:szCs w:val="20"/>
          <w:vertAlign w:val="subscript"/>
        </w:rPr>
        <w:t>per unit</w:t>
      </w:r>
    </w:p>
    <w:p w:rsidR="00BE1832" w:rsidRPr="00975E1F" w:rsidRDefault="00BE1832" w:rsidP="00E568D4">
      <w:pPr>
        <w:pStyle w:val="Heading4"/>
      </w:pPr>
      <w:r w:rsidRPr="00975E1F">
        <w:t>Default (case service temperature not known)</w:t>
      </w:r>
    </w:p>
    <w:p w:rsidR="00BE1832" w:rsidRPr="005021BC" w:rsidRDefault="00744B5F" w:rsidP="00F7332F">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 per unit</w:t>
      </w:r>
      <w:r w:rsidRPr="005021BC">
        <w:rPr>
          <w:rFonts w:cs="Arial"/>
          <w:szCs w:val="20"/>
        </w:rPr>
        <w:tab/>
      </w:r>
      <w:r w:rsidR="00BE1832" w:rsidRPr="005021BC">
        <w:rPr>
          <w:rFonts w:cs="Arial"/>
          <w:szCs w:val="20"/>
        </w:rPr>
        <w:t>= {(1-PctCooler) * kW</w:t>
      </w:r>
      <w:r w:rsidR="00BE1832" w:rsidRPr="005021BC">
        <w:rPr>
          <w:rFonts w:cs="Arial"/>
          <w:szCs w:val="20"/>
          <w:vertAlign w:val="subscript"/>
        </w:rPr>
        <w:t>Freezer</w:t>
      </w:r>
      <w:r w:rsidR="00BE1832" w:rsidRPr="005021BC">
        <w:rPr>
          <w:rFonts w:cs="Arial"/>
          <w:szCs w:val="20"/>
        </w:rPr>
        <w:t>/motor + PctCooler*kW</w:t>
      </w:r>
      <w:r w:rsidR="00BE1832" w:rsidRPr="005021BC">
        <w:rPr>
          <w:rFonts w:cs="Arial"/>
          <w:szCs w:val="20"/>
          <w:vertAlign w:val="subscript"/>
        </w:rPr>
        <w:t>Cooler</w:t>
      </w:r>
      <w:r w:rsidR="00BE1832" w:rsidRPr="005021BC">
        <w:rPr>
          <w:rFonts w:cs="Arial"/>
          <w:szCs w:val="20"/>
        </w:rPr>
        <w:t xml:space="preserve">/motor} </w:t>
      </w:r>
    </w:p>
    <w:p w:rsidR="00BE1832" w:rsidRPr="005021BC" w:rsidRDefault="00744B5F" w:rsidP="00F7332F">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vertAlign w:val="subscript"/>
        </w:rPr>
        <w:t>per unit</w:t>
      </w:r>
      <w:r w:rsidRPr="005021BC">
        <w:rPr>
          <w:rFonts w:cs="Arial"/>
          <w:szCs w:val="20"/>
          <w:vertAlign w:val="subscript"/>
        </w:rPr>
        <w:tab/>
      </w:r>
      <w:r w:rsidR="00BE1832" w:rsidRPr="005021BC">
        <w:rPr>
          <w:rFonts w:cs="Arial"/>
          <w:szCs w:val="20"/>
        </w:rPr>
        <w:t xml:space="preserve">= </w:t>
      </w:r>
      <w:r w:rsidRPr="005021BC">
        <w:rPr>
          <w:rFonts w:cs="Arial"/>
          <w:szCs w:val="20"/>
        </w:rPr>
        <w:sym w:font="Symbol" w:char="F044"/>
      </w:r>
      <w:r w:rsidRPr="005021BC">
        <w:rPr>
          <w:rFonts w:cs="Arial"/>
          <w:szCs w:val="20"/>
        </w:rPr>
        <w:t>kW</w:t>
      </w:r>
      <w:r w:rsidRPr="005021BC">
        <w:rPr>
          <w:rFonts w:cs="Arial"/>
          <w:szCs w:val="20"/>
          <w:vertAlign w:val="subscript"/>
        </w:rPr>
        <w:t>peak per unit</w:t>
      </w:r>
      <w:r w:rsidR="00BE1832" w:rsidRPr="005021BC">
        <w:rPr>
          <w:rFonts w:cs="Arial"/>
          <w:szCs w:val="20"/>
        </w:rPr>
        <w:t xml:space="preserve"> * 8,760</w:t>
      </w:r>
    </w:p>
    <w:p w:rsidR="00BE1832" w:rsidRPr="005021BC" w:rsidRDefault="00277FD6" w:rsidP="00F7332F">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Pr>
          <w:rFonts w:cs="Arial"/>
          <w:szCs w:val="20"/>
          <w:vertAlign w:val="subscript"/>
        </w:rPr>
        <w:tab/>
      </w:r>
      <w:r w:rsidRPr="005021BC">
        <w:rPr>
          <w:rFonts w:cs="Arial"/>
          <w:szCs w:val="20"/>
          <w:vertAlign w:val="subscript"/>
        </w:rPr>
        <w:tab/>
      </w:r>
      <w:r w:rsidR="00BE1832" w:rsidRPr="005021BC">
        <w:rPr>
          <w:rFonts w:cs="Arial"/>
          <w:szCs w:val="20"/>
        </w:rPr>
        <w:t>= N *</w:t>
      </w:r>
      <w:r w:rsidR="00744B5F" w:rsidRPr="005021BC">
        <w:rPr>
          <w:rFonts w:cs="Arial"/>
          <w:szCs w:val="20"/>
        </w:rPr>
        <w:sym w:font="Symbol" w:char="F044"/>
      </w:r>
      <w:r w:rsidR="00744B5F" w:rsidRPr="005021BC">
        <w:rPr>
          <w:rFonts w:cs="Arial"/>
          <w:szCs w:val="20"/>
        </w:rPr>
        <w:t>kW</w:t>
      </w:r>
      <w:r w:rsidR="00744B5F" w:rsidRPr="005021BC">
        <w:rPr>
          <w:rFonts w:cs="Arial"/>
          <w:szCs w:val="20"/>
          <w:vertAlign w:val="subscript"/>
        </w:rPr>
        <w:t>peak per unit</w:t>
      </w:r>
      <w:r w:rsidR="00BE1832" w:rsidRPr="005021BC">
        <w:rPr>
          <w:rFonts w:cs="Arial"/>
          <w:szCs w:val="20"/>
        </w:rPr>
        <w:t xml:space="preserve"> </w:t>
      </w:r>
    </w:p>
    <w:p w:rsidR="00BE1832" w:rsidRPr="005021BC" w:rsidRDefault="00277FD6" w:rsidP="00F7332F">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vertAlign w:val="subscript"/>
        </w:rPr>
        <w:tab/>
      </w:r>
      <w:r w:rsidRPr="005021BC">
        <w:rPr>
          <w:rFonts w:cs="Arial"/>
          <w:szCs w:val="20"/>
          <w:vertAlign w:val="subscript"/>
        </w:rPr>
        <w:tab/>
      </w:r>
      <w:r w:rsidR="00BE1832" w:rsidRPr="005021BC">
        <w:rPr>
          <w:rFonts w:cs="Arial"/>
          <w:szCs w:val="20"/>
        </w:rPr>
        <w:t>= N * kWh</w:t>
      </w:r>
      <w:r w:rsidR="00BE1832" w:rsidRPr="005021BC">
        <w:rPr>
          <w:rFonts w:cs="Arial"/>
          <w:szCs w:val="20"/>
          <w:vertAlign w:val="subscript"/>
        </w:rPr>
        <w:t>default</w:t>
      </w:r>
      <w:r w:rsidR="00BE1832" w:rsidRPr="005021BC">
        <w:rPr>
          <w:rFonts w:cs="Arial"/>
          <w:szCs w:val="20"/>
        </w:rPr>
        <w:t>/motor</w:t>
      </w:r>
    </w:p>
    <w:p w:rsidR="00BE1832" w:rsidRPr="00C33ED8" w:rsidRDefault="00BE1832" w:rsidP="00871FA2">
      <w:pPr>
        <w:pStyle w:val="Heading3"/>
      </w:pPr>
      <w:r w:rsidRPr="00021CFD">
        <w:lastRenderedPageBreak/>
        <w:t>Definition</w:t>
      </w:r>
      <w:r w:rsidRPr="00C33ED8">
        <w:t xml:space="preserve"> of Terms</w:t>
      </w:r>
    </w:p>
    <w:p w:rsidR="00BE1832" w:rsidRPr="005021BC" w:rsidRDefault="004C1DFF" w:rsidP="008075FC">
      <w:pPr>
        <w:pStyle w:val="Equation"/>
        <w:keepNext/>
        <w:rPr>
          <w:rFonts w:cs="Arial"/>
          <w:szCs w:val="20"/>
        </w:rPr>
      </w:pPr>
      <w:r w:rsidRPr="005021BC">
        <w:rPr>
          <w:rFonts w:cs="Arial"/>
          <w:szCs w:val="20"/>
        </w:rPr>
        <w:tab/>
      </w:r>
      <w:r w:rsidR="00BE1832" w:rsidRPr="005021BC">
        <w:rPr>
          <w:rFonts w:cs="Arial"/>
          <w:szCs w:val="20"/>
        </w:rPr>
        <w:t xml:space="preserve">N </w:t>
      </w:r>
      <w:r w:rsidRPr="005021BC">
        <w:rPr>
          <w:rFonts w:cs="Arial"/>
          <w:szCs w:val="20"/>
        </w:rPr>
        <w:tab/>
      </w:r>
      <w:r w:rsidR="00BE1832" w:rsidRPr="005021BC">
        <w:rPr>
          <w:rFonts w:cs="Arial"/>
          <w:szCs w:val="20"/>
        </w:rPr>
        <w:t>= Number of motors replaced</w:t>
      </w:r>
    </w:p>
    <w:p w:rsidR="00BE1832" w:rsidRPr="005021BC" w:rsidRDefault="004C1DFF" w:rsidP="008075FC">
      <w:pPr>
        <w:pStyle w:val="Equation"/>
        <w:keepNext/>
        <w:rPr>
          <w:rFonts w:cs="Arial"/>
          <w:szCs w:val="20"/>
        </w:rPr>
      </w:pPr>
      <w:r w:rsidRPr="005021BC">
        <w:rPr>
          <w:rFonts w:cs="Arial"/>
          <w:szCs w:val="20"/>
        </w:rPr>
        <w:tab/>
      </w:r>
      <w:r w:rsidR="00BE1832" w:rsidRPr="005021BC">
        <w:rPr>
          <w:rFonts w:cs="Arial"/>
          <w:szCs w:val="20"/>
        </w:rPr>
        <w:t>W</w:t>
      </w:r>
      <w:r w:rsidR="00BE1832" w:rsidRPr="005021BC">
        <w:rPr>
          <w:rFonts w:cs="Arial"/>
          <w:szCs w:val="20"/>
          <w:vertAlign w:val="subscript"/>
        </w:rPr>
        <w:t>base</w:t>
      </w:r>
      <w:r w:rsidR="00BE1832" w:rsidRPr="005021BC">
        <w:rPr>
          <w:rFonts w:cs="Arial"/>
          <w:szCs w:val="20"/>
        </w:rPr>
        <w:t xml:space="preserve"> </w:t>
      </w:r>
      <w:r w:rsidRPr="005021BC">
        <w:rPr>
          <w:rFonts w:cs="Arial"/>
          <w:szCs w:val="20"/>
        </w:rPr>
        <w:tab/>
      </w:r>
      <w:r w:rsidR="00BE1832" w:rsidRPr="005021BC">
        <w:rPr>
          <w:rFonts w:cs="Arial"/>
          <w:szCs w:val="20"/>
        </w:rPr>
        <w:t>= Input wattage of existing/baseline evaporator fan motor</w:t>
      </w:r>
    </w:p>
    <w:p w:rsidR="00BE1832" w:rsidRPr="005021BC" w:rsidRDefault="004C1DFF" w:rsidP="004C1DFF">
      <w:pPr>
        <w:pStyle w:val="Equation"/>
        <w:rPr>
          <w:rFonts w:cs="Arial"/>
          <w:szCs w:val="20"/>
        </w:rPr>
      </w:pPr>
      <w:r w:rsidRPr="005021BC">
        <w:rPr>
          <w:rFonts w:cs="Arial"/>
          <w:szCs w:val="20"/>
        </w:rPr>
        <w:tab/>
      </w:r>
      <w:r w:rsidR="00BE1832" w:rsidRPr="005021BC">
        <w:rPr>
          <w:rFonts w:cs="Arial"/>
          <w:szCs w:val="20"/>
        </w:rPr>
        <w:t>W</w:t>
      </w:r>
      <w:r w:rsidR="00BE1832" w:rsidRPr="005021BC">
        <w:rPr>
          <w:rFonts w:cs="Arial"/>
          <w:szCs w:val="20"/>
          <w:vertAlign w:val="subscript"/>
        </w:rPr>
        <w:t>ee</w:t>
      </w:r>
      <w:r w:rsidR="00BE1832" w:rsidRPr="005021BC">
        <w:rPr>
          <w:rFonts w:cs="Arial"/>
          <w:szCs w:val="20"/>
        </w:rPr>
        <w:t xml:space="preserve"> </w:t>
      </w:r>
      <w:r w:rsidRPr="005021BC">
        <w:rPr>
          <w:rFonts w:cs="Arial"/>
          <w:szCs w:val="20"/>
        </w:rPr>
        <w:tab/>
      </w:r>
      <w:r w:rsidR="00BE1832" w:rsidRPr="005021BC">
        <w:rPr>
          <w:rFonts w:cs="Arial"/>
          <w:szCs w:val="20"/>
        </w:rPr>
        <w:t>= Input wattage of new energy efficient evaporator fan motor</w:t>
      </w:r>
    </w:p>
    <w:p w:rsidR="00BE1832" w:rsidRPr="005021BC" w:rsidRDefault="004C1DFF" w:rsidP="004C1DFF">
      <w:pPr>
        <w:pStyle w:val="Equation"/>
        <w:rPr>
          <w:rFonts w:cs="Arial"/>
          <w:szCs w:val="20"/>
        </w:rPr>
      </w:pPr>
      <w:r w:rsidRPr="005021BC">
        <w:rPr>
          <w:rFonts w:cs="Arial"/>
          <w:szCs w:val="20"/>
        </w:rPr>
        <w:tab/>
      </w:r>
      <w:r w:rsidR="00BE1832" w:rsidRPr="005021BC">
        <w:rPr>
          <w:rFonts w:cs="Arial"/>
          <w:szCs w:val="20"/>
        </w:rPr>
        <w:t xml:space="preserve">LF </w:t>
      </w:r>
      <w:r w:rsidRPr="005021BC">
        <w:rPr>
          <w:rFonts w:cs="Arial"/>
          <w:szCs w:val="20"/>
        </w:rPr>
        <w:tab/>
      </w:r>
      <w:r w:rsidR="00BE1832" w:rsidRPr="005021BC">
        <w:rPr>
          <w:rFonts w:cs="Arial"/>
          <w:szCs w:val="20"/>
        </w:rPr>
        <w:t>= Load factor of evaporator fan motor</w:t>
      </w:r>
    </w:p>
    <w:p w:rsidR="00BE1832" w:rsidRPr="005021BC" w:rsidRDefault="004C1DFF" w:rsidP="004C1DFF">
      <w:pPr>
        <w:pStyle w:val="Equation"/>
        <w:rPr>
          <w:rFonts w:cs="Arial"/>
          <w:szCs w:val="20"/>
        </w:rPr>
      </w:pPr>
      <w:r w:rsidRPr="005021BC">
        <w:rPr>
          <w:rFonts w:cs="Arial"/>
          <w:szCs w:val="20"/>
        </w:rPr>
        <w:tab/>
      </w:r>
      <w:r w:rsidR="00BE1832" w:rsidRPr="005021BC">
        <w:rPr>
          <w:rFonts w:cs="Arial"/>
          <w:szCs w:val="20"/>
        </w:rPr>
        <w:t>DC</w:t>
      </w:r>
      <w:r w:rsidR="00BE1832" w:rsidRPr="005021BC">
        <w:rPr>
          <w:rFonts w:cs="Arial"/>
          <w:szCs w:val="20"/>
          <w:vertAlign w:val="subscript"/>
        </w:rPr>
        <w:t xml:space="preserve">EvapCool </w:t>
      </w:r>
      <w:r w:rsidRPr="005021BC">
        <w:rPr>
          <w:rFonts w:cs="Arial"/>
          <w:szCs w:val="20"/>
          <w:vertAlign w:val="subscript"/>
        </w:rPr>
        <w:tab/>
      </w:r>
      <w:r w:rsidR="00BE1832" w:rsidRPr="005021BC">
        <w:rPr>
          <w:rFonts w:cs="Arial"/>
          <w:szCs w:val="20"/>
        </w:rPr>
        <w:t>= Duty cycle of evaporator fan motor for cooler</w:t>
      </w:r>
    </w:p>
    <w:p w:rsidR="00BE1832" w:rsidRPr="005021BC" w:rsidRDefault="004C1DFF" w:rsidP="004C1DFF">
      <w:pPr>
        <w:pStyle w:val="Equation"/>
        <w:rPr>
          <w:rFonts w:cs="Arial"/>
          <w:szCs w:val="20"/>
        </w:rPr>
      </w:pPr>
      <w:r w:rsidRPr="005021BC">
        <w:rPr>
          <w:rFonts w:cs="Arial"/>
          <w:szCs w:val="20"/>
        </w:rPr>
        <w:tab/>
      </w:r>
      <w:r w:rsidR="00BE1832" w:rsidRPr="005021BC">
        <w:rPr>
          <w:rFonts w:cs="Arial"/>
          <w:szCs w:val="20"/>
        </w:rPr>
        <w:t>DC</w:t>
      </w:r>
      <w:r w:rsidR="00BE1832" w:rsidRPr="005021BC">
        <w:rPr>
          <w:rFonts w:cs="Arial"/>
          <w:szCs w:val="20"/>
          <w:vertAlign w:val="subscript"/>
        </w:rPr>
        <w:t xml:space="preserve">EvapFreeze </w:t>
      </w:r>
      <w:r w:rsidRPr="005021BC">
        <w:rPr>
          <w:rFonts w:cs="Arial"/>
          <w:szCs w:val="20"/>
          <w:vertAlign w:val="subscript"/>
        </w:rPr>
        <w:tab/>
      </w:r>
      <w:r w:rsidR="00BE1832" w:rsidRPr="005021BC">
        <w:rPr>
          <w:rFonts w:cs="Arial"/>
          <w:szCs w:val="20"/>
        </w:rPr>
        <w:t>= Duty cycle of evaporator fan motor for freezer</w:t>
      </w:r>
    </w:p>
    <w:p w:rsidR="00BE1832" w:rsidRPr="005021BC" w:rsidRDefault="004C1DFF" w:rsidP="004C1DFF">
      <w:pPr>
        <w:pStyle w:val="Equation"/>
        <w:rPr>
          <w:rFonts w:cs="Arial"/>
          <w:szCs w:val="20"/>
        </w:rPr>
      </w:pPr>
      <w:r w:rsidRPr="005021BC">
        <w:rPr>
          <w:rFonts w:cs="Arial"/>
          <w:szCs w:val="20"/>
        </w:rPr>
        <w:tab/>
      </w:r>
      <w:r w:rsidR="00BE1832" w:rsidRPr="005021BC">
        <w:rPr>
          <w:rFonts w:cs="Arial"/>
          <w:szCs w:val="20"/>
        </w:rPr>
        <w:t xml:space="preserve">DG </w:t>
      </w:r>
      <w:r w:rsidRPr="005021BC">
        <w:rPr>
          <w:rFonts w:cs="Arial"/>
          <w:szCs w:val="20"/>
        </w:rPr>
        <w:tab/>
      </w:r>
      <w:r w:rsidR="00BE1832" w:rsidRPr="005021BC">
        <w:rPr>
          <w:rFonts w:cs="Arial"/>
          <w:szCs w:val="20"/>
        </w:rPr>
        <w:t>= Degradation factor of compressor COP</w:t>
      </w:r>
    </w:p>
    <w:p w:rsidR="00BE1832" w:rsidRPr="005021BC" w:rsidRDefault="004C1DFF" w:rsidP="004C1DFF">
      <w:pPr>
        <w:pStyle w:val="Equation"/>
        <w:rPr>
          <w:rFonts w:cs="Arial"/>
          <w:szCs w:val="20"/>
        </w:rPr>
      </w:pPr>
      <w:r w:rsidRPr="005021BC">
        <w:rPr>
          <w:rFonts w:cs="Arial"/>
          <w:szCs w:val="20"/>
        </w:rPr>
        <w:tab/>
      </w:r>
      <w:r w:rsidR="00BE1832" w:rsidRPr="005021BC">
        <w:rPr>
          <w:rFonts w:cs="Arial"/>
          <w:szCs w:val="20"/>
        </w:rPr>
        <w:t>COP</w:t>
      </w:r>
      <w:r w:rsidR="00BE1832" w:rsidRPr="005021BC">
        <w:rPr>
          <w:rFonts w:cs="Arial"/>
          <w:szCs w:val="20"/>
          <w:vertAlign w:val="subscript"/>
        </w:rPr>
        <w:t>cooler</w:t>
      </w:r>
      <w:r w:rsidR="00BE1832" w:rsidRPr="005021BC">
        <w:rPr>
          <w:rFonts w:cs="Arial"/>
          <w:szCs w:val="20"/>
        </w:rPr>
        <w:t xml:space="preserve"> </w:t>
      </w:r>
      <w:r w:rsidRPr="005021BC">
        <w:rPr>
          <w:rFonts w:cs="Arial"/>
          <w:szCs w:val="20"/>
        </w:rPr>
        <w:tab/>
      </w:r>
      <w:r w:rsidR="00BE1832" w:rsidRPr="005021BC">
        <w:rPr>
          <w:rFonts w:cs="Arial"/>
          <w:szCs w:val="20"/>
        </w:rPr>
        <w:t>= Coefficient of performance of compressor in the cooler</w:t>
      </w:r>
    </w:p>
    <w:p w:rsidR="00BE1832" w:rsidRPr="005021BC" w:rsidRDefault="004C1DFF" w:rsidP="004C1DFF">
      <w:pPr>
        <w:pStyle w:val="Equation"/>
        <w:rPr>
          <w:rFonts w:cs="Arial"/>
          <w:szCs w:val="20"/>
        </w:rPr>
      </w:pPr>
      <w:r w:rsidRPr="005021BC">
        <w:rPr>
          <w:rFonts w:cs="Arial"/>
          <w:szCs w:val="20"/>
        </w:rPr>
        <w:tab/>
      </w:r>
      <w:r w:rsidR="00BE1832" w:rsidRPr="005021BC">
        <w:rPr>
          <w:rFonts w:cs="Arial"/>
          <w:szCs w:val="20"/>
        </w:rPr>
        <w:t>COP</w:t>
      </w:r>
      <w:r w:rsidR="00BE1832" w:rsidRPr="005021BC">
        <w:rPr>
          <w:rFonts w:cs="Arial"/>
          <w:szCs w:val="20"/>
          <w:vertAlign w:val="subscript"/>
        </w:rPr>
        <w:t>freezer</w:t>
      </w:r>
      <w:r w:rsidRPr="005021BC">
        <w:rPr>
          <w:rFonts w:cs="Arial"/>
          <w:szCs w:val="20"/>
          <w:vertAlign w:val="subscript"/>
        </w:rPr>
        <w:tab/>
      </w:r>
      <w:r w:rsidR="00BE1832" w:rsidRPr="005021BC">
        <w:rPr>
          <w:rFonts w:cs="Arial"/>
          <w:szCs w:val="20"/>
        </w:rPr>
        <w:t>= Coefficient of performance of compressor in the freezer</w:t>
      </w:r>
    </w:p>
    <w:p w:rsidR="00BE1832" w:rsidRPr="005021BC" w:rsidRDefault="004C1DFF" w:rsidP="004C1DFF">
      <w:pPr>
        <w:pStyle w:val="Equation"/>
        <w:rPr>
          <w:rFonts w:cs="Arial"/>
          <w:szCs w:val="20"/>
        </w:rPr>
      </w:pPr>
      <w:r w:rsidRPr="005021BC">
        <w:rPr>
          <w:rFonts w:cs="Arial"/>
          <w:szCs w:val="20"/>
        </w:rPr>
        <w:tab/>
      </w:r>
      <w:r w:rsidR="00BE1832" w:rsidRPr="005021BC">
        <w:rPr>
          <w:rFonts w:cs="Arial"/>
          <w:szCs w:val="20"/>
        </w:rPr>
        <w:t xml:space="preserve">PctCooler </w:t>
      </w:r>
      <w:r w:rsidRPr="005021BC">
        <w:rPr>
          <w:rFonts w:cs="Arial"/>
          <w:szCs w:val="20"/>
        </w:rPr>
        <w:tab/>
      </w:r>
      <w:r w:rsidR="00BE1832" w:rsidRPr="005021BC">
        <w:rPr>
          <w:rFonts w:cs="Arial"/>
          <w:szCs w:val="20"/>
        </w:rPr>
        <w:t>= Percentage of coolers in stores vs</w:t>
      </w:r>
      <w:r w:rsidR="00F11594">
        <w:rPr>
          <w:rFonts w:cs="Arial"/>
          <w:szCs w:val="20"/>
        </w:rPr>
        <w:t>.</w:t>
      </w:r>
      <w:r w:rsidR="00BE1832" w:rsidRPr="005021BC">
        <w:rPr>
          <w:rFonts w:cs="Arial"/>
          <w:szCs w:val="20"/>
        </w:rPr>
        <w:t xml:space="preserve"> total of freezers and coolers</w:t>
      </w:r>
    </w:p>
    <w:p w:rsidR="00BE1832" w:rsidRDefault="004C1DFF" w:rsidP="008075FC">
      <w:pPr>
        <w:pStyle w:val="Equation"/>
      </w:pPr>
      <w:r w:rsidRPr="005021BC">
        <w:rPr>
          <w:rFonts w:cs="Arial"/>
          <w:szCs w:val="20"/>
        </w:rPr>
        <w:tab/>
      </w:r>
      <w:r w:rsidR="00BE1832" w:rsidRPr="005021BC">
        <w:rPr>
          <w:rFonts w:cs="Arial"/>
          <w:szCs w:val="20"/>
        </w:rPr>
        <w:t>8760</w:t>
      </w:r>
      <w:r w:rsidRPr="005021BC">
        <w:rPr>
          <w:rFonts w:cs="Arial"/>
          <w:szCs w:val="20"/>
        </w:rPr>
        <w:tab/>
      </w:r>
      <w:r w:rsidR="00BE1832" w:rsidRPr="005021BC">
        <w:rPr>
          <w:rFonts w:cs="Arial"/>
          <w:szCs w:val="20"/>
        </w:rPr>
        <w:t xml:space="preserve"> = Hours per year</w:t>
      </w:r>
    </w:p>
    <w:p w:rsidR="0040225B" w:rsidRDefault="0040225B" w:rsidP="00B20F6B">
      <w:pPr>
        <w:pStyle w:val="Caption"/>
      </w:pPr>
      <w:bookmarkStart w:id="920" w:name="_Toc310875585"/>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33</w:t>
      </w:r>
      <w:r w:rsidR="00274AB1">
        <w:rPr>
          <w:noProof/>
        </w:rPr>
        <w:fldChar w:fldCharType="end"/>
      </w:r>
      <w:r>
        <w:t xml:space="preserve">: </w:t>
      </w:r>
      <w:r w:rsidRPr="009A49E4">
        <w:t>Variables for High-Efficiency Evaporator Fan Motor</w:t>
      </w:r>
      <w:bookmarkEnd w:id="920"/>
    </w:p>
    <w:tbl>
      <w:tblPr>
        <w:tblW w:w="8640" w:type="dxa"/>
        <w:jc w:val="center"/>
        <w:tblLayout w:type="fixed"/>
        <w:tblLook w:val="04A0" w:firstRow="1" w:lastRow="0" w:firstColumn="1" w:lastColumn="0" w:noHBand="0" w:noVBand="1"/>
      </w:tblPr>
      <w:tblGrid>
        <w:gridCol w:w="1974"/>
        <w:gridCol w:w="1852"/>
        <w:gridCol w:w="2654"/>
        <w:gridCol w:w="2160"/>
      </w:tblGrid>
      <w:tr w:rsidR="00717EE4" w:rsidRPr="009B75CC" w:rsidTr="00D81E45">
        <w:trPr>
          <w:trHeight w:val="300"/>
          <w:jc w:val="center"/>
        </w:trPr>
        <w:tc>
          <w:tcPr>
            <w:tcW w:w="1808" w:type="dxa"/>
            <w:tcBorders>
              <w:top w:val="single" w:sz="4" w:space="0" w:color="auto"/>
              <w:left w:val="single" w:sz="4" w:space="0" w:color="auto"/>
              <w:bottom w:val="single" w:sz="4" w:space="0" w:color="auto"/>
              <w:right w:val="single" w:sz="4" w:space="0" w:color="auto"/>
            </w:tcBorders>
            <w:shd w:val="clear" w:color="auto" w:fill="BFBFBF"/>
            <w:vAlign w:val="center"/>
          </w:tcPr>
          <w:p w:rsidR="00717EE4" w:rsidRPr="001D6512" w:rsidRDefault="00717EE4" w:rsidP="00C3606E">
            <w:pPr>
              <w:pStyle w:val="TableCell"/>
              <w:spacing w:before="60" w:after="60"/>
              <w:rPr>
                <w:b/>
              </w:rPr>
            </w:pPr>
            <w:r w:rsidRPr="001D6512">
              <w:rPr>
                <w:b/>
              </w:rPr>
              <w:t>Variable</w:t>
            </w:r>
          </w:p>
        </w:tc>
        <w:tc>
          <w:tcPr>
            <w:tcW w:w="1696" w:type="dxa"/>
            <w:tcBorders>
              <w:top w:val="single" w:sz="4" w:space="0" w:color="auto"/>
              <w:left w:val="nil"/>
              <w:bottom w:val="single" w:sz="4" w:space="0" w:color="auto"/>
              <w:right w:val="single" w:sz="4" w:space="0" w:color="auto"/>
            </w:tcBorders>
            <w:shd w:val="clear" w:color="auto" w:fill="BFBFBF"/>
            <w:vAlign w:val="center"/>
          </w:tcPr>
          <w:p w:rsidR="00717EE4" w:rsidRPr="001D6512" w:rsidRDefault="00717EE4" w:rsidP="00C3606E">
            <w:pPr>
              <w:pStyle w:val="TableCell"/>
              <w:spacing w:before="60" w:after="60"/>
              <w:rPr>
                <w:b/>
              </w:rPr>
            </w:pPr>
            <w:r w:rsidRPr="001D6512">
              <w:rPr>
                <w:b/>
              </w:rPr>
              <w:t>Type</w:t>
            </w:r>
          </w:p>
        </w:tc>
        <w:tc>
          <w:tcPr>
            <w:tcW w:w="2430" w:type="dxa"/>
            <w:tcBorders>
              <w:top w:val="single" w:sz="4" w:space="0" w:color="auto"/>
              <w:left w:val="nil"/>
              <w:bottom w:val="single" w:sz="4" w:space="0" w:color="auto"/>
              <w:right w:val="single" w:sz="4" w:space="0" w:color="auto"/>
            </w:tcBorders>
            <w:shd w:val="clear" w:color="auto" w:fill="BFBFBF"/>
            <w:vAlign w:val="center"/>
          </w:tcPr>
          <w:p w:rsidR="00717EE4" w:rsidRPr="001D6512" w:rsidRDefault="00717EE4" w:rsidP="00C3606E">
            <w:pPr>
              <w:pStyle w:val="TableCell"/>
              <w:spacing w:before="60" w:after="60"/>
              <w:rPr>
                <w:b/>
              </w:rPr>
            </w:pPr>
            <w:r w:rsidRPr="001D6512">
              <w:rPr>
                <w:b/>
              </w:rPr>
              <w:t>Value</w:t>
            </w:r>
          </w:p>
        </w:tc>
        <w:tc>
          <w:tcPr>
            <w:tcW w:w="1978" w:type="dxa"/>
            <w:tcBorders>
              <w:top w:val="single" w:sz="4" w:space="0" w:color="auto"/>
              <w:left w:val="nil"/>
              <w:bottom w:val="single" w:sz="4" w:space="0" w:color="auto"/>
              <w:right w:val="single" w:sz="4" w:space="0" w:color="auto"/>
            </w:tcBorders>
            <w:shd w:val="clear" w:color="auto" w:fill="BFBFBF"/>
            <w:vAlign w:val="center"/>
          </w:tcPr>
          <w:p w:rsidR="00717EE4" w:rsidRPr="001D6512" w:rsidRDefault="00717EE4" w:rsidP="00C3606E">
            <w:pPr>
              <w:pStyle w:val="TableCell"/>
              <w:spacing w:before="60" w:after="60"/>
              <w:rPr>
                <w:b/>
              </w:rPr>
            </w:pPr>
            <w:r w:rsidRPr="001D6512">
              <w:rPr>
                <w:b/>
              </w:rPr>
              <w:t>Source</w:t>
            </w:r>
          </w:p>
        </w:tc>
      </w:tr>
      <w:tr w:rsidR="00717EE4" w:rsidRPr="009B75CC" w:rsidTr="002146FB">
        <w:trPr>
          <w:trHeight w:val="20"/>
          <w:jc w:val="center"/>
        </w:trPr>
        <w:tc>
          <w:tcPr>
            <w:tcW w:w="1808" w:type="dxa"/>
            <w:vMerge w:val="restart"/>
            <w:tcBorders>
              <w:top w:val="nil"/>
              <w:left w:val="single" w:sz="4" w:space="0" w:color="auto"/>
              <w:bottom w:val="single" w:sz="4" w:space="0" w:color="000000"/>
              <w:right w:val="single" w:sz="4" w:space="0" w:color="auto"/>
            </w:tcBorders>
            <w:shd w:val="clear" w:color="auto" w:fill="auto"/>
            <w:noWrap/>
            <w:vAlign w:val="center"/>
          </w:tcPr>
          <w:p w:rsidR="00717EE4" w:rsidRPr="001D6512" w:rsidRDefault="00717EE4" w:rsidP="00C3606E">
            <w:pPr>
              <w:pStyle w:val="TableCell"/>
              <w:spacing w:before="60" w:after="60"/>
            </w:pPr>
            <w:r w:rsidRPr="001D6512">
              <w:t>W</w:t>
            </w:r>
            <w:r w:rsidRPr="001D6512">
              <w:rPr>
                <w:vertAlign w:val="subscript"/>
              </w:rPr>
              <w:t>base</w:t>
            </w:r>
          </w:p>
        </w:tc>
        <w:tc>
          <w:tcPr>
            <w:tcW w:w="1696" w:type="dxa"/>
            <w:vMerge w:val="restart"/>
            <w:tcBorders>
              <w:top w:val="nil"/>
              <w:left w:val="single" w:sz="4" w:space="0" w:color="auto"/>
              <w:bottom w:val="single" w:sz="4" w:space="0" w:color="000000"/>
              <w:right w:val="single" w:sz="4" w:space="0" w:color="auto"/>
            </w:tcBorders>
            <w:shd w:val="clear" w:color="auto" w:fill="auto"/>
            <w:vAlign w:val="center"/>
          </w:tcPr>
          <w:p w:rsidR="00717EE4" w:rsidRPr="001D6512" w:rsidRDefault="00717EE4" w:rsidP="00C3606E">
            <w:pPr>
              <w:pStyle w:val="TableCell"/>
              <w:spacing w:before="60" w:after="60"/>
            </w:pPr>
            <w:r w:rsidRPr="001D6512">
              <w:t>Fixed</w:t>
            </w:r>
          </w:p>
        </w:tc>
        <w:tc>
          <w:tcPr>
            <w:tcW w:w="2430" w:type="dxa"/>
            <w:tcBorders>
              <w:top w:val="nil"/>
              <w:left w:val="nil"/>
              <w:bottom w:val="single" w:sz="4" w:space="0" w:color="auto"/>
              <w:right w:val="single" w:sz="4" w:space="0" w:color="auto"/>
            </w:tcBorders>
            <w:shd w:val="clear" w:color="auto" w:fill="auto"/>
            <w:vAlign w:val="center"/>
          </w:tcPr>
          <w:p w:rsidR="00717EE4" w:rsidRPr="001D6512" w:rsidRDefault="00717EE4" w:rsidP="00C3606E">
            <w:pPr>
              <w:pStyle w:val="TableCell"/>
              <w:spacing w:before="60" w:after="60"/>
            </w:pPr>
            <w:r w:rsidRPr="001D6512">
              <w:t>Default</w:t>
            </w:r>
          </w:p>
        </w:tc>
        <w:tc>
          <w:tcPr>
            <w:tcW w:w="1978" w:type="dxa"/>
            <w:tcBorders>
              <w:top w:val="nil"/>
              <w:left w:val="nil"/>
              <w:bottom w:val="single" w:sz="4" w:space="0" w:color="auto"/>
              <w:right w:val="single" w:sz="4" w:space="0" w:color="auto"/>
            </w:tcBorders>
            <w:shd w:val="clear" w:color="auto" w:fill="auto"/>
            <w:vAlign w:val="center"/>
          </w:tcPr>
          <w:p w:rsidR="00717EE4" w:rsidRPr="001D6512" w:rsidRDefault="007A1FB6" w:rsidP="00C3606E">
            <w:pPr>
              <w:pStyle w:val="TableCell"/>
              <w:spacing w:before="60" w:after="60"/>
            </w:pPr>
            <w:r w:rsidRPr="001D6512">
              <w:fldChar w:fldCharType="begin"/>
            </w:r>
            <w:r w:rsidR="002146FB" w:rsidRPr="001D6512">
              <w:instrText xml:space="preserve"> REF _Ref283724976 \h </w:instrText>
            </w:r>
            <w:r w:rsidRPr="001D6512">
              <w:fldChar w:fldCharType="separate"/>
            </w:r>
            <w:r w:rsidR="00C0292F">
              <w:t xml:space="preserve">Table </w:t>
            </w:r>
            <w:r w:rsidR="00C0292F">
              <w:rPr>
                <w:noProof/>
              </w:rPr>
              <w:t>3</w:t>
            </w:r>
            <w:r w:rsidR="00C0292F">
              <w:noBreakHyphen/>
            </w:r>
            <w:r w:rsidR="00C0292F">
              <w:rPr>
                <w:noProof/>
              </w:rPr>
              <w:t>34</w:t>
            </w:r>
            <w:r w:rsidRPr="001D6512">
              <w:fldChar w:fldCharType="end"/>
            </w:r>
          </w:p>
        </w:tc>
      </w:tr>
      <w:tr w:rsidR="00717EE4" w:rsidRPr="009B75CC" w:rsidTr="002146FB">
        <w:trPr>
          <w:trHeight w:val="20"/>
          <w:jc w:val="center"/>
        </w:trPr>
        <w:tc>
          <w:tcPr>
            <w:tcW w:w="1808" w:type="dxa"/>
            <w:vMerge/>
            <w:tcBorders>
              <w:top w:val="nil"/>
              <w:left w:val="single" w:sz="4" w:space="0" w:color="auto"/>
              <w:bottom w:val="single" w:sz="4" w:space="0" w:color="000000"/>
              <w:right w:val="single" w:sz="4" w:space="0" w:color="auto"/>
            </w:tcBorders>
            <w:vAlign w:val="center"/>
          </w:tcPr>
          <w:p w:rsidR="00CD05FA" w:rsidRPr="001D6512" w:rsidRDefault="00CD05FA" w:rsidP="00C3606E">
            <w:pPr>
              <w:pStyle w:val="TableCell"/>
              <w:spacing w:before="60" w:after="60"/>
            </w:pPr>
          </w:p>
        </w:tc>
        <w:tc>
          <w:tcPr>
            <w:tcW w:w="1696" w:type="dxa"/>
            <w:vMerge/>
            <w:tcBorders>
              <w:top w:val="nil"/>
              <w:left w:val="single" w:sz="4" w:space="0" w:color="auto"/>
              <w:bottom w:val="single" w:sz="4" w:space="0" w:color="000000"/>
              <w:right w:val="single" w:sz="4" w:space="0" w:color="auto"/>
            </w:tcBorders>
            <w:vAlign w:val="center"/>
          </w:tcPr>
          <w:p w:rsidR="00CD05FA" w:rsidRPr="001D6512" w:rsidRDefault="00CD05FA" w:rsidP="00C3606E">
            <w:pPr>
              <w:pStyle w:val="TableCell"/>
              <w:spacing w:before="60" w:after="60"/>
            </w:pPr>
          </w:p>
        </w:tc>
        <w:tc>
          <w:tcPr>
            <w:tcW w:w="2430" w:type="dxa"/>
            <w:tcBorders>
              <w:top w:val="nil"/>
              <w:left w:val="nil"/>
              <w:bottom w:val="single" w:sz="4" w:space="0" w:color="auto"/>
              <w:right w:val="single" w:sz="4" w:space="0" w:color="auto"/>
            </w:tcBorders>
            <w:shd w:val="clear" w:color="auto" w:fill="auto"/>
            <w:vAlign w:val="center"/>
          </w:tcPr>
          <w:p w:rsidR="00717EE4" w:rsidRPr="001D6512" w:rsidRDefault="00C67DA4" w:rsidP="00C3606E">
            <w:pPr>
              <w:pStyle w:val="TableCell"/>
              <w:spacing w:before="60" w:after="60"/>
            </w:pPr>
            <w:r w:rsidRPr="001D6512">
              <w:t>Nameplate Input Wattage</w:t>
            </w:r>
          </w:p>
        </w:tc>
        <w:tc>
          <w:tcPr>
            <w:tcW w:w="1978" w:type="dxa"/>
            <w:tcBorders>
              <w:top w:val="nil"/>
              <w:left w:val="nil"/>
              <w:bottom w:val="single" w:sz="4" w:space="0" w:color="auto"/>
              <w:right w:val="single" w:sz="4" w:space="0" w:color="auto"/>
            </w:tcBorders>
            <w:shd w:val="clear" w:color="auto" w:fill="auto"/>
            <w:vAlign w:val="center"/>
          </w:tcPr>
          <w:p w:rsidR="00717EE4" w:rsidRPr="001D6512" w:rsidRDefault="00C67DA4" w:rsidP="00C3606E">
            <w:pPr>
              <w:pStyle w:val="TableCell"/>
              <w:spacing w:before="60" w:after="60"/>
            </w:pPr>
            <w:r w:rsidRPr="001D6512">
              <w:t>EDC Data Gathering</w:t>
            </w:r>
          </w:p>
        </w:tc>
      </w:tr>
      <w:tr w:rsidR="00717EE4" w:rsidRPr="009B75CC" w:rsidTr="002146FB">
        <w:trPr>
          <w:trHeight w:val="20"/>
          <w:jc w:val="center"/>
        </w:trPr>
        <w:tc>
          <w:tcPr>
            <w:tcW w:w="1808" w:type="dxa"/>
            <w:vMerge w:val="restart"/>
            <w:tcBorders>
              <w:top w:val="nil"/>
              <w:left w:val="single" w:sz="4" w:space="0" w:color="auto"/>
              <w:bottom w:val="single" w:sz="4" w:space="0" w:color="000000"/>
              <w:right w:val="single" w:sz="4" w:space="0" w:color="auto"/>
            </w:tcBorders>
            <w:shd w:val="clear" w:color="auto" w:fill="auto"/>
            <w:noWrap/>
            <w:vAlign w:val="center"/>
          </w:tcPr>
          <w:p w:rsidR="00717EE4" w:rsidRPr="001D6512" w:rsidRDefault="00717EE4" w:rsidP="00C3606E">
            <w:pPr>
              <w:pStyle w:val="TableCell"/>
              <w:spacing w:before="60" w:after="60"/>
            </w:pPr>
            <w:r w:rsidRPr="001D6512">
              <w:t>W</w:t>
            </w:r>
            <w:r w:rsidRPr="001D6512">
              <w:rPr>
                <w:vertAlign w:val="subscript"/>
              </w:rPr>
              <w:t>ee</w:t>
            </w:r>
          </w:p>
        </w:tc>
        <w:tc>
          <w:tcPr>
            <w:tcW w:w="1696" w:type="dxa"/>
            <w:vMerge w:val="restart"/>
            <w:tcBorders>
              <w:top w:val="nil"/>
              <w:left w:val="single" w:sz="4" w:space="0" w:color="auto"/>
              <w:bottom w:val="single" w:sz="4" w:space="0" w:color="000000"/>
              <w:right w:val="single" w:sz="4" w:space="0" w:color="auto"/>
            </w:tcBorders>
            <w:shd w:val="clear" w:color="auto" w:fill="auto"/>
            <w:vAlign w:val="center"/>
          </w:tcPr>
          <w:p w:rsidR="00717EE4" w:rsidRPr="001D6512" w:rsidRDefault="00717EE4" w:rsidP="00C3606E">
            <w:pPr>
              <w:pStyle w:val="TableCell"/>
              <w:spacing w:before="60" w:after="60"/>
            </w:pPr>
            <w:r w:rsidRPr="001D6512">
              <w:t>Variable</w:t>
            </w:r>
          </w:p>
        </w:tc>
        <w:tc>
          <w:tcPr>
            <w:tcW w:w="2430" w:type="dxa"/>
            <w:tcBorders>
              <w:top w:val="nil"/>
              <w:left w:val="nil"/>
              <w:bottom w:val="single" w:sz="4" w:space="0" w:color="auto"/>
              <w:right w:val="single" w:sz="4" w:space="0" w:color="auto"/>
            </w:tcBorders>
            <w:shd w:val="clear" w:color="auto" w:fill="auto"/>
            <w:vAlign w:val="center"/>
          </w:tcPr>
          <w:p w:rsidR="00717EE4" w:rsidRPr="001D6512" w:rsidRDefault="00717EE4" w:rsidP="00C3606E">
            <w:pPr>
              <w:pStyle w:val="TableCell"/>
              <w:spacing w:before="60" w:after="60"/>
            </w:pPr>
            <w:r w:rsidRPr="001D6512">
              <w:t>Default</w:t>
            </w:r>
          </w:p>
        </w:tc>
        <w:tc>
          <w:tcPr>
            <w:tcW w:w="1978" w:type="dxa"/>
            <w:tcBorders>
              <w:top w:val="nil"/>
              <w:left w:val="nil"/>
              <w:bottom w:val="single" w:sz="4" w:space="0" w:color="auto"/>
              <w:right w:val="single" w:sz="4" w:space="0" w:color="auto"/>
            </w:tcBorders>
            <w:shd w:val="clear" w:color="auto" w:fill="auto"/>
            <w:vAlign w:val="center"/>
          </w:tcPr>
          <w:p w:rsidR="00717EE4" w:rsidRPr="001D6512" w:rsidRDefault="007A1FB6" w:rsidP="00C3606E">
            <w:pPr>
              <w:pStyle w:val="TableCell"/>
              <w:spacing w:before="60" w:after="60"/>
            </w:pPr>
            <w:r w:rsidRPr="001D6512">
              <w:fldChar w:fldCharType="begin"/>
            </w:r>
            <w:r w:rsidR="002146FB" w:rsidRPr="001D6512">
              <w:instrText xml:space="preserve"> REF _Ref283724976 \h </w:instrText>
            </w:r>
            <w:r w:rsidRPr="001D6512">
              <w:fldChar w:fldCharType="separate"/>
            </w:r>
            <w:r w:rsidR="00C0292F">
              <w:t xml:space="preserve">Table </w:t>
            </w:r>
            <w:r w:rsidR="00C0292F">
              <w:rPr>
                <w:noProof/>
              </w:rPr>
              <w:t>3</w:t>
            </w:r>
            <w:r w:rsidR="00C0292F">
              <w:noBreakHyphen/>
            </w:r>
            <w:r w:rsidR="00C0292F">
              <w:rPr>
                <w:noProof/>
              </w:rPr>
              <w:t>34</w:t>
            </w:r>
            <w:r w:rsidRPr="001D6512">
              <w:fldChar w:fldCharType="end"/>
            </w:r>
          </w:p>
        </w:tc>
      </w:tr>
      <w:tr w:rsidR="00717EE4" w:rsidRPr="009B75CC" w:rsidTr="002146FB">
        <w:trPr>
          <w:trHeight w:val="20"/>
          <w:jc w:val="center"/>
        </w:trPr>
        <w:tc>
          <w:tcPr>
            <w:tcW w:w="1808" w:type="dxa"/>
            <w:vMerge/>
            <w:tcBorders>
              <w:top w:val="nil"/>
              <w:left w:val="single" w:sz="4" w:space="0" w:color="auto"/>
              <w:bottom w:val="single" w:sz="4" w:space="0" w:color="000000"/>
              <w:right w:val="single" w:sz="4" w:space="0" w:color="auto"/>
            </w:tcBorders>
            <w:vAlign w:val="center"/>
          </w:tcPr>
          <w:p w:rsidR="00CD05FA" w:rsidRPr="001D6512" w:rsidRDefault="00CD05FA" w:rsidP="00C3606E">
            <w:pPr>
              <w:pStyle w:val="TableCell"/>
              <w:spacing w:before="60" w:after="60"/>
            </w:pPr>
          </w:p>
        </w:tc>
        <w:tc>
          <w:tcPr>
            <w:tcW w:w="1696" w:type="dxa"/>
            <w:vMerge/>
            <w:tcBorders>
              <w:top w:val="nil"/>
              <w:left w:val="single" w:sz="4" w:space="0" w:color="auto"/>
              <w:bottom w:val="single" w:sz="4" w:space="0" w:color="000000"/>
              <w:right w:val="single" w:sz="4" w:space="0" w:color="auto"/>
            </w:tcBorders>
            <w:vAlign w:val="center"/>
          </w:tcPr>
          <w:p w:rsidR="00CD05FA" w:rsidRPr="001D6512" w:rsidRDefault="00CD05FA" w:rsidP="00C3606E">
            <w:pPr>
              <w:pStyle w:val="TableCell"/>
              <w:spacing w:before="60" w:after="60"/>
            </w:pPr>
          </w:p>
        </w:tc>
        <w:tc>
          <w:tcPr>
            <w:tcW w:w="2430" w:type="dxa"/>
            <w:tcBorders>
              <w:top w:val="nil"/>
              <w:left w:val="nil"/>
              <w:bottom w:val="single" w:sz="4" w:space="0" w:color="auto"/>
              <w:right w:val="single" w:sz="4" w:space="0" w:color="auto"/>
            </w:tcBorders>
            <w:shd w:val="clear" w:color="auto" w:fill="auto"/>
            <w:vAlign w:val="center"/>
          </w:tcPr>
          <w:p w:rsidR="00717EE4" w:rsidRPr="001D6512" w:rsidRDefault="00C67DA4" w:rsidP="00C3606E">
            <w:pPr>
              <w:pStyle w:val="TableCell"/>
              <w:spacing w:before="60" w:after="60"/>
            </w:pPr>
            <w:r w:rsidRPr="001D6512">
              <w:t>Nameplate Input Wattage</w:t>
            </w:r>
          </w:p>
        </w:tc>
        <w:tc>
          <w:tcPr>
            <w:tcW w:w="1978" w:type="dxa"/>
            <w:tcBorders>
              <w:top w:val="nil"/>
              <w:left w:val="nil"/>
              <w:bottom w:val="single" w:sz="4" w:space="0" w:color="auto"/>
              <w:right w:val="single" w:sz="4" w:space="0" w:color="auto"/>
            </w:tcBorders>
            <w:shd w:val="clear" w:color="auto" w:fill="auto"/>
            <w:vAlign w:val="center"/>
          </w:tcPr>
          <w:p w:rsidR="00717EE4" w:rsidRPr="001D6512" w:rsidRDefault="00C67DA4" w:rsidP="00C3606E">
            <w:pPr>
              <w:pStyle w:val="TableCell"/>
              <w:spacing w:before="60" w:after="60"/>
            </w:pPr>
            <w:r w:rsidRPr="001D6512">
              <w:t>EDC Data Gathering</w:t>
            </w:r>
          </w:p>
        </w:tc>
      </w:tr>
      <w:tr w:rsidR="00717EE4" w:rsidRPr="009B75CC" w:rsidTr="00D81E45">
        <w:trPr>
          <w:trHeight w:val="300"/>
          <w:jc w:val="center"/>
        </w:trPr>
        <w:tc>
          <w:tcPr>
            <w:tcW w:w="1808" w:type="dxa"/>
            <w:tcBorders>
              <w:top w:val="nil"/>
              <w:left w:val="single" w:sz="4" w:space="0" w:color="auto"/>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pPr>
            <w:r w:rsidRPr="001D6512">
              <w:t>LF</w:t>
            </w:r>
          </w:p>
        </w:tc>
        <w:tc>
          <w:tcPr>
            <w:tcW w:w="1696" w:type="dxa"/>
            <w:tcBorders>
              <w:top w:val="nil"/>
              <w:left w:val="nil"/>
              <w:bottom w:val="single" w:sz="4" w:space="0" w:color="auto"/>
              <w:right w:val="single" w:sz="4" w:space="0" w:color="auto"/>
            </w:tcBorders>
            <w:shd w:val="clear" w:color="auto" w:fill="auto"/>
            <w:vAlign w:val="center"/>
          </w:tcPr>
          <w:p w:rsidR="00717EE4" w:rsidRPr="001D6512" w:rsidRDefault="00717EE4" w:rsidP="00C3606E">
            <w:pPr>
              <w:pStyle w:val="TableCell"/>
              <w:spacing w:before="60" w:after="60"/>
            </w:pPr>
            <w:r w:rsidRPr="001D6512">
              <w:t>Fixed</w:t>
            </w:r>
          </w:p>
        </w:tc>
        <w:tc>
          <w:tcPr>
            <w:tcW w:w="2430" w:type="dxa"/>
            <w:tcBorders>
              <w:top w:val="nil"/>
              <w:left w:val="nil"/>
              <w:bottom w:val="single" w:sz="4" w:space="0" w:color="auto"/>
              <w:right w:val="single" w:sz="4" w:space="0" w:color="auto"/>
            </w:tcBorders>
            <w:shd w:val="clear" w:color="auto" w:fill="auto"/>
            <w:vAlign w:val="center"/>
          </w:tcPr>
          <w:p w:rsidR="00717EE4" w:rsidRPr="001D6512" w:rsidRDefault="00717EE4" w:rsidP="00C3606E">
            <w:pPr>
              <w:pStyle w:val="TableCell"/>
              <w:spacing w:before="60" w:after="60"/>
            </w:pPr>
            <w:r w:rsidRPr="001D6512">
              <w:t>0.9</w:t>
            </w:r>
          </w:p>
        </w:tc>
        <w:tc>
          <w:tcPr>
            <w:tcW w:w="1978" w:type="dxa"/>
            <w:tcBorders>
              <w:top w:val="nil"/>
              <w:left w:val="nil"/>
              <w:bottom w:val="single" w:sz="4" w:space="0" w:color="auto"/>
              <w:right w:val="single" w:sz="4" w:space="0" w:color="auto"/>
            </w:tcBorders>
            <w:shd w:val="clear" w:color="auto" w:fill="auto"/>
            <w:vAlign w:val="center"/>
          </w:tcPr>
          <w:p w:rsidR="00717EE4" w:rsidRPr="001D6512" w:rsidRDefault="00717EE4" w:rsidP="00C3606E">
            <w:pPr>
              <w:pStyle w:val="TableCell"/>
              <w:spacing w:before="60" w:after="60"/>
            </w:pPr>
            <w:r w:rsidRPr="001D6512">
              <w:t>1</w:t>
            </w:r>
          </w:p>
        </w:tc>
      </w:tr>
      <w:tr w:rsidR="00717EE4" w:rsidRPr="009B75CC" w:rsidTr="00D81E45">
        <w:trPr>
          <w:trHeight w:val="315"/>
          <w:jc w:val="center"/>
        </w:trPr>
        <w:tc>
          <w:tcPr>
            <w:tcW w:w="1808" w:type="dxa"/>
            <w:tcBorders>
              <w:top w:val="nil"/>
              <w:left w:val="single" w:sz="4" w:space="0" w:color="auto"/>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pPr>
            <w:r w:rsidRPr="001D6512">
              <w:t>DC</w:t>
            </w:r>
            <w:r w:rsidRPr="001D6512">
              <w:rPr>
                <w:vertAlign w:val="subscript"/>
              </w:rPr>
              <w:t>EvapCool</w:t>
            </w:r>
          </w:p>
        </w:tc>
        <w:tc>
          <w:tcPr>
            <w:tcW w:w="1696"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pPr>
            <w:r w:rsidRPr="001D6512">
              <w:t>Fixed</w:t>
            </w:r>
          </w:p>
        </w:tc>
        <w:tc>
          <w:tcPr>
            <w:tcW w:w="2430"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pPr>
            <w:r w:rsidRPr="001D6512">
              <w:t>100%</w:t>
            </w:r>
          </w:p>
        </w:tc>
        <w:tc>
          <w:tcPr>
            <w:tcW w:w="1978"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pPr>
            <w:r w:rsidRPr="001D6512">
              <w:t>2</w:t>
            </w:r>
          </w:p>
        </w:tc>
      </w:tr>
      <w:tr w:rsidR="00717EE4" w:rsidRPr="009B75CC" w:rsidTr="00D81E45">
        <w:trPr>
          <w:trHeight w:val="315"/>
          <w:jc w:val="center"/>
        </w:trPr>
        <w:tc>
          <w:tcPr>
            <w:tcW w:w="1808" w:type="dxa"/>
            <w:tcBorders>
              <w:top w:val="nil"/>
              <w:left w:val="single" w:sz="4" w:space="0" w:color="auto"/>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pPr>
            <w:r w:rsidRPr="001D6512">
              <w:t>DC</w:t>
            </w:r>
            <w:r w:rsidRPr="001D6512">
              <w:rPr>
                <w:vertAlign w:val="subscript"/>
              </w:rPr>
              <w:t>EvapFreeze</w:t>
            </w:r>
          </w:p>
        </w:tc>
        <w:tc>
          <w:tcPr>
            <w:tcW w:w="1696"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pPr>
            <w:r w:rsidRPr="001D6512">
              <w:t>Fixed</w:t>
            </w:r>
          </w:p>
        </w:tc>
        <w:tc>
          <w:tcPr>
            <w:tcW w:w="2430"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pPr>
            <w:r w:rsidRPr="001D6512">
              <w:t>94.4%</w:t>
            </w:r>
          </w:p>
        </w:tc>
        <w:tc>
          <w:tcPr>
            <w:tcW w:w="1978"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pPr>
            <w:r w:rsidRPr="001D6512">
              <w:t>2</w:t>
            </w:r>
          </w:p>
        </w:tc>
      </w:tr>
      <w:tr w:rsidR="00717EE4" w:rsidRPr="009B75CC" w:rsidTr="00D81E45">
        <w:trPr>
          <w:trHeight w:val="300"/>
          <w:jc w:val="center"/>
        </w:trPr>
        <w:tc>
          <w:tcPr>
            <w:tcW w:w="1808" w:type="dxa"/>
            <w:tcBorders>
              <w:top w:val="nil"/>
              <w:left w:val="single" w:sz="4" w:space="0" w:color="auto"/>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pPr>
            <w:r w:rsidRPr="001D6512">
              <w:t>DG</w:t>
            </w:r>
          </w:p>
        </w:tc>
        <w:tc>
          <w:tcPr>
            <w:tcW w:w="1696"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pPr>
            <w:r w:rsidRPr="001D6512">
              <w:t>Fixed</w:t>
            </w:r>
          </w:p>
        </w:tc>
        <w:tc>
          <w:tcPr>
            <w:tcW w:w="2430"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pPr>
            <w:r w:rsidRPr="001D6512">
              <w:t>0.98</w:t>
            </w:r>
          </w:p>
        </w:tc>
        <w:tc>
          <w:tcPr>
            <w:tcW w:w="1978"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pPr>
            <w:r w:rsidRPr="001D6512">
              <w:t>3</w:t>
            </w:r>
          </w:p>
        </w:tc>
      </w:tr>
      <w:tr w:rsidR="00717EE4" w:rsidRPr="009B75CC" w:rsidTr="00D81E45">
        <w:trPr>
          <w:trHeight w:val="315"/>
          <w:jc w:val="center"/>
        </w:trPr>
        <w:tc>
          <w:tcPr>
            <w:tcW w:w="1808" w:type="dxa"/>
            <w:tcBorders>
              <w:top w:val="nil"/>
              <w:left w:val="single" w:sz="4" w:space="0" w:color="auto"/>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pPr>
            <w:r w:rsidRPr="001D6512">
              <w:t>COP</w:t>
            </w:r>
            <w:r w:rsidRPr="001D6512">
              <w:rPr>
                <w:vertAlign w:val="subscript"/>
              </w:rPr>
              <w:t>cooler</w:t>
            </w:r>
          </w:p>
        </w:tc>
        <w:tc>
          <w:tcPr>
            <w:tcW w:w="1696"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pPr>
            <w:r w:rsidRPr="001D6512">
              <w:t>Fixed</w:t>
            </w:r>
          </w:p>
        </w:tc>
        <w:tc>
          <w:tcPr>
            <w:tcW w:w="2430"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pPr>
            <w:r w:rsidRPr="001D6512">
              <w:t>2.5</w:t>
            </w:r>
          </w:p>
        </w:tc>
        <w:tc>
          <w:tcPr>
            <w:tcW w:w="1978"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pPr>
            <w:r w:rsidRPr="001D6512">
              <w:t>1</w:t>
            </w:r>
          </w:p>
        </w:tc>
      </w:tr>
      <w:tr w:rsidR="00717EE4" w:rsidRPr="009B75CC" w:rsidTr="00D81E45">
        <w:trPr>
          <w:trHeight w:val="315"/>
          <w:jc w:val="center"/>
        </w:trPr>
        <w:tc>
          <w:tcPr>
            <w:tcW w:w="1808" w:type="dxa"/>
            <w:tcBorders>
              <w:top w:val="nil"/>
              <w:left w:val="single" w:sz="4" w:space="0" w:color="auto"/>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pPr>
            <w:r w:rsidRPr="001D6512">
              <w:t>COP</w:t>
            </w:r>
            <w:r w:rsidRPr="001D6512">
              <w:rPr>
                <w:vertAlign w:val="subscript"/>
              </w:rPr>
              <w:t>freezer</w:t>
            </w:r>
          </w:p>
        </w:tc>
        <w:tc>
          <w:tcPr>
            <w:tcW w:w="1696"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pPr>
            <w:r w:rsidRPr="001D6512">
              <w:t>Fixed</w:t>
            </w:r>
          </w:p>
        </w:tc>
        <w:tc>
          <w:tcPr>
            <w:tcW w:w="2430"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pPr>
            <w:r w:rsidRPr="001D6512">
              <w:t>1.3</w:t>
            </w:r>
          </w:p>
        </w:tc>
        <w:tc>
          <w:tcPr>
            <w:tcW w:w="1978"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pPr>
            <w:r w:rsidRPr="001D6512">
              <w:t>1</w:t>
            </w:r>
          </w:p>
        </w:tc>
      </w:tr>
      <w:tr w:rsidR="00717EE4" w:rsidRPr="009B75CC" w:rsidTr="00D81E45">
        <w:trPr>
          <w:trHeight w:val="300"/>
          <w:jc w:val="center"/>
        </w:trPr>
        <w:tc>
          <w:tcPr>
            <w:tcW w:w="1808" w:type="dxa"/>
            <w:tcBorders>
              <w:top w:val="nil"/>
              <w:left w:val="single" w:sz="4" w:space="0" w:color="auto"/>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pPr>
            <w:r w:rsidRPr="001D6512">
              <w:t>PctCooler</w:t>
            </w:r>
          </w:p>
        </w:tc>
        <w:tc>
          <w:tcPr>
            <w:tcW w:w="1696"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pPr>
            <w:r w:rsidRPr="001D6512">
              <w:t>Fixed</w:t>
            </w:r>
          </w:p>
        </w:tc>
        <w:tc>
          <w:tcPr>
            <w:tcW w:w="2430"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pPr>
            <w:r w:rsidRPr="001D6512">
              <w:t>68%</w:t>
            </w:r>
          </w:p>
        </w:tc>
        <w:tc>
          <w:tcPr>
            <w:tcW w:w="1978"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pPr>
            <w:r w:rsidRPr="001D6512">
              <w:t>4</w:t>
            </w:r>
          </w:p>
        </w:tc>
      </w:tr>
    </w:tbl>
    <w:p w:rsidR="00D81E45" w:rsidRDefault="00D81E45" w:rsidP="00C3606E">
      <w:pPr>
        <w:pStyle w:val="BodyText"/>
        <w:spacing w:after="0"/>
        <w:rPr>
          <w:i/>
        </w:rPr>
      </w:pPr>
    </w:p>
    <w:p w:rsidR="004C1DFF" w:rsidRPr="00BC5194" w:rsidRDefault="004C1DFF" w:rsidP="00B20F6B">
      <w:pPr>
        <w:rPr>
          <w:b/>
        </w:rPr>
      </w:pPr>
      <w:r w:rsidRPr="00BC5194">
        <w:rPr>
          <w:b/>
        </w:rPr>
        <w:t>Sources:</w:t>
      </w:r>
    </w:p>
    <w:p w:rsidR="00BE1832" w:rsidRDefault="004C1DFF" w:rsidP="0005632A">
      <w:pPr>
        <w:pStyle w:val="source1"/>
        <w:numPr>
          <w:ilvl w:val="0"/>
          <w:numId w:val="45"/>
        </w:numPr>
      </w:pPr>
      <w:r w:rsidRPr="004C1DFF">
        <w:t>PSC of Wisconsin, Focus on Energy Evaluation, Business Programs: Deemed Savings Manual V1.0, p. 4-103 to 4-106.</w:t>
      </w:r>
    </w:p>
    <w:p w:rsidR="00717EE4" w:rsidRDefault="00717EE4" w:rsidP="00B20F6B">
      <w:pPr>
        <w:pStyle w:val="Caption"/>
      </w:pPr>
      <w:bookmarkStart w:id="921" w:name="_Ref283724976"/>
      <w:bookmarkStart w:id="922" w:name="_Toc310875586"/>
      <w:r>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34</w:t>
      </w:r>
      <w:r w:rsidR="00274AB1">
        <w:rPr>
          <w:noProof/>
        </w:rPr>
        <w:fldChar w:fldCharType="end"/>
      </w:r>
      <w:bookmarkEnd w:id="921"/>
      <w:r>
        <w:t xml:space="preserve">: </w:t>
      </w:r>
      <w:r w:rsidRPr="0067462F">
        <w:t>Variables for HE Evaporator Fan Motor</w:t>
      </w:r>
      <w:bookmarkEnd w:id="92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235"/>
        <w:gridCol w:w="757"/>
        <w:gridCol w:w="1079"/>
        <w:gridCol w:w="721"/>
        <w:gridCol w:w="1080"/>
        <w:gridCol w:w="717"/>
        <w:gridCol w:w="1054"/>
        <w:gridCol w:w="677"/>
      </w:tblGrid>
      <w:tr w:rsidR="002146FB" w:rsidRPr="006E0899" w:rsidTr="0067198E">
        <w:trPr>
          <w:trHeight w:val="870"/>
          <w:jc w:val="center"/>
        </w:trPr>
        <w:tc>
          <w:tcPr>
            <w:tcW w:w="868" w:type="pct"/>
            <w:shd w:val="clear" w:color="auto" w:fill="BFBFBF"/>
          </w:tcPr>
          <w:p w:rsidR="00BE1832" w:rsidRPr="001D6512" w:rsidRDefault="00BE1832" w:rsidP="00C3606E">
            <w:pPr>
              <w:pStyle w:val="TableCell"/>
              <w:spacing w:before="60" w:after="60"/>
            </w:pPr>
            <w:r w:rsidRPr="001D6512">
              <w:t>Motor Category</w:t>
            </w:r>
          </w:p>
        </w:tc>
        <w:tc>
          <w:tcPr>
            <w:tcW w:w="697" w:type="pct"/>
            <w:shd w:val="clear" w:color="auto" w:fill="BFBFBF"/>
          </w:tcPr>
          <w:p w:rsidR="00BE1832" w:rsidRPr="001D6512" w:rsidRDefault="00BE1832" w:rsidP="00C3606E">
            <w:pPr>
              <w:pStyle w:val="TableCell"/>
              <w:spacing w:before="60" w:after="60"/>
            </w:pPr>
            <w:r w:rsidRPr="001D6512">
              <w:t xml:space="preserve">Weighting </w:t>
            </w:r>
            <w:r w:rsidR="002146FB" w:rsidRPr="001D6512">
              <w:t xml:space="preserve">Percentage </w:t>
            </w:r>
            <w:r w:rsidRPr="001D6512">
              <w:t>(population)</w:t>
            </w:r>
            <w:r w:rsidRPr="001D6512">
              <w:rPr>
                <w:vertAlign w:val="superscript"/>
              </w:rPr>
              <w:t>1</w:t>
            </w:r>
          </w:p>
        </w:tc>
        <w:tc>
          <w:tcPr>
            <w:tcW w:w="427" w:type="pct"/>
            <w:shd w:val="clear" w:color="auto" w:fill="BFBFBF"/>
          </w:tcPr>
          <w:p w:rsidR="00BE1832" w:rsidRPr="001D6512" w:rsidRDefault="00BE1832" w:rsidP="00C3606E">
            <w:pPr>
              <w:pStyle w:val="TableCell"/>
              <w:spacing w:before="60" w:after="60"/>
            </w:pPr>
            <w:r w:rsidRPr="001D6512">
              <w:t>Motor Output Watts</w:t>
            </w:r>
          </w:p>
        </w:tc>
        <w:tc>
          <w:tcPr>
            <w:tcW w:w="609" w:type="pct"/>
            <w:shd w:val="clear" w:color="auto" w:fill="BFBFBF"/>
          </w:tcPr>
          <w:p w:rsidR="00BE1832" w:rsidRPr="001D6512" w:rsidRDefault="00BE1832" w:rsidP="00C3606E">
            <w:pPr>
              <w:pStyle w:val="TableCell"/>
              <w:spacing w:before="60" w:after="60"/>
            </w:pPr>
            <w:r w:rsidRPr="001D6512">
              <w:t>SP Efficiency</w:t>
            </w:r>
            <w:r w:rsidRPr="001D6512">
              <w:rPr>
                <w:vertAlign w:val="superscript"/>
              </w:rPr>
              <w:t>1</w:t>
            </w:r>
          </w:p>
        </w:tc>
        <w:tc>
          <w:tcPr>
            <w:tcW w:w="407" w:type="pct"/>
            <w:shd w:val="clear" w:color="auto" w:fill="BFBFBF"/>
          </w:tcPr>
          <w:p w:rsidR="00BE1832" w:rsidRPr="001D6512" w:rsidRDefault="00BE1832" w:rsidP="00C3606E">
            <w:pPr>
              <w:pStyle w:val="TableCell"/>
              <w:spacing w:before="60" w:after="60"/>
            </w:pPr>
            <w:r w:rsidRPr="001D6512">
              <w:t>SP Input Watts</w:t>
            </w:r>
          </w:p>
        </w:tc>
        <w:tc>
          <w:tcPr>
            <w:tcW w:w="610" w:type="pct"/>
            <w:shd w:val="clear" w:color="auto" w:fill="BFBFBF"/>
          </w:tcPr>
          <w:p w:rsidR="00BE1832" w:rsidRPr="001D6512" w:rsidRDefault="00BE1832" w:rsidP="00C3606E">
            <w:pPr>
              <w:pStyle w:val="TableCell"/>
              <w:spacing w:before="60" w:after="60"/>
            </w:pPr>
            <w:r w:rsidRPr="001D6512">
              <w:t>PSC Efficiency</w:t>
            </w:r>
            <w:r w:rsidRPr="001D6512">
              <w:rPr>
                <w:vertAlign w:val="superscript"/>
              </w:rPr>
              <w:t>2</w:t>
            </w:r>
          </w:p>
        </w:tc>
        <w:tc>
          <w:tcPr>
            <w:tcW w:w="405" w:type="pct"/>
            <w:shd w:val="clear" w:color="auto" w:fill="BFBFBF"/>
          </w:tcPr>
          <w:p w:rsidR="00BE1832" w:rsidRPr="001D6512" w:rsidRDefault="00BE1832" w:rsidP="00C3606E">
            <w:pPr>
              <w:pStyle w:val="TableCell"/>
              <w:spacing w:before="60" w:after="60"/>
            </w:pPr>
            <w:r w:rsidRPr="001D6512">
              <w:t>PSC Input Watts</w:t>
            </w:r>
          </w:p>
        </w:tc>
        <w:tc>
          <w:tcPr>
            <w:tcW w:w="595" w:type="pct"/>
            <w:shd w:val="clear" w:color="auto" w:fill="BFBFBF"/>
          </w:tcPr>
          <w:p w:rsidR="00BE1832" w:rsidRPr="001D6512" w:rsidRDefault="00BE1832" w:rsidP="00C3606E">
            <w:pPr>
              <w:pStyle w:val="TableCell"/>
              <w:spacing w:before="60" w:after="60"/>
            </w:pPr>
            <w:r w:rsidRPr="001D6512">
              <w:t>ECM Efficiency</w:t>
            </w:r>
            <w:r w:rsidRPr="001D6512">
              <w:rPr>
                <w:vertAlign w:val="superscript"/>
              </w:rPr>
              <w:t>1</w:t>
            </w:r>
          </w:p>
        </w:tc>
        <w:tc>
          <w:tcPr>
            <w:tcW w:w="382" w:type="pct"/>
            <w:shd w:val="clear" w:color="auto" w:fill="BFBFBF"/>
          </w:tcPr>
          <w:p w:rsidR="00BE1832" w:rsidRPr="001D6512" w:rsidRDefault="00BE1832" w:rsidP="00C3606E">
            <w:pPr>
              <w:pStyle w:val="TableCell"/>
              <w:spacing w:before="60" w:after="60"/>
            </w:pPr>
            <w:r w:rsidRPr="001D6512">
              <w:t>ECM Input Watts</w:t>
            </w:r>
          </w:p>
        </w:tc>
      </w:tr>
      <w:tr w:rsidR="002146FB" w:rsidRPr="006E0899" w:rsidTr="0067198E">
        <w:trPr>
          <w:trHeight w:val="510"/>
          <w:jc w:val="center"/>
        </w:trPr>
        <w:tc>
          <w:tcPr>
            <w:tcW w:w="868" w:type="pct"/>
          </w:tcPr>
          <w:p w:rsidR="00BE1832" w:rsidRPr="001D6512" w:rsidRDefault="00BE1832" w:rsidP="00C3606E">
            <w:pPr>
              <w:pStyle w:val="TableCell"/>
              <w:spacing w:before="60" w:after="60"/>
            </w:pPr>
            <w:r w:rsidRPr="001D6512">
              <w:t>1-14 watts (Using 9 watt as industry average)</w:t>
            </w:r>
          </w:p>
        </w:tc>
        <w:tc>
          <w:tcPr>
            <w:tcW w:w="697" w:type="pct"/>
            <w:noWrap/>
          </w:tcPr>
          <w:p w:rsidR="00BE1832" w:rsidRPr="001D6512" w:rsidRDefault="00BE1832" w:rsidP="00C3606E">
            <w:pPr>
              <w:pStyle w:val="TableCell"/>
              <w:spacing w:before="60" w:after="60"/>
            </w:pPr>
            <w:r w:rsidRPr="001D6512">
              <w:t>91%</w:t>
            </w:r>
          </w:p>
        </w:tc>
        <w:tc>
          <w:tcPr>
            <w:tcW w:w="427" w:type="pct"/>
          </w:tcPr>
          <w:p w:rsidR="00BE1832" w:rsidRPr="001D6512" w:rsidRDefault="00BE1832" w:rsidP="00C3606E">
            <w:pPr>
              <w:pStyle w:val="TableCell"/>
              <w:spacing w:before="60" w:after="60"/>
            </w:pPr>
            <w:r w:rsidRPr="001D6512">
              <w:t>9</w:t>
            </w:r>
          </w:p>
        </w:tc>
        <w:tc>
          <w:tcPr>
            <w:tcW w:w="609" w:type="pct"/>
            <w:noWrap/>
          </w:tcPr>
          <w:p w:rsidR="00BE1832" w:rsidRPr="001D6512" w:rsidRDefault="00BE1832" w:rsidP="00C3606E">
            <w:pPr>
              <w:pStyle w:val="TableCell"/>
              <w:spacing w:before="60" w:after="60"/>
            </w:pPr>
            <w:r w:rsidRPr="001D6512">
              <w:t>18%</w:t>
            </w:r>
          </w:p>
        </w:tc>
        <w:tc>
          <w:tcPr>
            <w:tcW w:w="407" w:type="pct"/>
          </w:tcPr>
          <w:p w:rsidR="00BE1832" w:rsidRPr="001D6512" w:rsidRDefault="00BE1832" w:rsidP="00C3606E">
            <w:pPr>
              <w:pStyle w:val="TableCell"/>
              <w:spacing w:before="60" w:after="60"/>
            </w:pPr>
            <w:r w:rsidRPr="001D6512">
              <w:t>50</w:t>
            </w:r>
          </w:p>
        </w:tc>
        <w:tc>
          <w:tcPr>
            <w:tcW w:w="610" w:type="pct"/>
            <w:noWrap/>
          </w:tcPr>
          <w:p w:rsidR="00BE1832" w:rsidRPr="001D6512" w:rsidRDefault="00BE1832" w:rsidP="00C3606E">
            <w:pPr>
              <w:pStyle w:val="TableCell"/>
              <w:spacing w:before="60" w:after="60"/>
            </w:pPr>
            <w:r w:rsidRPr="001D6512">
              <w:t>41%</w:t>
            </w:r>
          </w:p>
        </w:tc>
        <w:tc>
          <w:tcPr>
            <w:tcW w:w="405" w:type="pct"/>
          </w:tcPr>
          <w:p w:rsidR="00BE1832" w:rsidRPr="001D6512" w:rsidRDefault="00BE1832" w:rsidP="00C3606E">
            <w:pPr>
              <w:pStyle w:val="TableCell"/>
              <w:spacing w:before="60" w:after="60"/>
            </w:pPr>
            <w:r w:rsidRPr="001D6512">
              <w:t>22</w:t>
            </w:r>
          </w:p>
        </w:tc>
        <w:tc>
          <w:tcPr>
            <w:tcW w:w="595" w:type="pct"/>
            <w:noWrap/>
          </w:tcPr>
          <w:p w:rsidR="00BE1832" w:rsidRPr="001D6512" w:rsidRDefault="00BE1832" w:rsidP="00C3606E">
            <w:pPr>
              <w:pStyle w:val="TableCell"/>
              <w:spacing w:before="60" w:after="60"/>
            </w:pPr>
            <w:r w:rsidRPr="001D6512">
              <w:t>66%</w:t>
            </w:r>
          </w:p>
        </w:tc>
        <w:tc>
          <w:tcPr>
            <w:tcW w:w="382" w:type="pct"/>
          </w:tcPr>
          <w:p w:rsidR="00BE1832" w:rsidRPr="001D6512" w:rsidRDefault="00BE1832" w:rsidP="00C3606E">
            <w:pPr>
              <w:pStyle w:val="TableCell"/>
              <w:spacing w:before="60" w:after="60"/>
            </w:pPr>
            <w:r w:rsidRPr="001D6512">
              <w:t>14</w:t>
            </w:r>
          </w:p>
        </w:tc>
      </w:tr>
      <w:tr w:rsidR="002146FB" w:rsidRPr="006E0899" w:rsidTr="0067198E">
        <w:trPr>
          <w:trHeight w:val="510"/>
          <w:jc w:val="center"/>
        </w:trPr>
        <w:tc>
          <w:tcPr>
            <w:tcW w:w="868" w:type="pct"/>
          </w:tcPr>
          <w:p w:rsidR="00BE1832" w:rsidRPr="001D6512" w:rsidRDefault="00C67DA4" w:rsidP="00C3606E">
            <w:pPr>
              <w:pStyle w:val="TableCell"/>
              <w:spacing w:before="60" w:after="60"/>
            </w:pPr>
            <w:r w:rsidRPr="001D6512">
              <w:t>16-23 watts (Using 19.5 watt as industry average)</w:t>
            </w:r>
          </w:p>
        </w:tc>
        <w:tc>
          <w:tcPr>
            <w:tcW w:w="697" w:type="pct"/>
            <w:noWrap/>
          </w:tcPr>
          <w:p w:rsidR="00BE1832" w:rsidRPr="001D6512" w:rsidRDefault="00C67DA4" w:rsidP="00C3606E">
            <w:pPr>
              <w:pStyle w:val="TableCell"/>
              <w:spacing w:before="60" w:after="60"/>
            </w:pPr>
            <w:r w:rsidRPr="001D6512">
              <w:t>3%</w:t>
            </w:r>
          </w:p>
        </w:tc>
        <w:tc>
          <w:tcPr>
            <w:tcW w:w="427" w:type="pct"/>
          </w:tcPr>
          <w:p w:rsidR="00BE1832" w:rsidRPr="001D6512" w:rsidRDefault="00C67DA4" w:rsidP="00C3606E">
            <w:pPr>
              <w:pStyle w:val="TableCell"/>
              <w:spacing w:before="60" w:after="60"/>
            </w:pPr>
            <w:r w:rsidRPr="001D6512">
              <w:t>19.5</w:t>
            </w:r>
          </w:p>
        </w:tc>
        <w:tc>
          <w:tcPr>
            <w:tcW w:w="609" w:type="pct"/>
            <w:noWrap/>
          </w:tcPr>
          <w:p w:rsidR="00BE1832" w:rsidRPr="001D6512" w:rsidRDefault="00C67DA4" w:rsidP="00C3606E">
            <w:pPr>
              <w:pStyle w:val="TableCell"/>
              <w:spacing w:before="60" w:after="60"/>
            </w:pPr>
            <w:r w:rsidRPr="001D6512">
              <w:t>21%</w:t>
            </w:r>
          </w:p>
        </w:tc>
        <w:tc>
          <w:tcPr>
            <w:tcW w:w="407" w:type="pct"/>
          </w:tcPr>
          <w:p w:rsidR="00BE1832" w:rsidRPr="001D6512" w:rsidRDefault="00C67DA4" w:rsidP="00C3606E">
            <w:pPr>
              <w:pStyle w:val="TableCell"/>
              <w:spacing w:before="60" w:after="60"/>
            </w:pPr>
            <w:r w:rsidRPr="001D6512">
              <w:t>93</w:t>
            </w:r>
          </w:p>
        </w:tc>
        <w:tc>
          <w:tcPr>
            <w:tcW w:w="610" w:type="pct"/>
            <w:noWrap/>
          </w:tcPr>
          <w:p w:rsidR="00BE1832" w:rsidRPr="001D6512" w:rsidRDefault="00C67DA4" w:rsidP="00C3606E">
            <w:pPr>
              <w:pStyle w:val="TableCell"/>
              <w:spacing w:before="60" w:after="60"/>
            </w:pPr>
            <w:r w:rsidRPr="001D6512">
              <w:t>41%</w:t>
            </w:r>
          </w:p>
        </w:tc>
        <w:tc>
          <w:tcPr>
            <w:tcW w:w="405" w:type="pct"/>
          </w:tcPr>
          <w:p w:rsidR="00BE1832" w:rsidRPr="001D6512" w:rsidRDefault="00C67DA4" w:rsidP="00C3606E">
            <w:pPr>
              <w:pStyle w:val="TableCell"/>
              <w:spacing w:before="60" w:after="60"/>
            </w:pPr>
            <w:r w:rsidRPr="001D6512">
              <w:t>48</w:t>
            </w:r>
          </w:p>
        </w:tc>
        <w:tc>
          <w:tcPr>
            <w:tcW w:w="595" w:type="pct"/>
            <w:noWrap/>
          </w:tcPr>
          <w:p w:rsidR="00BE1832" w:rsidRPr="001D6512" w:rsidRDefault="00C67DA4" w:rsidP="00C3606E">
            <w:pPr>
              <w:pStyle w:val="TableCell"/>
              <w:spacing w:before="60" w:after="60"/>
            </w:pPr>
            <w:r w:rsidRPr="001D6512">
              <w:t>66%</w:t>
            </w:r>
          </w:p>
        </w:tc>
        <w:tc>
          <w:tcPr>
            <w:tcW w:w="382" w:type="pct"/>
          </w:tcPr>
          <w:p w:rsidR="00BE1832" w:rsidRPr="001D6512" w:rsidRDefault="00C67DA4" w:rsidP="00C3606E">
            <w:pPr>
              <w:pStyle w:val="TableCell"/>
              <w:spacing w:before="60" w:after="60"/>
            </w:pPr>
            <w:r w:rsidRPr="001D6512">
              <w:t>30</w:t>
            </w:r>
          </w:p>
        </w:tc>
      </w:tr>
      <w:tr w:rsidR="002146FB" w:rsidRPr="006E0899" w:rsidTr="0067198E">
        <w:trPr>
          <w:trHeight w:val="255"/>
          <w:jc w:val="center"/>
        </w:trPr>
        <w:tc>
          <w:tcPr>
            <w:tcW w:w="868" w:type="pct"/>
          </w:tcPr>
          <w:p w:rsidR="00BE1832" w:rsidRPr="001D6512" w:rsidRDefault="00C67DA4" w:rsidP="00C3606E">
            <w:pPr>
              <w:pStyle w:val="TableCell"/>
              <w:spacing w:before="60" w:after="60"/>
            </w:pPr>
            <w:r w:rsidRPr="001D6512">
              <w:t xml:space="preserve"> 1/20 HP (~37 watts)</w:t>
            </w:r>
          </w:p>
        </w:tc>
        <w:tc>
          <w:tcPr>
            <w:tcW w:w="697" w:type="pct"/>
            <w:noWrap/>
          </w:tcPr>
          <w:p w:rsidR="00BE1832" w:rsidRPr="001D6512" w:rsidRDefault="00C67DA4" w:rsidP="00C3606E">
            <w:pPr>
              <w:pStyle w:val="TableCell"/>
              <w:spacing w:before="60" w:after="60"/>
            </w:pPr>
            <w:r w:rsidRPr="001D6512">
              <w:t>6%</w:t>
            </w:r>
          </w:p>
        </w:tc>
        <w:tc>
          <w:tcPr>
            <w:tcW w:w="427" w:type="pct"/>
          </w:tcPr>
          <w:p w:rsidR="00BE1832" w:rsidRPr="001D6512" w:rsidRDefault="00C67DA4" w:rsidP="00C3606E">
            <w:pPr>
              <w:pStyle w:val="TableCell"/>
              <w:spacing w:before="60" w:after="60"/>
            </w:pPr>
            <w:r w:rsidRPr="001D6512">
              <w:t>37</w:t>
            </w:r>
          </w:p>
        </w:tc>
        <w:tc>
          <w:tcPr>
            <w:tcW w:w="609" w:type="pct"/>
            <w:noWrap/>
          </w:tcPr>
          <w:p w:rsidR="00BE1832" w:rsidRPr="001D6512" w:rsidRDefault="00C67DA4" w:rsidP="00C3606E">
            <w:pPr>
              <w:pStyle w:val="TableCell"/>
              <w:spacing w:before="60" w:after="60"/>
            </w:pPr>
            <w:r w:rsidRPr="001D6512">
              <w:t>26%</w:t>
            </w:r>
          </w:p>
        </w:tc>
        <w:tc>
          <w:tcPr>
            <w:tcW w:w="407" w:type="pct"/>
          </w:tcPr>
          <w:p w:rsidR="00BE1832" w:rsidRPr="001D6512" w:rsidRDefault="00C67DA4" w:rsidP="00C3606E">
            <w:pPr>
              <w:pStyle w:val="TableCell"/>
              <w:spacing w:before="60" w:after="60"/>
            </w:pPr>
            <w:r w:rsidRPr="001D6512">
              <w:t>142</w:t>
            </w:r>
          </w:p>
        </w:tc>
        <w:tc>
          <w:tcPr>
            <w:tcW w:w="610" w:type="pct"/>
            <w:noWrap/>
          </w:tcPr>
          <w:p w:rsidR="00BE1832" w:rsidRPr="001D6512" w:rsidRDefault="00C67DA4" w:rsidP="00C3606E">
            <w:pPr>
              <w:pStyle w:val="TableCell"/>
              <w:spacing w:before="60" w:after="60"/>
            </w:pPr>
            <w:r w:rsidRPr="001D6512">
              <w:t>41%</w:t>
            </w:r>
          </w:p>
        </w:tc>
        <w:tc>
          <w:tcPr>
            <w:tcW w:w="405" w:type="pct"/>
          </w:tcPr>
          <w:p w:rsidR="00BE1832" w:rsidRPr="001D6512" w:rsidRDefault="00C67DA4" w:rsidP="00C3606E">
            <w:pPr>
              <w:pStyle w:val="TableCell"/>
              <w:spacing w:before="60" w:after="60"/>
            </w:pPr>
            <w:r w:rsidRPr="001D6512">
              <w:t>90</w:t>
            </w:r>
          </w:p>
        </w:tc>
        <w:tc>
          <w:tcPr>
            <w:tcW w:w="595" w:type="pct"/>
            <w:noWrap/>
          </w:tcPr>
          <w:p w:rsidR="00BE1832" w:rsidRPr="001D6512" w:rsidRDefault="00C67DA4" w:rsidP="00C3606E">
            <w:pPr>
              <w:pStyle w:val="TableCell"/>
              <w:spacing w:before="60" w:after="60"/>
            </w:pPr>
            <w:r w:rsidRPr="001D6512">
              <w:t>66%</w:t>
            </w:r>
          </w:p>
        </w:tc>
        <w:tc>
          <w:tcPr>
            <w:tcW w:w="382" w:type="pct"/>
          </w:tcPr>
          <w:p w:rsidR="00BE1832" w:rsidRPr="001D6512" w:rsidRDefault="00C67DA4" w:rsidP="00C3606E">
            <w:pPr>
              <w:pStyle w:val="TableCell"/>
              <w:spacing w:before="60" w:after="60"/>
            </w:pPr>
            <w:r w:rsidRPr="001D6512">
              <w:t>56</w:t>
            </w:r>
          </w:p>
        </w:tc>
      </w:tr>
    </w:tbl>
    <w:p w:rsidR="004C1DFF" w:rsidRDefault="004C1DFF" w:rsidP="00C3606E">
      <w:pPr>
        <w:spacing w:after="0"/>
      </w:pPr>
    </w:p>
    <w:p w:rsidR="004C1DFF" w:rsidRPr="00BC5194" w:rsidRDefault="004C1DFF" w:rsidP="00B20F6B">
      <w:pPr>
        <w:rPr>
          <w:b/>
        </w:rPr>
      </w:pPr>
      <w:r w:rsidRPr="00BC5194">
        <w:rPr>
          <w:b/>
        </w:rPr>
        <w:t>Sources:</w:t>
      </w:r>
    </w:p>
    <w:p w:rsidR="004C1DFF" w:rsidRDefault="004C1DFF" w:rsidP="0005632A">
      <w:pPr>
        <w:pStyle w:val="source1"/>
        <w:numPr>
          <w:ilvl w:val="0"/>
          <w:numId w:val="46"/>
        </w:numPr>
      </w:pPr>
      <w:r>
        <w:t>Regional Technical Forum (RTF) as part of the Northwest Power &amp; Conservation Council, Deemed Measures List. Grocery Display Case ECM, FY2010, V2. Accessed from RTF website http://www.nwcouncil.org/rtf/measures/Default.asp on July 30, 2010.</w:t>
      </w:r>
    </w:p>
    <w:p w:rsidR="00BE1832" w:rsidRDefault="004C1DFF" w:rsidP="00C3606E">
      <w:pPr>
        <w:pStyle w:val="source1"/>
      </w:pPr>
      <w:r>
        <w:t>AO Smith New Product Notification. I-motor 9 &amp; 16 Watt. Stock Numbers 9207F2 and 9208F2.  Web address: http://www.aosmithmotors.com/uploadedFiles/Bulletin%206029B_6-09_web.pdf. Accessed July 30, 2010.</w:t>
      </w:r>
    </w:p>
    <w:p w:rsidR="00717EE4" w:rsidRDefault="00717EE4" w:rsidP="00B20F6B">
      <w:pPr>
        <w:pStyle w:val="Caption"/>
      </w:pPr>
      <w:bookmarkStart w:id="923" w:name="_Toc310875587"/>
      <w:r>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35</w:t>
      </w:r>
      <w:r w:rsidR="00274AB1">
        <w:rPr>
          <w:noProof/>
        </w:rPr>
        <w:fldChar w:fldCharType="end"/>
      </w:r>
      <w:r>
        <w:t>: Shaded Pole to PSC Deemed Savings</w:t>
      </w:r>
      <w:bookmarkEnd w:id="923"/>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005"/>
        <w:gridCol w:w="800"/>
        <w:gridCol w:w="740"/>
        <w:gridCol w:w="810"/>
        <w:gridCol w:w="657"/>
        <w:gridCol w:w="797"/>
        <w:gridCol w:w="962"/>
        <w:gridCol w:w="887"/>
      </w:tblGrid>
      <w:tr w:rsidR="00BE1832" w:rsidRPr="006E0899" w:rsidTr="004C1DFF">
        <w:trPr>
          <w:trHeight w:val="1050"/>
          <w:jc w:val="center"/>
        </w:trPr>
        <w:tc>
          <w:tcPr>
            <w:tcW w:w="2529" w:type="dxa"/>
            <w:shd w:val="clear" w:color="auto" w:fill="BFBFBF"/>
          </w:tcPr>
          <w:p w:rsidR="00BE1832" w:rsidRPr="001D6512" w:rsidRDefault="00BE1832" w:rsidP="00C3606E">
            <w:pPr>
              <w:pStyle w:val="TableCell"/>
              <w:spacing w:before="60" w:after="60"/>
              <w:rPr>
                <w:b/>
              </w:rPr>
            </w:pPr>
            <w:r w:rsidRPr="001D6512">
              <w:rPr>
                <w:b/>
              </w:rPr>
              <w:t>Measure</w:t>
            </w:r>
          </w:p>
        </w:tc>
        <w:tc>
          <w:tcPr>
            <w:tcW w:w="1005" w:type="dxa"/>
            <w:shd w:val="clear" w:color="auto" w:fill="BFBFBF"/>
          </w:tcPr>
          <w:p w:rsidR="00BE1832" w:rsidRPr="001D6512" w:rsidRDefault="00BE1832" w:rsidP="00C3606E">
            <w:pPr>
              <w:pStyle w:val="TableCell"/>
              <w:spacing w:before="60" w:after="60"/>
              <w:rPr>
                <w:b/>
                <w:color w:val="000000"/>
              </w:rPr>
            </w:pPr>
            <w:r w:rsidRPr="001D6512">
              <w:rPr>
                <w:b/>
                <w:color w:val="000000"/>
              </w:rPr>
              <w:t>W</w:t>
            </w:r>
            <w:r w:rsidRPr="001D6512">
              <w:rPr>
                <w:b/>
                <w:color w:val="000000"/>
                <w:vertAlign w:val="subscript"/>
              </w:rPr>
              <w:t>base</w:t>
            </w:r>
            <w:r w:rsidRPr="001D6512">
              <w:rPr>
                <w:b/>
                <w:color w:val="000000"/>
                <w:vertAlign w:val="subscript"/>
              </w:rPr>
              <w:br/>
            </w:r>
            <w:r w:rsidRPr="001D6512">
              <w:rPr>
                <w:b/>
                <w:color w:val="000000"/>
              </w:rPr>
              <w:t>(Shaded Pole)</w:t>
            </w:r>
          </w:p>
        </w:tc>
        <w:tc>
          <w:tcPr>
            <w:tcW w:w="800" w:type="dxa"/>
            <w:shd w:val="clear" w:color="auto" w:fill="BFBFBF"/>
          </w:tcPr>
          <w:p w:rsidR="00BE1832" w:rsidRPr="001D6512" w:rsidRDefault="00BE1832" w:rsidP="00C3606E">
            <w:pPr>
              <w:pStyle w:val="TableCell"/>
              <w:spacing w:before="60" w:after="60"/>
              <w:rPr>
                <w:b/>
                <w:color w:val="000000"/>
              </w:rPr>
            </w:pPr>
            <w:r w:rsidRPr="001D6512">
              <w:rPr>
                <w:b/>
                <w:color w:val="000000"/>
              </w:rPr>
              <w:t>W</w:t>
            </w:r>
            <w:r w:rsidRPr="001D6512">
              <w:rPr>
                <w:b/>
                <w:color w:val="000000"/>
                <w:vertAlign w:val="subscript"/>
              </w:rPr>
              <w:t>ee</w:t>
            </w:r>
            <w:r w:rsidRPr="001D6512">
              <w:rPr>
                <w:b/>
                <w:color w:val="000000"/>
              </w:rPr>
              <w:br/>
              <w:t>(PSC)</w:t>
            </w:r>
          </w:p>
        </w:tc>
        <w:tc>
          <w:tcPr>
            <w:tcW w:w="740" w:type="dxa"/>
            <w:shd w:val="clear" w:color="auto" w:fill="BFBFBF"/>
          </w:tcPr>
          <w:p w:rsidR="00BE1832" w:rsidRPr="001D6512" w:rsidRDefault="00BE1832" w:rsidP="00C3606E">
            <w:pPr>
              <w:pStyle w:val="TableCell"/>
              <w:spacing w:before="60" w:after="60"/>
              <w:rPr>
                <w:b/>
                <w:color w:val="000000"/>
              </w:rPr>
            </w:pPr>
            <w:r w:rsidRPr="001D6512">
              <w:rPr>
                <w:b/>
                <w:color w:val="000000"/>
              </w:rPr>
              <w:t>LF</w:t>
            </w:r>
          </w:p>
        </w:tc>
        <w:tc>
          <w:tcPr>
            <w:tcW w:w="834" w:type="dxa"/>
            <w:shd w:val="clear" w:color="auto" w:fill="BFBFBF"/>
          </w:tcPr>
          <w:p w:rsidR="00BE1832" w:rsidRPr="001D6512" w:rsidRDefault="00BE1832" w:rsidP="00C3606E">
            <w:pPr>
              <w:pStyle w:val="TableCell"/>
              <w:spacing w:before="60" w:after="60"/>
              <w:rPr>
                <w:b/>
                <w:color w:val="000000"/>
              </w:rPr>
            </w:pPr>
            <w:r w:rsidRPr="001D6512">
              <w:rPr>
                <w:b/>
                <w:color w:val="000000"/>
              </w:rPr>
              <w:t>DC</w:t>
            </w:r>
            <w:r w:rsidRPr="001D6512">
              <w:rPr>
                <w:b/>
                <w:color w:val="000000"/>
                <w:vertAlign w:val="subscript"/>
              </w:rPr>
              <w:t>Evap</w:t>
            </w:r>
          </w:p>
        </w:tc>
        <w:tc>
          <w:tcPr>
            <w:tcW w:w="704" w:type="dxa"/>
            <w:shd w:val="clear" w:color="auto" w:fill="BFBFBF"/>
          </w:tcPr>
          <w:p w:rsidR="00BE1832" w:rsidRPr="001D6512" w:rsidRDefault="00BE1832" w:rsidP="00C3606E">
            <w:pPr>
              <w:pStyle w:val="TableCell"/>
              <w:spacing w:before="60" w:after="60"/>
              <w:rPr>
                <w:b/>
                <w:color w:val="000000"/>
              </w:rPr>
            </w:pPr>
            <w:r w:rsidRPr="001D6512">
              <w:rPr>
                <w:b/>
                <w:color w:val="000000"/>
              </w:rPr>
              <w:t>DG</w:t>
            </w:r>
          </w:p>
        </w:tc>
        <w:tc>
          <w:tcPr>
            <w:tcW w:w="849" w:type="dxa"/>
            <w:shd w:val="clear" w:color="auto" w:fill="BFBFBF"/>
          </w:tcPr>
          <w:p w:rsidR="00BE1832" w:rsidRPr="001D6512" w:rsidRDefault="00BE1832" w:rsidP="00C3606E">
            <w:pPr>
              <w:pStyle w:val="TableCell"/>
              <w:spacing w:before="60" w:after="60"/>
              <w:rPr>
                <w:b/>
                <w:color w:val="000000"/>
              </w:rPr>
            </w:pPr>
            <w:r w:rsidRPr="001D6512">
              <w:rPr>
                <w:b/>
                <w:color w:val="000000"/>
              </w:rPr>
              <w:t>COP per case Temp</w:t>
            </w:r>
          </w:p>
        </w:tc>
        <w:tc>
          <w:tcPr>
            <w:tcW w:w="980" w:type="dxa"/>
            <w:shd w:val="clear" w:color="auto" w:fill="BFBFBF"/>
          </w:tcPr>
          <w:p w:rsidR="00BE1832" w:rsidRPr="001D6512" w:rsidRDefault="00BE1832" w:rsidP="00C3606E">
            <w:pPr>
              <w:pStyle w:val="TableCell"/>
              <w:spacing w:before="60" w:after="60"/>
              <w:rPr>
                <w:b/>
                <w:color w:val="000000"/>
              </w:rPr>
            </w:pPr>
            <w:r w:rsidRPr="001D6512">
              <w:rPr>
                <w:b/>
                <w:color w:val="000000"/>
              </w:rPr>
              <w:t>Demand Impact (kW)</w:t>
            </w:r>
          </w:p>
        </w:tc>
        <w:tc>
          <w:tcPr>
            <w:tcW w:w="919" w:type="dxa"/>
            <w:shd w:val="clear" w:color="auto" w:fill="BFBFBF"/>
          </w:tcPr>
          <w:p w:rsidR="00BE1832" w:rsidRPr="001D6512" w:rsidRDefault="00BE1832" w:rsidP="00C3606E">
            <w:pPr>
              <w:pStyle w:val="TableCell"/>
              <w:spacing w:before="60" w:after="60"/>
              <w:rPr>
                <w:b/>
                <w:color w:val="000000"/>
              </w:rPr>
            </w:pPr>
            <w:r w:rsidRPr="001D6512">
              <w:rPr>
                <w:b/>
                <w:color w:val="000000"/>
              </w:rPr>
              <w:t>Energy Impact (kWh)</w:t>
            </w:r>
          </w:p>
        </w:tc>
      </w:tr>
      <w:tr w:rsidR="00BE1832" w:rsidRPr="006E0899" w:rsidTr="004C1DFF">
        <w:trPr>
          <w:trHeight w:val="540"/>
          <w:jc w:val="center"/>
        </w:trPr>
        <w:tc>
          <w:tcPr>
            <w:tcW w:w="2529" w:type="dxa"/>
          </w:tcPr>
          <w:p w:rsidR="00BE1832" w:rsidRPr="001D6512" w:rsidRDefault="00C67DA4" w:rsidP="00C3606E">
            <w:pPr>
              <w:pStyle w:val="TableCell"/>
              <w:spacing w:before="60" w:after="60"/>
            </w:pPr>
            <w:r w:rsidRPr="001D6512">
              <w:t>Cooler: Shaded Pole to PSC:</w:t>
            </w:r>
            <w:r w:rsidR="00277FD6" w:rsidRPr="001D6512">
              <w:t xml:space="preserve"> </w:t>
            </w:r>
            <w:r w:rsidRPr="001D6512">
              <w:t>1-14 Watt</w:t>
            </w:r>
          </w:p>
        </w:tc>
        <w:tc>
          <w:tcPr>
            <w:tcW w:w="1005" w:type="dxa"/>
            <w:noWrap/>
          </w:tcPr>
          <w:p w:rsidR="00BE1832" w:rsidRPr="001D6512" w:rsidRDefault="00C67DA4" w:rsidP="00C3606E">
            <w:pPr>
              <w:pStyle w:val="TableCell"/>
              <w:spacing w:before="60" w:after="60"/>
              <w:rPr>
                <w:color w:val="000000"/>
              </w:rPr>
            </w:pPr>
            <w:r w:rsidRPr="001D6512">
              <w:rPr>
                <w:color w:val="000000"/>
              </w:rPr>
              <w:t>50</w:t>
            </w:r>
          </w:p>
        </w:tc>
        <w:tc>
          <w:tcPr>
            <w:tcW w:w="800" w:type="dxa"/>
            <w:noWrap/>
          </w:tcPr>
          <w:p w:rsidR="00BE1832" w:rsidRPr="001D6512" w:rsidRDefault="00C67DA4" w:rsidP="00C3606E">
            <w:pPr>
              <w:pStyle w:val="TableCell"/>
              <w:spacing w:before="60" w:after="60"/>
              <w:rPr>
                <w:color w:val="000000"/>
              </w:rPr>
            </w:pPr>
            <w:r w:rsidRPr="001D6512">
              <w:rPr>
                <w:color w:val="000000"/>
              </w:rPr>
              <w:t>22</w:t>
            </w:r>
          </w:p>
        </w:tc>
        <w:tc>
          <w:tcPr>
            <w:tcW w:w="740" w:type="dxa"/>
            <w:noWrap/>
          </w:tcPr>
          <w:p w:rsidR="00BE1832" w:rsidRPr="001D6512" w:rsidRDefault="00C67DA4" w:rsidP="00C3606E">
            <w:pPr>
              <w:pStyle w:val="TableCell"/>
              <w:spacing w:before="60" w:after="60"/>
              <w:rPr>
                <w:color w:val="000000"/>
              </w:rPr>
            </w:pPr>
            <w:r w:rsidRPr="001D6512">
              <w:rPr>
                <w:color w:val="000000"/>
              </w:rPr>
              <w:t>0.9</w:t>
            </w:r>
          </w:p>
        </w:tc>
        <w:tc>
          <w:tcPr>
            <w:tcW w:w="834" w:type="dxa"/>
          </w:tcPr>
          <w:p w:rsidR="00BE1832" w:rsidRPr="001D6512" w:rsidRDefault="00C67DA4" w:rsidP="00C3606E">
            <w:pPr>
              <w:pStyle w:val="TableCell"/>
              <w:spacing w:before="60" w:after="60"/>
              <w:rPr>
                <w:color w:val="000000"/>
              </w:rPr>
            </w:pPr>
            <w:r w:rsidRPr="001D6512">
              <w:rPr>
                <w:color w:val="000000"/>
              </w:rPr>
              <w:t>100%</w:t>
            </w:r>
          </w:p>
        </w:tc>
        <w:tc>
          <w:tcPr>
            <w:tcW w:w="704" w:type="dxa"/>
          </w:tcPr>
          <w:p w:rsidR="00BE1832" w:rsidRPr="001D6512" w:rsidRDefault="00C67DA4" w:rsidP="00C3606E">
            <w:pPr>
              <w:pStyle w:val="TableCell"/>
              <w:spacing w:before="60" w:after="60"/>
              <w:rPr>
                <w:color w:val="000000"/>
              </w:rPr>
            </w:pPr>
            <w:r w:rsidRPr="001D6512">
              <w:rPr>
                <w:color w:val="000000"/>
              </w:rPr>
              <w:t>0.98</w:t>
            </w:r>
          </w:p>
        </w:tc>
        <w:tc>
          <w:tcPr>
            <w:tcW w:w="849" w:type="dxa"/>
          </w:tcPr>
          <w:p w:rsidR="00BE1832" w:rsidRPr="001D6512" w:rsidRDefault="00C67DA4" w:rsidP="00C3606E">
            <w:pPr>
              <w:pStyle w:val="TableCell"/>
              <w:spacing w:before="60" w:after="60"/>
              <w:rPr>
                <w:color w:val="000000"/>
              </w:rPr>
            </w:pPr>
            <w:r w:rsidRPr="001D6512">
              <w:rPr>
                <w:color w:val="000000"/>
              </w:rPr>
              <w:t>2.5</w:t>
            </w:r>
          </w:p>
        </w:tc>
        <w:tc>
          <w:tcPr>
            <w:tcW w:w="980" w:type="dxa"/>
          </w:tcPr>
          <w:p w:rsidR="00BE1832" w:rsidRPr="001D6512" w:rsidRDefault="00C67DA4" w:rsidP="00C3606E">
            <w:pPr>
              <w:pStyle w:val="TableCell"/>
              <w:spacing w:before="60" w:after="60"/>
              <w:rPr>
                <w:color w:val="000000"/>
              </w:rPr>
            </w:pPr>
            <w:r w:rsidRPr="001D6512">
              <w:rPr>
                <w:color w:val="000000"/>
              </w:rPr>
              <w:t>0.0355</w:t>
            </w:r>
          </w:p>
        </w:tc>
        <w:tc>
          <w:tcPr>
            <w:tcW w:w="919" w:type="dxa"/>
          </w:tcPr>
          <w:p w:rsidR="00BE1832" w:rsidRPr="001D6512" w:rsidRDefault="00C67DA4" w:rsidP="00C3606E">
            <w:pPr>
              <w:pStyle w:val="TableCell"/>
              <w:spacing w:before="60" w:after="60"/>
              <w:rPr>
                <w:color w:val="000000"/>
              </w:rPr>
            </w:pPr>
            <w:r w:rsidRPr="001D6512">
              <w:rPr>
                <w:color w:val="000000"/>
              </w:rPr>
              <w:t>311</w:t>
            </w:r>
          </w:p>
        </w:tc>
      </w:tr>
      <w:tr w:rsidR="00BE1832" w:rsidRPr="006E0899" w:rsidTr="004C1DFF">
        <w:trPr>
          <w:trHeight w:val="540"/>
          <w:jc w:val="center"/>
        </w:trPr>
        <w:tc>
          <w:tcPr>
            <w:tcW w:w="2529" w:type="dxa"/>
          </w:tcPr>
          <w:p w:rsidR="00BE1832" w:rsidRPr="001D6512" w:rsidRDefault="00C67DA4" w:rsidP="00C3606E">
            <w:pPr>
              <w:pStyle w:val="TableCell"/>
              <w:spacing w:before="60" w:after="60"/>
            </w:pPr>
            <w:r w:rsidRPr="001D6512">
              <w:t>Cooler: Shaded Pole to PSC:</w:t>
            </w:r>
            <w:r w:rsidR="00277FD6" w:rsidRPr="001D6512">
              <w:t xml:space="preserve"> </w:t>
            </w:r>
            <w:r w:rsidRPr="001D6512">
              <w:t>16-23 Watt</w:t>
            </w:r>
          </w:p>
        </w:tc>
        <w:tc>
          <w:tcPr>
            <w:tcW w:w="1005" w:type="dxa"/>
            <w:noWrap/>
          </w:tcPr>
          <w:p w:rsidR="00BE1832" w:rsidRPr="001D6512" w:rsidRDefault="00C67DA4" w:rsidP="00C3606E">
            <w:pPr>
              <w:pStyle w:val="TableCell"/>
              <w:spacing w:before="60" w:after="60"/>
              <w:rPr>
                <w:color w:val="000000"/>
              </w:rPr>
            </w:pPr>
            <w:r w:rsidRPr="001D6512">
              <w:rPr>
                <w:color w:val="000000"/>
              </w:rPr>
              <w:t>93</w:t>
            </w:r>
          </w:p>
        </w:tc>
        <w:tc>
          <w:tcPr>
            <w:tcW w:w="800" w:type="dxa"/>
            <w:noWrap/>
          </w:tcPr>
          <w:p w:rsidR="00BE1832" w:rsidRPr="001D6512" w:rsidRDefault="00C67DA4" w:rsidP="00C3606E">
            <w:pPr>
              <w:pStyle w:val="TableCell"/>
              <w:spacing w:before="60" w:after="60"/>
              <w:rPr>
                <w:color w:val="000000"/>
              </w:rPr>
            </w:pPr>
            <w:r w:rsidRPr="001D6512">
              <w:rPr>
                <w:color w:val="000000"/>
              </w:rPr>
              <w:t>48</w:t>
            </w:r>
          </w:p>
        </w:tc>
        <w:tc>
          <w:tcPr>
            <w:tcW w:w="740" w:type="dxa"/>
            <w:noWrap/>
          </w:tcPr>
          <w:p w:rsidR="00BE1832" w:rsidRPr="001D6512" w:rsidRDefault="00C67DA4" w:rsidP="00C3606E">
            <w:pPr>
              <w:pStyle w:val="TableCell"/>
              <w:spacing w:before="60" w:after="60"/>
              <w:rPr>
                <w:color w:val="000000"/>
              </w:rPr>
            </w:pPr>
            <w:r w:rsidRPr="001D6512">
              <w:rPr>
                <w:color w:val="000000"/>
              </w:rPr>
              <w:t>0.9</w:t>
            </w:r>
          </w:p>
        </w:tc>
        <w:tc>
          <w:tcPr>
            <w:tcW w:w="834" w:type="dxa"/>
          </w:tcPr>
          <w:p w:rsidR="00BE1832" w:rsidRPr="001D6512" w:rsidRDefault="00C67DA4" w:rsidP="00C3606E">
            <w:pPr>
              <w:pStyle w:val="TableCell"/>
              <w:spacing w:before="60" w:after="60"/>
              <w:rPr>
                <w:color w:val="000000"/>
              </w:rPr>
            </w:pPr>
            <w:r w:rsidRPr="001D6512">
              <w:rPr>
                <w:color w:val="000000"/>
              </w:rPr>
              <w:t>100%</w:t>
            </w:r>
          </w:p>
        </w:tc>
        <w:tc>
          <w:tcPr>
            <w:tcW w:w="704" w:type="dxa"/>
          </w:tcPr>
          <w:p w:rsidR="00BE1832" w:rsidRPr="001D6512" w:rsidRDefault="00C67DA4" w:rsidP="00C3606E">
            <w:pPr>
              <w:pStyle w:val="TableCell"/>
              <w:spacing w:before="60" w:after="60"/>
              <w:rPr>
                <w:color w:val="000000"/>
              </w:rPr>
            </w:pPr>
            <w:r w:rsidRPr="001D6512">
              <w:rPr>
                <w:color w:val="000000"/>
              </w:rPr>
              <w:t>0.98</w:t>
            </w:r>
          </w:p>
        </w:tc>
        <w:tc>
          <w:tcPr>
            <w:tcW w:w="849" w:type="dxa"/>
          </w:tcPr>
          <w:p w:rsidR="00BE1832" w:rsidRPr="001D6512" w:rsidRDefault="00C67DA4" w:rsidP="00C3606E">
            <w:pPr>
              <w:pStyle w:val="TableCell"/>
              <w:spacing w:before="60" w:after="60"/>
              <w:rPr>
                <w:color w:val="000000"/>
              </w:rPr>
            </w:pPr>
            <w:r w:rsidRPr="001D6512">
              <w:rPr>
                <w:color w:val="000000"/>
              </w:rPr>
              <w:t>2.5</w:t>
            </w:r>
          </w:p>
        </w:tc>
        <w:tc>
          <w:tcPr>
            <w:tcW w:w="980" w:type="dxa"/>
          </w:tcPr>
          <w:p w:rsidR="00BE1832" w:rsidRPr="001D6512" w:rsidRDefault="00C67DA4" w:rsidP="00C3606E">
            <w:pPr>
              <w:pStyle w:val="TableCell"/>
              <w:spacing w:before="60" w:after="60"/>
              <w:rPr>
                <w:color w:val="000000"/>
              </w:rPr>
            </w:pPr>
            <w:r w:rsidRPr="001D6512">
              <w:rPr>
                <w:color w:val="000000"/>
              </w:rPr>
              <w:t>0.0574</w:t>
            </w:r>
          </w:p>
        </w:tc>
        <w:tc>
          <w:tcPr>
            <w:tcW w:w="919" w:type="dxa"/>
          </w:tcPr>
          <w:p w:rsidR="00BE1832" w:rsidRPr="001D6512" w:rsidRDefault="00C67DA4" w:rsidP="00C3606E">
            <w:pPr>
              <w:pStyle w:val="TableCell"/>
              <w:spacing w:before="60" w:after="60"/>
              <w:rPr>
                <w:color w:val="000000"/>
              </w:rPr>
            </w:pPr>
            <w:r w:rsidRPr="001D6512">
              <w:rPr>
                <w:color w:val="000000"/>
              </w:rPr>
              <w:t>503</w:t>
            </w:r>
          </w:p>
        </w:tc>
      </w:tr>
      <w:tr w:rsidR="00BE1832" w:rsidRPr="006E0899" w:rsidTr="004C1DFF">
        <w:trPr>
          <w:trHeight w:val="540"/>
          <w:jc w:val="center"/>
        </w:trPr>
        <w:tc>
          <w:tcPr>
            <w:tcW w:w="2529" w:type="dxa"/>
          </w:tcPr>
          <w:p w:rsidR="00BE1832" w:rsidRPr="001D6512" w:rsidRDefault="00C67DA4" w:rsidP="00C3606E">
            <w:pPr>
              <w:pStyle w:val="TableCell"/>
              <w:spacing w:before="60" w:after="60"/>
            </w:pPr>
            <w:r w:rsidRPr="001D6512">
              <w:t>Cooler: Shaded Pole to PSC:</w:t>
            </w:r>
            <w:r w:rsidR="00277FD6" w:rsidRPr="001D6512">
              <w:t xml:space="preserve"> </w:t>
            </w:r>
            <w:r w:rsidRPr="001D6512">
              <w:t>1/20 HP (37 Watt)</w:t>
            </w:r>
          </w:p>
        </w:tc>
        <w:tc>
          <w:tcPr>
            <w:tcW w:w="1005" w:type="dxa"/>
            <w:noWrap/>
          </w:tcPr>
          <w:p w:rsidR="00BE1832" w:rsidRPr="001D6512" w:rsidRDefault="00C67DA4" w:rsidP="00C3606E">
            <w:pPr>
              <w:pStyle w:val="TableCell"/>
              <w:spacing w:before="60" w:after="60"/>
              <w:rPr>
                <w:color w:val="000000"/>
              </w:rPr>
            </w:pPr>
            <w:r w:rsidRPr="001D6512">
              <w:rPr>
                <w:color w:val="000000"/>
              </w:rPr>
              <w:t>142</w:t>
            </w:r>
          </w:p>
        </w:tc>
        <w:tc>
          <w:tcPr>
            <w:tcW w:w="800" w:type="dxa"/>
            <w:noWrap/>
          </w:tcPr>
          <w:p w:rsidR="00BE1832" w:rsidRPr="001D6512" w:rsidRDefault="00C67DA4" w:rsidP="00C3606E">
            <w:pPr>
              <w:pStyle w:val="TableCell"/>
              <w:spacing w:before="60" w:after="60"/>
              <w:rPr>
                <w:color w:val="000000"/>
              </w:rPr>
            </w:pPr>
            <w:r w:rsidRPr="001D6512">
              <w:rPr>
                <w:color w:val="000000"/>
              </w:rPr>
              <w:t>90</w:t>
            </w:r>
          </w:p>
        </w:tc>
        <w:tc>
          <w:tcPr>
            <w:tcW w:w="740" w:type="dxa"/>
            <w:noWrap/>
          </w:tcPr>
          <w:p w:rsidR="00BE1832" w:rsidRPr="001D6512" w:rsidRDefault="00C67DA4" w:rsidP="00C3606E">
            <w:pPr>
              <w:pStyle w:val="TableCell"/>
              <w:spacing w:before="60" w:after="60"/>
              <w:rPr>
                <w:color w:val="000000"/>
              </w:rPr>
            </w:pPr>
            <w:r w:rsidRPr="001D6512">
              <w:rPr>
                <w:color w:val="000000"/>
              </w:rPr>
              <w:t>0.9</w:t>
            </w:r>
          </w:p>
        </w:tc>
        <w:tc>
          <w:tcPr>
            <w:tcW w:w="834" w:type="dxa"/>
          </w:tcPr>
          <w:p w:rsidR="00BE1832" w:rsidRPr="001D6512" w:rsidRDefault="00C67DA4" w:rsidP="00C3606E">
            <w:pPr>
              <w:pStyle w:val="TableCell"/>
              <w:spacing w:before="60" w:after="60"/>
              <w:rPr>
                <w:color w:val="000000"/>
              </w:rPr>
            </w:pPr>
            <w:r w:rsidRPr="001D6512">
              <w:rPr>
                <w:color w:val="000000"/>
              </w:rPr>
              <w:t>100%</w:t>
            </w:r>
          </w:p>
        </w:tc>
        <w:tc>
          <w:tcPr>
            <w:tcW w:w="704" w:type="dxa"/>
          </w:tcPr>
          <w:p w:rsidR="00BE1832" w:rsidRPr="001D6512" w:rsidRDefault="00C67DA4" w:rsidP="00C3606E">
            <w:pPr>
              <w:pStyle w:val="TableCell"/>
              <w:spacing w:before="60" w:after="60"/>
              <w:rPr>
                <w:color w:val="000000"/>
              </w:rPr>
            </w:pPr>
            <w:r w:rsidRPr="001D6512">
              <w:rPr>
                <w:color w:val="000000"/>
              </w:rPr>
              <w:t>0.98</w:t>
            </w:r>
          </w:p>
        </w:tc>
        <w:tc>
          <w:tcPr>
            <w:tcW w:w="849" w:type="dxa"/>
          </w:tcPr>
          <w:p w:rsidR="00BE1832" w:rsidRPr="001D6512" w:rsidRDefault="00C67DA4" w:rsidP="00C3606E">
            <w:pPr>
              <w:pStyle w:val="TableCell"/>
              <w:spacing w:before="60" w:after="60"/>
              <w:rPr>
                <w:color w:val="000000"/>
              </w:rPr>
            </w:pPr>
            <w:r w:rsidRPr="001D6512">
              <w:rPr>
                <w:color w:val="000000"/>
              </w:rPr>
              <w:t>2.5</w:t>
            </w:r>
          </w:p>
        </w:tc>
        <w:tc>
          <w:tcPr>
            <w:tcW w:w="980" w:type="dxa"/>
          </w:tcPr>
          <w:p w:rsidR="00BE1832" w:rsidRPr="001D6512" w:rsidRDefault="00C67DA4" w:rsidP="00C3606E">
            <w:pPr>
              <w:pStyle w:val="TableCell"/>
              <w:spacing w:before="60" w:after="60"/>
              <w:rPr>
                <w:color w:val="000000"/>
              </w:rPr>
            </w:pPr>
            <w:r w:rsidRPr="001D6512">
              <w:rPr>
                <w:color w:val="000000"/>
              </w:rPr>
              <w:t>0.0660</w:t>
            </w:r>
          </w:p>
        </w:tc>
        <w:tc>
          <w:tcPr>
            <w:tcW w:w="919" w:type="dxa"/>
          </w:tcPr>
          <w:p w:rsidR="00BE1832" w:rsidRPr="001D6512" w:rsidRDefault="00C67DA4" w:rsidP="00C3606E">
            <w:pPr>
              <w:pStyle w:val="TableCell"/>
              <w:spacing w:before="60" w:after="60"/>
              <w:rPr>
                <w:color w:val="000000"/>
              </w:rPr>
            </w:pPr>
            <w:r w:rsidRPr="001D6512">
              <w:rPr>
                <w:color w:val="000000"/>
              </w:rPr>
              <w:t>578</w:t>
            </w:r>
          </w:p>
        </w:tc>
      </w:tr>
      <w:tr w:rsidR="00BE1832" w:rsidRPr="006E0899" w:rsidTr="004C1DFF">
        <w:trPr>
          <w:trHeight w:val="540"/>
          <w:jc w:val="center"/>
        </w:trPr>
        <w:tc>
          <w:tcPr>
            <w:tcW w:w="2529" w:type="dxa"/>
          </w:tcPr>
          <w:p w:rsidR="00BE1832" w:rsidRPr="001D6512" w:rsidRDefault="00C67DA4" w:rsidP="00C3606E">
            <w:pPr>
              <w:pStyle w:val="TableCell"/>
              <w:spacing w:before="60" w:after="60"/>
            </w:pPr>
            <w:r w:rsidRPr="001D6512">
              <w:t>Freezer: Shaded Pole to PSC:</w:t>
            </w:r>
            <w:r w:rsidR="00277FD6" w:rsidRPr="001D6512">
              <w:t xml:space="preserve"> </w:t>
            </w:r>
            <w:r w:rsidRPr="001D6512">
              <w:t>1-14 Watt</w:t>
            </w:r>
          </w:p>
        </w:tc>
        <w:tc>
          <w:tcPr>
            <w:tcW w:w="1005" w:type="dxa"/>
            <w:noWrap/>
          </w:tcPr>
          <w:p w:rsidR="00BE1832" w:rsidRPr="001D6512" w:rsidRDefault="00C67DA4" w:rsidP="00C3606E">
            <w:pPr>
              <w:pStyle w:val="TableCell"/>
              <w:spacing w:before="60" w:after="60"/>
              <w:rPr>
                <w:color w:val="000000"/>
              </w:rPr>
            </w:pPr>
            <w:r w:rsidRPr="001D6512">
              <w:rPr>
                <w:color w:val="000000"/>
              </w:rPr>
              <w:t>50</w:t>
            </w:r>
          </w:p>
        </w:tc>
        <w:tc>
          <w:tcPr>
            <w:tcW w:w="800" w:type="dxa"/>
            <w:noWrap/>
          </w:tcPr>
          <w:p w:rsidR="00BE1832" w:rsidRPr="001D6512" w:rsidRDefault="00C67DA4" w:rsidP="00C3606E">
            <w:pPr>
              <w:pStyle w:val="TableCell"/>
              <w:spacing w:before="60" w:after="60"/>
              <w:rPr>
                <w:color w:val="000000"/>
              </w:rPr>
            </w:pPr>
            <w:r w:rsidRPr="001D6512">
              <w:rPr>
                <w:color w:val="000000"/>
              </w:rPr>
              <w:t>22</w:t>
            </w:r>
          </w:p>
        </w:tc>
        <w:tc>
          <w:tcPr>
            <w:tcW w:w="740" w:type="dxa"/>
            <w:noWrap/>
          </w:tcPr>
          <w:p w:rsidR="00BE1832" w:rsidRPr="001D6512" w:rsidRDefault="00C67DA4" w:rsidP="00C3606E">
            <w:pPr>
              <w:pStyle w:val="TableCell"/>
              <w:spacing w:before="60" w:after="60"/>
              <w:rPr>
                <w:color w:val="000000"/>
              </w:rPr>
            </w:pPr>
            <w:r w:rsidRPr="001D6512">
              <w:rPr>
                <w:color w:val="000000"/>
              </w:rPr>
              <w:t>0.9</w:t>
            </w:r>
          </w:p>
        </w:tc>
        <w:tc>
          <w:tcPr>
            <w:tcW w:w="834" w:type="dxa"/>
          </w:tcPr>
          <w:p w:rsidR="00BE1832" w:rsidRPr="001D6512" w:rsidRDefault="00C67DA4" w:rsidP="00C3606E">
            <w:pPr>
              <w:pStyle w:val="TableCell"/>
              <w:spacing w:before="60" w:after="60"/>
              <w:rPr>
                <w:color w:val="000000"/>
              </w:rPr>
            </w:pPr>
            <w:r w:rsidRPr="001D6512">
              <w:rPr>
                <w:color w:val="000000"/>
              </w:rPr>
              <w:t>94.4%</w:t>
            </w:r>
          </w:p>
        </w:tc>
        <w:tc>
          <w:tcPr>
            <w:tcW w:w="704" w:type="dxa"/>
          </w:tcPr>
          <w:p w:rsidR="00BE1832" w:rsidRPr="001D6512" w:rsidRDefault="00C67DA4" w:rsidP="00C3606E">
            <w:pPr>
              <w:pStyle w:val="TableCell"/>
              <w:spacing w:before="60" w:after="60"/>
              <w:rPr>
                <w:color w:val="000000"/>
              </w:rPr>
            </w:pPr>
            <w:r w:rsidRPr="001D6512">
              <w:rPr>
                <w:color w:val="000000"/>
              </w:rPr>
              <w:t>0.98</w:t>
            </w:r>
          </w:p>
        </w:tc>
        <w:tc>
          <w:tcPr>
            <w:tcW w:w="849" w:type="dxa"/>
          </w:tcPr>
          <w:p w:rsidR="00BE1832" w:rsidRPr="001D6512" w:rsidRDefault="00C67DA4" w:rsidP="00C3606E">
            <w:pPr>
              <w:pStyle w:val="TableCell"/>
              <w:spacing w:before="60" w:after="60"/>
              <w:rPr>
                <w:color w:val="000000"/>
              </w:rPr>
            </w:pPr>
            <w:r w:rsidRPr="001D6512">
              <w:rPr>
                <w:color w:val="000000"/>
              </w:rPr>
              <w:t>1.3</w:t>
            </w:r>
          </w:p>
        </w:tc>
        <w:tc>
          <w:tcPr>
            <w:tcW w:w="980" w:type="dxa"/>
          </w:tcPr>
          <w:p w:rsidR="00BE1832" w:rsidRPr="001D6512" w:rsidRDefault="00C67DA4" w:rsidP="00C3606E">
            <w:pPr>
              <w:pStyle w:val="TableCell"/>
              <w:spacing w:before="60" w:after="60"/>
              <w:rPr>
                <w:color w:val="000000"/>
              </w:rPr>
            </w:pPr>
            <w:r w:rsidRPr="001D6512">
              <w:rPr>
                <w:color w:val="000000"/>
              </w:rPr>
              <w:t>0.0425</w:t>
            </w:r>
          </w:p>
        </w:tc>
        <w:tc>
          <w:tcPr>
            <w:tcW w:w="919" w:type="dxa"/>
          </w:tcPr>
          <w:p w:rsidR="00BE1832" w:rsidRPr="001D6512" w:rsidRDefault="00C67DA4" w:rsidP="00C3606E">
            <w:pPr>
              <w:pStyle w:val="TableCell"/>
              <w:spacing w:before="60" w:after="60"/>
              <w:rPr>
                <w:color w:val="000000"/>
              </w:rPr>
            </w:pPr>
            <w:r w:rsidRPr="001D6512">
              <w:rPr>
                <w:color w:val="000000"/>
              </w:rPr>
              <w:t>373</w:t>
            </w:r>
          </w:p>
        </w:tc>
      </w:tr>
      <w:tr w:rsidR="00BE1832" w:rsidRPr="006E0899" w:rsidTr="004C1DFF">
        <w:trPr>
          <w:trHeight w:val="540"/>
          <w:jc w:val="center"/>
        </w:trPr>
        <w:tc>
          <w:tcPr>
            <w:tcW w:w="2529" w:type="dxa"/>
          </w:tcPr>
          <w:p w:rsidR="00BE1832" w:rsidRPr="001D6512" w:rsidRDefault="00C67DA4" w:rsidP="00C3606E">
            <w:pPr>
              <w:pStyle w:val="TableCell"/>
              <w:spacing w:before="60" w:after="60"/>
            </w:pPr>
            <w:r w:rsidRPr="001D6512">
              <w:t>Freezer: Shaded Pole to PSC:</w:t>
            </w:r>
            <w:r w:rsidR="00277FD6" w:rsidRPr="001D6512">
              <w:t xml:space="preserve"> </w:t>
            </w:r>
            <w:r w:rsidRPr="001D6512">
              <w:t>16-23 Watt</w:t>
            </w:r>
          </w:p>
        </w:tc>
        <w:tc>
          <w:tcPr>
            <w:tcW w:w="1005" w:type="dxa"/>
            <w:noWrap/>
          </w:tcPr>
          <w:p w:rsidR="00BE1832" w:rsidRPr="001D6512" w:rsidRDefault="00C67DA4" w:rsidP="00C3606E">
            <w:pPr>
              <w:pStyle w:val="TableCell"/>
              <w:spacing w:before="60" w:after="60"/>
              <w:rPr>
                <w:color w:val="000000"/>
              </w:rPr>
            </w:pPr>
            <w:r w:rsidRPr="001D6512">
              <w:rPr>
                <w:color w:val="000000"/>
              </w:rPr>
              <w:t>93</w:t>
            </w:r>
          </w:p>
        </w:tc>
        <w:tc>
          <w:tcPr>
            <w:tcW w:w="800" w:type="dxa"/>
            <w:noWrap/>
          </w:tcPr>
          <w:p w:rsidR="00BE1832" w:rsidRPr="001D6512" w:rsidRDefault="00C67DA4" w:rsidP="00C3606E">
            <w:pPr>
              <w:pStyle w:val="TableCell"/>
              <w:spacing w:before="60" w:after="60"/>
              <w:rPr>
                <w:color w:val="000000"/>
              </w:rPr>
            </w:pPr>
            <w:r w:rsidRPr="001D6512">
              <w:rPr>
                <w:color w:val="000000"/>
              </w:rPr>
              <w:t>48</w:t>
            </w:r>
          </w:p>
        </w:tc>
        <w:tc>
          <w:tcPr>
            <w:tcW w:w="740" w:type="dxa"/>
            <w:noWrap/>
          </w:tcPr>
          <w:p w:rsidR="00BE1832" w:rsidRPr="001D6512" w:rsidRDefault="00C67DA4" w:rsidP="00C3606E">
            <w:pPr>
              <w:pStyle w:val="TableCell"/>
              <w:spacing w:before="60" w:after="60"/>
              <w:rPr>
                <w:color w:val="000000"/>
              </w:rPr>
            </w:pPr>
            <w:r w:rsidRPr="001D6512">
              <w:rPr>
                <w:color w:val="000000"/>
              </w:rPr>
              <w:t>0.9</w:t>
            </w:r>
          </w:p>
        </w:tc>
        <w:tc>
          <w:tcPr>
            <w:tcW w:w="834" w:type="dxa"/>
          </w:tcPr>
          <w:p w:rsidR="00BE1832" w:rsidRPr="001D6512" w:rsidRDefault="00C67DA4" w:rsidP="00C3606E">
            <w:pPr>
              <w:pStyle w:val="TableCell"/>
              <w:spacing w:before="60" w:after="60"/>
              <w:rPr>
                <w:color w:val="000000"/>
              </w:rPr>
            </w:pPr>
            <w:r w:rsidRPr="001D6512">
              <w:rPr>
                <w:color w:val="000000"/>
              </w:rPr>
              <w:t>94.4%</w:t>
            </w:r>
          </w:p>
        </w:tc>
        <w:tc>
          <w:tcPr>
            <w:tcW w:w="704" w:type="dxa"/>
          </w:tcPr>
          <w:p w:rsidR="00BE1832" w:rsidRPr="001D6512" w:rsidRDefault="00C67DA4" w:rsidP="00C3606E">
            <w:pPr>
              <w:pStyle w:val="TableCell"/>
              <w:spacing w:before="60" w:after="60"/>
              <w:rPr>
                <w:color w:val="000000"/>
              </w:rPr>
            </w:pPr>
            <w:r w:rsidRPr="001D6512">
              <w:rPr>
                <w:color w:val="000000"/>
              </w:rPr>
              <w:t>0.98</w:t>
            </w:r>
          </w:p>
        </w:tc>
        <w:tc>
          <w:tcPr>
            <w:tcW w:w="849" w:type="dxa"/>
          </w:tcPr>
          <w:p w:rsidR="00BE1832" w:rsidRPr="001D6512" w:rsidRDefault="00C67DA4" w:rsidP="00C3606E">
            <w:pPr>
              <w:pStyle w:val="TableCell"/>
              <w:spacing w:before="60" w:after="60"/>
              <w:rPr>
                <w:color w:val="000000"/>
              </w:rPr>
            </w:pPr>
            <w:r w:rsidRPr="001D6512">
              <w:rPr>
                <w:color w:val="000000"/>
              </w:rPr>
              <w:t>1.3</w:t>
            </w:r>
          </w:p>
        </w:tc>
        <w:tc>
          <w:tcPr>
            <w:tcW w:w="980" w:type="dxa"/>
          </w:tcPr>
          <w:p w:rsidR="00BE1832" w:rsidRPr="001D6512" w:rsidRDefault="00C67DA4" w:rsidP="00C3606E">
            <w:pPr>
              <w:pStyle w:val="TableCell"/>
              <w:spacing w:before="60" w:after="60"/>
              <w:rPr>
                <w:color w:val="000000"/>
              </w:rPr>
            </w:pPr>
            <w:r w:rsidRPr="001D6512">
              <w:rPr>
                <w:color w:val="000000"/>
              </w:rPr>
              <w:t>0.0687</w:t>
            </w:r>
          </w:p>
        </w:tc>
        <w:tc>
          <w:tcPr>
            <w:tcW w:w="919" w:type="dxa"/>
          </w:tcPr>
          <w:p w:rsidR="00BE1832" w:rsidRPr="001D6512" w:rsidRDefault="00C67DA4" w:rsidP="00C3606E">
            <w:pPr>
              <w:pStyle w:val="TableCell"/>
              <w:spacing w:before="60" w:after="60"/>
              <w:rPr>
                <w:color w:val="000000"/>
              </w:rPr>
            </w:pPr>
            <w:r w:rsidRPr="001D6512">
              <w:rPr>
                <w:color w:val="000000"/>
              </w:rPr>
              <w:t>602</w:t>
            </w:r>
          </w:p>
        </w:tc>
      </w:tr>
      <w:tr w:rsidR="00BE1832" w:rsidRPr="006E0899" w:rsidTr="004C1DFF">
        <w:trPr>
          <w:trHeight w:val="540"/>
          <w:jc w:val="center"/>
        </w:trPr>
        <w:tc>
          <w:tcPr>
            <w:tcW w:w="2529" w:type="dxa"/>
          </w:tcPr>
          <w:p w:rsidR="00BE1832" w:rsidRPr="001D6512" w:rsidRDefault="00C67DA4" w:rsidP="00C3606E">
            <w:pPr>
              <w:pStyle w:val="TableCell"/>
              <w:spacing w:before="60" w:after="60"/>
            </w:pPr>
            <w:r w:rsidRPr="001D6512">
              <w:t>Freezer: Shaded Pole to PSC:</w:t>
            </w:r>
            <w:r w:rsidR="00277FD6" w:rsidRPr="001D6512">
              <w:t xml:space="preserve"> </w:t>
            </w:r>
            <w:r w:rsidRPr="001D6512">
              <w:t>1/20 HP (37 Watt)</w:t>
            </w:r>
          </w:p>
        </w:tc>
        <w:tc>
          <w:tcPr>
            <w:tcW w:w="1005" w:type="dxa"/>
            <w:noWrap/>
          </w:tcPr>
          <w:p w:rsidR="00BE1832" w:rsidRPr="001D6512" w:rsidRDefault="00C67DA4" w:rsidP="00C3606E">
            <w:pPr>
              <w:pStyle w:val="TableCell"/>
              <w:spacing w:before="60" w:after="60"/>
              <w:rPr>
                <w:color w:val="000000"/>
              </w:rPr>
            </w:pPr>
            <w:r w:rsidRPr="001D6512">
              <w:rPr>
                <w:color w:val="000000"/>
              </w:rPr>
              <w:t>142</w:t>
            </w:r>
          </w:p>
        </w:tc>
        <w:tc>
          <w:tcPr>
            <w:tcW w:w="800" w:type="dxa"/>
            <w:noWrap/>
          </w:tcPr>
          <w:p w:rsidR="00BE1832" w:rsidRPr="001D6512" w:rsidRDefault="00C67DA4" w:rsidP="00C3606E">
            <w:pPr>
              <w:pStyle w:val="TableCell"/>
              <w:spacing w:before="60" w:after="60"/>
              <w:rPr>
                <w:color w:val="000000"/>
              </w:rPr>
            </w:pPr>
            <w:r w:rsidRPr="001D6512">
              <w:rPr>
                <w:color w:val="000000"/>
              </w:rPr>
              <w:t>90</w:t>
            </w:r>
          </w:p>
        </w:tc>
        <w:tc>
          <w:tcPr>
            <w:tcW w:w="740" w:type="dxa"/>
            <w:noWrap/>
          </w:tcPr>
          <w:p w:rsidR="00BE1832" w:rsidRPr="001D6512" w:rsidRDefault="00C67DA4" w:rsidP="00C3606E">
            <w:pPr>
              <w:pStyle w:val="TableCell"/>
              <w:spacing w:before="60" w:after="60"/>
              <w:rPr>
                <w:color w:val="000000"/>
              </w:rPr>
            </w:pPr>
            <w:r w:rsidRPr="001D6512">
              <w:rPr>
                <w:color w:val="000000"/>
              </w:rPr>
              <w:t>0.9</w:t>
            </w:r>
          </w:p>
        </w:tc>
        <w:tc>
          <w:tcPr>
            <w:tcW w:w="834" w:type="dxa"/>
          </w:tcPr>
          <w:p w:rsidR="00BE1832" w:rsidRPr="001D6512" w:rsidRDefault="00C67DA4" w:rsidP="00C3606E">
            <w:pPr>
              <w:pStyle w:val="TableCell"/>
              <w:spacing w:before="60" w:after="60"/>
              <w:rPr>
                <w:color w:val="000000"/>
              </w:rPr>
            </w:pPr>
            <w:r w:rsidRPr="001D6512">
              <w:rPr>
                <w:color w:val="000000"/>
              </w:rPr>
              <w:t>94.4%</w:t>
            </w:r>
          </w:p>
        </w:tc>
        <w:tc>
          <w:tcPr>
            <w:tcW w:w="704" w:type="dxa"/>
          </w:tcPr>
          <w:p w:rsidR="00BE1832" w:rsidRPr="001D6512" w:rsidRDefault="00C67DA4" w:rsidP="00C3606E">
            <w:pPr>
              <w:pStyle w:val="TableCell"/>
              <w:spacing w:before="60" w:after="60"/>
              <w:rPr>
                <w:color w:val="000000"/>
              </w:rPr>
            </w:pPr>
            <w:r w:rsidRPr="001D6512">
              <w:rPr>
                <w:color w:val="000000"/>
              </w:rPr>
              <w:t>0.98</w:t>
            </w:r>
          </w:p>
        </w:tc>
        <w:tc>
          <w:tcPr>
            <w:tcW w:w="849" w:type="dxa"/>
          </w:tcPr>
          <w:p w:rsidR="00BE1832" w:rsidRPr="001D6512" w:rsidRDefault="00C67DA4" w:rsidP="00C3606E">
            <w:pPr>
              <w:pStyle w:val="TableCell"/>
              <w:spacing w:before="60" w:after="60"/>
              <w:rPr>
                <w:color w:val="000000"/>
              </w:rPr>
            </w:pPr>
            <w:r w:rsidRPr="001D6512">
              <w:rPr>
                <w:color w:val="000000"/>
              </w:rPr>
              <w:t>1.3</w:t>
            </w:r>
          </w:p>
        </w:tc>
        <w:tc>
          <w:tcPr>
            <w:tcW w:w="980" w:type="dxa"/>
          </w:tcPr>
          <w:p w:rsidR="00BE1832" w:rsidRPr="001D6512" w:rsidRDefault="00C67DA4" w:rsidP="00C3606E">
            <w:pPr>
              <w:pStyle w:val="TableCell"/>
              <w:spacing w:before="60" w:after="60"/>
              <w:rPr>
                <w:color w:val="000000"/>
              </w:rPr>
            </w:pPr>
            <w:r w:rsidRPr="001D6512">
              <w:rPr>
                <w:color w:val="000000"/>
              </w:rPr>
              <w:t>0.0790</w:t>
            </w:r>
          </w:p>
        </w:tc>
        <w:tc>
          <w:tcPr>
            <w:tcW w:w="919" w:type="dxa"/>
          </w:tcPr>
          <w:p w:rsidR="00BE1832" w:rsidRPr="001D6512" w:rsidRDefault="00C67DA4" w:rsidP="00C3606E">
            <w:pPr>
              <w:pStyle w:val="TableCell"/>
              <w:spacing w:before="60" w:after="60"/>
              <w:rPr>
                <w:color w:val="000000"/>
              </w:rPr>
            </w:pPr>
            <w:r w:rsidRPr="001D6512">
              <w:rPr>
                <w:color w:val="000000"/>
              </w:rPr>
              <w:t>692</w:t>
            </w:r>
          </w:p>
        </w:tc>
      </w:tr>
    </w:tbl>
    <w:p w:rsidR="00BE1832" w:rsidRPr="003C7CF1" w:rsidRDefault="00BE1832" w:rsidP="00C3606E">
      <w:pPr>
        <w:spacing w:after="0"/>
      </w:pPr>
    </w:p>
    <w:p w:rsidR="00717EE4" w:rsidRDefault="00717EE4" w:rsidP="00B20F6B">
      <w:pPr>
        <w:pStyle w:val="Caption"/>
      </w:pPr>
      <w:bookmarkStart w:id="924" w:name="_Toc310875588"/>
      <w:r w:rsidRPr="00BC5194">
        <w:t>Table</w:t>
      </w:r>
      <w:r>
        <w:t xml:space="preserv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36</w:t>
      </w:r>
      <w:r w:rsidR="00274AB1">
        <w:rPr>
          <w:noProof/>
        </w:rPr>
        <w:fldChar w:fldCharType="end"/>
      </w:r>
      <w:r>
        <w:t xml:space="preserve">: </w:t>
      </w:r>
      <w:r w:rsidRPr="008558F2">
        <w:t>PSC to ECM Deemed Savings</w:t>
      </w:r>
      <w:bookmarkEnd w:id="924"/>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960"/>
        <w:gridCol w:w="800"/>
        <w:gridCol w:w="740"/>
        <w:gridCol w:w="813"/>
        <w:gridCol w:w="665"/>
        <w:gridCol w:w="800"/>
        <w:gridCol w:w="967"/>
        <w:gridCol w:w="895"/>
      </w:tblGrid>
      <w:tr w:rsidR="00BE1832" w:rsidRPr="00F6303F" w:rsidTr="004C1DFF">
        <w:trPr>
          <w:trHeight w:val="1050"/>
          <w:tblHeader/>
          <w:jc w:val="center"/>
        </w:trPr>
        <w:tc>
          <w:tcPr>
            <w:tcW w:w="2536" w:type="dxa"/>
            <w:shd w:val="clear" w:color="auto" w:fill="BFBFBF"/>
          </w:tcPr>
          <w:p w:rsidR="00BE1832" w:rsidRPr="006E0899" w:rsidRDefault="00BE1832" w:rsidP="00C3606E">
            <w:pPr>
              <w:keepNext/>
              <w:spacing w:before="60" w:after="60"/>
              <w:jc w:val="center"/>
              <w:rPr>
                <w:rFonts w:cs="Arial"/>
                <w:b/>
                <w:bCs/>
                <w:sz w:val="18"/>
              </w:rPr>
            </w:pPr>
            <w:r w:rsidRPr="006E0899">
              <w:rPr>
                <w:rFonts w:cs="Arial"/>
                <w:b/>
                <w:bCs/>
                <w:sz w:val="18"/>
              </w:rPr>
              <w:t>Measure</w:t>
            </w:r>
          </w:p>
        </w:tc>
        <w:tc>
          <w:tcPr>
            <w:tcW w:w="960" w:type="dxa"/>
            <w:shd w:val="clear" w:color="auto" w:fill="BFBFBF"/>
          </w:tcPr>
          <w:p w:rsidR="00BE1832" w:rsidRPr="006E0899" w:rsidRDefault="00BE1832" w:rsidP="00C3606E">
            <w:pPr>
              <w:keepNext/>
              <w:spacing w:before="60" w:after="60"/>
              <w:jc w:val="center"/>
              <w:rPr>
                <w:rFonts w:cs="Arial"/>
                <w:b/>
                <w:bCs/>
                <w:color w:val="000000"/>
                <w:sz w:val="18"/>
              </w:rPr>
            </w:pPr>
            <w:r w:rsidRPr="006E0899">
              <w:rPr>
                <w:rFonts w:cs="Arial"/>
                <w:b/>
                <w:bCs/>
                <w:color w:val="000000"/>
                <w:sz w:val="18"/>
              </w:rPr>
              <w:t>W</w:t>
            </w:r>
            <w:r w:rsidRPr="006E0899">
              <w:rPr>
                <w:rFonts w:cs="Arial"/>
                <w:b/>
                <w:bCs/>
                <w:color w:val="000000"/>
                <w:sz w:val="18"/>
                <w:vertAlign w:val="subscript"/>
              </w:rPr>
              <w:t>base</w:t>
            </w:r>
            <w:r w:rsidRPr="006E0899">
              <w:rPr>
                <w:rFonts w:cs="Arial"/>
                <w:b/>
                <w:bCs/>
                <w:color w:val="000000"/>
                <w:sz w:val="18"/>
                <w:vertAlign w:val="subscript"/>
              </w:rPr>
              <w:br/>
            </w:r>
            <w:r w:rsidRPr="006E0899">
              <w:rPr>
                <w:rFonts w:cs="Arial"/>
                <w:b/>
                <w:bCs/>
                <w:color w:val="000000"/>
                <w:sz w:val="18"/>
              </w:rPr>
              <w:t>(PSC)</w:t>
            </w:r>
          </w:p>
        </w:tc>
        <w:tc>
          <w:tcPr>
            <w:tcW w:w="800" w:type="dxa"/>
            <w:shd w:val="clear" w:color="auto" w:fill="BFBFBF"/>
          </w:tcPr>
          <w:p w:rsidR="00BE1832" w:rsidRPr="006E0899" w:rsidRDefault="00BE1832" w:rsidP="00C3606E">
            <w:pPr>
              <w:keepNext/>
              <w:spacing w:before="60" w:after="60"/>
              <w:jc w:val="center"/>
              <w:rPr>
                <w:rFonts w:cs="Arial"/>
                <w:b/>
                <w:bCs/>
                <w:color w:val="000000"/>
                <w:sz w:val="18"/>
              </w:rPr>
            </w:pPr>
            <w:r w:rsidRPr="006E0899">
              <w:rPr>
                <w:rFonts w:cs="Arial"/>
                <w:b/>
                <w:bCs/>
                <w:color w:val="000000"/>
                <w:sz w:val="18"/>
              </w:rPr>
              <w:t>W</w:t>
            </w:r>
            <w:r w:rsidRPr="006E0899">
              <w:rPr>
                <w:rFonts w:cs="Arial"/>
                <w:b/>
                <w:bCs/>
                <w:color w:val="000000"/>
                <w:sz w:val="18"/>
                <w:vertAlign w:val="subscript"/>
              </w:rPr>
              <w:t>ee</w:t>
            </w:r>
            <w:r w:rsidRPr="006E0899">
              <w:rPr>
                <w:rFonts w:cs="Arial"/>
                <w:b/>
                <w:bCs/>
                <w:color w:val="000000"/>
                <w:sz w:val="18"/>
              </w:rPr>
              <w:br/>
              <w:t>(ECM)</w:t>
            </w:r>
          </w:p>
        </w:tc>
        <w:tc>
          <w:tcPr>
            <w:tcW w:w="740" w:type="dxa"/>
            <w:shd w:val="clear" w:color="auto" w:fill="BFBFBF"/>
          </w:tcPr>
          <w:p w:rsidR="00BE1832" w:rsidRPr="006E0899" w:rsidRDefault="00BE1832" w:rsidP="00C3606E">
            <w:pPr>
              <w:keepNext/>
              <w:spacing w:before="60" w:after="60"/>
              <w:jc w:val="center"/>
              <w:rPr>
                <w:rFonts w:cs="Arial"/>
                <w:b/>
                <w:bCs/>
                <w:color w:val="000000"/>
                <w:sz w:val="18"/>
              </w:rPr>
            </w:pPr>
            <w:r w:rsidRPr="006E0899">
              <w:rPr>
                <w:rFonts w:cs="Arial"/>
                <w:b/>
                <w:bCs/>
                <w:color w:val="000000"/>
                <w:sz w:val="18"/>
              </w:rPr>
              <w:t>LF</w:t>
            </w:r>
          </w:p>
        </w:tc>
        <w:tc>
          <w:tcPr>
            <w:tcW w:w="838" w:type="dxa"/>
            <w:shd w:val="clear" w:color="auto" w:fill="BFBFBF"/>
          </w:tcPr>
          <w:p w:rsidR="00BE1832" w:rsidRPr="006E0899" w:rsidRDefault="00BE1832" w:rsidP="00C3606E">
            <w:pPr>
              <w:keepNext/>
              <w:spacing w:before="60" w:after="60"/>
              <w:jc w:val="center"/>
              <w:rPr>
                <w:rFonts w:cs="Arial"/>
                <w:b/>
                <w:bCs/>
                <w:color w:val="000000"/>
                <w:sz w:val="18"/>
              </w:rPr>
            </w:pPr>
            <w:r w:rsidRPr="006E0899">
              <w:rPr>
                <w:rFonts w:cs="Arial"/>
                <w:b/>
                <w:bCs/>
                <w:color w:val="000000"/>
                <w:sz w:val="18"/>
              </w:rPr>
              <w:t>DC</w:t>
            </w:r>
            <w:r w:rsidRPr="006E0899">
              <w:rPr>
                <w:rFonts w:cs="Arial"/>
                <w:b/>
                <w:bCs/>
                <w:color w:val="000000"/>
                <w:sz w:val="18"/>
                <w:vertAlign w:val="subscript"/>
              </w:rPr>
              <w:t>Evap</w:t>
            </w:r>
          </w:p>
        </w:tc>
        <w:tc>
          <w:tcPr>
            <w:tcW w:w="715" w:type="dxa"/>
            <w:shd w:val="clear" w:color="auto" w:fill="BFBFBF"/>
          </w:tcPr>
          <w:p w:rsidR="00BE1832" w:rsidRPr="006E0899" w:rsidRDefault="00BE1832" w:rsidP="00C3606E">
            <w:pPr>
              <w:keepNext/>
              <w:spacing w:before="60" w:after="60"/>
              <w:jc w:val="center"/>
              <w:rPr>
                <w:rFonts w:cs="Arial"/>
                <w:b/>
                <w:bCs/>
                <w:color w:val="000000"/>
                <w:sz w:val="18"/>
              </w:rPr>
            </w:pPr>
            <w:r w:rsidRPr="006E0899">
              <w:rPr>
                <w:rFonts w:cs="Arial"/>
                <w:b/>
                <w:bCs/>
                <w:color w:val="000000"/>
                <w:sz w:val="18"/>
              </w:rPr>
              <w:t>DG</w:t>
            </w:r>
          </w:p>
        </w:tc>
        <w:tc>
          <w:tcPr>
            <w:tcW w:w="853" w:type="dxa"/>
            <w:shd w:val="clear" w:color="auto" w:fill="BFBFBF"/>
          </w:tcPr>
          <w:p w:rsidR="00BE1832" w:rsidRPr="006E0899" w:rsidRDefault="00BE1832" w:rsidP="00C3606E">
            <w:pPr>
              <w:keepNext/>
              <w:spacing w:before="60" w:after="60"/>
              <w:jc w:val="center"/>
              <w:rPr>
                <w:rFonts w:cs="Arial"/>
                <w:b/>
                <w:bCs/>
                <w:color w:val="000000"/>
                <w:sz w:val="18"/>
              </w:rPr>
            </w:pPr>
            <w:r w:rsidRPr="006E0899">
              <w:rPr>
                <w:rFonts w:cs="Arial"/>
                <w:b/>
                <w:bCs/>
                <w:color w:val="000000"/>
                <w:sz w:val="18"/>
              </w:rPr>
              <w:t>COP per case Temp</w:t>
            </w:r>
          </w:p>
        </w:tc>
        <w:tc>
          <w:tcPr>
            <w:tcW w:w="988" w:type="dxa"/>
            <w:shd w:val="clear" w:color="auto" w:fill="BFBFBF"/>
          </w:tcPr>
          <w:p w:rsidR="00BE1832" w:rsidRPr="006E0899" w:rsidRDefault="00BE1832" w:rsidP="00C3606E">
            <w:pPr>
              <w:keepNext/>
              <w:spacing w:before="60" w:after="60"/>
              <w:jc w:val="center"/>
              <w:rPr>
                <w:rFonts w:cs="Arial"/>
                <w:b/>
                <w:bCs/>
                <w:color w:val="000000"/>
                <w:sz w:val="18"/>
              </w:rPr>
            </w:pPr>
            <w:r w:rsidRPr="006E0899">
              <w:rPr>
                <w:rFonts w:cs="Arial"/>
                <w:b/>
                <w:bCs/>
                <w:color w:val="000000"/>
                <w:sz w:val="18"/>
              </w:rPr>
              <w:t>Demand Impact (kW)</w:t>
            </w:r>
          </w:p>
        </w:tc>
        <w:tc>
          <w:tcPr>
            <w:tcW w:w="930" w:type="dxa"/>
            <w:shd w:val="clear" w:color="auto" w:fill="BFBFBF"/>
          </w:tcPr>
          <w:p w:rsidR="00BE1832" w:rsidRPr="006E0899" w:rsidRDefault="00BE1832" w:rsidP="00C3606E">
            <w:pPr>
              <w:keepNext/>
              <w:spacing w:before="60" w:after="60"/>
              <w:jc w:val="center"/>
              <w:rPr>
                <w:rFonts w:cs="Arial"/>
                <w:b/>
                <w:bCs/>
                <w:color w:val="000000"/>
                <w:sz w:val="18"/>
              </w:rPr>
            </w:pPr>
            <w:r w:rsidRPr="006E0899">
              <w:rPr>
                <w:rFonts w:cs="Arial"/>
                <w:b/>
                <w:bCs/>
                <w:color w:val="000000"/>
                <w:sz w:val="18"/>
              </w:rPr>
              <w:t>Energy Impact (kWh)</w:t>
            </w:r>
          </w:p>
        </w:tc>
      </w:tr>
      <w:tr w:rsidR="00BE1832" w:rsidRPr="00F6303F" w:rsidTr="004C1DFF">
        <w:trPr>
          <w:trHeight w:val="540"/>
          <w:jc w:val="center"/>
        </w:trPr>
        <w:tc>
          <w:tcPr>
            <w:tcW w:w="2536" w:type="dxa"/>
          </w:tcPr>
          <w:p w:rsidR="00BE1832" w:rsidRPr="006E0899" w:rsidRDefault="00BE1832" w:rsidP="00C3606E">
            <w:pPr>
              <w:keepNext/>
              <w:spacing w:before="60" w:after="60"/>
              <w:rPr>
                <w:rFonts w:cs="Arial"/>
                <w:sz w:val="18"/>
              </w:rPr>
            </w:pPr>
            <w:r w:rsidRPr="006E0899">
              <w:rPr>
                <w:rFonts w:cs="Arial"/>
                <w:sz w:val="18"/>
              </w:rPr>
              <w:t>Cooler: PSC to ECM:</w:t>
            </w:r>
            <w:r w:rsidRPr="006E0899">
              <w:rPr>
                <w:rFonts w:cs="Arial"/>
                <w:sz w:val="18"/>
              </w:rPr>
              <w:br/>
              <w:t>1-14 Watt</w:t>
            </w:r>
          </w:p>
        </w:tc>
        <w:tc>
          <w:tcPr>
            <w:tcW w:w="960" w:type="dxa"/>
            <w:noWrap/>
          </w:tcPr>
          <w:p w:rsidR="00BE1832" w:rsidRPr="006E0899" w:rsidRDefault="00BE1832" w:rsidP="00C3606E">
            <w:pPr>
              <w:keepNext/>
              <w:spacing w:before="60" w:after="60"/>
              <w:jc w:val="center"/>
              <w:rPr>
                <w:rFonts w:cs="Arial"/>
                <w:color w:val="000000"/>
                <w:sz w:val="18"/>
              </w:rPr>
            </w:pPr>
            <w:r w:rsidRPr="006E0899">
              <w:rPr>
                <w:rFonts w:cs="Arial"/>
                <w:color w:val="000000"/>
                <w:sz w:val="18"/>
              </w:rPr>
              <w:t>22</w:t>
            </w:r>
          </w:p>
        </w:tc>
        <w:tc>
          <w:tcPr>
            <w:tcW w:w="800" w:type="dxa"/>
            <w:noWrap/>
          </w:tcPr>
          <w:p w:rsidR="00BE1832" w:rsidRPr="006E0899" w:rsidRDefault="00BE1832" w:rsidP="00C3606E">
            <w:pPr>
              <w:keepNext/>
              <w:spacing w:before="60" w:after="60"/>
              <w:jc w:val="center"/>
              <w:rPr>
                <w:rFonts w:cs="Arial"/>
                <w:color w:val="000000"/>
                <w:sz w:val="18"/>
              </w:rPr>
            </w:pPr>
            <w:r w:rsidRPr="006E0899">
              <w:rPr>
                <w:rFonts w:cs="Arial"/>
                <w:color w:val="000000"/>
                <w:sz w:val="18"/>
              </w:rPr>
              <w:t>14</w:t>
            </w:r>
          </w:p>
        </w:tc>
        <w:tc>
          <w:tcPr>
            <w:tcW w:w="740" w:type="dxa"/>
            <w:noWrap/>
          </w:tcPr>
          <w:p w:rsidR="00BE1832" w:rsidRPr="006E0899" w:rsidRDefault="00BE1832" w:rsidP="00C3606E">
            <w:pPr>
              <w:keepNext/>
              <w:spacing w:before="60" w:after="60"/>
              <w:jc w:val="center"/>
              <w:rPr>
                <w:rFonts w:cs="Arial"/>
                <w:color w:val="000000"/>
                <w:sz w:val="18"/>
              </w:rPr>
            </w:pPr>
            <w:r w:rsidRPr="006E0899">
              <w:rPr>
                <w:rFonts w:cs="Arial"/>
                <w:color w:val="000000"/>
                <w:sz w:val="18"/>
              </w:rPr>
              <w:t>0.9</w:t>
            </w:r>
          </w:p>
        </w:tc>
        <w:tc>
          <w:tcPr>
            <w:tcW w:w="838" w:type="dxa"/>
          </w:tcPr>
          <w:p w:rsidR="00BE1832" w:rsidRPr="006E0899" w:rsidRDefault="00BE1832" w:rsidP="00C3606E">
            <w:pPr>
              <w:keepNext/>
              <w:spacing w:before="60" w:after="60"/>
              <w:jc w:val="center"/>
              <w:rPr>
                <w:rFonts w:cs="Arial"/>
                <w:color w:val="000000"/>
                <w:sz w:val="18"/>
              </w:rPr>
            </w:pPr>
            <w:r w:rsidRPr="006E0899">
              <w:rPr>
                <w:rFonts w:cs="Arial"/>
                <w:color w:val="000000"/>
                <w:sz w:val="18"/>
              </w:rPr>
              <w:t>100%</w:t>
            </w:r>
          </w:p>
        </w:tc>
        <w:tc>
          <w:tcPr>
            <w:tcW w:w="715" w:type="dxa"/>
          </w:tcPr>
          <w:p w:rsidR="00BE1832" w:rsidRPr="006E0899" w:rsidRDefault="00BE1832" w:rsidP="00C3606E">
            <w:pPr>
              <w:keepNext/>
              <w:spacing w:before="60" w:after="60"/>
              <w:jc w:val="center"/>
              <w:rPr>
                <w:rFonts w:cs="Arial"/>
                <w:color w:val="000000"/>
                <w:sz w:val="18"/>
              </w:rPr>
            </w:pPr>
            <w:r w:rsidRPr="006E0899">
              <w:rPr>
                <w:rFonts w:cs="Arial"/>
                <w:color w:val="000000"/>
                <w:sz w:val="18"/>
              </w:rPr>
              <w:t>0.98</w:t>
            </w:r>
          </w:p>
        </w:tc>
        <w:tc>
          <w:tcPr>
            <w:tcW w:w="853" w:type="dxa"/>
          </w:tcPr>
          <w:p w:rsidR="00BE1832" w:rsidRPr="006E0899" w:rsidRDefault="00BE1832" w:rsidP="00C3606E">
            <w:pPr>
              <w:keepNext/>
              <w:spacing w:before="60" w:after="60"/>
              <w:jc w:val="center"/>
              <w:rPr>
                <w:rFonts w:cs="Arial"/>
                <w:color w:val="000000"/>
                <w:sz w:val="18"/>
              </w:rPr>
            </w:pPr>
            <w:r w:rsidRPr="006E0899">
              <w:rPr>
                <w:rFonts w:cs="Arial"/>
                <w:color w:val="000000"/>
                <w:sz w:val="18"/>
              </w:rPr>
              <w:t>2.5</w:t>
            </w:r>
          </w:p>
        </w:tc>
        <w:tc>
          <w:tcPr>
            <w:tcW w:w="988" w:type="dxa"/>
          </w:tcPr>
          <w:p w:rsidR="00BE1832" w:rsidRPr="006E0899" w:rsidRDefault="00BE1832" w:rsidP="00C3606E">
            <w:pPr>
              <w:keepNext/>
              <w:spacing w:before="60" w:after="60"/>
              <w:jc w:val="center"/>
              <w:rPr>
                <w:rFonts w:cs="Arial"/>
                <w:color w:val="000000"/>
                <w:sz w:val="18"/>
              </w:rPr>
            </w:pPr>
            <w:r w:rsidRPr="006E0899">
              <w:rPr>
                <w:rFonts w:cs="Arial"/>
                <w:color w:val="000000"/>
                <w:sz w:val="18"/>
              </w:rPr>
              <w:t>0.0105</w:t>
            </w:r>
          </w:p>
        </w:tc>
        <w:tc>
          <w:tcPr>
            <w:tcW w:w="930" w:type="dxa"/>
          </w:tcPr>
          <w:p w:rsidR="00BE1832" w:rsidRPr="006E0899" w:rsidRDefault="00BE1832" w:rsidP="00C3606E">
            <w:pPr>
              <w:keepNext/>
              <w:spacing w:before="60" w:after="60"/>
              <w:jc w:val="center"/>
              <w:rPr>
                <w:rFonts w:cs="Arial"/>
                <w:color w:val="000000"/>
                <w:sz w:val="18"/>
              </w:rPr>
            </w:pPr>
            <w:r w:rsidRPr="006E0899">
              <w:rPr>
                <w:rFonts w:cs="Arial"/>
                <w:color w:val="000000"/>
                <w:sz w:val="18"/>
              </w:rPr>
              <w:t>92</w:t>
            </w:r>
          </w:p>
        </w:tc>
      </w:tr>
      <w:tr w:rsidR="00BE1832" w:rsidRPr="00F6303F" w:rsidTr="004C1DFF">
        <w:trPr>
          <w:trHeight w:val="540"/>
          <w:jc w:val="center"/>
        </w:trPr>
        <w:tc>
          <w:tcPr>
            <w:tcW w:w="2536" w:type="dxa"/>
          </w:tcPr>
          <w:p w:rsidR="00BE1832" w:rsidRPr="006E0899" w:rsidRDefault="00BE1832" w:rsidP="00C3606E">
            <w:pPr>
              <w:keepNext/>
              <w:spacing w:before="60" w:after="60"/>
              <w:rPr>
                <w:rFonts w:cs="Arial"/>
                <w:sz w:val="18"/>
              </w:rPr>
            </w:pPr>
            <w:r w:rsidRPr="006E0899">
              <w:rPr>
                <w:rFonts w:cs="Arial"/>
                <w:sz w:val="18"/>
              </w:rPr>
              <w:t>Cooler: PSC to ECM:</w:t>
            </w:r>
            <w:r w:rsidRPr="006E0899">
              <w:rPr>
                <w:rFonts w:cs="Arial"/>
                <w:sz w:val="18"/>
              </w:rPr>
              <w:br/>
              <w:t>16-23 Watt</w:t>
            </w:r>
          </w:p>
        </w:tc>
        <w:tc>
          <w:tcPr>
            <w:tcW w:w="960" w:type="dxa"/>
            <w:noWrap/>
          </w:tcPr>
          <w:p w:rsidR="00BE1832" w:rsidRPr="006E0899" w:rsidRDefault="00BE1832" w:rsidP="00C3606E">
            <w:pPr>
              <w:keepNext/>
              <w:spacing w:before="60" w:after="60"/>
              <w:jc w:val="center"/>
              <w:rPr>
                <w:rFonts w:cs="Arial"/>
                <w:color w:val="000000"/>
                <w:sz w:val="18"/>
              </w:rPr>
            </w:pPr>
            <w:r w:rsidRPr="006E0899">
              <w:rPr>
                <w:rFonts w:cs="Arial"/>
                <w:color w:val="000000"/>
                <w:sz w:val="18"/>
              </w:rPr>
              <w:t>48</w:t>
            </w:r>
          </w:p>
        </w:tc>
        <w:tc>
          <w:tcPr>
            <w:tcW w:w="800" w:type="dxa"/>
            <w:noWrap/>
          </w:tcPr>
          <w:p w:rsidR="00BE1832" w:rsidRPr="006E0899" w:rsidRDefault="00BE1832" w:rsidP="00C3606E">
            <w:pPr>
              <w:keepNext/>
              <w:spacing w:before="60" w:after="60"/>
              <w:jc w:val="center"/>
              <w:rPr>
                <w:rFonts w:cs="Arial"/>
                <w:color w:val="000000"/>
                <w:sz w:val="18"/>
              </w:rPr>
            </w:pPr>
            <w:r w:rsidRPr="006E0899">
              <w:rPr>
                <w:rFonts w:cs="Arial"/>
                <w:color w:val="000000"/>
                <w:sz w:val="18"/>
              </w:rPr>
              <w:t>30</w:t>
            </w:r>
          </w:p>
        </w:tc>
        <w:tc>
          <w:tcPr>
            <w:tcW w:w="740" w:type="dxa"/>
            <w:noWrap/>
          </w:tcPr>
          <w:p w:rsidR="00BE1832" w:rsidRPr="006E0899" w:rsidRDefault="00BE1832" w:rsidP="00C3606E">
            <w:pPr>
              <w:keepNext/>
              <w:spacing w:before="60" w:after="60"/>
              <w:jc w:val="center"/>
              <w:rPr>
                <w:rFonts w:cs="Arial"/>
                <w:color w:val="000000"/>
                <w:sz w:val="18"/>
              </w:rPr>
            </w:pPr>
            <w:r w:rsidRPr="006E0899">
              <w:rPr>
                <w:rFonts w:cs="Arial"/>
                <w:color w:val="000000"/>
                <w:sz w:val="18"/>
              </w:rPr>
              <w:t>0.9</w:t>
            </w:r>
          </w:p>
        </w:tc>
        <w:tc>
          <w:tcPr>
            <w:tcW w:w="838" w:type="dxa"/>
          </w:tcPr>
          <w:p w:rsidR="00BE1832" w:rsidRPr="006E0899" w:rsidRDefault="00BE1832" w:rsidP="00C3606E">
            <w:pPr>
              <w:keepNext/>
              <w:spacing w:before="60" w:after="60"/>
              <w:jc w:val="center"/>
              <w:rPr>
                <w:rFonts w:cs="Arial"/>
                <w:color w:val="000000"/>
                <w:sz w:val="18"/>
              </w:rPr>
            </w:pPr>
            <w:r w:rsidRPr="006E0899">
              <w:rPr>
                <w:rFonts w:cs="Arial"/>
                <w:color w:val="000000"/>
                <w:sz w:val="18"/>
              </w:rPr>
              <w:t>100%</w:t>
            </w:r>
          </w:p>
        </w:tc>
        <w:tc>
          <w:tcPr>
            <w:tcW w:w="715" w:type="dxa"/>
          </w:tcPr>
          <w:p w:rsidR="00BE1832" w:rsidRPr="006E0899" w:rsidRDefault="00BE1832" w:rsidP="00C3606E">
            <w:pPr>
              <w:keepNext/>
              <w:spacing w:before="60" w:after="60"/>
              <w:jc w:val="center"/>
              <w:rPr>
                <w:rFonts w:cs="Arial"/>
                <w:color w:val="000000"/>
                <w:sz w:val="18"/>
              </w:rPr>
            </w:pPr>
            <w:r w:rsidRPr="006E0899">
              <w:rPr>
                <w:rFonts w:cs="Arial"/>
                <w:color w:val="000000"/>
                <w:sz w:val="18"/>
              </w:rPr>
              <w:t>0.98</w:t>
            </w:r>
          </w:p>
        </w:tc>
        <w:tc>
          <w:tcPr>
            <w:tcW w:w="853" w:type="dxa"/>
          </w:tcPr>
          <w:p w:rsidR="00BE1832" w:rsidRPr="006E0899" w:rsidRDefault="00BE1832" w:rsidP="00C3606E">
            <w:pPr>
              <w:keepNext/>
              <w:spacing w:before="60" w:after="60"/>
              <w:jc w:val="center"/>
              <w:rPr>
                <w:rFonts w:cs="Arial"/>
                <w:color w:val="000000"/>
                <w:sz w:val="18"/>
              </w:rPr>
            </w:pPr>
            <w:r w:rsidRPr="006E0899">
              <w:rPr>
                <w:rFonts w:cs="Arial"/>
                <w:color w:val="000000"/>
                <w:sz w:val="18"/>
              </w:rPr>
              <w:t>2.5</w:t>
            </w:r>
          </w:p>
        </w:tc>
        <w:tc>
          <w:tcPr>
            <w:tcW w:w="988" w:type="dxa"/>
          </w:tcPr>
          <w:p w:rsidR="00BE1832" w:rsidRPr="006E0899" w:rsidRDefault="00BE1832" w:rsidP="00C3606E">
            <w:pPr>
              <w:keepNext/>
              <w:spacing w:before="60" w:after="60"/>
              <w:jc w:val="center"/>
              <w:rPr>
                <w:rFonts w:cs="Arial"/>
                <w:color w:val="000000"/>
                <w:sz w:val="18"/>
              </w:rPr>
            </w:pPr>
            <w:r w:rsidRPr="006E0899">
              <w:rPr>
                <w:rFonts w:cs="Arial"/>
                <w:color w:val="000000"/>
                <w:sz w:val="18"/>
              </w:rPr>
              <w:t>0.0228</w:t>
            </w:r>
          </w:p>
        </w:tc>
        <w:tc>
          <w:tcPr>
            <w:tcW w:w="930" w:type="dxa"/>
          </w:tcPr>
          <w:p w:rsidR="00BE1832" w:rsidRPr="006E0899" w:rsidRDefault="00BE1832" w:rsidP="00C3606E">
            <w:pPr>
              <w:keepNext/>
              <w:spacing w:before="60" w:after="60"/>
              <w:jc w:val="center"/>
              <w:rPr>
                <w:rFonts w:cs="Arial"/>
                <w:color w:val="000000"/>
                <w:sz w:val="18"/>
              </w:rPr>
            </w:pPr>
            <w:r w:rsidRPr="006E0899">
              <w:rPr>
                <w:rFonts w:cs="Arial"/>
                <w:color w:val="000000"/>
                <w:sz w:val="18"/>
              </w:rPr>
              <w:t>200</w:t>
            </w:r>
          </w:p>
        </w:tc>
      </w:tr>
      <w:tr w:rsidR="00BE1832" w:rsidRPr="00F6303F" w:rsidTr="004C1DFF">
        <w:trPr>
          <w:trHeight w:val="540"/>
          <w:jc w:val="center"/>
        </w:trPr>
        <w:tc>
          <w:tcPr>
            <w:tcW w:w="2536" w:type="dxa"/>
          </w:tcPr>
          <w:p w:rsidR="00BE1832" w:rsidRPr="006E0899" w:rsidRDefault="00BE1832" w:rsidP="00C3606E">
            <w:pPr>
              <w:keepNext/>
              <w:spacing w:before="60" w:after="60"/>
              <w:rPr>
                <w:rFonts w:cs="Arial"/>
                <w:sz w:val="18"/>
              </w:rPr>
            </w:pPr>
            <w:r w:rsidRPr="006E0899">
              <w:rPr>
                <w:rFonts w:cs="Arial"/>
                <w:sz w:val="18"/>
              </w:rPr>
              <w:t>Cooler: PSC to ECM:</w:t>
            </w:r>
            <w:r w:rsidRPr="006E0899">
              <w:rPr>
                <w:rFonts w:cs="Arial"/>
                <w:sz w:val="18"/>
              </w:rPr>
              <w:br/>
              <w:t>1/20 HP (37 Watt)</w:t>
            </w:r>
          </w:p>
        </w:tc>
        <w:tc>
          <w:tcPr>
            <w:tcW w:w="960" w:type="dxa"/>
            <w:noWrap/>
          </w:tcPr>
          <w:p w:rsidR="00BE1832" w:rsidRPr="006E0899" w:rsidRDefault="00BE1832" w:rsidP="00C3606E">
            <w:pPr>
              <w:keepNext/>
              <w:spacing w:before="60" w:after="60"/>
              <w:jc w:val="center"/>
              <w:rPr>
                <w:rFonts w:cs="Arial"/>
                <w:color w:val="000000"/>
                <w:sz w:val="18"/>
              </w:rPr>
            </w:pPr>
            <w:r w:rsidRPr="006E0899">
              <w:rPr>
                <w:rFonts w:cs="Arial"/>
                <w:color w:val="000000"/>
                <w:sz w:val="18"/>
              </w:rPr>
              <w:t>90</w:t>
            </w:r>
          </w:p>
        </w:tc>
        <w:tc>
          <w:tcPr>
            <w:tcW w:w="800" w:type="dxa"/>
            <w:noWrap/>
          </w:tcPr>
          <w:p w:rsidR="00BE1832" w:rsidRPr="006E0899" w:rsidRDefault="00BE1832" w:rsidP="00C3606E">
            <w:pPr>
              <w:keepNext/>
              <w:spacing w:before="60" w:after="60"/>
              <w:jc w:val="center"/>
              <w:rPr>
                <w:rFonts w:cs="Arial"/>
                <w:color w:val="000000"/>
                <w:sz w:val="18"/>
              </w:rPr>
            </w:pPr>
            <w:r w:rsidRPr="006E0899">
              <w:rPr>
                <w:rFonts w:cs="Arial"/>
                <w:color w:val="000000"/>
                <w:sz w:val="18"/>
              </w:rPr>
              <w:t>56</w:t>
            </w:r>
          </w:p>
        </w:tc>
        <w:tc>
          <w:tcPr>
            <w:tcW w:w="740" w:type="dxa"/>
            <w:noWrap/>
          </w:tcPr>
          <w:p w:rsidR="00BE1832" w:rsidRPr="006E0899" w:rsidRDefault="00BE1832" w:rsidP="00C3606E">
            <w:pPr>
              <w:keepNext/>
              <w:spacing w:before="60" w:after="60"/>
              <w:jc w:val="center"/>
              <w:rPr>
                <w:rFonts w:cs="Arial"/>
                <w:color w:val="000000"/>
                <w:sz w:val="18"/>
              </w:rPr>
            </w:pPr>
            <w:r w:rsidRPr="006E0899">
              <w:rPr>
                <w:rFonts w:cs="Arial"/>
                <w:color w:val="000000"/>
                <w:sz w:val="18"/>
              </w:rPr>
              <w:t>0.9</w:t>
            </w:r>
          </w:p>
        </w:tc>
        <w:tc>
          <w:tcPr>
            <w:tcW w:w="838" w:type="dxa"/>
          </w:tcPr>
          <w:p w:rsidR="00BE1832" w:rsidRPr="006E0899" w:rsidRDefault="00BE1832" w:rsidP="00C3606E">
            <w:pPr>
              <w:keepNext/>
              <w:spacing w:before="60" w:after="60"/>
              <w:jc w:val="center"/>
              <w:rPr>
                <w:rFonts w:cs="Arial"/>
                <w:color w:val="000000"/>
                <w:sz w:val="18"/>
              </w:rPr>
            </w:pPr>
            <w:r w:rsidRPr="006E0899">
              <w:rPr>
                <w:rFonts w:cs="Arial"/>
                <w:color w:val="000000"/>
                <w:sz w:val="18"/>
              </w:rPr>
              <w:t>100%</w:t>
            </w:r>
          </w:p>
        </w:tc>
        <w:tc>
          <w:tcPr>
            <w:tcW w:w="715" w:type="dxa"/>
          </w:tcPr>
          <w:p w:rsidR="00BE1832" w:rsidRPr="006E0899" w:rsidRDefault="00BE1832" w:rsidP="00C3606E">
            <w:pPr>
              <w:keepNext/>
              <w:spacing w:before="60" w:after="60"/>
              <w:jc w:val="center"/>
              <w:rPr>
                <w:rFonts w:cs="Arial"/>
                <w:color w:val="000000"/>
                <w:sz w:val="18"/>
              </w:rPr>
            </w:pPr>
            <w:r w:rsidRPr="006E0899">
              <w:rPr>
                <w:rFonts w:cs="Arial"/>
                <w:color w:val="000000"/>
                <w:sz w:val="18"/>
              </w:rPr>
              <w:t>0.98</w:t>
            </w:r>
          </w:p>
        </w:tc>
        <w:tc>
          <w:tcPr>
            <w:tcW w:w="853" w:type="dxa"/>
          </w:tcPr>
          <w:p w:rsidR="00BE1832" w:rsidRPr="006E0899" w:rsidRDefault="00BE1832" w:rsidP="00C3606E">
            <w:pPr>
              <w:keepNext/>
              <w:spacing w:before="60" w:after="60"/>
              <w:jc w:val="center"/>
              <w:rPr>
                <w:rFonts w:cs="Arial"/>
                <w:color w:val="000000"/>
                <w:sz w:val="18"/>
              </w:rPr>
            </w:pPr>
            <w:r w:rsidRPr="006E0899">
              <w:rPr>
                <w:rFonts w:cs="Arial"/>
                <w:color w:val="000000"/>
                <w:sz w:val="18"/>
              </w:rPr>
              <w:t>2.5</w:t>
            </w:r>
          </w:p>
        </w:tc>
        <w:tc>
          <w:tcPr>
            <w:tcW w:w="988" w:type="dxa"/>
          </w:tcPr>
          <w:p w:rsidR="00BE1832" w:rsidRPr="006E0899" w:rsidRDefault="00BE1832" w:rsidP="00C3606E">
            <w:pPr>
              <w:keepNext/>
              <w:spacing w:before="60" w:after="60"/>
              <w:jc w:val="center"/>
              <w:rPr>
                <w:rFonts w:cs="Arial"/>
                <w:color w:val="000000"/>
                <w:sz w:val="18"/>
              </w:rPr>
            </w:pPr>
            <w:r w:rsidRPr="006E0899">
              <w:rPr>
                <w:rFonts w:cs="Arial"/>
                <w:color w:val="000000"/>
                <w:sz w:val="18"/>
              </w:rPr>
              <w:t>0.0433</w:t>
            </w:r>
          </w:p>
        </w:tc>
        <w:tc>
          <w:tcPr>
            <w:tcW w:w="930" w:type="dxa"/>
          </w:tcPr>
          <w:p w:rsidR="00BE1832" w:rsidRPr="006E0899" w:rsidRDefault="00BE1832" w:rsidP="00C3606E">
            <w:pPr>
              <w:keepNext/>
              <w:spacing w:before="60" w:after="60"/>
              <w:jc w:val="center"/>
              <w:rPr>
                <w:rFonts w:cs="Arial"/>
                <w:color w:val="000000"/>
                <w:sz w:val="18"/>
              </w:rPr>
            </w:pPr>
            <w:r w:rsidRPr="006E0899">
              <w:rPr>
                <w:rFonts w:cs="Arial"/>
                <w:color w:val="000000"/>
                <w:sz w:val="18"/>
              </w:rPr>
              <w:t>380</w:t>
            </w:r>
          </w:p>
        </w:tc>
      </w:tr>
      <w:tr w:rsidR="00BE1832" w:rsidRPr="00F6303F" w:rsidTr="004C1DFF">
        <w:trPr>
          <w:trHeight w:val="540"/>
          <w:jc w:val="center"/>
        </w:trPr>
        <w:tc>
          <w:tcPr>
            <w:tcW w:w="2536" w:type="dxa"/>
          </w:tcPr>
          <w:p w:rsidR="00BE1832" w:rsidRPr="006E0899" w:rsidRDefault="00BE1832" w:rsidP="00C3606E">
            <w:pPr>
              <w:keepNext/>
              <w:spacing w:before="60" w:after="60"/>
              <w:rPr>
                <w:rFonts w:cs="Arial"/>
                <w:sz w:val="18"/>
              </w:rPr>
            </w:pPr>
            <w:r w:rsidRPr="006E0899">
              <w:rPr>
                <w:rFonts w:cs="Arial"/>
                <w:sz w:val="18"/>
              </w:rPr>
              <w:t>Freezer: PSC to ECM:</w:t>
            </w:r>
            <w:r w:rsidR="00277FD6">
              <w:rPr>
                <w:rFonts w:cs="Arial"/>
                <w:sz w:val="18"/>
              </w:rPr>
              <w:t xml:space="preserve"> </w:t>
            </w:r>
            <w:r w:rsidRPr="006E0899">
              <w:rPr>
                <w:rFonts w:cs="Arial"/>
                <w:sz w:val="18"/>
              </w:rPr>
              <w:t>1-14 Watt</w:t>
            </w:r>
          </w:p>
        </w:tc>
        <w:tc>
          <w:tcPr>
            <w:tcW w:w="960" w:type="dxa"/>
            <w:noWrap/>
          </w:tcPr>
          <w:p w:rsidR="00BE1832" w:rsidRPr="006E0899" w:rsidRDefault="00BE1832" w:rsidP="00C3606E">
            <w:pPr>
              <w:keepNext/>
              <w:spacing w:before="60" w:after="60"/>
              <w:jc w:val="center"/>
              <w:rPr>
                <w:rFonts w:cs="Arial"/>
                <w:color w:val="000000"/>
                <w:sz w:val="18"/>
              </w:rPr>
            </w:pPr>
            <w:r w:rsidRPr="006E0899">
              <w:rPr>
                <w:rFonts w:cs="Arial"/>
                <w:color w:val="000000"/>
                <w:sz w:val="18"/>
              </w:rPr>
              <w:t>22</w:t>
            </w:r>
          </w:p>
        </w:tc>
        <w:tc>
          <w:tcPr>
            <w:tcW w:w="800" w:type="dxa"/>
            <w:noWrap/>
          </w:tcPr>
          <w:p w:rsidR="00BE1832" w:rsidRPr="006E0899" w:rsidRDefault="00BE1832" w:rsidP="00C3606E">
            <w:pPr>
              <w:keepNext/>
              <w:spacing w:before="60" w:after="60"/>
              <w:jc w:val="center"/>
              <w:rPr>
                <w:rFonts w:cs="Arial"/>
                <w:color w:val="000000"/>
                <w:sz w:val="18"/>
              </w:rPr>
            </w:pPr>
            <w:r w:rsidRPr="006E0899">
              <w:rPr>
                <w:rFonts w:cs="Arial"/>
                <w:color w:val="000000"/>
                <w:sz w:val="18"/>
              </w:rPr>
              <w:t>14</w:t>
            </w:r>
          </w:p>
        </w:tc>
        <w:tc>
          <w:tcPr>
            <w:tcW w:w="740" w:type="dxa"/>
            <w:noWrap/>
          </w:tcPr>
          <w:p w:rsidR="00BE1832" w:rsidRPr="006E0899" w:rsidRDefault="00BE1832" w:rsidP="00C3606E">
            <w:pPr>
              <w:keepNext/>
              <w:spacing w:before="60" w:after="60"/>
              <w:jc w:val="center"/>
              <w:rPr>
                <w:rFonts w:cs="Arial"/>
                <w:color w:val="000000"/>
                <w:sz w:val="18"/>
              </w:rPr>
            </w:pPr>
            <w:r w:rsidRPr="006E0899">
              <w:rPr>
                <w:rFonts w:cs="Arial"/>
                <w:color w:val="000000"/>
                <w:sz w:val="18"/>
              </w:rPr>
              <w:t>0.9</w:t>
            </w:r>
          </w:p>
        </w:tc>
        <w:tc>
          <w:tcPr>
            <w:tcW w:w="838" w:type="dxa"/>
          </w:tcPr>
          <w:p w:rsidR="00BE1832" w:rsidRPr="006E0899" w:rsidRDefault="00BE1832" w:rsidP="00C3606E">
            <w:pPr>
              <w:keepNext/>
              <w:spacing w:before="60" w:after="60"/>
              <w:jc w:val="center"/>
              <w:rPr>
                <w:rFonts w:cs="Arial"/>
                <w:color w:val="000000"/>
                <w:sz w:val="18"/>
              </w:rPr>
            </w:pPr>
            <w:r w:rsidRPr="006E0899">
              <w:rPr>
                <w:rFonts w:cs="Arial"/>
                <w:color w:val="000000"/>
                <w:sz w:val="18"/>
              </w:rPr>
              <w:t>94.4%</w:t>
            </w:r>
          </w:p>
        </w:tc>
        <w:tc>
          <w:tcPr>
            <w:tcW w:w="715" w:type="dxa"/>
          </w:tcPr>
          <w:p w:rsidR="00BE1832" w:rsidRPr="006E0899" w:rsidRDefault="00BE1832" w:rsidP="00C3606E">
            <w:pPr>
              <w:keepNext/>
              <w:spacing w:before="60" w:after="60"/>
              <w:jc w:val="center"/>
              <w:rPr>
                <w:rFonts w:cs="Arial"/>
                <w:color w:val="000000"/>
                <w:sz w:val="18"/>
              </w:rPr>
            </w:pPr>
            <w:r w:rsidRPr="006E0899">
              <w:rPr>
                <w:rFonts w:cs="Arial"/>
                <w:color w:val="000000"/>
                <w:sz w:val="18"/>
              </w:rPr>
              <w:t>0.98</w:t>
            </w:r>
          </w:p>
        </w:tc>
        <w:tc>
          <w:tcPr>
            <w:tcW w:w="853" w:type="dxa"/>
          </w:tcPr>
          <w:p w:rsidR="00BE1832" w:rsidRPr="006E0899" w:rsidRDefault="00BE1832" w:rsidP="00C3606E">
            <w:pPr>
              <w:keepNext/>
              <w:spacing w:before="60" w:after="60"/>
              <w:jc w:val="center"/>
              <w:rPr>
                <w:rFonts w:cs="Arial"/>
                <w:color w:val="000000"/>
                <w:sz w:val="18"/>
              </w:rPr>
            </w:pPr>
            <w:r w:rsidRPr="006E0899">
              <w:rPr>
                <w:rFonts w:cs="Arial"/>
                <w:color w:val="000000"/>
                <w:sz w:val="18"/>
              </w:rPr>
              <w:t>1.3</w:t>
            </w:r>
          </w:p>
        </w:tc>
        <w:tc>
          <w:tcPr>
            <w:tcW w:w="988" w:type="dxa"/>
          </w:tcPr>
          <w:p w:rsidR="00BE1832" w:rsidRPr="006E0899" w:rsidRDefault="00BE1832" w:rsidP="00C3606E">
            <w:pPr>
              <w:keepNext/>
              <w:spacing w:before="60" w:after="60"/>
              <w:jc w:val="center"/>
              <w:rPr>
                <w:rFonts w:cs="Arial"/>
                <w:color w:val="000000"/>
                <w:sz w:val="18"/>
              </w:rPr>
            </w:pPr>
            <w:r w:rsidRPr="006E0899">
              <w:rPr>
                <w:rFonts w:cs="Arial"/>
                <w:color w:val="000000"/>
                <w:sz w:val="18"/>
              </w:rPr>
              <w:t>0.0126</w:t>
            </w:r>
          </w:p>
        </w:tc>
        <w:tc>
          <w:tcPr>
            <w:tcW w:w="930" w:type="dxa"/>
          </w:tcPr>
          <w:p w:rsidR="00BE1832" w:rsidRPr="006E0899" w:rsidRDefault="00BE1832" w:rsidP="00C3606E">
            <w:pPr>
              <w:keepNext/>
              <w:spacing w:before="60" w:after="60"/>
              <w:jc w:val="center"/>
              <w:rPr>
                <w:rFonts w:cs="Arial"/>
                <w:color w:val="000000"/>
                <w:sz w:val="18"/>
              </w:rPr>
            </w:pPr>
            <w:r w:rsidRPr="006E0899">
              <w:rPr>
                <w:rFonts w:cs="Arial"/>
                <w:color w:val="000000"/>
                <w:sz w:val="18"/>
              </w:rPr>
              <w:t>110</w:t>
            </w:r>
          </w:p>
        </w:tc>
      </w:tr>
      <w:tr w:rsidR="00BE1832" w:rsidRPr="00F6303F" w:rsidTr="004C1DFF">
        <w:trPr>
          <w:trHeight w:val="540"/>
          <w:jc w:val="center"/>
        </w:trPr>
        <w:tc>
          <w:tcPr>
            <w:tcW w:w="2536" w:type="dxa"/>
          </w:tcPr>
          <w:p w:rsidR="00BE1832" w:rsidRPr="006E0899" w:rsidRDefault="00BE1832" w:rsidP="00C3606E">
            <w:pPr>
              <w:keepNext/>
              <w:spacing w:before="60" w:after="60"/>
              <w:rPr>
                <w:rFonts w:cs="Arial"/>
                <w:sz w:val="18"/>
              </w:rPr>
            </w:pPr>
            <w:r w:rsidRPr="006E0899">
              <w:rPr>
                <w:rFonts w:cs="Arial"/>
                <w:sz w:val="18"/>
              </w:rPr>
              <w:t>Freezer: PSC to ECM:</w:t>
            </w:r>
            <w:r w:rsidR="00277FD6">
              <w:rPr>
                <w:rFonts w:cs="Arial"/>
                <w:sz w:val="18"/>
              </w:rPr>
              <w:t xml:space="preserve"> </w:t>
            </w:r>
            <w:r w:rsidRPr="006E0899">
              <w:rPr>
                <w:rFonts w:cs="Arial"/>
                <w:sz w:val="18"/>
              </w:rPr>
              <w:t>16-23 Watt</w:t>
            </w:r>
          </w:p>
        </w:tc>
        <w:tc>
          <w:tcPr>
            <w:tcW w:w="960" w:type="dxa"/>
            <w:noWrap/>
          </w:tcPr>
          <w:p w:rsidR="00BE1832" w:rsidRPr="006E0899" w:rsidRDefault="00BE1832" w:rsidP="00C3606E">
            <w:pPr>
              <w:keepNext/>
              <w:spacing w:before="60" w:after="60"/>
              <w:jc w:val="center"/>
              <w:rPr>
                <w:rFonts w:cs="Arial"/>
                <w:color w:val="000000"/>
                <w:sz w:val="18"/>
              </w:rPr>
            </w:pPr>
            <w:r w:rsidRPr="006E0899">
              <w:rPr>
                <w:rFonts w:cs="Arial"/>
                <w:color w:val="000000"/>
                <w:sz w:val="18"/>
              </w:rPr>
              <w:t>48</w:t>
            </w:r>
          </w:p>
        </w:tc>
        <w:tc>
          <w:tcPr>
            <w:tcW w:w="800" w:type="dxa"/>
            <w:noWrap/>
          </w:tcPr>
          <w:p w:rsidR="00BE1832" w:rsidRPr="006E0899" w:rsidRDefault="00BE1832" w:rsidP="00C3606E">
            <w:pPr>
              <w:keepNext/>
              <w:spacing w:before="60" w:after="60"/>
              <w:jc w:val="center"/>
              <w:rPr>
                <w:rFonts w:cs="Arial"/>
                <w:color w:val="000000"/>
                <w:sz w:val="18"/>
              </w:rPr>
            </w:pPr>
            <w:r w:rsidRPr="006E0899">
              <w:rPr>
                <w:rFonts w:cs="Arial"/>
                <w:color w:val="000000"/>
                <w:sz w:val="18"/>
              </w:rPr>
              <w:t>30</w:t>
            </w:r>
          </w:p>
        </w:tc>
        <w:tc>
          <w:tcPr>
            <w:tcW w:w="740" w:type="dxa"/>
            <w:noWrap/>
          </w:tcPr>
          <w:p w:rsidR="00BE1832" w:rsidRPr="006E0899" w:rsidRDefault="00BE1832" w:rsidP="00C3606E">
            <w:pPr>
              <w:keepNext/>
              <w:spacing w:before="60" w:after="60"/>
              <w:jc w:val="center"/>
              <w:rPr>
                <w:rFonts w:cs="Arial"/>
                <w:color w:val="000000"/>
                <w:sz w:val="18"/>
              </w:rPr>
            </w:pPr>
            <w:r w:rsidRPr="006E0899">
              <w:rPr>
                <w:rFonts w:cs="Arial"/>
                <w:color w:val="000000"/>
                <w:sz w:val="18"/>
              </w:rPr>
              <w:t>0.9</w:t>
            </w:r>
          </w:p>
        </w:tc>
        <w:tc>
          <w:tcPr>
            <w:tcW w:w="838" w:type="dxa"/>
          </w:tcPr>
          <w:p w:rsidR="00BE1832" w:rsidRPr="006E0899" w:rsidRDefault="00BE1832" w:rsidP="00C3606E">
            <w:pPr>
              <w:keepNext/>
              <w:spacing w:before="60" w:after="60"/>
              <w:jc w:val="center"/>
              <w:rPr>
                <w:rFonts w:cs="Arial"/>
                <w:color w:val="000000"/>
                <w:sz w:val="18"/>
              </w:rPr>
            </w:pPr>
            <w:r w:rsidRPr="006E0899">
              <w:rPr>
                <w:rFonts w:cs="Arial"/>
                <w:color w:val="000000"/>
                <w:sz w:val="18"/>
              </w:rPr>
              <w:t>94.4%</w:t>
            </w:r>
          </w:p>
        </w:tc>
        <w:tc>
          <w:tcPr>
            <w:tcW w:w="715" w:type="dxa"/>
          </w:tcPr>
          <w:p w:rsidR="00BE1832" w:rsidRPr="006E0899" w:rsidRDefault="00BE1832" w:rsidP="00C3606E">
            <w:pPr>
              <w:keepNext/>
              <w:spacing w:before="60" w:after="60"/>
              <w:jc w:val="center"/>
              <w:rPr>
                <w:rFonts w:cs="Arial"/>
                <w:color w:val="000000"/>
                <w:sz w:val="18"/>
              </w:rPr>
            </w:pPr>
            <w:r w:rsidRPr="006E0899">
              <w:rPr>
                <w:rFonts w:cs="Arial"/>
                <w:color w:val="000000"/>
                <w:sz w:val="18"/>
              </w:rPr>
              <w:t>0.98</w:t>
            </w:r>
          </w:p>
        </w:tc>
        <w:tc>
          <w:tcPr>
            <w:tcW w:w="853" w:type="dxa"/>
          </w:tcPr>
          <w:p w:rsidR="00BE1832" w:rsidRPr="006E0899" w:rsidRDefault="00BE1832" w:rsidP="00C3606E">
            <w:pPr>
              <w:keepNext/>
              <w:spacing w:before="60" w:after="60"/>
              <w:jc w:val="center"/>
              <w:rPr>
                <w:rFonts w:cs="Arial"/>
                <w:color w:val="000000"/>
                <w:sz w:val="18"/>
              </w:rPr>
            </w:pPr>
            <w:r w:rsidRPr="006E0899">
              <w:rPr>
                <w:rFonts w:cs="Arial"/>
                <w:color w:val="000000"/>
                <w:sz w:val="18"/>
              </w:rPr>
              <w:t>1.3</w:t>
            </w:r>
          </w:p>
        </w:tc>
        <w:tc>
          <w:tcPr>
            <w:tcW w:w="988" w:type="dxa"/>
          </w:tcPr>
          <w:p w:rsidR="00BE1832" w:rsidRPr="006E0899" w:rsidRDefault="00BE1832" w:rsidP="00C3606E">
            <w:pPr>
              <w:keepNext/>
              <w:spacing w:before="60" w:after="60"/>
              <w:jc w:val="center"/>
              <w:rPr>
                <w:rFonts w:cs="Arial"/>
                <w:color w:val="000000"/>
                <w:sz w:val="18"/>
              </w:rPr>
            </w:pPr>
            <w:r w:rsidRPr="006E0899">
              <w:rPr>
                <w:rFonts w:cs="Arial"/>
                <w:color w:val="000000"/>
                <w:sz w:val="18"/>
              </w:rPr>
              <w:t>0.0273</w:t>
            </w:r>
          </w:p>
        </w:tc>
        <w:tc>
          <w:tcPr>
            <w:tcW w:w="930" w:type="dxa"/>
          </w:tcPr>
          <w:p w:rsidR="00BE1832" w:rsidRPr="006E0899" w:rsidRDefault="00BE1832" w:rsidP="00C3606E">
            <w:pPr>
              <w:keepNext/>
              <w:spacing w:before="60" w:after="60"/>
              <w:jc w:val="center"/>
              <w:rPr>
                <w:rFonts w:cs="Arial"/>
                <w:color w:val="000000"/>
                <w:sz w:val="18"/>
              </w:rPr>
            </w:pPr>
            <w:r w:rsidRPr="006E0899">
              <w:rPr>
                <w:rFonts w:cs="Arial"/>
                <w:color w:val="000000"/>
                <w:sz w:val="18"/>
              </w:rPr>
              <w:t>239</w:t>
            </w:r>
          </w:p>
        </w:tc>
      </w:tr>
      <w:tr w:rsidR="00BE1832" w:rsidRPr="00F6303F" w:rsidTr="004C1DFF">
        <w:trPr>
          <w:trHeight w:val="540"/>
          <w:jc w:val="center"/>
        </w:trPr>
        <w:tc>
          <w:tcPr>
            <w:tcW w:w="2536" w:type="dxa"/>
          </w:tcPr>
          <w:p w:rsidR="00BE1832" w:rsidRPr="006E0899" w:rsidRDefault="00BE1832" w:rsidP="00C3606E">
            <w:pPr>
              <w:spacing w:before="60" w:after="60"/>
              <w:rPr>
                <w:rFonts w:cs="Arial"/>
                <w:sz w:val="18"/>
              </w:rPr>
            </w:pPr>
            <w:r w:rsidRPr="006E0899">
              <w:rPr>
                <w:rFonts w:cs="Arial"/>
                <w:sz w:val="18"/>
              </w:rPr>
              <w:t>Freezer: PSC to ECM:</w:t>
            </w:r>
            <w:r w:rsidR="00277FD6">
              <w:rPr>
                <w:rFonts w:cs="Arial"/>
                <w:sz w:val="18"/>
              </w:rPr>
              <w:t xml:space="preserve"> </w:t>
            </w:r>
            <w:r w:rsidRPr="006E0899">
              <w:rPr>
                <w:rFonts w:cs="Arial"/>
                <w:sz w:val="18"/>
              </w:rPr>
              <w:t>1/20 HP (37 Watt)</w:t>
            </w:r>
          </w:p>
        </w:tc>
        <w:tc>
          <w:tcPr>
            <w:tcW w:w="960" w:type="dxa"/>
            <w:noWrap/>
          </w:tcPr>
          <w:p w:rsidR="00BE1832" w:rsidRPr="006E0899" w:rsidRDefault="00BE1832" w:rsidP="00C3606E">
            <w:pPr>
              <w:spacing w:before="60" w:after="60"/>
              <w:jc w:val="center"/>
              <w:rPr>
                <w:rFonts w:cs="Arial"/>
                <w:color w:val="000000"/>
                <w:sz w:val="18"/>
              </w:rPr>
            </w:pPr>
            <w:r w:rsidRPr="006E0899">
              <w:rPr>
                <w:rFonts w:cs="Arial"/>
                <w:color w:val="000000"/>
                <w:sz w:val="18"/>
              </w:rPr>
              <w:t>90</w:t>
            </w:r>
          </w:p>
        </w:tc>
        <w:tc>
          <w:tcPr>
            <w:tcW w:w="800" w:type="dxa"/>
            <w:noWrap/>
          </w:tcPr>
          <w:p w:rsidR="00BE1832" w:rsidRPr="006E0899" w:rsidRDefault="00BE1832" w:rsidP="00C3606E">
            <w:pPr>
              <w:spacing w:before="60" w:after="60"/>
              <w:jc w:val="center"/>
              <w:rPr>
                <w:rFonts w:cs="Arial"/>
                <w:color w:val="000000"/>
                <w:sz w:val="18"/>
              </w:rPr>
            </w:pPr>
            <w:r w:rsidRPr="006E0899">
              <w:rPr>
                <w:rFonts w:cs="Arial"/>
                <w:color w:val="000000"/>
                <w:sz w:val="18"/>
              </w:rPr>
              <w:t>56</w:t>
            </w:r>
          </w:p>
        </w:tc>
        <w:tc>
          <w:tcPr>
            <w:tcW w:w="740" w:type="dxa"/>
            <w:noWrap/>
          </w:tcPr>
          <w:p w:rsidR="00BE1832" w:rsidRPr="006E0899" w:rsidRDefault="00BE1832" w:rsidP="00C3606E">
            <w:pPr>
              <w:spacing w:before="60" w:after="60"/>
              <w:jc w:val="center"/>
              <w:rPr>
                <w:rFonts w:cs="Arial"/>
                <w:color w:val="000000"/>
                <w:sz w:val="18"/>
              </w:rPr>
            </w:pPr>
            <w:r w:rsidRPr="006E0899">
              <w:rPr>
                <w:rFonts w:cs="Arial"/>
                <w:color w:val="000000"/>
                <w:sz w:val="18"/>
              </w:rPr>
              <w:t>0.9</w:t>
            </w:r>
          </w:p>
        </w:tc>
        <w:tc>
          <w:tcPr>
            <w:tcW w:w="838" w:type="dxa"/>
          </w:tcPr>
          <w:p w:rsidR="00BE1832" w:rsidRPr="006E0899" w:rsidRDefault="00BE1832" w:rsidP="00C3606E">
            <w:pPr>
              <w:spacing w:before="60" w:after="60"/>
              <w:jc w:val="center"/>
              <w:rPr>
                <w:rFonts w:cs="Arial"/>
                <w:color w:val="000000"/>
                <w:sz w:val="18"/>
              </w:rPr>
            </w:pPr>
            <w:r w:rsidRPr="006E0899">
              <w:rPr>
                <w:rFonts w:cs="Arial"/>
                <w:color w:val="000000"/>
                <w:sz w:val="18"/>
              </w:rPr>
              <w:t>94.4%</w:t>
            </w:r>
          </w:p>
        </w:tc>
        <w:tc>
          <w:tcPr>
            <w:tcW w:w="715" w:type="dxa"/>
          </w:tcPr>
          <w:p w:rsidR="00BE1832" w:rsidRPr="006E0899" w:rsidRDefault="00BE1832" w:rsidP="00C3606E">
            <w:pPr>
              <w:spacing w:before="60" w:after="60"/>
              <w:jc w:val="center"/>
              <w:rPr>
                <w:rFonts w:cs="Arial"/>
                <w:color w:val="000000"/>
                <w:sz w:val="18"/>
              </w:rPr>
            </w:pPr>
            <w:r w:rsidRPr="006E0899">
              <w:rPr>
                <w:rFonts w:cs="Arial"/>
                <w:color w:val="000000"/>
                <w:sz w:val="18"/>
              </w:rPr>
              <w:t>0.98</w:t>
            </w:r>
          </w:p>
        </w:tc>
        <w:tc>
          <w:tcPr>
            <w:tcW w:w="853" w:type="dxa"/>
          </w:tcPr>
          <w:p w:rsidR="00BE1832" w:rsidRPr="006E0899" w:rsidRDefault="00BE1832" w:rsidP="00C3606E">
            <w:pPr>
              <w:spacing w:before="60" w:after="60"/>
              <w:jc w:val="center"/>
              <w:rPr>
                <w:rFonts w:cs="Arial"/>
                <w:color w:val="000000"/>
                <w:sz w:val="18"/>
              </w:rPr>
            </w:pPr>
            <w:r w:rsidRPr="006E0899">
              <w:rPr>
                <w:rFonts w:cs="Arial"/>
                <w:color w:val="000000"/>
                <w:sz w:val="18"/>
              </w:rPr>
              <w:t>1.3</w:t>
            </w:r>
          </w:p>
        </w:tc>
        <w:tc>
          <w:tcPr>
            <w:tcW w:w="988" w:type="dxa"/>
          </w:tcPr>
          <w:p w:rsidR="00BE1832" w:rsidRPr="006E0899" w:rsidRDefault="00BE1832" w:rsidP="00C3606E">
            <w:pPr>
              <w:spacing w:before="60" w:after="60"/>
              <w:jc w:val="center"/>
              <w:rPr>
                <w:rFonts w:cs="Arial"/>
                <w:color w:val="000000"/>
                <w:sz w:val="18"/>
              </w:rPr>
            </w:pPr>
            <w:r w:rsidRPr="006E0899">
              <w:rPr>
                <w:rFonts w:cs="Arial"/>
                <w:color w:val="000000"/>
                <w:sz w:val="18"/>
              </w:rPr>
              <w:t>0.0518</w:t>
            </w:r>
          </w:p>
        </w:tc>
        <w:tc>
          <w:tcPr>
            <w:tcW w:w="930" w:type="dxa"/>
          </w:tcPr>
          <w:p w:rsidR="00BE1832" w:rsidRPr="006E0899" w:rsidRDefault="00BE1832" w:rsidP="00C3606E">
            <w:pPr>
              <w:spacing w:before="60" w:after="60"/>
              <w:jc w:val="center"/>
              <w:rPr>
                <w:rFonts w:cs="Arial"/>
                <w:color w:val="000000"/>
                <w:sz w:val="18"/>
              </w:rPr>
            </w:pPr>
            <w:r w:rsidRPr="006E0899">
              <w:rPr>
                <w:rFonts w:cs="Arial"/>
                <w:color w:val="000000"/>
                <w:sz w:val="18"/>
              </w:rPr>
              <w:t>454</w:t>
            </w:r>
          </w:p>
        </w:tc>
      </w:tr>
    </w:tbl>
    <w:p w:rsidR="00BE1832" w:rsidRDefault="00BE1832" w:rsidP="00C3606E"/>
    <w:p w:rsidR="00717EE4" w:rsidRDefault="00717EE4" w:rsidP="00B20F6B">
      <w:pPr>
        <w:pStyle w:val="Caption"/>
      </w:pPr>
      <w:bookmarkStart w:id="925" w:name="_Toc310875589"/>
      <w:r>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37</w:t>
      </w:r>
      <w:r w:rsidR="00274AB1">
        <w:rPr>
          <w:noProof/>
        </w:rPr>
        <w:fldChar w:fldCharType="end"/>
      </w:r>
      <w:r>
        <w:t xml:space="preserve">: </w:t>
      </w:r>
      <w:r w:rsidRPr="002E6D7D">
        <w:t>Shaded Pole to ECM Deemed Savings</w:t>
      </w:r>
      <w:bookmarkEnd w:id="925"/>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005"/>
        <w:gridCol w:w="800"/>
        <w:gridCol w:w="740"/>
        <w:gridCol w:w="810"/>
        <w:gridCol w:w="657"/>
        <w:gridCol w:w="797"/>
        <w:gridCol w:w="962"/>
        <w:gridCol w:w="887"/>
      </w:tblGrid>
      <w:tr w:rsidR="00BE1832" w:rsidRPr="006E0899" w:rsidTr="004C1DFF">
        <w:trPr>
          <w:trHeight w:val="980"/>
          <w:jc w:val="center"/>
        </w:trPr>
        <w:tc>
          <w:tcPr>
            <w:tcW w:w="2529" w:type="dxa"/>
            <w:shd w:val="clear" w:color="auto" w:fill="BFBFBF"/>
          </w:tcPr>
          <w:p w:rsidR="00BE1832" w:rsidRPr="001D6512" w:rsidRDefault="00BE1832" w:rsidP="00C3606E">
            <w:pPr>
              <w:pStyle w:val="TableCell"/>
              <w:spacing w:before="60" w:after="60"/>
              <w:rPr>
                <w:b/>
              </w:rPr>
            </w:pPr>
            <w:r w:rsidRPr="001D6512">
              <w:rPr>
                <w:b/>
              </w:rPr>
              <w:t>Measure</w:t>
            </w:r>
          </w:p>
        </w:tc>
        <w:tc>
          <w:tcPr>
            <w:tcW w:w="1005" w:type="dxa"/>
            <w:shd w:val="clear" w:color="auto" w:fill="BFBFBF"/>
          </w:tcPr>
          <w:p w:rsidR="00BE1832" w:rsidRPr="001D6512" w:rsidRDefault="00BE1832" w:rsidP="00C3606E">
            <w:pPr>
              <w:pStyle w:val="TableCell"/>
              <w:spacing w:before="60" w:after="60"/>
              <w:rPr>
                <w:b/>
                <w:color w:val="000000"/>
              </w:rPr>
            </w:pPr>
            <w:r w:rsidRPr="001D6512">
              <w:rPr>
                <w:b/>
                <w:color w:val="000000"/>
              </w:rPr>
              <w:t>W</w:t>
            </w:r>
            <w:r w:rsidRPr="001D6512">
              <w:rPr>
                <w:b/>
                <w:color w:val="000000"/>
                <w:vertAlign w:val="subscript"/>
              </w:rPr>
              <w:t>base</w:t>
            </w:r>
            <w:r w:rsidRPr="001D6512">
              <w:rPr>
                <w:b/>
                <w:color w:val="000000"/>
                <w:vertAlign w:val="subscript"/>
              </w:rPr>
              <w:br/>
            </w:r>
            <w:r w:rsidRPr="001D6512">
              <w:rPr>
                <w:b/>
                <w:color w:val="000000"/>
              </w:rPr>
              <w:t>(Shaded Pole)</w:t>
            </w:r>
          </w:p>
        </w:tc>
        <w:tc>
          <w:tcPr>
            <w:tcW w:w="800" w:type="dxa"/>
            <w:shd w:val="clear" w:color="auto" w:fill="BFBFBF"/>
          </w:tcPr>
          <w:p w:rsidR="00BE1832" w:rsidRPr="001D6512" w:rsidRDefault="00BE1832" w:rsidP="00C3606E">
            <w:pPr>
              <w:pStyle w:val="TableCell"/>
              <w:spacing w:before="60" w:after="60"/>
              <w:rPr>
                <w:b/>
                <w:color w:val="000000"/>
              </w:rPr>
            </w:pPr>
            <w:r w:rsidRPr="001D6512">
              <w:rPr>
                <w:b/>
                <w:color w:val="000000"/>
              </w:rPr>
              <w:t>W</w:t>
            </w:r>
            <w:r w:rsidRPr="001D6512">
              <w:rPr>
                <w:b/>
                <w:color w:val="000000"/>
                <w:vertAlign w:val="subscript"/>
              </w:rPr>
              <w:t>ee</w:t>
            </w:r>
            <w:r w:rsidRPr="001D6512">
              <w:rPr>
                <w:b/>
                <w:color w:val="000000"/>
              </w:rPr>
              <w:br/>
              <w:t>(ECM)</w:t>
            </w:r>
          </w:p>
        </w:tc>
        <w:tc>
          <w:tcPr>
            <w:tcW w:w="740" w:type="dxa"/>
            <w:shd w:val="clear" w:color="auto" w:fill="BFBFBF"/>
          </w:tcPr>
          <w:p w:rsidR="00BE1832" w:rsidRPr="001D6512" w:rsidRDefault="00BE1832" w:rsidP="00C3606E">
            <w:pPr>
              <w:pStyle w:val="TableCell"/>
              <w:spacing w:before="60" w:after="60"/>
              <w:rPr>
                <w:b/>
                <w:color w:val="000000"/>
              </w:rPr>
            </w:pPr>
            <w:r w:rsidRPr="001D6512">
              <w:rPr>
                <w:b/>
                <w:color w:val="000000"/>
              </w:rPr>
              <w:t>LF</w:t>
            </w:r>
          </w:p>
        </w:tc>
        <w:tc>
          <w:tcPr>
            <w:tcW w:w="834" w:type="dxa"/>
            <w:shd w:val="clear" w:color="auto" w:fill="BFBFBF"/>
          </w:tcPr>
          <w:p w:rsidR="00BE1832" w:rsidRPr="001D6512" w:rsidRDefault="00BE1832" w:rsidP="00C3606E">
            <w:pPr>
              <w:pStyle w:val="TableCell"/>
              <w:spacing w:before="60" w:after="60"/>
              <w:rPr>
                <w:b/>
                <w:color w:val="000000"/>
              </w:rPr>
            </w:pPr>
            <w:r w:rsidRPr="001D6512">
              <w:rPr>
                <w:b/>
                <w:color w:val="000000"/>
              </w:rPr>
              <w:t>DC</w:t>
            </w:r>
            <w:r w:rsidRPr="001D6512">
              <w:rPr>
                <w:b/>
                <w:color w:val="000000"/>
                <w:vertAlign w:val="subscript"/>
              </w:rPr>
              <w:t>Evap</w:t>
            </w:r>
          </w:p>
        </w:tc>
        <w:tc>
          <w:tcPr>
            <w:tcW w:w="704" w:type="dxa"/>
            <w:shd w:val="clear" w:color="auto" w:fill="BFBFBF"/>
          </w:tcPr>
          <w:p w:rsidR="00BE1832" w:rsidRPr="001D6512" w:rsidRDefault="00BE1832" w:rsidP="00C3606E">
            <w:pPr>
              <w:pStyle w:val="TableCell"/>
              <w:spacing w:before="60" w:after="60"/>
              <w:rPr>
                <w:b/>
                <w:color w:val="000000"/>
              </w:rPr>
            </w:pPr>
            <w:r w:rsidRPr="001D6512">
              <w:rPr>
                <w:b/>
                <w:color w:val="000000"/>
              </w:rPr>
              <w:t>DG</w:t>
            </w:r>
          </w:p>
        </w:tc>
        <w:tc>
          <w:tcPr>
            <w:tcW w:w="849" w:type="dxa"/>
            <w:shd w:val="clear" w:color="auto" w:fill="BFBFBF"/>
          </w:tcPr>
          <w:p w:rsidR="00BE1832" w:rsidRPr="001D6512" w:rsidRDefault="00BE1832" w:rsidP="00C3606E">
            <w:pPr>
              <w:pStyle w:val="TableCell"/>
              <w:spacing w:before="60" w:after="60"/>
              <w:rPr>
                <w:b/>
                <w:color w:val="000000"/>
              </w:rPr>
            </w:pPr>
            <w:r w:rsidRPr="001D6512">
              <w:rPr>
                <w:b/>
                <w:color w:val="000000"/>
              </w:rPr>
              <w:t>COP per case Temp</w:t>
            </w:r>
          </w:p>
        </w:tc>
        <w:tc>
          <w:tcPr>
            <w:tcW w:w="980" w:type="dxa"/>
            <w:shd w:val="clear" w:color="auto" w:fill="BFBFBF"/>
          </w:tcPr>
          <w:p w:rsidR="00BE1832" w:rsidRPr="001D6512" w:rsidRDefault="00BE1832" w:rsidP="00C3606E">
            <w:pPr>
              <w:pStyle w:val="TableCell"/>
              <w:spacing w:before="60" w:after="60"/>
              <w:rPr>
                <w:b/>
                <w:color w:val="000000"/>
              </w:rPr>
            </w:pPr>
            <w:r w:rsidRPr="001D6512">
              <w:rPr>
                <w:b/>
                <w:color w:val="000000"/>
              </w:rPr>
              <w:t>Demand Impact (kW)</w:t>
            </w:r>
          </w:p>
        </w:tc>
        <w:tc>
          <w:tcPr>
            <w:tcW w:w="919" w:type="dxa"/>
            <w:shd w:val="clear" w:color="auto" w:fill="BFBFBF"/>
          </w:tcPr>
          <w:p w:rsidR="00BE1832" w:rsidRPr="001D6512" w:rsidRDefault="00BE1832" w:rsidP="00C3606E">
            <w:pPr>
              <w:pStyle w:val="TableCell"/>
              <w:spacing w:before="60" w:after="60"/>
              <w:rPr>
                <w:b/>
                <w:color w:val="000000"/>
              </w:rPr>
            </w:pPr>
            <w:r w:rsidRPr="001D6512">
              <w:rPr>
                <w:b/>
                <w:color w:val="000000"/>
              </w:rPr>
              <w:t>Energy Impact (kWh)</w:t>
            </w:r>
          </w:p>
        </w:tc>
      </w:tr>
      <w:tr w:rsidR="00BE1832" w:rsidRPr="006E0899" w:rsidTr="004C1DFF">
        <w:trPr>
          <w:trHeight w:val="540"/>
          <w:jc w:val="center"/>
        </w:trPr>
        <w:tc>
          <w:tcPr>
            <w:tcW w:w="2529" w:type="dxa"/>
          </w:tcPr>
          <w:p w:rsidR="00BE1832" w:rsidRPr="001D6512" w:rsidRDefault="00BE1832" w:rsidP="00C3606E">
            <w:pPr>
              <w:pStyle w:val="TableCell"/>
              <w:spacing w:before="60" w:after="60"/>
            </w:pPr>
            <w:r w:rsidRPr="001D6512">
              <w:t>Cooler: Shaded Pole to ECM:</w:t>
            </w:r>
            <w:r w:rsidRPr="001D6512">
              <w:br/>
              <w:t>1-14 Watt</w:t>
            </w:r>
          </w:p>
        </w:tc>
        <w:tc>
          <w:tcPr>
            <w:tcW w:w="1005" w:type="dxa"/>
            <w:noWrap/>
          </w:tcPr>
          <w:p w:rsidR="00BE1832" w:rsidRPr="001D6512" w:rsidRDefault="00BE1832" w:rsidP="00C3606E">
            <w:pPr>
              <w:pStyle w:val="TableCell"/>
              <w:spacing w:before="60" w:after="60"/>
              <w:rPr>
                <w:color w:val="000000"/>
              </w:rPr>
            </w:pPr>
            <w:r w:rsidRPr="001D6512">
              <w:rPr>
                <w:color w:val="000000"/>
              </w:rPr>
              <w:t>50</w:t>
            </w:r>
          </w:p>
        </w:tc>
        <w:tc>
          <w:tcPr>
            <w:tcW w:w="800" w:type="dxa"/>
            <w:noWrap/>
          </w:tcPr>
          <w:p w:rsidR="00BE1832" w:rsidRPr="001D6512" w:rsidRDefault="00BE1832" w:rsidP="00C3606E">
            <w:pPr>
              <w:pStyle w:val="TableCell"/>
              <w:spacing w:before="60" w:after="60"/>
              <w:rPr>
                <w:color w:val="000000"/>
              </w:rPr>
            </w:pPr>
            <w:r w:rsidRPr="001D6512">
              <w:rPr>
                <w:color w:val="000000"/>
              </w:rPr>
              <w:t>14</w:t>
            </w:r>
          </w:p>
        </w:tc>
        <w:tc>
          <w:tcPr>
            <w:tcW w:w="740" w:type="dxa"/>
            <w:noWrap/>
          </w:tcPr>
          <w:p w:rsidR="00BE1832" w:rsidRPr="001D6512" w:rsidRDefault="00BE1832" w:rsidP="00C3606E">
            <w:pPr>
              <w:pStyle w:val="TableCell"/>
              <w:spacing w:before="60" w:after="60"/>
              <w:rPr>
                <w:color w:val="000000"/>
              </w:rPr>
            </w:pPr>
            <w:r w:rsidRPr="001D6512">
              <w:rPr>
                <w:color w:val="000000"/>
              </w:rPr>
              <w:t>0.9</w:t>
            </w:r>
          </w:p>
        </w:tc>
        <w:tc>
          <w:tcPr>
            <w:tcW w:w="834" w:type="dxa"/>
          </w:tcPr>
          <w:p w:rsidR="00BE1832" w:rsidRPr="001D6512" w:rsidRDefault="00BE1832" w:rsidP="00C3606E">
            <w:pPr>
              <w:pStyle w:val="TableCell"/>
              <w:spacing w:before="60" w:after="60"/>
              <w:rPr>
                <w:color w:val="000000"/>
              </w:rPr>
            </w:pPr>
            <w:r w:rsidRPr="001D6512">
              <w:rPr>
                <w:color w:val="000000"/>
              </w:rPr>
              <w:t>100%</w:t>
            </w:r>
          </w:p>
        </w:tc>
        <w:tc>
          <w:tcPr>
            <w:tcW w:w="704" w:type="dxa"/>
          </w:tcPr>
          <w:p w:rsidR="00BE1832" w:rsidRPr="001D6512" w:rsidRDefault="00BE1832" w:rsidP="00C3606E">
            <w:pPr>
              <w:pStyle w:val="TableCell"/>
              <w:spacing w:before="60" w:after="60"/>
              <w:rPr>
                <w:color w:val="000000"/>
              </w:rPr>
            </w:pPr>
            <w:r w:rsidRPr="001D6512">
              <w:rPr>
                <w:color w:val="000000"/>
              </w:rPr>
              <w:t>0.98</w:t>
            </w:r>
          </w:p>
        </w:tc>
        <w:tc>
          <w:tcPr>
            <w:tcW w:w="849" w:type="dxa"/>
          </w:tcPr>
          <w:p w:rsidR="00BE1832" w:rsidRPr="001D6512" w:rsidRDefault="00BE1832" w:rsidP="00C3606E">
            <w:pPr>
              <w:pStyle w:val="TableCell"/>
              <w:spacing w:before="60" w:after="60"/>
              <w:rPr>
                <w:color w:val="000000"/>
              </w:rPr>
            </w:pPr>
            <w:r w:rsidRPr="001D6512">
              <w:rPr>
                <w:color w:val="000000"/>
              </w:rPr>
              <w:t>2.5</w:t>
            </w:r>
          </w:p>
        </w:tc>
        <w:tc>
          <w:tcPr>
            <w:tcW w:w="980" w:type="dxa"/>
          </w:tcPr>
          <w:p w:rsidR="00BE1832" w:rsidRPr="001D6512" w:rsidRDefault="00BE1832" w:rsidP="00C3606E">
            <w:pPr>
              <w:pStyle w:val="TableCell"/>
              <w:spacing w:before="60" w:after="60"/>
              <w:rPr>
                <w:color w:val="000000"/>
              </w:rPr>
            </w:pPr>
            <w:r w:rsidRPr="001D6512">
              <w:rPr>
                <w:color w:val="000000"/>
              </w:rPr>
              <w:t>0.0461</w:t>
            </w:r>
          </w:p>
        </w:tc>
        <w:tc>
          <w:tcPr>
            <w:tcW w:w="919" w:type="dxa"/>
          </w:tcPr>
          <w:p w:rsidR="00BE1832" w:rsidRPr="001D6512" w:rsidRDefault="00BE1832" w:rsidP="00C3606E">
            <w:pPr>
              <w:pStyle w:val="TableCell"/>
              <w:spacing w:before="60" w:after="60"/>
              <w:rPr>
                <w:color w:val="000000"/>
              </w:rPr>
            </w:pPr>
            <w:r w:rsidRPr="001D6512">
              <w:rPr>
                <w:color w:val="000000"/>
              </w:rPr>
              <w:t>404</w:t>
            </w:r>
          </w:p>
        </w:tc>
      </w:tr>
      <w:tr w:rsidR="00BE1832" w:rsidRPr="006E0899" w:rsidTr="004C1DFF">
        <w:trPr>
          <w:trHeight w:val="540"/>
          <w:jc w:val="center"/>
        </w:trPr>
        <w:tc>
          <w:tcPr>
            <w:tcW w:w="2529" w:type="dxa"/>
          </w:tcPr>
          <w:p w:rsidR="00BE1832" w:rsidRPr="001D6512" w:rsidRDefault="00C67DA4" w:rsidP="00C3606E">
            <w:pPr>
              <w:pStyle w:val="TableCell"/>
              <w:spacing w:before="60" w:after="60"/>
            </w:pPr>
            <w:r w:rsidRPr="001D6512">
              <w:t>Cooler: Shaded Pole to ECM:</w:t>
            </w:r>
            <w:r w:rsidRPr="001D6512">
              <w:br/>
              <w:t>16-23 Watt</w:t>
            </w:r>
          </w:p>
        </w:tc>
        <w:tc>
          <w:tcPr>
            <w:tcW w:w="1005" w:type="dxa"/>
            <w:noWrap/>
          </w:tcPr>
          <w:p w:rsidR="00BE1832" w:rsidRPr="001D6512" w:rsidRDefault="00C67DA4" w:rsidP="00C3606E">
            <w:pPr>
              <w:pStyle w:val="TableCell"/>
              <w:spacing w:before="60" w:after="60"/>
              <w:rPr>
                <w:color w:val="000000"/>
              </w:rPr>
            </w:pPr>
            <w:r w:rsidRPr="001D6512">
              <w:rPr>
                <w:color w:val="000000"/>
              </w:rPr>
              <w:t>93</w:t>
            </w:r>
          </w:p>
        </w:tc>
        <w:tc>
          <w:tcPr>
            <w:tcW w:w="800" w:type="dxa"/>
            <w:noWrap/>
          </w:tcPr>
          <w:p w:rsidR="00BE1832" w:rsidRPr="001D6512" w:rsidRDefault="00C67DA4" w:rsidP="00C3606E">
            <w:pPr>
              <w:pStyle w:val="TableCell"/>
              <w:spacing w:before="60" w:after="60"/>
              <w:rPr>
                <w:color w:val="000000"/>
              </w:rPr>
            </w:pPr>
            <w:r w:rsidRPr="001D6512">
              <w:rPr>
                <w:color w:val="000000"/>
              </w:rPr>
              <w:t>30</w:t>
            </w:r>
          </w:p>
        </w:tc>
        <w:tc>
          <w:tcPr>
            <w:tcW w:w="740" w:type="dxa"/>
            <w:noWrap/>
          </w:tcPr>
          <w:p w:rsidR="00BE1832" w:rsidRPr="001D6512" w:rsidRDefault="00C67DA4" w:rsidP="00C3606E">
            <w:pPr>
              <w:pStyle w:val="TableCell"/>
              <w:spacing w:before="60" w:after="60"/>
              <w:rPr>
                <w:color w:val="000000"/>
              </w:rPr>
            </w:pPr>
            <w:r w:rsidRPr="001D6512">
              <w:rPr>
                <w:color w:val="000000"/>
              </w:rPr>
              <w:t>0.9</w:t>
            </w:r>
          </w:p>
        </w:tc>
        <w:tc>
          <w:tcPr>
            <w:tcW w:w="834" w:type="dxa"/>
          </w:tcPr>
          <w:p w:rsidR="00BE1832" w:rsidRPr="001D6512" w:rsidRDefault="00C67DA4" w:rsidP="00C3606E">
            <w:pPr>
              <w:pStyle w:val="TableCell"/>
              <w:spacing w:before="60" w:after="60"/>
              <w:rPr>
                <w:color w:val="000000"/>
              </w:rPr>
            </w:pPr>
            <w:r w:rsidRPr="001D6512">
              <w:rPr>
                <w:color w:val="000000"/>
              </w:rPr>
              <w:t>100%</w:t>
            </w:r>
          </w:p>
        </w:tc>
        <w:tc>
          <w:tcPr>
            <w:tcW w:w="704" w:type="dxa"/>
          </w:tcPr>
          <w:p w:rsidR="00BE1832" w:rsidRPr="001D6512" w:rsidRDefault="00C67DA4" w:rsidP="00C3606E">
            <w:pPr>
              <w:pStyle w:val="TableCell"/>
              <w:spacing w:before="60" w:after="60"/>
              <w:rPr>
                <w:color w:val="000000"/>
              </w:rPr>
            </w:pPr>
            <w:r w:rsidRPr="001D6512">
              <w:rPr>
                <w:color w:val="000000"/>
              </w:rPr>
              <w:t>0.98</w:t>
            </w:r>
          </w:p>
        </w:tc>
        <w:tc>
          <w:tcPr>
            <w:tcW w:w="849" w:type="dxa"/>
          </w:tcPr>
          <w:p w:rsidR="00BE1832" w:rsidRPr="001D6512" w:rsidRDefault="00C67DA4" w:rsidP="00C3606E">
            <w:pPr>
              <w:pStyle w:val="TableCell"/>
              <w:spacing w:before="60" w:after="60"/>
              <w:rPr>
                <w:color w:val="000000"/>
              </w:rPr>
            </w:pPr>
            <w:r w:rsidRPr="001D6512">
              <w:rPr>
                <w:color w:val="000000"/>
              </w:rPr>
              <w:t>2.5</w:t>
            </w:r>
          </w:p>
        </w:tc>
        <w:tc>
          <w:tcPr>
            <w:tcW w:w="980" w:type="dxa"/>
          </w:tcPr>
          <w:p w:rsidR="00BE1832" w:rsidRPr="001D6512" w:rsidRDefault="00C67DA4" w:rsidP="00C3606E">
            <w:pPr>
              <w:pStyle w:val="TableCell"/>
              <w:spacing w:before="60" w:after="60"/>
              <w:rPr>
                <w:color w:val="000000"/>
              </w:rPr>
            </w:pPr>
            <w:r w:rsidRPr="001D6512">
              <w:rPr>
                <w:color w:val="000000"/>
              </w:rPr>
              <w:t>0.0802</w:t>
            </w:r>
          </w:p>
        </w:tc>
        <w:tc>
          <w:tcPr>
            <w:tcW w:w="919" w:type="dxa"/>
          </w:tcPr>
          <w:p w:rsidR="00BE1832" w:rsidRPr="001D6512" w:rsidRDefault="00C67DA4" w:rsidP="00C3606E">
            <w:pPr>
              <w:pStyle w:val="TableCell"/>
              <w:spacing w:before="60" w:after="60"/>
              <w:rPr>
                <w:color w:val="000000"/>
              </w:rPr>
            </w:pPr>
            <w:r w:rsidRPr="001D6512">
              <w:rPr>
                <w:color w:val="000000"/>
              </w:rPr>
              <w:t>703</w:t>
            </w:r>
          </w:p>
        </w:tc>
      </w:tr>
      <w:tr w:rsidR="00BE1832" w:rsidRPr="006E0899" w:rsidTr="004C1DFF">
        <w:trPr>
          <w:trHeight w:val="540"/>
          <w:jc w:val="center"/>
        </w:trPr>
        <w:tc>
          <w:tcPr>
            <w:tcW w:w="2529" w:type="dxa"/>
          </w:tcPr>
          <w:p w:rsidR="00BE1832" w:rsidRPr="001D6512" w:rsidRDefault="00C67DA4" w:rsidP="00C3606E">
            <w:pPr>
              <w:pStyle w:val="TableCell"/>
              <w:spacing w:before="60" w:after="60"/>
            </w:pPr>
            <w:r w:rsidRPr="001D6512">
              <w:t>Cooler: Shaded Pole to ECM:</w:t>
            </w:r>
            <w:r w:rsidRPr="001D6512">
              <w:br/>
              <w:t>1/20 HP (37 Watt)</w:t>
            </w:r>
          </w:p>
        </w:tc>
        <w:tc>
          <w:tcPr>
            <w:tcW w:w="1005" w:type="dxa"/>
            <w:noWrap/>
          </w:tcPr>
          <w:p w:rsidR="00BE1832" w:rsidRPr="001D6512" w:rsidRDefault="00C67DA4" w:rsidP="00C3606E">
            <w:pPr>
              <w:pStyle w:val="TableCell"/>
              <w:spacing w:before="60" w:after="60"/>
              <w:rPr>
                <w:color w:val="000000"/>
              </w:rPr>
            </w:pPr>
            <w:r w:rsidRPr="001D6512">
              <w:rPr>
                <w:color w:val="000000"/>
              </w:rPr>
              <w:t>142</w:t>
            </w:r>
          </w:p>
        </w:tc>
        <w:tc>
          <w:tcPr>
            <w:tcW w:w="800" w:type="dxa"/>
            <w:noWrap/>
          </w:tcPr>
          <w:p w:rsidR="00BE1832" w:rsidRPr="001D6512" w:rsidRDefault="00C67DA4" w:rsidP="00C3606E">
            <w:pPr>
              <w:pStyle w:val="TableCell"/>
              <w:spacing w:before="60" w:after="60"/>
              <w:rPr>
                <w:color w:val="000000"/>
              </w:rPr>
            </w:pPr>
            <w:r w:rsidRPr="001D6512">
              <w:rPr>
                <w:color w:val="000000"/>
              </w:rPr>
              <w:t>56</w:t>
            </w:r>
          </w:p>
        </w:tc>
        <w:tc>
          <w:tcPr>
            <w:tcW w:w="740" w:type="dxa"/>
            <w:noWrap/>
          </w:tcPr>
          <w:p w:rsidR="00BE1832" w:rsidRPr="001D6512" w:rsidRDefault="00C67DA4" w:rsidP="00C3606E">
            <w:pPr>
              <w:pStyle w:val="TableCell"/>
              <w:spacing w:before="60" w:after="60"/>
              <w:rPr>
                <w:color w:val="000000"/>
              </w:rPr>
            </w:pPr>
            <w:r w:rsidRPr="001D6512">
              <w:rPr>
                <w:color w:val="000000"/>
              </w:rPr>
              <w:t>0.9</w:t>
            </w:r>
          </w:p>
        </w:tc>
        <w:tc>
          <w:tcPr>
            <w:tcW w:w="834" w:type="dxa"/>
          </w:tcPr>
          <w:p w:rsidR="00BE1832" w:rsidRPr="001D6512" w:rsidRDefault="00C67DA4" w:rsidP="00C3606E">
            <w:pPr>
              <w:pStyle w:val="TableCell"/>
              <w:spacing w:before="60" w:after="60"/>
              <w:rPr>
                <w:color w:val="000000"/>
              </w:rPr>
            </w:pPr>
            <w:r w:rsidRPr="001D6512">
              <w:rPr>
                <w:color w:val="000000"/>
              </w:rPr>
              <w:t>100%</w:t>
            </w:r>
          </w:p>
        </w:tc>
        <w:tc>
          <w:tcPr>
            <w:tcW w:w="704" w:type="dxa"/>
          </w:tcPr>
          <w:p w:rsidR="00BE1832" w:rsidRPr="001D6512" w:rsidRDefault="00C67DA4" w:rsidP="00C3606E">
            <w:pPr>
              <w:pStyle w:val="TableCell"/>
              <w:spacing w:before="60" w:after="60"/>
              <w:rPr>
                <w:color w:val="000000"/>
              </w:rPr>
            </w:pPr>
            <w:r w:rsidRPr="001D6512">
              <w:rPr>
                <w:color w:val="000000"/>
              </w:rPr>
              <w:t>0.98</w:t>
            </w:r>
          </w:p>
        </w:tc>
        <w:tc>
          <w:tcPr>
            <w:tcW w:w="849" w:type="dxa"/>
          </w:tcPr>
          <w:p w:rsidR="00BE1832" w:rsidRPr="001D6512" w:rsidRDefault="00C67DA4" w:rsidP="00C3606E">
            <w:pPr>
              <w:pStyle w:val="TableCell"/>
              <w:spacing w:before="60" w:after="60"/>
              <w:rPr>
                <w:color w:val="000000"/>
              </w:rPr>
            </w:pPr>
            <w:r w:rsidRPr="001D6512">
              <w:rPr>
                <w:color w:val="000000"/>
              </w:rPr>
              <w:t>2.5</w:t>
            </w:r>
          </w:p>
        </w:tc>
        <w:tc>
          <w:tcPr>
            <w:tcW w:w="980" w:type="dxa"/>
          </w:tcPr>
          <w:p w:rsidR="00BE1832" w:rsidRPr="001D6512" w:rsidRDefault="00C67DA4" w:rsidP="00C3606E">
            <w:pPr>
              <w:pStyle w:val="TableCell"/>
              <w:spacing w:before="60" w:after="60"/>
              <w:rPr>
                <w:color w:val="000000"/>
              </w:rPr>
            </w:pPr>
            <w:r w:rsidRPr="001D6512">
              <w:rPr>
                <w:color w:val="000000"/>
              </w:rPr>
              <w:t>0.1093</w:t>
            </w:r>
          </w:p>
        </w:tc>
        <w:tc>
          <w:tcPr>
            <w:tcW w:w="919" w:type="dxa"/>
          </w:tcPr>
          <w:p w:rsidR="00BE1832" w:rsidRPr="001D6512" w:rsidRDefault="00C67DA4" w:rsidP="00C3606E">
            <w:pPr>
              <w:pStyle w:val="TableCell"/>
              <w:spacing w:before="60" w:after="60"/>
              <w:rPr>
                <w:color w:val="000000"/>
              </w:rPr>
            </w:pPr>
            <w:r w:rsidRPr="001D6512">
              <w:rPr>
                <w:color w:val="000000"/>
              </w:rPr>
              <w:t>958</w:t>
            </w:r>
          </w:p>
        </w:tc>
      </w:tr>
      <w:tr w:rsidR="00BE1832" w:rsidRPr="006E0899" w:rsidTr="004C1DFF">
        <w:trPr>
          <w:trHeight w:val="540"/>
          <w:jc w:val="center"/>
        </w:trPr>
        <w:tc>
          <w:tcPr>
            <w:tcW w:w="2529" w:type="dxa"/>
          </w:tcPr>
          <w:p w:rsidR="00BE1832" w:rsidRPr="001D6512" w:rsidRDefault="00C67DA4" w:rsidP="00C3606E">
            <w:pPr>
              <w:pStyle w:val="TableCell"/>
              <w:spacing w:before="60" w:after="60"/>
            </w:pPr>
            <w:r w:rsidRPr="001D6512">
              <w:t>Freezer: Shaded Pole to ECM:</w:t>
            </w:r>
            <w:r w:rsidRPr="001D6512">
              <w:br/>
              <w:t>1-14 Watt</w:t>
            </w:r>
          </w:p>
        </w:tc>
        <w:tc>
          <w:tcPr>
            <w:tcW w:w="1005" w:type="dxa"/>
            <w:noWrap/>
          </w:tcPr>
          <w:p w:rsidR="00BE1832" w:rsidRPr="001D6512" w:rsidRDefault="00C67DA4" w:rsidP="00C3606E">
            <w:pPr>
              <w:pStyle w:val="TableCell"/>
              <w:spacing w:before="60" w:after="60"/>
              <w:rPr>
                <w:color w:val="000000"/>
              </w:rPr>
            </w:pPr>
            <w:r w:rsidRPr="001D6512">
              <w:rPr>
                <w:color w:val="000000"/>
              </w:rPr>
              <w:t>50</w:t>
            </w:r>
          </w:p>
        </w:tc>
        <w:tc>
          <w:tcPr>
            <w:tcW w:w="800" w:type="dxa"/>
            <w:noWrap/>
          </w:tcPr>
          <w:p w:rsidR="00BE1832" w:rsidRPr="001D6512" w:rsidRDefault="00C67DA4" w:rsidP="00C3606E">
            <w:pPr>
              <w:pStyle w:val="TableCell"/>
              <w:spacing w:before="60" w:after="60"/>
              <w:rPr>
                <w:color w:val="000000"/>
              </w:rPr>
            </w:pPr>
            <w:r w:rsidRPr="001D6512">
              <w:rPr>
                <w:color w:val="000000"/>
              </w:rPr>
              <w:t>14</w:t>
            </w:r>
          </w:p>
        </w:tc>
        <w:tc>
          <w:tcPr>
            <w:tcW w:w="740" w:type="dxa"/>
            <w:noWrap/>
          </w:tcPr>
          <w:p w:rsidR="00BE1832" w:rsidRPr="001D6512" w:rsidRDefault="00C67DA4" w:rsidP="00C3606E">
            <w:pPr>
              <w:pStyle w:val="TableCell"/>
              <w:spacing w:before="60" w:after="60"/>
              <w:rPr>
                <w:color w:val="000000"/>
              </w:rPr>
            </w:pPr>
            <w:r w:rsidRPr="001D6512">
              <w:rPr>
                <w:color w:val="000000"/>
              </w:rPr>
              <w:t>0.9</w:t>
            </w:r>
          </w:p>
        </w:tc>
        <w:tc>
          <w:tcPr>
            <w:tcW w:w="834" w:type="dxa"/>
          </w:tcPr>
          <w:p w:rsidR="00BE1832" w:rsidRPr="001D6512" w:rsidRDefault="00C67DA4" w:rsidP="00C3606E">
            <w:pPr>
              <w:pStyle w:val="TableCell"/>
              <w:spacing w:before="60" w:after="60"/>
              <w:rPr>
                <w:color w:val="000000"/>
              </w:rPr>
            </w:pPr>
            <w:r w:rsidRPr="001D6512">
              <w:rPr>
                <w:color w:val="000000"/>
              </w:rPr>
              <w:t>94.4%</w:t>
            </w:r>
          </w:p>
        </w:tc>
        <w:tc>
          <w:tcPr>
            <w:tcW w:w="704" w:type="dxa"/>
          </w:tcPr>
          <w:p w:rsidR="00BE1832" w:rsidRPr="001D6512" w:rsidRDefault="00C67DA4" w:rsidP="00C3606E">
            <w:pPr>
              <w:pStyle w:val="TableCell"/>
              <w:spacing w:before="60" w:after="60"/>
              <w:rPr>
                <w:color w:val="000000"/>
              </w:rPr>
            </w:pPr>
            <w:r w:rsidRPr="001D6512">
              <w:rPr>
                <w:color w:val="000000"/>
              </w:rPr>
              <w:t>0.98</w:t>
            </w:r>
          </w:p>
        </w:tc>
        <w:tc>
          <w:tcPr>
            <w:tcW w:w="849" w:type="dxa"/>
          </w:tcPr>
          <w:p w:rsidR="00BE1832" w:rsidRPr="001D6512" w:rsidRDefault="00C67DA4" w:rsidP="00C3606E">
            <w:pPr>
              <w:pStyle w:val="TableCell"/>
              <w:spacing w:before="60" w:after="60"/>
              <w:rPr>
                <w:color w:val="000000"/>
              </w:rPr>
            </w:pPr>
            <w:r w:rsidRPr="001D6512">
              <w:rPr>
                <w:color w:val="000000"/>
              </w:rPr>
              <w:t>1.3</w:t>
            </w:r>
          </w:p>
        </w:tc>
        <w:tc>
          <w:tcPr>
            <w:tcW w:w="980" w:type="dxa"/>
          </w:tcPr>
          <w:p w:rsidR="00BE1832" w:rsidRPr="001D6512" w:rsidRDefault="00C67DA4" w:rsidP="00C3606E">
            <w:pPr>
              <w:pStyle w:val="TableCell"/>
              <w:spacing w:before="60" w:after="60"/>
              <w:rPr>
                <w:color w:val="000000"/>
              </w:rPr>
            </w:pPr>
            <w:r w:rsidRPr="001D6512">
              <w:rPr>
                <w:color w:val="000000"/>
              </w:rPr>
              <w:t>0.0551</w:t>
            </w:r>
          </w:p>
        </w:tc>
        <w:tc>
          <w:tcPr>
            <w:tcW w:w="919" w:type="dxa"/>
          </w:tcPr>
          <w:p w:rsidR="00BE1832" w:rsidRPr="001D6512" w:rsidRDefault="00C67DA4" w:rsidP="00C3606E">
            <w:pPr>
              <w:pStyle w:val="TableCell"/>
              <w:spacing w:before="60" w:after="60"/>
              <w:rPr>
                <w:color w:val="000000"/>
              </w:rPr>
            </w:pPr>
            <w:r w:rsidRPr="001D6512">
              <w:rPr>
                <w:color w:val="000000"/>
              </w:rPr>
              <w:t>483</w:t>
            </w:r>
          </w:p>
        </w:tc>
      </w:tr>
      <w:tr w:rsidR="00BE1832" w:rsidRPr="006E0899" w:rsidTr="004C1DFF">
        <w:trPr>
          <w:trHeight w:val="540"/>
          <w:jc w:val="center"/>
        </w:trPr>
        <w:tc>
          <w:tcPr>
            <w:tcW w:w="2529" w:type="dxa"/>
          </w:tcPr>
          <w:p w:rsidR="00BE1832" w:rsidRPr="001D6512" w:rsidRDefault="00C67DA4" w:rsidP="00C3606E">
            <w:pPr>
              <w:pStyle w:val="TableCell"/>
              <w:spacing w:before="60" w:after="60"/>
            </w:pPr>
            <w:r w:rsidRPr="001D6512">
              <w:t>Freezer: Shaded Pole to ECM:</w:t>
            </w:r>
            <w:r w:rsidRPr="001D6512">
              <w:br/>
              <w:t>16-23 Watt</w:t>
            </w:r>
          </w:p>
        </w:tc>
        <w:tc>
          <w:tcPr>
            <w:tcW w:w="1005" w:type="dxa"/>
            <w:noWrap/>
          </w:tcPr>
          <w:p w:rsidR="00BE1832" w:rsidRPr="001D6512" w:rsidRDefault="00C67DA4" w:rsidP="00C3606E">
            <w:pPr>
              <w:pStyle w:val="TableCell"/>
              <w:spacing w:before="60" w:after="60"/>
              <w:rPr>
                <w:color w:val="000000"/>
              </w:rPr>
            </w:pPr>
            <w:r w:rsidRPr="001D6512">
              <w:rPr>
                <w:color w:val="000000"/>
              </w:rPr>
              <w:t>93</w:t>
            </w:r>
          </w:p>
        </w:tc>
        <w:tc>
          <w:tcPr>
            <w:tcW w:w="800" w:type="dxa"/>
            <w:noWrap/>
          </w:tcPr>
          <w:p w:rsidR="00BE1832" w:rsidRPr="001D6512" w:rsidRDefault="00C67DA4" w:rsidP="00C3606E">
            <w:pPr>
              <w:pStyle w:val="TableCell"/>
              <w:spacing w:before="60" w:after="60"/>
              <w:rPr>
                <w:color w:val="000000"/>
              </w:rPr>
            </w:pPr>
            <w:r w:rsidRPr="001D6512">
              <w:rPr>
                <w:color w:val="000000"/>
              </w:rPr>
              <w:t>30</w:t>
            </w:r>
          </w:p>
        </w:tc>
        <w:tc>
          <w:tcPr>
            <w:tcW w:w="740" w:type="dxa"/>
            <w:noWrap/>
          </w:tcPr>
          <w:p w:rsidR="00BE1832" w:rsidRPr="001D6512" w:rsidRDefault="00C67DA4" w:rsidP="00C3606E">
            <w:pPr>
              <w:pStyle w:val="TableCell"/>
              <w:spacing w:before="60" w:after="60"/>
              <w:rPr>
                <w:color w:val="000000"/>
              </w:rPr>
            </w:pPr>
            <w:r w:rsidRPr="001D6512">
              <w:rPr>
                <w:color w:val="000000"/>
              </w:rPr>
              <w:t>0.9</w:t>
            </w:r>
          </w:p>
        </w:tc>
        <w:tc>
          <w:tcPr>
            <w:tcW w:w="834" w:type="dxa"/>
          </w:tcPr>
          <w:p w:rsidR="00BE1832" w:rsidRPr="001D6512" w:rsidRDefault="00C67DA4" w:rsidP="00C3606E">
            <w:pPr>
              <w:pStyle w:val="TableCell"/>
              <w:spacing w:before="60" w:after="60"/>
              <w:rPr>
                <w:color w:val="000000"/>
              </w:rPr>
            </w:pPr>
            <w:r w:rsidRPr="001D6512">
              <w:rPr>
                <w:color w:val="000000"/>
              </w:rPr>
              <w:t>94.4%</w:t>
            </w:r>
          </w:p>
        </w:tc>
        <w:tc>
          <w:tcPr>
            <w:tcW w:w="704" w:type="dxa"/>
          </w:tcPr>
          <w:p w:rsidR="00BE1832" w:rsidRPr="001D6512" w:rsidRDefault="00C67DA4" w:rsidP="00C3606E">
            <w:pPr>
              <w:pStyle w:val="TableCell"/>
              <w:spacing w:before="60" w:after="60"/>
              <w:rPr>
                <w:color w:val="000000"/>
              </w:rPr>
            </w:pPr>
            <w:r w:rsidRPr="001D6512">
              <w:rPr>
                <w:color w:val="000000"/>
              </w:rPr>
              <w:t>0.98</w:t>
            </w:r>
          </w:p>
        </w:tc>
        <w:tc>
          <w:tcPr>
            <w:tcW w:w="849" w:type="dxa"/>
          </w:tcPr>
          <w:p w:rsidR="00BE1832" w:rsidRPr="001D6512" w:rsidRDefault="00C67DA4" w:rsidP="00C3606E">
            <w:pPr>
              <w:pStyle w:val="TableCell"/>
              <w:spacing w:before="60" w:after="60"/>
              <w:rPr>
                <w:color w:val="000000"/>
              </w:rPr>
            </w:pPr>
            <w:r w:rsidRPr="001D6512">
              <w:rPr>
                <w:color w:val="000000"/>
              </w:rPr>
              <w:t>1.3</w:t>
            </w:r>
          </w:p>
        </w:tc>
        <w:tc>
          <w:tcPr>
            <w:tcW w:w="980" w:type="dxa"/>
          </w:tcPr>
          <w:p w:rsidR="00BE1832" w:rsidRPr="001D6512" w:rsidRDefault="00C67DA4" w:rsidP="00C3606E">
            <w:pPr>
              <w:pStyle w:val="TableCell"/>
              <w:spacing w:before="60" w:after="60"/>
              <w:rPr>
                <w:color w:val="000000"/>
              </w:rPr>
            </w:pPr>
            <w:r w:rsidRPr="001D6512">
              <w:rPr>
                <w:color w:val="000000"/>
              </w:rPr>
              <w:t>0.0960</w:t>
            </w:r>
          </w:p>
        </w:tc>
        <w:tc>
          <w:tcPr>
            <w:tcW w:w="919" w:type="dxa"/>
          </w:tcPr>
          <w:p w:rsidR="00BE1832" w:rsidRPr="001D6512" w:rsidRDefault="00C67DA4" w:rsidP="00C3606E">
            <w:pPr>
              <w:pStyle w:val="TableCell"/>
              <w:spacing w:before="60" w:after="60"/>
              <w:rPr>
                <w:color w:val="000000"/>
              </w:rPr>
            </w:pPr>
            <w:r w:rsidRPr="001D6512">
              <w:rPr>
                <w:color w:val="000000"/>
              </w:rPr>
              <w:t>841</w:t>
            </w:r>
          </w:p>
        </w:tc>
      </w:tr>
      <w:tr w:rsidR="00BE1832" w:rsidRPr="006E0899" w:rsidTr="004C1DFF">
        <w:trPr>
          <w:trHeight w:val="540"/>
          <w:jc w:val="center"/>
        </w:trPr>
        <w:tc>
          <w:tcPr>
            <w:tcW w:w="2529" w:type="dxa"/>
          </w:tcPr>
          <w:p w:rsidR="00BE1832" w:rsidRPr="001D6512" w:rsidRDefault="00C67DA4" w:rsidP="00C3606E">
            <w:pPr>
              <w:pStyle w:val="TableCell"/>
              <w:spacing w:before="60" w:after="60"/>
            </w:pPr>
            <w:r w:rsidRPr="001D6512">
              <w:t>Freezer: Shaded Pole to ECM:</w:t>
            </w:r>
            <w:r w:rsidRPr="001D6512">
              <w:br/>
              <w:t>1/20 HP (37 Watt)</w:t>
            </w:r>
          </w:p>
        </w:tc>
        <w:tc>
          <w:tcPr>
            <w:tcW w:w="1005" w:type="dxa"/>
            <w:noWrap/>
          </w:tcPr>
          <w:p w:rsidR="00BE1832" w:rsidRPr="001D6512" w:rsidRDefault="00C67DA4" w:rsidP="00C3606E">
            <w:pPr>
              <w:pStyle w:val="TableCell"/>
              <w:spacing w:before="60" w:after="60"/>
              <w:rPr>
                <w:color w:val="000000"/>
              </w:rPr>
            </w:pPr>
            <w:r w:rsidRPr="001D6512">
              <w:rPr>
                <w:color w:val="000000"/>
              </w:rPr>
              <w:t>142</w:t>
            </w:r>
          </w:p>
        </w:tc>
        <w:tc>
          <w:tcPr>
            <w:tcW w:w="800" w:type="dxa"/>
            <w:noWrap/>
          </w:tcPr>
          <w:p w:rsidR="00BE1832" w:rsidRPr="001D6512" w:rsidRDefault="00C67DA4" w:rsidP="00C3606E">
            <w:pPr>
              <w:pStyle w:val="TableCell"/>
              <w:spacing w:before="60" w:after="60"/>
              <w:rPr>
                <w:color w:val="000000"/>
              </w:rPr>
            </w:pPr>
            <w:r w:rsidRPr="001D6512">
              <w:rPr>
                <w:color w:val="000000"/>
              </w:rPr>
              <w:t>56</w:t>
            </w:r>
          </w:p>
        </w:tc>
        <w:tc>
          <w:tcPr>
            <w:tcW w:w="740" w:type="dxa"/>
            <w:noWrap/>
          </w:tcPr>
          <w:p w:rsidR="00BE1832" w:rsidRPr="001D6512" w:rsidRDefault="00C67DA4" w:rsidP="00C3606E">
            <w:pPr>
              <w:pStyle w:val="TableCell"/>
              <w:spacing w:before="60" w:after="60"/>
              <w:rPr>
                <w:color w:val="000000"/>
              </w:rPr>
            </w:pPr>
            <w:r w:rsidRPr="001D6512">
              <w:rPr>
                <w:color w:val="000000"/>
              </w:rPr>
              <w:t>0.9</w:t>
            </w:r>
          </w:p>
        </w:tc>
        <w:tc>
          <w:tcPr>
            <w:tcW w:w="834" w:type="dxa"/>
          </w:tcPr>
          <w:p w:rsidR="00BE1832" w:rsidRPr="001D6512" w:rsidRDefault="00C67DA4" w:rsidP="00C3606E">
            <w:pPr>
              <w:pStyle w:val="TableCell"/>
              <w:spacing w:before="60" w:after="60"/>
              <w:rPr>
                <w:color w:val="000000"/>
              </w:rPr>
            </w:pPr>
            <w:r w:rsidRPr="001D6512">
              <w:rPr>
                <w:color w:val="000000"/>
              </w:rPr>
              <w:t>94.4%</w:t>
            </w:r>
          </w:p>
        </w:tc>
        <w:tc>
          <w:tcPr>
            <w:tcW w:w="704" w:type="dxa"/>
          </w:tcPr>
          <w:p w:rsidR="00BE1832" w:rsidRPr="001D6512" w:rsidRDefault="00C67DA4" w:rsidP="00C3606E">
            <w:pPr>
              <w:pStyle w:val="TableCell"/>
              <w:spacing w:before="60" w:after="60"/>
              <w:rPr>
                <w:color w:val="000000"/>
              </w:rPr>
            </w:pPr>
            <w:r w:rsidRPr="001D6512">
              <w:rPr>
                <w:color w:val="000000"/>
              </w:rPr>
              <w:t>0.98</w:t>
            </w:r>
          </w:p>
        </w:tc>
        <w:tc>
          <w:tcPr>
            <w:tcW w:w="849" w:type="dxa"/>
          </w:tcPr>
          <w:p w:rsidR="00BE1832" w:rsidRPr="001D6512" w:rsidRDefault="00C67DA4" w:rsidP="00C3606E">
            <w:pPr>
              <w:pStyle w:val="TableCell"/>
              <w:spacing w:before="60" w:after="60"/>
              <w:rPr>
                <w:color w:val="000000"/>
              </w:rPr>
            </w:pPr>
            <w:r w:rsidRPr="001D6512">
              <w:rPr>
                <w:color w:val="000000"/>
              </w:rPr>
              <w:t>1.3</w:t>
            </w:r>
          </w:p>
        </w:tc>
        <w:tc>
          <w:tcPr>
            <w:tcW w:w="980" w:type="dxa"/>
          </w:tcPr>
          <w:p w:rsidR="00BE1832" w:rsidRPr="001D6512" w:rsidRDefault="00C67DA4" w:rsidP="00C3606E">
            <w:pPr>
              <w:pStyle w:val="TableCell"/>
              <w:spacing w:before="60" w:after="60"/>
              <w:rPr>
                <w:color w:val="000000"/>
              </w:rPr>
            </w:pPr>
            <w:r w:rsidRPr="001D6512">
              <w:rPr>
                <w:color w:val="000000"/>
              </w:rPr>
              <w:t>0.1308</w:t>
            </w:r>
          </w:p>
        </w:tc>
        <w:tc>
          <w:tcPr>
            <w:tcW w:w="919" w:type="dxa"/>
          </w:tcPr>
          <w:p w:rsidR="00BE1832" w:rsidRPr="001D6512" w:rsidRDefault="00C67DA4" w:rsidP="00C3606E">
            <w:pPr>
              <w:pStyle w:val="TableCell"/>
              <w:spacing w:before="60" w:after="60"/>
              <w:rPr>
                <w:color w:val="000000"/>
              </w:rPr>
            </w:pPr>
            <w:r w:rsidRPr="001D6512">
              <w:rPr>
                <w:color w:val="000000"/>
              </w:rPr>
              <w:t>1146</w:t>
            </w:r>
          </w:p>
        </w:tc>
      </w:tr>
    </w:tbl>
    <w:p w:rsidR="00BE1832" w:rsidRPr="00D81E45" w:rsidRDefault="00BE1832" w:rsidP="00C3606E">
      <w:pPr>
        <w:spacing w:after="0"/>
      </w:pPr>
    </w:p>
    <w:p w:rsidR="00717EE4" w:rsidRDefault="00717EE4" w:rsidP="00B20F6B">
      <w:pPr>
        <w:pStyle w:val="Caption"/>
      </w:pPr>
      <w:bookmarkStart w:id="926" w:name="_Toc310875590"/>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38</w:t>
      </w:r>
      <w:r w:rsidR="00274AB1">
        <w:rPr>
          <w:noProof/>
        </w:rPr>
        <w:fldChar w:fldCharType="end"/>
      </w:r>
      <w:r>
        <w:t xml:space="preserve">: </w:t>
      </w:r>
      <w:r w:rsidRPr="00FC1FFA">
        <w:t>Default High-Efficiency Evaporator Fan Motor Deemed Savings</w:t>
      </w:r>
      <w:bookmarkEnd w:id="926"/>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1246"/>
        <w:gridCol w:w="1246"/>
        <w:gridCol w:w="1246"/>
        <w:gridCol w:w="1246"/>
        <w:gridCol w:w="974"/>
        <w:gridCol w:w="909"/>
      </w:tblGrid>
      <w:tr w:rsidR="00BE1832" w:rsidRPr="006E0899" w:rsidTr="004C1DFF">
        <w:trPr>
          <w:trHeight w:val="1155"/>
          <w:jc w:val="center"/>
        </w:trPr>
        <w:tc>
          <w:tcPr>
            <w:tcW w:w="2098" w:type="dxa"/>
            <w:shd w:val="clear" w:color="auto" w:fill="BFBFBF"/>
          </w:tcPr>
          <w:p w:rsidR="00BE1832" w:rsidRPr="001D6512" w:rsidRDefault="00BE1832" w:rsidP="00C3606E">
            <w:pPr>
              <w:pStyle w:val="TableCell"/>
              <w:spacing w:before="60" w:after="60"/>
              <w:rPr>
                <w:b/>
              </w:rPr>
            </w:pPr>
            <w:r w:rsidRPr="001D6512">
              <w:rPr>
                <w:b/>
              </w:rPr>
              <w:t>Measure</w:t>
            </w:r>
          </w:p>
        </w:tc>
        <w:tc>
          <w:tcPr>
            <w:tcW w:w="1332" w:type="dxa"/>
            <w:shd w:val="clear" w:color="auto" w:fill="BFBFBF"/>
          </w:tcPr>
          <w:p w:rsidR="00BE1832" w:rsidRPr="001D6512" w:rsidRDefault="00BE1832" w:rsidP="00C3606E">
            <w:pPr>
              <w:pStyle w:val="TableCell"/>
              <w:spacing w:before="60" w:after="60"/>
              <w:rPr>
                <w:b/>
              </w:rPr>
            </w:pPr>
            <w:r w:rsidRPr="001D6512">
              <w:rPr>
                <w:b/>
              </w:rPr>
              <w:t>Cooler Weighted Demand Impact (kW)</w:t>
            </w:r>
          </w:p>
        </w:tc>
        <w:tc>
          <w:tcPr>
            <w:tcW w:w="1332" w:type="dxa"/>
            <w:shd w:val="clear" w:color="auto" w:fill="BFBFBF"/>
          </w:tcPr>
          <w:p w:rsidR="00BE1832" w:rsidRPr="001D6512" w:rsidRDefault="00BE1832" w:rsidP="00C3606E">
            <w:pPr>
              <w:pStyle w:val="TableCell"/>
              <w:spacing w:before="60" w:after="60"/>
              <w:rPr>
                <w:b/>
              </w:rPr>
            </w:pPr>
            <w:r w:rsidRPr="001D6512">
              <w:rPr>
                <w:b/>
              </w:rPr>
              <w:t>Cooler Weighted Energy Impact (kWh)</w:t>
            </w:r>
          </w:p>
        </w:tc>
        <w:tc>
          <w:tcPr>
            <w:tcW w:w="1332" w:type="dxa"/>
            <w:shd w:val="clear" w:color="auto" w:fill="BFBFBF"/>
          </w:tcPr>
          <w:p w:rsidR="00BE1832" w:rsidRPr="001D6512" w:rsidRDefault="00BE1832" w:rsidP="00C3606E">
            <w:pPr>
              <w:pStyle w:val="TableCell"/>
              <w:spacing w:before="60" w:after="60"/>
              <w:rPr>
                <w:b/>
              </w:rPr>
            </w:pPr>
            <w:r w:rsidRPr="001D6512">
              <w:rPr>
                <w:b/>
              </w:rPr>
              <w:t>Freezer Weighted Demand Impact (kW)</w:t>
            </w:r>
          </w:p>
        </w:tc>
        <w:tc>
          <w:tcPr>
            <w:tcW w:w="1332" w:type="dxa"/>
            <w:shd w:val="clear" w:color="auto" w:fill="BFBFBF"/>
          </w:tcPr>
          <w:p w:rsidR="00BE1832" w:rsidRPr="001D6512" w:rsidRDefault="00BE1832" w:rsidP="00C3606E">
            <w:pPr>
              <w:pStyle w:val="TableCell"/>
              <w:spacing w:before="60" w:after="60"/>
              <w:rPr>
                <w:b/>
              </w:rPr>
            </w:pPr>
            <w:r w:rsidRPr="001D6512">
              <w:rPr>
                <w:b/>
              </w:rPr>
              <w:t>Freezer Weighted Energy Impact (kWh)</w:t>
            </w:r>
          </w:p>
        </w:tc>
        <w:tc>
          <w:tcPr>
            <w:tcW w:w="993" w:type="dxa"/>
            <w:shd w:val="clear" w:color="auto" w:fill="BFBFBF"/>
          </w:tcPr>
          <w:p w:rsidR="00BE1832" w:rsidRPr="001D6512" w:rsidRDefault="00BE1832" w:rsidP="00C3606E">
            <w:pPr>
              <w:pStyle w:val="TableCell"/>
              <w:spacing w:before="60" w:after="60"/>
              <w:rPr>
                <w:b/>
              </w:rPr>
            </w:pPr>
            <w:r w:rsidRPr="001D6512">
              <w:rPr>
                <w:b/>
              </w:rPr>
              <w:t>Default Demand Impact (kW)</w:t>
            </w:r>
          </w:p>
        </w:tc>
        <w:tc>
          <w:tcPr>
            <w:tcW w:w="941" w:type="dxa"/>
            <w:shd w:val="clear" w:color="auto" w:fill="BFBFBF"/>
          </w:tcPr>
          <w:p w:rsidR="00BE1832" w:rsidRPr="001D6512" w:rsidRDefault="00BE1832" w:rsidP="00C3606E">
            <w:pPr>
              <w:pStyle w:val="TableCell"/>
              <w:spacing w:before="60" w:after="60"/>
              <w:rPr>
                <w:b/>
              </w:rPr>
            </w:pPr>
            <w:r w:rsidRPr="001D6512">
              <w:rPr>
                <w:b/>
              </w:rPr>
              <w:t>Default Energy Impact (kWh)</w:t>
            </w:r>
          </w:p>
        </w:tc>
      </w:tr>
      <w:tr w:rsidR="00BE1832" w:rsidRPr="006E0899" w:rsidTr="004C1DFF">
        <w:trPr>
          <w:trHeight w:val="540"/>
          <w:jc w:val="center"/>
        </w:trPr>
        <w:tc>
          <w:tcPr>
            <w:tcW w:w="2098" w:type="dxa"/>
          </w:tcPr>
          <w:p w:rsidR="00BE1832" w:rsidRPr="001D6512" w:rsidRDefault="00BE1832" w:rsidP="00C3606E">
            <w:pPr>
              <w:pStyle w:val="TableCell"/>
              <w:spacing w:before="60" w:after="60"/>
            </w:pPr>
            <w:r w:rsidRPr="001D6512">
              <w:t>Shaded Pole to PSC</w:t>
            </w:r>
          </w:p>
        </w:tc>
        <w:tc>
          <w:tcPr>
            <w:tcW w:w="1332" w:type="dxa"/>
          </w:tcPr>
          <w:p w:rsidR="00BE1832" w:rsidRPr="001D6512" w:rsidRDefault="00BE1832" w:rsidP="00C3606E">
            <w:pPr>
              <w:pStyle w:val="TableCell"/>
              <w:spacing w:before="60" w:after="60"/>
              <w:rPr>
                <w:color w:val="000000"/>
              </w:rPr>
            </w:pPr>
            <w:r w:rsidRPr="001D6512">
              <w:rPr>
                <w:color w:val="000000"/>
              </w:rPr>
              <w:t>0.0380</w:t>
            </w:r>
          </w:p>
        </w:tc>
        <w:tc>
          <w:tcPr>
            <w:tcW w:w="1332" w:type="dxa"/>
          </w:tcPr>
          <w:p w:rsidR="00BE1832" w:rsidRPr="001D6512" w:rsidRDefault="00BE1832" w:rsidP="00C3606E">
            <w:pPr>
              <w:pStyle w:val="TableCell"/>
              <w:spacing w:before="60" w:after="60"/>
              <w:rPr>
                <w:color w:val="000000"/>
              </w:rPr>
            </w:pPr>
            <w:r w:rsidRPr="001D6512">
              <w:rPr>
                <w:color w:val="000000"/>
              </w:rPr>
              <w:t>333</w:t>
            </w:r>
          </w:p>
        </w:tc>
        <w:tc>
          <w:tcPr>
            <w:tcW w:w="1332" w:type="dxa"/>
          </w:tcPr>
          <w:p w:rsidR="00BE1832" w:rsidRPr="001D6512" w:rsidRDefault="00BE1832" w:rsidP="00C3606E">
            <w:pPr>
              <w:pStyle w:val="TableCell"/>
              <w:spacing w:before="60" w:after="60"/>
              <w:rPr>
                <w:color w:val="000000"/>
              </w:rPr>
            </w:pPr>
            <w:r w:rsidRPr="001D6512">
              <w:rPr>
                <w:color w:val="000000"/>
              </w:rPr>
              <w:t>0.0455</w:t>
            </w:r>
          </w:p>
        </w:tc>
        <w:tc>
          <w:tcPr>
            <w:tcW w:w="1332" w:type="dxa"/>
          </w:tcPr>
          <w:p w:rsidR="00BE1832" w:rsidRPr="001D6512" w:rsidRDefault="00BE1832" w:rsidP="00C3606E">
            <w:pPr>
              <w:pStyle w:val="TableCell"/>
              <w:spacing w:before="60" w:after="60"/>
              <w:rPr>
                <w:color w:val="000000"/>
              </w:rPr>
            </w:pPr>
            <w:r w:rsidRPr="001D6512">
              <w:rPr>
                <w:color w:val="000000"/>
              </w:rPr>
              <w:t>399</w:t>
            </w:r>
          </w:p>
        </w:tc>
        <w:tc>
          <w:tcPr>
            <w:tcW w:w="993" w:type="dxa"/>
          </w:tcPr>
          <w:p w:rsidR="00BE1832" w:rsidRPr="001D6512" w:rsidRDefault="00BE1832" w:rsidP="00C3606E">
            <w:pPr>
              <w:pStyle w:val="TableCell"/>
              <w:spacing w:before="60" w:after="60"/>
              <w:rPr>
                <w:color w:val="000000"/>
              </w:rPr>
            </w:pPr>
            <w:r w:rsidRPr="001D6512">
              <w:rPr>
                <w:color w:val="000000"/>
              </w:rPr>
              <w:t>0.0404</w:t>
            </w:r>
          </w:p>
        </w:tc>
        <w:tc>
          <w:tcPr>
            <w:tcW w:w="941" w:type="dxa"/>
          </w:tcPr>
          <w:p w:rsidR="00BE1832" w:rsidRPr="001D6512" w:rsidRDefault="00BE1832" w:rsidP="00C3606E">
            <w:pPr>
              <w:pStyle w:val="TableCell"/>
              <w:spacing w:before="60" w:after="60"/>
              <w:rPr>
                <w:color w:val="000000"/>
              </w:rPr>
            </w:pPr>
            <w:r w:rsidRPr="001D6512">
              <w:rPr>
                <w:color w:val="000000"/>
              </w:rPr>
              <w:t>354</w:t>
            </w:r>
          </w:p>
        </w:tc>
      </w:tr>
      <w:tr w:rsidR="00BE1832" w:rsidRPr="006E0899" w:rsidTr="004C1DFF">
        <w:trPr>
          <w:trHeight w:val="540"/>
          <w:jc w:val="center"/>
        </w:trPr>
        <w:tc>
          <w:tcPr>
            <w:tcW w:w="2098" w:type="dxa"/>
          </w:tcPr>
          <w:p w:rsidR="00BE1832" w:rsidRPr="001D6512" w:rsidRDefault="00BE1832" w:rsidP="00C3606E">
            <w:pPr>
              <w:pStyle w:val="TableCell"/>
              <w:spacing w:before="60" w:after="60"/>
            </w:pPr>
            <w:r w:rsidRPr="001D6512">
              <w:t>PSC to ECM</w:t>
            </w:r>
          </w:p>
        </w:tc>
        <w:tc>
          <w:tcPr>
            <w:tcW w:w="1332" w:type="dxa"/>
          </w:tcPr>
          <w:p w:rsidR="00BE1832" w:rsidRPr="001D6512" w:rsidRDefault="00BE1832" w:rsidP="00C3606E">
            <w:pPr>
              <w:pStyle w:val="TableCell"/>
              <w:spacing w:before="60" w:after="60"/>
              <w:rPr>
                <w:color w:val="000000"/>
              </w:rPr>
            </w:pPr>
            <w:r w:rsidRPr="001D6512">
              <w:rPr>
                <w:color w:val="000000"/>
              </w:rPr>
              <w:t>0.0129</w:t>
            </w:r>
          </w:p>
        </w:tc>
        <w:tc>
          <w:tcPr>
            <w:tcW w:w="1332" w:type="dxa"/>
          </w:tcPr>
          <w:p w:rsidR="00BE1832" w:rsidRPr="001D6512" w:rsidRDefault="00BE1832" w:rsidP="00C3606E">
            <w:pPr>
              <w:pStyle w:val="TableCell"/>
              <w:spacing w:before="60" w:after="60"/>
              <w:rPr>
                <w:color w:val="000000"/>
              </w:rPr>
            </w:pPr>
            <w:r w:rsidRPr="001D6512">
              <w:rPr>
                <w:color w:val="000000"/>
              </w:rPr>
              <w:t>113</w:t>
            </w:r>
          </w:p>
        </w:tc>
        <w:tc>
          <w:tcPr>
            <w:tcW w:w="1332" w:type="dxa"/>
          </w:tcPr>
          <w:p w:rsidR="00BE1832" w:rsidRPr="001D6512" w:rsidRDefault="00BE1832" w:rsidP="00C3606E">
            <w:pPr>
              <w:pStyle w:val="TableCell"/>
              <w:spacing w:before="60" w:after="60"/>
              <w:rPr>
                <w:color w:val="000000"/>
              </w:rPr>
            </w:pPr>
            <w:r w:rsidRPr="001D6512">
              <w:rPr>
                <w:color w:val="000000"/>
              </w:rPr>
              <w:t>0.0154</w:t>
            </w:r>
          </w:p>
        </w:tc>
        <w:tc>
          <w:tcPr>
            <w:tcW w:w="1332" w:type="dxa"/>
          </w:tcPr>
          <w:p w:rsidR="00BE1832" w:rsidRPr="001D6512" w:rsidRDefault="00BE1832" w:rsidP="00C3606E">
            <w:pPr>
              <w:pStyle w:val="TableCell"/>
              <w:spacing w:before="60" w:after="60"/>
              <w:rPr>
                <w:color w:val="000000"/>
              </w:rPr>
            </w:pPr>
            <w:r w:rsidRPr="001D6512">
              <w:rPr>
                <w:color w:val="000000"/>
              </w:rPr>
              <w:t>135</w:t>
            </w:r>
          </w:p>
        </w:tc>
        <w:tc>
          <w:tcPr>
            <w:tcW w:w="993" w:type="dxa"/>
          </w:tcPr>
          <w:p w:rsidR="00BE1832" w:rsidRPr="001D6512" w:rsidRDefault="00BE1832" w:rsidP="00C3606E">
            <w:pPr>
              <w:pStyle w:val="TableCell"/>
              <w:spacing w:before="60" w:after="60"/>
              <w:rPr>
                <w:color w:val="000000"/>
              </w:rPr>
            </w:pPr>
            <w:r w:rsidRPr="001D6512">
              <w:rPr>
                <w:color w:val="000000"/>
              </w:rPr>
              <w:t>0.0137</w:t>
            </w:r>
          </w:p>
        </w:tc>
        <w:tc>
          <w:tcPr>
            <w:tcW w:w="941" w:type="dxa"/>
          </w:tcPr>
          <w:p w:rsidR="00BE1832" w:rsidRPr="001D6512" w:rsidRDefault="00BE1832" w:rsidP="00C3606E">
            <w:pPr>
              <w:pStyle w:val="TableCell"/>
              <w:spacing w:before="60" w:after="60"/>
              <w:rPr>
                <w:color w:val="000000"/>
              </w:rPr>
            </w:pPr>
            <w:r w:rsidRPr="001D6512">
              <w:rPr>
                <w:color w:val="000000"/>
              </w:rPr>
              <w:t>120</w:t>
            </w:r>
          </w:p>
        </w:tc>
      </w:tr>
      <w:tr w:rsidR="00BE1832" w:rsidRPr="006E0899" w:rsidTr="004C1DFF">
        <w:trPr>
          <w:trHeight w:val="555"/>
          <w:jc w:val="center"/>
        </w:trPr>
        <w:tc>
          <w:tcPr>
            <w:tcW w:w="2098" w:type="dxa"/>
          </w:tcPr>
          <w:p w:rsidR="00BE1832" w:rsidRPr="001D6512" w:rsidRDefault="00C67DA4" w:rsidP="00C3606E">
            <w:pPr>
              <w:pStyle w:val="TableCell"/>
              <w:spacing w:before="60" w:after="60"/>
            </w:pPr>
            <w:r w:rsidRPr="001D6512">
              <w:t>Shaded Pole to ECM</w:t>
            </w:r>
          </w:p>
        </w:tc>
        <w:tc>
          <w:tcPr>
            <w:tcW w:w="1332" w:type="dxa"/>
          </w:tcPr>
          <w:p w:rsidR="00BE1832" w:rsidRPr="001D6512" w:rsidRDefault="00C67DA4" w:rsidP="00C3606E">
            <w:pPr>
              <w:pStyle w:val="TableCell"/>
              <w:spacing w:before="60" w:after="60"/>
              <w:rPr>
                <w:color w:val="000000"/>
              </w:rPr>
            </w:pPr>
            <w:r w:rsidRPr="001D6512">
              <w:rPr>
                <w:color w:val="000000"/>
              </w:rPr>
              <w:t>0.0509</w:t>
            </w:r>
          </w:p>
        </w:tc>
        <w:tc>
          <w:tcPr>
            <w:tcW w:w="1332" w:type="dxa"/>
          </w:tcPr>
          <w:p w:rsidR="00BE1832" w:rsidRPr="001D6512" w:rsidRDefault="00C67DA4" w:rsidP="00C3606E">
            <w:pPr>
              <w:pStyle w:val="TableCell"/>
              <w:spacing w:before="60" w:after="60"/>
              <w:rPr>
                <w:color w:val="000000"/>
              </w:rPr>
            </w:pPr>
            <w:r w:rsidRPr="001D6512">
              <w:rPr>
                <w:color w:val="000000"/>
              </w:rPr>
              <w:t>446</w:t>
            </w:r>
          </w:p>
        </w:tc>
        <w:tc>
          <w:tcPr>
            <w:tcW w:w="1332" w:type="dxa"/>
          </w:tcPr>
          <w:p w:rsidR="00BE1832" w:rsidRPr="001D6512" w:rsidRDefault="00C67DA4" w:rsidP="00C3606E">
            <w:pPr>
              <w:pStyle w:val="TableCell"/>
              <w:spacing w:before="60" w:after="60"/>
              <w:rPr>
                <w:color w:val="000000"/>
              </w:rPr>
            </w:pPr>
            <w:r w:rsidRPr="001D6512">
              <w:rPr>
                <w:color w:val="000000"/>
              </w:rPr>
              <w:t>0.0609</w:t>
            </w:r>
          </w:p>
        </w:tc>
        <w:tc>
          <w:tcPr>
            <w:tcW w:w="1332" w:type="dxa"/>
          </w:tcPr>
          <w:p w:rsidR="00BE1832" w:rsidRPr="001D6512" w:rsidRDefault="00C67DA4" w:rsidP="00C3606E">
            <w:pPr>
              <w:pStyle w:val="TableCell"/>
              <w:spacing w:before="60" w:after="60"/>
              <w:rPr>
                <w:color w:val="000000"/>
              </w:rPr>
            </w:pPr>
            <w:r w:rsidRPr="001D6512">
              <w:rPr>
                <w:color w:val="000000"/>
              </w:rPr>
              <w:t>534</w:t>
            </w:r>
          </w:p>
        </w:tc>
        <w:tc>
          <w:tcPr>
            <w:tcW w:w="993" w:type="dxa"/>
          </w:tcPr>
          <w:p w:rsidR="00BE1832" w:rsidRPr="001D6512" w:rsidRDefault="00C67DA4" w:rsidP="00C3606E">
            <w:pPr>
              <w:pStyle w:val="TableCell"/>
              <w:spacing w:before="60" w:after="60"/>
              <w:rPr>
                <w:color w:val="000000"/>
              </w:rPr>
            </w:pPr>
            <w:r w:rsidRPr="001D6512">
              <w:rPr>
                <w:color w:val="000000"/>
              </w:rPr>
              <w:t>0.0541</w:t>
            </w:r>
          </w:p>
        </w:tc>
        <w:tc>
          <w:tcPr>
            <w:tcW w:w="941" w:type="dxa"/>
          </w:tcPr>
          <w:p w:rsidR="00BE1832" w:rsidRPr="001D6512" w:rsidRDefault="00C67DA4" w:rsidP="00C3606E">
            <w:pPr>
              <w:pStyle w:val="TableCell"/>
              <w:spacing w:before="60" w:after="60"/>
              <w:rPr>
                <w:color w:val="000000"/>
              </w:rPr>
            </w:pPr>
            <w:r w:rsidRPr="001D6512">
              <w:rPr>
                <w:color w:val="000000"/>
              </w:rPr>
              <w:t>474</w:t>
            </w:r>
          </w:p>
        </w:tc>
      </w:tr>
    </w:tbl>
    <w:p w:rsidR="00717EE4" w:rsidRDefault="00717EE4" w:rsidP="00C3606E">
      <w:pPr>
        <w:rPr>
          <w:i/>
        </w:rPr>
      </w:pPr>
    </w:p>
    <w:p w:rsidR="00717EE4" w:rsidRDefault="00717EE4" w:rsidP="00871FA2">
      <w:pPr>
        <w:pStyle w:val="Heading3"/>
      </w:pPr>
      <w:r>
        <w:lastRenderedPageBreak/>
        <w:t>Measure Life</w:t>
      </w:r>
    </w:p>
    <w:p w:rsidR="00717EE4" w:rsidRPr="00717EE4" w:rsidRDefault="00717EE4" w:rsidP="008075FC">
      <w:pPr>
        <w:pStyle w:val="BodyText"/>
        <w:keepNext/>
      </w:pPr>
      <w:r>
        <w:t>15 years</w:t>
      </w:r>
    </w:p>
    <w:p w:rsidR="00BE1832" w:rsidRPr="00BC5194" w:rsidRDefault="00BE1832" w:rsidP="008075FC">
      <w:pPr>
        <w:keepNext/>
        <w:rPr>
          <w:b/>
        </w:rPr>
      </w:pPr>
      <w:r w:rsidRPr="00BC5194">
        <w:rPr>
          <w:b/>
        </w:rPr>
        <w:t>Sources:</w:t>
      </w:r>
    </w:p>
    <w:p w:rsidR="00BE1832" w:rsidRDefault="00BE1832" w:rsidP="0005632A">
      <w:pPr>
        <w:pStyle w:val="source1"/>
        <w:numPr>
          <w:ilvl w:val="0"/>
          <w:numId w:val="47"/>
        </w:numPr>
      </w:pPr>
      <w:r>
        <w:t xml:space="preserve">“ActOnEnergy; Business Program-Program Year 2, June, 2009 through May, 2010. Technical Reference Manual, No. 2009-01.” Published 12/15/2009. </w:t>
      </w:r>
    </w:p>
    <w:p w:rsidR="00BE1832" w:rsidRDefault="00BE1832" w:rsidP="00C3606E">
      <w:pPr>
        <w:pStyle w:val="source1"/>
      </w:pPr>
      <w:r>
        <w:t>“Efficiency Maine; Commercial Technical Reference User Manual No. 2007-1.” Published 3/5/07.</w:t>
      </w:r>
    </w:p>
    <w:p w:rsidR="00BE1832" w:rsidRDefault="00BE1832" w:rsidP="00C3606E">
      <w:pPr>
        <w:pStyle w:val="source1"/>
      </w:pPr>
      <w:r w:rsidRPr="00845C4A">
        <w:t xml:space="preserve">Regional Technical Forum (RTF) as part of the Northwest Power &amp; Conservation Council, Deemed Measures List. </w:t>
      </w:r>
      <w:r w:rsidRPr="00845C4A">
        <w:rPr>
          <w:i/>
        </w:rPr>
        <w:t>Grocery Display Case ECM, FY2010, V2</w:t>
      </w:r>
      <w:r w:rsidRPr="00845C4A">
        <w:t>. Accessed from RTF website http://www.nwcouncil.org/rtf/measures/Default.asp on July 30, 2010.</w:t>
      </w:r>
    </w:p>
    <w:p w:rsidR="00717EE4" w:rsidRDefault="00717EE4" w:rsidP="00C3606E"/>
    <w:p w:rsidR="00BE1832" w:rsidRDefault="00BE1832" w:rsidP="00BE1832">
      <w:pPr>
        <w:rPr>
          <w:rFonts w:ascii="Cambria" w:hAnsi="Cambria"/>
          <w:b/>
          <w:bCs/>
          <w:color w:val="4F81BD"/>
        </w:rPr>
      </w:pPr>
    </w:p>
    <w:p w:rsidR="004F2078" w:rsidRPr="00B25E66" w:rsidRDefault="00AA7749" w:rsidP="00E568D4">
      <w:pPr>
        <w:pStyle w:val="Heading2"/>
      </w:pPr>
      <w:r>
        <w:br w:type="page"/>
      </w:r>
      <w:bookmarkStart w:id="927" w:name="_Toc310875450"/>
      <w:r w:rsidR="004F2078">
        <w:lastRenderedPageBreak/>
        <w:t>High-Efficiency Evaporator Fan Motors for Walk-in Refrigerated Cases</w:t>
      </w:r>
      <w:bookmarkEnd w:id="927"/>
    </w:p>
    <w:p w:rsidR="004F2078" w:rsidRDefault="004F2078" w:rsidP="004F2078">
      <w:pPr>
        <w:pStyle w:val="BodyText"/>
      </w:pPr>
      <w:r>
        <w:t>This protocol covers energy and demand savings associated with retrofit of existing shaded-pole (SP) or permanent-split capacitor (PSC) evaporator fan motors in walk-in refrigerated display cases with an electronically commutated motor (ECM).  A default savings option is offered if case temperature and/or motor size are not known. However, these parameters should be collected by EDCs for greatest accuracy.</w:t>
      </w:r>
    </w:p>
    <w:p w:rsidR="004F2078" w:rsidRDefault="004F2078" w:rsidP="004F2078">
      <w:pPr>
        <w:pStyle w:val="BodyText"/>
      </w:pPr>
      <w:r>
        <w:t xml:space="preserve">There are two sources of energy and demand savings through this measure.  There are the direct savings associated with replacement of an inefficient motor with a more efficient one, and there are the indirect savings of a reduced cooling load on the refrigeration unit due to less heat gain from the more efficient evaporator fan motor in the air-stream. </w:t>
      </w:r>
    </w:p>
    <w:p w:rsidR="004F2078" w:rsidRPr="00686A87" w:rsidRDefault="004F2078" w:rsidP="00871FA2">
      <w:pPr>
        <w:pStyle w:val="Heading3"/>
      </w:pPr>
      <w:r>
        <w:t>Algorithms</w:t>
      </w:r>
    </w:p>
    <w:p w:rsidR="004F2078" w:rsidRDefault="004F2078" w:rsidP="00E568D4">
      <w:pPr>
        <w:pStyle w:val="Heading4"/>
      </w:pPr>
      <w:r>
        <w:t>Cooler</w:t>
      </w:r>
    </w:p>
    <w:p w:rsidR="004F2078" w:rsidRPr="005021BC" w:rsidRDefault="00277FD6" w:rsidP="00F7332F">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 per unit</w:t>
      </w:r>
      <w:r w:rsidRPr="005021BC">
        <w:rPr>
          <w:rFonts w:cs="Arial"/>
          <w:szCs w:val="20"/>
        </w:rPr>
        <w:tab/>
      </w:r>
      <w:r w:rsidR="004F2078" w:rsidRPr="005021BC">
        <w:rPr>
          <w:rFonts w:cs="Arial"/>
          <w:szCs w:val="20"/>
        </w:rPr>
        <w:t>= (W</w:t>
      </w:r>
      <w:r w:rsidR="004F2078" w:rsidRPr="005021BC">
        <w:rPr>
          <w:rFonts w:cs="Arial"/>
          <w:szCs w:val="20"/>
          <w:vertAlign w:val="subscript"/>
        </w:rPr>
        <w:t>base</w:t>
      </w:r>
      <w:r w:rsidR="004F2078" w:rsidRPr="005021BC">
        <w:rPr>
          <w:rFonts w:cs="Arial"/>
          <w:szCs w:val="20"/>
        </w:rPr>
        <w:t xml:space="preserve"> – W</w:t>
      </w:r>
      <w:r w:rsidR="004F2078" w:rsidRPr="005021BC">
        <w:rPr>
          <w:rFonts w:cs="Arial"/>
          <w:szCs w:val="20"/>
          <w:vertAlign w:val="subscript"/>
        </w:rPr>
        <w:t>ee</w:t>
      </w:r>
      <w:r w:rsidR="004F2078" w:rsidRPr="005021BC">
        <w:rPr>
          <w:rFonts w:cs="Arial"/>
          <w:szCs w:val="20"/>
        </w:rPr>
        <w:t>) / 1,000 * LF * DC</w:t>
      </w:r>
      <w:r w:rsidR="004F2078" w:rsidRPr="005021BC">
        <w:rPr>
          <w:rFonts w:cs="Arial"/>
          <w:szCs w:val="20"/>
          <w:vertAlign w:val="subscript"/>
        </w:rPr>
        <w:t>EvapCool</w:t>
      </w:r>
      <w:r w:rsidR="004F2078" w:rsidRPr="005021BC">
        <w:rPr>
          <w:rFonts w:cs="Arial"/>
          <w:szCs w:val="20"/>
        </w:rPr>
        <w:t xml:space="preserve"> * (1 + 1 / (DG * COP</w:t>
      </w:r>
      <w:r w:rsidR="004F2078" w:rsidRPr="005021BC">
        <w:rPr>
          <w:rFonts w:cs="Arial"/>
          <w:szCs w:val="20"/>
          <w:vertAlign w:val="subscript"/>
        </w:rPr>
        <w:t>cooler</w:t>
      </w:r>
      <w:r w:rsidR="004F2078" w:rsidRPr="005021BC">
        <w:rPr>
          <w:rFonts w:cs="Arial"/>
          <w:szCs w:val="20"/>
        </w:rPr>
        <w:t>))</w:t>
      </w:r>
    </w:p>
    <w:p w:rsidR="004F2078" w:rsidRPr="005021BC" w:rsidRDefault="00277FD6" w:rsidP="00F7332F">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vertAlign w:val="subscript"/>
        </w:rPr>
        <w:t>per unit</w:t>
      </w:r>
      <w:r w:rsidRPr="005021BC" w:rsidDel="00277FD6">
        <w:rPr>
          <w:rFonts w:cs="Arial"/>
          <w:szCs w:val="20"/>
        </w:rPr>
        <w:t xml:space="preserve"> </w:t>
      </w:r>
      <w:r w:rsidRPr="005021BC">
        <w:rPr>
          <w:rFonts w:cs="Arial"/>
          <w:szCs w:val="20"/>
        </w:rPr>
        <w:tab/>
      </w:r>
      <w:r w:rsidR="004F2078" w:rsidRPr="005021BC">
        <w:rPr>
          <w:rFonts w:cs="Arial"/>
          <w:szCs w:val="20"/>
        </w:rPr>
        <w:t xml:space="preserve">= </w:t>
      </w:r>
      <w:r w:rsidRPr="005021BC">
        <w:rPr>
          <w:rFonts w:cs="Arial"/>
          <w:szCs w:val="20"/>
        </w:rPr>
        <w:sym w:font="Symbol" w:char="F044"/>
      </w:r>
      <w:r w:rsidRPr="005021BC">
        <w:rPr>
          <w:rFonts w:cs="Arial"/>
          <w:szCs w:val="20"/>
        </w:rPr>
        <w:t>kW</w:t>
      </w:r>
      <w:r w:rsidRPr="005021BC">
        <w:rPr>
          <w:rFonts w:cs="Arial"/>
          <w:szCs w:val="20"/>
          <w:vertAlign w:val="subscript"/>
        </w:rPr>
        <w:t>peak per unit</w:t>
      </w:r>
      <w:r w:rsidRPr="005021BC" w:rsidDel="00277FD6">
        <w:rPr>
          <w:rFonts w:cs="Arial"/>
          <w:szCs w:val="20"/>
        </w:rPr>
        <w:t xml:space="preserve"> </w:t>
      </w:r>
      <w:r w:rsidR="004F2078" w:rsidRPr="005021BC">
        <w:rPr>
          <w:rFonts w:cs="Arial"/>
          <w:szCs w:val="20"/>
        </w:rPr>
        <w:t>* HR</w:t>
      </w:r>
    </w:p>
    <w:p w:rsidR="004F2078" w:rsidRPr="005021BC" w:rsidRDefault="00277FD6" w:rsidP="00F7332F">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sidDel="00277FD6">
        <w:rPr>
          <w:rFonts w:cs="Arial"/>
          <w:szCs w:val="20"/>
        </w:rPr>
        <w:t xml:space="preserve"> </w:t>
      </w:r>
      <w:r w:rsidRPr="005021BC">
        <w:rPr>
          <w:rFonts w:cs="Arial"/>
          <w:szCs w:val="20"/>
        </w:rPr>
        <w:tab/>
      </w:r>
      <w:r w:rsidR="004F2078" w:rsidRPr="005021BC">
        <w:rPr>
          <w:rFonts w:cs="Arial"/>
          <w:szCs w:val="20"/>
        </w:rPr>
        <w:t>= N *</w:t>
      </w:r>
      <w:r w:rsidRPr="005021BC">
        <w:rPr>
          <w:rFonts w:cs="Arial"/>
          <w:szCs w:val="20"/>
        </w:rPr>
        <w:sym w:font="Symbol" w:char="F044"/>
      </w:r>
      <w:r w:rsidRPr="005021BC">
        <w:rPr>
          <w:rFonts w:cs="Arial"/>
          <w:szCs w:val="20"/>
        </w:rPr>
        <w:t>kW</w:t>
      </w:r>
      <w:r w:rsidRPr="005021BC">
        <w:rPr>
          <w:rFonts w:cs="Arial"/>
          <w:szCs w:val="20"/>
          <w:vertAlign w:val="subscript"/>
        </w:rPr>
        <w:t>peak per unit</w:t>
      </w:r>
    </w:p>
    <w:p w:rsidR="004F2078" w:rsidRPr="00C63680" w:rsidRDefault="00277FD6" w:rsidP="00F7332F">
      <w:pPr>
        <w:pStyle w:val="Equation"/>
      </w:pPr>
      <w:r w:rsidRPr="005021BC">
        <w:rPr>
          <w:rFonts w:cs="Arial"/>
          <w:szCs w:val="20"/>
        </w:rPr>
        <w:sym w:font="Symbol" w:char="F044"/>
      </w:r>
      <w:r w:rsidRPr="005021BC">
        <w:rPr>
          <w:rFonts w:cs="Arial"/>
          <w:szCs w:val="20"/>
        </w:rPr>
        <w:t>kWh</w:t>
      </w:r>
      <w:r w:rsidRPr="005021BC">
        <w:rPr>
          <w:rFonts w:cs="Arial"/>
          <w:szCs w:val="20"/>
          <w:vertAlign w:val="subscript"/>
        </w:rPr>
        <w:tab/>
      </w:r>
      <w:r w:rsidRPr="005021BC">
        <w:rPr>
          <w:rFonts w:cs="Arial"/>
          <w:szCs w:val="20"/>
        </w:rPr>
        <w:tab/>
      </w:r>
      <w:r w:rsidR="004F2078" w:rsidRPr="005021BC">
        <w:rPr>
          <w:rFonts w:cs="Arial"/>
          <w:szCs w:val="20"/>
        </w:rPr>
        <w:t xml:space="preserve">= N * </w:t>
      </w:r>
      <w:r w:rsidRPr="005021BC">
        <w:rPr>
          <w:rFonts w:cs="Arial"/>
          <w:szCs w:val="20"/>
        </w:rPr>
        <w:sym w:font="Symbol" w:char="F044"/>
      </w:r>
      <w:r w:rsidRPr="005021BC">
        <w:rPr>
          <w:rFonts w:cs="Arial"/>
          <w:szCs w:val="20"/>
        </w:rPr>
        <w:t>kWh</w:t>
      </w:r>
      <w:r w:rsidRPr="005021BC">
        <w:rPr>
          <w:rFonts w:cs="Arial"/>
          <w:szCs w:val="20"/>
          <w:vertAlign w:val="subscript"/>
        </w:rPr>
        <w:t>per unit</w:t>
      </w:r>
    </w:p>
    <w:p w:rsidR="004F2078" w:rsidRPr="00975E1F" w:rsidRDefault="004F2078" w:rsidP="00E568D4">
      <w:pPr>
        <w:pStyle w:val="Heading4"/>
      </w:pPr>
      <w:r w:rsidRPr="00975E1F">
        <w:t>Freezer</w:t>
      </w:r>
    </w:p>
    <w:p w:rsidR="004F2078" w:rsidRPr="005021BC" w:rsidRDefault="00277FD6" w:rsidP="00F7332F">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 per unit</w:t>
      </w:r>
      <w:r w:rsidRPr="005021BC">
        <w:rPr>
          <w:rFonts w:cs="Arial"/>
          <w:szCs w:val="20"/>
        </w:rPr>
        <w:tab/>
      </w:r>
      <w:r w:rsidR="004F2078" w:rsidRPr="005021BC">
        <w:rPr>
          <w:rFonts w:cs="Arial"/>
          <w:szCs w:val="20"/>
        </w:rPr>
        <w:t>= (W</w:t>
      </w:r>
      <w:r w:rsidR="004F2078" w:rsidRPr="005021BC">
        <w:rPr>
          <w:rFonts w:cs="Arial"/>
          <w:szCs w:val="20"/>
          <w:vertAlign w:val="subscript"/>
        </w:rPr>
        <w:t>base</w:t>
      </w:r>
      <w:r w:rsidR="004F2078" w:rsidRPr="005021BC">
        <w:rPr>
          <w:rFonts w:cs="Arial"/>
          <w:szCs w:val="20"/>
        </w:rPr>
        <w:t xml:space="preserve"> – W</w:t>
      </w:r>
      <w:r w:rsidR="004F2078" w:rsidRPr="005021BC">
        <w:rPr>
          <w:rFonts w:cs="Arial"/>
          <w:szCs w:val="20"/>
          <w:vertAlign w:val="subscript"/>
        </w:rPr>
        <w:t>ee</w:t>
      </w:r>
      <w:r w:rsidR="004F2078" w:rsidRPr="005021BC">
        <w:rPr>
          <w:rFonts w:cs="Arial"/>
          <w:szCs w:val="20"/>
        </w:rPr>
        <w:t>) / 1,000 * LF * DC</w:t>
      </w:r>
      <w:r w:rsidR="004F2078" w:rsidRPr="005021BC">
        <w:rPr>
          <w:rFonts w:cs="Arial"/>
          <w:szCs w:val="20"/>
          <w:vertAlign w:val="subscript"/>
        </w:rPr>
        <w:t>EvapFreeze</w:t>
      </w:r>
      <w:r w:rsidR="004F2078" w:rsidRPr="005021BC">
        <w:rPr>
          <w:rFonts w:cs="Arial"/>
          <w:szCs w:val="20"/>
        </w:rPr>
        <w:t xml:space="preserve"> * (1 + 1 / (DG * COP</w:t>
      </w:r>
      <w:r w:rsidR="004F2078" w:rsidRPr="005021BC">
        <w:rPr>
          <w:rFonts w:cs="Arial"/>
          <w:szCs w:val="20"/>
          <w:vertAlign w:val="subscript"/>
        </w:rPr>
        <w:t>freezer</w:t>
      </w:r>
      <w:r w:rsidR="004F2078" w:rsidRPr="005021BC">
        <w:rPr>
          <w:rFonts w:cs="Arial"/>
          <w:szCs w:val="20"/>
        </w:rPr>
        <w:t>))</w:t>
      </w:r>
    </w:p>
    <w:p w:rsidR="004F2078" w:rsidRPr="005021BC" w:rsidRDefault="00277FD6" w:rsidP="00F7332F">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vertAlign w:val="subscript"/>
        </w:rPr>
        <w:t>per unit</w:t>
      </w:r>
      <w:r w:rsidRPr="005021BC">
        <w:rPr>
          <w:rFonts w:cs="Arial"/>
          <w:szCs w:val="20"/>
          <w:vertAlign w:val="subscript"/>
        </w:rPr>
        <w:tab/>
      </w:r>
      <w:r w:rsidR="004F2078" w:rsidRPr="005021BC">
        <w:rPr>
          <w:rFonts w:cs="Arial"/>
          <w:szCs w:val="20"/>
        </w:rPr>
        <w:t xml:space="preserve">= </w:t>
      </w:r>
      <w:r w:rsidRPr="005021BC">
        <w:rPr>
          <w:rFonts w:cs="Arial"/>
          <w:szCs w:val="20"/>
        </w:rPr>
        <w:sym w:font="Symbol" w:char="F044"/>
      </w:r>
      <w:r w:rsidRPr="005021BC">
        <w:rPr>
          <w:rFonts w:cs="Arial"/>
          <w:szCs w:val="20"/>
        </w:rPr>
        <w:t>kW</w:t>
      </w:r>
      <w:r w:rsidRPr="005021BC">
        <w:rPr>
          <w:rFonts w:cs="Arial"/>
          <w:szCs w:val="20"/>
          <w:vertAlign w:val="subscript"/>
        </w:rPr>
        <w:t>peak per unit</w:t>
      </w:r>
      <w:r w:rsidRPr="005021BC" w:rsidDel="00277FD6">
        <w:rPr>
          <w:rFonts w:cs="Arial"/>
          <w:szCs w:val="20"/>
        </w:rPr>
        <w:t xml:space="preserve"> </w:t>
      </w:r>
      <w:r w:rsidR="004F2078" w:rsidRPr="005021BC">
        <w:rPr>
          <w:rFonts w:cs="Arial"/>
          <w:szCs w:val="20"/>
        </w:rPr>
        <w:t>* HR</w:t>
      </w:r>
    </w:p>
    <w:p w:rsidR="004F2078" w:rsidRPr="005021BC" w:rsidRDefault="00277FD6" w:rsidP="00F7332F">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sidDel="00277FD6">
        <w:rPr>
          <w:rFonts w:cs="Arial"/>
          <w:szCs w:val="20"/>
        </w:rPr>
        <w:t xml:space="preserve"> </w:t>
      </w:r>
      <w:r w:rsidRPr="005021BC">
        <w:rPr>
          <w:rFonts w:cs="Arial"/>
          <w:szCs w:val="20"/>
        </w:rPr>
        <w:tab/>
      </w:r>
      <w:r w:rsidR="004F2078" w:rsidRPr="005021BC">
        <w:rPr>
          <w:rFonts w:cs="Arial"/>
          <w:szCs w:val="20"/>
        </w:rPr>
        <w:t>= N *</w:t>
      </w:r>
      <w:r w:rsidRPr="005021BC">
        <w:rPr>
          <w:rFonts w:cs="Arial"/>
          <w:szCs w:val="20"/>
        </w:rPr>
        <w:sym w:font="Symbol" w:char="F044"/>
      </w:r>
      <w:r w:rsidRPr="005021BC">
        <w:rPr>
          <w:rFonts w:cs="Arial"/>
          <w:szCs w:val="20"/>
        </w:rPr>
        <w:t>kW</w:t>
      </w:r>
      <w:r w:rsidRPr="005021BC">
        <w:rPr>
          <w:rFonts w:cs="Arial"/>
          <w:szCs w:val="20"/>
          <w:vertAlign w:val="subscript"/>
        </w:rPr>
        <w:t>peak per unit</w:t>
      </w:r>
    </w:p>
    <w:p w:rsidR="004F2078" w:rsidRPr="005021BC" w:rsidRDefault="00277FD6" w:rsidP="00F7332F">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vertAlign w:val="subscript"/>
        </w:rPr>
        <w:tab/>
      </w:r>
      <w:r w:rsidRPr="005021BC">
        <w:rPr>
          <w:rFonts w:cs="Arial"/>
          <w:szCs w:val="20"/>
          <w:vertAlign w:val="subscript"/>
        </w:rPr>
        <w:tab/>
      </w:r>
      <w:r w:rsidR="004F2078" w:rsidRPr="005021BC">
        <w:rPr>
          <w:rFonts w:cs="Arial"/>
          <w:szCs w:val="20"/>
        </w:rPr>
        <w:t xml:space="preserve">= N * </w:t>
      </w:r>
      <w:r w:rsidRPr="005021BC">
        <w:rPr>
          <w:rFonts w:cs="Arial"/>
          <w:szCs w:val="20"/>
        </w:rPr>
        <w:sym w:font="Symbol" w:char="F044"/>
      </w:r>
      <w:r w:rsidRPr="005021BC">
        <w:rPr>
          <w:rFonts w:cs="Arial"/>
          <w:szCs w:val="20"/>
        </w:rPr>
        <w:t>kWh</w:t>
      </w:r>
      <w:r w:rsidRPr="005021BC">
        <w:rPr>
          <w:rFonts w:cs="Arial"/>
          <w:szCs w:val="20"/>
          <w:vertAlign w:val="subscript"/>
        </w:rPr>
        <w:t>per unit</w:t>
      </w:r>
    </w:p>
    <w:p w:rsidR="004F2078" w:rsidRPr="00975E1F" w:rsidRDefault="004F2078" w:rsidP="00E568D4">
      <w:pPr>
        <w:pStyle w:val="Heading4"/>
      </w:pPr>
      <w:r w:rsidRPr="00975E1F">
        <w:t>Default (case service temperature not known)</w:t>
      </w:r>
    </w:p>
    <w:p w:rsidR="004F2078" w:rsidRPr="005021BC" w:rsidRDefault="00277FD6" w:rsidP="00F7332F">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 per unit</w:t>
      </w:r>
      <w:r w:rsidRPr="005021BC">
        <w:rPr>
          <w:rFonts w:cs="Arial"/>
          <w:szCs w:val="20"/>
        </w:rPr>
        <w:tab/>
      </w:r>
      <w:r w:rsidR="004F2078" w:rsidRPr="005021BC">
        <w:rPr>
          <w:rFonts w:cs="Arial"/>
          <w:szCs w:val="20"/>
        </w:rPr>
        <w:t>= {(1-PctCooler) * kW</w:t>
      </w:r>
      <w:r w:rsidR="004F2078" w:rsidRPr="005021BC">
        <w:rPr>
          <w:rFonts w:cs="Arial"/>
          <w:szCs w:val="20"/>
          <w:vertAlign w:val="subscript"/>
        </w:rPr>
        <w:t>Freezer</w:t>
      </w:r>
      <w:r w:rsidR="004F2078" w:rsidRPr="005021BC">
        <w:rPr>
          <w:rFonts w:cs="Arial"/>
          <w:szCs w:val="20"/>
        </w:rPr>
        <w:t>/motor + PctCooler*kW</w:t>
      </w:r>
      <w:r w:rsidR="004F2078" w:rsidRPr="005021BC">
        <w:rPr>
          <w:rFonts w:cs="Arial"/>
          <w:szCs w:val="20"/>
          <w:vertAlign w:val="subscript"/>
        </w:rPr>
        <w:t>Cooler</w:t>
      </w:r>
      <w:r w:rsidR="004F2078" w:rsidRPr="005021BC">
        <w:rPr>
          <w:rFonts w:cs="Arial"/>
          <w:szCs w:val="20"/>
        </w:rPr>
        <w:t xml:space="preserve">/motor} </w:t>
      </w:r>
    </w:p>
    <w:p w:rsidR="004F2078" w:rsidRPr="005021BC" w:rsidRDefault="00277FD6" w:rsidP="00F7332F">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vertAlign w:val="subscript"/>
        </w:rPr>
        <w:t>per unit</w:t>
      </w:r>
      <w:r w:rsidRPr="005021BC">
        <w:rPr>
          <w:rFonts w:cs="Arial"/>
          <w:szCs w:val="20"/>
          <w:vertAlign w:val="subscript"/>
        </w:rPr>
        <w:tab/>
      </w:r>
      <w:r w:rsidR="004F2078" w:rsidRPr="005021BC">
        <w:rPr>
          <w:rFonts w:cs="Arial"/>
          <w:szCs w:val="20"/>
        </w:rPr>
        <w:t xml:space="preserve">= </w:t>
      </w:r>
      <w:r w:rsidRPr="005021BC">
        <w:rPr>
          <w:rFonts w:cs="Arial"/>
          <w:szCs w:val="20"/>
        </w:rPr>
        <w:sym w:font="Symbol" w:char="F044"/>
      </w:r>
      <w:r w:rsidRPr="005021BC">
        <w:rPr>
          <w:rFonts w:cs="Arial"/>
          <w:szCs w:val="20"/>
        </w:rPr>
        <w:t>kW</w:t>
      </w:r>
      <w:r w:rsidRPr="005021BC">
        <w:rPr>
          <w:rFonts w:cs="Arial"/>
          <w:szCs w:val="20"/>
          <w:vertAlign w:val="subscript"/>
        </w:rPr>
        <w:t>peak per unit</w:t>
      </w:r>
      <w:r w:rsidR="004F2078" w:rsidRPr="005021BC">
        <w:rPr>
          <w:rFonts w:cs="Arial"/>
          <w:szCs w:val="20"/>
        </w:rPr>
        <w:t xml:space="preserve"> * HR</w:t>
      </w:r>
    </w:p>
    <w:p w:rsidR="004F2078" w:rsidRPr="005021BC" w:rsidRDefault="00277FD6" w:rsidP="00F7332F">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sidDel="00277FD6">
        <w:rPr>
          <w:rFonts w:cs="Arial"/>
          <w:szCs w:val="20"/>
        </w:rPr>
        <w:t xml:space="preserve"> </w:t>
      </w:r>
      <w:r w:rsidRPr="005021BC">
        <w:rPr>
          <w:rFonts w:cs="Arial"/>
          <w:szCs w:val="20"/>
        </w:rPr>
        <w:tab/>
      </w:r>
      <w:r w:rsidR="004F2078" w:rsidRPr="005021BC">
        <w:rPr>
          <w:rFonts w:cs="Arial"/>
          <w:szCs w:val="20"/>
        </w:rPr>
        <w:t>= N *</w:t>
      </w:r>
      <w:r w:rsidRPr="005021BC">
        <w:rPr>
          <w:rFonts w:cs="Arial"/>
          <w:szCs w:val="20"/>
        </w:rPr>
        <w:sym w:font="Symbol" w:char="F044"/>
      </w:r>
      <w:r w:rsidRPr="005021BC">
        <w:rPr>
          <w:rFonts w:cs="Arial"/>
          <w:szCs w:val="20"/>
        </w:rPr>
        <w:t>kW</w:t>
      </w:r>
      <w:r w:rsidRPr="005021BC">
        <w:rPr>
          <w:rFonts w:cs="Arial"/>
          <w:szCs w:val="20"/>
          <w:vertAlign w:val="subscript"/>
        </w:rPr>
        <w:t>peak per unit</w:t>
      </w:r>
    </w:p>
    <w:p w:rsidR="004F2078" w:rsidRPr="00C63680" w:rsidRDefault="00277FD6" w:rsidP="00F7332F">
      <w:pPr>
        <w:pStyle w:val="Equation"/>
      </w:pPr>
      <w:r w:rsidRPr="005021BC">
        <w:rPr>
          <w:rFonts w:cs="Arial"/>
          <w:szCs w:val="20"/>
        </w:rPr>
        <w:sym w:font="Symbol" w:char="F044"/>
      </w:r>
      <w:r w:rsidRPr="005021BC">
        <w:rPr>
          <w:rFonts w:cs="Arial"/>
          <w:szCs w:val="20"/>
        </w:rPr>
        <w:t>kWh</w:t>
      </w:r>
      <w:r w:rsidRPr="005021BC">
        <w:rPr>
          <w:rFonts w:cs="Arial"/>
          <w:szCs w:val="20"/>
          <w:vertAlign w:val="subscript"/>
        </w:rPr>
        <w:tab/>
      </w:r>
      <w:r w:rsidRPr="005021BC">
        <w:rPr>
          <w:rFonts w:cs="Arial"/>
          <w:szCs w:val="20"/>
          <w:vertAlign w:val="subscript"/>
        </w:rPr>
        <w:tab/>
      </w:r>
      <w:r w:rsidR="004F2078" w:rsidRPr="005021BC">
        <w:rPr>
          <w:rFonts w:cs="Arial"/>
          <w:szCs w:val="20"/>
        </w:rPr>
        <w:t xml:space="preserve">= N * </w:t>
      </w:r>
      <w:r w:rsidRPr="005021BC">
        <w:rPr>
          <w:rFonts w:cs="Arial"/>
          <w:szCs w:val="20"/>
        </w:rPr>
        <w:sym w:font="Symbol" w:char="F044"/>
      </w:r>
      <w:r w:rsidRPr="005021BC">
        <w:rPr>
          <w:rFonts w:cs="Arial"/>
          <w:szCs w:val="20"/>
        </w:rPr>
        <w:t>kWh</w:t>
      </w:r>
      <w:r w:rsidRPr="005021BC">
        <w:rPr>
          <w:rFonts w:cs="Arial"/>
          <w:szCs w:val="20"/>
          <w:vertAlign w:val="subscript"/>
        </w:rPr>
        <w:t>per unit</w:t>
      </w:r>
    </w:p>
    <w:p w:rsidR="004F2078" w:rsidRPr="00AB7DB7" w:rsidRDefault="004F2078" w:rsidP="004F2078">
      <w:pPr>
        <w:rPr>
          <w:rFonts w:ascii="Times New Roman" w:hAnsi="Times New Roman"/>
          <w:position w:val="6"/>
          <w:sz w:val="24"/>
        </w:rPr>
      </w:pPr>
    </w:p>
    <w:p w:rsidR="004F2078" w:rsidRPr="00C33ED8" w:rsidRDefault="004F2078" w:rsidP="00871FA2">
      <w:pPr>
        <w:pStyle w:val="Heading3"/>
      </w:pPr>
      <w:r w:rsidRPr="00021CFD">
        <w:lastRenderedPageBreak/>
        <w:t>Definition</w:t>
      </w:r>
      <w:r w:rsidRPr="00C33ED8">
        <w:t xml:space="preserve"> of Terms</w:t>
      </w:r>
    </w:p>
    <w:p w:rsidR="004F2078" w:rsidRPr="005021BC" w:rsidRDefault="004C1DFF" w:rsidP="00277FD6">
      <w:pPr>
        <w:pStyle w:val="Equation"/>
        <w:keepNext/>
        <w:rPr>
          <w:rFonts w:cs="Arial"/>
          <w:szCs w:val="20"/>
        </w:rPr>
      </w:pPr>
      <w:r w:rsidRPr="005021BC">
        <w:rPr>
          <w:rFonts w:cs="Arial"/>
          <w:szCs w:val="20"/>
        </w:rPr>
        <w:tab/>
      </w:r>
      <w:r w:rsidR="004F2078" w:rsidRPr="005021BC">
        <w:rPr>
          <w:rFonts w:cs="Arial"/>
          <w:szCs w:val="20"/>
        </w:rPr>
        <w:t xml:space="preserve">N </w:t>
      </w:r>
      <w:r w:rsidRPr="005021BC">
        <w:rPr>
          <w:rFonts w:cs="Arial"/>
          <w:szCs w:val="20"/>
        </w:rPr>
        <w:tab/>
      </w:r>
      <w:r w:rsidR="004F2078" w:rsidRPr="005021BC">
        <w:rPr>
          <w:rFonts w:cs="Arial"/>
          <w:szCs w:val="20"/>
        </w:rPr>
        <w:t>= Number of motors replaced</w:t>
      </w:r>
    </w:p>
    <w:p w:rsidR="004F2078" w:rsidRPr="005021BC" w:rsidRDefault="004C1DFF" w:rsidP="004C1DFF">
      <w:pPr>
        <w:pStyle w:val="Equation"/>
        <w:rPr>
          <w:rFonts w:cs="Arial"/>
          <w:szCs w:val="20"/>
        </w:rPr>
      </w:pPr>
      <w:r w:rsidRPr="005021BC">
        <w:rPr>
          <w:rFonts w:cs="Arial"/>
          <w:szCs w:val="20"/>
        </w:rPr>
        <w:tab/>
      </w:r>
      <w:r w:rsidR="004F2078" w:rsidRPr="005021BC">
        <w:rPr>
          <w:rFonts w:cs="Arial"/>
          <w:szCs w:val="20"/>
        </w:rPr>
        <w:t>W</w:t>
      </w:r>
      <w:r w:rsidR="004F2078" w:rsidRPr="005021BC">
        <w:rPr>
          <w:rFonts w:cs="Arial"/>
          <w:szCs w:val="20"/>
          <w:vertAlign w:val="subscript"/>
        </w:rPr>
        <w:t>base</w:t>
      </w:r>
      <w:r w:rsidR="004F2078" w:rsidRPr="005021BC">
        <w:rPr>
          <w:rFonts w:cs="Arial"/>
          <w:szCs w:val="20"/>
        </w:rPr>
        <w:t xml:space="preserve"> </w:t>
      </w:r>
      <w:r w:rsidRPr="005021BC">
        <w:rPr>
          <w:rFonts w:cs="Arial"/>
          <w:szCs w:val="20"/>
        </w:rPr>
        <w:tab/>
      </w:r>
      <w:r w:rsidR="004F2078" w:rsidRPr="005021BC">
        <w:rPr>
          <w:rFonts w:cs="Arial"/>
          <w:szCs w:val="20"/>
        </w:rPr>
        <w:t>= Input wattage of existing/baseline evaporator fan motor</w:t>
      </w:r>
    </w:p>
    <w:p w:rsidR="004F2078" w:rsidRPr="005021BC" w:rsidRDefault="004C1DFF" w:rsidP="004C1DFF">
      <w:pPr>
        <w:pStyle w:val="Equation"/>
        <w:rPr>
          <w:rFonts w:cs="Arial"/>
          <w:szCs w:val="20"/>
        </w:rPr>
      </w:pPr>
      <w:r w:rsidRPr="005021BC">
        <w:rPr>
          <w:rFonts w:cs="Arial"/>
          <w:szCs w:val="20"/>
        </w:rPr>
        <w:tab/>
      </w:r>
      <w:r w:rsidR="004F2078" w:rsidRPr="005021BC">
        <w:rPr>
          <w:rFonts w:cs="Arial"/>
          <w:szCs w:val="20"/>
        </w:rPr>
        <w:t>W</w:t>
      </w:r>
      <w:r w:rsidR="004F2078" w:rsidRPr="005021BC">
        <w:rPr>
          <w:rFonts w:cs="Arial"/>
          <w:szCs w:val="20"/>
          <w:vertAlign w:val="subscript"/>
        </w:rPr>
        <w:t>ee</w:t>
      </w:r>
      <w:r w:rsidR="004F2078" w:rsidRPr="005021BC">
        <w:rPr>
          <w:rFonts w:cs="Arial"/>
          <w:szCs w:val="20"/>
        </w:rPr>
        <w:t xml:space="preserve"> </w:t>
      </w:r>
      <w:r w:rsidRPr="005021BC">
        <w:rPr>
          <w:rFonts w:cs="Arial"/>
          <w:szCs w:val="20"/>
        </w:rPr>
        <w:tab/>
      </w:r>
      <w:r w:rsidR="004F2078" w:rsidRPr="005021BC">
        <w:rPr>
          <w:rFonts w:cs="Arial"/>
          <w:szCs w:val="20"/>
        </w:rPr>
        <w:t>= Input wattage of new energy efficient evaporator fan motor</w:t>
      </w:r>
    </w:p>
    <w:p w:rsidR="004F2078" w:rsidRPr="005021BC" w:rsidRDefault="004C1DFF" w:rsidP="004C1DFF">
      <w:pPr>
        <w:pStyle w:val="Equation"/>
        <w:rPr>
          <w:rFonts w:cs="Arial"/>
          <w:szCs w:val="20"/>
        </w:rPr>
      </w:pPr>
      <w:r w:rsidRPr="005021BC">
        <w:rPr>
          <w:rFonts w:cs="Arial"/>
          <w:szCs w:val="20"/>
        </w:rPr>
        <w:tab/>
      </w:r>
      <w:r w:rsidR="004F2078" w:rsidRPr="005021BC">
        <w:rPr>
          <w:rFonts w:cs="Arial"/>
          <w:szCs w:val="20"/>
        </w:rPr>
        <w:t xml:space="preserve">LF </w:t>
      </w:r>
      <w:r w:rsidRPr="005021BC">
        <w:rPr>
          <w:rFonts w:cs="Arial"/>
          <w:szCs w:val="20"/>
        </w:rPr>
        <w:tab/>
      </w:r>
      <w:r w:rsidR="004F2078" w:rsidRPr="005021BC">
        <w:rPr>
          <w:rFonts w:cs="Arial"/>
          <w:szCs w:val="20"/>
        </w:rPr>
        <w:t>= Load factor of evaporator fan motor</w:t>
      </w:r>
    </w:p>
    <w:p w:rsidR="004F2078" w:rsidRPr="005021BC" w:rsidRDefault="004F2078" w:rsidP="004C1DFF">
      <w:pPr>
        <w:pStyle w:val="Equation"/>
        <w:ind w:hanging="2160"/>
        <w:rPr>
          <w:rFonts w:cs="Arial"/>
          <w:szCs w:val="20"/>
        </w:rPr>
      </w:pPr>
      <w:r w:rsidRPr="005021BC">
        <w:rPr>
          <w:rFonts w:cs="Arial"/>
          <w:szCs w:val="20"/>
        </w:rPr>
        <w:t>DC</w:t>
      </w:r>
      <w:r w:rsidRPr="005021BC">
        <w:rPr>
          <w:rFonts w:cs="Arial"/>
          <w:szCs w:val="20"/>
          <w:vertAlign w:val="subscript"/>
        </w:rPr>
        <w:t xml:space="preserve">EvapCool </w:t>
      </w:r>
      <w:r w:rsidR="004C1DFF" w:rsidRPr="005021BC">
        <w:rPr>
          <w:rFonts w:cs="Arial"/>
          <w:szCs w:val="20"/>
          <w:vertAlign w:val="subscript"/>
        </w:rPr>
        <w:tab/>
      </w:r>
      <w:r w:rsidRPr="005021BC">
        <w:rPr>
          <w:rFonts w:cs="Arial"/>
          <w:szCs w:val="20"/>
        </w:rPr>
        <w:t>= Duty cycle of evaporator fan motor for cooler</w:t>
      </w:r>
    </w:p>
    <w:p w:rsidR="004F2078" w:rsidRPr="005021BC" w:rsidRDefault="004C1DFF" w:rsidP="004C1DFF">
      <w:pPr>
        <w:pStyle w:val="Equation"/>
        <w:rPr>
          <w:rFonts w:cs="Arial"/>
          <w:szCs w:val="20"/>
        </w:rPr>
      </w:pPr>
      <w:r w:rsidRPr="005021BC">
        <w:rPr>
          <w:rFonts w:cs="Arial"/>
          <w:szCs w:val="20"/>
        </w:rPr>
        <w:tab/>
      </w:r>
      <w:r w:rsidR="004F2078" w:rsidRPr="005021BC">
        <w:rPr>
          <w:rFonts w:cs="Arial"/>
          <w:szCs w:val="20"/>
        </w:rPr>
        <w:t>DC</w:t>
      </w:r>
      <w:r w:rsidR="004F2078" w:rsidRPr="005021BC">
        <w:rPr>
          <w:rFonts w:cs="Arial"/>
          <w:szCs w:val="20"/>
          <w:vertAlign w:val="subscript"/>
        </w:rPr>
        <w:t xml:space="preserve">EvapFreeze </w:t>
      </w:r>
      <w:r w:rsidRPr="005021BC">
        <w:rPr>
          <w:rFonts w:cs="Arial"/>
          <w:szCs w:val="20"/>
          <w:vertAlign w:val="subscript"/>
        </w:rPr>
        <w:tab/>
      </w:r>
      <w:r w:rsidR="004F2078" w:rsidRPr="005021BC">
        <w:rPr>
          <w:rFonts w:cs="Arial"/>
          <w:szCs w:val="20"/>
        </w:rPr>
        <w:t>= Duty cycle of evaporator fan motor for freezer</w:t>
      </w:r>
    </w:p>
    <w:p w:rsidR="004F2078" w:rsidRPr="005021BC" w:rsidRDefault="004F2078" w:rsidP="004C1DFF">
      <w:pPr>
        <w:pStyle w:val="Equation"/>
        <w:ind w:hanging="2160"/>
        <w:rPr>
          <w:rFonts w:cs="Arial"/>
          <w:szCs w:val="20"/>
        </w:rPr>
      </w:pPr>
      <w:r w:rsidRPr="005021BC">
        <w:rPr>
          <w:rFonts w:cs="Arial"/>
          <w:szCs w:val="20"/>
        </w:rPr>
        <w:t xml:space="preserve">DG </w:t>
      </w:r>
      <w:r w:rsidR="004C1DFF" w:rsidRPr="005021BC">
        <w:rPr>
          <w:rFonts w:cs="Arial"/>
          <w:szCs w:val="20"/>
        </w:rPr>
        <w:tab/>
      </w:r>
      <w:r w:rsidRPr="005021BC">
        <w:rPr>
          <w:rFonts w:cs="Arial"/>
          <w:szCs w:val="20"/>
        </w:rPr>
        <w:t>= Degradation factor of compressor COP</w:t>
      </w:r>
    </w:p>
    <w:p w:rsidR="004F2078" w:rsidRPr="005021BC" w:rsidRDefault="004C1DFF" w:rsidP="004C1DFF">
      <w:pPr>
        <w:pStyle w:val="Equation"/>
        <w:rPr>
          <w:rFonts w:cs="Arial"/>
          <w:szCs w:val="20"/>
        </w:rPr>
      </w:pPr>
      <w:r w:rsidRPr="005021BC">
        <w:rPr>
          <w:rFonts w:cs="Arial"/>
          <w:szCs w:val="20"/>
        </w:rPr>
        <w:tab/>
      </w:r>
      <w:r w:rsidR="004F2078" w:rsidRPr="005021BC">
        <w:rPr>
          <w:rFonts w:cs="Arial"/>
          <w:szCs w:val="20"/>
        </w:rPr>
        <w:t>COP</w:t>
      </w:r>
      <w:r w:rsidR="004F2078" w:rsidRPr="005021BC">
        <w:rPr>
          <w:rFonts w:cs="Arial"/>
          <w:szCs w:val="20"/>
          <w:vertAlign w:val="subscript"/>
        </w:rPr>
        <w:t>cooler</w:t>
      </w:r>
      <w:r w:rsidR="004F2078" w:rsidRPr="005021BC">
        <w:rPr>
          <w:rFonts w:cs="Arial"/>
          <w:szCs w:val="20"/>
        </w:rPr>
        <w:t xml:space="preserve"> </w:t>
      </w:r>
      <w:r w:rsidRPr="005021BC">
        <w:rPr>
          <w:rFonts w:cs="Arial"/>
          <w:szCs w:val="20"/>
        </w:rPr>
        <w:tab/>
      </w:r>
      <w:r w:rsidR="004F2078" w:rsidRPr="005021BC">
        <w:rPr>
          <w:rFonts w:cs="Arial"/>
          <w:szCs w:val="20"/>
        </w:rPr>
        <w:t>= Coefficient of performance of compressor in the cooler</w:t>
      </w:r>
    </w:p>
    <w:p w:rsidR="004F2078" w:rsidRPr="005021BC" w:rsidRDefault="004C1DFF" w:rsidP="004C1DFF">
      <w:pPr>
        <w:pStyle w:val="Equation"/>
        <w:rPr>
          <w:rFonts w:cs="Arial"/>
          <w:szCs w:val="20"/>
        </w:rPr>
      </w:pPr>
      <w:r w:rsidRPr="005021BC">
        <w:rPr>
          <w:rFonts w:cs="Arial"/>
          <w:szCs w:val="20"/>
        </w:rPr>
        <w:tab/>
      </w:r>
      <w:r w:rsidR="004F2078" w:rsidRPr="005021BC">
        <w:rPr>
          <w:rFonts w:cs="Arial"/>
          <w:szCs w:val="20"/>
        </w:rPr>
        <w:t>COP</w:t>
      </w:r>
      <w:r w:rsidR="004F2078" w:rsidRPr="005021BC">
        <w:rPr>
          <w:rFonts w:cs="Arial"/>
          <w:szCs w:val="20"/>
          <w:vertAlign w:val="subscript"/>
        </w:rPr>
        <w:t>freezer</w:t>
      </w:r>
      <w:r w:rsidRPr="005021BC">
        <w:rPr>
          <w:rFonts w:cs="Arial"/>
          <w:szCs w:val="20"/>
          <w:vertAlign w:val="subscript"/>
        </w:rPr>
        <w:tab/>
      </w:r>
      <w:r w:rsidR="004F2078" w:rsidRPr="005021BC">
        <w:rPr>
          <w:rFonts w:cs="Arial"/>
          <w:szCs w:val="20"/>
        </w:rPr>
        <w:t>= Coefficient of performance of compressor in the freezer</w:t>
      </w:r>
    </w:p>
    <w:p w:rsidR="004F2078" w:rsidRPr="005021BC" w:rsidRDefault="004C1DFF" w:rsidP="004C1DFF">
      <w:pPr>
        <w:pStyle w:val="Equation"/>
        <w:rPr>
          <w:rFonts w:cs="Arial"/>
          <w:szCs w:val="20"/>
        </w:rPr>
      </w:pPr>
      <w:r w:rsidRPr="005021BC">
        <w:rPr>
          <w:rFonts w:cs="Arial"/>
          <w:szCs w:val="20"/>
        </w:rPr>
        <w:tab/>
      </w:r>
      <w:r w:rsidR="004F2078" w:rsidRPr="005021BC">
        <w:rPr>
          <w:rFonts w:cs="Arial"/>
          <w:szCs w:val="20"/>
        </w:rPr>
        <w:t xml:space="preserve">PctCooler </w:t>
      </w:r>
      <w:r w:rsidRPr="005021BC">
        <w:rPr>
          <w:rFonts w:cs="Arial"/>
          <w:szCs w:val="20"/>
        </w:rPr>
        <w:tab/>
      </w:r>
      <w:r w:rsidR="004F2078" w:rsidRPr="005021BC">
        <w:rPr>
          <w:rFonts w:cs="Arial"/>
          <w:szCs w:val="20"/>
        </w:rPr>
        <w:t>= Percentage of walk-in coolers in stores vs. total of freezers and coolers</w:t>
      </w:r>
    </w:p>
    <w:p w:rsidR="004F2078" w:rsidRPr="005021BC" w:rsidRDefault="004C1DFF" w:rsidP="004C1DFF">
      <w:pPr>
        <w:pStyle w:val="Equation"/>
        <w:rPr>
          <w:rFonts w:cs="Arial"/>
          <w:szCs w:val="20"/>
        </w:rPr>
      </w:pPr>
      <w:r w:rsidRPr="005021BC">
        <w:rPr>
          <w:rFonts w:cs="Arial"/>
          <w:szCs w:val="20"/>
        </w:rPr>
        <w:tab/>
      </w:r>
      <w:r w:rsidR="004F2078" w:rsidRPr="005021BC">
        <w:rPr>
          <w:rFonts w:cs="Arial"/>
          <w:szCs w:val="20"/>
        </w:rPr>
        <w:t xml:space="preserve">HR </w:t>
      </w:r>
      <w:r w:rsidRPr="005021BC">
        <w:rPr>
          <w:rFonts w:cs="Arial"/>
          <w:szCs w:val="20"/>
        </w:rPr>
        <w:tab/>
      </w:r>
      <w:r w:rsidR="004F2078" w:rsidRPr="005021BC">
        <w:rPr>
          <w:rFonts w:cs="Arial"/>
          <w:szCs w:val="20"/>
        </w:rPr>
        <w:t>= Operating hours per year</w:t>
      </w:r>
    </w:p>
    <w:p w:rsidR="004F2078" w:rsidRDefault="004F2078" w:rsidP="004F2078">
      <w:pPr>
        <w:jc w:val="center"/>
        <w:rPr>
          <w:rFonts w:ascii="Times New Roman" w:hAnsi="Times New Roman"/>
          <w:b/>
          <w:sz w:val="24"/>
        </w:rPr>
      </w:pPr>
    </w:p>
    <w:p w:rsidR="00717EE4" w:rsidRDefault="00717EE4" w:rsidP="00B20F6B">
      <w:pPr>
        <w:pStyle w:val="Caption"/>
      </w:pPr>
      <w:bookmarkStart w:id="928" w:name="_Toc310875591"/>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39</w:t>
      </w:r>
      <w:r w:rsidR="00274AB1">
        <w:rPr>
          <w:noProof/>
        </w:rPr>
        <w:fldChar w:fldCharType="end"/>
      </w:r>
      <w:r>
        <w:t xml:space="preserve">: </w:t>
      </w:r>
      <w:r w:rsidRPr="009C1FB6">
        <w:t>Variables for High-Efficiency Evaporator Fan Motor</w:t>
      </w:r>
      <w:bookmarkEnd w:id="928"/>
    </w:p>
    <w:tbl>
      <w:tblPr>
        <w:tblW w:w="8640" w:type="dxa"/>
        <w:tblInd w:w="93" w:type="dxa"/>
        <w:tblLayout w:type="fixed"/>
        <w:tblLook w:val="04A0" w:firstRow="1" w:lastRow="0" w:firstColumn="1" w:lastColumn="0" w:noHBand="0" w:noVBand="1"/>
      </w:tblPr>
      <w:tblGrid>
        <w:gridCol w:w="1975"/>
        <w:gridCol w:w="1851"/>
        <w:gridCol w:w="2654"/>
        <w:gridCol w:w="2160"/>
      </w:tblGrid>
      <w:tr w:rsidR="00717EE4" w:rsidRPr="004F2078" w:rsidTr="004C1DFF">
        <w:trPr>
          <w:trHeight w:val="300"/>
        </w:trPr>
        <w:tc>
          <w:tcPr>
            <w:tcW w:w="1280" w:type="dxa"/>
            <w:tcBorders>
              <w:top w:val="single" w:sz="4" w:space="0" w:color="auto"/>
              <w:left w:val="single" w:sz="4" w:space="0" w:color="auto"/>
              <w:bottom w:val="single" w:sz="4" w:space="0" w:color="auto"/>
              <w:right w:val="single" w:sz="4" w:space="0" w:color="auto"/>
            </w:tcBorders>
            <w:shd w:val="clear" w:color="auto" w:fill="BFBFBF"/>
            <w:vAlign w:val="center"/>
          </w:tcPr>
          <w:p w:rsidR="00717EE4" w:rsidRPr="001D6512" w:rsidRDefault="00717EE4" w:rsidP="00C3606E">
            <w:pPr>
              <w:pStyle w:val="TableCell"/>
              <w:spacing w:before="60" w:after="60"/>
              <w:rPr>
                <w:b/>
              </w:rPr>
            </w:pPr>
            <w:r w:rsidRPr="001D6512">
              <w:rPr>
                <w:b/>
              </w:rPr>
              <w:t>Variable</w:t>
            </w:r>
          </w:p>
        </w:tc>
        <w:tc>
          <w:tcPr>
            <w:tcW w:w="1200" w:type="dxa"/>
            <w:tcBorders>
              <w:top w:val="single" w:sz="4" w:space="0" w:color="auto"/>
              <w:left w:val="nil"/>
              <w:bottom w:val="single" w:sz="4" w:space="0" w:color="auto"/>
              <w:right w:val="single" w:sz="4" w:space="0" w:color="auto"/>
            </w:tcBorders>
            <w:shd w:val="clear" w:color="auto" w:fill="BFBFBF"/>
            <w:vAlign w:val="center"/>
          </w:tcPr>
          <w:p w:rsidR="00717EE4" w:rsidRPr="001D6512" w:rsidRDefault="00717EE4" w:rsidP="00C3606E">
            <w:pPr>
              <w:pStyle w:val="TableCell"/>
              <w:spacing w:before="60" w:after="60"/>
              <w:rPr>
                <w:b/>
              </w:rPr>
            </w:pPr>
            <w:r w:rsidRPr="001D6512">
              <w:rPr>
                <w:b/>
              </w:rPr>
              <w:t>Type</w:t>
            </w:r>
          </w:p>
        </w:tc>
        <w:tc>
          <w:tcPr>
            <w:tcW w:w="1720" w:type="dxa"/>
            <w:tcBorders>
              <w:top w:val="single" w:sz="4" w:space="0" w:color="auto"/>
              <w:left w:val="nil"/>
              <w:bottom w:val="single" w:sz="4" w:space="0" w:color="auto"/>
              <w:right w:val="single" w:sz="4" w:space="0" w:color="auto"/>
            </w:tcBorders>
            <w:shd w:val="clear" w:color="auto" w:fill="BFBFBF"/>
            <w:vAlign w:val="center"/>
          </w:tcPr>
          <w:p w:rsidR="00717EE4" w:rsidRPr="001D6512" w:rsidRDefault="00717EE4" w:rsidP="00C3606E">
            <w:pPr>
              <w:pStyle w:val="TableCell"/>
              <w:spacing w:before="60" w:after="60"/>
              <w:rPr>
                <w:b/>
              </w:rPr>
            </w:pPr>
            <w:r w:rsidRPr="001D6512">
              <w:rPr>
                <w:b/>
              </w:rPr>
              <w:t>Value</w:t>
            </w:r>
          </w:p>
        </w:tc>
        <w:tc>
          <w:tcPr>
            <w:tcW w:w="1400" w:type="dxa"/>
            <w:tcBorders>
              <w:top w:val="single" w:sz="4" w:space="0" w:color="auto"/>
              <w:left w:val="nil"/>
              <w:bottom w:val="single" w:sz="4" w:space="0" w:color="auto"/>
              <w:right w:val="single" w:sz="4" w:space="0" w:color="auto"/>
            </w:tcBorders>
            <w:shd w:val="clear" w:color="auto" w:fill="BFBFBF"/>
            <w:vAlign w:val="center"/>
          </w:tcPr>
          <w:p w:rsidR="00717EE4" w:rsidRPr="001D6512" w:rsidRDefault="00717EE4" w:rsidP="00C3606E">
            <w:pPr>
              <w:pStyle w:val="TableCell"/>
              <w:spacing w:before="60" w:after="60"/>
              <w:rPr>
                <w:b/>
              </w:rPr>
            </w:pPr>
            <w:r w:rsidRPr="001D6512">
              <w:rPr>
                <w:b/>
              </w:rPr>
              <w:t>Source</w:t>
            </w:r>
          </w:p>
        </w:tc>
      </w:tr>
      <w:tr w:rsidR="00717EE4" w:rsidRPr="004F2078" w:rsidTr="004C1DFF">
        <w:trPr>
          <w:trHeight w:val="300"/>
        </w:trPr>
        <w:tc>
          <w:tcPr>
            <w:tcW w:w="1280" w:type="dxa"/>
            <w:vMerge w:val="restart"/>
            <w:tcBorders>
              <w:top w:val="nil"/>
              <w:left w:val="single" w:sz="4" w:space="0" w:color="auto"/>
              <w:bottom w:val="single" w:sz="4" w:space="0" w:color="000000"/>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W</w:t>
            </w:r>
            <w:r w:rsidRPr="001D6512">
              <w:rPr>
                <w:color w:val="000000"/>
                <w:vertAlign w:val="subscript"/>
              </w:rPr>
              <w:t>base</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tcPr>
          <w:p w:rsidR="00717EE4" w:rsidRPr="001D6512" w:rsidRDefault="00717EE4" w:rsidP="00C3606E">
            <w:pPr>
              <w:pStyle w:val="TableCell"/>
              <w:spacing w:before="60" w:after="60"/>
            </w:pPr>
            <w:r w:rsidRPr="001D6512">
              <w:t>Fixed</w:t>
            </w:r>
          </w:p>
        </w:tc>
        <w:tc>
          <w:tcPr>
            <w:tcW w:w="1720" w:type="dxa"/>
            <w:tcBorders>
              <w:top w:val="nil"/>
              <w:left w:val="nil"/>
              <w:bottom w:val="single" w:sz="4" w:space="0" w:color="auto"/>
              <w:right w:val="single" w:sz="4" w:space="0" w:color="auto"/>
            </w:tcBorders>
            <w:shd w:val="clear" w:color="auto" w:fill="auto"/>
            <w:vAlign w:val="center"/>
          </w:tcPr>
          <w:p w:rsidR="00717EE4" w:rsidRPr="001D6512" w:rsidRDefault="00717EE4" w:rsidP="00C3606E">
            <w:pPr>
              <w:pStyle w:val="TableCell"/>
              <w:spacing w:before="60" w:after="60"/>
            </w:pPr>
            <w:r w:rsidRPr="001D6512">
              <w:t>Default</w:t>
            </w:r>
          </w:p>
        </w:tc>
        <w:tc>
          <w:tcPr>
            <w:tcW w:w="1400" w:type="dxa"/>
            <w:tcBorders>
              <w:top w:val="nil"/>
              <w:left w:val="nil"/>
              <w:bottom w:val="single" w:sz="4" w:space="0" w:color="auto"/>
              <w:right w:val="single" w:sz="4" w:space="0" w:color="auto"/>
            </w:tcBorders>
            <w:shd w:val="clear" w:color="auto" w:fill="auto"/>
            <w:vAlign w:val="center"/>
          </w:tcPr>
          <w:p w:rsidR="00717EE4" w:rsidRPr="001D6512" w:rsidRDefault="007A1FB6" w:rsidP="00C3606E">
            <w:pPr>
              <w:pStyle w:val="TableCell"/>
              <w:spacing w:before="60" w:after="60"/>
            </w:pPr>
            <w:r w:rsidRPr="001D6512">
              <w:fldChar w:fldCharType="begin"/>
            </w:r>
            <w:r w:rsidR="000C071D" w:rsidRPr="001D6512">
              <w:instrText xml:space="preserve"> REF _Ref275556527 \h </w:instrText>
            </w:r>
            <w:r w:rsidRPr="001D6512">
              <w:fldChar w:fldCharType="separate"/>
            </w:r>
            <w:r w:rsidR="00C0292F">
              <w:t xml:space="preserve">Table </w:t>
            </w:r>
            <w:r w:rsidR="00C0292F">
              <w:rPr>
                <w:noProof/>
              </w:rPr>
              <w:t>3</w:t>
            </w:r>
            <w:r w:rsidR="00C0292F">
              <w:noBreakHyphen/>
            </w:r>
            <w:r w:rsidR="00C0292F">
              <w:rPr>
                <w:noProof/>
              </w:rPr>
              <w:t>40</w:t>
            </w:r>
            <w:r w:rsidRPr="001D6512">
              <w:fldChar w:fldCharType="end"/>
            </w:r>
          </w:p>
        </w:tc>
      </w:tr>
      <w:tr w:rsidR="00717EE4" w:rsidRPr="004F2078" w:rsidTr="004C1DFF">
        <w:trPr>
          <w:trHeight w:val="510"/>
        </w:trPr>
        <w:tc>
          <w:tcPr>
            <w:tcW w:w="1280" w:type="dxa"/>
            <w:vMerge/>
            <w:tcBorders>
              <w:top w:val="nil"/>
              <w:left w:val="single" w:sz="4" w:space="0" w:color="auto"/>
              <w:bottom w:val="single" w:sz="4" w:space="0" w:color="000000"/>
              <w:right w:val="single" w:sz="4" w:space="0" w:color="auto"/>
            </w:tcBorders>
            <w:vAlign w:val="center"/>
          </w:tcPr>
          <w:p w:rsidR="00CD05FA" w:rsidRPr="001D6512" w:rsidRDefault="00CD05FA" w:rsidP="00C3606E">
            <w:pPr>
              <w:pStyle w:val="TableCell"/>
              <w:spacing w:before="60" w:after="60"/>
              <w:rPr>
                <w:color w:val="000000"/>
              </w:rPr>
            </w:pPr>
          </w:p>
        </w:tc>
        <w:tc>
          <w:tcPr>
            <w:tcW w:w="1200" w:type="dxa"/>
            <w:vMerge/>
            <w:tcBorders>
              <w:top w:val="nil"/>
              <w:left w:val="single" w:sz="4" w:space="0" w:color="auto"/>
              <w:bottom w:val="single" w:sz="4" w:space="0" w:color="000000"/>
              <w:right w:val="single" w:sz="4" w:space="0" w:color="auto"/>
            </w:tcBorders>
            <w:vAlign w:val="center"/>
          </w:tcPr>
          <w:p w:rsidR="00CD05FA" w:rsidRPr="001D6512" w:rsidRDefault="00CD05FA" w:rsidP="00C3606E">
            <w:pPr>
              <w:pStyle w:val="TableCell"/>
              <w:spacing w:before="60" w:after="60"/>
            </w:pPr>
          </w:p>
        </w:tc>
        <w:tc>
          <w:tcPr>
            <w:tcW w:w="1720" w:type="dxa"/>
            <w:tcBorders>
              <w:top w:val="nil"/>
              <w:left w:val="nil"/>
              <w:bottom w:val="single" w:sz="4" w:space="0" w:color="auto"/>
              <w:right w:val="single" w:sz="4" w:space="0" w:color="auto"/>
            </w:tcBorders>
            <w:shd w:val="clear" w:color="auto" w:fill="auto"/>
            <w:vAlign w:val="center"/>
          </w:tcPr>
          <w:p w:rsidR="00CD05FA" w:rsidRPr="001D6512" w:rsidRDefault="00717EE4" w:rsidP="00C3606E">
            <w:pPr>
              <w:pStyle w:val="TableCell"/>
              <w:spacing w:before="60" w:after="60"/>
              <w:rPr>
                <w:rFonts w:eastAsia="Arial Unicode MS" w:cs="Arial"/>
                <w:i/>
                <w:iCs/>
                <w:szCs w:val="24"/>
              </w:rPr>
            </w:pPr>
            <w:r w:rsidRPr="001D6512">
              <w:t>Nameplate Input Wattage</w:t>
            </w:r>
          </w:p>
        </w:tc>
        <w:tc>
          <w:tcPr>
            <w:tcW w:w="1400" w:type="dxa"/>
            <w:tcBorders>
              <w:top w:val="nil"/>
              <w:left w:val="nil"/>
              <w:bottom w:val="single" w:sz="4" w:space="0" w:color="auto"/>
              <w:right w:val="single" w:sz="4" w:space="0" w:color="auto"/>
            </w:tcBorders>
            <w:shd w:val="clear" w:color="auto" w:fill="auto"/>
            <w:vAlign w:val="center"/>
          </w:tcPr>
          <w:p w:rsidR="00CD05FA" w:rsidRPr="001D6512" w:rsidRDefault="00717EE4" w:rsidP="00C3606E">
            <w:pPr>
              <w:pStyle w:val="TableCell"/>
              <w:spacing w:before="60" w:after="60"/>
              <w:rPr>
                <w:rFonts w:eastAsia="Arial Unicode MS" w:cs="Arial"/>
                <w:i/>
                <w:iCs/>
                <w:szCs w:val="24"/>
              </w:rPr>
            </w:pPr>
            <w:r w:rsidRPr="001D6512">
              <w:t>EDC Data Gathering</w:t>
            </w:r>
          </w:p>
        </w:tc>
      </w:tr>
      <w:tr w:rsidR="00717EE4" w:rsidRPr="004F2078" w:rsidTr="004C1DFF">
        <w:trPr>
          <w:trHeight w:val="300"/>
        </w:trPr>
        <w:tc>
          <w:tcPr>
            <w:tcW w:w="1280" w:type="dxa"/>
            <w:vMerge w:val="restart"/>
            <w:tcBorders>
              <w:top w:val="nil"/>
              <w:left w:val="single" w:sz="4" w:space="0" w:color="auto"/>
              <w:bottom w:val="single" w:sz="4" w:space="0" w:color="000000"/>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W</w:t>
            </w:r>
            <w:r w:rsidRPr="001D6512">
              <w:rPr>
                <w:color w:val="000000"/>
                <w:vertAlign w:val="subscript"/>
              </w:rPr>
              <w:t>ee</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tcPr>
          <w:p w:rsidR="00717EE4" w:rsidRPr="001D6512" w:rsidRDefault="00717EE4" w:rsidP="00C3606E">
            <w:pPr>
              <w:pStyle w:val="TableCell"/>
              <w:spacing w:before="60" w:after="60"/>
            </w:pPr>
            <w:r w:rsidRPr="001D6512">
              <w:t>Variable</w:t>
            </w:r>
          </w:p>
        </w:tc>
        <w:tc>
          <w:tcPr>
            <w:tcW w:w="1720" w:type="dxa"/>
            <w:tcBorders>
              <w:top w:val="nil"/>
              <w:left w:val="nil"/>
              <w:bottom w:val="single" w:sz="4" w:space="0" w:color="auto"/>
              <w:right w:val="single" w:sz="4" w:space="0" w:color="auto"/>
            </w:tcBorders>
            <w:shd w:val="clear" w:color="auto" w:fill="auto"/>
            <w:vAlign w:val="center"/>
          </w:tcPr>
          <w:p w:rsidR="00717EE4" w:rsidRPr="001D6512" w:rsidRDefault="00717EE4" w:rsidP="00C3606E">
            <w:pPr>
              <w:pStyle w:val="TableCell"/>
              <w:spacing w:before="60" w:after="60"/>
            </w:pPr>
            <w:r w:rsidRPr="001D6512">
              <w:t>Default</w:t>
            </w:r>
          </w:p>
        </w:tc>
        <w:tc>
          <w:tcPr>
            <w:tcW w:w="1400" w:type="dxa"/>
            <w:tcBorders>
              <w:top w:val="nil"/>
              <w:left w:val="nil"/>
              <w:bottom w:val="single" w:sz="4" w:space="0" w:color="auto"/>
              <w:right w:val="single" w:sz="4" w:space="0" w:color="auto"/>
            </w:tcBorders>
            <w:shd w:val="clear" w:color="auto" w:fill="auto"/>
            <w:vAlign w:val="center"/>
          </w:tcPr>
          <w:p w:rsidR="00717EE4" w:rsidRPr="001D6512" w:rsidRDefault="007A1FB6" w:rsidP="00C3606E">
            <w:pPr>
              <w:pStyle w:val="TableCell"/>
              <w:spacing w:before="60" w:after="60"/>
            </w:pPr>
            <w:r w:rsidRPr="001D6512">
              <w:fldChar w:fldCharType="begin"/>
            </w:r>
            <w:r w:rsidR="000C071D" w:rsidRPr="001D6512">
              <w:instrText xml:space="preserve"> REF _Ref275556527 \h </w:instrText>
            </w:r>
            <w:r w:rsidRPr="001D6512">
              <w:fldChar w:fldCharType="separate"/>
            </w:r>
            <w:r w:rsidR="00C0292F">
              <w:t xml:space="preserve">Table </w:t>
            </w:r>
            <w:r w:rsidR="00C0292F">
              <w:rPr>
                <w:noProof/>
              </w:rPr>
              <w:t>3</w:t>
            </w:r>
            <w:r w:rsidR="00C0292F">
              <w:noBreakHyphen/>
            </w:r>
            <w:r w:rsidR="00C0292F">
              <w:rPr>
                <w:noProof/>
              </w:rPr>
              <w:t>40</w:t>
            </w:r>
            <w:r w:rsidRPr="001D6512">
              <w:fldChar w:fldCharType="end"/>
            </w:r>
          </w:p>
        </w:tc>
      </w:tr>
      <w:tr w:rsidR="00717EE4" w:rsidRPr="004F2078" w:rsidTr="004C1DFF">
        <w:trPr>
          <w:trHeight w:val="510"/>
        </w:trPr>
        <w:tc>
          <w:tcPr>
            <w:tcW w:w="1280" w:type="dxa"/>
            <w:vMerge/>
            <w:tcBorders>
              <w:top w:val="nil"/>
              <w:left w:val="single" w:sz="4" w:space="0" w:color="auto"/>
              <w:bottom w:val="single" w:sz="4" w:space="0" w:color="000000"/>
              <w:right w:val="single" w:sz="4" w:space="0" w:color="auto"/>
            </w:tcBorders>
            <w:vAlign w:val="center"/>
          </w:tcPr>
          <w:p w:rsidR="00CD05FA" w:rsidRPr="001D6512" w:rsidRDefault="00CD05FA" w:rsidP="00C3606E">
            <w:pPr>
              <w:pStyle w:val="TableCell"/>
              <w:spacing w:before="60" w:after="60"/>
              <w:rPr>
                <w:color w:val="000000"/>
              </w:rPr>
            </w:pPr>
          </w:p>
        </w:tc>
        <w:tc>
          <w:tcPr>
            <w:tcW w:w="1200" w:type="dxa"/>
            <w:vMerge/>
            <w:tcBorders>
              <w:top w:val="nil"/>
              <w:left w:val="single" w:sz="4" w:space="0" w:color="auto"/>
              <w:bottom w:val="single" w:sz="4" w:space="0" w:color="000000"/>
              <w:right w:val="single" w:sz="4" w:space="0" w:color="auto"/>
            </w:tcBorders>
            <w:vAlign w:val="center"/>
          </w:tcPr>
          <w:p w:rsidR="00CD05FA" w:rsidRPr="001D6512" w:rsidRDefault="00CD05FA" w:rsidP="00C3606E">
            <w:pPr>
              <w:pStyle w:val="TableCell"/>
              <w:spacing w:before="60" w:after="60"/>
            </w:pPr>
          </w:p>
        </w:tc>
        <w:tc>
          <w:tcPr>
            <w:tcW w:w="1720" w:type="dxa"/>
            <w:tcBorders>
              <w:top w:val="nil"/>
              <w:left w:val="nil"/>
              <w:bottom w:val="single" w:sz="4" w:space="0" w:color="auto"/>
              <w:right w:val="single" w:sz="4" w:space="0" w:color="auto"/>
            </w:tcBorders>
            <w:shd w:val="clear" w:color="auto" w:fill="auto"/>
            <w:vAlign w:val="center"/>
          </w:tcPr>
          <w:p w:rsidR="00CD05FA" w:rsidRPr="001D6512" w:rsidRDefault="00717EE4" w:rsidP="00C3606E">
            <w:pPr>
              <w:pStyle w:val="TableCell"/>
              <w:spacing w:before="60" w:after="60"/>
              <w:rPr>
                <w:rFonts w:eastAsia="Arial Unicode MS" w:cs="Arial"/>
                <w:i/>
                <w:iCs/>
                <w:szCs w:val="24"/>
              </w:rPr>
            </w:pPr>
            <w:r w:rsidRPr="001D6512">
              <w:t>Nameplate Input Wattage</w:t>
            </w:r>
          </w:p>
        </w:tc>
        <w:tc>
          <w:tcPr>
            <w:tcW w:w="1400" w:type="dxa"/>
            <w:tcBorders>
              <w:top w:val="nil"/>
              <w:left w:val="nil"/>
              <w:bottom w:val="single" w:sz="4" w:space="0" w:color="auto"/>
              <w:right w:val="single" w:sz="4" w:space="0" w:color="auto"/>
            </w:tcBorders>
            <w:shd w:val="clear" w:color="auto" w:fill="auto"/>
            <w:vAlign w:val="center"/>
          </w:tcPr>
          <w:p w:rsidR="00CD05FA" w:rsidRPr="001D6512" w:rsidRDefault="00717EE4" w:rsidP="00C3606E">
            <w:pPr>
              <w:pStyle w:val="TableCell"/>
              <w:spacing w:before="60" w:after="60"/>
              <w:rPr>
                <w:rFonts w:eastAsia="Arial Unicode MS" w:cs="Arial"/>
                <w:i/>
                <w:iCs/>
                <w:szCs w:val="24"/>
              </w:rPr>
            </w:pPr>
            <w:r w:rsidRPr="001D6512">
              <w:t>EDC Data Gathering</w:t>
            </w:r>
          </w:p>
        </w:tc>
      </w:tr>
      <w:tr w:rsidR="00717EE4" w:rsidRPr="004F2078" w:rsidTr="004C1DFF">
        <w:trPr>
          <w:trHeight w:val="300"/>
        </w:trPr>
        <w:tc>
          <w:tcPr>
            <w:tcW w:w="1280" w:type="dxa"/>
            <w:tcBorders>
              <w:top w:val="nil"/>
              <w:left w:val="single" w:sz="4" w:space="0" w:color="auto"/>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LF</w:t>
            </w:r>
          </w:p>
        </w:tc>
        <w:tc>
          <w:tcPr>
            <w:tcW w:w="1200" w:type="dxa"/>
            <w:tcBorders>
              <w:top w:val="nil"/>
              <w:left w:val="nil"/>
              <w:bottom w:val="single" w:sz="4" w:space="0" w:color="auto"/>
              <w:right w:val="single" w:sz="4" w:space="0" w:color="auto"/>
            </w:tcBorders>
            <w:shd w:val="clear" w:color="auto" w:fill="auto"/>
            <w:vAlign w:val="center"/>
          </w:tcPr>
          <w:p w:rsidR="00717EE4" w:rsidRPr="001D6512" w:rsidRDefault="00717EE4" w:rsidP="00C3606E">
            <w:pPr>
              <w:pStyle w:val="TableCell"/>
              <w:spacing w:before="60" w:after="60"/>
            </w:pPr>
            <w:r w:rsidRPr="001D6512">
              <w:t>Fixed</w:t>
            </w:r>
          </w:p>
        </w:tc>
        <w:tc>
          <w:tcPr>
            <w:tcW w:w="1720" w:type="dxa"/>
            <w:tcBorders>
              <w:top w:val="nil"/>
              <w:left w:val="nil"/>
              <w:bottom w:val="single" w:sz="4" w:space="0" w:color="auto"/>
              <w:right w:val="single" w:sz="4" w:space="0" w:color="auto"/>
            </w:tcBorders>
            <w:shd w:val="clear" w:color="auto" w:fill="auto"/>
            <w:vAlign w:val="center"/>
          </w:tcPr>
          <w:p w:rsidR="00717EE4" w:rsidRPr="001D6512" w:rsidRDefault="00717EE4" w:rsidP="00C3606E">
            <w:pPr>
              <w:pStyle w:val="TableCell"/>
              <w:spacing w:before="60" w:after="60"/>
            </w:pPr>
            <w:r w:rsidRPr="001D6512">
              <w:t>0.9</w:t>
            </w:r>
          </w:p>
        </w:tc>
        <w:tc>
          <w:tcPr>
            <w:tcW w:w="1400" w:type="dxa"/>
            <w:tcBorders>
              <w:top w:val="nil"/>
              <w:left w:val="nil"/>
              <w:bottom w:val="single" w:sz="4" w:space="0" w:color="auto"/>
              <w:right w:val="single" w:sz="4" w:space="0" w:color="auto"/>
            </w:tcBorders>
            <w:shd w:val="clear" w:color="auto" w:fill="auto"/>
            <w:vAlign w:val="center"/>
          </w:tcPr>
          <w:p w:rsidR="00717EE4" w:rsidRPr="001D6512" w:rsidRDefault="00717EE4" w:rsidP="00C3606E">
            <w:pPr>
              <w:pStyle w:val="TableCell"/>
              <w:spacing w:before="60" w:after="60"/>
            </w:pPr>
            <w:r w:rsidRPr="001D6512">
              <w:t>1</w:t>
            </w:r>
          </w:p>
        </w:tc>
      </w:tr>
      <w:tr w:rsidR="00717EE4" w:rsidRPr="004F2078" w:rsidTr="004C1DFF">
        <w:trPr>
          <w:trHeight w:val="315"/>
        </w:trPr>
        <w:tc>
          <w:tcPr>
            <w:tcW w:w="1280" w:type="dxa"/>
            <w:tcBorders>
              <w:top w:val="nil"/>
              <w:left w:val="single" w:sz="4" w:space="0" w:color="auto"/>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DC</w:t>
            </w:r>
            <w:r w:rsidRPr="001D6512">
              <w:rPr>
                <w:color w:val="000000"/>
                <w:vertAlign w:val="subscript"/>
              </w:rPr>
              <w:t>EvapCool</w:t>
            </w:r>
          </w:p>
        </w:tc>
        <w:tc>
          <w:tcPr>
            <w:tcW w:w="1200"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Fixed</w:t>
            </w:r>
          </w:p>
        </w:tc>
        <w:tc>
          <w:tcPr>
            <w:tcW w:w="1720"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100%</w:t>
            </w:r>
          </w:p>
        </w:tc>
        <w:tc>
          <w:tcPr>
            <w:tcW w:w="1400"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2</w:t>
            </w:r>
          </w:p>
        </w:tc>
      </w:tr>
      <w:tr w:rsidR="00717EE4" w:rsidRPr="004F2078" w:rsidTr="004C1DFF">
        <w:trPr>
          <w:trHeight w:val="315"/>
        </w:trPr>
        <w:tc>
          <w:tcPr>
            <w:tcW w:w="1280" w:type="dxa"/>
            <w:tcBorders>
              <w:top w:val="nil"/>
              <w:left w:val="single" w:sz="4" w:space="0" w:color="auto"/>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DC</w:t>
            </w:r>
            <w:r w:rsidRPr="001D6512">
              <w:rPr>
                <w:color w:val="000000"/>
                <w:vertAlign w:val="subscript"/>
              </w:rPr>
              <w:t>EvapFreeze</w:t>
            </w:r>
          </w:p>
        </w:tc>
        <w:tc>
          <w:tcPr>
            <w:tcW w:w="1200"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Fixed</w:t>
            </w:r>
          </w:p>
        </w:tc>
        <w:tc>
          <w:tcPr>
            <w:tcW w:w="1720"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94.4%</w:t>
            </w:r>
          </w:p>
        </w:tc>
        <w:tc>
          <w:tcPr>
            <w:tcW w:w="1400"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2</w:t>
            </w:r>
          </w:p>
        </w:tc>
      </w:tr>
      <w:tr w:rsidR="00717EE4" w:rsidRPr="004F2078" w:rsidTr="004C1DFF">
        <w:trPr>
          <w:trHeight w:val="300"/>
        </w:trPr>
        <w:tc>
          <w:tcPr>
            <w:tcW w:w="1280" w:type="dxa"/>
            <w:tcBorders>
              <w:top w:val="nil"/>
              <w:left w:val="single" w:sz="4" w:space="0" w:color="auto"/>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DG</w:t>
            </w:r>
          </w:p>
        </w:tc>
        <w:tc>
          <w:tcPr>
            <w:tcW w:w="1200"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Fixed</w:t>
            </w:r>
          </w:p>
        </w:tc>
        <w:tc>
          <w:tcPr>
            <w:tcW w:w="1720"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0.98</w:t>
            </w:r>
          </w:p>
        </w:tc>
        <w:tc>
          <w:tcPr>
            <w:tcW w:w="1400"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3</w:t>
            </w:r>
          </w:p>
        </w:tc>
      </w:tr>
      <w:tr w:rsidR="00717EE4" w:rsidRPr="004F2078" w:rsidTr="004C1DFF">
        <w:trPr>
          <w:trHeight w:val="315"/>
        </w:trPr>
        <w:tc>
          <w:tcPr>
            <w:tcW w:w="1280" w:type="dxa"/>
            <w:tcBorders>
              <w:top w:val="nil"/>
              <w:left w:val="single" w:sz="4" w:space="0" w:color="auto"/>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COP</w:t>
            </w:r>
            <w:r w:rsidRPr="001D6512">
              <w:rPr>
                <w:color w:val="000000"/>
                <w:vertAlign w:val="subscript"/>
              </w:rPr>
              <w:t>cooler</w:t>
            </w:r>
          </w:p>
        </w:tc>
        <w:tc>
          <w:tcPr>
            <w:tcW w:w="1200"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Fixed</w:t>
            </w:r>
          </w:p>
        </w:tc>
        <w:tc>
          <w:tcPr>
            <w:tcW w:w="1720"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2.5</w:t>
            </w:r>
          </w:p>
        </w:tc>
        <w:tc>
          <w:tcPr>
            <w:tcW w:w="1400"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1</w:t>
            </w:r>
          </w:p>
        </w:tc>
      </w:tr>
      <w:tr w:rsidR="00717EE4" w:rsidRPr="004F2078" w:rsidTr="004C1DFF">
        <w:trPr>
          <w:trHeight w:val="315"/>
        </w:trPr>
        <w:tc>
          <w:tcPr>
            <w:tcW w:w="1280" w:type="dxa"/>
            <w:tcBorders>
              <w:top w:val="nil"/>
              <w:left w:val="single" w:sz="4" w:space="0" w:color="auto"/>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COP</w:t>
            </w:r>
            <w:r w:rsidRPr="001D6512">
              <w:rPr>
                <w:color w:val="000000"/>
                <w:vertAlign w:val="subscript"/>
              </w:rPr>
              <w:t>freezer</w:t>
            </w:r>
          </w:p>
        </w:tc>
        <w:tc>
          <w:tcPr>
            <w:tcW w:w="1200"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Fixed</w:t>
            </w:r>
          </w:p>
        </w:tc>
        <w:tc>
          <w:tcPr>
            <w:tcW w:w="1720"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1.3</w:t>
            </w:r>
          </w:p>
        </w:tc>
        <w:tc>
          <w:tcPr>
            <w:tcW w:w="1400"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1</w:t>
            </w:r>
          </w:p>
        </w:tc>
      </w:tr>
      <w:tr w:rsidR="00717EE4" w:rsidRPr="004F2078" w:rsidTr="004C1DFF">
        <w:trPr>
          <w:trHeight w:val="300"/>
        </w:trPr>
        <w:tc>
          <w:tcPr>
            <w:tcW w:w="1280" w:type="dxa"/>
            <w:tcBorders>
              <w:top w:val="nil"/>
              <w:left w:val="single" w:sz="4" w:space="0" w:color="auto"/>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PctCooler</w:t>
            </w:r>
          </w:p>
        </w:tc>
        <w:tc>
          <w:tcPr>
            <w:tcW w:w="1200"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Fixed</w:t>
            </w:r>
          </w:p>
        </w:tc>
        <w:tc>
          <w:tcPr>
            <w:tcW w:w="1720"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69%</w:t>
            </w:r>
          </w:p>
        </w:tc>
        <w:tc>
          <w:tcPr>
            <w:tcW w:w="1400"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3</w:t>
            </w:r>
          </w:p>
        </w:tc>
      </w:tr>
      <w:tr w:rsidR="00717EE4" w:rsidRPr="004F2078" w:rsidTr="004C1DFF">
        <w:trPr>
          <w:trHeight w:val="300"/>
        </w:trPr>
        <w:tc>
          <w:tcPr>
            <w:tcW w:w="1280" w:type="dxa"/>
            <w:tcBorders>
              <w:top w:val="nil"/>
              <w:left w:val="single" w:sz="4" w:space="0" w:color="auto"/>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HR</w:t>
            </w:r>
          </w:p>
        </w:tc>
        <w:tc>
          <w:tcPr>
            <w:tcW w:w="1200"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Fixed</w:t>
            </w:r>
          </w:p>
        </w:tc>
        <w:tc>
          <w:tcPr>
            <w:tcW w:w="1720"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8,273</w:t>
            </w:r>
          </w:p>
        </w:tc>
        <w:tc>
          <w:tcPr>
            <w:tcW w:w="1400" w:type="dxa"/>
            <w:tcBorders>
              <w:top w:val="nil"/>
              <w:left w:val="nil"/>
              <w:bottom w:val="single" w:sz="4" w:space="0" w:color="auto"/>
              <w:right w:val="single" w:sz="4" w:space="0" w:color="auto"/>
            </w:tcBorders>
            <w:shd w:val="clear" w:color="auto" w:fill="auto"/>
            <w:noWrap/>
            <w:vAlign w:val="center"/>
          </w:tcPr>
          <w:p w:rsidR="00717EE4" w:rsidRPr="001D6512" w:rsidRDefault="00717EE4" w:rsidP="00C3606E">
            <w:pPr>
              <w:pStyle w:val="TableCell"/>
              <w:spacing w:before="60" w:after="60"/>
              <w:rPr>
                <w:color w:val="000000"/>
              </w:rPr>
            </w:pPr>
            <w:r w:rsidRPr="001D6512">
              <w:rPr>
                <w:color w:val="000000"/>
              </w:rPr>
              <w:t>2</w:t>
            </w:r>
          </w:p>
        </w:tc>
      </w:tr>
    </w:tbl>
    <w:p w:rsidR="004C1DFF" w:rsidRDefault="004C1DFF" w:rsidP="00DE12EC">
      <w:pPr>
        <w:pStyle w:val="Caption"/>
        <w:keepNext w:val="0"/>
        <w:spacing w:before="0" w:after="0"/>
      </w:pPr>
    </w:p>
    <w:p w:rsidR="004C1DFF" w:rsidRPr="00BC5194" w:rsidRDefault="004C1DFF" w:rsidP="00DE12EC">
      <w:pPr>
        <w:keepNext/>
        <w:rPr>
          <w:b/>
        </w:rPr>
      </w:pPr>
      <w:r w:rsidRPr="00BC5194">
        <w:rPr>
          <w:b/>
        </w:rPr>
        <w:lastRenderedPageBreak/>
        <w:t>Sources:</w:t>
      </w:r>
    </w:p>
    <w:p w:rsidR="004C1DFF" w:rsidRDefault="004C1DFF" w:rsidP="0005632A">
      <w:pPr>
        <w:pStyle w:val="source1"/>
        <w:numPr>
          <w:ilvl w:val="0"/>
          <w:numId w:val="48"/>
        </w:numPr>
      </w:pPr>
      <w:r>
        <w:t>PSC of Wisconsin, Focus on Energy Evaluation, Business Programs: Deemed Savings Manual V1.0, p. 4-103 to 4-106.</w:t>
      </w:r>
    </w:p>
    <w:p w:rsidR="004C1DFF" w:rsidRDefault="004C1DFF" w:rsidP="00C3606E">
      <w:pPr>
        <w:pStyle w:val="source1"/>
      </w:pPr>
      <w:r>
        <w:t>Efficiency Vermont, Technical Reference Manual 2009-54, 12/08. Hours of operation accounts for defrosting periods where motor is not operating.</w:t>
      </w:r>
    </w:p>
    <w:p w:rsidR="004C1DFF" w:rsidRDefault="004C1DFF" w:rsidP="00C3606E">
      <w:pPr>
        <w:pStyle w:val="source1"/>
      </w:pPr>
      <w:r>
        <w:t>PECI presentation to Regional Technical Forum (RTF) as part of the Northwest Power &amp; Conservation Council, Energy Smart March 2009 SP to ECM – 090223.ppt. Accessed from RTF website http://www.nwcouncil.org/energy/rtf/meetings/2009/03/default.htm on September 7, 2010.</w:t>
      </w:r>
    </w:p>
    <w:p w:rsidR="00717EE4" w:rsidRDefault="00717EE4" w:rsidP="00B20F6B">
      <w:pPr>
        <w:pStyle w:val="Caption"/>
      </w:pPr>
      <w:bookmarkStart w:id="929" w:name="_Ref275556527"/>
      <w:bookmarkStart w:id="930" w:name="_Toc310875592"/>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40</w:t>
      </w:r>
      <w:r w:rsidR="00274AB1">
        <w:rPr>
          <w:noProof/>
        </w:rPr>
        <w:fldChar w:fldCharType="end"/>
      </w:r>
      <w:bookmarkEnd w:id="929"/>
      <w:r>
        <w:t xml:space="preserve">: </w:t>
      </w:r>
      <w:r w:rsidRPr="002D7C50">
        <w:t>Variables for HE Evaporator Fan Motor</w:t>
      </w:r>
      <w:bookmarkEnd w:id="930"/>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621"/>
        <w:gridCol w:w="1118"/>
        <w:gridCol w:w="872"/>
        <w:gridCol w:w="1289"/>
        <w:gridCol w:w="905"/>
        <w:gridCol w:w="964"/>
        <w:gridCol w:w="782"/>
        <w:gridCol w:w="1203"/>
        <w:gridCol w:w="740"/>
      </w:tblGrid>
      <w:tr w:rsidR="004F2078" w:rsidRPr="00ED2F39" w:rsidTr="004C1DFF">
        <w:trPr>
          <w:trHeight w:val="870"/>
          <w:jc w:val="center"/>
        </w:trPr>
        <w:tc>
          <w:tcPr>
            <w:tcW w:w="1621"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rPr>
            </w:pPr>
            <w:r w:rsidRPr="001D6512">
              <w:rPr>
                <w:b/>
              </w:rPr>
              <w:t>Motor Category</w:t>
            </w:r>
          </w:p>
        </w:tc>
        <w:tc>
          <w:tcPr>
            <w:tcW w:w="1118"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rPr>
            </w:pPr>
            <w:r w:rsidRPr="001D6512">
              <w:rPr>
                <w:b/>
              </w:rPr>
              <w:t>Weighting Number (population)</w:t>
            </w:r>
            <w:r w:rsidRPr="001D6512">
              <w:rPr>
                <w:b/>
                <w:vertAlign w:val="superscript"/>
              </w:rPr>
              <w:t>2</w:t>
            </w:r>
          </w:p>
        </w:tc>
        <w:tc>
          <w:tcPr>
            <w:tcW w:w="872"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rPr>
            </w:pPr>
            <w:r w:rsidRPr="001D6512">
              <w:rPr>
                <w:b/>
              </w:rPr>
              <w:t>Motor Output Watts</w:t>
            </w:r>
          </w:p>
        </w:tc>
        <w:tc>
          <w:tcPr>
            <w:tcW w:w="1289"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rPr>
            </w:pPr>
            <w:r w:rsidRPr="001D6512">
              <w:rPr>
                <w:b/>
              </w:rPr>
              <w:t>SP Efficiency</w:t>
            </w:r>
            <w:r w:rsidRPr="001D6512">
              <w:rPr>
                <w:b/>
                <w:vertAlign w:val="superscript"/>
              </w:rPr>
              <w:t>1,2</w:t>
            </w:r>
          </w:p>
        </w:tc>
        <w:tc>
          <w:tcPr>
            <w:tcW w:w="905"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rPr>
            </w:pPr>
            <w:r w:rsidRPr="001D6512">
              <w:rPr>
                <w:b/>
              </w:rPr>
              <w:t>SP Input Watts</w:t>
            </w:r>
          </w:p>
        </w:tc>
        <w:tc>
          <w:tcPr>
            <w:tcW w:w="964"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rPr>
            </w:pPr>
            <w:r w:rsidRPr="001D6512">
              <w:rPr>
                <w:b/>
              </w:rPr>
              <w:t>PSC Efficiency</w:t>
            </w:r>
            <w:r w:rsidRPr="001D6512">
              <w:rPr>
                <w:b/>
                <w:vertAlign w:val="superscript"/>
              </w:rPr>
              <w:t>3</w:t>
            </w:r>
          </w:p>
        </w:tc>
        <w:tc>
          <w:tcPr>
            <w:tcW w:w="782"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rPr>
            </w:pPr>
            <w:r w:rsidRPr="001D6512">
              <w:rPr>
                <w:b/>
              </w:rPr>
              <w:t>PSC Input Watts</w:t>
            </w:r>
          </w:p>
        </w:tc>
        <w:tc>
          <w:tcPr>
            <w:tcW w:w="1203"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rPr>
            </w:pPr>
            <w:r w:rsidRPr="001D6512">
              <w:rPr>
                <w:b/>
              </w:rPr>
              <w:t>ECM Efficiency</w:t>
            </w:r>
            <w:r w:rsidRPr="001D6512">
              <w:rPr>
                <w:b/>
                <w:vertAlign w:val="superscript"/>
              </w:rPr>
              <w:t>1</w:t>
            </w:r>
          </w:p>
        </w:tc>
        <w:tc>
          <w:tcPr>
            <w:tcW w:w="74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rPr>
            </w:pPr>
            <w:r w:rsidRPr="001D6512">
              <w:rPr>
                <w:b/>
              </w:rPr>
              <w:t>ECM Input Watts</w:t>
            </w:r>
          </w:p>
        </w:tc>
      </w:tr>
      <w:tr w:rsidR="004F2078" w:rsidRPr="00ED2F39" w:rsidTr="004C1DFF">
        <w:trPr>
          <w:trHeight w:val="510"/>
          <w:jc w:val="center"/>
        </w:trPr>
        <w:tc>
          <w:tcPr>
            <w:tcW w:w="1621" w:type="dxa"/>
          </w:tcPr>
          <w:p w:rsidR="004F2078" w:rsidRPr="001D6512" w:rsidRDefault="004F2078" w:rsidP="00C3606E">
            <w:pPr>
              <w:pStyle w:val="TableCell"/>
              <w:spacing w:before="60" w:after="60"/>
            </w:pPr>
            <w:r w:rsidRPr="001D6512">
              <w:t>1/40 HP (16-23 watts) (Using 19.5 watt as industry average)</w:t>
            </w:r>
          </w:p>
        </w:tc>
        <w:tc>
          <w:tcPr>
            <w:tcW w:w="1118" w:type="dxa"/>
            <w:noWrap/>
          </w:tcPr>
          <w:p w:rsidR="004F2078" w:rsidRPr="001D6512" w:rsidRDefault="004F2078" w:rsidP="00C3606E">
            <w:pPr>
              <w:pStyle w:val="TableCell"/>
              <w:spacing w:before="60" w:after="60"/>
            </w:pPr>
            <w:r w:rsidRPr="001D6512">
              <w:t>25%</w:t>
            </w:r>
          </w:p>
        </w:tc>
        <w:tc>
          <w:tcPr>
            <w:tcW w:w="872" w:type="dxa"/>
          </w:tcPr>
          <w:p w:rsidR="004F2078" w:rsidRPr="001D6512" w:rsidRDefault="004F2078" w:rsidP="00C3606E">
            <w:pPr>
              <w:pStyle w:val="TableCell"/>
              <w:spacing w:before="60" w:after="60"/>
            </w:pPr>
            <w:r w:rsidRPr="001D6512">
              <w:t>19.5</w:t>
            </w:r>
          </w:p>
        </w:tc>
        <w:tc>
          <w:tcPr>
            <w:tcW w:w="1289" w:type="dxa"/>
            <w:noWrap/>
          </w:tcPr>
          <w:p w:rsidR="004F2078" w:rsidRPr="001D6512" w:rsidRDefault="004F2078" w:rsidP="00C3606E">
            <w:pPr>
              <w:pStyle w:val="TableCell"/>
              <w:spacing w:before="60" w:after="60"/>
            </w:pPr>
            <w:r w:rsidRPr="001D6512">
              <w:t>21%</w:t>
            </w:r>
          </w:p>
        </w:tc>
        <w:tc>
          <w:tcPr>
            <w:tcW w:w="905" w:type="dxa"/>
          </w:tcPr>
          <w:p w:rsidR="004F2078" w:rsidRPr="001D6512" w:rsidRDefault="004F2078" w:rsidP="00C3606E">
            <w:pPr>
              <w:pStyle w:val="TableCell"/>
              <w:spacing w:before="60" w:after="60"/>
            </w:pPr>
            <w:r w:rsidRPr="001D6512">
              <w:t>93</w:t>
            </w:r>
          </w:p>
        </w:tc>
        <w:tc>
          <w:tcPr>
            <w:tcW w:w="964" w:type="dxa"/>
            <w:noWrap/>
          </w:tcPr>
          <w:p w:rsidR="004F2078" w:rsidRPr="001D6512" w:rsidRDefault="004F2078" w:rsidP="00C3606E">
            <w:pPr>
              <w:pStyle w:val="TableCell"/>
              <w:spacing w:before="60" w:after="60"/>
            </w:pPr>
            <w:r w:rsidRPr="001D6512">
              <w:t>41%</w:t>
            </w:r>
          </w:p>
        </w:tc>
        <w:tc>
          <w:tcPr>
            <w:tcW w:w="782" w:type="dxa"/>
          </w:tcPr>
          <w:p w:rsidR="004F2078" w:rsidRPr="001D6512" w:rsidRDefault="004F2078" w:rsidP="00C3606E">
            <w:pPr>
              <w:pStyle w:val="TableCell"/>
              <w:spacing w:before="60" w:after="60"/>
            </w:pPr>
            <w:r w:rsidRPr="001D6512">
              <w:t>48</w:t>
            </w:r>
          </w:p>
        </w:tc>
        <w:tc>
          <w:tcPr>
            <w:tcW w:w="1203" w:type="dxa"/>
            <w:noWrap/>
          </w:tcPr>
          <w:p w:rsidR="004F2078" w:rsidRPr="001D6512" w:rsidRDefault="004F2078" w:rsidP="00C3606E">
            <w:pPr>
              <w:pStyle w:val="TableCell"/>
              <w:spacing w:before="60" w:after="60"/>
            </w:pPr>
            <w:r w:rsidRPr="001D6512">
              <w:t>66%</w:t>
            </w:r>
          </w:p>
        </w:tc>
        <w:tc>
          <w:tcPr>
            <w:tcW w:w="740" w:type="dxa"/>
          </w:tcPr>
          <w:p w:rsidR="004F2078" w:rsidRPr="001D6512" w:rsidRDefault="004F2078" w:rsidP="00C3606E">
            <w:pPr>
              <w:pStyle w:val="TableCell"/>
              <w:spacing w:before="60" w:after="60"/>
            </w:pPr>
            <w:r w:rsidRPr="001D6512">
              <w:t>30</w:t>
            </w:r>
          </w:p>
        </w:tc>
      </w:tr>
      <w:tr w:rsidR="004F2078" w:rsidRPr="00ED2F39" w:rsidTr="004C1DFF">
        <w:trPr>
          <w:trHeight w:val="510"/>
          <w:jc w:val="center"/>
        </w:trPr>
        <w:tc>
          <w:tcPr>
            <w:tcW w:w="1621" w:type="dxa"/>
          </w:tcPr>
          <w:p w:rsidR="004F2078" w:rsidRPr="001D6512" w:rsidRDefault="004F2078" w:rsidP="00C3606E">
            <w:pPr>
              <w:pStyle w:val="TableCell"/>
              <w:spacing w:before="60" w:after="60"/>
            </w:pPr>
            <w:r w:rsidRPr="001D6512">
              <w:t xml:space="preserve"> 1/20 HP (~37 watts)</w:t>
            </w:r>
          </w:p>
        </w:tc>
        <w:tc>
          <w:tcPr>
            <w:tcW w:w="1118" w:type="dxa"/>
            <w:noWrap/>
          </w:tcPr>
          <w:p w:rsidR="004F2078" w:rsidRPr="001D6512" w:rsidRDefault="004F2078" w:rsidP="00C3606E">
            <w:pPr>
              <w:pStyle w:val="TableCell"/>
              <w:spacing w:before="60" w:after="60"/>
            </w:pPr>
            <w:r w:rsidRPr="001D6512">
              <w:t>11.5%</w:t>
            </w:r>
          </w:p>
        </w:tc>
        <w:tc>
          <w:tcPr>
            <w:tcW w:w="872" w:type="dxa"/>
          </w:tcPr>
          <w:p w:rsidR="004F2078" w:rsidRPr="001D6512" w:rsidRDefault="004F2078" w:rsidP="00C3606E">
            <w:pPr>
              <w:pStyle w:val="TableCell"/>
              <w:spacing w:before="60" w:after="60"/>
            </w:pPr>
            <w:r w:rsidRPr="001D6512">
              <w:t>37</w:t>
            </w:r>
          </w:p>
        </w:tc>
        <w:tc>
          <w:tcPr>
            <w:tcW w:w="1289" w:type="dxa"/>
            <w:noWrap/>
          </w:tcPr>
          <w:p w:rsidR="004F2078" w:rsidRPr="001D6512" w:rsidRDefault="004F2078" w:rsidP="00C3606E">
            <w:pPr>
              <w:pStyle w:val="TableCell"/>
              <w:spacing w:before="60" w:after="60"/>
            </w:pPr>
            <w:r w:rsidRPr="001D6512">
              <w:t>26%</w:t>
            </w:r>
          </w:p>
        </w:tc>
        <w:tc>
          <w:tcPr>
            <w:tcW w:w="905" w:type="dxa"/>
          </w:tcPr>
          <w:p w:rsidR="004F2078" w:rsidRPr="001D6512" w:rsidRDefault="004F2078" w:rsidP="00C3606E">
            <w:pPr>
              <w:pStyle w:val="TableCell"/>
              <w:spacing w:before="60" w:after="60"/>
            </w:pPr>
            <w:r w:rsidRPr="001D6512">
              <w:t>142</w:t>
            </w:r>
          </w:p>
        </w:tc>
        <w:tc>
          <w:tcPr>
            <w:tcW w:w="964" w:type="dxa"/>
            <w:noWrap/>
          </w:tcPr>
          <w:p w:rsidR="004F2078" w:rsidRPr="001D6512" w:rsidRDefault="004F2078" w:rsidP="00C3606E">
            <w:pPr>
              <w:pStyle w:val="TableCell"/>
              <w:spacing w:before="60" w:after="60"/>
            </w:pPr>
            <w:r w:rsidRPr="001D6512">
              <w:t>41%</w:t>
            </w:r>
          </w:p>
        </w:tc>
        <w:tc>
          <w:tcPr>
            <w:tcW w:w="782" w:type="dxa"/>
          </w:tcPr>
          <w:p w:rsidR="004F2078" w:rsidRPr="001D6512" w:rsidRDefault="004F2078" w:rsidP="00C3606E">
            <w:pPr>
              <w:pStyle w:val="TableCell"/>
              <w:spacing w:before="60" w:after="60"/>
            </w:pPr>
            <w:r w:rsidRPr="001D6512">
              <w:t>90</w:t>
            </w:r>
          </w:p>
        </w:tc>
        <w:tc>
          <w:tcPr>
            <w:tcW w:w="1203" w:type="dxa"/>
            <w:noWrap/>
          </w:tcPr>
          <w:p w:rsidR="004F2078" w:rsidRPr="001D6512" w:rsidRDefault="004F2078" w:rsidP="00C3606E">
            <w:pPr>
              <w:pStyle w:val="TableCell"/>
              <w:spacing w:before="60" w:after="60"/>
            </w:pPr>
            <w:r w:rsidRPr="001D6512">
              <w:t>66%</w:t>
            </w:r>
          </w:p>
        </w:tc>
        <w:tc>
          <w:tcPr>
            <w:tcW w:w="740" w:type="dxa"/>
          </w:tcPr>
          <w:p w:rsidR="004F2078" w:rsidRPr="001D6512" w:rsidRDefault="004F2078" w:rsidP="00C3606E">
            <w:pPr>
              <w:pStyle w:val="TableCell"/>
              <w:spacing w:before="60" w:after="60"/>
            </w:pPr>
            <w:r w:rsidRPr="001D6512">
              <w:t>56</w:t>
            </w:r>
          </w:p>
        </w:tc>
      </w:tr>
      <w:tr w:rsidR="004F2078" w:rsidRPr="00ED2F39" w:rsidTr="004C1DFF">
        <w:trPr>
          <w:trHeight w:val="255"/>
          <w:jc w:val="center"/>
        </w:trPr>
        <w:tc>
          <w:tcPr>
            <w:tcW w:w="1621" w:type="dxa"/>
          </w:tcPr>
          <w:p w:rsidR="004F2078" w:rsidRPr="001D6512" w:rsidRDefault="004F2078" w:rsidP="00C3606E">
            <w:pPr>
              <w:pStyle w:val="TableCell"/>
              <w:spacing w:before="60" w:after="60"/>
            </w:pPr>
            <w:r w:rsidRPr="001D6512">
              <w:t xml:space="preserve"> 1/15 HP (~49 watts)</w:t>
            </w:r>
          </w:p>
        </w:tc>
        <w:tc>
          <w:tcPr>
            <w:tcW w:w="1118" w:type="dxa"/>
            <w:noWrap/>
          </w:tcPr>
          <w:p w:rsidR="004F2078" w:rsidRPr="001D6512" w:rsidRDefault="004F2078" w:rsidP="00C3606E">
            <w:pPr>
              <w:pStyle w:val="TableCell"/>
              <w:spacing w:before="60" w:after="60"/>
            </w:pPr>
            <w:r w:rsidRPr="001D6512">
              <w:t>63.5%</w:t>
            </w:r>
          </w:p>
        </w:tc>
        <w:tc>
          <w:tcPr>
            <w:tcW w:w="872" w:type="dxa"/>
          </w:tcPr>
          <w:p w:rsidR="004F2078" w:rsidRPr="001D6512" w:rsidRDefault="004F2078" w:rsidP="00C3606E">
            <w:pPr>
              <w:pStyle w:val="TableCell"/>
              <w:spacing w:before="60" w:after="60"/>
            </w:pPr>
            <w:r w:rsidRPr="001D6512">
              <w:t>49</w:t>
            </w:r>
          </w:p>
        </w:tc>
        <w:tc>
          <w:tcPr>
            <w:tcW w:w="1289" w:type="dxa"/>
            <w:noWrap/>
          </w:tcPr>
          <w:p w:rsidR="004F2078" w:rsidRPr="001D6512" w:rsidRDefault="004F2078" w:rsidP="00C3606E">
            <w:pPr>
              <w:pStyle w:val="TableCell"/>
              <w:spacing w:before="60" w:after="60"/>
            </w:pPr>
            <w:r w:rsidRPr="001D6512">
              <w:t>26%</w:t>
            </w:r>
          </w:p>
        </w:tc>
        <w:tc>
          <w:tcPr>
            <w:tcW w:w="905" w:type="dxa"/>
          </w:tcPr>
          <w:p w:rsidR="004F2078" w:rsidRPr="001D6512" w:rsidRDefault="004F2078" w:rsidP="00C3606E">
            <w:pPr>
              <w:pStyle w:val="TableCell"/>
              <w:spacing w:before="60" w:after="60"/>
            </w:pPr>
            <w:r w:rsidRPr="001D6512">
              <w:t>191</w:t>
            </w:r>
          </w:p>
        </w:tc>
        <w:tc>
          <w:tcPr>
            <w:tcW w:w="964" w:type="dxa"/>
            <w:noWrap/>
          </w:tcPr>
          <w:p w:rsidR="004F2078" w:rsidRPr="001D6512" w:rsidRDefault="004F2078" w:rsidP="00C3606E">
            <w:pPr>
              <w:pStyle w:val="TableCell"/>
              <w:spacing w:before="60" w:after="60"/>
            </w:pPr>
            <w:r w:rsidRPr="001D6512">
              <w:t>41%</w:t>
            </w:r>
          </w:p>
        </w:tc>
        <w:tc>
          <w:tcPr>
            <w:tcW w:w="782" w:type="dxa"/>
          </w:tcPr>
          <w:p w:rsidR="004F2078" w:rsidRPr="001D6512" w:rsidRDefault="004F2078" w:rsidP="00C3606E">
            <w:pPr>
              <w:pStyle w:val="TableCell"/>
              <w:spacing w:before="60" w:after="60"/>
            </w:pPr>
            <w:r w:rsidRPr="001D6512">
              <w:t>120</w:t>
            </w:r>
          </w:p>
        </w:tc>
        <w:tc>
          <w:tcPr>
            <w:tcW w:w="1203" w:type="dxa"/>
            <w:noWrap/>
          </w:tcPr>
          <w:p w:rsidR="004F2078" w:rsidRPr="001D6512" w:rsidRDefault="004F2078" w:rsidP="00C3606E">
            <w:pPr>
              <w:pStyle w:val="TableCell"/>
              <w:spacing w:before="60" w:after="60"/>
            </w:pPr>
            <w:r w:rsidRPr="001D6512">
              <w:t>66%</w:t>
            </w:r>
          </w:p>
        </w:tc>
        <w:tc>
          <w:tcPr>
            <w:tcW w:w="740" w:type="dxa"/>
          </w:tcPr>
          <w:p w:rsidR="004F2078" w:rsidRPr="001D6512" w:rsidRDefault="004F2078" w:rsidP="00C3606E">
            <w:pPr>
              <w:pStyle w:val="TableCell"/>
              <w:spacing w:before="60" w:after="60"/>
            </w:pPr>
            <w:r w:rsidRPr="001D6512">
              <w:t>75</w:t>
            </w:r>
          </w:p>
        </w:tc>
      </w:tr>
    </w:tbl>
    <w:p w:rsidR="004F2078" w:rsidRDefault="004F2078" w:rsidP="00C3606E">
      <w:pPr>
        <w:spacing w:after="0"/>
      </w:pPr>
    </w:p>
    <w:p w:rsidR="00717EE4" w:rsidRPr="00BC5194" w:rsidRDefault="00717EE4" w:rsidP="00B20F6B">
      <w:pPr>
        <w:rPr>
          <w:b/>
        </w:rPr>
      </w:pPr>
      <w:r w:rsidRPr="00BC5194">
        <w:rPr>
          <w:b/>
        </w:rPr>
        <w:t>Sources:</w:t>
      </w:r>
    </w:p>
    <w:p w:rsidR="00717EE4" w:rsidRPr="00717EE4" w:rsidRDefault="00717EE4" w:rsidP="0005632A">
      <w:pPr>
        <w:numPr>
          <w:ilvl w:val="0"/>
          <w:numId w:val="13"/>
        </w:numPr>
      </w:pPr>
      <w:r w:rsidRPr="00717EE4">
        <w:t>Regional Technical Forum (RTF) as part of the Northwest Power &amp; Conservation Council, Deemed Measures List. Grocery Display Case ECM, FY2010, V2. Accessed from RTF website</w:t>
      </w:r>
      <w:r w:rsidR="00A27614">
        <w:t>:</w:t>
      </w:r>
      <w:r w:rsidRPr="00717EE4">
        <w:t xml:space="preserve"> http://www.nwcouncil.org/rtf/measures/Default.asp on July 30, 2010</w:t>
      </w:r>
    </w:p>
    <w:p w:rsidR="00A27614" w:rsidRDefault="00717EE4" w:rsidP="0005632A">
      <w:pPr>
        <w:numPr>
          <w:ilvl w:val="0"/>
          <w:numId w:val="13"/>
        </w:numPr>
      </w:pPr>
      <w:r w:rsidRPr="00717EE4">
        <w:t>Regional Technical Forum (RTF) as part of the Northwest Power &amp; Conservation Council, Deemed Measures List. Deemed MeasuresV26 _walkinevapfan. Provided by Adam Hadley (adam@hadleyenergy.com). Should be made available on RTF website http://www.nwcouncil.org/rtf/measures/Default.asp</w:t>
      </w:r>
    </w:p>
    <w:p w:rsidR="004F2078" w:rsidRDefault="00717EE4" w:rsidP="0005632A">
      <w:pPr>
        <w:numPr>
          <w:ilvl w:val="0"/>
          <w:numId w:val="13"/>
        </w:numPr>
      </w:pPr>
      <w:r w:rsidRPr="00717EE4">
        <w:t>AO Smith New Product Notification. I-motor 9 &amp; 16 Watt. Stock Numbers 9207F2 and 9208F2.  Web address: http://www.aosmithmotors.com/uploadedFiles/Bulletin%206029B_6-09_web.pdf. Accessed July 30, 2010.</w:t>
      </w:r>
    </w:p>
    <w:p w:rsidR="00717EE4" w:rsidRDefault="00717EE4" w:rsidP="00B20F6B">
      <w:pPr>
        <w:pStyle w:val="Caption"/>
      </w:pPr>
      <w:bookmarkStart w:id="931" w:name="_Toc310875593"/>
      <w:r>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41</w:t>
      </w:r>
      <w:r w:rsidR="00274AB1">
        <w:rPr>
          <w:noProof/>
        </w:rPr>
        <w:fldChar w:fldCharType="end"/>
      </w:r>
      <w:r>
        <w:t xml:space="preserve">: </w:t>
      </w:r>
      <w:r w:rsidRPr="007D3E1B">
        <w:t>PSC to ECM Deemed Savings</w:t>
      </w:r>
      <w:bookmarkEnd w:id="931"/>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960"/>
        <w:gridCol w:w="800"/>
        <w:gridCol w:w="740"/>
        <w:gridCol w:w="812"/>
        <w:gridCol w:w="665"/>
        <w:gridCol w:w="800"/>
        <w:gridCol w:w="968"/>
        <w:gridCol w:w="895"/>
      </w:tblGrid>
      <w:tr w:rsidR="004F2078" w:rsidRPr="00F6303F" w:rsidTr="004C1DFF">
        <w:trPr>
          <w:trHeight w:val="1050"/>
          <w:jc w:val="center"/>
        </w:trPr>
        <w:tc>
          <w:tcPr>
            <w:tcW w:w="2992"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rPr>
            </w:pPr>
            <w:r w:rsidRPr="001D6512">
              <w:rPr>
                <w:b/>
              </w:rPr>
              <w:t>Measure</w:t>
            </w:r>
          </w:p>
        </w:tc>
        <w:tc>
          <w:tcPr>
            <w:tcW w:w="96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color w:val="000000"/>
              </w:rPr>
            </w:pPr>
            <w:r w:rsidRPr="001D6512">
              <w:rPr>
                <w:b/>
                <w:color w:val="000000"/>
              </w:rPr>
              <w:t>W</w:t>
            </w:r>
            <w:r w:rsidRPr="001D6512">
              <w:rPr>
                <w:b/>
                <w:color w:val="000000"/>
                <w:vertAlign w:val="subscript"/>
              </w:rPr>
              <w:t>base</w:t>
            </w:r>
            <w:r w:rsidRPr="001D6512">
              <w:rPr>
                <w:b/>
                <w:color w:val="000000"/>
                <w:vertAlign w:val="subscript"/>
              </w:rPr>
              <w:br/>
            </w:r>
            <w:r w:rsidRPr="001D6512">
              <w:rPr>
                <w:b/>
                <w:color w:val="000000"/>
              </w:rPr>
              <w:t>(PSC)</w:t>
            </w:r>
          </w:p>
        </w:tc>
        <w:tc>
          <w:tcPr>
            <w:tcW w:w="80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color w:val="000000"/>
              </w:rPr>
            </w:pPr>
            <w:r w:rsidRPr="001D6512">
              <w:rPr>
                <w:b/>
                <w:color w:val="000000"/>
              </w:rPr>
              <w:t>W</w:t>
            </w:r>
            <w:r w:rsidRPr="001D6512">
              <w:rPr>
                <w:b/>
                <w:color w:val="000000"/>
                <w:vertAlign w:val="subscript"/>
              </w:rPr>
              <w:t>ee</w:t>
            </w:r>
            <w:r w:rsidRPr="001D6512">
              <w:rPr>
                <w:b/>
                <w:color w:val="000000"/>
              </w:rPr>
              <w:br/>
              <w:t>(ECM)</w:t>
            </w:r>
          </w:p>
        </w:tc>
        <w:tc>
          <w:tcPr>
            <w:tcW w:w="74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color w:val="000000"/>
              </w:rPr>
            </w:pPr>
            <w:r w:rsidRPr="001D6512">
              <w:rPr>
                <w:b/>
                <w:color w:val="000000"/>
              </w:rPr>
              <w:t>LF</w:t>
            </w:r>
          </w:p>
        </w:tc>
        <w:tc>
          <w:tcPr>
            <w:tcW w:w="859"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color w:val="000000"/>
              </w:rPr>
            </w:pPr>
            <w:r w:rsidRPr="001D6512">
              <w:rPr>
                <w:b/>
                <w:color w:val="000000"/>
              </w:rPr>
              <w:t>DC</w:t>
            </w:r>
            <w:r w:rsidRPr="001D6512">
              <w:rPr>
                <w:b/>
                <w:color w:val="000000"/>
                <w:vertAlign w:val="subscript"/>
              </w:rPr>
              <w:t>Evap</w:t>
            </w:r>
          </w:p>
        </w:tc>
        <w:tc>
          <w:tcPr>
            <w:tcW w:w="757"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color w:val="000000"/>
              </w:rPr>
            </w:pPr>
            <w:r w:rsidRPr="001D6512">
              <w:rPr>
                <w:b/>
                <w:color w:val="000000"/>
              </w:rPr>
              <w:t>DG</w:t>
            </w:r>
          </w:p>
        </w:tc>
        <w:tc>
          <w:tcPr>
            <w:tcW w:w="897"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color w:val="000000"/>
              </w:rPr>
            </w:pPr>
            <w:r w:rsidRPr="001D6512">
              <w:rPr>
                <w:b/>
                <w:color w:val="000000"/>
              </w:rPr>
              <w:t>COP per case Temp</w:t>
            </w:r>
          </w:p>
        </w:tc>
        <w:tc>
          <w:tcPr>
            <w:tcW w:w="1006"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color w:val="000000"/>
              </w:rPr>
            </w:pPr>
            <w:r w:rsidRPr="001D6512">
              <w:rPr>
                <w:b/>
                <w:color w:val="000000"/>
              </w:rPr>
              <w:t>Demand Impact (kW)</w:t>
            </w:r>
          </w:p>
        </w:tc>
        <w:tc>
          <w:tcPr>
            <w:tcW w:w="959"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color w:val="000000"/>
              </w:rPr>
            </w:pPr>
            <w:r w:rsidRPr="001D6512">
              <w:rPr>
                <w:b/>
                <w:color w:val="000000"/>
              </w:rPr>
              <w:t>Energy Impact (kWh)</w:t>
            </w:r>
          </w:p>
        </w:tc>
      </w:tr>
      <w:tr w:rsidR="004F2078" w:rsidRPr="00F6303F" w:rsidTr="004C1DFF">
        <w:trPr>
          <w:trHeight w:val="540"/>
          <w:jc w:val="center"/>
        </w:trPr>
        <w:tc>
          <w:tcPr>
            <w:tcW w:w="2992" w:type="dxa"/>
          </w:tcPr>
          <w:p w:rsidR="004F2078" w:rsidRPr="001D6512" w:rsidRDefault="004F2078" w:rsidP="00C3606E">
            <w:pPr>
              <w:pStyle w:val="TableCell"/>
              <w:spacing w:before="60" w:after="60"/>
            </w:pPr>
            <w:r w:rsidRPr="001D6512">
              <w:t>Cooler: PSC to ECM:</w:t>
            </w:r>
            <w:r w:rsidRPr="001D6512">
              <w:br/>
              <w:t>1/40 HP (16-23 Watt)</w:t>
            </w:r>
          </w:p>
        </w:tc>
        <w:tc>
          <w:tcPr>
            <w:tcW w:w="960" w:type="dxa"/>
            <w:noWrap/>
          </w:tcPr>
          <w:p w:rsidR="004F2078" w:rsidRPr="001D6512" w:rsidRDefault="004F2078" w:rsidP="00C3606E">
            <w:pPr>
              <w:pStyle w:val="TableCell"/>
              <w:spacing w:before="60" w:after="60"/>
              <w:rPr>
                <w:color w:val="000000"/>
              </w:rPr>
            </w:pPr>
            <w:r w:rsidRPr="001D6512">
              <w:rPr>
                <w:color w:val="000000"/>
              </w:rPr>
              <w:t>48</w:t>
            </w:r>
          </w:p>
        </w:tc>
        <w:tc>
          <w:tcPr>
            <w:tcW w:w="800" w:type="dxa"/>
            <w:noWrap/>
          </w:tcPr>
          <w:p w:rsidR="004F2078" w:rsidRPr="001D6512" w:rsidRDefault="004F2078" w:rsidP="00C3606E">
            <w:pPr>
              <w:pStyle w:val="TableCell"/>
              <w:spacing w:before="60" w:after="60"/>
              <w:rPr>
                <w:color w:val="000000"/>
              </w:rPr>
            </w:pPr>
            <w:r w:rsidRPr="001D6512">
              <w:rPr>
                <w:color w:val="000000"/>
              </w:rPr>
              <w:t>30</w:t>
            </w:r>
          </w:p>
        </w:tc>
        <w:tc>
          <w:tcPr>
            <w:tcW w:w="740" w:type="dxa"/>
            <w:noWrap/>
          </w:tcPr>
          <w:p w:rsidR="004F2078" w:rsidRPr="001D6512" w:rsidRDefault="004F2078" w:rsidP="00C3606E">
            <w:pPr>
              <w:pStyle w:val="TableCell"/>
              <w:spacing w:before="60" w:after="60"/>
              <w:rPr>
                <w:color w:val="000000"/>
              </w:rPr>
            </w:pPr>
            <w:r w:rsidRPr="001D6512">
              <w:rPr>
                <w:color w:val="000000"/>
              </w:rPr>
              <w:t>0.9</w:t>
            </w:r>
          </w:p>
        </w:tc>
        <w:tc>
          <w:tcPr>
            <w:tcW w:w="859" w:type="dxa"/>
          </w:tcPr>
          <w:p w:rsidR="004F2078" w:rsidRPr="001D6512" w:rsidRDefault="004F2078" w:rsidP="00C3606E">
            <w:pPr>
              <w:pStyle w:val="TableCell"/>
              <w:spacing w:before="60" w:after="60"/>
              <w:rPr>
                <w:color w:val="000000"/>
              </w:rPr>
            </w:pPr>
            <w:r w:rsidRPr="001D6512">
              <w:rPr>
                <w:color w:val="000000"/>
              </w:rPr>
              <w:t>100%</w:t>
            </w:r>
          </w:p>
        </w:tc>
        <w:tc>
          <w:tcPr>
            <w:tcW w:w="757" w:type="dxa"/>
          </w:tcPr>
          <w:p w:rsidR="004F2078" w:rsidRPr="001D6512" w:rsidRDefault="004F2078" w:rsidP="00C3606E">
            <w:pPr>
              <w:pStyle w:val="TableCell"/>
              <w:spacing w:before="60" w:after="60"/>
              <w:rPr>
                <w:color w:val="000000"/>
              </w:rPr>
            </w:pPr>
            <w:r w:rsidRPr="001D6512">
              <w:rPr>
                <w:color w:val="000000"/>
              </w:rPr>
              <w:t>0.98</w:t>
            </w:r>
          </w:p>
        </w:tc>
        <w:tc>
          <w:tcPr>
            <w:tcW w:w="897" w:type="dxa"/>
          </w:tcPr>
          <w:p w:rsidR="004F2078" w:rsidRPr="001D6512" w:rsidRDefault="004F2078" w:rsidP="00C3606E">
            <w:pPr>
              <w:pStyle w:val="TableCell"/>
              <w:spacing w:before="60" w:after="60"/>
              <w:rPr>
                <w:color w:val="000000"/>
              </w:rPr>
            </w:pPr>
            <w:r w:rsidRPr="001D6512">
              <w:rPr>
                <w:color w:val="000000"/>
              </w:rPr>
              <w:t>2.5</w:t>
            </w:r>
          </w:p>
        </w:tc>
        <w:tc>
          <w:tcPr>
            <w:tcW w:w="1006" w:type="dxa"/>
          </w:tcPr>
          <w:p w:rsidR="004F2078" w:rsidRPr="001D6512" w:rsidRDefault="004F2078" w:rsidP="00C3606E">
            <w:pPr>
              <w:pStyle w:val="TableCell"/>
              <w:spacing w:before="60" w:after="60"/>
              <w:rPr>
                <w:color w:val="000000"/>
              </w:rPr>
            </w:pPr>
            <w:r w:rsidRPr="001D6512">
              <w:rPr>
                <w:color w:val="000000"/>
              </w:rPr>
              <w:t>0.0228</w:t>
            </w:r>
          </w:p>
        </w:tc>
        <w:tc>
          <w:tcPr>
            <w:tcW w:w="959" w:type="dxa"/>
          </w:tcPr>
          <w:p w:rsidR="004F2078" w:rsidRPr="001D6512" w:rsidRDefault="004F2078" w:rsidP="00C3606E">
            <w:pPr>
              <w:pStyle w:val="TableCell"/>
              <w:spacing w:before="60" w:after="60"/>
              <w:rPr>
                <w:color w:val="000000"/>
              </w:rPr>
            </w:pPr>
            <w:r w:rsidRPr="001D6512">
              <w:rPr>
                <w:color w:val="000000"/>
              </w:rPr>
              <w:t>189</w:t>
            </w:r>
          </w:p>
        </w:tc>
      </w:tr>
      <w:tr w:rsidR="004F2078" w:rsidRPr="00F6303F" w:rsidTr="004C1DFF">
        <w:trPr>
          <w:trHeight w:val="540"/>
          <w:jc w:val="center"/>
        </w:trPr>
        <w:tc>
          <w:tcPr>
            <w:tcW w:w="2992" w:type="dxa"/>
          </w:tcPr>
          <w:p w:rsidR="004F2078" w:rsidRPr="001D6512" w:rsidRDefault="004F2078" w:rsidP="00C3606E">
            <w:pPr>
              <w:pStyle w:val="TableCell"/>
              <w:spacing w:before="60" w:after="60"/>
            </w:pPr>
            <w:r w:rsidRPr="001D6512">
              <w:t>Cooler: PSC to ECM:</w:t>
            </w:r>
            <w:r w:rsidRPr="001D6512">
              <w:br/>
              <w:t>1/20 HP (37 Watt)</w:t>
            </w:r>
          </w:p>
        </w:tc>
        <w:tc>
          <w:tcPr>
            <w:tcW w:w="960" w:type="dxa"/>
            <w:noWrap/>
          </w:tcPr>
          <w:p w:rsidR="004F2078" w:rsidRPr="001D6512" w:rsidRDefault="004F2078" w:rsidP="00C3606E">
            <w:pPr>
              <w:pStyle w:val="TableCell"/>
              <w:spacing w:before="60" w:after="60"/>
              <w:rPr>
                <w:color w:val="000000"/>
              </w:rPr>
            </w:pPr>
            <w:r w:rsidRPr="001D6512">
              <w:rPr>
                <w:color w:val="000000"/>
              </w:rPr>
              <w:t>90</w:t>
            </w:r>
          </w:p>
        </w:tc>
        <w:tc>
          <w:tcPr>
            <w:tcW w:w="800" w:type="dxa"/>
            <w:noWrap/>
          </w:tcPr>
          <w:p w:rsidR="004F2078" w:rsidRPr="001D6512" w:rsidRDefault="004F2078" w:rsidP="00C3606E">
            <w:pPr>
              <w:pStyle w:val="TableCell"/>
              <w:spacing w:before="60" w:after="60"/>
              <w:rPr>
                <w:color w:val="000000"/>
              </w:rPr>
            </w:pPr>
            <w:r w:rsidRPr="001D6512">
              <w:rPr>
                <w:color w:val="000000"/>
              </w:rPr>
              <w:t>56</w:t>
            </w:r>
          </w:p>
        </w:tc>
        <w:tc>
          <w:tcPr>
            <w:tcW w:w="740" w:type="dxa"/>
            <w:noWrap/>
          </w:tcPr>
          <w:p w:rsidR="004F2078" w:rsidRPr="001D6512" w:rsidRDefault="004F2078" w:rsidP="00C3606E">
            <w:pPr>
              <w:pStyle w:val="TableCell"/>
              <w:spacing w:before="60" w:after="60"/>
              <w:rPr>
                <w:color w:val="000000"/>
              </w:rPr>
            </w:pPr>
            <w:r w:rsidRPr="001D6512">
              <w:rPr>
                <w:color w:val="000000"/>
              </w:rPr>
              <w:t>0.9</w:t>
            </w:r>
          </w:p>
        </w:tc>
        <w:tc>
          <w:tcPr>
            <w:tcW w:w="859" w:type="dxa"/>
          </w:tcPr>
          <w:p w:rsidR="004F2078" w:rsidRPr="001D6512" w:rsidRDefault="004F2078" w:rsidP="00C3606E">
            <w:pPr>
              <w:pStyle w:val="TableCell"/>
              <w:spacing w:before="60" w:after="60"/>
              <w:rPr>
                <w:color w:val="000000"/>
              </w:rPr>
            </w:pPr>
            <w:r w:rsidRPr="001D6512">
              <w:rPr>
                <w:color w:val="000000"/>
              </w:rPr>
              <w:t>100%</w:t>
            </w:r>
          </w:p>
        </w:tc>
        <w:tc>
          <w:tcPr>
            <w:tcW w:w="757" w:type="dxa"/>
          </w:tcPr>
          <w:p w:rsidR="004F2078" w:rsidRPr="001D6512" w:rsidRDefault="004F2078" w:rsidP="00C3606E">
            <w:pPr>
              <w:pStyle w:val="TableCell"/>
              <w:spacing w:before="60" w:after="60"/>
              <w:rPr>
                <w:color w:val="000000"/>
              </w:rPr>
            </w:pPr>
            <w:r w:rsidRPr="001D6512">
              <w:rPr>
                <w:color w:val="000000"/>
              </w:rPr>
              <w:t>0.98</w:t>
            </w:r>
          </w:p>
        </w:tc>
        <w:tc>
          <w:tcPr>
            <w:tcW w:w="897" w:type="dxa"/>
          </w:tcPr>
          <w:p w:rsidR="004F2078" w:rsidRPr="001D6512" w:rsidRDefault="004F2078" w:rsidP="00C3606E">
            <w:pPr>
              <w:pStyle w:val="TableCell"/>
              <w:spacing w:before="60" w:after="60"/>
              <w:rPr>
                <w:color w:val="000000"/>
              </w:rPr>
            </w:pPr>
            <w:r w:rsidRPr="001D6512">
              <w:rPr>
                <w:color w:val="000000"/>
              </w:rPr>
              <w:t>2.5</w:t>
            </w:r>
          </w:p>
        </w:tc>
        <w:tc>
          <w:tcPr>
            <w:tcW w:w="1006" w:type="dxa"/>
          </w:tcPr>
          <w:p w:rsidR="004F2078" w:rsidRPr="001D6512" w:rsidRDefault="004F2078" w:rsidP="00C3606E">
            <w:pPr>
              <w:pStyle w:val="TableCell"/>
              <w:spacing w:before="60" w:after="60"/>
              <w:rPr>
                <w:color w:val="000000"/>
              </w:rPr>
            </w:pPr>
            <w:r w:rsidRPr="001D6512">
              <w:rPr>
                <w:color w:val="000000"/>
              </w:rPr>
              <w:t>0.0431</w:t>
            </w:r>
          </w:p>
        </w:tc>
        <w:tc>
          <w:tcPr>
            <w:tcW w:w="959" w:type="dxa"/>
          </w:tcPr>
          <w:p w:rsidR="004F2078" w:rsidRPr="001D6512" w:rsidRDefault="004F2078" w:rsidP="00C3606E">
            <w:pPr>
              <w:pStyle w:val="TableCell"/>
              <w:spacing w:before="60" w:after="60"/>
              <w:rPr>
                <w:color w:val="000000"/>
              </w:rPr>
            </w:pPr>
            <w:r w:rsidRPr="001D6512">
              <w:rPr>
                <w:color w:val="000000"/>
              </w:rPr>
              <w:t>356</w:t>
            </w:r>
          </w:p>
        </w:tc>
      </w:tr>
      <w:tr w:rsidR="004F2078" w:rsidRPr="00F6303F" w:rsidTr="004C1DFF">
        <w:trPr>
          <w:trHeight w:val="540"/>
          <w:jc w:val="center"/>
        </w:trPr>
        <w:tc>
          <w:tcPr>
            <w:tcW w:w="2992" w:type="dxa"/>
          </w:tcPr>
          <w:p w:rsidR="004F2078" w:rsidRPr="001D6512" w:rsidRDefault="004F2078" w:rsidP="00C3606E">
            <w:pPr>
              <w:pStyle w:val="TableCell"/>
              <w:spacing w:before="60" w:after="60"/>
            </w:pPr>
            <w:r w:rsidRPr="001D6512">
              <w:t>Cooler: PSC to ECM:</w:t>
            </w:r>
            <w:r w:rsidRPr="001D6512">
              <w:br/>
              <w:t>1/15 HP (49 Watt)</w:t>
            </w:r>
          </w:p>
        </w:tc>
        <w:tc>
          <w:tcPr>
            <w:tcW w:w="960" w:type="dxa"/>
            <w:noWrap/>
          </w:tcPr>
          <w:p w:rsidR="004F2078" w:rsidRPr="001D6512" w:rsidRDefault="004F2078" w:rsidP="00C3606E">
            <w:pPr>
              <w:pStyle w:val="TableCell"/>
              <w:spacing w:before="60" w:after="60"/>
              <w:rPr>
                <w:color w:val="000000"/>
              </w:rPr>
            </w:pPr>
            <w:r w:rsidRPr="001D6512">
              <w:rPr>
                <w:color w:val="000000"/>
              </w:rPr>
              <w:t>120</w:t>
            </w:r>
          </w:p>
        </w:tc>
        <w:tc>
          <w:tcPr>
            <w:tcW w:w="800" w:type="dxa"/>
            <w:noWrap/>
          </w:tcPr>
          <w:p w:rsidR="004F2078" w:rsidRPr="001D6512" w:rsidRDefault="004F2078" w:rsidP="00C3606E">
            <w:pPr>
              <w:pStyle w:val="TableCell"/>
              <w:spacing w:before="60" w:after="60"/>
              <w:rPr>
                <w:color w:val="000000"/>
              </w:rPr>
            </w:pPr>
            <w:r w:rsidRPr="001D6512">
              <w:rPr>
                <w:color w:val="000000"/>
              </w:rPr>
              <w:t>75</w:t>
            </w:r>
          </w:p>
        </w:tc>
        <w:tc>
          <w:tcPr>
            <w:tcW w:w="740" w:type="dxa"/>
            <w:noWrap/>
          </w:tcPr>
          <w:p w:rsidR="004F2078" w:rsidRPr="001D6512" w:rsidRDefault="004F2078" w:rsidP="00C3606E">
            <w:pPr>
              <w:pStyle w:val="TableCell"/>
              <w:spacing w:before="60" w:after="60"/>
              <w:rPr>
                <w:color w:val="000000"/>
              </w:rPr>
            </w:pPr>
            <w:r w:rsidRPr="001D6512">
              <w:rPr>
                <w:color w:val="000000"/>
              </w:rPr>
              <w:t>0.9</w:t>
            </w:r>
          </w:p>
        </w:tc>
        <w:tc>
          <w:tcPr>
            <w:tcW w:w="859" w:type="dxa"/>
          </w:tcPr>
          <w:p w:rsidR="004F2078" w:rsidRPr="001D6512" w:rsidRDefault="004F2078" w:rsidP="00C3606E">
            <w:pPr>
              <w:pStyle w:val="TableCell"/>
              <w:spacing w:before="60" w:after="60"/>
              <w:rPr>
                <w:color w:val="000000"/>
              </w:rPr>
            </w:pPr>
            <w:r w:rsidRPr="001D6512">
              <w:rPr>
                <w:color w:val="000000"/>
              </w:rPr>
              <w:t>100%</w:t>
            </w:r>
          </w:p>
        </w:tc>
        <w:tc>
          <w:tcPr>
            <w:tcW w:w="757" w:type="dxa"/>
          </w:tcPr>
          <w:p w:rsidR="004F2078" w:rsidRPr="001D6512" w:rsidRDefault="004F2078" w:rsidP="00C3606E">
            <w:pPr>
              <w:pStyle w:val="TableCell"/>
              <w:spacing w:before="60" w:after="60"/>
              <w:rPr>
                <w:color w:val="000000"/>
              </w:rPr>
            </w:pPr>
            <w:r w:rsidRPr="001D6512">
              <w:rPr>
                <w:color w:val="000000"/>
              </w:rPr>
              <w:t>0.98</w:t>
            </w:r>
          </w:p>
        </w:tc>
        <w:tc>
          <w:tcPr>
            <w:tcW w:w="897" w:type="dxa"/>
          </w:tcPr>
          <w:p w:rsidR="004F2078" w:rsidRPr="001D6512" w:rsidRDefault="004F2078" w:rsidP="00C3606E">
            <w:pPr>
              <w:pStyle w:val="TableCell"/>
              <w:spacing w:before="60" w:after="60"/>
              <w:rPr>
                <w:color w:val="000000"/>
              </w:rPr>
            </w:pPr>
            <w:r w:rsidRPr="001D6512">
              <w:rPr>
                <w:color w:val="000000"/>
              </w:rPr>
              <w:t>2.5</w:t>
            </w:r>
          </w:p>
        </w:tc>
        <w:tc>
          <w:tcPr>
            <w:tcW w:w="1006" w:type="dxa"/>
          </w:tcPr>
          <w:p w:rsidR="004F2078" w:rsidRPr="001D6512" w:rsidRDefault="004F2078" w:rsidP="00C3606E">
            <w:pPr>
              <w:pStyle w:val="TableCell"/>
              <w:spacing w:before="60" w:after="60"/>
              <w:rPr>
                <w:color w:val="000000"/>
              </w:rPr>
            </w:pPr>
            <w:r w:rsidRPr="001D6512">
              <w:rPr>
                <w:color w:val="000000"/>
              </w:rPr>
              <w:t>0.0570</w:t>
            </w:r>
          </w:p>
        </w:tc>
        <w:tc>
          <w:tcPr>
            <w:tcW w:w="959" w:type="dxa"/>
          </w:tcPr>
          <w:p w:rsidR="004F2078" w:rsidRPr="001D6512" w:rsidRDefault="004F2078" w:rsidP="00C3606E">
            <w:pPr>
              <w:pStyle w:val="TableCell"/>
              <w:spacing w:before="60" w:after="60"/>
              <w:rPr>
                <w:color w:val="000000"/>
              </w:rPr>
            </w:pPr>
            <w:r w:rsidRPr="001D6512">
              <w:rPr>
                <w:color w:val="000000"/>
              </w:rPr>
              <w:t>472</w:t>
            </w:r>
          </w:p>
        </w:tc>
      </w:tr>
      <w:tr w:rsidR="004F2078" w:rsidRPr="00F6303F" w:rsidTr="004C1DFF">
        <w:trPr>
          <w:trHeight w:val="540"/>
          <w:jc w:val="center"/>
        </w:trPr>
        <w:tc>
          <w:tcPr>
            <w:tcW w:w="2992" w:type="dxa"/>
          </w:tcPr>
          <w:p w:rsidR="004F2078" w:rsidRPr="001D6512" w:rsidRDefault="004F2078" w:rsidP="00C3606E">
            <w:pPr>
              <w:pStyle w:val="TableCell"/>
              <w:spacing w:before="60" w:after="60"/>
            </w:pPr>
            <w:r w:rsidRPr="001D6512">
              <w:t>Freezer: PSC to ECM:</w:t>
            </w:r>
            <w:r w:rsidRPr="001D6512">
              <w:br/>
              <w:t>1/40 HP (16-23 Watt)</w:t>
            </w:r>
          </w:p>
        </w:tc>
        <w:tc>
          <w:tcPr>
            <w:tcW w:w="960" w:type="dxa"/>
            <w:noWrap/>
          </w:tcPr>
          <w:p w:rsidR="004F2078" w:rsidRPr="001D6512" w:rsidRDefault="004F2078" w:rsidP="00C3606E">
            <w:pPr>
              <w:pStyle w:val="TableCell"/>
              <w:spacing w:before="60" w:after="60"/>
              <w:rPr>
                <w:color w:val="000000"/>
              </w:rPr>
            </w:pPr>
            <w:r w:rsidRPr="001D6512">
              <w:rPr>
                <w:color w:val="000000"/>
              </w:rPr>
              <w:t>48</w:t>
            </w:r>
          </w:p>
        </w:tc>
        <w:tc>
          <w:tcPr>
            <w:tcW w:w="800" w:type="dxa"/>
            <w:noWrap/>
          </w:tcPr>
          <w:p w:rsidR="004F2078" w:rsidRPr="001D6512" w:rsidRDefault="004F2078" w:rsidP="00C3606E">
            <w:pPr>
              <w:pStyle w:val="TableCell"/>
              <w:spacing w:before="60" w:after="60"/>
              <w:rPr>
                <w:color w:val="000000"/>
              </w:rPr>
            </w:pPr>
            <w:r w:rsidRPr="001D6512">
              <w:rPr>
                <w:color w:val="000000"/>
              </w:rPr>
              <w:t>30</w:t>
            </w:r>
          </w:p>
        </w:tc>
        <w:tc>
          <w:tcPr>
            <w:tcW w:w="740" w:type="dxa"/>
            <w:noWrap/>
          </w:tcPr>
          <w:p w:rsidR="004F2078" w:rsidRPr="001D6512" w:rsidRDefault="004F2078" w:rsidP="00C3606E">
            <w:pPr>
              <w:pStyle w:val="TableCell"/>
              <w:spacing w:before="60" w:after="60"/>
              <w:rPr>
                <w:color w:val="000000"/>
              </w:rPr>
            </w:pPr>
            <w:r w:rsidRPr="001D6512">
              <w:rPr>
                <w:color w:val="000000"/>
              </w:rPr>
              <w:t>0.9</w:t>
            </w:r>
          </w:p>
        </w:tc>
        <w:tc>
          <w:tcPr>
            <w:tcW w:w="859" w:type="dxa"/>
          </w:tcPr>
          <w:p w:rsidR="004F2078" w:rsidRPr="001D6512" w:rsidRDefault="004F2078" w:rsidP="00C3606E">
            <w:pPr>
              <w:pStyle w:val="TableCell"/>
              <w:spacing w:before="60" w:after="60"/>
              <w:rPr>
                <w:color w:val="000000"/>
              </w:rPr>
            </w:pPr>
            <w:r w:rsidRPr="001D6512">
              <w:rPr>
                <w:color w:val="000000"/>
              </w:rPr>
              <w:t>94.4%</w:t>
            </w:r>
          </w:p>
        </w:tc>
        <w:tc>
          <w:tcPr>
            <w:tcW w:w="757" w:type="dxa"/>
          </w:tcPr>
          <w:p w:rsidR="004F2078" w:rsidRPr="001D6512" w:rsidRDefault="004F2078" w:rsidP="00C3606E">
            <w:pPr>
              <w:pStyle w:val="TableCell"/>
              <w:spacing w:before="60" w:after="60"/>
              <w:rPr>
                <w:color w:val="000000"/>
              </w:rPr>
            </w:pPr>
            <w:r w:rsidRPr="001D6512">
              <w:rPr>
                <w:color w:val="000000"/>
              </w:rPr>
              <w:t>0.98</w:t>
            </w:r>
          </w:p>
        </w:tc>
        <w:tc>
          <w:tcPr>
            <w:tcW w:w="897" w:type="dxa"/>
          </w:tcPr>
          <w:p w:rsidR="004F2078" w:rsidRPr="001D6512" w:rsidRDefault="004F2078" w:rsidP="00C3606E">
            <w:pPr>
              <w:pStyle w:val="TableCell"/>
              <w:spacing w:before="60" w:after="60"/>
              <w:rPr>
                <w:color w:val="000000"/>
              </w:rPr>
            </w:pPr>
            <w:r w:rsidRPr="001D6512">
              <w:rPr>
                <w:color w:val="000000"/>
              </w:rPr>
              <w:t>1.3</w:t>
            </w:r>
          </w:p>
        </w:tc>
        <w:tc>
          <w:tcPr>
            <w:tcW w:w="1006" w:type="dxa"/>
          </w:tcPr>
          <w:p w:rsidR="004F2078" w:rsidRPr="001D6512" w:rsidRDefault="004F2078" w:rsidP="00C3606E">
            <w:pPr>
              <w:pStyle w:val="TableCell"/>
              <w:spacing w:before="60" w:after="60"/>
              <w:rPr>
                <w:color w:val="000000"/>
              </w:rPr>
            </w:pPr>
            <w:r w:rsidRPr="001D6512">
              <w:rPr>
                <w:color w:val="000000"/>
              </w:rPr>
              <w:t>0.0273</w:t>
            </w:r>
          </w:p>
        </w:tc>
        <w:tc>
          <w:tcPr>
            <w:tcW w:w="959" w:type="dxa"/>
          </w:tcPr>
          <w:p w:rsidR="004F2078" w:rsidRPr="001D6512" w:rsidRDefault="004F2078" w:rsidP="00C3606E">
            <w:pPr>
              <w:pStyle w:val="TableCell"/>
              <w:spacing w:before="60" w:after="60"/>
              <w:rPr>
                <w:color w:val="000000"/>
              </w:rPr>
            </w:pPr>
            <w:r w:rsidRPr="001D6512">
              <w:rPr>
                <w:color w:val="000000"/>
              </w:rPr>
              <w:t>226</w:t>
            </w:r>
          </w:p>
        </w:tc>
      </w:tr>
      <w:tr w:rsidR="004F2078" w:rsidRPr="00F6303F" w:rsidTr="004C1DFF">
        <w:trPr>
          <w:trHeight w:val="540"/>
          <w:jc w:val="center"/>
        </w:trPr>
        <w:tc>
          <w:tcPr>
            <w:tcW w:w="2992" w:type="dxa"/>
          </w:tcPr>
          <w:p w:rsidR="004F2078" w:rsidRPr="001D6512" w:rsidRDefault="004F2078" w:rsidP="00C3606E">
            <w:pPr>
              <w:pStyle w:val="TableCell"/>
              <w:spacing w:before="60" w:after="60"/>
            </w:pPr>
            <w:r w:rsidRPr="001D6512">
              <w:t>Freezer: PSC to ECM:</w:t>
            </w:r>
            <w:r w:rsidRPr="001D6512">
              <w:br/>
              <w:t>1/20 HP (37 Watt)</w:t>
            </w:r>
          </w:p>
        </w:tc>
        <w:tc>
          <w:tcPr>
            <w:tcW w:w="960" w:type="dxa"/>
            <w:noWrap/>
          </w:tcPr>
          <w:p w:rsidR="004F2078" w:rsidRPr="001D6512" w:rsidRDefault="004F2078" w:rsidP="00C3606E">
            <w:pPr>
              <w:pStyle w:val="TableCell"/>
              <w:spacing w:before="60" w:after="60"/>
              <w:rPr>
                <w:color w:val="000000"/>
              </w:rPr>
            </w:pPr>
            <w:r w:rsidRPr="001D6512">
              <w:rPr>
                <w:color w:val="000000"/>
              </w:rPr>
              <w:t>90</w:t>
            </w:r>
          </w:p>
        </w:tc>
        <w:tc>
          <w:tcPr>
            <w:tcW w:w="800" w:type="dxa"/>
            <w:noWrap/>
          </w:tcPr>
          <w:p w:rsidR="004F2078" w:rsidRPr="001D6512" w:rsidRDefault="004F2078" w:rsidP="00C3606E">
            <w:pPr>
              <w:pStyle w:val="TableCell"/>
              <w:spacing w:before="60" w:after="60"/>
              <w:rPr>
                <w:color w:val="000000"/>
              </w:rPr>
            </w:pPr>
            <w:r w:rsidRPr="001D6512">
              <w:rPr>
                <w:color w:val="000000"/>
              </w:rPr>
              <w:t>56</w:t>
            </w:r>
          </w:p>
        </w:tc>
        <w:tc>
          <w:tcPr>
            <w:tcW w:w="740" w:type="dxa"/>
            <w:noWrap/>
          </w:tcPr>
          <w:p w:rsidR="004F2078" w:rsidRPr="001D6512" w:rsidRDefault="004F2078" w:rsidP="00C3606E">
            <w:pPr>
              <w:pStyle w:val="TableCell"/>
              <w:spacing w:before="60" w:after="60"/>
              <w:rPr>
                <w:color w:val="000000"/>
              </w:rPr>
            </w:pPr>
            <w:r w:rsidRPr="001D6512">
              <w:rPr>
                <w:color w:val="000000"/>
              </w:rPr>
              <w:t>0.9</w:t>
            </w:r>
          </w:p>
        </w:tc>
        <w:tc>
          <w:tcPr>
            <w:tcW w:w="859" w:type="dxa"/>
          </w:tcPr>
          <w:p w:rsidR="004F2078" w:rsidRPr="001D6512" w:rsidRDefault="004F2078" w:rsidP="00C3606E">
            <w:pPr>
              <w:pStyle w:val="TableCell"/>
              <w:spacing w:before="60" w:after="60"/>
              <w:rPr>
                <w:color w:val="000000"/>
              </w:rPr>
            </w:pPr>
            <w:r w:rsidRPr="001D6512">
              <w:rPr>
                <w:color w:val="000000"/>
              </w:rPr>
              <w:t>94.4%</w:t>
            </w:r>
          </w:p>
        </w:tc>
        <w:tc>
          <w:tcPr>
            <w:tcW w:w="757" w:type="dxa"/>
          </w:tcPr>
          <w:p w:rsidR="004F2078" w:rsidRPr="001D6512" w:rsidRDefault="004F2078" w:rsidP="00C3606E">
            <w:pPr>
              <w:pStyle w:val="TableCell"/>
              <w:spacing w:before="60" w:after="60"/>
              <w:rPr>
                <w:color w:val="000000"/>
              </w:rPr>
            </w:pPr>
            <w:r w:rsidRPr="001D6512">
              <w:rPr>
                <w:color w:val="000000"/>
              </w:rPr>
              <w:t>0.98</w:t>
            </w:r>
          </w:p>
        </w:tc>
        <w:tc>
          <w:tcPr>
            <w:tcW w:w="897" w:type="dxa"/>
          </w:tcPr>
          <w:p w:rsidR="004F2078" w:rsidRPr="001D6512" w:rsidRDefault="004F2078" w:rsidP="00C3606E">
            <w:pPr>
              <w:pStyle w:val="TableCell"/>
              <w:spacing w:before="60" w:after="60"/>
              <w:rPr>
                <w:color w:val="000000"/>
              </w:rPr>
            </w:pPr>
            <w:r w:rsidRPr="001D6512">
              <w:rPr>
                <w:color w:val="000000"/>
              </w:rPr>
              <w:t>1.3</w:t>
            </w:r>
          </w:p>
        </w:tc>
        <w:tc>
          <w:tcPr>
            <w:tcW w:w="1006" w:type="dxa"/>
          </w:tcPr>
          <w:p w:rsidR="004F2078" w:rsidRPr="001D6512" w:rsidRDefault="004F2078" w:rsidP="00C3606E">
            <w:pPr>
              <w:pStyle w:val="TableCell"/>
              <w:spacing w:before="60" w:after="60"/>
              <w:rPr>
                <w:color w:val="000000"/>
              </w:rPr>
            </w:pPr>
            <w:r w:rsidRPr="001D6512">
              <w:rPr>
                <w:color w:val="000000"/>
              </w:rPr>
              <w:t>0.0516</w:t>
            </w:r>
          </w:p>
        </w:tc>
        <w:tc>
          <w:tcPr>
            <w:tcW w:w="959" w:type="dxa"/>
          </w:tcPr>
          <w:p w:rsidR="004F2078" w:rsidRPr="001D6512" w:rsidRDefault="004F2078" w:rsidP="00C3606E">
            <w:pPr>
              <w:pStyle w:val="TableCell"/>
              <w:spacing w:before="60" w:after="60"/>
              <w:rPr>
                <w:color w:val="000000"/>
              </w:rPr>
            </w:pPr>
            <w:r w:rsidRPr="001D6512">
              <w:rPr>
                <w:color w:val="000000"/>
              </w:rPr>
              <w:t>427</w:t>
            </w:r>
          </w:p>
        </w:tc>
      </w:tr>
      <w:tr w:rsidR="004F2078" w:rsidRPr="00F6303F" w:rsidTr="004C1DFF">
        <w:trPr>
          <w:trHeight w:val="540"/>
          <w:jc w:val="center"/>
        </w:trPr>
        <w:tc>
          <w:tcPr>
            <w:tcW w:w="2992" w:type="dxa"/>
          </w:tcPr>
          <w:p w:rsidR="004F2078" w:rsidRPr="001D6512" w:rsidRDefault="004F2078" w:rsidP="00C3606E">
            <w:pPr>
              <w:pStyle w:val="TableCell"/>
              <w:spacing w:before="60" w:after="60"/>
            </w:pPr>
            <w:r w:rsidRPr="001D6512">
              <w:t>Freezer: PSC to ECM:</w:t>
            </w:r>
            <w:r w:rsidRPr="001D6512">
              <w:br/>
              <w:t>1/15 HP (49 Watt)</w:t>
            </w:r>
          </w:p>
        </w:tc>
        <w:tc>
          <w:tcPr>
            <w:tcW w:w="960" w:type="dxa"/>
            <w:noWrap/>
          </w:tcPr>
          <w:p w:rsidR="004F2078" w:rsidRPr="001D6512" w:rsidRDefault="004F2078" w:rsidP="00C3606E">
            <w:pPr>
              <w:pStyle w:val="TableCell"/>
              <w:spacing w:before="60" w:after="60"/>
              <w:rPr>
                <w:color w:val="000000"/>
              </w:rPr>
            </w:pPr>
            <w:r w:rsidRPr="001D6512">
              <w:rPr>
                <w:color w:val="000000"/>
              </w:rPr>
              <w:t>120</w:t>
            </w:r>
          </w:p>
        </w:tc>
        <w:tc>
          <w:tcPr>
            <w:tcW w:w="800" w:type="dxa"/>
            <w:noWrap/>
          </w:tcPr>
          <w:p w:rsidR="004F2078" w:rsidRPr="001D6512" w:rsidRDefault="004F2078" w:rsidP="00C3606E">
            <w:pPr>
              <w:pStyle w:val="TableCell"/>
              <w:spacing w:before="60" w:after="60"/>
              <w:rPr>
                <w:color w:val="000000"/>
              </w:rPr>
            </w:pPr>
            <w:r w:rsidRPr="001D6512">
              <w:rPr>
                <w:color w:val="000000"/>
              </w:rPr>
              <w:t>75</w:t>
            </w:r>
          </w:p>
        </w:tc>
        <w:tc>
          <w:tcPr>
            <w:tcW w:w="740" w:type="dxa"/>
            <w:noWrap/>
          </w:tcPr>
          <w:p w:rsidR="004F2078" w:rsidRPr="001D6512" w:rsidRDefault="004F2078" w:rsidP="00C3606E">
            <w:pPr>
              <w:pStyle w:val="TableCell"/>
              <w:spacing w:before="60" w:after="60"/>
              <w:rPr>
                <w:color w:val="000000"/>
              </w:rPr>
            </w:pPr>
            <w:r w:rsidRPr="001D6512">
              <w:rPr>
                <w:color w:val="000000"/>
              </w:rPr>
              <w:t>0.9</w:t>
            </w:r>
          </w:p>
        </w:tc>
        <w:tc>
          <w:tcPr>
            <w:tcW w:w="859" w:type="dxa"/>
          </w:tcPr>
          <w:p w:rsidR="004F2078" w:rsidRPr="001D6512" w:rsidRDefault="004F2078" w:rsidP="00C3606E">
            <w:pPr>
              <w:pStyle w:val="TableCell"/>
              <w:spacing w:before="60" w:after="60"/>
              <w:rPr>
                <w:color w:val="000000"/>
              </w:rPr>
            </w:pPr>
            <w:r w:rsidRPr="001D6512">
              <w:rPr>
                <w:color w:val="000000"/>
              </w:rPr>
              <w:t>94.4%</w:t>
            </w:r>
          </w:p>
        </w:tc>
        <w:tc>
          <w:tcPr>
            <w:tcW w:w="757" w:type="dxa"/>
          </w:tcPr>
          <w:p w:rsidR="004F2078" w:rsidRPr="001D6512" w:rsidRDefault="004F2078" w:rsidP="00C3606E">
            <w:pPr>
              <w:pStyle w:val="TableCell"/>
              <w:spacing w:before="60" w:after="60"/>
              <w:rPr>
                <w:color w:val="000000"/>
              </w:rPr>
            </w:pPr>
            <w:r w:rsidRPr="001D6512">
              <w:rPr>
                <w:color w:val="000000"/>
              </w:rPr>
              <w:t>0.98</w:t>
            </w:r>
          </w:p>
        </w:tc>
        <w:tc>
          <w:tcPr>
            <w:tcW w:w="897" w:type="dxa"/>
          </w:tcPr>
          <w:p w:rsidR="004F2078" w:rsidRPr="001D6512" w:rsidRDefault="004F2078" w:rsidP="00C3606E">
            <w:pPr>
              <w:pStyle w:val="TableCell"/>
              <w:spacing w:before="60" w:after="60"/>
              <w:rPr>
                <w:color w:val="000000"/>
              </w:rPr>
            </w:pPr>
            <w:r w:rsidRPr="001D6512">
              <w:rPr>
                <w:color w:val="000000"/>
              </w:rPr>
              <w:t>1.3</w:t>
            </w:r>
          </w:p>
        </w:tc>
        <w:tc>
          <w:tcPr>
            <w:tcW w:w="1006" w:type="dxa"/>
          </w:tcPr>
          <w:p w:rsidR="004F2078" w:rsidRPr="001D6512" w:rsidRDefault="004F2078" w:rsidP="00C3606E">
            <w:pPr>
              <w:pStyle w:val="TableCell"/>
              <w:spacing w:before="60" w:after="60"/>
              <w:rPr>
                <w:color w:val="000000"/>
              </w:rPr>
            </w:pPr>
            <w:r w:rsidRPr="001D6512">
              <w:rPr>
                <w:color w:val="000000"/>
              </w:rPr>
              <w:t>0.0682</w:t>
            </w:r>
          </w:p>
        </w:tc>
        <w:tc>
          <w:tcPr>
            <w:tcW w:w="959" w:type="dxa"/>
          </w:tcPr>
          <w:p w:rsidR="004F2078" w:rsidRPr="001D6512" w:rsidRDefault="004F2078" w:rsidP="00C3606E">
            <w:pPr>
              <w:pStyle w:val="TableCell"/>
              <w:spacing w:before="60" w:after="60"/>
              <w:rPr>
                <w:color w:val="000000"/>
              </w:rPr>
            </w:pPr>
            <w:r w:rsidRPr="001D6512">
              <w:rPr>
                <w:color w:val="000000"/>
              </w:rPr>
              <w:t>565</w:t>
            </w:r>
          </w:p>
        </w:tc>
      </w:tr>
    </w:tbl>
    <w:p w:rsidR="004F2078" w:rsidRDefault="004F2078" w:rsidP="00C3606E"/>
    <w:p w:rsidR="004F2078" w:rsidRDefault="004F2078" w:rsidP="00C3606E"/>
    <w:p w:rsidR="00717EE4" w:rsidRDefault="00717EE4" w:rsidP="00B20F6B">
      <w:pPr>
        <w:pStyle w:val="Caption"/>
      </w:pPr>
      <w:bookmarkStart w:id="932" w:name="_Toc310875594"/>
      <w:r>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42</w:t>
      </w:r>
      <w:r w:rsidR="00274AB1">
        <w:rPr>
          <w:noProof/>
        </w:rPr>
        <w:fldChar w:fldCharType="end"/>
      </w:r>
      <w:r>
        <w:t xml:space="preserve">: </w:t>
      </w:r>
      <w:r w:rsidRPr="00170AA1">
        <w:t>Shaded Pole to ECM Deemed Savings</w:t>
      </w:r>
      <w:bookmarkEnd w:id="932"/>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005"/>
        <w:gridCol w:w="800"/>
        <w:gridCol w:w="740"/>
        <w:gridCol w:w="811"/>
        <w:gridCol w:w="662"/>
        <w:gridCol w:w="797"/>
        <w:gridCol w:w="967"/>
        <w:gridCol w:w="893"/>
      </w:tblGrid>
      <w:tr w:rsidR="004F2078" w:rsidRPr="00F6303F" w:rsidTr="006E1B95">
        <w:trPr>
          <w:trHeight w:val="980"/>
          <w:jc w:val="center"/>
        </w:trPr>
        <w:tc>
          <w:tcPr>
            <w:tcW w:w="2956"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rPr>
            </w:pPr>
            <w:r w:rsidRPr="001D6512">
              <w:rPr>
                <w:b/>
              </w:rPr>
              <w:t>Measure</w:t>
            </w:r>
          </w:p>
        </w:tc>
        <w:tc>
          <w:tcPr>
            <w:tcW w:w="1005"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color w:val="000000"/>
              </w:rPr>
            </w:pPr>
            <w:r w:rsidRPr="001D6512">
              <w:rPr>
                <w:b/>
                <w:color w:val="000000"/>
              </w:rPr>
              <w:t>W</w:t>
            </w:r>
            <w:r w:rsidRPr="001D6512">
              <w:rPr>
                <w:b/>
                <w:color w:val="000000"/>
                <w:vertAlign w:val="subscript"/>
              </w:rPr>
              <w:t>base</w:t>
            </w:r>
            <w:r w:rsidRPr="001D6512">
              <w:rPr>
                <w:b/>
                <w:color w:val="000000"/>
                <w:vertAlign w:val="subscript"/>
              </w:rPr>
              <w:br/>
            </w:r>
            <w:r w:rsidRPr="001D6512">
              <w:rPr>
                <w:b/>
                <w:color w:val="000000"/>
              </w:rPr>
              <w:t>(Shaded Pole)</w:t>
            </w:r>
          </w:p>
        </w:tc>
        <w:tc>
          <w:tcPr>
            <w:tcW w:w="80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color w:val="000000"/>
              </w:rPr>
            </w:pPr>
            <w:r w:rsidRPr="001D6512">
              <w:rPr>
                <w:b/>
                <w:color w:val="000000"/>
              </w:rPr>
              <w:t>W</w:t>
            </w:r>
            <w:r w:rsidRPr="001D6512">
              <w:rPr>
                <w:b/>
                <w:color w:val="000000"/>
                <w:vertAlign w:val="subscript"/>
              </w:rPr>
              <w:t>ee</w:t>
            </w:r>
            <w:r w:rsidRPr="001D6512">
              <w:rPr>
                <w:b/>
                <w:color w:val="000000"/>
              </w:rPr>
              <w:br/>
              <w:t>(ECM)</w:t>
            </w:r>
          </w:p>
        </w:tc>
        <w:tc>
          <w:tcPr>
            <w:tcW w:w="74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color w:val="000000"/>
              </w:rPr>
            </w:pPr>
            <w:r w:rsidRPr="001D6512">
              <w:rPr>
                <w:b/>
                <w:color w:val="000000"/>
              </w:rPr>
              <w:t>LF</w:t>
            </w:r>
          </w:p>
        </w:tc>
        <w:tc>
          <w:tcPr>
            <w:tcW w:w="858"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color w:val="000000"/>
              </w:rPr>
            </w:pPr>
            <w:r w:rsidRPr="001D6512">
              <w:rPr>
                <w:b/>
                <w:color w:val="000000"/>
              </w:rPr>
              <w:t>DC</w:t>
            </w:r>
            <w:r w:rsidRPr="001D6512">
              <w:rPr>
                <w:b/>
                <w:color w:val="000000"/>
                <w:vertAlign w:val="subscript"/>
              </w:rPr>
              <w:t>Evap</w:t>
            </w:r>
          </w:p>
        </w:tc>
        <w:tc>
          <w:tcPr>
            <w:tcW w:w="754"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color w:val="000000"/>
              </w:rPr>
            </w:pPr>
            <w:r w:rsidRPr="001D6512">
              <w:rPr>
                <w:b/>
                <w:color w:val="000000"/>
              </w:rPr>
              <w:t>DG</w:t>
            </w:r>
          </w:p>
        </w:tc>
        <w:tc>
          <w:tcPr>
            <w:tcW w:w="894"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color w:val="000000"/>
              </w:rPr>
            </w:pPr>
            <w:r w:rsidRPr="001D6512">
              <w:rPr>
                <w:b/>
                <w:color w:val="000000"/>
              </w:rPr>
              <w:t>COP per case Temp</w:t>
            </w:r>
          </w:p>
        </w:tc>
        <w:tc>
          <w:tcPr>
            <w:tcW w:w="1006"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color w:val="000000"/>
              </w:rPr>
            </w:pPr>
            <w:r w:rsidRPr="001D6512">
              <w:rPr>
                <w:b/>
                <w:color w:val="000000"/>
              </w:rPr>
              <w:t>Demand Impact (kW)</w:t>
            </w:r>
          </w:p>
        </w:tc>
        <w:tc>
          <w:tcPr>
            <w:tcW w:w="957"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color w:val="000000"/>
              </w:rPr>
            </w:pPr>
            <w:r w:rsidRPr="001D6512">
              <w:rPr>
                <w:b/>
                <w:color w:val="000000"/>
              </w:rPr>
              <w:t>Energy Impact (kWh)</w:t>
            </w:r>
          </w:p>
        </w:tc>
      </w:tr>
      <w:tr w:rsidR="004F2078" w:rsidRPr="00F6303F" w:rsidTr="006E1B95">
        <w:trPr>
          <w:trHeight w:val="540"/>
          <w:jc w:val="center"/>
        </w:trPr>
        <w:tc>
          <w:tcPr>
            <w:tcW w:w="2956" w:type="dxa"/>
          </w:tcPr>
          <w:p w:rsidR="004F2078" w:rsidRPr="001D6512" w:rsidRDefault="004F2078" w:rsidP="00C3606E">
            <w:pPr>
              <w:pStyle w:val="TableCell"/>
              <w:spacing w:before="60" w:after="60"/>
            </w:pPr>
            <w:r w:rsidRPr="001D6512">
              <w:t>Cooler: Shaded Pole to ECM:</w:t>
            </w:r>
            <w:r w:rsidRPr="001D6512">
              <w:br/>
              <w:t>1/40 HP (16-23 Watt)</w:t>
            </w:r>
          </w:p>
        </w:tc>
        <w:tc>
          <w:tcPr>
            <w:tcW w:w="1005" w:type="dxa"/>
            <w:noWrap/>
          </w:tcPr>
          <w:p w:rsidR="004F2078" w:rsidRPr="001D6512" w:rsidRDefault="004F2078" w:rsidP="00C3606E">
            <w:pPr>
              <w:pStyle w:val="TableCell"/>
              <w:spacing w:before="60" w:after="60"/>
              <w:rPr>
                <w:color w:val="000000"/>
              </w:rPr>
            </w:pPr>
            <w:r w:rsidRPr="001D6512">
              <w:rPr>
                <w:color w:val="000000"/>
              </w:rPr>
              <w:t>93</w:t>
            </w:r>
          </w:p>
        </w:tc>
        <w:tc>
          <w:tcPr>
            <w:tcW w:w="800" w:type="dxa"/>
            <w:noWrap/>
          </w:tcPr>
          <w:p w:rsidR="004F2078" w:rsidRPr="001D6512" w:rsidRDefault="004F2078" w:rsidP="00C3606E">
            <w:pPr>
              <w:pStyle w:val="TableCell"/>
              <w:spacing w:before="60" w:after="60"/>
              <w:rPr>
                <w:color w:val="000000"/>
              </w:rPr>
            </w:pPr>
            <w:r w:rsidRPr="001D6512">
              <w:rPr>
                <w:color w:val="000000"/>
              </w:rPr>
              <w:t>30</w:t>
            </w:r>
          </w:p>
        </w:tc>
        <w:tc>
          <w:tcPr>
            <w:tcW w:w="740" w:type="dxa"/>
            <w:noWrap/>
          </w:tcPr>
          <w:p w:rsidR="004F2078" w:rsidRPr="001D6512" w:rsidRDefault="004F2078" w:rsidP="00C3606E">
            <w:pPr>
              <w:pStyle w:val="TableCell"/>
              <w:spacing w:before="60" w:after="60"/>
              <w:rPr>
                <w:color w:val="000000"/>
              </w:rPr>
            </w:pPr>
            <w:r w:rsidRPr="001D6512">
              <w:rPr>
                <w:color w:val="000000"/>
              </w:rPr>
              <w:t>0.9</w:t>
            </w:r>
          </w:p>
        </w:tc>
        <w:tc>
          <w:tcPr>
            <w:tcW w:w="858" w:type="dxa"/>
          </w:tcPr>
          <w:p w:rsidR="004F2078" w:rsidRPr="001D6512" w:rsidRDefault="004F2078" w:rsidP="00C3606E">
            <w:pPr>
              <w:pStyle w:val="TableCell"/>
              <w:spacing w:before="60" w:after="60"/>
              <w:rPr>
                <w:color w:val="000000"/>
              </w:rPr>
            </w:pPr>
            <w:r w:rsidRPr="001D6512">
              <w:rPr>
                <w:color w:val="000000"/>
              </w:rPr>
              <w:t>100%</w:t>
            </w:r>
          </w:p>
        </w:tc>
        <w:tc>
          <w:tcPr>
            <w:tcW w:w="754" w:type="dxa"/>
          </w:tcPr>
          <w:p w:rsidR="004F2078" w:rsidRPr="001D6512" w:rsidRDefault="004F2078" w:rsidP="00C3606E">
            <w:pPr>
              <w:pStyle w:val="TableCell"/>
              <w:spacing w:before="60" w:after="60"/>
              <w:rPr>
                <w:color w:val="000000"/>
              </w:rPr>
            </w:pPr>
            <w:r w:rsidRPr="001D6512">
              <w:rPr>
                <w:color w:val="000000"/>
              </w:rPr>
              <w:t>0.98</w:t>
            </w:r>
          </w:p>
        </w:tc>
        <w:tc>
          <w:tcPr>
            <w:tcW w:w="894" w:type="dxa"/>
          </w:tcPr>
          <w:p w:rsidR="004F2078" w:rsidRPr="001D6512" w:rsidRDefault="004F2078" w:rsidP="00C3606E">
            <w:pPr>
              <w:pStyle w:val="TableCell"/>
              <w:spacing w:before="60" w:after="60"/>
              <w:rPr>
                <w:color w:val="000000"/>
              </w:rPr>
            </w:pPr>
            <w:r w:rsidRPr="001D6512">
              <w:rPr>
                <w:color w:val="000000"/>
              </w:rPr>
              <w:t>2.5</w:t>
            </w:r>
          </w:p>
        </w:tc>
        <w:tc>
          <w:tcPr>
            <w:tcW w:w="1006" w:type="dxa"/>
          </w:tcPr>
          <w:p w:rsidR="004F2078" w:rsidRPr="001D6512" w:rsidRDefault="004F2078" w:rsidP="00C3606E">
            <w:pPr>
              <w:pStyle w:val="TableCell"/>
              <w:spacing w:before="60" w:after="60"/>
              <w:rPr>
                <w:color w:val="000000"/>
              </w:rPr>
            </w:pPr>
            <w:r w:rsidRPr="001D6512">
              <w:rPr>
                <w:color w:val="000000"/>
              </w:rPr>
              <w:t>0.0798</w:t>
            </w:r>
          </w:p>
        </w:tc>
        <w:tc>
          <w:tcPr>
            <w:tcW w:w="957" w:type="dxa"/>
          </w:tcPr>
          <w:p w:rsidR="004F2078" w:rsidRPr="001D6512" w:rsidRDefault="004F2078" w:rsidP="00C3606E">
            <w:pPr>
              <w:pStyle w:val="TableCell"/>
              <w:spacing w:before="60" w:after="60"/>
              <w:rPr>
                <w:color w:val="000000"/>
              </w:rPr>
            </w:pPr>
            <w:r w:rsidRPr="001D6512">
              <w:rPr>
                <w:color w:val="000000"/>
              </w:rPr>
              <w:t>661</w:t>
            </w:r>
          </w:p>
        </w:tc>
      </w:tr>
      <w:tr w:rsidR="004F2078" w:rsidRPr="00F6303F" w:rsidTr="006E1B95">
        <w:trPr>
          <w:trHeight w:val="540"/>
          <w:jc w:val="center"/>
        </w:trPr>
        <w:tc>
          <w:tcPr>
            <w:tcW w:w="2956" w:type="dxa"/>
          </w:tcPr>
          <w:p w:rsidR="004F2078" w:rsidRPr="001D6512" w:rsidRDefault="004F2078" w:rsidP="00C3606E">
            <w:pPr>
              <w:pStyle w:val="TableCell"/>
              <w:spacing w:before="60" w:after="60"/>
            </w:pPr>
            <w:r w:rsidRPr="001D6512">
              <w:t>Cooler: Shaded Pole to ECM:</w:t>
            </w:r>
            <w:r w:rsidRPr="001D6512">
              <w:br/>
              <w:t>1/20 HP (37 Watt)</w:t>
            </w:r>
          </w:p>
        </w:tc>
        <w:tc>
          <w:tcPr>
            <w:tcW w:w="1005" w:type="dxa"/>
            <w:noWrap/>
          </w:tcPr>
          <w:p w:rsidR="004F2078" w:rsidRPr="001D6512" w:rsidRDefault="004F2078" w:rsidP="00C3606E">
            <w:pPr>
              <w:pStyle w:val="TableCell"/>
              <w:spacing w:before="60" w:after="60"/>
              <w:rPr>
                <w:color w:val="000000"/>
              </w:rPr>
            </w:pPr>
            <w:r w:rsidRPr="001D6512">
              <w:rPr>
                <w:color w:val="000000"/>
              </w:rPr>
              <w:t>142</w:t>
            </w:r>
          </w:p>
        </w:tc>
        <w:tc>
          <w:tcPr>
            <w:tcW w:w="800" w:type="dxa"/>
            <w:noWrap/>
          </w:tcPr>
          <w:p w:rsidR="004F2078" w:rsidRPr="001D6512" w:rsidRDefault="004F2078" w:rsidP="00C3606E">
            <w:pPr>
              <w:pStyle w:val="TableCell"/>
              <w:spacing w:before="60" w:after="60"/>
              <w:rPr>
                <w:color w:val="000000"/>
              </w:rPr>
            </w:pPr>
            <w:r w:rsidRPr="001D6512">
              <w:rPr>
                <w:color w:val="000000"/>
              </w:rPr>
              <w:t>56</w:t>
            </w:r>
          </w:p>
        </w:tc>
        <w:tc>
          <w:tcPr>
            <w:tcW w:w="740" w:type="dxa"/>
            <w:noWrap/>
          </w:tcPr>
          <w:p w:rsidR="004F2078" w:rsidRPr="001D6512" w:rsidRDefault="004F2078" w:rsidP="00C3606E">
            <w:pPr>
              <w:pStyle w:val="TableCell"/>
              <w:spacing w:before="60" w:after="60"/>
              <w:rPr>
                <w:color w:val="000000"/>
              </w:rPr>
            </w:pPr>
            <w:r w:rsidRPr="001D6512">
              <w:rPr>
                <w:color w:val="000000"/>
              </w:rPr>
              <w:t>0.9</w:t>
            </w:r>
          </w:p>
        </w:tc>
        <w:tc>
          <w:tcPr>
            <w:tcW w:w="858" w:type="dxa"/>
          </w:tcPr>
          <w:p w:rsidR="004F2078" w:rsidRPr="001D6512" w:rsidRDefault="004F2078" w:rsidP="00C3606E">
            <w:pPr>
              <w:pStyle w:val="TableCell"/>
              <w:spacing w:before="60" w:after="60"/>
              <w:rPr>
                <w:color w:val="000000"/>
              </w:rPr>
            </w:pPr>
            <w:r w:rsidRPr="001D6512">
              <w:rPr>
                <w:color w:val="000000"/>
              </w:rPr>
              <w:t>100%</w:t>
            </w:r>
          </w:p>
        </w:tc>
        <w:tc>
          <w:tcPr>
            <w:tcW w:w="754" w:type="dxa"/>
          </w:tcPr>
          <w:p w:rsidR="004F2078" w:rsidRPr="001D6512" w:rsidRDefault="004F2078" w:rsidP="00C3606E">
            <w:pPr>
              <w:pStyle w:val="TableCell"/>
              <w:spacing w:before="60" w:after="60"/>
              <w:rPr>
                <w:color w:val="000000"/>
              </w:rPr>
            </w:pPr>
            <w:r w:rsidRPr="001D6512">
              <w:rPr>
                <w:color w:val="000000"/>
              </w:rPr>
              <w:t>0.98</w:t>
            </w:r>
          </w:p>
        </w:tc>
        <w:tc>
          <w:tcPr>
            <w:tcW w:w="894" w:type="dxa"/>
          </w:tcPr>
          <w:p w:rsidR="004F2078" w:rsidRPr="001D6512" w:rsidRDefault="004F2078" w:rsidP="00C3606E">
            <w:pPr>
              <w:pStyle w:val="TableCell"/>
              <w:spacing w:before="60" w:after="60"/>
              <w:rPr>
                <w:color w:val="000000"/>
              </w:rPr>
            </w:pPr>
            <w:r w:rsidRPr="001D6512">
              <w:rPr>
                <w:color w:val="000000"/>
              </w:rPr>
              <w:t>2.5</w:t>
            </w:r>
          </w:p>
        </w:tc>
        <w:tc>
          <w:tcPr>
            <w:tcW w:w="1006" w:type="dxa"/>
          </w:tcPr>
          <w:p w:rsidR="004F2078" w:rsidRPr="001D6512" w:rsidRDefault="004F2078" w:rsidP="00C3606E">
            <w:pPr>
              <w:pStyle w:val="TableCell"/>
              <w:spacing w:before="60" w:after="60"/>
              <w:rPr>
                <w:color w:val="000000"/>
              </w:rPr>
            </w:pPr>
            <w:r w:rsidRPr="001D6512">
              <w:rPr>
                <w:color w:val="000000"/>
              </w:rPr>
              <w:t>0.1090</w:t>
            </w:r>
          </w:p>
        </w:tc>
        <w:tc>
          <w:tcPr>
            <w:tcW w:w="957" w:type="dxa"/>
          </w:tcPr>
          <w:p w:rsidR="004F2078" w:rsidRPr="001D6512" w:rsidRDefault="004F2078" w:rsidP="00C3606E">
            <w:pPr>
              <w:pStyle w:val="TableCell"/>
              <w:spacing w:before="60" w:after="60"/>
              <w:rPr>
                <w:color w:val="000000"/>
              </w:rPr>
            </w:pPr>
            <w:r w:rsidRPr="001D6512">
              <w:rPr>
                <w:color w:val="000000"/>
              </w:rPr>
              <w:t>902</w:t>
            </w:r>
          </w:p>
        </w:tc>
      </w:tr>
      <w:tr w:rsidR="004F2078" w:rsidRPr="00F6303F" w:rsidTr="006E1B95">
        <w:trPr>
          <w:trHeight w:val="540"/>
          <w:jc w:val="center"/>
        </w:trPr>
        <w:tc>
          <w:tcPr>
            <w:tcW w:w="2956" w:type="dxa"/>
          </w:tcPr>
          <w:p w:rsidR="004F2078" w:rsidRPr="001D6512" w:rsidRDefault="004F2078" w:rsidP="00C3606E">
            <w:pPr>
              <w:pStyle w:val="TableCell"/>
              <w:spacing w:before="60" w:after="60"/>
            </w:pPr>
            <w:r w:rsidRPr="001D6512">
              <w:t>Cooler: Shaded Pole to ECM:</w:t>
            </w:r>
            <w:r w:rsidRPr="001D6512">
              <w:br/>
              <w:t>1/15 HP (49 Watt)</w:t>
            </w:r>
          </w:p>
        </w:tc>
        <w:tc>
          <w:tcPr>
            <w:tcW w:w="1005" w:type="dxa"/>
            <w:noWrap/>
          </w:tcPr>
          <w:p w:rsidR="004F2078" w:rsidRPr="001D6512" w:rsidRDefault="004F2078" w:rsidP="00C3606E">
            <w:pPr>
              <w:pStyle w:val="TableCell"/>
              <w:spacing w:before="60" w:after="60"/>
              <w:rPr>
                <w:color w:val="000000"/>
              </w:rPr>
            </w:pPr>
            <w:r w:rsidRPr="001D6512">
              <w:rPr>
                <w:color w:val="000000"/>
              </w:rPr>
              <w:t>191</w:t>
            </w:r>
          </w:p>
        </w:tc>
        <w:tc>
          <w:tcPr>
            <w:tcW w:w="800" w:type="dxa"/>
            <w:noWrap/>
          </w:tcPr>
          <w:p w:rsidR="004F2078" w:rsidRPr="001D6512" w:rsidRDefault="004F2078" w:rsidP="00C3606E">
            <w:pPr>
              <w:pStyle w:val="TableCell"/>
              <w:spacing w:before="60" w:after="60"/>
              <w:rPr>
                <w:color w:val="000000"/>
              </w:rPr>
            </w:pPr>
            <w:r w:rsidRPr="001D6512">
              <w:rPr>
                <w:color w:val="000000"/>
              </w:rPr>
              <w:t>75</w:t>
            </w:r>
          </w:p>
        </w:tc>
        <w:tc>
          <w:tcPr>
            <w:tcW w:w="740" w:type="dxa"/>
            <w:noWrap/>
          </w:tcPr>
          <w:p w:rsidR="004F2078" w:rsidRPr="001D6512" w:rsidRDefault="004F2078" w:rsidP="00C3606E">
            <w:pPr>
              <w:pStyle w:val="TableCell"/>
              <w:spacing w:before="60" w:after="60"/>
              <w:rPr>
                <w:color w:val="000000"/>
              </w:rPr>
            </w:pPr>
            <w:r w:rsidRPr="001D6512">
              <w:rPr>
                <w:color w:val="000000"/>
              </w:rPr>
              <w:t>0.9</w:t>
            </w:r>
          </w:p>
        </w:tc>
        <w:tc>
          <w:tcPr>
            <w:tcW w:w="858" w:type="dxa"/>
          </w:tcPr>
          <w:p w:rsidR="004F2078" w:rsidRPr="001D6512" w:rsidRDefault="004F2078" w:rsidP="00C3606E">
            <w:pPr>
              <w:pStyle w:val="TableCell"/>
              <w:spacing w:before="60" w:after="60"/>
              <w:rPr>
                <w:color w:val="000000"/>
              </w:rPr>
            </w:pPr>
            <w:r w:rsidRPr="001D6512">
              <w:rPr>
                <w:color w:val="000000"/>
              </w:rPr>
              <w:t>100%</w:t>
            </w:r>
          </w:p>
        </w:tc>
        <w:tc>
          <w:tcPr>
            <w:tcW w:w="754" w:type="dxa"/>
          </w:tcPr>
          <w:p w:rsidR="004F2078" w:rsidRPr="001D6512" w:rsidRDefault="004F2078" w:rsidP="00C3606E">
            <w:pPr>
              <w:pStyle w:val="TableCell"/>
              <w:spacing w:before="60" w:after="60"/>
              <w:rPr>
                <w:color w:val="000000"/>
              </w:rPr>
            </w:pPr>
            <w:r w:rsidRPr="001D6512">
              <w:rPr>
                <w:color w:val="000000"/>
              </w:rPr>
              <w:t>0.98</w:t>
            </w:r>
          </w:p>
        </w:tc>
        <w:tc>
          <w:tcPr>
            <w:tcW w:w="894" w:type="dxa"/>
          </w:tcPr>
          <w:p w:rsidR="004F2078" w:rsidRPr="001D6512" w:rsidRDefault="004F2078" w:rsidP="00C3606E">
            <w:pPr>
              <w:pStyle w:val="TableCell"/>
              <w:spacing w:before="60" w:after="60"/>
              <w:rPr>
                <w:color w:val="000000"/>
              </w:rPr>
            </w:pPr>
            <w:r w:rsidRPr="001D6512">
              <w:rPr>
                <w:color w:val="000000"/>
              </w:rPr>
              <w:t>2.5</w:t>
            </w:r>
          </w:p>
        </w:tc>
        <w:tc>
          <w:tcPr>
            <w:tcW w:w="1006" w:type="dxa"/>
          </w:tcPr>
          <w:p w:rsidR="004F2078" w:rsidRPr="001D6512" w:rsidRDefault="004F2078" w:rsidP="00C3606E">
            <w:pPr>
              <w:pStyle w:val="TableCell"/>
              <w:spacing w:before="60" w:after="60"/>
              <w:rPr>
                <w:color w:val="000000"/>
              </w:rPr>
            </w:pPr>
            <w:r w:rsidRPr="001D6512">
              <w:rPr>
                <w:color w:val="000000"/>
              </w:rPr>
              <w:t>0.1470</w:t>
            </w:r>
          </w:p>
        </w:tc>
        <w:tc>
          <w:tcPr>
            <w:tcW w:w="957" w:type="dxa"/>
          </w:tcPr>
          <w:p w:rsidR="004F2078" w:rsidRPr="001D6512" w:rsidRDefault="004F2078" w:rsidP="00C3606E">
            <w:pPr>
              <w:pStyle w:val="TableCell"/>
              <w:spacing w:before="60" w:after="60"/>
              <w:rPr>
                <w:color w:val="000000"/>
              </w:rPr>
            </w:pPr>
            <w:r w:rsidRPr="001D6512">
              <w:rPr>
                <w:color w:val="000000"/>
              </w:rPr>
              <w:t>1,216</w:t>
            </w:r>
          </w:p>
        </w:tc>
      </w:tr>
      <w:tr w:rsidR="004F2078" w:rsidRPr="00F6303F" w:rsidTr="006E1B95">
        <w:trPr>
          <w:trHeight w:val="540"/>
          <w:jc w:val="center"/>
        </w:trPr>
        <w:tc>
          <w:tcPr>
            <w:tcW w:w="2956" w:type="dxa"/>
          </w:tcPr>
          <w:p w:rsidR="004F2078" w:rsidRPr="001D6512" w:rsidRDefault="004F2078" w:rsidP="00C3606E">
            <w:pPr>
              <w:pStyle w:val="TableCell"/>
              <w:spacing w:before="60" w:after="60"/>
            </w:pPr>
            <w:r w:rsidRPr="001D6512">
              <w:t>Freezer: Shaded Pole to ECM:</w:t>
            </w:r>
            <w:r w:rsidRPr="001D6512">
              <w:br/>
              <w:t>1/40 HP (16-23 Watt)</w:t>
            </w:r>
          </w:p>
        </w:tc>
        <w:tc>
          <w:tcPr>
            <w:tcW w:w="1005" w:type="dxa"/>
            <w:noWrap/>
          </w:tcPr>
          <w:p w:rsidR="004F2078" w:rsidRPr="001D6512" w:rsidRDefault="00EC2748" w:rsidP="00C3606E">
            <w:pPr>
              <w:pStyle w:val="TableCell"/>
              <w:spacing w:before="60" w:after="60"/>
              <w:rPr>
                <w:color w:val="000000"/>
              </w:rPr>
            </w:pPr>
            <w:r w:rsidRPr="001D6512">
              <w:rPr>
                <w:color w:val="000000"/>
              </w:rPr>
              <w:t>93</w:t>
            </w:r>
          </w:p>
        </w:tc>
        <w:tc>
          <w:tcPr>
            <w:tcW w:w="800" w:type="dxa"/>
            <w:noWrap/>
          </w:tcPr>
          <w:p w:rsidR="004F2078" w:rsidRPr="001D6512" w:rsidRDefault="004F2078" w:rsidP="00C3606E">
            <w:pPr>
              <w:pStyle w:val="TableCell"/>
              <w:spacing w:before="60" w:after="60"/>
              <w:rPr>
                <w:color w:val="000000"/>
              </w:rPr>
            </w:pPr>
            <w:r w:rsidRPr="001D6512">
              <w:rPr>
                <w:color w:val="000000"/>
              </w:rPr>
              <w:t>30</w:t>
            </w:r>
          </w:p>
        </w:tc>
        <w:tc>
          <w:tcPr>
            <w:tcW w:w="740" w:type="dxa"/>
            <w:noWrap/>
          </w:tcPr>
          <w:p w:rsidR="004F2078" w:rsidRPr="001D6512" w:rsidRDefault="004F2078" w:rsidP="00C3606E">
            <w:pPr>
              <w:pStyle w:val="TableCell"/>
              <w:spacing w:before="60" w:after="60"/>
              <w:rPr>
                <w:color w:val="000000"/>
              </w:rPr>
            </w:pPr>
            <w:r w:rsidRPr="001D6512">
              <w:rPr>
                <w:color w:val="000000"/>
              </w:rPr>
              <w:t>0.9</w:t>
            </w:r>
          </w:p>
        </w:tc>
        <w:tc>
          <w:tcPr>
            <w:tcW w:w="858" w:type="dxa"/>
          </w:tcPr>
          <w:p w:rsidR="004F2078" w:rsidRPr="001D6512" w:rsidRDefault="004F2078" w:rsidP="00C3606E">
            <w:pPr>
              <w:pStyle w:val="TableCell"/>
              <w:spacing w:before="60" w:after="60"/>
              <w:rPr>
                <w:color w:val="000000"/>
              </w:rPr>
            </w:pPr>
            <w:r w:rsidRPr="001D6512">
              <w:rPr>
                <w:color w:val="000000"/>
              </w:rPr>
              <w:t>94.4%</w:t>
            </w:r>
          </w:p>
        </w:tc>
        <w:tc>
          <w:tcPr>
            <w:tcW w:w="754" w:type="dxa"/>
          </w:tcPr>
          <w:p w:rsidR="004F2078" w:rsidRPr="001D6512" w:rsidRDefault="004F2078" w:rsidP="00C3606E">
            <w:pPr>
              <w:pStyle w:val="TableCell"/>
              <w:spacing w:before="60" w:after="60"/>
              <w:rPr>
                <w:color w:val="000000"/>
              </w:rPr>
            </w:pPr>
            <w:r w:rsidRPr="001D6512">
              <w:rPr>
                <w:color w:val="000000"/>
              </w:rPr>
              <w:t>0.98</w:t>
            </w:r>
          </w:p>
        </w:tc>
        <w:tc>
          <w:tcPr>
            <w:tcW w:w="894" w:type="dxa"/>
          </w:tcPr>
          <w:p w:rsidR="004F2078" w:rsidRPr="001D6512" w:rsidRDefault="004F2078" w:rsidP="00C3606E">
            <w:pPr>
              <w:pStyle w:val="TableCell"/>
              <w:spacing w:before="60" w:after="60"/>
              <w:rPr>
                <w:color w:val="000000"/>
              </w:rPr>
            </w:pPr>
            <w:r w:rsidRPr="001D6512">
              <w:rPr>
                <w:color w:val="000000"/>
              </w:rPr>
              <w:t>1.3</w:t>
            </w:r>
          </w:p>
        </w:tc>
        <w:tc>
          <w:tcPr>
            <w:tcW w:w="1006" w:type="dxa"/>
          </w:tcPr>
          <w:p w:rsidR="004F2078" w:rsidRPr="001D6512" w:rsidRDefault="004F2078" w:rsidP="00EC2748">
            <w:pPr>
              <w:pStyle w:val="TableCell"/>
              <w:spacing w:before="60" w:after="60"/>
              <w:rPr>
                <w:color w:val="000000"/>
              </w:rPr>
            </w:pPr>
            <w:r w:rsidRPr="001D6512">
              <w:rPr>
                <w:color w:val="000000"/>
              </w:rPr>
              <w:t>0.</w:t>
            </w:r>
            <w:r w:rsidR="00EC2748" w:rsidRPr="001D6512">
              <w:rPr>
                <w:color w:val="000000"/>
              </w:rPr>
              <w:t>0955</w:t>
            </w:r>
          </w:p>
        </w:tc>
        <w:tc>
          <w:tcPr>
            <w:tcW w:w="957" w:type="dxa"/>
          </w:tcPr>
          <w:p w:rsidR="004F2078" w:rsidRPr="001D6512" w:rsidRDefault="004F2078" w:rsidP="00C3606E">
            <w:pPr>
              <w:pStyle w:val="TableCell"/>
              <w:spacing w:before="60" w:after="60"/>
              <w:rPr>
                <w:color w:val="000000"/>
              </w:rPr>
            </w:pPr>
            <w:r w:rsidRPr="001D6512">
              <w:rPr>
                <w:color w:val="000000"/>
              </w:rPr>
              <w:t>790</w:t>
            </w:r>
          </w:p>
        </w:tc>
      </w:tr>
      <w:tr w:rsidR="004F2078" w:rsidRPr="00F6303F" w:rsidTr="006E1B95">
        <w:trPr>
          <w:trHeight w:val="540"/>
          <w:jc w:val="center"/>
        </w:trPr>
        <w:tc>
          <w:tcPr>
            <w:tcW w:w="2956" w:type="dxa"/>
          </w:tcPr>
          <w:p w:rsidR="004F2078" w:rsidRPr="001D6512" w:rsidRDefault="004F2078" w:rsidP="00C3606E">
            <w:pPr>
              <w:pStyle w:val="TableCell"/>
              <w:spacing w:before="60" w:after="60"/>
            </w:pPr>
            <w:r w:rsidRPr="001D6512">
              <w:t>Freezer: Shaded Pole to ECM:</w:t>
            </w:r>
            <w:r w:rsidRPr="001D6512">
              <w:br/>
              <w:t>1/20 HP (37 Watt)</w:t>
            </w:r>
          </w:p>
        </w:tc>
        <w:tc>
          <w:tcPr>
            <w:tcW w:w="1005" w:type="dxa"/>
            <w:noWrap/>
          </w:tcPr>
          <w:p w:rsidR="004F2078" w:rsidRPr="001D6512" w:rsidRDefault="004F2078" w:rsidP="00C3606E">
            <w:pPr>
              <w:pStyle w:val="TableCell"/>
              <w:spacing w:before="60" w:after="60"/>
              <w:rPr>
                <w:color w:val="000000"/>
              </w:rPr>
            </w:pPr>
            <w:r w:rsidRPr="001D6512">
              <w:rPr>
                <w:color w:val="000000"/>
              </w:rPr>
              <w:t>142</w:t>
            </w:r>
          </w:p>
        </w:tc>
        <w:tc>
          <w:tcPr>
            <w:tcW w:w="800" w:type="dxa"/>
            <w:noWrap/>
          </w:tcPr>
          <w:p w:rsidR="004F2078" w:rsidRPr="001D6512" w:rsidRDefault="004F2078" w:rsidP="00C3606E">
            <w:pPr>
              <w:pStyle w:val="TableCell"/>
              <w:spacing w:before="60" w:after="60"/>
              <w:rPr>
                <w:color w:val="000000"/>
              </w:rPr>
            </w:pPr>
            <w:r w:rsidRPr="001D6512">
              <w:rPr>
                <w:color w:val="000000"/>
              </w:rPr>
              <w:t>56</w:t>
            </w:r>
          </w:p>
        </w:tc>
        <w:tc>
          <w:tcPr>
            <w:tcW w:w="740" w:type="dxa"/>
            <w:noWrap/>
          </w:tcPr>
          <w:p w:rsidR="004F2078" w:rsidRPr="001D6512" w:rsidRDefault="004F2078" w:rsidP="00C3606E">
            <w:pPr>
              <w:pStyle w:val="TableCell"/>
              <w:spacing w:before="60" w:after="60"/>
              <w:rPr>
                <w:color w:val="000000"/>
              </w:rPr>
            </w:pPr>
            <w:r w:rsidRPr="001D6512">
              <w:rPr>
                <w:color w:val="000000"/>
              </w:rPr>
              <w:t>0.9</w:t>
            </w:r>
          </w:p>
        </w:tc>
        <w:tc>
          <w:tcPr>
            <w:tcW w:w="858" w:type="dxa"/>
          </w:tcPr>
          <w:p w:rsidR="004F2078" w:rsidRPr="001D6512" w:rsidRDefault="004F2078" w:rsidP="00C3606E">
            <w:pPr>
              <w:pStyle w:val="TableCell"/>
              <w:spacing w:before="60" w:after="60"/>
              <w:rPr>
                <w:color w:val="000000"/>
              </w:rPr>
            </w:pPr>
            <w:r w:rsidRPr="001D6512">
              <w:rPr>
                <w:color w:val="000000"/>
              </w:rPr>
              <w:t>94.4%</w:t>
            </w:r>
          </w:p>
        </w:tc>
        <w:tc>
          <w:tcPr>
            <w:tcW w:w="754" w:type="dxa"/>
          </w:tcPr>
          <w:p w:rsidR="004F2078" w:rsidRPr="001D6512" w:rsidRDefault="004F2078" w:rsidP="00C3606E">
            <w:pPr>
              <w:pStyle w:val="TableCell"/>
              <w:spacing w:before="60" w:after="60"/>
              <w:rPr>
                <w:color w:val="000000"/>
              </w:rPr>
            </w:pPr>
            <w:r w:rsidRPr="001D6512">
              <w:rPr>
                <w:color w:val="000000"/>
              </w:rPr>
              <w:t>0.98</w:t>
            </w:r>
          </w:p>
        </w:tc>
        <w:tc>
          <w:tcPr>
            <w:tcW w:w="894" w:type="dxa"/>
          </w:tcPr>
          <w:p w:rsidR="004F2078" w:rsidRPr="001D6512" w:rsidRDefault="004F2078" w:rsidP="00C3606E">
            <w:pPr>
              <w:pStyle w:val="TableCell"/>
              <w:spacing w:before="60" w:after="60"/>
              <w:rPr>
                <w:color w:val="000000"/>
              </w:rPr>
            </w:pPr>
            <w:r w:rsidRPr="001D6512">
              <w:rPr>
                <w:color w:val="000000"/>
              </w:rPr>
              <w:t>1.3</w:t>
            </w:r>
          </w:p>
        </w:tc>
        <w:tc>
          <w:tcPr>
            <w:tcW w:w="1006" w:type="dxa"/>
          </w:tcPr>
          <w:p w:rsidR="004F2078" w:rsidRPr="001D6512" w:rsidRDefault="004F2078" w:rsidP="00C3606E">
            <w:pPr>
              <w:pStyle w:val="TableCell"/>
              <w:spacing w:before="60" w:after="60"/>
              <w:rPr>
                <w:color w:val="000000"/>
              </w:rPr>
            </w:pPr>
            <w:r w:rsidRPr="001D6512">
              <w:rPr>
                <w:color w:val="000000"/>
              </w:rPr>
              <w:t>0.1304</w:t>
            </w:r>
          </w:p>
        </w:tc>
        <w:tc>
          <w:tcPr>
            <w:tcW w:w="957" w:type="dxa"/>
          </w:tcPr>
          <w:p w:rsidR="004F2078" w:rsidRPr="001D6512" w:rsidRDefault="004F2078" w:rsidP="00C3606E">
            <w:pPr>
              <w:pStyle w:val="TableCell"/>
              <w:spacing w:before="60" w:after="60"/>
              <w:rPr>
                <w:color w:val="000000"/>
              </w:rPr>
            </w:pPr>
            <w:r w:rsidRPr="001D6512">
              <w:rPr>
                <w:color w:val="000000"/>
              </w:rPr>
              <w:t>1,079</w:t>
            </w:r>
          </w:p>
        </w:tc>
      </w:tr>
      <w:tr w:rsidR="004F2078" w:rsidRPr="00F6303F" w:rsidTr="006E1B95">
        <w:trPr>
          <w:trHeight w:val="540"/>
          <w:jc w:val="center"/>
        </w:trPr>
        <w:tc>
          <w:tcPr>
            <w:tcW w:w="2956" w:type="dxa"/>
          </w:tcPr>
          <w:p w:rsidR="004F2078" w:rsidRPr="001D6512" w:rsidRDefault="004F2078" w:rsidP="008075FC">
            <w:pPr>
              <w:pStyle w:val="TableCell"/>
              <w:keepNext w:val="0"/>
              <w:spacing w:before="60" w:after="60"/>
            </w:pPr>
            <w:r w:rsidRPr="001D6512">
              <w:t>Freezer: Shaded Pole to ECM:</w:t>
            </w:r>
            <w:r w:rsidRPr="001D6512">
              <w:br/>
              <w:t>1/15 HP (49 Watt)</w:t>
            </w:r>
          </w:p>
        </w:tc>
        <w:tc>
          <w:tcPr>
            <w:tcW w:w="1005" w:type="dxa"/>
            <w:noWrap/>
          </w:tcPr>
          <w:p w:rsidR="004F2078" w:rsidRPr="001D6512" w:rsidRDefault="004F2078" w:rsidP="008075FC">
            <w:pPr>
              <w:pStyle w:val="TableCell"/>
              <w:keepNext w:val="0"/>
              <w:spacing w:before="60" w:after="60"/>
              <w:rPr>
                <w:color w:val="000000"/>
              </w:rPr>
            </w:pPr>
            <w:r w:rsidRPr="001D6512">
              <w:rPr>
                <w:color w:val="000000"/>
              </w:rPr>
              <w:t>191</w:t>
            </w:r>
          </w:p>
        </w:tc>
        <w:tc>
          <w:tcPr>
            <w:tcW w:w="800" w:type="dxa"/>
            <w:noWrap/>
          </w:tcPr>
          <w:p w:rsidR="004F2078" w:rsidRPr="001D6512" w:rsidRDefault="004F2078" w:rsidP="008075FC">
            <w:pPr>
              <w:pStyle w:val="TableCell"/>
              <w:keepNext w:val="0"/>
              <w:spacing w:before="60" w:after="60"/>
              <w:rPr>
                <w:color w:val="000000"/>
              </w:rPr>
            </w:pPr>
            <w:r w:rsidRPr="001D6512">
              <w:rPr>
                <w:color w:val="000000"/>
              </w:rPr>
              <w:t>75</w:t>
            </w:r>
          </w:p>
        </w:tc>
        <w:tc>
          <w:tcPr>
            <w:tcW w:w="740" w:type="dxa"/>
            <w:noWrap/>
          </w:tcPr>
          <w:p w:rsidR="004F2078" w:rsidRPr="001D6512" w:rsidRDefault="004F2078" w:rsidP="008075FC">
            <w:pPr>
              <w:pStyle w:val="TableCell"/>
              <w:keepNext w:val="0"/>
              <w:spacing w:before="60" w:after="60"/>
              <w:rPr>
                <w:color w:val="000000"/>
              </w:rPr>
            </w:pPr>
            <w:r w:rsidRPr="001D6512">
              <w:rPr>
                <w:color w:val="000000"/>
              </w:rPr>
              <w:t>0.9</w:t>
            </w:r>
          </w:p>
        </w:tc>
        <w:tc>
          <w:tcPr>
            <w:tcW w:w="858" w:type="dxa"/>
          </w:tcPr>
          <w:p w:rsidR="004F2078" w:rsidRPr="001D6512" w:rsidRDefault="004F2078" w:rsidP="008075FC">
            <w:pPr>
              <w:pStyle w:val="TableCell"/>
              <w:keepNext w:val="0"/>
              <w:spacing w:before="60" w:after="60"/>
              <w:rPr>
                <w:color w:val="000000"/>
              </w:rPr>
            </w:pPr>
            <w:r w:rsidRPr="001D6512">
              <w:rPr>
                <w:color w:val="000000"/>
              </w:rPr>
              <w:t>94.4%</w:t>
            </w:r>
          </w:p>
        </w:tc>
        <w:tc>
          <w:tcPr>
            <w:tcW w:w="754" w:type="dxa"/>
          </w:tcPr>
          <w:p w:rsidR="004F2078" w:rsidRPr="001D6512" w:rsidRDefault="004F2078" w:rsidP="008075FC">
            <w:pPr>
              <w:pStyle w:val="TableCell"/>
              <w:keepNext w:val="0"/>
              <w:spacing w:before="60" w:after="60"/>
              <w:rPr>
                <w:color w:val="000000"/>
              </w:rPr>
            </w:pPr>
            <w:r w:rsidRPr="001D6512">
              <w:rPr>
                <w:color w:val="000000"/>
              </w:rPr>
              <w:t>0.98</w:t>
            </w:r>
          </w:p>
        </w:tc>
        <w:tc>
          <w:tcPr>
            <w:tcW w:w="894" w:type="dxa"/>
          </w:tcPr>
          <w:p w:rsidR="004F2078" w:rsidRPr="001D6512" w:rsidRDefault="004F2078" w:rsidP="008075FC">
            <w:pPr>
              <w:pStyle w:val="TableCell"/>
              <w:keepNext w:val="0"/>
              <w:spacing w:before="60" w:after="60"/>
              <w:rPr>
                <w:color w:val="000000"/>
              </w:rPr>
            </w:pPr>
            <w:r w:rsidRPr="001D6512">
              <w:rPr>
                <w:color w:val="000000"/>
              </w:rPr>
              <w:t>1.3</w:t>
            </w:r>
          </w:p>
        </w:tc>
        <w:tc>
          <w:tcPr>
            <w:tcW w:w="1006" w:type="dxa"/>
          </w:tcPr>
          <w:p w:rsidR="004F2078" w:rsidRPr="001D6512" w:rsidRDefault="004F2078" w:rsidP="008075FC">
            <w:pPr>
              <w:pStyle w:val="TableCell"/>
              <w:keepNext w:val="0"/>
              <w:spacing w:before="60" w:after="60"/>
              <w:rPr>
                <w:color w:val="000000"/>
              </w:rPr>
            </w:pPr>
            <w:r w:rsidRPr="001D6512">
              <w:rPr>
                <w:color w:val="000000"/>
              </w:rPr>
              <w:t>0.1759</w:t>
            </w:r>
          </w:p>
        </w:tc>
        <w:tc>
          <w:tcPr>
            <w:tcW w:w="957" w:type="dxa"/>
          </w:tcPr>
          <w:p w:rsidR="004F2078" w:rsidRPr="001D6512" w:rsidRDefault="004F2078" w:rsidP="008075FC">
            <w:pPr>
              <w:pStyle w:val="TableCell"/>
              <w:keepNext w:val="0"/>
              <w:spacing w:before="60" w:after="60"/>
              <w:rPr>
                <w:color w:val="000000"/>
              </w:rPr>
            </w:pPr>
            <w:r w:rsidRPr="001D6512">
              <w:rPr>
                <w:color w:val="000000"/>
              </w:rPr>
              <w:t>1,455</w:t>
            </w:r>
          </w:p>
        </w:tc>
      </w:tr>
    </w:tbl>
    <w:p w:rsidR="004F2078" w:rsidRPr="00D81E45" w:rsidRDefault="004F2078" w:rsidP="00C3606E">
      <w:pPr>
        <w:spacing w:after="0"/>
      </w:pPr>
    </w:p>
    <w:p w:rsidR="00717EE4" w:rsidRDefault="00717EE4" w:rsidP="00B20F6B">
      <w:pPr>
        <w:pStyle w:val="Caption"/>
      </w:pPr>
      <w:bookmarkStart w:id="933" w:name="_Toc310875595"/>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43</w:t>
      </w:r>
      <w:r w:rsidR="00274AB1">
        <w:rPr>
          <w:noProof/>
        </w:rPr>
        <w:fldChar w:fldCharType="end"/>
      </w:r>
      <w:r>
        <w:t xml:space="preserve">: </w:t>
      </w:r>
      <w:r w:rsidRPr="00362A02">
        <w:t>Default High-Efficiency Evaporator Fan Motor Deemed Savings</w:t>
      </w:r>
      <w:bookmarkEnd w:id="933"/>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247"/>
        <w:gridCol w:w="1247"/>
        <w:gridCol w:w="1247"/>
        <w:gridCol w:w="1247"/>
        <w:gridCol w:w="977"/>
        <w:gridCol w:w="911"/>
      </w:tblGrid>
      <w:tr w:rsidR="004F2078" w:rsidRPr="00ED2F39" w:rsidTr="006E1B95">
        <w:trPr>
          <w:trHeight w:val="1155"/>
          <w:jc w:val="center"/>
        </w:trPr>
        <w:tc>
          <w:tcPr>
            <w:tcW w:w="2235"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rPr>
            </w:pPr>
            <w:r w:rsidRPr="001D6512">
              <w:rPr>
                <w:b/>
              </w:rPr>
              <w:t>Measure</w:t>
            </w:r>
          </w:p>
        </w:tc>
        <w:tc>
          <w:tcPr>
            <w:tcW w:w="1375"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rPr>
            </w:pPr>
            <w:r w:rsidRPr="001D6512">
              <w:rPr>
                <w:b/>
              </w:rPr>
              <w:t>Cooler Weighted Demand Impact (kW)</w:t>
            </w:r>
          </w:p>
        </w:tc>
        <w:tc>
          <w:tcPr>
            <w:tcW w:w="1375"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rPr>
            </w:pPr>
            <w:r w:rsidRPr="001D6512">
              <w:rPr>
                <w:b/>
              </w:rPr>
              <w:t>Cooler Weighted Energy Impact (kWh)</w:t>
            </w:r>
          </w:p>
        </w:tc>
        <w:tc>
          <w:tcPr>
            <w:tcW w:w="1375"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rPr>
            </w:pPr>
            <w:r w:rsidRPr="001D6512">
              <w:rPr>
                <w:b/>
              </w:rPr>
              <w:t>Freezer Weighted Demand Impact (kW)</w:t>
            </w:r>
          </w:p>
        </w:tc>
        <w:tc>
          <w:tcPr>
            <w:tcW w:w="1375"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rPr>
            </w:pPr>
            <w:r w:rsidRPr="001D6512">
              <w:rPr>
                <w:b/>
              </w:rPr>
              <w:t>Freezer Weighted Energy Impact (kWh)</w:t>
            </w:r>
          </w:p>
        </w:tc>
        <w:tc>
          <w:tcPr>
            <w:tcW w:w="1006"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rPr>
            </w:pPr>
            <w:r w:rsidRPr="001D6512">
              <w:rPr>
                <w:b/>
              </w:rPr>
              <w:t>Default Demand Impact (kW)</w:t>
            </w:r>
          </w:p>
        </w:tc>
        <w:tc>
          <w:tcPr>
            <w:tcW w:w="959"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4F2078" w:rsidRPr="001D6512" w:rsidRDefault="004F2078" w:rsidP="00C3606E">
            <w:pPr>
              <w:pStyle w:val="TableCell"/>
              <w:spacing w:before="60" w:after="60"/>
              <w:rPr>
                <w:b/>
              </w:rPr>
            </w:pPr>
            <w:r w:rsidRPr="001D6512">
              <w:rPr>
                <w:b/>
              </w:rPr>
              <w:t>Default Energy Impact (kWh)</w:t>
            </w:r>
          </w:p>
        </w:tc>
      </w:tr>
      <w:tr w:rsidR="004F2078" w:rsidRPr="00ED2F39" w:rsidTr="006E1B95">
        <w:trPr>
          <w:trHeight w:val="540"/>
          <w:jc w:val="center"/>
        </w:trPr>
        <w:tc>
          <w:tcPr>
            <w:tcW w:w="2235" w:type="dxa"/>
          </w:tcPr>
          <w:p w:rsidR="004F2078" w:rsidRPr="001D6512" w:rsidRDefault="004F2078" w:rsidP="00C3606E">
            <w:pPr>
              <w:pStyle w:val="TableCell"/>
              <w:spacing w:before="60" w:after="60"/>
            </w:pPr>
            <w:r w:rsidRPr="001D6512">
              <w:t>PSC to ECM</w:t>
            </w:r>
          </w:p>
        </w:tc>
        <w:tc>
          <w:tcPr>
            <w:tcW w:w="1375" w:type="dxa"/>
          </w:tcPr>
          <w:p w:rsidR="004F2078" w:rsidRPr="001D6512" w:rsidRDefault="004F2078" w:rsidP="00C3606E">
            <w:pPr>
              <w:pStyle w:val="TableCell"/>
              <w:spacing w:before="60" w:after="60"/>
              <w:rPr>
                <w:color w:val="000000"/>
              </w:rPr>
            </w:pPr>
            <w:r w:rsidRPr="001D6512">
              <w:rPr>
                <w:color w:val="000000"/>
              </w:rPr>
              <w:t>0.0469</w:t>
            </w:r>
          </w:p>
        </w:tc>
        <w:tc>
          <w:tcPr>
            <w:tcW w:w="1375" w:type="dxa"/>
          </w:tcPr>
          <w:p w:rsidR="004F2078" w:rsidRPr="001D6512" w:rsidRDefault="004F2078" w:rsidP="00C3606E">
            <w:pPr>
              <w:pStyle w:val="TableCell"/>
              <w:spacing w:before="60" w:after="60"/>
              <w:rPr>
                <w:color w:val="000000"/>
              </w:rPr>
            </w:pPr>
            <w:r w:rsidRPr="001D6512">
              <w:rPr>
                <w:color w:val="000000"/>
              </w:rPr>
              <w:t>388</w:t>
            </w:r>
          </w:p>
        </w:tc>
        <w:tc>
          <w:tcPr>
            <w:tcW w:w="1375" w:type="dxa"/>
          </w:tcPr>
          <w:p w:rsidR="004F2078" w:rsidRPr="001D6512" w:rsidRDefault="004F2078" w:rsidP="00C3606E">
            <w:pPr>
              <w:pStyle w:val="TableCell"/>
              <w:spacing w:before="60" w:after="60"/>
              <w:rPr>
                <w:color w:val="000000"/>
              </w:rPr>
            </w:pPr>
            <w:r w:rsidRPr="001D6512">
              <w:rPr>
                <w:color w:val="000000"/>
              </w:rPr>
              <w:t>0.0561</w:t>
            </w:r>
          </w:p>
        </w:tc>
        <w:tc>
          <w:tcPr>
            <w:tcW w:w="1375" w:type="dxa"/>
          </w:tcPr>
          <w:p w:rsidR="004F2078" w:rsidRPr="001D6512" w:rsidRDefault="004F2078" w:rsidP="00C3606E">
            <w:pPr>
              <w:pStyle w:val="TableCell"/>
              <w:spacing w:before="60" w:after="60"/>
              <w:rPr>
                <w:color w:val="000000"/>
              </w:rPr>
            </w:pPr>
            <w:r w:rsidRPr="001D6512">
              <w:rPr>
                <w:color w:val="000000"/>
              </w:rPr>
              <w:t>464</w:t>
            </w:r>
          </w:p>
        </w:tc>
        <w:tc>
          <w:tcPr>
            <w:tcW w:w="1006" w:type="dxa"/>
          </w:tcPr>
          <w:p w:rsidR="004F2078" w:rsidRPr="001D6512" w:rsidRDefault="004F2078" w:rsidP="00C3606E">
            <w:pPr>
              <w:pStyle w:val="TableCell"/>
              <w:spacing w:before="60" w:after="60"/>
              <w:rPr>
                <w:color w:val="000000"/>
              </w:rPr>
            </w:pPr>
            <w:r w:rsidRPr="001D6512">
              <w:rPr>
                <w:color w:val="000000"/>
              </w:rPr>
              <w:t>0.0499</w:t>
            </w:r>
          </w:p>
        </w:tc>
        <w:tc>
          <w:tcPr>
            <w:tcW w:w="959" w:type="dxa"/>
          </w:tcPr>
          <w:p w:rsidR="004F2078" w:rsidRPr="001D6512" w:rsidRDefault="004F2078" w:rsidP="00C3606E">
            <w:pPr>
              <w:pStyle w:val="TableCell"/>
              <w:spacing w:before="60" w:after="60"/>
              <w:rPr>
                <w:color w:val="000000"/>
              </w:rPr>
            </w:pPr>
            <w:r w:rsidRPr="001D6512">
              <w:rPr>
                <w:color w:val="000000"/>
              </w:rPr>
              <w:t>413</w:t>
            </w:r>
          </w:p>
        </w:tc>
      </w:tr>
      <w:tr w:rsidR="004F2078" w:rsidRPr="00ED2F39" w:rsidTr="006E1B95">
        <w:trPr>
          <w:trHeight w:val="555"/>
          <w:jc w:val="center"/>
        </w:trPr>
        <w:tc>
          <w:tcPr>
            <w:tcW w:w="2235" w:type="dxa"/>
          </w:tcPr>
          <w:p w:rsidR="004F2078" w:rsidRPr="001D6512" w:rsidRDefault="004F2078" w:rsidP="00C3606E">
            <w:pPr>
              <w:pStyle w:val="TableCell"/>
              <w:spacing w:before="60" w:after="60"/>
            </w:pPr>
            <w:r w:rsidRPr="001D6512">
              <w:t>Shaded Pole to ECM</w:t>
            </w:r>
          </w:p>
        </w:tc>
        <w:tc>
          <w:tcPr>
            <w:tcW w:w="1375" w:type="dxa"/>
          </w:tcPr>
          <w:p w:rsidR="004F2078" w:rsidRPr="001D6512" w:rsidRDefault="004F2078" w:rsidP="00C3606E">
            <w:pPr>
              <w:pStyle w:val="TableCell"/>
              <w:spacing w:before="60" w:after="60"/>
              <w:rPr>
                <w:color w:val="000000"/>
              </w:rPr>
            </w:pPr>
            <w:r w:rsidRPr="001D6512">
              <w:rPr>
                <w:color w:val="000000"/>
              </w:rPr>
              <w:t>0.1258</w:t>
            </w:r>
          </w:p>
        </w:tc>
        <w:tc>
          <w:tcPr>
            <w:tcW w:w="1375" w:type="dxa"/>
          </w:tcPr>
          <w:p w:rsidR="004F2078" w:rsidRPr="001D6512" w:rsidRDefault="004F2078" w:rsidP="00C3606E">
            <w:pPr>
              <w:pStyle w:val="TableCell"/>
              <w:spacing w:before="60" w:after="60"/>
              <w:rPr>
                <w:color w:val="000000"/>
              </w:rPr>
            </w:pPr>
            <w:r w:rsidRPr="001D6512">
              <w:rPr>
                <w:color w:val="000000"/>
              </w:rPr>
              <w:t>1,041</w:t>
            </w:r>
          </w:p>
        </w:tc>
        <w:tc>
          <w:tcPr>
            <w:tcW w:w="1375" w:type="dxa"/>
          </w:tcPr>
          <w:p w:rsidR="004F2078" w:rsidRPr="001D6512" w:rsidRDefault="004F2078" w:rsidP="00C3606E">
            <w:pPr>
              <w:pStyle w:val="TableCell"/>
              <w:spacing w:before="60" w:after="60"/>
              <w:rPr>
                <w:color w:val="000000"/>
              </w:rPr>
            </w:pPr>
            <w:r w:rsidRPr="001D6512">
              <w:rPr>
                <w:color w:val="000000"/>
              </w:rPr>
              <w:t>0.1506</w:t>
            </w:r>
          </w:p>
        </w:tc>
        <w:tc>
          <w:tcPr>
            <w:tcW w:w="1375" w:type="dxa"/>
          </w:tcPr>
          <w:p w:rsidR="004F2078" w:rsidRPr="001D6512" w:rsidRDefault="004F2078" w:rsidP="00C3606E">
            <w:pPr>
              <w:pStyle w:val="TableCell"/>
              <w:spacing w:before="60" w:after="60"/>
              <w:rPr>
                <w:color w:val="000000"/>
              </w:rPr>
            </w:pPr>
            <w:r w:rsidRPr="001D6512">
              <w:rPr>
                <w:color w:val="000000"/>
              </w:rPr>
              <w:t>1,246</w:t>
            </w:r>
          </w:p>
        </w:tc>
        <w:tc>
          <w:tcPr>
            <w:tcW w:w="1006" w:type="dxa"/>
          </w:tcPr>
          <w:p w:rsidR="004F2078" w:rsidRPr="001D6512" w:rsidRDefault="004F2078" w:rsidP="00C3606E">
            <w:pPr>
              <w:pStyle w:val="TableCell"/>
              <w:spacing w:before="60" w:after="60"/>
              <w:rPr>
                <w:color w:val="000000"/>
              </w:rPr>
            </w:pPr>
            <w:r w:rsidRPr="001D6512">
              <w:rPr>
                <w:color w:val="000000"/>
              </w:rPr>
              <w:t>0.1335</w:t>
            </w:r>
          </w:p>
        </w:tc>
        <w:tc>
          <w:tcPr>
            <w:tcW w:w="959" w:type="dxa"/>
          </w:tcPr>
          <w:p w:rsidR="004F2078" w:rsidRPr="001D6512" w:rsidRDefault="004F2078" w:rsidP="00C3606E">
            <w:pPr>
              <w:pStyle w:val="TableCell"/>
              <w:spacing w:before="60" w:after="60"/>
              <w:rPr>
                <w:color w:val="000000"/>
              </w:rPr>
            </w:pPr>
            <w:r w:rsidRPr="001D6512">
              <w:rPr>
                <w:color w:val="000000"/>
              </w:rPr>
              <w:t>1,105</w:t>
            </w:r>
          </w:p>
        </w:tc>
      </w:tr>
    </w:tbl>
    <w:p w:rsidR="004F2078" w:rsidRPr="00F6303F" w:rsidRDefault="004F2078" w:rsidP="00C3606E"/>
    <w:p w:rsidR="004F2078" w:rsidRDefault="004F2078" w:rsidP="00871FA2">
      <w:pPr>
        <w:pStyle w:val="Heading3"/>
      </w:pPr>
      <w:r>
        <w:lastRenderedPageBreak/>
        <w:t>Measure Life</w:t>
      </w:r>
    </w:p>
    <w:p w:rsidR="004F2078" w:rsidRDefault="004F2078" w:rsidP="008075FC">
      <w:pPr>
        <w:keepNext/>
      </w:pPr>
      <w:r>
        <w:t>15 years</w:t>
      </w:r>
    </w:p>
    <w:p w:rsidR="004F2078" w:rsidRPr="00BC5194" w:rsidRDefault="004F2078" w:rsidP="008075FC">
      <w:pPr>
        <w:keepNext/>
        <w:rPr>
          <w:b/>
        </w:rPr>
      </w:pPr>
      <w:r w:rsidRPr="00BC5194">
        <w:rPr>
          <w:b/>
        </w:rPr>
        <w:t>Sources:</w:t>
      </w:r>
    </w:p>
    <w:p w:rsidR="004F2078" w:rsidRPr="00242B0F" w:rsidRDefault="004F2078" w:rsidP="0005632A">
      <w:pPr>
        <w:pStyle w:val="source1"/>
        <w:keepNext/>
        <w:numPr>
          <w:ilvl w:val="0"/>
          <w:numId w:val="61"/>
        </w:numPr>
      </w:pPr>
      <w:r w:rsidRPr="00242B0F">
        <w:t xml:space="preserve">“ActOnEnergy; Business Program-Program Year 2, June, 2009 through May, 2010. Technical Reference Manual, No. 2009-01.” Published 12/15/2009. </w:t>
      </w:r>
    </w:p>
    <w:p w:rsidR="004F2078" w:rsidRPr="00242B0F" w:rsidRDefault="00F11594" w:rsidP="00C3606E">
      <w:pPr>
        <w:pStyle w:val="source1"/>
      </w:pPr>
      <w:r w:rsidRPr="00242B0F">
        <w:t xml:space="preserve">“Efficiency Maine; Commercial Technical Reference User Manual, No. 2007-1.” </w:t>
      </w:r>
      <w:r w:rsidR="004F2078" w:rsidRPr="00242B0F">
        <w:t>Published 3/5/07.</w:t>
      </w:r>
    </w:p>
    <w:p w:rsidR="004F2078" w:rsidRPr="00242B0F" w:rsidRDefault="004F2078" w:rsidP="00C3606E">
      <w:pPr>
        <w:pStyle w:val="source1"/>
      </w:pPr>
      <w:r w:rsidRPr="00242B0F">
        <w:t xml:space="preserve">Regional Technical Forum (RTF) as part of the Northwest Power &amp; Conservation Council, Deemed Measures List. Deemed MeasuresV26 _walkinevapfan. Provided by Adam Hadley (adam@hadleyenergy.com). Should be made available on RTF website </w:t>
      </w:r>
      <w:hyperlink r:id="rId42" w:history="1">
        <w:r w:rsidRPr="00242B0F">
          <w:rPr>
            <w:rStyle w:val="Hyperlink"/>
            <w:rFonts w:cs="Arial"/>
            <w:color w:val="auto"/>
            <w:u w:val="none"/>
          </w:rPr>
          <w:t>http://www.nwcouncil.org/rtf/measures/Default.asp</w:t>
        </w:r>
      </w:hyperlink>
    </w:p>
    <w:p w:rsidR="00CB79AB" w:rsidRDefault="00CB79AB">
      <w:pPr>
        <w:overflowPunct/>
        <w:autoSpaceDE/>
        <w:autoSpaceDN/>
        <w:adjustRightInd/>
        <w:spacing w:after="0" w:line="240" w:lineRule="auto"/>
        <w:textAlignment w:val="auto"/>
      </w:pPr>
    </w:p>
    <w:p w:rsidR="00CB79AB" w:rsidRDefault="00AA7749" w:rsidP="00E568D4">
      <w:pPr>
        <w:pStyle w:val="Heading2"/>
      </w:pPr>
      <w:r>
        <w:br w:type="page"/>
      </w:r>
      <w:bookmarkStart w:id="934" w:name="_Toc310875451"/>
      <w:r w:rsidR="00CB79AB" w:rsidRPr="00BC4C0D">
        <w:lastRenderedPageBreak/>
        <w:t xml:space="preserve">ENERGY </w:t>
      </w:r>
      <w:r w:rsidR="00CB79AB" w:rsidRPr="003B22BC">
        <w:t>STAR</w:t>
      </w:r>
      <w:r w:rsidR="00CB79AB" w:rsidRPr="00BC4C0D">
        <w:t xml:space="preserve"> Office Equipment</w:t>
      </w:r>
      <w:bookmarkEnd w:id="934"/>
    </w:p>
    <w:p w:rsidR="00A409F1" w:rsidRPr="006211B6" w:rsidRDefault="00A409F1" w:rsidP="00A409F1">
      <w:r>
        <w:rPr>
          <w:rFonts w:ascii="PalatinoLinotype" w:hAnsi="PalatinoLinotype" w:cs="PalatinoLinotype"/>
        </w:rPr>
        <w:t xml:space="preserve">This protocol estimates savings for installing ENERGY STAR office equipment </w:t>
      </w:r>
      <w:r w:rsidRPr="00750794">
        <w:t xml:space="preserve">compared to </w:t>
      </w:r>
      <w:r>
        <w:t xml:space="preserve">standard efficiency equipment. </w:t>
      </w:r>
      <w:r w:rsidRPr="00750794">
        <w:t xml:space="preserve">The measurement of energy and demand savings is based </w:t>
      </w:r>
      <w:r>
        <w:t>on a deemed savings value multiplied by the quantity of the measure.</w:t>
      </w:r>
    </w:p>
    <w:p w:rsidR="00CB79AB" w:rsidRPr="00BC4C0D" w:rsidRDefault="00CB79AB" w:rsidP="00871FA2">
      <w:pPr>
        <w:pStyle w:val="Heading3"/>
      </w:pPr>
      <w:r w:rsidRPr="00BC4C0D">
        <w:t>Algorithms</w:t>
      </w:r>
    </w:p>
    <w:p w:rsidR="00CB79AB" w:rsidRPr="00BC4C0D" w:rsidRDefault="00CB79AB" w:rsidP="00CB79AB">
      <w:pPr>
        <w:pStyle w:val="BodyText"/>
      </w:pPr>
      <w:r w:rsidRPr="00BC4C0D">
        <w:t xml:space="preserve">The general form of the equation for the ENERGY STAR </w:t>
      </w:r>
      <w:r>
        <w:t>Office Equipment</w:t>
      </w:r>
      <w:r w:rsidRPr="00BC4C0D">
        <w:t xml:space="preserve"> measure savings’ algorithms is:</w:t>
      </w:r>
    </w:p>
    <w:p w:rsidR="00CB79AB" w:rsidRPr="00BC4C0D" w:rsidRDefault="00CB79AB" w:rsidP="00CB79AB">
      <w:pPr>
        <w:pStyle w:val="Equation"/>
      </w:pPr>
      <w:r w:rsidRPr="00BC4C0D">
        <w:t>Number of Units X Savings per Unit</w:t>
      </w:r>
    </w:p>
    <w:p w:rsidR="00CB79AB" w:rsidRDefault="00CB79AB" w:rsidP="00CB79AB">
      <w:pPr>
        <w:pStyle w:val="BodyText"/>
      </w:pPr>
      <w:r w:rsidRPr="00BC4C0D">
        <w:t>To determine resource savings, the per unit estimates in the algorithms will be mult</w:t>
      </w:r>
      <w:r>
        <w:t>iplied by the number of units. Per unit savings are primarily derived from the June 2010 release of the ENERGY STAR calculator for office equipment.</w:t>
      </w:r>
    </w:p>
    <w:p w:rsidR="00CB79AB" w:rsidRPr="00BC4C0D" w:rsidRDefault="00CB79AB" w:rsidP="00E568D4">
      <w:pPr>
        <w:pStyle w:val="Heading4"/>
      </w:pPr>
      <w:r>
        <w:t xml:space="preserve">ENERGY STAR </w:t>
      </w:r>
      <w:r w:rsidRPr="00BC4C0D">
        <w:t>Computer</w:t>
      </w:r>
    </w:p>
    <w:p w:rsidR="00CB79AB" w:rsidRPr="005021BC" w:rsidRDefault="001A2B43" w:rsidP="00CB79AB">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rPr>
        <w:tab/>
      </w:r>
      <w:r w:rsidR="00CB79AB" w:rsidRPr="005021BC">
        <w:rPr>
          <w:rFonts w:cs="Arial"/>
          <w:szCs w:val="20"/>
        </w:rPr>
        <w:tab/>
        <w:t>= ESav</w:t>
      </w:r>
      <w:r w:rsidR="00CB79AB" w:rsidRPr="005021BC">
        <w:rPr>
          <w:rFonts w:cs="Arial"/>
          <w:szCs w:val="20"/>
          <w:vertAlign w:val="subscript"/>
        </w:rPr>
        <w:t>COM</w:t>
      </w:r>
    </w:p>
    <w:p w:rsidR="00CB79AB" w:rsidRPr="005021BC" w:rsidRDefault="001A2B43" w:rsidP="00CB79AB">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Pr>
          <w:rFonts w:cs="Arial"/>
          <w:szCs w:val="20"/>
        </w:rPr>
        <w:tab/>
      </w:r>
      <w:r w:rsidR="00CB79AB" w:rsidRPr="005021BC">
        <w:rPr>
          <w:rFonts w:cs="Arial"/>
          <w:szCs w:val="20"/>
        </w:rPr>
        <w:tab/>
        <w:t xml:space="preserve"> = DSav</w:t>
      </w:r>
      <w:r w:rsidR="00CB79AB" w:rsidRPr="005021BC">
        <w:rPr>
          <w:rFonts w:cs="Arial"/>
          <w:szCs w:val="20"/>
          <w:vertAlign w:val="subscript"/>
        </w:rPr>
        <w:t>COM</w:t>
      </w:r>
      <w:r w:rsidR="00CB79AB" w:rsidRPr="005021BC">
        <w:rPr>
          <w:rFonts w:cs="Arial"/>
          <w:szCs w:val="20"/>
        </w:rPr>
        <w:t xml:space="preserve"> x CF</w:t>
      </w:r>
      <w:r w:rsidR="00CB79AB" w:rsidRPr="005021BC">
        <w:rPr>
          <w:rFonts w:cs="Arial"/>
          <w:szCs w:val="20"/>
          <w:vertAlign w:val="subscript"/>
        </w:rPr>
        <w:t>COM</w:t>
      </w:r>
    </w:p>
    <w:p w:rsidR="00CB79AB" w:rsidRDefault="00CB79AB" w:rsidP="00E568D4">
      <w:pPr>
        <w:pStyle w:val="Heading4"/>
      </w:pPr>
      <w:r>
        <w:t>ENERGY STAR Fax Machine</w:t>
      </w:r>
    </w:p>
    <w:p w:rsidR="00CB79AB" w:rsidRPr="005021BC" w:rsidRDefault="001A2B43" w:rsidP="00CB79AB">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rPr>
        <w:tab/>
      </w:r>
      <w:r w:rsidR="00CB79AB" w:rsidRPr="005021BC">
        <w:rPr>
          <w:rFonts w:cs="Arial"/>
          <w:szCs w:val="20"/>
        </w:rPr>
        <w:tab/>
        <w:t>= ESav</w:t>
      </w:r>
      <w:r w:rsidR="00CB79AB" w:rsidRPr="005021BC">
        <w:rPr>
          <w:rFonts w:cs="Arial"/>
          <w:szCs w:val="20"/>
          <w:vertAlign w:val="subscript"/>
        </w:rPr>
        <w:t>FAX</w:t>
      </w:r>
    </w:p>
    <w:p w:rsidR="00CB79AB" w:rsidRPr="005021BC" w:rsidRDefault="001A2B43" w:rsidP="00CB79AB">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Pr>
          <w:rFonts w:cs="Arial"/>
          <w:szCs w:val="20"/>
        </w:rPr>
        <w:tab/>
      </w:r>
      <w:r w:rsidR="00CB79AB" w:rsidRPr="005021BC">
        <w:rPr>
          <w:rFonts w:cs="Arial"/>
          <w:szCs w:val="20"/>
        </w:rPr>
        <w:tab/>
        <w:t>= DSav</w:t>
      </w:r>
      <w:r w:rsidR="00CB79AB" w:rsidRPr="005021BC">
        <w:rPr>
          <w:rFonts w:cs="Arial"/>
          <w:szCs w:val="20"/>
          <w:vertAlign w:val="subscript"/>
        </w:rPr>
        <w:t>FAX</w:t>
      </w:r>
      <w:r w:rsidR="00CB79AB" w:rsidRPr="005021BC">
        <w:rPr>
          <w:rFonts w:cs="Arial"/>
          <w:szCs w:val="20"/>
        </w:rPr>
        <w:t xml:space="preserve"> x CF</w:t>
      </w:r>
      <w:r w:rsidR="00CB79AB" w:rsidRPr="005021BC">
        <w:rPr>
          <w:rFonts w:cs="Arial"/>
          <w:szCs w:val="20"/>
          <w:vertAlign w:val="subscript"/>
        </w:rPr>
        <w:t>FAX</w:t>
      </w:r>
    </w:p>
    <w:p w:rsidR="00CB79AB" w:rsidRDefault="00CB79AB" w:rsidP="00E568D4">
      <w:pPr>
        <w:pStyle w:val="Heading4"/>
      </w:pPr>
      <w:r>
        <w:t>ENERGY STAR Copier</w:t>
      </w:r>
    </w:p>
    <w:p w:rsidR="00CB79AB" w:rsidRPr="005021BC" w:rsidRDefault="001A2B43" w:rsidP="00CB79AB">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rPr>
        <w:tab/>
      </w:r>
      <w:r w:rsidR="00CB79AB" w:rsidRPr="005021BC">
        <w:rPr>
          <w:rFonts w:cs="Arial"/>
          <w:szCs w:val="20"/>
        </w:rPr>
        <w:tab/>
        <w:t>= ESav</w:t>
      </w:r>
      <w:r w:rsidR="00CB79AB" w:rsidRPr="005021BC">
        <w:rPr>
          <w:rFonts w:cs="Arial"/>
          <w:szCs w:val="20"/>
          <w:vertAlign w:val="subscript"/>
        </w:rPr>
        <w:t>COP</w:t>
      </w:r>
    </w:p>
    <w:p w:rsidR="00CB79AB" w:rsidRPr="005021BC" w:rsidRDefault="001A2B43" w:rsidP="00CB79AB">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Pr>
          <w:rFonts w:cs="Arial"/>
          <w:szCs w:val="20"/>
        </w:rPr>
        <w:tab/>
      </w:r>
      <w:r w:rsidR="00726DEA" w:rsidRPr="005021BC">
        <w:rPr>
          <w:rFonts w:cs="Arial"/>
          <w:szCs w:val="20"/>
        </w:rPr>
        <w:tab/>
      </w:r>
      <w:r w:rsidR="00CB79AB" w:rsidRPr="005021BC">
        <w:rPr>
          <w:rFonts w:cs="Arial"/>
          <w:szCs w:val="20"/>
        </w:rPr>
        <w:t xml:space="preserve"> = DSav</w:t>
      </w:r>
      <w:r w:rsidR="00CB79AB" w:rsidRPr="005021BC">
        <w:rPr>
          <w:rFonts w:cs="Arial"/>
          <w:szCs w:val="20"/>
          <w:vertAlign w:val="subscript"/>
        </w:rPr>
        <w:t>COP</w:t>
      </w:r>
      <w:r w:rsidR="00CB79AB" w:rsidRPr="005021BC">
        <w:rPr>
          <w:rFonts w:cs="Arial"/>
          <w:szCs w:val="20"/>
        </w:rPr>
        <w:t xml:space="preserve"> x CF</w:t>
      </w:r>
      <w:r w:rsidR="00CB79AB" w:rsidRPr="005021BC">
        <w:rPr>
          <w:rFonts w:cs="Arial"/>
          <w:szCs w:val="20"/>
          <w:vertAlign w:val="subscript"/>
        </w:rPr>
        <w:t>COP</w:t>
      </w:r>
    </w:p>
    <w:p w:rsidR="00CB79AB" w:rsidRPr="008D45C5" w:rsidRDefault="00CB79AB" w:rsidP="00E568D4">
      <w:pPr>
        <w:pStyle w:val="Heading4"/>
      </w:pPr>
      <w:r>
        <w:t>ENERGY STAR Printer</w:t>
      </w:r>
    </w:p>
    <w:p w:rsidR="00CB79AB" w:rsidRPr="005021BC" w:rsidRDefault="001A2B43" w:rsidP="00CB79AB">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rPr>
        <w:tab/>
      </w:r>
      <w:r w:rsidR="00CB79AB" w:rsidRPr="005021BC">
        <w:rPr>
          <w:rFonts w:cs="Arial"/>
          <w:szCs w:val="20"/>
        </w:rPr>
        <w:tab/>
        <w:t>= ESav</w:t>
      </w:r>
      <w:r w:rsidR="00CB79AB" w:rsidRPr="005021BC">
        <w:rPr>
          <w:rFonts w:cs="Arial"/>
          <w:szCs w:val="20"/>
          <w:vertAlign w:val="subscript"/>
        </w:rPr>
        <w:t>PRI</w:t>
      </w:r>
    </w:p>
    <w:p w:rsidR="00CB79AB" w:rsidRPr="005021BC" w:rsidRDefault="001A2B43" w:rsidP="00CB79AB">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Pr>
          <w:rFonts w:cs="Arial"/>
          <w:szCs w:val="20"/>
        </w:rPr>
        <w:tab/>
      </w:r>
      <w:r w:rsidR="00CB79AB" w:rsidRPr="005021BC">
        <w:rPr>
          <w:rFonts w:cs="Arial"/>
          <w:szCs w:val="20"/>
        </w:rPr>
        <w:tab/>
        <w:t>= DSav</w:t>
      </w:r>
      <w:r w:rsidR="00CB79AB" w:rsidRPr="005021BC">
        <w:rPr>
          <w:rFonts w:cs="Arial"/>
          <w:szCs w:val="20"/>
          <w:vertAlign w:val="subscript"/>
        </w:rPr>
        <w:t>PRI</w:t>
      </w:r>
      <w:r w:rsidR="00CB79AB" w:rsidRPr="005021BC">
        <w:rPr>
          <w:rFonts w:cs="Arial"/>
          <w:szCs w:val="20"/>
        </w:rPr>
        <w:t xml:space="preserve"> x CF</w:t>
      </w:r>
      <w:r w:rsidR="00CB79AB" w:rsidRPr="005021BC">
        <w:rPr>
          <w:rFonts w:cs="Arial"/>
          <w:szCs w:val="20"/>
          <w:vertAlign w:val="subscript"/>
        </w:rPr>
        <w:t>PRI</w:t>
      </w:r>
    </w:p>
    <w:p w:rsidR="00CB79AB" w:rsidRPr="008D45C5" w:rsidRDefault="00CB79AB" w:rsidP="00E568D4">
      <w:pPr>
        <w:pStyle w:val="Heading4"/>
      </w:pPr>
      <w:r>
        <w:t>ENERGY STAR Multifunction</w:t>
      </w:r>
    </w:p>
    <w:p w:rsidR="00CB79AB" w:rsidRPr="005021BC" w:rsidRDefault="001A2B43" w:rsidP="00CB79AB">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rPr>
        <w:tab/>
      </w:r>
      <w:r w:rsidR="00CB79AB" w:rsidRPr="005021BC">
        <w:rPr>
          <w:rFonts w:cs="Arial"/>
          <w:szCs w:val="20"/>
        </w:rPr>
        <w:tab/>
        <w:t>= ESav</w:t>
      </w:r>
      <w:r w:rsidR="00CB79AB" w:rsidRPr="005021BC">
        <w:rPr>
          <w:rFonts w:cs="Arial"/>
          <w:szCs w:val="20"/>
          <w:vertAlign w:val="subscript"/>
        </w:rPr>
        <w:t>MUL</w:t>
      </w:r>
    </w:p>
    <w:p w:rsidR="00CB79AB" w:rsidRPr="005021BC" w:rsidRDefault="001A2B43" w:rsidP="00CB79AB">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Pr>
          <w:rFonts w:cs="Arial"/>
          <w:szCs w:val="20"/>
        </w:rPr>
        <w:tab/>
      </w:r>
      <w:r w:rsidR="00CB79AB" w:rsidRPr="005021BC">
        <w:rPr>
          <w:rFonts w:cs="Arial"/>
          <w:szCs w:val="20"/>
        </w:rPr>
        <w:tab/>
        <w:t>= DSav</w:t>
      </w:r>
      <w:r w:rsidR="00CB79AB" w:rsidRPr="005021BC">
        <w:rPr>
          <w:rFonts w:cs="Arial"/>
          <w:szCs w:val="20"/>
          <w:vertAlign w:val="subscript"/>
        </w:rPr>
        <w:t>MUL</w:t>
      </w:r>
      <w:r w:rsidR="00CB79AB" w:rsidRPr="005021BC">
        <w:rPr>
          <w:rFonts w:cs="Arial"/>
          <w:szCs w:val="20"/>
        </w:rPr>
        <w:t xml:space="preserve"> x CF</w:t>
      </w:r>
      <w:r w:rsidR="00CB79AB" w:rsidRPr="005021BC">
        <w:rPr>
          <w:rFonts w:cs="Arial"/>
          <w:szCs w:val="20"/>
          <w:vertAlign w:val="subscript"/>
        </w:rPr>
        <w:t>MUL</w:t>
      </w:r>
    </w:p>
    <w:p w:rsidR="00CB79AB" w:rsidRPr="008D45C5" w:rsidRDefault="00CB79AB" w:rsidP="00E568D4">
      <w:pPr>
        <w:pStyle w:val="Heading4"/>
      </w:pPr>
      <w:r>
        <w:t>ENERGY STAR Monitor</w:t>
      </w:r>
    </w:p>
    <w:p w:rsidR="00CB79AB" w:rsidRPr="005021BC" w:rsidRDefault="001A2B43" w:rsidP="00CB79AB">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rPr>
        <w:tab/>
      </w:r>
      <w:r w:rsidR="00CB79AB" w:rsidRPr="005021BC">
        <w:rPr>
          <w:rFonts w:cs="Arial"/>
          <w:szCs w:val="20"/>
        </w:rPr>
        <w:tab/>
        <w:t>= ESav</w:t>
      </w:r>
      <w:r w:rsidR="00CB79AB" w:rsidRPr="005021BC">
        <w:rPr>
          <w:rFonts w:cs="Arial"/>
          <w:szCs w:val="20"/>
          <w:vertAlign w:val="subscript"/>
        </w:rPr>
        <w:t>MON</w:t>
      </w:r>
    </w:p>
    <w:p w:rsidR="00CB79AB" w:rsidRPr="005021BC" w:rsidRDefault="001A2B43" w:rsidP="00CB79AB">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Pr>
          <w:rFonts w:cs="Arial"/>
          <w:szCs w:val="20"/>
        </w:rPr>
        <w:tab/>
      </w:r>
      <w:r w:rsidR="00CB79AB" w:rsidRPr="005021BC">
        <w:rPr>
          <w:rFonts w:cs="Arial"/>
          <w:szCs w:val="20"/>
        </w:rPr>
        <w:tab/>
        <w:t>= DSav</w:t>
      </w:r>
      <w:r w:rsidR="00CB79AB" w:rsidRPr="005021BC">
        <w:rPr>
          <w:rFonts w:cs="Arial"/>
          <w:szCs w:val="20"/>
          <w:vertAlign w:val="subscript"/>
        </w:rPr>
        <w:t>MON</w:t>
      </w:r>
      <w:r w:rsidR="00CB79AB" w:rsidRPr="005021BC">
        <w:rPr>
          <w:rFonts w:cs="Arial"/>
          <w:szCs w:val="20"/>
        </w:rPr>
        <w:t xml:space="preserve"> x CF</w:t>
      </w:r>
      <w:r w:rsidR="00CB79AB" w:rsidRPr="005021BC">
        <w:rPr>
          <w:rFonts w:cs="Arial"/>
          <w:szCs w:val="20"/>
          <w:vertAlign w:val="subscript"/>
        </w:rPr>
        <w:t>MON</w:t>
      </w:r>
    </w:p>
    <w:p w:rsidR="00CB79AB" w:rsidRPr="00BC4C0D" w:rsidRDefault="00CB79AB" w:rsidP="00871FA2">
      <w:pPr>
        <w:pStyle w:val="Heading3"/>
      </w:pPr>
      <w:r w:rsidRPr="00BC4C0D">
        <w:lastRenderedPageBreak/>
        <w:t>Definition of Terms</w:t>
      </w:r>
    </w:p>
    <w:p w:rsidR="00CB79AB" w:rsidRPr="005021BC" w:rsidRDefault="00CB79AB" w:rsidP="00AA7749">
      <w:pPr>
        <w:pStyle w:val="Equation"/>
        <w:keepNext/>
        <w:rPr>
          <w:rFonts w:cs="Arial"/>
          <w:szCs w:val="20"/>
        </w:rPr>
      </w:pPr>
      <w:r w:rsidRPr="005021BC">
        <w:rPr>
          <w:rFonts w:cs="Arial"/>
          <w:szCs w:val="20"/>
        </w:rPr>
        <w:tab/>
        <w:t>ESav</w:t>
      </w:r>
      <w:r w:rsidRPr="005021BC">
        <w:rPr>
          <w:rFonts w:cs="Arial"/>
          <w:szCs w:val="20"/>
          <w:vertAlign w:val="subscript"/>
        </w:rPr>
        <w:t>COM</w:t>
      </w:r>
      <w:r w:rsidRPr="005021BC">
        <w:rPr>
          <w:rFonts w:cs="Arial"/>
          <w:szCs w:val="20"/>
        </w:rPr>
        <w:t xml:space="preserve"> </w:t>
      </w:r>
      <w:r w:rsidRPr="005021BC">
        <w:rPr>
          <w:rFonts w:cs="Arial"/>
          <w:szCs w:val="20"/>
        </w:rPr>
        <w:tab/>
        <w:t xml:space="preserve">= Electricity savings per purchased </w:t>
      </w:r>
      <w:r w:rsidR="00325EF4" w:rsidRPr="005021BC">
        <w:rPr>
          <w:rFonts w:cs="Arial"/>
          <w:szCs w:val="20"/>
        </w:rPr>
        <w:t>ENERGY STAR</w:t>
      </w:r>
      <w:r w:rsidRPr="005021BC">
        <w:rPr>
          <w:rFonts w:cs="Arial"/>
          <w:szCs w:val="20"/>
        </w:rPr>
        <w:t xml:space="preserve"> computer.</w:t>
      </w:r>
    </w:p>
    <w:p w:rsidR="00CB79AB" w:rsidRPr="005021BC" w:rsidRDefault="00CB79AB" w:rsidP="00AA7749">
      <w:pPr>
        <w:pStyle w:val="Equation"/>
        <w:keepNext/>
        <w:rPr>
          <w:rFonts w:cs="Arial"/>
          <w:szCs w:val="20"/>
        </w:rPr>
      </w:pPr>
      <w:r w:rsidRPr="005021BC">
        <w:rPr>
          <w:rFonts w:cs="Arial"/>
          <w:szCs w:val="20"/>
        </w:rPr>
        <w:tab/>
        <w:t>DSav</w:t>
      </w:r>
      <w:r w:rsidRPr="005021BC">
        <w:rPr>
          <w:rFonts w:cs="Arial"/>
          <w:szCs w:val="20"/>
          <w:vertAlign w:val="subscript"/>
        </w:rPr>
        <w:t>COM</w:t>
      </w:r>
      <w:r w:rsidRPr="005021BC">
        <w:rPr>
          <w:rFonts w:cs="Arial"/>
          <w:szCs w:val="20"/>
        </w:rPr>
        <w:t xml:space="preserve"> </w:t>
      </w:r>
      <w:r w:rsidRPr="005021BC">
        <w:rPr>
          <w:rFonts w:cs="Arial"/>
          <w:szCs w:val="20"/>
        </w:rPr>
        <w:tab/>
        <w:t xml:space="preserve">= Summer demand savings per purchased </w:t>
      </w:r>
      <w:r w:rsidR="00325EF4" w:rsidRPr="005021BC">
        <w:rPr>
          <w:rFonts w:cs="Arial"/>
          <w:szCs w:val="20"/>
        </w:rPr>
        <w:t>ENERGY STAR</w:t>
      </w:r>
      <w:r w:rsidRPr="005021BC">
        <w:rPr>
          <w:rFonts w:cs="Arial"/>
          <w:szCs w:val="20"/>
        </w:rPr>
        <w:t xml:space="preserve"> computer.</w:t>
      </w:r>
    </w:p>
    <w:p w:rsidR="00CB79AB" w:rsidRPr="005021BC" w:rsidRDefault="00CB79AB" w:rsidP="00CB79AB">
      <w:pPr>
        <w:pStyle w:val="Equation"/>
        <w:rPr>
          <w:rFonts w:cs="Arial"/>
          <w:szCs w:val="20"/>
        </w:rPr>
      </w:pPr>
      <w:r w:rsidRPr="005021BC">
        <w:rPr>
          <w:rFonts w:cs="Arial"/>
          <w:szCs w:val="20"/>
        </w:rPr>
        <w:tab/>
        <w:t>ESav</w:t>
      </w:r>
      <w:r w:rsidRPr="005021BC">
        <w:rPr>
          <w:rFonts w:cs="Arial"/>
          <w:szCs w:val="20"/>
          <w:vertAlign w:val="subscript"/>
        </w:rPr>
        <w:t>FAX</w:t>
      </w:r>
      <w:r w:rsidRPr="005021BC">
        <w:rPr>
          <w:rFonts w:cs="Arial"/>
          <w:szCs w:val="20"/>
        </w:rPr>
        <w:t xml:space="preserve"> </w:t>
      </w:r>
      <w:r w:rsidRPr="005021BC">
        <w:rPr>
          <w:rFonts w:cs="Arial"/>
          <w:szCs w:val="20"/>
        </w:rPr>
        <w:tab/>
        <w:t xml:space="preserve">= Electricity savings per purchased </w:t>
      </w:r>
      <w:r w:rsidR="00325EF4" w:rsidRPr="005021BC">
        <w:rPr>
          <w:rFonts w:cs="Arial"/>
          <w:szCs w:val="20"/>
        </w:rPr>
        <w:t>ENERGY STAR</w:t>
      </w:r>
      <w:r w:rsidRPr="005021BC">
        <w:rPr>
          <w:rFonts w:cs="Arial"/>
          <w:szCs w:val="20"/>
        </w:rPr>
        <w:t xml:space="preserve"> fax machine.</w:t>
      </w:r>
    </w:p>
    <w:p w:rsidR="00CB79AB" w:rsidRPr="005021BC" w:rsidRDefault="00CB79AB" w:rsidP="00CB79AB">
      <w:pPr>
        <w:pStyle w:val="Equation"/>
        <w:rPr>
          <w:rFonts w:cs="Arial"/>
          <w:szCs w:val="20"/>
        </w:rPr>
      </w:pPr>
      <w:r w:rsidRPr="005021BC">
        <w:rPr>
          <w:rFonts w:cs="Arial"/>
          <w:szCs w:val="20"/>
        </w:rPr>
        <w:tab/>
        <w:t>DSav</w:t>
      </w:r>
      <w:r w:rsidRPr="005021BC">
        <w:rPr>
          <w:rFonts w:cs="Arial"/>
          <w:szCs w:val="20"/>
          <w:vertAlign w:val="subscript"/>
        </w:rPr>
        <w:t>FAX</w:t>
      </w:r>
      <w:r w:rsidRPr="005021BC">
        <w:rPr>
          <w:rFonts w:cs="Arial"/>
          <w:szCs w:val="20"/>
        </w:rPr>
        <w:t xml:space="preserve"> </w:t>
      </w:r>
      <w:r w:rsidRPr="005021BC">
        <w:rPr>
          <w:rFonts w:cs="Arial"/>
          <w:szCs w:val="20"/>
        </w:rPr>
        <w:tab/>
        <w:t xml:space="preserve">= Summer demand savings per purchased </w:t>
      </w:r>
      <w:r w:rsidR="00325EF4" w:rsidRPr="005021BC">
        <w:rPr>
          <w:rFonts w:cs="Arial"/>
          <w:szCs w:val="20"/>
        </w:rPr>
        <w:t>ENERGY STAR</w:t>
      </w:r>
      <w:r w:rsidRPr="005021BC">
        <w:rPr>
          <w:rFonts w:cs="Arial"/>
          <w:szCs w:val="20"/>
        </w:rPr>
        <w:t xml:space="preserve"> fax machine.</w:t>
      </w:r>
    </w:p>
    <w:p w:rsidR="00CB79AB" w:rsidRPr="005021BC" w:rsidRDefault="00CB79AB" w:rsidP="00CB79AB">
      <w:pPr>
        <w:pStyle w:val="Equation"/>
        <w:rPr>
          <w:rFonts w:cs="Arial"/>
          <w:szCs w:val="20"/>
        </w:rPr>
      </w:pPr>
      <w:r w:rsidRPr="005021BC">
        <w:rPr>
          <w:rFonts w:cs="Arial"/>
          <w:szCs w:val="20"/>
        </w:rPr>
        <w:tab/>
        <w:t>ESav</w:t>
      </w:r>
      <w:r w:rsidRPr="005021BC">
        <w:rPr>
          <w:rFonts w:cs="Arial"/>
          <w:szCs w:val="20"/>
          <w:vertAlign w:val="subscript"/>
        </w:rPr>
        <w:t>COP</w:t>
      </w:r>
      <w:r w:rsidRPr="005021BC">
        <w:rPr>
          <w:rFonts w:cs="Arial"/>
          <w:szCs w:val="20"/>
          <w:vertAlign w:val="subscript"/>
        </w:rPr>
        <w:tab/>
      </w:r>
      <w:r w:rsidRPr="005021BC">
        <w:rPr>
          <w:rFonts w:cs="Arial"/>
          <w:szCs w:val="20"/>
        </w:rPr>
        <w:t xml:space="preserve">= Electricity savings per purchased </w:t>
      </w:r>
      <w:r w:rsidR="00325EF4" w:rsidRPr="005021BC">
        <w:rPr>
          <w:rFonts w:cs="Arial"/>
          <w:szCs w:val="20"/>
        </w:rPr>
        <w:t>ENERGY STAR</w:t>
      </w:r>
      <w:r w:rsidRPr="005021BC">
        <w:rPr>
          <w:rFonts w:cs="Arial"/>
          <w:szCs w:val="20"/>
        </w:rPr>
        <w:t xml:space="preserve"> copier.</w:t>
      </w:r>
    </w:p>
    <w:p w:rsidR="00CB79AB" w:rsidRPr="005021BC" w:rsidRDefault="00CB79AB" w:rsidP="00CB79AB">
      <w:pPr>
        <w:pStyle w:val="Equation"/>
        <w:rPr>
          <w:rFonts w:cs="Arial"/>
          <w:szCs w:val="20"/>
        </w:rPr>
      </w:pPr>
      <w:r w:rsidRPr="005021BC">
        <w:rPr>
          <w:rFonts w:cs="Arial"/>
          <w:szCs w:val="20"/>
        </w:rPr>
        <w:tab/>
        <w:t>DSav</w:t>
      </w:r>
      <w:r w:rsidRPr="005021BC">
        <w:rPr>
          <w:rFonts w:cs="Arial"/>
          <w:szCs w:val="20"/>
          <w:vertAlign w:val="subscript"/>
        </w:rPr>
        <w:t>COP</w:t>
      </w:r>
      <w:r w:rsidRPr="005021BC">
        <w:rPr>
          <w:rFonts w:cs="Arial"/>
          <w:szCs w:val="20"/>
        </w:rPr>
        <w:t xml:space="preserve"> </w:t>
      </w:r>
      <w:r w:rsidRPr="005021BC">
        <w:rPr>
          <w:rFonts w:cs="Arial"/>
          <w:szCs w:val="20"/>
        </w:rPr>
        <w:tab/>
        <w:t xml:space="preserve">= Summer demand savings per purchased </w:t>
      </w:r>
      <w:r w:rsidR="00325EF4" w:rsidRPr="005021BC">
        <w:rPr>
          <w:rFonts w:cs="Arial"/>
          <w:szCs w:val="20"/>
        </w:rPr>
        <w:t>ENERGY STAR</w:t>
      </w:r>
      <w:r w:rsidRPr="005021BC">
        <w:rPr>
          <w:rFonts w:cs="Arial"/>
          <w:szCs w:val="20"/>
        </w:rPr>
        <w:t xml:space="preserve"> copier.</w:t>
      </w:r>
    </w:p>
    <w:p w:rsidR="00CB79AB" w:rsidRPr="005021BC" w:rsidRDefault="00CB79AB" w:rsidP="00CB79AB">
      <w:pPr>
        <w:pStyle w:val="Equation"/>
        <w:rPr>
          <w:rFonts w:cs="Arial"/>
          <w:szCs w:val="20"/>
        </w:rPr>
      </w:pPr>
      <w:r w:rsidRPr="005021BC">
        <w:rPr>
          <w:rFonts w:cs="Arial"/>
          <w:szCs w:val="20"/>
        </w:rPr>
        <w:tab/>
        <w:t>ESav</w:t>
      </w:r>
      <w:r w:rsidRPr="005021BC">
        <w:rPr>
          <w:rFonts w:cs="Arial"/>
          <w:szCs w:val="20"/>
          <w:vertAlign w:val="subscript"/>
        </w:rPr>
        <w:t>PRI</w:t>
      </w:r>
      <w:r w:rsidRPr="005021BC">
        <w:rPr>
          <w:rFonts w:cs="Arial"/>
          <w:szCs w:val="20"/>
          <w:vertAlign w:val="subscript"/>
        </w:rPr>
        <w:tab/>
      </w:r>
      <w:r w:rsidRPr="005021BC">
        <w:rPr>
          <w:rFonts w:cs="Arial"/>
          <w:szCs w:val="20"/>
        </w:rPr>
        <w:t xml:space="preserve">= Electricity savings per purchased </w:t>
      </w:r>
      <w:r w:rsidR="00325EF4" w:rsidRPr="005021BC">
        <w:rPr>
          <w:rFonts w:cs="Arial"/>
          <w:szCs w:val="20"/>
        </w:rPr>
        <w:t>ENERGY STAR</w:t>
      </w:r>
      <w:r w:rsidRPr="005021BC">
        <w:rPr>
          <w:rFonts w:cs="Arial"/>
          <w:szCs w:val="20"/>
        </w:rPr>
        <w:t xml:space="preserve"> printer.</w:t>
      </w:r>
    </w:p>
    <w:p w:rsidR="00CB79AB" w:rsidRPr="005021BC" w:rsidRDefault="00CB79AB" w:rsidP="00CB79AB">
      <w:pPr>
        <w:pStyle w:val="Equation"/>
        <w:rPr>
          <w:rFonts w:cs="Arial"/>
          <w:szCs w:val="20"/>
        </w:rPr>
      </w:pPr>
      <w:r w:rsidRPr="005021BC">
        <w:rPr>
          <w:rFonts w:cs="Arial"/>
          <w:szCs w:val="20"/>
        </w:rPr>
        <w:tab/>
        <w:t>DSav</w:t>
      </w:r>
      <w:r w:rsidRPr="005021BC">
        <w:rPr>
          <w:rFonts w:cs="Arial"/>
          <w:szCs w:val="20"/>
          <w:vertAlign w:val="subscript"/>
        </w:rPr>
        <w:t>PRI</w:t>
      </w:r>
      <w:r w:rsidRPr="005021BC">
        <w:rPr>
          <w:rFonts w:cs="Arial"/>
          <w:szCs w:val="20"/>
        </w:rPr>
        <w:t xml:space="preserve"> </w:t>
      </w:r>
      <w:r w:rsidRPr="005021BC">
        <w:rPr>
          <w:rFonts w:cs="Arial"/>
          <w:szCs w:val="20"/>
        </w:rPr>
        <w:tab/>
        <w:t xml:space="preserve">= Summer demand savings per purchased </w:t>
      </w:r>
      <w:r w:rsidR="00325EF4" w:rsidRPr="005021BC">
        <w:rPr>
          <w:rFonts w:cs="Arial"/>
          <w:szCs w:val="20"/>
        </w:rPr>
        <w:t>ENERGY STAR</w:t>
      </w:r>
      <w:r w:rsidRPr="005021BC">
        <w:rPr>
          <w:rFonts w:cs="Arial"/>
          <w:szCs w:val="20"/>
        </w:rPr>
        <w:t xml:space="preserve"> printer.</w:t>
      </w:r>
    </w:p>
    <w:p w:rsidR="00CB79AB" w:rsidRPr="005021BC" w:rsidRDefault="00726DEA" w:rsidP="00726DEA">
      <w:pPr>
        <w:pStyle w:val="Equation"/>
        <w:rPr>
          <w:rFonts w:cs="Arial"/>
          <w:szCs w:val="20"/>
        </w:rPr>
      </w:pPr>
      <w:r w:rsidRPr="005021BC">
        <w:rPr>
          <w:rFonts w:cs="Arial"/>
          <w:szCs w:val="20"/>
        </w:rPr>
        <w:tab/>
      </w:r>
      <w:r w:rsidR="00CB79AB" w:rsidRPr="005021BC">
        <w:rPr>
          <w:rFonts w:cs="Arial"/>
          <w:szCs w:val="20"/>
        </w:rPr>
        <w:t>ESav</w:t>
      </w:r>
      <w:r w:rsidR="00CB79AB" w:rsidRPr="005021BC">
        <w:rPr>
          <w:rFonts w:cs="Arial"/>
          <w:szCs w:val="20"/>
          <w:vertAlign w:val="subscript"/>
        </w:rPr>
        <w:t>MUL</w:t>
      </w:r>
      <w:r w:rsidR="00CB79AB" w:rsidRPr="005021BC">
        <w:rPr>
          <w:rFonts w:cs="Arial"/>
          <w:szCs w:val="20"/>
        </w:rPr>
        <w:t xml:space="preserve"> </w:t>
      </w:r>
      <w:r w:rsidR="00CB79AB" w:rsidRPr="005021BC">
        <w:rPr>
          <w:rFonts w:cs="Arial"/>
          <w:szCs w:val="20"/>
        </w:rPr>
        <w:tab/>
        <w:t xml:space="preserve">= Electricity savings per purchased </w:t>
      </w:r>
      <w:r w:rsidR="00325EF4" w:rsidRPr="005021BC">
        <w:rPr>
          <w:rFonts w:cs="Arial"/>
          <w:szCs w:val="20"/>
        </w:rPr>
        <w:t>ENERGY STAR</w:t>
      </w:r>
      <w:r w:rsidR="00CB79AB" w:rsidRPr="005021BC">
        <w:rPr>
          <w:rFonts w:cs="Arial"/>
          <w:szCs w:val="20"/>
        </w:rPr>
        <w:t xml:space="preserve"> multifunction machine.</w:t>
      </w:r>
    </w:p>
    <w:p w:rsidR="00CB79AB" w:rsidRPr="005021BC" w:rsidRDefault="00726DEA" w:rsidP="00726DEA">
      <w:pPr>
        <w:pStyle w:val="Equation"/>
        <w:rPr>
          <w:rFonts w:cs="Arial"/>
          <w:szCs w:val="20"/>
        </w:rPr>
      </w:pPr>
      <w:r w:rsidRPr="005021BC">
        <w:rPr>
          <w:rFonts w:cs="Arial"/>
          <w:szCs w:val="20"/>
        </w:rPr>
        <w:tab/>
      </w:r>
      <w:r w:rsidR="00CB79AB" w:rsidRPr="005021BC">
        <w:rPr>
          <w:rFonts w:cs="Arial"/>
          <w:szCs w:val="20"/>
        </w:rPr>
        <w:t>DSav</w:t>
      </w:r>
      <w:r w:rsidR="00CB79AB" w:rsidRPr="005021BC">
        <w:rPr>
          <w:rFonts w:cs="Arial"/>
          <w:szCs w:val="20"/>
          <w:vertAlign w:val="subscript"/>
        </w:rPr>
        <w:t>MUL</w:t>
      </w:r>
      <w:r w:rsidR="00CB79AB" w:rsidRPr="005021BC">
        <w:rPr>
          <w:rFonts w:cs="Arial"/>
          <w:szCs w:val="20"/>
        </w:rPr>
        <w:t xml:space="preserve"> </w:t>
      </w:r>
      <w:r w:rsidR="00CB79AB" w:rsidRPr="005021BC">
        <w:rPr>
          <w:rFonts w:cs="Arial"/>
          <w:szCs w:val="20"/>
        </w:rPr>
        <w:tab/>
        <w:t xml:space="preserve">= Summer demand savings per purchased </w:t>
      </w:r>
      <w:r w:rsidR="00325EF4" w:rsidRPr="005021BC">
        <w:rPr>
          <w:rFonts w:cs="Arial"/>
          <w:szCs w:val="20"/>
        </w:rPr>
        <w:t>ENERGY STAR</w:t>
      </w:r>
      <w:r w:rsidR="00CB79AB" w:rsidRPr="005021BC">
        <w:rPr>
          <w:rFonts w:cs="Arial"/>
          <w:szCs w:val="20"/>
        </w:rPr>
        <w:t xml:space="preserve"> multifunction machine.</w:t>
      </w:r>
    </w:p>
    <w:p w:rsidR="00CB79AB" w:rsidRPr="005021BC" w:rsidRDefault="00726DEA" w:rsidP="00726DEA">
      <w:pPr>
        <w:pStyle w:val="Equation"/>
        <w:rPr>
          <w:rFonts w:cs="Arial"/>
          <w:szCs w:val="20"/>
        </w:rPr>
      </w:pPr>
      <w:r w:rsidRPr="005021BC">
        <w:rPr>
          <w:rFonts w:cs="Arial"/>
          <w:szCs w:val="20"/>
        </w:rPr>
        <w:tab/>
      </w:r>
      <w:r w:rsidR="00CB79AB" w:rsidRPr="005021BC">
        <w:rPr>
          <w:rFonts w:cs="Arial"/>
          <w:szCs w:val="20"/>
        </w:rPr>
        <w:t>ESav</w:t>
      </w:r>
      <w:r w:rsidR="00CB79AB" w:rsidRPr="005021BC">
        <w:rPr>
          <w:rFonts w:cs="Arial"/>
          <w:szCs w:val="20"/>
          <w:vertAlign w:val="subscript"/>
        </w:rPr>
        <w:t>MON</w:t>
      </w:r>
      <w:r w:rsidR="00CB79AB" w:rsidRPr="005021BC">
        <w:rPr>
          <w:rFonts w:cs="Arial"/>
          <w:szCs w:val="20"/>
        </w:rPr>
        <w:t xml:space="preserve"> </w:t>
      </w:r>
      <w:r w:rsidR="00CB79AB" w:rsidRPr="005021BC">
        <w:rPr>
          <w:rFonts w:cs="Arial"/>
          <w:szCs w:val="20"/>
        </w:rPr>
        <w:tab/>
        <w:t xml:space="preserve">= Electricity savings per purchased </w:t>
      </w:r>
      <w:r w:rsidR="00325EF4" w:rsidRPr="005021BC">
        <w:rPr>
          <w:rFonts w:cs="Arial"/>
          <w:szCs w:val="20"/>
        </w:rPr>
        <w:t>ENERGY STAR</w:t>
      </w:r>
      <w:r w:rsidR="00CB79AB" w:rsidRPr="005021BC">
        <w:rPr>
          <w:rFonts w:cs="Arial"/>
          <w:szCs w:val="20"/>
        </w:rPr>
        <w:t xml:space="preserve"> monitor.</w:t>
      </w:r>
    </w:p>
    <w:p w:rsidR="00CB79AB" w:rsidRPr="005021BC" w:rsidRDefault="00726DEA" w:rsidP="00726DEA">
      <w:pPr>
        <w:pStyle w:val="Equation"/>
        <w:rPr>
          <w:rFonts w:cs="Arial"/>
          <w:szCs w:val="20"/>
        </w:rPr>
      </w:pPr>
      <w:r w:rsidRPr="005021BC">
        <w:rPr>
          <w:rFonts w:cs="Arial"/>
          <w:szCs w:val="20"/>
        </w:rPr>
        <w:tab/>
      </w:r>
      <w:r w:rsidR="00CB79AB" w:rsidRPr="005021BC">
        <w:rPr>
          <w:rFonts w:cs="Arial"/>
          <w:szCs w:val="20"/>
        </w:rPr>
        <w:t>DSav</w:t>
      </w:r>
      <w:r w:rsidR="00CB79AB" w:rsidRPr="005021BC">
        <w:rPr>
          <w:rFonts w:cs="Arial"/>
          <w:szCs w:val="20"/>
          <w:vertAlign w:val="subscript"/>
        </w:rPr>
        <w:t>MON</w:t>
      </w:r>
      <w:r w:rsidR="00CB79AB" w:rsidRPr="005021BC">
        <w:rPr>
          <w:rFonts w:cs="Arial"/>
          <w:szCs w:val="20"/>
        </w:rPr>
        <w:t xml:space="preserve"> </w:t>
      </w:r>
      <w:r w:rsidR="00CB79AB" w:rsidRPr="005021BC">
        <w:rPr>
          <w:rFonts w:cs="Arial"/>
          <w:szCs w:val="20"/>
        </w:rPr>
        <w:tab/>
        <w:t xml:space="preserve">= Summer demand savings per purchased </w:t>
      </w:r>
      <w:r w:rsidR="00325EF4" w:rsidRPr="005021BC">
        <w:rPr>
          <w:rFonts w:cs="Arial"/>
          <w:szCs w:val="20"/>
        </w:rPr>
        <w:t>ENERGY STAR</w:t>
      </w:r>
      <w:r w:rsidR="00CB79AB" w:rsidRPr="005021BC">
        <w:rPr>
          <w:rFonts w:cs="Arial"/>
          <w:szCs w:val="20"/>
        </w:rPr>
        <w:t xml:space="preserve"> monitor.</w:t>
      </w:r>
    </w:p>
    <w:p w:rsidR="00CB79AB" w:rsidRPr="005021BC" w:rsidRDefault="00CB79AB" w:rsidP="00B20F6B">
      <w:pPr>
        <w:pStyle w:val="Equation"/>
        <w:rPr>
          <w:rFonts w:cs="Arial"/>
          <w:szCs w:val="20"/>
        </w:rPr>
      </w:pPr>
      <w:r w:rsidRPr="005021BC">
        <w:rPr>
          <w:rFonts w:cs="Arial"/>
          <w:szCs w:val="20"/>
        </w:rPr>
        <w:tab/>
        <w:t>CF</w:t>
      </w:r>
      <w:r w:rsidRPr="005021BC">
        <w:rPr>
          <w:rFonts w:cs="Arial"/>
          <w:szCs w:val="20"/>
          <w:vertAlign w:val="subscript"/>
        </w:rPr>
        <w:t>COM</w:t>
      </w:r>
      <w:r w:rsidRPr="005021BC">
        <w:rPr>
          <w:rFonts w:cs="Arial"/>
          <w:szCs w:val="20"/>
        </w:rPr>
        <w:t>, CF</w:t>
      </w:r>
      <w:r w:rsidRPr="005021BC">
        <w:rPr>
          <w:rFonts w:cs="Arial"/>
          <w:szCs w:val="20"/>
          <w:vertAlign w:val="subscript"/>
        </w:rPr>
        <w:t>FAX</w:t>
      </w:r>
      <w:r w:rsidRPr="005021BC">
        <w:rPr>
          <w:rFonts w:cs="Arial"/>
          <w:szCs w:val="20"/>
        </w:rPr>
        <w:t>, CF</w:t>
      </w:r>
      <w:r w:rsidRPr="005021BC">
        <w:rPr>
          <w:rFonts w:cs="Arial"/>
          <w:szCs w:val="20"/>
          <w:vertAlign w:val="subscript"/>
        </w:rPr>
        <w:t>COP</w:t>
      </w:r>
      <w:r w:rsidRPr="005021BC">
        <w:rPr>
          <w:rFonts w:cs="Arial"/>
          <w:szCs w:val="20"/>
        </w:rPr>
        <w:t xml:space="preserve">, </w:t>
      </w:r>
    </w:p>
    <w:p w:rsidR="00CB79AB" w:rsidRPr="005021BC" w:rsidRDefault="00CB79AB" w:rsidP="00C3606E">
      <w:pPr>
        <w:pStyle w:val="Equation"/>
        <w:rPr>
          <w:rFonts w:cs="Arial"/>
          <w:szCs w:val="20"/>
        </w:rPr>
      </w:pPr>
      <w:r w:rsidRPr="005021BC">
        <w:rPr>
          <w:rFonts w:cs="Arial"/>
          <w:szCs w:val="20"/>
        </w:rPr>
        <w:tab/>
        <w:t>CF</w:t>
      </w:r>
      <w:r w:rsidRPr="005021BC">
        <w:rPr>
          <w:rFonts w:cs="Arial"/>
          <w:szCs w:val="20"/>
          <w:vertAlign w:val="subscript"/>
        </w:rPr>
        <w:t>PRI</w:t>
      </w:r>
      <w:r w:rsidRPr="005021BC">
        <w:rPr>
          <w:rFonts w:cs="Arial"/>
          <w:szCs w:val="20"/>
        </w:rPr>
        <w:t>, CF</w:t>
      </w:r>
      <w:r w:rsidRPr="005021BC">
        <w:rPr>
          <w:rFonts w:cs="Arial"/>
          <w:szCs w:val="20"/>
          <w:vertAlign w:val="subscript"/>
        </w:rPr>
        <w:t>MUL</w:t>
      </w:r>
      <w:r w:rsidRPr="005021BC">
        <w:rPr>
          <w:rFonts w:cs="Arial"/>
          <w:szCs w:val="20"/>
        </w:rPr>
        <w:t>, CF</w:t>
      </w:r>
      <w:r w:rsidRPr="005021BC">
        <w:rPr>
          <w:rFonts w:cs="Arial"/>
          <w:szCs w:val="20"/>
          <w:vertAlign w:val="subscript"/>
        </w:rPr>
        <w:t>MON</w:t>
      </w:r>
      <w:r w:rsidRPr="005021BC">
        <w:rPr>
          <w:rFonts w:cs="Arial"/>
          <w:szCs w:val="20"/>
        </w:rPr>
        <w:t xml:space="preserve"> </w:t>
      </w:r>
      <w:r w:rsidRPr="005021BC">
        <w:rPr>
          <w:rFonts w:cs="Arial"/>
          <w:szCs w:val="20"/>
        </w:rPr>
        <w:tab/>
        <w:t xml:space="preserve">= </w:t>
      </w:r>
      <w:r w:rsidR="005478EE" w:rsidRPr="005021BC">
        <w:rPr>
          <w:rFonts w:cs="Arial"/>
          <w:szCs w:val="20"/>
        </w:rPr>
        <w:t xml:space="preserve">Demand Coincidence Factor (See Section 1.4). </w:t>
      </w:r>
      <w:r w:rsidRPr="005021BC">
        <w:rPr>
          <w:rFonts w:cs="Arial"/>
          <w:szCs w:val="20"/>
        </w:rPr>
        <w:t>The coincidence of average office equipment demand to summer system peak equals 1 for demand impacts for all office equipment reflecting embedded coincidence in the DSav factor.</w:t>
      </w:r>
    </w:p>
    <w:p w:rsidR="00CB79AB" w:rsidRPr="00BC4C0D" w:rsidRDefault="00CB79AB" w:rsidP="00C3606E"/>
    <w:p w:rsidR="00CB79AB" w:rsidRDefault="00CB79AB" w:rsidP="00B20F6B">
      <w:pPr>
        <w:pStyle w:val="Caption"/>
      </w:pPr>
      <w:bookmarkStart w:id="935" w:name="_Toc310875596"/>
      <w:r>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44</w:t>
      </w:r>
      <w:r w:rsidR="00274AB1">
        <w:rPr>
          <w:noProof/>
        </w:rPr>
        <w:fldChar w:fldCharType="end"/>
      </w:r>
      <w:r>
        <w:t xml:space="preserve">: </w:t>
      </w:r>
      <w:r w:rsidR="00325EF4">
        <w:t>ENERGY STAR</w:t>
      </w:r>
      <w:r w:rsidRPr="00532479">
        <w:t xml:space="preserve"> Office Equipment - References</w:t>
      </w:r>
      <w:bookmarkEnd w:id="93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7"/>
        <w:gridCol w:w="1080"/>
        <w:gridCol w:w="3510"/>
        <w:gridCol w:w="1107"/>
      </w:tblGrid>
      <w:tr w:rsidR="00CB79AB" w:rsidRPr="00382D2E" w:rsidTr="00A1079C">
        <w:trPr>
          <w:cantSplit/>
          <w:tblHeader/>
          <w:jc w:val="center"/>
        </w:trPr>
        <w:tc>
          <w:tcPr>
            <w:tcW w:w="2817" w:type="dxa"/>
            <w:shd w:val="clear" w:color="auto" w:fill="BFBFBF"/>
          </w:tcPr>
          <w:p w:rsidR="00CB79AB" w:rsidRPr="001D6512" w:rsidRDefault="00CB79AB" w:rsidP="00C3606E">
            <w:pPr>
              <w:pStyle w:val="TableCell"/>
              <w:spacing w:before="60" w:after="60"/>
              <w:rPr>
                <w:b/>
              </w:rPr>
            </w:pPr>
            <w:r w:rsidRPr="001D6512">
              <w:rPr>
                <w:b/>
              </w:rPr>
              <w:t>Component</w:t>
            </w:r>
          </w:p>
        </w:tc>
        <w:tc>
          <w:tcPr>
            <w:tcW w:w="1080" w:type="dxa"/>
            <w:shd w:val="clear" w:color="auto" w:fill="BFBFBF"/>
          </w:tcPr>
          <w:p w:rsidR="00CB79AB" w:rsidRPr="001D6512" w:rsidRDefault="00CB79AB" w:rsidP="00C3606E">
            <w:pPr>
              <w:pStyle w:val="TableCell"/>
              <w:spacing w:before="60" w:after="60"/>
              <w:rPr>
                <w:b/>
              </w:rPr>
            </w:pPr>
            <w:r w:rsidRPr="001D6512">
              <w:rPr>
                <w:b/>
              </w:rPr>
              <w:t>Type</w:t>
            </w:r>
          </w:p>
        </w:tc>
        <w:tc>
          <w:tcPr>
            <w:tcW w:w="3510" w:type="dxa"/>
            <w:shd w:val="clear" w:color="auto" w:fill="BFBFBF"/>
          </w:tcPr>
          <w:p w:rsidR="00CB79AB" w:rsidRPr="001D6512" w:rsidRDefault="00CB79AB" w:rsidP="00C3606E">
            <w:pPr>
              <w:pStyle w:val="TableCell"/>
              <w:spacing w:before="60" w:after="60"/>
              <w:rPr>
                <w:b/>
              </w:rPr>
            </w:pPr>
            <w:r w:rsidRPr="001D6512">
              <w:rPr>
                <w:b/>
              </w:rPr>
              <w:t>Value</w:t>
            </w:r>
          </w:p>
        </w:tc>
        <w:tc>
          <w:tcPr>
            <w:tcW w:w="1107" w:type="dxa"/>
            <w:shd w:val="clear" w:color="auto" w:fill="BFBFBF"/>
          </w:tcPr>
          <w:p w:rsidR="00CB79AB" w:rsidRPr="001D6512" w:rsidRDefault="00CB79AB" w:rsidP="00C3606E">
            <w:pPr>
              <w:pStyle w:val="TableCell"/>
              <w:spacing w:before="60" w:after="60"/>
              <w:rPr>
                <w:b/>
              </w:rPr>
            </w:pPr>
            <w:r w:rsidRPr="001D6512">
              <w:rPr>
                <w:b/>
              </w:rPr>
              <w:t>Sources</w:t>
            </w:r>
          </w:p>
        </w:tc>
      </w:tr>
      <w:tr w:rsidR="00CB79AB" w:rsidRPr="00382D2E" w:rsidTr="00A1079C">
        <w:trPr>
          <w:cantSplit/>
          <w:jc w:val="center"/>
        </w:trPr>
        <w:tc>
          <w:tcPr>
            <w:tcW w:w="2817" w:type="dxa"/>
          </w:tcPr>
          <w:p w:rsidR="00CB79AB" w:rsidRPr="001D6512" w:rsidRDefault="00CB79AB" w:rsidP="00C3606E">
            <w:pPr>
              <w:pStyle w:val="TableCell"/>
              <w:spacing w:before="60" w:after="60"/>
            </w:pPr>
            <w:r w:rsidRPr="001D6512">
              <w:t>ESav</w:t>
            </w:r>
            <w:r w:rsidRPr="001D6512">
              <w:rPr>
                <w:vertAlign w:val="subscript"/>
              </w:rPr>
              <w:t>COM</w:t>
            </w:r>
          </w:p>
          <w:p w:rsidR="00CB79AB" w:rsidRPr="001D6512" w:rsidRDefault="00CB79AB" w:rsidP="00C3606E">
            <w:pPr>
              <w:pStyle w:val="TableCell"/>
              <w:spacing w:before="60" w:after="60"/>
            </w:pPr>
            <w:r w:rsidRPr="001D6512">
              <w:t>ESav</w:t>
            </w:r>
            <w:r w:rsidRPr="001D6512">
              <w:rPr>
                <w:vertAlign w:val="subscript"/>
              </w:rPr>
              <w:t>FAX</w:t>
            </w:r>
          </w:p>
          <w:p w:rsidR="00CB79AB" w:rsidRPr="001D6512" w:rsidRDefault="00CB79AB" w:rsidP="00C3606E">
            <w:pPr>
              <w:pStyle w:val="TableCell"/>
              <w:spacing w:before="60" w:after="60"/>
            </w:pPr>
            <w:r w:rsidRPr="001D6512">
              <w:t>ESav</w:t>
            </w:r>
            <w:r w:rsidRPr="001D6512">
              <w:rPr>
                <w:vertAlign w:val="subscript"/>
              </w:rPr>
              <w:t>COP</w:t>
            </w:r>
          </w:p>
          <w:p w:rsidR="00CB79AB" w:rsidRPr="001D6512" w:rsidRDefault="00CB79AB" w:rsidP="00C3606E">
            <w:pPr>
              <w:pStyle w:val="TableCell"/>
              <w:spacing w:before="60" w:after="60"/>
            </w:pPr>
            <w:r w:rsidRPr="001D6512">
              <w:t>ESav</w:t>
            </w:r>
            <w:r w:rsidRPr="001D6512">
              <w:rPr>
                <w:vertAlign w:val="subscript"/>
              </w:rPr>
              <w:t>PRI</w:t>
            </w:r>
          </w:p>
          <w:p w:rsidR="00CB79AB" w:rsidRPr="001D6512" w:rsidRDefault="00CB79AB" w:rsidP="00C3606E">
            <w:pPr>
              <w:pStyle w:val="TableCell"/>
              <w:spacing w:before="60" w:after="60"/>
            </w:pPr>
            <w:r w:rsidRPr="001D6512">
              <w:t>ESav</w:t>
            </w:r>
            <w:r w:rsidRPr="001D6512">
              <w:rPr>
                <w:vertAlign w:val="subscript"/>
              </w:rPr>
              <w:t>MUL</w:t>
            </w:r>
          </w:p>
          <w:p w:rsidR="00CB79AB" w:rsidRPr="001D6512" w:rsidRDefault="00CB79AB" w:rsidP="00C3606E">
            <w:pPr>
              <w:pStyle w:val="TableCell"/>
              <w:spacing w:before="60" w:after="60"/>
            </w:pPr>
            <w:r w:rsidRPr="001D6512">
              <w:t>ESav</w:t>
            </w:r>
            <w:r w:rsidRPr="001D6512">
              <w:rPr>
                <w:vertAlign w:val="subscript"/>
              </w:rPr>
              <w:t>MON</w:t>
            </w:r>
          </w:p>
        </w:tc>
        <w:tc>
          <w:tcPr>
            <w:tcW w:w="1080" w:type="dxa"/>
          </w:tcPr>
          <w:p w:rsidR="00CB79AB" w:rsidRPr="001D6512" w:rsidRDefault="00CB79AB" w:rsidP="00C3606E">
            <w:pPr>
              <w:pStyle w:val="TableCell"/>
              <w:spacing w:before="60" w:after="60"/>
            </w:pPr>
            <w:r w:rsidRPr="001D6512">
              <w:t>Fixed</w:t>
            </w:r>
          </w:p>
        </w:tc>
        <w:tc>
          <w:tcPr>
            <w:tcW w:w="3510" w:type="dxa"/>
          </w:tcPr>
          <w:p w:rsidR="00CB79AB" w:rsidRPr="001D6512" w:rsidRDefault="00CB79AB" w:rsidP="00C3606E">
            <w:pPr>
              <w:pStyle w:val="TableCell"/>
              <w:spacing w:before="60" w:after="60"/>
            </w:pPr>
            <w:r w:rsidRPr="001D6512">
              <w:t xml:space="preserve">see </w:t>
            </w:r>
            <w:r w:rsidR="007A1FB6" w:rsidRPr="001D6512">
              <w:fldChar w:fldCharType="begin"/>
            </w:r>
            <w:r w:rsidR="001A2B43" w:rsidRPr="001D6512">
              <w:instrText xml:space="preserve"> REF _Ref275905692 \h </w:instrText>
            </w:r>
            <w:r w:rsidR="007A1FB6" w:rsidRPr="001D6512">
              <w:fldChar w:fldCharType="separate"/>
            </w:r>
            <w:r w:rsidR="00C0292F">
              <w:t xml:space="preserve">Table </w:t>
            </w:r>
            <w:r w:rsidR="00C0292F">
              <w:rPr>
                <w:noProof/>
              </w:rPr>
              <w:t>3</w:t>
            </w:r>
            <w:r w:rsidR="00C0292F">
              <w:noBreakHyphen/>
            </w:r>
            <w:r w:rsidR="00C0292F">
              <w:rPr>
                <w:noProof/>
              </w:rPr>
              <w:t>45</w:t>
            </w:r>
            <w:r w:rsidR="007A1FB6" w:rsidRPr="001D6512">
              <w:fldChar w:fldCharType="end"/>
            </w:r>
          </w:p>
        </w:tc>
        <w:tc>
          <w:tcPr>
            <w:tcW w:w="1107" w:type="dxa"/>
          </w:tcPr>
          <w:p w:rsidR="00CB79AB" w:rsidRPr="001D6512" w:rsidRDefault="00CB79AB" w:rsidP="00C3606E">
            <w:pPr>
              <w:pStyle w:val="TableCell"/>
              <w:spacing w:before="60" w:after="60"/>
            </w:pPr>
            <w:r w:rsidRPr="001D6512">
              <w:t>1</w:t>
            </w:r>
          </w:p>
        </w:tc>
      </w:tr>
      <w:tr w:rsidR="00CB79AB" w:rsidRPr="00382D2E" w:rsidTr="00A1079C">
        <w:trPr>
          <w:cantSplit/>
          <w:trHeight w:val="1484"/>
          <w:jc w:val="center"/>
        </w:trPr>
        <w:tc>
          <w:tcPr>
            <w:tcW w:w="2817" w:type="dxa"/>
          </w:tcPr>
          <w:p w:rsidR="00CB79AB" w:rsidRPr="001D6512" w:rsidRDefault="00CB79AB" w:rsidP="00C3606E">
            <w:pPr>
              <w:pStyle w:val="TableCell"/>
              <w:spacing w:before="60" w:after="60"/>
            </w:pPr>
            <w:r w:rsidRPr="001D6512">
              <w:t>DSav</w:t>
            </w:r>
            <w:r w:rsidRPr="001D6512">
              <w:rPr>
                <w:vertAlign w:val="subscript"/>
              </w:rPr>
              <w:t>COM</w:t>
            </w:r>
          </w:p>
          <w:p w:rsidR="00CB79AB" w:rsidRPr="001D6512" w:rsidRDefault="00CB79AB" w:rsidP="00C3606E">
            <w:pPr>
              <w:pStyle w:val="TableCell"/>
              <w:spacing w:before="60" w:after="60"/>
            </w:pPr>
            <w:r w:rsidRPr="001D6512">
              <w:t>DSav</w:t>
            </w:r>
            <w:r w:rsidRPr="001D6512">
              <w:rPr>
                <w:vertAlign w:val="subscript"/>
              </w:rPr>
              <w:t>FAX</w:t>
            </w:r>
          </w:p>
          <w:p w:rsidR="00CB79AB" w:rsidRPr="001D6512" w:rsidRDefault="00CB79AB" w:rsidP="00C3606E">
            <w:pPr>
              <w:pStyle w:val="TableCell"/>
              <w:spacing w:before="60" w:after="60"/>
            </w:pPr>
            <w:r w:rsidRPr="001D6512">
              <w:t>DSav</w:t>
            </w:r>
            <w:r w:rsidRPr="001D6512">
              <w:rPr>
                <w:vertAlign w:val="subscript"/>
              </w:rPr>
              <w:t>COP</w:t>
            </w:r>
          </w:p>
          <w:p w:rsidR="00CB79AB" w:rsidRPr="001D6512" w:rsidRDefault="00CB79AB" w:rsidP="00C3606E">
            <w:pPr>
              <w:pStyle w:val="TableCell"/>
              <w:spacing w:before="60" w:after="60"/>
            </w:pPr>
            <w:r w:rsidRPr="001D6512">
              <w:t>DSav</w:t>
            </w:r>
            <w:r w:rsidRPr="001D6512">
              <w:rPr>
                <w:vertAlign w:val="subscript"/>
              </w:rPr>
              <w:t>PRI</w:t>
            </w:r>
          </w:p>
          <w:p w:rsidR="00CB79AB" w:rsidRPr="001D6512" w:rsidRDefault="00CB79AB" w:rsidP="00C3606E">
            <w:pPr>
              <w:pStyle w:val="TableCell"/>
              <w:spacing w:before="60" w:after="60"/>
            </w:pPr>
            <w:r w:rsidRPr="001D6512">
              <w:t>DSav</w:t>
            </w:r>
            <w:r w:rsidRPr="001D6512">
              <w:rPr>
                <w:vertAlign w:val="subscript"/>
              </w:rPr>
              <w:t>MUL</w:t>
            </w:r>
          </w:p>
          <w:p w:rsidR="00CB79AB" w:rsidRPr="001D6512" w:rsidRDefault="00CB79AB" w:rsidP="00C3606E">
            <w:pPr>
              <w:pStyle w:val="TableCell"/>
              <w:spacing w:before="60" w:after="60"/>
            </w:pPr>
            <w:r w:rsidRPr="001D6512">
              <w:t>DSav</w:t>
            </w:r>
            <w:r w:rsidRPr="001D6512">
              <w:rPr>
                <w:vertAlign w:val="subscript"/>
              </w:rPr>
              <w:t>MON</w:t>
            </w:r>
          </w:p>
        </w:tc>
        <w:tc>
          <w:tcPr>
            <w:tcW w:w="1080" w:type="dxa"/>
          </w:tcPr>
          <w:p w:rsidR="00CB79AB" w:rsidRPr="001D6512" w:rsidRDefault="00CB79AB" w:rsidP="00C3606E">
            <w:pPr>
              <w:pStyle w:val="TableCell"/>
              <w:spacing w:before="60" w:after="60"/>
            </w:pPr>
            <w:r w:rsidRPr="001D6512">
              <w:t>Fixed</w:t>
            </w:r>
          </w:p>
        </w:tc>
        <w:tc>
          <w:tcPr>
            <w:tcW w:w="3510" w:type="dxa"/>
          </w:tcPr>
          <w:p w:rsidR="00CB79AB" w:rsidRPr="001D6512" w:rsidRDefault="00CB79AB" w:rsidP="00C3606E">
            <w:pPr>
              <w:pStyle w:val="TableCell"/>
              <w:spacing w:before="60" w:after="60"/>
            </w:pPr>
            <w:r w:rsidRPr="001D6512">
              <w:t xml:space="preserve">see </w:t>
            </w:r>
            <w:r w:rsidR="007A1FB6" w:rsidRPr="001D6512">
              <w:fldChar w:fldCharType="begin"/>
            </w:r>
            <w:r w:rsidR="001A2B43" w:rsidRPr="001D6512">
              <w:instrText xml:space="preserve"> REF _Ref275905692 \h </w:instrText>
            </w:r>
            <w:r w:rsidR="007A1FB6" w:rsidRPr="001D6512">
              <w:fldChar w:fldCharType="separate"/>
            </w:r>
            <w:r w:rsidR="00C0292F">
              <w:t xml:space="preserve">Table </w:t>
            </w:r>
            <w:r w:rsidR="00C0292F">
              <w:rPr>
                <w:noProof/>
              </w:rPr>
              <w:t>3</w:t>
            </w:r>
            <w:r w:rsidR="00C0292F">
              <w:noBreakHyphen/>
            </w:r>
            <w:r w:rsidR="00C0292F">
              <w:rPr>
                <w:noProof/>
              </w:rPr>
              <w:t>45</w:t>
            </w:r>
            <w:r w:rsidR="007A1FB6" w:rsidRPr="001D6512">
              <w:fldChar w:fldCharType="end"/>
            </w:r>
          </w:p>
        </w:tc>
        <w:tc>
          <w:tcPr>
            <w:tcW w:w="1107" w:type="dxa"/>
          </w:tcPr>
          <w:p w:rsidR="00CB79AB" w:rsidRPr="001D6512" w:rsidRDefault="00CB79AB" w:rsidP="00C3606E">
            <w:pPr>
              <w:pStyle w:val="TableCell"/>
              <w:spacing w:before="60" w:after="60"/>
            </w:pPr>
            <w:r w:rsidRPr="001D6512">
              <w:t>2</w:t>
            </w:r>
          </w:p>
        </w:tc>
      </w:tr>
      <w:tr w:rsidR="00CB79AB" w:rsidRPr="00382D2E" w:rsidTr="00A1079C">
        <w:trPr>
          <w:cantSplit/>
          <w:jc w:val="center"/>
        </w:trPr>
        <w:tc>
          <w:tcPr>
            <w:tcW w:w="2817" w:type="dxa"/>
          </w:tcPr>
          <w:p w:rsidR="00CB79AB" w:rsidRPr="001D6512" w:rsidRDefault="00CB79AB" w:rsidP="00C3606E">
            <w:pPr>
              <w:pStyle w:val="TableCell"/>
              <w:spacing w:before="60" w:after="60"/>
            </w:pPr>
            <w:r w:rsidRPr="001D6512">
              <w:t>CF</w:t>
            </w:r>
            <w:r w:rsidRPr="001D6512">
              <w:rPr>
                <w:vertAlign w:val="subscript"/>
              </w:rPr>
              <w:t>COM</w:t>
            </w:r>
            <w:r w:rsidRPr="001D6512">
              <w:t>,CF</w:t>
            </w:r>
            <w:r w:rsidRPr="001D6512">
              <w:rPr>
                <w:vertAlign w:val="subscript"/>
              </w:rPr>
              <w:t>FAX</w:t>
            </w:r>
            <w:r w:rsidRPr="001D6512">
              <w:t>,CF</w:t>
            </w:r>
            <w:r w:rsidRPr="001D6512">
              <w:rPr>
                <w:vertAlign w:val="subscript"/>
              </w:rPr>
              <w:t>COP</w:t>
            </w:r>
            <w:r w:rsidRPr="001D6512">
              <w:t>,CF</w:t>
            </w:r>
            <w:r w:rsidRPr="001D6512">
              <w:rPr>
                <w:vertAlign w:val="subscript"/>
              </w:rPr>
              <w:t>PRI</w:t>
            </w:r>
            <w:r w:rsidRPr="001D6512">
              <w:t>,CF</w:t>
            </w:r>
            <w:r w:rsidRPr="001D6512">
              <w:rPr>
                <w:vertAlign w:val="subscript"/>
              </w:rPr>
              <w:t>MUL</w:t>
            </w:r>
            <w:r w:rsidRPr="001D6512">
              <w:t>,CF</w:t>
            </w:r>
            <w:r w:rsidRPr="001D6512">
              <w:rPr>
                <w:vertAlign w:val="subscript"/>
              </w:rPr>
              <w:t>MON</w:t>
            </w:r>
          </w:p>
        </w:tc>
        <w:tc>
          <w:tcPr>
            <w:tcW w:w="1080" w:type="dxa"/>
          </w:tcPr>
          <w:p w:rsidR="00CB79AB" w:rsidRPr="001D6512" w:rsidRDefault="00CB79AB" w:rsidP="00C3606E">
            <w:pPr>
              <w:pStyle w:val="TableCell"/>
              <w:spacing w:before="60" w:after="60"/>
            </w:pPr>
            <w:r w:rsidRPr="001D6512">
              <w:t>Fixed</w:t>
            </w:r>
          </w:p>
        </w:tc>
        <w:tc>
          <w:tcPr>
            <w:tcW w:w="3510" w:type="dxa"/>
          </w:tcPr>
          <w:p w:rsidR="00CB79AB" w:rsidRPr="001D6512" w:rsidRDefault="00CB79AB" w:rsidP="00C3606E">
            <w:pPr>
              <w:pStyle w:val="TableCell"/>
              <w:spacing w:before="60" w:after="60"/>
            </w:pPr>
            <w:r w:rsidRPr="001D6512">
              <w:t>1.0, 1.0, 1.0, 1.0, 1.0, 1.0</w:t>
            </w:r>
          </w:p>
        </w:tc>
        <w:tc>
          <w:tcPr>
            <w:tcW w:w="1107" w:type="dxa"/>
          </w:tcPr>
          <w:p w:rsidR="00CB79AB" w:rsidRPr="001D6512" w:rsidRDefault="00CB79AB" w:rsidP="00C3606E">
            <w:pPr>
              <w:pStyle w:val="TableCell"/>
              <w:spacing w:before="60" w:after="60"/>
            </w:pPr>
            <w:r w:rsidRPr="001D6512">
              <w:t>3</w:t>
            </w:r>
          </w:p>
        </w:tc>
      </w:tr>
    </w:tbl>
    <w:p w:rsidR="00CB79AB" w:rsidRDefault="00CB79AB" w:rsidP="00C3606E">
      <w:pPr>
        <w:spacing w:after="0"/>
      </w:pPr>
    </w:p>
    <w:p w:rsidR="00CB79AB" w:rsidRPr="00BC5194" w:rsidRDefault="00CB79AB" w:rsidP="00B20F6B">
      <w:pPr>
        <w:rPr>
          <w:b/>
        </w:rPr>
      </w:pPr>
      <w:r w:rsidRPr="00BC5194">
        <w:rPr>
          <w:b/>
        </w:rPr>
        <w:t>Sources:</w:t>
      </w:r>
    </w:p>
    <w:p w:rsidR="00CB79AB" w:rsidRPr="00382D2E" w:rsidRDefault="00325EF4" w:rsidP="0005632A">
      <w:pPr>
        <w:pStyle w:val="source1"/>
        <w:numPr>
          <w:ilvl w:val="0"/>
          <w:numId w:val="122"/>
        </w:numPr>
      </w:pPr>
      <w:r>
        <w:t>ENERGY STAR</w:t>
      </w:r>
      <w:r w:rsidR="00CB79AB" w:rsidRPr="00382D2E">
        <w:t xml:space="preserve"> Office Equipment Savings Calculator (Calculator updated: June 2010). Default values were used.</w:t>
      </w:r>
    </w:p>
    <w:p w:rsidR="00CB79AB" w:rsidRPr="00382D2E" w:rsidRDefault="00CB79AB" w:rsidP="00C3606E">
      <w:pPr>
        <w:pStyle w:val="source1"/>
      </w:pPr>
      <w:r w:rsidRPr="00382D2E">
        <w:t>Using a commercial office equipment load shape, the percentage of total savings that occur during the top 100 system hours was calculated and multiplied by the energy savings.</w:t>
      </w:r>
    </w:p>
    <w:p w:rsidR="00CB79AB" w:rsidRDefault="00CB79AB" w:rsidP="00C3606E">
      <w:pPr>
        <w:pStyle w:val="source1"/>
      </w:pPr>
      <w:r w:rsidRPr="00382D2E">
        <w:t>Coincidence factors already embedded in summer peak demand reduction estimates.</w:t>
      </w:r>
    </w:p>
    <w:p w:rsidR="001A2B43" w:rsidRDefault="001A2B43" w:rsidP="00B20F6B">
      <w:pPr>
        <w:pStyle w:val="Caption"/>
      </w:pPr>
      <w:bookmarkStart w:id="936" w:name="_Ref275905692"/>
      <w:bookmarkStart w:id="937" w:name="_Toc310875597"/>
      <w:r>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45</w:t>
      </w:r>
      <w:r w:rsidR="00274AB1">
        <w:rPr>
          <w:noProof/>
        </w:rPr>
        <w:fldChar w:fldCharType="end"/>
      </w:r>
      <w:bookmarkEnd w:id="936"/>
      <w:r>
        <w:t xml:space="preserve">: </w:t>
      </w:r>
      <w:r w:rsidR="00A409F1">
        <w:t>ENERGY STAR</w:t>
      </w:r>
      <w:r>
        <w:t xml:space="preserve"> Office Equipment Energy and Demand Savings Values</w:t>
      </w:r>
      <w:bookmarkEnd w:id="937"/>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422"/>
        <w:gridCol w:w="2424"/>
      </w:tblGrid>
      <w:tr w:rsidR="00CB79AB" w:rsidRPr="00382D2E" w:rsidTr="001A2B43">
        <w:trPr>
          <w:tblHeader/>
          <w:jc w:val="center"/>
        </w:trPr>
        <w:tc>
          <w:tcPr>
            <w:tcW w:w="3794" w:type="dxa"/>
            <w:shd w:val="clear" w:color="auto" w:fill="BFBFBF"/>
          </w:tcPr>
          <w:p w:rsidR="00CB79AB" w:rsidRPr="001D6512" w:rsidRDefault="00CB79AB" w:rsidP="008075FC">
            <w:pPr>
              <w:pStyle w:val="TableCell"/>
              <w:spacing w:before="60" w:after="60"/>
              <w:rPr>
                <w:b/>
              </w:rPr>
            </w:pPr>
            <w:r w:rsidRPr="001D6512">
              <w:rPr>
                <w:b/>
              </w:rPr>
              <w:t>Measure</w:t>
            </w:r>
          </w:p>
        </w:tc>
        <w:tc>
          <w:tcPr>
            <w:tcW w:w="2422" w:type="dxa"/>
            <w:shd w:val="clear" w:color="auto" w:fill="BFBFBF"/>
          </w:tcPr>
          <w:p w:rsidR="00CB79AB" w:rsidRPr="001D6512" w:rsidRDefault="00CB79AB" w:rsidP="008075FC">
            <w:pPr>
              <w:pStyle w:val="TableCell"/>
              <w:spacing w:before="60" w:after="60"/>
              <w:rPr>
                <w:b/>
              </w:rPr>
            </w:pPr>
            <w:r w:rsidRPr="001D6512">
              <w:rPr>
                <w:b/>
              </w:rPr>
              <w:t>Energy Savings (ESav)</w:t>
            </w:r>
          </w:p>
        </w:tc>
        <w:tc>
          <w:tcPr>
            <w:tcW w:w="2424" w:type="dxa"/>
            <w:shd w:val="clear" w:color="auto" w:fill="BFBFBF"/>
          </w:tcPr>
          <w:p w:rsidR="00CB79AB" w:rsidRPr="001D6512" w:rsidRDefault="00CB79AB" w:rsidP="008075FC">
            <w:pPr>
              <w:pStyle w:val="TableCell"/>
              <w:spacing w:before="60" w:after="60"/>
              <w:rPr>
                <w:b/>
              </w:rPr>
            </w:pPr>
            <w:r w:rsidRPr="001D6512">
              <w:rPr>
                <w:b/>
              </w:rPr>
              <w:t>Demand Savings (DSav)</w:t>
            </w:r>
          </w:p>
        </w:tc>
      </w:tr>
      <w:tr w:rsidR="00CB79AB" w:rsidRPr="00382D2E" w:rsidTr="001A2B43">
        <w:trPr>
          <w:jc w:val="center"/>
        </w:trPr>
        <w:tc>
          <w:tcPr>
            <w:tcW w:w="3794" w:type="dxa"/>
          </w:tcPr>
          <w:p w:rsidR="00CB79AB" w:rsidRPr="001D6512" w:rsidRDefault="00CB79AB" w:rsidP="008075FC">
            <w:pPr>
              <w:pStyle w:val="TableCell"/>
              <w:spacing w:before="60" w:after="60"/>
            </w:pPr>
            <w:r w:rsidRPr="001D6512">
              <w:t xml:space="preserve">Computer </w:t>
            </w:r>
          </w:p>
        </w:tc>
        <w:tc>
          <w:tcPr>
            <w:tcW w:w="2422" w:type="dxa"/>
          </w:tcPr>
          <w:p w:rsidR="00CB79AB" w:rsidRPr="001D6512" w:rsidRDefault="00CB79AB" w:rsidP="008075FC">
            <w:pPr>
              <w:pStyle w:val="TableCell"/>
              <w:spacing w:before="60" w:after="60"/>
            </w:pPr>
            <w:r w:rsidRPr="001D6512">
              <w:t>133 kWh</w:t>
            </w:r>
          </w:p>
        </w:tc>
        <w:tc>
          <w:tcPr>
            <w:tcW w:w="2424" w:type="dxa"/>
          </w:tcPr>
          <w:p w:rsidR="00CB79AB" w:rsidRPr="001D6512" w:rsidRDefault="00CB79AB" w:rsidP="008075FC">
            <w:pPr>
              <w:pStyle w:val="TableCell"/>
              <w:spacing w:before="60" w:after="60"/>
            </w:pPr>
            <w:r w:rsidRPr="001D6512">
              <w:t>0.018    kW</w:t>
            </w:r>
          </w:p>
        </w:tc>
      </w:tr>
      <w:tr w:rsidR="00CB79AB" w:rsidRPr="00382D2E" w:rsidTr="001A2B43">
        <w:trPr>
          <w:jc w:val="center"/>
        </w:trPr>
        <w:tc>
          <w:tcPr>
            <w:tcW w:w="3794" w:type="dxa"/>
            <w:tcBorders>
              <w:bottom w:val="single" w:sz="4" w:space="0" w:color="auto"/>
            </w:tcBorders>
          </w:tcPr>
          <w:p w:rsidR="00CB79AB" w:rsidRPr="001D6512" w:rsidRDefault="00CB79AB" w:rsidP="008075FC">
            <w:pPr>
              <w:pStyle w:val="TableCell"/>
              <w:spacing w:before="60" w:after="60"/>
            </w:pPr>
            <w:r w:rsidRPr="001D6512">
              <w:t>Fax Machine (laser)</w:t>
            </w:r>
          </w:p>
        </w:tc>
        <w:tc>
          <w:tcPr>
            <w:tcW w:w="2422" w:type="dxa"/>
            <w:tcBorders>
              <w:bottom w:val="single" w:sz="4" w:space="0" w:color="auto"/>
            </w:tcBorders>
          </w:tcPr>
          <w:p w:rsidR="00CB79AB" w:rsidRPr="001D6512" w:rsidRDefault="00CB79AB" w:rsidP="008075FC">
            <w:pPr>
              <w:pStyle w:val="TableCell"/>
              <w:spacing w:before="60" w:after="60"/>
            </w:pPr>
            <w:r w:rsidRPr="001D6512">
              <w:t>78   kWh</w:t>
            </w:r>
          </w:p>
        </w:tc>
        <w:tc>
          <w:tcPr>
            <w:tcW w:w="2424" w:type="dxa"/>
            <w:tcBorders>
              <w:bottom w:val="single" w:sz="4" w:space="0" w:color="auto"/>
            </w:tcBorders>
          </w:tcPr>
          <w:p w:rsidR="00CB79AB" w:rsidRPr="001D6512" w:rsidRDefault="00CB79AB" w:rsidP="008075FC">
            <w:pPr>
              <w:pStyle w:val="TableCell"/>
              <w:spacing w:before="60" w:after="60"/>
            </w:pPr>
            <w:r w:rsidRPr="001D6512">
              <w:t>0.0105  kW</w:t>
            </w:r>
          </w:p>
        </w:tc>
      </w:tr>
      <w:tr w:rsidR="00CB79AB" w:rsidRPr="00382D2E" w:rsidTr="001A2B43">
        <w:trPr>
          <w:jc w:val="center"/>
        </w:trPr>
        <w:tc>
          <w:tcPr>
            <w:tcW w:w="3794" w:type="dxa"/>
            <w:tcBorders>
              <w:top w:val="single" w:sz="4" w:space="0" w:color="auto"/>
              <w:left w:val="single" w:sz="4" w:space="0" w:color="auto"/>
              <w:bottom w:val="nil"/>
              <w:right w:val="single" w:sz="4" w:space="0" w:color="auto"/>
            </w:tcBorders>
          </w:tcPr>
          <w:p w:rsidR="00CB79AB" w:rsidRPr="001D6512" w:rsidRDefault="00CB79AB" w:rsidP="008075FC">
            <w:pPr>
              <w:pStyle w:val="TableCell"/>
              <w:spacing w:before="60" w:after="60"/>
            </w:pPr>
            <w:r w:rsidRPr="001D6512">
              <w:t>Copier (monochrome)</w:t>
            </w:r>
          </w:p>
        </w:tc>
        <w:tc>
          <w:tcPr>
            <w:tcW w:w="2422" w:type="dxa"/>
            <w:tcBorders>
              <w:top w:val="single" w:sz="4" w:space="0" w:color="auto"/>
              <w:left w:val="single" w:sz="4" w:space="0" w:color="auto"/>
              <w:bottom w:val="nil"/>
              <w:right w:val="single" w:sz="4" w:space="0" w:color="auto"/>
            </w:tcBorders>
          </w:tcPr>
          <w:p w:rsidR="00CB79AB" w:rsidRPr="001D6512" w:rsidRDefault="00CB79AB" w:rsidP="008075FC">
            <w:pPr>
              <w:pStyle w:val="TableCell"/>
              <w:spacing w:before="60" w:after="60"/>
            </w:pPr>
          </w:p>
        </w:tc>
        <w:tc>
          <w:tcPr>
            <w:tcW w:w="2424" w:type="dxa"/>
            <w:tcBorders>
              <w:left w:val="single" w:sz="4" w:space="0" w:color="auto"/>
              <w:bottom w:val="nil"/>
            </w:tcBorders>
          </w:tcPr>
          <w:p w:rsidR="00CB79AB" w:rsidRPr="001D6512" w:rsidRDefault="00CB79AB" w:rsidP="008075FC">
            <w:pPr>
              <w:pStyle w:val="TableCell"/>
              <w:spacing w:before="60" w:after="60"/>
            </w:pPr>
          </w:p>
        </w:tc>
      </w:tr>
      <w:tr w:rsidR="00CB79AB" w:rsidRPr="00382D2E" w:rsidTr="001A2B43">
        <w:trPr>
          <w:jc w:val="center"/>
        </w:trPr>
        <w:tc>
          <w:tcPr>
            <w:tcW w:w="3794" w:type="dxa"/>
            <w:tcBorders>
              <w:top w:val="nil"/>
              <w:left w:val="single" w:sz="4" w:space="0" w:color="auto"/>
              <w:bottom w:val="nil"/>
              <w:right w:val="single" w:sz="4" w:space="0" w:color="auto"/>
            </w:tcBorders>
          </w:tcPr>
          <w:p w:rsidR="00CB79AB" w:rsidRPr="001D6512" w:rsidRDefault="00CB79AB" w:rsidP="008075FC">
            <w:pPr>
              <w:pStyle w:val="TableCell"/>
              <w:spacing w:before="60" w:after="60"/>
            </w:pPr>
            <w:r w:rsidRPr="001D6512">
              <w:t xml:space="preserve">      1-25      images/min</w:t>
            </w:r>
          </w:p>
        </w:tc>
        <w:tc>
          <w:tcPr>
            <w:tcW w:w="2422" w:type="dxa"/>
            <w:tcBorders>
              <w:top w:val="nil"/>
              <w:left w:val="single" w:sz="4" w:space="0" w:color="auto"/>
              <w:bottom w:val="nil"/>
              <w:right w:val="single" w:sz="4" w:space="0" w:color="auto"/>
            </w:tcBorders>
          </w:tcPr>
          <w:p w:rsidR="00CB79AB" w:rsidRPr="001D6512" w:rsidRDefault="00CB79AB" w:rsidP="008075FC">
            <w:pPr>
              <w:pStyle w:val="TableCell"/>
              <w:spacing w:before="60" w:after="60"/>
            </w:pPr>
            <w:r w:rsidRPr="001D6512">
              <w:t>73   kWh</w:t>
            </w:r>
          </w:p>
        </w:tc>
        <w:tc>
          <w:tcPr>
            <w:tcW w:w="2424" w:type="dxa"/>
            <w:tcBorders>
              <w:top w:val="nil"/>
              <w:left w:val="single" w:sz="4" w:space="0" w:color="auto"/>
              <w:bottom w:val="nil"/>
            </w:tcBorders>
          </w:tcPr>
          <w:p w:rsidR="00CB79AB" w:rsidRPr="001D6512" w:rsidRDefault="00CB79AB" w:rsidP="008075FC">
            <w:pPr>
              <w:pStyle w:val="TableCell"/>
              <w:spacing w:before="60" w:after="60"/>
            </w:pPr>
            <w:r w:rsidRPr="001D6512">
              <w:t>0.0098  kW</w:t>
            </w:r>
          </w:p>
        </w:tc>
      </w:tr>
      <w:tr w:rsidR="00CB79AB" w:rsidRPr="00382D2E" w:rsidTr="001A2B43">
        <w:trPr>
          <w:trHeight w:val="135"/>
          <w:jc w:val="center"/>
        </w:trPr>
        <w:tc>
          <w:tcPr>
            <w:tcW w:w="3794" w:type="dxa"/>
            <w:tcBorders>
              <w:top w:val="nil"/>
              <w:left w:val="single" w:sz="4" w:space="0" w:color="auto"/>
              <w:bottom w:val="nil"/>
              <w:right w:val="single" w:sz="4" w:space="0" w:color="auto"/>
            </w:tcBorders>
          </w:tcPr>
          <w:p w:rsidR="00CB79AB" w:rsidRPr="001D6512" w:rsidRDefault="00CB79AB" w:rsidP="008075FC">
            <w:pPr>
              <w:pStyle w:val="TableCell"/>
              <w:spacing w:before="60" w:after="60"/>
            </w:pPr>
            <w:r w:rsidRPr="001D6512">
              <w:t xml:space="preserve">      26-50    images/min</w:t>
            </w:r>
          </w:p>
        </w:tc>
        <w:tc>
          <w:tcPr>
            <w:tcW w:w="2422" w:type="dxa"/>
            <w:tcBorders>
              <w:top w:val="nil"/>
              <w:left w:val="single" w:sz="4" w:space="0" w:color="auto"/>
              <w:bottom w:val="nil"/>
              <w:right w:val="single" w:sz="4" w:space="0" w:color="auto"/>
            </w:tcBorders>
          </w:tcPr>
          <w:p w:rsidR="00CB79AB" w:rsidRPr="001D6512" w:rsidRDefault="00CB79AB" w:rsidP="008075FC">
            <w:pPr>
              <w:pStyle w:val="TableCell"/>
              <w:spacing w:before="60" w:after="60"/>
            </w:pPr>
            <w:r w:rsidRPr="001D6512">
              <w:t>151 kWh</w:t>
            </w:r>
          </w:p>
        </w:tc>
        <w:tc>
          <w:tcPr>
            <w:tcW w:w="2424" w:type="dxa"/>
            <w:tcBorders>
              <w:top w:val="nil"/>
              <w:left w:val="single" w:sz="4" w:space="0" w:color="auto"/>
              <w:bottom w:val="nil"/>
            </w:tcBorders>
          </w:tcPr>
          <w:p w:rsidR="00CB79AB" w:rsidRPr="001D6512" w:rsidRDefault="00CB79AB" w:rsidP="008075FC">
            <w:pPr>
              <w:pStyle w:val="TableCell"/>
              <w:spacing w:before="60" w:after="60"/>
            </w:pPr>
            <w:r w:rsidRPr="001D6512">
              <w:t>0.0203  kW</w:t>
            </w:r>
          </w:p>
        </w:tc>
      </w:tr>
      <w:tr w:rsidR="00CB79AB" w:rsidRPr="00382D2E" w:rsidTr="001A2B43">
        <w:trPr>
          <w:jc w:val="center"/>
        </w:trPr>
        <w:tc>
          <w:tcPr>
            <w:tcW w:w="3794" w:type="dxa"/>
            <w:tcBorders>
              <w:top w:val="nil"/>
              <w:left w:val="single" w:sz="4" w:space="0" w:color="auto"/>
              <w:bottom w:val="single" w:sz="4" w:space="0" w:color="auto"/>
              <w:right w:val="single" w:sz="4" w:space="0" w:color="auto"/>
            </w:tcBorders>
          </w:tcPr>
          <w:p w:rsidR="00CB79AB" w:rsidRPr="001D6512" w:rsidRDefault="00CB79AB" w:rsidP="008075FC">
            <w:pPr>
              <w:pStyle w:val="TableCell"/>
              <w:spacing w:before="60" w:after="60"/>
            </w:pPr>
            <w:r w:rsidRPr="001D6512">
              <w:t xml:space="preserve">      51+       images/min</w:t>
            </w:r>
          </w:p>
        </w:tc>
        <w:tc>
          <w:tcPr>
            <w:tcW w:w="2422" w:type="dxa"/>
            <w:tcBorders>
              <w:top w:val="nil"/>
              <w:left w:val="single" w:sz="4" w:space="0" w:color="auto"/>
              <w:bottom w:val="single" w:sz="4" w:space="0" w:color="auto"/>
              <w:right w:val="single" w:sz="4" w:space="0" w:color="auto"/>
            </w:tcBorders>
          </w:tcPr>
          <w:p w:rsidR="00CB79AB" w:rsidRPr="001D6512" w:rsidRDefault="00CB79AB" w:rsidP="008075FC">
            <w:pPr>
              <w:pStyle w:val="TableCell"/>
              <w:spacing w:before="60" w:after="60"/>
            </w:pPr>
            <w:r w:rsidRPr="001D6512">
              <w:t>162 kWh</w:t>
            </w:r>
          </w:p>
        </w:tc>
        <w:tc>
          <w:tcPr>
            <w:tcW w:w="2424" w:type="dxa"/>
            <w:tcBorders>
              <w:top w:val="nil"/>
              <w:left w:val="single" w:sz="4" w:space="0" w:color="auto"/>
              <w:bottom w:val="single" w:sz="4" w:space="0" w:color="auto"/>
            </w:tcBorders>
          </w:tcPr>
          <w:p w:rsidR="00CB79AB" w:rsidRPr="001D6512" w:rsidRDefault="00CB79AB" w:rsidP="008075FC">
            <w:pPr>
              <w:pStyle w:val="TableCell"/>
              <w:spacing w:before="60" w:after="60"/>
            </w:pPr>
            <w:r w:rsidRPr="001D6512">
              <w:t>0.0218  kW</w:t>
            </w:r>
          </w:p>
        </w:tc>
      </w:tr>
      <w:tr w:rsidR="00CB79AB" w:rsidRPr="00382D2E" w:rsidTr="001A2B43">
        <w:trPr>
          <w:jc w:val="center"/>
        </w:trPr>
        <w:tc>
          <w:tcPr>
            <w:tcW w:w="3794" w:type="dxa"/>
            <w:tcBorders>
              <w:top w:val="single" w:sz="4" w:space="0" w:color="auto"/>
              <w:bottom w:val="nil"/>
            </w:tcBorders>
          </w:tcPr>
          <w:p w:rsidR="00CB79AB" w:rsidRPr="001D6512" w:rsidRDefault="00CB79AB" w:rsidP="008075FC">
            <w:pPr>
              <w:pStyle w:val="TableCell"/>
              <w:spacing w:before="60" w:after="60"/>
            </w:pPr>
            <w:r w:rsidRPr="001D6512">
              <w:t>Printer (laser, monochrome)</w:t>
            </w:r>
          </w:p>
        </w:tc>
        <w:tc>
          <w:tcPr>
            <w:tcW w:w="2422" w:type="dxa"/>
            <w:tcBorders>
              <w:top w:val="single" w:sz="4" w:space="0" w:color="auto"/>
              <w:bottom w:val="nil"/>
            </w:tcBorders>
          </w:tcPr>
          <w:p w:rsidR="00CB79AB" w:rsidRPr="001D6512" w:rsidRDefault="00CB79AB" w:rsidP="008075FC">
            <w:pPr>
              <w:pStyle w:val="TableCell"/>
              <w:spacing w:before="60" w:after="60"/>
            </w:pPr>
          </w:p>
        </w:tc>
        <w:tc>
          <w:tcPr>
            <w:tcW w:w="2424" w:type="dxa"/>
            <w:tcBorders>
              <w:bottom w:val="nil"/>
            </w:tcBorders>
          </w:tcPr>
          <w:p w:rsidR="00CB79AB" w:rsidRPr="001D6512" w:rsidRDefault="00CB79AB" w:rsidP="008075FC">
            <w:pPr>
              <w:pStyle w:val="TableCell"/>
              <w:spacing w:before="60" w:after="60"/>
            </w:pPr>
          </w:p>
        </w:tc>
      </w:tr>
      <w:tr w:rsidR="00CB79AB" w:rsidRPr="00382D2E" w:rsidTr="001A2B43">
        <w:trPr>
          <w:jc w:val="center"/>
        </w:trPr>
        <w:tc>
          <w:tcPr>
            <w:tcW w:w="3794" w:type="dxa"/>
            <w:tcBorders>
              <w:top w:val="nil"/>
              <w:bottom w:val="nil"/>
            </w:tcBorders>
          </w:tcPr>
          <w:p w:rsidR="00CB79AB" w:rsidRPr="001D6512" w:rsidRDefault="00CB79AB" w:rsidP="008075FC">
            <w:pPr>
              <w:pStyle w:val="TableCell"/>
              <w:spacing w:before="60" w:after="60"/>
            </w:pPr>
            <w:r w:rsidRPr="001D6512">
              <w:t xml:space="preserve">      1-10      images/min</w:t>
            </w:r>
          </w:p>
        </w:tc>
        <w:tc>
          <w:tcPr>
            <w:tcW w:w="2422" w:type="dxa"/>
            <w:tcBorders>
              <w:top w:val="nil"/>
              <w:bottom w:val="nil"/>
            </w:tcBorders>
          </w:tcPr>
          <w:p w:rsidR="00CB79AB" w:rsidRPr="001D6512" w:rsidRDefault="00CB79AB" w:rsidP="008075FC">
            <w:pPr>
              <w:pStyle w:val="TableCell"/>
              <w:spacing w:before="60" w:after="60"/>
            </w:pPr>
            <w:r w:rsidRPr="001D6512">
              <w:t>26   kWh</w:t>
            </w:r>
          </w:p>
        </w:tc>
        <w:tc>
          <w:tcPr>
            <w:tcW w:w="2424" w:type="dxa"/>
            <w:tcBorders>
              <w:top w:val="nil"/>
              <w:bottom w:val="nil"/>
            </w:tcBorders>
          </w:tcPr>
          <w:p w:rsidR="00CB79AB" w:rsidRPr="001D6512" w:rsidRDefault="00CB79AB" w:rsidP="008075FC">
            <w:pPr>
              <w:pStyle w:val="TableCell"/>
              <w:spacing w:before="60" w:after="60"/>
            </w:pPr>
            <w:r w:rsidRPr="001D6512">
              <w:t>0.0035  kW</w:t>
            </w:r>
          </w:p>
        </w:tc>
      </w:tr>
      <w:tr w:rsidR="00CB79AB" w:rsidRPr="00382D2E" w:rsidTr="001A2B43">
        <w:trPr>
          <w:jc w:val="center"/>
        </w:trPr>
        <w:tc>
          <w:tcPr>
            <w:tcW w:w="3794" w:type="dxa"/>
            <w:tcBorders>
              <w:top w:val="nil"/>
              <w:bottom w:val="nil"/>
            </w:tcBorders>
          </w:tcPr>
          <w:p w:rsidR="00CB79AB" w:rsidRPr="001D6512" w:rsidRDefault="00CB79AB" w:rsidP="008075FC">
            <w:pPr>
              <w:pStyle w:val="TableCell"/>
              <w:spacing w:before="60" w:after="60"/>
            </w:pPr>
            <w:r w:rsidRPr="001D6512">
              <w:t xml:space="preserve">      11-20    images/min</w:t>
            </w:r>
          </w:p>
        </w:tc>
        <w:tc>
          <w:tcPr>
            <w:tcW w:w="2422" w:type="dxa"/>
            <w:tcBorders>
              <w:top w:val="nil"/>
              <w:bottom w:val="nil"/>
            </w:tcBorders>
          </w:tcPr>
          <w:p w:rsidR="00CB79AB" w:rsidRPr="001D6512" w:rsidRDefault="00CB79AB" w:rsidP="008075FC">
            <w:pPr>
              <w:pStyle w:val="TableCell"/>
              <w:spacing w:before="60" w:after="60"/>
            </w:pPr>
            <w:r w:rsidRPr="001D6512">
              <w:t>73   kWh</w:t>
            </w:r>
          </w:p>
        </w:tc>
        <w:tc>
          <w:tcPr>
            <w:tcW w:w="2424" w:type="dxa"/>
            <w:tcBorders>
              <w:top w:val="nil"/>
              <w:bottom w:val="nil"/>
            </w:tcBorders>
          </w:tcPr>
          <w:p w:rsidR="00CB79AB" w:rsidRPr="001D6512" w:rsidRDefault="00CB79AB" w:rsidP="008075FC">
            <w:pPr>
              <w:pStyle w:val="TableCell"/>
              <w:spacing w:before="60" w:after="60"/>
            </w:pPr>
            <w:r w:rsidRPr="001D6512">
              <w:t>0.0098  kW</w:t>
            </w:r>
          </w:p>
        </w:tc>
      </w:tr>
      <w:tr w:rsidR="00CB79AB" w:rsidRPr="00382D2E" w:rsidTr="001A2B43">
        <w:trPr>
          <w:jc w:val="center"/>
        </w:trPr>
        <w:tc>
          <w:tcPr>
            <w:tcW w:w="3794" w:type="dxa"/>
            <w:tcBorders>
              <w:top w:val="nil"/>
              <w:bottom w:val="nil"/>
            </w:tcBorders>
          </w:tcPr>
          <w:p w:rsidR="00CB79AB" w:rsidRPr="001D6512" w:rsidRDefault="00CB79AB" w:rsidP="008075FC">
            <w:pPr>
              <w:pStyle w:val="TableCell"/>
              <w:spacing w:before="60" w:after="60"/>
            </w:pPr>
            <w:r w:rsidRPr="001D6512">
              <w:t xml:space="preserve">      21-30    images/min</w:t>
            </w:r>
          </w:p>
        </w:tc>
        <w:tc>
          <w:tcPr>
            <w:tcW w:w="2422" w:type="dxa"/>
            <w:tcBorders>
              <w:top w:val="nil"/>
              <w:bottom w:val="nil"/>
            </w:tcBorders>
          </w:tcPr>
          <w:p w:rsidR="00CB79AB" w:rsidRPr="001D6512" w:rsidRDefault="00CB79AB" w:rsidP="008075FC">
            <w:pPr>
              <w:pStyle w:val="TableCell"/>
              <w:spacing w:before="60" w:after="60"/>
            </w:pPr>
            <w:r w:rsidRPr="001D6512">
              <w:t>104 kWh</w:t>
            </w:r>
          </w:p>
        </w:tc>
        <w:tc>
          <w:tcPr>
            <w:tcW w:w="2424" w:type="dxa"/>
            <w:tcBorders>
              <w:top w:val="nil"/>
              <w:bottom w:val="nil"/>
            </w:tcBorders>
          </w:tcPr>
          <w:p w:rsidR="00CB79AB" w:rsidRPr="001D6512" w:rsidRDefault="00CB79AB" w:rsidP="008075FC">
            <w:pPr>
              <w:pStyle w:val="TableCell"/>
              <w:spacing w:before="60" w:after="60"/>
            </w:pPr>
            <w:r w:rsidRPr="001D6512">
              <w:t>0.0140  kW</w:t>
            </w:r>
          </w:p>
        </w:tc>
      </w:tr>
      <w:tr w:rsidR="00CB79AB" w:rsidRPr="00382D2E" w:rsidTr="001A2B43">
        <w:trPr>
          <w:jc w:val="center"/>
        </w:trPr>
        <w:tc>
          <w:tcPr>
            <w:tcW w:w="3794" w:type="dxa"/>
            <w:tcBorders>
              <w:top w:val="nil"/>
              <w:bottom w:val="nil"/>
            </w:tcBorders>
          </w:tcPr>
          <w:p w:rsidR="00CB79AB" w:rsidRPr="001D6512" w:rsidRDefault="00CB79AB" w:rsidP="008075FC">
            <w:pPr>
              <w:pStyle w:val="TableCell"/>
              <w:spacing w:before="60" w:after="60"/>
            </w:pPr>
            <w:r w:rsidRPr="001D6512">
              <w:t xml:space="preserve">      31-40    images/min</w:t>
            </w:r>
          </w:p>
        </w:tc>
        <w:tc>
          <w:tcPr>
            <w:tcW w:w="2422" w:type="dxa"/>
            <w:tcBorders>
              <w:top w:val="nil"/>
              <w:bottom w:val="nil"/>
            </w:tcBorders>
          </w:tcPr>
          <w:p w:rsidR="00CB79AB" w:rsidRPr="001D6512" w:rsidRDefault="00CB79AB" w:rsidP="008075FC">
            <w:pPr>
              <w:pStyle w:val="TableCell"/>
              <w:spacing w:before="60" w:after="60"/>
            </w:pPr>
            <w:r w:rsidRPr="001D6512">
              <w:t>156 kWh</w:t>
            </w:r>
          </w:p>
        </w:tc>
        <w:tc>
          <w:tcPr>
            <w:tcW w:w="2424" w:type="dxa"/>
            <w:tcBorders>
              <w:top w:val="nil"/>
              <w:bottom w:val="nil"/>
            </w:tcBorders>
          </w:tcPr>
          <w:p w:rsidR="00CB79AB" w:rsidRPr="001D6512" w:rsidRDefault="00CB79AB" w:rsidP="008075FC">
            <w:pPr>
              <w:pStyle w:val="TableCell"/>
              <w:spacing w:before="60" w:after="60"/>
            </w:pPr>
            <w:r w:rsidRPr="001D6512">
              <w:t>0.0210  kW</w:t>
            </w:r>
          </w:p>
        </w:tc>
      </w:tr>
      <w:tr w:rsidR="00CB79AB" w:rsidRPr="00382D2E" w:rsidTr="001A2B43">
        <w:trPr>
          <w:jc w:val="center"/>
        </w:trPr>
        <w:tc>
          <w:tcPr>
            <w:tcW w:w="3794" w:type="dxa"/>
            <w:tcBorders>
              <w:top w:val="nil"/>
              <w:bottom w:val="nil"/>
            </w:tcBorders>
          </w:tcPr>
          <w:p w:rsidR="00CB79AB" w:rsidRPr="001D6512" w:rsidRDefault="00CB79AB" w:rsidP="008075FC">
            <w:pPr>
              <w:pStyle w:val="TableCell"/>
              <w:spacing w:before="60" w:after="60"/>
            </w:pPr>
            <w:r w:rsidRPr="001D6512">
              <w:t xml:space="preserve">      41-50    images/min</w:t>
            </w:r>
          </w:p>
        </w:tc>
        <w:tc>
          <w:tcPr>
            <w:tcW w:w="2422" w:type="dxa"/>
            <w:tcBorders>
              <w:top w:val="nil"/>
              <w:bottom w:val="nil"/>
            </w:tcBorders>
          </w:tcPr>
          <w:p w:rsidR="00CB79AB" w:rsidRPr="001D6512" w:rsidRDefault="00CB79AB" w:rsidP="008075FC">
            <w:pPr>
              <w:pStyle w:val="TableCell"/>
              <w:spacing w:before="60" w:after="60"/>
            </w:pPr>
            <w:r w:rsidRPr="001D6512">
              <w:t>133 kWh</w:t>
            </w:r>
          </w:p>
        </w:tc>
        <w:tc>
          <w:tcPr>
            <w:tcW w:w="2424" w:type="dxa"/>
            <w:tcBorders>
              <w:top w:val="nil"/>
              <w:bottom w:val="nil"/>
            </w:tcBorders>
          </w:tcPr>
          <w:p w:rsidR="00CB79AB" w:rsidRPr="001D6512" w:rsidRDefault="00CB79AB" w:rsidP="008075FC">
            <w:pPr>
              <w:pStyle w:val="TableCell"/>
              <w:spacing w:before="60" w:after="60"/>
            </w:pPr>
            <w:r w:rsidRPr="001D6512">
              <w:t>0.0179  kW</w:t>
            </w:r>
          </w:p>
        </w:tc>
      </w:tr>
      <w:tr w:rsidR="00CB79AB" w:rsidRPr="00382D2E" w:rsidTr="001A2B43">
        <w:trPr>
          <w:jc w:val="center"/>
        </w:trPr>
        <w:tc>
          <w:tcPr>
            <w:tcW w:w="3794" w:type="dxa"/>
            <w:tcBorders>
              <w:top w:val="nil"/>
              <w:bottom w:val="single" w:sz="4" w:space="0" w:color="auto"/>
            </w:tcBorders>
          </w:tcPr>
          <w:p w:rsidR="00CB79AB" w:rsidRPr="001D6512" w:rsidRDefault="00CB79AB" w:rsidP="008075FC">
            <w:pPr>
              <w:pStyle w:val="TableCell"/>
              <w:spacing w:before="60" w:after="60"/>
            </w:pPr>
            <w:r w:rsidRPr="001D6512">
              <w:t xml:space="preserve">      51+       images/min</w:t>
            </w:r>
          </w:p>
        </w:tc>
        <w:tc>
          <w:tcPr>
            <w:tcW w:w="2422" w:type="dxa"/>
            <w:tcBorders>
              <w:top w:val="nil"/>
              <w:bottom w:val="single" w:sz="4" w:space="0" w:color="auto"/>
            </w:tcBorders>
          </w:tcPr>
          <w:p w:rsidR="00CB79AB" w:rsidRPr="001D6512" w:rsidRDefault="00CB79AB" w:rsidP="008075FC">
            <w:pPr>
              <w:pStyle w:val="TableCell"/>
              <w:spacing w:before="60" w:after="60"/>
            </w:pPr>
            <w:r w:rsidRPr="001D6512">
              <w:t>329 kWh</w:t>
            </w:r>
          </w:p>
        </w:tc>
        <w:tc>
          <w:tcPr>
            <w:tcW w:w="2424" w:type="dxa"/>
            <w:tcBorders>
              <w:top w:val="nil"/>
              <w:bottom w:val="single" w:sz="4" w:space="0" w:color="auto"/>
            </w:tcBorders>
          </w:tcPr>
          <w:p w:rsidR="00CB79AB" w:rsidRPr="001D6512" w:rsidRDefault="00CB79AB" w:rsidP="008075FC">
            <w:pPr>
              <w:pStyle w:val="TableCell"/>
              <w:spacing w:before="60" w:after="60"/>
            </w:pPr>
            <w:r w:rsidRPr="001D6512">
              <w:t>0.0443  kW</w:t>
            </w:r>
          </w:p>
        </w:tc>
      </w:tr>
      <w:tr w:rsidR="00CB79AB" w:rsidRPr="00382D2E" w:rsidTr="001A2B43">
        <w:trPr>
          <w:jc w:val="center"/>
        </w:trPr>
        <w:tc>
          <w:tcPr>
            <w:tcW w:w="3794" w:type="dxa"/>
            <w:tcBorders>
              <w:bottom w:val="nil"/>
            </w:tcBorders>
          </w:tcPr>
          <w:p w:rsidR="00CB79AB" w:rsidRPr="001D6512" w:rsidRDefault="00CB79AB" w:rsidP="008075FC">
            <w:pPr>
              <w:pStyle w:val="TableCell"/>
              <w:spacing w:before="60" w:after="60"/>
            </w:pPr>
            <w:r w:rsidRPr="001D6512">
              <w:t>Multifunction (laser, monochrome)</w:t>
            </w:r>
          </w:p>
        </w:tc>
        <w:tc>
          <w:tcPr>
            <w:tcW w:w="2422" w:type="dxa"/>
            <w:tcBorders>
              <w:bottom w:val="nil"/>
            </w:tcBorders>
          </w:tcPr>
          <w:p w:rsidR="00CB79AB" w:rsidRPr="001D6512" w:rsidRDefault="00CB79AB" w:rsidP="008075FC">
            <w:pPr>
              <w:pStyle w:val="TableCell"/>
              <w:spacing w:before="60" w:after="60"/>
            </w:pPr>
          </w:p>
        </w:tc>
        <w:tc>
          <w:tcPr>
            <w:tcW w:w="2424" w:type="dxa"/>
            <w:tcBorders>
              <w:bottom w:val="nil"/>
            </w:tcBorders>
          </w:tcPr>
          <w:p w:rsidR="00CB79AB" w:rsidRPr="001D6512" w:rsidRDefault="00CB79AB" w:rsidP="008075FC">
            <w:pPr>
              <w:pStyle w:val="TableCell"/>
              <w:spacing w:before="60" w:after="60"/>
            </w:pPr>
          </w:p>
        </w:tc>
      </w:tr>
      <w:tr w:rsidR="00CB79AB" w:rsidRPr="00382D2E" w:rsidTr="001A2B43">
        <w:trPr>
          <w:jc w:val="center"/>
        </w:trPr>
        <w:tc>
          <w:tcPr>
            <w:tcW w:w="3794" w:type="dxa"/>
            <w:tcBorders>
              <w:top w:val="nil"/>
              <w:bottom w:val="nil"/>
            </w:tcBorders>
          </w:tcPr>
          <w:p w:rsidR="00CB79AB" w:rsidRPr="001D6512" w:rsidRDefault="00CB79AB" w:rsidP="008075FC">
            <w:pPr>
              <w:pStyle w:val="TableCell"/>
              <w:spacing w:before="60" w:after="60"/>
            </w:pPr>
            <w:r w:rsidRPr="001D6512">
              <w:t xml:space="preserve">      1-10      images/min</w:t>
            </w:r>
          </w:p>
        </w:tc>
        <w:tc>
          <w:tcPr>
            <w:tcW w:w="2422" w:type="dxa"/>
            <w:tcBorders>
              <w:top w:val="nil"/>
              <w:bottom w:val="nil"/>
            </w:tcBorders>
          </w:tcPr>
          <w:p w:rsidR="00CB79AB" w:rsidRPr="001D6512" w:rsidRDefault="00CB79AB" w:rsidP="008075FC">
            <w:pPr>
              <w:pStyle w:val="TableCell"/>
              <w:spacing w:before="60" w:after="60"/>
            </w:pPr>
            <w:r w:rsidRPr="001D6512">
              <w:t>78   kWh</w:t>
            </w:r>
          </w:p>
        </w:tc>
        <w:tc>
          <w:tcPr>
            <w:tcW w:w="2424" w:type="dxa"/>
            <w:tcBorders>
              <w:top w:val="nil"/>
              <w:bottom w:val="nil"/>
            </w:tcBorders>
          </w:tcPr>
          <w:p w:rsidR="00CB79AB" w:rsidRPr="001D6512" w:rsidRDefault="00CB79AB" w:rsidP="008075FC">
            <w:pPr>
              <w:pStyle w:val="TableCell"/>
              <w:spacing w:before="60" w:after="60"/>
            </w:pPr>
            <w:r w:rsidRPr="001D6512">
              <w:t>0.0105  kW</w:t>
            </w:r>
          </w:p>
        </w:tc>
      </w:tr>
      <w:tr w:rsidR="00CB79AB" w:rsidRPr="00382D2E" w:rsidTr="001A2B43">
        <w:trPr>
          <w:jc w:val="center"/>
        </w:trPr>
        <w:tc>
          <w:tcPr>
            <w:tcW w:w="3794" w:type="dxa"/>
            <w:tcBorders>
              <w:top w:val="nil"/>
              <w:bottom w:val="nil"/>
            </w:tcBorders>
          </w:tcPr>
          <w:p w:rsidR="00CB79AB" w:rsidRPr="001D6512" w:rsidRDefault="00CB79AB" w:rsidP="008075FC">
            <w:pPr>
              <w:pStyle w:val="TableCell"/>
              <w:spacing w:before="60" w:after="60"/>
            </w:pPr>
            <w:r w:rsidRPr="001D6512">
              <w:t xml:space="preserve">      11-20    images/min</w:t>
            </w:r>
          </w:p>
        </w:tc>
        <w:tc>
          <w:tcPr>
            <w:tcW w:w="2422" w:type="dxa"/>
            <w:tcBorders>
              <w:top w:val="nil"/>
              <w:bottom w:val="nil"/>
            </w:tcBorders>
          </w:tcPr>
          <w:p w:rsidR="00CB79AB" w:rsidRPr="001D6512" w:rsidRDefault="00CB79AB" w:rsidP="008075FC">
            <w:pPr>
              <w:pStyle w:val="TableCell"/>
              <w:spacing w:before="60" w:after="60"/>
            </w:pPr>
            <w:r w:rsidRPr="001D6512">
              <w:t>147 kWh</w:t>
            </w:r>
          </w:p>
        </w:tc>
        <w:tc>
          <w:tcPr>
            <w:tcW w:w="2424" w:type="dxa"/>
            <w:tcBorders>
              <w:top w:val="nil"/>
              <w:bottom w:val="nil"/>
            </w:tcBorders>
          </w:tcPr>
          <w:p w:rsidR="00CB79AB" w:rsidRPr="001D6512" w:rsidRDefault="00CB79AB" w:rsidP="008075FC">
            <w:pPr>
              <w:pStyle w:val="TableCell"/>
              <w:spacing w:before="60" w:after="60"/>
            </w:pPr>
            <w:r w:rsidRPr="001D6512">
              <w:t>0.0198  kW</w:t>
            </w:r>
          </w:p>
        </w:tc>
      </w:tr>
      <w:tr w:rsidR="00CB79AB" w:rsidRPr="00382D2E" w:rsidTr="001A2B43">
        <w:trPr>
          <w:jc w:val="center"/>
        </w:trPr>
        <w:tc>
          <w:tcPr>
            <w:tcW w:w="3794" w:type="dxa"/>
            <w:tcBorders>
              <w:top w:val="nil"/>
              <w:bottom w:val="nil"/>
            </w:tcBorders>
          </w:tcPr>
          <w:p w:rsidR="00CB79AB" w:rsidRPr="001D6512" w:rsidRDefault="00CB79AB" w:rsidP="008075FC">
            <w:pPr>
              <w:pStyle w:val="TableCell"/>
              <w:spacing w:before="60" w:after="60"/>
            </w:pPr>
            <w:r w:rsidRPr="001D6512">
              <w:t xml:space="preserve">      21-44    images/min</w:t>
            </w:r>
          </w:p>
        </w:tc>
        <w:tc>
          <w:tcPr>
            <w:tcW w:w="2422" w:type="dxa"/>
            <w:tcBorders>
              <w:top w:val="nil"/>
              <w:bottom w:val="nil"/>
            </w:tcBorders>
          </w:tcPr>
          <w:p w:rsidR="00CB79AB" w:rsidRPr="001D6512" w:rsidRDefault="00CB79AB" w:rsidP="008075FC">
            <w:pPr>
              <w:pStyle w:val="TableCell"/>
              <w:spacing w:before="60" w:after="60"/>
            </w:pPr>
            <w:r w:rsidRPr="001D6512">
              <w:t>253 kWh</w:t>
            </w:r>
          </w:p>
        </w:tc>
        <w:tc>
          <w:tcPr>
            <w:tcW w:w="2424" w:type="dxa"/>
            <w:tcBorders>
              <w:top w:val="nil"/>
              <w:bottom w:val="nil"/>
            </w:tcBorders>
          </w:tcPr>
          <w:p w:rsidR="00CB79AB" w:rsidRPr="001D6512" w:rsidRDefault="00CB79AB" w:rsidP="008075FC">
            <w:pPr>
              <w:pStyle w:val="TableCell"/>
              <w:spacing w:before="60" w:after="60"/>
            </w:pPr>
            <w:r w:rsidRPr="001D6512">
              <w:t>0.0341  kW</w:t>
            </w:r>
          </w:p>
        </w:tc>
      </w:tr>
      <w:tr w:rsidR="00CB79AB" w:rsidRPr="00382D2E" w:rsidTr="001A2B43">
        <w:trPr>
          <w:jc w:val="center"/>
        </w:trPr>
        <w:tc>
          <w:tcPr>
            <w:tcW w:w="3794" w:type="dxa"/>
            <w:tcBorders>
              <w:top w:val="nil"/>
              <w:bottom w:val="nil"/>
            </w:tcBorders>
          </w:tcPr>
          <w:p w:rsidR="00CB79AB" w:rsidRPr="001D6512" w:rsidRDefault="00CB79AB" w:rsidP="008075FC">
            <w:pPr>
              <w:pStyle w:val="TableCell"/>
              <w:spacing w:before="60" w:after="60"/>
            </w:pPr>
            <w:r w:rsidRPr="001D6512">
              <w:t xml:space="preserve">      45-99    images/min</w:t>
            </w:r>
          </w:p>
        </w:tc>
        <w:tc>
          <w:tcPr>
            <w:tcW w:w="2422" w:type="dxa"/>
            <w:tcBorders>
              <w:top w:val="nil"/>
              <w:bottom w:val="nil"/>
            </w:tcBorders>
          </w:tcPr>
          <w:p w:rsidR="00CB79AB" w:rsidRPr="001D6512" w:rsidRDefault="00CB79AB" w:rsidP="008075FC">
            <w:pPr>
              <w:pStyle w:val="TableCell"/>
              <w:spacing w:before="60" w:after="60"/>
            </w:pPr>
            <w:r w:rsidRPr="001D6512">
              <w:t>422 kWh</w:t>
            </w:r>
          </w:p>
        </w:tc>
        <w:tc>
          <w:tcPr>
            <w:tcW w:w="2424" w:type="dxa"/>
            <w:tcBorders>
              <w:top w:val="nil"/>
              <w:bottom w:val="nil"/>
            </w:tcBorders>
          </w:tcPr>
          <w:p w:rsidR="00CB79AB" w:rsidRPr="001D6512" w:rsidRDefault="00CB79AB" w:rsidP="008075FC">
            <w:pPr>
              <w:pStyle w:val="TableCell"/>
              <w:spacing w:before="60" w:after="60"/>
            </w:pPr>
            <w:r w:rsidRPr="001D6512">
              <w:t>0.0569  kW</w:t>
            </w:r>
          </w:p>
        </w:tc>
      </w:tr>
      <w:tr w:rsidR="00CB79AB" w:rsidRPr="00382D2E" w:rsidTr="001A2B43">
        <w:trPr>
          <w:jc w:val="center"/>
        </w:trPr>
        <w:tc>
          <w:tcPr>
            <w:tcW w:w="3794" w:type="dxa"/>
            <w:tcBorders>
              <w:top w:val="nil"/>
            </w:tcBorders>
          </w:tcPr>
          <w:p w:rsidR="00CB79AB" w:rsidRPr="001D6512" w:rsidRDefault="00CB79AB" w:rsidP="008075FC">
            <w:pPr>
              <w:pStyle w:val="TableCell"/>
              <w:spacing w:before="60" w:after="60"/>
            </w:pPr>
            <w:r w:rsidRPr="001D6512">
              <w:t xml:space="preserve">      100+     images/min</w:t>
            </w:r>
          </w:p>
        </w:tc>
        <w:tc>
          <w:tcPr>
            <w:tcW w:w="2422" w:type="dxa"/>
            <w:tcBorders>
              <w:top w:val="nil"/>
            </w:tcBorders>
          </w:tcPr>
          <w:p w:rsidR="00CB79AB" w:rsidRPr="001D6512" w:rsidRDefault="00CB79AB" w:rsidP="008075FC">
            <w:pPr>
              <w:pStyle w:val="TableCell"/>
              <w:spacing w:before="60" w:after="60"/>
            </w:pPr>
            <w:r w:rsidRPr="001D6512">
              <w:t>730 kWh</w:t>
            </w:r>
          </w:p>
        </w:tc>
        <w:tc>
          <w:tcPr>
            <w:tcW w:w="2424" w:type="dxa"/>
            <w:tcBorders>
              <w:top w:val="nil"/>
            </w:tcBorders>
          </w:tcPr>
          <w:p w:rsidR="00CB79AB" w:rsidRPr="001D6512" w:rsidRDefault="00CB79AB" w:rsidP="008075FC">
            <w:pPr>
              <w:pStyle w:val="TableCell"/>
              <w:spacing w:before="60" w:after="60"/>
            </w:pPr>
            <w:r w:rsidRPr="001D6512">
              <w:t>0.0984  kW</w:t>
            </w:r>
          </w:p>
        </w:tc>
      </w:tr>
      <w:tr w:rsidR="00CB79AB" w:rsidRPr="00382D2E" w:rsidTr="001A2B43">
        <w:trPr>
          <w:jc w:val="center"/>
        </w:trPr>
        <w:tc>
          <w:tcPr>
            <w:tcW w:w="3794" w:type="dxa"/>
          </w:tcPr>
          <w:p w:rsidR="00CB79AB" w:rsidRPr="001D6512" w:rsidRDefault="00CB79AB" w:rsidP="008075FC">
            <w:pPr>
              <w:pStyle w:val="TableCell"/>
              <w:spacing w:before="60" w:after="60"/>
            </w:pPr>
            <w:r w:rsidRPr="001D6512">
              <w:t>Monitor</w:t>
            </w:r>
          </w:p>
        </w:tc>
        <w:tc>
          <w:tcPr>
            <w:tcW w:w="2422" w:type="dxa"/>
          </w:tcPr>
          <w:p w:rsidR="00CB79AB" w:rsidRPr="001D6512" w:rsidRDefault="00CB79AB" w:rsidP="008075FC">
            <w:pPr>
              <w:pStyle w:val="TableCell"/>
              <w:spacing w:before="60" w:after="60"/>
            </w:pPr>
            <w:r w:rsidRPr="001D6512">
              <w:t>15   kWh</w:t>
            </w:r>
          </w:p>
        </w:tc>
        <w:tc>
          <w:tcPr>
            <w:tcW w:w="2424" w:type="dxa"/>
          </w:tcPr>
          <w:p w:rsidR="00CB79AB" w:rsidRPr="001D6512" w:rsidRDefault="00CB79AB" w:rsidP="008075FC">
            <w:pPr>
              <w:pStyle w:val="TableCell"/>
              <w:spacing w:before="60" w:after="60"/>
            </w:pPr>
            <w:r w:rsidRPr="001D6512">
              <w:t>0.0020  kW</w:t>
            </w:r>
          </w:p>
        </w:tc>
      </w:tr>
    </w:tbl>
    <w:p w:rsidR="000C071D" w:rsidRDefault="000C071D" w:rsidP="00C3606E">
      <w:pPr>
        <w:spacing w:after="0"/>
        <w:ind w:firstLine="720"/>
        <w:rPr>
          <w:rStyle w:val="Strong"/>
          <w:b w:val="0"/>
        </w:rPr>
      </w:pPr>
    </w:p>
    <w:p w:rsidR="000C071D" w:rsidRPr="00277FD6" w:rsidRDefault="00CB79AB" w:rsidP="00B20F6B">
      <w:pPr>
        <w:rPr>
          <w:rStyle w:val="Strong"/>
        </w:rPr>
      </w:pPr>
      <w:r w:rsidRPr="00277FD6">
        <w:rPr>
          <w:rStyle w:val="Strong"/>
        </w:rPr>
        <w:t>Source</w:t>
      </w:r>
      <w:r w:rsidR="000C071D" w:rsidRPr="00277FD6">
        <w:rPr>
          <w:rStyle w:val="Strong"/>
        </w:rPr>
        <w:t>s</w:t>
      </w:r>
      <w:r w:rsidRPr="00277FD6">
        <w:rPr>
          <w:rStyle w:val="Strong"/>
        </w:rPr>
        <w:t xml:space="preserve">: </w:t>
      </w:r>
    </w:p>
    <w:p w:rsidR="00CB79AB" w:rsidRPr="000C071D" w:rsidRDefault="00CB79AB" w:rsidP="0005632A">
      <w:pPr>
        <w:pStyle w:val="source1"/>
        <w:numPr>
          <w:ilvl w:val="0"/>
          <w:numId w:val="60"/>
        </w:numPr>
      </w:pPr>
      <w:r w:rsidRPr="000C071D">
        <w:rPr>
          <w:rStyle w:val="Strong"/>
          <w:b w:val="0"/>
        </w:rPr>
        <w:t>ENERGYSTAR office equipment calculators</w:t>
      </w:r>
    </w:p>
    <w:p w:rsidR="00CB79AB" w:rsidRPr="003452B0" w:rsidRDefault="00CB79AB" w:rsidP="00CB79AB"/>
    <w:p w:rsidR="00CB79AB" w:rsidRDefault="00CB79AB" w:rsidP="00CB79AB"/>
    <w:p w:rsidR="00CB79AB" w:rsidRPr="00726DEA" w:rsidRDefault="00A409F1" w:rsidP="00871FA2">
      <w:pPr>
        <w:pStyle w:val="Heading3"/>
        <w:rPr>
          <w:rStyle w:val="Strong"/>
          <w:rFonts w:cs="Arial"/>
          <w:b/>
          <w:bCs/>
        </w:rPr>
      </w:pPr>
      <w:r>
        <w:rPr>
          <w:rStyle w:val="Strong"/>
          <w:rFonts w:cs="Arial"/>
          <w:b/>
          <w:bCs/>
        </w:rPr>
        <w:lastRenderedPageBreak/>
        <w:t>Measure Life</w:t>
      </w:r>
    </w:p>
    <w:p w:rsidR="00CB79AB" w:rsidRDefault="00CB79AB" w:rsidP="00B20F6B">
      <w:pPr>
        <w:pStyle w:val="Caption"/>
      </w:pPr>
      <w:bookmarkStart w:id="938" w:name="_Toc310875598"/>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46</w:t>
      </w:r>
      <w:r w:rsidR="00274AB1">
        <w:rPr>
          <w:noProof/>
        </w:rPr>
        <w:fldChar w:fldCharType="end"/>
      </w:r>
      <w:r>
        <w:t xml:space="preserve">: </w:t>
      </w:r>
      <w:r w:rsidR="00A409F1">
        <w:t>ENERGY STAR Office Equipment Measure Life</w:t>
      </w:r>
      <w:bookmarkEnd w:id="9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988"/>
        <w:gridCol w:w="3195"/>
        <w:gridCol w:w="2673"/>
      </w:tblGrid>
      <w:tr w:rsidR="00CB79AB" w:rsidRPr="00382D2E" w:rsidTr="00A1079C">
        <w:tc>
          <w:tcPr>
            <w:tcW w:w="2988" w:type="dxa"/>
            <w:shd w:val="clear" w:color="auto" w:fill="BFBFBF"/>
          </w:tcPr>
          <w:p w:rsidR="00CB79AB" w:rsidRPr="001D6512" w:rsidRDefault="00CB79AB" w:rsidP="008075FC">
            <w:pPr>
              <w:pStyle w:val="TableCell"/>
              <w:spacing w:before="60" w:after="60"/>
              <w:rPr>
                <w:b/>
              </w:rPr>
            </w:pPr>
            <w:r w:rsidRPr="001D6512">
              <w:rPr>
                <w:b/>
              </w:rPr>
              <w:t>Equipment</w:t>
            </w:r>
          </w:p>
        </w:tc>
        <w:tc>
          <w:tcPr>
            <w:tcW w:w="3195" w:type="dxa"/>
            <w:shd w:val="clear" w:color="auto" w:fill="BFBFBF"/>
          </w:tcPr>
          <w:p w:rsidR="00CB79AB" w:rsidRPr="001D6512" w:rsidRDefault="00CB79AB" w:rsidP="008075FC">
            <w:pPr>
              <w:pStyle w:val="TableCell"/>
              <w:spacing w:before="60" w:after="60"/>
              <w:rPr>
                <w:b/>
              </w:rPr>
            </w:pPr>
            <w:r w:rsidRPr="001D6512">
              <w:rPr>
                <w:b/>
              </w:rPr>
              <w:t>Residential Life (years)</w:t>
            </w:r>
          </w:p>
        </w:tc>
        <w:tc>
          <w:tcPr>
            <w:tcW w:w="2673" w:type="dxa"/>
            <w:shd w:val="clear" w:color="auto" w:fill="BFBFBF"/>
          </w:tcPr>
          <w:p w:rsidR="00CB79AB" w:rsidRPr="001D6512" w:rsidRDefault="00CB79AB" w:rsidP="008075FC">
            <w:pPr>
              <w:pStyle w:val="TableCell"/>
              <w:spacing w:before="60" w:after="60"/>
              <w:rPr>
                <w:b/>
              </w:rPr>
            </w:pPr>
            <w:r w:rsidRPr="001D6512">
              <w:rPr>
                <w:b/>
              </w:rPr>
              <w:t>Commercial Life (years)</w:t>
            </w:r>
          </w:p>
        </w:tc>
      </w:tr>
      <w:tr w:rsidR="00CB79AB" w:rsidRPr="00382D2E" w:rsidTr="00A1079C">
        <w:tc>
          <w:tcPr>
            <w:tcW w:w="2988" w:type="dxa"/>
          </w:tcPr>
          <w:p w:rsidR="00CB79AB" w:rsidRPr="001D6512" w:rsidRDefault="00CB79AB" w:rsidP="008075FC">
            <w:pPr>
              <w:pStyle w:val="TableCell"/>
              <w:spacing w:before="60" w:after="60"/>
              <w:rPr>
                <w:rStyle w:val="Strong"/>
                <w:rFonts w:cs="Arial"/>
                <w:b w:val="0"/>
                <w:szCs w:val="18"/>
              </w:rPr>
            </w:pPr>
            <w:r w:rsidRPr="001D6512">
              <w:rPr>
                <w:rStyle w:val="Strong"/>
                <w:rFonts w:cs="Arial"/>
                <w:b w:val="0"/>
                <w:szCs w:val="18"/>
              </w:rPr>
              <w:t>Computer</w:t>
            </w:r>
          </w:p>
        </w:tc>
        <w:tc>
          <w:tcPr>
            <w:tcW w:w="3195" w:type="dxa"/>
          </w:tcPr>
          <w:p w:rsidR="00CB79AB" w:rsidRPr="001D6512" w:rsidRDefault="00CB79AB" w:rsidP="008075FC">
            <w:pPr>
              <w:pStyle w:val="TableCell"/>
              <w:spacing w:before="60" w:after="60"/>
              <w:rPr>
                <w:rStyle w:val="Strong"/>
                <w:rFonts w:cs="Arial"/>
                <w:b w:val="0"/>
                <w:szCs w:val="18"/>
              </w:rPr>
            </w:pPr>
            <w:r w:rsidRPr="001D6512">
              <w:rPr>
                <w:rStyle w:val="Strong"/>
                <w:rFonts w:cs="Arial"/>
                <w:b w:val="0"/>
                <w:szCs w:val="18"/>
              </w:rPr>
              <w:t>4</w:t>
            </w:r>
          </w:p>
        </w:tc>
        <w:tc>
          <w:tcPr>
            <w:tcW w:w="2673" w:type="dxa"/>
          </w:tcPr>
          <w:p w:rsidR="00CB79AB" w:rsidRPr="001D6512" w:rsidRDefault="00CB79AB" w:rsidP="008075FC">
            <w:pPr>
              <w:pStyle w:val="TableCell"/>
              <w:spacing w:before="60" w:after="60"/>
              <w:rPr>
                <w:rStyle w:val="Strong"/>
                <w:rFonts w:cs="Arial"/>
                <w:b w:val="0"/>
                <w:szCs w:val="18"/>
              </w:rPr>
            </w:pPr>
            <w:r w:rsidRPr="001D6512">
              <w:rPr>
                <w:rStyle w:val="Strong"/>
                <w:rFonts w:cs="Arial"/>
                <w:b w:val="0"/>
                <w:szCs w:val="18"/>
              </w:rPr>
              <w:t>4</w:t>
            </w:r>
          </w:p>
        </w:tc>
      </w:tr>
      <w:tr w:rsidR="00CB79AB" w:rsidRPr="00382D2E" w:rsidTr="00A1079C">
        <w:tc>
          <w:tcPr>
            <w:tcW w:w="2988" w:type="dxa"/>
          </w:tcPr>
          <w:p w:rsidR="00CB79AB" w:rsidRPr="001D6512" w:rsidRDefault="00CB79AB" w:rsidP="008075FC">
            <w:pPr>
              <w:pStyle w:val="TableCell"/>
              <w:spacing w:before="60" w:after="60"/>
              <w:rPr>
                <w:rStyle w:val="Strong"/>
                <w:rFonts w:cs="Arial"/>
                <w:b w:val="0"/>
                <w:szCs w:val="18"/>
              </w:rPr>
            </w:pPr>
            <w:r w:rsidRPr="001D6512">
              <w:rPr>
                <w:rStyle w:val="Strong"/>
                <w:rFonts w:cs="Arial"/>
                <w:b w:val="0"/>
                <w:szCs w:val="18"/>
              </w:rPr>
              <w:t>Monitor</w:t>
            </w:r>
          </w:p>
        </w:tc>
        <w:tc>
          <w:tcPr>
            <w:tcW w:w="3195" w:type="dxa"/>
          </w:tcPr>
          <w:p w:rsidR="00CB79AB" w:rsidRPr="001D6512" w:rsidRDefault="00CB79AB" w:rsidP="008075FC">
            <w:pPr>
              <w:pStyle w:val="TableCell"/>
              <w:spacing w:before="60" w:after="60"/>
              <w:rPr>
                <w:rStyle w:val="Strong"/>
                <w:rFonts w:cs="Arial"/>
                <w:b w:val="0"/>
                <w:szCs w:val="18"/>
              </w:rPr>
            </w:pPr>
            <w:r w:rsidRPr="001D6512">
              <w:rPr>
                <w:rStyle w:val="Strong"/>
                <w:rFonts w:cs="Arial"/>
                <w:b w:val="0"/>
                <w:szCs w:val="18"/>
              </w:rPr>
              <w:t>5</w:t>
            </w:r>
          </w:p>
        </w:tc>
        <w:tc>
          <w:tcPr>
            <w:tcW w:w="2673" w:type="dxa"/>
          </w:tcPr>
          <w:p w:rsidR="00CB79AB" w:rsidRPr="001D6512" w:rsidRDefault="00CB79AB" w:rsidP="008075FC">
            <w:pPr>
              <w:pStyle w:val="TableCell"/>
              <w:spacing w:before="60" w:after="60"/>
              <w:rPr>
                <w:rStyle w:val="Strong"/>
                <w:rFonts w:cs="Arial"/>
                <w:b w:val="0"/>
                <w:szCs w:val="18"/>
              </w:rPr>
            </w:pPr>
            <w:r w:rsidRPr="001D6512">
              <w:rPr>
                <w:rStyle w:val="Strong"/>
                <w:rFonts w:cs="Arial"/>
                <w:b w:val="0"/>
                <w:szCs w:val="18"/>
              </w:rPr>
              <w:t>4</w:t>
            </w:r>
          </w:p>
        </w:tc>
      </w:tr>
      <w:tr w:rsidR="00CB79AB" w:rsidRPr="00382D2E" w:rsidTr="00A1079C">
        <w:tc>
          <w:tcPr>
            <w:tcW w:w="2988" w:type="dxa"/>
          </w:tcPr>
          <w:p w:rsidR="00CB79AB" w:rsidRPr="001D6512" w:rsidRDefault="00CB79AB" w:rsidP="008075FC">
            <w:pPr>
              <w:pStyle w:val="TableCell"/>
              <w:spacing w:before="60" w:after="60"/>
              <w:rPr>
                <w:rStyle w:val="Strong"/>
                <w:rFonts w:cs="Arial"/>
                <w:b w:val="0"/>
                <w:szCs w:val="18"/>
              </w:rPr>
            </w:pPr>
            <w:r w:rsidRPr="001D6512">
              <w:rPr>
                <w:rStyle w:val="Strong"/>
                <w:rFonts w:cs="Arial"/>
                <w:b w:val="0"/>
                <w:szCs w:val="18"/>
              </w:rPr>
              <w:t>Fax</w:t>
            </w:r>
          </w:p>
        </w:tc>
        <w:tc>
          <w:tcPr>
            <w:tcW w:w="3195" w:type="dxa"/>
          </w:tcPr>
          <w:p w:rsidR="00CB79AB" w:rsidRPr="001D6512" w:rsidRDefault="00CB79AB" w:rsidP="008075FC">
            <w:pPr>
              <w:pStyle w:val="TableCell"/>
              <w:spacing w:before="60" w:after="60"/>
              <w:rPr>
                <w:rStyle w:val="Strong"/>
                <w:rFonts w:cs="Arial"/>
                <w:b w:val="0"/>
                <w:szCs w:val="18"/>
              </w:rPr>
            </w:pPr>
            <w:r w:rsidRPr="001D6512">
              <w:rPr>
                <w:rStyle w:val="Strong"/>
                <w:rFonts w:cs="Arial"/>
                <w:b w:val="0"/>
                <w:szCs w:val="18"/>
              </w:rPr>
              <w:t>4</w:t>
            </w:r>
          </w:p>
        </w:tc>
        <w:tc>
          <w:tcPr>
            <w:tcW w:w="2673" w:type="dxa"/>
          </w:tcPr>
          <w:p w:rsidR="00CB79AB" w:rsidRPr="001D6512" w:rsidRDefault="00CB79AB" w:rsidP="008075FC">
            <w:pPr>
              <w:pStyle w:val="TableCell"/>
              <w:spacing w:before="60" w:after="60"/>
              <w:rPr>
                <w:rStyle w:val="Strong"/>
                <w:rFonts w:cs="Arial"/>
                <w:b w:val="0"/>
                <w:szCs w:val="18"/>
              </w:rPr>
            </w:pPr>
            <w:r w:rsidRPr="001D6512">
              <w:rPr>
                <w:rStyle w:val="Strong"/>
                <w:rFonts w:cs="Arial"/>
                <w:b w:val="0"/>
                <w:szCs w:val="18"/>
              </w:rPr>
              <w:t>4</w:t>
            </w:r>
          </w:p>
        </w:tc>
      </w:tr>
      <w:tr w:rsidR="00CB79AB" w:rsidRPr="00382D2E" w:rsidTr="00A1079C">
        <w:tc>
          <w:tcPr>
            <w:tcW w:w="2988" w:type="dxa"/>
          </w:tcPr>
          <w:p w:rsidR="00CB79AB" w:rsidRPr="001D6512" w:rsidRDefault="00CB79AB" w:rsidP="008075FC">
            <w:pPr>
              <w:pStyle w:val="TableCell"/>
              <w:spacing w:before="60" w:after="60"/>
              <w:rPr>
                <w:rStyle w:val="Strong"/>
                <w:rFonts w:cs="Arial"/>
                <w:b w:val="0"/>
                <w:szCs w:val="18"/>
              </w:rPr>
            </w:pPr>
            <w:r w:rsidRPr="001D6512">
              <w:rPr>
                <w:rStyle w:val="Strong"/>
                <w:rFonts w:cs="Arial"/>
                <w:b w:val="0"/>
                <w:szCs w:val="18"/>
              </w:rPr>
              <w:t>Multifunction Device</w:t>
            </w:r>
          </w:p>
        </w:tc>
        <w:tc>
          <w:tcPr>
            <w:tcW w:w="3195" w:type="dxa"/>
          </w:tcPr>
          <w:p w:rsidR="00CB79AB" w:rsidRPr="001D6512" w:rsidRDefault="00CB79AB" w:rsidP="008075FC">
            <w:pPr>
              <w:pStyle w:val="TableCell"/>
              <w:spacing w:before="60" w:after="60"/>
              <w:rPr>
                <w:rStyle w:val="Strong"/>
                <w:rFonts w:cs="Arial"/>
                <w:b w:val="0"/>
                <w:szCs w:val="18"/>
              </w:rPr>
            </w:pPr>
            <w:r w:rsidRPr="001D6512">
              <w:rPr>
                <w:rStyle w:val="Strong"/>
                <w:rFonts w:cs="Arial"/>
                <w:b w:val="0"/>
                <w:szCs w:val="18"/>
              </w:rPr>
              <w:t>6</w:t>
            </w:r>
          </w:p>
        </w:tc>
        <w:tc>
          <w:tcPr>
            <w:tcW w:w="2673" w:type="dxa"/>
          </w:tcPr>
          <w:p w:rsidR="00CB79AB" w:rsidRPr="001D6512" w:rsidRDefault="00CB79AB" w:rsidP="008075FC">
            <w:pPr>
              <w:pStyle w:val="TableCell"/>
              <w:spacing w:before="60" w:after="60"/>
              <w:rPr>
                <w:rStyle w:val="Strong"/>
                <w:rFonts w:cs="Arial"/>
                <w:b w:val="0"/>
                <w:szCs w:val="18"/>
              </w:rPr>
            </w:pPr>
            <w:r w:rsidRPr="001D6512">
              <w:rPr>
                <w:rStyle w:val="Strong"/>
                <w:rFonts w:cs="Arial"/>
                <w:b w:val="0"/>
                <w:szCs w:val="18"/>
              </w:rPr>
              <w:t>6</w:t>
            </w:r>
          </w:p>
        </w:tc>
      </w:tr>
      <w:tr w:rsidR="00CB79AB" w:rsidRPr="00382D2E" w:rsidTr="00A1079C">
        <w:tc>
          <w:tcPr>
            <w:tcW w:w="2988" w:type="dxa"/>
          </w:tcPr>
          <w:p w:rsidR="00CB79AB" w:rsidRPr="001D6512" w:rsidRDefault="00CB79AB" w:rsidP="008075FC">
            <w:pPr>
              <w:pStyle w:val="TableCell"/>
              <w:spacing w:before="60" w:after="60"/>
              <w:rPr>
                <w:rStyle w:val="Strong"/>
                <w:rFonts w:cs="Arial"/>
                <w:b w:val="0"/>
                <w:szCs w:val="18"/>
              </w:rPr>
            </w:pPr>
            <w:r w:rsidRPr="001D6512">
              <w:rPr>
                <w:rStyle w:val="Strong"/>
                <w:rFonts w:cs="Arial"/>
                <w:b w:val="0"/>
                <w:szCs w:val="18"/>
              </w:rPr>
              <w:t>Printer</w:t>
            </w:r>
          </w:p>
        </w:tc>
        <w:tc>
          <w:tcPr>
            <w:tcW w:w="3195" w:type="dxa"/>
          </w:tcPr>
          <w:p w:rsidR="00CB79AB" w:rsidRPr="001D6512" w:rsidRDefault="00CB79AB" w:rsidP="008075FC">
            <w:pPr>
              <w:pStyle w:val="TableCell"/>
              <w:spacing w:before="60" w:after="60"/>
              <w:rPr>
                <w:rStyle w:val="Strong"/>
                <w:rFonts w:cs="Arial"/>
                <w:b w:val="0"/>
                <w:szCs w:val="18"/>
              </w:rPr>
            </w:pPr>
            <w:r w:rsidRPr="001D6512">
              <w:rPr>
                <w:rStyle w:val="Strong"/>
                <w:rFonts w:cs="Arial"/>
                <w:b w:val="0"/>
                <w:szCs w:val="18"/>
              </w:rPr>
              <w:t>5</w:t>
            </w:r>
          </w:p>
        </w:tc>
        <w:tc>
          <w:tcPr>
            <w:tcW w:w="2673" w:type="dxa"/>
          </w:tcPr>
          <w:p w:rsidR="00CB79AB" w:rsidRPr="001D6512" w:rsidRDefault="00CB79AB" w:rsidP="008075FC">
            <w:pPr>
              <w:pStyle w:val="TableCell"/>
              <w:spacing w:before="60" w:after="60"/>
              <w:rPr>
                <w:rStyle w:val="Strong"/>
                <w:rFonts w:cs="Arial"/>
                <w:b w:val="0"/>
                <w:szCs w:val="18"/>
              </w:rPr>
            </w:pPr>
            <w:r w:rsidRPr="001D6512">
              <w:rPr>
                <w:rStyle w:val="Strong"/>
                <w:rFonts w:cs="Arial"/>
                <w:b w:val="0"/>
                <w:szCs w:val="18"/>
              </w:rPr>
              <w:t>5</w:t>
            </w:r>
          </w:p>
        </w:tc>
      </w:tr>
      <w:tr w:rsidR="00CB79AB" w:rsidRPr="00382D2E" w:rsidTr="00A1079C">
        <w:tc>
          <w:tcPr>
            <w:tcW w:w="2988" w:type="dxa"/>
          </w:tcPr>
          <w:p w:rsidR="00CB79AB" w:rsidRPr="001D6512" w:rsidRDefault="00CB79AB" w:rsidP="008075FC">
            <w:pPr>
              <w:pStyle w:val="TableCell"/>
              <w:spacing w:before="60" w:after="60"/>
              <w:rPr>
                <w:rStyle w:val="Strong"/>
                <w:rFonts w:cs="Arial"/>
                <w:b w:val="0"/>
                <w:szCs w:val="18"/>
              </w:rPr>
            </w:pPr>
            <w:r w:rsidRPr="001D6512">
              <w:rPr>
                <w:rStyle w:val="Strong"/>
                <w:rFonts w:cs="Arial"/>
                <w:b w:val="0"/>
                <w:szCs w:val="18"/>
              </w:rPr>
              <w:t>Copier</w:t>
            </w:r>
          </w:p>
        </w:tc>
        <w:tc>
          <w:tcPr>
            <w:tcW w:w="3195" w:type="dxa"/>
          </w:tcPr>
          <w:p w:rsidR="00CB79AB" w:rsidRPr="001D6512" w:rsidRDefault="00CB79AB" w:rsidP="008075FC">
            <w:pPr>
              <w:pStyle w:val="TableCell"/>
              <w:spacing w:before="60" w:after="60"/>
              <w:rPr>
                <w:rStyle w:val="Strong"/>
                <w:rFonts w:cs="Arial"/>
                <w:b w:val="0"/>
                <w:szCs w:val="18"/>
              </w:rPr>
            </w:pPr>
            <w:r w:rsidRPr="001D6512">
              <w:rPr>
                <w:rStyle w:val="Strong"/>
                <w:rFonts w:cs="Arial"/>
                <w:b w:val="0"/>
                <w:szCs w:val="18"/>
              </w:rPr>
              <w:t>6</w:t>
            </w:r>
          </w:p>
        </w:tc>
        <w:tc>
          <w:tcPr>
            <w:tcW w:w="2673" w:type="dxa"/>
          </w:tcPr>
          <w:p w:rsidR="00CB79AB" w:rsidRPr="001D6512" w:rsidRDefault="00CB79AB" w:rsidP="008075FC">
            <w:pPr>
              <w:pStyle w:val="TableCell"/>
              <w:spacing w:before="60" w:after="60"/>
              <w:rPr>
                <w:rStyle w:val="Strong"/>
                <w:rFonts w:cs="Arial"/>
                <w:b w:val="0"/>
                <w:szCs w:val="18"/>
              </w:rPr>
            </w:pPr>
            <w:r w:rsidRPr="001D6512">
              <w:rPr>
                <w:rStyle w:val="Strong"/>
                <w:rFonts w:cs="Arial"/>
                <w:b w:val="0"/>
                <w:szCs w:val="18"/>
              </w:rPr>
              <w:t>6</w:t>
            </w:r>
          </w:p>
        </w:tc>
      </w:tr>
    </w:tbl>
    <w:p w:rsidR="00CB79AB" w:rsidRDefault="00CB79AB" w:rsidP="00C3606E">
      <w:pPr>
        <w:pStyle w:val="BodyText"/>
        <w:spacing w:after="0"/>
        <w:rPr>
          <w:rStyle w:val="Strong"/>
          <w:b w:val="0"/>
          <w:i/>
        </w:rPr>
      </w:pPr>
    </w:p>
    <w:p w:rsidR="00CB79AB" w:rsidRPr="00BC5194" w:rsidRDefault="0038789E" w:rsidP="00B20F6B">
      <w:pPr>
        <w:rPr>
          <w:rStyle w:val="Strong"/>
        </w:rPr>
      </w:pPr>
      <w:r w:rsidRPr="00BC5194">
        <w:rPr>
          <w:rStyle w:val="Strong"/>
        </w:rPr>
        <w:t>Source</w:t>
      </w:r>
      <w:r w:rsidR="00CB79AB" w:rsidRPr="00BC5194">
        <w:rPr>
          <w:rStyle w:val="Strong"/>
        </w:rPr>
        <w:t xml:space="preserve">s: </w:t>
      </w:r>
    </w:p>
    <w:p w:rsidR="00AA3FCE" w:rsidRDefault="0007670E" w:rsidP="0005632A">
      <w:pPr>
        <w:pStyle w:val="source1"/>
        <w:numPr>
          <w:ilvl w:val="0"/>
          <w:numId w:val="55"/>
        </w:numPr>
        <w:rPr>
          <w:rStyle w:val="Strong"/>
          <w:b w:val="0"/>
        </w:rPr>
      </w:pPr>
      <w:r>
        <w:rPr>
          <w:rStyle w:val="Strong"/>
          <w:b w:val="0"/>
        </w:rPr>
        <w:t>ENERGYSTAR office equipment calculators</w:t>
      </w:r>
    </w:p>
    <w:p w:rsidR="00AA3D6E" w:rsidRDefault="00AA3D6E">
      <w:pPr>
        <w:overflowPunct/>
        <w:autoSpaceDE/>
        <w:autoSpaceDN/>
        <w:adjustRightInd/>
        <w:spacing w:after="0" w:line="240" w:lineRule="auto"/>
        <w:textAlignment w:val="auto"/>
      </w:pPr>
    </w:p>
    <w:p w:rsidR="00AA3D6E" w:rsidRPr="00AA3D6E" w:rsidRDefault="00AA7749" w:rsidP="00E568D4">
      <w:pPr>
        <w:pStyle w:val="Heading2"/>
      </w:pPr>
      <w:r>
        <w:br w:type="page"/>
      </w:r>
      <w:bookmarkStart w:id="939" w:name="_Toc310875452"/>
      <w:r w:rsidR="00AA3D6E" w:rsidRPr="00AA3D6E">
        <w:lastRenderedPageBreak/>
        <w:t>Smart Strip Plug Outlets</w:t>
      </w:r>
      <w:bookmarkEnd w:id="939"/>
    </w:p>
    <w:p w:rsidR="00AA3D6E" w:rsidRPr="005021BC" w:rsidRDefault="00AA3D6E" w:rsidP="00AA3D6E">
      <w:pPr>
        <w:pStyle w:val="BodyTextIndent2"/>
        <w:ind w:left="0"/>
        <w:rPr>
          <w:rFonts w:ascii="Arial" w:hAnsi="Arial" w:cs="Arial"/>
          <w:b/>
          <w:sz w:val="20"/>
        </w:rPr>
      </w:pPr>
      <w:r w:rsidRPr="005021BC">
        <w:rPr>
          <w:rFonts w:ascii="Arial" w:hAnsi="Arial" w:cs="Arial"/>
          <w:sz w:val="20"/>
        </w:rPr>
        <w:t>Smart Strips are power strips that contain a number of controlled sockets with at least one uncontrolled socket.  When the appliance that is plugged into the uncontrolled socket is turned off, the power strips then shuts off the items plugged into the controlled sockets. Qualified power strip</w:t>
      </w:r>
      <w:r w:rsidR="00A409F1">
        <w:rPr>
          <w:rFonts w:ascii="Arial" w:hAnsi="Arial" w:cs="Arial"/>
          <w:sz w:val="20"/>
        </w:rPr>
        <w:t>s</w:t>
      </w:r>
      <w:r w:rsidRPr="005021BC">
        <w:rPr>
          <w:rFonts w:ascii="Arial" w:hAnsi="Arial" w:cs="Arial"/>
          <w:sz w:val="20"/>
        </w:rPr>
        <w:t xml:space="preserve"> must automatically turn off when equipment is unused / unoccupied.</w:t>
      </w:r>
    </w:p>
    <w:p w:rsidR="00AA3D6E" w:rsidRPr="00AA3D6E" w:rsidRDefault="00AA3D6E" w:rsidP="00871FA2">
      <w:pPr>
        <w:pStyle w:val="Heading3"/>
      </w:pPr>
      <w:r w:rsidRPr="00AA3D6E">
        <w:t>Eligibility</w:t>
      </w:r>
    </w:p>
    <w:p w:rsidR="00AA3D6E" w:rsidRPr="005021BC" w:rsidRDefault="00AA3D6E" w:rsidP="00AA3D6E">
      <w:pPr>
        <w:pStyle w:val="BodyTextIndent2"/>
        <w:ind w:left="0"/>
        <w:rPr>
          <w:rFonts w:ascii="Arial" w:hAnsi="Arial" w:cs="Arial"/>
          <w:sz w:val="20"/>
        </w:rPr>
      </w:pPr>
      <w:r w:rsidRPr="005021BC">
        <w:rPr>
          <w:rFonts w:ascii="Arial" w:hAnsi="Arial" w:cs="Arial"/>
          <w:sz w:val="20"/>
        </w:rPr>
        <w:t xml:space="preserve">This </w:t>
      </w:r>
      <w:r w:rsidR="00957825" w:rsidRPr="005021BC">
        <w:rPr>
          <w:rFonts w:ascii="Arial" w:hAnsi="Arial" w:cs="Arial"/>
          <w:sz w:val="20"/>
        </w:rPr>
        <w:t>protocol</w:t>
      </w:r>
      <w:r w:rsidRPr="005021BC">
        <w:rPr>
          <w:rFonts w:ascii="Arial" w:hAnsi="Arial" w:cs="Arial"/>
          <w:sz w:val="20"/>
        </w:rPr>
        <w:t xml:space="preserve">  documents the energy savings attributed to the installation of smart strip plugs. The most likely area of application is within commercial spaces such as isolated workstations and computer systems with standalone printers, scanners or other major peripherals that are not dependent on an uninterrupted network connection (e.g. routers and modems). </w:t>
      </w:r>
    </w:p>
    <w:p w:rsidR="00AA3D6E" w:rsidRPr="00AA3D6E" w:rsidRDefault="00AA3D6E" w:rsidP="00871FA2">
      <w:pPr>
        <w:pStyle w:val="Heading3"/>
      </w:pPr>
      <w:r w:rsidRPr="00AA3D6E">
        <w:t>Algorithms</w:t>
      </w:r>
    </w:p>
    <w:p w:rsidR="00AA3D6E" w:rsidRPr="005021BC" w:rsidRDefault="00AA3D6E" w:rsidP="00AA3D6E">
      <w:pPr>
        <w:pStyle w:val="BodyTextIndent2"/>
        <w:ind w:left="0"/>
        <w:rPr>
          <w:rFonts w:ascii="Arial" w:hAnsi="Arial" w:cs="Arial"/>
          <w:sz w:val="20"/>
        </w:rPr>
      </w:pPr>
      <w:r w:rsidRPr="005021BC">
        <w:rPr>
          <w:rFonts w:ascii="Arial" w:hAnsi="Arial" w:cs="Arial"/>
          <w:sz w:val="20"/>
        </w:rPr>
        <w:t xml:space="preserve">The DSMore Michigan Database of Energy Efficiency Measures performed engineering calculations using standard standby equipment wattages for typical computer and TV systems and idle times. This commercial protocol will use the computer system assumptions except it will utilize a lower idle time for commercial office use. </w:t>
      </w:r>
    </w:p>
    <w:p w:rsidR="00AA3D6E" w:rsidRPr="005021BC" w:rsidRDefault="00AA3D6E" w:rsidP="00AA3D6E">
      <w:pPr>
        <w:pStyle w:val="BodyTextIndent2"/>
        <w:ind w:left="0"/>
        <w:rPr>
          <w:rFonts w:ascii="Arial" w:hAnsi="Arial" w:cs="Arial"/>
          <w:sz w:val="20"/>
        </w:rPr>
      </w:pPr>
      <w:r w:rsidRPr="005021BC">
        <w:rPr>
          <w:rFonts w:ascii="Arial" w:hAnsi="Arial" w:cs="Arial"/>
          <w:sz w:val="20"/>
        </w:rPr>
        <w:t>The computer system usage is assumed to be 10 hours per day for 5 workdays per week. The average daily idle time including the weekend (2 days of 100% idle) is calculated as follows:</w:t>
      </w:r>
    </w:p>
    <w:p w:rsidR="00AA3D6E" w:rsidRPr="005021BC" w:rsidRDefault="00AA3D6E" w:rsidP="00AA3D6E">
      <w:pPr>
        <w:pStyle w:val="BodyTextIndent2"/>
        <w:ind w:left="0"/>
        <w:rPr>
          <w:rFonts w:ascii="Arial" w:hAnsi="Arial" w:cs="Arial"/>
          <w:i/>
          <w:sz w:val="20"/>
        </w:rPr>
      </w:pPr>
      <w:r w:rsidRPr="005021BC">
        <w:rPr>
          <w:rFonts w:ascii="Arial" w:hAnsi="Arial" w:cs="Arial"/>
          <w:i/>
          <w:sz w:val="20"/>
        </w:rPr>
        <w:t>(Hours per week – (Workdays x daily computer usage))/days per week = average daily commercial computer system idle time</w:t>
      </w:r>
    </w:p>
    <w:p w:rsidR="00AA3D6E" w:rsidRPr="005021BC" w:rsidRDefault="00AA3D6E" w:rsidP="00AA3D6E">
      <w:pPr>
        <w:pStyle w:val="BodyTextIndent2"/>
        <w:ind w:left="0"/>
        <w:rPr>
          <w:rFonts w:ascii="Arial" w:hAnsi="Arial" w:cs="Arial"/>
          <w:i/>
          <w:sz w:val="20"/>
        </w:rPr>
      </w:pPr>
      <w:r w:rsidRPr="005021BC">
        <w:rPr>
          <w:rFonts w:ascii="Arial" w:hAnsi="Arial" w:cs="Arial"/>
          <w:i/>
          <w:sz w:val="20"/>
        </w:rPr>
        <w:t>(168 hours – (5 x 10 hours))/7 days = 16.86 hours</w:t>
      </w:r>
    </w:p>
    <w:p w:rsidR="00AA3D6E" w:rsidRPr="005021BC" w:rsidRDefault="00AA3D6E" w:rsidP="00AA3D6E">
      <w:pPr>
        <w:pStyle w:val="BodyTextIndent2"/>
        <w:ind w:left="0"/>
        <w:rPr>
          <w:rFonts w:ascii="Arial" w:hAnsi="Arial" w:cs="Arial"/>
          <w:sz w:val="20"/>
        </w:rPr>
      </w:pPr>
      <w:r w:rsidRPr="005021BC">
        <w:rPr>
          <w:rFonts w:ascii="Arial" w:hAnsi="Arial" w:cs="Arial"/>
          <w:sz w:val="20"/>
        </w:rPr>
        <w:t xml:space="preserve"> The energy savings and demand reduction were obtained through the following calculations:</w:t>
      </w:r>
    </w:p>
    <w:p w:rsidR="00AA3D6E" w:rsidRPr="003C7C58" w:rsidRDefault="003C7C58" w:rsidP="00AA3D6E">
      <w:pPr>
        <w:rPr>
          <w:rFonts w:cs="Arial"/>
          <w:b/>
        </w:rPr>
      </w:pPr>
      <m:oMathPara>
        <m:oMathParaPr>
          <m:jc m:val="left"/>
        </m:oMathParaPr>
        <m:oMath>
          <m:r>
            <w:rPr>
              <w:rFonts w:ascii="Cambria Math" w:hAnsi="Cambria Math" w:cs="Arial"/>
              <w:i/>
            </w:rPr>
            <w:sym w:font="Symbol" w:char="F044"/>
          </m:r>
          <m:r>
            <w:rPr>
              <w:rFonts w:ascii="Cambria Math" w:hAnsi="Cambria Math" w:cs="Arial"/>
            </w:rPr>
            <m:t>kWh</m:t>
          </m:r>
          <m:r>
            <m:rPr>
              <m:sty m:val="p"/>
            </m:rPr>
            <w:rPr>
              <w:rFonts w:ascii="Cambria Math" w:hAnsi="Cambria Math" w:cs="Arial"/>
            </w:rPr>
            <m:t xml:space="preserve">                          </m:t>
          </m:r>
          <m:r>
            <w:rPr>
              <w:rFonts w:asci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kW</m:t>
                  </m:r>
                </m:e>
                <m:sub>
                  <m:r>
                    <w:rPr>
                      <w:rFonts w:ascii="Cambria Math" w:hAnsi="Cambria Math" w:cs="Arial"/>
                    </w:rPr>
                    <m:t>comp</m:t>
                  </m:r>
                </m:sub>
              </m:sSub>
              <m:r>
                <w:rPr>
                  <w:rFonts w:ascii="Cambria Math" w:cs="Arial"/>
                </w:rPr>
                <m:t>×</m:t>
              </m:r>
              <m:sSub>
                <m:sSubPr>
                  <m:ctrlPr>
                    <w:rPr>
                      <w:rFonts w:ascii="Cambria Math" w:hAnsi="Cambria Math" w:cs="Arial"/>
                      <w:i/>
                    </w:rPr>
                  </m:ctrlPr>
                </m:sSubPr>
                <m:e>
                  <m:r>
                    <w:rPr>
                      <w:rFonts w:ascii="Cambria Math" w:hAnsi="Cambria Math" w:cs="Arial"/>
                    </w:rPr>
                    <m:t>Hr</m:t>
                  </m:r>
                </m:e>
                <m:sub>
                  <m:r>
                    <w:rPr>
                      <w:rFonts w:ascii="Cambria Math" w:hAnsi="Cambria Math" w:cs="Arial"/>
                    </w:rPr>
                    <m:t>comp</m:t>
                  </m:r>
                </m:sub>
              </m:sSub>
            </m:e>
          </m:d>
          <m:r>
            <w:rPr>
              <w:rFonts w:ascii="Cambria Math" w:cs="Arial"/>
            </w:rPr>
            <m:t>×</m:t>
          </m:r>
          <m:r>
            <w:rPr>
              <w:rFonts w:ascii="Cambria Math" w:cs="Arial"/>
            </w:rPr>
            <m:t>365=</m:t>
          </m:r>
          <m:r>
            <m:rPr>
              <m:sty m:val="bi"/>
            </m:rPr>
            <w:rPr>
              <w:rFonts w:ascii="Cambria Math" w:hAnsi="Cambria Math" w:cs="Arial"/>
            </w:rPr>
            <m:t>123</m:t>
          </m:r>
          <m:r>
            <m:rPr>
              <m:sty m:val="bi"/>
            </m:rPr>
            <w:rPr>
              <w:rFonts w:ascii="Cambria Math" w:cs="Arial"/>
            </w:rPr>
            <m:t>.</m:t>
          </m:r>
          <m:r>
            <m:rPr>
              <m:sty m:val="bi"/>
            </m:rPr>
            <w:rPr>
              <w:rFonts w:ascii="Cambria Math" w:hAnsi="Cambria Math" w:cs="Arial"/>
            </w:rPr>
            <m:t>69</m:t>
          </m:r>
          <m:r>
            <m:rPr>
              <m:sty m:val="bi"/>
            </m:rPr>
            <w:rPr>
              <w:rFonts w:ascii="Cambria Math" w:hAnsi="Cambria Math" w:cs="Arial"/>
            </w:rPr>
            <m:t>kWh</m:t>
          </m:r>
          <m:r>
            <m:rPr>
              <m:sty m:val="bi"/>
            </m:rPr>
            <w:rPr>
              <w:rFonts w:ascii="Cambria Math" w:cs="Arial"/>
            </w:rPr>
            <m:t xml:space="preserve"> (</m:t>
          </m:r>
          <m:r>
            <m:rPr>
              <m:sty m:val="bi"/>
            </m:rPr>
            <w:rPr>
              <w:rFonts w:ascii="Cambria Math" w:hAnsi="Cambria Math" w:cs="Arial"/>
            </w:rPr>
            <m:t>rounded</m:t>
          </m:r>
          <m:r>
            <m:rPr>
              <m:sty m:val="bi"/>
            </m:rPr>
            <w:rPr>
              <w:rFonts w:ascii="Cambria Math" w:cs="Arial"/>
            </w:rPr>
            <m:t xml:space="preserve"> </m:t>
          </m:r>
          <m:r>
            <m:rPr>
              <m:sty m:val="bi"/>
            </m:rPr>
            <w:rPr>
              <w:rFonts w:ascii="Cambria Math" w:hAnsi="Cambria Math" w:cs="Arial"/>
            </w:rPr>
            <m:t>to</m:t>
          </m:r>
          <m:r>
            <m:rPr>
              <m:sty m:val="bi"/>
            </m:rPr>
            <w:rPr>
              <w:rFonts w:ascii="Cambria Math" w:cs="Arial"/>
            </w:rPr>
            <m:t xml:space="preserve"> </m:t>
          </m:r>
          <m:r>
            <m:rPr>
              <m:sty m:val="bi"/>
            </m:rPr>
            <w:rPr>
              <w:rFonts w:ascii="Cambria Math" w:hAnsi="Cambria Math" w:cs="Arial"/>
            </w:rPr>
            <m:t>124</m:t>
          </m:r>
          <m:r>
            <m:rPr>
              <m:sty m:val="bi"/>
            </m:rPr>
            <w:rPr>
              <w:rFonts w:ascii="Cambria Math" w:hAnsi="Cambria Math" w:cs="Arial"/>
            </w:rPr>
            <m:t>kWh</m:t>
          </m:r>
          <m:r>
            <m:rPr>
              <m:sty m:val="bi"/>
            </m:rPr>
            <w:rPr>
              <w:rFonts w:ascii="Cambria Math" w:cs="Arial"/>
            </w:rPr>
            <m:t>)</m:t>
          </m:r>
        </m:oMath>
      </m:oMathPara>
    </w:p>
    <w:p w:rsidR="00AA3D6E" w:rsidRPr="003C7C58" w:rsidRDefault="003C7C58" w:rsidP="00AA3D6E">
      <w:pPr>
        <w:rPr>
          <w:rFonts w:cs="Arial"/>
        </w:rPr>
      </w:pPr>
      <m:oMathPara>
        <m:oMathParaPr>
          <m:jc m:val="left"/>
        </m:oMathParaPr>
        <m:oMath>
          <m:r>
            <w:rPr>
              <w:rFonts w:ascii="Cambria Math" w:hAnsi="Cambria Math" w:cs="Arial"/>
              <w:i/>
            </w:rPr>
            <w:sym w:font="Symbol" w:char="F044"/>
          </m:r>
          <m:r>
            <w:rPr>
              <w:rFonts w:ascii="Cambria Math" w:hAnsi="Cambria Math" w:cs="Arial"/>
            </w:rPr>
            <m:t>kW</m:t>
          </m:r>
          <m:r>
            <w:rPr>
              <w:rFonts w:ascii="Cambria Math" w:hAnsi="Cambria Math" w:cs="Arial"/>
              <w:vertAlign w:val="subscript"/>
            </w:rPr>
            <m:t xml:space="preserve">peak                   </m:t>
          </m:r>
          <m:r>
            <w:rPr>
              <w:rFonts w:ascii="Cambria Math" w:cs="Arial"/>
            </w:rPr>
            <m:t>=</m:t>
          </m:r>
          <m:r>
            <w:rPr>
              <w:rFonts w:ascii="Cambria Math" w:hAnsi="Cambria Math" w:cs="Arial"/>
            </w:rPr>
            <m:t>CF</m:t>
          </m:r>
          <m:r>
            <w:rPr>
              <w:rFonts w:ascii="Cambria Math" w:cs="Arial"/>
            </w:rPr>
            <m:t>×</m:t>
          </m:r>
          <m:sSub>
            <m:sSubPr>
              <m:ctrlPr>
                <w:rPr>
                  <w:rFonts w:ascii="Cambria Math" w:hAnsi="Cambria Math" w:cs="Arial"/>
                  <w:i/>
                </w:rPr>
              </m:ctrlPr>
            </m:sSubPr>
            <m:e>
              <m:r>
                <w:rPr>
                  <w:rFonts w:ascii="Cambria Math" w:hAnsi="Cambria Math" w:cs="Arial"/>
                </w:rPr>
                <m:t>kW</m:t>
              </m:r>
            </m:e>
            <m:sub>
              <m:r>
                <w:rPr>
                  <w:rFonts w:ascii="Cambria Math" w:hAnsi="Cambria Math" w:cs="Arial"/>
                </w:rPr>
                <m:t>comp</m:t>
              </m:r>
            </m:sub>
          </m:sSub>
          <m:r>
            <w:rPr>
              <w:rFonts w:ascii="Cambria Math" w:cs="Arial"/>
            </w:rPr>
            <m:t>=</m:t>
          </m:r>
          <m:r>
            <m:rPr>
              <m:sty m:val="bi"/>
            </m:rPr>
            <w:rPr>
              <w:rFonts w:ascii="Cambria Math" w:hAnsi="Cambria Math" w:cs="Arial"/>
            </w:rPr>
            <m:t>0</m:t>
          </m:r>
          <m:r>
            <m:rPr>
              <m:sty m:val="bi"/>
            </m:rPr>
            <w:rPr>
              <w:rFonts w:ascii="Cambria Math" w:cs="Arial"/>
            </w:rPr>
            <m:t>.</m:t>
          </m:r>
          <m:r>
            <m:rPr>
              <m:sty m:val="bi"/>
            </m:rPr>
            <w:rPr>
              <w:rFonts w:ascii="Cambria Math" w:hAnsi="Cambria Math" w:cs="Arial"/>
            </w:rPr>
            <m:t>0101</m:t>
          </m:r>
          <m:r>
            <m:rPr>
              <m:sty m:val="bi"/>
            </m:rPr>
            <w:rPr>
              <w:rFonts w:ascii="Cambria Math" w:cs="Arial"/>
            </w:rPr>
            <m:t xml:space="preserve"> </m:t>
          </m:r>
          <m:r>
            <m:rPr>
              <m:sty m:val="bi"/>
            </m:rPr>
            <w:rPr>
              <w:rFonts w:ascii="Cambria Math" w:hAnsi="Cambria Math" w:cs="Arial"/>
            </w:rPr>
            <m:t>kW</m:t>
          </m:r>
        </m:oMath>
      </m:oMathPara>
    </w:p>
    <w:p w:rsidR="00AA3D6E" w:rsidRPr="00461863" w:rsidRDefault="00AA3D6E" w:rsidP="00871FA2">
      <w:pPr>
        <w:pStyle w:val="Heading3"/>
      </w:pPr>
      <w:r w:rsidRPr="00461863">
        <w:t xml:space="preserve">Definition of </w:t>
      </w:r>
      <w:r>
        <w:t>Terms</w:t>
      </w:r>
    </w:p>
    <w:p w:rsidR="00AA3D6E" w:rsidRPr="00461863" w:rsidRDefault="00AA3D6E" w:rsidP="00AA3D6E">
      <w:pPr>
        <w:tabs>
          <w:tab w:val="left" w:pos="720"/>
        </w:tabs>
        <w:spacing w:before="240"/>
        <w:jc w:val="both"/>
        <w:rPr>
          <w:rFonts w:cs="Arial"/>
        </w:rPr>
      </w:pPr>
      <w:r w:rsidRPr="00461863">
        <w:rPr>
          <w:rFonts w:cs="Arial"/>
        </w:rPr>
        <w:t>The parameters in t</w:t>
      </w:r>
      <w:r>
        <w:rPr>
          <w:rFonts w:cs="Arial"/>
        </w:rPr>
        <w:t xml:space="preserve">he above equation are listed </w:t>
      </w:r>
      <w:r w:rsidRPr="00461863">
        <w:rPr>
          <w:rFonts w:cs="Arial"/>
        </w:rPr>
        <w:t>below.</w:t>
      </w:r>
    </w:p>
    <w:p w:rsidR="00AA3D6E" w:rsidRDefault="00AA3D6E" w:rsidP="00B20F6B">
      <w:pPr>
        <w:pStyle w:val="Caption"/>
      </w:pPr>
      <w:bookmarkStart w:id="940" w:name="_Toc310875599"/>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47</w:t>
      </w:r>
      <w:r w:rsidR="00274AB1">
        <w:rPr>
          <w:noProof/>
        </w:rPr>
        <w:fldChar w:fldCharType="end"/>
      </w:r>
      <w:r>
        <w:t>: Smart Strip Calculation Assumptions</w:t>
      </w:r>
      <w:bookmarkEnd w:id="940"/>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8"/>
        <w:gridCol w:w="3996"/>
        <w:gridCol w:w="896"/>
        <w:gridCol w:w="1340"/>
        <w:gridCol w:w="1150"/>
      </w:tblGrid>
      <w:tr w:rsidR="00AA3D6E" w:rsidRPr="00AA3D6E" w:rsidTr="00F84A22">
        <w:trPr>
          <w:trHeight w:val="288"/>
        </w:trPr>
        <w:tc>
          <w:tcPr>
            <w:tcW w:w="1258" w:type="dxa"/>
            <w:shd w:val="clear" w:color="auto" w:fill="BFBFBF"/>
            <w:vAlign w:val="center"/>
          </w:tcPr>
          <w:p w:rsidR="00AA3D6E" w:rsidRPr="00AA3D6E" w:rsidRDefault="00AA3D6E" w:rsidP="00C3606E">
            <w:pPr>
              <w:tabs>
                <w:tab w:val="left" w:pos="720"/>
              </w:tabs>
              <w:spacing w:before="60" w:after="60"/>
              <w:jc w:val="center"/>
              <w:rPr>
                <w:rFonts w:cs="Arial"/>
                <w:b/>
                <w:sz w:val="18"/>
                <w:szCs w:val="18"/>
              </w:rPr>
            </w:pPr>
            <w:r w:rsidRPr="00AA3D6E">
              <w:rPr>
                <w:rFonts w:cs="Arial"/>
                <w:b/>
                <w:sz w:val="18"/>
                <w:szCs w:val="18"/>
              </w:rPr>
              <w:t>Parameter</w:t>
            </w:r>
          </w:p>
        </w:tc>
        <w:tc>
          <w:tcPr>
            <w:tcW w:w="3996" w:type="dxa"/>
            <w:shd w:val="clear" w:color="auto" w:fill="BFBFBF"/>
            <w:vAlign w:val="center"/>
          </w:tcPr>
          <w:p w:rsidR="00AA3D6E" w:rsidRPr="00AA3D6E" w:rsidRDefault="00AA3D6E" w:rsidP="00C3606E">
            <w:pPr>
              <w:tabs>
                <w:tab w:val="left" w:pos="720"/>
              </w:tabs>
              <w:spacing w:before="60" w:after="60"/>
              <w:jc w:val="center"/>
              <w:rPr>
                <w:rFonts w:cs="Arial"/>
                <w:b/>
                <w:sz w:val="18"/>
                <w:szCs w:val="18"/>
              </w:rPr>
            </w:pPr>
            <w:r w:rsidRPr="00AA3D6E">
              <w:rPr>
                <w:rFonts w:cs="Arial"/>
                <w:b/>
                <w:sz w:val="18"/>
                <w:szCs w:val="18"/>
              </w:rPr>
              <w:t>Component</w:t>
            </w:r>
          </w:p>
        </w:tc>
        <w:tc>
          <w:tcPr>
            <w:tcW w:w="896" w:type="dxa"/>
            <w:shd w:val="clear" w:color="auto" w:fill="BFBFBF"/>
            <w:vAlign w:val="center"/>
          </w:tcPr>
          <w:p w:rsidR="00AA3D6E" w:rsidRPr="00AA3D6E" w:rsidRDefault="00AA3D6E" w:rsidP="00C3606E">
            <w:pPr>
              <w:tabs>
                <w:tab w:val="left" w:pos="720"/>
              </w:tabs>
              <w:spacing w:before="60" w:after="60"/>
              <w:jc w:val="center"/>
              <w:rPr>
                <w:rFonts w:cs="Arial"/>
                <w:b/>
                <w:sz w:val="18"/>
                <w:szCs w:val="18"/>
              </w:rPr>
            </w:pPr>
            <w:r w:rsidRPr="00AA3D6E">
              <w:rPr>
                <w:rFonts w:cs="Arial"/>
                <w:b/>
                <w:sz w:val="18"/>
                <w:szCs w:val="18"/>
              </w:rPr>
              <w:t>Type</w:t>
            </w:r>
          </w:p>
        </w:tc>
        <w:tc>
          <w:tcPr>
            <w:tcW w:w="1340" w:type="dxa"/>
            <w:shd w:val="clear" w:color="auto" w:fill="BFBFBF"/>
            <w:vAlign w:val="center"/>
          </w:tcPr>
          <w:p w:rsidR="00AA3D6E" w:rsidRPr="00AA3D6E" w:rsidRDefault="00AA3D6E" w:rsidP="00C3606E">
            <w:pPr>
              <w:tabs>
                <w:tab w:val="left" w:pos="720"/>
              </w:tabs>
              <w:spacing w:before="60" w:after="60"/>
              <w:jc w:val="center"/>
              <w:rPr>
                <w:rFonts w:cs="Arial"/>
                <w:b/>
                <w:sz w:val="18"/>
                <w:szCs w:val="18"/>
              </w:rPr>
            </w:pPr>
            <w:r w:rsidRPr="00AA3D6E">
              <w:rPr>
                <w:rFonts w:cs="Arial"/>
                <w:b/>
                <w:sz w:val="18"/>
                <w:szCs w:val="18"/>
              </w:rPr>
              <w:t>Value</w:t>
            </w:r>
          </w:p>
        </w:tc>
        <w:tc>
          <w:tcPr>
            <w:tcW w:w="1150" w:type="dxa"/>
            <w:shd w:val="clear" w:color="auto" w:fill="BFBFBF"/>
          </w:tcPr>
          <w:p w:rsidR="00AA3D6E" w:rsidRPr="00AA3D6E" w:rsidRDefault="00AA3D6E" w:rsidP="00C3606E">
            <w:pPr>
              <w:tabs>
                <w:tab w:val="left" w:pos="720"/>
              </w:tabs>
              <w:spacing w:before="60" w:after="60"/>
              <w:jc w:val="center"/>
              <w:rPr>
                <w:rFonts w:cs="Arial"/>
                <w:b/>
                <w:sz w:val="18"/>
                <w:szCs w:val="18"/>
              </w:rPr>
            </w:pPr>
            <w:r w:rsidRPr="00AA3D6E">
              <w:rPr>
                <w:rFonts w:cs="Arial"/>
                <w:b/>
                <w:sz w:val="18"/>
                <w:szCs w:val="18"/>
              </w:rPr>
              <w:t xml:space="preserve">Source     </w:t>
            </w:r>
          </w:p>
        </w:tc>
      </w:tr>
      <w:tr w:rsidR="00AA3D6E" w:rsidRPr="00AA3D6E" w:rsidTr="00AA3D6E">
        <w:trPr>
          <w:trHeight w:val="288"/>
        </w:trPr>
        <w:tc>
          <w:tcPr>
            <w:tcW w:w="1258" w:type="dxa"/>
            <w:vAlign w:val="center"/>
          </w:tcPr>
          <w:p w:rsidR="00AA3D6E" w:rsidRPr="00AA3D6E" w:rsidRDefault="00AA3D6E" w:rsidP="00C3606E">
            <w:pPr>
              <w:tabs>
                <w:tab w:val="left" w:pos="720"/>
              </w:tabs>
              <w:spacing w:before="60" w:after="60"/>
              <w:jc w:val="center"/>
              <w:rPr>
                <w:rFonts w:cs="Arial"/>
                <w:sz w:val="18"/>
                <w:szCs w:val="18"/>
                <w:vertAlign w:val="subscript"/>
              </w:rPr>
            </w:pPr>
            <w:r w:rsidRPr="00AA3D6E">
              <w:rPr>
                <w:rFonts w:cs="Arial"/>
                <w:sz w:val="18"/>
                <w:szCs w:val="18"/>
              </w:rPr>
              <w:t>kW</w:t>
            </w:r>
            <w:r w:rsidRPr="00AA3D6E">
              <w:rPr>
                <w:rFonts w:cs="Arial"/>
                <w:sz w:val="18"/>
                <w:szCs w:val="18"/>
                <w:vertAlign w:val="subscript"/>
              </w:rPr>
              <w:t>comp</w:t>
            </w:r>
          </w:p>
        </w:tc>
        <w:tc>
          <w:tcPr>
            <w:tcW w:w="3996" w:type="dxa"/>
            <w:vAlign w:val="center"/>
          </w:tcPr>
          <w:p w:rsidR="00AA3D6E" w:rsidRPr="00AA3D6E" w:rsidRDefault="00AA3D6E" w:rsidP="00C3606E">
            <w:pPr>
              <w:tabs>
                <w:tab w:val="left" w:pos="720"/>
              </w:tabs>
              <w:spacing w:before="60" w:after="60"/>
              <w:jc w:val="center"/>
              <w:rPr>
                <w:rFonts w:cs="Arial"/>
                <w:sz w:val="18"/>
                <w:szCs w:val="18"/>
              </w:rPr>
            </w:pPr>
            <w:r w:rsidRPr="00AA3D6E">
              <w:rPr>
                <w:rFonts w:cs="Arial"/>
                <w:sz w:val="18"/>
                <w:szCs w:val="18"/>
              </w:rPr>
              <w:t>Idle kW of computer system</w:t>
            </w:r>
          </w:p>
        </w:tc>
        <w:tc>
          <w:tcPr>
            <w:tcW w:w="896" w:type="dxa"/>
            <w:vAlign w:val="center"/>
          </w:tcPr>
          <w:p w:rsidR="00AA3D6E" w:rsidRPr="00AA3D6E" w:rsidRDefault="00AA3D6E" w:rsidP="00C3606E">
            <w:pPr>
              <w:tabs>
                <w:tab w:val="left" w:pos="720"/>
              </w:tabs>
              <w:spacing w:before="60" w:after="60"/>
              <w:jc w:val="center"/>
              <w:rPr>
                <w:rFonts w:cs="Arial"/>
                <w:sz w:val="18"/>
                <w:szCs w:val="18"/>
              </w:rPr>
            </w:pPr>
            <w:r w:rsidRPr="00AA3D6E">
              <w:rPr>
                <w:rFonts w:cs="Arial"/>
                <w:sz w:val="18"/>
                <w:szCs w:val="18"/>
              </w:rPr>
              <w:t>Fixed</w:t>
            </w:r>
          </w:p>
        </w:tc>
        <w:tc>
          <w:tcPr>
            <w:tcW w:w="1340" w:type="dxa"/>
            <w:vAlign w:val="center"/>
          </w:tcPr>
          <w:p w:rsidR="00AA3D6E" w:rsidRPr="00AA3D6E" w:rsidRDefault="00AA3D6E" w:rsidP="00C3606E">
            <w:pPr>
              <w:tabs>
                <w:tab w:val="left" w:pos="720"/>
              </w:tabs>
              <w:spacing w:before="60" w:after="60"/>
              <w:jc w:val="center"/>
              <w:rPr>
                <w:rFonts w:cs="Arial"/>
                <w:sz w:val="18"/>
                <w:szCs w:val="18"/>
              </w:rPr>
            </w:pPr>
            <w:r w:rsidRPr="00AA3D6E">
              <w:rPr>
                <w:rFonts w:cs="Arial"/>
                <w:sz w:val="18"/>
                <w:szCs w:val="18"/>
              </w:rPr>
              <w:t>0.0201</w:t>
            </w:r>
          </w:p>
        </w:tc>
        <w:tc>
          <w:tcPr>
            <w:tcW w:w="1150" w:type="dxa"/>
          </w:tcPr>
          <w:p w:rsidR="00AA3D6E" w:rsidRPr="00AA3D6E" w:rsidRDefault="00AA3D6E" w:rsidP="00C3606E">
            <w:pPr>
              <w:tabs>
                <w:tab w:val="left" w:pos="720"/>
              </w:tabs>
              <w:spacing w:before="60" w:after="60"/>
              <w:jc w:val="center"/>
              <w:rPr>
                <w:rFonts w:cs="Arial"/>
                <w:sz w:val="18"/>
                <w:szCs w:val="18"/>
              </w:rPr>
            </w:pPr>
            <w:r w:rsidRPr="00AA3D6E">
              <w:rPr>
                <w:rFonts w:cs="Arial"/>
                <w:sz w:val="18"/>
                <w:szCs w:val="18"/>
              </w:rPr>
              <w:t>1</w:t>
            </w:r>
          </w:p>
        </w:tc>
      </w:tr>
      <w:tr w:rsidR="00AA3D6E" w:rsidRPr="00AA3D6E" w:rsidTr="00AA3D6E">
        <w:trPr>
          <w:trHeight w:val="288"/>
        </w:trPr>
        <w:tc>
          <w:tcPr>
            <w:tcW w:w="1258" w:type="dxa"/>
            <w:vAlign w:val="center"/>
          </w:tcPr>
          <w:p w:rsidR="00AA3D6E" w:rsidRPr="00AA3D6E" w:rsidRDefault="00AA3D6E" w:rsidP="00C3606E">
            <w:pPr>
              <w:tabs>
                <w:tab w:val="left" w:pos="720"/>
              </w:tabs>
              <w:spacing w:before="60" w:after="60"/>
              <w:jc w:val="center"/>
              <w:rPr>
                <w:rFonts w:cs="Arial"/>
                <w:sz w:val="18"/>
                <w:szCs w:val="18"/>
                <w:vertAlign w:val="subscript"/>
              </w:rPr>
            </w:pPr>
            <w:r w:rsidRPr="00AA3D6E">
              <w:rPr>
                <w:rFonts w:cs="Arial"/>
                <w:sz w:val="18"/>
                <w:szCs w:val="18"/>
              </w:rPr>
              <w:t>Hr</w:t>
            </w:r>
            <w:r w:rsidRPr="00AA3D6E">
              <w:rPr>
                <w:rFonts w:cs="Arial"/>
                <w:sz w:val="18"/>
                <w:szCs w:val="18"/>
                <w:vertAlign w:val="subscript"/>
              </w:rPr>
              <w:t>comp</w:t>
            </w:r>
          </w:p>
        </w:tc>
        <w:tc>
          <w:tcPr>
            <w:tcW w:w="3996" w:type="dxa"/>
            <w:vAlign w:val="center"/>
          </w:tcPr>
          <w:p w:rsidR="00AA3D6E" w:rsidRPr="00AA3D6E" w:rsidRDefault="00AA3D6E" w:rsidP="00C3606E">
            <w:pPr>
              <w:tabs>
                <w:tab w:val="left" w:pos="720"/>
              </w:tabs>
              <w:spacing w:before="60" w:after="60"/>
              <w:jc w:val="center"/>
              <w:rPr>
                <w:rFonts w:cs="Arial"/>
                <w:sz w:val="18"/>
                <w:szCs w:val="18"/>
              </w:rPr>
            </w:pPr>
            <w:r w:rsidRPr="00AA3D6E">
              <w:rPr>
                <w:rFonts w:cs="Arial"/>
                <w:sz w:val="18"/>
                <w:szCs w:val="18"/>
              </w:rPr>
              <w:t>Daily hours of computer idle time</w:t>
            </w:r>
          </w:p>
        </w:tc>
        <w:tc>
          <w:tcPr>
            <w:tcW w:w="896" w:type="dxa"/>
            <w:vAlign w:val="center"/>
          </w:tcPr>
          <w:p w:rsidR="00AA3D6E" w:rsidRPr="00AA3D6E" w:rsidRDefault="00AA3D6E" w:rsidP="00C3606E">
            <w:pPr>
              <w:tabs>
                <w:tab w:val="left" w:pos="720"/>
              </w:tabs>
              <w:spacing w:before="60" w:after="60"/>
              <w:jc w:val="center"/>
              <w:rPr>
                <w:rFonts w:cs="Arial"/>
                <w:sz w:val="18"/>
                <w:szCs w:val="18"/>
              </w:rPr>
            </w:pPr>
            <w:r w:rsidRPr="00AA3D6E">
              <w:rPr>
                <w:rFonts w:cs="Arial"/>
                <w:sz w:val="18"/>
                <w:szCs w:val="18"/>
              </w:rPr>
              <w:t>Fixed</w:t>
            </w:r>
          </w:p>
        </w:tc>
        <w:tc>
          <w:tcPr>
            <w:tcW w:w="1340" w:type="dxa"/>
            <w:vAlign w:val="center"/>
          </w:tcPr>
          <w:p w:rsidR="00AA3D6E" w:rsidRPr="00AA3D6E" w:rsidRDefault="00AA3D6E" w:rsidP="00C3606E">
            <w:pPr>
              <w:tabs>
                <w:tab w:val="left" w:pos="720"/>
              </w:tabs>
              <w:spacing w:before="60" w:after="60"/>
              <w:jc w:val="center"/>
              <w:rPr>
                <w:rFonts w:cs="Arial"/>
                <w:sz w:val="18"/>
                <w:szCs w:val="18"/>
              </w:rPr>
            </w:pPr>
            <w:r w:rsidRPr="00AA3D6E">
              <w:rPr>
                <w:rFonts w:cs="Arial"/>
                <w:sz w:val="18"/>
                <w:szCs w:val="18"/>
              </w:rPr>
              <w:t>16.86</w:t>
            </w:r>
          </w:p>
        </w:tc>
        <w:tc>
          <w:tcPr>
            <w:tcW w:w="1150" w:type="dxa"/>
          </w:tcPr>
          <w:p w:rsidR="00AA3D6E" w:rsidRPr="00AA3D6E" w:rsidRDefault="00AA3D6E" w:rsidP="00C3606E">
            <w:pPr>
              <w:tabs>
                <w:tab w:val="left" w:pos="720"/>
              </w:tabs>
              <w:spacing w:before="60" w:after="60"/>
              <w:jc w:val="center"/>
              <w:rPr>
                <w:rFonts w:cs="Arial"/>
                <w:sz w:val="18"/>
                <w:szCs w:val="18"/>
              </w:rPr>
            </w:pPr>
            <w:r w:rsidRPr="00AA3D6E">
              <w:rPr>
                <w:rFonts w:cs="Arial"/>
                <w:sz w:val="18"/>
                <w:szCs w:val="18"/>
              </w:rPr>
              <w:t>1</w:t>
            </w:r>
          </w:p>
        </w:tc>
      </w:tr>
      <w:tr w:rsidR="00AA3D6E" w:rsidRPr="00AA3D6E" w:rsidTr="00AA3D6E">
        <w:trPr>
          <w:trHeight w:val="288"/>
        </w:trPr>
        <w:tc>
          <w:tcPr>
            <w:tcW w:w="1258" w:type="dxa"/>
            <w:vAlign w:val="center"/>
          </w:tcPr>
          <w:p w:rsidR="00AA3D6E" w:rsidRPr="00AA3D6E" w:rsidRDefault="00AA3D6E" w:rsidP="00C3606E">
            <w:pPr>
              <w:tabs>
                <w:tab w:val="left" w:pos="720"/>
              </w:tabs>
              <w:spacing w:before="60" w:after="60"/>
              <w:jc w:val="center"/>
              <w:rPr>
                <w:rFonts w:cs="Arial"/>
                <w:sz w:val="18"/>
                <w:szCs w:val="18"/>
              </w:rPr>
            </w:pPr>
            <w:r w:rsidRPr="00AA3D6E">
              <w:rPr>
                <w:rFonts w:cs="Arial"/>
                <w:sz w:val="18"/>
                <w:szCs w:val="18"/>
              </w:rPr>
              <w:t>CF</w:t>
            </w:r>
          </w:p>
        </w:tc>
        <w:tc>
          <w:tcPr>
            <w:tcW w:w="3996" w:type="dxa"/>
            <w:vAlign w:val="center"/>
          </w:tcPr>
          <w:p w:rsidR="00AA3D6E" w:rsidRPr="00AA3D6E" w:rsidRDefault="00AA3D6E" w:rsidP="00C3606E">
            <w:pPr>
              <w:tabs>
                <w:tab w:val="left" w:pos="720"/>
              </w:tabs>
              <w:spacing w:before="60" w:after="60"/>
              <w:jc w:val="center"/>
              <w:rPr>
                <w:rFonts w:cs="Arial"/>
                <w:sz w:val="18"/>
                <w:szCs w:val="18"/>
              </w:rPr>
            </w:pPr>
            <w:r w:rsidRPr="00AA3D6E">
              <w:rPr>
                <w:rFonts w:cs="Arial"/>
                <w:sz w:val="18"/>
                <w:szCs w:val="18"/>
              </w:rPr>
              <w:t>Coincidence Factor</w:t>
            </w:r>
          </w:p>
        </w:tc>
        <w:tc>
          <w:tcPr>
            <w:tcW w:w="896" w:type="dxa"/>
            <w:vAlign w:val="center"/>
          </w:tcPr>
          <w:p w:rsidR="00AA3D6E" w:rsidRPr="00AA3D6E" w:rsidRDefault="00AA3D6E" w:rsidP="00C3606E">
            <w:pPr>
              <w:tabs>
                <w:tab w:val="left" w:pos="720"/>
              </w:tabs>
              <w:spacing w:before="60" w:after="60"/>
              <w:jc w:val="center"/>
              <w:rPr>
                <w:rFonts w:cs="Arial"/>
                <w:sz w:val="18"/>
                <w:szCs w:val="18"/>
              </w:rPr>
            </w:pPr>
            <w:r w:rsidRPr="00AA3D6E">
              <w:rPr>
                <w:rFonts w:cs="Arial"/>
                <w:sz w:val="18"/>
                <w:szCs w:val="18"/>
              </w:rPr>
              <w:t>Fixed</w:t>
            </w:r>
          </w:p>
        </w:tc>
        <w:tc>
          <w:tcPr>
            <w:tcW w:w="1340" w:type="dxa"/>
            <w:vAlign w:val="center"/>
          </w:tcPr>
          <w:p w:rsidR="00AA3D6E" w:rsidRPr="00AA3D6E" w:rsidRDefault="00AA3D6E" w:rsidP="00C3606E">
            <w:pPr>
              <w:tabs>
                <w:tab w:val="left" w:pos="720"/>
              </w:tabs>
              <w:spacing w:before="60" w:after="60"/>
              <w:jc w:val="center"/>
              <w:rPr>
                <w:rFonts w:cs="Arial"/>
                <w:sz w:val="18"/>
                <w:szCs w:val="18"/>
              </w:rPr>
            </w:pPr>
            <w:r w:rsidRPr="00AA3D6E">
              <w:rPr>
                <w:rFonts w:cs="Arial"/>
                <w:sz w:val="18"/>
                <w:szCs w:val="18"/>
              </w:rPr>
              <w:t>0.50</w:t>
            </w:r>
          </w:p>
        </w:tc>
        <w:tc>
          <w:tcPr>
            <w:tcW w:w="1150" w:type="dxa"/>
          </w:tcPr>
          <w:p w:rsidR="00AA3D6E" w:rsidRPr="00AA3D6E" w:rsidRDefault="00AA3D6E" w:rsidP="00C3606E">
            <w:pPr>
              <w:tabs>
                <w:tab w:val="left" w:pos="720"/>
              </w:tabs>
              <w:spacing w:before="60" w:after="60"/>
              <w:jc w:val="center"/>
              <w:rPr>
                <w:rFonts w:cs="Arial"/>
                <w:sz w:val="18"/>
                <w:szCs w:val="18"/>
              </w:rPr>
            </w:pPr>
            <w:r w:rsidRPr="00AA3D6E">
              <w:rPr>
                <w:rFonts w:cs="Arial"/>
                <w:sz w:val="18"/>
                <w:szCs w:val="18"/>
              </w:rPr>
              <w:t>1</w:t>
            </w:r>
          </w:p>
        </w:tc>
      </w:tr>
    </w:tbl>
    <w:p w:rsidR="00C3606E" w:rsidRDefault="00C3606E" w:rsidP="00C3606E">
      <w:pPr>
        <w:rPr>
          <w:b/>
        </w:rPr>
      </w:pPr>
    </w:p>
    <w:p w:rsidR="00C3144A" w:rsidRPr="00BC5194" w:rsidRDefault="00C3144A" w:rsidP="00B20F6B">
      <w:pPr>
        <w:rPr>
          <w:b/>
        </w:rPr>
      </w:pPr>
      <w:r w:rsidRPr="00BC5194">
        <w:rPr>
          <w:b/>
        </w:rPr>
        <w:t>Sources:</w:t>
      </w:r>
    </w:p>
    <w:p w:rsidR="00C3144A" w:rsidRPr="00C3144A" w:rsidRDefault="00C3144A" w:rsidP="0005632A">
      <w:pPr>
        <w:pStyle w:val="source1"/>
        <w:numPr>
          <w:ilvl w:val="0"/>
          <w:numId w:val="63"/>
        </w:numPr>
      </w:pPr>
      <w:r w:rsidRPr="00AA3D6E">
        <w:t>DSMore Michigan Database of Energy Efficiency Measures</w:t>
      </w:r>
    </w:p>
    <w:p w:rsidR="00AA3D6E" w:rsidRPr="00461863" w:rsidRDefault="00AA3D6E" w:rsidP="00871FA2">
      <w:pPr>
        <w:pStyle w:val="Heading3"/>
      </w:pPr>
      <w:r w:rsidRPr="00461863">
        <w:lastRenderedPageBreak/>
        <w:t>Deemed Savings</w:t>
      </w:r>
    </w:p>
    <w:p w:rsidR="00C3144A" w:rsidRPr="005021BC" w:rsidRDefault="00C3144A" w:rsidP="00C3144A">
      <w:pPr>
        <w:pStyle w:val="Equation"/>
        <w:rPr>
          <w:rFonts w:cs="Arial"/>
          <w:szCs w:val="20"/>
        </w:rPr>
      </w:pPr>
      <w:r w:rsidRPr="005021BC">
        <w:rPr>
          <w:rFonts w:cs="Arial"/>
          <w:szCs w:val="20"/>
        </w:rPr>
        <w:sym w:font="Symbol" w:char="F044"/>
      </w:r>
      <w:r w:rsidRPr="005021BC">
        <w:rPr>
          <w:rFonts w:cs="Arial"/>
          <w:szCs w:val="20"/>
        </w:rPr>
        <w:t xml:space="preserve">kWh </w:t>
      </w:r>
      <w:r w:rsidRPr="005021BC">
        <w:rPr>
          <w:rFonts w:cs="Arial"/>
          <w:szCs w:val="20"/>
        </w:rPr>
        <w:tab/>
      </w:r>
      <w:r w:rsidRPr="005021BC">
        <w:rPr>
          <w:rFonts w:cs="Arial"/>
          <w:szCs w:val="20"/>
        </w:rPr>
        <w:tab/>
        <w:t>= 124 kWh</w:t>
      </w:r>
    </w:p>
    <w:p w:rsidR="00C3144A" w:rsidRPr="005021BC" w:rsidRDefault="00C3144A" w:rsidP="00C3144A">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Pr>
          <w:rFonts w:cs="Arial"/>
          <w:szCs w:val="20"/>
        </w:rPr>
        <w:t xml:space="preserve"> </w:t>
      </w:r>
      <w:r w:rsidRPr="005021BC">
        <w:rPr>
          <w:rFonts w:cs="Arial"/>
          <w:szCs w:val="20"/>
        </w:rPr>
        <w:tab/>
        <w:t>= 0.0101 kW</w:t>
      </w:r>
    </w:p>
    <w:p w:rsidR="00AA3D6E" w:rsidRPr="00461863" w:rsidRDefault="00AA3D6E" w:rsidP="00871FA2">
      <w:pPr>
        <w:pStyle w:val="Heading3"/>
      </w:pPr>
      <w:r w:rsidRPr="00461863">
        <w:t>Measure Life</w:t>
      </w:r>
    </w:p>
    <w:p w:rsidR="00AA3D6E" w:rsidRPr="00461863" w:rsidRDefault="00AA3D6E" w:rsidP="00AA3D6E">
      <w:pPr>
        <w:spacing w:before="120"/>
        <w:jc w:val="both"/>
        <w:rPr>
          <w:rFonts w:cs="Arial"/>
        </w:rPr>
      </w:pPr>
      <w:r w:rsidRPr="00461863">
        <w:rPr>
          <w:rFonts w:cs="Arial"/>
        </w:rPr>
        <w:t xml:space="preserve">To ensure consistency with the annual savings calculation procedure used in the DSMore MI database, the measure of </w:t>
      </w:r>
      <w:r w:rsidRPr="00461863">
        <w:rPr>
          <w:rFonts w:cs="Arial"/>
          <w:b/>
        </w:rPr>
        <w:t xml:space="preserve">5 years </w:t>
      </w:r>
      <w:r w:rsidRPr="00461863">
        <w:rPr>
          <w:rFonts w:cs="Arial"/>
        </w:rPr>
        <w:t>is taken from DSMore.</w:t>
      </w:r>
    </w:p>
    <w:p w:rsidR="00AA3D6E" w:rsidRPr="00461863" w:rsidRDefault="00AA3D6E" w:rsidP="00871FA2">
      <w:pPr>
        <w:pStyle w:val="Heading3"/>
      </w:pPr>
      <w:r w:rsidRPr="00461863">
        <w:t>Evaluation Protocols</w:t>
      </w:r>
    </w:p>
    <w:p w:rsidR="00AA3D6E" w:rsidRPr="00461863" w:rsidRDefault="00AA3D6E" w:rsidP="00AA3D6E">
      <w:pPr>
        <w:spacing w:before="120"/>
        <w:jc w:val="both"/>
        <w:rPr>
          <w:rFonts w:cs="Arial"/>
        </w:rPr>
      </w:pPr>
      <w:r w:rsidRPr="00461863">
        <w:rPr>
          <w:rFonts w:cs="Arial"/>
        </w:rPr>
        <w:t>The most appropriate evaluation protocol for this measure is verification of installation coupled with assignment of stipulated energy savings.</w:t>
      </w:r>
    </w:p>
    <w:p w:rsidR="00277FD6" w:rsidRDefault="00277FD6">
      <w:pPr>
        <w:overflowPunct/>
        <w:autoSpaceDE/>
        <w:autoSpaceDN/>
        <w:adjustRightInd/>
        <w:spacing w:after="0" w:line="240" w:lineRule="auto"/>
        <w:textAlignment w:val="auto"/>
      </w:pPr>
    </w:p>
    <w:p w:rsidR="00277FD6" w:rsidRPr="0068583D" w:rsidRDefault="00AA7749" w:rsidP="00E568D4">
      <w:pPr>
        <w:pStyle w:val="Heading2"/>
      </w:pPr>
      <w:r>
        <w:br w:type="page"/>
      </w:r>
      <w:bookmarkStart w:id="941" w:name="_Toc310875453"/>
      <w:r w:rsidR="00277FD6" w:rsidRPr="0068583D">
        <w:lastRenderedPageBreak/>
        <w:t>Beverage Machine Controls</w:t>
      </w:r>
      <w:bookmarkEnd w:id="941"/>
    </w:p>
    <w:p w:rsidR="00277FD6" w:rsidRPr="0068583D" w:rsidRDefault="00277FD6" w:rsidP="00277FD6">
      <w:pPr>
        <w:rPr>
          <w:rFonts w:cs="Arial"/>
        </w:rPr>
      </w:pPr>
      <w:r w:rsidRPr="0068583D">
        <w:rPr>
          <w:rFonts w:cs="Arial"/>
        </w:rPr>
        <w:t>This measure is intended for the addition of control systems to existing, non-ENERGY STAR, beverage vending machines.  The applicable machines contain refrigerated non-perishable beverages that are kept at an appropriate temperature.  The control systems are intended to reduce energy consumption due to lighting and refrigeration during times of lower customer sales.  Typical control systems contain a passive infrared occupancy sensor to shut down the machine after a period of inactivity in the area.  The compressor will power on one to three hour intervals sufficient to maintain beverage temperature, and when powered on at any time will be allowed to complete at least one cycle to prevent excessive wear and tear.</w:t>
      </w:r>
    </w:p>
    <w:p w:rsidR="00277FD6" w:rsidRPr="0068583D" w:rsidRDefault="00277FD6" w:rsidP="00277FD6">
      <w:pPr>
        <w:rPr>
          <w:rFonts w:cs="Arial"/>
        </w:rPr>
      </w:pPr>
      <w:r w:rsidRPr="0068583D">
        <w:rPr>
          <w:rFonts w:cs="Arial"/>
        </w:rPr>
        <w:t xml:space="preserve">The baseline equipment is taken to be an existing standard refrigerated beverage vending machine that does not contain control systems to shut down the refrigeration components and lighting during times of low customer use.    </w:t>
      </w:r>
    </w:p>
    <w:p w:rsidR="00277FD6" w:rsidRPr="0068583D" w:rsidRDefault="00277FD6" w:rsidP="00871FA2">
      <w:pPr>
        <w:pStyle w:val="Heading3"/>
      </w:pPr>
      <w:r w:rsidRPr="0068583D">
        <w:t>Algorithms</w:t>
      </w:r>
    </w:p>
    <w:p w:rsidR="00277FD6" w:rsidRPr="0068583D" w:rsidRDefault="00277FD6" w:rsidP="00277FD6">
      <w:pPr>
        <w:rPr>
          <w:rFonts w:cs="Arial"/>
        </w:rPr>
      </w:pPr>
      <w:r w:rsidRPr="0068583D">
        <w:rPr>
          <w:rFonts w:cs="Arial"/>
        </w:rPr>
        <w:t xml:space="preserve">Energy savings are dependent on decreased machine lighting and cooling loads during times of lower customer sales.  The savings will be dependent on the machine environment, noting that machines placed in locations such as a day-use office will result in greater savings than those placed in high-traffic areas such as hospitals that operate around the clock. The algorithm below </w:t>
      </w:r>
      <w:r>
        <w:rPr>
          <w:rFonts w:cs="Arial"/>
        </w:rPr>
        <w:t xml:space="preserve">takes into account varying scenarios and </w:t>
      </w:r>
      <w:r w:rsidRPr="0068583D">
        <w:rPr>
          <w:rFonts w:cs="Arial"/>
        </w:rPr>
        <w:t xml:space="preserve">can be taken as representative of a typical application. </w:t>
      </w:r>
    </w:p>
    <w:p w:rsidR="00277FD6" w:rsidRPr="005021BC" w:rsidRDefault="00277FD6" w:rsidP="00277FD6">
      <w:pPr>
        <w:pStyle w:val="Equation"/>
        <w:rPr>
          <w:rFonts w:cs="Arial"/>
          <w:szCs w:val="20"/>
        </w:rPr>
      </w:pPr>
      <w:r w:rsidRPr="005021BC">
        <w:rPr>
          <w:rFonts w:cs="Arial"/>
          <w:szCs w:val="20"/>
        </w:rPr>
        <w:sym w:font="Symbol" w:char="F044"/>
      </w:r>
      <w:r w:rsidRPr="005021BC">
        <w:rPr>
          <w:rFonts w:cs="Arial"/>
          <w:szCs w:val="20"/>
        </w:rPr>
        <w:t xml:space="preserve">kWh </w:t>
      </w:r>
      <w:r w:rsidRPr="005021BC">
        <w:rPr>
          <w:rFonts w:cs="Arial"/>
          <w:szCs w:val="20"/>
        </w:rPr>
        <w:tab/>
      </w:r>
      <w:r w:rsidRPr="005021BC">
        <w:rPr>
          <w:rFonts w:cs="Arial"/>
          <w:szCs w:val="20"/>
        </w:rPr>
        <w:tab/>
        <w:t>= kWh</w:t>
      </w:r>
      <w:r w:rsidRPr="005021BC">
        <w:rPr>
          <w:rFonts w:cs="Arial"/>
          <w:szCs w:val="20"/>
          <w:vertAlign w:val="subscript"/>
        </w:rPr>
        <w:t>base</w:t>
      </w:r>
      <w:r w:rsidRPr="005021BC">
        <w:rPr>
          <w:rFonts w:cs="Arial"/>
          <w:szCs w:val="20"/>
        </w:rPr>
        <w:t xml:space="preserve"> </w:t>
      </w:r>
      <w:r w:rsidR="00AA7749">
        <w:rPr>
          <w:rFonts w:cs="Arial"/>
          <w:szCs w:val="20"/>
        </w:rPr>
        <w:t>x</w:t>
      </w:r>
      <w:r w:rsidRPr="005021BC">
        <w:rPr>
          <w:rFonts w:cs="Arial"/>
          <w:szCs w:val="20"/>
        </w:rPr>
        <w:t xml:space="preserve"> E</w:t>
      </w:r>
    </w:p>
    <w:p w:rsidR="00277FD6" w:rsidRPr="005021BC" w:rsidRDefault="00277FD6" w:rsidP="00277FD6">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Pr>
          <w:rFonts w:cs="Arial"/>
          <w:szCs w:val="20"/>
          <w:vertAlign w:val="subscript"/>
        </w:rPr>
        <w:tab/>
      </w:r>
      <w:r w:rsidRPr="005021BC">
        <w:rPr>
          <w:rFonts w:cs="Arial"/>
          <w:szCs w:val="20"/>
        </w:rPr>
        <w:tab/>
        <w:t>= 0</w:t>
      </w:r>
    </w:p>
    <w:p w:rsidR="00277FD6" w:rsidRPr="0068583D" w:rsidRDefault="00277FD6" w:rsidP="00277FD6">
      <w:pPr>
        <w:rPr>
          <w:rFonts w:cs="Arial"/>
        </w:rPr>
      </w:pPr>
      <w:r w:rsidRPr="0068583D">
        <w:rPr>
          <w:rFonts w:cs="Arial"/>
        </w:rPr>
        <w:t xml:space="preserve">There are no peak demand savings because this measure is aimed to reduce demand during times of low beverage machine use, which will typically occur during off-peak hours. </w:t>
      </w:r>
    </w:p>
    <w:p w:rsidR="00277FD6" w:rsidRPr="0068583D" w:rsidRDefault="00277FD6" w:rsidP="00871FA2">
      <w:pPr>
        <w:pStyle w:val="Heading3"/>
      </w:pPr>
      <w:r w:rsidRPr="0068583D">
        <w:t>Definition of Terms</w:t>
      </w:r>
    </w:p>
    <w:p w:rsidR="00277FD6" w:rsidRPr="005021BC" w:rsidRDefault="00277FD6" w:rsidP="00277FD6">
      <w:pPr>
        <w:pStyle w:val="Equation"/>
        <w:rPr>
          <w:rFonts w:cs="Arial"/>
          <w:szCs w:val="20"/>
        </w:rPr>
      </w:pPr>
      <w:r w:rsidRPr="005021BC">
        <w:rPr>
          <w:rFonts w:cs="Arial"/>
          <w:szCs w:val="20"/>
        </w:rPr>
        <w:tab/>
        <w:t>kWh</w:t>
      </w:r>
      <w:r w:rsidRPr="005021BC">
        <w:rPr>
          <w:rFonts w:cs="Arial"/>
          <w:szCs w:val="20"/>
          <w:vertAlign w:val="subscript"/>
        </w:rPr>
        <w:t>base</w:t>
      </w:r>
      <w:r w:rsidRPr="005021BC">
        <w:rPr>
          <w:rFonts w:cs="Arial"/>
          <w:szCs w:val="20"/>
        </w:rPr>
        <w:t xml:space="preserve"> </w:t>
      </w:r>
      <w:r w:rsidRPr="005021BC">
        <w:rPr>
          <w:rFonts w:cs="Arial"/>
          <w:szCs w:val="20"/>
        </w:rPr>
        <w:tab/>
        <w:t>= baseline annual beverage machine energy consumption (kWh/year)</w:t>
      </w:r>
    </w:p>
    <w:p w:rsidR="00277FD6" w:rsidRPr="005021BC" w:rsidRDefault="00277FD6" w:rsidP="00277FD6">
      <w:pPr>
        <w:pStyle w:val="Equation"/>
        <w:rPr>
          <w:rFonts w:cs="Arial"/>
          <w:szCs w:val="20"/>
        </w:rPr>
      </w:pPr>
      <w:r w:rsidRPr="005021BC">
        <w:rPr>
          <w:rFonts w:cs="Arial"/>
          <w:szCs w:val="20"/>
        </w:rPr>
        <w:tab/>
        <w:t xml:space="preserve">E </w:t>
      </w:r>
      <w:r w:rsidRPr="005021BC">
        <w:rPr>
          <w:rFonts w:cs="Arial"/>
          <w:szCs w:val="20"/>
        </w:rPr>
        <w:tab/>
        <w:t xml:space="preserve">= efficiency factor due to control system, which represents percentage of energy reduction from baseline </w:t>
      </w:r>
    </w:p>
    <w:p w:rsidR="00277FD6" w:rsidRPr="0068583D" w:rsidRDefault="00277FD6" w:rsidP="00277FD6">
      <w:pPr>
        <w:spacing w:after="0" w:line="240" w:lineRule="auto"/>
        <w:rPr>
          <w:rFonts w:cs="Arial"/>
        </w:rPr>
      </w:pPr>
    </w:p>
    <w:p w:rsidR="00277FD6" w:rsidRPr="0068583D" w:rsidRDefault="00277FD6" w:rsidP="00871FA2">
      <w:pPr>
        <w:pStyle w:val="Heading3"/>
      </w:pPr>
      <w:r w:rsidRPr="0068583D">
        <w:t>Energy Savings Calculations</w:t>
      </w:r>
    </w:p>
    <w:p w:rsidR="00277FD6" w:rsidRPr="0068583D" w:rsidRDefault="00277FD6" w:rsidP="00277FD6">
      <w:pPr>
        <w:rPr>
          <w:rFonts w:cs="Arial"/>
        </w:rPr>
      </w:pPr>
      <w:r w:rsidRPr="0068583D">
        <w:rPr>
          <w:rFonts w:cs="Arial"/>
        </w:rPr>
        <w:t>The decrease in energy consumption due to the addition of a control system will depend on the number or hours per year during which lighting and refrigeration components of the beverage machine are powered down.  The average decrease in energy use from refrigerated beverage vending machines with control systems installed is 46%</w:t>
      </w:r>
      <w:r w:rsidRPr="0068583D">
        <w:rPr>
          <w:rStyle w:val="FootnoteReference"/>
          <w:rFonts w:cs="Arial"/>
        </w:rPr>
        <w:footnoteReference w:id="169"/>
      </w:r>
      <w:r w:rsidRPr="0068583D">
        <w:rPr>
          <w:rFonts w:cs="Arial"/>
          <w:vertAlign w:val="superscript"/>
        </w:rPr>
        <w:t>,</w:t>
      </w:r>
      <w:r w:rsidRPr="0068583D">
        <w:rPr>
          <w:rStyle w:val="FootnoteReference"/>
          <w:rFonts w:cs="Arial"/>
        </w:rPr>
        <w:footnoteReference w:id="170"/>
      </w:r>
      <w:r w:rsidRPr="0068583D">
        <w:rPr>
          <w:rFonts w:cs="Arial"/>
          <w:vertAlign w:val="superscript"/>
        </w:rPr>
        <w:t>,</w:t>
      </w:r>
      <w:r w:rsidRPr="0068583D">
        <w:rPr>
          <w:rStyle w:val="FootnoteReference"/>
          <w:rFonts w:cs="Arial"/>
        </w:rPr>
        <w:footnoteReference w:id="171"/>
      </w:r>
      <w:r w:rsidRPr="0068583D">
        <w:rPr>
          <w:rFonts w:cs="Arial"/>
          <w:vertAlign w:val="superscript"/>
        </w:rPr>
        <w:t>,</w:t>
      </w:r>
      <w:r w:rsidRPr="0068583D">
        <w:rPr>
          <w:rStyle w:val="FootnoteReference"/>
          <w:rFonts w:cs="Arial"/>
        </w:rPr>
        <w:footnoteReference w:id="172"/>
      </w:r>
      <w:r w:rsidRPr="0068583D">
        <w:rPr>
          <w:rFonts w:cs="Arial"/>
        </w:rPr>
        <w:t xml:space="preserve">.  It should be noted that </w:t>
      </w:r>
      <w:r w:rsidRPr="0068583D">
        <w:rPr>
          <w:rFonts w:cs="Arial"/>
        </w:rPr>
        <w:lastRenderedPageBreak/>
        <w:t xml:space="preserve">various studies found savings values ranging between 30-65%, most likely due to differences in customer occupation.  </w:t>
      </w:r>
    </w:p>
    <w:p w:rsidR="00277FD6" w:rsidRPr="0068583D" w:rsidRDefault="00277FD6" w:rsidP="00277FD6">
      <w:pPr>
        <w:rPr>
          <w:rFonts w:cs="Arial"/>
        </w:rPr>
      </w:pPr>
      <w:r w:rsidRPr="0068583D">
        <w:rPr>
          <w:rFonts w:cs="Arial"/>
        </w:rPr>
        <w:t xml:space="preserve">The default baseline energy consumption and default energy savings are shown in </w:t>
      </w:r>
      <w:r w:rsidR="00274AB1">
        <w:fldChar w:fldCharType="begin"/>
      </w:r>
      <w:r w:rsidR="00274AB1">
        <w:instrText xml:space="preserve"> REF _Ref271123746 \h  \* MERGEFORMAT </w:instrText>
      </w:r>
      <w:r w:rsidR="00274AB1">
        <w:fldChar w:fldCharType="separate"/>
      </w:r>
      <w:r w:rsidR="00C0292F" w:rsidRPr="00C0292F">
        <w:rPr>
          <w:rFonts w:cs="Arial"/>
        </w:rPr>
        <w:t xml:space="preserve">Table </w:t>
      </w:r>
      <w:r w:rsidR="00C0292F" w:rsidRPr="00C0292F">
        <w:rPr>
          <w:rFonts w:cs="Arial"/>
          <w:noProof/>
        </w:rPr>
        <w:t>3</w:t>
      </w:r>
      <w:r w:rsidR="00C0292F" w:rsidRPr="00C0292F">
        <w:rPr>
          <w:rFonts w:cs="Arial"/>
          <w:noProof/>
        </w:rPr>
        <w:noBreakHyphen/>
        <w:t>48</w:t>
      </w:r>
      <w:r w:rsidR="00274AB1">
        <w:fldChar w:fldCharType="end"/>
      </w:r>
      <w:r w:rsidRPr="0068583D">
        <w:rPr>
          <w:rFonts w:cs="Arial"/>
        </w:rPr>
        <w:t>.  The default energy savings were derived by applying a default efficiency factor of E</w:t>
      </w:r>
      <w:r w:rsidRPr="0068583D">
        <w:rPr>
          <w:rFonts w:cs="Arial"/>
          <w:vertAlign w:val="subscript"/>
        </w:rPr>
        <w:t>default</w:t>
      </w:r>
      <w:r w:rsidRPr="0068583D">
        <w:rPr>
          <w:rFonts w:cs="Arial"/>
        </w:rPr>
        <w:t xml:space="preserve"> = 46% to the energy savings algorithm above.  </w:t>
      </w:r>
      <w:bookmarkStart w:id="942" w:name="_Ref270584470"/>
      <w:r w:rsidRPr="0068583D">
        <w:rPr>
          <w:rFonts w:cs="Arial"/>
        </w:rPr>
        <w:t>Where it is determined that the default efficiency factor (E) or default baseline energy consumption (kWh</w:t>
      </w:r>
      <w:r w:rsidRPr="0068583D">
        <w:rPr>
          <w:rFonts w:cs="Arial"/>
          <w:vertAlign w:val="subscript"/>
        </w:rPr>
        <w:t>base</w:t>
      </w:r>
      <w:r w:rsidRPr="0068583D">
        <w:rPr>
          <w:rFonts w:cs="Arial"/>
        </w:rPr>
        <w:t>) is not representative of specific applications, EDC data gathering can be used to determine an application</w:t>
      </w:r>
      <w:r w:rsidR="00A409F1">
        <w:rPr>
          <w:rFonts w:cs="Arial"/>
        </w:rPr>
        <w:t>-</w:t>
      </w:r>
      <w:r w:rsidRPr="0068583D">
        <w:rPr>
          <w:rFonts w:cs="Arial"/>
        </w:rPr>
        <w:t>specific energy savings factor (E), and/or baseline energy consumption (kWh</w:t>
      </w:r>
      <w:r w:rsidRPr="0068583D">
        <w:rPr>
          <w:rFonts w:cs="Arial"/>
          <w:vertAlign w:val="subscript"/>
        </w:rPr>
        <w:t>base</w:t>
      </w:r>
      <w:r w:rsidRPr="0068583D">
        <w:rPr>
          <w:rFonts w:cs="Arial"/>
        </w:rPr>
        <w:t>), for use in the Energy Savings algorithm.</w:t>
      </w:r>
    </w:p>
    <w:p w:rsidR="00277FD6" w:rsidRPr="00277FD6" w:rsidRDefault="00277FD6" w:rsidP="00B20F6B">
      <w:pPr>
        <w:pStyle w:val="Caption"/>
      </w:pPr>
      <w:bookmarkStart w:id="943" w:name="_Ref271123746"/>
      <w:bookmarkStart w:id="944" w:name="_Toc310875600"/>
      <w:r w:rsidRPr="00277FD6">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48</w:t>
      </w:r>
      <w:r w:rsidR="00274AB1">
        <w:rPr>
          <w:noProof/>
        </w:rPr>
        <w:fldChar w:fldCharType="end"/>
      </w:r>
      <w:bookmarkEnd w:id="942"/>
      <w:bookmarkEnd w:id="943"/>
      <w:r w:rsidRPr="00277FD6">
        <w:t>: Beverage Machine Controls Energy Savings</w:t>
      </w:r>
      <w:r w:rsidRPr="00277FD6">
        <w:rPr>
          <w:vertAlign w:val="superscript"/>
        </w:rPr>
        <w:footnoteReference w:id="173"/>
      </w:r>
      <w:bookmarkEnd w:id="9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3429"/>
        <w:gridCol w:w="3429"/>
      </w:tblGrid>
      <w:tr w:rsidR="00D43CE5" w:rsidRPr="0068583D" w:rsidTr="00F84A22">
        <w:tc>
          <w:tcPr>
            <w:tcW w:w="1998" w:type="dxa"/>
            <w:shd w:val="clear" w:color="auto" w:fill="BFBFBF"/>
            <w:vAlign w:val="center"/>
          </w:tcPr>
          <w:p w:rsidR="00277FD6" w:rsidRPr="00F84A22" w:rsidRDefault="00277FD6" w:rsidP="00C3606E">
            <w:pPr>
              <w:tabs>
                <w:tab w:val="left" w:pos="7858"/>
              </w:tabs>
              <w:spacing w:before="60" w:after="60"/>
              <w:jc w:val="center"/>
              <w:rPr>
                <w:rFonts w:cs="Arial"/>
                <w:b/>
                <w:sz w:val="18"/>
                <w:szCs w:val="18"/>
              </w:rPr>
            </w:pPr>
            <w:r w:rsidRPr="00F84A22">
              <w:rPr>
                <w:rFonts w:cs="Arial"/>
                <w:b/>
                <w:sz w:val="18"/>
                <w:szCs w:val="18"/>
              </w:rPr>
              <w:t>Machine Can Capacity</w:t>
            </w:r>
          </w:p>
        </w:tc>
        <w:tc>
          <w:tcPr>
            <w:tcW w:w="3429" w:type="dxa"/>
            <w:shd w:val="clear" w:color="auto" w:fill="BFBFBF"/>
            <w:vAlign w:val="center"/>
          </w:tcPr>
          <w:p w:rsidR="00277FD6" w:rsidRPr="00F84A22" w:rsidRDefault="00277FD6" w:rsidP="00C3606E">
            <w:pPr>
              <w:tabs>
                <w:tab w:val="left" w:pos="7858"/>
              </w:tabs>
              <w:spacing w:before="60" w:after="60"/>
              <w:jc w:val="center"/>
              <w:rPr>
                <w:rFonts w:cs="Arial"/>
                <w:b/>
                <w:sz w:val="18"/>
                <w:szCs w:val="18"/>
              </w:rPr>
            </w:pPr>
            <w:r w:rsidRPr="00F84A22">
              <w:rPr>
                <w:rFonts w:cs="Arial"/>
                <w:b/>
                <w:sz w:val="18"/>
                <w:szCs w:val="18"/>
              </w:rPr>
              <w:t>Default Baseline Energy Consumption (kWh</w:t>
            </w:r>
            <w:r w:rsidRPr="00F84A22">
              <w:rPr>
                <w:rFonts w:cs="Arial"/>
                <w:b/>
                <w:sz w:val="18"/>
                <w:szCs w:val="18"/>
                <w:vertAlign w:val="subscript"/>
              </w:rPr>
              <w:t>base</w:t>
            </w:r>
            <w:r w:rsidRPr="00F84A22">
              <w:rPr>
                <w:rFonts w:cs="Arial"/>
                <w:b/>
                <w:sz w:val="18"/>
                <w:szCs w:val="18"/>
              </w:rPr>
              <w:t>) (kWh/year)</w:t>
            </w:r>
          </w:p>
        </w:tc>
        <w:tc>
          <w:tcPr>
            <w:tcW w:w="3429" w:type="dxa"/>
            <w:shd w:val="clear" w:color="auto" w:fill="BFBFBF"/>
            <w:vAlign w:val="center"/>
          </w:tcPr>
          <w:p w:rsidR="00277FD6" w:rsidRPr="00F84A22" w:rsidRDefault="00277FD6" w:rsidP="00C3606E">
            <w:pPr>
              <w:tabs>
                <w:tab w:val="left" w:pos="7858"/>
              </w:tabs>
              <w:spacing w:before="60" w:after="60"/>
              <w:jc w:val="center"/>
              <w:rPr>
                <w:rFonts w:cs="Arial"/>
                <w:b/>
                <w:sz w:val="18"/>
                <w:szCs w:val="18"/>
              </w:rPr>
            </w:pPr>
            <w:r w:rsidRPr="00F84A22">
              <w:rPr>
                <w:rFonts w:cs="Arial"/>
                <w:b/>
                <w:sz w:val="18"/>
                <w:szCs w:val="18"/>
              </w:rPr>
              <w:t>Default Energy Savings (ΔkWh); (kWh/year)</w:t>
            </w:r>
          </w:p>
        </w:tc>
      </w:tr>
      <w:tr w:rsidR="00277FD6" w:rsidRPr="0068583D" w:rsidTr="00F84A22">
        <w:tc>
          <w:tcPr>
            <w:tcW w:w="1998" w:type="dxa"/>
            <w:shd w:val="clear" w:color="auto" w:fill="auto"/>
          </w:tcPr>
          <w:p w:rsidR="00277FD6" w:rsidRPr="00F84A22" w:rsidRDefault="00277FD6" w:rsidP="00C3606E">
            <w:pPr>
              <w:tabs>
                <w:tab w:val="left" w:pos="7858"/>
              </w:tabs>
              <w:spacing w:before="60" w:after="60"/>
              <w:jc w:val="center"/>
              <w:rPr>
                <w:rFonts w:cs="Arial"/>
                <w:sz w:val="18"/>
                <w:szCs w:val="18"/>
              </w:rPr>
            </w:pPr>
            <w:r w:rsidRPr="00F84A22">
              <w:rPr>
                <w:rFonts w:cs="Arial"/>
                <w:sz w:val="18"/>
                <w:szCs w:val="18"/>
              </w:rPr>
              <w:t>&lt; 500</w:t>
            </w:r>
          </w:p>
        </w:tc>
        <w:tc>
          <w:tcPr>
            <w:tcW w:w="3429" w:type="dxa"/>
            <w:shd w:val="clear" w:color="auto" w:fill="auto"/>
          </w:tcPr>
          <w:p w:rsidR="00277FD6" w:rsidRPr="00F84A22" w:rsidRDefault="00277FD6" w:rsidP="00C3606E">
            <w:pPr>
              <w:tabs>
                <w:tab w:val="left" w:pos="7858"/>
              </w:tabs>
              <w:spacing w:before="60" w:after="60"/>
              <w:jc w:val="center"/>
              <w:rPr>
                <w:rFonts w:cs="Arial"/>
                <w:sz w:val="18"/>
                <w:szCs w:val="18"/>
              </w:rPr>
            </w:pPr>
            <w:r w:rsidRPr="00F84A22">
              <w:rPr>
                <w:rFonts w:cs="Arial"/>
                <w:sz w:val="18"/>
                <w:szCs w:val="18"/>
              </w:rPr>
              <w:t>3,113</w:t>
            </w:r>
          </w:p>
        </w:tc>
        <w:tc>
          <w:tcPr>
            <w:tcW w:w="3429" w:type="dxa"/>
            <w:shd w:val="clear" w:color="auto" w:fill="auto"/>
          </w:tcPr>
          <w:p w:rsidR="00277FD6" w:rsidRPr="00F84A22" w:rsidRDefault="00277FD6" w:rsidP="00C3606E">
            <w:pPr>
              <w:tabs>
                <w:tab w:val="left" w:pos="7858"/>
              </w:tabs>
              <w:spacing w:before="60" w:after="60"/>
              <w:jc w:val="center"/>
              <w:rPr>
                <w:rFonts w:cs="Arial"/>
                <w:sz w:val="18"/>
                <w:szCs w:val="18"/>
              </w:rPr>
            </w:pPr>
            <w:r w:rsidRPr="00F84A22">
              <w:rPr>
                <w:rFonts w:cs="Arial"/>
                <w:sz w:val="18"/>
                <w:szCs w:val="18"/>
              </w:rPr>
              <w:t>1,432</w:t>
            </w:r>
          </w:p>
        </w:tc>
      </w:tr>
      <w:tr w:rsidR="00277FD6" w:rsidRPr="0068583D" w:rsidTr="00F84A22">
        <w:tc>
          <w:tcPr>
            <w:tcW w:w="1998" w:type="dxa"/>
            <w:shd w:val="clear" w:color="auto" w:fill="auto"/>
          </w:tcPr>
          <w:p w:rsidR="00277FD6" w:rsidRPr="00F84A22" w:rsidRDefault="00277FD6" w:rsidP="00C3606E">
            <w:pPr>
              <w:tabs>
                <w:tab w:val="left" w:pos="7858"/>
              </w:tabs>
              <w:spacing w:before="60" w:after="60"/>
              <w:jc w:val="center"/>
              <w:rPr>
                <w:rFonts w:cs="Arial"/>
                <w:sz w:val="18"/>
                <w:szCs w:val="18"/>
              </w:rPr>
            </w:pPr>
            <w:r w:rsidRPr="00F84A22">
              <w:rPr>
                <w:rFonts w:cs="Arial"/>
                <w:sz w:val="18"/>
                <w:szCs w:val="18"/>
              </w:rPr>
              <w:t>500</w:t>
            </w:r>
          </w:p>
        </w:tc>
        <w:tc>
          <w:tcPr>
            <w:tcW w:w="3429" w:type="dxa"/>
            <w:shd w:val="clear" w:color="auto" w:fill="auto"/>
          </w:tcPr>
          <w:p w:rsidR="00277FD6" w:rsidRPr="00F84A22" w:rsidRDefault="00277FD6" w:rsidP="00C3606E">
            <w:pPr>
              <w:tabs>
                <w:tab w:val="left" w:pos="7858"/>
              </w:tabs>
              <w:spacing w:before="60" w:after="60"/>
              <w:jc w:val="center"/>
              <w:rPr>
                <w:rFonts w:cs="Arial"/>
                <w:sz w:val="18"/>
                <w:szCs w:val="18"/>
              </w:rPr>
            </w:pPr>
            <w:r w:rsidRPr="00F84A22">
              <w:rPr>
                <w:rFonts w:cs="Arial"/>
                <w:sz w:val="18"/>
                <w:szCs w:val="18"/>
              </w:rPr>
              <w:t>3,916</w:t>
            </w:r>
          </w:p>
        </w:tc>
        <w:tc>
          <w:tcPr>
            <w:tcW w:w="3429" w:type="dxa"/>
            <w:shd w:val="clear" w:color="auto" w:fill="auto"/>
          </w:tcPr>
          <w:p w:rsidR="00277FD6" w:rsidRPr="00F84A22" w:rsidRDefault="00277FD6" w:rsidP="00C3606E">
            <w:pPr>
              <w:tabs>
                <w:tab w:val="left" w:pos="7858"/>
              </w:tabs>
              <w:spacing w:before="60" w:after="60"/>
              <w:jc w:val="center"/>
              <w:rPr>
                <w:rFonts w:cs="Arial"/>
                <w:sz w:val="18"/>
                <w:szCs w:val="18"/>
              </w:rPr>
            </w:pPr>
            <w:r w:rsidRPr="00F84A22">
              <w:rPr>
                <w:rFonts w:cs="Arial"/>
                <w:sz w:val="18"/>
                <w:szCs w:val="18"/>
              </w:rPr>
              <w:t>1,801</w:t>
            </w:r>
          </w:p>
        </w:tc>
      </w:tr>
      <w:tr w:rsidR="00277FD6" w:rsidRPr="0068583D" w:rsidTr="00F84A22">
        <w:tc>
          <w:tcPr>
            <w:tcW w:w="1998" w:type="dxa"/>
            <w:shd w:val="clear" w:color="auto" w:fill="auto"/>
          </w:tcPr>
          <w:p w:rsidR="00277FD6" w:rsidRPr="00F84A22" w:rsidRDefault="00277FD6" w:rsidP="00C3606E">
            <w:pPr>
              <w:tabs>
                <w:tab w:val="left" w:pos="7858"/>
              </w:tabs>
              <w:spacing w:before="60" w:after="60"/>
              <w:jc w:val="center"/>
              <w:rPr>
                <w:rFonts w:cs="Arial"/>
                <w:sz w:val="18"/>
                <w:szCs w:val="18"/>
              </w:rPr>
            </w:pPr>
            <w:r w:rsidRPr="00F84A22">
              <w:rPr>
                <w:rFonts w:cs="Arial"/>
                <w:sz w:val="18"/>
                <w:szCs w:val="18"/>
              </w:rPr>
              <w:t>600</w:t>
            </w:r>
          </w:p>
        </w:tc>
        <w:tc>
          <w:tcPr>
            <w:tcW w:w="3429" w:type="dxa"/>
            <w:shd w:val="clear" w:color="auto" w:fill="auto"/>
          </w:tcPr>
          <w:p w:rsidR="00277FD6" w:rsidRPr="00F84A22" w:rsidRDefault="00277FD6" w:rsidP="00C3606E">
            <w:pPr>
              <w:tabs>
                <w:tab w:val="left" w:pos="7858"/>
              </w:tabs>
              <w:spacing w:before="60" w:after="60"/>
              <w:jc w:val="center"/>
              <w:rPr>
                <w:rFonts w:cs="Arial"/>
                <w:sz w:val="18"/>
                <w:szCs w:val="18"/>
              </w:rPr>
            </w:pPr>
            <w:r w:rsidRPr="00F84A22">
              <w:rPr>
                <w:rFonts w:cs="Arial"/>
                <w:sz w:val="18"/>
                <w:szCs w:val="18"/>
              </w:rPr>
              <w:t>3,551</w:t>
            </w:r>
          </w:p>
        </w:tc>
        <w:tc>
          <w:tcPr>
            <w:tcW w:w="3429" w:type="dxa"/>
            <w:shd w:val="clear" w:color="auto" w:fill="auto"/>
          </w:tcPr>
          <w:p w:rsidR="00277FD6" w:rsidRPr="00F84A22" w:rsidRDefault="00277FD6" w:rsidP="00C3606E">
            <w:pPr>
              <w:tabs>
                <w:tab w:val="left" w:pos="7858"/>
              </w:tabs>
              <w:spacing w:before="60" w:after="60"/>
              <w:jc w:val="center"/>
              <w:rPr>
                <w:rFonts w:cs="Arial"/>
                <w:sz w:val="18"/>
                <w:szCs w:val="18"/>
              </w:rPr>
            </w:pPr>
            <w:r w:rsidRPr="00F84A22">
              <w:rPr>
                <w:rFonts w:cs="Arial"/>
                <w:sz w:val="18"/>
                <w:szCs w:val="18"/>
              </w:rPr>
              <w:t>1,633</w:t>
            </w:r>
          </w:p>
        </w:tc>
      </w:tr>
      <w:tr w:rsidR="00277FD6" w:rsidRPr="0068583D" w:rsidTr="00F84A22">
        <w:tc>
          <w:tcPr>
            <w:tcW w:w="1998" w:type="dxa"/>
            <w:shd w:val="clear" w:color="auto" w:fill="auto"/>
          </w:tcPr>
          <w:p w:rsidR="00277FD6" w:rsidRPr="00F84A22" w:rsidRDefault="00277FD6" w:rsidP="00C3606E">
            <w:pPr>
              <w:tabs>
                <w:tab w:val="left" w:pos="7858"/>
              </w:tabs>
              <w:spacing w:before="60" w:after="60"/>
              <w:jc w:val="center"/>
              <w:rPr>
                <w:rFonts w:cs="Arial"/>
                <w:sz w:val="18"/>
                <w:szCs w:val="18"/>
              </w:rPr>
            </w:pPr>
            <w:r w:rsidRPr="00F84A22">
              <w:rPr>
                <w:rFonts w:cs="Arial"/>
                <w:sz w:val="18"/>
                <w:szCs w:val="18"/>
              </w:rPr>
              <w:t>700</w:t>
            </w:r>
          </w:p>
        </w:tc>
        <w:tc>
          <w:tcPr>
            <w:tcW w:w="3429" w:type="dxa"/>
            <w:shd w:val="clear" w:color="auto" w:fill="auto"/>
          </w:tcPr>
          <w:p w:rsidR="00277FD6" w:rsidRPr="00F84A22" w:rsidRDefault="00277FD6" w:rsidP="00C3606E">
            <w:pPr>
              <w:tabs>
                <w:tab w:val="left" w:pos="7858"/>
              </w:tabs>
              <w:spacing w:before="60" w:after="60"/>
              <w:jc w:val="center"/>
              <w:rPr>
                <w:rFonts w:cs="Arial"/>
                <w:sz w:val="18"/>
                <w:szCs w:val="18"/>
              </w:rPr>
            </w:pPr>
            <w:r w:rsidRPr="00F84A22">
              <w:rPr>
                <w:rFonts w:cs="Arial"/>
                <w:sz w:val="18"/>
                <w:szCs w:val="18"/>
              </w:rPr>
              <w:t>4,198</w:t>
            </w:r>
          </w:p>
        </w:tc>
        <w:tc>
          <w:tcPr>
            <w:tcW w:w="3429" w:type="dxa"/>
            <w:shd w:val="clear" w:color="auto" w:fill="auto"/>
          </w:tcPr>
          <w:p w:rsidR="00277FD6" w:rsidRPr="00F84A22" w:rsidRDefault="00277FD6" w:rsidP="00C3606E">
            <w:pPr>
              <w:tabs>
                <w:tab w:val="left" w:pos="7858"/>
              </w:tabs>
              <w:spacing w:before="60" w:after="60"/>
              <w:jc w:val="center"/>
              <w:rPr>
                <w:rFonts w:cs="Arial"/>
                <w:sz w:val="18"/>
                <w:szCs w:val="18"/>
              </w:rPr>
            </w:pPr>
            <w:r w:rsidRPr="00F84A22">
              <w:rPr>
                <w:rFonts w:cs="Arial"/>
                <w:sz w:val="18"/>
                <w:szCs w:val="18"/>
              </w:rPr>
              <w:t>1,931</w:t>
            </w:r>
          </w:p>
        </w:tc>
      </w:tr>
      <w:tr w:rsidR="00277FD6" w:rsidRPr="0068583D" w:rsidTr="00F84A22">
        <w:tc>
          <w:tcPr>
            <w:tcW w:w="1998" w:type="dxa"/>
            <w:shd w:val="clear" w:color="auto" w:fill="auto"/>
          </w:tcPr>
          <w:p w:rsidR="00277FD6" w:rsidRPr="00F84A22" w:rsidRDefault="00277FD6" w:rsidP="00C3606E">
            <w:pPr>
              <w:tabs>
                <w:tab w:val="left" w:pos="7858"/>
              </w:tabs>
              <w:spacing w:before="60" w:after="60"/>
              <w:jc w:val="center"/>
              <w:rPr>
                <w:rFonts w:cs="Arial"/>
                <w:sz w:val="18"/>
                <w:szCs w:val="18"/>
              </w:rPr>
            </w:pPr>
            <w:r w:rsidRPr="00F84A22">
              <w:rPr>
                <w:rFonts w:cs="Arial"/>
                <w:sz w:val="18"/>
                <w:szCs w:val="18"/>
              </w:rPr>
              <w:t>800+</w:t>
            </w:r>
          </w:p>
        </w:tc>
        <w:tc>
          <w:tcPr>
            <w:tcW w:w="3429" w:type="dxa"/>
            <w:shd w:val="clear" w:color="auto" w:fill="auto"/>
          </w:tcPr>
          <w:p w:rsidR="00277FD6" w:rsidRPr="00F84A22" w:rsidRDefault="00277FD6" w:rsidP="00C3606E">
            <w:pPr>
              <w:tabs>
                <w:tab w:val="left" w:pos="7858"/>
              </w:tabs>
              <w:spacing w:before="60" w:after="60"/>
              <w:jc w:val="center"/>
              <w:rPr>
                <w:rFonts w:cs="Arial"/>
                <w:sz w:val="18"/>
                <w:szCs w:val="18"/>
              </w:rPr>
            </w:pPr>
            <w:r w:rsidRPr="00F84A22">
              <w:rPr>
                <w:rFonts w:cs="Arial"/>
                <w:sz w:val="18"/>
                <w:szCs w:val="18"/>
              </w:rPr>
              <w:t>3,318</w:t>
            </w:r>
          </w:p>
        </w:tc>
        <w:tc>
          <w:tcPr>
            <w:tcW w:w="3429" w:type="dxa"/>
            <w:shd w:val="clear" w:color="auto" w:fill="auto"/>
          </w:tcPr>
          <w:p w:rsidR="00277FD6" w:rsidRPr="00F84A22" w:rsidRDefault="00277FD6" w:rsidP="00C3606E">
            <w:pPr>
              <w:tabs>
                <w:tab w:val="left" w:pos="7858"/>
              </w:tabs>
              <w:spacing w:before="60" w:after="60"/>
              <w:jc w:val="center"/>
              <w:rPr>
                <w:rFonts w:cs="Arial"/>
                <w:sz w:val="18"/>
                <w:szCs w:val="18"/>
              </w:rPr>
            </w:pPr>
            <w:r w:rsidRPr="00F84A22">
              <w:rPr>
                <w:rFonts w:cs="Arial"/>
                <w:sz w:val="18"/>
                <w:szCs w:val="18"/>
              </w:rPr>
              <w:t>1,526</w:t>
            </w:r>
          </w:p>
        </w:tc>
      </w:tr>
    </w:tbl>
    <w:p w:rsidR="00277FD6" w:rsidRPr="0068583D" w:rsidRDefault="00277FD6" w:rsidP="00C3606E">
      <w:pPr>
        <w:tabs>
          <w:tab w:val="left" w:pos="7858"/>
        </w:tabs>
        <w:rPr>
          <w:rFonts w:cs="Arial"/>
        </w:rPr>
      </w:pPr>
    </w:p>
    <w:p w:rsidR="00277FD6" w:rsidRPr="0068583D" w:rsidRDefault="00277FD6" w:rsidP="00871FA2">
      <w:pPr>
        <w:pStyle w:val="Heading3"/>
      </w:pPr>
      <w:r w:rsidRPr="0068583D">
        <w:t>Measure Life</w:t>
      </w:r>
    </w:p>
    <w:p w:rsidR="00277FD6" w:rsidRPr="0068583D" w:rsidRDefault="00277FD6" w:rsidP="00277FD6">
      <w:pPr>
        <w:ind w:left="360"/>
        <w:rPr>
          <w:rFonts w:cs="Arial"/>
        </w:rPr>
      </w:pPr>
      <w:r w:rsidRPr="0068583D">
        <w:rPr>
          <w:rFonts w:cs="Arial"/>
        </w:rPr>
        <w:t>Measure life = 5 years</w:t>
      </w:r>
    </w:p>
    <w:p w:rsidR="00277FD6" w:rsidRPr="00BC5194" w:rsidRDefault="00A409F1" w:rsidP="00B20F6B">
      <w:pPr>
        <w:rPr>
          <w:b/>
        </w:rPr>
      </w:pPr>
      <w:r w:rsidRPr="00BC5194">
        <w:rPr>
          <w:b/>
        </w:rPr>
        <w:t>Sources:</w:t>
      </w:r>
    </w:p>
    <w:p w:rsidR="00A409F1" w:rsidRDefault="00A409F1" w:rsidP="0005632A">
      <w:pPr>
        <w:pStyle w:val="ListParagraph"/>
        <w:numPr>
          <w:ilvl w:val="0"/>
          <w:numId w:val="64"/>
        </w:numPr>
        <w:overflowPunct/>
        <w:autoSpaceDE/>
        <w:autoSpaceDN/>
        <w:adjustRightInd/>
        <w:spacing w:after="200" w:line="276" w:lineRule="auto"/>
        <w:contextualSpacing/>
        <w:textAlignment w:val="auto"/>
        <w:rPr>
          <w:rFonts w:eastAsia="Calibri" w:cs="Arial"/>
        </w:rPr>
      </w:pPr>
      <w:r w:rsidRPr="00A409F1">
        <w:rPr>
          <w:rFonts w:eastAsia="Calibri" w:cs="Arial"/>
        </w:rPr>
        <w:t xml:space="preserve">DEER EUL Summary, Database for Energy Efficient Resources, accessed 8/2010, </w:t>
      </w:r>
      <w:hyperlink r:id="rId43" w:history="1">
        <w:r w:rsidRPr="00A409F1">
          <w:rPr>
            <w:rStyle w:val="Hyperlink"/>
            <w:rFonts w:eastAsia="Calibri" w:cs="Arial"/>
          </w:rPr>
          <w:t>http://www.deeresources.com/deer0911planning/downloads/EUL_Summary_10-1-08.xls</w:t>
        </w:r>
      </w:hyperlink>
    </w:p>
    <w:p w:rsidR="00A409F1" w:rsidRPr="00A409F1" w:rsidRDefault="00A409F1" w:rsidP="0005632A">
      <w:pPr>
        <w:pStyle w:val="ListParagraph"/>
        <w:numPr>
          <w:ilvl w:val="0"/>
          <w:numId w:val="64"/>
        </w:numPr>
        <w:overflowPunct/>
        <w:autoSpaceDE/>
        <w:autoSpaceDN/>
        <w:adjustRightInd/>
        <w:spacing w:after="200" w:line="276" w:lineRule="auto"/>
        <w:contextualSpacing/>
        <w:textAlignment w:val="auto"/>
        <w:rPr>
          <w:rFonts w:eastAsia="Calibri" w:cs="Arial"/>
        </w:rPr>
      </w:pPr>
      <w:r w:rsidRPr="0068583D">
        <w:rPr>
          <w:rFonts w:cs="Arial"/>
          <w:szCs w:val="16"/>
        </w:rPr>
        <w:t xml:space="preserve">Deru et al. </w:t>
      </w:r>
      <w:r>
        <w:rPr>
          <w:rFonts w:cs="Arial"/>
          <w:szCs w:val="16"/>
        </w:rPr>
        <w:t xml:space="preserve">suggest </w:t>
      </w:r>
      <w:r w:rsidRPr="0068583D">
        <w:rPr>
          <w:rFonts w:cs="Arial"/>
          <w:szCs w:val="16"/>
        </w:rPr>
        <w:t>that beverage machine life will be extended from this measure due to fewer lifetime compressor cycles.</w:t>
      </w:r>
    </w:p>
    <w:p w:rsidR="00277FD6" w:rsidRPr="00F84A22" w:rsidRDefault="00277FD6" w:rsidP="0005632A">
      <w:pPr>
        <w:pStyle w:val="ListParagraph"/>
        <w:numPr>
          <w:ilvl w:val="0"/>
          <w:numId w:val="64"/>
        </w:numPr>
        <w:overflowPunct/>
        <w:autoSpaceDE/>
        <w:autoSpaceDN/>
        <w:adjustRightInd/>
        <w:spacing w:after="200" w:line="276" w:lineRule="auto"/>
        <w:contextualSpacing/>
        <w:textAlignment w:val="auto"/>
        <w:rPr>
          <w:rFonts w:eastAsia="Calibri" w:cs="Arial"/>
        </w:rPr>
      </w:pPr>
      <w:r w:rsidRPr="0068583D">
        <w:rPr>
          <w:rFonts w:cs="Arial"/>
        </w:rPr>
        <w:t xml:space="preserve">U.S. Department of Energy Appliances and Commercial Equipment Standards, </w:t>
      </w:r>
      <w:hyperlink r:id="rId44" w:history="1">
        <w:r w:rsidRPr="0068583D">
          <w:rPr>
            <w:rStyle w:val="Hyperlink"/>
            <w:rFonts w:cs="Arial"/>
          </w:rPr>
          <w:t>http://www1.eere.energy.gov/buildings/appliance_standards/commercial/beverage_machines.html</w:t>
        </w:r>
      </w:hyperlink>
    </w:p>
    <w:p w:rsidR="001669F2" w:rsidRPr="00534043" w:rsidRDefault="001669F2" w:rsidP="005D7F62">
      <w:pPr>
        <w:rPr>
          <w:strike/>
        </w:rPr>
      </w:pPr>
    </w:p>
    <w:p w:rsidR="00277FD6" w:rsidRDefault="00277FD6">
      <w:pPr>
        <w:overflowPunct/>
        <w:autoSpaceDE/>
        <w:autoSpaceDN/>
        <w:adjustRightInd/>
        <w:spacing w:after="0" w:line="240" w:lineRule="auto"/>
        <w:textAlignment w:val="auto"/>
      </w:pPr>
    </w:p>
    <w:p w:rsidR="00277FD6" w:rsidRPr="001507D3" w:rsidRDefault="00AA7749" w:rsidP="00E568D4">
      <w:pPr>
        <w:pStyle w:val="Heading2"/>
      </w:pPr>
      <w:r>
        <w:br w:type="page"/>
      </w:r>
      <w:bookmarkStart w:id="945" w:name="_Toc310875454"/>
      <w:r w:rsidR="00277FD6" w:rsidRPr="001507D3">
        <w:lastRenderedPageBreak/>
        <w:t xml:space="preserve">High-Efficiency </w:t>
      </w:r>
      <w:r w:rsidR="00277FD6">
        <w:t>Ice Machine</w:t>
      </w:r>
      <w:r w:rsidR="00277FD6" w:rsidRPr="001507D3">
        <w:t>s</w:t>
      </w:r>
      <w:bookmarkEnd w:id="945"/>
    </w:p>
    <w:p w:rsidR="00277FD6" w:rsidRPr="001507D3" w:rsidRDefault="00277FD6" w:rsidP="00277FD6">
      <w:pPr>
        <w:rPr>
          <w:rFonts w:cs="Arial"/>
        </w:rPr>
      </w:pPr>
      <w:r w:rsidRPr="001507D3">
        <w:rPr>
          <w:rFonts w:cs="Arial"/>
        </w:rPr>
        <w:t xml:space="preserve">This measure applies to the installation of a high-efficiency </w:t>
      </w:r>
      <w:r>
        <w:rPr>
          <w:rFonts w:cs="Arial"/>
        </w:rPr>
        <w:t>ice machine</w:t>
      </w:r>
      <w:r w:rsidRPr="001507D3">
        <w:rPr>
          <w:rFonts w:cs="Arial"/>
        </w:rPr>
        <w:t xml:space="preserve"> as either a new item or replacement for an existing unit.  The machine must be air-cooled to qualify, which can include self-contained, ice-making heads, or remote-condensing units.  The machine must conform with the minimum ENERGY STAR efficiency requirements, which are equivalent to the CEE Tier 2 specifications for high-efficiency commercial ice machines</w:t>
      </w:r>
      <w:bookmarkStart w:id="946" w:name="_Ref270493362"/>
      <w:r w:rsidRPr="001507D3">
        <w:rPr>
          <w:rStyle w:val="FootnoteReference"/>
          <w:rFonts w:cs="Arial"/>
        </w:rPr>
        <w:footnoteReference w:id="174"/>
      </w:r>
      <w:bookmarkEnd w:id="946"/>
      <w:r w:rsidRPr="001507D3">
        <w:rPr>
          <w:rFonts w:cs="Arial"/>
        </w:rPr>
        <w:t xml:space="preserve">.  A qualifying machine must also meet the ENERGY STAR requirements for water usage given under the same criteria.  </w:t>
      </w:r>
    </w:p>
    <w:p w:rsidR="00277FD6" w:rsidRPr="001507D3" w:rsidRDefault="00277FD6" w:rsidP="00277FD6">
      <w:pPr>
        <w:rPr>
          <w:rFonts w:cs="Arial"/>
        </w:rPr>
      </w:pPr>
      <w:r w:rsidRPr="001507D3">
        <w:rPr>
          <w:rFonts w:cs="Arial"/>
        </w:rPr>
        <w:t>The baseline equipment is taken to be a unit with efficiency specifications less than or equal to CEE Tier 1 equipment.</w:t>
      </w:r>
    </w:p>
    <w:p w:rsidR="00277FD6" w:rsidRPr="001507D3" w:rsidRDefault="00277FD6" w:rsidP="00871FA2">
      <w:pPr>
        <w:pStyle w:val="Heading3"/>
      </w:pPr>
      <w:r w:rsidRPr="001507D3">
        <w:t>Algorithms</w:t>
      </w:r>
    </w:p>
    <w:p w:rsidR="00277FD6" w:rsidRPr="001507D3" w:rsidRDefault="00277FD6" w:rsidP="00277FD6">
      <w:pPr>
        <w:rPr>
          <w:rFonts w:cs="Arial"/>
        </w:rPr>
      </w:pPr>
      <w:r w:rsidRPr="001507D3">
        <w:rPr>
          <w:rFonts w:cs="Arial"/>
        </w:rPr>
        <w:t xml:space="preserve">The energy savings are dependent on machine type and capacity of ice produced on a daily basis.  A machine’s capacity is generally reported as an ice harvest rate, or amount of ice produced each day.  </w:t>
      </w:r>
    </w:p>
    <w:p w:rsidR="00277FD6" w:rsidRPr="005021BC" w:rsidRDefault="00277FD6" w:rsidP="00CE64A1">
      <w:pPr>
        <w:pStyle w:val="Equation"/>
        <w:rPr>
          <w:rFonts w:cs="Arial"/>
          <w:szCs w:val="20"/>
        </w:rPr>
      </w:pPr>
      <w:r w:rsidRPr="005021BC">
        <w:rPr>
          <w:rFonts w:cs="Arial"/>
          <w:szCs w:val="20"/>
        </w:rPr>
        <w:sym w:font="Symbol" w:char="F044"/>
      </w:r>
      <w:proofErr w:type="gramStart"/>
      <w:r w:rsidRPr="005021BC">
        <w:rPr>
          <w:rFonts w:cs="Arial"/>
          <w:szCs w:val="20"/>
        </w:rPr>
        <w:t>kWh</w:t>
      </w:r>
      <w:proofErr w:type="gramEnd"/>
      <w:r w:rsidRPr="005021BC">
        <w:rPr>
          <w:rFonts w:cs="Arial"/>
          <w:szCs w:val="20"/>
        </w:rPr>
        <w:t xml:space="preserve"> </w:t>
      </w:r>
      <w:r w:rsidRPr="005021BC">
        <w:rPr>
          <w:rFonts w:cs="Arial"/>
          <w:szCs w:val="20"/>
        </w:rPr>
        <w:tab/>
      </w:r>
      <w:r w:rsidRPr="005021BC">
        <w:rPr>
          <w:rFonts w:cs="Arial"/>
          <w:szCs w:val="20"/>
        </w:rPr>
        <w:tab/>
        <w:t xml:space="preserve">= </w:t>
      </w:r>
      <w:r w:rsidR="007A1FB6" w:rsidRPr="005021BC">
        <w:rPr>
          <w:rFonts w:cs="Arial"/>
          <w:i w:val="0"/>
          <w:szCs w:val="20"/>
        </w:rPr>
        <w:fldChar w:fldCharType="begin"/>
      </w:r>
      <w:r w:rsidR="00F84A22" w:rsidRPr="005021BC">
        <w:rPr>
          <w:rFonts w:cs="Arial"/>
          <w:i w:val="0"/>
          <w:szCs w:val="20"/>
        </w:rPr>
        <w:instrText xml:space="preserve"> QUOTE </w:instrText>
      </w:r>
      <m:oMath>
        <m:f>
          <m:fPr>
            <m:ctrlPr>
              <w:rPr>
                <w:rFonts w:ascii="Cambria Math" w:hAnsi="Cambria Math" w:cs="Arial"/>
              </w:rPr>
            </m:ctrlPr>
          </m:fPr>
          <m:num>
            <m:d>
              <m:dPr>
                <m:ctrlPr>
                  <w:rPr>
                    <w:rFonts w:ascii="Cambria Math" w:hAnsi="Cambria Math" w:cs="Arial"/>
                  </w:rPr>
                </m:ctrlPr>
              </m:dPr>
              <m:e>
                <m:sSub>
                  <m:sSubPr>
                    <m:ctrlPr>
                      <w:rPr>
                        <w:rFonts w:ascii="Cambria Math" w:hAnsi="Cambria Math" w:cs="Arial"/>
                      </w:rPr>
                    </m:ctrlPr>
                  </m:sSubPr>
                  <m:e>
                    <m:r>
                      <w:rPr>
                        <w:rFonts w:ascii="Cambria Math" w:hAnsi="Cambria Math" w:cs="Arial"/>
                      </w:rPr>
                      <m:t>kWh</m:t>
                    </m:r>
                  </m:e>
                  <m:sub>
                    <m:r>
                      <w:rPr>
                        <w:rFonts w:ascii="Cambria Math" w:hAnsi="Cambria Math" w:cs="Arial"/>
                      </w:rPr>
                      <m:t>base</m:t>
                    </m:r>
                  </m:sub>
                </m:sSub>
                <m:r>
                  <w:rPr>
                    <w:rFonts w:ascii="Cambria Math" w:hAnsi="Cambria Math" w:cs="Arial"/>
                  </w:rPr>
                  <m:t>-</m:t>
                </m:r>
                <m:r>
                  <w:rPr>
                    <w:rFonts w:ascii="Cambria Math" w:cs="Arial"/>
                  </w:rPr>
                  <m:t xml:space="preserve"> </m:t>
                </m:r>
                <m:sSub>
                  <m:sSubPr>
                    <m:ctrlPr>
                      <w:rPr>
                        <w:rFonts w:ascii="Cambria Math" w:hAnsi="Cambria Math" w:cs="Arial"/>
                      </w:rPr>
                    </m:ctrlPr>
                  </m:sSubPr>
                  <m:e>
                    <m:r>
                      <w:rPr>
                        <w:rFonts w:ascii="Cambria Math" w:hAnsi="Cambria Math" w:cs="Arial"/>
                      </w:rPr>
                      <m:t>kWh</m:t>
                    </m:r>
                  </m:e>
                  <m:sub>
                    <m:r>
                      <w:rPr>
                        <w:rFonts w:ascii="Cambria Math" w:hAnsi="Cambria Math" w:cs="Arial"/>
                      </w:rPr>
                      <m:t>he</m:t>
                    </m:r>
                  </m:sub>
                </m:sSub>
              </m:e>
            </m:d>
          </m:num>
          <m:den>
            <m:r>
              <w:rPr>
                <w:rFonts w:ascii="Cambria Math" w:cs="Arial"/>
              </w:rPr>
              <m:t>100</m:t>
            </m:r>
          </m:den>
        </m:f>
        <m:r>
          <w:rPr>
            <w:rFonts w:ascii="Cambria Math" w:cs="Arial"/>
          </w:rPr>
          <m:t>×</m:t>
        </m:r>
        <m:r>
          <w:rPr>
            <w:rFonts w:ascii="Cambria Math" w:hAnsi="Cambria Math" w:cs="Arial"/>
          </w:rPr>
          <m:t>H</m:t>
        </m:r>
        <m:r>
          <w:rPr>
            <w:rFonts w:ascii="Cambria Math" w:cs="Arial"/>
          </w:rPr>
          <m:t>×</m:t>
        </m:r>
        <m:r>
          <w:rPr>
            <w:rFonts w:ascii="Cambria Math" w:cs="Arial"/>
          </w:rPr>
          <m:t>365</m:t>
        </m:r>
        <m:r>
          <w:rPr>
            <w:rFonts w:ascii="Cambria Math" w:cs="Arial"/>
          </w:rPr>
          <m:t>×</m:t>
        </m:r>
        <m:r>
          <w:rPr>
            <w:rFonts w:ascii="Cambria Math" w:hAnsi="Cambria Math" w:cs="Arial"/>
          </w:rPr>
          <m:t>D</m:t>
        </m:r>
      </m:oMath>
      <w:r w:rsidR="00F84A22" w:rsidRPr="005021BC">
        <w:rPr>
          <w:rFonts w:cs="Arial"/>
          <w:i w:val="0"/>
          <w:szCs w:val="20"/>
        </w:rPr>
        <w:instrText xml:space="preserve"> </w:instrText>
      </w:r>
      <w:r w:rsidR="007A1FB6" w:rsidRPr="005021BC">
        <w:rPr>
          <w:rFonts w:cs="Arial"/>
          <w:i w:val="0"/>
          <w:szCs w:val="20"/>
        </w:rPr>
        <w:fldChar w:fldCharType="separate"/>
      </w:r>
      <m:oMath>
        <m:f>
          <m:fPr>
            <m:ctrlPr>
              <w:rPr>
                <w:rFonts w:ascii="Cambria Math" w:hAnsi="Cambria Math" w:cs="Arial"/>
              </w:rPr>
            </m:ctrlPr>
          </m:fPr>
          <m:num>
            <m:d>
              <m:dPr>
                <m:ctrlPr>
                  <w:rPr>
                    <w:rFonts w:ascii="Cambria Math" w:hAnsi="Cambria Math" w:cs="Arial"/>
                  </w:rPr>
                </m:ctrlPr>
              </m:dPr>
              <m:e>
                <m:sSub>
                  <m:sSubPr>
                    <m:ctrlPr>
                      <w:rPr>
                        <w:rFonts w:ascii="Cambria Math" w:hAnsi="Cambria Math" w:cs="Arial"/>
                      </w:rPr>
                    </m:ctrlPr>
                  </m:sSubPr>
                  <m:e>
                    <m:r>
                      <w:rPr>
                        <w:rFonts w:ascii="Cambria Math" w:hAnsi="Cambria Math" w:cs="Arial"/>
                      </w:rPr>
                      <m:t>kWh</m:t>
                    </m:r>
                  </m:e>
                  <m:sub>
                    <m:r>
                      <w:rPr>
                        <w:rFonts w:ascii="Cambria Math" w:hAnsi="Cambria Math" w:cs="Arial"/>
                      </w:rPr>
                      <m:t>base</m:t>
                    </m:r>
                  </m:sub>
                </m:sSub>
                <m:r>
                  <w:rPr>
                    <w:rFonts w:ascii="Cambria Math" w:hAnsi="Cambria Math" w:cs="Arial"/>
                  </w:rPr>
                  <m:t>-</m:t>
                </m:r>
                <m:sSub>
                  <m:sSubPr>
                    <m:ctrlPr>
                      <w:rPr>
                        <w:rFonts w:ascii="Cambria Math" w:hAnsi="Cambria Math" w:cs="Arial"/>
                      </w:rPr>
                    </m:ctrlPr>
                  </m:sSubPr>
                  <m:e>
                    <m:r>
                      <w:rPr>
                        <w:rFonts w:ascii="Cambria Math" w:hAnsi="Cambria Math" w:cs="Arial"/>
                      </w:rPr>
                      <m:t>kWh</m:t>
                    </m:r>
                  </m:e>
                  <m:sub>
                    <m:r>
                      <w:rPr>
                        <w:rFonts w:ascii="Cambria Math" w:hAnsi="Cambria Math" w:cs="Arial"/>
                      </w:rPr>
                      <m:t>he</m:t>
                    </m:r>
                  </m:sub>
                </m:sSub>
              </m:e>
            </m:d>
          </m:num>
          <m:den>
            <m:r>
              <w:rPr>
                <w:rFonts w:ascii="Cambria Math" w:cs="Arial"/>
              </w:rPr>
              <m:t>100</m:t>
            </m:r>
          </m:den>
        </m:f>
        <m:r>
          <w:rPr>
            <w:rFonts w:ascii="Cambria Math" w:cs="Arial"/>
          </w:rPr>
          <m:t>×</m:t>
        </m:r>
        <m:r>
          <w:rPr>
            <w:rFonts w:ascii="Cambria Math" w:hAnsi="Cambria Math" w:cs="Arial"/>
          </w:rPr>
          <m:t>H</m:t>
        </m:r>
        <m:r>
          <w:rPr>
            <w:rFonts w:ascii="Cambria Math" w:cs="Arial"/>
          </w:rPr>
          <m:t>×</m:t>
        </m:r>
        <m:r>
          <w:rPr>
            <w:rFonts w:ascii="Cambria Math" w:cs="Arial"/>
          </w:rPr>
          <m:t>365</m:t>
        </m:r>
        <m:r>
          <w:rPr>
            <w:rFonts w:ascii="Cambria Math" w:cs="Arial"/>
          </w:rPr>
          <m:t>×</m:t>
        </m:r>
        <m:r>
          <w:rPr>
            <w:rFonts w:ascii="Cambria Math" w:hAnsi="Cambria Math" w:cs="Arial"/>
          </w:rPr>
          <m:t>D</m:t>
        </m:r>
      </m:oMath>
      <w:r w:rsidR="007A1FB6" w:rsidRPr="005021BC">
        <w:rPr>
          <w:rFonts w:cs="Arial"/>
          <w:i w:val="0"/>
          <w:szCs w:val="20"/>
        </w:rPr>
        <w:fldChar w:fldCharType="end"/>
      </w:r>
    </w:p>
    <w:p w:rsidR="00277FD6" w:rsidRPr="005021BC" w:rsidRDefault="00277FD6" w:rsidP="00CE64A1">
      <w:pPr>
        <w:pStyle w:val="Equation"/>
        <w:rPr>
          <w:rFonts w:cs="Arial"/>
          <w:szCs w:val="20"/>
        </w:rPr>
      </w:pPr>
      <w:r w:rsidRPr="005021BC">
        <w:rPr>
          <w:rFonts w:cs="Arial"/>
          <w:szCs w:val="20"/>
        </w:rPr>
        <w:sym w:font="Symbol" w:char="F044"/>
      </w:r>
      <w:proofErr w:type="gramStart"/>
      <w:r w:rsidRPr="005021BC">
        <w:rPr>
          <w:rFonts w:cs="Arial"/>
          <w:szCs w:val="20"/>
        </w:rPr>
        <w:t>kW</w:t>
      </w:r>
      <w:r w:rsidRPr="005021BC">
        <w:rPr>
          <w:rFonts w:cs="Arial"/>
          <w:szCs w:val="20"/>
          <w:vertAlign w:val="subscript"/>
        </w:rPr>
        <w:t>peak</w:t>
      </w:r>
      <w:proofErr w:type="gramEnd"/>
      <w:r w:rsidRPr="005021BC">
        <w:rPr>
          <w:rFonts w:cs="Arial"/>
          <w:szCs w:val="20"/>
          <w:vertAlign w:val="subscript"/>
        </w:rPr>
        <w:tab/>
      </w:r>
      <w:r w:rsidRPr="005021BC">
        <w:rPr>
          <w:rFonts w:cs="Arial"/>
          <w:szCs w:val="20"/>
        </w:rPr>
        <w:tab/>
        <w:t xml:space="preserve">= </w:t>
      </w:r>
      <w:r w:rsidR="007A1FB6" w:rsidRPr="005021BC">
        <w:rPr>
          <w:rFonts w:cs="Arial"/>
          <w:i w:val="0"/>
          <w:szCs w:val="20"/>
        </w:rPr>
        <w:fldChar w:fldCharType="begin"/>
      </w:r>
      <w:r w:rsidR="00F84A22" w:rsidRPr="005021BC">
        <w:rPr>
          <w:rFonts w:cs="Arial"/>
          <w:i w:val="0"/>
          <w:szCs w:val="20"/>
        </w:rPr>
        <w:instrText xml:space="preserve"> QUOTE </w:instrText>
      </w:r>
      <m:oMath>
        <m:f>
          <m:fPr>
            <m:ctrlPr>
              <w:rPr>
                <w:rFonts w:ascii="Cambria Math" w:hAnsi="Cambria Math" w:cs="Arial"/>
              </w:rPr>
            </m:ctrlPr>
          </m:fPr>
          <m:num>
            <m:r>
              <w:rPr>
                <w:rFonts w:ascii="Cambria Math" w:hAnsi="Cambria Math" w:cs="Arial"/>
              </w:rPr>
              <m:t>∆kWh</m:t>
            </m:r>
          </m:num>
          <m:den>
            <m:r>
              <w:rPr>
                <w:rFonts w:ascii="Cambria Math" w:cs="Arial"/>
              </w:rPr>
              <m:t>8760</m:t>
            </m:r>
            <m:r>
              <w:rPr>
                <w:rFonts w:ascii="Cambria Math" w:hAnsi="Cambria Math" w:cs="Arial"/>
              </w:rPr>
              <m:t>*D</m:t>
            </m:r>
          </m:den>
        </m:f>
        <m:r>
          <w:rPr>
            <w:rFonts w:ascii="Cambria Math" w:cs="Arial"/>
          </w:rPr>
          <m:t xml:space="preserve"> </m:t>
        </m:r>
        <m:r>
          <w:rPr>
            <w:rFonts w:ascii="Cambria Math" w:cs="Arial"/>
          </w:rPr>
          <m:t>×</m:t>
        </m:r>
        <m:r>
          <w:rPr>
            <w:rFonts w:ascii="Cambria Math" w:hAnsi="Cambria Math" w:cs="Arial"/>
          </w:rPr>
          <m:t>CF</m:t>
        </m:r>
      </m:oMath>
      <w:r w:rsidR="00F84A22" w:rsidRPr="005021BC">
        <w:rPr>
          <w:rFonts w:cs="Arial"/>
          <w:i w:val="0"/>
          <w:szCs w:val="20"/>
        </w:rPr>
        <w:instrText xml:space="preserve"> </w:instrText>
      </w:r>
      <w:r w:rsidR="007A1FB6" w:rsidRPr="005021BC">
        <w:rPr>
          <w:rFonts w:cs="Arial"/>
          <w:i w:val="0"/>
          <w:szCs w:val="20"/>
        </w:rPr>
        <w:fldChar w:fldCharType="separate"/>
      </w:r>
      <m:oMath>
        <m:f>
          <m:fPr>
            <m:ctrlPr>
              <w:rPr>
                <w:rFonts w:ascii="Cambria Math" w:hAnsi="Cambria Math" w:cs="Arial"/>
              </w:rPr>
            </m:ctrlPr>
          </m:fPr>
          <m:num>
            <m:r>
              <w:rPr>
                <w:rFonts w:ascii="Cambria Math" w:hAnsi="Cambria Math" w:cs="Arial"/>
              </w:rPr>
              <m:t>∆kWh</m:t>
            </m:r>
          </m:num>
          <m:den>
            <m:r>
              <w:rPr>
                <w:rFonts w:ascii="Cambria Math" w:cs="Arial"/>
              </w:rPr>
              <m:t>8760</m:t>
            </m:r>
            <m:r>
              <w:rPr>
                <w:rFonts w:ascii="Cambria Math" w:hAnsi="Cambria Math" w:cs="Arial"/>
              </w:rPr>
              <m:t>*D</m:t>
            </m:r>
          </m:den>
        </m:f>
        <m:r>
          <w:rPr>
            <w:rFonts w:ascii="Cambria Math" w:cs="Arial"/>
          </w:rPr>
          <m:t>×</m:t>
        </m:r>
        <m:r>
          <w:rPr>
            <w:rFonts w:ascii="Cambria Math" w:hAnsi="Cambria Math" w:cs="Arial"/>
          </w:rPr>
          <m:t>CF</m:t>
        </m:r>
      </m:oMath>
      <w:r w:rsidR="007A1FB6" w:rsidRPr="005021BC">
        <w:rPr>
          <w:rFonts w:cs="Arial"/>
          <w:i w:val="0"/>
          <w:szCs w:val="20"/>
        </w:rPr>
        <w:fldChar w:fldCharType="end"/>
      </w:r>
    </w:p>
    <w:p w:rsidR="00277FD6" w:rsidRPr="001507D3" w:rsidRDefault="00277FD6" w:rsidP="00871FA2">
      <w:pPr>
        <w:pStyle w:val="Heading3"/>
      </w:pPr>
      <w:r w:rsidRPr="001507D3">
        <w:t>Definition of Terms</w:t>
      </w:r>
    </w:p>
    <w:p w:rsidR="00277FD6" w:rsidRPr="005021BC" w:rsidRDefault="00277FD6" w:rsidP="00277FD6">
      <w:pPr>
        <w:pStyle w:val="Equation"/>
        <w:rPr>
          <w:rFonts w:cs="Arial"/>
          <w:szCs w:val="20"/>
        </w:rPr>
      </w:pPr>
      <w:r w:rsidRPr="005021BC">
        <w:rPr>
          <w:rFonts w:cs="Arial"/>
          <w:szCs w:val="20"/>
        </w:rPr>
        <w:tab/>
        <w:t>kWh</w:t>
      </w:r>
      <w:r w:rsidRPr="005021BC">
        <w:rPr>
          <w:rFonts w:cs="Arial"/>
          <w:szCs w:val="20"/>
          <w:vertAlign w:val="subscript"/>
        </w:rPr>
        <w:t>base</w:t>
      </w:r>
      <w:r w:rsidRPr="005021BC">
        <w:rPr>
          <w:rFonts w:cs="Arial"/>
          <w:szCs w:val="20"/>
        </w:rPr>
        <w:t xml:space="preserve"> </w:t>
      </w:r>
      <w:r w:rsidRPr="005021BC">
        <w:rPr>
          <w:rFonts w:cs="Arial"/>
          <w:szCs w:val="20"/>
        </w:rPr>
        <w:tab/>
        <w:t>= baseline ice machine energy usage per 100 lbs of ice (kWh/100lbs)</w:t>
      </w:r>
    </w:p>
    <w:p w:rsidR="00277FD6" w:rsidRPr="005021BC" w:rsidRDefault="00277FD6" w:rsidP="00277FD6">
      <w:pPr>
        <w:pStyle w:val="Equation"/>
        <w:rPr>
          <w:rFonts w:cs="Arial"/>
          <w:szCs w:val="20"/>
        </w:rPr>
      </w:pPr>
      <w:r w:rsidRPr="005021BC">
        <w:rPr>
          <w:rFonts w:cs="Arial"/>
          <w:szCs w:val="20"/>
        </w:rPr>
        <w:tab/>
        <w:t>kWh</w:t>
      </w:r>
      <w:r w:rsidRPr="005021BC">
        <w:rPr>
          <w:rFonts w:cs="Arial"/>
          <w:szCs w:val="20"/>
          <w:vertAlign w:val="subscript"/>
        </w:rPr>
        <w:t>he</w:t>
      </w:r>
      <w:r w:rsidRPr="005021BC">
        <w:rPr>
          <w:rFonts w:cs="Arial"/>
          <w:szCs w:val="20"/>
        </w:rPr>
        <w:t xml:space="preserve"> </w:t>
      </w:r>
      <w:r w:rsidRPr="005021BC">
        <w:rPr>
          <w:rFonts w:cs="Arial"/>
          <w:szCs w:val="20"/>
        </w:rPr>
        <w:tab/>
        <w:t>= high-efficiency ice machine energy usage per 100 lbs of ice (kWh/100lbs)</w:t>
      </w:r>
    </w:p>
    <w:p w:rsidR="00277FD6" w:rsidRPr="005021BC" w:rsidRDefault="00277FD6" w:rsidP="00277FD6">
      <w:pPr>
        <w:pStyle w:val="Equation"/>
        <w:rPr>
          <w:rFonts w:cs="Arial"/>
          <w:szCs w:val="20"/>
        </w:rPr>
      </w:pPr>
      <w:r w:rsidRPr="005021BC">
        <w:rPr>
          <w:rFonts w:cs="Arial"/>
          <w:szCs w:val="20"/>
        </w:rPr>
        <w:tab/>
        <w:t xml:space="preserve">H </w:t>
      </w:r>
      <w:r w:rsidRPr="005021BC">
        <w:rPr>
          <w:rFonts w:cs="Arial"/>
          <w:szCs w:val="20"/>
        </w:rPr>
        <w:tab/>
        <w:t>= Ice harvest rate per 24 hrs (lbs/day)</w:t>
      </w:r>
    </w:p>
    <w:p w:rsidR="00277FD6" w:rsidRPr="005021BC" w:rsidRDefault="00277FD6" w:rsidP="00277FD6">
      <w:pPr>
        <w:pStyle w:val="Equation"/>
        <w:rPr>
          <w:rFonts w:cs="Arial"/>
          <w:snapToGrid w:val="0"/>
          <w:szCs w:val="20"/>
        </w:rPr>
      </w:pPr>
      <w:r w:rsidRPr="005021BC">
        <w:rPr>
          <w:rFonts w:cs="Arial"/>
          <w:snapToGrid w:val="0"/>
          <w:szCs w:val="20"/>
        </w:rPr>
        <w:tab/>
        <w:t xml:space="preserve">D </w:t>
      </w:r>
      <w:r w:rsidRPr="005021BC">
        <w:rPr>
          <w:rFonts w:cs="Arial"/>
          <w:snapToGrid w:val="0"/>
          <w:szCs w:val="20"/>
        </w:rPr>
        <w:tab/>
        <w:t>= duty cycle of ice machine expressed as a percentage of time machine produces ice.</w:t>
      </w:r>
    </w:p>
    <w:p w:rsidR="00277FD6" w:rsidRPr="005021BC" w:rsidRDefault="00277FD6" w:rsidP="00277FD6">
      <w:pPr>
        <w:pStyle w:val="Equation"/>
        <w:ind w:hanging="2160"/>
        <w:rPr>
          <w:rFonts w:cs="Arial"/>
          <w:snapToGrid w:val="0"/>
          <w:szCs w:val="20"/>
        </w:rPr>
      </w:pPr>
      <w:r w:rsidRPr="005021BC">
        <w:rPr>
          <w:rFonts w:cs="Arial"/>
          <w:snapToGrid w:val="0"/>
          <w:szCs w:val="20"/>
        </w:rPr>
        <w:t xml:space="preserve">365  </w:t>
      </w:r>
      <w:r w:rsidRPr="005021BC">
        <w:rPr>
          <w:rFonts w:cs="Arial"/>
          <w:snapToGrid w:val="0"/>
          <w:szCs w:val="20"/>
        </w:rPr>
        <w:tab/>
        <w:t>= (days/year)</w:t>
      </w:r>
    </w:p>
    <w:p w:rsidR="00277FD6" w:rsidRPr="005021BC" w:rsidRDefault="00277FD6" w:rsidP="00277FD6">
      <w:pPr>
        <w:pStyle w:val="Equation"/>
        <w:rPr>
          <w:rFonts w:cs="Arial"/>
          <w:snapToGrid w:val="0"/>
          <w:szCs w:val="20"/>
        </w:rPr>
      </w:pPr>
      <w:r w:rsidRPr="005021BC">
        <w:rPr>
          <w:rFonts w:cs="Arial"/>
          <w:snapToGrid w:val="0"/>
          <w:szCs w:val="20"/>
        </w:rPr>
        <w:tab/>
        <w:t xml:space="preserve">100 </w:t>
      </w:r>
      <w:r w:rsidRPr="005021BC">
        <w:rPr>
          <w:rFonts w:cs="Arial"/>
          <w:snapToGrid w:val="0"/>
          <w:szCs w:val="20"/>
        </w:rPr>
        <w:tab/>
        <w:t>= conversion to obtain energy per pound of ice (lbs/100lbs)</w:t>
      </w:r>
    </w:p>
    <w:p w:rsidR="00277FD6" w:rsidRPr="005021BC" w:rsidRDefault="00277FD6" w:rsidP="00277FD6">
      <w:pPr>
        <w:pStyle w:val="Equation"/>
        <w:rPr>
          <w:rFonts w:cs="Arial"/>
          <w:snapToGrid w:val="0"/>
          <w:szCs w:val="20"/>
        </w:rPr>
      </w:pPr>
      <w:r w:rsidRPr="005021BC">
        <w:rPr>
          <w:rFonts w:cs="Arial"/>
          <w:snapToGrid w:val="0"/>
          <w:szCs w:val="20"/>
        </w:rPr>
        <w:tab/>
        <w:t xml:space="preserve">8760 </w:t>
      </w:r>
      <w:r w:rsidRPr="005021BC">
        <w:rPr>
          <w:rFonts w:cs="Arial"/>
          <w:snapToGrid w:val="0"/>
          <w:szCs w:val="20"/>
        </w:rPr>
        <w:tab/>
        <w:t>= (hours/year)</w:t>
      </w:r>
    </w:p>
    <w:p w:rsidR="00277FD6" w:rsidRPr="005021BC" w:rsidRDefault="00277FD6" w:rsidP="00277FD6">
      <w:pPr>
        <w:pStyle w:val="Equation"/>
        <w:rPr>
          <w:rFonts w:cs="Arial"/>
          <w:snapToGrid w:val="0"/>
          <w:szCs w:val="20"/>
        </w:rPr>
      </w:pPr>
      <w:r w:rsidRPr="005021BC">
        <w:rPr>
          <w:rFonts w:cs="Arial"/>
          <w:snapToGrid w:val="0"/>
          <w:szCs w:val="20"/>
        </w:rPr>
        <w:tab/>
        <w:t xml:space="preserve">CF </w:t>
      </w:r>
      <w:r w:rsidRPr="005021BC">
        <w:rPr>
          <w:rFonts w:cs="Arial"/>
          <w:snapToGrid w:val="0"/>
          <w:szCs w:val="20"/>
        </w:rPr>
        <w:tab/>
        <w:t xml:space="preserve">= </w:t>
      </w:r>
      <w:r w:rsidR="005478EE" w:rsidRPr="005021BC">
        <w:rPr>
          <w:rFonts w:cs="Arial"/>
          <w:szCs w:val="20"/>
        </w:rPr>
        <w:t>Demand Coincidence Factor (See Section 1.4)</w:t>
      </w:r>
    </w:p>
    <w:p w:rsidR="00277FD6" w:rsidRPr="001507D3" w:rsidRDefault="00277FD6" w:rsidP="00277FD6">
      <w:pPr>
        <w:spacing w:after="0" w:line="240" w:lineRule="auto"/>
        <w:rPr>
          <w:rFonts w:cs="Arial"/>
          <w:snapToGrid w:val="0"/>
        </w:rPr>
      </w:pPr>
      <w:r w:rsidRPr="001507D3">
        <w:rPr>
          <w:rFonts w:cs="Arial"/>
          <w:snapToGrid w:val="0"/>
        </w:rPr>
        <w:t xml:space="preserve">The reference values for each component of the energy impact algorithm are shown in </w:t>
      </w:r>
      <w:r w:rsidR="00274AB1">
        <w:fldChar w:fldCharType="begin"/>
      </w:r>
      <w:r w:rsidR="00274AB1">
        <w:instrText xml:space="preserve"> REF _Ref271184039 \h  \* MERGEFORMAT </w:instrText>
      </w:r>
      <w:r w:rsidR="00274AB1">
        <w:fldChar w:fldCharType="separate"/>
      </w:r>
      <w:r w:rsidR="00C0292F" w:rsidRPr="00C0292F">
        <w:rPr>
          <w:rFonts w:cs="Arial"/>
        </w:rPr>
        <w:t xml:space="preserve">Table </w:t>
      </w:r>
      <w:r w:rsidR="00C0292F" w:rsidRPr="00C0292F">
        <w:rPr>
          <w:rFonts w:cs="Arial"/>
          <w:noProof/>
        </w:rPr>
        <w:t>3</w:t>
      </w:r>
      <w:r w:rsidR="00C0292F" w:rsidRPr="00C0292F">
        <w:rPr>
          <w:rFonts w:cs="Arial"/>
          <w:noProof/>
        </w:rPr>
        <w:noBreakHyphen/>
        <w:t>49</w:t>
      </w:r>
      <w:r w:rsidR="00274AB1">
        <w:fldChar w:fldCharType="end"/>
      </w:r>
      <w:r w:rsidRPr="001507D3">
        <w:rPr>
          <w:rFonts w:cs="Arial"/>
          <w:snapToGrid w:val="0"/>
        </w:rPr>
        <w:t xml:space="preserve">.  A default duty cycle (D) is provided as based on referenced values from several studies, however, EDC data gathering may be used to adjust the duty cycle for custom applications. </w:t>
      </w:r>
    </w:p>
    <w:p w:rsidR="00277FD6" w:rsidRPr="001507D3" w:rsidRDefault="00277FD6" w:rsidP="00277FD6">
      <w:pPr>
        <w:rPr>
          <w:rFonts w:cs="Arial"/>
          <w:snapToGrid w:val="0"/>
        </w:rPr>
      </w:pPr>
      <w:r w:rsidRPr="001507D3">
        <w:rPr>
          <w:rFonts w:cs="Arial"/>
          <w:snapToGrid w:val="0"/>
        </w:rPr>
        <w:br w:type="page"/>
      </w:r>
    </w:p>
    <w:p w:rsidR="00277FD6" w:rsidRPr="00277FD6" w:rsidRDefault="00277FD6" w:rsidP="00B20F6B">
      <w:pPr>
        <w:pStyle w:val="Caption"/>
      </w:pPr>
      <w:bookmarkStart w:id="947" w:name="_Ref271184039"/>
      <w:bookmarkStart w:id="948" w:name="_Toc310875601"/>
      <w:r w:rsidRPr="00277FD6">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49</w:t>
      </w:r>
      <w:r w:rsidR="00274AB1">
        <w:rPr>
          <w:noProof/>
        </w:rPr>
        <w:fldChar w:fldCharType="end"/>
      </w:r>
      <w:bookmarkEnd w:id="947"/>
      <w:r w:rsidRPr="00277FD6">
        <w:t xml:space="preserve">: </w:t>
      </w:r>
      <w:r>
        <w:t xml:space="preserve">Ice Machine </w:t>
      </w:r>
      <w:r w:rsidRPr="00277FD6">
        <w:t>Reference values for algorithm components</w:t>
      </w:r>
      <w:bookmarkEnd w:id="9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2196"/>
        <w:gridCol w:w="2257"/>
        <w:gridCol w:w="2215"/>
      </w:tblGrid>
      <w:tr w:rsidR="00D43CE5" w:rsidRPr="001507D3" w:rsidTr="00F84A22">
        <w:tc>
          <w:tcPr>
            <w:tcW w:w="2188" w:type="dxa"/>
            <w:shd w:val="clear" w:color="auto" w:fill="D9D9D9"/>
            <w:vAlign w:val="center"/>
          </w:tcPr>
          <w:p w:rsidR="00277FD6" w:rsidRPr="00F84A22" w:rsidRDefault="00277FD6" w:rsidP="008075FC">
            <w:pPr>
              <w:spacing w:before="60" w:after="60"/>
              <w:jc w:val="center"/>
              <w:rPr>
                <w:rFonts w:cs="Arial"/>
                <w:b/>
                <w:snapToGrid w:val="0"/>
              </w:rPr>
            </w:pPr>
            <w:r w:rsidRPr="00F84A22">
              <w:rPr>
                <w:rFonts w:cs="Arial"/>
                <w:b/>
                <w:snapToGrid w:val="0"/>
              </w:rPr>
              <w:t>Term</w:t>
            </w:r>
          </w:p>
        </w:tc>
        <w:tc>
          <w:tcPr>
            <w:tcW w:w="2196" w:type="dxa"/>
            <w:shd w:val="clear" w:color="auto" w:fill="D9D9D9"/>
            <w:vAlign w:val="center"/>
          </w:tcPr>
          <w:p w:rsidR="00277FD6" w:rsidRPr="00F84A22" w:rsidRDefault="00277FD6" w:rsidP="008075FC">
            <w:pPr>
              <w:spacing w:before="60" w:after="60"/>
              <w:jc w:val="center"/>
              <w:rPr>
                <w:rFonts w:cs="Arial"/>
                <w:b/>
                <w:snapToGrid w:val="0"/>
              </w:rPr>
            </w:pPr>
            <w:r w:rsidRPr="00F84A22">
              <w:rPr>
                <w:rFonts w:cs="Arial"/>
                <w:b/>
                <w:snapToGrid w:val="0"/>
              </w:rPr>
              <w:t>Type</w:t>
            </w:r>
          </w:p>
        </w:tc>
        <w:tc>
          <w:tcPr>
            <w:tcW w:w="2257" w:type="dxa"/>
            <w:shd w:val="clear" w:color="auto" w:fill="D9D9D9"/>
            <w:vAlign w:val="center"/>
          </w:tcPr>
          <w:p w:rsidR="00277FD6" w:rsidRPr="00F84A22" w:rsidRDefault="00277FD6" w:rsidP="008075FC">
            <w:pPr>
              <w:spacing w:before="60" w:after="60"/>
              <w:jc w:val="center"/>
              <w:rPr>
                <w:rFonts w:cs="Arial"/>
                <w:b/>
                <w:snapToGrid w:val="0"/>
              </w:rPr>
            </w:pPr>
            <w:r w:rsidRPr="00F84A22">
              <w:rPr>
                <w:rFonts w:cs="Arial"/>
                <w:b/>
                <w:snapToGrid w:val="0"/>
              </w:rPr>
              <w:t>Value</w:t>
            </w:r>
          </w:p>
        </w:tc>
        <w:tc>
          <w:tcPr>
            <w:tcW w:w="2215" w:type="dxa"/>
            <w:shd w:val="clear" w:color="auto" w:fill="D9D9D9"/>
            <w:vAlign w:val="center"/>
          </w:tcPr>
          <w:p w:rsidR="00277FD6" w:rsidRPr="00F84A22" w:rsidRDefault="00277FD6" w:rsidP="008075FC">
            <w:pPr>
              <w:spacing w:before="60" w:after="60"/>
              <w:jc w:val="center"/>
              <w:rPr>
                <w:rFonts w:cs="Arial"/>
                <w:b/>
                <w:snapToGrid w:val="0"/>
              </w:rPr>
            </w:pPr>
            <w:r w:rsidRPr="00F84A22">
              <w:rPr>
                <w:rFonts w:cs="Arial"/>
                <w:b/>
                <w:snapToGrid w:val="0"/>
              </w:rPr>
              <w:t>Source</w:t>
            </w:r>
          </w:p>
        </w:tc>
      </w:tr>
      <w:tr w:rsidR="00D43CE5" w:rsidRPr="001507D3" w:rsidTr="00F84A22">
        <w:tc>
          <w:tcPr>
            <w:tcW w:w="2188" w:type="dxa"/>
            <w:shd w:val="clear" w:color="auto" w:fill="auto"/>
            <w:vAlign w:val="center"/>
          </w:tcPr>
          <w:p w:rsidR="00277FD6" w:rsidRPr="00F84A22" w:rsidRDefault="00277FD6" w:rsidP="008075FC">
            <w:pPr>
              <w:spacing w:before="60" w:after="60"/>
              <w:rPr>
                <w:rFonts w:cs="Arial"/>
                <w:snapToGrid w:val="0"/>
                <w:vertAlign w:val="subscript"/>
              </w:rPr>
            </w:pPr>
            <w:r w:rsidRPr="00F84A22">
              <w:rPr>
                <w:rFonts w:cs="Arial"/>
                <w:snapToGrid w:val="0"/>
              </w:rPr>
              <w:t>kWh</w:t>
            </w:r>
            <w:r w:rsidRPr="00F84A22">
              <w:rPr>
                <w:rFonts w:cs="Arial"/>
                <w:snapToGrid w:val="0"/>
                <w:vertAlign w:val="subscript"/>
              </w:rPr>
              <w:t>base</w:t>
            </w:r>
          </w:p>
        </w:tc>
        <w:tc>
          <w:tcPr>
            <w:tcW w:w="2196" w:type="dxa"/>
            <w:shd w:val="clear" w:color="auto" w:fill="auto"/>
            <w:vAlign w:val="center"/>
          </w:tcPr>
          <w:p w:rsidR="00277FD6" w:rsidRPr="00F84A22" w:rsidRDefault="00277FD6" w:rsidP="008075FC">
            <w:pPr>
              <w:spacing w:before="60" w:after="60"/>
              <w:rPr>
                <w:rFonts w:cs="Arial"/>
                <w:snapToGrid w:val="0"/>
              </w:rPr>
            </w:pPr>
            <w:r w:rsidRPr="00F84A22">
              <w:rPr>
                <w:rFonts w:cs="Arial"/>
                <w:snapToGrid w:val="0"/>
              </w:rPr>
              <w:t>Variable</w:t>
            </w:r>
          </w:p>
        </w:tc>
        <w:tc>
          <w:tcPr>
            <w:tcW w:w="2257" w:type="dxa"/>
            <w:shd w:val="clear" w:color="auto" w:fill="auto"/>
            <w:vAlign w:val="center"/>
          </w:tcPr>
          <w:p w:rsidR="00277FD6" w:rsidRPr="00F84A22" w:rsidRDefault="00274AB1" w:rsidP="008075FC">
            <w:pPr>
              <w:spacing w:before="60" w:after="60"/>
              <w:rPr>
                <w:rFonts w:cs="Arial"/>
                <w:snapToGrid w:val="0"/>
              </w:rPr>
            </w:pPr>
            <w:r>
              <w:fldChar w:fldCharType="begin"/>
            </w:r>
            <w:r>
              <w:instrText xml:space="preserve"> REF _Ref270494188 \h  \* MERGEFORMAT </w:instrText>
            </w:r>
            <w:r>
              <w:fldChar w:fldCharType="separate"/>
            </w:r>
            <w:r w:rsidR="00C0292F" w:rsidRPr="00C0292F">
              <w:rPr>
                <w:rFonts w:cs="Arial"/>
              </w:rPr>
              <w:t xml:space="preserve">Table </w:t>
            </w:r>
            <w:r w:rsidR="00C0292F" w:rsidRPr="00C0292F">
              <w:rPr>
                <w:rFonts w:cs="Arial"/>
                <w:noProof/>
              </w:rPr>
              <w:t>3</w:t>
            </w:r>
            <w:r w:rsidR="00C0292F" w:rsidRPr="00C0292F">
              <w:rPr>
                <w:rFonts w:cs="Arial"/>
                <w:noProof/>
              </w:rPr>
              <w:noBreakHyphen/>
              <w:t>50</w:t>
            </w:r>
            <w:r>
              <w:fldChar w:fldCharType="end"/>
            </w:r>
          </w:p>
        </w:tc>
        <w:tc>
          <w:tcPr>
            <w:tcW w:w="2215" w:type="dxa"/>
            <w:shd w:val="clear" w:color="auto" w:fill="auto"/>
          </w:tcPr>
          <w:p w:rsidR="00277FD6" w:rsidRPr="00F84A22" w:rsidRDefault="00277FD6" w:rsidP="008075FC">
            <w:pPr>
              <w:spacing w:before="60" w:after="60"/>
              <w:jc w:val="center"/>
              <w:rPr>
                <w:rFonts w:cs="Arial"/>
                <w:snapToGrid w:val="0"/>
              </w:rPr>
            </w:pPr>
            <w:r w:rsidRPr="00F84A22">
              <w:rPr>
                <w:rFonts w:cs="Arial"/>
                <w:snapToGrid w:val="0"/>
              </w:rPr>
              <w:t>1</w:t>
            </w:r>
          </w:p>
        </w:tc>
      </w:tr>
      <w:tr w:rsidR="00D43CE5" w:rsidRPr="001507D3" w:rsidTr="00F84A22">
        <w:tc>
          <w:tcPr>
            <w:tcW w:w="2188" w:type="dxa"/>
            <w:shd w:val="clear" w:color="auto" w:fill="auto"/>
            <w:vAlign w:val="center"/>
          </w:tcPr>
          <w:p w:rsidR="00277FD6" w:rsidRPr="00F84A22" w:rsidRDefault="00277FD6" w:rsidP="008075FC">
            <w:pPr>
              <w:spacing w:before="60" w:after="60"/>
              <w:rPr>
                <w:rFonts w:cs="Arial"/>
                <w:snapToGrid w:val="0"/>
              </w:rPr>
            </w:pPr>
            <w:r w:rsidRPr="00F84A22">
              <w:rPr>
                <w:rFonts w:cs="Arial"/>
                <w:snapToGrid w:val="0"/>
              </w:rPr>
              <w:t>kWh</w:t>
            </w:r>
            <w:r w:rsidRPr="00F84A22">
              <w:rPr>
                <w:rFonts w:cs="Arial"/>
                <w:snapToGrid w:val="0"/>
                <w:vertAlign w:val="subscript"/>
              </w:rPr>
              <w:t>he</w:t>
            </w:r>
          </w:p>
        </w:tc>
        <w:tc>
          <w:tcPr>
            <w:tcW w:w="2196" w:type="dxa"/>
            <w:shd w:val="clear" w:color="auto" w:fill="auto"/>
            <w:vAlign w:val="center"/>
          </w:tcPr>
          <w:p w:rsidR="00277FD6" w:rsidRPr="00F84A22" w:rsidRDefault="00277FD6" w:rsidP="008075FC">
            <w:pPr>
              <w:spacing w:before="60" w:after="60"/>
              <w:rPr>
                <w:rFonts w:cs="Arial"/>
                <w:snapToGrid w:val="0"/>
              </w:rPr>
            </w:pPr>
            <w:r w:rsidRPr="00F84A22">
              <w:rPr>
                <w:rFonts w:cs="Arial"/>
                <w:snapToGrid w:val="0"/>
              </w:rPr>
              <w:t>Variable</w:t>
            </w:r>
          </w:p>
        </w:tc>
        <w:tc>
          <w:tcPr>
            <w:tcW w:w="2257" w:type="dxa"/>
            <w:shd w:val="clear" w:color="auto" w:fill="auto"/>
          </w:tcPr>
          <w:p w:rsidR="00277FD6" w:rsidRPr="00F84A22" w:rsidRDefault="00274AB1" w:rsidP="008075FC">
            <w:pPr>
              <w:spacing w:before="60" w:after="60"/>
              <w:rPr>
                <w:rFonts w:cs="Arial"/>
                <w:snapToGrid w:val="0"/>
              </w:rPr>
            </w:pPr>
            <w:r>
              <w:fldChar w:fldCharType="begin"/>
            </w:r>
            <w:r>
              <w:instrText xml:space="preserve"> REF _Ref270494188 \h  \* MERGEFORMAT </w:instrText>
            </w:r>
            <w:r>
              <w:fldChar w:fldCharType="separate"/>
            </w:r>
            <w:r w:rsidR="00C0292F" w:rsidRPr="00C0292F">
              <w:rPr>
                <w:rFonts w:cs="Arial"/>
              </w:rPr>
              <w:t xml:space="preserve">Table </w:t>
            </w:r>
            <w:r w:rsidR="00C0292F" w:rsidRPr="00C0292F">
              <w:rPr>
                <w:rFonts w:cs="Arial"/>
                <w:noProof/>
              </w:rPr>
              <w:t>3</w:t>
            </w:r>
            <w:r w:rsidR="00C0292F" w:rsidRPr="00C0292F">
              <w:rPr>
                <w:rFonts w:cs="Arial"/>
                <w:noProof/>
              </w:rPr>
              <w:noBreakHyphen/>
              <w:t>50</w:t>
            </w:r>
            <w:r>
              <w:fldChar w:fldCharType="end"/>
            </w:r>
          </w:p>
        </w:tc>
        <w:tc>
          <w:tcPr>
            <w:tcW w:w="2215" w:type="dxa"/>
            <w:shd w:val="clear" w:color="auto" w:fill="auto"/>
          </w:tcPr>
          <w:p w:rsidR="00277FD6" w:rsidRPr="00F84A22" w:rsidRDefault="00277FD6" w:rsidP="008075FC">
            <w:pPr>
              <w:spacing w:before="60" w:after="60"/>
              <w:jc w:val="center"/>
              <w:rPr>
                <w:rFonts w:cs="Arial"/>
                <w:snapToGrid w:val="0"/>
              </w:rPr>
            </w:pPr>
            <w:r w:rsidRPr="00F84A22">
              <w:rPr>
                <w:rFonts w:cs="Arial"/>
                <w:snapToGrid w:val="0"/>
              </w:rPr>
              <w:t>2</w:t>
            </w:r>
          </w:p>
        </w:tc>
      </w:tr>
      <w:tr w:rsidR="00D43CE5" w:rsidRPr="001507D3" w:rsidTr="00F84A22">
        <w:tc>
          <w:tcPr>
            <w:tcW w:w="2188" w:type="dxa"/>
            <w:shd w:val="clear" w:color="auto" w:fill="auto"/>
          </w:tcPr>
          <w:p w:rsidR="00277FD6" w:rsidRPr="00F84A22" w:rsidRDefault="00277FD6" w:rsidP="008075FC">
            <w:pPr>
              <w:spacing w:before="60" w:after="60"/>
              <w:rPr>
                <w:rFonts w:cs="Arial"/>
                <w:snapToGrid w:val="0"/>
              </w:rPr>
            </w:pPr>
            <w:r w:rsidRPr="00F84A22">
              <w:rPr>
                <w:rFonts w:cs="Arial"/>
                <w:snapToGrid w:val="0"/>
              </w:rPr>
              <w:t>H</w:t>
            </w:r>
          </w:p>
        </w:tc>
        <w:tc>
          <w:tcPr>
            <w:tcW w:w="2196" w:type="dxa"/>
            <w:shd w:val="clear" w:color="auto" w:fill="auto"/>
          </w:tcPr>
          <w:p w:rsidR="00277FD6" w:rsidRPr="00F84A22" w:rsidRDefault="00277FD6" w:rsidP="008075FC">
            <w:pPr>
              <w:spacing w:before="60" w:after="60"/>
              <w:rPr>
                <w:rFonts w:cs="Arial"/>
                <w:snapToGrid w:val="0"/>
              </w:rPr>
            </w:pPr>
            <w:r w:rsidRPr="00F84A22">
              <w:rPr>
                <w:rFonts w:cs="Arial"/>
                <w:snapToGrid w:val="0"/>
              </w:rPr>
              <w:t>Variable</w:t>
            </w:r>
          </w:p>
        </w:tc>
        <w:tc>
          <w:tcPr>
            <w:tcW w:w="2257" w:type="dxa"/>
            <w:shd w:val="clear" w:color="auto" w:fill="auto"/>
          </w:tcPr>
          <w:p w:rsidR="00277FD6" w:rsidRPr="00F84A22" w:rsidRDefault="00277FD6" w:rsidP="008075FC">
            <w:pPr>
              <w:spacing w:before="60" w:after="60"/>
              <w:rPr>
                <w:rFonts w:cs="Arial"/>
                <w:snapToGrid w:val="0"/>
              </w:rPr>
            </w:pPr>
            <w:r w:rsidRPr="00F84A22">
              <w:rPr>
                <w:rFonts w:cs="Arial"/>
                <w:snapToGrid w:val="0"/>
              </w:rPr>
              <w:t>Manufacturer Specs</w:t>
            </w:r>
          </w:p>
        </w:tc>
        <w:tc>
          <w:tcPr>
            <w:tcW w:w="2215" w:type="dxa"/>
            <w:shd w:val="clear" w:color="auto" w:fill="auto"/>
          </w:tcPr>
          <w:p w:rsidR="00277FD6" w:rsidRPr="00F84A22" w:rsidRDefault="00277FD6" w:rsidP="008075FC">
            <w:pPr>
              <w:spacing w:before="60" w:after="60"/>
              <w:jc w:val="center"/>
              <w:rPr>
                <w:rFonts w:cs="Arial"/>
                <w:snapToGrid w:val="0"/>
              </w:rPr>
            </w:pPr>
            <w:r w:rsidRPr="00F84A22">
              <w:rPr>
                <w:rFonts w:cs="Arial"/>
                <w:snapToGrid w:val="0"/>
              </w:rPr>
              <w:t>EDC Data Gathering</w:t>
            </w:r>
          </w:p>
        </w:tc>
      </w:tr>
      <w:tr w:rsidR="00D43CE5" w:rsidRPr="001507D3" w:rsidTr="00F84A22">
        <w:tc>
          <w:tcPr>
            <w:tcW w:w="2188" w:type="dxa"/>
            <w:vMerge w:val="restart"/>
            <w:shd w:val="clear" w:color="auto" w:fill="auto"/>
            <w:vAlign w:val="center"/>
          </w:tcPr>
          <w:p w:rsidR="00277FD6" w:rsidRPr="00F84A22" w:rsidRDefault="00277FD6" w:rsidP="008075FC">
            <w:pPr>
              <w:spacing w:before="60" w:after="60"/>
              <w:rPr>
                <w:rFonts w:cs="Arial"/>
                <w:snapToGrid w:val="0"/>
              </w:rPr>
            </w:pPr>
            <w:r w:rsidRPr="00F84A22">
              <w:rPr>
                <w:rFonts w:cs="Arial"/>
                <w:snapToGrid w:val="0"/>
              </w:rPr>
              <w:t>D</w:t>
            </w:r>
          </w:p>
        </w:tc>
        <w:tc>
          <w:tcPr>
            <w:tcW w:w="2196" w:type="dxa"/>
            <w:vMerge w:val="restart"/>
            <w:shd w:val="clear" w:color="auto" w:fill="auto"/>
            <w:vAlign w:val="center"/>
          </w:tcPr>
          <w:p w:rsidR="00277FD6" w:rsidRPr="00F84A22" w:rsidRDefault="00277FD6" w:rsidP="008075FC">
            <w:pPr>
              <w:spacing w:before="60" w:after="60"/>
              <w:rPr>
                <w:rFonts w:cs="Arial"/>
                <w:snapToGrid w:val="0"/>
              </w:rPr>
            </w:pPr>
            <w:r w:rsidRPr="00F84A22">
              <w:rPr>
                <w:rFonts w:cs="Arial"/>
                <w:snapToGrid w:val="0"/>
              </w:rPr>
              <w:t>Variable</w:t>
            </w:r>
          </w:p>
        </w:tc>
        <w:tc>
          <w:tcPr>
            <w:tcW w:w="2257" w:type="dxa"/>
            <w:shd w:val="clear" w:color="auto" w:fill="auto"/>
          </w:tcPr>
          <w:p w:rsidR="00277FD6" w:rsidRPr="00F84A22" w:rsidRDefault="00277FD6" w:rsidP="008075FC">
            <w:pPr>
              <w:spacing w:before="60" w:after="60"/>
              <w:rPr>
                <w:rFonts w:cs="Arial"/>
                <w:snapToGrid w:val="0"/>
              </w:rPr>
            </w:pPr>
            <w:r w:rsidRPr="00F84A22">
              <w:rPr>
                <w:rFonts w:cs="Arial"/>
                <w:snapToGrid w:val="0"/>
              </w:rPr>
              <w:t>Default = 0.4</w:t>
            </w:r>
            <w:r w:rsidRPr="00F84A22">
              <w:rPr>
                <w:rStyle w:val="FootnoteReference"/>
                <w:rFonts w:cs="Arial"/>
                <w:snapToGrid w:val="0"/>
              </w:rPr>
              <w:footnoteReference w:id="175"/>
            </w:r>
          </w:p>
        </w:tc>
        <w:tc>
          <w:tcPr>
            <w:tcW w:w="2215" w:type="dxa"/>
            <w:shd w:val="clear" w:color="auto" w:fill="auto"/>
          </w:tcPr>
          <w:p w:rsidR="00277FD6" w:rsidRPr="00F84A22" w:rsidRDefault="00277FD6" w:rsidP="008075FC">
            <w:pPr>
              <w:spacing w:before="60" w:after="60"/>
              <w:jc w:val="center"/>
              <w:rPr>
                <w:rFonts w:cs="Arial"/>
                <w:snapToGrid w:val="0"/>
              </w:rPr>
            </w:pPr>
            <w:r w:rsidRPr="00F84A22">
              <w:rPr>
                <w:rFonts w:cs="Arial"/>
                <w:snapToGrid w:val="0"/>
              </w:rPr>
              <w:t>3</w:t>
            </w:r>
          </w:p>
        </w:tc>
      </w:tr>
      <w:tr w:rsidR="00D43CE5" w:rsidRPr="001507D3" w:rsidTr="00F84A22">
        <w:tc>
          <w:tcPr>
            <w:tcW w:w="2188" w:type="dxa"/>
            <w:vMerge/>
            <w:shd w:val="clear" w:color="auto" w:fill="auto"/>
          </w:tcPr>
          <w:p w:rsidR="00277FD6" w:rsidRPr="00F84A22" w:rsidRDefault="00277FD6" w:rsidP="008075FC">
            <w:pPr>
              <w:spacing w:before="60" w:after="60"/>
              <w:rPr>
                <w:rFonts w:cs="Arial"/>
                <w:snapToGrid w:val="0"/>
              </w:rPr>
            </w:pPr>
          </w:p>
        </w:tc>
        <w:tc>
          <w:tcPr>
            <w:tcW w:w="2196" w:type="dxa"/>
            <w:vMerge/>
            <w:shd w:val="clear" w:color="auto" w:fill="auto"/>
          </w:tcPr>
          <w:p w:rsidR="00277FD6" w:rsidRPr="00F84A22" w:rsidRDefault="00277FD6" w:rsidP="008075FC">
            <w:pPr>
              <w:spacing w:before="60" w:after="60"/>
              <w:rPr>
                <w:rFonts w:cs="Arial"/>
                <w:snapToGrid w:val="0"/>
              </w:rPr>
            </w:pPr>
          </w:p>
        </w:tc>
        <w:tc>
          <w:tcPr>
            <w:tcW w:w="2257" w:type="dxa"/>
            <w:shd w:val="clear" w:color="auto" w:fill="auto"/>
          </w:tcPr>
          <w:p w:rsidR="00277FD6" w:rsidRPr="00F84A22" w:rsidRDefault="00277FD6" w:rsidP="008075FC">
            <w:pPr>
              <w:spacing w:before="60" w:after="60"/>
              <w:rPr>
                <w:rFonts w:cs="Arial"/>
                <w:snapToGrid w:val="0"/>
              </w:rPr>
            </w:pPr>
            <w:r w:rsidRPr="00F84A22">
              <w:rPr>
                <w:rFonts w:cs="Arial"/>
                <w:snapToGrid w:val="0"/>
              </w:rPr>
              <w:t>Custom</w:t>
            </w:r>
          </w:p>
        </w:tc>
        <w:tc>
          <w:tcPr>
            <w:tcW w:w="2215" w:type="dxa"/>
            <w:shd w:val="clear" w:color="auto" w:fill="auto"/>
          </w:tcPr>
          <w:p w:rsidR="00277FD6" w:rsidRPr="00F84A22" w:rsidRDefault="00277FD6" w:rsidP="008075FC">
            <w:pPr>
              <w:spacing w:before="60" w:after="60"/>
              <w:jc w:val="center"/>
              <w:rPr>
                <w:rFonts w:cs="Arial"/>
                <w:snapToGrid w:val="0"/>
              </w:rPr>
            </w:pPr>
            <w:r w:rsidRPr="00F84A22">
              <w:rPr>
                <w:rFonts w:cs="Arial"/>
                <w:snapToGrid w:val="0"/>
              </w:rPr>
              <w:t>EDC Data Gathering</w:t>
            </w:r>
          </w:p>
        </w:tc>
      </w:tr>
      <w:tr w:rsidR="00D43CE5" w:rsidRPr="001507D3" w:rsidTr="00F84A22">
        <w:tc>
          <w:tcPr>
            <w:tcW w:w="2188" w:type="dxa"/>
            <w:shd w:val="clear" w:color="auto" w:fill="auto"/>
          </w:tcPr>
          <w:p w:rsidR="00277FD6" w:rsidRPr="00F84A22" w:rsidRDefault="00277FD6" w:rsidP="008075FC">
            <w:pPr>
              <w:spacing w:before="60" w:after="60"/>
              <w:rPr>
                <w:rFonts w:cs="Arial"/>
                <w:snapToGrid w:val="0"/>
              </w:rPr>
            </w:pPr>
            <w:r w:rsidRPr="00F84A22">
              <w:rPr>
                <w:rFonts w:cs="Arial"/>
                <w:snapToGrid w:val="0"/>
              </w:rPr>
              <w:t>Ice maker type</w:t>
            </w:r>
          </w:p>
        </w:tc>
        <w:tc>
          <w:tcPr>
            <w:tcW w:w="2196" w:type="dxa"/>
            <w:shd w:val="clear" w:color="auto" w:fill="auto"/>
          </w:tcPr>
          <w:p w:rsidR="00277FD6" w:rsidRPr="00F84A22" w:rsidRDefault="00277FD6" w:rsidP="008075FC">
            <w:pPr>
              <w:spacing w:before="60" w:after="60"/>
              <w:rPr>
                <w:rFonts w:cs="Arial"/>
                <w:snapToGrid w:val="0"/>
              </w:rPr>
            </w:pPr>
            <w:r w:rsidRPr="00F84A22">
              <w:rPr>
                <w:rFonts w:cs="Arial"/>
                <w:snapToGrid w:val="0"/>
              </w:rPr>
              <w:t>Variable</w:t>
            </w:r>
          </w:p>
        </w:tc>
        <w:tc>
          <w:tcPr>
            <w:tcW w:w="2257" w:type="dxa"/>
            <w:shd w:val="clear" w:color="auto" w:fill="auto"/>
          </w:tcPr>
          <w:p w:rsidR="00277FD6" w:rsidRPr="00F84A22" w:rsidRDefault="00277FD6" w:rsidP="008075FC">
            <w:pPr>
              <w:spacing w:before="60" w:after="60"/>
              <w:rPr>
                <w:rFonts w:cs="Arial"/>
                <w:snapToGrid w:val="0"/>
              </w:rPr>
            </w:pPr>
            <w:r w:rsidRPr="00F84A22">
              <w:rPr>
                <w:rFonts w:cs="Arial"/>
                <w:snapToGrid w:val="0"/>
              </w:rPr>
              <w:t>Manufacturer Specs</w:t>
            </w:r>
          </w:p>
        </w:tc>
        <w:tc>
          <w:tcPr>
            <w:tcW w:w="2215" w:type="dxa"/>
            <w:shd w:val="clear" w:color="auto" w:fill="auto"/>
          </w:tcPr>
          <w:p w:rsidR="00277FD6" w:rsidRPr="00F84A22" w:rsidRDefault="00277FD6" w:rsidP="008075FC">
            <w:pPr>
              <w:spacing w:before="60" w:after="60"/>
              <w:jc w:val="center"/>
              <w:rPr>
                <w:rFonts w:cs="Arial"/>
                <w:snapToGrid w:val="0"/>
              </w:rPr>
            </w:pPr>
            <w:r w:rsidRPr="00F84A22">
              <w:rPr>
                <w:rFonts w:cs="Arial"/>
                <w:snapToGrid w:val="0"/>
              </w:rPr>
              <w:t>EDC Data Gathering</w:t>
            </w:r>
          </w:p>
        </w:tc>
      </w:tr>
      <w:tr w:rsidR="00D43CE5" w:rsidRPr="001507D3" w:rsidTr="00F84A22">
        <w:tc>
          <w:tcPr>
            <w:tcW w:w="2188" w:type="dxa"/>
            <w:shd w:val="clear" w:color="auto" w:fill="auto"/>
            <w:vAlign w:val="center"/>
          </w:tcPr>
          <w:p w:rsidR="00277FD6" w:rsidRPr="00F84A22" w:rsidRDefault="00277FD6" w:rsidP="008075FC">
            <w:pPr>
              <w:spacing w:before="60" w:after="60"/>
              <w:rPr>
                <w:rFonts w:cs="Arial"/>
                <w:snapToGrid w:val="0"/>
              </w:rPr>
            </w:pPr>
            <w:r w:rsidRPr="00F84A22">
              <w:rPr>
                <w:rFonts w:cs="Arial"/>
                <w:snapToGrid w:val="0"/>
              </w:rPr>
              <w:t>CF</w:t>
            </w:r>
          </w:p>
        </w:tc>
        <w:tc>
          <w:tcPr>
            <w:tcW w:w="2196" w:type="dxa"/>
            <w:shd w:val="clear" w:color="auto" w:fill="auto"/>
            <w:vAlign w:val="center"/>
          </w:tcPr>
          <w:p w:rsidR="00277FD6" w:rsidRPr="00F84A22" w:rsidRDefault="00277FD6" w:rsidP="008075FC">
            <w:pPr>
              <w:spacing w:before="60" w:after="60"/>
              <w:rPr>
                <w:rFonts w:cs="Arial"/>
                <w:snapToGrid w:val="0"/>
              </w:rPr>
            </w:pPr>
            <w:r w:rsidRPr="00F84A22">
              <w:rPr>
                <w:rFonts w:cs="Arial"/>
                <w:snapToGrid w:val="0"/>
              </w:rPr>
              <w:t>Fixed</w:t>
            </w:r>
          </w:p>
        </w:tc>
        <w:tc>
          <w:tcPr>
            <w:tcW w:w="2257" w:type="dxa"/>
            <w:shd w:val="clear" w:color="auto" w:fill="auto"/>
          </w:tcPr>
          <w:p w:rsidR="00277FD6" w:rsidRPr="00F84A22" w:rsidRDefault="00277FD6" w:rsidP="008075FC">
            <w:pPr>
              <w:spacing w:before="60" w:after="60"/>
              <w:rPr>
                <w:rFonts w:cs="Arial"/>
                <w:snapToGrid w:val="0"/>
              </w:rPr>
            </w:pPr>
            <w:r w:rsidRPr="00F84A22">
              <w:rPr>
                <w:rFonts w:cs="Arial"/>
                <w:snapToGrid w:val="0"/>
              </w:rPr>
              <w:t xml:space="preserve">0.77 </w:t>
            </w:r>
          </w:p>
        </w:tc>
        <w:tc>
          <w:tcPr>
            <w:tcW w:w="2215" w:type="dxa"/>
            <w:shd w:val="clear" w:color="auto" w:fill="auto"/>
          </w:tcPr>
          <w:p w:rsidR="00277FD6" w:rsidRPr="00F84A22" w:rsidRDefault="00277FD6" w:rsidP="008075FC">
            <w:pPr>
              <w:spacing w:before="60" w:after="60"/>
              <w:jc w:val="center"/>
              <w:rPr>
                <w:rFonts w:cs="Arial"/>
                <w:snapToGrid w:val="0"/>
              </w:rPr>
            </w:pPr>
            <w:r w:rsidRPr="00F84A22">
              <w:rPr>
                <w:rFonts w:cs="Arial"/>
                <w:snapToGrid w:val="0"/>
              </w:rPr>
              <w:t>4</w:t>
            </w:r>
          </w:p>
        </w:tc>
      </w:tr>
    </w:tbl>
    <w:p w:rsidR="00277FD6" w:rsidRDefault="00277FD6" w:rsidP="00C3606E">
      <w:pPr>
        <w:pStyle w:val="source1"/>
        <w:numPr>
          <w:ilvl w:val="0"/>
          <w:numId w:val="0"/>
        </w:numPr>
        <w:rPr>
          <w:snapToGrid w:val="0"/>
        </w:rPr>
      </w:pPr>
    </w:p>
    <w:p w:rsidR="00277FD6" w:rsidRPr="00BC5194" w:rsidRDefault="00277FD6" w:rsidP="00B20F6B">
      <w:pPr>
        <w:rPr>
          <w:b/>
          <w:snapToGrid w:val="0"/>
        </w:rPr>
      </w:pPr>
      <w:r w:rsidRPr="00BC5194">
        <w:rPr>
          <w:b/>
          <w:snapToGrid w:val="0"/>
        </w:rPr>
        <w:t>Sources:</w:t>
      </w:r>
    </w:p>
    <w:p w:rsidR="00277FD6" w:rsidRPr="00277FD6" w:rsidRDefault="00277FD6" w:rsidP="0005632A">
      <w:pPr>
        <w:pStyle w:val="source1"/>
        <w:numPr>
          <w:ilvl w:val="0"/>
          <w:numId w:val="65"/>
        </w:numPr>
        <w:rPr>
          <w:snapToGrid w:val="0"/>
        </w:rPr>
      </w:pPr>
      <w:r w:rsidRPr="00277FD6">
        <w:rPr>
          <w:snapToGrid w:val="0"/>
        </w:rPr>
        <w:t>Specifications for CEE Tier 1 ice machines.</w:t>
      </w:r>
    </w:p>
    <w:p w:rsidR="00277FD6" w:rsidRPr="001507D3" w:rsidRDefault="00277FD6" w:rsidP="00C3606E">
      <w:pPr>
        <w:pStyle w:val="source1"/>
        <w:rPr>
          <w:snapToGrid w:val="0"/>
        </w:rPr>
      </w:pPr>
      <w:r w:rsidRPr="001507D3">
        <w:rPr>
          <w:snapToGrid w:val="0"/>
        </w:rPr>
        <w:t>Specifications for CEE Tier 2 ice machines.</w:t>
      </w:r>
    </w:p>
    <w:p w:rsidR="00277FD6" w:rsidRPr="001507D3" w:rsidRDefault="00277FD6" w:rsidP="00C3606E">
      <w:pPr>
        <w:pStyle w:val="source1"/>
        <w:rPr>
          <w:snapToGrid w:val="0"/>
        </w:rPr>
      </w:pPr>
      <w:r w:rsidRPr="001507D3">
        <w:rPr>
          <w:i/>
          <w:snapToGrid w:val="0"/>
        </w:rPr>
        <w:t>State of Ohio Energy Efficiency Technical Reference Manual</w:t>
      </w:r>
      <w:r w:rsidRPr="001507D3">
        <w:rPr>
          <w:snapToGrid w:val="0"/>
        </w:rPr>
        <w:t xml:space="preserve"> cites a default duty cycle of 40% as a conservative value.  Other studies range as high as 75%.</w:t>
      </w:r>
    </w:p>
    <w:p w:rsidR="00277FD6" w:rsidRPr="001507D3" w:rsidRDefault="00277FD6" w:rsidP="00C3606E">
      <w:pPr>
        <w:pStyle w:val="source1"/>
        <w:rPr>
          <w:snapToGrid w:val="0"/>
        </w:rPr>
      </w:pPr>
      <w:r w:rsidRPr="001507D3">
        <w:rPr>
          <w:i/>
          <w:snapToGrid w:val="0"/>
        </w:rPr>
        <w:t>State of Ohio Energy Efficiency Technical Reference Manual</w:t>
      </w:r>
      <w:r w:rsidRPr="001507D3">
        <w:rPr>
          <w:snapToGrid w:val="0"/>
        </w:rPr>
        <w:t xml:space="preserve"> cites a CF = 0.772 as adopted from the Efficiency Vermont TRM. Assumes CF for ice machines is similar to that for general commercial refrigeration equipment.</w:t>
      </w:r>
    </w:p>
    <w:p w:rsidR="00277FD6" w:rsidRPr="001507D3" w:rsidRDefault="00277FD6" w:rsidP="00277FD6">
      <w:pPr>
        <w:spacing w:after="0" w:line="240" w:lineRule="auto"/>
        <w:rPr>
          <w:rFonts w:cs="Arial"/>
          <w:snapToGrid w:val="0"/>
        </w:rPr>
      </w:pPr>
    </w:p>
    <w:p w:rsidR="00277FD6" w:rsidRPr="001507D3" w:rsidRDefault="00277FD6" w:rsidP="00871FA2">
      <w:pPr>
        <w:pStyle w:val="Heading3"/>
      </w:pPr>
      <w:r w:rsidRPr="001507D3">
        <w:t>Energy Savings Calculations</w:t>
      </w:r>
    </w:p>
    <w:p w:rsidR="00277FD6" w:rsidRPr="001507D3" w:rsidRDefault="00277FD6" w:rsidP="00277FD6">
      <w:r w:rsidRPr="001507D3">
        <w:rPr>
          <w:snapToGrid w:val="0"/>
        </w:rPr>
        <w:t xml:space="preserve">Ice machine energy usage levels are dependent on the ice harvest rate (H), and are calculated using CEE specifications as shown in </w:t>
      </w:r>
      <w:r w:rsidR="00274AB1">
        <w:fldChar w:fldCharType="begin"/>
      </w:r>
      <w:r w:rsidR="00274AB1">
        <w:instrText xml:space="preserve"> REF _Ref270494188 \h  \* MERGEFORMAT </w:instrText>
      </w:r>
      <w:r w:rsidR="00274AB1">
        <w:fldChar w:fldCharType="separate"/>
      </w:r>
      <w:r w:rsidR="00C0292F" w:rsidRPr="00277FD6">
        <w:t xml:space="preserve">Table </w:t>
      </w:r>
      <w:r w:rsidR="00C0292F">
        <w:rPr>
          <w:noProof/>
        </w:rPr>
        <w:t>3</w:t>
      </w:r>
      <w:r w:rsidR="00C0292F">
        <w:rPr>
          <w:noProof/>
        </w:rPr>
        <w:noBreakHyphen/>
        <w:t>50</w:t>
      </w:r>
      <w:r w:rsidR="00274AB1">
        <w:fldChar w:fldCharType="end"/>
      </w:r>
      <w:r w:rsidRPr="001507D3">
        <w:rPr>
          <w:snapToGrid w:val="0"/>
        </w:rPr>
        <w:t>.  The default energy consumption for the baseline ice machine (</w:t>
      </w:r>
      <w:r w:rsidRPr="001507D3">
        <w:t>kWh</w:t>
      </w:r>
      <w:r w:rsidRPr="001507D3">
        <w:rPr>
          <w:vertAlign w:val="subscript"/>
        </w:rPr>
        <w:t>base</w:t>
      </w:r>
      <w:r w:rsidRPr="001507D3">
        <w:t>) is calculated using the formula for CEE Tier 1 specifications, and the default energy consumption for the high-efficiency ice machine (kWh</w:t>
      </w:r>
      <w:r w:rsidRPr="001507D3">
        <w:rPr>
          <w:vertAlign w:val="subscript"/>
        </w:rPr>
        <w:t>he</w:t>
      </w:r>
      <w:r w:rsidRPr="001507D3">
        <w:t>) is calculated using the formula for CEE Tier 2 specifications</w:t>
      </w:r>
      <w:r w:rsidRPr="001507D3">
        <w:rPr>
          <w:rStyle w:val="FootnoteReference"/>
          <w:rFonts w:cs="Arial"/>
        </w:rPr>
        <w:footnoteReference w:id="176"/>
      </w:r>
      <w:r w:rsidRPr="001507D3">
        <w:t xml:space="preserve">.  The two energy consumption values are then applied to the energy savings algorithm above.  </w:t>
      </w:r>
    </w:p>
    <w:p w:rsidR="00277FD6" w:rsidRPr="001507D3" w:rsidRDefault="00277FD6" w:rsidP="00277FD6">
      <w:r w:rsidRPr="001507D3">
        <w:br w:type="page"/>
      </w:r>
    </w:p>
    <w:p w:rsidR="00277FD6" w:rsidRPr="00277FD6" w:rsidRDefault="00277FD6" w:rsidP="00B20F6B">
      <w:pPr>
        <w:pStyle w:val="Caption"/>
      </w:pPr>
      <w:bookmarkStart w:id="949" w:name="_Ref270494188"/>
      <w:bookmarkStart w:id="950" w:name="_Toc310875602"/>
      <w:r w:rsidRPr="00277FD6">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50</w:t>
      </w:r>
      <w:r w:rsidR="00274AB1">
        <w:rPr>
          <w:noProof/>
        </w:rPr>
        <w:fldChar w:fldCharType="end"/>
      </w:r>
      <w:bookmarkEnd w:id="949"/>
      <w:r w:rsidRPr="00277FD6">
        <w:t xml:space="preserve">: </w:t>
      </w:r>
      <w:r>
        <w:t>Ice Machine Energy Usage</w:t>
      </w:r>
      <w:r w:rsidRPr="00277FD6">
        <w:rPr>
          <w:rStyle w:val="FootnoteReference"/>
        </w:rPr>
        <w:footnoteReference w:id="177"/>
      </w:r>
      <w:bookmarkEnd w:id="9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2236"/>
        <w:gridCol w:w="2246"/>
        <w:gridCol w:w="2012"/>
      </w:tblGrid>
      <w:tr w:rsidR="00D43CE5" w:rsidRPr="001507D3" w:rsidTr="00F84A22">
        <w:tc>
          <w:tcPr>
            <w:tcW w:w="2542" w:type="dxa"/>
            <w:tcBorders>
              <w:bottom w:val="single" w:sz="4" w:space="0" w:color="000000"/>
            </w:tcBorders>
            <w:shd w:val="clear" w:color="auto" w:fill="D9D9D9"/>
          </w:tcPr>
          <w:p w:rsidR="00277FD6" w:rsidRPr="00F84A22" w:rsidRDefault="00277FD6" w:rsidP="00C3606E">
            <w:pPr>
              <w:spacing w:before="60" w:after="60"/>
              <w:jc w:val="center"/>
              <w:rPr>
                <w:rFonts w:cs="Arial"/>
                <w:b/>
                <w:snapToGrid w:val="0"/>
              </w:rPr>
            </w:pPr>
            <w:r w:rsidRPr="00F84A22">
              <w:rPr>
                <w:rFonts w:cs="Arial"/>
                <w:b/>
                <w:snapToGrid w:val="0"/>
              </w:rPr>
              <w:t>Ice machine type</w:t>
            </w:r>
          </w:p>
        </w:tc>
        <w:tc>
          <w:tcPr>
            <w:tcW w:w="2435" w:type="dxa"/>
            <w:tcBorders>
              <w:bottom w:val="single" w:sz="4" w:space="0" w:color="000000"/>
            </w:tcBorders>
            <w:shd w:val="clear" w:color="auto" w:fill="D9D9D9"/>
          </w:tcPr>
          <w:p w:rsidR="00277FD6" w:rsidRPr="00F84A22" w:rsidRDefault="00277FD6" w:rsidP="00C3606E">
            <w:pPr>
              <w:spacing w:before="60" w:after="60"/>
              <w:jc w:val="center"/>
              <w:rPr>
                <w:rFonts w:cs="Arial"/>
                <w:b/>
                <w:snapToGrid w:val="0"/>
              </w:rPr>
            </w:pPr>
            <w:r w:rsidRPr="00F84A22">
              <w:rPr>
                <w:rFonts w:cs="Arial"/>
                <w:b/>
                <w:snapToGrid w:val="0"/>
              </w:rPr>
              <w:t>Ice harvest rate (H)</w:t>
            </w:r>
          </w:p>
          <w:p w:rsidR="00277FD6" w:rsidRPr="00F84A22" w:rsidRDefault="00277FD6" w:rsidP="00C3606E">
            <w:pPr>
              <w:spacing w:before="60" w:after="60"/>
              <w:jc w:val="center"/>
              <w:rPr>
                <w:rFonts w:cs="Arial"/>
                <w:b/>
                <w:snapToGrid w:val="0"/>
              </w:rPr>
            </w:pPr>
            <w:r w:rsidRPr="00F84A22">
              <w:rPr>
                <w:rFonts w:cs="Arial"/>
                <w:b/>
                <w:snapToGrid w:val="0"/>
              </w:rPr>
              <w:t>(lbs/day)</w:t>
            </w:r>
          </w:p>
        </w:tc>
        <w:tc>
          <w:tcPr>
            <w:tcW w:w="2442" w:type="dxa"/>
            <w:tcBorders>
              <w:bottom w:val="single" w:sz="4" w:space="0" w:color="000000"/>
            </w:tcBorders>
            <w:shd w:val="clear" w:color="auto" w:fill="D9D9D9"/>
          </w:tcPr>
          <w:p w:rsidR="00277FD6" w:rsidRPr="00F84A22" w:rsidRDefault="00277FD6" w:rsidP="00C3606E">
            <w:pPr>
              <w:spacing w:before="60" w:after="60"/>
              <w:jc w:val="center"/>
              <w:rPr>
                <w:rFonts w:cs="Arial"/>
                <w:b/>
                <w:snapToGrid w:val="0"/>
              </w:rPr>
            </w:pPr>
            <w:r w:rsidRPr="00F84A22">
              <w:rPr>
                <w:rFonts w:cs="Arial"/>
                <w:b/>
                <w:snapToGrid w:val="0"/>
              </w:rPr>
              <w:t>Baseline energy use per 100 lbs of ice</w:t>
            </w:r>
          </w:p>
          <w:p w:rsidR="00277FD6" w:rsidRPr="00F84A22" w:rsidRDefault="00277FD6" w:rsidP="00C3606E">
            <w:pPr>
              <w:spacing w:before="60" w:after="60"/>
              <w:jc w:val="center"/>
              <w:rPr>
                <w:rFonts w:cs="Arial"/>
                <w:b/>
                <w:snapToGrid w:val="0"/>
              </w:rPr>
            </w:pPr>
            <w:r w:rsidRPr="00F84A22">
              <w:rPr>
                <w:rFonts w:cs="Arial"/>
                <w:b/>
                <w:snapToGrid w:val="0"/>
              </w:rPr>
              <w:t>(kWh</w:t>
            </w:r>
            <w:r w:rsidRPr="00F84A22">
              <w:rPr>
                <w:rFonts w:cs="Arial"/>
                <w:b/>
                <w:snapToGrid w:val="0"/>
                <w:vertAlign w:val="subscript"/>
              </w:rPr>
              <w:t>base</w:t>
            </w:r>
            <w:r w:rsidRPr="00F84A22">
              <w:rPr>
                <w:rFonts w:cs="Arial"/>
                <w:b/>
                <w:snapToGrid w:val="0"/>
              </w:rPr>
              <w:t>)</w:t>
            </w:r>
          </w:p>
        </w:tc>
        <w:tc>
          <w:tcPr>
            <w:tcW w:w="2157" w:type="dxa"/>
            <w:tcBorders>
              <w:bottom w:val="single" w:sz="4" w:space="0" w:color="000000"/>
            </w:tcBorders>
            <w:shd w:val="clear" w:color="auto" w:fill="D9D9D9"/>
          </w:tcPr>
          <w:p w:rsidR="00277FD6" w:rsidRPr="00F84A22" w:rsidRDefault="00277FD6" w:rsidP="00C3606E">
            <w:pPr>
              <w:spacing w:before="60" w:after="60"/>
              <w:jc w:val="center"/>
              <w:rPr>
                <w:rFonts w:cs="Arial"/>
                <w:b/>
                <w:snapToGrid w:val="0"/>
              </w:rPr>
            </w:pPr>
            <w:r w:rsidRPr="00F84A22">
              <w:rPr>
                <w:rFonts w:cs="Arial"/>
                <w:b/>
                <w:snapToGrid w:val="0"/>
              </w:rPr>
              <w:t>High-efficiency energy use per 100 lbs of ice</w:t>
            </w:r>
          </w:p>
          <w:p w:rsidR="00277FD6" w:rsidRPr="00F84A22" w:rsidRDefault="00277FD6" w:rsidP="00C3606E">
            <w:pPr>
              <w:spacing w:before="60" w:after="60"/>
              <w:jc w:val="center"/>
              <w:rPr>
                <w:rFonts w:cs="Arial"/>
                <w:b/>
                <w:snapToGrid w:val="0"/>
              </w:rPr>
            </w:pPr>
            <w:r w:rsidRPr="00F84A22">
              <w:rPr>
                <w:rFonts w:cs="Arial"/>
                <w:b/>
                <w:snapToGrid w:val="0"/>
              </w:rPr>
              <w:t>(kWh</w:t>
            </w:r>
            <w:r w:rsidRPr="00F84A22">
              <w:rPr>
                <w:rFonts w:cs="Arial"/>
                <w:b/>
                <w:snapToGrid w:val="0"/>
                <w:vertAlign w:val="subscript"/>
              </w:rPr>
              <w:t>he</w:t>
            </w:r>
            <w:r w:rsidRPr="00F84A22">
              <w:rPr>
                <w:rFonts w:cs="Arial"/>
                <w:b/>
                <w:snapToGrid w:val="0"/>
              </w:rPr>
              <w:t>)</w:t>
            </w:r>
          </w:p>
        </w:tc>
      </w:tr>
      <w:tr w:rsidR="00D43CE5" w:rsidRPr="001507D3" w:rsidTr="00F84A22">
        <w:tc>
          <w:tcPr>
            <w:tcW w:w="2542" w:type="dxa"/>
            <w:vMerge w:val="restart"/>
            <w:shd w:val="clear" w:color="auto" w:fill="D9D9D9"/>
            <w:vAlign w:val="center"/>
          </w:tcPr>
          <w:p w:rsidR="00277FD6" w:rsidRPr="00F84A22" w:rsidRDefault="00277FD6" w:rsidP="00C3606E">
            <w:pPr>
              <w:spacing w:before="60" w:after="60"/>
              <w:jc w:val="center"/>
              <w:rPr>
                <w:rFonts w:cs="Arial"/>
                <w:snapToGrid w:val="0"/>
              </w:rPr>
            </w:pPr>
            <w:r w:rsidRPr="00F84A22">
              <w:rPr>
                <w:rFonts w:cs="Arial"/>
                <w:snapToGrid w:val="0"/>
              </w:rPr>
              <w:t>Ice-Making Head</w:t>
            </w:r>
          </w:p>
        </w:tc>
        <w:tc>
          <w:tcPr>
            <w:tcW w:w="2435" w:type="dxa"/>
            <w:shd w:val="clear" w:color="auto" w:fill="auto"/>
          </w:tcPr>
          <w:p w:rsidR="00277FD6" w:rsidRPr="00F84A22" w:rsidRDefault="00277FD6" w:rsidP="00C3606E">
            <w:pPr>
              <w:spacing w:before="60" w:after="60"/>
              <w:jc w:val="center"/>
              <w:rPr>
                <w:rFonts w:cs="Arial"/>
                <w:snapToGrid w:val="0"/>
              </w:rPr>
            </w:pPr>
            <w:r w:rsidRPr="00F84A22">
              <w:rPr>
                <w:rFonts w:cs="Arial"/>
                <w:snapToGrid w:val="0"/>
              </w:rPr>
              <w:t>&lt;450</w:t>
            </w:r>
          </w:p>
        </w:tc>
        <w:tc>
          <w:tcPr>
            <w:tcW w:w="2442" w:type="dxa"/>
            <w:shd w:val="clear" w:color="auto" w:fill="auto"/>
          </w:tcPr>
          <w:p w:rsidR="00277FD6" w:rsidRPr="00F84A22" w:rsidRDefault="00277FD6" w:rsidP="00C3606E">
            <w:pPr>
              <w:spacing w:before="60" w:after="60"/>
              <w:jc w:val="center"/>
              <w:rPr>
                <w:rFonts w:cs="Arial"/>
                <w:snapToGrid w:val="0"/>
              </w:rPr>
            </w:pPr>
            <w:r w:rsidRPr="00F84A22">
              <w:rPr>
                <w:rFonts w:cs="Arial"/>
                <w:snapToGrid w:val="0"/>
              </w:rPr>
              <w:t>10.26 – 0.0086*H</w:t>
            </w:r>
          </w:p>
        </w:tc>
        <w:tc>
          <w:tcPr>
            <w:tcW w:w="2157" w:type="dxa"/>
            <w:shd w:val="clear" w:color="auto" w:fill="auto"/>
          </w:tcPr>
          <w:p w:rsidR="00277FD6" w:rsidRPr="00F84A22" w:rsidRDefault="00277FD6" w:rsidP="00C3606E">
            <w:pPr>
              <w:spacing w:before="60" w:after="60"/>
              <w:jc w:val="center"/>
              <w:rPr>
                <w:rFonts w:cs="Arial"/>
                <w:snapToGrid w:val="0"/>
              </w:rPr>
            </w:pPr>
            <w:r w:rsidRPr="00F84A22">
              <w:rPr>
                <w:rFonts w:cs="Arial"/>
                <w:snapToGrid w:val="0"/>
              </w:rPr>
              <w:t>9.23 – 0.0077*H</w:t>
            </w:r>
          </w:p>
        </w:tc>
      </w:tr>
      <w:tr w:rsidR="00D43CE5" w:rsidRPr="001507D3" w:rsidTr="00F84A22">
        <w:tc>
          <w:tcPr>
            <w:tcW w:w="2542" w:type="dxa"/>
            <w:vMerge/>
            <w:tcBorders>
              <w:bottom w:val="single" w:sz="8" w:space="0" w:color="auto"/>
            </w:tcBorders>
            <w:shd w:val="clear" w:color="auto" w:fill="D9D9D9"/>
          </w:tcPr>
          <w:p w:rsidR="00277FD6" w:rsidRPr="00F84A22" w:rsidRDefault="00277FD6" w:rsidP="00C3606E">
            <w:pPr>
              <w:spacing w:before="60" w:after="60"/>
              <w:jc w:val="center"/>
              <w:rPr>
                <w:rFonts w:cs="Arial"/>
                <w:snapToGrid w:val="0"/>
              </w:rPr>
            </w:pPr>
          </w:p>
        </w:tc>
        <w:tc>
          <w:tcPr>
            <w:tcW w:w="2435" w:type="dxa"/>
            <w:tcBorders>
              <w:bottom w:val="single" w:sz="8" w:space="0" w:color="auto"/>
            </w:tcBorders>
            <w:shd w:val="clear" w:color="auto" w:fill="auto"/>
          </w:tcPr>
          <w:p w:rsidR="00277FD6" w:rsidRPr="00F84A22" w:rsidRDefault="00277FD6" w:rsidP="00C3606E">
            <w:pPr>
              <w:spacing w:before="60" w:after="60"/>
              <w:jc w:val="center"/>
              <w:rPr>
                <w:rFonts w:cs="Arial"/>
                <w:snapToGrid w:val="0"/>
              </w:rPr>
            </w:pPr>
            <w:r w:rsidRPr="00F84A22">
              <w:rPr>
                <w:rFonts w:cs="Arial"/>
                <w:snapToGrid w:val="0"/>
              </w:rPr>
              <w:t>≥450</w:t>
            </w:r>
          </w:p>
        </w:tc>
        <w:tc>
          <w:tcPr>
            <w:tcW w:w="2442" w:type="dxa"/>
            <w:tcBorders>
              <w:bottom w:val="single" w:sz="8" w:space="0" w:color="auto"/>
            </w:tcBorders>
            <w:shd w:val="clear" w:color="auto" w:fill="auto"/>
          </w:tcPr>
          <w:p w:rsidR="00277FD6" w:rsidRPr="00F84A22" w:rsidRDefault="00277FD6" w:rsidP="00C3606E">
            <w:pPr>
              <w:spacing w:before="60" w:after="60"/>
              <w:jc w:val="center"/>
              <w:rPr>
                <w:rFonts w:cs="Arial"/>
                <w:snapToGrid w:val="0"/>
              </w:rPr>
            </w:pPr>
            <w:r w:rsidRPr="00F84A22">
              <w:rPr>
                <w:rFonts w:cs="Arial"/>
                <w:snapToGrid w:val="0"/>
              </w:rPr>
              <w:t>6.89 – 0.0011*H</w:t>
            </w:r>
          </w:p>
        </w:tc>
        <w:tc>
          <w:tcPr>
            <w:tcW w:w="2157" w:type="dxa"/>
            <w:tcBorders>
              <w:bottom w:val="single" w:sz="8" w:space="0" w:color="auto"/>
            </w:tcBorders>
            <w:shd w:val="clear" w:color="auto" w:fill="auto"/>
          </w:tcPr>
          <w:p w:rsidR="00277FD6" w:rsidRPr="00F84A22" w:rsidRDefault="00277FD6" w:rsidP="00C3606E">
            <w:pPr>
              <w:spacing w:before="60" w:after="60"/>
              <w:jc w:val="center"/>
              <w:rPr>
                <w:rFonts w:cs="Arial"/>
                <w:snapToGrid w:val="0"/>
              </w:rPr>
            </w:pPr>
            <w:r w:rsidRPr="00F84A22">
              <w:rPr>
                <w:rFonts w:cs="Arial"/>
                <w:snapToGrid w:val="0"/>
              </w:rPr>
              <w:t>6.20 – 0.0010*H</w:t>
            </w:r>
          </w:p>
        </w:tc>
      </w:tr>
      <w:tr w:rsidR="00D43CE5" w:rsidRPr="001507D3" w:rsidTr="00F84A22">
        <w:tc>
          <w:tcPr>
            <w:tcW w:w="2542" w:type="dxa"/>
            <w:vMerge w:val="restart"/>
            <w:tcBorders>
              <w:top w:val="single" w:sz="8" w:space="0" w:color="auto"/>
            </w:tcBorders>
            <w:shd w:val="clear" w:color="auto" w:fill="D9D9D9"/>
            <w:vAlign w:val="center"/>
          </w:tcPr>
          <w:p w:rsidR="00277FD6" w:rsidRPr="00F84A22" w:rsidRDefault="00277FD6" w:rsidP="00C3606E">
            <w:pPr>
              <w:spacing w:before="60" w:after="60"/>
              <w:jc w:val="center"/>
              <w:rPr>
                <w:rFonts w:cs="Arial"/>
                <w:snapToGrid w:val="0"/>
              </w:rPr>
            </w:pPr>
            <w:r w:rsidRPr="00F84A22">
              <w:rPr>
                <w:rFonts w:cs="Arial"/>
                <w:snapToGrid w:val="0"/>
              </w:rPr>
              <w:t>Remote-Condensing w/out remote compressor</w:t>
            </w:r>
          </w:p>
        </w:tc>
        <w:tc>
          <w:tcPr>
            <w:tcW w:w="2435" w:type="dxa"/>
            <w:tcBorders>
              <w:top w:val="single" w:sz="8" w:space="0" w:color="auto"/>
            </w:tcBorders>
            <w:shd w:val="clear" w:color="auto" w:fill="auto"/>
          </w:tcPr>
          <w:p w:rsidR="00277FD6" w:rsidRPr="00F84A22" w:rsidRDefault="00277FD6" w:rsidP="00C3606E">
            <w:pPr>
              <w:spacing w:before="60" w:after="60"/>
              <w:jc w:val="center"/>
              <w:rPr>
                <w:rFonts w:cs="Arial"/>
                <w:snapToGrid w:val="0"/>
              </w:rPr>
            </w:pPr>
            <w:r w:rsidRPr="00F84A22">
              <w:rPr>
                <w:rFonts w:cs="Arial"/>
                <w:snapToGrid w:val="0"/>
              </w:rPr>
              <w:t>&lt;1000</w:t>
            </w:r>
          </w:p>
        </w:tc>
        <w:tc>
          <w:tcPr>
            <w:tcW w:w="2442" w:type="dxa"/>
            <w:tcBorders>
              <w:top w:val="single" w:sz="8" w:space="0" w:color="auto"/>
            </w:tcBorders>
            <w:shd w:val="clear" w:color="auto" w:fill="auto"/>
          </w:tcPr>
          <w:p w:rsidR="00277FD6" w:rsidRPr="00F84A22" w:rsidRDefault="00277FD6" w:rsidP="00C3606E">
            <w:pPr>
              <w:spacing w:before="60" w:after="60"/>
              <w:jc w:val="center"/>
              <w:rPr>
                <w:rFonts w:cs="Arial"/>
                <w:snapToGrid w:val="0"/>
              </w:rPr>
            </w:pPr>
            <w:r w:rsidRPr="00F84A22">
              <w:rPr>
                <w:rFonts w:cs="Arial"/>
                <w:snapToGrid w:val="0"/>
              </w:rPr>
              <w:t>8.85 – 0.0038*H</w:t>
            </w:r>
          </w:p>
        </w:tc>
        <w:tc>
          <w:tcPr>
            <w:tcW w:w="2157" w:type="dxa"/>
            <w:tcBorders>
              <w:top w:val="single" w:sz="8" w:space="0" w:color="auto"/>
            </w:tcBorders>
            <w:shd w:val="clear" w:color="auto" w:fill="auto"/>
          </w:tcPr>
          <w:p w:rsidR="00277FD6" w:rsidRPr="00F84A22" w:rsidRDefault="00277FD6" w:rsidP="00C3606E">
            <w:pPr>
              <w:spacing w:before="60" w:after="60"/>
              <w:jc w:val="center"/>
              <w:rPr>
                <w:rFonts w:cs="Arial"/>
                <w:snapToGrid w:val="0"/>
              </w:rPr>
            </w:pPr>
            <w:r w:rsidRPr="00F84A22">
              <w:rPr>
                <w:rFonts w:cs="Arial"/>
                <w:snapToGrid w:val="0"/>
              </w:rPr>
              <w:t>8.05 – 0.0035*H</w:t>
            </w:r>
          </w:p>
        </w:tc>
      </w:tr>
      <w:tr w:rsidR="00D43CE5" w:rsidRPr="001507D3" w:rsidTr="00F84A22">
        <w:tc>
          <w:tcPr>
            <w:tcW w:w="2542" w:type="dxa"/>
            <w:vMerge/>
            <w:shd w:val="clear" w:color="auto" w:fill="D9D9D9"/>
            <w:vAlign w:val="center"/>
          </w:tcPr>
          <w:p w:rsidR="00277FD6" w:rsidRPr="00F84A22" w:rsidRDefault="00277FD6" w:rsidP="00C3606E">
            <w:pPr>
              <w:spacing w:before="60" w:after="60"/>
              <w:jc w:val="center"/>
              <w:rPr>
                <w:rFonts w:cs="Arial"/>
                <w:snapToGrid w:val="0"/>
              </w:rPr>
            </w:pPr>
          </w:p>
        </w:tc>
        <w:tc>
          <w:tcPr>
            <w:tcW w:w="2435" w:type="dxa"/>
            <w:shd w:val="clear" w:color="auto" w:fill="auto"/>
          </w:tcPr>
          <w:p w:rsidR="00277FD6" w:rsidRPr="00F84A22" w:rsidRDefault="00277FD6" w:rsidP="00C3606E">
            <w:pPr>
              <w:spacing w:before="60" w:after="60"/>
              <w:jc w:val="center"/>
              <w:rPr>
                <w:rFonts w:cs="Arial"/>
                <w:snapToGrid w:val="0"/>
              </w:rPr>
            </w:pPr>
            <w:r w:rsidRPr="00F84A22">
              <w:rPr>
                <w:rFonts w:cs="Arial"/>
                <w:snapToGrid w:val="0"/>
              </w:rPr>
              <w:t>≥1000</w:t>
            </w:r>
          </w:p>
        </w:tc>
        <w:tc>
          <w:tcPr>
            <w:tcW w:w="2442" w:type="dxa"/>
            <w:shd w:val="clear" w:color="auto" w:fill="auto"/>
          </w:tcPr>
          <w:p w:rsidR="00277FD6" w:rsidRPr="00F84A22" w:rsidRDefault="00277FD6" w:rsidP="00C3606E">
            <w:pPr>
              <w:spacing w:before="60" w:after="60"/>
              <w:jc w:val="center"/>
              <w:rPr>
                <w:rFonts w:cs="Arial"/>
                <w:snapToGrid w:val="0"/>
              </w:rPr>
            </w:pPr>
            <w:r w:rsidRPr="00F84A22">
              <w:rPr>
                <w:rFonts w:cs="Arial"/>
                <w:snapToGrid w:val="0"/>
              </w:rPr>
              <w:t>5.1</w:t>
            </w:r>
          </w:p>
        </w:tc>
        <w:tc>
          <w:tcPr>
            <w:tcW w:w="2157" w:type="dxa"/>
            <w:shd w:val="clear" w:color="auto" w:fill="auto"/>
          </w:tcPr>
          <w:p w:rsidR="00277FD6" w:rsidRPr="00F84A22" w:rsidRDefault="00277FD6" w:rsidP="00C3606E">
            <w:pPr>
              <w:spacing w:before="60" w:after="60"/>
              <w:jc w:val="center"/>
              <w:rPr>
                <w:rFonts w:cs="Arial"/>
                <w:snapToGrid w:val="0"/>
              </w:rPr>
            </w:pPr>
            <w:r w:rsidRPr="00F84A22">
              <w:rPr>
                <w:rFonts w:cs="Arial"/>
                <w:snapToGrid w:val="0"/>
              </w:rPr>
              <w:t>4.64</w:t>
            </w:r>
          </w:p>
        </w:tc>
      </w:tr>
      <w:tr w:rsidR="00D43CE5" w:rsidRPr="001507D3" w:rsidTr="00F84A22">
        <w:tc>
          <w:tcPr>
            <w:tcW w:w="2542" w:type="dxa"/>
            <w:vMerge w:val="restart"/>
            <w:shd w:val="clear" w:color="auto" w:fill="D9D9D9"/>
            <w:vAlign w:val="center"/>
          </w:tcPr>
          <w:p w:rsidR="00277FD6" w:rsidRPr="00F84A22" w:rsidRDefault="00277FD6" w:rsidP="00C3606E">
            <w:pPr>
              <w:spacing w:before="60" w:after="60"/>
              <w:jc w:val="center"/>
              <w:rPr>
                <w:rFonts w:cs="Arial"/>
                <w:snapToGrid w:val="0"/>
              </w:rPr>
            </w:pPr>
            <w:r w:rsidRPr="00F84A22">
              <w:rPr>
                <w:rFonts w:cs="Arial"/>
                <w:snapToGrid w:val="0"/>
              </w:rPr>
              <w:t>Remote-Condensing with remote compressor</w:t>
            </w:r>
          </w:p>
        </w:tc>
        <w:tc>
          <w:tcPr>
            <w:tcW w:w="2435" w:type="dxa"/>
            <w:shd w:val="clear" w:color="auto" w:fill="auto"/>
          </w:tcPr>
          <w:p w:rsidR="00277FD6" w:rsidRPr="00F84A22" w:rsidRDefault="00277FD6" w:rsidP="00C3606E">
            <w:pPr>
              <w:spacing w:before="60" w:after="60"/>
              <w:jc w:val="center"/>
              <w:rPr>
                <w:rFonts w:cs="Arial"/>
                <w:snapToGrid w:val="0"/>
              </w:rPr>
            </w:pPr>
            <w:r w:rsidRPr="00F84A22">
              <w:rPr>
                <w:rFonts w:cs="Arial"/>
                <w:snapToGrid w:val="0"/>
              </w:rPr>
              <w:t>&lt;934</w:t>
            </w:r>
          </w:p>
        </w:tc>
        <w:tc>
          <w:tcPr>
            <w:tcW w:w="2442" w:type="dxa"/>
            <w:shd w:val="clear" w:color="auto" w:fill="auto"/>
          </w:tcPr>
          <w:p w:rsidR="00277FD6" w:rsidRPr="00F84A22" w:rsidRDefault="00277FD6" w:rsidP="00C3606E">
            <w:pPr>
              <w:spacing w:before="60" w:after="60"/>
              <w:jc w:val="center"/>
              <w:rPr>
                <w:rFonts w:cs="Arial"/>
                <w:snapToGrid w:val="0"/>
              </w:rPr>
            </w:pPr>
            <w:r w:rsidRPr="00F84A22">
              <w:rPr>
                <w:rFonts w:cs="Arial"/>
                <w:snapToGrid w:val="0"/>
              </w:rPr>
              <w:t>8.85 – 0.0038*H</w:t>
            </w:r>
          </w:p>
        </w:tc>
        <w:tc>
          <w:tcPr>
            <w:tcW w:w="2157" w:type="dxa"/>
            <w:shd w:val="clear" w:color="auto" w:fill="auto"/>
          </w:tcPr>
          <w:p w:rsidR="00277FD6" w:rsidRPr="00F84A22" w:rsidRDefault="00277FD6" w:rsidP="00C3606E">
            <w:pPr>
              <w:spacing w:before="60" w:after="60"/>
              <w:jc w:val="center"/>
              <w:rPr>
                <w:rFonts w:cs="Arial"/>
                <w:snapToGrid w:val="0"/>
              </w:rPr>
            </w:pPr>
            <w:r w:rsidRPr="00F84A22">
              <w:rPr>
                <w:rFonts w:cs="Arial"/>
                <w:snapToGrid w:val="0"/>
              </w:rPr>
              <w:t>8.05 – 0.0035*H</w:t>
            </w:r>
          </w:p>
        </w:tc>
      </w:tr>
      <w:tr w:rsidR="00D43CE5" w:rsidRPr="001507D3" w:rsidTr="00F84A22">
        <w:tc>
          <w:tcPr>
            <w:tcW w:w="2542" w:type="dxa"/>
            <w:vMerge/>
            <w:shd w:val="clear" w:color="auto" w:fill="D9D9D9"/>
            <w:vAlign w:val="center"/>
          </w:tcPr>
          <w:p w:rsidR="00277FD6" w:rsidRPr="00F84A22" w:rsidRDefault="00277FD6" w:rsidP="00C3606E">
            <w:pPr>
              <w:spacing w:before="60" w:after="60"/>
              <w:jc w:val="center"/>
              <w:rPr>
                <w:rFonts w:cs="Arial"/>
                <w:snapToGrid w:val="0"/>
              </w:rPr>
            </w:pPr>
          </w:p>
        </w:tc>
        <w:tc>
          <w:tcPr>
            <w:tcW w:w="2435" w:type="dxa"/>
            <w:shd w:val="clear" w:color="auto" w:fill="auto"/>
          </w:tcPr>
          <w:p w:rsidR="00277FD6" w:rsidRPr="00F84A22" w:rsidRDefault="00277FD6" w:rsidP="00C3606E">
            <w:pPr>
              <w:spacing w:before="60" w:after="60"/>
              <w:jc w:val="center"/>
              <w:rPr>
                <w:rFonts w:cs="Arial"/>
                <w:snapToGrid w:val="0"/>
              </w:rPr>
            </w:pPr>
            <w:r w:rsidRPr="00F84A22">
              <w:rPr>
                <w:rFonts w:cs="Arial"/>
                <w:snapToGrid w:val="0"/>
              </w:rPr>
              <w:t>≥934</w:t>
            </w:r>
          </w:p>
        </w:tc>
        <w:tc>
          <w:tcPr>
            <w:tcW w:w="2442" w:type="dxa"/>
            <w:shd w:val="clear" w:color="auto" w:fill="auto"/>
          </w:tcPr>
          <w:p w:rsidR="00277FD6" w:rsidRPr="00F84A22" w:rsidRDefault="00277FD6" w:rsidP="00C3606E">
            <w:pPr>
              <w:spacing w:before="60" w:after="60"/>
              <w:jc w:val="center"/>
              <w:rPr>
                <w:rFonts w:cs="Arial"/>
                <w:snapToGrid w:val="0"/>
              </w:rPr>
            </w:pPr>
            <w:r w:rsidRPr="00F84A22">
              <w:rPr>
                <w:rFonts w:cs="Arial"/>
                <w:snapToGrid w:val="0"/>
              </w:rPr>
              <w:t>5.3</w:t>
            </w:r>
          </w:p>
        </w:tc>
        <w:tc>
          <w:tcPr>
            <w:tcW w:w="2157" w:type="dxa"/>
            <w:shd w:val="clear" w:color="auto" w:fill="auto"/>
          </w:tcPr>
          <w:p w:rsidR="00277FD6" w:rsidRPr="00F84A22" w:rsidRDefault="00277FD6" w:rsidP="00C3606E">
            <w:pPr>
              <w:spacing w:before="60" w:after="60"/>
              <w:jc w:val="center"/>
              <w:rPr>
                <w:rFonts w:cs="Arial"/>
                <w:snapToGrid w:val="0"/>
              </w:rPr>
            </w:pPr>
            <w:r w:rsidRPr="00F84A22">
              <w:rPr>
                <w:rFonts w:cs="Arial"/>
                <w:snapToGrid w:val="0"/>
              </w:rPr>
              <w:t>4.82</w:t>
            </w:r>
          </w:p>
        </w:tc>
      </w:tr>
      <w:tr w:rsidR="00D43CE5" w:rsidRPr="001507D3" w:rsidTr="00F84A22">
        <w:tc>
          <w:tcPr>
            <w:tcW w:w="2542" w:type="dxa"/>
            <w:vMerge w:val="restart"/>
            <w:shd w:val="clear" w:color="auto" w:fill="D9D9D9"/>
            <w:vAlign w:val="center"/>
          </w:tcPr>
          <w:p w:rsidR="00277FD6" w:rsidRPr="00F84A22" w:rsidRDefault="00277FD6" w:rsidP="00C3606E">
            <w:pPr>
              <w:spacing w:before="60" w:after="60"/>
              <w:jc w:val="center"/>
              <w:rPr>
                <w:rFonts w:cs="Arial"/>
                <w:snapToGrid w:val="0"/>
              </w:rPr>
            </w:pPr>
            <w:r w:rsidRPr="00F84A22">
              <w:rPr>
                <w:rFonts w:cs="Arial"/>
                <w:snapToGrid w:val="0"/>
              </w:rPr>
              <w:t>Self-Contained</w:t>
            </w:r>
          </w:p>
        </w:tc>
        <w:tc>
          <w:tcPr>
            <w:tcW w:w="2435" w:type="dxa"/>
            <w:shd w:val="clear" w:color="auto" w:fill="auto"/>
          </w:tcPr>
          <w:p w:rsidR="00277FD6" w:rsidRPr="00F84A22" w:rsidRDefault="00277FD6" w:rsidP="00C3606E">
            <w:pPr>
              <w:spacing w:before="60" w:after="60"/>
              <w:jc w:val="center"/>
              <w:rPr>
                <w:rFonts w:cs="Arial"/>
                <w:snapToGrid w:val="0"/>
              </w:rPr>
            </w:pPr>
            <w:r w:rsidRPr="00F84A22">
              <w:rPr>
                <w:rFonts w:cs="Arial"/>
                <w:snapToGrid w:val="0"/>
              </w:rPr>
              <w:t>&lt;175</w:t>
            </w:r>
          </w:p>
        </w:tc>
        <w:tc>
          <w:tcPr>
            <w:tcW w:w="2442" w:type="dxa"/>
            <w:shd w:val="clear" w:color="auto" w:fill="auto"/>
          </w:tcPr>
          <w:p w:rsidR="00277FD6" w:rsidRPr="00F84A22" w:rsidRDefault="00277FD6" w:rsidP="00C3606E">
            <w:pPr>
              <w:spacing w:before="60" w:after="60"/>
              <w:jc w:val="center"/>
              <w:rPr>
                <w:rFonts w:cs="Arial"/>
                <w:snapToGrid w:val="0"/>
              </w:rPr>
            </w:pPr>
            <w:r w:rsidRPr="00F84A22">
              <w:rPr>
                <w:rFonts w:cs="Arial"/>
                <w:snapToGrid w:val="0"/>
              </w:rPr>
              <w:t>18 – 0.0469*H</w:t>
            </w:r>
          </w:p>
        </w:tc>
        <w:tc>
          <w:tcPr>
            <w:tcW w:w="2157" w:type="dxa"/>
            <w:shd w:val="clear" w:color="auto" w:fill="auto"/>
          </w:tcPr>
          <w:p w:rsidR="00277FD6" w:rsidRPr="00F84A22" w:rsidRDefault="00277FD6" w:rsidP="00C3606E">
            <w:pPr>
              <w:spacing w:before="60" w:after="60"/>
              <w:jc w:val="center"/>
              <w:rPr>
                <w:rFonts w:cs="Arial"/>
                <w:snapToGrid w:val="0"/>
              </w:rPr>
            </w:pPr>
            <w:r w:rsidRPr="00F84A22">
              <w:rPr>
                <w:rFonts w:cs="Arial"/>
                <w:snapToGrid w:val="0"/>
              </w:rPr>
              <w:t>16.7 – 0.0436*H</w:t>
            </w:r>
          </w:p>
        </w:tc>
      </w:tr>
      <w:tr w:rsidR="00D43CE5" w:rsidRPr="001507D3" w:rsidTr="00F84A22">
        <w:tc>
          <w:tcPr>
            <w:tcW w:w="2542" w:type="dxa"/>
            <w:vMerge/>
            <w:shd w:val="clear" w:color="auto" w:fill="D9D9D9"/>
          </w:tcPr>
          <w:p w:rsidR="00277FD6" w:rsidRPr="00F84A22" w:rsidRDefault="00277FD6" w:rsidP="00C3606E">
            <w:pPr>
              <w:spacing w:before="60" w:after="60"/>
              <w:rPr>
                <w:rFonts w:cs="Arial"/>
                <w:snapToGrid w:val="0"/>
              </w:rPr>
            </w:pPr>
          </w:p>
        </w:tc>
        <w:tc>
          <w:tcPr>
            <w:tcW w:w="2435" w:type="dxa"/>
            <w:shd w:val="clear" w:color="auto" w:fill="auto"/>
          </w:tcPr>
          <w:p w:rsidR="00277FD6" w:rsidRPr="00F84A22" w:rsidRDefault="00277FD6" w:rsidP="00C3606E">
            <w:pPr>
              <w:spacing w:before="60" w:after="60"/>
              <w:jc w:val="center"/>
              <w:rPr>
                <w:rFonts w:cs="Arial"/>
                <w:snapToGrid w:val="0"/>
              </w:rPr>
            </w:pPr>
            <w:r w:rsidRPr="00F84A22">
              <w:rPr>
                <w:rFonts w:cs="Arial"/>
                <w:snapToGrid w:val="0"/>
              </w:rPr>
              <w:t>≥175</w:t>
            </w:r>
          </w:p>
        </w:tc>
        <w:tc>
          <w:tcPr>
            <w:tcW w:w="2442" w:type="dxa"/>
            <w:shd w:val="clear" w:color="auto" w:fill="auto"/>
          </w:tcPr>
          <w:p w:rsidR="00277FD6" w:rsidRPr="00F84A22" w:rsidRDefault="00277FD6" w:rsidP="00C3606E">
            <w:pPr>
              <w:spacing w:before="60" w:after="60"/>
              <w:jc w:val="center"/>
              <w:rPr>
                <w:rFonts w:cs="Arial"/>
                <w:snapToGrid w:val="0"/>
              </w:rPr>
            </w:pPr>
            <w:r w:rsidRPr="00F84A22">
              <w:rPr>
                <w:rFonts w:cs="Arial"/>
                <w:snapToGrid w:val="0"/>
              </w:rPr>
              <w:t>9.8</w:t>
            </w:r>
          </w:p>
        </w:tc>
        <w:tc>
          <w:tcPr>
            <w:tcW w:w="2157" w:type="dxa"/>
            <w:shd w:val="clear" w:color="auto" w:fill="auto"/>
          </w:tcPr>
          <w:p w:rsidR="00277FD6" w:rsidRPr="00F84A22" w:rsidRDefault="00277FD6" w:rsidP="00C3606E">
            <w:pPr>
              <w:spacing w:before="60" w:after="60"/>
              <w:jc w:val="center"/>
              <w:rPr>
                <w:rFonts w:cs="Arial"/>
                <w:snapToGrid w:val="0"/>
              </w:rPr>
            </w:pPr>
            <w:r w:rsidRPr="00F84A22">
              <w:rPr>
                <w:rFonts w:cs="Arial"/>
                <w:snapToGrid w:val="0"/>
              </w:rPr>
              <w:t>9.11</w:t>
            </w:r>
          </w:p>
        </w:tc>
      </w:tr>
    </w:tbl>
    <w:p w:rsidR="00277FD6" w:rsidRPr="001507D3" w:rsidRDefault="00277FD6" w:rsidP="00C3606E">
      <w:pPr>
        <w:spacing w:after="0" w:line="240" w:lineRule="auto"/>
        <w:rPr>
          <w:rFonts w:cs="Arial"/>
          <w:b/>
          <w:snapToGrid w:val="0"/>
        </w:rPr>
      </w:pPr>
    </w:p>
    <w:p w:rsidR="00277FD6" w:rsidRPr="001507D3" w:rsidRDefault="00277FD6" w:rsidP="00C3606E">
      <w:pPr>
        <w:spacing w:after="0"/>
        <w:rPr>
          <w:rFonts w:cs="Arial"/>
        </w:rPr>
      </w:pPr>
    </w:p>
    <w:p w:rsidR="00277FD6" w:rsidRPr="001507D3" w:rsidRDefault="00277FD6" w:rsidP="00871FA2">
      <w:pPr>
        <w:pStyle w:val="Heading3"/>
      </w:pPr>
      <w:r w:rsidRPr="001507D3">
        <w:t>Measure Life</w:t>
      </w:r>
    </w:p>
    <w:p w:rsidR="00277FD6" w:rsidRDefault="00277FD6" w:rsidP="00277FD6">
      <w:pPr>
        <w:ind w:left="360"/>
        <w:rPr>
          <w:rFonts w:cs="Arial"/>
        </w:rPr>
      </w:pPr>
      <w:r w:rsidRPr="001507D3">
        <w:rPr>
          <w:rFonts w:cs="Arial"/>
        </w:rPr>
        <w:t>Measure life = 10 years</w:t>
      </w:r>
      <w:r w:rsidRPr="001507D3">
        <w:rPr>
          <w:rStyle w:val="FootnoteReference"/>
          <w:rFonts w:cs="Arial"/>
        </w:rPr>
        <w:footnoteReference w:id="178"/>
      </w:r>
      <w:r w:rsidRPr="001507D3">
        <w:rPr>
          <w:rFonts w:cs="Arial"/>
        </w:rPr>
        <w:t>.</w:t>
      </w:r>
    </w:p>
    <w:p w:rsidR="00A409F1" w:rsidRPr="00BC5194" w:rsidRDefault="00A409F1" w:rsidP="00B20F6B">
      <w:pPr>
        <w:rPr>
          <w:b/>
        </w:rPr>
      </w:pPr>
      <w:r w:rsidRPr="00BC5194">
        <w:rPr>
          <w:b/>
        </w:rPr>
        <w:t>Sources:</w:t>
      </w:r>
    </w:p>
    <w:p w:rsidR="00277FD6" w:rsidRPr="001507D3" w:rsidRDefault="00277FD6" w:rsidP="0005632A">
      <w:pPr>
        <w:pStyle w:val="source1"/>
        <w:numPr>
          <w:ilvl w:val="0"/>
          <w:numId w:val="66"/>
        </w:numPr>
      </w:pPr>
      <w:r w:rsidRPr="001507D3">
        <w:t xml:space="preserve">Karas, A., Fisher, D. (2007), </w:t>
      </w:r>
      <w:r w:rsidRPr="00277FD6">
        <w:rPr>
          <w:i/>
        </w:rPr>
        <w:t>A Field Study to Characterize Water and Energy Use of Commercial Ice-Cube Machines and Quantify Saving Potential</w:t>
      </w:r>
      <w:r w:rsidRPr="001507D3">
        <w:t xml:space="preserve">, Food Service Technology Center, December 2007, </w:t>
      </w:r>
      <w:hyperlink r:id="rId45" w:history="1">
        <w:r w:rsidRPr="00277FD6">
          <w:rPr>
            <w:rStyle w:val="Hyperlink"/>
            <w:rFonts w:cs="Arial"/>
          </w:rPr>
          <w:t>http://www.fishnick.com/publications/appliancereports/special/Ice-cube_machine_field_study.pdf</w:t>
        </w:r>
      </w:hyperlink>
    </w:p>
    <w:p w:rsidR="00277FD6" w:rsidRPr="001507D3" w:rsidRDefault="00277FD6" w:rsidP="00C3606E">
      <w:pPr>
        <w:pStyle w:val="source1"/>
      </w:pPr>
      <w:r w:rsidRPr="001507D3">
        <w:rPr>
          <w:i/>
        </w:rPr>
        <w:t>Energy-Efficient Products, How to Buy an Energy-Efficient Commercial Ice Machine</w:t>
      </w:r>
      <w:r w:rsidRPr="001507D3">
        <w:t xml:space="preserve">, U.S. Department of Energy, Energy Efficiency and Renewable Energy, accessed August 2010 at  </w:t>
      </w:r>
      <w:hyperlink r:id="rId46" w:history="1">
        <w:r w:rsidRPr="001507D3">
          <w:rPr>
            <w:rStyle w:val="Hyperlink"/>
            <w:rFonts w:cs="Arial"/>
          </w:rPr>
          <w:t>http://www1.eere.energy.gov/femp/procurement/eep_ice_makers.html</w:t>
        </w:r>
      </w:hyperlink>
    </w:p>
    <w:p w:rsidR="00CE64A1" w:rsidRDefault="00CE64A1" w:rsidP="00CE64A1">
      <w:pPr>
        <w:spacing w:line="240" w:lineRule="auto"/>
        <w:rPr>
          <w:rFonts w:cs="Arial"/>
        </w:rPr>
      </w:pPr>
    </w:p>
    <w:p w:rsidR="00CE64A1" w:rsidRDefault="00CE64A1">
      <w:pPr>
        <w:overflowPunct/>
        <w:autoSpaceDE/>
        <w:autoSpaceDN/>
        <w:adjustRightInd/>
        <w:spacing w:after="0" w:line="240" w:lineRule="auto"/>
        <w:textAlignment w:val="auto"/>
        <w:rPr>
          <w:rFonts w:cs="Arial"/>
        </w:rPr>
      </w:pPr>
    </w:p>
    <w:p w:rsidR="00CE64A1" w:rsidRPr="009C694C" w:rsidRDefault="00AA7749" w:rsidP="00E568D4">
      <w:pPr>
        <w:pStyle w:val="Heading2"/>
      </w:pPr>
      <w:r>
        <w:br w:type="page"/>
      </w:r>
      <w:bookmarkStart w:id="951" w:name="_Toc310875455"/>
      <w:r w:rsidR="00CE64A1" w:rsidRPr="009C694C">
        <w:lastRenderedPageBreak/>
        <w:t>Wall and Ceiling Insulation</w:t>
      </w:r>
      <w:bookmarkEnd w:id="951"/>
    </w:p>
    <w:p w:rsidR="00CE64A1" w:rsidRPr="00212DB6" w:rsidRDefault="00CE64A1" w:rsidP="00CE64A1">
      <w:pPr>
        <w:pStyle w:val="BodyTextIndent2"/>
        <w:ind w:left="0"/>
        <w:rPr>
          <w:rFonts w:ascii="Arial" w:hAnsi="Arial" w:cs="Arial"/>
          <w:sz w:val="20"/>
        </w:rPr>
      </w:pPr>
      <w:r w:rsidRPr="00212DB6">
        <w:rPr>
          <w:rFonts w:ascii="Arial" w:hAnsi="Arial" w:cs="Arial"/>
          <w:sz w:val="20"/>
        </w:rPr>
        <w:t>Wall and ceiling insulation is one of the most important aspects of the energy system of a building. Insulation dramatically minimizes energy expenditure on heating and cooling. Increasing the R-value of wall insulation above building code requirements generally lowers heating and cooling costs. Incentives are offered with regard to increases in R-value rather than type, method, or amount of insulation.</w:t>
      </w:r>
    </w:p>
    <w:p w:rsidR="00CE64A1" w:rsidRPr="00212DB6" w:rsidRDefault="00CE64A1" w:rsidP="00CE64A1">
      <w:pPr>
        <w:pStyle w:val="BodyTextIndent2"/>
        <w:ind w:left="0"/>
        <w:rPr>
          <w:rFonts w:ascii="Arial" w:hAnsi="Arial" w:cs="Arial"/>
          <w:sz w:val="20"/>
        </w:rPr>
      </w:pPr>
      <w:r w:rsidRPr="00212DB6">
        <w:rPr>
          <w:rFonts w:ascii="Arial" w:hAnsi="Arial" w:cs="Arial"/>
          <w:sz w:val="20"/>
        </w:rPr>
        <w:t xml:space="preserve">An R-value indicates the insulation’s resistance to heat flow – the higher the R-value, the greater the insulating effectiveness. The R-value depends on the type of insulation and its material, thickness, and density. When calculating the R-value of a multilayered installation, add the R-values of the individual layers. </w:t>
      </w:r>
    </w:p>
    <w:p w:rsidR="00CE64A1" w:rsidRPr="00212DB6" w:rsidRDefault="004E7077" w:rsidP="00871FA2">
      <w:pPr>
        <w:pStyle w:val="Heading3"/>
      </w:pPr>
      <w:r w:rsidRPr="00212DB6">
        <w:t>Eligibility</w:t>
      </w:r>
    </w:p>
    <w:p w:rsidR="00CE64A1" w:rsidRPr="00212DB6" w:rsidRDefault="00CE64A1" w:rsidP="00CE64A1">
      <w:pPr>
        <w:pStyle w:val="BodyTextIndent2"/>
        <w:ind w:left="0"/>
        <w:rPr>
          <w:rFonts w:ascii="Arial" w:hAnsi="Arial" w:cs="Arial"/>
          <w:sz w:val="20"/>
        </w:rPr>
      </w:pPr>
      <w:r w:rsidRPr="00212DB6">
        <w:rPr>
          <w:rFonts w:ascii="Arial" w:hAnsi="Arial" w:cs="Arial"/>
          <w:sz w:val="20"/>
        </w:rPr>
        <w:t xml:space="preserve">This measure applies to non-residential buildings heated and/or cooled using electricity.  Existing construction buildings are required to meet or exceed the code requirement.   New construction buildings must exceed the code requirement.  Eligibility may vary by PA EDC; savings from chiller-cooled buildings are not included. </w:t>
      </w:r>
    </w:p>
    <w:p w:rsidR="00CE64A1" w:rsidRPr="00212DB6" w:rsidRDefault="00CE64A1" w:rsidP="00871FA2">
      <w:pPr>
        <w:pStyle w:val="Heading3"/>
      </w:pPr>
      <w:r w:rsidRPr="00212DB6">
        <w:t>Algorithms</w:t>
      </w:r>
    </w:p>
    <w:p w:rsidR="00CE64A1" w:rsidRPr="00212DB6" w:rsidRDefault="00CE64A1" w:rsidP="00CE64A1">
      <w:pPr>
        <w:pStyle w:val="BodyTextIndent2"/>
        <w:ind w:left="0"/>
        <w:jc w:val="both"/>
        <w:rPr>
          <w:rFonts w:ascii="Arial" w:hAnsi="Arial" w:cs="Arial"/>
          <w:sz w:val="20"/>
        </w:rPr>
      </w:pPr>
      <w:r w:rsidRPr="00212DB6">
        <w:rPr>
          <w:rFonts w:ascii="Arial" w:hAnsi="Arial" w:cs="Arial"/>
          <w:sz w:val="20"/>
        </w:rPr>
        <w:t xml:space="preserve">The savings depend on four main factors: baseline condition, heating system type and size, cooling system type and size, and location. </w:t>
      </w:r>
      <w:r w:rsidR="00B7536A" w:rsidRPr="00212DB6">
        <w:rPr>
          <w:rFonts w:ascii="Arial" w:hAnsi="Arial" w:cs="Arial"/>
          <w:sz w:val="20"/>
        </w:rPr>
        <w:t xml:space="preserve">The algorithm for Central AC and </w:t>
      </w:r>
      <w:r w:rsidR="0040294D" w:rsidRPr="00212DB6">
        <w:rPr>
          <w:rFonts w:ascii="Arial" w:hAnsi="Arial" w:cs="Arial"/>
          <w:sz w:val="20"/>
        </w:rPr>
        <w:t>Air Source Heat Pumps (</w:t>
      </w:r>
      <w:r w:rsidR="00B7536A" w:rsidRPr="00212DB6">
        <w:rPr>
          <w:rFonts w:ascii="Arial" w:hAnsi="Arial" w:cs="Arial"/>
          <w:sz w:val="20"/>
        </w:rPr>
        <w:t>ASHP</w:t>
      </w:r>
      <w:r w:rsidR="0040294D" w:rsidRPr="00212DB6">
        <w:rPr>
          <w:rFonts w:ascii="Arial" w:hAnsi="Arial" w:cs="Arial"/>
          <w:sz w:val="20"/>
        </w:rPr>
        <w:t>)</w:t>
      </w:r>
      <w:r w:rsidR="00B7536A" w:rsidRPr="00212DB6">
        <w:rPr>
          <w:rFonts w:ascii="Arial" w:hAnsi="Arial" w:cs="Arial"/>
          <w:sz w:val="20"/>
        </w:rPr>
        <w:t xml:space="preserve"> is as follows </w:t>
      </w:r>
    </w:p>
    <w:p w:rsidR="00CE64A1" w:rsidRPr="00CE64A1" w:rsidRDefault="00CE64A1" w:rsidP="00E568D4">
      <w:pPr>
        <w:pStyle w:val="Heading4"/>
      </w:pPr>
      <w:r w:rsidRPr="00CE64A1">
        <w:t>Ceiling Insulation</w:t>
      </w:r>
    </w:p>
    <w:p w:rsidR="00B7536A" w:rsidRPr="005021BC" w:rsidRDefault="00B7536A" w:rsidP="00CE64A1">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vertAlign w:val="subscript"/>
        </w:rPr>
        <w:tab/>
      </w:r>
      <w:r w:rsidRPr="005021BC">
        <w:rPr>
          <w:rFonts w:cs="Arial"/>
          <w:szCs w:val="20"/>
          <w:vertAlign w:val="subscript"/>
        </w:rPr>
        <w:tab/>
      </w:r>
      <w:r w:rsidRPr="005021BC">
        <w:rPr>
          <w:rFonts w:cs="Arial"/>
          <w:szCs w:val="20"/>
        </w:rPr>
        <w:t xml:space="preserve">= </w:t>
      </w:r>
      <w:r w:rsidRPr="005021BC">
        <w:rPr>
          <w:rFonts w:cs="Arial"/>
          <w:szCs w:val="20"/>
        </w:rPr>
        <w:sym w:font="Symbol" w:char="F044"/>
      </w:r>
      <w:r w:rsidRPr="005021BC">
        <w:rPr>
          <w:rFonts w:cs="Arial"/>
          <w:szCs w:val="20"/>
        </w:rPr>
        <w:t>kWh</w:t>
      </w:r>
      <w:r w:rsidRPr="005021BC">
        <w:rPr>
          <w:rFonts w:cs="Arial"/>
          <w:szCs w:val="20"/>
          <w:vertAlign w:val="subscript"/>
        </w:rPr>
        <w:t>cool</w:t>
      </w:r>
      <w:r w:rsidRPr="005021BC">
        <w:rPr>
          <w:rFonts w:cs="Arial"/>
          <w:szCs w:val="20"/>
        </w:rPr>
        <w:t xml:space="preserve"> + </w:t>
      </w:r>
      <w:r w:rsidRPr="005021BC">
        <w:rPr>
          <w:rFonts w:cs="Arial"/>
          <w:szCs w:val="20"/>
        </w:rPr>
        <w:sym w:font="Symbol" w:char="F044"/>
      </w:r>
      <w:r w:rsidRPr="005021BC">
        <w:rPr>
          <w:rFonts w:cs="Arial"/>
          <w:szCs w:val="20"/>
        </w:rPr>
        <w:t>kWh</w:t>
      </w:r>
      <w:r w:rsidRPr="005021BC">
        <w:rPr>
          <w:rFonts w:cs="Arial"/>
          <w:szCs w:val="20"/>
          <w:vertAlign w:val="subscript"/>
        </w:rPr>
        <w:t>heat</w:t>
      </w:r>
    </w:p>
    <w:p w:rsidR="00CE64A1" w:rsidRPr="005021BC" w:rsidRDefault="00CE64A1" w:rsidP="00CE64A1">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vertAlign w:val="subscript"/>
        </w:rPr>
        <w:t>cool</w:t>
      </w:r>
      <w:r w:rsidRPr="005021BC">
        <w:rPr>
          <w:rFonts w:cs="Arial"/>
          <w:szCs w:val="20"/>
        </w:rPr>
        <w:tab/>
        <w:t>= (A X CDD X 24)/(EER X 1000) X (1/R</w:t>
      </w:r>
      <w:r w:rsidRPr="005021BC">
        <w:rPr>
          <w:rFonts w:cs="Arial"/>
          <w:szCs w:val="20"/>
          <w:vertAlign w:val="subscript"/>
        </w:rPr>
        <w:t>i</w:t>
      </w:r>
      <w:r w:rsidRPr="005021BC">
        <w:rPr>
          <w:rFonts w:cs="Arial"/>
          <w:szCs w:val="20"/>
        </w:rPr>
        <w:t xml:space="preserve"> – 1/R</w:t>
      </w:r>
      <w:r w:rsidRPr="005021BC">
        <w:rPr>
          <w:rFonts w:cs="Arial"/>
          <w:szCs w:val="20"/>
          <w:vertAlign w:val="subscript"/>
        </w:rPr>
        <w:t>f</w:t>
      </w:r>
      <w:r w:rsidRPr="005021BC">
        <w:rPr>
          <w:rFonts w:cs="Arial"/>
          <w:szCs w:val="20"/>
        </w:rPr>
        <w:t>)</w:t>
      </w:r>
    </w:p>
    <w:p w:rsidR="00CE64A1" w:rsidRPr="005021BC" w:rsidRDefault="00CE64A1" w:rsidP="00CE64A1">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vertAlign w:val="subscript"/>
        </w:rPr>
        <w:t>heat</w:t>
      </w:r>
      <w:r w:rsidRPr="005021BC">
        <w:rPr>
          <w:rFonts w:cs="Arial"/>
          <w:szCs w:val="20"/>
          <w:vertAlign w:val="subscript"/>
        </w:rPr>
        <w:tab/>
      </w:r>
      <w:r w:rsidRPr="005021BC">
        <w:rPr>
          <w:rFonts w:cs="Arial"/>
          <w:szCs w:val="20"/>
        </w:rPr>
        <w:t>= (A X HDD X 24)/(COP X 3413) X (1/R</w:t>
      </w:r>
      <w:r w:rsidRPr="005021BC">
        <w:rPr>
          <w:rFonts w:cs="Arial"/>
          <w:szCs w:val="20"/>
          <w:vertAlign w:val="subscript"/>
        </w:rPr>
        <w:t>i</w:t>
      </w:r>
      <w:r w:rsidRPr="005021BC">
        <w:rPr>
          <w:rFonts w:cs="Arial"/>
          <w:szCs w:val="20"/>
        </w:rPr>
        <w:t xml:space="preserve"> – 1/R</w:t>
      </w:r>
      <w:r w:rsidRPr="005021BC">
        <w:rPr>
          <w:rFonts w:cs="Arial"/>
          <w:szCs w:val="20"/>
          <w:vertAlign w:val="subscript"/>
        </w:rPr>
        <w:t>f</w:t>
      </w:r>
      <w:r w:rsidRPr="005021BC">
        <w:rPr>
          <w:rFonts w:cs="Arial"/>
          <w:szCs w:val="20"/>
        </w:rPr>
        <w:t>)</w:t>
      </w:r>
    </w:p>
    <w:p w:rsidR="00CE64A1" w:rsidRPr="005021BC" w:rsidRDefault="00CE64A1" w:rsidP="00CE64A1">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w:t>
      </w:r>
      <w:r w:rsidRPr="005021BC">
        <w:rPr>
          <w:rFonts w:cs="Arial"/>
          <w:szCs w:val="20"/>
        </w:rPr>
        <w:t xml:space="preserve"> </w:t>
      </w:r>
      <w:r w:rsidRPr="005021BC">
        <w:rPr>
          <w:rFonts w:cs="Arial"/>
          <w:szCs w:val="20"/>
        </w:rPr>
        <w:tab/>
        <w:t xml:space="preserve">= </w:t>
      </w:r>
      <w:r w:rsidR="00B7536A" w:rsidRPr="005021BC">
        <w:rPr>
          <w:rFonts w:cs="Arial"/>
          <w:szCs w:val="20"/>
        </w:rPr>
        <w:sym w:font="Symbol" w:char="F044"/>
      </w:r>
      <w:r w:rsidR="00B7536A" w:rsidRPr="005021BC">
        <w:rPr>
          <w:rFonts w:cs="Arial"/>
          <w:szCs w:val="20"/>
        </w:rPr>
        <w:t>kWh</w:t>
      </w:r>
      <w:r w:rsidR="00B7536A" w:rsidRPr="005021BC">
        <w:rPr>
          <w:rFonts w:cs="Arial"/>
          <w:szCs w:val="20"/>
          <w:vertAlign w:val="subscript"/>
        </w:rPr>
        <w:t>cool</w:t>
      </w:r>
      <w:r w:rsidR="00B7536A" w:rsidRPr="005021BC">
        <w:rPr>
          <w:rFonts w:cs="Arial"/>
          <w:szCs w:val="20"/>
        </w:rPr>
        <w:t xml:space="preserve"> </w:t>
      </w:r>
      <w:r w:rsidRPr="005021BC">
        <w:rPr>
          <w:rFonts w:cs="Arial"/>
          <w:szCs w:val="20"/>
        </w:rPr>
        <w:t>/</w:t>
      </w:r>
      <w:r w:rsidR="00B7536A" w:rsidRPr="005021BC">
        <w:rPr>
          <w:rFonts w:cs="Arial"/>
          <w:szCs w:val="20"/>
        </w:rPr>
        <w:t xml:space="preserve"> </w:t>
      </w:r>
      <w:r w:rsidRPr="005021BC">
        <w:rPr>
          <w:rFonts w:cs="Arial"/>
          <w:szCs w:val="20"/>
        </w:rPr>
        <w:t>EFLH</w:t>
      </w:r>
      <w:r w:rsidRPr="005021BC">
        <w:rPr>
          <w:rFonts w:cs="Arial"/>
          <w:szCs w:val="20"/>
          <w:vertAlign w:val="subscript"/>
        </w:rPr>
        <w:t>cool</w:t>
      </w:r>
      <w:r w:rsidRPr="005021BC">
        <w:rPr>
          <w:rFonts w:cs="Arial"/>
          <w:szCs w:val="20"/>
        </w:rPr>
        <w:t xml:space="preserve"> X CF</w:t>
      </w:r>
    </w:p>
    <w:p w:rsidR="00CE64A1" w:rsidRPr="00CE64A1" w:rsidRDefault="00CE64A1" w:rsidP="00E568D4">
      <w:pPr>
        <w:pStyle w:val="Heading4"/>
      </w:pPr>
      <w:r w:rsidRPr="00CE64A1">
        <w:t>Wall Insulation</w:t>
      </w:r>
    </w:p>
    <w:p w:rsidR="00B7536A" w:rsidRPr="005021BC" w:rsidRDefault="00B7536A" w:rsidP="00B7536A">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vertAlign w:val="subscript"/>
        </w:rPr>
        <w:tab/>
      </w:r>
      <w:r w:rsidRPr="005021BC">
        <w:rPr>
          <w:rFonts w:cs="Arial"/>
          <w:szCs w:val="20"/>
          <w:vertAlign w:val="subscript"/>
        </w:rPr>
        <w:tab/>
      </w:r>
      <w:r w:rsidRPr="005021BC">
        <w:rPr>
          <w:rFonts w:cs="Arial"/>
          <w:szCs w:val="20"/>
        </w:rPr>
        <w:t xml:space="preserve">= </w:t>
      </w:r>
      <w:r w:rsidRPr="005021BC">
        <w:rPr>
          <w:rFonts w:cs="Arial"/>
          <w:szCs w:val="20"/>
        </w:rPr>
        <w:sym w:font="Symbol" w:char="F044"/>
      </w:r>
      <w:r w:rsidRPr="005021BC">
        <w:rPr>
          <w:rFonts w:cs="Arial"/>
          <w:szCs w:val="20"/>
        </w:rPr>
        <w:t>kWh</w:t>
      </w:r>
      <w:r w:rsidRPr="005021BC">
        <w:rPr>
          <w:rFonts w:cs="Arial"/>
          <w:szCs w:val="20"/>
          <w:vertAlign w:val="subscript"/>
        </w:rPr>
        <w:t>cool</w:t>
      </w:r>
      <w:r w:rsidRPr="005021BC">
        <w:rPr>
          <w:rFonts w:cs="Arial"/>
          <w:szCs w:val="20"/>
        </w:rPr>
        <w:t xml:space="preserve"> + </w:t>
      </w:r>
      <w:r w:rsidRPr="005021BC">
        <w:rPr>
          <w:rFonts w:cs="Arial"/>
          <w:szCs w:val="20"/>
        </w:rPr>
        <w:sym w:font="Symbol" w:char="F044"/>
      </w:r>
      <w:r w:rsidRPr="005021BC">
        <w:rPr>
          <w:rFonts w:cs="Arial"/>
          <w:szCs w:val="20"/>
        </w:rPr>
        <w:t>kWh</w:t>
      </w:r>
      <w:r w:rsidRPr="005021BC">
        <w:rPr>
          <w:rFonts w:cs="Arial"/>
          <w:szCs w:val="20"/>
          <w:vertAlign w:val="subscript"/>
        </w:rPr>
        <w:t>heat</w:t>
      </w:r>
    </w:p>
    <w:p w:rsidR="00CE64A1" w:rsidRPr="005021BC" w:rsidRDefault="00B7536A" w:rsidP="00CE64A1">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vertAlign w:val="subscript"/>
        </w:rPr>
        <w:t>cool</w:t>
      </w:r>
      <w:r w:rsidR="00CE64A1" w:rsidRPr="005021BC">
        <w:rPr>
          <w:rFonts w:cs="Arial"/>
          <w:szCs w:val="20"/>
        </w:rPr>
        <w:t xml:space="preserve"> </w:t>
      </w:r>
      <w:r w:rsidR="00CE64A1" w:rsidRPr="005021BC">
        <w:rPr>
          <w:rFonts w:cs="Arial"/>
          <w:szCs w:val="20"/>
        </w:rPr>
        <w:tab/>
        <w:t>= (A X CDD X 24)/(EER X 1000) X (1/R</w:t>
      </w:r>
      <w:r w:rsidR="00CE64A1" w:rsidRPr="005021BC">
        <w:rPr>
          <w:rFonts w:cs="Arial"/>
          <w:szCs w:val="20"/>
          <w:vertAlign w:val="subscript"/>
        </w:rPr>
        <w:t>i</w:t>
      </w:r>
      <w:r w:rsidR="00CE64A1" w:rsidRPr="005021BC">
        <w:rPr>
          <w:rFonts w:cs="Arial"/>
          <w:szCs w:val="20"/>
        </w:rPr>
        <w:t xml:space="preserve"> – 1/R</w:t>
      </w:r>
      <w:r w:rsidR="00CE64A1" w:rsidRPr="005021BC">
        <w:rPr>
          <w:rFonts w:cs="Arial"/>
          <w:szCs w:val="20"/>
          <w:vertAlign w:val="subscript"/>
        </w:rPr>
        <w:t>f</w:t>
      </w:r>
      <w:r w:rsidR="00CE64A1" w:rsidRPr="005021BC">
        <w:rPr>
          <w:rFonts w:cs="Arial"/>
          <w:szCs w:val="20"/>
        </w:rPr>
        <w:t>)</w:t>
      </w:r>
    </w:p>
    <w:p w:rsidR="00B7536A" w:rsidRPr="005021BC" w:rsidRDefault="00B7536A" w:rsidP="00B7536A">
      <w:pPr>
        <w:pStyle w:val="Equation"/>
        <w:rPr>
          <w:rFonts w:cs="Arial"/>
          <w:szCs w:val="20"/>
        </w:rPr>
      </w:pPr>
      <w:r w:rsidRPr="005021BC">
        <w:rPr>
          <w:rFonts w:cs="Arial"/>
          <w:szCs w:val="20"/>
        </w:rPr>
        <w:sym w:font="Symbol" w:char="F044"/>
      </w:r>
      <w:r w:rsidRPr="005021BC">
        <w:rPr>
          <w:rFonts w:cs="Arial"/>
          <w:szCs w:val="20"/>
        </w:rPr>
        <w:t>kWh</w:t>
      </w:r>
      <w:r w:rsidRPr="005021BC">
        <w:rPr>
          <w:rFonts w:cs="Arial"/>
          <w:szCs w:val="20"/>
          <w:vertAlign w:val="subscript"/>
        </w:rPr>
        <w:t>heat</w:t>
      </w:r>
      <w:r w:rsidRPr="005021BC">
        <w:rPr>
          <w:rFonts w:cs="Arial"/>
          <w:szCs w:val="20"/>
        </w:rPr>
        <w:t xml:space="preserve"> </w:t>
      </w:r>
      <w:r w:rsidRPr="005021BC">
        <w:rPr>
          <w:rFonts w:cs="Arial"/>
          <w:szCs w:val="20"/>
        </w:rPr>
        <w:tab/>
        <w:t>= (A X HDD X 24)/(COP X 3413) X (1/R</w:t>
      </w:r>
      <w:r w:rsidRPr="005021BC">
        <w:rPr>
          <w:rFonts w:cs="Arial"/>
          <w:szCs w:val="20"/>
          <w:vertAlign w:val="subscript"/>
        </w:rPr>
        <w:t>i</w:t>
      </w:r>
      <w:r w:rsidRPr="005021BC">
        <w:rPr>
          <w:rFonts w:cs="Arial"/>
          <w:szCs w:val="20"/>
        </w:rPr>
        <w:t xml:space="preserve"> – 1/R</w:t>
      </w:r>
      <w:r w:rsidRPr="005021BC">
        <w:rPr>
          <w:rFonts w:cs="Arial"/>
          <w:szCs w:val="20"/>
          <w:vertAlign w:val="subscript"/>
        </w:rPr>
        <w:t>f</w:t>
      </w:r>
      <w:r w:rsidRPr="005021BC">
        <w:rPr>
          <w:rFonts w:cs="Arial"/>
          <w:szCs w:val="20"/>
        </w:rPr>
        <w:t>)</w:t>
      </w:r>
    </w:p>
    <w:p w:rsidR="00CE64A1" w:rsidRPr="005021BC" w:rsidRDefault="00B7536A" w:rsidP="00CE64A1">
      <w:pPr>
        <w:pStyle w:val="Equation"/>
        <w:rPr>
          <w:rFonts w:cs="Arial"/>
          <w:szCs w:val="20"/>
        </w:rPr>
      </w:pPr>
      <w:r w:rsidRPr="005021BC">
        <w:rPr>
          <w:rFonts w:cs="Arial"/>
          <w:szCs w:val="20"/>
        </w:rPr>
        <w:sym w:font="Symbol" w:char="F044"/>
      </w:r>
      <w:r w:rsidRPr="005021BC">
        <w:rPr>
          <w:rFonts w:cs="Arial"/>
          <w:szCs w:val="20"/>
        </w:rPr>
        <w:t>kW</w:t>
      </w:r>
      <w:r w:rsidRPr="005021BC">
        <w:rPr>
          <w:rFonts w:cs="Arial"/>
          <w:szCs w:val="20"/>
          <w:vertAlign w:val="subscript"/>
        </w:rPr>
        <w:t>peak</w:t>
      </w:r>
      <w:r w:rsidR="00CE64A1" w:rsidRPr="005021BC">
        <w:rPr>
          <w:rFonts w:cs="Arial"/>
          <w:szCs w:val="20"/>
        </w:rPr>
        <w:t xml:space="preserve"> </w:t>
      </w:r>
      <w:r w:rsidR="00CE64A1" w:rsidRPr="005021BC">
        <w:rPr>
          <w:rFonts w:cs="Arial"/>
          <w:szCs w:val="20"/>
        </w:rPr>
        <w:tab/>
        <w:t xml:space="preserve">= </w:t>
      </w:r>
      <w:r w:rsidRPr="005021BC">
        <w:rPr>
          <w:rFonts w:cs="Arial"/>
          <w:szCs w:val="20"/>
        </w:rPr>
        <w:sym w:font="Symbol" w:char="F044"/>
      </w:r>
      <w:r w:rsidRPr="005021BC">
        <w:rPr>
          <w:rFonts w:cs="Arial"/>
          <w:szCs w:val="20"/>
        </w:rPr>
        <w:t>kWh</w:t>
      </w:r>
      <w:r w:rsidRPr="005021BC">
        <w:rPr>
          <w:rFonts w:cs="Arial"/>
          <w:szCs w:val="20"/>
          <w:vertAlign w:val="subscript"/>
        </w:rPr>
        <w:t>cool</w:t>
      </w:r>
      <w:r w:rsidRPr="005021BC">
        <w:rPr>
          <w:rFonts w:cs="Arial"/>
          <w:szCs w:val="20"/>
        </w:rPr>
        <w:t xml:space="preserve"> </w:t>
      </w:r>
      <w:r w:rsidR="00CE64A1" w:rsidRPr="005021BC">
        <w:rPr>
          <w:rFonts w:cs="Arial"/>
          <w:szCs w:val="20"/>
        </w:rPr>
        <w:t>/</w:t>
      </w:r>
      <w:r w:rsidRPr="005021BC">
        <w:rPr>
          <w:rFonts w:cs="Arial"/>
          <w:szCs w:val="20"/>
        </w:rPr>
        <w:t xml:space="preserve"> </w:t>
      </w:r>
      <w:r w:rsidR="00CE64A1" w:rsidRPr="005021BC">
        <w:rPr>
          <w:rFonts w:cs="Arial"/>
          <w:szCs w:val="20"/>
        </w:rPr>
        <w:t>EFLH</w:t>
      </w:r>
      <w:r w:rsidR="00CE64A1" w:rsidRPr="005021BC">
        <w:rPr>
          <w:rFonts w:cs="Arial"/>
          <w:szCs w:val="20"/>
          <w:vertAlign w:val="subscript"/>
        </w:rPr>
        <w:t>cool</w:t>
      </w:r>
      <w:r w:rsidR="00CE64A1" w:rsidRPr="005021BC">
        <w:rPr>
          <w:rFonts w:cs="Arial"/>
          <w:szCs w:val="20"/>
        </w:rPr>
        <w:t xml:space="preserve"> X CF</w:t>
      </w:r>
    </w:p>
    <w:p w:rsidR="00CE64A1" w:rsidRPr="009C694C" w:rsidRDefault="00CE64A1" w:rsidP="00871FA2">
      <w:pPr>
        <w:pStyle w:val="Heading3"/>
      </w:pPr>
      <w:r w:rsidRPr="009C694C">
        <w:lastRenderedPageBreak/>
        <w:t>Definition of Terms</w:t>
      </w:r>
    </w:p>
    <w:p w:rsidR="00CE64A1" w:rsidRPr="005021BC" w:rsidRDefault="00CE64A1" w:rsidP="004E7077">
      <w:pPr>
        <w:pStyle w:val="Equation"/>
        <w:keepNext/>
        <w:rPr>
          <w:rFonts w:cs="Arial"/>
          <w:szCs w:val="20"/>
        </w:rPr>
      </w:pPr>
      <w:r w:rsidRPr="005021BC">
        <w:rPr>
          <w:rFonts w:cs="Arial"/>
          <w:szCs w:val="20"/>
        </w:rPr>
        <w:tab/>
        <w:t>A</w:t>
      </w:r>
      <w:r w:rsidRPr="005021BC">
        <w:rPr>
          <w:rFonts w:cs="Arial"/>
          <w:szCs w:val="20"/>
        </w:rPr>
        <w:tab/>
        <w:t>= area of the insulation that was installed in square feet</w:t>
      </w:r>
    </w:p>
    <w:p w:rsidR="00CE64A1" w:rsidRPr="005021BC" w:rsidRDefault="00CE64A1" w:rsidP="004E7077">
      <w:pPr>
        <w:pStyle w:val="Equation"/>
        <w:keepNext/>
        <w:rPr>
          <w:rFonts w:cs="Arial"/>
          <w:szCs w:val="20"/>
        </w:rPr>
      </w:pPr>
      <w:r w:rsidRPr="005021BC">
        <w:rPr>
          <w:rFonts w:cs="Arial"/>
          <w:szCs w:val="20"/>
        </w:rPr>
        <w:tab/>
        <w:t xml:space="preserve">HDD </w:t>
      </w:r>
      <w:r w:rsidRPr="005021BC">
        <w:rPr>
          <w:rFonts w:cs="Arial"/>
          <w:szCs w:val="20"/>
        </w:rPr>
        <w:tab/>
        <w:t>= heating degree days with 65 degree base</w:t>
      </w:r>
    </w:p>
    <w:p w:rsidR="00CE64A1" w:rsidRPr="005021BC" w:rsidRDefault="00CE64A1" w:rsidP="004E7077">
      <w:pPr>
        <w:pStyle w:val="Equation"/>
        <w:keepNext/>
        <w:rPr>
          <w:rFonts w:cs="Arial"/>
          <w:szCs w:val="20"/>
        </w:rPr>
      </w:pPr>
      <w:r w:rsidRPr="005021BC">
        <w:rPr>
          <w:rFonts w:cs="Arial"/>
          <w:szCs w:val="20"/>
        </w:rPr>
        <w:tab/>
        <w:t xml:space="preserve">CDD </w:t>
      </w:r>
      <w:r w:rsidRPr="005021BC">
        <w:rPr>
          <w:rFonts w:cs="Arial"/>
          <w:szCs w:val="20"/>
        </w:rPr>
        <w:tab/>
        <w:t>= cooling degree days with a 65 degree base</w:t>
      </w:r>
    </w:p>
    <w:p w:rsidR="00CE64A1" w:rsidRPr="005021BC" w:rsidRDefault="00CE64A1" w:rsidP="004E7077">
      <w:pPr>
        <w:pStyle w:val="Equation"/>
        <w:keepNext/>
        <w:rPr>
          <w:rFonts w:cs="Arial"/>
          <w:szCs w:val="20"/>
        </w:rPr>
      </w:pPr>
      <w:r w:rsidRPr="005021BC">
        <w:rPr>
          <w:rFonts w:cs="Arial"/>
          <w:szCs w:val="20"/>
        </w:rPr>
        <w:tab/>
        <w:t xml:space="preserve">24 </w:t>
      </w:r>
      <w:r w:rsidRPr="005021BC">
        <w:rPr>
          <w:rFonts w:cs="Arial"/>
          <w:szCs w:val="20"/>
        </w:rPr>
        <w:tab/>
        <w:t>= hours per day</w:t>
      </w:r>
    </w:p>
    <w:p w:rsidR="00CE64A1" w:rsidRPr="005021BC" w:rsidRDefault="00CE64A1" w:rsidP="00CE64A1">
      <w:pPr>
        <w:pStyle w:val="Equation"/>
        <w:rPr>
          <w:rFonts w:cs="Arial"/>
          <w:szCs w:val="20"/>
        </w:rPr>
      </w:pPr>
      <w:r w:rsidRPr="005021BC">
        <w:rPr>
          <w:rFonts w:cs="Arial"/>
          <w:szCs w:val="20"/>
        </w:rPr>
        <w:tab/>
        <w:t xml:space="preserve">1000 </w:t>
      </w:r>
      <w:r w:rsidRPr="005021BC">
        <w:rPr>
          <w:rFonts w:cs="Arial"/>
          <w:szCs w:val="20"/>
        </w:rPr>
        <w:tab/>
        <w:t>= W per kW</w:t>
      </w:r>
    </w:p>
    <w:p w:rsidR="00CE64A1" w:rsidRPr="005021BC" w:rsidRDefault="00CE64A1" w:rsidP="00CE64A1">
      <w:pPr>
        <w:pStyle w:val="Equation"/>
        <w:rPr>
          <w:rFonts w:cs="Arial"/>
          <w:szCs w:val="20"/>
        </w:rPr>
      </w:pPr>
      <w:r w:rsidRPr="005021BC">
        <w:rPr>
          <w:rFonts w:cs="Arial"/>
          <w:szCs w:val="20"/>
        </w:rPr>
        <w:tab/>
        <w:t xml:space="preserve">3413 </w:t>
      </w:r>
      <w:r w:rsidRPr="005021BC">
        <w:rPr>
          <w:rFonts w:cs="Arial"/>
          <w:szCs w:val="20"/>
        </w:rPr>
        <w:tab/>
        <w:t>= Btu per kWh</w:t>
      </w:r>
    </w:p>
    <w:p w:rsidR="00CE64A1" w:rsidRPr="005021BC" w:rsidRDefault="00CE64A1" w:rsidP="00CE64A1">
      <w:pPr>
        <w:pStyle w:val="Equation"/>
        <w:rPr>
          <w:rFonts w:cs="Arial"/>
          <w:szCs w:val="20"/>
        </w:rPr>
      </w:pPr>
      <w:r w:rsidRPr="005021BC">
        <w:rPr>
          <w:rFonts w:cs="Arial"/>
          <w:szCs w:val="20"/>
        </w:rPr>
        <w:tab/>
        <w:t>R</w:t>
      </w:r>
      <w:r w:rsidRPr="005021BC">
        <w:rPr>
          <w:rFonts w:cs="Arial"/>
          <w:szCs w:val="20"/>
          <w:vertAlign w:val="subscript"/>
        </w:rPr>
        <w:t>i</w:t>
      </w:r>
      <w:r w:rsidRPr="005021BC">
        <w:rPr>
          <w:rFonts w:cs="Arial"/>
          <w:szCs w:val="20"/>
        </w:rPr>
        <w:t xml:space="preserve"> </w:t>
      </w:r>
      <w:r w:rsidRPr="005021BC">
        <w:rPr>
          <w:rFonts w:cs="Arial"/>
          <w:szCs w:val="20"/>
        </w:rPr>
        <w:tab/>
        <w:t>= the R-value of the insulation and support structure before the additional insulation is installed</w:t>
      </w:r>
    </w:p>
    <w:p w:rsidR="00CE64A1" w:rsidRPr="005021BC" w:rsidRDefault="00CE64A1" w:rsidP="00CE64A1">
      <w:pPr>
        <w:pStyle w:val="Equation"/>
        <w:rPr>
          <w:rFonts w:cs="Arial"/>
          <w:szCs w:val="20"/>
        </w:rPr>
      </w:pPr>
      <w:r w:rsidRPr="005021BC">
        <w:rPr>
          <w:rFonts w:cs="Arial"/>
          <w:szCs w:val="20"/>
        </w:rPr>
        <w:tab/>
        <w:t>R</w:t>
      </w:r>
      <w:r w:rsidRPr="005021BC">
        <w:rPr>
          <w:rFonts w:cs="Arial"/>
          <w:szCs w:val="20"/>
          <w:vertAlign w:val="subscript"/>
        </w:rPr>
        <w:t>f</w:t>
      </w:r>
      <w:r w:rsidRPr="005021BC">
        <w:rPr>
          <w:rFonts w:cs="Arial"/>
          <w:szCs w:val="20"/>
        </w:rPr>
        <w:t xml:space="preserve"> </w:t>
      </w:r>
      <w:r w:rsidRPr="005021BC">
        <w:rPr>
          <w:rFonts w:cs="Arial"/>
          <w:szCs w:val="20"/>
        </w:rPr>
        <w:tab/>
        <w:t>= the total R-value of all insulation after the additional insulation is installed</w:t>
      </w:r>
    </w:p>
    <w:p w:rsidR="00CE64A1" w:rsidRPr="005021BC" w:rsidRDefault="00CE64A1" w:rsidP="00CE64A1">
      <w:pPr>
        <w:pStyle w:val="Equation"/>
        <w:rPr>
          <w:rFonts w:cs="Arial"/>
          <w:szCs w:val="20"/>
        </w:rPr>
      </w:pPr>
      <w:r w:rsidRPr="005021BC">
        <w:rPr>
          <w:rFonts w:cs="Arial"/>
          <w:szCs w:val="20"/>
        </w:rPr>
        <w:tab/>
        <w:t xml:space="preserve">EFLH </w:t>
      </w:r>
      <w:r w:rsidRPr="005021BC">
        <w:rPr>
          <w:rFonts w:cs="Arial"/>
          <w:szCs w:val="20"/>
        </w:rPr>
        <w:tab/>
        <w:t>= effective full load hours</w:t>
      </w:r>
    </w:p>
    <w:p w:rsidR="00CE64A1" w:rsidRPr="005021BC" w:rsidRDefault="00CE64A1" w:rsidP="00CE64A1">
      <w:pPr>
        <w:pStyle w:val="Equation"/>
        <w:rPr>
          <w:rFonts w:cs="Arial"/>
          <w:szCs w:val="20"/>
        </w:rPr>
      </w:pPr>
      <w:r w:rsidRPr="005021BC">
        <w:rPr>
          <w:rFonts w:cs="Arial"/>
          <w:szCs w:val="20"/>
        </w:rPr>
        <w:tab/>
        <w:t xml:space="preserve">CF </w:t>
      </w:r>
      <w:r w:rsidRPr="005021BC">
        <w:rPr>
          <w:rFonts w:cs="Arial"/>
          <w:szCs w:val="20"/>
        </w:rPr>
        <w:tab/>
        <w:t xml:space="preserve">= </w:t>
      </w:r>
      <w:r w:rsidR="005478EE" w:rsidRPr="005021BC">
        <w:rPr>
          <w:rFonts w:cs="Arial"/>
          <w:szCs w:val="20"/>
        </w:rPr>
        <w:t>Demand Coincidence Factor (See Section 1.4)</w:t>
      </w:r>
    </w:p>
    <w:p w:rsidR="00CE64A1" w:rsidRPr="005021BC" w:rsidRDefault="00CE64A1" w:rsidP="00CE64A1">
      <w:pPr>
        <w:pStyle w:val="Equation"/>
        <w:rPr>
          <w:rFonts w:cs="Arial"/>
          <w:szCs w:val="20"/>
        </w:rPr>
      </w:pPr>
      <w:r w:rsidRPr="005021BC">
        <w:rPr>
          <w:rFonts w:cs="Arial"/>
          <w:szCs w:val="20"/>
        </w:rPr>
        <w:tab/>
        <w:t xml:space="preserve">EER </w:t>
      </w:r>
      <w:r w:rsidRPr="005021BC">
        <w:rPr>
          <w:rFonts w:cs="Arial"/>
          <w:szCs w:val="20"/>
        </w:rPr>
        <w:tab/>
        <w:t>= efficiency of the cooling system</w:t>
      </w:r>
    </w:p>
    <w:p w:rsidR="00CE64A1" w:rsidRPr="005021BC" w:rsidRDefault="00CE64A1" w:rsidP="00CE64A1">
      <w:pPr>
        <w:pStyle w:val="Equation"/>
        <w:rPr>
          <w:rFonts w:cs="Arial"/>
          <w:szCs w:val="20"/>
        </w:rPr>
      </w:pPr>
      <w:r w:rsidRPr="005021BC">
        <w:rPr>
          <w:rFonts w:cs="Arial"/>
          <w:szCs w:val="20"/>
        </w:rPr>
        <w:tab/>
        <w:t xml:space="preserve">COP </w:t>
      </w:r>
      <w:r w:rsidRPr="005021BC">
        <w:rPr>
          <w:rFonts w:cs="Arial"/>
          <w:szCs w:val="20"/>
        </w:rPr>
        <w:tab/>
        <w:t>= efficiency of the heating system</w:t>
      </w:r>
    </w:p>
    <w:p w:rsidR="00CE64A1" w:rsidRPr="00B5330E" w:rsidRDefault="00CE64A1" w:rsidP="00B20F6B">
      <w:pPr>
        <w:pStyle w:val="Caption"/>
      </w:pPr>
      <w:bookmarkStart w:id="952" w:name="_Toc310875603"/>
      <w:r w:rsidRPr="00B5330E">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w:instrText>
      </w:r>
      <w:r w:rsidR="00274AB1">
        <w:instrText xml:space="preserve"> ARABIC \s 1 </w:instrText>
      </w:r>
      <w:r w:rsidR="00274AB1">
        <w:fldChar w:fldCharType="separate"/>
      </w:r>
      <w:r w:rsidR="00C0292F">
        <w:rPr>
          <w:noProof/>
        </w:rPr>
        <w:t>51</w:t>
      </w:r>
      <w:r w:rsidR="00274AB1">
        <w:rPr>
          <w:noProof/>
        </w:rPr>
        <w:fldChar w:fldCharType="end"/>
      </w:r>
      <w:r w:rsidRPr="00B5330E">
        <w:t>: Non-Residential Insulation – Values and References</w:t>
      </w:r>
      <w:bookmarkEnd w:id="952"/>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706"/>
        <w:gridCol w:w="3532"/>
        <w:gridCol w:w="2088"/>
      </w:tblGrid>
      <w:tr w:rsidR="00CE64A1" w:rsidRPr="009C694C" w:rsidTr="008075FC">
        <w:trPr>
          <w:tblHeader/>
          <w:jc w:val="center"/>
        </w:trPr>
        <w:tc>
          <w:tcPr>
            <w:tcW w:w="864" w:type="pct"/>
            <w:shd w:val="clear" w:color="auto" w:fill="BFBFBF"/>
            <w:vAlign w:val="center"/>
          </w:tcPr>
          <w:p w:rsidR="00CE64A1" w:rsidRPr="009C694C" w:rsidRDefault="00CE64A1" w:rsidP="00C3606E">
            <w:pPr>
              <w:tabs>
                <w:tab w:val="left" w:pos="720"/>
              </w:tabs>
              <w:spacing w:before="60" w:after="60"/>
              <w:jc w:val="center"/>
              <w:rPr>
                <w:rFonts w:cs="Arial"/>
                <w:b/>
              </w:rPr>
            </w:pPr>
            <w:r w:rsidRPr="009C694C">
              <w:rPr>
                <w:rFonts w:cs="Arial"/>
                <w:b/>
              </w:rPr>
              <w:t>Component</w:t>
            </w:r>
          </w:p>
        </w:tc>
        <w:tc>
          <w:tcPr>
            <w:tcW w:w="963" w:type="pct"/>
            <w:shd w:val="clear" w:color="auto" w:fill="BFBFBF"/>
            <w:vAlign w:val="center"/>
          </w:tcPr>
          <w:p w:rsidR="00CE64A1" w:rsidRPr="009C694C" w:rsidRDefault="00CE64A1" w:rsidP="00C3606E">
            <w:pPr>
              <w:tabs>
                <w:tab w:val="left" w:pos="720"/>
              </w:tabs>
              <w:spacing w:before="60" w:after="60"/>
              <w:jc w:val="center"/>
              <w:rPr>
                <w:rFonts w:cs="Arial"/>
                <w:b/>
              </w:rPr>
            </w:pPr>
            <w:r w:rsidRPr="009C694C">
              <w:rPr>
                <w:rFonts w:cs="Arial"/>
                <w:b/>
              </w:rPr>
              <w:t>Type</w:t>
            </w:r>
          </w:p>
        </w:tc>
        <w:tc>
          <w:tcPr>
            <w:tcW w:w="1994" w:type="pct"/>
            <w:shd w:val="clear" w:color="auto" w:fill="BFBFBF"/>
            <w:vAlign w:val="center"/>
          </w:tcPr>
          <w:p w:rsidR="00CE64A1" w:rsidRPr="009C694C" w:rsidRDefault="00CE64A1" w:rsidP="00C3606E">
            <w:pPr>
              <w:tabs>
                <w:tab w:val="left" w:pos="720"/>
              </w:tabs>
              <w:spacing w:before="60" w:after="60"/>
              <w:jc w:val="center"/>
              <w:rPr>
                <w:rFonts w:cs="Arial"/>
                <w:b/>
              </w:rPr>
            </w:pPr>
            <w:r w:rsidRPr="009C694C">
              <w:rPr>
                <w:rFonts w:cs="Arial"/>
                <w:b/>
              </w:rPr>
              <w:t>Values</w:t>
            </w:r>
          </w:p>
        </w:tc>
        <w:tc>
          <w:tcPr>
            <w:tcW w:w="1179" w:type="pct"/>
            <w:shd w:val="clear" w:color="auto" w:fill="BFBFBF"/>
          </w:tcPr>
          <w:p w:rsidR="00CE64A1" w:rsidRPr="009C694C" w:rsidRDefault="00CE64A1" w:rsidP="00C3606E">
            <w:pPr>
              <w:tabs>
                <w:tab w:val="left" w:pos="720"/>
              </w:tabs>
              <w:spacing w:before="60" w:after="60"/>
              <w:jc w:val="center"/>
              <w:rPr>
                <w:rFonts w:cs="Arial"/>
                <w:b/>
              </w:rPr>
            </w:pPr>
            <w:r w:rsidRPr="009C694C">
              <w:rPr>
                <w:rFonts w:cs="Arial"/>
                <w:b/>
              </w:rPr>
              <w:t>Sources</w:t>
            </w:r>
          </w:p>
        </w:tc>
      </w:tr>
      <w:tr w:rsidR="00CE64A1" w:rsidRPr="009C694C" w:rsidTr="004E7077">
        <w:trPr>
          <w:jc w:val="center"/>
        </w:trPr>
        <w:tc>
          <w:tcPr>
            <w:tcW w:w="864" w:type="pct"/>
            <w:vAlign w:val="center"/>
          </w:tcPr>
          <w:p w:rsidR="00CE64A1" w:rsidRPr="009C694C" w:rsidRDefault="00CE64A1" w:rsidP="00C3606E">
            <w:pPr>
              <w:tabs>
                <w:tab w:val="left" w:pos="720"/>
              </w:tabs>
              <w:spacing w:before="60" w:after="60"/>
              <w:rPr>
                <w:rFonts w:cs="Arial"/>
              </w:rPr>
            </w:pPr>
            <w:r w:rsidRPr="009C694C">
              <w:rPr>
                <w:rFonts w:cs="Arial"/>
              </w:rPr>
              <w:t>A</w:t>
            </w:r>
          </w:p>
        </w:tc>
        <w:tc>
          <w:tcPr>
            <w:tcW w:w="963" w:type="pct"/>
            <w:vAlign w:val="center"/>
          </w:tcPr>
          <w:p w:rsidR="00CE64A1" w:rsidRPr="009C694C" w:rsidRDefault="00CE64A1" w:rsidP="00C3606E">
            <w:pPr>
              <w:tabs>
                <w:tab w:val="left" w:pos="720"/>
              </w:tabs>
              <w:spacing w:before="60" w:after="60"/>
              <w:jc w:val="center"/>
              <w:rPr>
                <w:rFonts w:cs="Arial"/>
              </w:rPr>
            </w:pPr>
            <w:r w:rsidRPr="009C694C">
              <w:rPr>
                <w:rFonts w:cs="Arial"/>
              </w:rPr>
              <w:t>Variable</w:t>
            </w:r>
          </w:p>
        </w:tc>
        <w:tc>
          <w:tcPr>
            <w:tcW w:w="1994" w:type="pct"/>
            <w:vAlign w:val="center"/>
          </w:tcPr>
          <w:p w:rsidR="00CE64A1" w:rsidRPr="009C694C" w:rsidRDefault="00B7536A" w:rsidP="00C3606E">
            <w:pPr>
              <w:tabs>
                <w:tab w:val="left" w:pos="720"/>
              </w:tabs>
              <w:spacing w:before="60" w:after="60"/>
              <w:rPr>
                <w:rFonts w:cs="Arial"/>
              </w:rPr>
            </w:pPr>
            <w:r>
              <w:rPr>
                <w:rFonts w:cs="Arial"/>
              </w:rPr>
              <w:t>Application</w:t>
            </w:r>
          </w:p>
        </w:tc>
        <w:tc>
          <w:tcPr>
            <w:tcW w:w="1179" w:type="pct"/>
          </w:tcPr>
          <w:p w:rsidR="00CE64A1" w:rsidRPr="009C694C" w:rsidRDefault="00CE64A1" w:rsidP="00C3606E">
            <w:pPr>
              <w:tabs>
                <w:tab w:val="left" w:pos="720"/>
              </w:tabs>
              <w:spacing w:before="60" w:after="60"/>
              <w:rPr>
                <w:rFonts w:cs="Arial"/>
              </w:rPr>
            </w:pPr>
            <w:r w:rsidRPr="009C694C">
              <w:rPr>
                <w:rFonts w:cs="Arial"/>
              </w:rPr>
              <w:t>AEPS Application; EDC Data Gathering</w:t>
            </w:r>
          </w:p>
        </w:tc>
      </w:tr>
      <w:tr w:rsidR="00CE64A1" w:rsidRPr="009C694C" w:rsidTr="004E7077">
        <w:trPr>
          <w:jc w:val="center"/>
        </w:trPr>
        <w:tc>
          <w:tcPr>
            <w:tcW w:w="864" w:type="pct"/>
            <w:vAlign w:val="center"/>
          </w:tcPr>
          <w:p w:rsidR="00CE64A1" w:rsidRPr="009C694C" w:rsidRDefault="00CE64A1" w:rsidP="00C3606E">
            <w:pPr>
              <w:tabs>
                <w:tab w:val="left" w:pos="720"/>
              </w:tabs>
              <w:spacing w:before="60" w:after="60"/>
              <w:rPr>
                <w:rFonts w:cs="Arial"/>
              </w:rPr>
            </w:pPr>
            <w:r w:rsidRPr="009C694C">
              <w:rPr>
                <w:rFonts w:cs="Arial"/>
              </w:rPr>
              <w:t xml:space="preserve">HDD </w:t>
            </w:r>
          </w:p>
        </w:tc>
        <w:tc>
          <w:tcPr>
            <w:tcW w:w="963" w:type="pct"/>
            <w:vAlign w:val="center"/>
          </w:tcPr>
          <w:p w:rsidR="00CE64A1" w:rsidRPr="009C694C" w:rsidRDefault="00CE64A1" w:rsidP="00C3606E">
            <w:pPr>
              <w:tabs>
                <w:tab w:val="left" w:pos="720"/>
              </w:tabs>
              <w:spacing w:before="60" w:after="60"/>
              <w:jc w:val="center"/>
              <w:rPr>
                <w:rFonts w:cs="Arial"/>
              </w:rPr>
            </w:pPr>
            <w:r w:rsidRPr="009C694C">
              <w:rPr>
                <w:rFonts w:cs="Arial"/>
              </w:rPr>
              <w:t>Fixed</w:t>
            </w:r>
          </w:p>
        </w:tc>
        <w:tc>
          <w:tcPr>
            <w:tcW w:w="1994" w:type="pct"/>
            <w:vAlign w:val="center"/>
          </w:tcPr>
          <w:p w:rsidR="00CE64A1" w:rsidRPr="009C694C" w:rsidRDefault="00CE64A1" w:rsidP="00C3606E">
            <w:pPr>
              <w:spacing w:before="60" w:after="60"/>
              <w:rPr>
                <w:rFonts w:cs="Arial"/>
              </w:rPr>
            </w:pPr>
            <w:r w:rsidRPr="009C694C">
              <w:rPr>
                <w:rFonts w:cs="Arial"/>
              </w:rPr>
              <w:t>Allentown = 5318</w:t>
            </w:r>
          </w:p>
          <w:p w:rsidR="00CE64A1" w:rsidRPr="009C694C" w:rsidRDefault="00CE64A1" w:rsidP="00C3606E">
            <w:pPr>
              <w:spacing w:before="60" w:after="60"/>
              <w:rPr>
                <w:rFonts w:cs="Arial"/>
              </w:rPr>
            </w:pPr>
            <w:r w:rsidRPr="009C694C">
              <w:rPr>
                <w:rFonts w:cs="Arial"/>
              </w:rPr>
              <w:t>Erie = 6353</w:t>
            </w:r>
          </w:p>
          <w:p w:rsidR="00CE64A1" w:rsidRPr="009C694C" w:rsidRDefault="00CE64A1" w:rsidP="00C3606E">
            <w:pPr>
              <w:spacing w:before="60" w:after="60"/>
              <w:rPr>
                <w:rFonts w:cs="Arial"/>
              </w:rPr>
            </w:pPr>
            <w:r w:rsidRPr="009C694C">
              <w:rPr>
                <w:rFonts w:cs="Arial"/>
              </w:rPr>
              <w:t>Harrisburg = 4997</w:t>
            </w:r>
          </w:p>
          <w:p w:rsidR="00CE64A1" w:rsidRPr="009C694C" w:rsidRDefault="00CE64A1" w:rsidP="00C3606E">
            <w:pPr>
              <w:spacing w:before="60" w:after="60"/>
              <w:rPr>
                <w:rFonts w:cs="Arial"/>
              </w:rPr>
            </w:pPr>
            <w:r w:rsidRPr="009C694C">
              <w:rPr>
                <w:rFonts w:cs="Arial"/>
              </w:rPr>
              <w:t>Philadelphia = 4709</w:t>
            </w:r>
          </w:p>
          <w:p w:rsidR="00CE64A1" w:rsidRPr="009C694C" w:rsidRDefault="00CE64A1" w:rsidP="00C3606E">
            <w:pPr>
              <w:spacing w:before="60" w:after="60"/>
              <w:rPr>
                <w:rFonts w:cs="Arial"/>
              </w:rPr>
            </w:pPr>
            <w:r w:rsidRPr="009C694C">
              <w:rPr>
                <w:rFonts w:cs="Arial"/>
              </w:rPr>
              <w:t>Pittsburgh = 5429</w:t>
            </w:r>
          </w:p>
          <w:p w:rsidR="00CE64A1" w:rsidRPr="009C694C" w:rsidRDefault="00CE64A1" w:rsidP="00C3606E">
            <w:pPr>
              <w:spacing w:before="60" w:after="60"/>
              <w:rPr>
                <w:rFonts w:cs="Arial"/>
              </w:rPr>
            </w:pPr>
            <w:r w:rsidRPr="009C694C">
              <w:rPr>
                <w:rFonts w:cs="Arial"/>
              </w:rPr>
              <w:t>Scranton = 6176</w:t>
            </w:r>
          </w:p>
          <w:p w:rsidR="00CE64A1" w:rsidRPr="009C694C" w:rsidRDefault="00CE64A1" w:rsidP="00C3606E">
            <w:pPr>
              <w:spacing w:before="60" w:after="60"/>
              <w:rPr>
                <w:rFonts w:cs="Arial"/>
              </w:rPr>
            </w:pPr>
            <w:r w:rsidRPr="009C694C">
              <w:rPr>
                <w:rFonts w:cs="Arial"/>
              </w:rPr>
              <w:t>Williamsport = 5651</w:t>
            </w:r>
          </w:p>
        </w:tc>
        <w:tc>
          <w:tcPr>
            <w:tcW w:w="1179" w:type="pct"/>
          </w:tcPr>
          <w:p w:rsidR="00CE64A1" w:rsidRPr="009C694C" w:rsidRDefault="00CE64A1" w:rsidP="00C3606E">
            <w:pPr>
              <w:spacing w:before="60" w:after="60"/>
              <w:ind w:left="-19"/>
              <w:rPr>
                <w:rFonts w:cs="Arial"/>
              </w:rPr>
            </w:pPr>
            <w:r w:rsidRPr="009C694C">
              <w:rPr>
                <w:rFonts w:cs="Arial"/>
              </w:rPr>
              <w:t>1</w:t>
            </w:r>
          </w:p>
        </w:tc>
      </w:tr>
      <w:tr w:rsidR="00CE64A1" w:rsidRPr="009C694C" w:rsidTr="004E7077">
        <w:trPr>
          <w:jc w:val="center"/>
        </w:trPr>
        <w:tc>
          <w:tcPr>
            <w:tcW w:w="864" w:type="pct"/>
            <w:vAlign w:val="center"/>
          </w:tcPr>
          <w:p w:rsidR="00CE64A1" w:rsidRPr="009C694C" w:rsidRDefault="00CE64A1" w:rsidP="00C3606E">
            <w:pPr>
              <w:tabs>
                <w:tab w:val="left" w:pos="720"/>
              </w:tabs>
              <w:spacing w:before="60" w:after="60"/>
              <w:rPr>
                <w:rFonts w:cs="Arial"/>
              </w:rPr>
            </w:pPr>
            <w:r w:rsidRPr="009C694C">
              <w:rPr>
                <w:rFonts w:cs="Arial"/>
              </w:rPr>
              <w:t>CDD</w:t>
            </w:r>
          </w:p>
        </w:tc>
        <w:tc>
          <w:tcPr>
            <w:tcW w:w="963" w:type="pct"/>
            <w:vAlign w:val="center"/>
          </w:tcPr>
          <w:p w:rsidR="00CE64A1" w:rsidRPr="009C694C" w:rsidRDefault="00CE64A1" w:rsidP="00C3606E">
            <w:pPr>
              <w:tabs>
                <w:tab w:val="left" w:pos="720"/>
              </w:tabs>
              <w:spacing w:before="60" w:after="60"/>
              <w:jc w:val="center"/>
              <w:rPr>
                <w:rFonts w:cs="Arial"/>
              </w:rPr>
            </w:pPr>
            <w:r w:rsidRPr="009C694C">
              <w:rPr>
                <w:rFonts w:cs="Arial"/>
              </w:rPr>
              <w:t>Fixed</w:t>
            </w:r>
          </w:p>
        </w:tc>
        <w:tc>
          <w:tcPr>
            <w:tcW w:w="1994" w:type="pct"/>
            <w:vAlign w:val="center"/>
          </w:tcPr>
          <w:p w:rsidR="00CE64A1" w:rsidRPr="009C694C" w:rsidRDefault="00CE64A1" w:rsidP="00C3606E">
            <w:pPr>
              <w:spacing w:before="60" w:after="60"/>
              <w:rPr>
                <w:rFonts w:cs="Arial"/>
              </w:rPr>
            </w:pPr>
            <w:r w:rsidRPr="009C694C">
              <w:rPr>
                <w:rFonts w:cs="Arial"/>
              </w:rPr>
              <w:t>Allentown = 787</w:t>
            </w:r>
          </w:p>
          <w:p w:rsidR="00CE64A1" w:rsidRPr="009C694C" w:rsidRDefault="00CE64A1" w:rsidP="00C3606E">
            <w:pPr>
              <w:spacing w:before="60" w:after="60"/>
              <w:rPr>
                <w:rFonts w:cs="Arial"/>
              </w:rPr>
            </w:pPr>
            <w:r w:rsidRPr="009C694C">
              <w:rPr>
                <w:rFonts w:cs="Arial"/>
              </w:rPr>
              <w:t>Erie = 620</w:t>
            </w:r>
          </w:p>
          <w:p w:rsidR="00CE64A1" w:rsidRPr="009C694C" w:rsidRDefault="00CE64A1" w:rsidP="00C3606E">
            <w:pPr>
              <w:spacing w:before="60" w:after="60"/>
              <w:rPr>
                <w:rFonts w:cs="Arial"/>
              </w:rPr>
            </w:pPr>
            <w:r w:rsidRPr="009C694C">
              <w:rPr>
                <w:rFonts w:cs="Arial"/>
              </w:rPr>
              <w:t>Harrisburg = 955</w:t>
            </w:r>
          </w:p>
          <w:p w:rsidR="00CE64A1" w:rsidRPr="009C694C" w:rsidRDefault="00CE64A1" w:rsidP="00C3606E">
            <w:pPr>
              <w:spacing w:before="60" w:after="60"/>
              <w:rPr>
                <w:rFonts w:cs="Arial"/>
              </w:rPr>
            </w:pPr>
            <w:r w:rsidRPr="009C694C">
              <w:rPr>
                <w:rFonts w:cs="Arial"/>
              </w:rPr>
              <w:t>Philadelphia = 1235</w:t>
            </w:r>
          </w:p>
          <w:p w:rsidR="00CE64A1" w:rsidRPr="009C694C" w:rsidRDefault="00CE64A1" w:rsidP="00C3606E">
            <w:pPr>
              <w:spacing w:before="60" w:after="60"/>
              <w:rPr>
                <w:rFonts w:cs="Arial"/>
              </w:rPr>
            </w:pPr>
            <w:r w:rsidRPr="009C694C">
              <w:rPr>
                <w:rFonts w:cs="Arial"/>
              </w:rPr>
              <w:t>Pittsburgh = 726</w:t>
            </w:r>
          </w:p>
          <w:p w:rsidR="00CE64A1" w:rsidRPr="009C694C" w:rsidRDefault="00CE64A1" w:rsidP="00C3606E">
            <w:pPr>
              <w:spacing w:before="60" w:after="60"/>
              <w:rPr>
                <w:rFonts w:cs="Arial"/>
              </w:rPr>
            </w:pPr>
            <w:r w:rsidRPr="009C694C">
              <w:rPr>
                <w:rFonts w:cs="Arial"/>
              </w:rPr>
              <w:t>Scranton = 611</w:t>
            </w:r>
          </w:p>
          <w:p w:rsidR="00CE64A1" w:rsidRPr="009C694C" w:rsidRDefault="00CE64A1" w:rsidP="00C3606E">
            <w:pPr>
              <w:spacing w:before="60" w:after="60"/>
              <w:rPr>
                <w:rFonts w:cs="Arial"/>
              </w:rPr>
            </w:pPr>
            <w:r w:rsidRPr="009C694C">
              <w:rPr>
                <w:rFonts w:cs="Arial"/>
              </w:rPr>
              <w:lastRenderedPageBreak/>
              <w:t>Williamsport = 709</w:t>
            </w:r>
          </w:p>
        </w:tc>
        <w:tc>
          <w:tcPr>
            <w:tcW w:w="1179" w:type="pct"/>
          </w:tcPr>
          <w:p w:rsidR="00CE64A1" w:rsidRPr="009C694C" w:rsidRDefault="00CE64A1" w:rsidP="00C3606E">
            <w:pPr>
              <w:spacing w:before="60" w:after="60"/>
              <w:ind w:left="-19"/>
              <w:rPr>
                <w:rFonts w:cs="Arial"/>
              </w:rPr>
            </w:pPr>
            <w:r w:rsidRPr="009C694C">
              <w:rPr>
                <w:rFonts w:cs="Arial"/>
              </w:rPr>
              <w:lastRenderedPageBreak/>
              <w:t>1</w:t>
            </w:r>
          </w:p>
          <w:p w:rsidR="00CE64A1" w:rsidRPr="009C694C" w:rsidRDefault="00CE64A1" w:rsidP="00C3606E">
            <w:pPr>
              <w:spacing w:before="60" w:after="60"/>
              <w:ind w:left="-19"/>
              <w:rPr>
                <w:rFonts w:cs="Arial"/>
              </w:rPr>
            </w:pPr>
          </w:p>
        </w:tc>
      </w:tr>
      <w:tr w:rsidR="00CE64A1" w:rsidRPr="009C694C" w:rsidTr="004E7077">
        <w:trPr>
          <w:jc w:val="center"/>
        </w:trPr>
        <w:tc>
          <w:tcPr>
            <w:tcW w:w="864" w:type="pct"/>
            <w:vAlign w:val="center"/>
          </w:tcPr>
          <w:p w:rsidR="00CE64A1" w:rsidRPr="009C694C" w:rsidRDefault="00CE64A1" w:rsidP="00C3606E">
            <w:pPr>
              <w:tabs>
                <w:tab w:val="left" w:pos="720"/>
              </w:tabs>
              <w:spacing w:before="60" w:after="60"/>
              <w:rPr>
                <w:rFonts w:cs="Arial"/>
              </w:rPr>
            </w:pPr>
            <w:r w:rsidRPr="009C694C">
              <w:rPr>
                <w:rFonts w:cs="Arial"/>
              </w:rPr>
              <w:lastRenderedPageBreak/>
              <w:t>24</w:t>
            </w:r>
          </w:p>
        </w:tc>
        <w:tc>
          <w:tcPr>
            <w:tcW w:w="963" w:type="pct"/>
            <w:vAlign w:val="center"/>
          </w:tcPr>
          <w:p w:rsidR="00CE64A1" w:rsidRPr="009C694C" w:rsidRDefault="00CE64A1" w:rsidP="00C3606E">
            <w:pPr>
              <w:tabs>
                <w:tab w:val="left" w:pos="720"/>
              </w:tabs>
              <w:spacing w:before="60" w:after="60"/>
              <w:jc w:val="center"/>
              <w:rPr>
                <w:rFonts w:cs="Arial"/>
              </w:rPr>
            </w:pPr>
            <w:r w:rsidRPr="009C694C">
              <w:rPr>
                <w:rFonts w:cs="Arial"/>
              </w:rPr>
              <w:t>Fixed</w:t>
            </w:r>
          </w:p>
        </w:tc>
        <w:tc>
          <w:tcPr>
            <w:tcW w:w="1994" w:type="pct"/>
            <w:vAlign w:val="center"/>
          </w:tcPr>
          <w:p w:rsidR="00CE64A1" w:rsidRPr="009C694C" w:rsidRDefault="00CE64A1" w:rsidP="00C3606E">
            <w:pPr>
              <w:spacing w:before="60" w:after="60"/>
              <w:rPr>
                <w:rFonts w:cs="Arial"/>
              </w:rPr>
            </w:pPr>
            <w:r w:rsidRPr="009C694C">
              <w:rPr>
                <w:rFonts w:cs="Arial"/>
              </w:rPr>
              <w:t>24</w:t>
            </w:r>
          </w:p>
        </w:tc>
        <w:tc>
          <w:tcPr>
            <w:tcW w:w="1179" w:type="pct"/>
          </w:tcPr>
          <w:p w:rsidR="00CE64A1" w:rsidRPr="009C694C" w:rsidRDefault="00CE64A1" w:rsidP="00C3606E">
            <w:pPr>
              <w:spacing w:before="60" w:after="60"/>
              <w:rPr>
                <w:rFonts w:cs="Arial"/>
              </w:rPr>
            </w:pPr>
            <w:r w:rsidRPr="009C694C">
              <w:rPr>
                <w:rFonts w:cs="Arial"/>
              </w:rPr>
              <w:t>n/a</w:t>
            </w:r>
          </w:p>
        </w:tc>
      </w:tr>
      <w:tr w:rsidR="00CE64A1" w:rsidRPr="009C694C" w:rsidTr="004E7077">
        <w:trPr>
          <w:jc w:val="center"/>
        </w:trPr>
        <w:tc>
          <w:tcPr>
            <w:tcW w:w="864" w:type="pct"/>
            <w:vAlign w:val="center"/>
          </w:tcPr>
          <w:p w:rsidR="00CE64A1" w:rsidRPr="009C694C" w:rsidRDefault="00CE64A1" w:rsidP="00C3606E">
            <w:pPr>
              <w:tabs>
                <w:tab w:val="left" w:pos="720"/>
              </w:tabs>
              <w:spacing w:before="60" w:after="60"/>
              <w:rPr>
                <w:rFonts w:cs="Arial"/>
              </w:rPr>
            </w:pPr>
            <w:r w:rsidRPr="009C694C">
              <w:rPr>
                <w:rFonts w:cs="Arial"/>
              </w:rPr>
              <w:t>1000</w:t>
            </w:r>
          </w:p>
        </w:tc>
        <w:tc>
          <w:tcPr>
            <w:tcW w:w="963" w:type="pct"/>
            <w:vAlign w:val="center"/>
          </w:tcPr>
          <w:p w:rsidR="00CE64A1" w:rsidRPr="009C694C" w:rsidRDefault="00CE64A1" w:rsidP="00C3606E">
            <w:pPr>
              <w:tabs>
                <w:tab w:val="left" w:pos="720"/>
              </w:tabs>
              <w:spacing w:before="60" w:after="60"/>
              <w:jc w:val="center"/>
              <w:rPr>
                <w:rFonts w:cs="Arial"/>
              </w:rPr>
            </w:pPr>
            <w:r w:rsidRPr="009C694C">
              <w:rPr>
                <w:rFonts w:cs="Arial"/>
              </w:rPr>
              <w:t>Fixed</w:t>
            </w:r>
          </w:p>
        </w:tc>
        <w:tc>
          <w:tcPr>
            <w:tcW w:w="1994" w:type="pct"/>
            <w:vAlign w:val="center"/>
          </w:tcPr>
          <w:p w:rsidR="00CE64A1" w:rsidRPr="009C694C" w:rsidRDefault="00CE64A1" w:rsidP="00C3606E">
            <w:pPr>
              <w:spacing w:before="60" w:after="60"/>
              <w:rPr>
                <w:rFonts w:cs="Arial"/>
              </w:rPr>
            </w:pPr>
            <w:r w:rsidRPr="009C694C">
              <w:rPr>
                <w:rFonts w:cs="Arial"/>
              </w:rPr>
              <w:t>1000</w:t>
            </w:r>
          </w:p>
        </w:tc>
        <w:tc>
          <w:tcPr>
            <w:tcW w:w="1179" w:type="pct"/>
          </w:tcPr>
          <w:p w:rsidR="00CE64A1" w:rsidRPr="009C694C" w:rsidRDefault="00CE64A1" w:rsidP="00C3606E">
            <w:pPr>
              <w:spacing w:before="60" w:after="60"/>
              <w:rPr>
                <w:rFonts w:cs="Arial"/>
              </w:rPr>
            </w:pPr>
            <w:r w:rsidRPr="009C694C">
              <w:rPr>
                <w:rFonts w:cs="Arial"/>
              </w:rPr>
              <w:t>n/a</w:t>
            </w:r>
          </w:p>
        </w:tc>
      </w:tr>
      <w:tr w:rsidR="00CE64A1" w:rsidRPr="009C694C" w:rsidTr="004E7077">
        <w:trPr>
          <w:jc w:val="center"/>
        </w:trPr>
        <w:tc>
          <w:tcPr>
            <w:tcW w:w="864" w:type="pct"/>
            <w:vAlign w:val="center"/>
          </w:tcPr>
          <w:p w:rsidR="00CE64A1" w:rsidRPr="009C694C" w:rsidRDefault="00CE64A1" w:rsidP="00C3606E">
            <w:pPr>
              <w:tabs>
                <w:tab w:val="left" w:pos="720"/>
              </w:tabs>
              <w:spacing w:before="60" w:after="60"/>
              <w:rPr>
                <w:rFonts w:cs="Arial"/>
              </w:rPr>
            </w:pPr>
            <w:r w:rsidRPr="009C694C">
              <w:rPr>
                <w:rFonts w:cs="Arial"/>
              </w:rPr>
              <w:t>Ceiling R</w:t>
            </w:r>
            <w:r w:rsidRPr="009C694C">
              <w:rPr>
                <w:rFonts w:cs="Arial"/>
                <w:vertAlign w:val="subscript"/>
              </w:rPr>
              <w:t>i</w:t>
            </w:r>
          </w:p>
        </w:tc>
        <w:tc>
          <w:tcPr>
            <w:tcW w:w="963" w:type="pct"/>
            <w:vAlign w:val="center"/>
          </w:tcPr>
          <w:p w:rsidR="00CE64A1" w:rsidRPr="009C694C" w:rsidRDefault="00F11594" w:rsidP="00C3606E">
            <w:pPr>
              <w:tabs>
                <w:tab w:val="left" w:pos="720"/>
              </w:tabs>
              <w:spacing w:before="60" w:after="60"/>
              <w:jc w:val="center"/>
              <w:rPr>
                <w:rFonts w:cs="Arial"/>
              </w:rPr>
            </w:pPr>
            <w:r w:rsidRPr="009C694C">
              <w:rPr>
                <w:rFonts w:cs="Arial"/>
              </w:rPr>
              <w:t>Existing: Variable</w:t>
            </w:r>
          </w:p>
          <w:p w:rsidR="00CE64A1" w:rsidRPr="009C694C" w:rsidRDefault="00CE64A1" w:rsidP="00C3606E">
            <w:pPr>
              <w:tabs>
                <w:tab w:val="left" w:pos="720"/>
              </w:tabs>
              <w:spacing w:before="60" w:after="60"/>
              <w:jc w:val="center"/>
              <w:rPr>
                <w:rFonts w:cs="Arial"/>
              </w:rPr>
            </w:pPr>
            <w:r w:rsidRPr="009C694C">
              <w:rPr>
                <w:rFonts w:cs="Arial"/>
              </w:rPr>
              <w:t>New Construction: Fixed</w:t>
            </w:r>
          </w:p>
        </w:tc>
        <w:tc>
          <w:tcPr>
            <w:tcW w:w="1994" w:type="pct"/>
            <w:vAlign w:val="center"/>
          </w:tcPr>
          <w:p w:rsidR="00CE64A1" w:rsidRPr="003A40FA" w:rsidRDefault="00CE64A1" w:rsidP="00C3606E">
            <w:pPr>
              <w:pStyle w:val="Caption"/>
              <w:spacing w:before="60" w:after="60"/>
              <w:jc w:val="left"/>
              <w:rPr>
                <w:rFonts w:ascii="Arial" w:hAnsi="Arial" w:cs="Arial"/>
                <w:b w:val="0"/>
              </w:rPr>
            </w:pPr>
            <w:r w:rsidRPr="003A40FA">
              <w:rPr>
                <w:rFonts w:ascii="Arial" w:hAnsi="Arial" w:cs="Arial"/>
                <w:b w:val="0"/>
              </w:rPr>
              <w:t xml:space="preserve">For new construction buildings and when variable is unknown for existing buildings:  See </w:t>
            </w:r>
            <w:r w:rsidR="00274AB1">
              <w:fldChar w:fldCharType="begin"/>
            </w:r>
            <w:r w:rsidR="00274AB1">
              <w:instrText xml:space="preserve"> REF _Ref272826219 \h  \* MERGEFORMAT </w:instrText>
            </w:r>
            <w:r w:rsidR="00274AB1">
              <w:fldChar w:fldCharType="separate"/>
            </w:r>
            <w:r w:rsidR="00C0292F" w:rsidRPr="00C0292F">
              <w:rPr>
                <w:rFonts w:ascii="Arial" w:hAnsi="Arial" w:cs="Arial"/>
                <w:b w:val="0"/>
              </w:rPr>
              <w:t xml:space="preserve">Table </w:t>
            </w:r>
            <w:r w:rsidR="00C0292F" w:rsidRPr="00C0292F">
              <w:rPr>
                <w:rFonts w:ascii="Arial" w:hAnsi="Arial" w:cs="Arial"/>
                <w:b w:val="0"/>
                <w:noProof/>
              </w:rPr>
              <w:t>3</w:t>
            </w:r>
            <w:r w:rsidR="00C0292F" w:rsidRPr="00C0292F">
              <w:rPr>
                <w:rFonts w:ascii="Arial" w:hAnsi="Arial" w:cs="Arial"/>
                <w:b w:val="0"/>
                <w:noProof/>
              </w:rPr>
              <w:noBreakHyphen/>
              <w:t>52</w:t>
            </w:r>
            <w:r w:rsidR="00274AB1">
              <w:fldChar w:fldCharType="end"/>
            </w:r>
            <w:r w:rsidR="00B7536A" w:rsidRPr="003A40FA">
              <w:rPr>
                <w:rFonts w:ascii="Arial" w:hAnsi="Arial" w:cs="Arial"/>
                <w:b w:val="0"/>
              </w:rPr>
              <w:t xml:space="preserve"> and </w:t>
            </w:r>
            <w:r w:rsidR="00274AB1">
              <w:fldChar w:fldCharType="begin"/>
            </w:r>
            <w:r w:rsidR="00274AB1">
              <w:instrText xml:space="preserve"> REF _Ref275942945 \h  \* MERGEFORMAT </w:instrText>
            </w:r>
            <w:r w:rsidR="00274AB1">
              <w:fldChar w:fldCharType="separate"/>
            </w:r>
            <w:r w:rsidR="00C0292F" w:rsidRPr="00C0292F">
              <w:rPr>
                <w:rFonts w:ascii="Arial" w:hAnsi="Arial" w:cs="Arial"/>
                <w:b w:val="0"/>
              </w:rPr>
              <w:t>Table 3</w:t>
            </w:r>
            <w:r w:rsidR="00C0292F" w:rsidRPr="00C0292F">
              <w:rPr>
                <w:rFonts w:ascii="Arial" w:hAnsi="Arial" w:cs="Arial"/>
                <w:b w:val="0"/>
              </w:rPr>
              <w:noBreakHyphen/>
              <w:t>53</w:t>
            </w:r>
            <w:r w:rsidR="00274AB1">
              <w:fldChar w:fldCharType="end"/>
            </w:r>
            <w:r w:rsidRPr="003A40FA">
              <w:rPr>
                <w:rFonts w:ascii="Arial" w:hAnsi="Arial" w:cs="Arial"/>
                <w:b w:val="0"/>
              </w:rPr>
              <w:t xml:space="preserve"> for values by building type</w:t>
            </w:r>
          </w:p>
        </w:tc>
        <w:tc>
          <w:tcPr>
            <w:tcW w:w="1179" w:type="pct"/>
          </w:tcPr>
          <w:p w:rsidR="00CE64A1" w:rsidRPr="009C694C" w:rsidRDefault="00CE64A1" w:rsidP="00C3606E">
            <w:pPr>
              <w:spacing w:before="60" w:after="60"/>
              <w:rPr>
                <w:rFonts w:cs="Arial"/>
              </w:rPr>
            </w:pPr>
            <w:r w:rsidRPr="009C694C">
              <w:rPr>
                <w:rFonts w:cs="Arial"/>
              </w:rPr>
              <w:t>AEPS Application; EDC Data Gathering; 2</w:t>
            </w:r>
            <w:r w:rsidR="00FB5461">
              <w:rPr>
                <w:rFonts w:cs="Arial"/>
              </w:rPr>
              <w:t xml:space="preserve">, </w:t>
            </w:r>
            <w:r w:rsidRPr="009C694C">
              <w:rPr>
                <w:rFonts w:cs="Arial"/>
              </w:rPr>
              <w:t>4</w:t>
            </w:r>
          </w:p>
        </w:tc>
      </w:tr>
      <w:tr w:rsidR="00CE64A1" w:rsidRPr="009C694C" w:rsidTr="004E7077">
        <w:trPr>
          <w:jc w:val="center"/>
        </w:trPr>
        <w:tc>
          <w:tcPr>
            <w:tcW w:w="864" w:type="pct"/>
            <w:vAlign w:val="center"/>
          </w:tcPr>
          <w:p w:rsidR="00CE64A1" w:rsidRPr="009C694C" w:rsidRDefault="00CE64A1" w:rsidP="00C3606E">
            <w:pPr>
              <w:tabs>
                <w:tab w:val="left" w:pos="720"/>
              </w:tabs>
              <w:spacing w:before="60" w:after="60"/>
              <w:rPr>
                <w:rFonts w:cs="Arial"/>
              </w:rPr>
            </w:pPr>
            <w:r w:rsidRPr="009C694C">
              <w:rPr>
                <w:rFonts w:cs="Arial"/>
              </w:rPr>
              <w:t>Wall R</w:t>
            </w:r>
            <w:r w:rsidRPr="009C694C">
              <w:rPr>
                <w:rFonts w:cs="Arial"/>
                <w:vertAlign w:val="subscript"/>
              </w:rPr>
              <w:t>i</w:t>
            </w:r>
          </w:p>
        </w:tc>
        <w:tc>
          <w:tcPr>
            <w:tcW w:w="963" w:type="pct"/>
            <w:vAlign w:val="center"/>
          </w:tcPr>
          <w:p w:rsidR="00CE64A1" w:rsidRPr="009C694C" w:rsidRDefault="00F11594" w:rsidP="00C3606E">
            <w:pPr>
              <w:tabs>
                <w:tab w:val="left" w:pos="720"/>
              </w:tabs>
              <w:spacing w:before="60" w:after="60"/>
              <w:jc w:val="center"/>
              <w:rPr>
                <w:rFonts w:cs="Arial"/>
              </w:rPr>
            </w:pPr>
            <w:r w:rsidRPr="009C694C">
              <w:rPr>
                <w:rFonts w:cs="Arial"/>
              </w:rPr>
              <w:t>Existing: Variable</w:t>
            </w:r>
          </w:p>
          <w:p w:rsidR="00CE64A1" w:rsidRPr="009C694C" w:rsidRDefault="00CE64A1" w:rsidP="00C3606E">
            <w:pPr>
              <w:tabs>
                <w:tab w:val="left" w:pos="720"/>
              </w:tabs>
              <w:spacing w:before="60" w:after="60"/>
              <w:jc w:val="center"/>
              <w:rPr>
                <w:rFonts w:cs="Arial"/>
              </w:rPr>
            </w:pPr>
            <w:r w:rsidRPr="009C694C">
              <w:rPr>
                <w:rFonts w:cs="Arial"/>
              </w:rPr>
              <w:t>New Construction: Fixed</w:t>
            </w:r>
          </w:p>
        </w:tc>
        <w:tc>
          <w:tcPr>
            <w:tcW w:w="1994" w:type="pct"/>
            <w:vAlign w:val="center"/>
          </w:tcPr>
          <w:p w:rsidR="00CE64A1" w:rsidRPr="003A40FA" w:rsidRDefault="00CE64A1" w:rsidP="00C3606E">
            <w:pPr>
              <w:pStyle w:val="Caption"/>
              <w:spacing w:before="60" w:after="60"/>
              <w:jc w:val="left"/>
              <w:rPr>
                <w:rFonts w:ascii="Arial" w:hAnsi="Arial" w:cs="Arial"/>
                <w:b w:val="0"/>
              </w:rPr>
            </w:pPr>
            <w:r w:rsidRPr="003A40FA">
              <w:rPr>
                <w:rFonts w:ascii="Arial" w:hAnsi="Arial" w:cs="Arial"/>
                <w:b w:val="0"/>
                <w:bCs w:val="0"/>
              </w:rPr>
              <w:t xml:space="preserve">For new construction buildings and when </w:t>
            </w:r>
            <w:r w:rsidRPr="003A40FA">
              <w:rPr>
                <w:rFonts w:ascii="Arial" w:hAnsi="Arial" w:cs="Arial"/>
                <w:b w:val="0"/>
              </w:rPr>
              <w:t>variable is unknown for existing buildings:  See</w:t>
            </w:r>
            <w:r w:rsidR="00B7536A" w:rsidRPr="003A40FA">
              <w:rPr>
                <w:rFonts w:ascii="Arial" w:hAnsi="Arial" w:cs="Arial"/>
                <w:b w:val="0"/>
              </w:rPr>
              <w:t xml:space="preserve"> </w:t>
            </w:r>
            <w:r w:rsidR="00274AB1">
              <w:fldChar w:fldCharType="begin"/>
            </w:r>
            <w:r w:rsidR="00274AB1">
              <w:instrText xml:space="preserve"> REF _Ref272826219 \h  \* MERGEFORMAT </w:instrText>
            </w:r>
            <w:r w:rsidR="00274AB1">
              <w:fldChar w:fldCharType="separate"/>
            </w:r>
            <w:r w:rsidR="00C0292F" w:rsidRPr="00C0292F">
              <w:rPr>
                <w:rFonts w:ascii="Arial" w:hAnsi="Arial" w:cs="Arial"/>
                <w:b w:val="0"/>
              </w:rPr>
              <w:t>Table 3</w:t>
            </w:r>
            <w:r w:rsidR="00C0292F" w:rsidRPr="00C0292F">
              <w:rPr>
                <w:rFonts w:ascii="Arial" w:hAnsi="Arial" w:cs="Arial"/>
                <w:b w:val="0"/>
              </w:rPr>
              <w:noBreakHyphen/>
              <w:t>52</w:t>
            </w:r>
            <w:r w:rsidR="00274AB1">
              <w:fldChar w:fldCharType="end"/>
            </w:r>
            <w:r w:rsidR="003736DC" w:rsidRPr="003736DC">
              <w:rPr>
                <w:rFonts w:ascii="Arial" w:hAnsi="Arial" w:cs="Arial"/>
                <w:b w:val="0"/>
              </w:rPr>
              <w:t xml:space="preserve"> and </w:t>
            </w:r>
            <w:r w:rsidR="00274AB1">
              <w:fldChar w:fldCharType="begin"/>
            </w:r>
            <w:r w:rsidR="00274AB1">
              <w:instrText xml:space="preserve"> REF _Ref275942945 \h  \* MERGEFORMAT </w:instrText>
            </w:r>
            <w:r w:rsidR="00274AB1">
              <w:fldChar w:fldCharType="separate"/>
            </w:r>
            <w:r w:rsidR="00C0292F" w:rsidRPr="00C0292F">
              <w:rPr>
                <w:rFonts w:ascii="Arial" w:hAnsi="Arial" w:cs="Arial"/>
                <w:b w:val="0"/>
              </w:rPr>
              <w:t>Table 3</w:t>
            </w:r>
            <w:r w:rsidR="00C0292F" w:rsidRPr="00C0292F">
              <w:rPr>
                <w:rFonts w:ascii="Arial" w:hAnsi="Arial" w:cs="Arial"/>
                <w:b w:val="0"/>
              </w:rPr>
              <w:noBreakHyphen/>
              <w:t>53</w:t>
            </w:r>
            <w:r w:rsidR="00274AB1">
              <w:fldChar w:fldCharType="end"/>
            </w:r>
            <w:r w:rsidR="003736DC" w:rsidRPr="003736DC">
              <w:rPr>
                <w:rFonts w:ascii="Arial" w:hAnsi="Arial" w:cs="Arial"/>
                <w:b w:val="0"/>
              </w:rPr>
              <w:t xml:space="preserve"> </w:t>
            </w:r>
            <w:r w:rsidRPr="003736DC">
              <w:rPr>
                <w:rFonts w:ascii="Arial" w:hAnsi="Arial" w:cs="Arial"/>
                <w:b w:val="0"/>
              </w:rPr>
              <w:t>for values by building type</w:t>
            </w:r>
          </w:p>
        </w:tc>
        <w:tc>
          <w:tcPr>
            <w:tcW w:w="1179" w:type="pct"/>
          </w:tcPr>
          <w:p w:rsidR="00CE64A1" w:rsidRPr="009C694C" w:rsidRDefault="00CE64A1" w:rsidP="00C3606E">
            <w:pPr>
              <w:spacing w:before="60" w:after="60"/>
              <w:rPr>
                <w:rFonts w:cs="Arial"/>
              </w:rPr>
            </w:pPr>
            <w:r w:rsidRPr="009C694C">
              <w:rPr>
                <w:rFonts w:cs="Arial"/>
              </w:rPr>
              <w:t>AEPS Application; EDC Data Gathering; 3</w:t>
            </w:r>
            <w:r w:rsidR="00FB5461">
              <w:rPr>
                <w:rFonts w:cs="Arial"/>
              </w:rPr>
              <w:t>,</w:t>
            </w:r>
            <w:r w:rsidRPr="009C694C">
              <w:rPr>
                <w:rFonts w:cs="Arial"/>
              </w:rPr>
              <w:t xml:space="preserve"> 4</w:t>
            </w:r>
          </w:p>
        </w:tc>
      </w:tr>
      <w:tr w:rsidR="00CE64A1" w:rsidRPr="009C694C" w:rsidTr="004E7077">
        <w:trPr>
          <w:jc w:val="center"/>
        </w:trPr>
        <w:tc>
          <w:tcPr>
            <w:tcW w:w="864" w:type="pct"/>
            <w:vAlign w:val="center"/>
          </w:tcPr>
          <w:p w:rsidR="00CE64A1" w:rsidRPr="009C694C" w:rsidRDefault="00CE64A1" w:rsidP="00C3606E">
            <w:pPr>
              <w:tabs>
                <w:tab w:val="left" w:pos="720"/>
              </w:tabs>
              <w:spacing w:before="60" w:after="60"/>
              <w:rPr>
                <w:rFonts w:cs="Arial"/>
              </w:rPr>
            </w:pPr>
            <w:r w:rsidRPr="009C694C">
              <w:rPr>
                <w:rFonts w:cs="Arial"/>
              </w:rPr>
              <w:t>R</w:t>
            </w:r>
            <w:r w:rsidRPr="009C694C">
              <w:rPr>
                <w:rFonts w:cs="Arial"/>
                <w:vertAlign w:val="subscript"/>
              </w:rPr>
              <w:t>f</w:t>
            </w:r>
          </w:p>
        </w:tc>
        <w:tc>
          <w:tcPr>
            <w:tcW w:w="963" w:type="pct"/>
            <w:vAlign w:val="center"/>
          </w:tcPr>
          <w:p w:rsidR="00CE64A1" w:rsidRPr="009C694C" w:rsidRDefault="00CE64A1" w:rsidP="00C3606E">
            <w:pPr>
              <w:tabs>
                <w:tab w:val="left" w:pos="720"/>
              </w:tabs>
              <w:spacing w:before="60" w:after="60"/>
              <w:jc w:val="center"/>
              <w:rPr>
                <w:rFonts w:cs="Arial"/>
              </w:rPr>
            </w:pPr>
            <w:r w:rsidRPr="009C694C">
              <w:rPr>
                <w:rFonts w:cs="Arial"/>
              </w:rPr>
              <w:t>Variable</w:t>
            </w:r>
          </w:p>
        </w:tc>
        <w:tc>
          <w:tcPr>
            <w:tcW w:w="1994" w:type="pct"/>
            <w:vAlign w:val="center"/>
          </w:tcPr>
          <w:p w:rsidR="00CE64A1" w:rsidRPr="009C694C" w:rsidRDefault="00CE64A1" w:rsidP="00C3606E">
            <w:pPr>
              <w:spacing w:before="60" w:after="60"/>
              <w:rPr>
                <w:rFonts w:cs="Arial"/>
                <w:highlight w:val="yellow"/>
              </w:rPr>
            </w:pPr>
          </w:p>
        </w:tc>
        <w:tc>
          <w:tcPr>
            <w:tcW w:w="1179" w:type="pct"/>
          </w:tcPr>
          <w:p w:rsidR="00CE64A1" w:rsidRPr="009C694C" w:rsidRDefault="00CE64A1" w:rsidP="00C3606E">
            <w:pPr>
              <w:spacing w:before="60" w:after="60"/>
              <w:rPr>
                <w:rFonts w:cs="Arial"/>
              </w:rPr>
            </w:pPr>
            <w:r w:rsidRPr="009C694C">
              <w:rPr>
                <w:rFonts w:cs="Arial"/>
              </w:rPr>
              <w:t xml:space="preserve">AEPS Application; EDC Data Gathering; </w:t>
            </w:r>
          </w:p>
        </w:tc>
      </w:tr>
      <w:tr w:rsidR="00CE64A1" w:rsidRPr="009C694C" w:rsidTr="004E7077">
        <w:trPr>
          <w:jc w:val="center"/>
        </w:trPr>
        <w:tc>
          <w:tcPr>
            <w:tcW w:w="864" w:type="pct"/>
            <w:vAlign w:val="center"/>
          </w:tcPr>
          <w:p w:rsidR="00CE64A1" w:rsidRPr="009C694C" w:rsidRDefault="00CE64A1" w:rsidP="00C3606E">
            <w:pPr>
              <w:tabs>
                <w:tab w:val="left" w:pos="720"/>
              </w:tabs>
              <w:spacing w:before="60" w:after="60"/>
              <w:rPr>
                <w:rFonts w:cs="Arial"/>
              </w:rPr>
            </w:pPr>
            <w:r w:rsidRPr="009C694C">
              <w:rPr>
                <w:rFonts w:cs="Arial"/>
              </w:rPr>
              <w:t>EFLH</w:t>
            </w:r>
            <w:r w:rsidRPr="009C694C">
              <w:rPr>
                <w:rFonts w:cs="Arial"/>
                <w:vertAlign w:val="subscript"/>
              </w:rPr>
              <w:t>cool</w:t>
            </w:r>
          </w:p>
        </w:tc>
        <w:tc>
          <w:tcPr>
            <w:tcW w:w="963" w:type="pct"/>
            <w:vAlign w:val="center"/>
          </w:tcPr>
          <w:p w:rsidR="00CE64A1" w:rsidRPr="009C694C" w:rsidRDefault="00CE64A1" w:rsidP="00C3606E">
            <w:pPr>
              <w:tabs>
                <w:tab w:val="left" w:pos="720"/>
              </w:tabs>
              <w:spacing w:before="60" w:after="60"/>
              <w:jc w:val="center"/>
              <w:rPr>
                <w:rFonts w:cs="Arial"/>
              </w:rPr>
            </w:pPr>
            <w:r w:rsidRPr="009C694C">
              <w:rPr>
                <w:rFonts w:cs="Arial"/>
              </w:rPr>
              <w:t>Fixed</w:t>
            </w:r>
          </w:p>
        </w:tc>
        <w:tc>
          <w:tcPr>
            <w:tcW w:w="1994" w:type="pct"/>
            <w:vAlign w:val="center"/>
          </w:tcPr>
          <w:p w:rsidR="00CE64A1" w:rsidRPr="009C694C" w:rsidRDefault="00CE64A1" w:rsidP="00C3606E">
            <w:pPr>
              <w:spacing w:before="60" w:after="60"/>
              <w:rPr>
                <w:rFonts w:cs="Arial"/>
                <w:highlight w:val="yellow"/>
              </w:rPr>
            </w:pPr>
            <w:r w:rsidRPr="009C694C">
              <w:rPr>
                <w:rFonts w:cs="Arial"/>
              </w:rPr>
              <w:t xml:space="preserve">See </w:t>
            </w:r>
            <w:r w:rsidR="00274AB1">
              <w:fldChar w:fldCharType="begin"/>
            </w:r>
            <w:r w:rsidR="00274AB1">
              <w:instrText xml:space="preserve"> REF _Ref274835464 \h  \* MERGEFORMAT </w:instrText>
            </w:r>
            <w:r w:rsidR="00274AB1">
              <w:fldChar w:fldCharType="separate"/>
            </w:r>
            <w:r w:rsidR="00C0292F" w:rsidRPr="00C0292F">
              <w:rPr>
                <w:rFonts w:cs="Arial"/>
              </w:rPr>
              <w:t xml:space="preserve">Table </w:t>
            </w:r>
            <w:r w:rsidR="00C0292F" w:rsidRPr="00C0292F">
              <w:rPr>
                <w:rFonts w:cs="Arial"/>
                <w:noProof/>
              </w:rPr>
              <w:t>3</w:t>
            </w:r>
            <w:r w:rsidR="00C0292F" w:rsidRPr="00C0292F">
              <w:rPr>
                <w:rFonts w:cs="Arial"/>
                <w:noProof/>
              </w:rPr>
              <w:noBreakHyphen/>
              <w:t>55</w:t>
            </w:r>
            <w:r w:rsidR="00274AB1">
              <w:fldChar w:fldCharType="end"/>
            </w:r>
          </w:p>
        </w:tc>
        <w:tc>
          <w:tcPr>
            <w:tcW w:w="1179" w:type="pct"/>
          </w:tcPr>
          <w:p w:rsidR="00CE64A1" w:rsidRPr="009C694C" w:rsidRDefault="00CE64A1" w:rsidP="00C3606E">
            <w:pPr>
              <w:spacing w:before="60" w:after="60"/>
              <w:rPr>
                <w:rFonts w:cs="Arial"/>
              </w:rPr>
            </w:pPr>
            <w:r w:rsidRPr="009C694C">
              <w:rPr>
                <w:rFonts w:cs="Arial"/>
              </w:rPr>
              <w:t>5</w:t>
            </w:r>
          </w:p>
        </w:tc>
      </w:tr>
      <w:tr w:rsidR="00CE64A1" w:rsidRPr="009C694C" w:rsidTr="004E7077">
        <w:trPr>
          <w:jc w:val="center"/>
        </w:trPr>
        <w:tc>
          <w:tcPr>
            <w:tcW w:w="864" w:type="pct"/>
            <w:vAlign w:val="center"/>
          </w:tcPr>
          <w:p w:rsidR="00CE64A1" w:rsidRPr="009C694C" w:rsidRDefault="00CE64A1" w:rsidP="00C3606E">
            <w:pPr>
              <w:tabs>
                <w:tab w:val="left" w:pos="720"/>
              </w:tabs>
              <w:spacing w:before="60" w:after="60"/>
              <w:rPr>
                <w:rFonts w:cs="Arial"/>
              </w:rPr>
            </w:pPr>
            <w:r w:rsidRPr="009C694C">
              <w:rPr>
                <w:rFonts w:cs="Arial"/>
              </w:rPr>
              <w:t>CF</w:t>
            </w:r>
          </w:p>
        </w:tc>
        <w:tc>
          <w:tcPr>
            <w:tcW w:w="963" w:type="pct"/>
            <w:vAlign w:val="center"/>
          </w:tcPr>
          <w:p w:rsidR="00CE64A1" w:rsidRPr="009C694C" w:rsidRDefault="00CE64A1" w:rsidP="00C3606E">
            <w:pPr>
              <w:tabs>
                <w:tab w:val="left" w:pos="720"/>
              </w:tabs>
              <w:spacing w:before="60" w:after="60"/>
              <w:jc w:val="center"/>
              <w:rPr>
                <w:rFonts w:cs="Arial"/>
              </w:rPr>
            </w:pPr>
            <w:r w:rsidRPr="009C694C">
              <w:rPr>
                <w:rFonts w:cs="Arial"/>
              </w:rPr>
              <w:t>Fixed</w:t>
            </w:r>
          </w:p>
        </w:tc>
        <w:tc>
          <w:tcPr>
            <w:tcW w:w="1994" w:type="pct"/>
            <w:vAlign w:val="center"/>
          </w:tcPr>
          <w:p w:rsidR="00CE64A1" w:rsidRPr="009C694C" w:rsidRDefault="00CE64A1" w:rsidP="00C3606E">
            <w:pPr>
              <w:spacing w:before="60" w:after="60"/>
              <w:rPr>
                <w:rFonts w:cs="Arial"/>
              </w:rPr>
            </w:pPr>
            <w:r w:rsidRPr="009C694C">
              <w:rPr>
                <w:rFonts w:cs="Arial"/>
              </w:rPr>
              <w:t>67%</w:t>
            </w:r>
          </w:p>
        </w:tc>
        <w:tc>
          <w:tcPr>
            <w:tcW w:w="1179" w:type="pct"/>
          </w:tcPr>
          <w:p w:rsidR="00CE64A1" w:rsidRPr="009C694C" w:rsidRDefault="00CE64A1" w:rsidP="00C3606E">
            <w:pPr>
              <w:spacing w:before="60" w:after="60"/>
              <w:rPr>
                <w:rFonts w:cs="Arial"/>
              </w:rPr>
            </w:pPr>
            <w:r w:rsidRPr="009C694C">
              <w:rPr>
                <w:rFonts w:cs="Arial"/>
              </w:rPr>
              <w:t>5</w:t>
            </w:r>
          </w:p>
        </w:tc>
      </w:tr>
      <w:tr w:rsidR="00CE64A1" w:rsidRPr="009C694C" w:rsidTr="004E7077">
        <w:trPr>
          <w:jc w:val="center"/>
        </w:trPr>
        <w:tc>
          <w:tcPr>
            <w:tcW w:w="864" w:type="pct"/>
            <w:vAlign w:val="center"/>
          </w:tcPr>
          <w:p w:rsidR="00CE64A1" w:rsidRPr="009C694C" w:rsidRDefault="00CE64A1" w:rsidP="00C3606E">
            <w:pPr>
              <w:tabs>
                <w:tab w:val="left" w:pos="720"/>
              </w:tabs>
              <w:spacing w:before="60" w:after="60"/>
              <w:rPr>
                <w:rFonts w:cs="Arial"/>
              </w:rPr>
            </w:pPr>
            <w:r w:rsidRPr="009C694C">
              <w:rPr>
                <w:rFonts w:cs="Arial"/>
              </w:rPr>
              <w:t>EER</w:t>
            </w:r>
          </w:p>
        </w:tc>
        <w:tc>
          <w:tcPr>
            <w:tcW w:w="963" w:type="pct"/>
            <w:vAlign w:val="center"/>
          </w:tcPr>
          <w:p w:rsidR="00CE64A1" w:rsidRPr="009C694C" w:rsidRDefault="00CE64A1" w:rsidP="00C3606E">
            <w:pPr>
              <w:tabs>
                <w:tab w:val="left" w:pos="720"/>
              </w:tabs>
              <w:spacing w:before="60" w:after="60"/>
              <w:jc w:val="center"/>
              <w:rPr>
                <w:rFonts w:cs="Arial"/>
              </w:rPr>
            </w:pPr>
            <w:r w:rsidRPr="009C694C">
              <w:rPr>
                <w:rFonts w:cs="Arial"/>
              </w:rPr>
              <w:t>Fixed</w:t>
            </w:r>
          </w:p>
        </w:tc>
        <w:tc>
          <w:tcPr>
            <w:tcW w:w="1994" w:type="pct"/>
            <w:vAlign w:val="center"/>
          </w:tcPr>
          <w:p w:rsidR="00CE64A1" w:rsidRPr="009C694C" w:rsidRDefault="00CE64A1" w:rsidP="00C3606E">
            <w:pPr>
              <w:spacing w:before="60" w:after="60"/>
              <w:rPr>
                <w:rFonts w:cs="Arial"/>
              </w:rPr>
            </w:pPr>
            <w:r w:rsidRPr="009C694C">
              <w:rPr>
                <w:rFonts w:cs="Arial"/>
              </w:rPr>
              <w:t xml:space="preserve">See </w:t>
            </w:r>
            <w:r w:rsidR="007A1FB6">
              <w:rPr>
                <w:rFonts w:cs="Arial"/>
              </w:rPr>
              <w:fldChar w:fldCharType="begin"/>
            </w:r>
            <w:r w:rsidR="003A40FA">
              <w:rPr>
                <w:rFonts w:cs="Arial"/>
              </w:rPr>
              <w:instrText xml:space="preserve"> REF _Ref275942456 \h </w:instrText>
            </w:r>
            <w:r w:rsidR="007A1FB6">
              <w:rPr>
                <w:rFonts w:cs="Arial"/>
              </w:rPr>
            </w:r>
            <w:r w:rsidR="007A1FB6">
              <w:rPr>
                <w:rFonts w:cs="Arial"/>
              </w:rPr>
              <w:fldChar w:fldCharType="separate"/>
            </w:r>
            <w:r w:rsidR="00C0292F">
              <w:t xml:space="preserve">Table </w:t>
            </w:r>
            <w:r w:rsidR="00C0292F">
              <w:rPr>
                <w:noProof/>
              </w:rPr>
              <w:t>3</w:t>
            </w:r>
            <w:r w:rsidR="00C0292F">
              <w:noBreakHyphen/>
            </w:r>
            <w:r w:rsidR="00C0292F">
              <w:rPr>
                <w:noProof/>
              </w:rPr>
              <w:t>54</w:t>
            </w:r>
            <w:r w:rsidR="007A1FB6">
              <w:rPr>
                <w:rFonts w:cs="Arial"/>
              </w:rPr>
              <w:fldChar w:fldCharType="end"/>
            </w:r>
          </w:p>
        </w:tc>
        <w:tc>
          <w:tcPr>
            <w:tcW w:w="1179" w:type="pct"/>
          </w:tcPr>
          <w:p w:rsidR="00CE64A1" w:rsidRPr="009C694C" w:rsidRDefault="00CE64A1" w:rsidP="00C3606E">
            <w:pPr>
              <w:spacing w:before="60" w:after="60"/>
              <w:rPr>
                <w:rFonts w:cs="Arial"/>
              </w:rPr>
            </w:pPr>
            <w:r w:rsidRPr="009C694C">
              <w:rPr>
                <w:rFonts w:cs="Arial"/>
              </w:rPr>
              <w:t>6, 7</w:t>
            </w:r>
          </w:p>
        </w:tc>
      </w:tr>
      <w:tr w:rsidR="00CE64A1" w:rsidRPr="009C694C" w:rsidTr="004E7077">
        <w:trPr>
          <w:jc w:val="center"/>
        </w:trPr>
        <w:tc>
          <w:tcPr>
            <w:tcW w:w="864" w:type="pct"/>
            <w:vAlign w:val="center"/>
          </w:tcPr>
          <w:p w:rsidR="00CE64A1" w:rsidRPr="009C694C" w:rsidRDefault="00CE64A1" w:rsidP="00C3606E">
            <w:pPr>
              <w:tabs>
                <w:tab w:val="left" w:pos="720"/>
              </w:tabs>
              <w:spacing w:before="60" w:after="60"/>
              <w:rPr>
                <w:rFonts w:cs="Arial"/>
              </w:rPr>
            </w:pPr>
            <w:r w:rsidRPr="009C694C">
              <w:rPr>
                <w:rFonts w:cs="Arial"/>
              </w:rPr>
              <w:t>COP</w:t>
            </w:r>
          </w:p>
        </w:tc>
        <w:tc>
          <w:tcPr>
            <w:tcW w:w="963" w:type="pct"/>
            <w:vAlign w:val="center"/>
          </w:tcPr>
          <w:p w:rsidR="00CE64A1" w:rsidRPr="009C694C" w:rsidRDefault="00CE64A1" w:rsidP="00C3606E">
            <w:pPr>
              <w:tabs>
                <w:tab w:val="left" w:pos="720"/>
              </w:tabs>
              <w:spacing w:before="60" w:after="60"/>
              <w:jc w:val="center"/>
              <w:rPr>
                <w:rFonts w:cs="Arial"/>
              </w:rPr>
            </w:pPr>
            <w:r w:rsidRPr="009C694C">
              <w:rPr>
                <w:rFonts w:cs="Arial"/>
              </w:rPr>
              <w:t>Fixed</w:t>
            </w:r>
          </w:p>
        </w:tc>
        <w:tc>
          <w:tcPr>
            <w:tcW w:w="1994" w:type="pct"/>
            <w:vAlign w:val="center"/>
          </w:tcPr>
          <w:p w:rsidR="00CE64A1" w:rsidRPr="009C694C" w:rsidRDefault="00CE64A1" w:rsidP="00C3606E">
            <w:pPr>
              <w:spacing w:before="60" w:after="60"/>
              <w:rPr>
                <w:rFonts w:cs="Arial"/>
              </w:rPr>
            </w:pPr>
            <w:r w:rsidRPr="009C694C">
              <w:rPr>
                <w:rFonts w:cs="Arial"/>
              </w:rPr>
              <w:t xml:space="preserve">See </w:t>
            </w:r>
            <w:r w:rsidR="007A1FB6">
              <w:rPr>
                <w:rFonts w:cs="Arial"/>
              </w:rPr>
              <w:fldChar w:fldCharType="begin"/>
            </w:r>
            <w:r w:rsidR="003A40FA">
              <w:rPr>
                <w:rFonts w:cs="Arial"/>
              </w:rPr>
              <w:instrText xml:space="preserve"> REF _Ref275942456 \h </w:instrText>
            </w:r>
            <w:r w:rsidR="007A1FB6">
              <w:rPr>
                <w:rFonts w:cs="Arial"/>
              </w:rPr>
            </w:r>
            <w:r w:rsidR="007A1FB6">
              <w:rPr>
                <w:rFonts w:cs="Arial"/>
              </w:rPr>
              <w:fldChar w:fldCharType="separate"/>
            </w:r>
            <w:r w:rsidR="00C0292F">
              <w:t xml:space="preserve">Table </w:t>
            </w:r>
            <w:r w:rsidR="00C0292F">
              <w:rPr>
                <w:noProof/>
              </w:rPr>
              <w:t>3</w:t>
            </w:r>
            <w:r w:rsidR="00C0292F">
              <w:noBreakHyphen/>
            </w:r>
            <w:r w:rsidR="00C0292F">
              <w:rPr>
                <w:noProof/>
              </w:rPr>
              <w:t>54</w:t>
            </w:r>
            <w:r w:rsidR="007A1FB6">
              <w:rPr>
                <w:rFonts w:cs="Arial"/>
              </w:rPr>
              <w:fldChar w:fldCharType="end"/>
            </w:r>
          </w:p>
        </w:tc>
        <w:tc>
          <w:tcPr>
            <w:tcW w:w="1179" w:type="pct"/>
          </w:tcPr>
          <w:p w:rsidR="00CE64A1" w:rsidRPr="009C694C" w:rsidRDefault="00CE64A1" w:rsidP="00C3606E">
            <w:pPr>
              <w:spacing w:before="60" w:after="60"/>
              <w:rPr>
                <w:rFonts w:cs="Arial"/>
              </w:rPr>
            </w:pPr>
            <w:r w:rsidRPr="009C694C">
              <w:rPr>
                <w:rFonts w:cs="Arial"/>
              </w:rPr>
              <w:t>6, 7</w:t>
            </w:r>
          </w:p>
        </w:tc>
      </w:tr>
    </w:tbl>
    <w:p w:rsidR="004E7077" w:rsidRDefault="004E7077" w:rsidP="00C3606E">
      <w:pPr>
        <w:rPr>
          <w:rFonts w:cs="Arial"/>
        </w:rPr>
      </w:pPr>
    </w:p>
    <w:p w:rsidR="00CE64A1" w:rsidRPr="00BC5194" w:rsidRDefault="00CE64A1" w:rsidP="00B20F6B">
      <w:pPr>
        <w:rPr>
          <w:b/>
        </w:rPr>
      </w:pPr>
      <w:r w:rsidRPr="00BC5194">
        <w:rPr>
          <w:b/>
        </w:rPr>
        <w:t xml:space="preserve"> Sources:</w:t>
      </w:r>
    </w:p>
    <w:p w:rsidR="00CE64A1" w:rsidRPr="009C694C" w:rsidRDefault="00CE64A1" w:rsidP="0005632A">
      <w:pPr>
        <w:pStyle w:val="source1"/>
        <w:numPr>
          <w:ilvl w:val="0"/>
          <w:numId w:val="67"/>
        </w:numPr>
      </w:pPr>
      <w:r w:rsidRPr="009C694C">
        <w:t>U.S. Department of Commerce.  Climatography of the United States No. 81 Supplement No. 2.  Annual Degree Days to Selected Bases 1971 – 2000.  Scranton uses the values for Wilkes-Barre.  HDD were adjusted downward to account for business hours.  CDD were not adjusted for business hours, as the adjustment resulted in an increase in CDD and so not including the adjustment provides a conservative estimate of energy savings.</w:t>
      </w:r>
    </w:p>
    <w:p w:rsidR="00CE64A1" w:rsidRPr="009C694C" w:rsidRDefault="00CE64A1" w:rsidP="00C3606E">
      <w:pPr>
        <w:pStyle w:val="source1"/>
      </w:pPr>
      <w:r w:rsidRPr="009C694C">
        <w:t>The initial R-value for a ceiling for existing buildings is based on the EDC eligibility requirement that at least R-11 be installed and that the insulation must meet at least IECC 2009 code.  The initial R-value for new construction buildings is based on IECC 2009 code for climate zone 5.</w:t>
      </w:r>
    </w:p>
    <w:p w:rsidR="00CE64A1" w:rsidRPr="009C694C" w:rsidRDefault="00CE64A1" w:rsidP="00C3606E">
      <w:pPr>
        <w:pStyle w:val="source1"/>
      </w:pPr>
      <w:r w:rsidRPr="009C694C">
        <w:t xml:space="preserve">The initial R-value for a wall assumes that there was no existing insulation, or that it has fallen down resulting in an R-value equivalent to that of the building materials.  Building simulation modeling using DOE-2.2 model (eQuest) was performed for a building with no wall insulation.  The R-value is dependent upon the construction materials and their thickness.  Assumptions were made about the building materials used in each sector.  </w:t>
      </w:r>
    </w:p>
    <w:p w:rsidR="00CE64A1" w:rsidRPr="009C694C" w:rsidRDefault="00CE64A1" w:rsidP="00C3606E">
      <w:pPr>
        <w:pStyle w:val="source1"/>
      </w:pPr>
      <w:r w:rsidRPr="009C694C">
        <w:t xml:space="preserve">2009 International Energy Conservation Code.  Used climate zone 5 which covers the majority of Pennsylvania.  The R-values required by code were used as inputs in the </w:t>
      </w:r>
      <w:r w:rsidRPr="009C694C">
        <w:lastRenderedPageBreak/>
        <w:t>eQuest building simulation model to calculate the total R-value for the wall including the building materials.</w:t>
      </w:r>
    </w:p>
    <w:p w:rsidR="00CE64A1" w:rsidRPr="009C694C" w:rsidRDefault="00CE64A1" w:rsidP="00C3606E">
      <w:pPr>
        <w:pStyle w:val="source1"/>
      </w:pPr>
      <w:r w:rsidRPr="009C694C">
        <w:t xml:space="preserve">EFLH values and coincidence factors for HVAC peak demand savings calculations come from the Pennsylvania Technical Reference Manual.  June 2010.   </w:t>
      </w:r>
    </w:p>
    <w:p w:rsidR="00CE64A1" w:rsidRPr="009C694C" w:rsidRDefault="00CE64A1" w:rsidP="00C3606E">
      <w:pPr>
        <w:pStyle w:val="source1"/>
      </w:pPr>
      <w:r w:rsidRPr="009C694C">
        <w:t xml:space="preserve">Baseline values from ASHRAE 90.1-2004 for existing buildings.  </w:t>
      </w:r>
    </w:p>
    <w:p w:rsidR="00CE64A1" w:rsidRPr="009C694C" w:rsidRDefault="00CE64A1" w:rsidP="00C3606E">
      <w:pPr>
        <w:pStyle w:val="source1"/>
      </w:pPr>
      <w:r w:rsidRPr="009C694C">
        <w:t xml:space="preserve">Baseline values from </w:t>
      </w:r>
      <w:r w:rsidR="004E7077">
        <w:t>IECC 2009</w:t>
      </w:r>
      <w:r w:rsidRPr="009C694C">
        <w:t xml:space="preserve"> for new construction buildings.  </w:t>
      </w:r>
    </w:p>
    <w:p w:rsidR="00CE64A1" w:rsidRPr="00B7536A" w:rsidRDefault="00CE64A1" w:rsidP="00B20F6B">
      <w:pPr>
        <w:pStyle w:val="Caption"/>
      </w:pPr>
      <w:bookmarkStart w:id="953" w:name="_Ref272826219"/>
      <w:bookmarkStart w:id="954" w:name="_Ref275940714"/>
      <w:bookmarkStart w:id="955" w:name="_Toc310875604"/>
      <w:bookmarkStart w:id="956" w:name="_Ref272826214"/>
      <w:r w:rsidRPr="00B7536A">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52</w:t>
      </w:r>
      <w:r w:rsidR="00274AB1">
        <w:rPr>
          <w:noProof/>
        </w:rPr>
        <w:fldChar w:fldCharType="end"/>
      </w:r>
      <w:bookmarkEnd w:id="953"/>
      <w:r w:rsidRPr="00B7536A">
        <w:t>: Ceiling R-Values by Building Type</w:t>
      </w:r>
      <w:bookmarkEnd w:id="954"/>
      <w:bookmarkEnd w:id="95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3"/>
        <w:gridCol w:w="2951"/>
      </w:tblGrid>
      <w:tr w:rsidR="00CE64A1" w:rsidRPr="009C694C" w:rsidTr="004E7077">
        <w:trPr>
          <w:trHeight w:val="300"/>
          <w:jc w:val="center"/>
        </w:trPr>
        <w:tc>
          <w:tcPr>
            <w:tcW w:w="1667" w:type="pct"/>
            <w:shd w:val="pct25" w:color="auto" w:fill="auto"/>
          </w:tcPr>
          <w:p w:rsidR="00CE64A1" w:rsidRPr="00FE4B48" w:rsidRDefault="00CE64A1" w:rsidP="00C3606E">
            <w:pPr>
              <w:spacing w:before="60" w:after="60"/>
              <w:rPr>
                <w:rFonts w:cs="Arial"/>
                <w:b/>
                <w:bCs/>
                <w:color w:val="000000"/>
                <w:sz w:val="18"/>
                <w:szCs w:val="18"/>
              </w:rPr>
            </w:pPr>
            <w:r w:rsidRPr="00FE4B48">
              <w:rPr>
                <w:rFonts w:cs="Arial"/>
                <w:b/>
                <w:bCs/>
                <w:color w:val="000000"/>
                <w:sz w:val="18"/>
                <w:szCs w:val="18"/>
              </w:rPr>
              <w:t>Building Type</w:t>
            </w:r>
          </w:p>
        </w:tc>
        <w:tc>
          <w:tcPr>
            <w:tcW w:w="1667" w:type="pct"/>
            <w:shd w:val="pct25" w:color="auto" w:fill="auto"/>
          </w:tcPr>
          <w:p w:rsidR="00CE64A1" w:rsidRPr="00FE4B48" w:rsidRDefault="00CE64A1" w:rsidP="00C3606E">
            <w:pPr>
              <w:spacing w:before="60" w:after="60"/>
              <w:rPr>
                <w:rFonts w:cs="Arial"/>
                <w:b/>
                <w:bCs/>
                <w:color w:val="000000"/>
                <w:sz w:val="18"/>
                <w:szCs w:val="18"/>
              </w:rPr>
            </w:pPr>
            <w:r w:rsidRPr="00FE4B48">
              <w:rPr>
                <w:rFonts w:cs="Arial"/>
                <w:b/>
                <w:bCs/>
                <w:color w:val="000000"/>
                <w:sz w:val="18"/>
                <w:szCs w:val="18"/>
              </w:rPr>
              <w:t>Ceiling R</w:t>
            </w:r>
            <w:r w:rsidRPr="00FE4B48">
              <w:rPr>
                <w:rFonts w:cs="Arial"/>
                <w:b/>
                <w:bCs/>
                <w:color w:val="000000"/>
                <w:sz w:val="18"/>
                <w:szCs w:val="18"/>
                <w:vertAlign w:val="subscript"/>
              </w:rPr>
              <w:t>i</w:t>
            </w:r>
            <w:r w:rsidRPr="00FE4B48">
              <w:rPr>
                <w:rFonts w:cs="Arial"/>
                <w:b/>
                <w:bCs/>
                <w:color w:val="000000"/>
                <w:sz w:val="18"/>
                <w:szCs w:val="18"/>
              </w:rPr>
              <w:t xml:space="preserve">-Value </w:t>
            </w:r>
            <w:r w:rsidRPr="00FE4B48">
              <w:rPr>
                <w:rFonts w:cs="Arial"/>
                <w:b/>
                <w:bCs/>
                <w:color w:val="000000"/>
                <w:sz w:val="18"/>
                <w:szCs w:val="18"/>
              </w:rPr>
              <w:br/>
              <w:t>(New Construction)</w:t>
            </w:r>
          </w:p>
        </w:tc>
        <w:tc>
          <w:tcPr>
            <w:tcW w:w="1667" w:type="pct"/>
            <w:shd w:val="pct25" w:color="auto" w:fill="auto"/>
          </w:tcPr>
          <w:p w:rsidR="00CE64A1" w:rsidRPr="00FE4B48" w:rsidRDefault="00CE64A1" w:rsidP="00C3606E">
            <w:pPr>
              <w:spacing w:before="60" w:after="60"/>
              <w:rPr>
                <w:rFonts w:cs="Arial"/>
                <w:b/>
                <w:bCs/>
                <w:color w:val="000000"/>
                <w:sz w:val="18"/>
                <w:szCs w:val="18"/>
              </w:rPr>
            </w:pPr>
            <w:r w:rsidRPr="00FE4B48">
              <w:rPr>
                <w:rFonts w:cs="Arial"/>
                <w:b/>
                <w:bCs/>
                <w:color w:val="000000"/>
                <w:sz w:val="18"/>
                <w:szCs w:val="18"/>
              </w:rPr>
              <w:t>Ceiling R</w:t>
            </w:r>
            <w:r w:rsidRPr="00FE4B48">
              <w:rPr>
                <w:rFonts w:cs="Arial"/>
                <w:b/>
                <w:bCs/>
                <w:color w:val="000000"/>
                <w:sz w:val="18"/>
                <w:szCs w:val="18"/>
                <w:vertAlign w:val="subscript"/>
              </w:rPr>
              <w:t>i</w:t>
            </w:r>
            <w:r w:rsidRPr="00FE4B48">
              <w:rPr>
                <w:rFonts w:cs="Arial"/>
                <w:b/>
                <w:bCs/>
                <w:color w:val="000000"/>
                <w:sz w:val="18"/>
                <w:szCs w:val="18"/>
              </w:rPr>
              <w:t xml:space="preserve">-Value </w:t>
            </w:r>
            <w:r w:rsidRPr="00FE4B48">
              <w:rPr>
                <w:rFonts w:cs="Arial"/>
                <w:b/>
                <w:bCs/>
                <w:color w:val="000000"/>
                <w:sz w:val="18"/>
                <w:szCs w:val="18"/>
              </w:rPr>
              <w:br/>
              <w:t>(Existing)</w:t>
            </w:r>
          </w:p>
        </w:tc>
      </w:tr>
      <w:tr w:rsidR="00CE64A1" w:rsidRPr="009C694C" w:rsidTr="004E7077">
        <w:trPr>
          <w:trHeight w:val="300"/>
          <w:jc w:val="center"/>
        </w:trPr>
        <w:tc>
          <w:tcPr>
            <w:tcW w:w="1667" w:type="pct"/>
          </w:tcPr>
          <w:p w:rsidR="004E7077" w:rsidRPr="00FE4B48" w:rsidRDefault="004E7077" w:rsidP="00C3606E">
            <w:pPr>
              <w:spacing w:before="60" w:after="60"/>
              <w:rPr>
                <w:rFonts w:cs="Arial"/>
                <w:color w:val="000000"/>
                <w:sz w:val="18"/>
                <w:szCs w:val="18"/>
              </w:rPr>
            </w:pPr>
            <w:r w:rsidRPr="00FE4B48">
              <w:rPr>
                <w:rFonts w:cs="Arial"/>
                <w:color w:val="000000"/>
                <w:sz w:val="18"/>
                <w:szCs w:val="18"/>
              </w:rPr>
              <w:t>L</w:t>
            </w:r>
            <w:r w:rsidR="00CE64A1" w:rsidRPr="00FE4B48">
              <w:rPr>
                <w:rFonts w:cs="Arial"/>
                <w:color w:val="000000"/>
                <w:sz w:val="18"/>
                <w:szCs w:val="18"/>
              </w:rPr>
              <w:t xml:space="preserve">arge </w:t>
            </w:r>
            <w:r w:rsidRPr="00FE4B48">
              <w:rPr>
                <w:rFonts w:cs="Arial"/>
                <w:color w:val="000000"/>
                <w:sz w:val="18"/>
                <w:szCs w:val="18"/>
              </w:rPr>
              <w:t>O</w:t>
            </w:r>
            <w:r w:rsidR="00CE64A1" w:rsidRPr="00FE4B48">
              <w:rPr>
                <w:rFonts w:cs="Arial"/>
                <w:color w:val="000000"/>
                <w:sz w:val="18"/>
                <w:szCs w:val="18"/>
              </w:rPr>
              <w:t>ffice</w:t>
            </w:r>
          </w:p>
          <w:p w:rsidR="004E7077" w:rsidRPr="00FE4B48" w:rsidRDefault="004E7077" w:rsidP="00C3606E">
            <w:pPr>
              <w:spacing w:before="60" w:after="60"/>
              <w:rPr>
                <w:rFonts w:cs="Arial"/>
                <w:color w:val="000000"/>
                <w:sz w:val="18"/>
                <w:szCs w:val="18"/>
              </w:rPr>
            </w:pPr>
            <w:r w:rsidRPr="00FE4B48">
              <w:rPr>
                <w:rFonts w:cs="Arial"/>
                <w:color w:val="000000"/>
                <w:sz w:val="18"/>
                <w:szCs w:val="18"/>
              </w:rPr>
              <w:t>L</w:t>
            </w:r>
            <w:r w:rsidR="00CE64A1" w:rsidRPr="00FE4B48">
              <w:rPr>
                <w:rFonts w:cs="Arial"/>
                <w:color w:val="000000"/>
                <w:sz w:val="18"/>
                <w:szCs w:val="18"/>
              </w:rPr>
              <w:t xml:space="preserve">arge </w:t>
            </w:r>
            <w:r w:rsidRPr="00FE4B48">
              <w:rPr>
                <w:rFonts w:cs="Arial"/>
                <w:color w:val="000000"/>
                <w:sz w:val="18"/>
                <w:szCs w:val="18"/>
              </w:rPr>
              <w:t>R</w:t>
            </w:r>
            <w:r w:rsidR="00CE64A1" w:rsidRPr="00FE4B48">
              <w:rPr>
                <w:rFonts w:cs="Arial"/>
                <w:color w:val="000000"/>
                <w:sz w:val="18"/>
                <w:szCs w:val="18"/>
              </w:rPr>
              <w:t>etail</w:t>
            </w:r>
          </w:p>
          <w:p w:rsidR="004E7077" w:rsidRPr="00FE4B48" w:rsidRDefault="004E7077" w:rsidP="00C3606E">
            <w:pPr>
              <w:spacing w:before="60" w:after="60"/>
              <w:rPr>
                <w:rFonts w:cs="Arial"/>
                <w:color w:val="000000"/>
                <w:sz w:val="18"/>
                <w:szCs w:val="18"/>
              </w:rPr>
            </w:pPr>
            <w:r w:rsidRPr="00FE4B48">
              <w:rPr>
                <w:rFonts w:cs="Arial"/>
                <w:color w:val="000000"/>
                <w:sz w:val="18"/>
                <w:szCs w:val="18"/>
              </w:rPr>
              <w:t>L</w:t>
            </w:r>
            <w:r w:rsidR="00CE64A1" w:rsidRPr="00FE4B48">
              <w:rPr>
                <w:rFonts w:cs="Arial"/>
                <w:color w:val="000000"/>
                <w:sz w:val="18"/>
                <w:szCs w:val="18"/>
              </w:rPr>
              <w:t>odging</w:t>
            </w:r>
          </w:p>
          <w:p w:rsidR="004E7077" w:rsidRPr="00FE4B48" w:rsidRDefault="004E7077" w:rsidP="00C3606E">
            <w:pPr>
              <w:spacing w:before="60" w:after="60"/>
              <w:rPr>
                <w:rFonts w:cs="Arial"/>
                <w:color w:val="000000"/>
                <w:sz w:val="18"/>
                <w:szCs w:val="18"/>
              </w:rPr>
            </w:pPr>
            <w:r w:rsidRPr="00FE4B48">
              <w:rPr>
                <w:rFonts w:cs="Arial"/>
                <w:color w:val="000000"/>
                <w:sz w:val="18"/>
                <w:szCs w:val="18"/>
              </w:rPr>
              <w:t>H</w:t>
            </w:r>
            <w:r w:rsidR="00CE64A1" w:rsidRPr="00FE4B48">
              <w:rPr>
                <w:rFonts w:cs="Arial"/>
                <w:color w:val="000000"/>
                <w:sz w:val="18"/>
                <w:szCs w:val="18"/>
              </w:rPr>
              <w:t>ealth</w:t>
            </w:r>
          </w:p>
          <w:p w:rsidR="004E7077" w:rsidRPr="00FE4B48" w:rsidRDefault="004E7077" w:rsidP="00C3606E">
            <w:pPr>
              <w:spacing w:before="60" w:after="60"/>
              <w:rPr>
                <w:rFonts w:cs="Arial"/>
                <w:color w:val="000000"/>
                <w:sz w:val="18"/>
                <w:szCs w:val="18"/>
              </w:rPr>
            </w:pPr>
            <w:r w:rsidRPr="00FE4B48">
              <w:rPr>
                <w:rFonts w:cs="Arial"/>
                <w:color w:val="000000"/>
                <w:sz w:val="18"/>
                <w:szCs w:val="18"/>
              </w:rPr>
              <w:t>E</w:t>
            </w:r>
            <w:r w:rsidR="00CE64A1" w:rsidRPr="00FE4B48">
              <w:rPr>
                <w:rFonts w:cs="Arial"/>
                <w:color w:val="000000"/>
                <w:sz w:val="18"/>
                <w:szCs w:val="18"/>
              </w:rPr>
              <w:t>ducation</w:t>
            </w:r>
          </w:p>
          <w:p w:rsidR="00CE64A1" w:rsidRPr="00FE4B48" w:rsidRDefault="004E7077" w:rsidP="00C3606E">
            <w:pPr>
              <w:spacing w:before="60" w:after="60"/>
              <w:rPr>
                <w:rFonts w:cs="Arial"/>
                <w:color w:val="000000"/>
                <w:sz w:val="18"/>
                <w:szCs w:val="18"/>
              </w:rPr>
            </w:pPr>
            <w:r w:rsidRPr="00FE4B48">
              <w:rPr>
                <w:rFonts w:cs="Arial"/>
                <w:color w:val="000000"/>
                <w:sz w:val="18"/>
                <w:szCs w:val="18"/>
              </w:rPr>
              <w:t>G</w:t>
            </w:r>
            <w:r w:rsidR="00CE64A1" w:rsidRPr="00FE4B48">
              <w:rPr>
                <w:rFonts w:cs="Arial"/>
                <w:color w:val="000000"/>
                <w:sz w:val="18"/>
                <w:szCs w:val="18"/>
              </w:rPr>
              <w:t>rocery</w:t>
            </w:r>
          </w:p>
        </w:tc>
        <w:tc>
          <w:tcPr>
            <w:tcW w:w="1667" w:type="pct"/>
          </w:tcPr>
          <w:p w:rsidR="00CE64A1" w:rsidRPr="00FE4B48" w:rsidRDefault="00CE64A1" w:rsidP="00C3606E">
            <w:pPr>
              <w:spacing w:before="60" w:after="60"/>
              <w:rPr>
                <w:rFonts w:cs="Arial"/>
                <w:color w:val="000000"/>
                <w:sz w:val="18"/>
                <w:szCs w:val="18"/>
              </w:rPr>
            </w:pPr>
            <w:r w:rsidRPr="00FE4B48">
              <w:rPr>
                <w:rFonts w:cs="Arial"/>
                <w:color w:val="000000"/>
                <w:sz w:val="18"/>
                <w:szCs w:val="18"/>
              </w:rPr>
              <w:t>20</w:t>
            </w:r>
          </w:p>
        </w:tc>
        <w:tc>
          <w:tcPr>
            <w:tcW w:w="1667" w:type="pct"/>
          </w:tcPr>
          <w:p w:rsidR="00CE64A1" w:rsidRPr="00FE4B48" w:rsidRDefault="00CE64A1" w:rsidP="00C3606E">
            <w:pPr>
              <w:spacing w:before="60" w:after="60"/>
              <w:rPr>
                <w:rFonts w:cs="Arial"/>
                <w:color w:val="000000"/>
                <w:sz w:val="18"/>
                <w:szCs w:val="18"/>
              </w:rPr>
            </w:pPr>
            <w:r w:rsidRPr="00FE4B48">
              <w:rPr>
                <w:rFonts w:cs="Arial"/>
                <w:color w:val="000000"/>
                <w:sz w:val="18"/>
                <w:szCs w:val="18"/>
              </w:rPr>
              <w:t>9</w:t>
            </w:r>
          </w:p>
        </w:tc>
      </w:tr>
      <w:tr w:rsidR="00CE64A1" w:rsidRPr="009C694C" w:rsidTr="004E7077">
        <w:trPr>
          <w:trHeight w:val="440"/>
          <w:jc w:val="center"/>
        </w:trPr>
        <w:tc>
          <w:tcPr>
            <w:tcW w:w="1667" w:type="pct"/>
          </w:tcPr>
          <w:p w:rsidR="00CE64A1" w:rsidRPr="00FE4B48" w:rsidRDefault="004E7077" w:rsidP="00C3606E">
            <w:pPr>
              <w:spacing w:before="60" w:after="60"/>
              <w:rPr>
                <w:rFonts w:cs="Arial"/>
                <w:color w:val="000000"/>
                <w:sz w:val="18"/>
                <w:szCs w:val="18"/>
              </w:rPr>
            </w:pPr>
            <w:r w:rsidRPr="00FE4B48">
              <w:rPr>
                <w:rFonts w:cs="Arial"/>
                <w:color w:val="000000"/>
                <w:sz w:val="18"/>
                <w:szCs w:val="18"/>
              </w:rPr>
              <w:t>Small Office</w:t>
            </w:r>
          </w:p>
          <w:p w:rsidR="004E7077" w:rsidRPr="00FE4B48" w:rsidRDefault="004E7077" w:rsidP="00C3606E">
            <w:pPr>
              <w:spacing w:before="60" w:after="60"/>
              <w:rPr>
                <w:rFonts w:cs="Arial"/>
                <w:color w:val="000000"/>
                <w:sz w:val="18"/>
                <w:szCs w:val="18"/>
              </w:rPr>
            </w:pPr>
            <w:r w:rsidRPr="00FE4B48">
              <w:rPr>
                <w:rFonts w:cs="Arial"/>
                <w:color w:val="000000"/>
                <w:sz w:val="18"/>
                <w:szCs w:val="18"/>
              </w:rPr>
              <w:t>Warehouse</w:t>
            </w:r>
          </w:p>
        </w:tc>
        <w:tc>
          <w:tcPr>
            <w:tcW w:w="1667" w:type="pct"/>
          </w:tcPr>
          <w:p w:rsidR="00CE64A1" w:rsidRPr="00FE4B48" w:rsidRDefault="00CE64A1" w:rsidP="00C3606E">
            <w:pPr>
              <w:spacing w:before="60" w:after="60"/>
              <w:rPr>
                <w:rFonts w:cs="Arial"/>
                <w:color w:val="000000"/>
                <w:sz w:val="18"/>
                <w:szCs w:val="18"/>
              </w:rPr>
            </w:pPr>
            <w:r w:rsidRPr="00FE4B48">
              <w:rPr>
                <w:rFonts w:cs="Arial"/>
                <w:color w:val="000000"/>
                <w:sz w:val="18"/>
                <w:szCs w:val="18"/>
              </w:rPr>
              <w:t>24.4</w:t>
            </w:r>
          </w:p>
        </w:tc>
        <w:tc>
          <w:tcPr>
            <w:tcW w:w="1667" w:type="pct"/>
          </w:tcPr>
          <w:p w:rsidR="00CE64A1" w:rsidRPr="00FE4B48" w:rsidRDefault="00CE64A1" w:rsidP="00C3606E">
            <w:pPr>
              <w:spacing w:before="60" w:after="60"/>
              <w:rPr>
                <w:rFonts w:cs="Arial"/>
                <w:color w:val="000000"/>
                <w:sz w:val="18"/>
                <w:szCs w:val="18"/>
              </w:rPr>
            </w:pPr>
            <w:r w:rsidRPr="00FE4B48">
              <w:rPr>
                <w:rFonts w:cs="Arial"/>
                <w:color w:val="000000"/>
                <w:sz w:val="18"/>
                <w:szCs w:val="18"/>
              </w:rPr>
              <w:t>13.4</w:t>
            </w:r>
          </w:p>
        </w:tc>
      </w:tr>
      <w:tr w:rsidR="00CE64A1" w:rsidRPr="009C694C" w:rsidTr="004E7077">
        <w:trPr>
          <w:trHeight w:val="620"/>
          <w:jc w:val="center"/>
        </w:trPr>
        <w:tc>
          <w:tcPr>
            <w:tcW w:w="1667" w:type="pct"/>
          </w:tcPr>
          <w:p w:rsidR="004E7077" w:rsidRPr="00FE4B48" w:rsidRDefault="004E7077" w:rsidP="00C3606E">
            <w:pPr>
              <w:spacing w:before="60" w:after="60"/>
              <w:rPr>
                <w:rFonts w:cs="Arial"/>
                <w:color w:val="000000"/>
                <w:sz w:val="18"/>
                <w:szCs w:val="18"/>
              </w:rPr>
            </w:pPr>
            <w:r w:rsidRPr="00FE4B48">
              <w:rPr>
                <w:rFonts w:cs="Arial"/>
                <w:color w:val="000000"/>
                <w:sz w:val="18"/>
                <w:szCs w:val="18"/>
              </w:rPr>
              <w:t>Small Retail</w:t>
            </w:r>
          </w:p>
          <w:p w:rsidR="004E7077" w:rsidRPr="00FE4B48" w:rsidRDefault="004E7077" w:rsidP="00C3606E">
            <w:pPr>
              <w:spacing w:before="60" w:after="60"/>
              <w:rPr>
                <w:rFonts w:cs="Arial"/>
                <w:color w:val="000000"/>
                <w:sz w:val="18"/>
                <w:szCs w:val="18"/>
              </w:rPr>
            </w:pPr>
            <w:r w:rsidRPr="00FE4B48">
              <w:rPr>
                <w:rFonts w:cs="Arial"/>
                <w:color w:val="000000"/>
                <w:sz w:val="18"/>
                <w:szCs w:val="18"/>
              </w:rPr>
              <w:t>Restaurant</w:t>
            </w:r>
          </w:p>
          <w:p w:rsidR="00CE64A1" w:rsidRPr="00FE4B48" w:rsidRDefault="004E7077" w:rsidP="00C3606E">
            <w:pPr>
              <w:spacing w:before="60" w:after="60"/>
              <w:rPr>
                <w:rFonts w:cs="Arial"/>
                <w:color w:val="000000"/>
                <w:sz w:val="18"/>
                <w:szCs w:val="18"/>
              </w:rPr>
            </w:pPr>
            <w:r w:rsidRPr="00FE4B48">
              <w:rPr>
                <w:rFonts w:cs="Arial"/>
                <w:color w:val="000000"/>
                <w:sz w:val="18"/>
                <w:szCs w:val="18"/>
              </w:rPr>
              <w:t>Convenience Store</w:t>
            </w:r>
          </w:p>
        </w:tc>
        <w:tc>
          <w:tcPr>
            <w:tcW w:w="1667" w:type="pct"/>
          </w:tcPr>
          <w:p w:rsidR="00CE64A1" w:rsidRPr="00FE4B48" w:rsidRDefault="00CE64A1" w:rsidP="00C3606E">
            <w:pPr>
              <w:spacing w:before="60" w:after="60"/>
              <w:rPr>
                <w:rFonts w:cs="Arial"/>
                <w:color w:val="000000"/>
                <w:sz w:val="18"/>
                <w:szCs w:val="18"/>
              </w:rPr>
            </w:pPr>
            <w:r w:rsidRPr="00FE4B48">
              <w:rPr>
                <w:rFonts w:cs="Arial"/>
                <w:color w:val="000000"/>
                <w:sz w:val="18"/>
                <w:szCs w:val="18"/>
              </w:rPr>
              <w:t>20</w:t>
            </w:r>
          </w:p>
        </w:tc>
        <w:tc>
          <w:tcPr>
            <w:tcW w:w="1667" w:type="pct"/>
          </w:tcPr>
          <w:p w:rsidR="00CE64A1" w:rsidRPr="00FE4B48" w:rsidRDefault="00CE64A1" w:rsidP="00C3606E">
            <w:pPr>
              <w:spacing w:before="60" w:after="60"/>
              <w:rPr>
                <w:rFonts w:cs="Arial"/>
                <w:color w:val="000000"/>
                <w:sz w:val="18"/>
                <w:szCs w:val="18"/>
              </w:rPr>
            </w:pPr>
            <w:r w:rsidRPr="00FE4B48">
              <w:rPr>
                <w:rFonts w:cs="Arial"/>
                <w:color w:val="000000"/>
                <w:sz w:val="18"/>
                <w:szCs w:val="18"/>
              </w:rPr>
              <w:t>9</w:t>
            </w:r>
          </w:p>
        </w:tc>
      </w:tr>
    </w:tbl>
    <w:p w:rsidR="00B7536A" w:rsidRDefault="00B7536A" w:rsidP="00C3606E">
      <w:pPr>
        <w:pStyle w:val="Caption"/>
        <w:spacing w:before="0" w:after="200"/>
        <w:rPr>
          <w:rFonts w:ascii="Arial" w:hAnsi="Arial" w:cs="Arial"/>
        </w:rPr>
      </w:pPr>
      <w:bookmarkStart w:id="957" w:name="_Ref275940719"/>
    </w:p>
    <w:p w:rsidR="00CE64A1" w:rsidRPr="003A40FA" w:rsidRDefault="00CE64A1" w:rsidP="00B20F6B">
      <w:pPr>
        <w:pStyle w:val="Caption"/>
      </w:pPr>
      <w:bookmarkStart w:id="958" w:name="_Ref275942945"/>
      <w:bookmarkStart w:id="959" w:name="_Toc310875605"/>
      <w:r w:rsidRPr="003A40FA">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53</w:t>
      </w:r>
      <w:r w:rsidR="00274AB1">
        <w:rPr>
          <w:noProof/>
        </w:rPr>
        <w:fldChar w:fldCharType="end"/>
      </w:r>
      <w:bookmarkEnd w:id="956"/>
      <w:bookmarkEnd w:id="957"/>
      <w:bookmarkEnd w:id="958"/>
      <w:r w:rsidR="00B5330E">
        <w:t xml:space="preserve">: </w:t>
      </w:r>
      <w:r w:rsidRPr="003A40FA">
        <w:t>Wall R-Values by Building Type</w:t>
      </w:r>
      <w:bookmarkEnd w:id="95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3"/>
        <w:gridCol w:w="2951"/>
      </w:tblGrid>
      <w:tr w:rsidR="00CE64A1" w:rsidRPr="009C694C" w:rsidTr="004E7077">
        <w:trPr>
          <w:trHeight w:val="368"/>
          <w:jc w:val="center"/>
        </w:trPr>
        <w:tc>
          <w:tcPr>
            <w:tcW w:w="1667" w:type="pct"/>
            <w:shd w:val="pct25" w:color="auto" w:fill="auto"/>
          </w:tcPr>
          <w:p w:rsidR="00CE64A1" w:rsidRPr="00FE4B48" w:rsidRDefault="00CE64A1" w:rsidP="00C3606E">
            <w:pPr>
              <w:spacing w:before="60" w:after="60"/>
              <w:rPr>
                <w:rFonts w:cs="Arial"/>
                <w:b/>
                <w:bCs/>
                <w:color w:val="000000"/>
                <w:sz w:val="18"/>
                <w:szCs w:val="18"/>
              </w:rPr>
            </w:pPr>
            <w:r w:rsidRPr="00FE4B48">
              <w:rPr>
                <w:rFonts w:cs="Arial"/>
                <w:b/>
                <w:bCs/>
                <w:color w:val="000000"/>
                <w:sz w:val="18"/>
                <w:szCs w:val="18"/>
              </w:rPr>
              <w:t>Building Type</w:t>
            </w:r>
          </w:p>
        </w:tc>
        <w:tc>
          <w:tcPr>
            <w:tcW w:w="1667" w:type="pct"/>
            <w:shd w:val="pct25" w:color="auto" w:fill="auto"/>
          </w:tcPr>
          <w:p w:rsidR="00CE64A1" w:rsidRPr="00FE4B48" w:rsidRDefault="00CE64A1" w:rsidP="00C3606E">
            <w:pPr>
              <w:spacing w:before="60" w:after="60"/>
              <w:rPr>
                <w:rFonts w:cs="Arial"/>
                <w:b/>
                <w:bCs/>
                <w:color w:val="000000"/>
                <w:sz w:val="18"/>
                <w:szCs w:val="18"/>
              </w:rPr>
            </w:pPr>
            <w:r w:rsidRPr="00FE4B48">
              <w:rPr>
                <w:rFonts w:cs="Arial"/>
                <w:b/>
                <w:bCs/>
                <w:color w:val="000000"/>
                <w:sz w:val="18"/>
                <w:szCs w:val="18"/>
              </w:rPr>
              <w:t>Wall R</w:t>
            </w:r>
            <w:r w:rsidRPr="00FE4B48">
              <w:rPr>
                <w:rFonts w:cs="Arial"/>
                <w:b/>
                <w:bCs/>
                <w:color w:val="000000"/>
                <w:sz w:val="18"/>
                <w:szCs w:val="18"/>
                <w:vertAlign w:val="subscript"/>
              </w:rPr>
              <w:t>i</w:t>
            </w:r>
            <w:r w:rsidRPr="00FE4B48">
              <w:rPr>
                <w:rFonts w:cs="Arial"/>
                <w:b/>
                <w:bCs/>
                <w:color w:val="000000"/>
                <w:sz w:val="18"/>
                <w:szCs w:val="18"/>
              </w:rPr>
              <w:t xml:space="preserve">-Value </w:t>
            </w:r>
            <w:r w:rsidRPr="00FE4B48">
              <w:rPr>
                <w:rFonts w:cs="Arial"/>
                <w:b/>
                <w:bCs/>
                <w:color w:val="000000"/>
                <w:sz w:val="18"/>
                <w:szCs w:val="18"/>
              </w:rPr>
              <w:br/>
              <w:t>(New Construction)</w:t>
            </w:r>
          </w:p>
        </w:tc>
        <w:tc>
          <w:tcPr>
            <w:tcW w:w="1667" w:type="pct"/>
            <w:shd w:val="pct25" w:color="auto" w:fill="auto"/>
          </w:tcPr>
          <w:p w:rsidR="00CE64A1" w:rsidRPr="00FE4B48" w:rsidRDefault="00CE64A1" w:rsidP="00C3606E">
            <w:pPr>
              <w:spacing w:before="60" w:after="60"/>
              <w:rPr>
                <w:rFonts w:cs="Arial"/>
                <w:b/>
                <w:bCs/>
                <w:color w:val="000000"/>
                <w:sz w:val="18"/>
                <w:szCs w:val="18"/>
              </w:rPr>
            </w:pPr>
            <w:r w:rsidRPr="00FE4B48">
              <w:rPr>
                <w:rFonts w:cs="Arial"/>
                <w:b/>
                <w:bCs/>
                <w:color w:val="000000"/>
                <w:sz w:val="18"/>
                <w:szCs w:val="18"/>
              </w:rPr>
              <w:t>Wall R</w:t>
            </w:r>
            <w:r w:rsidRPr="00FE4B48">
              <w:rPr>
                <w:rFonts w:cs="Arial"/>
                <w:b/>
                <w:bCs/>
                <w:color w:val="000000"/>
                <w:sz w:val="18"/>
                <w:szCs w:val="18"/>
                <w:vertAlign w:val="subscript"/>
              </w:rPr>
              <w:t>i</w:t>
            </w:r>
            <w:r w:rsidRPr="00FE4B48">
              <w:rPr>
                <w:rFonts w:cs="Arial"/>
                <w:b/>
                <w:bCs/>
                <w:color w:val="000000"/>
                <w:sz w:val="18"/>
                <w:szCs w:val="18"/>
              </w:rPr>
              <w:t>-Value</w:t>
            </w:r>
            <w:r w:rsidRPr="00FE4B48">
              <w:rPr>
                <w:rFonts w:cs="Arial"/>
                <w:b/>
                <w:bCs/>
                <w:color w:val="000000"/>
                <w:sz w:val="18"/>
                <w:szCs w:val="18"/>
              </w:rPr>
              <w:br/>
              <w:t>(Existing)</w:t>
            </w:r>
          </w:p>
        </w:tc>
      </w:tr>
      <w:tr w:rsidR="00CE64A1" w:rsidRPr="009C694C" w:rsidTr="004E7077">
        <w:trPr>
          <w:trHeight w:val="359"/>
          <w:jc w:val="center"/>
        </w:trPr>
        <w:tc>
          <w:tcPr>
            <w:tcW w:w="1667" w:type="pct"/>
          </w:tcPr>
          <w:p w:rsidR="00CE64A1" w:rsidRPr="00FE4B48" w:rsidRDefault="004E7077" w:rsidP="00C3606E">
            <w:pPr>
              <w:spacing w:before="60" w:after="60"/>
              <w:rPr>
                <w:rFonts w:cs="Arial"/>
                <w:color w:val="000000"/>
                <w:sz w:val="18"/>
                <w:szCs w:val="18"/>
              </w:rPr>
            </w:pPr>
            <w:r w:rsidRPr="00FE4B48">
              <w:rPr>
                <w:rFonts w:cs="Arial"/>
                <w:color w:val="000000"/>
                <w:sz w:val="18"/>
                <w:szCs w:val="18"/>
              </w:rPr>
              <w:t>Large Office</w:t>
            </w:r>
          </w:p>
        </w:tc>
        <w:tc>
          <w:tcPr>
            <w:tcW w:w="1667" w:type="pct"/>
          </w:tcPr>
          <w:p w:rsidR="00CE64A1" w:rsidRPr="00FE4B48" w:rsidRDefault="00CE64A1" w:rsidP="00C3606E">
            <w:pPr>
              <w:spacing w:before="60" w:after="60"/>
              <w:rPr>
                <w:rFonts w:cs="Arial"/>
                <w:color w:val="000000"/>
                <w:sz w:val="18"/>
                <w:szCs w:val="18"/>
              </w:rPr>
            </w:pPr>
            <w:r w:rsidRPr="00FE4B48">
              <w:rPr>
                <w:rFonts w:cs="Arial"/>
                <w:color w:val="000000"/>
                <w:sz w:val="18"/>
                <w:szCs w:val="18"/>
              </w:rPr>
              <w:t>14</w:t>
            </w:r>
          </w:p>
        </w:tc>
        <w:tc>
          <w:tcPr>
            <w:tcW w:w="1667" w:type="pct"/>
          </w:tcPr>
          <w:p w:rsidR="00CE64A1" w:rsidRPr="00FE4B48" w:rsidRDefault="00CE64A1" w:rsidP="00C3606E">
            <w:pPr>
              <w:spacing w:before="60" w:after="60"/>
              <w:rPr>
                <w:rFonts w:cs="Arial"/>
                <w:color w:val="000000"/>
                <w:sz w:val="18"/>
                <w:szCs w:val="18"/>
              </w:rPr>
            </w:pPr>
            <w:r w:rsidRPr="00FE4B48">
              <w:rPr>
                <w:rFonts w:cs="Arial"/>
                <w:color w:val="000000"/>
                <w:sz w:val="18"/>
                <w:szCs w:val="18"/>
              </w:rPr>
              <w:t>1.6</w:t>
            </w:r>
          </w:p>
        </w:tc>
      </w:tr>
      <w:tr w:rsidR="00CE64A1" w:rsidRPr="009C694C" w:rsidTr="004E7077">
        <w:trPr>
          <w:trHeight w:val="600"/>
          <w:jc w:val="center"/>
        </w:trPr>
        <w:tc>
          <w:tcPr>
            <w:tcW w:w="1667" w:type="pct"/>
          </w:tcPr>
          <w:p w:rsidR="004E7077" w:rsidRPr="00FE4B48" w:rsidRDefault="004E7077" w:rsidP="00C3606E">
            <w:pPr>
              <w:spacing w:before="60" w:after="60"/>
              <w:rPr>
                <w:rFonts w:cs="Arial"/>
                <w:color w:val="000000"/>
                <w:sz w:val="18"/>
                <w:szCs w:val="18"/>
              </w:rPr>
            </w:pPr>
            <w:r w:rsidRPr="00FE4B48">
              <w:rPr>
                <w:rFonts w:cs="Arial"/>
                <w:color w:val="000000"/>
                <w:sz w:val="18"/>
                <w:szCs w:val="18"/>
              </w:rPr>
              <w:t>Small Office</w:t>
            </w:r>
          </w:p>
          <w:p w:rsidR="004E7077" w:rsidRPr="00FE4B48" w:rsidRDefault="004E7077" w:rsidP="00C3606E">
            <w:pPr>
              <w:spacing w:before="60" w:after="60"/>
              <w:rPr>
                <w:rFonts w:cs="Arial"/>
                <w:color w:val="000000"/>
                <w:sz w:val="18"/>
                <w:szCs w:val="18"/>
              </w:rPr>
            </w:pPr>
            <w:r w:rsidRPr="00FE4B48">
              <w:rPr>
                <w:rFonts w:cs="Arial"/>
                <w:color w:val="000000"/>
                <w:sz w:val="18"/>
                <w:szCs w:val="18"/>
              </w:rPr>
              <w:t>Large Retail</w:t>
            </w:r>
          </w:p>
          <w:p w:rsidR="004E7077" w:rsidRPr="00FE4B48" w:rsidRDefault="004E7077" w:rsidP="00C3606E">
            <w:pPr>
              <w:spacing w:before="60" w:after="60"/>
              <w:rPr>
                <w:rFonts w:cs="Arial"/>
                <w:color w:val="000000"/>
                <w:sz w:val="18"/>
                <w:szCs w:val="18"/>
              </w:rPr>
            </w:pPr>
            <w:r w:rsidRPr="00FE4B48">
              <w:rPr>
                <w:rFonts w:cs="Arial"/>
                <w:color w:val="000000"/>
                <w:sz w:val="18"/>
                <w:szCs w:val="18"/>
              </w:rPr>
              <w:t>Small Retail</w:t>
            </w:r>
          </w:p>
          <w:p w:rsidR="00CE64A1" w:rsidRPr="00FE4B48" w:rsidRDefault="004E7077" w:rsidP="00C3606E">
            <w:pPr>
              <w:spacing w:before="60" w:after="60"/>
              <w:rPr>
                <w:rFonts w:cs="Arial"/>
                <w:color w:val="000000"/>
                <w:sz w:val="18"/>
                <w:szCs w:val="18"/>
              </w:rPr>
            </w:pPr>
            <w:r w:rsidRPr="00FE4B48">
              <w:rPr>
                <w:rFonts w:cs="Arial"/>
                <w:color w:val="000000"/>
                <w:sz w:val="18"/>
                <w:szCs w:val="18"/>
              </w:rPr>
              <w:t>Convenience Store</w:t>
            </w:r>
          </w:p>
        </w:tc>
        <w:tc>
          <w:tcPr>
            <w:tcW w:w="1667" w:type="pct"/>
          </w:tcPr>
          <w:p w:rsidR="00CE64A1" w:rsidRPr="00FE4B48" w:rsidRDefault="00CE64A1" w:rsidP="00C3606E">
            <w:pPr>
              <w:spacing w:before="60" w:after="60"/>
              <w:rPr>
                <w:rFonts w:cs="Arial"/>
                <w:color w:val="000000"/>
                <w:sz w:val="18"/>
                <w:szCs w:val="18"/>
              </w:rPr>
            </w:pPr>
            <w:r w:rsidRPr="00FE4B48">
              <w:rPr>
                <w:rFonts w:cs="Arial"/>
                <w:color w:val="000000"/>
                <w:sz w:val="18"/>
                <w:szCs w:val="18"/>
              </w:rPr>
              <w:t>14</w:t>
            </w:r>
          </w:p>
        </w:tc>
        <w:tc>
          <w:tcPr>
            <w:tcW w:w="1667" w:type="pct"/>
          </w:tcPr>
          <w:p w:rsidR="00CE64A1" w:rsidRPr="00FE4B48" w:rsidRDefault="00CE64A1" w:rsidP="00C3606E">
            <w:pPr>
              <w:spacing w:before="60" w:after="60"/>
              <w:rPr>
                <w:rFonts w:cs="Arial"/>
                <w:color w:val="000000"/>
                <w:sz w:val="18"/>
                <w:szCs w:val="18"/>
              </w:rPr>
            </w:pPr>
            <w:r w:rsidRPr="00FE4B48">
              <w:rPr>
                <w:rFonts w:cs="Arial"/>
                <w:color w:val="000000"/>
                <w:sz w:val="18"/>
                <w:szCs w:val="18"/>
              </w:rPr>
              <w:t>3.0</w:t>
            </w:r>
          </w:p>
        </w:tc>
      </w:tr>
      <w:tr w:rsidR="00CE64A1" w:rsidRPr="009C694C" w:rsidTr="004E7077">
        <w:trPr>
          <w:trHeight w:val="600"/>
          <w:jc w:val="center"/>
        </w:trPr>
        <w:tc>
          <w:tcPr>
            <w:tcW w:w="1667" w:type="pct"/>
          </w:tcPr>
          <w:p w:rsidR="004E7077" w:rsidRPr="00FE4B48" w:rsidRDefault="004E7077" w:rsidP="00C3606E">
            <w:pPr>
              <w:spacing w:before="60" w:after="60"/>
              <w:rPr>
                <w:rFonts w:cs="Arial"/>
                <w:color w:val="000000"/>
                <w:sz w:val="18"/>
                <w:szCs w:val="18"/>
              </w:rPr>
            </w:pPr>
            <w:r w:rsidRPr="00FE4B48">
              <w:rPr>
                <w:rFonts w:cs="Arial"/>
                <w:color w:val="000000"/>
                <w:sz w:val="18"/>
                <w:szCs w:val="18"/>
              </w:rPr>
              <w:t>Lodging</w:t>
            </w:r>
          </w:p>
          <w:p w:rsidR="004E7077" w:rsidRPr="00FE4B48" w:rsidRDefault="004E7077" w:rsidP="00C3606E">
            <w:pPr>
              <w:spacing w:before="60" w:after="60"/>
              <w:rPr>
                <w:rFonts w:cs="Arial"/>
                <w:color w:val="000000"/>
                <w:sz w:val="18"/>
                <w:szCs w:val="18"/>
              </w:rPr>
            </w:pPr>
            <w:r w:rsidRPr="00FE4B48">
              <w:rPr>
                <w:rFonts w:cs="Arial"/>
                <w:color w:val="000000"/>
                <w:sz w:val="18"/>
                <w:szCs w:val="18"/>
              </w:rPr>
              <w:t>Health</w:t>
            </w:r>
          </w:p>
          <w:p w:rsidR="004E7077" w:rsidRPr="00FE4B48" w:rsidRDefault="004E7077" w:rsidP="00C3606E">
            <w:pPr>
              <w:spacing w:before="60" w:after="60"/>
              <w:rPr>
                <w:rFonts w:cs="Arial"/>
                <w:color w:val="000000"/>
                <w:sz w:val="18"/>
                <w:szCs w:val="18"/>
              </w:rPr>
            </w:pPr>
            <w:r w:rsidRPr="00FE4B48">
              <w:rPr>
                <w:rFonts w:cs="Arial"/>
                <w:color w:val="000000"/>
                <w:sz w:val="18"/>
                <w:szCs w:val="18"/>
              </w:rPr>
              <w:t>Education</w:t>
            </w:r>
          </w:p>
          <w:p w:rsidR="00CE64A1" w:rsidRPr="00FE4B48" w:rsidRDefault="004E7077" w:rsidP="00C3606E">
            <w:pPr>
              <w:spacing w:before="60" w:after="60"/>
              <w:rPr>
                <w:rFonts w:cs="Arial"/>
                <w:color w:val="000000"/>
                <w:sz w:val="18"/>
                <w:szCs w:val="18"/>
              </w:rPr>
            </w:pPr>
            <w:r w:rsidRPr="00FE4B48">
              <w:rPr>
                <w:rFonts w:cs="Arial"/>
                <w:color w:val="000000"/>
                <w:sz w:val="18"/>
                <w:szCs w:val="18"/>
              </w:rPr>
              <w:t>Grocery</w:t>
            </w:r>
          </w:p>
        </w:tc>
        <w:tc>
          <w:tcPr>
            <w:tcW w:w="1667" w:type="pct"/>
          </w:tcPr>
          <w:p w:rsidR="00CE64A1" w:rsidRPr="00FE4B48" w:rsidRDefault="00CE64A1" w:rsidP="00C3606E">
            <w:pPr>
              <w:spacing w:before="60" w:after="60"/>
              <w:rPr>
                <w:rFonts w:cs="Arial"/>
                <w:color w:val="000000"/>
                <w:sz w:val="18"/>
                <w:szCs w:val="18"/>
              </w:rPr>
            </w:pPr>
            <w:r w:rsidRPr="00FE4B48">
              <w:rPr>
                <w:rFonts w:cs="Arial"/>
                <w:color w:val="000000"/>
                <w:sz w:val="18"/>
                <w:szCs w:val="18"/>
              </w:rPr>
              <w:t>13</w:t>
            </w:r>
          </w:p>
        </w:tc>
        <w:tc>
          <w:tcPr>
            <w:tcW w:w="1667" w:type="pct"/>
          </w:tcPr>
          <w:p w:rsidR="00CE64A1" w:rsidRPr="00FE4B48" w:rsidRDefault="00CE64A1" w:rsidP="00C3606E">
            <w:pPr>
              <w:spacing w:before="60" w:after="60"/>
              <w:rPr>
                <w:rFonts w:cs="Arial"/>
                <w:color w:val="000000"/>
                <w:sz w:val="18"/>
                <w:szCs w:val="18"/>
              </w:rPr>
            </w:pPr>
            <w:r w:rsidRPr="00FE4B48">
              <w:rPr>
                <w:rFonts w:cs="Arial"/>
                <w:color w:val="000000"/>
                <w:sz w:val="18"/>
                <w:szCs w:val="18"/>
              </w:rPr>
              <w:t>2.0</w:t>
            </w:r>
          </w:p>
        </w:tc>
      </w:tr>
      <w:tr w:rsidR="00CE64A1" w:rsidRPr="009C694C" w:rsidTr="004E7077">
        <w:trPr>
          <w:trHeight w:val="300"/>
          <w:jc w:val="center"/>
        </w:trPr>
        <w:tc>
          <w:tcPr>
            <w:tcW w:w="1667" w:type="pct"/>
          </w:tcPr>
          <w:p w:rsidR="00CE64A1" w:rsidRPr="00FE4B48" w:rsidRDefault="004E7077" w:rsidP="00C3606E">
            <w:pPr>
              <w:spacing w:before="60" w:after="60"/>
              <w:rPr>
                <w:rFonts w:cs="Arial"/>
                <w:color w:val="000000"/>
                <w:sz w:val="18"/>
                <w:szCs w:val="18"/>
              </w:rPr>
            </w:pPr>
            <w:r w:rsidRPr="00FE4B48">
              <w:rPr>
                <w:rFonts w:cs="Arial"/>
                <w:color w:val="000000"/>
                <w:sz w:val="18"/>
                <w:szCs w:val="18"/>
              </w:rPr>
              <w:t>R</w:t>
            </w:r>
            <w:r w:rsidR="00CE64A1" w:rsidRPr="00FE4B48">
              <w:rPr>
                <w:rFonts w:cs="Arial"/>
                <w:color w:val="000000"/>
                <w:sz w:val="18"/>
                <w:szCs w:val="18"/>
              </w:rPr>
              <w:t>estaurant</w:t>
            </w:r>
          </w:p>
        </w:tc>
        <w:tc>
          <w:tcPr>
            <w:tcW w:w="1667" w:type="pct"/>
          </w:tcPr>
          <w:p w:rsidR="00CE64A1" w:rsidRPr="00FE4B48" w:rsidRDefault="00CE64A1" w:rsidP="00C3606E">
            <w:pPr>
              <w:spacing w:before="60" w:after="60"/>
              <w:rPr>
                <w:rFonts w:cs="Arial"/>
                <w:color w:val="000000"/>
                <w:sz w:val="18"/>
                <w:szCs w:val="18"/>
              </w:rPr>
            </w:pPr>
            <w:r w:rsidRPr="00FE4B48">
              <w:rPr>
                <w:rFonts w:cs="Arial"/>
                <w:color w:val="000000"/>
                <w:sz w:val="18"/>
                <w:szCs w:val="18"/>
              </w:rPr>
              <w:t>14</w:t>
            </w:r>
          </w:p>
        </w:tc>
        <w:tc>
          <w:tcPr>
            <w:tcW w:w="1667" w:type="pct"/>
          </w:tcPr>
          <w:p w:rsidR="00CE64A1" w:rsidRPr="00FE4B48" w:rsidRDefault="00CE64A1" w:rsidP="00C3606E">
            <w:pPr>
              <w:spacing w:before="60" w:after="60"/>
              <w:rPr>
                <w:rFonts w:cs="Arial"/>
                <w:color w:val="000000"/>
                <w:sz w:val="18"/>
                <w:szCs w:val="18"/>
              </w:rPr>
            </w:pPr>
            <w:r w:rsidRPr="00FE4B48">
              <w:rPr>
                <w:rFonts w:cs="Arial"/>
                <w:color w:val="000000"/>
                <w:sz w:val="18"/>
                <w:szCs w:val="18"/>
              </w:rPr>
              <w:t>3.2</w:t>
            </w:r>
          </w:p>
        </w:tc>
      </w:tr>
      <w:tr w:rsidR="00CE64A1" w:rsidRPr="009C694C" w:rsidTr="004E7077">
        <w:trPr>
          <w:trHeight w:val="368"/>
          <w:jc w:val="center"/>
        </w:trPr>
        <w:tc>
          <w:tcPr>
            <w:tcW w:w="1667" w:type="pct"/>
          </w:tcPr>
          <w:p w:rsidR="00CE64A1" w:rsidRPr="00FE4B48" w:rsidRDefault="004E7077" w:rsidP="00C3606E">
            <w:pPr>
              <w:spacing w:before="60" w:after="60"/>
              <w:rPr>
                <w:rFonts w:cs="Arial"/>
                <w:color w:val="000000"/>
                <w:sz w:val="18"/>
                <w:szCs w:val="18"/>
              </w:rPr>
            </w:pPr>
            <w:r w:rsidRPr="00FE4B48">
              <w:rPr>
                <w:rFonts w:cs="Arial"/>
                <w:color w:val="000000"/>
                <w:sz w:val="18"/>
                <w:szCs w:val="18"/>
              </w:rPr>
              <w:t>W</w:t>
            </w:r>
            <w:r w:rsidR="00CE64A1" w:rsidRPr="00FE4B48">
              <w:rPr>
                <w:rFonts w:cs="Arial"/>
                <w:color w:val="000000"/>
                <w:sz w:val="18"/>
                <w:szCs w:val="18"/>
              </w:rPr>
              <w:t>arehouse</w:t>
            </w:r>
          </w:p>
        </w:tc>
        <w:tc>
          <w:tcPr>
            <w:tcW w:w="1667" w:type="pct"/>
          </w:tcPr>
          <w:p w:rsidR="00CE64A1" w:rsidRPr="00FE4B48" w:rsidRDefault="00CE64A1" w:rsidP="00C3606E">
            <w:pPr>
              <w:spacing w:before="60" w:after="60"/>
              <w:rPr>
                <w:rFonts w:cs="Arial"/>
                <w:color w:val="000000"/>
                <w:sz w:val="18"/>
                <w:szCs w:val="18"/>
              </w:rPr>
            </w:pPr>
            <w:r w:rsidRPr="00FE4B48">
              <w:rPr>
                <w:rFonts w:cs="Arial"/>
                <w:color w:val="000000"/>
                <w:sz w:val="18"/>
                <w:szCs w:val="18"/>
              </w:rPr>
              <w:t>14</w:t>
            </w:r>
          </w:p>
        </w:tc>
        <w:tc>
          <w:tcPr>
            <w:tcW w:w="1667" w:type="pct"/>
          </w:tcPr>
          <w:p w:rsidR="00CE64A1" w:rsidRPr="00FE4B48" w:rsidRDefault="00CE64A1" w:rsidP="00C3606E">
            <w:pPr>
              <w:spacing w:before="60" w:after="60"/>
              <w:rPr>
                <w:rFonts w:cs="Arial"/>
                <w:color w:val="000000"/>
                <w:sz w:val="18"/>
                <w:szCs w:val="18"/>
              </w:rPr>
            </w:pPr>
            <w:r w:rsidRPr="00FE4B48">
              <w:rPr>
                <w:rFonts w:cs="Arial"/>
                <w:color w:val="000000"/>
                <w:sz w:val="18"/>
                <w:szCs w:val="18"/>
              </w:rPr>
              <w:t>2.5</w:t>
            </w:r>
          </w:p>
        </w:tc>
      </w:tr>
    </w:tbl>
    <w:p w:rsidR="00CE64A1" w:rsidRPr="009C694C" w:rsidRDefault="00CE64A1" w:rsidP="00C3606E">
      <w:pPr>
        <w:rPr>
          <w:rFonts w:cs="Arial"/>
        </w:rPr>
      </w:pPr>
    </w:p>
    <w:p w:rsidR="00FE4B48" w:rsidRDefault="00FE4B48" w:rsidP="00C3606E">
      <w:pPr>
        <w:overflowPunct/>
        <w:autoSpaceDE/>
        <w:autoSpaceDN/>
        <w:adjustRightInd/>
        <w:spacing w:after="0" w:line="240" w:lineRule="auto"/>
        <w:textAlignment w:val="auto"/>
        <w:rPr>
          <w:rFonts w:ascii="Arial Narrow" w:hAnsi="Arial Narrow"/>
          <w:b/>
          <w:bCs/>
        </w:rPr>
      </w:pPr>
      <w:bookmarkStart w:id="960" w:name="_Ref272826710"/>
    </w:p>
    <w:p w:rsidR="003A40FA" w:rsidRDefault="003A40FA" w:rsidP="00B20F6B">
      <w:pPr>
        <w:pStyle w:val="Caption"/>
      </w:pPr>
      <w:bookmarkStart w:id="961" w:name="_Ref275942456"/>
      <w:bookmarkStart w:id="962" w:name="_Toc310875606"/>
      <w:bookmarkEnd w:id="960"/>
      <w:r>
        <w:lastRenderedPageBreak/>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54</w:t>
      </w:r>
      <w:r w:rsidR="00274AB1">
        <w:rPr>
          <w:noProof/>
        </w:rPr>
        <w:fldChar w:fldCharType="end"/>
      </w:r>
      <w:bookmarkEnd w:id="961"/>
      <w:r>
        <w:t>: HVAC Baseline Efficiencies for Non-Residential Buildings</w:t>
      </w:r>
      <w:bookmarkEnd w:id="962"/>
    </w:p>
    <w:tbl>
      <w:tblPr>
        <w:tblW w:w="5000" w:type="pct"/>
        <w:jc w:val="center"/>
        <w:tblLook w:val="00A0" w:firstRow="1" w:lastRow="0" w:firstColumn="1" w:lastColumn="0" w:noHBand="0" w:noVBand="0"/>
      </w:tblPr>
      <w:tblGrid>
        <w:gridCol w:w="3348"/>
        <w:gridCol w:w="1376"/>
        <w:gridCol w:w="1378"/>
        <w:gridCol w:w="1376"/>
        <w:gridCol w:w="1378"/>
      </w:tblGrid>
      <w:tr w:rsidR="004E5848" w:rsidRPr="00064E44" w:rsidTr="004E5848">
        <w:trPr>
          <w:trHeight w:val="288"/>
          <w:tblHeader/>
          <w:jc w:val="center"/>
        </w:trPr>
        <w:tc>
          <w:tcPr>
            <w:tcW w:w="1890" w:type="pct"/>
            <w:tcBorders>
              <w:top w:val="single" w:sz="8" w:space="0" w:color="auto"/>
              <w:left w:val="single" w:sz="8" w:space="0" w:color="auto"/>
              <w:bottom w:val="single" w:sz="8" w:space="0" w:color="auto"/>
              <w:right w:val="single" w:sz="8" w:space="0" w:color="auto"/>
            </w:tcBorders>
            <w:shd w:val="clear" w:color="000000" w:fill="BFBFBF"/>
            <w:vAlign w:val="center"/>
          </w:tcPr>
          <w:p w:rsidR="00FE4B48" w:rsidRPr="001D6512" w:rsidRDefault="00FE4B48" w:rsidP="00C3606E">
            <w:pPr>
              <w:pStyle w:val="TableCell"/>
              <w:spacing w:before="40" w:after="40"/>
              <w:jc w:val="center"/>
              <w:rPr>
                <w:rFonts w:cs="Arial"/>
                <w:b/>
                <w:szCs w:val="18"/>
              </w:rPr>
            </w:pPr>
          </w:p>
        </w:tc>
        <w:tc>
          <w:tcPr>
            <w:tcW w:w="1555" w:type="pct"/>
            <w:gridSpan w:val="2"/>
            <w:tcBorders>
              <w:top w:val="single" w:sz="8" w:space="0" w:color="auto"/>
              <w:left w:val="single" w:sz="8" w:space="0" w:color="auto"/>
              <w:bottom w:val="single" w:sz="8" w:space="0" w:color="auto"/>
              <w:right w:val="single" w:sz="8" w:space="0" w:color="auto"/>
            </w:tcBorders>
            <w:shd w:val="clear" w:color="000000" w:fill="BFBFBF"/>
          </w:tcPr>
          <w:p w:rsidR="00FE4B48" w:rsidRPr="001D6512" w:rsidRDefault="00FE4B48" w:rsidP="00C3606E">
            <w:pPr>
              <w:pStyle w:val="TableCell"/>
              <w:spacing w:before="40" w:after="40"/>
              <w:rPr>
                <w:rFonts w:cs="Arial"/>
                <w:b/>
                <w:szCs w:val="18"/>
              </w:rPr>
            </w:pPr>
            <w:r w:rsidRPr="001D6512">
              <w:rPr>
                <w:rFonts w:cs="Arial"/>
                <w:b/>
                <w:szCs w:val="18"/>
              </w:rPr>
              <w:t>Existing</w:t>
            </w:r>
            <w:r w:rsidR="008075FC" w:rsidRPr="001D6512">
              <w:rPr>
                <w:rFonts w:cs="Arial"/>
                <w:b/>
                <w:szCs w:val="18"/>
              </w:rPr>
              <w:t xml:space="preserve"> Building</w:t>
            </w:r>
            <w:r w:rsidR="0020680B" w:rsidRPr="001D6512">
              <w:rPr>
                <w:rStyle w:val="FootnoteReference"/>
                <w:b/>
                <w:szCs w:val="18"/>
              </w:rPr>
              <w:footnoteReference w:id="179"/>
            </w:r>
          </w:p>
        </w:tc>
        <w:tc>
          <w:tcPr>
            <w:tcW w:w="1555" w:type="pct"/>
            <w:gridSpan w:val="2"/>
            <w:tcBorders>
              <w:top w:val="single" w:sz="8" w:space="0" w:color="auto"/>
              <w:left w:val="single" w:sz="8" w:space="0" w:color="auto"/>
              <w:bottom w:val="single" w:sz="8" w:space="0" w:color="auto"/>
              <w:right w:val="single" w:sz="8" w:space="0" w:color="auto"/>
            </w:tcBorders>
            <w:shd w:val="clear" w:color="000000" w:fill="BFBFBF"/>
          </w:tcPr>
          <w:p w:rsidR="00FE4B48" w:rsidRPr="001D6512" w:rsidRDefault="00FE4B48" w:rsidP="00C3606E">
            <w:pPr>
              <w:pStyle w:val="TableCell"/>
              <w:spacing w:before="40" w:after="40"/>
              <w:rPr>
                <w:rFonts w:cs="Arial"/>
                <w:b/>
                <w:szCs w:val="18"/>
              </w:rPr>
            </w:pPr>
            <w:r w:rsidRPr="001D6512">
              <w:rPr>
                <w:rFonts w:cs="Arial"/>
                <w:b/>
                <w:szCs w:val="18"/>
              </w:rPr>
              <w:t>New Construction</w:t>
            </w:r>
            <w:r w:rsidR="0020680B" w:rsidRPr="001D6512">
              <w:rPr>
                <w:rStyle w:val="FootnoteReference"/>
                <w:b/>
                <w:szCs w:val="18"/>
              </w:rPr>
              <w:footnoteReference w:id="180"/>
            </w:r>
          </w:p>
        </w:tc>
      </w:tr>
      <w:tr w:rsidR="004E5848" w:rsidRPr="00064E44" w:rsidTr="008075FC">
        <w:trPr>
          <w:trHeight w:val="288"/>
          <w:tblHeader/>
          <w:jc w:val="center"/>
        </w:trPr>
        <w:tc>
          <w:tcPr>
            <w:tcW w:w="1890" w:type="pct"/>
            <w:tcBorders>
              <w:top w:val="single" w:sz="8" w:space="0" w:color="auto"/>
              <w:left w:val="single" w:sz="8" w:space="0" w:color="auto"/>
              <w:bottom w:val="single" w:sz="8" w:space="0" w:color="auto"/>
              <w:right w:val="single" w:sz="8" w:space="0" w:color="auto"/>
            </w:tcBorders>
            <w:shd w:val="clear" w:color="000000" w:fill="BFBFBF"/>
            <w:vAlign w:val="center"/>
          </w:tcPr>
          <w:p w:rsidR="00FE4B48" w:rsidRPr="001D6512" w:rsidRDefault="00FE4B48" w:rsidP="00C3606E">
            <w:pPr>
              <w:pStyle w:val="TableCell"/>
              <w:spacing w:before="40" w:after="40"/>
              <w:jc w:val="center"/>
              <w:rPr>
                <w:rFonts w:cs="Arial"/>
                <w:b/>
                <w:szCs w:val="18"/>
              </w:rPr>
            </w:pPr>
            <w:r w:rsidRPr="001D6512">
              <w:rPr>
                <w:rFonts w:cs="Arial"/>
                <w:b/>
                <w:szCs w:val="18"/>
              </w:rPr>
              <w:t>Equipment Type and Capacity</w:t>
            </w:r>
          </w:p>
        </w:tc>
        <w:tc>
          <w:tcPr>
            <w:tcW w:w="777" w:type="pct"/>
            <w:tcBorders>
              <w:top w:val="single" w:sz="8" w:space="0" w:color="auto"/>
              <w:left w:val="single" w:sz="8" w:space="0" w:color="auto"/>
              <w:bottom w:val="single" w:sz="8" w:space="0" w:color="auto"/>
              <w:right w:val="single" w:sz="8" w:space="0" w:color="auto"/>
            </w:tcBorders>
            <w:shd w:val="clear" w:color="000000" w:fill="BFBFBF"/>
          </w:tcPr>
          <w:p w:rsidR="00FE4B48" w:rsidRPr="001D6512" w:rsidRDefault="00FE4B48" w:rsidP="00C3606E">
            <w:pPr>
              <w:pStyle w:val="TableCell"/>
              <w:spacing w:before="40" w:after="40"/>
              <w:rPr>
                <w:rFonts w:cs="Arial"/>
                <w:b/>
                <w:szCs w:val="18"/>
              </w:rPr>
            </w:pPr>
            <w:r w:rsidRPr="001D6512">
              <w:rPr>
                <w:rFonts w:cs="Arial"/>
                <w:b/>
                <w:szCs w:val="18"/>
              </w:rPr>
              <w:t xml:space="preserve">Cooling </w:t>
            </w:r>
            <w:r w:rsidR="004E5848" w:rsidRPr="001D6512">
              <w:rPr>
                <w:rFonts w:cs="Arial"/>
                <w:b/>
                <w:szCs w:val="18"/>
              </w:rPr>
              <w:t>Efficiency</w:t>
            </w:r>
          </w:p>
        </w:tc>
        <w:tc>
          <w:tcPr>
            <w:tcW w:w="778" w:type="pct"/>
            <w:tcBorders>
              <w:top w:val="single" w:sz="8" w:space="0" w:color="auto"/>
              <w:left w:val="single" w:sz="8" w:space="0" w:color="auto"/>
              <w:bottom w:val="single" w:sz="8" w:space="0" w:color="auto"/>
              <w:right w:val="single" w:sz="8" w:space="0" w:color="auto"/>
            </w:tcBorders>
            <w:shd w:val="clear" w:color="000000" w:fill="BFBFBF"/>
          </w:tcPr>
          <w:p w:rsidR="00FE4B48" w:rsidRPr="001D6512" w:rsidRDefault="00FE4B48" w:rsidP="00C3606E">
            <w:pPr>
              <w:pStyle w:val="TableCell"/>
              <w:spacing w:before="40" w:after="40"/>
              <w:rPr>
                <w:rFonts w:cs="Arial"/>
                <w:b/>
                <w:szCs w:val="18"/>
              </w:rPr>
            </w:pPr>
            <w:r w:rsidRPr="001D6512">
              <w:rPr>
                <w:rFonts w:cs="Arial"/>
                <w:b/>
                <w:szCs w:val="18"/>
              </w:rPr>
              <w:t xml:space="preserve">Heating </w:t>
            </w:r>
            <w:r w:rsidR="004E5848" w:rsidRPr="001D6512">
              <w:rPr>
                <w:rFonts w:cs="Arial"/>
                <w:b/>
                <w:szCs w:val="18"/>
              </w:rPr>
              <w:t>Efficiency</w:t>
            </w:r>
          </w:p>
        </w:tc>
        <w:tc>
          <w:tcPr>
            <w:tcW w:w="777" w:type="pct"/>
            <w:tcBorders>
              <w:top w:val="single" w:sz="8" w:space="0" w:color="auto"/>
              <w:left w:val="single" w:sz="8" w:space="0" w:color="auto"/>
              <w:bottom w:val="single" w:sz="8" w:space="0" w:color="auto"/>
              <w:right w:val="single" w:sz="8" w:space="0" w:color="auto"/>
            </w:tcBorders>
            <w:shd w:val="clear" w:color="000000" w:fill="BFBFBF"/>
          </w:tcPr>
          <w:p w:rsidR="00FE4B48" w:rsidRPr="001D6512" w:rsidRDefault="00FE4B48" w:rsidP="00C3606E">
            <w:pPr>
              <w:pStyle w:val="TableCell"/>
              <w:spacing w:before="40" w:after="40"/>
              <w:rPr>
                <w:rFonts w:cs="Arial"/>
                <w:b/>
                <w:szCs w:val="18"/>
              </w:rPr>
            </w:pPr>
            <w:r w:rsidRPr="001D6512">
              <w:rPr>
                <w:rFonts w:cs="Arial"/>
                <w:b/>
                <w:szCs w:val="18"/>
              </w:rPr>
              <w:t xml:space="preserve">Cooling </w:t>
            </w:r>
            <w:r w:rsidR="004E5848" w:rsidRPr="001D6512">
              <w:rPr>
                <w:rFonts w:cs="Arial"/>
                <w:b/>
                <w:szCs w:val="18"/>
              </w:rPr>
              <w:t>Efficiency</w:t>
            </w:r>
          </w:p>
        </w:tc>
        <w:tc>
          <w:tcPr>
            <w:tcW w:w="778" w:type="pct"/>
            <w:tcBorders>
              <w:top w:val="single" w:sz="8" w:space="0" w:color="auto"/>
              <w:left w:val="single" w:sz="8" w:space="0" w:color="auto"/>
              <w:bottom w:val="single" w:sz="8" w:space="0" w:color="auto"/>
              <w:right w:val="single" w:sz="8" w:space="0" w:color="auto"/>
            </w:tcBorders>
            <w:shd w:val="clear" w:color="000000" w:fill="BFBFBF"/>
          </w:tcPr>
          <w:p w:rsidR="00FE4B48" w:rsidRPr="001D6512" w:rsidRDefault="00FE4B48" w:rsidP="00C3606E">
            <w:pPr>
              <w:pStyle w:val="TableCell"/>
              <w:spacing w:before="40" w:after="40"/>
              <w:rPr>
                <w:rFonts w:cs="Arial"/>
                <w:b/>
                <w:szCs w:val="18"/>
              </w:rPr>
            </w:pPr>
            <w:r w:rsidRPr="001D6512">
              <w:rPr>
                <w:rFonts w:cs="Arial"/>
                <w:b/>
                <w:szCs w:val="18"/>
              </w:rPr>
              <w:t xml:space="preserve">Heating </w:t>
            </w:r>
            <w:r w:rsidR="004E5848" w:rsidRPr="001D6512">
              <w:rPr>
                <w:rFonts w:cs="Arial"/>
                <w:b/>
                <w:szCs w:val="18"/>
              </w:rPr>
              <w:t>Efficiency</w:t>
            </w:r>
          </w:p>
        </w:tc>
      </w:tr>
      <w:tr w:rsidR="00FE4B48" w:rsidRPr="00064E44" w:rsidTr="00FE4B48">
        <w:trPr>
          <w:trHeight w:val="288"/>
          <w:jc w:val="center"/>
        </w:trPr>
        <w:tc>
          <w:tcPr>
            <w:tcW w:w="5000" w:type="pct"/>
            <w:gridSpan w:val="5"/>
            <w:tcBorders>
              <w:top w:val="single" w:sz="8" w:space="0" w:color="auto"/>
              <w:left w:val="single" w:sz="8" w:space="0" w:color="auto"/>
              <w:bottom w:val="single" w:sz="8" w:space="0" w:color="auto"/>
              <w:right w:val="single" w:sz="8" w:space="0" w:color="auto"/>
            </w:tcBorders>
            <w:shd w:val="clear" w:color="000000" w:fill="D8D8D8"/>
            <w:tcMar>
              <w:left w:w="115" w:type="dxa"/>
              <w:right w:w="115" w:type="dxa"/>
            </w:tcMar>
          </w:tcPr>
          <w:p w:rsidR="00FE4B48" w:rsidRPr="001D6512" w:rsidRDefault="00FE4B48" w:rsidP="00C3606E">
            <w:pPr>
              <w:pStyle w:val="TableCell"/>
              <w:spacing w:before="40" w:after="40" w:line="240" w:lineRule="auto"/>
              <w:rPr>
                <w:rFonts w:cs="Arial"/>
                <w:szCs w:val="18"/>
              </w:rPr>
            </w:pPr>
            <w:r w:rsidRPr="001D6512">
              <w:rPr>
                <w:rFonts w:cs="Arial"/>
                <w:szCs w:val="18"/>
              </w:rPr>
              <w:t>Air-Source Air Conditioners</w:t>
            </w:r>
          </w:p>
        </w:tc>
      </w:tr>
      <w:tr w:rsidR="008075FC" w:rsidRPr="00064E44" w:rsidTr="008075FC">
        <w:trPr>
          <w:trHeight w:val="288"/>
          <w:jc w:val="center"/>
        </w:trPr>
        <w:tc>
          <w:tcPr>
            <w:tcW w:w="1890"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8075FC" w:rsidRPr="001D6512" w:rsidRDefault="008075FC" w:rsidP="00C3606E">
            <w:pPr>
              <w:pStyle w:val="TableCell"/>
              <w:spacing w:before="40" w:after="40" w:line="240" w:lineRule="auto"/>
              <w:rPr>
                <w:rFonts w:cs="Arial"/>
                <w:szCs w:val="18"/>
              </w:rPr>
            </w:pPr>
            <w:r w:rsidRPr="001D6512">
              <w:rPr>
                <w:rFonts w:cs="Arial"/>
                <w:szCs w:val="18"/>
              </w:rPr>
              <w:t>&lt; 65,000 BtuH</w:t>
            </w:r>
          </w:p>
        </w:tc>
        <w:tc>
          <w:tcPr>
            <w:tcW w:w="777" w:type="pct"/>
            <w:tcBorders>
              <w:top w:val="single" w:sz="8" w:space="0" w:color="auto"/>
              <w:left w:val="nil"/>
              <w:bottom w:val="single" w:sz="8" w:space="0" w:color="auto"/>
              <w:right w:val="single" w:sz="8" w:space="0" w:color="auto"/>
            </w:tcBorders>
          </w:tcPr>
          <w:p w:rsidR="008075FC" w:rsidRPr="00064E44" w:rsidRDefault="008075FC" w:rsidP="00C3606E">
            <w:pPr>
              <w:pStyle w:val="TableCell"/>
              <w:spacing w:before="40" w:after="40" w:line="240" w:lineRule="auto"/>
              <w:rPr>
                <w:rFonts w:cs="Arial"/>
                <w:szCs w:val="18"/>
                <w:lang w:val="de-DE"/>
              </w:rPr>
            </w:pPr>
            <w:r>
              <w:rPr>
                <w:rFonts w:cs="Arial"/>
                <w:szCs w:val="18"/>
                <w:lang w:val="de-DE"/>
              </w:rPr>
              <w:t>10.0 SEER</w:t>
            </w:r>
          </w:p>
        </w:tc>
        <w:tc>
          <w:tcPr>
            <w:tcW w:w="778" w:type="pct"/>
            <w:tcBorders>
              <w:top w:val="single" w:sz="8" w:space="0" w:color="auto"/>
              <w:left w:val="single" w:sz="8" w:space="0" w:color="auto"/>
              <w:bottom w:val="single" w:sz="8" w:space="0" w:color="auto"/>
              <w:right w:val="single" w:sz="8" w:space="0" w:color="auto"/>
            </w:tcBorders>
          </w:tcPr>
          <w:p w:rsidR="008075FC" w:rsidRPr="00064E44" w:rsidRDefault="008075FC" w:rsidP="00C3606E">
            <w:pPr>
              <w:pStyle w:val="TableCell"/>
              <w:spacing w:before="40" w:after="40" w:line="240" w:lineRule="auto"/>
              <w:rPr>
                <w:rFonts w:cs="Arial"/>
                <w:szCs w:val="18"/>
                <w:lang w:val="de-DE"/>
              </w:rPr>
            </w:pPr>
            <w:r>
              <w:rPr>
                <w:rFonts w:cs="Arial"/>
                <w:szCs w:val="18"/>
                <w:lang w:val="de-DE"/>
              </w:rPr>
              <w:t>N/A</w:t>
            </w:r>
          </w:p>
        </w:tc>
        <w:tc>
          <w:tcPr>
            <w:tcW w:w="777" w:type="pct"/>
            <w:tcBorders>
              <w:top w:val="single" w:sz="8" w:space="0" w:color="auto"/>
              <w:left w:val="single" w:sz="8" w:space="0" w:color="auto"/>
              <w:bottom w:val="single" w:sz="8" w:space="0" w:color="auto"/>
              <w:right w:val="single" w:sz="8" w:space="0" w:color="auto"/>
            </w:tcBorders>
            <w:tcMar>
              <w:left w:w="115" w:type="dxa"/>
              <w:right w:w="115" w:type="dxa"/>
            </w:tcMar>
          </w:tcPr>
          <w:p w:rsidR="008075FC" w:rsidRPr="001D6512" w:rsidRDefault="008075FC" w:rsidP="00C3606E">
            <w:pPr>
              <w:pStyle w:val="TableCell"/>
              <w:spacing w:before="40" w:after="40" w:line="240" w:lineRule="auto"/>
              <w:rPr>
                <w:rFonts w:cs="Arial"/>
                <w:szCs w:val="18"/>
              </w:rPr>
            </w:pPr>
            <w:r w:rsidRPr="00064E44">
              <w:rPr>
                <w:rFonts w:cs="Arial"/>
                <w:szCs w:val="18"/>
                <w:lang w:val="de-DE"/>
              </w:rPr>
              <w:t>13.0 SEER</w:t>
            </w:r>
          </w:p>
        </w:tc>
        <w:tc>
          <w:tcPr>
            <w:tcW w:w="778" w:type="pct"/>
            <w:tcBorders>
              <w:top w:val="single" w:sz="8" w:space="0" w:color="auto"/>
              <w:left w:val="single" w:sz="8" w:space="0" w:color="auto"/>
              <w:bottom w:val="single" w:sz="8" w:space="0" w:color="auto"/>
              <w:right w:val="single" w:sz="8" w:space="0" w:color="auto"/>
            </w:tcBorders>
          </w:tcPr>
          <w:p w:rsidR="008075FC" w:rsidRPr="001D6512" w:rsidRDefault="008075FC" w:rsidP="00C3606E">
            <w:pPr>
              <w:pStyle w:val="TableCell"/>
              <w:spacing w:before="40" w:after="40" w:line="240" w:lineRule="auto"/>
              <w:rPr>
                <w:rFonts w:cs="Arial"/>
                <w:szCs w:val="18"/>
              </w:rPr>
            </w:pPr>
            <w:r w:rsidRPr="001D6512">
              <w:rPr>
                <w:rFonts w:cs="Arial"/>
                <w:szCs w:val="18"/>
              </w:rPr>
              <w:t>N/A</w:t>
            </w:r>
          </w:p>
        </w:tc>
      </w:tr>
      <w:tr w:rsidR="008075FC" w:rsidRPr="00064E44" w:rsidTr="008075FC">
        <w:trPr>
          <w:trHeight w:val="288"/>
          <w:jc w:val="center"/>
        </w:trPr>
        <w:tc>
          <w:tcPr>
            <w:tcW w:w="1890"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8075FC" w:rsidRPr="001D6512" w:rsidRDefault="008075FC" w:rsidP="00C3606E">
            <w:pPr>
              <w:pStyle w:val="TableCell"/>
              <w:spacing w:before="40" w:after="40" w:line="240" w:lineRule="auto"/>
              <w:rPr>
                <w:rFonts w:cs="Arial"/>
                <w:szCs w:val="18"/>
              </w:rPr>
            </w:pPr>
            <w:r w:rsidRPr="001D6512">
              <w:rPr>
                <w:rFonts w:cs="Arial"/>
                <w:szCs w:val="18"/>
                <w:u w:val="single"/>
              </w:rPr>
              <w:t>&gt;</w:t>
            </w:r>
            <w:r w:rsidRPr="001D6512">
              <w:rPr>
                <w:rFonts w:cs="Arial"/>
                <w:szCs w:val="18"/>
              </w:rPr>
              <w:t xml:space="preserve"> 65,000 BtuH and &lt;135,000 BtuH</w:t>
            </w:r>
          </w:p>
        </w:tc>
        <w:tc>
          <w:tcPr>
            <w:tcW w:w="777" w:type="pct"/>
            <w:tcBorders>
              <w:top w:val="single" w:sz="8" w:space="0" w:color="auto"/>
              <w:left w:val="nil"/>
              <w:bottom w:val="single" w:sz="8" w:space="0" w:color="auto"/>
              <w:right w:val="single" w:sz="8" w:space="0" w:color="auto"/>
            </w:tcBorders>
          </w:tcPr>
          <w:p w:rsidR="008075FC" w:rsidRPr="00064E44" w:rsidRDefault="008075FC" w:rsidP="00C3606E">
            <w:pPr>
              <w:pStyle w:val="TableCell"/>
              <w:spacing w:before="40" w:after="40" w:line="240" w:lineRule="auto"/>
              <w:rPr>
                <w:rFonts w:cs="Arial"/>
                <w:szCs w:val="18"/>
                <w:lang w:val="de-DE"/>
              </w:rPr>
            </w:pPr>
            <w:r>
              <w:rPr>
                <w:rFonts w:cs="Arial"/>
                <w:szCs w:val="18"/>
                <w:lang w:val="de-DE"/>
              </w:rPr>
              <w:t>10.3 EER</w:t>
            </w:r>
          </w:p>
        </w:tc>
        <w:tc>
          <w:tcPr>
            <w:tcW w:w="778" w:type="pct"/>
            <w:tcBorders>
              <w:top w:val="single" w:sz="8" w:space="0" w:color="auto"/>
              <w:left w:val="single" w:sz="8" w:space="0" w:color="auto"/>
              <w:bottom w:val="single" w:sz="8" w:space="0" w:color="auto"/>
              <w:right w:val="single" w:sz="8" w:space="0" w:color="auto"/>
            </w:tcBorders>
          </w:tcPr>
          <w:p w:rsidR="008075FC" w:rsidRPr="00064E44" w:rsidRDefault="008075FC" w:rsidP="00C3606E">
            <w:pPr>
              <w:pStyle w:val="TableCell"/>
              <w:spacing w:before="40" w:after="40" w:line="240" w:lineRule="auto"/>
              <w:rPr>
                <w:rFonts w:cs="Arial"/>
                <w:szCs w:val="18"/>
                <w:lang w:val="de-DE"/>
              </w:rPr>
            </w:pPr>
            <w:r>
              <w:rPr>
                <w:rFonts w:cs="Arial"/>
                <w:szCs w:val="18"/>
                <w:lang w:val="de-DE"/>
              </w:rPr>
              <w:t>N/A</w:t>
            </w:r>
          </w:p>
        </w:tc>
        <w:tc>
          <w:tcPr>
            <w:tcW w:w="777" w:type="pct"/>
            <w:tcBorders>
              <w:top w:val="single" w:sz="8" w:space="0" w:color="auto"/>
              <w:left w:val="single" w:sz="8" w:space="0" w:color="auto"/>
              <w:bottom w:val="single" w:sz="8" w:space="0" w:color="auto"/>
              <w:right w:val="single" w:sz="8" w:space="0" w:color="auto"/>
            </w:tcBorders>
            <w:tcMar>
              <w:left w:w="115" w:type="dxa"/>
              <w:right w:w="115" w:type="dxa"/>
            </w:tcMar>
          </w:tcPr>
          <w:p w:rsidR="008075FC" w:rsidRPr="001D6512" w:rsidRDefault="008075FC" w:rsidP="00C3606E">
            <w:pPr>
              <w:pStyle w:val="TableCell"/>
              <w:spacing w:before="40" w:after="40" w:line="240" w:lineRule="auto"/>
              <w:rPr>
                <w:rFonts w:cs="Arial"/>
                <w:szCs w:val="18"/>
              </w:rPr>
            </w:pPr>
            <w:r w:rsidRPr="00064E44">
              <w:rPr>
                <w:rFonts w:cs="Arial"/>
                <w:szCs w:val="18"/>
                <w:lang w:val="de-DE"/>
              </w:rPr>
              <w:t>11.2 EER</w:t>
            </w:r>
          </w:p>
        </w:tc>
        <w:tc>
          <w:tcPr>
            <w:tcW w:w="778" w:type="pct"/>
            <w:tcBorders>
              <w:top w:val="single" w:sz="8" w:space="0" w:color="auto"/>
              <w:left w:val="single" w:sz="8" w:space="0" w:color="auto"/>
              <w:bottom w:val="single" w:sz="8" w:space="0" w:color="auto"/>
              <w:right w:val="single" w:sz="8" w:space="0" w:color="auto"/>
            </w:tcBorders>
          </w:tcPr>
          <w:p w:rsidR="008075FC" w:rsidRPr="001D6512" w:rsidRDefault="008075FC" w:rsidP="00C3606E">
            <w:pPr>
              <w:pStyle w:val="TableCell"/>
              <w:spacing w:before="40" w:after="40" w:line="240" w:lineRule="auto"/>
              <w:rPr>
                <w:rFonts w:cs="Arial"/>
                <w:szCs w:val="18"/>
              </w:rPr>
            </w:pPr>
            <w:r w:rsidRPr="001D6512">
              <w:rPr>
                <w:rFonts w:cs="Arial"/>
                <w:szCs w:val="18"/>
              </w:rPr>
              <w:t>N/A</w:t>
            </w:r>
          </w:p>
        </w:tc>
      </w:tr>
      <w:tr w:rsidR="008075FC" w:rsidRPr="00064E44" w:rsidTr="008075FC">
        <w:trPr>
          <w:trHeight w:val="288"/>
          <w:jc w:val="center"/>
        </w:trPr>
        <w:tc>
          <w:tcPr>
            <w:tcW w:w="1890"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8075FC" w:rsidRPr="001D6512" w:rsidRDefault="008075FC" w:rsidP="00C3606E">
            <w:pPr>
              <w:pStyle w:val="TableCell"/>
              <w:spacing w:before="40" w:after="40" w:line="240" w:lineRule="auto"/>
              <w:rPr>
                <w:rFonts w:cs="Arial"/>
                <w:szCs w:val="18"/>
              </w:rPr>
            </w:pPr>
            <w:r w:rsidRPr="001D6512">
              <w:rPr>
                <w:rFonts w:cs="Arial"/>
                <w:szCs w:val="18"/>
                <w:u w:val="single"/>
              </w:rPr>
              <w:t>&gt;</w:t>
            </w:r>
            <w:r w:rsidRPr="001D6512">
              <w:rPr>
                <w:rFonts w:cs="Arial"/>
                <w:szCs w:val="18"/>
              </w:rPr>
              <w:t xml:space="preserve"> 135,000 BtuH and &lt; 240,000 BtuH</w:t>
            </w:r>
          </w:p>
        </w:tc>
        <w:tc>
          <w:tcPr>
            <w:tcW w:w="777" w:type="pct"/>
            <w:tcBorders>
              <w:top w:val="single" w:sz="8" w:space="0" w:color="auto"/>
              <w:left w:val="nil"/>
              <w:bottom w:val="single" w:sz="8" w:space="0" w:color="auto"/>
              <w:right w:val="single" w:sz="8" w:space="0" w:color="auto"/>
            </w:tcBorders>
          </w:tcPr>
          <w:p w:rsidR="008075FC" w:rsidRPr="00064E44" w:rsidRDefault="008075FC" w:rsidP="00C3606E">
            <w:pPr>
              <w:pStyle w:val="TableCell"/>
              <w:spacing w:before="40" w:after="40" w:line="240" w:lineRule="auto"/>
              <w:rPr>
                <w:rFonts w:cs="Arial"/>
                <w:szCs w:val="18"/>
                <w:lang w:val="de-DE"/>
              </w:rPr>
            </w:pPr>
            <w:r>
              <w:rPr>
                <w:rFonts w:cs="Arial"/>
                <w:szCs w:val="18"/>
                <w:lang w:val="de-DE"/>
              </w:rPr>
              <w:t>9.7 EER</w:t>
            </w:r>
          </w:p>
        </w:tc>
        <w:tc>
          <w:tcPr>
            <w:tcW w:w="778" w:type="pct"/>
            <w:tcBorders>
              <w:top w:val="single" w:sz="8" w:space="0" w:color="auto"/>
              <w:left w:val="single" w:sz="8" w:space="0" w:color="auto"/>
              <w:bottom w:val="single" w:sz="8" w:space="0" w:color="auto"/>
              <w:right w:val="single" w:sz="8" w:space="0" w:color="auto"/>
            </w:tcBorders>
          </w:tcPr>
          <w:p w:rsidR="008075FC" w:rsidRPr="00064E44" w:rsidRDefault="008075FC" w:rsidP="00C3606E">
            <w:pPr>
              <w:pStyle w:val="TableCell"/>
              <w:spacing w:before="40" w:after="40" w:line="240" w:lineRule="auto"/>
              <w:rPr>
                <w:rFonts w:cs="Arial"/>
                <w:szCs w:val="18"/>
                <w:lang w:val="de-DE"/>
              </w:rPr>
            </w:pPr>
            <w:r>
              <w:rPr>
                <w:rFonts w:cs="Arial"/>
                <w:szCs w:val="18"/>
                <w:lang w:val="de-DE"/>
              </w:rPr>
              <w:t>N/A</w:t>
            </w:r>
          </w:p>
        </w:tc>
        <w:tc>
          <w:tcPr>
            <w:tcW w:w="777" w:type="pct"/>
            <w:tcBorders>
              <w:top w:val="single" w:sz="8" w:space="0" w:color="auto"/>
              <w:left w:val="single" w:sz="8" w:space="0" w:color="auto"/>
              <w:bottom w:val="single" w:sz="8" w:space="0" w:color="auto"/>
              <w:right w:val="single" w:sz="8" w:space="0" w:color="auto"/>
            </w:tcBorders>
            <w:tcMar>
              <w:left w:w="115" w:type="dxa"/>
              <w:right w:w="115" w:type="dxa"/>
            </w:tcMar>
          </w:tcPr>
          <w:p w:rsidR="008075FC" w:rsidRPr="001D6512" w:rsidRDefault="008075FC" w:rsidP="00C3606E">
            <w:pPr>
              <w:pStyle w:val="TableCell"/>
              <w:spacing w:before="40" w:after="40" w:line="240" w:lineRule="auto"/>
              <w:rPr>
                <w:rFonts w:cs="Arial"/>
                <w:szCs w:val="18"/>
              </w:rPr>
            </w:pPr>
            <w:r w:rsidRPr="00064E44">
              <w:rPr>
                <w:rFonts w:cs="Arial"/>
                <w:szCs w:val="18"/>
                <w:lang w:val="de-DE"/>
              </w:rPr>
              <w:t>11.0 EER</w:t>
            </w:r>
          </w:p>
        </w:tc>
        <w:tc>
          <w:tcPr>
            <w:tcW w:w="778" w:type="pct"/>
            <w:tcBorders>
              <w:top w:val="single" w:sz="8" w:space="0" w:color="auto"/>
              <w:left w:val="single" w:sz="8" w:space="0" w:color="auto"/>
              <w:bottom w:val="single" w:sz="8" w:space="0" w:color="auto"/>
              <w:right w:val="single" w:sz="8" w:space="0" w:color="auto"/>
            </w:tcBorders>
          </w:tcPr>
          <w:p w:rsidR="008075FC" w:rsidRPr="001D6512" w:rsidRDefault="008075FC" w:rsidP="00C3606E">
            <w:pPr>
              <w:pStyle w:val="TableCell"/>
              <w:spacing w:before="40" w:after="40" w:line="240" w:lineRule="auto"/>
              <w:rPr>
                <w:rFonts w:cs="Arial"/>
                <w:szCs w:val="18"/>
              </w:rPr>
            </w:pPr>
            <w:r w:rsidRPr="001D6512">
              <w:rPr>
                <w:rFonts w:cs="Arial"/>
                <w:szCs w:val="18"/>
              </w:rPr>
              <w:t>N/A</w:t>
            </w:r>
          </w:p>
        </w:tc>
      </w:tr>
      <w:tr w:rsidR="008075FC" w:rsidRPr="00064E44" w:rsidTr="008075FC">
        <w:trPr>
          <w:trHeight w:val="288"/>
          <w:jc w:val="center"/>
        </w:trPr>
        <w:tc>
          <w:tcPr>
            <w:tcW w:w="1890"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8075FC" w:rsidRPr="001D6512" w:rsidRDefault="008075FC" w:rsidP="00352B77">
            <w:pPr>
              <w:pStyle w:val="TableCell"/>
              <w:spacing w:before="40" w:after="40" w:line="240" w:lineRule="auto"/>
              <w:rPr>
                <w:rFonts w:cs="Arial"/>
                <w:szCs w:val="18"/>
              </w:rPr>
            </w:pPr>
            <w:r w:rsidRPr="001D6512">
              <w:rPr>
                <w:rFonts w:cs="Arial"/>
                <w:szCs w:val="18"/>
                <w:u w:val="single"/>
              </w:rPr>
              <w:t>&gt;</w:t>
            </w:r>
            <w:r w:rsidRPr="001D6512">
              <w:rPr>
                <w:rFonts w:cs="Arial"/>
                <w:szCs w:val="18"/>
              </w:rPr>
              <w:t xml:space="preserve"> 240,000 BtuH and &lt; 760,000 BtuH</w:t>
            </w:r>
          </w:p>
          <w:p w:rsidR="008075FC" w:rsidRPr="001D6512" w:rsidRDefault="008075FC" w:rsidP="00C3606E">
            <w:pPr>
              <w:pStyle w:val="TableCell"/>
              <w:spacing w:before="40" w:after="40" w:line="240" w:lineRule="auto"/>
              <w:rPr>
                <w:rFonts w:cs="Arial"/>
                <w:szCs w:val="18"/>
              </w:rPr>
            </w:pPr>
            <w:r w:rsidRPr="001D6512">
              <w:rPr>
                <w:rFonts w:cs="Arial"/>
                <w:szCs w:val="18"/>
              </w:rPr>
              <w:t>(IPLV for units with capacity-modulation only)</w:t>
            </w:r>
          </w:p>
        </w:tc>
        <w:tc>
          <w:tcPr>
            <w:tcW w:w="777" w:type="pct"/>
            <w:tcBorders>
              <w:top w:val="single" w:sz="8" w:space="0" w:color="auto"/>
              <w:left w:val="nil"/>
              <w:bottom w:val="single" w:sz="8" w:space="0" w:color="auto"/>
              <w:right w:val="single" w:sz="8" w:space="0" w:color="auto"/>
            </w:tcBorders>
          </w:tcPr>
          <w:p w:rsidR="008075FC" w:rsidRPr="00064E44" w:rsidRDefault="008075FC" w:rsidP="00C3606E">
            <w:pPr>
              <w:pStyle w:val="TableCell"/>
              <w:spacing w:before="40" w:after="40" w:line="240" w:lineRule="auto"/>
              <w:rPr>
                <w:rFonts w:cs="Arial"/>
                <w:szCs w:val="18"/>
                <w:lang w:val="de-DE"/>
              </w:rPr>
            </w:pPr>
            <w:r>
              <w:rPr>
                <w:rFonts w:cs="Arial"/>
                <w:szCs w:val="18"/>
                <w:lang w:val="de-DE"/>
              </w:rPr>
              <w:t>9.5 EER</w:t>
            </w:r>
          </w:p>
        </w:tc>
        <w:tc>
          <w:tcPr>
            <w:tcW w:w="778" w:type="pct"/>
            <w:tcBorders>
              <w:top w:val="single" w:sz="8" w:space="0" w:color="auto"/>
              <w:left w:val="single" w:sz="8" w:space="0" w:color="auto"/>
              <w:bottom w:val="single" w:sz="8" w:space="0" w:color="auto"/>
              <w:right w:val="single" w:sz="8" w:space="0" w:color="auto"/>
            </w:tcBorders>
          </w:tcPr>
          <w:p w:rsidR="008075FC" w:rsidRPr="00064E44" w:rsidRDefault="008075FC" w:rsidP="00C3606E">
            <w:pPr>
              <w:pStyle w:val="TableCell"/>
              <w:spacing w:before="40" w:after="40" w:line="240" w:lineRule="auto"/>
              <w:rPr>
                <w:rFonts w:cs="Arial"/>
                <w:szCs w:val="18"/>
                <w:lang w:val="de-DE"/>
              </w:rPr>
            </w:pPr>
            <w:r>
              <w:rPr>
                <w:rFonts w:cs="Arial"/>
                <w:szCs w:val="18"/>
                <w:lang w:val="de-DE"/>
              </w:rPr>
              <w:t>N/A</w:t>
            </w:r>
          </w:p>
        </w:tc>
        <w:tc>
          <w:tcPr>
            <w:tcW w:w="777" w:type="pct"/>
            <w:tcBorders>
              <w:top w:val="single" w:sz="8" w:space="0" w:color="auto"/>
              <w:left w:val="single" w:sz="8" w:space="0" w:color="auto"/>
              <w:bottom w:val="single" w:sz="8" w:space="0" w:color="auto"/>
              <w:right w:val="single" w:sz="8" w:space="0" w:color="auto"/>
            </w:tcBorders>
            <w:tcMar>
              <w:left w:w="115" w:type="dxa"/>
              <w:right w:w="115" w:type="dxa"/>
            </w:tcMar>
          </w:tcPr>
          <w:p w:rsidR="008075FC" w:rsidRDefault="008075FC" w:rsidP="00C3606E">
            <w:pPr>
              <w:pStyle w:val="TableCell"/>
              <w:spacing w:before="40" w:after="40" w:line="240" w:lineRule="auto"/>
              <w:rPr>
                <w:rFonts w:cs="Arial"/>
                <w:szCs w:val="18"/>
                <w:lang w:val="de-DE"/>
              </w:rPr>
            </w:pPr>
            <w:r w:rsidRPr="00064E44">
              <w:rPr>
                <w:rFonts w:cs="Arial"/>
                <w:szCs w:val="18"/>
                <w:lang w:val="de-DE"/>
              </w:rPr>
              <w:t>10.0 EER</w:t>
            </w:r>
            <w:r>
              <w:rPr>
                <w:rFonts w:cs="Arial"/>
                <w:szCs w:val="18"/>
                <w:lang w:val="de-DE"/>
              </w:rPr>
              <w:t xml:space="preserve"> / </w:t>
            </w:r>
          </w:p>
          <w:p w:rsidR="008075FC" w:rsidRPr="001D6512" w:rsidRDefault="008075FC" w:rsidP="00C3606E">
            <w:pPr>
              <w:pStyle w:val="TableCell"/>
              <w:spacing w:before="40" w:after="40" w:line="240" w:lineRule="auto"/>
              <w:rPr>
                <w:rFonts w:cs="Arial"/>
                <w:szCs w:val="18"/>
              </w:rPr>
            </w:pPr>
            <w:r>
              <w:rPr>
                <w:rFonts w:cs="Arial"/>
                <w:szCs w:val="18"/>
                <w:lang w:val="de-DE"/>
              </w:rPr>
              <w:t>9.7 IPLV</w:t>
            </w:r>
          </w:p>
        </w:tc>
        <w:tc>
          <w:tcPr>
            <w:tcW w:w="778" w:type="pct"/>
            <w:tcBorders>
              <w:top w:val="single" w:sz="8" w:space="0" w:color="auto"/>
              <w:left w:val="single" w:sz="8" w:space="0" w:color="auto"/>
              <w:bottom w:val="single" w:sz="8" w:space="0" w:color="auto"/>
              <w:right w:val="single" w:sz="8" w:space="0" w:color="auto"/>
            </w:tcBorders>
          </w:tcPr>
          <w:p w:rsidR="008075FC" w:rsidRPr="001D6512" w:rsidRDefault="008075FC" w:rsidP="00C3606E">
            <w:pPr>
              <w:pStyle w:val="TableCell"/>
              <w:spacing w:before="40" w:after="40" w:line="240" w:lineRule="auto"/>
              <w:rPr>
                <w:rFonts w:cs="Arial"/>
                <w:szCs w:val="18"/>
              </w:rPr>
            </w:pPr>
            <w:r w:rsidRPr="001D6512">
              <w:rPr>
                <w:rFonts w:cs="Arial"/>
                <w:szCs w:val="18"/>
              </w:rPr>
              <w:t>N/A</w:t>
            </w:r>
          </w:p>
        </w:tc>
      </w:tr>
      <w:tr w:rsidR="008075FC" w:rsidRPr="00064E44" w:rsidTr="008075FC">
        <w:trPr>
          <w:trHeight w:val="288"/>
          <w:jc w:val="center"/>
        </w:trPr>
        <w:tc>
          <w:tcPr>
            <w:tcW w:w="1890"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8075FC" w:rsidRPr="001D6512" w:rsidRDefault="008075FC" w:rsidP="00352B77">
            <w:pPr>
              <w:pStyle w:val="TableCell"/>
              <w:spacing w:before="40" w:after="40" w:line="240" w:lineRule="auto"/>
              <w:rPr>
                <w:rFonts w:cs="Arial"/>
                <w:szCs w:val="18"/>
              </w:rPr>
            </w:pPr>
            <w:r w:rsidRPr="001D6512">
              <w:rPr>
                <w:rFonts w:cs="Arial"/>
                <w:szCs w:val="18"/>
                <w:u w:val="single"/>
              </w:rPr>
              <w:t>&gt;</w:t>
            </w:r>
            <w:r w:rsidRPr="001D6512">
              <w:rPr>
                <w:rFonts w:cs="Arial"/>
                <w:szCs w:val="18"/>
              </w:rPr>
              <w:t xml:space="preserve"> 760,000 BtuH</w:t>
            </w:r>
          </w:p>
          <w:p w:rsidR="008075FC" w:rsidRPr="001D6512" w:rsidRDefault="008075FC" w:rsidP="00C3606E">
            <w:pPr>
              <w:pStyle w:val="TableCell"/>
              <w:spacing w:before="40" w:after="40" w:line="240" w:lineRule="auto"/>
              <w:rPr>
                <w:rFonts w:cs="Arial"/>
                <w:szCs w:val="18"/>
              </w:rPr>
            </w:pPr>
            <w:r w:rsidRPr="001D6512">
              <w:rPr>
                <w:rFonts w:cs="Arial"/>
                <w:szCs w:val="18"/>
              </w:rPr>
              <w:t>(IPLV for units with capacity-modulation only)</w:t>
            </w:r>
          </w:p>
        </w:tc>
        <w:tc>
          <w:tcPr>
            <w:tcW w:w="777" w:type="pct"/>
            <w:tcBorders>
              <w:top w:val="single" w:sz="8" w:space="0" w:color="auto"/>
              <w:left w:val="nil"/>
              <w:bottom w:val="single" w:sz="8" w:space="0" w:color="auto"/>
              <w:right w:val="single" w:sz="8" w:space="0" w:color="auto"/>
            </w:tcBorders>
          </w:tcPr>
          <w:p w:rsidR="008075FC" w:rsidRPr="00064E44" w:rsidRDefault="008075FC" w:rsidP="00C3606E">
            <w:pPr>
              <w:pStyle w:val="TableCell"/>
              <w:spacing w:before="40" w:after="40" w:line="240" w:lineRule="auto"/>
              <w:rPr>
                <w:rFonts w:cs="Arial"/>
                <w:szCs w:val="18"/>
                <w:lang w:val="de-DE"/>
              </w:rPr>
            </w:pPr>
            <w:r>
              <w:rPr>
                <w:rFonts w:cs="Arial"/>
                <w:szCs w:val="18"/>
                <w:lang w:val="de-DE"/>
              </w:rPr>
              <w:t>9.2 EER</w:t>
            </w:r>
          </w:p>
        </w:tc>
        <w:tc>
          <w:tcPr>
            <w:tcW w:w="778" w:type="pct"/>
            <w:tcBorders>
              <w:top w:val="single" w:sz="8" w:space="0" w:color="auto"/>
              <w:left w:val="single" w:sz="8" w:space="0" w:color="auto"/>
              <w:bottom w:val="single" w:sz="8" w:space="0" w:color="auto"/>
              <w:right w:val="single" w:sz="8" w:space="0" w:color="auto"/>
            </w:tcBorders>
          </w:tcPr>
          <w:p w:rsidR="008075FC" w:rsidRPr="00064E44" w:rsidRDefault="008075FC" w:rsidP="00C3606E">
            <w:pPr>
              <w:pStyle w:val="TableCell"/>
              <w:spacing w:before="40" w:after="40" w:line="240" w:lineRule="auto"/>
              <w:rPr>
                <w:rFonts w:cs="Arial"/>
                <w:szCs w:val="18"/>
                <w:lang w:val="de-DE"/>
              </w:rPr>
            </w:pPr>
            <w:r>
              <w:rPr>
                <w:rFonts w:cs="Arial"/>
                <w:szCs w:val="18"/>
                <w:lang w:val="de-DE"/>
              </w:rPr>
              <w:t>N/A</w:t>
            </w:r>
          </w:p>
        </w:tc>
        <w:tc>
          <w:tcPr>
            <w:tcW w:w="777" w:type="pct"/>
            <w:tcBorders>
              <w:top w:val="single" w:sz="8" w:space="0" w:color="auto"/>
              <w:left w:val="single" w:sz="8" w:space="0" w:color="auto"/>
              <w:bottom w:val="single" w:sz="8" w:space="0" w:color="auto"/>
              <w:right w:val="single" w:sz="8" w:space="0" w:color="auto"/>
            </w:tcBorders>
            <w:tcMar>
              <w:left w:w="115" w:type="dxa"/>
              <w:right w:w="115" w:type="dxa"/>
            </w:tcMar>
          </w:tcPr>
          <w:p w:rsidR="008075FC" w:rsidRDefault="008075FC" w:rsidP="00C3606E">
            <w:pPr>
              <w:pStyle w:val="TableCell"/>
              <w:spacing w:before="40" w:after="40" w:line="240" w:lineRule="auto"/>
              <w:rPr>
                <w:rFonts w:cs="Arial"/>
                <w:szCs w:val="18"/>
                <w:lang w:val="de-DE"/>
              </w:rPr>
            </w:pPr>
            <w:r w:rsidRPr="00064E44">
              <w:rPr>
                <w:rFonts w:cs="Arial"/>
                <w:szCs w:val="18"/>
                <w:lang w:val="de-DE"/>
              </w:rPr>
              <w:t>9.7 EER</w:t>
            </w:r>
            <w:r>
              <w:rPr>
                <w:rFonts w:cs="Arial"/>
                <w:szCs w:val="18"/>
                <w:lang w:val="de-DE"/>
              </w:rPr>
              <w:t xml:space="preserve"> /</w:t>
            </w:r>
          </w:p>
          <w:p w:rsidR="008075FC" w:rsidRPr="001D6512" w:rsidRDefault="008075FC" w:rsidP="00C3606E">
            <w:pPr>
              <w:pStyle w:val="TableCell"/>
              <w:spacing w:before="40" w:after="40" w:line="240" w:lineRule="auto"/>
              <w:rPr>
                <w:rFonts w:cs="Arial"/>
                <w:szCs w:val="18"/>
              </w:rPr>
            </w:pPr>
            <w:r>
              <w:rPr>
                <w:rFonts w:cs="Arial"/>
                <w:szCs w:val="18"/>
                <w:lang w:val="de-DE"/>
              </w:rPr>
              <w:t>9.4 IPLV</w:t>
            </w:r>
          </w:p>
        </w:tc>
        <w:tc>
          <w:tcPr>
            <w:tcW w:w="778" w:type="pct"/>
            <w:tcBorders>
              <w:top w:val="single" w:sz="8" w:space="0" w:color="auto"/>
              <w:left w:val="single" w:sz="8" w:space="0" w:color="auto"/>
              <w:bottom w:val="single" w:sz="8" w:space="0" w:color="auto"/>
              <w:right w:val="single" w:sz="8" w:space="0" w:color="auto"/>
            </w:tcBorders>
          </w:tcPr>
          <w:p w:rsidR="008075FC" w:rsidRPr="001D6512" w:rsidRDefault="008075FC" w:rsidP="00C3606E">
            <w:pPr>
              <w:pStyle w:val="TableCell"/>
              <w:spacing w:before="40" w:after="40" w:line="240" w:lineRule="auto"/>
              <w:rPr>
                <w:rFonts w:cs="Arial"/>
                <w:szCs w:val="18"/>
              </w:rPr>
            </w:pPr>
            <w:r w:rsidRPr="001D6512">
              <w:rPr>
                <w:rFonts w:cs="Arial"/>
                <w:szCs w:val="18"/>
              </w:rPr>
              <w:t>N/A</w:t>
            </w:r>
          </w:p>
        </w:tc>
      </w:tr>
      <w:tr w:rsidR="00FE4B48" w:rsidRPr="00064E44" w:rsidTr="00F84A22">
        <w:trPr>
          <w:trHeight w:val="288"/>
          <w:jc w:val="center"/>
        </w:trPr>
        <w:tc>
          <w:tcPr>
            <w:tcW w:w="5000" w:type="pct"/>
            <w:gridSpan w:val="5"/>
            <w:tcBorders>
              <w:top w:val="single" w:sz="8" w:space="0" w:color="auto"/>
              <w:left w:val="single" w:sz="8" w:space="0" w:color="auto"/>
              <w:bottom w:val="single" w:sz="8" w:space="0" w:color="auto"/>
              <w:right w:val="single" w:sz="8" w:space="0" w:color="auto"/>
            </w:tcBorders>
            <w:shd w:val="clear" w:color="auto" w:fill="D9D9D9"/>
            <w:noWrap/>
            <w:tcMar>
              <w:left w:w="115" w:type="dxa"/>
              <w:right w:w="115" w:type="dxa"/>
            </w:tcMar>
          </w:tcPr>
          <w:p w:rsidR="00FE4B48" w:rsidRPr="00064E44" w:rsidRDefault="00FE4B48" w:rsidP="00C3606E">
            <w:pPr>
              <w:pStyle w:val="TableCell"/>
              <w:spacing w:before="40" w:after="40" w:line="240" w:lineRule="auto"/>
              <w:rPr>
                <w:rFonts w:cs="Arial"/>
                <w:szCs w:val="18"/>
                <w:lang w:val="de-DE"/>
              </w:rPr>
            </w:pPr>
            <w:r w:rsidRPr="001D6512">
              <w:rPr>
                <w:rFonts w:cs="Arial"/>
                <w:szCs w:val="18"/>
              </w:rPr>
              <w:t>Water-Source and Evaporatively-Cooled Air Conditioners</w:t>
            </w:r>
          </w:p>
        </w:tc>
      </w:tr>
      <w:tr w:rsidR="008075FC" w:rsidRPr="00064E44" w:rsidTr="008075FC">
        <w:trPr>
          <w:trHeight w:val="288"/>
          <w:jc w:val="center"/>
        </w:trPr>
        <w:tc>
          <w:tcPr>
            <w:tcW w:w="1890"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8075FC" w:rsidRPr="001D6512" w:rsidRDefault="008075FC" w:rsidP="00C3606E">
            <w:pPr>
              <w:pStyle w:val="TableCell"/>
              <w:spacing w:before="40" w:after="40" w:line="240" w:lineRule="auto"/>
              <w:rPr>
                <w:rFonts w:cs="Arial"/>
                <w:szCs w:val="18"/>
              </w:rPr>
            </w:pPr>
            <w:r w:rsidRPr="001D6512">
              <w:rPr>
                <w:rFonts w:cs="Arial"/>
                <w:szCs w:val="18"/>
              </w:rPr>
              <w:t>&lt; 65,000 BtuH</w:t>
            </w:r>
          </w:p>
        </w:tc>
        <w:tc>
          <w:tcPr>
            <w:tcW w:w="777" w:type="pct"/>
            <w:tcBorders>
              <w:top w:val="single" w:sz="8" w:space="0" w:color="auto"/>
              <w:left w:val="nil"/>
              <w:bottom w:val="single" w:sz="8" w:space="0" w:color="auto"/>
              <w:right w:val="single" w:sz="8" w:space="0" w:color="auto"/>
            </w:tcBorders>
          </w:tcPr>
          <w:p w:rsidR="008075FC" w:rsidRDefault="008075FC" w:rsidP="00C3606E">
            <w:pPr>
              <w:pStyle w:val="TableCell"/>
              <w:spacing w:before="40" w:after="40" w:line="240" w:lineRule="auto"/>
              <w:rPr>
                <w:rFonts w:cs="Arial"/>
                <w:szCs w:val="18"/>
                <w:lang w:val="de-DE"/>
              </w:rPr>
            </w:pPr>
            <w:r>
              <w:rPr>
                <w:rFonts w:cs="Arial"/>
                <w:szCs w:val="18"/>
                <w:lang w:val="de-DE"/>
              </w:rPr>
              <w:t>12.1 EER</w:t>
            </w:r>
          </w:p>
        </w:tc>
        <w:tc>
          <w:tcPr>
            <w:tcW w:w="778" w:type="pct"/>
            <w:tcBorders>
              <w:top w:val="single" w:sz="8" w:space="0" w:color="auto"/>
              <w:left w:val="single" w:sz="8" w:space="0" w:color="auto"/>
              <w:bottom w:val="single" w:sz="8" w:space="0" w:color="auto"/>
              <w:right w:val="single" w:sz="8" w:space="0" w:color="auto"/>
            </w:tcBorders>
          </w:tcPr>
          <w:p w:rsidR="008075FC" w:rsidRDefault="008075FC" w:rsidP="00C3606E">
            <w:pPr>
              <w:pStyle w:val="TableCell"/>
              <w:spacing w:before="40" w:after="40" w:line="240" w:lineRule="auto"/>
              <w:rPr>
                <w:rFonts w:cs="Arial"/>
                <w:szCs w:val="18"/>
                <w:lang w:val="de-DE"/>
              </w:rPr>
            </w:pPr>
            <w:r>
              <w:rPr>
                <w:rFonts w:cs="Arial"/>
                <w:szCs w:val="18"/>
                <w:lang w:val="de-DE"/>
              </w:rPr>
              <w:t>N/A</w:t>
            </w:r>
          </w:p>
        </w:tc>
        <w:tc>
          <w:tcPr>
            <w:tcW w:w="777" w:type="pct"/>
            <w:tcBorders>
              <w:top w:val="single" w:sz="8" w:space="0" w:color="auto"/>
              <w:left w:val="single" w:sz="8" w:space="0" w:color="auto"/>
              <w:bottom w:val="single" w:sz="8" w:space="0" w:color="auto"/>
              <w:right w:val="single" w:sz="8" w:space="0" w:color="auto"/>
            </w:tcBorders>
            <w:tcMar>
              <w:left w:w="115" w:type="dxa"/>
              <w:right w:w="115" w:type="dxa"/>
            </w:tcMar>
          </w:tcPr>
          <w:p w:rsidR="008075FC" w:rsidRPr="00064E44" w:rsidRDefault="008075FC" w:rsidP="00C3606E">
            <w:pPr>
              <w:pStyle w:val="TableCell"/>
              <w:spacing w:before="40" w:after="40" w:line="240" w:lineRule="auto"/>
              <w:rPr>
                <w:rFonts w:cs="Arial"/>
                <w:szCs w:val="18"/>
                <w:lang w:val="de-DE"/>
              </w:rPr>
            </w:pPr>
            <w:r>
              <w:rPr>
                <w:rFonts w:cs="Arial"/>
                <w:szCs w:val="18"/>
                <w:lang w:val="de-DE"/>
              </w:rPr>
              <w:t>12.1 EER</w:t>
            </w:r>
          </w:p>
        </w:tc>
        <w:tc>
          <w:tcPr>
            <w:tcW w:w="778" w:type="pct"/>
            <w:tcBorders>
              <w:top w:val="single" w:sz="8" w:space="0" w:color="auto"/>
              <w:left w:val="single" w:sz="8" w:space="0" w:color="auto"/>
              <w:bottom w:val="single" w:sz="8" w:space="0" w:color="auto"/>
              <w:right w:val="single" w:sz="8" w:space="0" w:color="auto"/>
            </w:tcBorders>
          </w:tcPr>
          <w:p w:rsidR="008075FC" w:rsidRPr="00064E44" w:rsidRDefault="008075FC" w:rsidP="00C3606E">
            <w:pPr>
              <w:pStyle w:val="TableCell"/>
              <w:spacing w:before="40" w:after="40" w:line="240" w:lineRule="auto"/>
              <w:rPr>
                <w:rFonts w:cs="Arial"/>
                <w:szCs w:val="18"/>
                <w:lang w:val="de-DE"/>
              </w:rPr>
            </w:pPr>
            <w:r w:rsidRPr="001D6512">
              <w:rPr>
                <w:rFonts w:cs="Arial"/>
                <w:szCs w:val="18"/>
              </w:rPr>
              <w:t>N/A</w:t>
            </w:r>
          </w:p>
        </w:tc>
      </w:tr>
      <w:tr w:rsidR="008075FC" w:rsidRPr="00064E44" w:rsidTr="008075FC">
        <w:trPr>
          <w:trHeight w:val="288"/>
          <w:jc w:val="center"/>
        </w:trPr>
        <w:tc>
          <w:tcPr>
            <w:tcW w:w="1890"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8075FC" w:rsidRPr="001D6512" w:rsidRDefault="008075FC" w:rsidP="00C3606E">
            <w:pPr>
              <w:pStyle w:val="TableCell"/>
              <w:spacing w:before="40" w:after="40" w:line="240" w:lineRule="auto"/>
              <w:rPr>
                <w:rFonts w:cs="Arial"/>
                <w:szCs w:val="18"/>
              </w:rPr>
            </w:pPr>
            <w:r w:rsidRPr="001D6512">
              <w:rPr>
                <w:rFonts w:cs="Arial"/>
                <w:szCs w:val="18"/>
                <w:u w:val="single"/>
              </w:rPr>
              <w:t>&gt;</w:t>
            </w:r>
            <w:r w:rsidRPr="001D6512">
              <w:rPr>
                <w:rFonts w:cs="Arial"/>
                <w:szCs w:val="18"/>
              </w:rPr>
              <w:t xml:space="preserve"> 65,000 BtuH and &lt;135,000 BtuH</w:t>
            </w:r>
          </w:p>
        </w:tc>
        <w:tc>
          <w:tcPr>
            <w:tcW w:w="777" w:type="pct"/>
            <w:tcBorders>
              <w:top w:val="single" w:sz="8" w:space="0" w:color="auto"/>
              <w:left w:val="nil"/>
              <w:bottom w:val="single" w:sz="8" w:space="0" w:color="auto"/>
              <w:right w:val="single" w:sz="8" w:space="0" w:color="auto"/>
            </w:tcBorders>
          </w:tcPr>
          <w:p w:rsidR="008075FC" w:rsidRDefault="008075FC" w:rsidP="00C3606E">
            <w:pPr>
              <w:pStyle w:val="TableCell"/>
              <w:spacing w:before="40" w:after="40" w:line="240" w:lineRule="auto"/>
              <w:rPr>
                <w:rFonts w:cs="Arial"/>
                <w:szCs w:val="18"/>
                <w:lang w:val="de-DE"/>
              </w:rPr>
            </w:pPr>
            <w:r>
              <w:rPr>
                <w:rFonts w:cs="Arial"/>
                <w:szCs w:val="18"/>
                <w:lang w:val="de-DE"/>
              </w:rPr>
              <w:t>11.5 EER</w:t>
            </w:r>
          </w:p>
        </w:tc>
        <w:tc>
          <w:tcPr>
            <w:tcW w:w="778" w:type="pct"/>
            <w:tcBorders>
              <w:top w:val="single" w:sz="8" w:space="0" w:color="auto"/>
              <w:left w:val="single" w:sz="8" w:space="0" w:color="auto"/>
              <w:bottom w:val="single" w:sz="8" w:space="0" w:color="auto"/>
              <w:right w:val="single" w:sz="8" w:space="0" w:color="auto"/>
            </w:tcBorders>
          </w:tcPr>
          <w:p w:rsidR="008075FC" w:rsidRDefault="008075FC" w:rsidP="00C3606E">
            <w:pPr>
              <w:pStyle w:val="TableCell"/>
              <w:spacing w:before="40" w:after="40" w:line="240" w:lineRule="auto"/>
              <w:rPr>
                <w:rFonts w:cs="Arial"/>
                <w:szCs w:val="18"/>
                <w:lang w:val="de-DE"/>
              </w:rPr>
            </w:pPr>
            <w:r>
              <w:rPr>
                <w:rFonts w:cs="Arial"/>
                <w:szCs w:val="18"/>
                <w:lang w:val="de-DE"/>
              </w:rPr>
              <w:t>N/A</w:t>
            </w:r>
          </w:p>
        </w:tc>
        <w:tc>
          <w:tcPr>
            <w:tcW w:w="777" w:type="pct"/>
            <w:tcBorders>
              <w:top w:val="single" w:sz="8" w:space="0" w:color="auto"/>
              <w:left w:val="single" w:sz="8" w:space="0" w:color="auto"/>
              <w:bottom w:val="single" w:sz="8" w:space="0" w:color="auto"/>
              <w:right w:val="single" w:sz="8" w:space="0" w:color="auto"/>
            </w:tcBorders>
            <w:tcMar>
              <w:left w:w="115" w:type="dxa"/>
              <w:right w:w="115" w:type="dxa"/>
            </w:tcMar>
          </w:tcPr>
          <w:p w:rsidR="008075FC" w:rsidRPr="00064E44" w:rsidRDefault="008075FC" w:rsidP="00C3606E">
            <w:pPr>
              <w:pStyle w:val="TableCell"/>
              <w:spacing w:before="40" w:after="40" w:line="240" w:lineRule="auto"/>
              <w:rPr>
                <w:rFonts w:cs="Arial"/>
                <w:szCs w:val="18"/>
                <w:lang w:val="de-DE"/>
              </w:rPr>
            </w:pPr>
            <w:r>
              <w:rPr>
                <w:rFonts w:cs="Arial"/>
                <w:szCs w:val="18"/>
                <w:lang w:val="de-DE"/>
              </w:rPr>
              <w:t>11.5 EER</w:t>
            </w:r>
          </w:p>
        </w:tc>
        <w:tc>
          <w:tcPr>
            <w:tcW w:w="778" w:type="pct"/>
            <w:tcBorders>
              <w:top w:val="single" w:sz="8" w:space="0" w:color="auto"/>
              <w:left w:val="single" w:sz="8" w:space="0" w:color="auto"/>
              <w:bottom w:val="single" w:sz="8" w:space="0" w:color="auto"/>
              <w:right w:val="single" w:sz="8" w:space="0" w:color="auto"/>
            </w:tcBorders>
          </w:tcPr>
          <w:p w:rsidR="008075FC" w:rsidRPr="00064E44" w:rsidRDefault="008075FC" w:rsidP="00C3606E">
            <w:pPr>
              <w:pStyle w:val="TableCell"/>
              <w:spacing w:before="40" w:after="40" w:line="240" w:lineRule="auto"/>
              <w:rPr>
                <w:rFonts w:cs="Arial"/>
                <w:szCs w:val="18"/>
                <w:lang w:val="de-DE"/>
              </w:rPr>
            </w:pPr>
            <w:r w:rsidRPr="001D6512">
              <w:rPr>
                <w:rFonts w:cs="Arial"/>
                <w:szCs w:val="18"/>
              </w:rPr>
              <w:t>N/A</w:t>
            </w:r>
          </w:p>
        </w:tc>
      </w:tr>
      <w:tr w:rsidR="008075FC" w:rsidRPr="00064E44" w:rsidTr="008075FC">
        <w:trPr>
          <w:trHeight w:val="288"/>
          <w:jc w:val="center"/>
        </w:trPr>
        <w:tc>
          <w:tcPr>
            <w:tcW w:w="1890"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8075FC" w:rsidRPr="001D6512" w:rsidRDefault="008075FC" w:rsidP="00C3606E">
            <w:pPr>
              <w:pStyle w:val="TableCell"/>
              <w:spacing w:before="40" w:after="40" w:line="240" w:lineRule="auto"/>
              <w:rPr>
                <w:rFonts w:cs="Arial"/>
                <w:szCs w:val="18"/>
              </w:rPr>
            </w:pPr>
            <w:r w:rsidRPr="001D6512">
              <w:rPr>
                <w:rFonts w:cs="Arial"/>
                <w:szCs w:val="18"/>
                <w:u w:val="single"/>
              </w:rPr>
              <w:t>&gt;</w:t>
            </w:r>
            <w:r w:rsidRPr="001D6512">
              <w:rPr>
                <w:rFonts w:cs="Arial"/>
                <w:szCs w:val="18"/>
              </w:rPr>
              <w:t xml:space="preserve"> 135,000 BtuH and &lt; 240,000 BtuH</w:t>
            </w:r>
          </w:p>
        </w:tc>
        <w:tc>
          <w:tcPr>
            <w:tcW w:w="777" w:type="pct"/>
            <w:tcBorders>
              <w:top w:val="single" w:sz="8" w:space="0" w:color="auto"/>
              <w:left w:val="nil"/>
              <w:bottom w:val="single" w:sz="8" w:space="0" w:color="auto"/>
              <w:right w:val="single" w:sz="8" w:space="0" w:color="auto"/>
            </w:tcBorders>
          </w:tcPr>
          <w:p w:rsidR="008075FC" w:rsidRDefault="008075FC" w:rsidP="00C3606E">
            <w:pPr>
              <w:pStyle w:val="TableCell"/>
              <w:spacing w:before="40" w:after="40" w:line="240" w:lineRule="auto"/>
              <w:rPr>
                <w:rFonts w:cs="Arial"/>
                <w:szCs w:val="18"/>
                <w:lang w:val="de-DE"/>
              </w:rPr>
            </w:pPr>
            <w:r>
              <w:rPr>
                <w:rFonts w:cs="Arial"/>
                <w:szCs w:val="18"/>
                <w:lang w:val="de-DE"/>
              </w:rPr>
              <w:t>11.0 EER</w:t>
            </w:r>
          </w:p>
        </w:tc>
        <w:tc>
          <w:tcPr>
            <w:tcW w:w="778" w:type="pct"/>
            <w:tcBorders>
              <w:top w:val="single" w:sz="8" w:space="0" w:color="auto"/>
              <w:left w:val="single" w:sz="8" w:space="0" w:color="auto"/>
              <w:bottom w:val="single" w:sz="8" w:space="0" w:color="auto"/>
              <w:right w:val="single" w:sz="8" w:space="0" w:color="auto"/>
            </w:tcBorders>
          </w:tcPr>
          <w:p w:rsidR="008075FC" w:rsidRDefault="008075FC" w:rsidP="00C3606E">
            <w:pPr>
              <w:pStyle w:val="TableCell"/>
              <w:spacing w:before="40" w:after="40" w:line="240" w:lineRule="auto"/>
              <w:rPr>
                <w:rFonts w:cs="Arial"/>
                <w:szCs w:val="18"/>
                <w:lang w:val="de-DE"/>
              </w:rPr>
            </w:pPr>
            <w:r>
              <w:rPr>
                <w:rFonts w:cs="Arial"/>
                <w:szCs w:val="18"/>
                <w:lang w:val="de-DE"/>
              </w:rPr>
              <w:t>N/A</w:t>
            </w:r>
          </w:p>
        </w:tc>
        <w:tc>
          <w:tcPr>
            <w:tcW w:w="777" w:type="pct"/>
            <w:tcBorders>
              <w:top w:val="single" w:sz="8" w:space="0" w:color="auto"/>
              <w:left w:val="single" w:sz="8" w:space="0" w:color="auto"/>
              <w:bottom w:val="single" w:sz="8" w:space="0" w:color="auto"/>
              <w:right w:val="single" w:sz="8" w:space="0" w:color="auto"/>
            </w:tcBorders>
            <w:tcMar>
              <w:left w:w="115" w:type="dxa"/>
              <w:right w:w="115" w:type="dxa"/>
            </w:tcMar>
          </w:tcPr>
          <w:p w:rsidR="008075FC" w:rsidRPr="00064E44" w:rsidRDefault="008075FC" w:rsidP="00C3606E">
            <w:pPr>
              <w:pStyle w:val="TableCell"/>
              <w:spacing w:before="40" w:after="40" w:line="240" w:lineRule="auto"/>
              <w:rPr>
                <w:rFonts w:cs="Arial"/>
                <w:szCs w:val="18"/>
                <w:lang w:val="de-DE"/>
              </w:rPr>
            </w:pPr>
            <w:r>
              <w:rPr>
                <w:rFonts w:cs="Arial"/>
                <w:szCs w:val="18"/>
                <w:lang w:val="de-DE"/>
              </w:rPr>
              <w:t>11.0 EER</w:t>
            </w:r>
          </w:p>
        </w:tc>
        <w:tc>
          <w:tcPr>
            <w:tcW w:w="778" w:type="pct"/>
            <w:tcBorders>
              <w:top w:val="single" w:sz="8" w:space="0" w:color="auto"/>
              <w:left w:val="single" w:sz="8" w:space="0" w:color="auto"/>
              <w:bottom w:val="single" w:sz="8" w:space="0" w:color="auto"/>
              <w:right w:val="single" w:sz="8" w:space="0" w:color="auto"/>
            </w:tcBorders>
          </w:tcPr>
          <w:p w:rsidR="008075FC" w:rsidRPr="00064E44" w:rsidRDefault="008075FC" w:rsidP="00C3606E">
            <w:pPr>
              <w:pStyle w:val="TableCell"/>
              <w:spacing w:before="40" w:after="40" w:line="240" w:lineRule="auto"/>
              <w:rPr>
                <w:rFonts w:cs="Arial"/>
                <w:szCs w:val="18"/>
                <w:lang w:val="de-DE"/>
              </w:rPr>
            </w:pPr>
            <w:r w:rsidRPr="001D6512">
              <w:rPr>
                <w:rFonts w:cs="Arial"/>
                <w:szCs w:val="18"/>
              </w:rPr>
              <w:t>N/A</w:t>
            </w:r>
          </w:p>
        </w:tc>
      </w:tr>
      <w:tr w:rsidR="004E5848" w:rsidRPr="00064E44" w:rsidTr="008075FC">
        <w:trPr>
          <w:trHeight w:val="288"/>
          <w:jc w:val="center"/>
        </w:trPr>
        <w:tc>
          <w:tcPr>
            <w:tcW w:w="1890"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1D6512" w:rsidRDefault="00FE4B48" w:rsidP="00C3606E">
            <w:pPr>
              <w:pStyle w:val="TableCell"/>
              <w:spacing w:before="40" w:after="40" w:line="240" w:lineRule="auto"/>
              <w:rPr>
                <w:rFonts w:cs="Arial"/>
                <w:szCs w:val="18"/>
              </w:rPr>
            </w:pPr>
            <w:r w:rsidRPr="001D6512">
              <w:rPr>
                <w:rFonts w:cs="Arial"/>
                <w:szCs w:val="18"/>
                <w:u w:val="single"/>
              </w:rPr>
              <w:t>&gt;</w:t>
            </w:r>
            <w:r w:rsidRPr="001D6512">
              <w:rPr>
                <w:rFonts w:cs="Arial"/>
                <w:szCs w:val="18"/>
              </w:rPr>
              <w:t xml:space="preserve"> </w:t>
            </w:r>
            <w:r w:rsidR="008075FC" w:rsidRPr="001D6512">
              <w:rPr>
                <w:rFonts w:cs="Arial"/>
                <w:szCs w:val="18"/>
              </w:rPr>
              <w:t>240,000 BtuH</w:t>
            </w:r>
          </w:p>
        </w:tc>
        <w:tc>
          <w:tcPr>
            <w:tcW w:w="777" w:type="pct"/>
            <w:tcBorders>
              <w:top w:val="single" w:sz="8" w:space="0" w:color="auto"/>
              <w:left w:val="nil"/>
              <w:bottom w:val="single" w:sz="8" w:space="0" w:color="auto"/>
              <w:right w:val="single" w:sz="8" w:space="0" w:color="auto"/>
            </w:tcBorders>
          </w:tcPr>
          <w:p w:rsidR="00FE4B48" w:rsidRDefault="003A40FA" w:rsidP="00C3606E">
            <w:pPr>
              <w:pStyle w:val="TableCell"/>
              <w:spacing w:before="40" w:after="40" w:line="240" w:lineRule="auto"/>
              <w:rPr>
                <w:rFonts w:cs="Arial"/>
                <w:szCs w:val="18"/>
                <w:lang w:val="de-DE"/>
              </w:rPr>
            </w:pPr>
            <w:r>
              <w:rPr>
                <w:rFonts w:cs="Arial"/>
                <w:szCs w:val="18"/>
                <w:lang w:val="de-DE"/>
              </w:rPr>
              <w:t>11.0 EER</w:t>
            </w:r>
          </w:p>
        </w:tc>
        <w:tc>
          <w:tcPr>
            <w:tcW w:w="778" w:type="pct"/>
            <w:tcBorders>
              <w:top w:val="single" w:sz="8" w:space="0" w:color="auto"/>
              <w:left w:val="single" w:sz="8" w:space="0" w:color="auto"/>
              <w:bottom w:val="single" w:sz="8" w:space="0" w:color="auto"/>
              <w:right w:val="single" w:sz="8" w:space="0" w:color="auto"/>
            </w:tcBorders>
          </w:tcPr>
          <w:p w:rsidR="00FE4B48" w:rsidRDefault="003A40FA" w:rsidP="00C3606E">
            <w:pPr>
              <w:pStyle w:val="TableCell"/>
              <w:spacing w:before="40" w:after="40" w:line="240" w:lineRule="auto"/>
              <w:rPr>
                <w:rFonts w:cs="Arial"/>
                <w:szCs w:val="18"/>
                <w:lang w:val="de-DE"/>
              </w:rPr>
            </w:pPr>
            <w:r>
              <w:rPr>
                <w:rFonts w:cs="Arial"/>
                <w:szCs w:val="18"/>
                <w:lang w:val="de-DE"/>
              </w:rPr>
              <w:t>N/A</w:t>
            </w:r>
          </w:p>
        </w:tc>
        <w:tc>
          <w:tcPr>
            <w:tcW w:w="777" w:type="pct"/>
            <w:tcBorders>
              <w:top w:val="single" w:sz="8" w:space="0" w:color="auto"/>
              <w:left w:val="single" w:sz="8" w:space="0" w:color="auto"/>
              <w:bottom w:val="single" w:sz="8" w:space="0" w:color="auto"/>
              <w:right w:val="single" w:sz="8" w:space="0" w:color="auto"/>
            </w:tcBorders>
            <w:tcMar>
              <w:left w:w="115" w:type="dxa"/>
              <w:right w:w="115" w:type="dxa"/>
            </w:tcMar>
          </w:tcPr>
          <w:p w:rsidR="00FE4B48" w:rsidRPr="00064E44" w:rsidRDefault="00FE4B48" w:rsidP="00C3606E">
            <w:pPr>
              <w:pStyle w:val="TableCell"/>
              <w:spacing w:before="40" w:after="40" w:line="240" w:lineRule="auto"/>
              <w:rPr>
                <w:rFonts w:cs="Arial"/>
                <w:szCs w:val="18"/>
                <w:lang w:val="de-DE"/>
              </w:rPr>
            </w:pPr>
            <w:r>
              <w:rPr>
                <w:rFonts w:cs="Arial"/>
                <w:szCs w:val="18"/>
                <w:lang w:val="de-DE"/>
              </w:rPr>
              <w:t>11.5 EER</w:t>
            </w:r>
          </w:p>
        </w:tc>
        <w:tc>
          <w:tcPr>
            <w:tcW w:w="778" w:type="pct"/>
            <w:tcBorders>
              <w:top w:val="single" w:sz="8" w:space="0" w:color="auto"/>
              <w:left w:val="single" w:sz="8" w:space="0" w:color="auto"/>
              <w:bottom w:val="single" w:sz="8" w:space="0" w:color="auto"/>
              <w:right w:val="single" w:sz="8" w:space="0" w:color="auto"/>
            </w:tcBorders>
          </w:tcPr>
          <w:p w:rsidR="00FE4B48" w:rsidRPr="00064E44" w:rsidRDefault="00FE4B48" w:rsidP="00C3606E">
            <w:pPr>
              <w:pStyle w:val="TableCell"/>
              <w:spacing w:before="40" w:after="40" w:line="240" w:lineRule="auto"/>
              <w:rPr>
                <w:rFonts w:cs="Arial"/>
                <w:szCs w:val="18"/>
                <w:lang w:val="de-DE"/>
              </w:rPr>
            </w:pPr>
            <w:r w:rsidRPr="001D6512">
              <w:rPr>
                <w:rFonts w:cs="Arial"/>
                <w:szCs w:val="18"/>
              </w:rPr>
              <w:t>N/A</w:t>
            </w:r>
          </w:p>
        </w:tc>
      </w:tr>
      <w:tr w:rsidR="00FE4B48" w:rsidRPr="00064E44" w:rsidTr="00FE4B48">
        <w:trPr>
          <w:trHeight w:val="288"/>
          <w:jc w:val="center"/>
        </w:trPr>
        <w:tc>
          <w:tcPr>
            <w:tcW w:w="5000" w:type="pct"/>
            <w:gridSpan w:val="5"/>
            <w:tcBorders>
              <w:top w:val="single" w:sz="8" w:space="0" w:color="auto"/>
              <w:left w:val="single" w:sz="8" w:space="0" w:color="auto"/>
              <w:bottom w:val="single" w:sz="8" w:space="0" w:color="auto"/>
              <w:right w:val="single" w:sz="8" w:space="0" w:color="auto"/>
            </w:tcBorders>
            <w:shd w:val="clear" w:color="000000" w:fill="D8D8D8"/>
            <w:tcMar>
              <w:left w:w="115" w:type="dxa"/>
              <w:right w:w="115" w:type="dxa"/>
            </w:tcMar>
          </w:tcPr>
          <w:p w:rsidR="00FE4B48" w:rsidRPr="001D6512" w:rsidRDefault="00FE4B48" w:rsidP="00C3606E">
            <w:pPr>
              <w:pStyle w:val="TableCell"/>
              <w:keepNext w:val="0"/>
              <w:spacing w:before="40" w:after="40" w:line="240" w:lineRule="auto"/>
              <w:rPr>
                <w:rFonts w:cs="Arial"/>
                <w:szCs w:val="18"/>
              </w:rPr>
            </w:pPr>
            <w:r w:rsidRPr="001D6512">
              <w:rPr>
                <w:rFonts w:cs="Arial"/>
                <w:szCs w:val="18"/>
              </w:rPr>
              <w:t xml:space="preserve">Air-Source Heat Pumps </w:t>
            </w:r>
          </w:p>
        </w:tc>
      </w:tr>
      <w:tr w:rsidR="008075FC" w:rsidRPr="00064E44" w:rsidTr="008075FC">
        <w:trPr>
          <w:trHeight w:val="288"/>
          <w:jc w:val="center"/>
        </w:trPr>
        <w:tc>
          <w:tcPr>
            <w:tcW w:w="1890"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8075FC" w:rsidRPr="001D6512" w:rsidRDefault="008075FC" w:rsidP="00C3606E">
            <w:pPr>
              <w:pStyle w:val="TableCell"/>
              <w:keepNext w:val="0"/>
              <w:spacing w:before="40" w:after="40" w:line="240" w:lineRule="auto"/>
              <w:rPr>
                <w:rFonts w:cs="Arial"/>
                <w:szCs w:val="18"/>
              </w:rPr>
            </w:pPr>
            <w:r w:rsidRPr="001D6512">
              <w:rPr>
                <w:rFonts w:cs="Arial"/>
                <w:szCs w:val="18"/>
              </w:rPr>
              <w:t>&lt; 65,000 BtuH</w:t>
            </w:r>
          </w:p>
        </w:tc>
        <w:tc>
          <w:tcPr>
            <w:tcW w:w="777" w:type="pct"/>
            <w:tcBorders>
              <w:top w:val="single" w:sz="8" w:space="0" w:color="auto"/>
              <w:left w:val="nil"/>
              <w:bottom w:val="single" w:sz="8" w:space="0" w:color="auto"/>
              <w:right w:val="single" w:sz="8" w:space="0" w:color="auto"/>
            </w:tcBorders>
          </w:tcPr>
          <w:p w:rsidR="008075FC" w:rsidRPr="001D6512" w:rsidRDefault="008075FC" w:rsidP="00C3606E">
            <w:pPr>
              <w:pStyle w:val="TableCell"/>
              <w:keepNext w:val="0"/>
              <w:spacing w:before="40" w:after="40" w:line="240" w:lineRule="auto"/>
              <w:rPr>
                <w:rFonts w:cs="Arial"/>
                <w:szCs w:val="18"/>
              </w:rPr>
            </w:pPr>
            <w:r w:rsidRPr="001D6512">
              <w:rPr>
                <w:rFonts w:cs="Arial"/>
                <w:szCs w:val="18"/>
              </w:rPr>
              <w:t>10.0 SEER</w:t>
            </w:r>
          </w:p>
        </w:tc>
        <w:tc>
          <w:tcPr>
            <w:tcW w:w="778" w:type="pct"/>
            <w:tcBorders>
              <w:top w:val="single" w:sz="8" w:space="0" w:color="auto"/>
              <w:left w:val="single" w:sz="8" w:space="0" w:color="auto"/>
              <w:bottom w:val="single" w:sz="8" w:space="0" w:color="auto"/>
              <w:right w:val="single" w:sz="8" w:space="0" w:color="auto"/>
            </w:tcBorders>
          </w:tcPr>
          <w:p w:rsidR="008075FC" w:rsidRPr="001D6512" w:rsidRDefault="008075FC" w:rsidP="00C3606E">
            <w:pPr>
              <w:pStyle w:val="TableCell"/>
              <w:keepNext w:val="0"/>
              <w:spacing w:before="40" w:after="40" w:line="240" w:lineRule="auto"/>
              <w:rPr>
                <w:rFonts w:cs="Arial"/>
                <w:szCs w:val="18"/>
              </w:rPr>
            </w:pPr>
            <w:r w:rsidRPr="001D6512">
              <w:rPr>
                <w:rFonts w:cs="Arial"/>
                <w:szCs w:val="18"/>
              </w:rPr>
              <w:t>6.8 HSPF</w:t>
            </w:r>
          </w:p>
        </w:tc>
        <w:tc>
          <w:tcPr>
            <w:tcW w:w="777" w:type="pct"/>
            <w:tcBorders>
              <w:top w:val="single" w:sz="8" w:space="0" w:color="auto"/>
              <w:left w:val="single" w:sz="8" w:space="0" w:color="auto"/>
              <w:bottom w:val="single" w:sz="8" w:space="0" w:color="auto"/>
              <w:right w:val="single" w:sz="8" w:space="0" w:color="auto"/>
            </w:tcBorders>
            <w:tcMar>
              <w:left w:w="115" w:type="dxa"/>
              <w:right w:w="115" w:type="dxa"/>
            </w:tcMar>
          </w:tcPr>
          <w:p w:rsidR="008075FC" w:rsidRPr="001D6512" w:rsidRDefault="008075FC" w:rsidP="00C3606E">
            <w:pPr>
              <w:pStyle w:val="TableCell"/>
              <w:keepNext w:val="0"/>
              <w:spacing w:before="40" w:after="40" w:line="240" w:lineRule="auto"/>
              <w:rPr>
                <w:rFonts w:cs="Arial"/>
                <w:szCs w:val="18"/>
              </w:rPr>
            </w:pPr>
            <w:r w:rsidRPr="001D6512">
              <w:rPr>
                <w:rFonts w:cs="Arial"/>
                <w:szCs w:val="18"/>
              </w:rPr>
              <w:t>13 SEER</w:t>
            </w:r>
          </w:p>
        </w:tc>
        <w:tc>
          <w:tcPr>
            <w:tcW w:w="778" w:type="pct"/>
            <w:tcBorders>
              <w:top w:val="single" w:sz="8" w:space="0" w:color="auto"/>
              <w:left w:val="single" w:sz="8" w:space="0" w:color="auto"/>
              <w:bottom w:val="single" w:sz="8" w:space="0" w:color="auto"/>
              <w:right w:val="single" w:sz="8" w:space="0" w:color="auto"/>
            </w:tcBorders>
          </w:tcPr>
          <w:p w:rsidR="008075FC" w:rsidRPr="001D6512" w:rsidRDefault="008075FC" w:rsidP="00C3606E">
            <w:pPr>
              <w:pStyle w:val="TableCell"/>
              <w:keepNext w:val="0"/>
              <w:spacing w:before="40" w:after="40" w:line="240" w:lineRule="auto"/>
              <w:rPr>
                <w:rFonts w:cs="Arial"/>
                <w:szCs w:val="18"/>
              </w:rPr>
            </w:pPr>
            <w:r w:rsidRPr="001D6512">
              <w:rPr>
                <w:rFonts w:cs="Arial"/>
                <w:szCs w:val="18"/>
              </w:rPr>
              <w:t>7.7 HSPF</w:t>
            </w:r>
          </w:p>
        </w:tc>
      </w:tr>
      <w:tr w:rsidR="008075FC" w:rsidRPr="00064E44" w:rsidTr="008075FC">
        <w:trPr>
          <w:trHeight w:val="288"/>
          <w:jc w:val="center"/>
        </w:trPr>
        <w:tc>
          <w:tcPr>
            <w:tcW w:w="1890"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8075FC" w:rsidRPr="001D6512" w:rsidRDefault="008075FC" w:rsidP="00C3606E">
            <w:pPr>
              <w:pStyle w:val="TableCell"/>
              <w:keepNext w:val="0"/>
              <w:spacing w:before="40" w:after="40" w:line="240" w:lineRule="auto"/>
              <w:rPr>
                <w:rFonts w:cs="Arial"/>
                <w:szCs w:val="18"/>
              </w:rPr>
            </w:pPr>
            <w:r w:rsidRPr="001D6512">
              <w:rPr>
                <w:rFonts w:cs="Arial"/>
                <w:szCs w:val="18"/>
                <w:u w:val="single"/>
              </w:rPr>
              <w:t>&gt;</w:t>
            </w:r>
            <w:r w:rsidRPr="001D6512">
              <w:rPr>
                <w:rFonts w:cs="Arial"/>
                <w:szCs w:val="18"/>
              </w:rPr>
              <w:t xml:space="preserve"> 65,000 BtuH and &lt;135,000 BtuH</w:t>
            </w:r>
          </w:p>
        </w:tc>
        <w:tc>
          <w:tcPr>
            <w:tcW w:w="777" w:type="pct"/>
            <w:tcBorders>
              <w:top w:val="single" w:sz="8" w:space="0" w:color="auto"/>
              <w:left w:val="nil"/>
              <w:bottom w:val="single" w:sz="8" w:space="0" w:color="auto"/>
              <w:right w:val="single" w:sz="8" w:space="0" w:color="auto"/>
            </w:tcBorders>
          </w:tcPr>
          <w:p w:rsidR="008075FC" w:rsidRPr="001D6512" w:rsidRDefault="008075FC" w:rsidP="00C3606E">
            <w:pPr>
              <w:pStyle w:val="TableCell"/>
              <w:keepNext w:val="0"/>
              <w:spacing w:before="40" w:after="40" w:line="240" w:lineRule="auto"/>
              <w:rPr>
                <w:rFonts w:cs="Arial"/>
                <w:szCs w:val="18"/>
              </w:rPr>
            </w:pPr>
            <w:r w:rsidRPr="001D6512">
              <w:rPr>
                <w:rFonts w:cs="Arial"/>
                <w:szCs w:val="18"/>
              </w:rPr>
              <w:t>10.1 EER</w:t>
            </w:r>
          </w:p>
        </w:tc>
        <w:tc>
          <w:tcPr>
            <w:tcW w:w="778" w:type="pct"/>
            <w:tcBorders>
              <w:top w:val="single" w:sz="8" w:space="0" w:color="auto"/>
              <w:left w:val="single" w:sz="8" w:space="0" w:color="auto"/>
              <w:bottom w:val="single" w:sz="8" w:space="0" w:color="auto"/>
              <w:right w:val="single" w:sz="8" w:space="0" w:color="auto"/>
            </w:tcBorders>
          </w:tcPr>
          <w:p w:rsidR="008075FC" w:rsidRPr="001D6512" w:rsidRDefault="008075FC" w:rsidP="00C3606E">
            <w:pPr>
              <w:pStyle w:val="TableCell"/>
              <w:keepNext w:val="0"/>
              <w:spacing w:before="40" w:after="40" w:line="240" w:lineRule="auto"/>
              <w:rPr>
                <w:rFonts w:cs="Arial"/>
                <w:szCs w:val="18"/>
              </w:rPr>
            </w:pPr>
            <w:r w:rsidRPr="001D6512">
              <w:rPr>
                <w:rFonts w:cs="Arial"/>
                <w:szCs w:val="18"/>
              </w:rPr>
              <w:t>3.2 COP</w:t>
            </w:r>
          </w:p>
        </w:tc>
        <w:tc>
          <w:tcPr>
            <w:tcW w:w="777" w:type="pct"/>
            <w:tcBorders>
              <w:top w:val="single" w:sz="8" w:space="0" w:color="auto"/>
              <w:left w:val="single" w:sz="8" w:space="0" w:color="auto"/>
              <w:bottom w:val="single" w:sz="8" w:space="0" w:color="auto"/>
              <w:right w:val="single" w:sz="8" w:space="0" w:color="auto"/>
            </w:tcBorders>
            <w:tcMar>
              <w:left w:w="115" w:type="dxa"/>
              <w:right w:w="115" w:type="dxa"/>
            </w:tcMar>
          </w:tcPr>
          <w:p w:rsidR="008075FC" w:rsidRPr="001D6512" w:rsidRDefault="008075FC" w:rsidP="00C3606E">
            <w:pPr>
              <w:pStyle w:val="TableCell"/>
              <w:keepNext w:val="0"/>
              <w:spacing w:before="40" w:after="40" w:line="240" w:lineRule="auto"/>
              <w:rPr>
                <w:rFonts w:cs="Arial"/>
                <w:szCs w:val="18"/>
              </w:rPr>
            </w:pPr>
            <w:r w:rsidRPr="001D6512">
              <w:rPr>
                <w:rFonts w:cs="Arial"/>
                <w:szCs w:val="18"/>
              </w:rPr>
              <w:t>11.0 EER</w:t>
            </w:r>
          </w:p>
        </w:tc>
        <w:tc>
          <w:tcPr>
            <w:tcW w:w="778" w:type="pct"/>
            <w:tcBorders>
              <w:top w:val="single" w:sz="8" w:space="0" w:color="auto"/>
              <w:left w:val="single" w:sz="8" w:space="0" w:color="auto"/>
              <w:bottom w:val="single" w:sz="8" w:space="0" w:color="auto"/>
              <w:right w:val="single" w:sz="8" w:space="0" w:color="auto"/>
            </w:tcBorders>
          </w:tcPr>
          <w:p w:rsidR="008075FC" w:rsidRPr="001D6512" w:rsidRDefault="008075FC" w:rsidP="00C3606E">
            <w:pPr>
              <w:pStyle w:val="TableCell"/>
              <w:keepNext w:val="0"/>
              <w:spacing w:before="40" w:after="40" w:line="240" w:lineRule="auto"/>
              <w:rPr>
                <w:rFonts w:cs="Arial"/>
                <w:szCs w:val="18"/>
              </w:rPr>
            </w:pPr>
            <w:r w:rsidRPr="001D6512">
              <w:rPr>
                <w:rFonts w:cs="Arial"/>
                <w:szCs w:val="18"/>
              </w:rPr>
              <w:t>3.3 COP</w:t>
            </w:r>
          </w:p>
        </w:tc>
      </w:tr>
      <w:tr w:rsidR="008075FC" w:rsidRPr="00064E44" w:rsidTr="008075FC">
        <w:trPr>
          <w:trHeight w:val="288"/>
          <w:jc w:val="center"/>
        </w:trPr>
        <w:tc>
          <w:tcPr>
            <w:tcW w:w="1890"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8075FC" w:rsidRPr="001D6512" w:rsidRDefault="008075FC" w:rsidP="00C3606E">
            <w:pPr>
              <w:pStyle w:val="TableCell"/>
              <w:keepNext w:val="0"/>
              <w:spacing w:before="40" w:after="40" w:line="240" w:lineRule="auto"/>
              <w:rPr>
                <w:rFonts w:cs="Arial"/>
                <w:szCs w:val="18"/>
              </w:rPr>
            </w:pPr>
            <w:r w:rsidRPr="001D6512">
              <w:rPr>
                <w:rFonts w:cs="Arial"/>
                <w:szCs w:val="18"/>
                <w:u w:val="single"/>
              </w:rPr>
              <w:t>&gt;</w:t>
            </w:r>
            <w:r w:rsidRPr="001D6512">
              <w:rPr>
                <w:rFonts w:cs="Arial"/>
                <w:szCs w:val="18"/>
              </w:rPr>
              <w:t xml:space="preserve"> 135,000 BtuH and &lt; 240,000 BtuH</w:t>
            </w:r>
          </w:p>
        </w:tc>
        <w:tc>
          <w:tcPr>
            <w:tcW w:w="777" w:type="pct"/>
            <w:tcBorders>
              <w:top w:val="single" w:sz="8" w:space="0" w:color="auto"/>
              <w:left w:val="nil"/>
              <w:bottom w:val="single" w:sz="8" w:space="0" w:color="auto"/>
              <w:right w:val="single" w:sz="8" w:space="0" w:color="auto"/>
            </w:tcBorders>
          </w:tcPr>
          <w:p w:rsidR="008075FC" w:rsidRPr="001D6512" w:rsidRDefault="008075FC" w:rsidP="00C3606E">
            <w:pPr>
              <w:pStyle w:val="TableCell"/>
              <w:keepNext w:val="0"/>
              <w:spacing w:before="40" w:after="40" w:line="240" w:lineRule="auto"/>
              <w:rPr>
                <w:rFonts w:cs="Arial"/>
                <w:szCs w:val="18"/>
              </w:rPr>
            </w:pPr>
            <w:r w:rsidRPr="001D6512">
              <w:rPr>
                <w:rFonts w:cs="Arial"/>
                <w:szCs w:val="18"/>
              </w:rPr>
              <w:t>9.3 EER</w:t>
            </w:r>
          </w:p>
        </w:tc>
        <w:tc>
          <w:tcPr>
            <w:tcW w:w="778" w:type="pct"/>
            <w:tcBorders>
              <w:top w:val="single" w:sz="8" w:space="0" w:color="auto"/>
              <w:left w:val="single" w:sz="8" w:space="0" w:color="auto"/>
              <w:bottom w:val="single" w:sz="8" w:space="0" w:color="auto"/>
              <w:right w:val="single" w:sz="8" w:space="0" w:color="auto"/>
            </w:tcBorders>
          </w:tcPr>
          <w:p w:rsidR="008075FC" w:rsidRPr="001D6512" w:rsidRDefault="008075FC" w:rsidP="00C3606E">
            <w:pPr>
              <w:pStyle w:val="TableCell"/>
              <w:keepNext w:val="0"/>
              <w:spacing w:before="40" w:after="40" w:line="240" w:lineRule="auto"/>
              <w:rPr>
                <w:rFonts w:cs="Arial"/>
                <w:szCs w:val="18"/>
              </w:rPr>
            </w:pPr>
            <w:r w:rsidRPr="001D6512">
              <w:rPr>
                <w:rFonts w:cs="Arial"/>
                <w:szCs w:val="18"/>
              </w:rPr>
              <w:t>3.1 COP</w:t>
            </w:r>
          </w:p>
        </w:tc>
        <w:tc>
          <w:tcPr>
            <w:tcW w:w="777" w:type="pct"/>
            <w:tcBorders>
              <w:top w:val="single" w:sz="8" w:space="0" w:color="auto"/>
              <w:left w:val="single" w:sz="8" w:space="0" w:color="auto"/>
              <w:bottom w:val="single" w:sz="8" w:space="0" w:color="auto"/>
              <w:right w:val="single" w:sz="8" w:space="0" w:color="auto"/>
            </w:tcBorders>
            <w:tcMar>
              <w:left w:w="115" w:type="dxa"/>
              <w:right w:w="115" w:type="dxa"/>
            </w:tcMar>
          </w:tcPr>
          <w:p w:rsidR="008075FC" w:rsidRPr="001D6512" w:rsidRDefault="008075FC" w:rsidP="00C3606E">
            <w:pPr>
              <w:pStyle w:val="TableCell"/>
              <w:keepNext w:val="0"/>
              <w:spacing w:before="40" w:after="40" w:line="240" w:lineRule="auto"/>
              <w:rPr>
                <w:rFonts w:cs="Arial"/>
                <w:szCs w:val="18"/>
              </w:rPr>
            </w:pPr>
            <w:r w:rsidRPr="001D6512">
              <w:rPr>
                <w:rFonts w:cs="Arial"/>
                <w:szCs w:val="18"/>
              </w:rPr>
              <w:t>10.6 EER</w:t>
            </w:r>
          </w:p>
        </w:tc>
        <w:tc>
          <w:tcPr>
            <w:tcW w:w="778" w:type="pct"/>
            <w:tcBorders>
              <w:top w:val="single" w:sz="8" w:space="0" w:color="auto"/>
              <w:left w:val="single" w:sz="8" w:space="0" w:color="auto"/>
              <w:bottom w:val="single" w:sz="8" w:space="0" w:color="auto"/>
              <w:right w:val="single" w:sz="8" w:space="0" w:color="auto"/>
            </w:tcBorders>
          </w:tcPr>
          <w:p w:rsidR="008075FC" w:rsidRPr="001D6512" w:rsidRDefault="008075FC" w:rsidP="00C3606E">
            <w:pPr>
              <w:pStyle w:val="TableCell"/>
              <w:keepNext w:val="0"/>
              <w:spacing w:before="40" w:after="40" w:line="240" w:lineRule="auto"/>
              <w:rPr>
                <w:rFonts w:cs="Arial"/>
                <w:szCs w:val="18"/>
              </w:rPr>
            </w:pPr>
            <w:r w:rsidRPr="001D6512">
              <w:rPr>
                <w:rFonts w:cs="Arial"/>
                <w:szCs w:val="18"/>
              </w:rPr>
              <w:t>3.2 COP</w:t>
            </w:r>
          </w:p>
        </w:tc>
      </w:tr>
      <w:tr w:rsidR="004E5848" w:rsidRPr="00064E44" w:rsidTr="008075FC">
        <w:trPr>
          <w:trHeight w:val="288"/>
          <w:jc w:val="center"/>
        </w:trPr>
        <w:tc>
          <w:tcPr>
            <w:tcW w:w="1890"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4E5848" w:rsidRPr="001D6512" w:rsidRDefault="00FE4B48" w:rsidP="008075FC">
            <w:pPr>
              <w:pStyle w:val="TableCell"/>
              <w:keepNext w:val="0"/>
              <w:spacing w:before="40" w:after="40" w:line="240" w:lineRule="auto"/>
              <w:rPr>
                <w:rFonts w:cs="Arial"/>
                <w:szCs w:val="18"/>
              </w:rPr>
            </w:pPr>
            <w:r w:rsidRPr="001D6512">
              <w:rPr>
                <w:rFonts w:cs="Arial"/>
                <w:szCs w:val="18"/>
                <w:u w:val="single"/>
              </w:rPr>
              <w:t>&gt;</w:t>
            </w:r>
            <w:r w:rsidRPr="001D6512">
              <w:rPr>
                <w:rFonts w:cs="Arial"/>
                <w:szCs w:val="18"/>
              </w:rPr>
              <w:t xml:space="preserve"> </w:t>
            </w:r>
            <w:r w:rsidR="008075FC" w:rsidRPr="001D6512">
              <w:rPr>
                <w:rFonts w:cs="Arial"/>
                <w:szCs w:val="18"/>
              </w:rPr>
              <w:t>240,000 BtuH</w:t>
            </w:r>
            <w:r w:rsidR="004E5848" w:rsidRPr="001D6512">
              <w:rPr>
                <w:rFonts w:cs="Arial"/>
                <w:szCs w:val="18"/>
              </w:rPr>
              <w:t xml:space="preserve"> (IPLV for units with capacity-modulation only)</w:t>
            </w:r>
          </w:p>
        </w:tc>
        <w:tc>
          <w:tcPr>
            <w:tcW w:w="777" w:type="pct"/>
            <w:tcBorders>
              <w:top w:val="single" w:sz="8" w:space="0" w:color="auto"/>
              <w:left w:val="nil"/>
              <w:bottom w:val="single" w:sz="8" w:space="0" w:color="auto"/>
              <w:right w:val="single" w:sz="8" w:space="0" w:color="auto"/>
            </w:tcBorders>
          </w:tcPr>
          <w:p w:rsidR="00FE4B48" w:rsidRPr="001D6512" w:rsidRDefault="003A40FA" w:rsidP="00C3606E">
            <w:pPr>
              <w:pStyle w:val="TableCell"/>
              <w:keepNext w:val="0"/>
              <w:spacing w:before="40" w:after="40" w:line="240" w:lineRule="auto"/>
              <w:rPr>
                <w:rFonts w:cs="Arial"/>
                <w:szCs w:val="18"/>
              </w:rPr>
            </w:pPr>
            <w:r w:rsidRPr="001D6512">
              <w:rPr>
                <w:rFonts w:cs="Arial"/>
                <w:szCs w:val="18"/>
              </w:rPr>
              <w:t>9.0 EER</w:t>
            </w:r>
          </w:p>
        </w:tc>
        <w:tc>
          <w:tcPr>
            <w:tcW w:w="778" w:type="pct"/>
            <w:tcBorders>
              <w:top w:val="single" w:sz="8" w:space="0" w:color="auto"/>
              <w:left w:val="single" w:sz="8" w:space="0" w:color="auto"/>
              <w:bottom w:val="single" w:sz="8" w:space="0" w:color="auto"/>
              <w:right w:val="single" w:sz="8" w:space="0" w:color="auto"/>
            </w:tcBorders>
          </w:tcPr>
          <w:p w:rsidR="00FE4B48" w:rsidRPr="001D6512" w:rsidRDefault="003A40FA" w:rsidP="00C3606E">
            <w:pPr>
              <w:pStyle w:val="TableCell"/>
              <w:keepNext w:val="0"/>
              <w:spacing w:before="40" w:after="40" w:line="240" w:lineRule="auto"/>
              <w:rPr>
                <w:rFonts w:cs="Arial"/>
                <w:szCs w:val="18"/>
              </w:rPr>
            </w:pPr>
            <w:r w:rsidRPr="001D6512">
              <w:rPr>
                <w:rFonts w:cs="Arial"/>
                <w:szCs w:val="18"/>
              </w:rPr>
              <w:t>3.1 COP</w:t>
            </w:r>
          </w:p>
        </w:tc>
        <w:tc>
          <w:tcPr>
            <w:tcW w:w="777" w:type="pct"/>
            <w:tcBorders>
              <w:top w:val="single" w:sz="8" w:space="0" w:color="auto"/>
              <w:left w:val="single" w:sz="8" w:space="0" w:color="auto"/>
              <w:bottom w:val="single" w:sz="8" w:space="0" w:color="auto"/>
              <w:right w:val="single" w:sz="8" w:space="0" w:color="auto"/>
            </w:tcBorders>
            <w:tcMar>
              <w:left w:w="115" w:type="dxa"/>
              <w:right w:w="115" w:type="dxa"/>
            </w:tcMar>
          </w:tcPr>
          <w:p w:rsidR="00FE4B48" w:rsidRPr="001D6512" w:rsidRDefault="00FE4B48" w:rsidP="00C3606E">
            <w:pPr>
              <w:pStyle w:val="TableCell"/>
              <w:keepNext w:val="0"/>
              <w:spacing w:before="40" w:after="40" w:line="240" w:lineRule="auto"/>
              <w:rPr>
                <w:rFonts w:cs="Arial"/>
                <w:szCs w:val="18"/>
              </w:rPr>
            </w:pPr>
            <w:r w:rsidRPr="001D6512">
              <w:rPr>
                <w:rFonts w:cs="Arial"/>
                <w:szCs w:val="18"/>
              </w:rPr>
              <w:t>9.5 EER</w:t>
            </w:r>
            <w:r w:rsidR="004E5848" w:rsidRPr="001D6512">
              <w:rPr>
                <w:rFonts w:cs="Arial"/>
                <w:szCs w:val="18"/>
              </w:rPr>
              <w:t xml:space="preserve"> /</w:t>
            </w:r>
          </w:p>
          <w:p w:rsidR="004E5848" w:rsidRPr="001D6512" w:rsidRDefault="004E5848" w:rsidP="00C3606E">
            <w:pPr>
              <w:pStyle w:val="TableCell"/>
              <w:keepNext w:val="0"/>
              <w:spacing w:before="40" w:after="40" w:line="240" w:lineRule="auto"/>
              <w:rPr>
                <w:rFonts w:cs="Arial"/>
                <w:szCs w:val="18"/>
              </w:rPr>
            </w:pPr>
            <w:r w:rsidRPr="001D6512">
              <w:rPr>
                <w:rFonts w:cs="Arial"/>
                <w:szCs w:val="18"/>
              </w:rPr>
              <w:t>9.2 IPLV</w:t>
            </w:r>
          </w:p>
        </w:tc>
        <w:tc>
          <w:tcPr>
            <w:tcW w:w="778" w:type="pct"/>
            <w:tcBorders>
              <w:top w:val="single" w:sz="8" w:space="0" w:color="auto"/>
              <w:left w:val="single" w:sz="8" w:space="0" w:color="auto"/>
              <w:bottom w:val="single" w:sz="8" w:space="0" w:color="auto"/>
              <w:right w:val="single" w:sz="8" w:space="0" w:color="auto"/>
            </w:tcBorders>
          </w:tcPr>
          <w:p w:rsidR="00FE4B48" w:rsidRPr="001D6512" w:rsidRDefault="00FE4B48" w:rsidP="00C3606E">
            <w:pPr>
              <w:pStyle w:val="TableCell"/>
              <w:keepNext w:val="0"/>
              <w:spacing w:before="40" w:after="40" w:line="240" w:lineRule="auto"/>
              <w:rPr>
                <w:rFonts w:cs="Arial"/>
                <w:szCs w:val="18"/>
              </w:rPr>
            </w:pPr>
            <w:r w:rsidRPr="001D6512">
              <w:rPr>
                <w:rFonts w:cs="Arial"/>
                <w:szCs w:val="18"/>
              </w:rPr>
              <w:t>3.2 COP</w:t>
            </w:r>
          </w:p>
        </w:tc>
      </w:tr>
      <w:tr w:rsidR="00FE4B48" w:rsidRPr="00064E44" w:rsidTr="00FE4B48">
        <w:trPr>
          <w:trHeight w:val="288"/>
          <w:jc w:val="center"/>
        </w:trPr>
        <w:tc>
          <w:tcPr>
            <w:tcW w:w="5000" w:type="pct"/>
            <w:gridSpan w:val="5"/>
            <w:tcBorders>
              <w:top w:val="single" w:sz="8" w:space="0" w:color="auto"/>
              <w:left w:val="single" w:sz="8" w:space="0" w:color="auto"/>
              <w:bottom w:val="single" w:sz="8" w:space="0" w:color="auto"/>
              <w:right w:val="single" w:sz="8" w:space="0" w:color="auto"/>
            </w:tcBorders>
            <w:shd w:val="clear" w:color="000000" w:fill="D8D8D8"/>
            <w:tcMar>
              <w:left w:w="115" w:type="dxa"/>
              <w:right w:w="115" w:type="dxa"/>
            </w:tcMar>
          </w:tcPr>
          <w:p w:rsidR="00FE4B48" w:rsidRPr="001D6512" w:rsidRDefault="00FE4B48" w:rsidP="00C3606E">
            <w:pPr>
              <w:pStyle w:val="TableCell"/>
              <w:keepNext w:val="0"/>
              <w:spacing w:before="40" w:after="40" w:line="240" w:lineRule="auto"/>
              <w:rPr>
                <w:rFonts w:cs="Arial"/>
                <w:szCs w:val="18"/>
              </w:rPr>
            </w:pPr>
            <w:r w:rsidRPr="001D6512">
              <w:rPr>
                <w:rFonts w:cs="Arial"/>
                <w:szCs w:val="18"/>
              </w:rPr>
              <w:t xml:space="preserve">Water-Source Heat Pumps </w:t>
            </w:r>
          </w:p>
        </w:tc>
      </w:tr>
      <w:tr w:rsidR="004E5848" w:rsidRPr="00064E44" w:rsidTr="008075FC">
        <w:trPr>
          <w:trHeight w:val="288"/>
          <w:jc w:val="center"/>
        </w:trPr>
        <w:tc>
          <w:tcPr>
            <w:tcW w:w="1890"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1D6512" w:rsidRDefault="00FE4B48" w:rsidP="008075FC">
            <w:pPr>
              <w:pStyle w:val="TableCell"/>
              <w:keepNext w:val="0"/>
              <w:spacing w:before="40" w:after="40" w:line="240" w:lineRule="auto"/>
              <w:rPr>
                <w:rFonts w:cs="Arial"/>
                <w:szCs w:val="18"/>
              </w:rPr>
            </w:pPr>
            <w:r w:rsidRPr="001D6512">
              <w:rPr>
                <w:rFonts w:cs="Arial"/>
                <w:szCs w:val="18"/>
              </w:rPr>
              <w:t xml:space="preserve">&lt; </w:t>
            </w:r>
            <w:r w:rsidR="008075FC" w:rsidRPr="001D6512">
              <w:rPr>
                <w:rFonts w:cs="Arial"/>
                <w:szCs w:val="18"/>
              </w:rPr>
              <w:t>17,000 BtuH</w:t>
            </w:r>
            <w:r w:rsidRPr="001D6512">
              <w:rPr>
                <w:rFonts w:cs="Arial"/>
                <w:szCs w:val="18"/>
              </w:rPr>
              <w:t xml:space="preserve"> </w:t>
            </w:r>
          </w:p>
        </w:tc>
        <w:tc>
          <w:tcPr>
            <w:tcW w:w="777" w:type="pct"/>
            <w:tcBorders>
              <w:top w:val="single" w:sz="8" w:space="0" w:color="auto"/>
              <w:left w:val="nil"/>
              <w:bottom w:val="single" w:sz="8" w:space="0" w:color="auto"/>
              <w:right w:val="single" w:sz="8" w:space="0" w:color="auto"/>
            </w:tcBorders>
          </w:tcPr>
          <w:p w:rsidR="00FE4B48" w:rsidRPr="001D6512" w:rsidRDefault="003A40FA" w:rsidP="00C3606E">
            <w:pPr>
              <w:pStyle w:val="TableCell"/>
              <w:keepNext w:val="0"/>
              <w:spacing w:before="40" w:after="40" w:line="240" w:lineRule="auto"/>
              <w:rPr>
                <w:rFonts w:cs="Arial"/>
                <w:szCs w:val="18"/>
              </w:rPr>
            </w:pPr>
            <w:r w:rsidRPr="001D6512">
              <w:rPr>
                <w:rFonts w:cs="Arial"/>
                <w:szCs w:val="18"/>
              </w:rPr>
              <w:t>11.2 EER</w:t>
            </w:r>
          </w:p>
        </w:tc>
        <w:tc>
          <w:tcPr>
            <w:tcW w:w="778" w:type="pct"/>
            <w:tcBorders>
              <w:top w:val="single" w:sz="8" w:space="0" w:color="auto"/>
              <w:left w:val="single" w:sz="8" w:space="0" w:color="auto"/>
              <w:bottom w:val="single" w:sz="8" w:space="0" w:color="auto"/>
              <w:right w:val="single" w:sz="8" w:space="0" w:color="auto"/>
            </w:tcBorders>
          </w:tcPr>
          <w:p w:rsidR="00FE4B48" w:rsidRPr="001D6512" w:rsidRDefault="003A40FA" w:rsidP="00C3606E">
            <w:pPr>
              <w:pStyle w:val="TableCell"/>
              <w:keepNext w:val="0"/>
              <w:spacing w:before="40" w:after="40" w:line="240" w:lineRule="auto"/>
              <w:rPr>
                <w:rFonts w:cs="Arial"/>
                <w:szCs w:val="18"/>
              </w:rPr>
            </w:pPr>
            <w:r w:rsidRPr="001D6512">
              <w:rPr>
                <w:rFonts w:cs="Arial"/>
                <w:szCs w:val="18"/>
              </w:rPr>
              <w:t>4.2 COP</w:t>
            </w:r>
          </w:p>
        </w:tc>
        <w:tc>
          <w:tcPr>
            <w:tcW w:w="777" w:type="pct"/>
            <w:tcBorders>
              <w:top w:val="single" w:sz="8" w:space="0" w:color="auto"/>
              <w:left w:val="single" w:sz="8" w:space="0" w:color="auto"/>
              <w:bottom w:val="single" w:sz="8" w:space="0" w:color="auto"/>
              <w:right w:val="single" w:sz="8" w:space="0" w:color="auto"/>
            </w:tcBorders>
            <w:tcMar>
              <w:left w:w="115" w:type="dxa"/>
              <w:right w:w="115" w:type="dxa"/>
            </w:tcMar>
          </w:tcPr>
          <w:p w:rsidR="00FE4B48" w:rsidRPr="001D6512" w:rsidRDefault="00FE4B48" w:rsidP="00C3606E">
            <w:pPr>
              <w:pStyle w:val="TableCell"/>
              <w:keepNext w:val="0"/>
              <w:spacing w:before="40" w:after="40" w:line="240" w:lineRule="auto"/>
              <w:rPr>
                <w:rFonts w:cs="Arial"/>
                <w:szCs w:val="18"/>
              </w:rPr>
            </w:pPr>
            <w:r w:rsidRPr="001D6512">
              <w:rPr>
                <w:rFonts w:cs="Arial"/>
                <w:szCs w:val="18"/>
              </w:rPr>
              <w:t>11.2 EER</w:t>
            </w:r>
          </w:p>
        </w:tc>
        <w:tc>
          <w:tcPr>
            <w:tcW w:w="778" w:type="pct"/>
            <w:tcBorders>
              <w:top w:val="single" w:sz="8" w:space="0" w:color="auto"/>
              <w:left w:val="single" w:sz="8" w:space="0" w:color="auto"/>
              <w:bottom w:val="single" w:sz="8" w:space="0" w:color="auto"/>
              <w:right w:val="single" w:sz="8" w:space="0" w:color="auto"/>
            </w:tcBorders>
          </w:tcPr>
          <w:p w:rsidR="00FE4B48" w:rsidRPr="001D6512" w:rsidRDefault="00FE4B48" w:rsidP="00C3606E">
            <w:pPr>
              <w:pStyle w:val="TableCell"/>
              <w:keepNext w:val="0"/>
              <w:spacing w:before="40" w:after="40" w:line="240" w:lineRule="auto"/>
              <w:rPr>
                <w:rFonts w:cs="Arial"/>
                <w:szCs w:val="18"/>
              </w:rPr>
            </w:pPr>
            <w:r w:rsidRPr="001D6512">
              <w:rPr>
                <w:rFonts w:cs="Arial"/>
                <w:szCs w:val="18"/>
              </w:rPr>
              <w:t>4.2 COP</w:t>
            </w:r>
          </w:p>
        </w:tc>
      </w:tr>
      <w:tr w:rsidR="004E5848" w:rsidRPr="00064E44" w:rsidTr="008075FC">
        <w:trPr>
          <w:trHeight w:val="288"/>
          <w:jc w:val="center"/>
        </w:trPr>
        <w:tc>
          <w:tcPr>
            <w:tcW w:w="1890"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1D6512" w:rsidRDefault="00FE4B48" w:rsidP="008075FC">
            <w:pPr>
              <w:pStyle w:val="TableCell"/>
              <w:keepNext w:val="0"/>
              <w:spacing w:before="40" w:after="40" w:line="240" w:lineRule="auto"/>
              <w:rPr>
                <w:rFonts w:cs="Arial"/>
                <w:szCs w:val="18"/>
              </w:rPr>
            </w:pPr>
            <w:r w:rsidRPr="001D6512">
              <w:rPr>
                <w:rFonts w:cs="Arial"/>
                <w:szCs w:val="18"/>
                <w:u w:val="single"/>
              </w:rPr>
              <w:t>&gt;</w:t>
            </w:r>
            <w:r w:rsidRPr="001D6512">
              <w:rPr>
                <w:rFonts w:cs="Arial"/>
                <w:szCs w:val="18"/>
              </w:rPr>
              <w:t xml:space="preserve"> </w:t>
            </w:r>
            <w:r w:rsidR="008075FC" w:rsidRPr="001D6512">
              <w:rPr>
                <w:rFonts w:cs="Arial"/>
                <w:szCs w:val="18"/>
              </w:rPr>
              <w:t>17,000 BtuH</w:t>
            </w:r>
            <w:r w:rsidRPr="001D6512">
              <w:rPr>
                <w:rFonts w:cs="Arial"/>
                <w:szCs w:val="18"/>
              </w:rPr>
              <w:t xml:space="preserve"> and </w:t>
            </w:r>
            <w:r w:rsidRPr="001D6512">
              <w:rPr>
                <w:rFonts w:cs="Arial"/>
                <w:szCs w:val="18"/>
                <w:u w:val="single"/>
              </w:rPr>
              <w:t>&lt;</w:t>
            </w:r>
            <w:r w:rsidRPr="001D6512">
              <w:rPr>
                <w:rFonts w:cs="Arial"/>
                <w:szCs w:val="18"/>
              </w:rPr>
              <w:t xml:space="preserve"> </w:t>
            </w:r>
            <w:r w:rsidR="008075FC" w:rsidRPr="001D6512">
              <w:rPr>
                <w:rFonts w:cs="Arial"/>
                <w:szCs w:val="18"/>
              </w:rPr>
              <w:t>65,000 BtuH</w:t>
            </w:r>
          </w:p>
        </w:tc>
        <w:tc>
          <w:tcPr>
            <w:tcW w:w="777" w:type="pct"/>
            <w:tcBorders>
              <w:top w:val="single" w:sz="8" w:space="0" w:color="auto"/>
              <w:left w:val="nil"/>
              <w:bottom w:val="single" w:sz="8" w:space="0" w:color="auto"/>
              <w:right w:val="single" w:sz="8" w:space="0" w:color="auto"/>
            </w:tcBorders>
          </w:tcPr>
          <w:p w:rsidR="00FE4B48" w:rsidRPr="001D6512" w:rsidRDefault="003A40FA" w:rsidP="00C3606E">
            <w:pPr>
              <w:pStyle w:val="TableCell"/>
              <w:keepNext w:val="0"/>
              <w:spacing w:before="40" w:after="40" w:line="240" w:lineRule="auto"/>
              <w:rPr>
                <w:rFonts w:cs="Arial"/>
                <w:szCs w:val="18"/>
              </w:rPr>
            </w:pPr>
            <w:r w:rsidRPr="001D6512">
              <w:rPr>
                <w:rFonts w:cs="Arial"/>
                <w:szCs w:val="18"/>
              </w:rPr>
              <w:t>12.0 EER</w:t>
            </w:r>
          </w:p>
        </w:tc>
        <w:tc>
          <w:tcPr>
            <w:tcW w:w="778" w:type="pct"/>
            <w:tcBorders>
              <w:top w:val="single" w:sz="8" w:space="0" w:color="auto"/>
              <w:left w:val="single" w:sz="8" w:space="0" w:color="auto"/>
              <w:bottom w:val="single" w:sz="8" w:space="0" w:color="auto"/>
              <w:right w:val="single" w:sz="8" w:space="0" w:color="auto"/>
            </w:tcBorders>
          </w:tcPr>
          <w:p w:rsidR="00FE4B48" w:rsidRPr="001D6512" w:rsidRDefault="003A40FA" w:rsidP="00C3606E">
            <w:pPr>
              <w:pStyle w:val="TableCell"/>
              <w:keepNext w:val="0"/>
              <w:spacing w:before="40" w:after="40" w:line="240" w:lineRule="auto"/>
              <w:rPr>
                <w:rFonts w:cs="Arial"/>
                <w:szCs w:val="18"/>
              </w:rPr>
            </w:pPr>
            <w:r w:rsidRPr="001D6512">
              <w:rPr>
                <w:rFonts w:cs="Arial"/>
                <w:szCs w:val="18"/>
              </w:rPr>
              <w:t>4.2 COP</w:t>
            </w:r>
          </w:p>
        </w:tc>
        <w:tc>
          <w:tcPr>
            <w:tcW w:w="777" w:type="pct"/>
            <w:tcBorders>
              <w:top w:val="single" w:sz="8" w:space="0" w:color="auto"/>
              <w:left w:val="single" w:sz="8" w:space="0" w:color="auto"/>
              <w:bottom w:val="single" w:sz="8" w:space="0" w:color="auto"/>
              <w:right w:val="single" w:sz="8" w:space="0" w:color="auto"/>
            </w:tcBorders>
            <w:tcMar>
              <w:left w:w="115" w:type="dxa"/>
              <w:right w:w="115" w:type="dxa"/>
            </w:tcMar>
          </w:tcPr>
          <w:p w:rsidR="00FE4B48" w:rsidRPr="001D6512" w:rsidRDefault="00FE4B48" w:rsidP="00C3606E">
            <w:pPr>
              <w:pStyle w:val="TableCell"/>
              <w:keepNext w:val="0"/>
              <w:spacing w:before="40" w:after="40" w:line="240" w:lineRule="auto"/>
              <w:rPr>
                <w:rFonts w:cs="Arial"/>
                <w:szCs w:val="18"/>
              </w:rPr>
            </w:pPr>
            <w:r w:rsidRPr="001D6512">
              <w:rPr>
                <w:rFonts w:cs="Arial"/>
                <w:szCs w:val="18"/>
              </w:rPr>
              <w:t>12.0 EER</w:t>
            </w:r>
          </w:p>
        </w:tc>
        <w:tc>
          <w:tcPr>
            <w:tcW w:w="778" w:type="pct"/>
            <w:tcBorders>
              <w:top w:val="single" w:sz="8" w:space="0" w:color="auto"/>
              <w:left w:val="single" w:sz="8" w:space="0" w:color="auto"/>
              <w:bottom w:val="single" w:sz="8" w:space="0" w:color="auto"/>
              <w:right w:val="single" w:sz="8" w:space="0" w:color="auto"/>
            </w:tcBorders>
          </w:tcPr>
          <w:p w:rsidR="00FE4B48" w:rsidRPr="001D6512" w:rsidRDefault="00FE4B48" w:rsidP="00C3606E">
            <w:pPr>
              <w:pStyle w:val="TableCell"/>
              <w:keepNext w:val="0"/>
              <w:spacing w:before="40" w:after="40" w:line="240" w:lineRule="auto"/>
              <w:rPr>
                <w:rFonts w:cs="Arial"/>
                <w:szCs w:val="18"/>
              </w:rPr>
            </w:pPr>
            <w:r w:rsidRPr="001D6512">
              <w:rPr>
                <w:rFonts w:cs="Arial"/>
                <w:szCs w:val="18"/>
              </w:rPr>
              <w:t>4.2 COP</w:t>
            </w:r>
          </w:p>
        </w:tc>
      </w:tr>
      <w:tr w:rsidR="00FE4B48" w:rsidRPr="00064E44" w:rsidTr="00FE4B48">
        <w:trPr>
          <w:trHeight w:val="288"/>
          <w:jc w:val="center"/>
        </w:trPr>
        <w:tc>
          <w:tcPr>
            <w:tcW w:w="5000" w:type="pct"/>
            <w:gridSpan w:val="5"/>
            <w:tcBorders>
              <w:top w:val="single" w:sz="8" w:space="0" w:color="auto"/>
              <w:left w:val="single" w:sz="8" w:space="0" w:color="auto"/>
              <w:bottom w:val="single" w:sz="8" w:space="0" w:color="auto"/>
              <w:right w:val="single" w:sz="8" w:space="0" w:color="auto"/>
            </w:tcBorders>
            <w:shd w:val="clear" w:color="000000" w:fill="D8D8D8"/>
            <w:tcMar>
              <w:left w:w="115" w:type="dxa"/>
              <w:right w:w="115" w:type="dxa"/>
            </w:tcMar>
          </w:tcPr>
          <w:p w:rsidR="00FE4B48" w:rsidRPr="001D6512" w:rsidRDefault="00FE4B48" w:rsidP="00C3606E">
            <w:pPr>
              <w:pStyle w:val="TableCell"/>
              <w:keepNext w:val="0"/>
              <w:spacing w:before="40" w:after="40" w:line="240" w:lineRule="auto"/>
              <w:rPr>
                <w:rFonts w:cs="Arial"/>
                <w:szCs w:val="18"/>
              </w:rPr>
            </w:pPr>
            <w:r w:rsidRPr="001D6512">
              <w:rPr>
                <w:rFonts w:cs="Arial"/>
                <w:szCs w:val="18"/>
              </w:rPr>
              <w:t xml:space="preserve">Ground Water Source Heat Pumps </w:t>
            </w:r>
          </w:p>
        </w:tc>
      </w:tr>
      <w:tr w:rsidR="004E5848" w:rsidRPr="00064E44" w:rsidTr="008075FC">
        <w:trPr>
          <w:trHeight w:val="288"/>
          <w:jc w:val="center"/>
        </w:trPr>
        <w:tc>
          <w:tcPr>
            <w:tcW w:w="1890" w:type="pct"/>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rsidR="00FE4B48" w:rsidRPr="001D6512" w:rsidRDefault="00FE4B48" w:rsidP="008075FC">
            <w:pPr>
              <w:pStyle w:val="TableCell"/>
              <w:keepNext w:val="0"/>
              <w:spacing w:before="40" w:after="40" w:line="240" w:lineRule="auto"/>
              <w:rPr>
                <w:rFonts w:cs="Arial"/>
                <w:szCs w:val="18"/>
              </w:rPr>
            </w:pPr>
            <w:r w:rsidRPr="001D6512">
              <w:rPr>
                <w:rFonts w:cs="Arial"/>
                <w:szCs w:val="18"/>
              </w:rPr>
              <w:t>&lt; 1</w:t>
            </w:r>
            <w:r w:rsidR="008075FC" w:rsidRPr="001D6512">
              <w:rPr>
                <w:rFonts w:cs="Arial"/>
                <w:szCs w:val="18"/>
              </w:rPr>
              <w:t>35,000 BtuH</w:t>
            </w:r>
          </w:p>
        </w:tc>
        <w:tc>
          <w:tcPr>
            <w:tcW w:w="777" w:type="pct"/>
            <w:tcBorders>
              <w:top w:val="single" w:sz="8" w:space="0" w:color="auto"/>
              <w:left w:val="single" w:sz="8" w:space="0" w:color="auto"/>
              <w:bottom w:val="single" w:sz="8" w:space="0" w:color="auto"/>
              <w:right w:val="single" w:sz="8" w:space="0" w:color="auto"/>
            </w:tcBorders>
          </w:tcPr>
          <w:p w:rsidR="00FE4B48" w:rsidRPr="001D6512" w:rsidRDefault="003A40FA" w:rsidP="00C3606E">
            <w:pPr>
              <w:pStyle w:val="TableCell"/>
              <w:keepNext w:val="0"/>
              <w:spacing w:before="40" w:after="40" w:line="240" w:lineRule="auto"/>
              <w:rPr>
                <w:rFonts w:cs="Arial"/>
                <w:szCs w:val="18"/>
              </w:rPr>
            </w:pPr>
            <w:r w:rsidRPr="001D6512">
              <w:rPr>
                <w:rFonts w:cs="Arial"/>
                <w:szCs w:val="18"/>
              </w:rPr>
              <w:t>16.2 EER</w:t>
            </w:r>
          </w:p>
        </w:tc>
        <w:tc>
          <w:tcPr>
            <w:tcW w:w="778" w:type="pct"/>
            <w:tcBorders>
              <w:top w:val="single" w:sz="8" w:space="0" w:color="auto"/>
              <w:left w:val="single" w:sz="8" w:space="0" w:color="auto"/>
              <w:bottom w:val="single" w:sz="8" w:space="0" w:color="auto"/>
              <w:right w:val="single" w:sz="8" w:space="0" w:color="auto"/>
            </w:tcBorders>
          </w:tcPr>
          <w:p w:rsidR="00FE4B48" w:rsidRPr="001D6512" w:rsidRDefault="003A40FA" w:rsidP="00C3606E">
            <w:pPr>
              <w:pStyle w:val="TableCell"/>
              <w:keepNext w:val="0"/>
              <w:spacing w:before="40" w:after="40" w:line="240" w:lineRule="auto"/>
              <w:rPr>
                <w:rFonts w:cs="Arial"/>
                <w:szCs w:val="18"/>
              </w:rPr>
            </w:pPr>
            <w:r w:rsidRPr="001D6512">
              <w:rPr>
                <w:rFonts w:cs="Arial"/>
                <w:szCs w:val="18"/>
              </w:rPr>
              <w:t>3.6 COP</w:t>
            </w:r>
          </w:p>
        </w:tc>
        <w:tc>
          <w:tcPr>
            <w:tcW w:w="777" w:type="pct"/>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rsidR="00FE4B48" w:rsidRPr="001D6512" w:rsidRDefault="00FE4B48" w:rsidP="00C3606E">
            <w:pPr>
              <w:pStyle w:val="TableCell"/>
              <w:keepNext w:val="0"/>
              <w:spacing w:before="40" w:after="40" w:line="240" w:lineRule="auto"/>
              <w:rPr>
                <w:rFonts w:cs="Arial"/>
                <w:szCs w:val="18"/>
              </w:rPr>
            </w:pPr>
            <w:r w:rsidRPr="001D6512">
              <w:rPr>
                <w:rFonts w:cs="Arial"/>
                <w:szCs w:val="18"/>
              </w:rPr>
              <w:t>16.2 EER</w:t>
            </w:r>
          </w:p>
        </w:tc>
        <w:tc>
          <w:tcPr>
            <w:tcW w:w="778" w:type="pct"/>
            <w:tcBorders>
              <w:top w:val="single" w:sz="8" w:space="0" w:color="auto"/>
              <w:left w:val="single" w:sz="8" w:space="0" w:color="auto"/>
              <w:bottom w:val="single" w:sz="8" w:space="0" w:color="auto"/>
              <w:right w:val="single" w:sz="8" w:space="0" w:color="auto"/>
            </w:tcBorders>
            <w:shd w:val="clear" w:color="auto" w:fill="auto"/>
          </w:tcPr>
          <w:p w:rsidR="00FE4B48" w:rsidRPr="001D6512" w:rsidRDefault="00FE4B48" w:rsidP="00C3606E">
            <w:pPr>
              <w:pStyle w:val="TableCell"/>
              <w:keepNext w:val="0"/>
              <w:spacing w:before="40" w:after="40" w:line="240" w:lineRule="auto"/>
              <w:rPr>
                <w:rFonts w:cs="Arial"/>
                <w:szCs w:val="18"/>
              </w:rPr>
            </w:pPr>
            <w:r w:rsidRPr="001D6512">
              <w:rPr>
                <w:rFonts w:cs="Arial"/>
                <w:szCs w:val="18"/>
              </w:rPr>
              <w:t>3.6 COP</w:t>
            </w:r>
          </w:p>
        </w:tc>
      </w:tr>
      <w:tr w:rsidR="00FE4B48" w:rsidRPr="00064E44" w:rsidTr="00FE4B48">
        <w:trPr>
          <w:trHeight w:val="288"/>
          <w:jc w:val="center"/>
        </w:trPr>
        <w:tc>
          <w:tcPr>
            <w:tcW w:w="5000" w:type="pct"/>
            <w:gridSpan w:val="5"/>
            <w:tcBorders>
              <w:top w:val="single" w:sz="8" w:space="0" w:color="auto"/>
              <w:left w:val="single" w:sz="8" w:space="0" w:color="auto"/>
              <w:bottom w:val="single" w:sz="8" w:space="0" w:color="auto"/>
              <w:right w:val="single" w:sz="8" w:space="0" w:color="auto"/>
            </w:tcBorders>
            <w:shd w:val="clear" w:color="000000" w:fill="D8D8D8"/>
            <w:tcMar>
              <w:left w:w="115" w:type="dxa"/>
              <w:right w:w="115" w:type="dxa"/>
            </w:tcMar>
          </w:tcPr>
          <w:p w:rsidR="00FE4B48" w:rsidRPr="001D6512" w:rsidRDefault="00FE4B48" w:rsidP="00C3606E">
            <w:pPr>
              <w:pStyle w:val="TableCell"/>
              <w:keepNext w:val="0"/>
              <w:spacing w:before="40" w:after="40" w:line="240" w:lineRule="auto"/>
              <w:rPr>
                <w:rFonts w:cs="Arial"/>
                <w:szCs w:val="18"/>
              </w:rPr>
            </w:pPr>
            <w:r w:rsidRPr="001D6512">
              <w:rPr>
                <w:rFonts w:cs="Arial"/>
                <w:szCs w:val="18"/>
              </w:rPr>
              <w:t xml:space="preserve">Ground Source Heat Pumps </w:t>
            </w:r>
          </w:p>
        </w:tc>
      </w:tr>
      <w:tr w:rsidR="004E5848" w:rsidRPr="00064E44" w:rsidTr="008075FC">
        <w:trPr>
          <w:trHeight w:val="288"/>
          <w:jc w:val="center"/>
        </w:trPr>
        <w:tc>
          <w:tcPr>
            <w:tcW w:w="1890"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1D6512" w:rsidRDefault="008075FC" w:rsidP="00C3606E">
            <w:pPr>
              <w:pStyle w:val="TableCell"/>
              <w:keepNext w:val="0"/>
              <w:spacing w:before="40" w:after="40" w:line="240" w:lineRule="auto"/>
              <w:rPr>
                <w:rFonts w:cs="Arial"/>
                <w:szCs w:val="18"/>
              </w:rPr>
            </w:pPr>
            <w:r w:rsidRPr="001D6512">
              <w:rPr>
                <w:rFonts w:cs="Arial"/>
                <w:szCs w:val="18"/>
              </w:rPr>
              <w:t>&lt; 135,000 BtuH</w:t>
            </w:r>
          </w:p>
        </w:tc>
        <w:tc>
          <w:tcPr>
            <w:tcW w:w="777" w:type="pct"/>
            <w:tcBorders>
              <w:top w:val="single" w:sz="8" w:space="0" w:color="auto"/>
              <w:left w:val="single" w:sz="8" w:space="0" w:color="auto"/>
              <w:bottom w:val="single" w:sz="8" w:space="0" w:color="auto"/>
              <w:right w:val="single" w:sz="8" w:space="0" w:color="auto"/>
            </w:tcBorders>
          </w:tcPr>
          <w:p w:rsidR="00FE4B48" w:rsidRPr="001D6512" w:rsidRDefault="003A40FA" w:rsidP="00C3606E">
            <w:pPr>
              <w:pStyle w:val="TableCell"/>
              <w:keepNext w:val="0"/>
              <w:spacing w:before="40" w:after="40" w:line="240" w:lineRule="auto"/>
              <w:rPr>
                <w:rFonts w:cs="Arial"/>
                <w:szCs w:val="18"/>
              </w:rPr>
            </w:pPr>
            <w:r w:rsidRPr="001D6512">
              <w:rPr>
                <w:rFonts w:cs="Arial"/>
                <w:szCs w:val="18"/>
              </w:rPr>
              <w:t>13.4 EER</w:t>
            </w:r>
          </w:p>
        </w:tc>
        <w:tc>
          <w:tcPr>
            <w:tcW w:w="778" w:type="pct"/>
            <w:tcBorders>
              <w:top w:val="single" w:sz="8" w:space="0" w:color="auto"/>
              <w:left w:val="single" w:sz="8" w:space="0" w:color="auto"/>
              <w:bottom w:val="single" w:sz="8" w:space="0" w:color="auto"/>
              <w:right w:val="single" w:sz="8" w:space="0" w:color="auto"/>
            </w:tcBorders>
          </w:tcPr>
          <w:p w:rsidR="00FE4B48" w:rsidRPr="001D6512" w:rsidRDefault="003A40FA" w:rsidP="00C3606E">
            <w:pPr>
              <w:pStyle w:val="TableCell"/>
              <w:keepNext w:val="0"/>
              <w:spacing w:before="40" w:after="40" w:line="240" w:lineRule="auto"/>
              <w:rPr>
                <w:rFonts w:cs="Arial"/>
                <w:szCs w:val="18"/>
              </w:rPr>
            </w:pPr>
            <w:r w:rsidRPr="001D6512">
              <w:rPr>
                <w:rFonts w:cs="Arial"/>
                <w:szCs w:val="18"/>
              </w:rPr>
              <w:t>3.1 COP</w:t>
            </w:r>
          </w:p>
        </w:tc>
        <w:tc>
          <w:tcPr>
            <w:tcW w:w="777" w:type="pct"/>
            <w:tcBorders>
              <w:top w:val="single" w:sz="8" w:space="0" w:color="auto"/>
              <w:left w:val="single" w:sz="8" w:space="0" w:color="auto"/>
              <w:bottom w:val="single" w:sz="8" w:space="0" w:color="auto"/>
              <w:right w:val="single" w:sz="8" w:space="0" w:color="auto"/>
            </w:tcBorders>
            <w:tcMar>
              <w:left w:w="115" w:type="dxa"/>
              <w:right w:w="115" w:type="dxa"/>
            </w:tcMar>
          </w:tcPr>
          <w:p w:rsidR="00FE4B48" w:rsidRPr="001D6512" w:rsidRDefault="00FE4B48" w:rsidP="00C3606E">
            <w:pPr>
              <w:pStyle w:val="TableCell"/>
              <w:keepNext w:val="0"/>
              <w:spacing w:before="40" w:after="40" w:line="240" w:lineRule="auto"/>
              <w:rPr>
                <w:rFonts w:cs="Arial"/>
                <w:szCs w:val="18"/>
              </w:rPr>
            </w:pPr>
            <w:r w:rsidRPr="001D6512">
              <w:rPr>
                <w:rFonts w:cs="Arial"/>
                <w:szCs w:val="18"/>
              </w:rPr>
              <w:t>13.4 EER</w:t>
            </w:r>
          </w:p>
        </w:tc>
        <w:tc>
          <w:tcPr>
            <w:tcW w:w="778" w:type="pct"/>
            <w:tcBorders>
              <w:top w:val="single" w:sz="8" w:space="0" w:color="auto"/>
              <w:left w:val="single" w:sz="8" w:space="0" w:color="auto"/>
              <w:bottom w:val="single" w:sz="8" w:space="0" w:color="auto"/>
              <w:right w:val="single" w:sz="8" w:space="0" w:color="auto"/>
            </w:tcBorders>
          </w:tcPr>
          <w:p w:rsidR="00FE4B48" w:rsidRPr="001D6512" w:rsidRDefault="00FE4B48" w:rsidP="00C3606E">
            <w:pPr>
              <w:pStyle w:val="TableCell"/>
              <w:keepNext w:val="0"/>
              <w:spacing w:before="40" w:after="40" w:line="240" w:lineRule="auto"/>
              <w:rPr>
                <w:rFonts w:cs="Arial"/>
                <w:szCs w:val="18"/>
              </w:rPr>
            </w:pPr>
            <w:r w:rsidRPr="001D6512">
              <w:rPr>
                <w:rFonts w:cs="Arial"/>
                <w:szCs w:val="18"/>
              </w:rPr>
              <w:t>3.1 COP</w:t>
            </w:r>
          </w:p>
        </w:tc>
      </w:tr>
      <w:tr w:rsidR="00FE4B48" w:rsidRPr="00064E44" w:rsidTr="00FE4B48">
        <w:trPr>
          <w:trHeight w:val="288"/>
          <w:jc w:val="center"/>
        </w:trPr>
        <w:tc>
          <w:tcPr>
            <w:tcW w:w="5000" w:type="pct"/>
            <w:gridSpan w:val="5"/>
            <w:tcBorders>
              <w:top w:val="single" w:sz="8" w:space="0" w:color="auto"/>
              <w:left w:val="single" w:sz="8" w:space="0" w:color="auto"/>
              <w:bottom w:val="single" w:sz="8" w:space="0" w:color="auto"/>
              <w:right w:val="single" w:sz="8" w:space="0" w:color="auto"/>
            </w:tcBorders>
            <w:shd w:val="clear" w:color="000000" w:fill="D8D8D8"/>
            <w:tcMar>
              <w:left w:w="115" w:type="dxa"/>
              <w:right w:w="115" w:type="dxa"/>
            </w:tcMar>
          </w:tcPr>
          <w:p w:rsidR="00FE4B48" w:rsidRPr="001D6512" w:rsidRDefault="00FE4B48" w:rsidP="00C3606E">
            <w:pPr>
              <w:pStyle w:val="TableCell"/>
              <w:spacing w:before="40" w:after="40" w:line="240" w:lineRule="auto"/>
              <w:rPr>
                <w:rFonts w:cs="Arial"/>
                <w:szCs w:val="18"/>
              </w:rPr>
            </w:pPr>
            <w:r w:rsidRPr="001D6512">
              <w:rPr>
                <w:rFonts w:cs="Arial"/>
                <w:szCs w:val="18"/>
              </w:rPr>
              <w:t xml:space="preserve">Packaged Terminal Systems </w:t>
            </w:r>
          </w:p>
        </w:tc>
      </w:tr>
      <w:tr w:rsidR="004E5848" w:rsidRPr="00064E44" w:rsidTr="008075FC">
        <w:trPr>
          <w:trHeight w:val="288"/>
          <w:jc w:val="center"/>
        </w:trPr>
        <w:tc>
          <w:tcPr>
            <w:tcW w:w="1890"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1D6512" w:rsidRDefault="00FE4B48" w:rsidP="00C3606E">
            <w:pPr>
              <w:pStyle w:val="TableCell"/>
              <w:spacing w:before="40" w:after="40" w:line="240" w:lineRule="auto"/>
              <w:rPr>
                <w:rFonts w:cs="Arial"/>
                <w:szCs w:val="18"/>
              </w:rPr>
            </w:pPr>
            <w:r w:rsidRPr="001D6512">
              <w:rPr>
                <w:rFonts w:cs="Arial"/>
                <w:szCs w:val="18"/>
              </w:rPr>
              <w:t>PTAC</w:t>
            </w:r>
            <w:r w:rsidR="004E5848" w:rsidRPr="001D6512">
              <w:rPr>
                <w:rFonts w:cs="Arial"/>
                <w:szCs w:val="18"/>
              </w:rPr>
              <w:t xml:space="preserve"> (cooling)</w:t>
            </w:r>
          </w:p>
        </w:tc>
        <w:tc>
          <w:tcPr>
            <w:tcW w:w="777" w:type="pct"/>
            <w:tcBorders>
              <w:top w:val="single" w:sz="8" w:space="0" w:color="auto"/>
              <w:left w:val="single" w:sz="8" w:space="0" w:color="auto"/>
              <w:bottom w:val="single" w:sz="8" w:space="0" w:color="auto"/>
              <w:right w:val="single" w:sz="8" w:space="0" w:color="auto"/>
            </w:tcBorders>
          </w:tcPr>
          <w:p w:rsidR="00FE4B48" w:rsidRPr="001D6512" w:rsidRDefault="003A40FA" w:rsidP="00FC60CE">
            <w:pPr>
              <w:pStyle w:val="TableCell"/>
              <w:spacing w:before="40" w:after="40" w:line="240" w:lineRule="auto"/>
              <w:rPr>
                <w:rFonts w:cs="Arial"/>
                <w:szCs w:val="18"/>
              </w:rPr>
            </w:pPr>
            <w:r w:rsidRPr="001D6512">
              <w:rPr>
                <w:rFonts w:cs="Arial"/>
                <w:szCs w:val="18"/>
              </w:rPr>
              <w:t>10.9 - (0.213 x Cap / 1000) EER</w:t>
            </w:r>
          </w:p>
        </w:tc>
        <w:tc>
          <w:tcPr>
            <w:tcW w:w="778" w:type="pct"/>
            <w:tcBorders>
              <w:top w:val="single" w:sz="8" w:space="0" w:color="auto"/>
              <w:left w:val="single" w:sz="8" w:space="0" w:color="auto"/>
              <w:bottom w:val="single" w:sz="8" w:space="0" w:color="auto"/>
              <w:right w:val="single" w:sz="8" w:space="0" w:color="auto"/>
            </w:tcBorders>
          </w:tcPr>
          <w:p w:rsidR="00FE4B48" w:rsidRPr="001D6512" w:rsidRDefault="003A40FA" w:rsidP="00C3606E">
            <w:pPr>
              <w:pStyle w:val="TableCell"/>
              <w:spacing w:before="40" w:after="40" w:line="240" w:lineRule="auto"/>
              <w:rPr>
                <w:rFonts w:cs="Arial"/>
                <w:szCs w:val="18"/>
              </w:rPr>
            </w:pPr>
            <w:r w:rsidRPr="001D6512">
              <w:rPr>
                <w:rFonts w:cs="Arial"/>
                <w:szCs w:val="18"/>
              </w:rPr>
              <w:t>N/A</w:t>
            </w:r>
          </w:p>
        </w:tc>
        <w:tc>
          <w:tcPr>
            <w:tcW w:w="777" w:type="pct"/>
            <w:tcBorders>
              <w:top w:val="single" w:sz="8" w:space="0" w:color="auto"/>
              <w:left w:val="single" w:sz="8" w:space="0" w:color="auto"/>
              <w:bottom w:val="single" w:sz="8" w:space="0" w:color="auto"/>
              <w:right w:val="single" w:sz="8" w:space="0" w:color="auto"/>
            </w:tcBorders>
            <w:tcMar>
              <w:left w:w="115" w:type="dxa"/>
              <w:right w:w="115" w:type="dxa"/>
            </w:tcMar>
          </w:tcPr>
          <w:p w:rsidR="00FE4B48" w:rsidRPr="001D6512" w:rsidRDefault="00FE4B48" w:rsidP="00FC60CE">
            <w:pPr>
              <w:pStyle w:val="TableCell"/>
              <w:spacing w:before="40" w:after="40" w:line="240" w:lineRule="auto"/>
              <w:rPr>
                <w:rFonts w:cs="Arial"/>
                <w:szCs w:val="18"/>
              </w:rPr>
            </w:pPr>
            <w:r w:rsidRPr="001D6512">
              <w:rPr>
                <w:rFonts w:cs="Arial"/>
                <w:szCs w:val="18"/>
              </w:rPr>
              <w:t>1</w:t>
            </w:r>
            <w:r w:rsidR="004E5848" w:rsidRPr="001D6512">
              <w:rPr>
                <w:rFonts w:cs="Arial"/>
                <w:szCs w:val="18"/>
              </w:rPr>
              <w:t>2.5</w:t>
            </w:r>
            <w:r w:rsidRPr="001D6512">
              <w:rPr>
                <w:rFonts w:cs="Arial"/>
                <w:szCs w:val="18"/>
              </w:rPr>
              <w:t xml:space="preserve"> - (0.213 x Cap / 1000) EER</w:t>
            </w:r>
          </w:p>
        </w:tc>
        <w:tc>
          <w:tcPr>
            <w:tcW w:w="778" w:type="pct"/>
            <w:tcBorders>
              <w:top w:val="single" w:sz="8" w:space="0" w:color="auto"/>
              <w:left w:val="single" w:sz="8" w:space="0" w:color="auto"/>
              <w:bottom w:val="single" w:sz="8" w:space="0" w:color="auto"/>
              <w:right w:val="single" w:sz="8" w:space="0" w:color="auto"/>
            </w:tcBorders>
          </w:tcPr>
          <w:p w:rsidR="00FE4B48" w:rsidRPr="001D6512" w:rsidRDefault="003A40FA" w:rsidP="00C3606E">
            <w:pPr>
              <w:pStyle w:val="TableCell"/>
              <w:spacing w:before="40" w:after="40" w:line="240" w:lineRule="auto"/>
              <w:rPr>
                <w:rFonts w:cs="Arial"/>
                <w:szCs w:val="18"/>
              </w:rPr>
            </w:pPr>
            <w:r w:rsidRPr="001D6512">
              <w:rPr>
                <w:rFonts w:cs="Arial"/>
                <w:szCs w:val="18"/>
              </w:rPr>
              <w:t>N/A</w:t>
            </w:r>
          </w:p>
        </w:tc>
      </w:tr>
      <w:tr w:rsidR="004E5848" w:rsidRPr="00064E44" w:rsidTr="008075FC">
        <w:trPr>
          <w:trHeight w:val="288"/>
          <w:jc w:val="center"/>
        </w:trPr>
        <w:tc>
          <w:tcPr>
            <w:tcW w:w="1890"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FE4B48" w:rsidRPr="001D6512" w:rsidRDefault="00FE4B48" w:rsidP="00C3606E">
            <w:pPr>
              <w:pStyle w:val="TableCell"/>
              <w:spacing w:before="40" w:after="40" w:line="240" w:lineRule="auto"/>
              <w:rPr>
                <w:rFonts w:cs="Arial"/>
                <w:szCs w:val="18"/>
              </w:rPr>
            </w:pPr>
            <w:r w:rsidRPr="001D6512">
              <w:rPr>
                <w:rFonts w:cs="Arial"/>
                <w:szCs w:val="18"/>
              </w:rPr>
              <w:t xml:space="preserve">PTHP </w:t>
            </w:r>
          </w:p>
        </w:tc>
        <w:tc>
          <w:tcPr>
            <w:tcW w:w="777" w:type="pct"/>
            <w:tcBorders>
              <w:top w:val="single" w:sz="8" w:space="0" w:color="auto"/>
              <w:left w:val="single" w:sz="8" w:space="0" w:color="auto"/>
              <w:bottom w:val="single" w:sz="8" w:space="0" w:color="auto"/>
              <w:right w:val="single" w:sz="8" w:space="0" w:color="auto"/>
            </w:tcBorders>
          </w:tcPr>
          <w:p w:rsidR="00FE4B48" w:rsidRPr="001D6512" w:rsidRDefault="003A40FA" w:rsidP="00FC60CE">
            <w:pPr>
              <w:pStyle w:val="TableCell"/>
              <w:spacing w:before="40" w:after="40" w:line="240" w:lineRule="auto"/>
              <w:rPr>
                <w:rFonts w:cs="Arial"/>
                <w:szCs w:val="18"/>
              </w:rPr>
            </w:pPr>
            <w:r w:rsidRPr="001D6512">
              <w:rPr>
                <w:rFonts w:cs="Arial"/>
                <w:szCs w:val="18"/>
              </w:rPr>
              <w:t>10.8 - (0.213 x Cap / 1000) EER</w:t>
            </w:r>
          </w:p>
        </w:tc>
        <w:tc>
          <w:tcPr>
            <w:tcW w:w="778" w:type="pct"/>
            <w:tcBorders>
              <w:top w:val="single" w:sz="8" w:space="0" w:color="auto"/>
              <w:left w:val="single" w:sz="8" w:space="0" w:color="auto"/>
              <w:bottom w:val="single" w:sz="8" w:space="0" w:color="auto"/>
              <w:right w:val="single" w:sz="8" w:space="0" w:color="auto"/>
            </w:tcBorders>
          </w:tcPr>
          <w:p w:rsidR="00FE4B48" w:rsidRPr="001D6512" w:rsidRDefault="003A40FA" w:rsidP="00FC60CE">
            <w:pPr>
              <w:pStyle w:val="TableCell"/>
              <w:spacing w:before="40" w:after="40" w:line="240" w:lineRule="auto"/>
              <w:rPr>
                <w:rFonts w:cs="Arial"/>
                <w:szCs w:val="18"/>
              </w:rPr>
            </w:pPr>
            <w:r w:rsidRPr="001D6512">
              <w:rPr>
                <w:rFonts w:cs="Arial"/>
                <w:szCs w:val="18"/>
              </w:rPr>
              <w:t>2.9 - (0.</w:t>
            </w:r>
            <w:r w:rsidR="004E5848" w:rsidRPr="001D6512">
              <w:rPr>
                <w:rFonts w:cs="Arial"/>
                <w:szCs w:val="18"/>
              </w:rPr>
              <w:t>026</w:t>
            </w:r>
            <w:r w:rsidRPr="001D6512">
              <w:rPr>
                <w:rFonts w:cs="Arial"/>
                <w:szCs w:val="18"/>
              </w:rPr>
              <w:t xml:space="preserve"> x Cap / 1000)</w:t>
            </w:r>
            <w:r w:rsidR="004E5848" w:rsidRPr="001D6512">
              <w:rPr>
                <w:rFonts w:cs="Arial"/>
                <w:szCs w:val="18"/>
              </w:rPr>
              <w:t xml:space="preserve"> </w:t>
            </w:r>
            <w:r w:rsidRPr="001D6512">
              <w:rPr>
                <w:rFonts w:cs="Arial"/>
                <w:szCs w:val="18"/>
              </w:rPr>
              <w:t>COP</w:t>
            </w:r>
          </w:p>
        </w:tc>
        <w:tc>
          <w:tcPr>
            <w:tcW w:w="777" w:type="pct"/>
            <w:tcBorders>
              <w:top w:val="single" w:sz="8" w:space="0" w:color="auto"/>
              <w:left w:val="single" w:sz="8" w:space="0" w:color="auto"/>
              <w:bottom w:val="single" w:sz="8" w:space="0" w:color="auto"/>
              <w:right w:val="single" w:sz="8" w:space="0" w:color="auto"/>
            </w:tcBorders>
            <w:tcMar>
              <w:left w:w="115" w:type="dxa"/>
              <w:right w:w="115" w:type="dxa"/>
            </w:tcMar>
          </w:tcPr>
          <w:p w:rsidR="00FE4B48" w:rsidRPr="001D6512" w:rsidRDefault="00FE4B48" w:rsidP="00FC60CE">
            <w:pPr>
              <w:pStyle w:val="TableCell"/>
              <w:spacing w:before="40" w:after="40" w:line="240" w:lineRule="auto"/>
              <w:rPr>
                <w:rFonts w:cs="Arial"/>
                <w:szCs w:val="18"/>
              </w:rPr>
            </w:pPr>
            <w:r w:rsidRPr="001D6512">
              <w:rPr>
                <w:rFonts w:cs="Arial"/>
                <w:szCs w:val="18"/>
              </w:rPr>
              <w:t>1</w:t>
            </w:r>
            <w:r w:rsidR="004E5848" w:rsidRPr="001D6512">
              <w:rPr>
                <w:rFonts w:cs="Arial"/>
                <w:szCs w:val="18"/>
              </w:rPr>
              <w:t xml:space="preserve">2.3 - (0.213 x Cap / 1000) </w:t>
            </w:r>
            <w:r w:rsidRPr="001D6512">
              <w:rPr>
                <w:rFonts w:cs="Arial"/>
                <w:szCs w:val="18"/>
              </w:rPr>
              <w:t>EER</w:t>
            </w:r>
          </w:p>
        </w:tc>
        <w:tc>
          <w:tcPr>
            <w:tcW w:w="778" w:type="pct"/>
            <w:tcBorders>
              <w:top w:val="single" w:sz="8" w:space="0" w:color="auto"/>
              <w:left w:val="single" w:sz="8" w:space="0" w:color="auto"/>
              <w:bottom w:val="single" w:sz="8" w:space="0" w:color="auto"/>
              <w:right w:val="single" w:sz="8" w:space="0" w:color="auto"/>
            </w:tcBorders>
          </w:tcPr>
          <w:p w:rsidR="00FE4B48" w:rsidRPr="001D6512" w:rsidRDefault="004E5848" w:rsidP="00C3606E">
            <w:pPr>
              <w:pStyle w:val="TableCell"/>
              <w:spacing w:before="40" w:after="40" w:line="240" w:lineRule="auto"/>
              <w:rPr>
                <w:rFonts w:cs="Arial"/>
                <w:szCs w:val="18"/>
              </w:rPr>
            </w:pPr>
            <w:r w:rsidRPr="001D6512">
              <w:rPr>
                <w:rFonts w:cs="Arial"/>
                <w:szCs w:val="18"/>
              </w:rPr>
              <w:t>3.2</w:t>
            </w:r>
            <w:r w:rsidR="00FE4B48" w:rsidRPr="001D6512">
              <w:rPr>
                <w:rFonts w:cs="Arial"/>
                <w:szCs w:val="18"/>
              </w:rPr>
              <w:t xml:space="preserve"> - (0.</w:t>
            </w:r>
            <w:r w:rsidRPr="001D6512">
              <w:rPr>
                <w:rFonts w:cs="Arial"/>
                <w:szCs w:val="18"/>
              </w:rPr>
              <w:t>026</w:t>
            </w:r>
            <w:r w:rsidR="00FE4B48" w:rsidRPr="001D6512">
              <w:rPr>
                <w:rFonts w:cs="Arial"/>
                <w:szCs w:val="18"/>
              </w:rPr>
              <w:t xml:space="preserve"> x Cap / 1000)</w:t>
            </w:r>
            <w:r w:rsidRPr="001D6512">
              <w:rPr>
                <w:rFonts w:cs="Arial"/>
                <w:szCs w:val="18"/>
              </w:rPr>
              <w:t xml:space="preserve"> </w:t>
            </w:r>
            <w:r w:rsidR="00FE4B48" w:rsidRPr="001D6512">
              <w:rPr>
                <w:rFonts w:cs="Arial"/>
                <w:szCs w:val="18"/>
              </w:rPr>
              <w:t>COP</w:t>
            </w:r>
          </w:p>
        </w:tc>
      </w:tr>
    </w:tbl>
    <w:p w:rsidR="00FE4B48" w:rsidRDefault="00FE4B48" w:rsidP="00C3606E">
      <w:pPr>
        <w:rPr>
          <w:rFonts w:cs="Arial"/>
        </w:rPr>
      </w:pPr>
    </w:p>
    <w:p w:rsidR="00CE64A1" w:rsidRPr="009C694C" w:rsidRDefault="00CE64A1" w:rsidP="00B20F6B">
      <w:pPr>
        <w:pStyle w:val="Caption"/>
        <w:rPr>
          <w:rFonts w:ascii="Arial" w:hAnsi="Arial" w:cs="Arial"/>
        </w:rPr>
      </w:pPr>
      <w:bookmarkStart w:id="963" w:name="_Ref274835464"/>
      <w:bookmarkStart w:id="964" w:name="_Toc310875607"/>
      <w:r w:rsidRPr="00B7536A">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55</w:t>
      </w:r>
      <w:r w:rsidR="00274AB1">
        <w:rPr>
          <w:noProof/>
        </w:rPr>
        <w:fldChar w:fldCharType="end"/>
      </w:r>
      <w:bookmarkEnd w:id="963"/>
      <w:r w:rsidRPr="00B7536A">
        <w:t xml:space="preserve">: Cooling EFLH for </w:t>
      </w:r>
      <w:r w:rsidR="008075FC">
        <w:t>Key PA Cities</w:t>
      </w:r>
      <w:r w:rsidRPr="009C694C">
        <w:rPr>
          <w:rStyle w:val="FootnoteReference"/>
          <w:rFonts w:ascii="Arial" w:hAnsi="Arial" w:cs="Arial"/>
        </w:rPr>
        <w:footnoteReference w:id="181"/>
      </w:r>
      <w:bookmarkEnd w:id="9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9"/>
        <w:gridCol w:w="801"/>
        <w:gridCol w:w="801"/>
        <w:gridCol w:w="801"/>
        <w:gridCol w:w="801"/>
        <w:gridCol w:w="801"/>
        <w:gridCol w:w="801"/>
        <w:gridCol w:w="801"/>
      </w:tblGrid>
      <w:tr w:rsidR="008075FC" w:rsidRPr="00861542" w:rsidTr="00352B77">
        <w:trPr>
          <w:cantSplit/>
          <w:trHeight w:hRule="exact" w:val="1296"/>
          <w:tblHeader/>
        </w:trPr>
        <w:tc>
          <w:tcPr>
            <w:tcW w:w="1835" w:type="pct"/>
            <w:shd w:val="clear" w:color="auto" w:fill="BFBFBF"/>
            <w:vAlign w:val="bottom"/>
          </w:tcPr>
          <w:p w:rsidR="008075FC" w:rsidRPr="001D6512" w:rsidRDefault="008075FC" w:rsidP="00352B77">
            <w:pPr>
              <w:pStyle w:val="TableCell"/>
              <w:spacing w:before="60" w:after="60" w:line="240" w:lineRule="auto"/>
              <w:contextualSpacing/>
              <w:rPr>
                <w:rFonts w:cs="Arial"/>
                <w:b/>
                <w:szCs w:val="18"/>
              </w:rPr>
            </w:pPr>
            <w:r w:rsidRPr="001D6512">
              <w:rPr>
                <w:rFonts w:cs="Arial"/>
                <w:b/>
                <w:szCs w:val="18"/>
              </w:rPr>
              <w:t>Space and/or Building Type</w:t>
            </w:r>
          </w:p>
        </w:tc>
        <w:tc>
          <w:tcPr>
            <w:tcW w:w="452" w:type="pct"/>
            <w:shd w:val="clear" w:color="auto" w:fill="BFBFBF"/>
            <w:textDirection w:val="btLr"/>
            <w:vAlign w:val="center"/>
          </w:tcPr>
          <w:p w:rsidR="008075FC" w:rsidRPr="001D6512" w:rsidRDefault="008075FC" w:rsidP="00352B77">
            <w:pPr>
              <w:pStyle w:val="TableCell"/>
              <w:spacing w:before="60" w:after="60" w:line="240" w:lineRule="auto"/>
              <w:ind w:left="60"/>
              <w:contextualSpacing/>
              <w:rPr>
                <w:rFonts w:cs="Arial"/>
                <w:b/>
                <w:szCs w:val="18"/>
              </w:rPr>
            </w:pPr>
            <w:r w:rsidRPr="001D6512">
              <w:rPr>
                <w:rFonts w:cs="Arial"/>
                <w:b/>
                <w:szCs w:val="18"/>
              </w:rPr>
              <w:t>Allentown</w:t>
            </w:r>
          </w:p>
        </w:tc>
        <w:tc>
          <w:tcPr>
            <w:tcW w:w="452" w:type="pct"/>
            <w:shd w:val="clear" w:color="auto" w:fill="BFBFBF"/>
            <w:textDirection w:val="btLr"/>
            <w:vAlign w:val="center"/>
          </w:tcPr>
          <w:p w:rsidR="008075FC" w:rsidRPr="001D6512" w:rsidRDefault="008075FC" w:rsidP="00352B77">
            <w:pPr>
              <w:pStyle w:val="TableCell"/>
              <w:spacing w:before="60" w:after="60" w:line="240" w:lineRule="auto"/>
              <w:ind w:left="60"/>
              <w:contextualSpacing/>
              <w:rPr>
                <w:rFonts w:cs="Arial"/>
                <w:b/>
                <w:szCs w:val="18"/>
              </w:rPr>
            </w:pPr>
            <w:r w:rsidRPr="001D6512">
              <w:rPr>
                <w:rFonts w:cs="Arial"/>
                <w:b/>
                <w:szCs w:val="18"/>
              </w:rPr>
              <w:t>Erie</w:t>
            </w:r>
          </w:p>
        </w:tc>
        <w:tc>
          <w:tcPr>
            <w:tcW w:w="452" w:type="pct"/>
            <w:shd w:val="clear" w:color="auto" w:fill="BFBFBF"/>
            <w:textDirection w:val="btLr"/>
            <w:vAlign w:val="center"/>
          </w:tcPr>
          <w:p w:rsidR="008075FC" w:rsidRPr="001D6512" w:rsidRDefault="008075FC" w:rsidP="00352B77">
            <w:pPr>
              <w:pStyle w:val="TableCell"/>
              <w:spacing w:before="60" w:after="60" w:line="240" w:lineRule="auto"/>
              <w:ind w:left="60"/>
              <w:contextualSpacing/>
              <w:rPr>
                <w:rFonts w:cs="Arial"/>
                <w:b/>
                <w:szCs w:val="18"/>
              </w:rPr>
            </w:pPr>
            <w:r w:rsidRPr="001D6512">
              <w:rPr>
                <w:rFonts w:cs="Arial"/>
                <w:b/>
                <w:szCs w:val="18"/>
              </w:rPr>
              <w:t>Harrisburg</w:t>
            </w:r>
          </w:p>
        </w:tc>
        <w:tc>
          <w:tcPr>
            <w:tcW w:w="452" w:type="pct"/>
            <w:shd w:val="clear" w:color="auto" w:fill="BFBFBF"/>
            <w:textDirection w:val="btLr"/>
            <w:vAlign w:val="center"/>
          </w:tcPr>
          <w:p w:rsidR="008075FC" w:rsidRPr="001D6512" w:rsidRDefault="008075FC" w:rsidP="00352B77">
            <w:pPr>
              <w:pStyle w:val="TableCell"/>
              <w:spacing w:before="60" w:after="60" w:line="240" w:lineRule="auto"/>
              <w:ind w:left="60"/>
              <w:contextualSpacing/>
              <w:rPr>
                <w:rFonts w:cs="Arial"/>
                <w:b/>
                <w:szCs w:val="18"/>
              </w:rPr>
            </w:pPr>
            <w:r w:rsidRPr="001D6512">
              <w:rPr>
                <w:rFonts w:cs="Arial"/>
                <w:b/>
                <w:szCs w:val="18"/>
              </w:rPr>
              <w:t>Pittsburgh</w:t>
            </w:r>
          </w:p>
        </w:tc>
        <w:tc>
          <w:tcPr>
            <w:tcW w:w="452" w:type="pct"/>
            <w:shd w:val="clear" w:color="auto" w:fill="BFBFBF"/>
            <w:textDirection w:val="btLr"/>
            <w:vAlign w:val="center"/>
          </w:tcPr>
          <w:p w:rsidR="008075FC" w:rsidRPr="001D6512" w:rsidRDefault="008075FC" w:rsidP="00352B77">
            <w:pPr>
              <w:pStyle w:val="TableCell"/>
              <w:spacing w:before="60" w:after="60" w:line="240" w:lineRule="auto"/>
              <w:ind w:left="60"/>
              <w:contextualSpacing/>
              <w:rPr>
                <w:rFonts w:cs="Arial"/>
                <w:b/>
                <w:szCs w:val="18"/>
              </w:rPr>
            </w:pPr>
            <w:r w:rsidRPr="001D6512">
              <w:rPr>
                <w:rFonts w:cs="Arial"/>
                <w:b/>
                <w:szCs w:val="18"/>
              </w:rPr>
              <w:t>Williamsport</w:t>
            </w:r>
          </w:p>
        </w:tc>
        <w:tc>
          <w:tcPr>
            <w:tcW w:w="452" w:type="pct"/>
            <w:shd w:val="clear" w:color="auto" w:fill="BFBFBF"/>
            <w:textDirection w:val="btLr"/>
            <w:vAlign w:val="center"/>
          </w:tcPr>
          <w:p w:rsidR="008075FC" w:rsidRPr="001D6512" w:rsidRDefault="008075FC" w:rsidP="00352B77">
            <w:pPr>
              <w:pStyle w:val="TableCell"/>
              <w:spacing w:before="60" w:after="60" w:line="240" w:lineRule="auto"/>
              <w:ind w:left="60"/>
              <w:contextualSpacing/>
              <w:rPr>
                <w:rFonts w:cs="Arial"/>
                <w:b/>
                <w:szCs w:val="18"/>
              </w:rPr>
            </w:pPr>
            <w:r w:rsidRPr="001D6512">
              <w:rPr>
                <w:rFonts w:cs="Arial"/>
                <w:b/>
                <w:szCs w:val="18"/>
              </w:rPr>
              <w:t>Philadelphia</w:t>
            </w:r>
          </w:p>
        </w:tc>
        <w:tc>
          <w:tcPr>
            <w:tcW w:w="452" w:type="pct"/>
            <w:shd w:val="clear" w:color="auto" w:fill="BFBFBF"/>
            <w:textDirection w:val="btLr"/>
            <w:vAlign w:val="center"/>
          </w:tcPr>
          <w:p w:rsidR="008075FC" w:rsidRPr="001D6512" w:rsidRDefault="008075FC" w:rsidP="00352B77">
            <w:pPr>
              <w:pStyle w:val="TableCell"/>
              <w:spacing w:before="60" w:after="60" w:line="240" w:lineRule="auto"/>
              <w:ind w:left="60"/>
              <w:rPr>
                <w:rFonts w:cs="Arial"/>
                <w:b/>
                <w:szCs w:val="18"/>
              </w:rPr>
            </w:pPr>
            <w:r w:rsidRPr="001D6512">
              <w:rPr>
                <w:rFonts w:cs="Arial"/>
                <w:b/>
                <w:szCs w:val="18"/>
              </w:rPr>
              <w:t>Scranton</w:t>
            </w:r>
          </w:p>
        </w:tc>
      </w:tr>
      <w:tr w:rsidR="008075FC" w:rsidRPr="00861542" w:rsidTr="00352B77">
        <w:trPr>
          <w:trHeight w:val="300"/>
        </w:trPr>
        <w:tc>
          <w:tcPr>
            <w:tcW w:w="1835" w:type="pct"/>
            <w:noWrap/>
          </w:tcPr>
          <w:p w:rsidR="008075FC" w:rsidRPr="001D6512" w:rsidRDefault="008075FC" w:rsidP="00352B77">
            <w:pPr>
              <w:pStyle w:val="TableCell"/>
              <w:spacing w:before="60" w:after="60" w:line="240" w:lineRule="auto"/>
              <w:rPr>
                <w:rFonts w:cs="Arial"/>
                <w:color w:val="000000"/>
                <w:szCs w:val="18"/>
              </w:rPr>
            </w:pPr>
            <w:r w:rsidRPr="001D6512">
              <w:rPr>
                <w:rFonts w:cs="Arial"/>
                <w:color w:val="000000"/>
                <w:szCs w:val="18"/>
              </w:rPr>
              <w:t>Arena/Auditorium/Convention Center</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602</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332</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640</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508</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454</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711</w:t>
            </w:r>
          </w:p>
        </w:tc>
        <w:tc>
          <w:tcPr>
            <w:tcW w:w="452" w:type="pct"/>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428</w:t>
            </w:r>
          </w:p>
        </w:tc>
      </w:tr>
      <w:tr w:rsidR="008075FC" w:rsidRPr="00861542" w:rsidTr="00352B77">
        <w:trPr>
          <w:trHeight w:val="300"/>
        </w:trPr>
        <w:tc>
          <w:tcPr>
            <w:tcW w:w="1835" w:type="pct"/>
            <w:noWrap/>
          </w:tcPr>
          <w:p w:rsidR="008075FC" w:rsidRPr="001D6512" w:rsidRDefault="008075FC" w:rsidP="00352B77">
            <w:pPr>
              <w:pStyle w:val="TableCell"/>
              <w:spacing w:before="60" w:after="60" w:line="240" w:lineRule="auto"/>
              <w:rPr>
                <w:rFonts w:cs="Arial"/>
                <w:color w:val="000000"/>
                <w:szCs w:val="18"/>
              </w:rPr>
            </w:pPr>
            <w:r w:rsidRPr="001D6512">
              <w:rPr>
                <w:rFonts w:cs="Arial"/>
                <w:color w:val="000000"/>
                <w:szCs w:val="18"/>
              </w:rPr>
              <w:t>College: Classes/Administrative</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690</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380</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733</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582</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520</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815</w:t>
            </w:r>
          </w:p>
        </w:tc>
        <w:tc>
          <w:tcPr>
            <w:tcW w:w="452" w:type="pct"/>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490</w:t>
            </w:r>
          </w:p>
        </w:tc>
      </w:tr>
      <w:tr w:rsidR="008075FC" w:rsidRPr="00861542" w:rsidTr="00352B77">
        <w:trPr>
          <w:trHeight w:val="300"/>
        </w:trPr>
        <w:tc>
          <w:tcPr>
            <w:tcW w:w="1835" w:type="pct"/>
            <w:noWrap/>
          </w:tcPr>
          <w:p w:rsidR="008075FC" w:rsidRPr="001D6512" w:rsidRDefault="008075FC" w:rsidP="00352B77">
            <w:pPr>
              <w:pStyle w:val="TableCell"/>
              <w:spacing w:before="60" w:after="60" w:line="240" w:lineRule="auto"/>
              <w:rPr>
                <w:rFonts w:cs="Arial"/>
                <w:color w:val="000000"/>
                <w:szCs w:val="18"/>
              </w:rPr>
            </w:pPr>
            <w:r w:rsidRPr="001D6512">
              <w:rPr>
                <w:rFonts w:cs="Arial"/>
                <w:color w:val="000000"/>
                <w:szCs w:val="18"/>
              </w:rPr>
              <w:t>Convenience Stores</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1,216</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671</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1,293</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1,026</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917</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1,436</w:t>
            </w:r>
          </w:p>
        </w:tc>
        <w:tc>
          <w:tcPr>
            <w:tcW w:w="452" w:type="pct"/>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864</w:t>
            </w:r>
          </w:p>
        </w:tc>
      </w:tr>
      <w:tr w:rsidR="008075FC" w:rsidRPr="00861542" w:rsidTr="00352B77">
        <w:trPr>
          <w:trHeight w:val="300"/>
        </w:trPr>
        <w:tc>
          <w:tcPr>
            <w:tcW w:w="1835" w:type="pct"/>
            <w:noWrap/>
          </w:tcPr>
          <w:p w:rsidR="008075FC" w:rsidRPr="001D6512" w:rsidRDefault="008075FC" w:rsidP="00352B77">
            <w:pPr>
              <w:pStyle w:val="TableCell"/>
              <w:spacing w:before="60" w:after="60" w:line="240" w:lineRule="auto"/>
              <w:rPr>
                <w:rFonts w:cs="Arial"/>
                <w:color w:val="000000"/>
                <w:szCs w:val="18"/>
              </w:rPr>
            </w:pPr>
            <w:r w:rsidRPr="001D6512">
              <w:rPr>
                <w:rFonts w:cs="Arial"/>
                <w:color w:val="000000"/>
                <w:szCs w:val="18"/>
              </w:rPr>
              <w:t>Dining: Bar Lounge/Leisure</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912</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503</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969</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769</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688</w:t>
            </w:r>
          </w:p>
        </w:tc>
        <w:tc>
          <w:tcPr>
            <w:tcW w:w="452" w:type="pct"/>
            <w:noWrap/>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1,077</w:t>
            </w:r>
          </w:p>
        </w:tc>
        <w:tc>
          <w:tcPr>
            <w:tcW w:w="452" w:type="pct"/>
          </w:tcPr>
          <w:p w:rsidR="008075FC" w:rsidRPr="001D6512" w:rsidRDefault="008075FC" w:rsidP="00352B77">
            <w:pPr>
              <w:pStyle w:val="TableCell"/>
              <w:spacing w:before="60" w:after="60" w:line="240" w:lineRule="auto"/>
              <w:jc w:val="right"/>
              <w:rPr>
                <w:rFonts w:cs="Arial"/>
                <w:color w:val="000000"/>
                <w:szCs w:val="18"/>
              </w:rPr>
            </w:pPr>
            <w:r w:rsidRPr="001D6512">
              <w:rPr>
                <w:rFonts w:cs="Arial"/>
                <w:color w:val="000000"/>
                <w:szCs w:val="18"/>
              </w:rPr>
              <w:t>648</w:t>
            </w:r>
          </w:p>
        </w:tc>
      </w:tr>
      <w:tr w:rsidR="008075FC" w:rsidRPr="00861542" w:rsidTr="00352B77">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Dining: Cafeteria / Fast Food</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1,227</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677</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1,304</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1,035</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925</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1,449</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872</w:t>
            </w:r>
          </w:p>
        </w:tc>
      </w:tr>
      <w:tr w:rsidR="008075FC" w:rsidRPr="00861542" w:rsidTr="00352B77">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Dining: Restaurants</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912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503</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969</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769</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688</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1,077</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648</w:t>
            </w:r>
          </w:p>
        </w:tc>
      </w:tr>
      <w:tr w:rsidR="008075FC" w:rsidRPr="00861542" w:rsidTr="00352B77">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Gymnasium/Performing Arts Theatre</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690</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380</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733</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582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520</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815</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490</w:t>
            </w:r>
          </w:p>
        </w:tc>
      </w:tr>
      <w:tr w:rsidR="008075FC" w:rsidRPr="00861542" w:rsidTr="00352B77">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Hospitals/Health care</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1,396</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770</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1,483</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1,177</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1,052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1,648</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992</w:t>
            </w:r>
          </w:p>
        </w:tc>
      </w:tr>
      <w:tr w:rsidR="008075FC" w:rsidRPr="00861542" w:rsidTr="00352B77">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Lodging: Hotels/Motels/Dormitories</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756</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418</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805</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638</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571</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894</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538</w:t>
            </w:r>
          </w:p>
        </w:tc>
      </w:tr>
      <w:tr w:rsidR="008075FC" w:rsidRPr="00861542" w:rsidTr="00352B77">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Lodging: Residential</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757</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418</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805</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638</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571</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894</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538</w:t>
            </w:r>
          </w:p>
        </w:tc>
      </w:tr>
      <w:tr w:rsidR="008075FC" w:rsidRPr="00861542" w:rsidTr="00352B77">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Multi-Family (Common Areas)</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1,395</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769</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1,482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1,176</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1,052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1,647</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991</w:t>
            </w:r>
          </w:p>
        </w:tc>
      </w:tr>
      <w:tr w:rsidR="008075FC" w:rsidRPr="00861542" w:rsidTr="00352B77">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Museum/Library</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851</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469</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905</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718</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642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1,005</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605</w:t>
            </w:r>
          </w:p>
        </w:tc>
      </w:tr>
      <w:tr w:rsidR="008075FC" w:rsidRPr="00861542" w:rsidTr="00352B77">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Nursing Homes</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1,141</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630</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1,213</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963</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861</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1,348</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811</w:t>
            </w:r>
          </w:p>
        </w:tc>
      </w:tr>
      <w:tr w:rsidR="008075FC" w:rsidRPr="00861542" w:rsidTr="00352B77">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Office: General/Retail</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851</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469</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905</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718</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642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1,005</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605</w:t>
            </w:r>
          </w:p>
        </w:tc>
      </w:tr>
      <w:tr w:rsidR="008075FC" w:rsidRPr="00861542" w:rsidTr="00352B77">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Office: Medical/Banks</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851</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469</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905</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718</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642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1,005</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605</w:t>
            </w:r>
          </w:p>
        </w:tc>
      </w:tr>
      <w:tr w:rsidR="008075FC" w:rsidRPr="00861542" w:rsidTr="00352B77">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Parking Garages &amp; Lots</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938</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517</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997</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791</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707</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1,107</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666</w:t>
            </w:r>
          </w:p>
        </w:tc>
      </w:tr>
      <w:tr w:rsidR="008075FC" w:rsidRPr="00861542" w:rsidTr="00352B77">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Penitentiary</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1,091</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602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1,160</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920</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823</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1,289</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775</w:t>
            </w:r>
          </w:p>
        </w:tc>
      </w:tr>
      <w:tr w:rsidR="008075FC" w:rsidRPr="00861542" w:rsidTr="00352B77">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Police/Fire Stations (24 Hr)</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1,395</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769</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1,482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1,176</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1,052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1,647</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991</w:t>
            </w:r>
          </w:p>
        </w:tc>
      </w:tr>
      <w:tr w:rsidR="008075FC" w:rsidRPr="00861542" w:rsidTr="00352B77">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Post Office/Town Hall/Court House</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851</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469</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905</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718</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642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1,005</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605</w:t>
            </w:r>
          </w:p>
        </w:tc>
      </w:tr>
      <w:tr w:rsidR="008075FC" w:rsidRPr="00861542" w:rsidTr="00352B77">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Religious Buildings/Church</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602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332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640</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508</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454</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711</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428</w:t>
            </w:r>
          </w:p>
        </w:tc>
      </w:tr>
      <w:tr w:rsidR="008075FC" w:rsidRPr="00861542" w:rsidTr="00352B77">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Retail</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894</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493</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950</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754</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674</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1,055</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635</w:t>
            </w:r>
          </w:p>
        </w:tc>
      </w:tr>
      <w:tr w:rsidR="008075FC" w:rsidRPr="00861542" w:rsidTr="00352B77">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Schools/University</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634</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350</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674</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535</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478</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749</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451</w:t>
            </w:r>
          </w:p>
        </w:tc>
      </w:tr>
      <w:tr w:rsidR="008075FC" w:rsidRPr="00861542" w:rsidTr="00352B77">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Warehouses (Not Refrigerated)</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692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382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735</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583</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522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817</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492</w:t>
            </w:r>
          </w:p>
        </w:tc>
      </w:tr>
      <w:tr w:rsidR="008075FC" w:rsidRPr="00861542" w:rsidTr="00352B77">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Warehouses (Refrigerated)</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692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382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735</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583</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522</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817</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492</w:t>
            </w:r>
          </w:p>
        </w:tc>
      </w:tr>
      <w:tr w:rsidR="008075FC" w:rsidRPr="00861542" w:rsidTr="00352B77">
        <w:trPr>
          <w:trHeight w:val="300"/>
        </w:trPr>
        <w:tc>
          <w:tcPr>
            <w:tcW w:w="1835" w:type="pct"/>
            <w:noWrap/>
          </w:tcPr>
          <w:p w:rsidR="008075FC" w:rsidRPr="001D6512" w:rsidRDefault="008075FC" w:rsidP="00352B77">
            <w:pPr>
              <w:pStyle w:val="TableCell"/>
              <w:keepNext w:val="0"/>
              <w:spacing w:before="60" w:after="60" w:line="240" w:lineRule="auto"/>
              <w:rPr>
                <w:rFonts w:cs="Arial"/>
                <w:color w:val="000000"/>
                <w:szCs w:val="18"/>
              </w:rPr>
            </w:pPr>
            <w:r w:rsidRPr="001D6512">
              <w:rPr>
                <w:rFonts w:cs="Arial"/>
                <w:color w:val="000000"/>
                <w:szCs w:val="18"/>
              </w:rPr>
              <w:t>Waste Water Treatment Plant</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1,265</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1,473</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1,204</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1,208</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1,270</w:t>
            </w:r>
          </w:p>
        </w:tc>
        <w:tc>
          <w:tcPr>
            <w:tcW w:w="452" w:type="pct"/>
            <w:noWrap/>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1,182</w:t>
            </w:r>
          </w:p>
        </w:tc>
        <w:tc>
          <w:tcPr>
            <w:tcW w:w="452" w:type="pct"/>
          </w:tcPr>
          <w:p w:rsidR="008075FC" w:rsidRPr="001D6512" w:rsidRDefault="008075FC" w:rsidP="00352B77">
            <w:pPr>
              <w:pStyle w:val="TableCell"/>
              <w:keepNext w:val="0"/>
              <w:spacing w:before="60" w:after="60" w:line="240" w:lineRule="auto"/>
              <w:jc w:val="right"/>
              <w:rPr>
                <w:rFonts w:cs="Arial"/>
                <w:color w:val="000000"/>
                <w:szCs w:val="18"/>
              </w:rPr>
            </w:pPr>
            <w:r w:rsidRPr="001D6512">
              <w:rPr>
                <w:rFonts w:cs="Arial"/>
                <w:color w:val="000000"/>
                <w:szCs w:val="18"/>
              </w:rPr>
              <w:t>1,285</w:t>
            </w:r>
          </w:p>
        </w:tc>
      </w:tr>
    </w:tbl>
    <w:p w:rsidR="00CE64A1" w:rsidRPr="009C694C" w:rsidRDefault="00CE64A1" w:rsidP="00C3606E">
      <w:pPr>
        <w:rPr>
          <w:rFonts w:cs="Arial"/>
        </w:rPr>
      </w:pPr>
    </w:p>
    <w:p w:rsidR="00CE64A1" w:rsidRPr="009C694C" w:rsidRDefault="00CE64A1" w:rsidP="00871FA2">
      <w:pPr>
        <w:pStyle w:val="Heading3"/>
      </w:pPr>
      <w:r w:rsidRPr="009C694C">
        <w:t>Measure Life</w:t>
      </w:r>
    </w:p>
    <w:p w:rsidR="00CE64A1" w:rsidRPr="009C694C" w:rsidRDefault="00CE64A1" w:rsidP="008075FC">
      <w:pPr>
        <w:keepNext/>
        <w:jc w:val="both"/>
        <w:rPr>
          <w:rFonts w:cs="Arial"/>
        </w:rPr>
      </w:pPr>
      <w:r w:rsidRPr="009C694C">
        <w:rPr>
          <w:rFonts w:cs="Arial"/>
        </w:rPr>
        <w:t>15 years</w:t>
      </w:r>
    </w:p>
    <w:p w:rsidR="00513C39" w:rsidRPr="00BC5194" w:rsidRDefault="00513C39" w:rsidP="008075FC">
      <w:pPr>
        <w:keepNext/>
        <w:rPr>
          <w:b/>
        </w:rPr>
      </w:pPr>
      <w:r w:rsidRPr="00BC5194">
        <w:rPr>
          <w:b/>
        </w:rPr>
        <w:t>Source:</w:t>
      </w:r>
    </w:p>
    <w:p w:rsidR="00CE64A1" w:rsidRPr="009C694C" w:rsidRDefault="00513C39" w:rsidP="0005632A">
      <w:pPr>
        <w:pStyle w:val="source1"/>
        <w:numPr>
          <w:ilvl w:val="0"/>
          <w:numId w:val="71"/>
        </w:numPr>
      </w:pPr>
      <w:r w:rsidRPr="00556AA4">
        <w:t xml:space="preserve">DEER uses 20 </w:t>
      </w:r>
      <w:r w:rsidR="00F11594" w:rsidRPr="00556AA4">
        <w:t>years;</w:t>
      </w:r>
      <w:r w:rsidRPr="00556AA4">
        <w:t xml:space="preserve"> </w:t>
      </w:r>
      <w:r>
        <w:t xml:space="preserve">Northwest </w:t>
      </w:r>
      <w:r w:rsidRPr="00556AA4">
        <w:t>Regional Technical Forum uses 45 years</w:t>
      </w:r>
      <w:r>
        <w:t xml:space="preserve">. </w:t>
      </w:r>
      <w:r w:rsidR="00CE64A1" w:rsidRPr="009C694C">
        <w:t>Capped based on the requirements of the Pennsylvania Technical Reference Manual (June 2010). This value is less than that used by other jurisdictions for insulation.</w:t>
      </w:r>
    </w:p>
    <w:p w:rsidR="0039108A" w:rsidRDefault="0004209F" w:rsidP="0039108A">
      <w:pPr>
        <w:pStyle w:val="Heading2"/>
      </w:pPr>
      <w:r>
        <w:rPr>
          <w:rFonts w:cs="Arial"/>
        </w:rPr>
        <w:br w:type="page"/>
      </w:r>
      <w:bookmarkStart w:id="965" w:name="_Toc310875456"/>
      <w:r w:rsidR="0039108A" w:rsidRPr="00544E1D">
        <w:t>Strip Curtains for Walk-In Freezers and Coolers</w:t>
      </w:r>
      <w:bookmarkEnd w:id="965"/>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5440"/>
      </w:tblGrid>
      <w:tr w:rsidR="0039108A" w:rsidRPr="00DC57D4" w:rsidTr="0039108A">
        <w:trPr>
          <w:jc w:val="center"/>
        </w:trPr>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39108A" w:rsidRPr="001D6512" w:rsidRDefault="0039108A" w:rsidP="0039108A">
            <w:pPr>
              <w:pStyle w:val="TableCell"/>
              <w:rPr>
                <w:b/>
              </w:rPr>
            </w:pPr>
            <w:r w:rsidRPr="001D6512">
              <w:rPr>
                <w:b/>
              </w:rPr>
              <w:t>Measure Name</w:t>
            </w:r>
          </w:p>
        </w:tc>
        <w:tc>
          <w:tcPr>
            <w:tcW w:w="459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39108A" w:rsidRPr="001D6512" w:rsidRDefault="0039108A" w:rsidP="0039108A">
            <w:pPr>
              <w:pStyle w:val="TableCell"/>
              <w:rPr>
                <w:b/>
              </w:rPr>
            </w:pPr>
            <w:r w:rsidRPr="001D6512">
              <w:rPr>
                <w:b/>
              </w:rPr>
              <w:t>Strip Curtains for Walk-In Coolers and Freezers</w:t>
            </w:r>
          </w:p>
        </w:tc>
      </w:tr>
      <w:tr w:rsidR="0039108A" w:rsidRPr="00DC57D4" w:rsidTr="0039108A">
        <w:trPr>
          <w:jc w:val="center"/>
        </w:trPr>
        <w:tc>
          <w:tcPr>
            <w:tcW w:w="2700" w:type="dxa"/>
          </w:tcPr>
          <w:p w:rsidR="0039108A" w:rsidRPr="001D6512" w:rsidRDefault="0039108A" w:rsidP="0039108A">
            <w:pPr>
              <w:pStyle w:val="TableCell"/>
            </w:pPr>
            <w:r w:rsidRPr="001D6512">
              <w:t>Target Sector</w:t>
            </w:r>
          </w:p>
        </w:tc>
        <w:tc>
          <w:tcPr>
            <w:tcW w:w="4590" w:type="dxa"/>
          </w:tcPr>
          <w:p w:rsidR="0039108A" w:rsidRPr="001D6512" w:rsidRDefault="0039108A" w:rsidP="0039108A">
            <w:pPr>
              <w:pStyle w:val="TableCell"/>
            </w:pPr>
            <w:r w:rsidRPr="001D6512">
              <w:t>Commercial Refrigeration</w:t>
            </w:r>
          </w:p>
        </w:tc>
      </w:tr>
      <w:tr w:rsidR="0039108A" w:rsidRPr="00DC57D4" w:rsidTr="0039108A">
        <w:trPr>
          <w:jc w:val="center"/>
        </w:trPr>
        <w:tc>
          <w:tcPr>
            <w:tcW w:w="2700" w:type="dxa"/>
          </w:tcPr>
          <w:p w:rsidR="0039108A" w:rsidRPr="001D6512" w:rsidRDefault="0039108A" w:rsidP="0039108A">
            <w:pPr>
              <w:pStyle w:val="TableCell"/>
            </w:pPr>
            <w:r w:rsidRPr="001D6512">
              <w:t>Measure Unit</w:t>
            </w:r>
          </w:p>
        </w:tc>
        <w:tc>
          <w:tcPr>
            <w:tcW w:w="4590" w:type="dxa"/>
          </w:tcPr>
          <w:p w:rsidR="0039108A" w:rsidRPr="001D6512" w:rsidRDefault="0039108A" w:rsidP="0039108A">
            <w:pPr>
              <w:pStyle w:val="TableCell"/>
            </w:pPr>
            <w:r w:rsidRPr="001D6512">
              <w:t>Walk-in unit door</w:t>
            </w:r>
          </w:p>
        </w:tc>
      </w:tr>
      <w:tr w:rsidR="0039108A" w:rsidRPr="00DC57D4" w:rsidTr="0039108A">
        <w:trPr>
          <w:jc w:val="center"/>
        </w:trPr>
        <w:tc>
          <w:tcPr>
            <w:tcW w:w="2700" w:type="dxa"/>
          </w:tcPr>
          <w:p w:rsidR="0039108A" w:rsidRPr="001D6512" w:rsidRDefault="0039108A" w:rsidP="0039108A">
            <w:pPr>
              <w:pStyle w:val="TableCell"/>
            </w:pPr>
            <w:r w:rsidRPr="001D6512">
              <w:t>Unit Energy Savings</w:t>
            </w:r>
          </w:p>
        </w:tc>
        <w:tc>
          <w:tcPr>
            <w:tcW w:w="4590" w:type="dxa"/>
          </w:tcPr>
          <w:p w:rsidR="0039108A" w:rsidRPr="001D6512" w:rsidRDefault="0039108A" w:rsidP="0039108A">
            <w:pPr>
              <w:pStyle w:val="TableCell"/>
            </w:pPr>
            <w:r w:rsidRPr="001D6512">
              <w:t>Fixed</w:t>
            </w:r>
          </w:p>
        </w:tc>
      </w:tr>
      <w:tr w:rsidR="0039108A" w:rsidRPr="00DC57D4" w:rsidTr="0039108A">
        <w:trPr>
          <w:jc w:val="center"/>
        </w:trPr>
        <w:tc>
          <w:tcPr>
            <w:tcW w:w="2700" w:type="dxa"/>
          </w:tcPr>
          <w:p w:rsidR="0039108A" w:rsidRPr="001D6512" w:rsidRDefault="0039108A" w:rsidP="0039108A">
            <w:pPr>
              <w:pStyle w:val="TableCell"/>
            </w:pPr>
            <w:r w:rsidRPr="001D6512">
              <w:t>Unit Peak Demand Reduction</w:t>
            </w:r>
          </w:p>
        </w:tc>
        <w:tc>
          <w:tcPr>
            <w:tcW w:w="4590" w:type="dxa"/>
          </w:tcPr>
          <w:p w:rsidR="0039108A" w:rsidRPr="001D6512" w:rsidRDefault="0039108A" w:rsidP="0039108A">
            <w:pPr>
              <w:pStyle w:val="TableCell"/>
            </w:pPr>
            <w:r w:rsidRPr="001D6512">
              <w:t>Fixed</w:t>
            </w:r>
          </w:p>
        </w:tc>
      </w:tr>
      <w:tr w:rsidR="0039108A" w:rsidRPr="00DC57D4" w:rsidTr="0039108A">
        <w:trPr>
          <w:jc w:val="center"/>
        </w:trPr>
        <w:tc>
          <w:tcPr>
            <w:tcW w:w="2700" w:type="dxa"/>
          </w:tcPr>
          <w:p w:rsidR="0039108A" w:rsidRPr="001D6512" w:rsidRDefault="0039108A" w:rsidP="0039108A">
            <w:pPr>
              <w:pStyle w:val="TableCell"/>
            </w:pPr>
            <w:r w:rsidRPr="001D6512">
              <w:t>Measure Life</w:t>
            </w:r>
          </w:p>
        </w:tc>
        <w:tc>
          <w:tcPr>
            <w:tcW w:w="4590" w:type="dxa"/>
          </w:tcPr>
          <w:p w:rsidR="0039108A" w:rsidRPr="001D6512" w:rsidRDefault="0039108A" w:rsidP="0039108A">
            <w:pPr>
              <w:pStyle w:val="TableCell"/>
            </w:pPr>
            <w:r w:rsidRPr="001D6512">
              <w:t>4 years</w:t>
            </w:r>
          </w:p>
        </w:tc>
      </w:tr>
    </w:tbl>
    <w:p w:rsidR="0039108A" w:rsidRPr="00544E1D" w:rsidRDefault="0039108A" w:rsidP="0039108A">
      <w:pPr>
        <w:spacing w:before="240"/>
      </w:pPr>
      <w:r w:rsidRPr="00544E1D">
        <w:t xml:space="preserve">Strip curtains are used to reduce the refrigeration load associated with the infiltration of non-refrigerated air into the refrigerated spaces of walk-in coolers or freezers.  </w:t>
      </w:r>
    </w:p>
    <w:p w:rsidR="0039108A" w:rsidRDefault="0039108A" w:rsidP="0039108A">
      <w:r>
        <w:t>T</w:t>
      </w:r>
      <w:r w:rsidRPr="00544E1D">
        <w:t xml:space="preserve">he primary cause of air infiltration into walk-in coolers and freezers </w:t>
      </w:r>
      <w:r>
        <w:t>is t</w:t>
      </w:r>
      <w:r w:rsidRPr="00544E1D">
        <w:t>he air density difference between two adjacent spaces of different temperatures.</w:t>
      </w:r>
      <w:r>
        <w:t xml:space="preserve"> </w:t>
      </w:r>
      <w:r w:rsidRPr="00544E1D">
        <w:t>The total refrigeration load due to infiltration through the main door into the unit depends on the temperature differential between the refrigerated and non-refrigerated airs, the door area and height, and the duration and frequency of door openings.  The avoided infiltration depends on the efficacy of the newly installed strip curtains as infiltration barriers</w:t>
      </w:r>
      <w:r>
        <w:rPr>
          <w:rStyle w:val="FootnoteReference"/>
        </w:rPr>
        <w:footnoteReference w:id="182"/>
      </w:r>
      <w:r w:rsidRPr="00544E1D">
        <w:t xml:space="preserve">, and on the efficacy of the supplanted infiltration barriers, if applicable. The calculation of the refrigeration load due to air infiltration and the energy required to meet that load is rather straightforward, but relies on critical assumptions regarding the aforementioned operating parameters.  </w:t>
      </w:r>
      <w:r>
        <w:t>All the</w:t>
      </w:r>
      <w:r w:rsidRPr="00544E1D">
        <w:t xml:space="preserve"> assumptions</w:t>
      </w:r>
      <w:r>
        <w:t xml:space="preserve"> in</w:t>
      </w:r>
      <w:r w:rsidRPr="00544E1D">
        <w:t xml:space="preserve"> this </w:t>
      </w:r>
      <w:r>
        <w:t xml:space="preserve">protocol are based on </w:t>
      </w:r>
      <w:r w:rsidRPr="00544E1D">
        <w:t xml:space="preserve">values that were determined by direct measurement and monitoring of over 100 walk-in units in </w:t>
      </w:r>
      <w:r>
        <w:t>the 2006-2008</w:t>
      </w:r>
      <w:r w:rsidRPr="00544E1D">
        <w:t xml:space="preserve"> evaluation for the CA Public Utility Commission</w:t>
      </w:r>
      <w:r>
        <w:rPr>
          <w:rStyle w:val="FootnoteReference"/>
        </w:rPr>
        <w:footnoteReference w:id="183"/>
      </w:r>
      <w:r w:rsidRPr="00544E1D">
        <w:t xml:space="preserve">. </w:t>
      </w:r>
    </w:p>
    <w:p w:rsidR="0039108A" w:rsidRDefault="0039108A" w:rsidP="00871FA2">
      <w:pPr>
        <w:pStyle w:val="Heading3"/>
      </w:pPr>
      <w:r>
        <w:t xml:space="preserve">Eligibility </w:t>
      </w:r>
    </w:p>
    <w:p w:rsidR="0039108A" w:rsidRPr="00D87D12" w:rsidRDefault="0039108A" w:rsidP="0039108A">
      <w:r w:rsidRPr="00D87D12">
        <w:t xml:space="preserve">This </w:t>
      </w:r>
      <w:r>
        <w:t>protocol</w:t>
      </w:r>
      <w:r w:rsidRPr="00D87D12">
        <w:t xml:space="preserve"> documents the energy savings attribut</w:t>
      </w:r>
      <w:r>
        <w:t>ed</w:t>
      </w:r>
      <w:r w:rsidRPr="00D87D12">
        <w:t xml:space="preserve"> to strip curtains applied on walk-in </w:t>
      </w:r>
      <w:r>
        <w:t xml:space="preserve">cooler and </w:t>
      </w:r>
      <w:r w:rsidRPr="00D87D12">
        <w:t>freezer doors in commercial applications. The most likely areas of application are large and small grocery stores, supermarkets</w:t>
      </w:r>
      <w:r>
        <w:t xml:space="preserve">, </w:t>
      </w:r>
      <w:r w:rsidRPr="00D87D12">
        <w:t>restaurants</w:t>
      </w:r>
      <w:r>
        <w:t xml:space="preserve"> and refrigerated warehouse</w:t>
      </w:r>
      <w:r w:rsidRPr="00D87D12">
        <w:t>.</w:t>
      </w:r>
      <w:r>
        <w:t xml:space="preserve"> </w:t>
      </w:r>
      <w:r>
        <w:rPr>
          <w:rFonts w:eastAsia="Calibri"/>
        </w:rPr>
        <w:t xml:space="preserve">The baseline case is a walk-in cooler or freezer that previously had either no strip curtain installed or an old, ineffective strip curtain installed. The efficient equipment is a strip curtain added to a walk-in cooler or freezer. </w:t>
      </w:r>
      <w:r>
        <w:rPr>
          <w:rFonts w:ascii="Helvetica" w:eastAsia="Calibri" w:hAnsi="Helvetica" w:cs="Helvetica"/>
        </w:rPr>
        <w:t xml:space="preserve">Strip curtains must be at least </w:t>
      </w:r>
      <w:r w:rsidRPr="00815DFE">
        <w:rPr>
          <w:rFonts w:ascii="Helvetica" w:eastAsia="Calibri" w:hAnsi="Helvetica" w:cs="Helvetica"/>
        </w:rPr>
        <w:t>0.06 inches thick</w:t>
      </w:r>
      <w:r>
        <w:rPr>
          <w:rFonts w:ascii="Helvetica" w:eastAsia="Calibri" w:hAnsi="Helvetica" w:cs="Helvetica"/>
        </w:rPr>
        <w:t xml:space="preserve">. </w:t>
      </w:r>
      <w:r w:rsidRPr="00815DFE">
        <w:rPr>
          <w:rFonts w:ascii="Helvetica" w:eastAsia="Calibri" w:hAnsi="Helvetica" w:cs="Helvetica"/>
        </w:rPr>
        <w:t>Low temp strip cu</w:t>
      </w:r>
      <w:r>
        <w:rPr>
          <w:rFonts w:ascii="Helvetica" w:eastAsia="Calibri" w:hAnsi="Helvetica" w:cs="Helvetica"/>
        </w:rPr>
        <w:t xml:space="preserve">rtains must be used on low temp </w:t>
      </w:r>
      <w:r w:rsidRPr="00815DFE">
        <w:rPr>
          <w:rFonts w:ascii="Helvetica" w:eastAsia="Calibri" w:hAnsi="Helvetica" w:cs="Helvetica"/>
        </w:rPr>
        <w:t>applications</w:t>
      </w:r>
      <w:r>
        <w:rPr>
          <w:rStyle w:val="FootnoteReference"/>
          <w:rFonts w:ascii="Helvetica" w:eastAsia="Calibri" w:hAnsi="Helvetica"/>
        </w:rPr>
        <w:footnoteReference w:id="184"/>
      </w:r>
      <w:r w:rsidRPr="00815DFE">
        <w:rPr>
          <w:rFonts w:ascii="Helvetica" w:eastAsia="Calibri" w:hAnsi="Helvetica" w:cs="Helvetica"/>
        </w:rPr>
        <w:t>.</w:t>
      </w:r>
      <w:r w:rsidRPr="00D87D12">
        <w:t xml:space="preserve"> </w:t>
      </w:r>
    </w:p>
    <w:p w:rsidR="0039108A" w:rsidRDefault="0039108A" w:rsidP="00871FA2">
      <w:pPr>
        <w:pStyle w:val="Heading3"/>
      </w:pPr>
      <w:r w:rsidRPr="001C4AD5">
        <w:t>Algorithms</w:t>
      </w:r>
    </w:p>
    <w:p w:rsidR="0039108A" w:rsidRDefault="0039108A" w:rsidP="0039108A">
      <w:pPr>
        <w:pStyle w:val="Equation"/>
      </w:pPr>
      <w:r w:rsidRPr="00AA2C40">
        <w:sym w:font="Symbol" w:char="F044"/>
      </w:r>
      <w:r w:rsidRPr="00AA2C40">
        <w:t>kW</w:t>
      </w:r>
      <w:r>
        <w:t>h</w:t>
      </w:r>
      <w:r>
        <w:tab/>
      </w:r>
      <w:r>
        <w:tab/>
        <w:t xml:space="preserve">= </w:t>
      </w:r>
      <w:r w:rsidRPr="00AA2C40">
        <w:sym w:font="Symbol" w:char="F044"/>
      </w:r>
      <w:r w:rsidRPr="00AA2C40">
        <w:t>kW</w:t>
      </w:r>
      <w:r>
        <w:t>h/sqft x A</w:t>
      </w:r>
    </w:p>
    <w:p w:rsidR="0039108A" w:rsidRPr="00AA2C40" w:rsidRDefault="0039108A" w:rsidP="0039108A">
      <w:pPr>
        <w:pStyle w:val="Equation"/>
      </w:pPr>
      <w:r w:rsidRPr="00AA2C40">
        <w:sym w:font="Symbol" w:char="F044"/>
      </w:r>
      <w:r w:rsidRPr="00AA2C40">
        <w:t>kW</w:t>
      </w:r>
      <w:r w:rsidRPr="00AA2C40">
        <w:rPr>
          <w:vertAlign w:val="subscript"/>
        </w:rPr>
        <w:t>peak</w:t>
      </w:r>
      <w:r w:rsidRPr="00AA2C40">
        <w:t xml:space="preserve"> </w:t>
      </w:r>
      <w:r w:rsidRPr="00AA2C40">
        <w:tab/>
        <w:t>=</w:t>
      </w:r>
      <w:r>
        <w:t xml:space="preserve"> </w:t>
      </w:r>
      <w:r w:rsidRPr="00AA2C40">
        <w:sym w:font="Symbol" w:char="F044"/>
      </w:r>
      <w:r w:rsidRPr="00AA2C40">
        <w:t>kW</w:t>
      </w:r>
      <w:r>
        <w:t>/sqft x A</w:t>
      </w:r>
    </w:p>
    <w:p w:rsidR="0039108A" w:rsidRDefault="0039108A" w:rsidP="0039108A">
      <w:r w:rsidRPr="00D87D12">
        <w:t xml:space="preserve">The </w:t>
      </w:r>
      <w:r>
        <w:t xml:space="preserve">annual </w:t>
      </w:r>
      <w:r w:rsidRPr="00D87D12">
        <w:t xml:space="preserve">energy savings due to infiltration barriers </w:t>
      </w:r>
      <w:r>
        <w:t>is</w:t>
      </w:r>
      <w:r w:rsidRPr="00D87D12">
        <w:t xml:space="preserve"> </w:t>
      </w:r>
      <w:r>
        <w:t xml:space="preserve">quantified by multiplying savings per square foot by area using assumptions for independent variables described in the protocol introduction. The source algorithm from which the savings per square foot values are determined is </w:t>
      </w:r>
      <w:r w:rsidRPr="00D87D12">
        <w:t>based on Tamm’s equation</w:t>
      </w:r>
      <w:r>
        <w:rPr>
          <w:rStyle w:val="FootnoteReference"/>
        </w:rPr>
        <w:footnoteReference w:id="185"/>
      </w:r>
      <w:r w:rsidRPr="00D87D12">
        <w:t xml:space="preserve"> (an application of Bernoulli’s equation) and the ASHRAE handbook</w:t>
      </w:r>
      <w:r>
        <w:rPr>
          <w:rStyle w:val="FootnoteReference"/>
        </w:rPr>
        <w:footnoteReference w:id="186"/>
      </w:r>
      <w:r>
        <w:t xml:space="preserve">. To the extent that evaluation findings are able to </w:t>
      </w:r>
      <w:r w:rsidR="006B25EE">
        <w:t>provide more reliable site specific inputs</w:t>
      </w:r>
      <w:r w:rsidR="00081415">
        <w:t xml:space="preserve"> </w:t>
      </w:r>
      <w:r>
        <w:t>assumptions, they may be used in place of the default per square foot savings using the following equation.</w:t>
      </w:r>
      <w:r w:rsidRPr="00683100">
        <w:t xml:space="preserve"> </w:t>
      </w:r>
    </w:p>
    <w:p w:rsidR="0039108A" w:rsidRDefault="0039108A" w:rsidP="0039108A">
      <w:pPr>
        <w:pStyle w:val="Equation"/>
      </w:pPr>
      <w:r w:rsidRPr="00AA2C40">
        <w:sym w:font="Symbol" w:char="F044"/>
      </w:r>
      <w:r w:rsidRPr="00AA2C40">
        <w:t>kW</w:t>
      </w:r>
      <w:r>
        <w:t>h</w:t>
      </w:r>
      <w:r>
        <w:tab/>
      </w:r>
      <w:r>
        <w:tab/>
        <w:t>= 365 x t</w:t>
      </w:r>
      <w:r>
        <w:rPr>
          <w:vertAlign w:val="subscript"/>
        </w:rPr>
        <w:t>open</w:t>
      </w:r>
      <w:r>
        <w:t xml:space="preserve"> x (η</w:t>
      </w:r>
      <w:r>
        <w:rPr>
          <w:vertAlign w:val="subscript"/>
        </w:rPr>
        <w:t>new</w:t>
      </w:r>
      <w:r>
        <w:t xml:space="preserve"> - η</w:t>
      </w:r>
      <w:r>
        <w:rPr>
          <w:vertAlign w:val="subscript"/>
        </w:rPr>
        <w:t>old</w:t>
      </w:r>
      <w:r>
        <w:t>) x 20C</w:t>
      </w:r>
      <w:r>
        <w:rPr>
          <w:vertAlign w:val="subscript"/>
        </w:rPr>
        <w:t xml:space="preserve">D </w:t>
      </w:r>
      <w:r>
        <w:t>x A x {[(T</w:t>
      </w:r>
      <w:r>
        <w:rPr>
          <w:vertAlign w:val="subscript"/>
        </w:rPr>
        <w:t>i</w:t>
      </w:r>
      <w:r>
        <w:t xml:space="preserve"> - T</w:t>
      </w:r>
      <w:r>
        <w:rPr>
          <w:vertAlign w:val="subscript"/>
        </w:rPr>
        <w:t>r</w:t>
      </w:r>
      <w:r>
        <w:t>)/T</w:t>
      </w:r>
      <w:r>
        <w:rPr>
          <w:vertAlign w:val="subscript"/>
        </w:rPr>
        <w:t>i</w:t>
      </w:r>
      <w:r>
        <w:t>]gH}</w:t>
      </w:r>
      <w:r>
        <w:rPr>
          <w:vertAlign w:val="superscript"/>
        </w:rPr>
        <w:t>0.5</w:t>
      </w:r>
      <w:r>
        <w:t xml:space="preserve"> x 60 x (ρ</w:t>
      </w:r>
      <w:r>
        <w:rPr>
          <w:vertAlign w:val="subscript"/>
        </w:rPr>
        <w:t>i</w:t>
      </w:r>
      <w:r>
        <w:t>h</w:t>
      </w:r>
      <w:r>
        <w:rPr>
          <w:vertAlign w:val="subscript"/>
        </w:rPr>
        <w:t>i</w:t>
      </w:r>
      <w:r>
        <w:t xml:space="preserve"> – ρ</w:t>
      </w:r>
      <w:r>
        <w:rPr>
          <w:vertAlign w:val="subscript"/>
        </w:rPr>
        <w:t>r</w:t>
      </w:r>
      <w:r>
        <w:t>h</w:t>
      </w:r>
      <w:r>
        <w:rPr>
          <w:vertAlign w:val="subscript"/>
        </w:rPr>
        <w:t>r</w:t>
      </w:r>
      <w:r>
        <w:t>) / (3413 x COP</w:t>
      </w:r>
      <w:r>
        <w:rPr>
          <w:vertAlign w:val="subscript"/>
        </w:rPr>
        <w:t>adj</w:t>
      </w:r>
      <w:r>
        <w:t>)</w:t>
      </w:r>
    </w:p>
    <w:p w:rsidR="0039108A" w:rsidRDefault="0039108A" w:rsidP="0039108A">
      <w:r w:rsidRPr="009A16F1">
        <w:t xml:space="preserve">The </w:t>
      </w:r>
      <w:r>
        <w:t xml:space="preserve">peak </w:t>
      </w:r>
      <w:r w:rsidRPr="009A16F1">
        <w:t xml:space="preserve">demand </w:t>
      </w:r>
      <w:r>
        <w:t xml:space="preserve">reduction is quantified by multiplying savings per square foot by area. The source algorithm is </w:t>
      </w:r>
      <w:r w:rsidRPr="009A16F1">
        <w:t xml:space="preserve">the annual energy savings </w:t>
      </w:r>
      <w:r>
        <w:t xml:space="preserve">divided by 8760. This assumption is based on general observation that refrigeration is constant for food storage, even outside of normal operating conditions. This is the most conservative approach in lieu of a more sophisticated model. </w:t>
      </w:r>
    </w:p>
    <w:p w:rsidR="0039108A" w:rsidRPr="00AA2C40" w:rsidRDefault="0039108A" w:rsidP="0039108A">
      <w:pPr>
        <w:pStyle w:val="Equation"/>
      </w:pPr>
      <w:r w:rsidRPr="00AA2C40">
        <w:sym w:font="Symbol" w:char="F044"/>
      </w:r>
      <w:r w:rsidRPr="00AA2C40">
        <w:t>kW</w:t>
      </w:r>
      <w:r w:rsidRPr="00AA2C40">
        <w:rPr>
          <w:vertAlign w:val="subscript"/>
        </w:rPr>
        <w:t>peak</w:t>
      </w:r>
      <w:r w:rsidRPr="00AA2C40">
        <w:t xml:space="preserve"> </w:t>
      </w:r>
      <w:r w:rsidRPr="00AA2C40">
        <w:tab/>
        <w:t>=</w:t>
      </w:r>
      <w:r>
        <w:t xml:space="preserve"> </w:t>
      </w:r>
      <w:r w:rsidRPr="00AA2C40">
        <w:sym w:font="Symbol" w:char="F044"/>
      </w:r>
      <w:r w:rsidRPr="00AA2C40">
        <w:t>kW</w:t>
      </w:r>
      <w:r>
        <w:t>h / 8760</w:t>
      </w:r>
    </w:p>
    <w:p w:rsidR="0039108A" w:rsidRPr="00570195" w:rsidRDefault="0039108A" w:rsidP="0039108A">
      <w:r w:rsidRPr="00570195">
        <w:t xml:space="preserve">The ratio of the average energy usage during </w:t>
      </w:r>
      <w:r>
        <w:t>Peak hours</w:t>
      </w:r>
      <w:r w:rsidRPr="00570195">
        <w:t xml:space="preserve"> to the total annual energy usage is taken from the load shape data collected by ADM for a recent evaluation for the CA Public Utility Commission</w:t>
      </w:r>
      <w:r>
        <w:rPr>
          <w:rStyle w:val="FootnoteReference"/>
        </w:rPr>
        <w:footnoteReference w:id="187"/>
      </w:r>
      <w:r w:rsidRPr="00570195">
        <w:t xml:space="preserve"> in the study of strip curtains in supermarkets, convenience stores, and restaurants.</w:t>
      </w:r>
      <w:r>
        <w:t xml:space="preserve">  </w:t>
      </w:r>
    </w:p>
    <w:p w:rsidR="0039108A" w:rsidRDefault="0039108A" w:rsidP="00871FA2">
      <w:pPr>
        <w:pStyle w:val="Heading3"/>
      </w:pPr>
      <w:r w:rsidRPr="001C4AD5">
        <w:t xml:space="preserve">Definition of </w:t>
      </w:r>
      <w:r>
        <w:t>Terms</w:t>
      </w:r>
    </w:p>
    <w:p w:rsidR="0039108A" w:rsidRPr="00D87D12" w:rsidRDefault="0039108A" w:rsidP="0039108A">
      <w:r w:rsidRPr="00D87D12">
        <w:t xml:space="preserve">The variables in the </w:t>
      </w:r>
      <w:r>
        <w:t xml:space="preserve">main </w:t>
      </w:r>
      <w:r w:rsidRPr="00D87D12">
        <w:t>equation</w:t>
      </w:r>
      <w:r>
        <w:t>s</w:t>
      </w:r>
      <w:r w:rsidRPr="00D87D12">
        <w:t xml:space="preserve"> are defined below:</w:t>
      </w:r>
    </w:p>
    <w:p w:rsidR="0039108A" w:rsidRDefault="0039108A" w:rsidP="0039108A">
      <w:pPr>
        <w:pStyle w:val="Equation"/>
      </w:pPr>
      <w:r>
        <w:tab/>
      </w:r>
      <w:r w:rsidRPr="00AA2C40">
        <w:sym w:font="Symbol" w:char="F044"/>
      </w:r>
      <w:r w:rsidRPr="00AA2C40">
        <w:t>kW</w:t>
      </w:r>
      <w:r>
        <w:t>h/sqft</w:t>
      </w:r>
      <w:r>
        <w:tab/>
        <w:t>= Average annual kWh savings per square foot of infiltration barrier</w:t>
      </w:r>
    </w:p>
    <w:p w:rsidR="0039108A" w:rsidRDefault="0039108A" w:rsidP="0039108A">
      <w:pPr>
        <w:pStyle w:val="Equation"/>
      </w:pPr>
      <w:r>
        <w:tab/>
      </w:r>
      <w:r w:rsidRPr="00AA2C40">
        <w:sym w:font="Symbol" w:char="F044"/>
      </w:r>
      <w:r w:rsidRPr="00AA2C40">
        <w:t>kW</w:t>
      </w:r>
      <w:r>
        <w:t>/sqft</w:t>
      </w:r>
      <w:r>
        <w:tab/>
        <w:t>= Average kW savings per square foot of infiltration barrier</w:t>
      </w:r>
    </w:p>
    <w:p w:rsidR="0039108A" w:rsidRPr="00AC79C0" w:rsidRDefault="0039108A" w:rsidP="0039108A">
      <w:pPr>
        <w:pStyle w:val="Equation"/>
      </w:pPr>
      <w:r>
        <w:tab/>
        <w:t>A</w:t>
      </w:r>
      <w:r>
        <w:tab/>
        <w:t>= D</w:t>
      </w:r>
      <w:r w:rsidRPr="00BE1F94">
        <w:t>oorway area, ft2</w:t>
      </w:r>
    </w:p>
    <w:p w:rsidR="0039108A" w:rsidRPr="00D87D12" w:rsidRDefault="0039108A" w:rsidP="0039108A">
      <w:r w:rsidRPr="00D87D12">
        <w:t xml:space="preserve">The variables in the </w:t>
      </w:r>
      <w:r>
        <w:t>source</w:t>
      </w:r>
      <w:r w:rsidRPr="00D87D12">
        <w:t xml:space="preserve"> equation are defined below:</w:t>
      </w:r>
    </w:p>
    <w:p w:rsidR="0039108A" w:rsidRPr="00BE1F94" w:rsidRDefault="0039108A" w:rsidP="0039108A">
      <w:pPr>
        <w:pStyle w:val="Equation"/>
      </w:pPr>
      <w:r>
        <w:tab/>
      </w:r>
      <w:r w:rsidRPr="00BE1F94">
        <w:t>t</w:t>
      </w:r>
      <w:r w:rsidRPr="008537DE">
        <w:rPr>
          <w:vertAlign w:val="subscript"/>
        </w:rPr>
        <w:t xml:space="preserve">open </w:t>
      </w:r>
      <w:r w:rsidRPr="00BE1F94">
        <w:t xml:space="preserve"> </w:t>
      </w:r>
      <w:r>
        <w:tab/>
      </w:r>
      <w:r w:rsidRPr="00BE1F94">
        <w:t>=</w:t>
      </w:r>
      <w:r>
        <w:t xml:space="preserve"> M</w:t>
      </w:r>
      <w:r w:rsidRPr="00BE1F94">
        <w:t>inutes walk-in door is open</w:t>
      </w:r>
      <w:r>
        <w:t xml:space="preserve"> per day</w:t>
      </w:r>
    </w:p>
    <w:p w:rsidR="0039108A" w:rsidRPr="00BE1F94" w:rsidRDefault="0039108A" w:rsidP="0039108A">
      <w:pPr>
        <w:pStyle w:val="Equation"/>
      </w:pPr>
      <w:r>
        <w:tab/>
      </w:r>
      <w:r w:rsidRPr="00BE1F94">
        <w:sym w:font="Symbol" w:char="F068"/>
      </w:r>
      <w:r w:rsidRPr="008537DE">
        <w:rPr>
          <w:vertAlign w:val="subscript"/>
        </w:rPr>
        <w:t>new</w:t>
      </w:r>
      <w:r w:rsidRPr="00BE1F94">
        <w:t xml:space="preserve"> </w:t>
      </w:r>
      <w:r>
        <w:tab/>
      </w:r>
      <w:r w:rsidRPr="00BE1F94">
        <w:t xml:space="preserve">= </w:t>
      </w:r>
      <w:r>
        <w:t>E</w:t>
      </w:r>
      <w:r w:rsidRPr="00BE1F94">
        <w:t>fficacy of the new strip curtain – an efficacy of 1 corresponds to the strip curtain thwarting all infiltration, while an efficacy of zero corresponds to the absence of strip curtains.</w:t>
      </w:r>
    </w:p>
    <w:p w:rsidR="0039108A" w:rsidRPr="00BE1F94" w:rsidRDefault="0039108A" w:rsidP="0039108A">
      <w:pPr>
        <w:pStyle w:val="Equation"/>
      </w:pPr>
      <w:r>
        <w:tab/>
      </w:r>
      <w:r w:rsidRPr="00BE1F94">
        <w:sym w:font="Symbol" w:char="F068"/>
      </w:r>
      <w:r w:rsidRPr="008537DE">
        <w:rPr>
          <w:vertAlign w:val="subscript"/>
        </w:rPr>
        <w:t>old</w:t>
      </w:r>
      <w:r w:rsidRPr="00BE1F94">
        <w:t xml:space="preserve"> </w:t>
      </w:r>
      <w:r>
        <w:tab/>
      </w:r>
      <w:r w:rsidRPr="00BE1F94">
        <w:t xml:space="preserve">= </w:t>
      </w:r>
      <w:r>
        <w:t>E</w:t>
      </w:r>
      <w:r w:rsidRPr="00BE1F94">
        <w:t>fficacy of the old strip curtain</w:t>
      </w:r>
    </w:p>
    <w:p w:rsidR="0039108A" w:rsidRPr="00BE1F94" w:rsidRDefault="0039108A" w:rsidP="0039108A">
      <w:pPr>
        <w:pStyle w:val="Equation"/>
      </w:pPr>
      <w:r>
        <w:tab/>
      </w:r>
      <w:r w:rsidRPr="00BE1F94">
        <w:t xml:space="preserve">20 </w:t>
      </w:r>
      <w:r>
        <w:tab/>
        <w:t>= P</w:t>
      </w:r>
      <w:r w:rsidRPr="00BE1F94">
        <w:t>roduct of 60 minutes per hour and an integration factor of 1/3</w:t>
      </w:r>
      <w:r>
        <w:rPr>
          <w:rStyle w:val="FootnoteReference"/>
          <w:i w:val="0"/>
        </w:rPr>
        <w:footnoteReference w:id="188"/>
      </w:r>
    </w:p>
    <w:p w:rsidR="0039108A" w:rsidRPr="00BE1F94" w:rsidRDefault="0039108A" w:rsidP="0039108A">
      <w:pPr>
        <w:pStyle w:val="Equation"/>
      </w:pPr>
      <w:r>
        <w:tab/>
      </w:r>
      <w:r w:rsidRPr="00BE1F94">
        <w:t>C</w:t>
      </w:r>
      <w:r w:rsidRPr="00BE1F94">
        <w:softHyphen/>
      </w:r>
      <w:r w:rsidRPr="00DF0915">
        <w:rPr>
          <w:vertAlign w:val="subscript"/>
        </w:rPr>
        <w:t>D</w:t>
      </w:r>
      <w:r w:rsidRPr="00BE1F94">
        <w:t xml:space="preserve"> </w:t>
      </w:r>
      <w:r>
        <w:tab/>
      </w:r>
      <w:r w:rsidRPr="00BE1F94">
        <w:t>= Discharge Coefficient: empirically determined scale factors that account for differences between infiltration as rates predicted by application Bernoulli’s law and actual observed infiltration rates</w:t>
      </w:r>
    </w:p>
    <w:p w:rsidR="0039108A" w:rsidRPr="00BE1F94" w:rsidRDefault="0039108A" w:rsidP="0039108A">
      <w:pPr>
        <w:pStyle w:val="Equation"/>
      </w:pPr>
      <w:r>
        <w:tab/>
      </w:r>
      <w:r w:rsidRPr="00BE1F94">
        <w:t>T</w:t>
      </w:r>
      <w:r w:rsidRPr="005B6299">
        <w:rPr>
          <w:vertAlign w:val="subscript"/>
        </w:rPr>
        <w:t>i</w:t>
      </w:r>
      <w:r w:rsidRPr="00BE1F94">
        <w:t xml:space="preserve"> </w:t>
      </w:r>
      <w:r>
        <w:tab/>
      </w:r>
      <w:r w:rsidRPr="00BE1F94">
        <w:t xml:space="preserve">= </w:t>
      </w:r>
      <w:r>
        <w:t>D</w:t>
      </w:r>
      <w:r w:rsidRPr="00BE1F94">
        <w:t>ry</w:t>
      </w:r>
      <w:r>
        <w:t>-</w:t>
      </w:r>
      <w:r w:rsidRPr="00BE1F94">
        <w:t>bulb temperature of infiltrating air, Rankine</w:t>
      </w:r>
    </w:p>
    <w:p w:rsidR="0039108A" w:rsidRPr="00BE1F94" w:rsidRDefault="0039108A" w:rsidP="0039108A">
      <w:pPr>
        <w:pStyle w:val="Equation"/>
      </w:pPr>
      <w:r>
        <w:tab/>
      </w:r>
      <w:r w:rsidRPr="00BE1F94">
        <w:t>T</w:t>
      </w:r>
      <w:r w:rsidRPr="005B6299">
        <w:rPr>
          <w:vertAlign w:val="subscript"/>
        </w:rPr>
        <w:t>r</w:t>
      </w:r>
      <w:r w:rsidRPr="00BE1F94">
        <w:t xml:space="preserve"> </w:t>
      </w:r>
      <w:r>
        <w:tab/>
      </w:r>
      <w:r w:rsidRPr="00BE1F94">
        <w:t xml:space="preserve">= </w:t>
      </w:r>
      <w:r>
        <w:t>D</w:t>
      </w:r>
      <w:r w:rsidRPr="00BE1F94">
        <w:t>ry</w:t>
      </w:r>
      <w:r>
        <w:t>-</w:t>
      </w:r>
      <w:r w:rsidRPr="00BE1F94">
        <w:t>bulb temperature of refrigerated air, Rankine</w:t>
      </w:r>
    </w:p>
    <w:p w:rsidR="0039108A" w:rsidRPr="00BE1F94" w:rsidRDefault="0039108A" w:rsidP="0039108A">
      <w:pPr>
        <w:pStyle w:val="Equation"/>
      </w:pPr>
      <w:r>
        <w:tab/>
      </w:r>
      <w:r w:rsidRPr="00BE1F94">
        <w:t xml:space="preserve">g </w:t>
      </w:r>
      <w:r>
        <w:tab/>
      </w:r>
      <w:r w:rsidRPr="00BE1F94">
        <w:t xml:space="preserve">= </w:t>
      </w:r>
      <w:r>
        <w:t>G</w:t>
      </w:r>
      <w:r w:rsidRPr="00BE1F94">
        <w:t>ravitational constant = 32.174 ft/s2</w:t>
      </w:r>
    </w:p>
    <w:p w:rsidR="0039108A" w:rsidRPr="00BE1F94" w:rsidRDefault="0039108A" w:rsidP="0039108A">
      <w:pPr>
        <w:pStyle w:val="Equation"/>
      </w:pPr>
      <w:r>
        <w:tab/>
      </w:r>
      <w:r w:rsidRPr="00BE1F94">
        <w:t xml:space="preserve">H </w:t>
      </w:r>
      <w:r>
        <w:tab/>
      </w:r>
      <w:r w:rsidRPr="00BE1F94">
        <w:t xml:space="preserve">= </w:t>
      </w:r>
      <w:r>
        <w:t>D</w:t>
      </w:r>
      <w:r w:rsidRPr="00BE1F94">
        <w:t>oorway height, ft</w:t>
      </w:r>
    </w:p>
    <w:p w:rsidR="0039108A" w:rsidRPr="00BE1F94" w:rsidRDefault="0039108A" w:rsidP="0039108A">
      <w:pPr>
        <w:pStyle w:val="Equation"/>
      </w:pPr>
      <w:r>
        <w:tab/>
      </w:r>
      <w:r w:rsidRPr="00BE1F94">
        <w:t>h</w:t>
      </w:r>
      <w:r w:rsidRPr="005B6299">
        <w:rPr>
          <w:vertAlign w:val="subscript"/>
        </w:rPr>
        <w:t>i</w:t>
      </w:r>
      <w:r w:rsidRPr="00BE1F94">
        <w:t xml:space="preserve"> </w:t>
      </w:r>
      <w:r>
        <w:tab/>
      </w:r>
      <w:r w:rsidRPr="00BE1F94">
        <w:t xml:space="preserve">= </w:t>
      </w:r>
      <w:r>
        <w:t>E</w:t>
      </w:r>
      <w:r w:rsidRPr="00BE1F94">
        <w:t>nthalpy of the infiltrating air, Btu/lb</w:t>
      </w:r>
      <w:r>
        <w:t>. Based on 55% RH.</w:t>
      </w:r>
    </w:p>
    <w:p w:rsidR="0039108A" w:rsidRPr="00BE1F94" w:rsidRDefault="0039108A" w:rsidP="0039108A">
      <w:pPr>
        <w:pStyle w:val="Equation"/>
      </w:pPr>
      <w:r>
        <w:tab/>
      </w:r>
      <w:r w:rsidRPr="00BE1F94">
        <w:t>h</w:t>
      </w:r>
      <w:r w:rsidRPr="005B6299">
        <w:rPr>
          <w:vertAlign w:val="subscript"/>
        </w:rPr>
        <w:t>r</w:t>
      </w:r>
      <w:r w:rsidRPr="00BE1F94">
        <w:t xml:space="preserve"> </w:t>
      </w:r>
      <w:r>
        <w:tab/>
      </w:r>
      <w:r w:rsidRPr="00BE1F94">
        <w:t xml:space="preserve">= </w:t>
      </w:r>
      <w:r>
        <w:t>E</w:t>
      </w:r>
      <w:r w:rsidRPr="00BE1F94">
        <w:t>nthalpy of the refrigerated air, Btu/lb</w:t>
      </w:r>
      <w:r>
        <w:t>. Based on 80% RH.</w:t>
      </w:r>
    </w:p>
    <w:p w:rsidR="0039108A" w:rsidRPr="00BE1F94" w:rsidRDefault="0039108A" w:rsidP="0039108A">
      <w:pPr>
        <w:pStyle w:val="Equation"/>
      </w:pPr>
      <w:r>
        <w:tab/>
      </w:r>
      <w:r w:rsidRPr="00544E1D">
        <w:t>ρ</w:t>
      </w:r>
      <w:r w:rsidRPr="005B6299">
        <w:rPr>
          <w:vertAlign w:val="subscript"/>
        </w:rPr>
        <w:t>i</w:t>
      </w:r>
      <w:r w:rsidRPr="00BE1F94">
        <w:t xml:space="preserve"> </w:t>
      </w:r>
      <w:r>
        <w:tab/>
      </w:r>
      <w:r w:rsidRPr="00BE1F94">
        <w:t>= Density of the infiltration air, lb/ft3</w:t>
      </w:r>
      <w:r>
        <w:t>. Based on 55% RH.</w:t>
      </w:r>
    </w:p>
    <w:p w:rsidR="0039108A" w:rsidRPr="00544E1D" w:rsidRDefault="0039108A" w:rsidP="0039108A">
      <w:pPr>
        <w:pStyle w:val="Equation"/>
      </w:pPr>
      <w:r>
        <w:tab/>
      </w:r>
      <w:r w:rsidRPr="00544E1D">
        <w:t>ρ</w:t>
      </w:r>
      <w:r w:rsidRPr="005B6299">
        <w:rPr>
          <w:vertAlign w:val="subscript"/>
        </w:rPr>
        <w:t>r</w:t>
      </w:r>
      <w:r w:rsidRPr="00544E1D">
        <w:t xml:space="preserve"> </w:t>
      </w:r>
      <w:r>
        <w:tab/>
      </w:r>
      <w:r w:rsidRPr="00544E1D">
        <w:t xml:space="preserve">= </w:t>
      </w:r>
      <w:r>
        <w:t>D</w:t>
      </w:r>
      <w:r w:rsidRPr="00544E1D">
        <w:t>ensity of the refrigerated air, lb/ft3</w:t>
      </w:r>
      <w:r>
        <w:t>. Based on 80% RH.</w:t>
      </w:r>
    </w:p>
    <w:p w:rsidR="0039108A" w:rsidRPr="00544E1D" w:rsidRDefault="0039108A" w:rsidP="0039108A">
      <w:pPr>
        <w:pStyle w:val="Equation"/>
      </w:pPr>
      <w:r>
        <w:tab/>
      </w:r>
      <w:r w:rsidRPr="00544E1D">
        <w:t xml:space="preserve">3413 </w:t>
      </w:r>
      <w:r>
        <w:tab/>
      </w:r>
      <w:r w:rsidRPr="00544E1D">
        <w:t xml:space="preserve">= </w:t>
      </w:r>
      <w:r>
        <w:t>Conversion factor: n</w:t>
      </w:r>
      <w:r w:rsidRPr="00544E1D">
        <w:t>umber of BTUs in one kWh</w:t>
      </w:r>
    </w:p>
    <w:p w:rsidR="0039108A" w:rsidRDefault="0039108A" w:rsidP="0039108A">
      <w:pPr>
        <w:pStyle w:val="Equation"/>
      </w:pPr>
      <w:r>
        <w:tab/>
      </w:r>
      <w:r w:rsidRPr="00BE1F94">
        <w:t>COP</w:t>
      </w:r>
      <w:r>
        <w:rPr>
          <w:vertAlign w:val="subscript"/>
        </w:rPr>
        <w:t>adj</w:t>
      </w:r>
      <w:r w:rsidRPr="00BE1F94">
        <w:t xml:space="preserve"> </w:t>
      </w:r>
      <w:r>
        <w:tab/>
      </w:r>
      <w:r w:rsidRPr="00BE1F94">
        <w:t xml:space="preserve">= </w:t>
      </w:r>
      <w:r>
        <w:t>T</w:t>
      </w:r>
      <w:r w:rsidRPr="00BE1F94">
        <w:t>ime-dependent (weather dependent) coefficient of performance of the refrigeration system</w:t>
      </w:r>
      <w:r>
        <w:t>. Based on nominal COP of 1.5 for freezers and 2.5 for coolers.</w:t>
      </w:r>
    </w:p>
    <w:p w:rsidR="0039108A" w:rsidRDefault="0039108A" w:rsidP="0039108A">
      <w:pPr>
        <w:pStyle w:val="Equation"/>
      </w:pPr>
      <w:r>
        <w:tab/>
        <w:t>ETD</w:t>
      </w:r>
      <w:r>
        <w:tab/>
        <w:t>= Average Usage</w:t>
      </w:r>
      <w:r>
        <w:rPr>
          <w:vertAlign w:val="subscript"/>
        </w:rPr>
        <w:t>Peak</w:t>
      </w:r>
      <w:r>
        <w:t xml:space="preserve"> / Annual Energy Usage</w:t>
      </w:r>
    </w:p>
    <w:p w:rsidR="0039108A" w:rsidRDefault="0039108A" w:rsidP="0039108A">
      <w:r w:rsidRPr="00D87D12">
        <w:t xml:space="preserve">The </w:t>
      </w:r>
      <w:r>
        <w:t xml:space="preserve">default savings values are listed in </w:t>
      </w:r>
      <w:r w:rsidR="00274AB1">
        <w:fldChar w:fldCharType="begin"/>
      </w:r>
      <w:r w:rsidR="00274AB1">
        <w:instrText xml:space="preserve"> REF _Ref301909337 \h  \* MERGEFORMAT </w:instrText>
      </w:r>
      <w:r w:rsidR="00274AB1">
        <w:fldChar w:fldCharType="separate"/>
      </w:r>
      <w:r w:rsidR="00C0292F" w:rsidRPr="00443677">
        <w:t xml:space="preserve">Table </w:t>
      </w:r>
      <w:r w:rsidR="00C0292F">
        <w:rPr>
          <w:noProof/>
        </w:rPr>
        <w:t>3</w:t>
      </w:r>
      <w:r w:rsidR="00C0292F">
        <w:rPr>
          <w:noProof/>
        </w:rPr>
        <w:noBreakHyphen/>
        <w:t>56</w:t>
      </w:r>
      <w:r w:rsidR="00274AB1">
        <w:fldChar w:fldCharType="end"/>
      </w:r>
      <w:r w:rsidRPr="00AF2C8F">
        <w:t>. Default</w:t>
      </w:r>
      <w:r>
        <w:t xml:space="preserve"> </w:t>
      </w:r>
      <w:r w:rsidRPr="00D87D12">
        <w:t xml:space="preserve">parameters </w:t>
      </w:r>
      <w:r>
        <w:t>used</w:t>
      </w:r>
      <w:r w:rsidRPr="00D87D12">
        <w:t xml:space="preserve"> </w:t>
      </w:r>
      <w:r>
        <w:t xml:space="preserve">in </w:t>
      </w:r>
      <w:r w:rsidRPr="00D87D12">
        <w:t xml:space="preserve">the </w:t>
      </w:r>
      <w:r>
        <w:t>source</w:t>
      </w:r>
      <w:r w:rsidRPr="00D87D12">
        <w:t xml:space="preserve"> equations are listed </w:t>
      </w:r>
      <w:r w:rsidRPr="00AF2C8F">
        <w:t xml:space="preserve">in </w:t>
      </w:r>
      <w:r w:rsidR="00274AB1">
        <w:fldChar w:fldCharType="begin"/>
      </w:r>
      <w:r w:rsidR="00274AB1">
        <w:instrText xml:space="preserve"> REF _Ref301909393 \h  \* MERGEFOR</w:instrText>
      </w:r>
      <w:r w:rsidR="00274AB1">
        <w:instrText xml:space="preserve">MAT </w:instrText>
      </w:r>
      <w:r w:rsidR="00274AB1">
        <w:fldChar w:fldCharType="separate"/>
      </w:r>
      <w:r w:rsidR="00C0292F">
        <w:t xml:space="preserve">Table </w:t>
      </w:r>
      <w:r w:rsidR="00C0292F">
        <w:rPr>
          <w:noProof/>
        </w:rPr>
        <w:t>3</w:t>
      </w:r>
      <w:r w:rsidR="00C0292F">
        <w:rPr>
          <w:noProof/>
        </w:rPr>
        <w:noBreakHyphen/>
        <w:t>57</w:t>
      </w:r>
      <w:r w:rsidR="00274AB1">
        <w:fldChar w:fldCharType="end"/>
      </w:r>
      <w:r w:rsidRPr="00AF2C8F">
        <w:t xml:space="preserve">, </w:t>
      </w:r>
      <w:r w:rsidR="00274AB1">
        <w:fldChar w:fldCharType="begin"/>
      </w:r>
      <w:r w:rsidR="00274AB1">
        <w:instrText xml:space="preserve"> REF _Ref301896507 \h  \* MERGEFORMAT </w:instrText>
      </w:r>
      <w:r w:rsidR="00274AB1">
        <w:fldChar w:fldCharType="separate"/>
      </w:r>
      <w:r w:rsidR="00C0292F">
        <w:t xml:space="preserve">Table </w:t>
      </w:r>
      <w:r w:rsidR="00C0292F">
        <w:rPr>
          <w:noProof/>
        </w:rPr>
        <w:t>3</w:t>
      </w:r>
      <w:r w:rsidR="00C0292F">
        <w:rPr>
          <w:noProof/>
        </w:rPr>
        <w:noBreakHyphen/>
        <w:t>58</w:t>
      </w:r>
      <w:r w:rsidR="00274AB1">
        <w:fldChar w:fldCharType="end"/>
      </w:r>
      <w:r w:rsidRPr="00AF2C8F">
        <w:t xml:space="preserve">, </w:t>
      </w:r>
      <w:r w:rsidR="00274AB1">
        <w:fldChar w:fldCharType="begin"/>
      </w:r>
      <w:r w:rsidR="00274AB1">
        <w:instrText xml:space="preserve"> REF _Ref301896508 \h  \* MERGEFORMAT </w:instrText>
      </w:r>
      <w:r w:rsidR="00274AB1">
        <w:fldChar w:fldCharType="separate"/>
      </w:r>
      <w:r w:rsidR="00C0292F">
        <w:t xml:space="preserve">Table </w:t>
      </w:r>
      <w:r w:rsidR="00C0292F">
        <w:rPr>
          <w:noProof/>
        </w:rPr>
        <w:t>3</w:t>
      </w:r>
      <w:r w:rsidR="00C0292F">
        <w:rPr>
          <w:noProof/>
        </w:rPr>
        <w:noBreakHyphen/>
        <w:t>59</w:t>
      </w:r>
      <w:r w:rsidR="00274AB1">
        <w:fldChar w:fldCharType="end"/>
      </w:r>
      <w:r w:rsidRPr="00AF2C8F">
        <w:t xml:space="preserve">, and </w:t>
      </w:r>
      <w:r w:rsidR="00274AB1">
        <w:fldChar w:fldCharType="begin"/>
      </w:r>
      <w:r w:rsidR="00274AB1">
        <w:instrText xml:space="preserve"> REF _Ref301896509 \h  \* MERGEFORMAT </w:instrText>
      </w:r>
      <w:r w:rsidR="00274AB1">
        <w:fldChar w:fldCharType="separate"/>
      </w:r>
      <w:r w:rsidR="00C0292F">
        <w:t xml:space="preserve">Table </w:t>
      </w:r>
      <w:r w:rsidR="00C0292F">
        <w:rPr>
          <w:noProof/>
        </w:rPr>
        <w:t>3</w:t>
      </w:r>
      <w:r w:rsidR="00C0292F">
        <w:rPr>
          <w:noProof/>
        </w:rPr>
        <w:noBreakHyphen/>
        <w:t>60</w:t>
      </w:r>
      <w:r w:rsidR="00274AB1">
        <w:fldChar w:fldCharType="end"/>
      </w:r>
      <w:r w:rsidRPr="00AF2C8F">
        <w:t>.  The</w:t>
      </w:r>
      <w:r w:rsidRPr="00D87D12">
        <w:t xml:space="preserve"> </w:t>
      </w:r>
      <w:r>
        <w:t xml:space="preserve">source </w:t>
      </w:r>
      <w:r w:rsidRPr="00D87D12">
        <w:t>equation</w:t>
      </w:r>
      <w:r>
        <w:t>s</w:t>
      </w:r>
      <w:r w:rsidRPr="00D87D12">
        <w:t xml:space="preserve"> and the values for the input parameters are </w:t>
      </w:r>
      <w:r>
        <w:t>adapted</w:t>
      </w:r>
      <w:r w:rsidRPr="00D87D12">
        <w:t xml:space="preserve"> from the 2006-2008 California Public Utility Commission’s evaluation of strip curtains</w:t>
      </w:r>
      <w:bookmarkStart w:id="966" w:name="_Ref260378864"/>
      <w:r>
        <w:rPr>
          <w:rStyle w:val="FootnoteReference"/>
        </w:rPr>
        <w:footnoteReference w:id="189"/>
      </w:r>
      <w:bookmarkEnd w:id="966"/>
      <w:r w:rsidRPr="00D87D12">
        <w:t xml:space="preserve">.  The original work included 8760-hourly bin calculations.  The values used herein represent annual average values.  For example, the differences in the temperature between the refrigerated and infiltrating airs are averaged over all times that the door to the walk-in unit is open. </w:t>
      </w:r>
      <w:r>
        <w:t>Recommendations made by the evaluation team have been adopted to correct for errors observed in the ex ante savings calculation.</w:t>
      </w:r>
      <w:r w:rsidRPr="00D87D12">
        <w:t xml:space="preserve"> </w:t>
      </w:r>
    </w:p>
    <w:p w:rsidR="0039108A" w:rsidRPr="00443677" w:rsidRDefault="0039108A" w:rsidP="0039108A">
      <w:pPr>
        <w:pStyle w:val="Caption"/>
      </w:pPr>
      <w:bookmarkStart w:id="967" w:name="_Ref301909337"/>
      <w:bookmarkStart w:id="968" w:name="_Toc310875608"/>
      <w:r w:rsidRPr="00443677">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56</w:t>
      </w:r>
      <w:r w:rsidR="00274AB1">
        <w:rPr>
          <w:noProof/>
        </w:rPr>
        <w:fldChar w:fldCharType="end"/>
      </w:r>
      <w:bookmarkEnd w:id="967"/>
      <w:r w:rsidRPr="00443677">
        <w:t>: Deemed Energy Savings and Demand Reductions</w:t>
      </w:r>
      <w:r>
        <w:t xml:space="preserve"> for Strip Curtains</w:t>
      </w:r>
      <w:bookmarkEnd w:id="96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98"/>
        <w:gridCol w:w="1890"/>
        <w:gridCol w:w="2034"/>
        <w:gridCol w:w="2034"/>
      </w:tblGrid>
      <w:tr w:rsidR="0039108A" w:rsidRPr="008537DE" w:rsidTr="0039108A">
        <w:trPr>
          <w:trHeight w:val="144"/>
          <w:jc w:val="center"/>
        </w:trPr>
        <w:tc>
          <w:tcPr>
            <w:tcW w:w="2898" w:type="dxa"/>
            <w:shd w:val="clear" w:color="auto" w:fill="BFBFBF"/>
          </w:tcPr>
          <w:p w:rsidR="0039108A" w:rsidRPr="001D6512" w:rsidRDefault="0039108A" w:rsidP="0039108A">
            <w:pPr>
              <w:pStyle w:val="TableCell"/>
              <w:spacing w:before="60" w:after="60"/>
              <w:rPr>
                <w:b/>
                <w:szCs w:val="18"/>
              </w:rPr>
            </w:pPr>
            <w:r w:rsidRPr="001D6512">
              <w:rPr>
                <w:b/>
                <w:szCs w:val="18"/>
              </w:rPr>
              <w:t>Type</w:t>
            </w:r>
          </w:p>
        </w:tc>
        <w:tc>
          <w:tcPr>
            <w:tcW w:w="1890" w:type="dxa"/>
            <w:shd w:val="clear" w:color="auto" w:fill="BFBFBF"/>
          </w:tcPr>
          <w:p w:rsidR="0039108A" w:rsidRPr="001D6512" w:rsidRDefault="0039108A" w:rsidP="0039108A">
            <w:pPr>
              <w:pStyle w:val="TableCell"/>
              <w:spacing w:before="60" w:after="60"/>
              <w:jc w:val="center"/>
              <w:rPr>
                <w:b/>
                <w:szCs w:val="18"/>
              </w:rPr>
            </w:pPr>
            <w:r w:rsidRPr="001D6512">
              <w:rPr>
                <w:b/>
                <w:szCs w:val="18"/>
              </w:rPr>
              <w:t>Pre-existing Curtains</w:t>
            </w:r>
          </w:p>
        </w:tc>
        <w:tc>
          <w:tcPr>
            <w:tcW w:w="2034" w:type="dxa"/>
            <w:shd w:val="clear" w:color="auto" w:fill="BFBFBF"/>
          </w:tcPr>
          <w:p w:rsidR="0039108A" w:rsidRPr="001D6512" w:rsidRDefault="0039108A" w:rsidP="0039108A">
            <w:pPr>
              <w:pStyle w:val="TableCell"/>
              <w:spacing w:before="60" w:after="60"/>
              <w:jc w:val="center"/>
              <w:rPr>
                <w:b/>
                <w:szCs w:val="18"/>
              </w:rPr>
            </w:pPr>
            <w:r w:rsidRPr="001D6512">
              <w:rPr>
                <w:b/>
                <w:szCs w:val="18"/>
              </w:rPr>
              <w:t xml:space="preserve">Energy Savings </w:t>
            </w:r>
            <w:r w:rsidRPr="001D6512">
              <w:rPr>
                <w:b/>
                <w:szCs w:val="18"/>
              </w:rPr>
              <w:sym w:font="Symbol" w:char="F044"/>
            </w:r>
            <w:r w:rsidRPr="001D6512">
              <w:rPr>
                <w:b/>
                <w:szCs w:val="18"/>
              </w:rPr>
              <w:t>kWh/sqft</w:t>
            </w:r>
          </w:p>
        </w:tc>
        <w:tc>
          <w:tcPr>
            <w:tcW w:w="2034" w:type="dxa"/>
            <w:shd w:val="clear" w:color="auto" w:fill="BFBFBF"/>
          </w:tcPr>
          <w:p w:rsidR="0039108A" w:rsidRPr="001D6512" w:rsidRDefault="0039108A" w:rsidP="0039108A">
            <w:pPr>
              <w:pStyle w:val="TableCell"/>
              <w:spacing w:before="60" w:after="60"/>
              <w:jc w:val="center"/>
              <w:rPr>
                <w:b/>
                <w:szCs w:val="18"/>
              </w:rPr>
            </w:pPr>
            <w:r w:rsidRPr="001D6512">
              <w:rPr>
                <w:b/>
                <w:szCs w:val="18"/>
              </w:rPr>
              <w:t xml:space="preserve">Demand Savings </w:t>
            </w:r>
            <w:r w:rsidRPr="001D6512">
              <w:rPr>
                <w:b/>
                <w:szCs w:val="18"/>
              </w:rPr>
              <w:sym w:font="Symbol" w:char="F044"/>
            </w:r>
            <w:r w:rsidRPr="001D6512">
              <w:rPr>
                <w:b/>
                <w:szCs w:val="18"/>
              </w:rPr>
              <w:t>kW/sqft</w:t>
            </w:r>
          </w:p>
        </w:tc>
      </w:tr>
      <w:tr w:rsidR="0039108A" w:rsidRPr="00B543A5" w:rsidTr="0039108A">
        <w:trPr>
          <w:trHeight w:val="368"/>
          <w:jc w:val="center"/>
        </w:trPr>
        <w:tc>
          <w:tcPr>
            <w:tcW w:w="2898" w:type="dxa"/>
          </w:tcPr>
          <w:p w:rsidR="0039108A" w:rsidRPr="00B543A5" w:rsidRDefault="0039108A" w:rsidP="0039108A">
            <w:pPr>
              <w:spacing w:before="60" w:after="60"/>
              <w:rPr>
                <w:sz w:val="18"/>
                <w:szCs w:val="18"/>
              </w:rPr>
            </w:pPr>
            <w:r w:rsidRPr="00DA276F">
              <w:rPr>
                <w:sz w:val="18"/>
                <w:szCs w:val="18"/>
              </w:rPr>
              <w:t>Supermarket - Cooler</w:t>
            </w:r>
          </w:p>
        </w:tc>
        <w:tc>
          <w:tcPr>
            <w:tcW w:w="1890" w:type="dxa"/>
          </w:tcPr>
          <w:p w:rsidR="0039108A" w:rsidRPr="00B543A5" w:rsidRDefault="0039108A" w:rsidP="0039108A">
            <w:pPr>
              <w:spacing w:before="60" w:after="60"/>
              <w:rPr>
                <w:sz w:val="18"/>
                <w:szCs w:val="18"/>
              </w:rPr>
            </w:pPr>
            <w:r w:rsidRPr="00DA276F">
              <w:rPr>
                <w:sz w:val="18"/>
                <w:szCs w:val="18"/>
              </w:rPr>
              <w:t>Yes</w:t>
            </w:r>
          </w:p>
        </w:tc>
        <w:tc>
          <w:tcPr>
            <w:tcW w:w="2034" w:type="dxa"/>
          </w:tcPr>
          <w:p w:rsidR="0039108A" w:rsidRDefault="0039108A" w:rsidP="0039108A">
            <w:pPr>
              <w:spacing w:before="60" w:after="60"/>
              <w:jc w:val="right"/>
              <w:rPr>
                <w:sz w:val="18"/>
                <w:szCs w:val="18"/>
              </w:rPr>
            </w:pPr>
            <w:r w:rsidRPr="00DA276F">
              <w:rPr>
                <w:sz w:val="18"/>
                <w:szCs w:val="18"/>
              </w:rPr>
              <w:t xml:space="preserve"> 37 </w:t>
            </w:r>
          </w:p>
        </w:tc>
        <w:tc>
          <w:tcPr>
            <w:tcW w:w="2034" w:type="dxa"/>
          </w:tcPr>
          <w:p w:rsidR="0039108A" w:rsidRDefault="0039108A" w:rsidP="0039108A">
            <w:pPr>
              <w:spacing w:before="60" w:after="60"/>
              <w:jc w:val="right"/>
              <w:rPr>
                <w:sz w:val="18"/>
                <w:szCs w:val="18"/>
              </w:rPr>
            </w:pPr>
            <w:r w:rsidRPr="00DA276F">
              <w:rPr>
                <w:sz w:val="18"/>
                <w:szCs w:val="18"/>
              </w:rPr>
              <w:t>0.0042</w:t>
            </w:r>
          </w:p>
        </w:tc>
      </w:tr>
      <w:tr w:rsidR="0039108A" w:rsidRPr="00B543A5" w:rsidTr="0039108A">
        <w:trPr>
          <w:trHeight w:val="144"/>
          <w:jc w:val="center"/>
        </w:trPr>
        <w:tc>
          <w:tcPr>
            <w:tcW w:w="2898" w:type="dxa"/>
          </w:tcPr>
          <w:p w:rsidR="0039108A" w:rsidRPr="00B543A5" w:rsidRDefault="0039108A" w:rsidP="0039108A">
            <w:pPr>
              <w:spacing w:before="60" w:after="60"/>
              <w:rPr>
                <w:sz w:val="18"/>
                <w:szCs w:val="18"/>
              </w:rPr>
            </w:pPr>
            <w:r w:rsidRPr="00DA276F">
              <w:rPr>
                <w:sz w:val="18"/>
                <w:szCs w:val="18"/>
              </w:rPr>
              <w:t>Supermarket - Cooler</w:t>
            </w:r>
          </w:p>
        </w:tc>
        <w:tc>
          <w:tcPr>
            <w:tcW w:w="1890" w:type="dxa"/>
          </w:tcPr>
          <w:p w:rsidR="0039108A" w:rsidRPr="00B543A5" w:rsidRDefault="0039108A" w:rsidP="0039108A">
            <w:pPr>
              <w:spacing w:before="60" w:after="60"/>
              <w:rPr>
                <w:sz w:val="18"/>
                <w:szCs w:val="18"/>
              </w:rPr>
            </w:pPr>
            <w:r w:rsidRPr="00DA276F">
              <w:rPr>
                <w:sz w:val="18"/>
                <w:szCs w:val="18"/>
              </w:rPr>
              <w:t>No</w:t>
            </w:r>
          </w:p>
        </w:tc>
        <w:tc>
          <w:tcPr>
            <w:tcW w:w="2034" w:type="dxa"/>
          </w:tcPr>
          <w:p w:rsidR="0039108A" w:rsidRDefault="0039108A" w:rsidP="0039108A">
            <w:pPr>
              <w:spacing w:before="60" w:after="60"/>
              <w:jc w:val="right"/>
              <w:rPr>
                <w:sz w:val="18"/>
                <w:szCs w:val="18"/>
              </w:rPr>
            </w:pPr>
            <w:r w:rsidRPr="00DA276F">
              <w:rPr>
                <w:sz w:val="18"/>
                <w:szCs w:val="18"/>
              </w:rPr>
              <w:t xml:space="preserve"> 108 </w:t>
            </w:r>
          </w:p>
        </w:tc>
        <w:tc>
          <w:tcPr>
            <w:tcW w:w="2034" w:type="dxa"/>
          </w:tcPr>
          <w:p w:rsidR="0039108A" w:rsidRDefault="0039108A" w:rsidP="0039108A">
            <w:pPr>
              <w:spacing w:before="60" w:after="60"/>
              <w:jc w:val="right"/>
              <w:rPr>
                <w:sz w:val="18"/>
                <w:szCs w:val="18"/>
              </w:rPr>
            </w:pPr>
            <w:r w:rsidRPr="00DA276F">
              <w:rPr>
                <w:sz w:val="18"/>
                <w:szCs w:val="18"/>
              </w:rPr>
              <w:t>0.0123</w:t>
            </w:r>
          </w:p>
        </w:tc>
      </w:tr>
      <w:tr w:rsidR="0039108A" w:rsidRPr="00B543A5" w:rsidTr="0039108A">
        <w:trPr>
          <w:trHeight w:val="144"/>
          <w:jc w:val="center"/>
        </w:trPr>
        <w:tc>
          <w:tcPr>
            <w:tcW w:w="2898" w:type="dxa"/>
          </w:tcPr>
          <w:p w:rsidR="0039108A" w:rsidRPr="00B543A5" w:rsidRDefault="0039108A" w:rsidP="0039108A">
            <w:pPr>
              <w:spacing w:before="60" w:after="60"/>
              <w:rPr>
                <w:sz w:val="18"/>
                <w:szCs w:val="18"/>
              </w:rPr>
            </w:pPr>
            <w:r w:rsidRPr="00DA276F">
              <w:rPr>
                <w:sz w:val="18"/>
                <w:szCs w:val="18"/>
              </w:rPr>
              <w:t>Supermarket - Cooler</w:t>
            </w:r>
          </w:p>
        </w:tc>
        <w:tc>
          <w:tcPr>
            <w:tcW w:w="1890" w:type="dxa"/>
          </w:tcPr>
          <w:p w:rsidR="0039108A" w:rsidRPr="00B543A5" w:rsidRDefault="0039108A" w:rsidP="0039108A">
            <w:pPr>
              <w:spacing w:before="60" w:after="60"/>
              <w:rPr>
                <w:sz w:val="18"/>
                <w:szCs w:val="18"/>
              </w:rPr>
            </w:pPr>
            <w:r w:rsidRPr="00DA276F">
              <w:rPr>
                <w:sz w:val="18"/>
                <w:szCs w:val="18"/>
              </w:rPr>
              <w:t>Unknown</w:t>
            </w:r>
          </w:p>
        </w:tc>
        <w:tc>
          <w:tcPr>
            <w:tcW w:w="2034" w:type="dxa"/>
          </w:tcPr>
          <w:p w:rsidR="0039108A" w:rsidRDefault="0039108A" w:rsidP="0039108A">
            <w:pPr>
              <w:spacing w:before="60" w:after="60"/>
              <w:jc w:val="right"/>
              <w:rPr>
                <w:sz w:val="18"/>
                <w:szCs w:val="18"/>
              </w:rPr>
            </w:pPr>
            <w:r w:rsidRPr="00DA276F">
              <w:rPr>
                <w:sz w:val="18"/>
                <w:szCs w:val="18"/>
              </w:rPr>
              <w:t xml:space="preserve"> 108 </w:t>
            </w:r>
          </w:p>
        </w:tc>
        <w:tc>
          <w:tcPr>
            <w:tcW w:w="2034" w:type="dxa"/>
          </w:tcPr>
          <w:p w:rsidR="0039108A" w:rsidRDefault="0039108A" w:rsidP="0039108A">
            <w:pPr>
              <w:spacing w:before="60" w:after="60"/>
              <w:jc w:val="right"/>
              <w:rPr>
                <w:sz w:val="18"/>
                <w:szCs w:val="18"/>
              </w:rPr>
            </w:pPr>
            <w:r w:rsidRPr="00DA276F">
              <w:rPr>
                <w:sz w:val="18"/>
                <w:szCs w:val="18"/>
              </w:rPr>
              <w:t>0.0123</w:t>
            </w:r>
          </w:p>
        </w:tc>
      </w:tr>
      <w:tr w:rsidR="0039108A" w:rsidRPr="00B543A5" w:rsidTr="0039108A">
        <w:trPr>
          <w:trHeight w:val="144"/>
          <w:jc w:val="center"/>
        </w:trPr>
        <w:tc>
          <w:tcPr>
            <w:tcW w:w="2898" w:type="dxa"/>
          </w:tcPr>
          <w:p w:rsidR="0039108A" w:rsidRPr="00B543A5" w:rsidRDefault="0039108A" w:rsidP="0039108A">
            <w:pPr>
              <w:spacing w:before="60" w:after="60"/>
              <w:rPr>
                <w:sz w:val="18"/>
                <w:szCs w:val="18"/>
              </w:rPr>
            </w:pPr>
            <w:r w:rsidRPr="00DA276F">
              <w:rPr>
                <w:sz w:val="18"/>
                <w:szCs w:val="18"/>
              </w:rPr>
              <w:t>Supermarket - Freezer</w:t>
            </w:r>
          </w:p>
        </w:tc>
        <w:tc>
          <w:tcPr>
            <w:tcW w:w="1890" w:type="dxa"/>
          </w:tcPr>
          <w:p w:rsidR="0039108A" w:rsidRPr="00B543A5" w:rsidRDefault="0039108A" w:rsidP="0039108A">
            <w:pPr>
              <w:spacing w:before="60" w:after="60"/>
              <w:rPr>
                <w:sz w:val="18"/>
                <w:szCs w:val="18"/>
              </w:rPr>
            </w:pPr>
            <w:r w:rsidRPr="00DA276F">
              <w:rPr>
                <w:sz w:val="18"/>
                <w:szCs w:val="18"/>
              </w:rPr>
              <w:t>Yes</w:t>
            </w:r>
          </w:p>
        </w:tc>
        <w:tc>
          <w:tcPr>
            <w:tcW w:w="2034" w:type="dxa"/>
          </w:tcPr>
          <w:p w:rsidR="0039108A" w:rsidRDefault="0039108A" w:rsidP="0039108A">
            <w:pPr>
              <w:spacing w:before="60" w:after="60"/>
              <w:jc w:val="right"/>
              <w:rPr>
                <w:sz w:val="18"/>
                <w:szCs w:val="18"/>
              </w:rPr>
            </w:pPr>
            <w:r w:rsidRPr="00DA276F">
              <w:rPr>
                <w:sz w:val="18"/>
                <w:szCs w:val="18"/>
              </w:rPr>
              <w:t xml:space="preserve"> 119 </w:t>
            </w:r>
          </w:p>
        </w:tc>
        <w:tc>
          <w:tcPr>
            <w:tcW w:w="2034" w:type="dxa"/>
          </w:tcPr>
          <w:p w:rsidR="0039108A" w:rsidRDefault="0039108A" w:rsidP="0039108A">
            <w:pPr>
              <w:spacing w:before="60" w:after="60"/>
              <w:jc w:val="right"/>
              <w:rPr>
                <w:sz w:val="18"/>
                <w:szCs w:val="18"/>
              </w:rPr>
            </w:pPr>
            <w:r w:rsidRPr="00DA276F">
              <w:rPr>
                <w:sz w:val="18"/>
                <w:szCs w:val="18"/>
              </w:rPr>
              <w:t>0.0136</w:t>
            </w:r>
          </w:p>
        </w:tc>
      </w:tr>
      <w:tr w:rsidR="0039108A" w:rsidRPr="00B543A5" w:rsidTr="0039108A">
        <w:trPr>
          <w:trHeight w:val="144"/>
          <w:jc w:val="center"/>
        </w:trPr>
        <w:tc>
          <w:tcPr>
            <w:tcW w:w="2898" w:type="dxa"/>
          </w:tcPr>
          <w:p w:rsidR="0039108A" w:rsidRPr="00B543A5" w:rsidRDefault="0039108A" w:rsidP="0039108A">
            <w:pPr>
              <w:spacing w:before="60" w:after="60"/>
              <w:rPr>
                <w:sz w:val="18"/>
                <w:szCs w:val="18"/>
              </w:rPr>
            </w:pPr>
            <w:r w:rsidRPr="00DA276F">
              <w:rPr>
                <w:sz w:val="18"/>
                <w:szCs w:val="18"/>
              </w:rPr>
              <w:t>Supermarket - Freezer</w:t>
            </w:r>
          </w:p>
        </w:tc>
        <w:tc>
          <w:tcPr>
            <w:tcW w:w="1890" w:type="dxa"/>
          </w:tcPr>
          <w:p w:rsidR="0039108A" w:rsidRPr="00B543A5" w:rsidRDefault="0039108A" w:rsidP="0039108A">
            <w:pPr>
              <w:spacing w:before="60" w:after="60"/>
              <w:rPr>
                <w:sz w:val="18"/>
                <w:szCs w:val="18"/>
              </w:rPr>
            </w:pPr>
            <w:r w:rsidRPr="00DA276F">
              <w:rPr>
                <w:sz w:val="18"/>
                <w:szCs w:val="18"/>
              </w:rPr>
              <w:t>No</w:t>
            </w:r>
          </w:p>
        </w:tc>
        <w:tc>
          <w:tcPr>
            <w:tcW w:w="2034" w:type="dxa"/>
          </w:tcPr>
          <w:p w:rsidR="0039108A" w:rsidRDefault="0039108A" w:rsidP="0039108A">
            <w:pPr>
              <w:spacing w:before="60" w:after="60"/>
              <w:jc w:val="right"/>
              <w:rPr>
                <w:sz w:val="18"/>
                <w:szCs w:val="18"/>
              </w:rPr>
            </w:pPr>
            <w:r w:rsidRPr="00DA276F">
              <w:rPr>
                <w:sz w:val="18"/>
                <w:szCs w:val="18"/>
              </w:rPr>
              <w:t xml:space="preserve"> 349 </w:t>
            </w:r>
          </w:p>
        </w:tc>
        <w:tc>
          <w:tcPr>
            <w:tcW w:w="2034" w:type="dxa"/>
          </w:tcPr>
          <w:p w:rsidR="0039108A" w:rsidRDefault="0039108A" w:rsidP="0039108A">
            <w:pPr>
              <w:spacing w:before="60" w:after="60"/>
              <w:jc w:val="right"/>
              <w:rPr>
                <w:sz w:val="18"/>
                <w:szCs w:val="18"/>
              </w:rPr>
            </w:pPr>
            <w:r w:rsidRPr="00DA276F">
              <w:rPr>
                <w:sz w:val="18"/>
                <w:szCs w:val="18"/>
              </w:rPr>
              <w:t>0.0398</w:t>
            </w:r>
          </w:p>
        </w:tc>
      </w:tr>
      <w:tr w:rsidR="0039108A" w:rsidRPr="00B543A5" w:rsidTr="0039108A">
        <w:trPr>
          <w:trHeight w:val="144"/>
          <w:jc w:val="center"/>
        </w:trPr>
        <w:tc>
          <w:tcPr>
            <w:tcW w:w="2898" w:type="dxa"/>
          </w:tcPr>
          <w:p w:rsidR="0039108A" w:rsidRPr="00B543A5" w:rsidRDefault="0039108A" w:rsidP="0039108A">
            <w:pPr>
              <w:spacing w:before="60" w:after="60"/>
              <w:rPr>
                <w:sz w:val="18"/>
                <w:szCs w:val="18"/>
              </w:rPr>
            </w:pPr>
            <w:r w:rsidRPr="00DA276F">
              <w:rPr>
                <w:sz w:val="18"/>
                <w:szCs w:val="18"/>
              </w:rPr>
              <w:t>Supermarket - Freezer</w:t>
            </w:r>
          </w:p>
        </w:tc>
        <w:tc>
          <w:tcPr>
            <w:tcW w:w="1890" w:type="dxa"/>
          </w:tcPr>
          <w:p w:rsidR="0039108A" w:rsidRPr="00B543A5" w:rsidRDefault="0039108A" w:rsidP="0039108A">
            <w:pPr>
              <w:spacing w:before="60" w:after="60"/>
              <w:rPr>
                <w:sz w:val="18"/>
                <w:szCs w:val="18"/>
              </w:rPr>
            </w:pPr>
            <w:r w:rsidRPr="00DA276F">
              <w:rPr>
                <w:sz w:val="18"/>
                <w:szCs w:val="18"/>
              </w:rPr>
              <w:t>Unknown</w:t>
            </w:r>
          </w:p>
        </w:tc>
        <w:tc>
          <w:tcPr>
            <w:tcW w:w="2034" w:type="dxa"/>
          </w:tcPr>
          <w:p w:rsidR="0039108A" w:rsidRDefault="0039108A" w:rsidP="0039108A">
            <w:pPr>
              <w:spacing w:before="60" w:after="60"/>
              <w:jc w:val="right"/>
              <w:rPr>
                <w:sz w:val="18"/>
                <w:szCs w:val="18"/>
              </w:rPr>
            </w:pPr>
            <w:r w:rsidRPr="00DA276F">
              <w:rPr>
                <w:sz w:val="18"/>
                <w:szCs w:val="18"/>
              </w:rPr>
              <w:t xml:space="preserve"> 349 </w:t>
            </w:r>
          </w:p>
        </w:tc>
        <w:tc>
          <w:tcPr>
            <w:tcW w:w="2034" w:type="dxa"/>
          </w:tcPr>
          <w:p w:rsidR="0039108A" w:rsidRDefault="0039108A" w:rsidP="0039108A">
            <w:pPr>
              <w:spacing w:before="60" w:after="60"/>
              <w:jc w:val="right"/>
              <w:rPr>
                <w:sz w:val="18"/>
                <w:szCs w:val="18"/>
              </w:rPr>
            </w:pPr>
            <w:r w:rsidRPr="00DA276F">
              <w:rPr>
                <w:sz w:val="18"/>
                <w:szCs w:val="18"/>
              </w:rPr>
              <w:t>0.0398</w:t>
            </w:r>
          </w:p>
        </w:tc>
      </w:tr>
      <w:tr w:rsidR="0039108A" w:rsidRPr="00B543A5" w:rsidTr="0039108A">
        <w:trPr>
          <w:trHeight w:val="144"/>
          <w:jc w:val="center"/>
        </w:trPr>
        <w:tc>
          <w:tcPr>
            <w:tcW w:w="2898" w:type="dxa"/>
          </w:tcPr>
          <w:p w:rsidR="0039108A" w:rsidRPr="00B543A5" w:rsidRDefault="0039108A" w:rsidP="0039108A">
            <w:pPr>
              <w:spacing w:before="60" w:after="60"/>
              <w:rPr>
                <w:sz w:val="18"/>
                <w:szCs w:val="18"/>
              </w:rPr>
            </w:pPr>
            <w:r w:rsidRPr="00DA276F">
              <w:rPr>
                <w:sz w:val="18"/>
                <w:szCs w:val="18"/>
              </w:rPr>
              <w:t>Convenience Store - Cooler</w:t>
            </w:r>
          </w:p>
        </w:tc>
        <w:tc>
          <w:tcPr>
            <w:tcW w:w="1890" w:type="dxa"/>
          </w:tcPr>
          <w:p w:rsidR="0039108A" w:rsidRPr="00B543A5" w:rsidRDefault="0039108A" w:rsidP="0039108A">
            <w:pPr>
              <w:spacing w:before="60" w:after="60"/>
              <w:rPr>
                <w:sz w:val="18"/>
                <w:szCs w:val="18"/>
              </w:rPr>
            </w:pPr>
            <w:r w:rsidRPr="00DA276F">
              <w:rPr>
                <w:sz w:val="18"/>
                <w:szCs w:val="18"/>
              </w:rPr>
              <w:t>Yes</w:t>
            </w:r>
          </w:p>
        </w:tc>
        <w:tc>
          <w:tcPr>
            <w:tcW w:w="2034" w:type="dxa"/>
          </w:tcPr>
          <w:p w:rsidR="0039108A" w:rsidRDefault="0039108A" w:rsidP="0039108A">
            <w:pPr>
              <w:spacing w:before="60" w:after="60"/>
              <w:jc w:val="right"/>
              <w:rPr>
                <w:sz w:val="18"/>
                <w:szCs w:val="18"/>
              </w:rPr>
            </w:pPr>
            <w:r w:rsidRPr="00DA276F">
              <w:rPr>
                <w:sz w:val="18"/>
                <w:szCs w:val="18"/>
              </w:rPr>
              <w:t xml:space="preserve"> 5 </w:t>
            </w:r>
          </w:p>
        </w:tc>
        <w:tc>
          <w:tcPr>
            <w:tcW w:w="2034" w:type="dxa"/>
          </w:tcPr>
          <w:p w:rsidR="0039108A" w:rsidRDefault="0039108A" w:rsidP="0039108A">
            <w:pPr>
              <w:spacing w:before="60" w:after="60"/>
              <w:jc w:val="right"/>
              <w:rPr>
                <w:sz w:val="18"/>
                <w:szCs w:val="18"/>
              </w:rPr>
            </w:pPr>
            <w:r w:rsidRPr="00DA276F">
              <w:rPr>
                <w:sz w:val="18"/>
                <w:szCs w:val="18"/>
              </w:rPr>
              <w:t>0.0006</w:t>
            </w:r>
          </w:p>
        </w:tc>
      </w:tr>
      <w:tr w:rsidR="0039108A" w:rsidRPr="00B543A5" w:rsidTr="0039108A">
        <w:trPr>
          <w:trHeight w:val="144"/>
          <w:jc w:val="center"/>
        </w:trPr>
        <w:tc>
          <w:tcPr>
            <w:tcW w:w="2898" w:type="dxa"/>
          </w:tcPr>
          <w:p w:rsidR="0039108A" w:rsidRPr="00B543A5" w:rsidRDefault="0039108A" w:rsidP="0039108A">
            <w:pPr>
              <w:spacing w:before="60" w:after="60"/>
              <w:rPr>
                <w:sz w:val="18"/>
                <w:szCs w:val="18"/>
              </w:rPr>
            </w:pPr>
            <w:r w:rsidRPr="00DA276F">
              <w:rPr>
                <w:sz w:val="18"/>
                <w:szCs w:val="18"/>
              </w:rPr>
              <w:t>Convenience Store - Cooler</w:t>
            </w:r>
          </w:p>
        </w:tc>
        <w:tc>
          <w:tcPr>
            <w:tcW w:w="1890" w:type="dxa"/>
          </w:tcPr>
          <w:p w:rsidR="0039108A" w:rsidRPr="00B543A5" w:rsidRDefault="0039108A" w:rsidP="0039108A">
            <w:pPr>
              <w:spacing w:before="60" w:after="60"/>
              <w:rPr>
                <w:sz w:val="18"/>
                <w:szCs w:val="18"/>
              </w:rPr>
            </w:pPr>
            <w:r w:rsidRPr="00DA276F">
              <w:rPr>
                <w:sz w:val="18"/>
                <w:szCs w:val="18"/>
              </w:rPr>
              <w:t>No</w:t>
            </w:r>
          </w:p>
        </w:tc>
        <w:tc>
          <w:tcPr>
            <w:tcW w:w="2034" w:type="dxa"/>
          </w:tcPr>
          <w:p w:rsidR="0039108A" w:rsidRDefault="0039108A" w:rsidP="0039108A">
            <w:pPr>
              <w:spacing w:before="60" w:after="60"/>
              <w:jc w:val="right"/>
              <w:rPr>
                <w:sz w:val="18"/>
                <w:szCs w:val="18"/>
              </w:rPr>
            </w:pPr>
            <w:r w:rsidRPr="00DA276F">
              <w:rPr>
                <w:sz w:val="18"/>
                <w:szCs w:val="18"/>
              </w:rPr>
              <w:t xml:space="preserve"> 20 </w:t>
            </w:r>
          </w:p>
        </w:tc>
        <w:tc>
          <w:tcPr>
            <w:tcW w:w="2034" w:type="dxa"/>
          </w:tcPr>
          <w:p w:rsidR="0039108A" w:rsidRDefault="0039108A" w:rsidP="0039108A">
            <w:pPr>
              <w:spacing w:before="60" w:after="60"/>
              <w:jc w:val="right"/>
              <w:rPr>
                <w:sz w:val="18"/>
                <w:szCs w:val="18"/>
              </w:rPr>
            </w:pPr>
            <w:r w:rsidRPr="00DA276F">
              <w:rPr>
                <w:sz w:val="18"/>
                <w:szCs w:val="18"/>
              </w:rPr>
              <w:t>0.0023</w:t>
            </w:r>
          </w:p>
        </w:tc>
      </w:tr>
      <w:tr w:rsidR="0039108A" w:rsidRPr="00B543A5" w:rsidTr="0039108A">
        <w:trPr>
          <w:trHeight w:val="144"/>
          <w:jc w:val="center"/>
        </w:trPr>
        <w:tc>
          <w:tcPr>
            <w:tcW w:w="2898" w:type="dxa"/>
          </w:tcPr>
          <w:p w:rsidR="0039108A" w:rsidRPr="00B543A5" w:rsidRDefault="0039108A" w:rsidP="0039108A">
            <w:pPr>
              <w:spacing w:before="60" w:after="60"/>
              <w:rPr>
                <w:sz w:val="18"/>
                <w:szCs w:val="18"/>
              </w:rPr>
            </w:pPr>
            <w:r w:rsidRPr="00DA276F">
              <w:rPr>
                <w:sz w:val="18"/>
                <w:szCs w:val="18"/>
              </w:rPr>
              <w:t>Convenience Store - Cooler</w:t>
            </w:r>
          </w:p>
        </w:tc>
        <w:tc>
          <w:tcPr>
            <w:tcW w:w="1890" w:type="dxa"/>
          </w:tcPr>
          <w:p w:rsidR="0039108A" w:rsidRPr="00B543A5" w:rsidRDefault="0039108A" w:rsidP="0039108A">
            <w:pPr>
              <w:spacing w:before="60" w:after="60"/>
              <w:rPr>
                <w:sz w:val="18"/>
                <w:szCs w:val="18"/>
              </w:rPr>
            </w:pPr>
            <w:r w:rsidRPr="00DA276F">
              <w:rPr>
                <w:sz w:val="18"/>
                <w:szCs w:val="18"/>
              </w:rPr>
              <w:t>Unknown</w:t>
            </w:r>
          </w:p>
        </w:tc>
        <w:tc>
          <w:tcPr>
            <w:tcW w:w="2034" w:type="dxa"/>
          </w:tcPr>
          <w:p w:rsidR="0039108A" w:rsidRDefault="0039108A" w:rsidP="0039108A">
            <w:pPr>
              <w:spacing w:before="60" w:after="60"/>
              <w:jc w:val="right"/>
              <w:rPr>
                <w:sz w:val="18"/>
                <w:szCs w:val="18"/>
              </w:rPr>
            </w:pPr>
            <w:r w:rsidRPr="00DA276F">
              <w:rPr>
                <w:sz w:val="18"/>
                <w:szCs w:val="18"/>
              </w:rPr>
              <w:t xml:space="preserve"> 11 </w:t>
            </w:r>
          </w:p>
        </w:tc>
        <w:tc>
          <w:tcPr>
            <w:tcW w:w="2034" w:type="dxa"/>
          </w:tcPr>
          <w:p w:rsidR="0039108A" w:rsidRDefault="0039108A" w:rsidP="0039108A">
            <w:pPr>
              <w:spacing w:before="60" w:after="60"/>
              <w:jc w:val="right"/>
              <w:rPr>
                <w:sz w:val="18"/>
                <w:szCs w:val="18"/>
              </w:rPr>
            </w:pPr>
            <w:r w:rsidRPr="00DA276F">
              <w:rPr>
                <w:sz w:val="18"/>
                <w:szCs w:val="18"/>
              </w:rPr>
              <w:t>0.0013</w:t>
            </w:r>
          </w:p>
        </w:tc>
      </w:tr>
      <w:tr w:rsidR="0039108A" w:rsidRPr="00B543A5" w:rsidTr="0039108A">
        <w:trPr>
          <w:trHeight w:val="144"/>
          <w:jc w:val="center"/>
        </w:trPr>
        <w:tc>
          <w:tcPr>
            <w:tcW w:w="2898" w:type="dxa"/>
          </w:tcPr>
          <w:p w:rsidR="0039108A" w:rsidRPr="00B543A5" w:rsidRDefault="0039108A" w:rsidP="0039108A">
            <w:pPr>
              <w:spacing w:before="60" w:after="60"/>
              <w:rPr>
                <w:sz w:val="18"/>
                <w:szCs w:val="18"/>
              </w:rPr>
            </w:pPr>
            <w:r w:rsidRPr="00DA276F">
              <w:rPr>
                <w:sz w:val="18"/>
                <w:szCs w:val="18"/>
              </w:rPr>
              <w:t>Convenience Store - Freezer</w:t>
            </w:r>
          </w:p>
        </w:tc>
        <w:tc>
          <w:tcPr>
            <w:tcW w:w="1890" w:type="dxa"/>
          </w:tcPr>
          <w:p w:rsidR="0039108A" w:rsidRPr="00B543A5" w:rsidRDefault="0039108A" w:rsidP="0039108A">
            <w:pPr>
              <w:spacing w:before="60" w:after="60"/>
              <w:rPr>
                <w:sz w:val="18"/>
                <w:szCs w:val="18"/>
              </w:rPr>
            </w:pPr>
            <w:r w:rsidRPr="00DA276F">
              <w:rPr>
                <w:sz w:val="18"/>
                <w:szCs w:val="18"/>
              </w:rPr>
              <w:t>Yes</w:t>
            </w:r>
          </w:p>
        </w:tc>
        <w:tc>
          <w:tcPr>
            <w:tcW w:w="2034" w:type="dxa"/>
          </w:tcPr>
          <w:p w:rsidR="0039108A" w:rsidRDefault="0039108A" w:rsidP="0039108A">
            <w:pPr>
              <w:spacing w:before="60" w:after="60"/>
              <w:jc w:val="right"/>
              <w:rPr>
                <w:sz w:val="18"/>
                <w:szCs w:val="18"/>
              </w:rPr>
            </w:pPr>
            <w:r w:rsidRPr="00DA276F">
              <w:rPr>
                <w:sz w:val="18"/>
                <w:szCs w:val="18"/>
              </w:rPr>
              <w:t xml:space="preserve"> 8 </w:t>
            </w:r>
          </w:p>
        </w:tc>
        <w:tc>
          <w:tcPr>
            <w:tcW w:w="2034" w:type="dxa"/>
          </w:tcPr>
          <w:p w:rsidR="0039108A" w:rsidRDefault="0039108A" w:rsidP="0039108A">
            <w:pPr>
              <w:spacing w:before="60" w:after="60"/>
              <w:jc w:val="right"/>
              <w:rPr>
                <w:sz w:val="18"/>
                <w:szCs w:val="18"/>
              </w:rPr>
            </w:pPr>
            <w:r w:rsidRPr="00DA276F">
              <w:rPr>
                <w:sz w:val="18"/>
                <w:szCs w:val="18"/>
              </w:rPr>
              <w:t>0.0009</w:t>
            </w:r>
          </w:p>
        </w:tc>
      </w:tr>
      <w:tr w:rsidR="0039108A" w:rsidRPr="00B543A5" w:rsidTr="0039108A">
        <w:trPr>
          <w:trHeight w:val="144"/>
          <w:jc w:val="center"/>
        </w:trPr>
        <w:tc>
          <w:tcPr>
            <w:tcW w:w="2898" w:type="dxa"/>
          </w:tcPr>
          <w:p w:rsidR="0039108A" w:rsidRPr="00B543A5" w:rsidRDefault="0039108A" w:rsidP="0039108A">
            <w:pPr>
              <w:spacing w:before="60" w:after="60"/>
              <w:rPr>
                <w:sz w:val="18"/>
                <w:szCs w:val="18"/>
              </w:rPr>
            </w:pPr>
            <w:r w:rsidRPr="00DA276F">
              <w:rPr>
                <w:sz w:val="18"/>
                <w:szCs w:val="18"/>
              </w:rPr>
              <w:t>Convenience Store - Freezer</w:t>
            </w:r>
          </w:p>
        </w:tc>
        <w:tc>
          <w:tcPr>
            <w:tcW w:w="1890" w:type="dxa"/>
          </w:tcPr>
          <w:p w:rsidR="0039108A" w:rsidRPr="00B543A5" w:rsidRDefault="0039108A" w:rsidP="0039108A">
            <w:pPr>
              <w:spacing w:before="60" w:after="60"/>
              <w:rPr>
                <w:sz w:val="18"/>
                <w:szCs w:val="18"/>
              </w:rPr>
            </w:pPr>
            <w:r w:rsidRPr="00DA276F">
              <w:rPr>
                <w:sz w:val="18"/>
                <w:szCs w:val="18"/>
              </w:rPr>
              <w:t>No</w:t>
            </w:r>
          </w:p>
        </w:tc>
        <w:tc>
          <w:tcPr>
            <w:tcW w:w="2034" w:type="dxa"/>
          </w:tcPr>
          <w:p w:rsidR="0039108A" w:rsidRDefault="0039108A" w:rsidP="0039108A">
            <w:pPr>
              <w:spacing w:before="60" w:after="60"/>
              <w:jc w:val="right"/>
              <w:rPr>
                <w:sz w:val="18"/>
                <w:szCs w:val="18"/>
              </w:rPr>
            </w:pPr>
            <w:r w:rsidRPr="00DA276F">
              <w:rPr>
                <w:sz w:val="18"/>
                <w:szCs w:val="18"/>
              </w:rPr>
              <w:t xml:space="preserve"> 27 </w:t>
            </w:r>
          </w:p>
        </w:tc>
        <w:tc>
          <w:tcPr>
            <w:tcW w:w="2034" w:type="dxa"/>
          </w:tcPr>
          <w:p w:rsidR="0039108A" w:rsidRDefault="0039108A" w:rsidP="0039108A">
            <w:pPr>
              <w:spacing w:before="60" w:after="60"/>
              <w:jc w:val="right"/>
              <w:rPr>
                <w:sz w:val="18"/>
                <w:szCs w:val="18"/>
              </w:rPr>
            </w:pPr>
            <w:r w:rsidRPr="00DA276F">
              <w:rPr>
                <w:sz w:val="18"/>
                <w:szCs w:val="18"/>
              </w:rPr>
              <w:t>0.0031</w:t>
            </w:r>
          </w:p>
        </w:tc>
      </w:tr>
      <w:tr w:rsidR="0039108A" w:rsidRPr="00B543A5" w:rsidTr="0039108A">
        <w:trPr>
          <w:trHeight w:val="144"/>
          <w:jc w:val="center"/>
        </w:trPr>
        <w:tc>
          <w:tcPr>
            <w:tcW w:w="2898" w:type="dxa"/>
          </w:tcPr>
          <w:p w:rsidR="0039108A" w:rsidRPr="00B543A5" w:rsidRDefault="0039108A" w:rsidP="0039108A">
            <w:pPr>
              <w:spacing w:before="60" w:after="60"/>
              <w:rPr>
                <w:sz w:val="18"/>
                <w:szCs w:val="18"/>
              </w:rPr>
            </w:pPr>
            <w:r w:rsidRPr="00DA276F">
              <w:rPr>
                <w:sz w:val="18"/>
                <w:szCs w:val="18"/>
              </w:rPr>
              <w:t>Convenience Store - Freezer</w:t>
            </w:r>
          </w:p>
        </w:tc>
        <w:tc>
          <w:tcPr>
            <w:tcW w:w="1890" w:type="dxa"/>
          </w:tcPr>
          <w:p w:rsidR="0039108A" w:rsidRPr="00B543A5" w:rsidRDefault="0039108A" w:rsidP="0039108A">
            <w:pPr>
              <w:spacing w:before="60" w:after="60"/>
              <w:rPr>
                <w:sz w:val="18"/>
                <w:szCs w:val="18"/>
              </w:rPr>
            </w:pPr>
            <w:r w:rsidRPr="00DA276F">
              <w:rPr>
                <w:sz w:val="18"/>
                <w:szCs w:val="18"/>
              </w:rPr>
              <w:t>Unknown</w:t>
            </w:r>
          </w:p>
        </w:tc>
        <w:tc>
          <w:tcPr>
            <w:tcW w:w="2034" w:type="dxa"/>
          </w:tcPr>
          <w:p w:rsidR="0039108A" w:rsidRDefault="0039108A" w:rsidP="0039108A">
            <w:pPr>
              <w:spacing w:before="60" w:after="60"/>
              <w:jc w:val="right"/>
              <w:rPr>
                <w:sz w:val="18"/>
                <w:szCs w:val="18"/>
              </w:rPr>
            </w:pPr>
            <w:r w:rsidRPr="00DA276F">
              <w:rPr>
                <w:sz w:val="18"/>
                <w:szCs w:val="18"/>
              </w:rPr>
              <w:t xml:space="preserve"> 17 </w:t>
            </w:r>
          </w:p>
        </w:tc>
        <w:tc>
          <w:tcPr>
            <w:tcW w:w="2034" w:type="dxa"/>
          </w:tcPr>
          <w:p w:rsidR="0039108A" w:rsidRDefault="0039108A" w:rsidP="0039108A">
            <w:pPr>
              <w:spacing w:before="60" w:after="60"/>
              <w:jc w:val="right"/>
              <w:rPr>
                <w:sz w:val="18"/>
                <w:szCs w:val="18"/>
              </w:rPr>
            </w:pPr>
            <w:r w:rsidRPr="00DA276F">
              <w:rPr>
                <w:sz w:val="18"/>
                <w:szCs w:val="18"/>
              </w:rPr>
              <w:t>0.0020</w:t>
            </w:r>
          </w:p>
        </w:tc>
      </w:tr>
      <w:tr w:rsidR="0039108A" w:rsidRPr="00B543A5" w:rsidTr="0039108A">
        <w:trPr>
          <w:trHeight w:val="144"/>
          <w:jc w:val="center"/>
        </w:trPr>
        <w:tc>
          <w:tcPr>
            <w:tcW w:w="2898" w:type="dxa"/>
          </w:tcPr>
          <w:p w:rsidR="0039108A" w:rsidRPr="00B543A5" w:rsidRDefault="0039108A" w:rsidP="0039108A">
            <w:pPr>
              <w:spacing w:before="60" w:after="60"/>
              <w:rPr>
                <w:sz w:val="18"/>
                <w:szCs w:val="18"/>
              </w:rPr>
            </w:pPr>
            <w:r w:rsidRPr="00DA276F">
              <w:rPr>
                <w:sz w:val="18"/>
                <w:szCs w:val="18"/>
              </w:rPr>
              <w:t>Restaurant - Cooler</w:t>
            </w:r>
          </w:p>
        </w:tc>
        <w:tc>
          <w:tcPr>
            <w:tcW w:w="1890" w:type="dxa"/>
          </w:tcPr>
          <w:p w:rsidR="0039108A" w:rsidRPr="00B543A5" w:rsidRDefault="0039108A" w:rsidP="0039108A">
            <w:pPr>
              <w:spacing w:before="60" w:after="60"/>
              <w:rPr>
                <w:sz w:val="18"/>
                <w:szCs w:val="18"/>
              </w:rPr>
            </w:pPr>
            <w:r w:rsidRPr="00DA276F">
              <w:rPr>
                <w:sz w:val="18"/>
                <w:szCs w:val="18"/>
              </w:rPr>
              <w:t>Yes</w:t>
            </w:r>
          </w:p>
        </w:tc>
        <w:tc>
          <w:tcPr>
            <w:tcW w:w="2034" w:type="dxa"/>
          </w:tcPr>
          <w:p w:rsidR="0039108A" w:rsidRDefault="0039108A" w:rsidP="0039108A">
            <w:pPr>
              <w:spacing w:before="60" w:after="60"/>
              <w:jc w:val="right"/>
              <w:rPr>
                <w:sz w:val="18"/>
                <w:szCs w:val="18"/>
              </w:rPr>
            </w:pPr>
            <w:r w:rsidRPr="00DA276F">
              <w:rPr>
                <w:sz w:val="18"/>
                <w:szCs w:val="18"/>
              </w:rPr>
              <w:t xml:space="preserve"> 8 </w:t>
            </w:r>
          </w:p>
        </w:tc>
        <w:tc>
          <w:tcPr>
            <w:tcW w:w="2034" w:type="dxa"/>
          </w:tcPr>
          <w:p w:rsidR="0039108A" w:rsidRDefault="0039108A" w:rsidP="0039108A">
            <w:pPr>
              <w:spacing w:before="60" w:after="60"/>
              <w:jc w:val="right"/>
              <w:rPr>
                <w:sz w:val="18"/>
                <w:szCs w:val="18"/>
              </w:rPr>
            </w:pPr>
            <w:r w:rsidRPr="00DA276F">
              <w:rPr>
                <w:sz w:val="18"/>
                <w:szCs w:val="18"/>
              </w:rPr>
              <w:t>0.0009</w:t>
            </w:r>
          </w:p>
        </w:tc>
      </w:tr>
      <w:tr w:rsidR="0039108A" w:rsidRPr="00B543A5" w:rsidTr="0039108A">
        <w:trPr>
          <w:trHeight w:val="144"/>
          <w:jc w:val="center"/>
        </w:trPr>
        <w:tc>
          <w:tcPr>
            <w:tcW w:w="2898" w:type="dxa"/>
          </w:tcPr>
          <w:p w:rsidR="0039108A" w:rsidRPr="00B543A5" w:rsidRDefault="0039108A" w:rsidP="0039108A">
            <w:pPr>
              <w:spacing w:before="60" w:after="60"/>
              <w:rPr>
                <w:sz w:val="18"/>
                <w:szCs w:val="18"/>
              </w:rPr>
            </w:pPr>
            <w:r w:rsidRPr="00DA276F">
              <w:rPr>
                <w:sz w:val="18"/>
                <w:szCs w:val="18"/>
              </w:rPr>
              <w:t>Restaurant - Cooler</w:t>
            </w:r>
          </w:p>
        </w:tc>
        <w:tc>
          <w:tcPr>
            <w:tcW w:w="1890" w:type="dxa"/>
          </w:tcPr>
          <w:p w:rsidR="0039108A" w:rsidRPr="00B543A5" w:rsidRDefault="0039108A" w:rsidP="0039108A">
            <w:pPr>
              <w:spacing w:before="60" w:after="60"/>
              <w:rPr>
                <w:sz w:val="18"/>
                <w:szCs w:val="18"/>
              </w:rPr>
            </w:pPr>
            <w:r w:rsidRPr="00DA276F">
              <w:rPr>
                <w:sz w:val="18"/>
                <w:szCs w:val="18"/>
              </w:rPr>
              <w:t>No</w:t>
            </w:r>
          </w:p>
        </w:tc>
        <w:tc>
          <w:tcPr>
            <w:tcW w:w="2034" w:type="dxa"/>
          </w:tcPr>
          <w:p w:rsidR="0039108A" w:rsidRDefault="0039108A" w:rsidP="0039108A">
            <w:pPr>
              <w:spacing w:before="60" w:after="60"/>
              <w:jc w:val="right"/>
              <w:rPr>
                <w:sz w:val="18"/>
                <w:szCs w:val="18"/>
              </w:rPr>
            </w:pPr>
            <w:r w:rsidRPr="00DA276F">
              <w:rPr>
                <w:sz w:val="18"/>
                <w:szCs w:val="18"/>
              </w:rPr>
              <w:t xml:space="preserve"> 30 </w:t>
            </w:r>
          </w:p>
        </w:tc>
        <w:tc>
          <w:tcPr>
            <w:tcW w:w="2034" w:type="dxa"/>
          </w:tcPr>
          <w:p w:rsidR="0039108A" w:rsidRDefault="0039108A" w:rsidP="0039108A">
            <w:pPr>
              <w:spacing w:before="60" w:after="60"/>
              <w:jc w:val="right"/>
              <w:rPr>
                <w:sz w:val="18"/>
                <w:szCs w:val="18"/>
              </w:rPr>
            </w:pPr>
            <w:r w:rsidRPr="00DA276F">
              <w:rPr>
                <w:sz w:val="18"/>
                <w:szCs w:val="18"/>
              </w:rPr>
              <w:t>0.0034</w:t>
            </w:r>
          </w:p>
        </w:tc>
      </w:tr>
      <w:tr w:rsidR="0039108A" w:rsidRPr="00B543A5" w:rsidTr="0039108A">
        <w:trPr>
          <w:trHeight w:val="144"/>
          <w:jc w:val="center"/>
        </w:trPr>
        <w:tc>
          <w:tcPr>
            <w:tcW w:w="2898" w:type="dxa"/>
          </w:tcPr>
          <w:p w:rsidR="0039108A" w:rsidRPr="00B543A5" w:rsidRDefault="0039108A" w:rsidP="0039108A">
            <w:pPr>
              <w:spacing w:before="60" w:after="60"/>
              <w:rPr>
                <w:sz w:val="18"/>
                <w:szCs w:val="18"/>
              </w:rPr>
            </w:pPr>
            <w:r w:rsidRPr="00DA276F">
              <w:rPr>
                <w:sz w:val="18"/>
                <w:szCs w:val="18"/>
              </w:rPr>
              <w:t>Restaurant - Cooler</w:t>
            </w:r>
          </w:p>
        </w:tc>
        <w:tc>
          <w:tcPr>
            <w:tcW w:w="1890" w:type="dxa"/>
          </w:tcPr>
          <w:p w:rsidR="0039108A" w:rsidRPr="00B543A5" w:rsidRDefault="0039108A" w:rsidP="0039108A">
            <w:pPr>
              <w:spacing w:before="60" w:after="60"/>
              <w:rPr>
                <w:sz w:val="18"/>
                <w:szCs w:val="18"/>
              </w:rPr>
            </w:pPr>
            <w:r w:rsidRPr="00DA276F">
              <w:rPr>
                <w:sz w:val="18"/>
                <w:szCs w:val="18"/>
              </w:rPr>
              <w:t>Unknown</w:t>
            </w:r>
          </w:p>
        </w:tc>
        <w:tc>
          <w:tcPr>
            <w:tcW w:w="2034" w:type="dxa"/>
          </w:tcPr>
          <w:p w:rsidR="0039108A" w:rsidRDefault="0039108A" w:rsidP="0039108A">
            <w:pPr>
              <w:spacing w:before="60" w:after="60"/>
              <w:jc w:val="right"/>
              <w:rPr>
                <w:sz w:val="18"/>
                <w:szCs w:val="18"/>
              </w:rPr>
            </w:pPr>
            <w:r w:rsidRPr="00DA276F">
              <w:rPr>
                <w:sz w:val="18"/>
                <w:szCs w:val="18"/>
              </w:rPr>
              <w:t xml:space="preserve"> 18 </w:t>
            </w:r>
          </w:p>
        </w:tc>
        <w:tc>
          <w:tcPr>
            <w:tcW w:w="2034" w:type="dxa"/>
          </w:tcPr>
          <w:p w:rsidR="0039108A" w:rsidRDefault="0039108A" w:rsidP="0039108A">
            <w:pPr>
              <w:spacing w:before="60" w:after="60"/>
              <w:jc w:val="right"/>
              <w:rPr>
                <w:sz w:val="18"/>
                <w:szCs w:val="18"/>
              </w:rPr>
            </w:pPr>
            <w:r w:rsidRPr="00DA276F">
              <w:rPr>
                <w:sz w:val="18"/>
                <w:szCs w:val="18"/>
              </w:rPr>
              <w:t>0.0020</w:t>
            </w:r>
          </w:p>
        </w:tc>
      </w:tr>
      <w:tr w:rsidR="0039108A" w:rsidRPr="00B543A5" w:rsidTr="0039108A">
        <w:trPr>
          <w:trHeight w:val="144"/>
          <w:jc w:val="center"/>
        </w:trPr>
        <w:tc>
          <w:tcPr>
            <w:tcW w:w="2898" w:type="dxa"/>
          </w:tcPr>
          <w:p w:rsidR="0039108A" w:rsidRPr="00B543A5" w:rsidRDefault="0039108A" w:rsidP="0039108A">
            <w:pPr>
              <w:spacing w:before="60" w:after="60"/>
              <w:rPr>
                <w:sz w:val="18"/>
                <w:szCs w:val="18"/>
              </w:rPr>
            </w:pPr>
            <w:r w:rsidRPr="00DA276F">
              <w:rPr>
                <w:sz w:val="18"/>
                <w:szCs w:val="18"/>
              </w:rPr>
              <w:t>Restaurant - Freezer</w:t>
            </w:r>
          </w:p>
        </w:tc>
        <w:tc>
          <w:tcPr>
            <w:tcW w:w="1890" w:type="dxa"/>
          </w:tcPr>
          <w:p w:rsidR="0039108A" w:rsidRPr="00B543A5" w:rsidRDefault="0039108A" w:rsidP="0039108A">
            <w:pPr>
              <w:spacing w:before="60" w:after="60"/>
              <w:rPr>
                <w:sz w:val="18"/>
                <w:szCs w:val="18"/>
              </w:rPr>
            </w:pPr>
            <w:r w:rsidRPr="00DA276F">
              <w:rPr>
                <w:sz w:val="18"/>
                <w:szCs w:val="18"/>
              </w:rPr>
              <w:t>Yes</w:t>
            </w:r>
          </w:p>
        </w:tc>
        <w:tc>
          <w:tcPr>
            <w:tcW w:w="2034" w:type="dxa"/>
          </w:tcPr>
          <w:p w:rsidR="0039108A" w:rsidRDefault="0039108A" w:rsidP="0039108A">
            <w:pPr>
              <w:spacing w:before="60" w:after="60"/>
              <w:jc w:val="right"/>
              <w:rPr>
                <w:sz w:val="18"/>
                <w:szCs w:val="18"/>
              </w:rPr>
            </w:pPr>
            <w:r w:rsidRPr="00DA276F">
              <w:rPr>
                <w:sz w:val="18"/>
                <w:szCs w:val="18"/>
              </w:rPr>
              <w:t xml:space="preserve"> 34 </w:t>
            </w:r>
          </w:p>
        </w:tc>
        <w:tc>
          <w:tcPr>
            <w:tcW w:w="2034" w:type="dxa"/>
          </w:tcPr>
          <w:p w:rsidR="0039108A" w:rsidRDefault="0039108A" w:rsidP="0039108A">
            <w:pPr>
              <w:spacing w:before="60" w:after="60"/>
              <w:jc w:val="right"/>
              <w:rPr>
                <w:sz w:val="18"/>
                <w:szCs w:val="18"/>
              </w:rPr>
            </w:pPr>
            <w:r w:rsidRPr="00DA276F">
              <w:rPr>
                <w:sz w:val="18"/>
                <w:szCs w:val="18"/>
              </w:rPr>
              <w:t>0.0039</w:t>
            </w:r>
          </w:p>
        </w:tc>
      </w:tr>
      <w:tr w:rsidR="0039108A" w:rsidRPr="00B543A5" w:rsidTr="0039108A">
        <w:trPr>
          <w:trHeight w:val="144"/>
          <w:jc w:val="center"/>
        </w:trPr>
        <w:tc>
          <w:tcPr>
            <w:tcW w:w="2898" w:type="dxa"/>
          </w:tcPr>
          <w:p w:rsidR="0039108A" w:rsidRPr="00B543A5" w:rsidRDefault="0039108A" w:rsidP="0039108A">
            <w:pPr>
              <w:spacing w:before="60" w:after="60"/>
              <w:rPr>
                <w:sz w:val="18"/>
                <w:szCs w:val="18"/>
              </w:rPr>
            </w:pPr>
            <w:r w:rsidRPr="00DA276F">
              <w:rPr>
                <w:sz w:val="18"/>
                <w:szCs w:val="18"/>
              </w:rPr>
              <w:t>Restaurant - Freezer</w:t>
            </w:r>
          </w:p>
        </w:tc>
        <w:tc>
          <w:tcPr>
            <w:tcW w:w="1890" w:type="dxa"/>
          </w:tcPr>
          <w:p w:rsidR="0039108A" w:rsidRPr="00B543A5" w:rsidRDefault="0039108A" w:rsidP="0039108A">
            <w:pPr>
              <w:spacing w:before="60" w:after="60"/>
              <w:rPr>
                <w:sz w:val="18"/>
                <w:szCs w:val="18"/>
              </w:rPr>
            </w:pPr>
            <w:r w:rsidRPr="00DA276F">
              <w:rPr>
                <w:sz w:val="18"/>
                <w:szCs w:val="18"/>
              </w:rPr>
              <w:t>No</w:t>
            </w:r>
          </w:p>
        </w:tc>
        <w:tc>
          <w:tcPr>
            <w:tcW w:w="2034" w:type="dxa"/>
          </w:tcPr>
          <w:p w:rsidR="0039108A" w:rsidRDefault="0039108A" w:rsidP="0039108A">
            <w:pPr>
              <w:spacing w:before="60" w:after="60"/>
              <w:jc w:val="right"/>
              <w:rPr>
                <w:sz w:val="18"/>
                <w:szCs w:val="18"/>
              </w:rPr>
            </w:pPr>
            <w:r w:rsidRPr="00DA276F">
              <w:rPr>
                <w:sz w:val="18"/>
                <w:szCs w:val="18"/>
              </w:rPr>
              <w:t xml:space="preserve"> 119 </w:t>
            </w:r>
          </w:p>
        </w:tc>
        <w:tc>
          <w:tcPr>
            <w:tcW w:w="2034" w:type="dxa"/>
          </w:tcPr>
          <w:p w:rsidR="0039108A" w:rsidRDefault="0039108A" w:rsidP="0039108A">
            <w:pPr>
              <w:spacing w:before="60" w:after="60"/>
              <w:jc w:val="right"/>
              <w:rPr>
                <w:sz w:val="18"/>
                <w:szCs w:val="18"/>
              </w:rPr>
            </w:pPr>
            <w:r w:rsidRPr="00DA276F">
              <w:rPr>
                <w:sz w:val="18"/>
                <w:szCs w:val="18"/>
              </w:rPr>
              <w:t>0.0136</w:t>
            </w:r>
          </w:p>
        </w:tc>
      </w:tr>
      <w:tr w:rsidR="0039108A" w:rsidRPr="00B543A5" w:rsidTr="0039108A">
        <w:trPr>
          <w:trHeight w:val="144"/>
          <w:jc w:val="center"/>
        </w:trPr>
        <w:tc>
          <w:tcPr>
            <w:tcW w:w="2898" w:type="dxa"/>
          </w:tcPr>
          <w:p w:rsidR="0039108A" w:rsidRPr="00B543A5" w:rsidRDefault="0039108A" w:rsidP="0039108A">
            <w:pPr>
              <w:spacing w:before="60" w:after="60"/>
              <w:rPr>
                <w:sz w:val="18"/>
                <w:szCs w:val="18"/>
              </w:rPr>
            </w:pPr>
            <w:r w:rsidRPr="00DA276F">
              <w:rPr>
                <w:sz w:val="18"/>
                <w:szCs w:val="18"/>
              </w:rPr>
              <w:t>Restaurant - Freezer</w:t>
            </w:r>
          </w:p>
        </w:tc>
        <w:tc>
          <w:tcPr>
            <w:tcW w:w="1890" w:type="dxa"/>
          </w:tcPr>
          <w:p w:rsidR="0039108A" w:rsidRPr="00B543A5" w:rsidRDefault="0039108A" w:rsidP="0039108A">
            <w:pPr>
              <w:spacing w:before="60" w:after="60"/>
              <w:rPr>
                <w:sz w:val="18"/>
                <w:szCs w:val="18"/>
              </w:rPr>
            </w:pPr>
            <w:r w:rsidRPr="00DA276F">
              <w:rPr>
                <w:sz w:val="18"/>
                <w:szCs w:val="18"/>
              </w:rPr>
              <w:t>Unknown</w:t>
            </w:r>
          </w:p>
        </w:tc>
        <w:tc>
          <w:tcPr>
            <w:tcW w:w="2034" w:type="dxa"/>
          </w:tcPr>
          <w:p w:rsidR="0039108A" w:rsidRDefault="0039108A" w:rsidP="0039108A">
            <w:pPr>
              <w:spacing w:before="60" w:after="60"/>
              <w:jc w:val="right"/>
              <w:rPr>
                <w:sz w:val="18"/>
                <w:szCs w:val="18"/>
              </w:rPr>
            </w:pPr>
            <w:r w:rsidRPr="00DA276F">
              <w:rPr>
                <w:sz w:val="18"/>
                <w:szCs w:val="18"/>
              </w:rPr>
              <w:t xml:space="preserve"> 81 </w:t>
            </w:r>
          </w:p>
        </w:tc>
        <w:tc>
          <w:tcPr>
            <w:tcW w:w="2034" w:type="dxa"/>
          </w:tcPr>
          <w:p w:rsidR="0039108A" w:rsidRDefault="0039108A" w:rsidP="0039108A">
            <w:pPr>
              <w:spacing w:before="60" w:after="60"/>
              <w:jc w:val="right"/>
              <w:rPr>
                <w:sz w:val="18"/>
                <w:szCs w:val="18"/>
              </w:rPr>
            </w:pPr>
            <w:r w:rsidRPr="00DA276F">
              <w:rPr>
                <w:sz w:val="18"/>
                <w:szCs w:val="18"/>
              </w:rPr>
              <w:t>0.0092</w:t>
            </w:r>
          </w:p>
        </w:tc>
      </w:tr>
      <w:tr w:rsidR="0039108A" w:rsidRPr="00B543A5" w:rsidTr="0039108A">
        <w:trPr>
          <w:trHeight w:val="144"/>
          <w:jc w:val="center"/>
        </w:trPr>
        <w:tc>
          <w:tcPr>
            <w:tcW w:w="2898" w:type="dxa"/>
          </w:tcPr>
          <w:p w:rsidR="0039108A" w:rsidRPr="00B543A5" w:rsidRDefault="0039108A" w:rsidP="0039108A">
            <w:pPr>
              <w:spacing w:before="60" w:after="60"/>
              <w:rPr>
                <w:sz w:val="18"/>
                <w:szCs w:val="18"/>
              </w:rPr>
            </w:pPr>
            <w:r w:rsidRPr="00DA276F">
              <w:rPr>
                <w:sz w:val="18"/>
                <w:szCs w:val="18"/>
              </w:rPr>
              <w:t>Refrigerated Warehouse</w:t>
            </w:r>
          </w:p>
        </w:tc>
        <w:tc>
          <w:tcPr>
            <w:tcW w:w="1890" w:type="dxa"/>
          </w:tcPr>
          <w:p w:rsidR="0039108A" w:rsidRPr="00B543A5" w:rsidRDefault="0039108A" w:rsidP="0039108A">
            <w:pPr>
              <w:spacing w:before="60" w:after="60"/>
              <w:rPr>
                <w:sz w:val="18"/>
                <w:szCs w:val="18"/>
              </w:rPr>
            </w:pPr>
            <w:r w:rsidRPr="00DA276F">
              <w:rPr>
                <w:sz w:val="18"/>
                <w:szCs w:val="18"/>
              </w:rPr>
              <w:t>Yes</w:t>
            </w:r>
          </w:p>
        </w:tc>
        <w:tc>
          <w:tcPr>
            <w:tcW w:w="2034" w:type="dxa"/>
          </w:tcPr>
          <w:p w:rsidR="0039108A" w:rsidRDefault="0039108A" w:rsidP="0039108A">
            <w:pPr>
              <w:spacing w:before="60" w:after="60"/>
              <w:jc w:val="right"/>
              <w:rPr>
                <w:sz w:val="18"/>
                <w:szCs w:val="18"/>
              </w:rPr>
            </w:pPr>
            <w:r w:rsidRPr="00DA276F">
              <w:rPr>
                <w:sz w:val="18"/>
                <w:szCs w:val="18"/>
              </w:rPr>
              <w:t xml:space="preserve"> 254 </w:t>
            </w:r>
          </w:p>
        </w:tc>
        <w:tc>
          <w:tcPr>
            <w:tcW w:w="2034" w:type="dxa"/>
          </w:tcPr>
          <w:p w:rsidR="0039108A" w:rsidRDefault="0039108A" w:rsidP="0039108A">
            <w:pPr>
              <w:spacing w:before="60" w:after="60"/>
              <w:jc w:val="right"/>
              <w:rPr>
                <w:sz w:val="18"/>
                <w:szCs w:val="18"/>
              </w:rPr>
            </w:pPr>
            <w:r w:rsidRPr="00DA276F">
              <w:rPr>
                <w:sz w:val="18"/>
                <w:szCs w:val="18"/>
              </w:rPr>
              <w:t>0.0290</w:t>
            </w:r>
          </w:p>
        </w:tc>
      </w:tr>
      <w:tr w:rsidR="0039108A" w:rsidRPr="00B543A5" w:rsidTr="0039108A">
        <w:trPr>
          <w:trHeight w:val="144"/>
          <w:jc w:val="center"/>
        </w:trPr>
        <w:tc>
          <w:tcPr>
            <w:tcW w:w="2898" w:type="dxa"/>
          </w:tcPr>
          <w:p w:rsidR="0039108A" w:rsidRPr="00B543A5" w:rsidRDefault="0039108A" w:rsidP="0039108A">
            <w:pPr>
              <w:spacing w:before="60" w:after="60"/>
              <w:rPr>
                <w:sz w:val="18"/>
                <w:szCs w:val="18"/>
              </w:rPr>
            </w:pPr>
            <w:r w:rsidRPr="00DA276F">
              <w:rPr>
                <w:sz w:val="18"/>
                <w:szCs w:val="18"/>
              </w:rPr>
              <w:t>Refrigerated Warehouse</w:t>
            </w:r>
          </w:p>
        </w:tc>
        <w:tc>
          <w:tcPr>
            <w:tcW w:w="1890" w:type="dxa"/>
          </w:tcPr>
          <w:p w:rsidR="0039108A" w:rsidRPr="00B543A5" w:rsidRDefault="0039108A" w:rsidP="0039108A">
            <w:pPr>
              <w:spacing w:before="60" w:after="60"/>
              <w:rPr>
                <w:sz w:val="18"/>
                <w:szCs w:val="18"/>
              </w:rPr>
            </w:pPr>
            <w:r w:rsidRPr="00DA276F">
              <w:rPr>
                <w:sz w:val="18"/>
                <w:szCs w:val="18"/>
              </w:rPr>
              <w:t>No</w:t>
            </w:r>
          </w:p>
        </w:tc>
        <w:tc>
          <w:tcPr>
            <w:tcW w:w="2034" w:type="dxa"/>
          </w:tcPr>
          <w:p w:rsidR="0039108A" w:rsidRDefault="0039108A" w:rsidP="0039108A">
            <w:pPr>
              <w:spacing w:before="60" w:after="60"/>
              <w:jc w:val="right"/>
              <w:rPr>
                <w:sz w:val="18"/>
                <w:szCs w:val="18"/>
              </w:rPr>
            </w:pPr>
            <w:r w:rsidRPr="00DA276F">
              <w:rPr>
                <w:sz w:val="18"/>
                <w:szCs w:val="18"/>
              </w:rPr>
              <w:t xml:space="preserve"> 729 </w:t>
            </w:r>
          </w:p>
        </w:tc>
        <w:tc>
          <w:tcPr>
            <w:tcW w:w="2034" w:type="dxa"/>
          </w:tcPr>
          <w:p w:rsidR="0039108A" w:rsidRDefault="0039108A" w:rsidP="0039108A">
            <w:pPr>
              <w:spacing w:before="60" w:after="60"/>
              <w:jc w:val="right"/>
              <w:rPr>
                <w:sz w:val="18"/>
                <w:szCs w:val="18"/>
              </w:rPr>
            </w:pPr>
            <w:r w:rsidRPr="00DA276F">
              <w:rPr>
                <w:sz w:val="18"/>
                <w:szCs w:val="18"/>
              </w:rPr>
              <w:t>0.0832</w:t>
            </w:r>
          </w:p>
        </w:tc>
      </w:tr>
      <w:tr w:rsidR="0039108A" w:rsidRPr="00B543A5" w:rsidTr="0039108A">
        <w:trPr>
          <w:trHeight w:val="144"/>
          <w:jc w:val="center"/>
        </w:trPr>
        <w:tc>
          <w:tcPr>
            <w:tcW w:w="2898" w:type="dxa"/>
          </w:tcPr>
          <w:p w:rsidR="0039108A" w:rsidRPr="00B543A5" w:rsidRDefault="0039108A" w:rsidP="0039108A">
            <w:pPr>
              <w:spacing w:before="60" w:after="60"/>
              <w:rPr>
                <w:sz w:val="18"/>
                <w:szCs w:val="18"/>
              </w:rPr>
            </w:pPr>
            <w:r w:rsidRPr="00DA276F">
              <w:rPr>
                <w:sz w:val="18"/>
                <w:szCs w:val="18"/>
              </w:rPr>
              <w:t>Refrigerated Warehouse</w:t>
            </w:r>
          </w:p>
        </w:tc>
        <w:tc>
          <w:tcPr>
            <w:tcW w:w="1890" w:type="dxa"/>
          </w:tcPr>
          <w:p w:rsidR="0039108A" w:rsidRPr="00B543A5" w:rsidRDefault="0039108A" w:rsidP="0039108A">
            <w:pPr>
              <w:spacing w:before="60" w:after="60"/>
              <w:rPr>
                <w:sz w:val="18"/>
                <w:szCs w:val="18"/>
              </w:rPr>
            </w:pPr>
            <w:r w:rsidRPr="00DA276F">
              <w:rPr>
                <w:sz w:val="18"/>
                <w:szCs w:val="18"/>
              </w:rPr>
              <w:t>Unknown</w:t>
            </w:r>
          </w:p>
        </w:tc>
        <w:tc>
          <w:tcPr>
            <w:tcW w:w="2034" w:type="dxa"/>
          </w:tcPr>
          <w:p w:rsidR="0039108A" w:rsidRDefault="0039108A" w:rsidP="0039108A">
            <w:pPr>
              <w:spacing w:before="60" w:after="60"/>
              <w:jc w:val="right"/>
              <w:rPr>
                <w:sz w:val="18"/>
                <w:szCs w:val="18"/>
              </w:rPr>
            </w:pPr>
            <w:r w:rsidRPr="00DA276F">
              <w:rPr>
                <w:sz w:val="18"/>
                <w:szCs w:val="18"/>
              </w:rPr>
              <w:t xml:space="preserve"> 287 </w:t>
            </w:r>
          </w:p>
        </w:tc>
        <w:tc>
          <w:tcPr>
            <w:tcW w:w="2034" w:type="dxa"/>
          </w:tcPr>
          <w:p w:rsidR="0039108A" w:rsidRDefault="0039108A" w:rsidP="0039108A">
            <w:pPr>
              <w:spacing w:before="60" w:after="60"/>
              <w:jc w:val="right"/>
              <w:rPr>
                <w:sz w:val="18"/>
                <w:szCs w:val="18"/>
              </w:rPr>
            </w:pPr>
            <w:r w:rsidRPr="00DA276F">
              <w:rPr>
                <w:sz w:val="18"/>
                <w:szCs w:val="18"/>
              </w:rPr>
              <w:t>0.0327</w:t>
            </w:r>
          </w:p>
        </w:tc>
      </w:tr>
    </w:tbl>
    <w:p w:rsidR="0039108A" w:rsidRPr="00A175F1" w:rsidRDefault="0039108A" w:rsidP="0039108A"/>
    <w:p w:rsidR="0039108A" w:rsidRDefault="0039108A" w:rsidP="0039108A">
      <w:pPr>
        <w:pStyle w:val="Caption"/>
      </w:pPr>
      <w:bookmarkStart w:id="969" w:name="_Ref301909393"/>
      <w:bookmarkStart w:id="970" w:name="_Toc310875609"/>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57</w:t>
      </w:r>
      <w:r w:rsidR="00274AB1">
        <w:rPr>
          <w:noProof/>
        </w:rPr>
        <w:fldChar w:fldCharType="end"/>
      </w:r>
      <w:bookmarkEnd w:id="969"/>
      <w:r>
        <w:t>: Strip Curtain Calculation Assumptions for</w:t>
      </w:r>
      <w:r>
        <w:rPr>
          <w:noProof/>
        </w:rPr>
        <w:t xml:space="preserve"> Supermarkets</w:t>
      </w:r>
      <w:bookmarkEnd w:id="9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315"/>
        <w:gridCol w:w="1956"/>
        <w:gridCol w:w="1957"/>
        <w:gridCol w:w="1090"/>
      </w:tblGrid>
      <w:tr w:rsidR="0039108A" w:rsidTr="0039108A">
        <w:trPr>
          <w:trHeight w:val="374"/>
        </w:trPr>
        <w:tc>
          <w:tcPr>
            <w:tcW w:w="2538" w:type="dxa"/>
            <w:vMerge w:val="restart"/>
            <w:shd w:val="clear" w:color="auto" w:fill="BFBFBF"/>
          </w:tcPr>
          <w:p w:rsidR="0039108A" w:rsidRPr="001D6512" w:rsidRDefault="0039108A" w:rsidP="0039108A">
            <w:pPr>
              <w:pStyle w:val="TableCell"/>
              <w:spacing w:before="60" w:after="60"/>
              <w:rPr>
                <w:b/>
                <w:bCs/>
                <w:iCs/>
              </w:rPr>
            </w:pPr>
            <w:r w:rsidRPr="001D6512">
              <w:rPr>
                <w:b/>
              </w:rPr>
              <w:t>Component</w:t>
            </w:r>
          </w:p>
        </w:tc>
        <w:tc>
          <w:tcPr>
            <w:tcW w:w="1315" w:type="dxa"/>
            <w:vMerge w:val="restart"/>
            <w:shd w:val="clear" w:color="auto" w:fill="BFBFBF"/>
          </w:tcPr>
          <w:p w:rsidR="0039108A" w:rsidRPr="001D6512" w:rsidRDefault="0039108A" w:rsidP="0039108A">
            <w:pPr>
              <w:pStyle w:val="TableCell"/>
              <w:spacing w:before="60" w:after="60"/>
              <w:rPr>
                <w:b/>
                <w:bCs/>
                <w:iCs/>
              </w:rPr>
            </w:pPr>
            <w:r w:rsidRPr="001D6512">
              <w:rPr>
                <w:b/>
              </w:rPr>
              <w:t>Type</w:t>
            </w:r>
          </w:p>
        </w:tc>
        <w:tc>
          <w:tcPr>
            <w:tcW w:w="3913" w:type="dxa"/>
            <w:gridSpan w:val="2"/>
            <w:shd w:val="clear" w:color="auto" w:fill="BFBFBF"/>
          </w:tcPr>
          <w:p w:rsidR="0039108A" w:rsidRPr="0039108A" w:rsidRDefault="0039108A" w:rsidP="0039108A">
            <w:pPr>
              <w:pStyle w:val="StyleCaptionCentered"/>
              <w:spacing w:before="60" w:after="60"/>
              <w:rPr>
                <w:rFonts w:ascii="Arial" w:hAnsi="Arial"/>
                <w:iCs/>
                <w:sz w:val="18"/>
              </w:rPr>
            </w:pPr>
            <w:r w:rsidRPr="00877D9B">
              <w:t>Value</w:t>
            </w:r>
          </w:p>
        </w:tc>
        <w:tc>
          <w:tcPr>
            <w:tcW w:w="1090" w:type="dxa"/>
            <w:vMerge w:val="restart"/>
            <w:shd w:val="clear" w:color="auto" w:fill="BFBFBF"/>
          </w:tcPr>
          <w:p w:rsidR="0039108A" w:rsidRPr="0039108A" w:rsidRDefault="0039108A" w:rsidP="0039108A">
            <w:pPr>
              <w:pStyle w:val="StyleCaptionCentered"/>
              <w:spacing w:before="60" w:after="60"/>
              <w:jc w:val="left"/>
              <w:rPr>
                <w:iCs/>
              </w:rPr>
            </w:pPr>
            <w:r w:rsidRPr="00702D89">
              <w:t>Source</w:t>
            </w:r>
          </w:p>
        </w:tc>
      </w:tr>
      <w:tr w:rsidR="0039108A" w:rsidTr="0039108A">
        <w:trPr>
          <w:trHeight w:val="374"/>
        </w:trPr>
        <w:tc>
          <w:tcPr>
            <w:tcW w:w="2538" w:type="dxa"/>
            <w:vMerge/>
          </w:tcPr>
          <w:p w:rsidR="0039108A" w:rsidRPr="001D6512" w:rsidRDefault="0039108A" w:rsidP="0039108A">
            <w:pPr>
              <w:pStyle w:val="TableCell"/>
              <w:spacing w:before="60" w:after="60"/>
            </w:pPr>
          </w:p>
        </w:tc>
        <w:tc>
          <w:tcPr>
            <w:tcW w:w="1315" w:type="dxa"/>
            <w:vMerge/>
          </w:tcPr>
          <w:p w:rsidR="0039108A" w:rsidRPr="001D6512" w:rsidRDefault="0039108A" w:rsidP="0039108A">
            <w:pPr>
              <w:pStyle w:val="TableCell"/>
              <w:spacing w:before="60" w:after="60"/>
            </w:pPr>
          </w:p>
        </w:tc>
        <w:tc>
          <w:tcPr>
            <w:tcW w:w="1956" w:type="dxa"/>
            <w:shd w:val="clear" w:color="auto" w:fill="BFBFBF"/>
          </w:tcPr>
          <w:p w:rsidR="0039108A" w:rsidRPr="001D6512" w:rsidRDefault="0039108A" w:rsidP="0039108A">
            <w:pPr>
              <w:pStyle w:val="TableCell"/>
              <w:spacing w:before="60" w:after="60"/>
              <w:jc w:val="center"/>
              <w:rPr>
                <w:b/>
              </w:rPr>
            </w:pPr>
            <w:r w:rsidRPr="001D6512">
              <w:rPr>
                <w:b/>
              </w:rPr>
              <w:t>Cooler</w:t>
            </w:r>
          </w:p>
        </w:tc>
        <w:tc>
          <w:tcPr>
            <w:tcW w:w="1957" w:type="dxa"/>
            <w:shd w:val="clear" w:color="auto" w:fill="BFBFBF"/>
          </w:tcPr>
          <w:p w:rsidR="0039108A" w:rsidRDefault="0039108A" w:rsidP="0039108A">
            <w:pPr>
              <w:pStyle w:val="StyleCaptionCentered"/>
              <w:spacing w:before="60" w:after="60"/>
            </w:pPr>
            <w:r>
              <w:t>Freezer</w:t>
            </w:r>
          </w:p>
        </w:tc>
        <w:tc>
          <w:tcPr>
            <w:tcW w:w="1090" w:type="dxa"/>
            <w:vMerge/>
          </w:tcPr>
          <w:p w:rsidR="0039108A" w:rsidRDefault="0039108A" w:rsidP="0039108A">
            <w:pPr>
              <w:pStyle w:val="StyleCaptionCentered"/>
              <w:spacing w:before="60" w:after="60"/>
            </w:pPr>
          </w:p>
        </w:tc>
      </w:tr>
      <w:tr w:rsidR="0039108A" w:rsidTr="0039108A">
        <w:trPr>
          <w:trHeight w:val="374"/>
        </w:trPr>
        <w:tc>
          <w:tcPr>
            <w:tcW w:w="2538" w:type="dxa"/>
          </w:tcPr>
          <w:p w:rsidR="0039108A" w:rsidRPr="001D6512" w:rsidRDefault="0039108A" w:rsidP="0039108A">
            <w:pPr>
              <w:pStyle w:val="TableCell"/>
              <w:spacing w:before="60" w:after="60"/>
            </w:pPr>
            <w:r w:rsidRPr="001D6512">
              <w:sym w:font="Symbol" w:char="F068"/>
            </w:r>
            <w:r w:rsidRPr="001D6512">
              <w:rPr>
                <w:vertAlign w:val="subscript"/>
              </w:rPr>
              <w:t>new</w:t>
            </w:r>
            <w:r w:rsidRPr="001D6512">
              <w:t xml:space="preserve"> </w:t>
            </w:r>
          </w:p>
        </w:tc>
        <w:tc>
          <w:tcPr>
            <w:tcW w:w="1315" w:type="dxa"/>
          </w:tcPr>
          <w:p w:rsidR="0039108A" w:rsidRPr="001D6512" w:rsidRDefault="0039108A" w:rsidP="0039108A">
            <w:pPr>
              <w:pStyle w:val="TableCell"/>
              <w:spacing w:before="60" w:after="60"/>
            </w:pPr>
            <w:r w:rsidRPr="001D6512">
              <w:t>Fixed</w:t>
            </w:r>
          </w:p>
        </w:tc>
        <w:tc>
          <w:tcPr>
            <w:tcW w:w="1956" w:type="dxa"/>
          </w:tcPr>
          <w:p w:rsidR="0039108A" w:rsidRPr="001D6512" w:rsidRDefault="0039108A" w:rsidP="0039108A">
            <w:pPr>
              <w:pStyle w:val="TableCell"/>
              <w:spacing w:before="60" w:after="60"/>
            </w:pPr>
            <w:r w:rsidRPr="001D6512">
              <w:t>0.88</w:t>
            </w:r>
          </w:p>
        </w:tc>
        <w:tc>
          <w:tcPr>
            <w:tcW w:w="1957" w:type="dxa"/>
          </w:tcPr>
          <w:p w:rsidR="0039108A" w:rsidRPr="001D6512" w:rsidRDefault="0039108A" w:rsidP="0039108A">
            <w:pPr>
              <w:pStyle w:val="TableCell"/>
              <w:spacing w:before="60" w:after="60"/>
            </w:pPr>
            <w:r w:rsidRPr="001D6512">
              <w:t>0.88</w:t>
            </w:r>
          </w:p>
        </w:tc>
        <w:tc>
          <w:tcPr>
            <w:tcW w:w="1090" w:type="dxa"/>
          </w:tcPr>
          <w:p w:rsidR="0039108A" w:rsidRPr="001D6512" w:rsidRDefault="0039108A" w:rsidP="0039108A">
            <w:pPr>
              <w:pStyle w:val="TableCell"/>
              <w:spacing w:before="60" w:after="60"/>
            </w:pPr>
            <w:r w:rsidRPr="001D6512">
              <w:t>1</w:t>
            </w:r>
          </w:p>
        </w:tc>
      </w:tr>
      <w:tr w:rsidR="0039108A" w:rsidTr="0039108A">
        <w:trPr>
          <w:trHeight w:val="374"/>
        </w:trPr>
        <w:tc>
          <w:tcPr>
            <w:tcW w:w="2538" w:type="dxa"/>
          </w:tcPr>
          <w:p w:rsidR="0039108A" w:rsidRPr="001D6512" w:rsidRDefault="0039108A" w:rsidP="0039108A">
            <w:pPr>
              <w:pStyle w:val="TableCell"/>
              <w:spacing w:before="60" w:after="60"/>
              <w:rPr>
                <w:vertAlign w:val="subscript"/>
              </w:rPr>
            </w:pPr>
            <w:r w:rsidRPr="001D6512">
              <w:sym w:font="Symbol" w:char="F068"/>
            </w:r>
            <w:r w:rsidRPr="001D6512">
              <w:rPr>
                <w:vertAlign w:val="subscript"/>
              </w:rPr>
              <w:t xml:space="preserve">old </w:t>
            </w:r>
          </w:p>
          <w:p w:rsidR="0039108A" w:rsidRPr="001D6512" w:rsidRDefault="0039108A" w:rsidP="0039108A">
            <w:pPr>
              <w:pStyle w:val="TableCell"/>
              <w:spacing w:before="60" w:after="60"/>
            </w:pPr>
            <w:r w:rsidRPr="001D6512">
              <w:t>with Pre-existing curtain</w:t>
            </w:r>
          </w:p>
          <w:p w:rsidR="0039108A" w:rsidRPr="001D6512" w:rsidRDefault="0039108A" w:rsidP="0039108A">
            <w:pPr>
              <w:pStyle w:val="TableCell"/>
              <w:spacing w:before="60" w:after="60"/>
            </w:pPr>
            <w:r w:rsidRPr="001D6512">
              <w:t>with no Pre-existing curtain</w:t>
            </w:r>
          </w:p>
          <w:p w:rsidR="0039108A" w:rsidRPr="001D6512" w:rsidRDefault="0039108A" w:rsidP="0039108A">
            <w:pPr>
              <w:pStyle w:val="TableCell"/>
              <w:spacing w:before="60" w:after="60"/>
            </w:pPr>
            <w:r w:rsidRPr="001D6512">
              <w:t>unknown</w:t>
            </w:r>
          </w:p>
        </w:tc>
        <w:tc>
          <w:tcPr>
            <w:tcW w:w="1315" w:type="dxa"/>
          </w:tcPr>
          <w:p w:rsidR="0039108A" w:rsidRPr="001D6512" w:rsidRDefault="0039108A" w:rsidP="0039108A">
            <w:pPr>
              <w:pStyle w:val="TableCell"/>
              <w:spacing w:before="60" w:after="60"/>
            </w:pPr>
            <w:r w:rsidRPr="001D6512">
              <w:t>Fixed</w:t>
            </w:r>
          </w:p>
        </w:tc>
        <w:tc>
          <w:tcPr>
            <w:tcW w:w="1956" w:type="dxa"/>
          </w:tcPr>
          <w:p w:rsidR="0039108A" w:rsidRPr="001D6512" w:rsidRDefault="0039108A" w:rsidP="0039108A">
            <w:pPr>
              <w:pStyle w:val="TableCell"/>
              <w:spacing w:before="60" w:after="60"/>
            </w:pPr>
          </w:p>
          <w:p w:rsidR="0039108A" w:rsidRPr="001D6512" w:rsidRDefault="0039108A" w:rsidP="0039108A">
            <w:pPr>
              <w:pStyle w:val="TableCell"/>
              <w:spacing w:before="60" w:after="60"/>
            </w:pPr>
            <w:r w:rsidRPr="001D6512">
              <w:t>0.58</w:t>
            </w:r>
          </w:p>
          <w:p w:rsidR="0039108A" w:rsidRPr="001D6512" w:rsidRDefault="0039108A" w:rsidP="0039108A">
            <w:pPr>
              <w:pStyle w:val="TableCell"/>
              <w:spacing w:before="60" w:after="60"/>
            </w:pPr>
            <w:r w:rsidRPr="001D6512">
              <w:t>0.00</w:t>
            </w:r>
          </w:p>
          <w:p w:rsidR="0039108A" w:rsidRPr="001D6512" w:rsidRDefault="0039108A" w:rsidP="0039108A">
            <w:pPr>
              <w:pStyle w:val="TableCell"/>
              <w:spacing w:before="60" w:after="60"/>
            </w:pPr>
            <w:r w:rsidRPr="001D6512">
              <w:t>0.00</w:t>
            </w:r>
          </w:p>
        </w:tc>
        <w:tc>
          <w:tcPr>
            <w:tcW w:w="1957" w:type="dxa"/>
          </w:tcPr>
          <w:p w:rsidR="0039108A" w:rsidRPr="001D6512" w:rsidRDefault="0039108A" w:rsidP="0039108A">
            <w:pPr>
              <w:pStyle w:val="TableCell"/>
              <w:spacing w:before="60" w:after="60"/>
            </w:pPr>
          </w:p>
          <w:p w:rsidR="0039108A" w:rsidRPr="001D6512" w:rsidRDefault="0039108A" w:rsidP="0039108A">
            <w:pPr>
              <w:pStyle w:val="TableCell"/>
              <w:spacing w:before="60" w:after="60"/>
            </w:pPr>
            <w:r w:rsidRPr="001D6512">
              <w:t>0.58</w:t>
            </w:r>
          </w:p>
          <w:p w:rsidR="0039108A" w:rsidRPr="001D6512" w:rsidRDefault="0039108A" w:rsidP="0039108A">
            <w:pPr>
              <w:pStyle w:val="TableCell"/>
              <w:spacing w:before="60" w:after="60"/>
            </w:pPr>
            <w:r w:rsidRPr="001D6512">
              <w:t>0.00</w:t>
            </w:r>
          </w:p>
          <w:p w:rsidR="0039108A" w:rsidRPr="001D6512" w:rsidRDefault="0039108A" w:rsidP="0039108A">
            <w:pPr>
              <w:pStyle w:val="TableCell"/>
              <w:spacing w:before="60" w:after="60"/>
            </w:pPr>
            <w:r w:rsidRPr="001D6512">
              <w:t>0.00</w:t>
            </w:r>
          </w:p>
        </w:tc>
        <w:tc>
          <w:tcPr>
            <w:tcW w:w="1090" w:type="dxa"/>
          </w:tcPr>
          <w:p w:rsidR="0039108A" w:rsidRPr="001D6512" w:rsidRDefault="0039108A" w:rsidP="0039108A">
            <w:pPr>
              <w:pStyle w:val="TableCell"/>
              <w:spacing w:before="60" w:after="60"/>
            </w:pPr>
            <w:r w:rsidRPr="001D6512">
              <w:t>1</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C</w:t>
            </w:r>
            <w:r w:rsidRPr="001D6512">
              <w:rPr>
                <w:vertAlign w:val="subscript"/>
              </w:rPr>
              <w:softHyphen/>
              <w:t>D</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0.366</w:t>
            </w:r>
          </w:p>
        </w:tc>
        <w:tc>
          <w:tcPr>
            <w:tcW w:w="1957" w:type="dxa"/>
          </w:tcPr>
          <w:p w:rsidR="0039108A" w:rsidRPr="001D6512" w:rsidRDefault="0039108A" w:rsidP="0039108A">
            <w:pPr>
              <w:pStyle w:val="TableCell"/>
              <w:keepNext w:val="0"/>
              <w:spacing w:before="60" w:after="60"/>
            </w:pPr>
            <w:r w:rsidRPr="001D6512">
              <w:t>0.415</w:t>
            </w:r>
          </w:p>
        </w:tc>
        <w:tc>
          <w:tcPr>
            <w:tcW w:w="1090" w:type="dxa"/>
          </w:tcPr>
          <w:p w:rsidR="0039108A" w:rsidRPr="001D6512" w:rsidRDefault="0039108A" w:rsidP="0039108A">
            <w:pPr>
              <w:pStyle w:val="TableCell"/>
              <w:keepNext w:val="0"/>
              <w:spacing w:before="60" w:after="60"/>
            </w:pPr>
            <w:r w:rsidRPr="001D6512">
              <w:t>1</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t</w:t>
            </w:r>
            <w:r w:rsidRPr="001D6512">
              <w:rPr>
                <w:vertAlign w:val="subscript"/>
              </w:rPr>
              <w:t>open</w:t>
            </w:r>
            <w:r w:rsidRPr="001D6512">
              <w:t xml:space="preserve"> (minutes/day)</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132</w:t>
            </w:r>
          </w:p>
        </w:tc>
        <w:tc>
          <w:tcPr>
            <w:tcW w:w="1957" w:type="dxa"/>
          </w:tcPr>
          <w:p w:rsidR="0039108A" w:rsidRPr="001D6512" w:rsidRDefault="0039108A" w:rsidP="0039108A">
            <w:pPr>
              <w:pStyle w:val="TableCell"/>
              <w:keepNext w:val="0"/>
              <w:spacing w:before="60" w:after="60"/>
            </w:pPr>
            <w:r w:rsidRPr="001D6512">
              <w:t>102</w:t>
            </w:r>
          </w:p>
        </w:tc>
        <w:tc>
          <w:tcPr>
            <w:tcW w:w="1090" w:type="dxa"/>
          </w:tcPr>
          <w:p w:rsidR="0039108A" w:rsidRPr="001D6512" w:rsidRDefault="0039108A" w:rsidP="0039108A">
            <w:pPr>
              <w:pStyle w:val="TableCell"/>
              <w:keepNext w:val="0"/>
              <w:spacing w:before="60" w:after="60"/>
            </w:pPr>
            <w:r w:rsidRPr="001D6512">
              <w:t>1</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A (ft2)</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35</w:t>
            </w:r>
          </w:p>
        </w:tc>
        <w:tc>
          <w:tcPr>
            <w:tcW w:w="1957" w:type="dxa"/>
          </w:tcPr>
          <w:p w:rsidR="0039108A" w:rsidRPr="001D6512" w:rsidRDefault="0039108A" w:rsidP="0039108A">
            <w:pPr>
              <w:pStyle w:val="TableCell"/>
              <w:keepNext w:val="0"/>
              <w:spacing w:before="60" w:after="60"/>
            </w:pPr>
            <w:r w:rsidRPr="001D6512">
              <w:t>35</w:t>
            </w:r>
          </w:p>
        </w:tc>
        <w:tc>
          <w:tcPr>
            <w:tcW w:w="1090" w:type="dxa"/>
          </w:tcPr>
          <w:p w:rsidR="0039108A" w:rsidRPr="001D6512" w:rsidRDefault="0039108A" w:rsidP="0039108A">
            <w:pPr>
              <w:pStyle w:val="TableCell"/>
              <w:keepNext w:val="0"/>
              <w:spacing w:before="60" w:after="60"/>
            </w:pPr>
            <w:r w:rsidRPr="001D6512">
              <w:t>1</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H (ft)</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7</w:t>
            </w:r>
          </w:p>
        </w:tc>
        <w:tc>
          <w:tcPr>
            <w:tcW w:w="1957" w:type="dxa"/>
          </w:tcPr>
          <w:p w:rsidR="0039108A" w:rsidRPr="001D6512" w:rsidRDefault="0039108A" w:rsidP="0039108A">
            <w:pPr>
              <w:pStyle w:val="TableCell"/>
              <w:keepNext w:val="0"/>
              <w:spacing w:before="60" w:after="60"/>
            </w:pPr>
            <w:r w:rsidRPr="001D6512">
              <w:t>7</w:t>
            </w:r>
          </w:p>
        </w:tc>
        <w:tc>
          <w:tcPr>
            <w:tcW w:w="1090" w:type="dxa"/>
          </w:tcPr>
          <w:p w:rsidR="0039108A" w:rsidRPr="001D6512" w:rsidRDefault="0039108A" w:rsidP="0039108A">
            <w:pPr>
              <w:pStyle w:val="TableCell"/>
              <w:keepNext w:val="0"/>
              <w:spacing w:before="60" w:after="60"/>
            </w:pPr>
            <w:r w:rsidRPr="001D6512">
              <w:t>1</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 xml:space="preserve">Ti (°F) </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71</w:t>
            </w:r>
          </w:p>
        </w:tc>
        <w:tc>
          <w:tcPr>
            <w:tcW w:w="1957" w:type="dxa"/>
          </w:tcPr>
          <w:p w:rsidR="0039108A" w:rsidRPr="001D6512" w:rsidRDefault="0039108A" w:rsidP="0039108A">
            <w:pPr>
              <w:pStyle w:val="TableCell"/>
              <w:keepNext w:val="0"/>
              <w:spacing w:before="60" w:after="60"/>
            </w:pPr>
            <w:r w:rsidRPr="001D6512">
              <w:t>67</w:t>
            </w:r>
          </w:p>
        </w:tc>
        <w:tc>
          <w:tcPr>
            <w:tcW w:w="1090" w:type="dxa"/>
          </w:tcPr>
          <w:p w:rsidR="0039108A" w:rsidRPr="001D6512" w:rsidRDefault="0039108A" w:rsidP="0039108A">
            <w:pPr>
              <w:pStyle w:val="TableCell"/>
              <w:keepNext w:val="0"/>
              <w:spacing w:before="60" w:after="60"/>
            </w:pPr>
            <w:r w:rsidRPr="001D6512">
              <w:t>1 and 2</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T</w:t>
            </w:r>
            <w:r w:rsidRPr="001D6512">
              <w:softHyphen/>
              <w:t>r (°F)</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37</w:t>
            </w:r>
          </w:p>
        </w:tc>
        <w:tc>
          <w:tcPr>
            <w:tcW w:w="1957" w:type="dxa"/>
          </w:tcPr>
          <w:p w:rsidR="0039108A" w:rsidRPr="001D6512" w:rsidRDefault="0039108A" w:rsidP="0039108A">
            <w:pPr>
              <w:pStyle w:val="TableCell"/>
              <w:keepNext w:val="0"/>
              <w:spacing w:before="60" w:after="60"/>
            </w:pPr>
            <w:r w:rsidRPr="001D6512">
              <w:t>5</w:t>
            </w:r>
          </w:p>
        </w:tc>
        <w:tc>
          <w:tcPr>
            <w:tcW w:w="1090" w:type="dxa"/>
          </w:tcPr>
          <w:p w:rsidR="0039108A" w:rsidRPr="001D6512" w:rsidRDefault="0039108A" w:rsidP="0039108A">
            <w:pPr>
              <w:pStyle w:val="TableCell"/>
              <w:keepNext w:val="0"/>
              <w:spacing w:before="60" w:after="60"/>
            </w:pPr>
            <w:r w:rsidRPr="001D6512">
              <w:t>1</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ρ</w:t>
            </w:r>
            <w:r w:rsidRPr="001D6512">
              <w:rPr>
                <w:vertAlign w:val="subscript"/>
              </w:rPr>
              <w:t>i</w:t>
            </w:r>
            <w:r w:rsidRPr="001D6512">
              <w:t xml:space="preserve"> </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0.074</w:t>
            </w:r>
          </w:p>
        </w:tc>
        <w:tc>
          <w:tcPr>
            <w:tcW w:w="1957" w:type="dxa"/>
          </w:tcPr>
          <w:p w:rsidR="0039108A" w:rsidRPr="001D6512" w:rsidRDefault="0039108A" w:rsidP="0039108A">
            <w:pPr>
              <w:pStyle w:val="TableCell"/>
              <w:keepNext w:val="0"/>
              <w:spacing w:before="60" w:after="60"/>
            </w:pPr>
            <w:r w:rsidRPr="001D6512">
              <w:t>0.074</w:t>
            </w:r>
          </w:p>
        </w:tc>
        <w:tc>
          <w:tcPr>
            <w:tcW w:w="1090" w:type="dxa"/>
          </w:tcPr>
          <w:p w:rsidR="0039108A" w:rsidRPr="001D6512" w:rsidRDefault="0039108A" w:rsidP="0039108A">
            <w:pPr>
              <w:pStyle w:val="TableCell"/>
              <w:keepNext w:val="0"/>
              <w:spacing w:before="60" w:after="60"/>
            </w:pPr>
            <w:r w:rsidRPr="001D6512">
              <w:t>3</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h</w:t>
            </w:r>
            <w:r w:rsidRPr="001D6512">
              <w:rPr>
                <w:vertAlign w:val="subscript"/>
              </w:rPr>
              <w:t>i</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26.935</w:t>
            </w:r>
          </w:p>
        </w:tc>
        <w:tc>
          <w:tcPr>
            <w:tcW w:w="1957" w:type="dxa"/>
          </w:tcPr>
          <w:p w:rsidR="0039108A" w:rsidRPr="001D6512" w:rsidRDefault="0039108A" w:rsidP="0039108A">
            <w:pPr>
              <w:pStyle w:val="TableCell"/>
              <w:keepNext w:val="0"/>
              <w:spacing w:before="60" w:after="60"/>
            </w:pPr>
            <w:r w:rsidRPr="001D6512">
              <w:t>24.678</w:t>
            </w:r>
          </w:p>
        </w:tc>
        <w:tc>
          <w:tcPr>
            <w:tcW w:w="1090" w:type="dxa"/>
          </w:tcPr>
          <w:p w:rsidR="0039108A" w:rsidRPr="001D6512" w:rsidRDefault="0039108A" w:rsidP="0039108A">
            <w:pPr>
              <w:pStyle w:val="TableCell"/>
              <w:keepNext w:val="0"/>
              <w:spacing w:before="60" w:after="60"/>
            </w:pPr>
            <w:r w:rsidRPr="001D6512">
              <w:t>3</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ρ</w:t>
            </w:r>
            <w:r w:rsidRPr="001D6512">
              <w:rPr>
                <w:vertAlign w:val="subscript"/>
              </w:rPr>
              <w:t>r</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0.079</w:t>
            </w:r>
          </w:p>
        </w:tc>
        <w:tc>
          <w:tcPr>
            <w:tcW w:w="1957" w:type="dxa"/>
          </w:tcPr>
          <w:p w:rsidR="0039108A" w:rsidRPr="001D6512" w:rsidRDefault="0039108A" w:rsidP="0039108A">
            <w:pPr>
              <w:pStyle w:val="TableCell"/>
              <w:keepNext w:val="0"/>
              <w:spacing w:before="60" w:after="60"/>
            </w:pPr>
            <w:r w:rsidRPr="001D6512">
              <w:t>0.085</w:t>
            </w:r>
          </w:p>
        </w:tc>
        <w:tc>
          <w:tcPr>
            <w:tcW w:w="1090" w:type="dxa"/>
          </w:tcPr>
          <w:p w:rsidR="0039108A" w:rsidRPr="001D6512" w:rsidRDefault="0039108A" w:rsidP="0039108A">
            <w:pPr>
              <w:pStyle w:val="TableCell"/>
              <w:keepNext w:val="0"/>
              <w:spacing w:before="60" w:after="60"/>
            </w:pPr>
            <w:r w:rsidRPr="001D6512">
              <w:t>3</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h</w:t>
            </w:r>
            <w:r w:rsidRPr="001D6512">
              <w:rPr>
                <w:vertAlign w:val="subscript"/>
              </w:rPr>
              <w:t>r</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12.933</w:t>
            </w:r>
          </w:p>
        </w:tc>
        <w:tc>
          <w:tcPr>
            <w:tcW w:w="1957" w:type="dxa"/>
          </w:tcPr>
          <w:p w:rsidR="0039108A" w:rsidRPr="001D6512" w:rsidRDefault="0039108A" w:rsidP="0039108A">
            <w:pPr>
              <w:pStyle w:val="TableCell"/>
              <w:keepNext w:val="0"/>
              <w:spacing w:before="60" w:after="60"/>
            </w:pPr>
            <w:r w:rsidRPr="001D6512">
              <w:t>2.081</w:t>
            </w:r>
          </w:p>
        </w:tc>
        <w:tc>
          <w:tcPr>
            <w:tcW w:w="1090" w:type="dxa"/>
          </w:tcPr>
          <w:p w:rsidR="0039108A" w:rsidRPr="001D6512" w:rsidRDefault="0039108A" w:rsidP="0039108A">
            <w:pPr>
              <w:pStyle w:val="TableCell"/>
              <w:keepNext w:val="0"/>
              <w:spacing w:before="60" w:after="60"/>
            </w:pPr>
            <w:r w:rsidRPr="001D6512">
              <w:t>3</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COP</w:t>
            </w:r>
            <w:r w:rsidRPr="001D6512">
              <w:rPr>
                <w:vertAlign w:val="subscript"/>
              </w:rPr>
              <w:t>adj</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3.07</w:t>
            </w:r>
          </w:p>
        </w:tc>
        <w:tc>
          <w:tcPr>
            <w:tcW w:w="1957" w:type="dxa"/>
          </w:tcPr>
          <w:p w:rsidR="0039108A" w:rsidRPr="001D6512" w:rsidRDefault="0039108A" w:rsidP="0039108A">
            <w:pPr>
              <w:pStyle w:val="TableCell"/>
              <w:keepNext w:val="0"/>
              <w:spacing w:before="60" w:after="60"/>
            </w:pPr>
            <w:r w:rsidRPr="001D6512">
              <w:t>1.95</w:t>
            </w:r>
          </w:p>
        </w:tc>
        <w:tc>
          <w:tcPr>
            <w:tcW w:w="1090" w:type="dxa"/>
          </w:tcPr>
          <w:p w:rsidR="0039108A" w:rsidRPr="001D6512" w:rsidRDefault="0039108A" w:rsidP="0039108A">
            <w:pPr>
              <w:pStyle w:val="TableCell"/>
              <w:keepNext w:val="0"/>
              <w:spacing w:before="60" w:after="60"/>
            </w:pPr>
            <w:r w:rsidRPr="001D6512">
              <w:t>1 and 2</w:t>
            </w:r>
          </w:p>
        </w:tc>
      </w:tr>
    </w:tbl>
    <w:p w:rsidR="0039108A" w:rsidRDefault="0039108A" w:rsidP="0039108A"/>
    <w:p w:rsidR="0039108A" w:rsidRDefault="0039108A" w:rsidP="0039108A">
      <w:pPr>
        <w:pStyle w:val="Caption"/>
      </w:pPr>
      <w:bookmarkStart w:id="971" w:name="_Ref301896507"/>
      <w:bookmarkStart w:id="972" w:name="_Toc310875610"/>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58</w:t>
      </w:r>
      <w:r w:rsidR="00274AB1">
        <w:rPr>
          <w:noProof/>
        </w:rPr>
        <w:fldChar w:fldCharType="end"/>
      </w:r>
      <w:bookmarkEnd w:id="971"/>
      <w:r>
        <w:t>: Strip Curtain Calculation Assumptions for</w:t>
      </w:r>
      <w:r>
        <w:rPr>
          <w:noProof/>
        </w:rPr>
        <w:t xml:space="preserve"> Convenience Stores</w:t>
      </w:r>
      <w:bookmarkEnd w:id="9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315"/>
        <w:gridCol w:w="1956"/>
        <w:gridCol w:w="1957"/>
        <w:gridCol w:w="1090"/>
      </w:tblGrid>
      <w:tr w:rsidR="0039108A" w:rsidTr="0039108A">
        <w:trPr>
          <w:trHeight w:val="374"/>
          <w:tblHeader/>
        </w:trPr>
        <w:tc>
          <w:tcPr>
            <w:tcW w:w="2538" w:type="dxa"/>
            <w:vMerge w:val="restart"/>
            <w:shd w:val="clear" w:color="auto" w:fill="BFBFBF"/>
          </w:tcPr>
          <w:p w:rsidR="0039108A" w:rsidRPr="001D6512" w:rsidRDefault="0039108A" w:rsidP="0039108A">
            <w:pPr>
              <w:pStyle w:val="TableCell"/>
              <w:keepNext w:val="0"/>
              <w:spacing w:before="60" w:after="60"/>
              <w:rPr>
                <w:b/>
              </w:rPr>
            </w:pPr>
            <w:r w:rsidRPr="001D6512">
              <w:rPr>
                <w:b/>
              </w:rPr>
              <w:t>Component</w:t>
            </w:r>
          </w:p>
        </w:tc>
        <w:tc>
          <w:tcPr>
            <w:tcW w:w="1315" w:type="dxa"/>
            <w:vMerge w:val="restart"/>
            <w:shd w:val="clear" w:color="auto" w:fill="BFBFBF"/>
          </w:tcPr>
          <w:p w:rsidR="0039108A" w:rsidRPr="001D6512" w:rsidRDefault="0039108A" w:rsidP="0039108A">
            <w:pPr>
              <w:pStyle w:val="TableCell"/>
              <w:keepNext w:val="0"/>
              <w:spacing w:before="60" w:after="60"/>
              <w:rPr>
                <w:b/>
              </w:rPr>
            </w:pPr>
            <w:r w:rsidRPr="001D6512">
              <w:rPr>
                <w:b/>
              </w:rPr>
              <w:t>Type</w:t>
            </w:r>
          </w:p>
        </w:tc>
        <w:tc>
          <w:tcPr>
            <w:tcW w:w="3913" w:type="dxa"/>
            <w:gridSpan w:val="2"/>
            <w:shd w:val="clear" w:color="auto" w:fill="BFBFBF"/>
          </w:tcPr>
          <w:p w:rsidR="0039108A" w:rsidRPr="0039108A" w:rsidRDefault="0039108A" w:rsidP="0039108A">
            <w:pPr>
              <w:pStyle w:val="StyleCaptionCentered"/>
              <w:keepNext w:val="0"/>
              <w:spacing w:before="60" w:after="60"/>
              <w:rPr>
                <w:rFonts w:ascii="Arial" w:hAnsi="Arial"/>
                <w:sz w:val="18"/>
              </w:rPr>
            </w:pPr>
            <w:r w:rsidRPr="00877D9B">
              <w:t>Value</w:t>
            </w:r>
          </w:p>
        </w:tc>
        <w:tc>
          <w:tcPr>
            <w:tcW w:w="1090" w:type="dxa"/>
            <w:vMerge w:val="restart"/>
            <w:shd w:val="clear" w:color="auto" w:fill="BFBFBF"/>
          </w:tcPr>
          <w:p w:rsidR="0039108A" w:rsidRPr="00702D89" w:rsidRDefault="0039108A" w:rsidP="0039108A">
            <w:pPr>
              <w:pStyle w:val="StyleCaptionCentered"/>
              <w:keepNext w:val="0"/>
              <w:spacing w:before="60" w:after="60"/>
              <w:jc w:val="left"/>
            </w:pPr>
            <w:r w:rsidRPr="00702D89">
              <w:t>Source</w:t>
            </w:r>
          </w:p>
        </w:tc>
      </w:tr>
      <w:tr w:rsidR="0039108A" w:rsidTr="0039108A">
        <w:trPr>
          <w:trHeight w:val="374"/>
          <w:tblHeader/>
        </w:trPr>
        <w:tc>
          <w:tcPr>
            <w:tcW w:w="2538" w:type="dxa"/>
            <w:vMerge/>
          </w:tcPr>
          <w:p w:rsidR="0039108A" w:rsidRPr="001D6512" w:rsidRDefault="0039108A" w:rsidP="0039108A">
            <w:pPr>
              <w:pStyle w:val="TableCell"/>
              <w:keepNext w:val="0"/>
              <w:spacing w:before="60" w:after="60"/>
            </w:pPr>
          </w:p>
        </w:tc>
        <w:tc>
          <w:tcPr>
            <w:tcW w:w="1315" w:type="dxa"/>
            <w:vMerge/>
          </w:tcPr>
          <w:p w:rsidR="0039108A" w:rsidRPr="001D6512" w:rsidRDefault="0039108A" w:rsidP="0039108A">
            <w:pPr>
              <w:pStyle w:val="TableCell"/>
              <w:keepNext w:val="0"/>
              <w:spacing w:before="60" w:after="60"/>
            </w:pPr>
          </w:p>
        </w:tc>
        <w:tc>
          <w:tcPr>
            <w:tcW w:w="1956" w:type="dxa"/>
            <w:shd w:val="clear" w:color="auto" w:fill="BFBFBF"/>
          </w:tcPr>
          <w:p w:rsidR="0039108A" w:rsidRPr="001D6512" w:rsidRDefault="0039108A" w:rsidP="0039108A">
            <w:pPr>
              <w:pStyle w:val="TableCell"/>
              <w:keepNext w:val="0"/>
              <w:spacing w:before="60" w:after="60"/>
              <w:jc w:val="center"/>
              <w:rPr>
                <w:b/>
              </w:rPr>
            </w:pPr>
            <w:r w:rsidRPr="001D6512">
              <w:rPr>
                <w:b/>
              </w:rPr>
              <w:t>Cooler</w:t>
            </w:r>
          </w:p>
        </w:tc>
        <w:tc>
          <w:tcPr>
            <w:tcW w:w="1957" w:type="dxa"/>
            <w:shd w:val="clear" w:color="auto" w:fill="BFBFBF"/>
          </w:tcPr>
          <w:p w:rsidR="0039108A" w:rsidRPr="002F2231" w:rsidRDefault="0039108A" w:rsidP="0039108A">
            <w:pPr>
              <w:pStyle w:val="StyleCaptionCentered"/>
              <w:keepNext w:val="0"/>
              <w:spacing w:before="60" w:after="60"/>
            </w:pPr>
            <w:r>
              <w:t>Freezer</w:t>
            </w:r>
          </w:p>
        </w:tc>
        <w:tc>
          <w:tcPr>
            <w:tcW w:w="1090" w:type="dxa"/>
            <w:vMerge/>
          </w:tcPr>
          <w:p w:rsidR="0039108A" w:rsidRDefault="0039108A" w:rsidP="0039108A">
            <w:pPr>
              <w:pStyle w:val="StyleCaptionCentered"/>
              <w:keepNext w:val="0"/>
              <w:spacing w:before="60" w:after="60"/>
            </w:pP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sym w:font="Symbol" w:char="F068"/>
            </w:r>
            <w:r w:rsidRPr="001D6512">
              <w:rPr>
                <w:vertAlign w:val="subscript"/>
              </w:rPr>
              <w:t>new</w:t>
            </w:r>
            <w:r w:rsidRPr="001D6512">
              <w:t xml:space="preserve"> </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0.79</w:t>
            </w:r>
          </w:p>
        </w:tc>
        <w:tc>
          <w:tcPr>
            <w:tcW w:w="1957" w:type="dxa"/>
          </w:tcPr>
          <w:p w:rsidR="0039108A" w:rsidRPr="001D6512" w:rsidRDefault="0039108A" w:rsidP="0039108A">
            <w:pPr>
              <w:pStyle w:val="TableCell"/>
              <w:keepNext w:val="0"/>
              <w:spacing w:before="60" w:after="60"/>
            </w:pPr>
            <w:r w:rsidRPr="001D6512">
              <w:t>0.83</w:t>
            </w:r>
          </w:p>
        </w:tc>
        <w:tc>
          <w:tcPr>
            <w:tcW w:w="1090" w:type="dxa"/>
          </w:tcPr>
          <w:p w:rsidR="0039108A" w:rsidRPr="001D6512" w:rsidRDefault="0039108A" w:rsidP="0039108A">
            <w:pPr>
              <w:pStyle w:val="TableCell"/>
              <w:keepNext w:val="0"/>
              <w:spacing w:before="60" w:after="60"/>
            </w:pPr>
            <w:r w:rsidRPr="001D6512">
              <w:t>1</w:t>
            </w:r>
          </w:p>
        </w:tc>
      </w:tr>
      <w:tr w:rsidR="0039108A" w:rsidTr="0039108A">
        <w:trPr>
          <w:trHeight w:val="374"/>
        </w:trPr>
        <w:tc>
          <w:tcPr>
            <w:tcW w:w="2538" w:type="dxa"/>
          </w:tcPr>
          <w:p w:rsidR="0039108A" w:rsidRPr="001D6512" w:rsidRDefault="0039108A" w:rsidP="0039108A">
            <w:pPr>
              <w:pStyle w:val="TableCell"/>
              <w:keepNext w:val="0"/>
              <w:spacing w:before="60" w:after="60"/>
              <w:rPr>
                <w:vertAlign w:val="subscript"/>
              </w:rPr>
            </w:pPr>
            <w:r w:rsidRPr="001D6512">
              <w:sym w:font="Symbol" w:char="F068"/>
            </w:r>
            <w:r w:rsidRPr="001D6512">
              <w:rPr>
                <w:vertAlign w:val="subscript"/>
              </w:rPr>
              <w:t xml:space="preserve">old </w:t>
            </w:r>
          </w:p>
          <w:p w:rsidR="0039108A" w:rsidRPr="001D6512" w:rsidRDefault="0039108A" w:rsidP="0039108A">
            <w:pPr>
              <w:pStyle w:val="TableCell"/>
              <w:keepNext w:val="0"/>
              <w:spacing w:before="60" w:after="60"/>
            </w:pPr>
            <w:r w:rsidRPr="001D6512">
              <w:t>with Pre-existing curtain</w:t>
            </w:r>
          </w:p>
          <w:p w:rsidR="0039108A" w:rsidRPr="001D6512" w:rsidRDefault="0039108A" w:rsidP="0039108A">
            <w:pPr>
              <w:pStyle w:val="TableCell"/>
              <w:keepNext w:val="0"/>
              <w:spacing w:before="60" w:after="60"/>
            </w:pPr>
            <w:r w:rsidRPr="001D6512">
              <w:t>with no Pre-existing curtain</w:t>
            </w:r>
          </w:p>
          <w:p w:rsidR="0039108A" w:rsidRPr="001D6512" w:rsidRDefault="0039108A" w:rsidP="0039108A">
            <w:pPr>
              <w:pStyle w:val="TableCell"/>
              <w:keepNext w:val="0"/>
              <w:spacing w:before="60" w:after="60"/>
            </w:pPr>
            <w:r w:rsidRPr="001D6512">
              <w:t>unknown</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p>
          <w:p w:rsidR="0039108A" w:rsidRPr="001D6512" w:rsidRDefault="0039108A" w:rsidP="0039108A">
            <w:pPr>
              <w:pStyle w:val="TableCell"/>
              <w:keepNext w:val="0"/>
              <w:spacing w:before="60" w:after="60"/>
            </w:pPr>
            <w:r w:rsidRPr="001D6512">
              <w:t>0.58</w:t>
            </w:r>
          </w:p>
          <w:p w:rsidR="0039108A" w:rsidRPr="001D6512" w:rsidRDefault="0039108A" w:rsidP="0039108A">
            <w:pPr>
              <w:pStyle w:val="TableCell"/>
              <w:keepNext w:val="0"/>
              <w:spacing w:before="60" w:after="60"/>
            </w:pPr>
            <w:r w:rsidRPr="001D6512">
              <w:t>0.00</w:t>
            </w:r>
          </w:p>
          <w:p w:rsidR="0039108A" w:rsidRPr="001D6512" w:rsidRDefault="0039108A" w:rsidP="0039108A">
            <w:pPr>
              <w:pStyle w:val="TableCell"/>
              <w:keepNext w:val="0"/>
              <w:spacing w:before="60" w:after="60"/>
            </w:pPr>
            <w:r w:rsidRPr="001D6512">
              <w:t>0.34</w:t>
            </w:r>
          </w:p>
        </w:tc>
        <w:tc>
          <w:tcPr>
            <w:tcW w:w="1957" w:type="dxa"/>
          </w:tcPr>
          <w:p w:rsidR="0039108A" w:rsidRPr="001D6512" w:rsidRDefault="0039108A" w:rsidP="0039108A">
            <w:pPr>
              <w:pStyle w:val="TableCell"/>
              <w:keepNext w:val="0"/>
              <w:spacing w:before="60" w:after="60"/>
            </w:pPr>
          </w:p>
          <w:p w:rsidR="0039108A" w:rsidRPr="001D6512" w:rsidRDefault="0039108A" w:rsidP="0039108A">
            <w:pPr>
              <w:pStyle w:val="TableCell"/>
              <w:keepNext w:val="0"/>
              <w:spacing w:before="60" w:after="60"/>
            </w:pPr>
            <w:r w:rsidRPr="001D6512">
              <w:t>0.58</w:t>
            </w:r>
          </w:p>
          <w:p w:rsidR="0039108A" w:rsidRPr="001D6512" w:rsidRDefault="0039108A" w:rsidP="0039108A">
            <w:pPr>
              <w:pStyle w:val="TableCell"/>
              <w:keepNext w:val="0"/>
              <w:spacing w:before="60" w:after="60"/>
            </w:pPr>
            <w:r w:rsidRPr="001D6512">
              <w:t>0.00</w:t>
            </w:r>
          </w:p>
          <w:p w:rsidR="0039108A" w:rsidRPr="001D6512" w:rsidRDefault="0039108A" w:rsidP="0039108A">
            <w:pPr>
              <w:pStyle w:val="TableCell"/>
              <w:keepNext w:val="0"/>
              <w:spacing w:before="60" w:after="60"/>
            </w:pPr>
            <w:r w:rsidRPr="001D6512">
              <w:t>0.30</w:t>
            </w:r>
          </w:p>
        </w:tc>
        <w:tc>
          <w:tcPr>
            <w:tcW w:w="1090" w:type="dxa"/>
          </w:tcPr>
          <w:p w:rsidR="0039108A" w:rsidRPr="001D6512" w:rsidRDefault="0039108A" w:rsidP="0039108A">
            <w:pPr>
              <w:pStyle w:val="TableCell"/>
              <w:keepNext w:val="0"/>
              <w:spacing w:before="60" w:after="60"/>
            </w:pPr>
            <w:r w:rsidRPr="001D6512">
              <w:t>1</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C</w:t>
            </w:r>
            <w:r w:rsidRPr="001D6512">
              <w:rPr>
                <w:vertAlign w:val="subscript"/>
              </w:rPr>
              <w:softHyphen/>
              <w:t>D</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0.348</w:t>
            </w:r>
          </w:p>
        </w:tc>
        <w:tc>
          <w:tcPr>
            <w:tcW w:w="1957" w:type="dxa"/>
          </w:tcPr>
          <w:p w:rsidR="0039108A" w:rsidRPr="001D6512" w:rsidRDefault="0039108A" w:rsidP="0039108A">
            <w:pPr>
              <w:pStyle w:val="TableCell"/>
              <w:keepNext w:val="0"/>
              <w:spacing w:before="60" w:after="60"/>
            </w:pPr>
            <w:r w:rsidRPr="001D6512">
              <w:t>0.421</w:t>
            </w:r>
          </w:p>
        </w:tc>
        <w:tc>
          <w:tcPr>
            <w:tcW w:w="1090" w:type="dxa"/>
          </w:tcPr>
          <w:p w:rsidR="0039108A" w:rsidRPr="001D6512" w:rsidRDefault="0039108A" w:rsidP="0039108A">
            <w:pPr>
              <w:pStyle w:val="TableCell"/>
              <w:keepNext w:val="0"/>
              <w:spacing w:before="60" w:after="60"/>
            </w:pPr>
            <w:r w:rsidRPr="001D6512">
              <w:t>1</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t</w:t>
            </w:r>
            <w:r w:rsidRPr="001D6512">
              <w:rPr>
                <w:vertAlign w:val="subscript"/>
              </w:rPr>
              <w:t>open</w:t>
            </w:r>
            <w:r w:rsidRPr="001D6512">
              <w:t xml:space="preserve"> (minutes/day)</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38</w:t>
            </w:r>
          </w:p>
        </w:tc>
        <w:tc>
          <w:tcPr>
            <w:tcW w:w="1957" w:type="dxa"/>
          </w:tcPr>
          <w:p w:rsidR="0039108A" w:rsidRPr="001D6512" w:rsidRDefault="0039108A" w:rsidP="0039108A">
            <w:pPr>
              <w:pStyle w:val="TableCell"/>
              <w:keepNext w:val="0"/>
              <w:spacing w:before="60" w:after="60"/>
            </w:pPr>
            <w:r w:rsidRPr="001D6512">
              <w:t>9</w:t>
            </w:r>
          </w:p>
        </w:tc>
        <w:tc>
          <w:tcPr>
            <w:tcW w:w="1090" w:type="dxa"/>
          </w:tcPr>
          <w:p w:rsidR="0039108A" w:rsidRPr="001D6512" w:rsidRDefault="0039108A" w:rsidP="0039108A">
            <w:pPr>
              <w:pStyle w:val="TableCell"/>
              <w:keepNext w:val="0"/>
              <w:spacing w:before="60" w:after="60"/>
            </w:pPr>
            <w:r w:rsidRPr="001D6512">
              <w:t>1</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A (ft2)</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21</w:t>
            </w:r>
          </w:p>
        </w:tc>
        <w:tc>
          <w:tcPr>
            <w:tcW w:w="1957" w:type="dxa"/>
          </w:tcPr>
          <w:p w:rsidR="0039108A" w:rsidRPr="001D6512" w:rsidRDefault="0039108A" w:rsidP="0039108A">
            <w:pPr>
              <w:pStyle w:val="TableCell"/>
              <w:keepNext w:val="0"/>
              <w:spacing w:before="60" w:after="60"/>
            </w:pPr>
            <w:r w:rsidRPr="001D6512">
              <w:t>21</w:t>
            </w:r>
          </w:p>
        </w:tc>
        <w:tc>
          <w:tcPr>
            <w:tcW w:w="1090" w:type="dxa"/>
          </w:tcPr>
          <w:p w:rsidR="0039108A" w:rsidRPr="001D6512" w:rsidRDefault="0039108A" w:rsidP="0039108A">
            <w:pPr>
              <w:pStyle w:val="TableCell"/>
              <w:keepNext w:val="0"/>
              <w:spacing w:before="60" w:after="60"/>
            </w:pPr>
            <w:r w:rsidRPr="001D6512">
              <w:t>1</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H (ft)</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7</w:t>
            </w:r>
          </w:p>
        </w:tc>
        <w:tc>
          <w:tcPr>
            <w:tcW w:w="1957" w:type="dxa"/>
          </w:tcPr>
          <w:p w:rsidR="0039108A" w:rsidRPr="001D6512" w:rsidRDefault="0039108A" w:rsidP="0039108A">
            <w:pPr>
              <w:pStyle w:val="TableCell"/>
              <w:keepNext w:val="0"/>
              <w:spacing w:before="60" w:after="60"/>
            </w:pPr>
            <w:r w:rsidRPr="001D6512">
              <w:t>7</w:t>
            </w:r>
          </w:p>
        </w:tc>
        <w:tc>
          <w:tcPr>
            <w:tcW w:w="1090" w:type="dxa"/>
          </w:tcPr>
          <w:p w:rsidR="0039108A" w:rsidRPr="001D6512" w:rsidRDefault="0039108A" w:rsidP="0039108A">
            <w:pPr>
              <w:pStyle w:val="TableCell"/>
              <w:keepNext w:val="0"/>
              <w:spacing w:before="60" w:after="60"/>
            </w:pPr>
            <w:r w:rsidRPr="001D6512">
              <w:t>1</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 xml:space="preserve">Ti (°F) </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68</w:t>
            </w:r>
          </w:p>
        </w:tc>
        <w:tc>
          <w:tcPr>
            <w:tcW w:w="1957" w:type="dxa"/>
          </w:tcPr>
          <w:p w:rsidR="0039108A" w:rsidRPr="001D6512" w:rsidRDefault="0039108A" w:rsidP="0039108A">
            <w:pPr>
              <w:pStyle w:val="TableCell"/>
              <w:keepNext w:val="0"/>
              <w:spacing w:before="60" w:after="60"/>
            </w:pPr>
            <w:r w:rsidRPr="001D6512">
              <w:t>64</w:t>
            </w:r>
          </w:p>
        </w:tc>
        <w:tc>
          <w:tcPr>
            <w:tcW w:w="1090" w:type="dxa"/>
          </w:tcPr>
          <w:p w:rsidR="0039108A" w:rsidRPr="001D6512" w:rsidRDefault="0039108A" w:rsidP="0039108A">
            <w:pPr>
              <w:pStyle w:val="TableCell"/>
              <w:keepNext w:val="0"/>
              <w:spacing w:before="60" w:after="60"/>
            </w:pPr>
            <w:r w:rsidRPr="001D6512">
              <w:t>1 and 2</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T</w:t>
            </w:r>
            <w:r w:rsidRPr="001D6512">
              <w:softHyphen/>
              <w:t>r (°F)</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39</w:t>
            </w:r>
          </w:p>
        </w:tc>
        <w:tc>
          <w:tcPr>
            <w:tcW w:w="1957" w:type="dxa"/>
          </w:tcPr>
          <w:p w:rsidR="0039108A" w:rsidRPr="001D6512" w:rsidRDefault="0039108A" w:rsidP="0039108A">
            <w:pPr>
              <w:pStyle w:val="TableCell"/>
              <w:keepNext w:val="0"/>
              <w:spacing w:before="60" w:after="60"/>
            </w:pPr>
            <w:r w:rsidRPr="001D6512">
              <w:t>5</w:t>
            </w:r>
          </w:p>
        </w:tc>
        <w:tc>
          <w:tcPr>
            <w:tcW w:w="1090" w:type="dxa"/>
          </w:tcPr>
          <w:p w:rsidR="0039108A" w:rsidRPr="001D6512" w:rsidRDefault="0039108A" w:rsidP="0039108A">
            <w:pPr>
              <w:pStyle w:val="TableCell"/>
              <w:keepNext w:val="0"/>
              <w:spacing w:before="60" w:after="60"/>
            </w:pPr>
            <w:r w:rsidRPr="001D6512">
              <w:t>1</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ρ</w:t>
            </w:r>
            <w:r w:rsidRPr="001D6512">
              <w:rPr>
                <w:vertAlign w:val="subscript"/>
              </w:rPr>
              <w:t>i</w:t>
            </w:r>
            <w:r w:rsidRPr="001D6512">
              <w:t xml:space="preserve"> </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0.074</w:t>
            </w:r>
          </w:p>
        </w:tc>
        <w:tc>
          <w:tcPr>
            <w:tcW w:w="1957" w:type="dxa"/>
          </w:tcPr>
          <w:p w:rsidR="0039108A" w:rsidRPr="001D6512" w:rsidRDefault="0039108A" w:rsidP="0039108A">
            <w:pPr>
              <w:pStyle w:val="TableCell"/>
              <w:keepNext w:val="0"/>
              <w:spacing w:before="60" w:after="60"/>
            </w:pPr>
            <w:r w:rsidRPr="001D6512">
              <w:t>0.075</w:t>
            </w:r>
          </w:p>
        </w:tc>
        <w:tc>
          <w:tcPr>
            <w:tcW w:w="1090" w:type="dxa"/>
          </w:tcPr>
          <w:p w:rsidR="0039108A" w:rsidRPr="001D6512" w:rsidRDefault="0039108A" w:rsidP="0039108A">
            <w:pPr>
              <w:pStyle w:val="TableCell"/>
              <w:keepNext w:val="0"/>
              <w:spacing w:before="60" w:after="60"/>
            </w:pPr>
            <w:r w:rsidRPr="001D6512">
              <w:t>3</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h</w:t>
            </w:r>
            <w:r w:rsidRPr="001D6512">
              <w:rPr>
                <w:vertAlign w:val="subscript"/>
              </w:rPr>
              <w:t>i</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25.227</w:t>
            </w:r>
          </w:p>
        </w:tc>
        <w:tc>
          <w:tcPr>
            <w:tcW w:w="1957" w:type="dxa"/>
          </w:tcPr>
          <w:p w:rsidR="0039108A" w:rsidRPr="001D6512" w:rsidRDefault="0039108A" w:rsidP="0039108A">
            <w:pPr>
              <w:pStyle w:val="TableCell"/>
              <w:keepNext w:val="0"/>
              <w:spacing w:before="60" w:after="60"/>
            </w:pPr>
            <w:r w:rsidRPr="001D6512">
              <w:t>23.087</w:t>
            </w:r>
          </w:p>
        </w:tc>
        <w:tc>
          <w:tcPr>
            <w:tcW w:w="1090" w:type="dxa"/>
          </w:tcPr>
          <w:p w:rsidR="0039108A" w:rsidRPr="001D6512" w:rsidRDefault="0039108A" w:rsidP="0039108A">
            <w:pPr>
              <w:pStyle w:val="TableCell"/>
              <w:keepNext w:val="0"/>
              <w:spacing w:before="60" w:after="60"/>
            </w:pPr>
            <w:r w:rsidRPr="001D6512">
              <w:t>3</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ρ</w:t>
            </w:r>
            <w:r w:rsidRPr="001D6512">
              <w:rPr>
                <w:vertAlign w:val="subscript"/>
              </w:rPr>
              <w:t>r</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0.079</w:t>
            </w:r>
          </w:p>
        </w:tc>
        <w:tc>
          <w:tcPr>
            <w:tcW w:w="1957" w:type="dxa"/>
          </w:tcPr>
          <w:p w:rsidR="0039108A" w:rsidRPr="001D6512" w:rsidRDefault="0039108A" w:rsidP="0039108A">
            <w:pPr>
              <w:pStyle w:val="TableCell"/>
              <w:keepNext w:val="0"/>
              <w:spacing w:before="60" w:after="60"/>
            </w:pPr>
            <w:r w:rsidRPr="001D6512">
              <w:t>0.085</w:t>
            </w:r>
          </w:p>
        </w:tc>
        <w:tc>
          <w:tcPr>
            <w:tcW w:w="1090" w:type="dxa"/>
          </w:tcPr>
          <w:p w:rsidR="0039108A" w:rsidRPr="001D6512" w:rsidRDefault="0039108A" w:rsidP="0039108A">
            <w:pPr>
              <w:pStyle w:val="TableCell"/>
              <w:keepNext w:val="0"/>
              <w:spacing w:before="60" w:after="60"/>
            </w:pPr>
            <w:r w:rsidRPr="001D6512">
              <w:t>3</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h</w:t>
            </w:r>
            <w:r w:rsidRPr="001D6512">
              <w:rPr>
                <w:vertAlign w:val="subscript"/>
              </w:rPr>
              <w:t>r</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13.750</w:t>
            </w:r>
          </w:p>
        </w:tc>
        <w:tc>
          <w:tcPr>
            <w:tcW w:w="1957" w:type="dxa"/>
          </w:tcPr>
          <w:p w:rsidR="0039108A" w:rsidRPr="001D6512" w:rsidRDefault="0039108A" w:rsidP="0039108A">
            <w:pPr>
              <w:pStyle w:val="TableCell"/>
              <w:keepNext w:val="0"/>
              <w:spacing w:before="60" w:after="60"/>
            </w:pPr>
            <w:r w:rsidRPr="001D6512">
              <w:t>2.081</w:t>
            </w:r>
          </w:p>
        </w:tc>
        <w:tc>
          <w:tcPr>
            <w:tcW w:w="1090" w:type="dxa"/>
          </w:tcPr>
          <w:p w:rsidR="0039108A" w:rsidRPr="001D6512" w:rsidRDefault="0039108A" w:rsidP="0039108A">
            <w:pPr>
              <w:pStyle w:val="TableCell"/>
              <w:keepNext w:val="0"/>
              <w:spacing w:before="60" w:after="60"/>
            </w:pPr>
            <w:r w:rsidRPr="001D6512">
              <w:t>3</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COP</w:t>
            </w:r>
            <w:r w:rsidRPr="001D6512">
              <w:rPr>
                <w:vertAlign w:val="subscript"/>
              </w:rPr>
              <w:t>adj</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3.07</w:t>
            </w:r>
          </w:p>
        </w:tc>
        <w:tc>
          <w:tcPr>
            <w:tcW w:w="1957" w:type="dxa"/>
          </w:tcPr>
          <w:p w:rsidR="0039108A" w:rsidRPr="001D6512" w:rsidRDefault="0039108A" w:rsidP="0039108A">
            <w:pPr>
              <w:pStyle w:val="TableCell"/>
              <w:keepNext w:val="0"/>
              <w:spacing w:before="60" w:after="60"/>
            </w:pPr>
            <w:r w:rsidRPr="001D6512">
              <w:t>1.95</w:t>
            </w:r>
          </w:p>
        </w:tc>
        <w:tc>
          <w:tcPr>
            <w:tcW w:w="1090" w:type="dxa"/>
          </w:tcPr>
          <w:p w:rsidR="0039108A" w:rsidRPr="001D6512" w:rsidRDefault="0039108A" w:rsidP="0039108A">
            <w:pPr>
              <w:pStyle w:val="TableCell"/>
              <w:keepNext w:val="0"/>
              <w:spacing w:before="60" w:after="60"/>
            </w:pPr>
            <w:r w:rsidRPr="001D6512">
              <w:t>1 and 2</w:t>
            </w:r>
          </w:p>
        </w:tc>
      </w:tr>
    </w:tbl>
    <w:p w:rsidR="0039108A" w:rsidRDefault="0039108A" w:rsidP="0039108A"/>
    <w:p w:rsidR="0039108A" w:rsidRDefault="0039108A" w:rsidP="0039108A">
      <w:pPr>
        <w:pStyle w:val="Caption"/>
      </w:pPr>
      <w:bookmarkStart w:id="973" w:name="_Ref301896508"/>
      <w:bookmarkStart w:id="974" w:name="_Toc310875611"/>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59</w:t>
      </w:r>
      <w:r w:rsidR="00274AB1">
        <w:rPr>
          <w:noProof/>
        </w:rPr>
        <w:fldChar w:fldCharType="end"/>
      </w:r>
      <w:bookmarkEnd w:id="973"/>
      <w:r>
        <w:t>: Strip Curtain Calculation Assumptions for</w:t>
      </w:r>
      <w:r>
        <w:rPr>
          <w:noProof/>
        </w:rPr>
        <w:t xml:space="preserve"> Restaurant</w:t>
      </w:r>
      <w:bookmarkEnd w:id="9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315"/>
        <w:gridCol w:w="1956"/>
        <w:gridCol w:w="1957"/>
        <w:gridCol w:w="1090"/>
      </w:tblGrid>
      <w:tr w:rsidR="0039108A" w:rsidTr="0039108A">
        <w:trPr>
          <w:trHeight w:val="374"/>
        </w:trPr>
        <w:tc>
          <w:tcPr>
            <w:tcW w:w="2538" w:type="dxa"/>
            <w:vMerge w:val="restart"/>
            <w:shd w:val="clear" w:color="auto" w:fill="BFBFBF"/>
          </w:tcPr>
          <w:p w:rsidR="0039108A" w:rsidRPr="001D6512" w:rsidRDefault="0039108A" w:rsidP="0039108A">
            <w:pPr>
              <w:pStyle w:val="TableCell"/>
              <w:keepNext w:val="0"/>
              <w:spacing w:before="60" w:after="60"/>
              <w:rPr>
                <w:b/>
              </w:rPr>
            </w:pPr>
            <w:r w:rsidRPr="001D6512">
              <w:rPr>
                <w:b/>
              </w:rPr>
              <w:t>Component</w:t>
            </w:r>
          </w:p>
        </w:tc>
        <w:tc>
          <w:tcPr>
            <w:tcW w:w="1315" w:type="dxa"/>
            <w:vMerge w:val="restart"/>
            <w:shd w:val="clear" w:color="auto" w:fill="BFBFBF"/>
          </w:tcPr>
          <w:p w:rsidR="0039108A" w:rsidRPr="001D6512" w:rsidRDefault="0039108A" w:rsidP="0039108A">
            <w:pPr>
              <w:pStyle w:val="TableCell"/>
              <w:keepNext w:val="0"/>
              <w:spacing w:before="60" w:after="60"/>
              <w:rPr>
                <w:b/>
              </w:rPr>
            </w:pPr>
            <w:r w:rsidRPr="001D6512">
              <w:rPr>
                <w:b/>
              </w:rPr>
              <w:t>Type</w:t>
            </w:r>
          </w:p>
        </w:tc>
        <w:tc>
          <w:tcPr>
            <w:tcW w:w="3913" w:type="dxa"/>
            <w:gridSpan w:val="2"/>
            <w:shd w:val="clear" w:color="auto" w:fill="BFBFBF"/>
          </w:tcPr>
          <w:p w:rsidR="0039108A" w:rsidRPr="0039108A" w:rsidRDefault="0039108A" w:rsidP="0039108A">
            <w:pPr>
              <w:pStyle w:val="StyleCaptionCentered"/>
              <w:keepNext w:val="0"/>
              <w:spacing w:before="60" w:after="60"/>
              <w:rPr>
                <w:rFonts w:ascii="Arial" w:hAnsi="Arial"/>
                <w:sz w:val="18"/>
              </w:rPr>
            </w:pPr>
            <w:r w:rsidRPr="00877D9B">
              <w:t>Value</w:t>
            </w:r>
          </w:p>
        </w:tc>
        <w:tc>
          <w:tcPr>
            <w:tcW w:w="1090" w:type="dxa"/>
            <w:vMerge w:val="restart"/>
            <w:shd w:val="clear" w:color="auto" w:fill="BFBFBF"/>
          </w:tcPr>
          <w:p w:rsidR="0039108A" w:rsidRPr="00702D89" w:rsidRDefault="0039108A" w:rsidP="0039108A">
            <w:pPr>
              <w:pStyle w:val="StyleCaptionCentered"/>
              <w:keepNext w:val="0"/>
              <w:spacing w:before="60" w:after="60"/>
              <w:jc w:val="left"/>
            </w:pPr>
            <w:r w:rsidRPr="00702D89">
              <w:t>Source</w:t>
            </w:r>
          </w:p>
        </w:tc>
      </w:tr>
      <w:tr w:rsidR="0039108A" w:rsidTr="0039108A">
        <w:trPr>
          <w:trHeight w:val="374"/>
        </w:trPr>
        <w:tc>
          <w:tcPr>
            <w:tcW w:w="2538" w:type="dxa"/>
            <w:vMerge/>
          </w:tcPr>
          <w:p w:rsidR="0039108A" w:rsidRPr="001D6512" w:rsidRDefault="0039108A" w:rsidP="0039108A">
            <w:pPr>
              <w:pStyle w:val="TableCell"/>
              <w:keepNext w:val="0"/>
              <w:spacing w:before="60" w:after="60"/>
            </w:pPr>
          </w:p>
        </w:tc>
        <w:tc>
          <w:tcPr>
            <w:tcW w:w="1315" w:type="dxa"/>
            <w:vMerge/>
          </w:tcPr>
          <w:p w:rsidR="0039108A" w:rsidRPr="001D6512" w:rsidRDefault="0039108A" w:rsidP="0039108A">
            <w:pPr>
              <w:pStyle w:val="TableCell"/>
              <w:keepNext w:val="0"/>
              <w:spacing w:before="60" w:after="60"/>
            </w:pPr>
          </w:p>
        </w:tc>
        <w:tc>
          <w:tcPr>
            <w:tcW w:w="1956" w:type="dxa"/>
            <w:shd w:val="clear" w:color="auto" w:fill="BFBFBF"/>
          </w:tcPr>
          <w:p w:rsidR="0039108A" w:rsidRPr="001D6512" w:rsidRDefault="0039108A" w:rsidP="0039108A">
            <w:pPr>
              <w:pStyle w:val="TableCell"/>
              <w:keepNext w:val="0"/>
              <w:spacing w:before="60" w:after="60"/>
              <w:jc w:val="center"/>
              <w:rPr>
                <w:b/>
              </w:rPr>
            </w:pPr>
            <w:r w:rsidRPr="001D6512">
              <w:rPr>
                <w:b/>
              </w:rPr>
              <w:t>Cooler</w:t>
            </w:r>
          </w:p>
        </w:tc>
        <w:tc>
          <w:tcPr>
            <w:tcW w:w="1957" w:type="dxa"/>
            <w:shd w:val="clear" w:color="auto" w:fill="BFBFBF"/>
          </w:tcPr>
          <w:p w:rsidR="0039108A" w:rsidRPr="002F2231" w:rsidRDefault="0039108A" w:rsidP="0039108A">
            <w:pPr>
              <w:pStyle w:val="StyleCaptionCentered"/>
              <w:keepNext w:val="0"/>
              <w:spacing w:before="60" w:after="60"/>
            </w:pPr>
            <w:r>
              <w:t>Freezer</w:t>
            </w:r>
          </w:p>
        </w:tc>
        <w:tc>
          <w:tcPr>
            <w:tcW w:w="1090" w:type="dxa"/>
            <w:vMerge/>
          </w:tcPr>
          <w:p w:rsidR="0039108A" w:rsidRDefault="0039108A" w:rsidP="0039108A">
            <w:pPr>
              <w:pStyle w:val="StyleCaptionCentered"/>
              <w:keepNext w:val="0"/>
              <w:spacing w:before="60" w:after="60"/>
            </w:pP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sym w:font="Symbol" w:char="F068"/>
            </w:r>
            <w:r w:rsidRPr="001D6512">
              <w:rPr>
                <w:vertAlign w:val="subscript"/>
              </w:rPr>
              <w:t>new</w:t>
            </w:r>
            <w:r w:rsidRPr="001D6512">
              <w:t xml:space="preserve"> </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0.80</w:t>
            </w:r>
          </w:p>
        </w:tc>
        <w:tc>
          <w:tcPr>
            <w:tcW w:w="1957" w:type="dxa"/>
          </w:tcPr>
          <w:p w:rsidR="0039108A" w:rsidRPr="001D6512" w:rsidRDefault="0039108A" w:rsidP="0039108A">
            <w:pPr>
              <w:pStyle w:val="TableCell"/>
              <w:keepNext w:val="0"/>
              <w:spacing w:before="60" w:after="60"/>
            </w:pPr>
            <w:r w:rsidRPr="001D6512">
              <w:t>0.81</w:t>
            </w:r>
          </w:p>
        </w:tc>
        <w:tc>
          <w:tcPr>
            <w:tcW w:w="1090" w:type="dxa"/>
          </w:tcPr>
          <w:p w:rsidR="0039108A" w:rsidRPr="001D6512" w:rsidRDefault="0039108A" w:rsidP="0039108A">
            <w:pPr>
              <w:pStyle w:val="TableCell"/>
              <w:keepNext w:val="0"/>
              <w:spacing w:before="60" w:after="60"/>
            </w:pPr>
            <w:r w:rsidRPr="001D6512">
              <w:t>1</w:t>
            </w:r>
          </w:p>
        </w:tc>
      </w:tr>
      <w:tr w:rsidR="0039108A" w:rsidTr="0039108A">
        <w:trPr>
          <w:trHeight w:val="374"/>
        </w:trPr>
        <w:tc>
          <w:tcPr>
            <w:tcW w:w="2538" w:type="dxa"/>
          </w:tcPr>
          <w:p w:rsidR="0039108A" w:rsidRPr="001D6512" w:rsidRDefault="0039108A" w:rsidP="0039108A">
            <w:pPr>
              <w:pStyle w:val="TableCell"/>
              <w:keepNext w:val="0"/>
              <w:spacing w:before="60" w:after="60"/>
              <w:rPr>
                <w:vertAlign w:val="subscript"/>
              </w:rPr>
            </w:pPr>
            <w:r w:rsidRPr="001D6512">
              <w:sym w:font="Symbol" w:char="F068"/>
            </w:r>
            <w:r w:rsidRPr="001D6512">
              <w:rPr>
                <w:vertAlign w:val="subscript"/>
              </w:rPr>
              <w:t xml:space="preserve">old </w:t>
            </w:r>
          </w:p>
          <w:p w:rsidR="0039108A" w:rsidRPr="001D6512" w:rsidRDefault="0039108A" w:rsidP="0039108A">
            <w:pPr>
              <w:pStyle w:val="TableCell"/>
              <w:keepNext w:val="0"/>
              <w:spacing w:before="60" w:after="60"/>
            </w:pPr>
            <w:r w:rsidRPr="001D6512">
              <w:t>with Pre-existing curtain</w:t>
            </w:r>
          </w:p>
          <w:p w:rsidR="0039108A" w:rsidRPr="001D6512" w:rsidRDefault="0039108A" w:rsidP="0039108A">
            <w:pPr>
              <w:pStyle w:val="TableCell"/>
              <w:keepNext w:val="0"/>
              <w:spacing w:before="60" w:after="60"/>
            </w:pPr>
            <w:r w:rsidRPr="001D6512">
              <w:t>with no Pre-existing curtain</w:t>
            </w:r>
          </w:p>
          <w:p w:rsidR="0039108A" w:rsidRPr="001D6512" w:rsidRDefault="0039108A" w:rsidP="0039108A">
            <w:pPr>
              <w:pStyle w:val="TableCell"/>
              <w:keepNext w:val="0"/>
              <w:spacing w:before="60" w:after="60"/>
            </w:pPr>
            <w:r w:rsidRPr="001D6512">
              <w:t>unknown</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p>
          <w:p w:rsidR="0039108A" w:rsidRPr="001D6512" w:rsidRDefault="0039108A" w:rsidP="0039108A">
            <w:pPr>
              <w:pStyle w:val="TableCell"/>
              <w:keepNext w:val="0"/>
              <w:spacing w:before="60" w:after="60"/>
            </w:pPr>
            <w:r w:rsidRPr="001D6512">
              <w:t>0.58</w:t>
            </w:r>
          </w:p>
          <w:p w:rsidR="0039108A" w:rsidRPr="001D6512" w:rsidRDefault="0039108A" w:rsidP="0039108A">
            <w:pPr>
              <w:pStyle w:val="TableCell"/>
              <w:keepNext w:val="0"/>
              <w:spacing w:before="60" w:after="60"/>
            </w:pPr>
            <w:r w:rsidRPr="001D6512">
              <w:t>0.00</w:t>
            </w:r>
          </w:p>
          <w:p w:rsidR="0039108A" w:rsidRPr="001D6512" w:rsidRDefault="0039108A" w:rsidP="0039108A">
            <w:pPr>
              <w:pStyle w:val="TableCell"/>
              <w:keepNext w:val="0"/>
              <w:spacing w:before="60" w:after="60"/>
            </w:pPr>
            <w:r w:rsidRPr="001D6512">
              <w:t>0.33</w:t>
            </w:r>
          </w:p>
        </w:tc>
        <w:tc>
          <w:tcPr>
            <w:tcW w:w="1957" w:type="dxa"/>
          </w:tcPr>
          <w:p w:rsidR="0039108A" w:rsidRPr="001D6512" w:rsidRDefault="0039108A" w:rsidP="0039108A">
            <w:pPr>
              <w:pStyle w:val="TableCell"/>
              <w:keepNext w:val="0"/>
              <w:spacing w:before="60" w:after="60"/>
            </w:pPr>
          </w:p>
          <w:p w:rsidR="0039108A" w:rsidRPr="001D6512" w:rsidRDefault="0039108A" w:rsidP="0039108A">
            <w:pPr>
              <w:pStyle w:val="TableCell"/>
              <w:keepNext w:val="0"/>
              <w:spacing w:before="60" w:after="60"/>
            </w:pPr>
            <w:r w:rsidRPr="001D6512">
              <w:t>0.58</w:t>
            </w:r>
          </w:p>
          <w:p w:rsidR="0039108A" w:rsidRPr="001D6512" w:rsidRDefault="0039108A" w:rsidP="0039108A">
            <w:pPr>
              <w:pStyle w:val="TableCell"/>
              <w:keepNext w:val="0"/>
              <w:spacing w:before="60" w:after="60"/>
            </w:pPr>
            <w:r w:rsidRPr="001D6512">
              <w:t>0.00</w:t>
            </w:r>
          </w:p>
          <w:p w:rsidR="0039108A" w:rsidRPr="001D6512" w:rsidRDefault="0039108A" w:rsidP="0039108A">
            <w:pPr>
              <w:pStyle w:val="TableCell"/>
              <w:keepNext w:val="0"/>
              <w:spacing w:before="60" w:after="60"/>
            </w:pPr>
            <w:r w:rsidRPr="001D6512">
              <w:t>0.26</w:t>
            </w:r>
          </w:p>
        </w:tc>
        <w:tc>
          <w:tcPr>
            <w:tcW w:w="1090" w:type="dxa"/>
          </w:tcPr>
          <w:p w:rsidR="0039108A" w:rsidRPr="001D6512" w:rsidRDefault="0039108A" w:rsidP="0039108A">
            <w:pPr>
              <w:pStyle w:val="TableCell"/>
              <w:keepNext w:val="0"/>
              <w:spacing w:before="60" w:after="60"/>
            </w:pPr>
            <w:r w:rsidRPr="001D6512">
              <w:t>1</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C</w:t>
            </w:r>
            <w:r w:rsidRPr="001D6512">
              <w:rPr>
                <w:vertAlign w:val="subscript"/>
              </w:rPr>
              <w:softHyphen/>
              <w:t>D</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0.383</w:t>
            </w:r>
          </w:p>
        </w:tc>
        <w:tc>
          <w:tcPr>
            <w:tcW w:w="1957" w:type="dxa"/>
          </w:tcPr>
          <w:p w:rsidR="0039108A" w:rsidRPr="001D6512" w:rsidRDefault="0039108A" w:rsidP="0039108A">
            <w:pPr>
              <w:pStyle w:val="TableCell"/>
              <w:keepNext w:val="0"/>
              <w:spacing w:before="60" w:after="60"/>
            </w:pPr>
            <w:r w:rsidRPr="001D6512">
              <w:t>0.442</w:t>
            </w:r>
          </w:p>
        </w:tc>
        <w:tc>
          <w:tcPr>
            <w:tcW w:w="1090" w:type="dxa"/>
          </w:tcPr>
          <w:p w:rsidR="0039108A" w:rsidRPr="001D6512" w:rsidRDefault="0039108A" w:rsidP="0039108A">
            <w:pPr>
              <w:pStyle w:val="TableCell"/>
              <w:keepNext w:val="0"/>
              <w:spacing w:before="60" w:after="60"/>
            </w:pPr>
            <w:r w:rsidRPr="001D6512">
              <w:t>1</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t</w:t>
            </w:r>
            <w:r w:rsidRPr="001D6512">
              <w:rPr>
                <w:vertAlign w:val="subscript"/>
              </w:rPr>
              <w:t>open</w:t>
            </w:r>
            <w:r w:rsidRPr="001D6512">
              <w:t xml:space="preserve"> (minutes/day)</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45</w:t>
            </w:r>
          </w:p>
        </w:tc>
        <w:tc>
          <w:tcPr>
            <w:tcW w:w="1957" w:type="dxa"/>
          </w:tcPr>
          <w:p w:rsidR="0039108A" w:rsidRPr="001D6512" w:rsidRDefault="0039108A" w:rsidP="0039108A">
            <w:pPr>
              <w:pStyle w:val="TableCell"/>
              <w:keepNext w:val="0"/>
              <w:spacing w:before="60" w:after="60"/>
            </w:pPr>
            <w:r w:rsidRPr="001D6512">
              <w:t>38</w:t>
            </w:r>
          </w:p>
        </w:tc>
        <w:tc>
          <w:tcPr>
            <w:tcW w:w="1090" w:type="dxa"/>
          </w:tcPr>
          <w:p w:rsidR="0039108A" w:rsidRPr="001D6512" w:rsidRDefault="0039108A" w:rsidP="0039108A">
            <w:pPr>
              <w:pStyle w:val="TableCell"/>
              <w:keepNext w:val="0"/>
              <w:spacing w:before="60" w:after="60"/>
            </w:pPr>
            <w:r w:rsidRPr="001D6512">
              <w:t>1</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A (ft2)</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21</w:t>
            </w:r>
          </w:p>
        </w:tc>
        <w:tc>
          <w:tcPr>
            <w:tcW w:w="1957" w:type="dxa"/>
          </w:tcPr>
          <w:p w:rsidR="0039108A" w:rsidRPr="001D6512" w:rsidRDefault="0039108A" w:rsidP="0039108A">
            <w:pPr>
              <w:pStyle w:val="TableCell"/>
              <w:keepNext w:val="0"/>
              <w:spacing w:before="60" w:after="60"/>
            </w:pPr>
            <w:r w:rsidRPr="001D6512">
              <w:t>21</w:t>
            </w:r>
          </w:p>
        </w:tc>
        <w:tc>
          <w:tcPr>
            <w:tcW w:w="1090" w:type="dxa"/>
          </w:tcPr>
          <w:p w:rsidR="0039108A" w:rsidRPr="001D6512" w:rsidRDefault="0039108A" w:rsidP="0039108A">
            <w:pPr>
              <w:pStyle w:val="TableCell"/>
              <w:keepNext w:val="0"/>
              <w:spacing w:before="60" w:after="60"/>
            </w:pPr>
            <w:r w:rsidRPr="001D6512">
              <w:t>1</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H (ft)</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7</w:t>
            </w:r>
          </w:p>
        </w:tc>
        <w:tc>
          <w:tcPr>
            <w:tcW w:w="1957" w:type="dxa"/>
          </w:tcPr>
          <w:p w:rsidR="0039108A" w:rsidRPr="001D6512" w:rsidRDefault="0039108A" w:rsidP="0039108A">
            <w:pPr>
              <w:pStyle w:val="TableCell"/>
              <w:keepNext w:val="0"/>
              <w:spacing w:before="60" w:after="60"/>
            </w:pPr>
            <w:r w:rsidRPr="001D6512">
              <w:t>7</w:t>
            </w:r>
          </w:p>
        </w:tc>
        <w:tc>
          <w:tcPr>
            <w:tcW w:w="1090" w:type="dxa"/>
          </w:tcPr>
          <w:p w:rsidR="0039108A" w:rsidRPr="001D6512" w:rsidRDefault="0039108A" w:rsidP="0039108A">
            <w:pPr>
              <w:pStyle w:val="TableCell"/>
              <w:keepNext w:val="0"/>
              <w:spacing w:before="60" w:after="60"/>
            </w:pPr>
            <w:r w:rsidRPr="001D6512">
              <w:t>1</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 xml:space="preserve">Ti (°F) </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70</w:t>
            </w:r>
          </w:p>
        </w:tc>
        <w:tc>
          <w:tcPr>
            <w:tcW w:w="1957" w:type="dxa"/>
          </w:tcPr>
          <w:p w:rsidR="0039108A" w:rsidRPr="001D6512" w:rsidRDefault="0039108A" w:rsidP="0039108A">
            <w:pPr>
              <w:pStyle w:val="TableCell"/>
              <w:keepNext w:val="0"/>
              <w:spacing w:before="60" w:after="60"/>
            </w:pPr>
            <w:r w:rsidRPr="001D6512">
              <w:t>67</w:t>
            </w:r>
          </w:p>
        </w:tc>
        <w:tc>
          <w:tcPr>
            <w:tcW w:w="1090" w:type="dxa"/>
          </w:tcPr>
          <w:p w:rsidR="0039108A" w:rsidRPr="001D6512" w:rsidRDefault="0039108A" w:rsidP="0039108A">
            <w:pPr>
              <w:pStyle w:val="TableCell"/>
              <w:keepNext w:val="0"/>
              <w:spacing w:before="60" w:after="60"/>
            </w:pPr>
            <w:r w:rsidRPr="001D6512">
              <w:t>1 and 2</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T</w:t>
            </w:r>
            <w:r w:rsidRPr="001D6512">
              <w:softHyphen/>
              <w:t>r (°F)</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39</w:t>
            </w:r>
          </w:p>
        </w:tc>
        <w:tc>
          <w:tcPr>
            <w:tcW w:w="1957" w:type="dxa"/>
          </w:tcPr>
          <w:p w:rsidR="0039108A" w:rsidRPr="001D6512" w:rsidRDefault="0039108A" w:rsidP="0039108A">
            <w:pPr>
              <w:pStyle w:val="TableCell"/>
              <w:keepNext w:val="0"/>
              <w:spacing w:before="60" w:after="60"/>
            </w:pPr>
            <w:r w:rsidRPr="001D6512">
              <w:t>8</w:t>
            </w:r>
          </w:p>
        </w:tc>
        <w:tc>
          <w:tcPr>
            <w:tcW w:w="1090" w:type="dxa"/>
          </w:tcPr>
          <w:p w:rsidR="0039108A" w:rsidRPr="001D6512" w:rsidRDefault="0039108A" w:rsidP="0039108A">
            <w:pPr>
              <w:pStyle w:val="TableCell"/>
              <w:keepNext w:val="0"/>
              <w:spacing w:before="60" w:after="60"/>
            </w:pPr>
            <w:r w:rsidRPr="001D6512">
              <w:t>1</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ρ</w:t>
            </w:r>
            <w:r w:rsidRPr="001D6512">
              <w:rPr>
                <w:vertAlign w:val="subscript"/>
              </w:rPr>
              <w:t>i</w:t>
            </w:r>
            <w:r w:rsidRPr="001D6512">
              <w:t xml:space="preserve"> </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0.074</w:t>
            </w:r>
          </w:p>
        </w:tc>
        <w:tc>
          <w:tcPr>
            <w:tcW w:w="1957" w:type="dxa"/>
          </w:tcPr>
          <w:p w:rsidR="0039108A" w:rsidRPr="001D6512" w:rsidRDefault="0039108A" w:rsidP="0039108A">
            <w:pPr>
              <w:pStyle w:val="TableCell"/>
              <w:keepNext w:val="0"/>
              <w:spacing w:before="60" w:after="60"/>
            </w:pPr>
            <w:r w:rsidRPr="001D6512">
              <w:t>0.074</w:t>
            </w:r>
          </w:p>
        </w:tc>
        <w:tc>
          <w:tcPr>
            <w:tcW w:w="1090" w:type="dxa"/>
          </w:tcPr>
          <w:p w:rsidR="0039108A" w:rsidRPr="001D6512" w:rsidRDefault="0039108A" w:rsidP="0039108A">
            <w:pPr>
              <w:pStyle w:val="TableCell"/>
              <w:keepNext w:val="0"/>
              <w:spacing w:before="60" w:after="60"/>
            </w:pPr>
            <w:r w:rsidRPr="001D6512">
              <w:t>3</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h</w:t>
            </w:r>
            <w:r w:rsidRPr="001D6512">
              <w:rPr>
                <w:vertAlign w:val="subscript"/>
              </w:rPr>
              <w:t>i</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26.356</w:t>
            </w:r>
          </w:p>
        </w:tc>
        <w:tc>
          <w:tcPr>
            <w:tcW w:w="1957" w:type="dxa"/>
          </w:tcPr>
          <w:p w:rsidR="0039108A" w:rsidRPr="001D6512" w:rsidRDefault="0039108A" w:rsidP="0039108A">
            <w:pPr>
              <w:pStyle w:val="TableCell"/>
              <w:keepNext w:val="0"/>
              <w:spacing w:before="60" w:after="60"/>
            </w:pPr>
            <w:r w:rsidRPr="001D6512">
              <w:t>24.678</w:t>
            </w:r>
          </w:p>
        </w:tc>
        <w:tc>
          <w:tcPr>
            <w:tcW w:w="1090" w:type="dxa"/>
          </w:tcPr>
          <w:p w:rsidR="0039108A" w:rsidRPr="001D6512" w:rsidRDefault="0039108A" w:rsidP="0039108A">
            <w:pPr>
              <w:pStyle w:val="TableCell"/>
              <w:keepNext w:val="0"/>
              <w:spacing w:before="60" w:after="60"/>
            </w:pPr>
            <w:r w:rsidRPr="001D6512">
              <w:t>3</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ρ</w:t>
            </w:r>
            <w:r w:rsidRPr="001D6512">
              <w:rPr>
                <w:vertAlign w:val="subscript"/>
              </w:rPr>
              <w:t>r</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0.079</w:t>
            </w:r>
          </w:p>
        </w:tc>
        <w:tc>
          <w:tcPr>
            <w:tcW w:w="1957" w:type="dxa"/>
          </w:tcPr>
          <w:p w:rsidR="0039108A" w:rsidRPr="001D6512" w:rsidRDefault="0039108A" w:rsidP="0039108A">
            <w:pPr>
              <w:pStyle w:val="TableCell"/>
              <w:keepNext w:val="0"/>
              <w:spacing w:before="60" w:after="60"/>
            </w:pPr>
            <w:r w:rsidRPr="001D6512">
              <w:t>0.085</w:t>
            </w:r>
          </w:p>
        </w:tc>
        <w:tc>
          <w:tcPr>
            <w:tcW w:w="1090" w:type="dxa"/>
          </w:tcPr>
          <w:p w:rsidR="0039108A" w:rsidRPr="001D6512" w:rsidRDefault="0039108A" w:rsidP="0039108A">
            <w:pPr>
              <w:pStyle w:val="TableCell"/>
              <w:keepNext w:val="0"/>
              <w:spacing w:before="60" w:after="60"/>
            </w:pPr>
            <w:r w:rsidRPr="001D6512">
              <w:t>3</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h</w:t>
            </w:r>
            <w:r w:rsidRPr="001D6512">
              <w:rPr>
                <w:vertAlign w:val="subscript"/>
              </w:rPr>
              <w:t>r</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13.750</w:t>
            </w:r>
          </w:p>
        </w:tc>
        <w:tc>
          <w:tcPr>
            <w:tcW w:w="1957" w:type="dxa"/>
          </w:tcPr>
          <w:p w:rsidR="0039108A" w:rsidRPr="001D6512" w:rsidRDefault="0039108A" w:rsidP="0039108A">
            <w:pPr>
              <w:pStyle w:val="TableCell"/>
              <w:keepNext w:val="0"/>
              <w:spacing w:before="60" w:after="60"/>
            </w:pPr>
            <w:r w:rsidRPr="001D6512">
              <w:t>2.948</w:t>
            </w:r>
          </w:p>
        </w:tc>
        <w:tc>
          <w:tcPr>
            <w:tcW w:w="1090" w:type="dxa"/>
          </w:tcPr>
          <w:p w:rsidR="0039108A" w:rsidRPr="001D6512" w:rsidRDefault="0039108A" w:rsidP="0039108A">
            <w:pPr>
              <w:pStyle w:val="TableCell"/>
              <w:keepNext w:val="0"/>
              <w:spacing w:before="60" w:after="60"/>
            </w:pPr>
            <w:r w:rsidRPr="001D6512">
              <w:t>3</w:t>
            </w:r>
          </w:p>
        </w:tc>
      </w:tr>
      <w:tr w:rsidR="0039108A" w:rsidTr="0039108A">
        <w:trPr>
          <w:trHeight w:val="374"/>
        </w:trPr>
        <w:tc>
          <w:tcPr>
            <w:tcW w:w="2538" w:type="dxa"/>
          </w:tcPr>
          <w:p w:rsidR="0039108A" w:rsidRPr="001D6512" w:rsidRDefault="0039108A" w:rsidP="0039108A">
            <w:pPr>
              <w:pStyle w:val="TableCell"/>
              <w:keepNext w:val="0"/>
              <w:spacing w:before="60" w:after="60"/>
            </w:pPr>
            <w:r w:rsidRPr="001D6512">
              <w:t>COP</w:t>
            </w:r>
            <w:r w:rsidRPr="001D6512">
              <w:rPr>
                <w:vertAlign w:val="subscript"/>
              </w:rPr>
              <w:t>adj</w:t>
            </w:r>
          </w:p>
        </w:tc>
        <w:tc>
          <w:tcPr>
            <w:tcW w:w="1315" w:type="dxa"/>
          </w:tcPr>
          <w:p w:rsidR="0039108A" w:rsidRPr="001D6512" w:rsidRDefault="0039108A" w:rsidP="0039108A">
            <w:pPr>
              <w:pStyle w:val="TableCell"/>
              <w:keepNext w:val="0"/>
              <w:spacing w:before="60" w:after="60"/>
            </w:pPr>
            <w:r w:rsidRPr="001D6512">
              <w:t>Fixed</w:t>
            </w:r>
          </w:p>
        </w:tc>
        <w:tc>
          <w:tcPr>
            <w:tcW w:w="1956" w:type="dxa"/>
          </w:tcPr>
          <w:p w:rsidR="0039108A" w:rsidRPr="001D6512" w:rsidRDefault="0039108A" w:rsidP="0039108A">
            <w:pPr>
              <w:pStyle w:val="TableCell"/>
              <w:keepNext w:val="0"/>
              <w:spacing w:before="60" w:after="60"/>
            </w:pPr>
            <w:r w:rsidRPr="001D6512">
              <w:t>3.07</w:t>
            </w:r>
          </w:p>
        </w:tc>
        <w:tc>
          <w:tcPr>
            <w:tcW w:w="1957" w:type="dxa"/>
          </w:tcPr>
          <w:p w:rsidR="0039108A" w:rsidRPr="001D6512" w:rsidRDefault="0039108A" w:rsidP="0039108A">
            <w:pPr>
              <w:pStyle w:val="TableCell"/>
              <w:keepNext w:val="0"/>
              <w:spacing w:before="60" w:after="60"/>
            </w:pPr>
            <w:r w:rsidRPr="001D6512">
              <w:t>1.95</w:t>
            </w:r>
          </w:p>
        </w:tc>
        <w:tc>
          <w:tcPr>
            <w:tcW w:w="1090" w:type="dxa"/>
          </w:tcPr>
          <w:p w:rsidR="0039108A" w:rsidRPr="001D6512" w:rsidRDefault="0039108A" w:rsidP="0039108A">
            <w:pPr>
              <w:pStyle w:val="TableCell"/>
              <w:keepNext w:val="0"/>
              <w:spacing w:before="60" w:after="60"/>
            </w:pPr>
            <w:r w:rsidRPr="001D6512">
              <w:t>1 and 2</w:t>
            </w:r>
          </w:p>
        </w:tc>
      </w:tr>
    </w:tbl>
    <w:p w:rsidR="0039108A" w:rsidRDefault="0039108A" w:rsidP="0039108A"/>
    <w:p w:rsidR="0039108A" w:rsidRDefault="0039108A" w:rsidP="0039108A">
      <w:pPr>
        <w:pStyle w:val="Caption"/>
      </w:pPr>
      <w:bookmarkStart w:id="975" w:name="_Ref301896509"/>
      <w:bookmarkStart w:id="976" w:name="_Toc310875612"/>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60</w:t>
      </w:r>
      <w:r w:rsidR="00274AB1">
        <w:rPr>
          <w:noProof/>
        </w:rPr>
        <w:fldChar w:fldCharType="end"/>
      </w:r>
      <w:bookmarkEnd w:id="975"/>
      <w:r>
        <w:t>: Strip Curtain Calculation Assumptions for</w:t>
      </w:r>
      <w:r>
        <w:rPr>
          <w:noProof/>
        </w:rPr>
        <w:t xml:space="preserve"> Refrigerated Warehouse</w:t>
      </w:r>
      <w:bookmarkEnd w:id="97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315"/>
        <w:gridCol w:w="2015"/>
        <w:gridCol w:w="1260"/>
      </w:tblGrid>
      <w:tr w:rsidR="0039108A" w:rsidTr="0039108A">
        <w:trPr>
          <w:trHeight w:val="374"/>
          <w:jc w:val="center"/>
        </w:trPr>
        <w:tc>
          <w:tcPr>
            <w:tcW w:w="2538" w:type="dxa"/>
            <w:shd w:val="clear" w:color="auto" w:fill="BFBFBF"/>
          </w:tcPr>
          <w:p w:rsidR="0039108A" w:rsidRPr="001D6512" w:rsidRDefault="0039108A" w:rsidP="0039108A">
            <w:pPr>
              <w:pStyle w:val="TableCell"/>
              <w:spacing w:before="60" w:after="60"/>
              <w:rPr>
                <w:b/>
              </w:rPr>
            </w:pPr>
            <w:r w:rsidRPr="001D6512">
              <w:rPr>
                <w:b/>
              </w:rPr>
              <w:t>Component</w:t>
            </w:r>
          </w:p>
        </w:tc>
        <w:tc>
          <w:tcPr>
            <w:tcW w:w="1315" w:type="dxa"/>
            <w:shd w:val="clear" w:color="auto" w:fill="BFBFBF"/>
          </w:tcPr>
          <w:p w:rsidR="0039108A" w:rsidRPr="001D6512" w:rsidRDefault="0039108A" w:rsidP="0039108A">
            <w:pPr>
              <w:pStyle w:val="TableCell"/>
              <w:spacing w:before="60" w:after="60"/>
              <w:rPr>
                <w:b/>
              </w:rPr>
            </w:pPr>
            <w:r w:rsidRPr="001D6512">
              <w:rPr>
                <w:b/>
              </w:rPr>
              <w:t>Type</w:t>
            </w:r>
          </w:p>
        </w:tc>
        <w:tc>
          <w:tcPr>
            <w:tcW w:w="2015" w:type="dxa"/>
            <w:shd w:val="clear" w:color="auto" w:fill="BFBFBF"/>
          </w:tcPr>
          <w:p w:rsidR="0039108A" w:rsidRPr="0039108A" w:rsidRDefault="0039108A" w:rsidP="0039108A">
            <w:pPr>
              <w:pStyle w:val="StyleCaptionCentered"/>
              <w:spacing w:before="60" w:after="60"/>
              <w:rPr>
                <w:rFonts w:ascii="Arial" w:hAnsi="Arial"/>
                <w:sz w:val="18"/>
              </w:rPr>
            </w:pPr>
            <w:r w:rsidRPr="00877D9B">
              <w:t>Value</w:t>
            </w:r>
          </w:p>
        </w:tc>
        <w:tc>
          <w:tcPr>
            <w:tcW w:w="1260" w:type="dxa"/>
            <w:shd w:val="clear" w:color="auto" w:fill="BFBFBF"/>
          </w:tcPr>
          <w:p w:rsidR="0039108A" w:rsidRPr="00702D89" w:rsidRDefault="0039108A" w:rsidP="0039108A">
            <w:pPr>
              <w:pStyle w:val="StyleCaptionCentered"/>
              <w:spacing w:before="60" w:after="60"/>
              <w:jc w:val="left"/>
            </w:pPr>
            <w:r w:rsidRPr="00702D89">
              <w:t>Source</w:t>
            </w:r>
          </w:p>
        </w:tc>
      </w:tr>
      <w:tr w:rsidR="0039108A" w:rsidTr="0039108A">
        <w:trPr>
          <w:trHeight w:val="374"/>
          <w:jc w:val="center"/>
        </w:trPr>
        <w:tc>
          <w:tcPr>
            <w:tcW w:w="2538" w:type="dxa"/>
          </w:tcPr>
          <w:p w:rsidR="0039108A" w:rsidRPr="001D6512" w:rsidRDefault="0039108A" w:rsidP="0039108A">
            <w:pPr>
              <w:pStyle w:val="TableCell"/>
              <w:spacing w:before="60" w:after="60"/>
            </w:pPr>
            <w:r w:rsidRPr="001D6512">
              <w:sym w:font="Symbol" w:char="F068"/>
            </w:r>
            <w:r w:rsidRPr="001D6512">
              <w:rPr>
                <w:vertAlign w:val="subscript"/>
              </w:rPr>
              <w:t>new</w:t>
            </w:r>
            <w:r w:rsidRPr="001D6512">
              <w:t xml:space="preserve"> </w:t>
            </w:r>
          </w:p>
        </w:tc>
        <w:tc>
          <w:tcPr>
            <w:tcW w:w="1315" w:type="dxa"/>
          </w:tcPr>
          <w:p w:rsidR="0039108A" w:rsidRPr="001D6512" w:rsidRDefault="0039108A" w:rsidP="0039108A">
            <w:pPr>
              <w:pStyle w:val="TableCell"/>
              <w:spacing w:before="60" w:after="60"/>
            </w:pPr>
            <w:r w:rsidRPr="001D6512">
              <w:t>Fixed</w:t>
            </w:r>
          </w:p>
        </w:tc>
        <w:tc>
          <w:tcPr>
            <w:tcW w:w="2015" w:type="dxa"/>
          </w:tcPr>
          <w:p w:rsidR="0039108A" w:rsidRPr="001D6512" w:rsidRDefault="0039108A" w:rsidP="0039108A">
            <w:pPr>
              <w:pStyle w:val="TableCell"/>
              <w:spacing w:before="60" w:after="60"/>
            </w:pPr>
            <w:r w:rsidRPr="001D6512">
              <w:t>0.89</w:t>
            </w:r>
          </w:p>
        </w:tc>
        <w:tc>
          <w:tcPr>
            <w:tcW w:w="1260" w:type="dxa"/>
          </w:tcPr>
          <w:p w:rsidR="0039108A" w:rsidRPr="001D6512" w:rsidRDefault="0039108A" w:rsidP="0039108A">
            <w:pPr>
              <w:pStyle w:val="TableCell"/>
              <w:spacing w:before="60" w:after="60"/>
            </w:pPr>
            <w:r w:rsidRPr="001D6512">
              <w:t>1</w:t>
            </w:r>
          </w:p>
        </w:tc>
      </w:tr>
      <w:tr w:rsidR="0039108A" w:rsidTr="0039108A">
        <w:trPr>
          <w:trHeight w:val="374"/>
          <w:jc w:val="center"/>
        </w:trPr>
        <w:tc>
          <w:tcPr>
            <w:tcW w:w="2538" w:type="dxa"/>
          </w:tcPr>
          <w:p w:rsidR="0039108A" w:rsidRPr="001D6512" w:rsidRDefault="0039108A" w:rsidP="0039108A">
            <w:pPr>
              <w:pStyle w:val="TableCell"/>
              <w:spacing w:before="60" w:after="60"/>
              <w:rPr>
                <w:vertAlign w:val="subscript"/>
              </w:rPr>
            </w:pPr>
            <w:r w:rsidRPr="001D6512">
              <w:sym w:font="Symbol" w:char="F068"/>
            </w:r>
            <w:r w:rsidRPr="001D6512">
              <w:rPr>
                <w:vertAlign w:val="subscript"/>
              </w:rPr>
              <w:t xml:space="preserve">old </w:t>
            </w:r>
          </w:p>
          <w:p w:rsidR="0039108A" w:rsidRPr="001D6512" w:rsidRDefault="0039108A" w:rsidP="0039108A">
            <w:pPr>
              <w:pStyle w:val="TableCell"/>
              <w:spacing w:before="60" w:after="60"/>
            </w:pPr>
            <w:r w:rsidRPr="001D6512">
              <w:t>with Pre-existing curtain</w:t>
            </w:r>
          </w:p>
          <w:p w:rsidR="0039108A" w:rsidRPr="001D6512" w:rsidRDefault="0039108A" w:rsidP="0039108A">
            <w:pPr>
              <w:pStyle w:val="TableCell"/>
              <w:spacing w:before="60" w:after="60"/>
            </w:pPr>
            <w:r w:rsidRPr="001D6512">
              <w:t>with no Pre-existing curtain</w:t>
            </w:r>
          </w:p>
          <w:p w:rsidR="0039108A" w:rsidRPr="001D6512" w:rsidRDefault="0039108A" w:rsidP="0039108A">
            <w:pPr>
              <w:pStyle w:val="TableCell"/>
              <w:spacing w:before="60" w:after="60"/>
            </w:pPr>
            <w:r w:rsidRPr="001D6512">
              <w:t>unknown</w:t>
            </w:r>
          </w:p>
        </w:tc>
        <w:tc>
          <w:tcPr>
            <w:tcW w:w="1315" w:type="dxa"/>
          </w:tcPr>
          <w:p w:rsidR="0039108A" w:rsidRPr="001D6512" w:rsidRDefault="0039108A" w:rsidP="0039108A">
            <w:pPr>
              <w:pStyle w:val="TableCell"/>
              <w:spacing w:before="60" w:after="60"/>
            </w:pPr>
            <w:r w:rsidRPr="001D6512">
              <w:t>Fixed</w:t>
            </w:r>
          </w:p>
        </w:tc>
        <w:tc>
          <w:tcPr>
            <w:tcW w:w="2015" w:type="dxa"/>
          </w:tcPr>
          <w:p w:rsidR="0039108A" w:rsidRPr="001D6512" w:rsidRDefault="0039108A" w:rsidP="0039108A">
            <w:pPr>
              <w:pStyle w:val="TableCell"/>
              <w:spacing w:before="60" w:after="60"/>
            </w:pPr>
          </w:p>
          <w:p w:rsidR="0039108A" w:rsidRPr="001D6512" w:rsidRDefault="0039108A" w:rsidP="0039108A">
            <w:pPr>
              <w:pStyle w:val="TableCell"/>
              <w:spacing w:before="60" w:after="60"/>
            </w:pPr>
            <w:r w:rsidRPr="001D6512">
              <w:t>0.58</w:t>
            </w:r>
          </w:p>
          <w:p w:rsidR="0039108A" w:rsidRPr="001D6512" w:rsidRDefault="0039108A" w:rsidP="0039108A">
            <w:pPr>
              <w:pStyle w:val="TableCell"/>
              <w:spacing w:before="60" w:after="60"/>
            </w:pPr>
            <w:r w:rsidRPr="001D6512">
              <w:t>0.00</w:t>
            </w:r>
          </w:p>
          <w:p w:rsidR="0039108A" w:rsidRPr="001D6512" w:rsidRDefault="0039108A" w:rsidP="0039108A">
            <w:pPr>
              <w:pStyle w:val="TableCell"/>
              <w:spacing w:before="60" w:after="60"/>
            </w:pPr>
            <w:r w:rsidRPr="001D6512">
              <w:t>0.54</w:t>
            </w:r>
          </w:p>
        </w:tc>
        <w:tc>
          <w:tcPr>
            <w:tcW w:w="1260" w:type="dxa"/>
          </w:tcPr>
          <w:p w:rsidR="0039108A" w:rsidRPr="001D6512" w:rsidRDefault="0039108A" w:rsidP="0039108A">
            <w:pPr>
              <w:pStyle w:val="TableCell"/>
              <w:spacing w:before="60" w:after="60"/>
            </w:pPr>
            <w:r w:rsidRPr="001D6512">
              <w:t>1</w:t>
            </w:r>
          </w:p>
        </w:tc>
      </w:tr>
      <w:tr w:rsidR="0039108A" w:rsidTr="0039108A">
        <w:trPr>
          <w:trHeight w:val="374"/>
          <w:jc w:val="center"/>
        </w:trPr>
        <w:tc>
          <w:tcPr>
            <w:tcW w:w="2538" w:type="dxa"/>
          </w:tcPr>
          <w:p w:rsidR="0039108A" w:rsidRPr="001D6512" w:rsidRDefault="0039108A" w:rsidP="0039108A">
            <w:pPr>
              <w:pStyle w:val="TableCell"/>
              <w:keepNext w:val="0"/>
              <w:spacing w:before="60" w:after="60"/>
            </w:pPr>
            <w:r w:rsidRPr="001D6512">
              <w:t>C</w:t>
            </w:r>
            <w:r w:rsidRPr="001D6512">
              <w:rPr>
                <w:vertAlign w:val="subscript"/>
              </w:rPr>
              <w:softHyphen/>
              <w:t>D</w:t>
            </w:r>
          </w:p>
        </w:tc>
        <w:tc>
          <w:tcPr>
            <w:tcW w:w="1315" w:type="dxa"/>
          </w:tcPr>
          <w:p w:rsidR="0039108A" w:rsidRPr="001D6512" w:rsidRDefault="0039108A" w:rsidP="0039108A">
            <w:pPr>
              <w:pStyle w:val="TableCell"/>
              <w:keepNext w:val="0"/>
              <w:spacing w:before="60" w:after="60"/>
            </w:pPr>
            <w:r w:rsidRPr="001D6512">
              <w:t>Fixed</w:t>
            </w:r>
          </w:p>
        </w:tc>
        <w:tc>
          <w:tcPr>
            <w:tcW w:w="2015" w:type="dxa"/>
          </w:tcPr>
          <w:p w:rsidR="0039108A" w:rsidRPr="001D6512" w:rsidRDefault="0039108A" w:rsidP="0039108A">
            <w:pPr>
              <w:pStyle w:val="TableCell"/>
              <w:keepNext w:val="0"/>
              <w:spacing w:before="60" w:after="60"/>
            </w:pPr>
            <w:r w:rsidRPr="001D6512">
              <w:t>0.425</w:t>
            </w:r>
          </w:p>
        </w:tc>
        <w:tc>
          <w:tcPr>
            <w:tcW w:w="1260" w:type="dxa"/>
          </w:tcPr>
          <w:p w:rsidR="0039108A" w:rsidRPr="001D6512" w:rsidRDefault="0039108A" w:rsidP="0039108A">
            <w:pPr>
              <w:pStyle w:val="TableCell"/>
              <w:keepNext w:val="0"/>
              <w:spacing w:before="60" w:after="60"/>
            </w:pPr>
            <w:r w:rsidRPr="001D6512">
              <w:t>1</w:t>
            </w:r>
          </w:p>
        </w:tc>
      </w:tr>
      <w:tr w:rsidR="0039108A" w:rsidTr="0039108A">
        <w:trPr>
          <w:trHeight w:val="374"/>
          <w:jc w:val="center"/>
        </w:trPr>
        <w:tc>
          <w:tcPr>
            <w:tcW w:w="2538" w:type="dxa"/>
          </w:tcPr>
          <w:p w:rsidR="0039108A" w:rsidRPr="001D6512" w:rsidRDefault="0039108A" w:rsidP="0039108A">
            <w:pPr>
              <w:pStyle w:val="TableCell"/>
              <w:keepNext w:val="0"/>
              <w:spacing w:before="60" w:after="60"/>
            </w:pPr>
            <w:r w:rsidRPr="001D6512">
              <w:t>t</w:t>
            </w:r>
            <w:r w:rsidRPr="001D6512">
              <w:rPr>
                <w:vertAlign w:val="subscript"/>
              </w:rPr>
              <w:t>open</w:t>
            </w:r>
            <w:r w:rsidRPr="001D6512">
              <w:t xml:space="preserve"> (minutes/day)</w:t>
            </w:r>
          </w:p>
        </w:tc>
        <w:tc>
          <w:tcPr>
            <w:tcW w:w="1315" w:type="dxa"/>
          </w:tcPr>
          <w:p w:rsidR="0039108A" w:rsidRPr="001D6512" w:rsidRDefault="0039108A" w:rsidP="0039108A">
            <w:pPr>
              <w:pStyle w:val="TableCell"/>
              <w:keepNext w:val="0"/>
              <w:spacing w:before="60" w:after="60"/>
            </w:pPr>
            <w:r w:rsidRPr="001D6512">
              <w:t>Fixed</w:t>
            </w:r>
          </w:p>
        </w:tc>
        <w:tc>
          <w:tcPr>
            <w:tcW w:w="2015" w:type="dxa"/>
          </w:tcPr>
          <w:p w:rsidR="0039108A" w:rsidRPr="001D6512" w:rsidRDefault="0039108A" w:rsidP="0039108A">
            <w:pPr>
              <w:pStyle w:val="TableCell"/>
              <w:keepNext w:val="0"/>
              <w:spacing w:before="60" w:after="60"/>
            </w:pPr>
            <w:r w:rsidRPr="001D6512">
              <w:t>494</w:t>
            </w:r>
          </w:p>
        </w:tc>
        <w:tc>
          <w:tcPr>
            <w:tcW w:w="1260" w:type="dxa"/>
          </w:tcPr>
          <w:p w:rsidR="0039108A" w:rsidRPr="001D6512" w:rsidRDefault="0039108A" w:rsidP="0039108A">
            <w:pPr>
              <w:pStyle w:val="TableCell"/>
              <w:keepNext w:val="0"/>
              <w:spacing w:before="60" w:after="60"/>
            </w:pPr>
            <w:r w:rsidRPr="001D6512">
              <w:t>1</w:t>
            </w:r>
          </w:p>
        </w:tc>
      </w:tr>
      <w:tr w:rsidR="0039108A" w:rsidTr="0039108A">
        <w:trPr>
          <w:trHeight w:val="374"/>
          <w:jc w:val="center"/>
        </w:trPr>
        <w:tc>
          <w:tcPr>
            <w:tcW w:w="2538" w:type="dxa"/>
          </w:tcPr>
          <w:p w:rsidR="0039108A" w:rsidRPr="001D6512" w:rsidRDefault="0039108A" w:rsidP="0039108A">
            <w:pPr>
              <w:pStyle w:val="TableCell"/>
              <w:keepNext w:val="0"/>
              <w:spacing w:before="60" w:after="60"/>
            </w:pPr>
            <w:r w:rsidRPr="001D6512">
              <w:t>A (ft2)</w:t>
            </w:r>
          </w:p>
        </w:tc>
        <w:tc>
          <w:tcPr>
            <w:tcW w:w="1315" w:type="dxa"/>
          </w:tcPr>
          <w:p w:rsidR="0039108A" w:rsidRPr="001D6512" w:rsidRDefault="0039108A" w:rsidP="0039108A">
            <w:pPr>
              <w:pStyle w:val="TableCell"/>
              <w:keepNext w:val="0"/>
              <w:spacing w:before="60" w:after="60"/>
            </w:pPr>
            <w:r w:rsidRPr="001D6512">
              <w:t>Fixed</w:t>
            </w:r>
          </w:p>
        </w:tc>
        <w:tc>
          <w:tcPr>
            <w:tcW w:w="2015" w:type="dxa"/>
          </w:tcPr>
          <w:p w:rsidR="0039108A" w:rsidRPr="001D6512" w:rsidRDefault="0039108A" w:rsidP="0039108A">
            <w:pPr>
              <w:pStyle w:val="TableCell"/>
              <w:keepNext w:val="0"/>
              <w:spacing w:before="60" w:after="60"/>
            </w:pPr>
            <w:r w:rsidRPr="001D6512">
              <w:t>80</w:t>
            </w:r>
          </w:p>
        </w:tc>
        <w:tc>
          <w:tcPr>
            <w:tcW w:w="1260" w:type="dxa"/>
          </w:tcPr>
          <w:p w:rsidR="0039108A" w:rsidRPr="001D6512" w:rsidRDefault="0039108A" w:rsidP="0039108A">
            <w:pPr>
              <w:pStyle w:val="TableCell"/>
              <w:keepNext w:val="0"/>
              <w:spacing w:before="60" w:after="60"/>
            </w:pPr>
            <w:r w:rsidRPr="001D6512">
              <w:t>1</w:t>
            </w:r>
          </w:p>
        </w:tc>
      </w:tr>
      <w:tr w:rsidR="0039108A" w:rsidTr="0039108A">
        <w:trPr>
          <w:trHeight w:val="374"/>
          <w:jc w:val="center"/>
        </w:trPr>
        <w:tc>
          <w:tcPr>
            <w:tcW w:w="2538" w:type="dxa"/>
          </w:tcPr>
          <w:p w:rsidR="0039108A" w:rsidRPr="001D6512" w:rsidRDefault="0039108A" w:rsidP="0039108A">
            <w:pPr>
              <w:pStyle w:val="TableCell"/>
              <w:keepNext w:val="0"/>
              <w:spacing w:before="60" w:after="60"/>
            </w:pPr>
            <w:r w:rsidRPr="001D6512">
              <w:t>H (ft)</w:t>
            </w:r>
          </w:p>
        </w:tc>
        <w:tc>
          <w:tcPr>
            <w:tcW w:w="1315" w:type="dxa"/>
          </w:tcPr>
          <w:p w:rsidR="0039108A" w:rsidRPr="001D6512" w:rsidRDefault="0039108A" w:rsidP="0039108A">
            <w:pPr>
              <w:pStyle w:val="TableCell"/>
              <w:keepNext w:val="0"/>
              <w:spacing w:before="60" w:after="60"/>
            </w:pPr>
            <w:r w:rsidRPr="001D6512">
              <w:t>Fixed</w:t>
            </w:r>
          </w:p>
        </w:tc>
        <w:tc>
          <w:tcPr>
            <w:tcW w:w="2015" w:type="dxa"/>
          </w:tcPr>
          <w:p w:rsidR="0039108A" w:rsidRPr="001D6512" w:rsidRDefault="0039108A" w:rsidP="0039108A">
            <w:pPr>
              <w:pStyle w:val="TableCell"/>
              <w:keepNext w:val="0"/>
              <w:spacing w:before="60" w:after="60"/>
            </w:pPr>
            <w:r w:rsidRPr="001D6512">
              <w:t>10</w:t>
            </w:r>
          </w:p>
        </w:tc>
        <w:tc>
          <w:tcPr>
            <w:tcW w:w="1260" w:type="dxa"/>
          </w:tcPr>
          <w:p w:rsidR="0039108A" w:rsidRPr="001D6512" w:rsidRDefault="0039108A" w:rsidP="0039108A">
            <w:pPr>
              <w:pStyle w:val="TableCell"/>
              <w:keepNext w:val="0"/>
              <w:spacing w:before="60" w:after="60"/>
            </w:pPr>
            <w:r w:rsidRPr="001D6512">
              <w:t>1</w:t>
            </w:r>
          </w:p>
        </w:tc>
      </w:tr>
      <w:tr w:rsidR="0039108A" w:rsidTr="0039108A">
        <w:trPr>
          <w:trHeight w:val="374"/>
          <w:jc w:val="center"/>
        </w:trPr>
        <w:tc>
          <w:tcPr>
            <w:tcW w:w="2538" w:type="dxa"/>
          </w:tcPr>
          <w:p w:rsidR="0039108A" w:rsidRPr="001D6512" w:rsidRDefault="0039108A" w:rsidP="0039108A">
            <w:pPr>
              <w:pStyle w:val="TableCell"/>
              <w:keepNext w:val="0"/>
              <w:spacing w:before="60" w:after="60"/>
            </w:pPr>
            <w:r w:rsidRPr="001D6512">
              <w:t xml:space="preserve">Ti (°F) </w:t>
            </w:r>
          </w:p>
        </w:tc>
        <w:tc>
          <w:tcPr>
            <w:tcW w:w="1315" w:type="dxa"/>
          </w:tcPr>
          <w:p w:rsidR="0039108A" w:rsidRPr="001D6512" w:rsidRDefault="0039108A" w:rsidP="0039108A">
            <w:pPr>
              <w:pStyle w:val="TableCell"/>
              <w:keepNext w:val="0"/>
              <w:spacing w:before="60" w:after="60"/>
            </w:pPr>
            <w:r w:rsidRPr="001D6512">
              <w:t>Fixed</w:t>
            </w:r>
          </w:p>
        </w:tc>
        <w:tc>
          <w:tcPr>
            <w:tcW w:w="2015" w:type="dxa"/>
          </w:tcPr>
          <w:p w:rsidR="0039108A" w:rsidRPr="001D6512" w:rsidRDefault="0039108A" w:rsidP="0039108A">
            <w:pPr>
              <w:pStyle w:val="TableCell"/>
              <w:keepNext w:val="0"/>
              <w:spacing w:before="60" w:after="60"/>
            </w:pPr>
            <w:r w:rsidRPr="001D6512">
              <w:t>59</w:t>
            </w:r>
          </w:p>
        </w:tc>
        <w:tc>
          <w:tcPr>
            <w:tcW w:w="1260" w:type="dxa"/>
          </w:tcPr>
          <w:p w:rsidR="0039108A" w:rsidRPr="001D6512" w:rsidRDefault="0039108A" w:rsidP="0039108A">
            <w:pPr>
              <w:pStyle w:val="TableCell"/>
              <w:keepNext w:val="0"/>
              <w:spacing w:before="60" w:after="60"/>
            </w:pPr>
            <w:r w:rsidRPr="001D6512">
              <w:t>1 and 2</w:t>
            </w:r>
          </w:p>
        </w:tc>
      </w:tr>
      <w:tr w:rsidR="0039108A" w:rsidTr="0039108A">
        <w:trPr>
          <w:trHeight w:val="374"/>
          <w:jc w:val="center"/>
        </w:trPr>
        <w:tc>
          <w:tcPr>
            <w:tcW w:w="2538" w:type="dxa"/>
          </w:tcPr>
          <w:p w:rsidR="0039108A" w:rsidRPr="001D6512" w:rsidRDefault="0039108A" w:rsidP="0039108A">
            <w:pPr>
              <w:pStyle w:val="TableCell"/>
              <w:keepNext w:val="0"/>
              <w:spacing w:before="60" w:after="60"/>
            </w:pPr>
            <w:r w:rsidRPr="001D6512">
              <w:t>T</w:t>
            </w:r>
            <w:r w:rsidRPr="001D6512">
              <w:softHyphen/>
              <w:t>r (°F)</w:t>
            </w:r>
          </w:p>
        </w:tc>
        <w:tc>
          <w:tcPr>
            <w:tcW w:w="1315" w:type="dxa"/>
          </w:tcPr>
          <w:p w:rsidR="0039108A" w:rsidRPr="001D6512" w:rsidRDefault="0039108A" w:rsidP="0039108A">
            <w:pPr>
              <w:pStyle w:val="TableCell"/>
              <w:keepNext w:val="0"/>
              <w:spacing w:before="60" w:after="60"/>
            </w:pPr>
            <w:r w:rsidRPr="001D6512">
              <w:t>Fixed</w:t>
            </w:r>
          </w:p>
        </w:tc>
        <w:tc>
          <w:tcPr>
            <w:tcW w:w="2015" w:type="dxa"/>
          </w:tcPr>
          <w:p w:rsidR="0039108A" w:rsidRPr="001D6512" w:rsidRDefault="0039108A" w:rsidP="0039108A">
            <w:pPr>
              <w:pStyle w:val="TableCell"/>
              <w:keepNext w:val="0"/>
              <w:spacing w:before="60" w:after="60"/>
            </w:pPr>
            <w:r w:rsidRPr="001D6512">
              <w:t>28</w:t>
            </w:r>
          </w:p>
        </w:tc>
        <w:tc>
          <w:tcPr>
            <w:tcW w:w="1260" w:type="dxa"/>
          </w:tcPr>
          <w:p w:rsidR="0039108A" w:rsidRPr="001D6512" w:rsidRDefault="0039108A" w:rsidP="0039108A">
            <w:pPr>
              <w:pStyle w:val="TableCell"/>
              <w:keepNext w:val="0"/>
              <w:spacing w:before="60" w:after="60"/>
            </w:pPr>
            <w:r w:rsidRPr="001D6512">
              <w:t>1</w:t>
            </w:r>
          </w:p>
        </w:tc>
      </w:tr>
      <w:tr w:rsidR="0039108A" w:rsidTr="0039108A">
        <w:trPr>
          <w:trHeight w:val="374"/>
          <w:jc w:val="center"/>
        </w:trPr>
        <w:tc>
          <w:tcPr>
            <w:tcW w:w="2538" w:type="dxa"/>
          </w:tcPr>
          <w:p w:rsidR="0039108A" w:rsidRPr="001D6512" w:rsidRDefault="0039108A" w:rsidP="0039108A">
            <w:pPr>
              <w:pStyle w:val="TableCell"/>
              <w:keepNext w:val="0"/>
              <w:spacing w:before="60" w:after="60"/>
            </w:pPr>
            <w:r w:rsidRPr="001D6512">
              <w:t>ρ</w:t>
            </w:r>
            <w:r w:rsidRPr="001D6512">
              <w:rPr>
                <w:vertAlign w:val="subscript"/>
              </w:rPr>
              <w:t>i</w:t>
            </w:r>
            <w:r w:rsidRPr="001D6512">
              <w:t xml:space="preserve"> </w:t>
            </w:r>
          </w:p>
        </w:tc>
        <w:tc>
          <w:tcPr>
            <w:tcW w:w="1315" w:type="dxa"/>
          </w:tcPr>
          <w:p w:rsidR="0039108A" w:rsidRPr="001D6512" w:rsidRDefault="0039108A" w:rsidP="0039108A">
            <w:pPr>
              <w:pStyle w:val="TableCell"/>
              <w:keepNext w:val="0"/>
              <w:spacing w:before="60" w:after="60"/>
            </w:pPr>
            <w:r w:rsidRPr="001D6512">
              <w:t>Fixed</w:t>
            </w:r>
          </w:p>
        </w:tc>
        <w:tc>
          <w:tcPr>
            <w:tcW w:w="2015" w:type="dxa"/>
          </w:tcPr>
          <w:p w:rsidR="0039108A" w:rsidRPr="001D6512" w:rsidRDefault="0039108A" w:rsidP="0039108A">
            <w:pPr>
              <w:pStyle w:val="TableCell"/>
              <w:keepNext w:val="0"/>
              <w:spacing w:before="60" w:after="60"/>
            </w:pPr>
            <w:r w:rsidRPr="001D6512">
              <w:t>0.076</w:t>
            </w:r>
          </w:p>
        </w:tc>
        <w:tc>
          <w:tcPr>
            <w:tcW w:w="1260" w:type="dxa"/>
          </w:tcPr>
          <w:p w:rsidR="0039108A" w:rsidRPr="001D6512" w:rsidRDefault="0039108A" w:rsidP="0039108A">
            <w:pPr>
              <w:pStyle w:val="TableCell"/>
              <w:keepNext w:val="0"/>
              <w:spacing w:before="60" w:after="60"/>
            </w:pPr>
            <w:r w:rsidRPr="001D6512">
              <w:t>3</w:t>
            </w:r>
          </w:p>
        </w:tc>
      </w:tr>
      <w:tr w:rsidR="0039108A" w:rsidTr="0039108A">
        <w:trPr>
          <w:trHeight w:val="374"/>
          <w:jc w:val="center"/>
        </w:trPr>
        <w:tc>
          <w:tcPr>
            <w:tcW w:w="2538" w:type="dxa"/>
          </w:tcPr>
          <w:p w:rsidR="0039108A" w:rsidRPr="001D6512" w:rsidRDefault="0039108A" w:rsidP="0039108A">
            <w:pPr>
              <w:pStyle w:val="TableCell"/>
              <w:keepNext w:val="0"/>
              <w:spacing w:before="60" w:after="60"/>
            </w:pPr>
            <w:r w:rsidRPr="001D6512">
              <w:t>h</w:t>
            </w:r>
            <w:r w:rsidRPr="001D6512">
              <w:rPr>
                <w:vertAlign w:val="subscript"/>
              </w:rPr>
              <w:t>i</w:t>
            </w:r>
          </w:p>
        </w:tc>
        <w:tc>
          <w:tcPr>
            <w:tcW w:w="1315" w:type="dxa"/>
          </w:tcPr>
          <w:p w:rsidR="0039108A" w:rsidRPr="001D6512" w:rsidRDefault="0039108A" w:rsidP="0039108A">
            <w:pPr>
              <w:pStyle w:val="TableCell"/>
              <w:keepNext w:val="0"/>
              <w:spacing w:before="60" w:after="60"/>
            </w:pPr>
            <w:r w:rsidRPr="001D6512">
              <w:t>Fixed</w:t>
            </w:r>
          </w:p>
        </w:tc>
        <w:tc>
          <w:tcPr>
            <w:tcW w:w="2015" w:type="dxa"/>
          </w:tcPr>
          <w:p w:rsidR="0039108A" w:rsidRPr="001D6512" w:rsidRDefault="0039108A" w:rsidP="0039108A">
            <w:pPr>
              <w:pStyle w:val="TableCell"/>
              <w:keepNext w:val="0"/>
              <w:spacing w:before="60" w:after="60"/>
            </w:pPr>
            <w:r w:rsidRPr="001D6512">
              <w:t>20.609</w:t>
            </w:r>
          </w:p>
        </w:tc>
        <w:tc>
          <w:tcPr>
            <w:tcW w:w="1260" w:type="dxa"/>
          </w:tcPr>
          <w:p w:rsidR="0039108A" w:rsidRPr="001D6512" w:rsidRDefault="0039108A" w:rsidP="0039108A">
            <w:pPr>
              <w:pStyle w:val="TableCell"/>
              <w:keepNext w:val="0"/>
              <w:spacing w:before="60" w:after="60"/>
            </w:pPr>
            <w:r w:rsidRPr="001D6512">
              <w:t>3</w:t>
            </w:r>
          </w:p>
        </w:tc>
      </w:tr>
      <w:tr w:rsidR="0039108A" w:rsidTr="0039108A">
        <w:trPr>
          <w:trHeight w:val="374"/>
          <w:jc w:val="center"/>
        </w:trPr>
        <w:tc>
          <w:tcPr>
            <w:tcW w:w="2538" w:type="dxa"/>
          </w:tcPr>
          <w:p w:rsidR="0039108A" w:rsidRPr="001D6512" w:rsidRDefault="0039108A" w:rsidP="0039108A">
            <w:pPr>
              <w:pStyle w:val="TableCell"/>
              <w:keepNext w:val="0"/>
              <w:spacing w:before="60" w:after="60"/>
            </w:pPr>
            <w:r w:rsidRPr="001D6512">
              <w:t>ρ</w:t>
            </w:r>
            <w:r w:rsidRPr="001D6512">
              <w:rPr>
                <w:vertAlign w:val="subscript"/>
              </w:rPr>
              <w:t>r</w:t>
            </w:r>
          </w:p>
        </w:tc>
        <w:tc>
          <w:tcPr>
            <w:tcW w:w="1315" w:type="dxa"/>
          </w:tcPr>
          <w:p w:rsidR="0039108A" w:rsidRPr="001D6512" w:rsidRDefault="0039108A" w:rsidP="0039108A">
            <w:pPr>
              <w:pStyle w:val="TableCell"/>
              <w:keepNext w:val="0"/>
              <w:spacing w:before="60" w:after="60"/>
            </w:pPr>
            <w:r w:rsidRPr="001D6512">
              <w:t>Fixed</w:t>
            </w:r>
          </w:p>
        </w:tc>
        <w:tc>
          <w:tcPr>
            <w:tcW w:w="2015" w:type="dxa"/>
          </w:tcPr>
          <w:p w:rsidR="0039108A" w:rsidRPr="001D6512" w:rsidRDefault="0039108A" w:rsidP="0039108A">
            <w:pPr>
              <w:pStyle w:val="TableCell"/>
              <w:keepNext w:val="0"/>
              <w:spacing w:before="60" w:after="60"/>
            </w:pPr>
            <w:r w:rsidRPr="001D6512">
              <w:t>0.081</w:t>
            </w:r>
          </w:p>
        </w:tc>
        <w:tc>
          <w:tcPr>
            <w:tcW w:w="1260" w:type="dxa"/>
          </w:tcPr>
          <w:p w:rsidR="0039108A" w:rsidRPr="001D6512" w:rsidRDefault="0039108A" w:rsidP="0039108A">
            <w:pPr>
              <w:pStyle w:val="TableCell"/>
              <w:keepNext w:val="0"/>
              <w:spacing w:before="60" w:after="60"/>
            </w:pPr>
            <w:r w:rsidRPr="001D6512">
              <w:t>3</w:t>
            </w:r>
          </w:p>
        </w:tc>
      </w:tr>
      <w:tr w:rsidR="0039108A" w:rsidTr="0039108A">
        <w:trPr>
          <w:trHeight w:val="374"/>
          <w:jc w:val="center"/>
        </w:trPr>
        <w:tc>
          <w:tcPr>
            <w:tcW w:w="2538" w:type="dxa"/>
          </w:tcPr>
          <w:p w:rsidR="0039108A" w:rsidRPr="001D6512" w:rsidRDefault="0039108A" w:rsidP="0039108A">
            <w:pPr>
              <w:pStyle w:val="TableCell"/>
              <w:keepNext w:val="0"/>
              <w:spacing w:before="60" w:after="60"/>
            </w:pPr>
            <w:r w:rsidRPr="001D6512">
              <w:t>h</w:t>
            </w:r>
            <w:r w:rsidRPr="001D6512">
              <w:rPr>
                <w:vertAlign w:val="subscript"/>
              </w:rPr>
              <w:t>r</w:t>
            </w:r>
          </w:p>
        </w:tc>
        <w:tc>
          <w:tcPr>
            <w:tcW w:w="1315" w:type="dxa"/>
          </w:tcPr>
          <w:p w:rsidR="0039108A" w:rsidRPr="001D6512" w:rsidRDefault="0039108A" w:rsidP="0039108A">
            <w:pPr>
              <w:pStyle w:val="TableCell"/>
              <w:keepNext w:val="0"/>
              <w:spacing w:before="60" w:after="60"/>
            </w:pPr>
            <w:r w:rsidRPr="001D6512">
              <w:t>Fixed</w:t>
            </w:r>
          </w:p>
        </w:tc>
        <w:tc>
          <w:tcPr>
            <w:tcW w:w="2015" w:type="dxa"/>
          </w:tcPr>
          <w:p w:rsidR="0039108A" w:rsidRPr="001D6512" w:rsidRDefault="0039108A" w:rsidP="0039108A">
            <w:pPr>
              <w:pStyle w:val="TableCell"/>
              <w:keepNext w:val="0"/>
              <w:spacing w:before="60" w:after="60"/>
            </w:pPr>
            <w:r w:rsidRPr="001D6512">
              <w:t>9.462</w:t>
            </w:r>
          </w:p>
        </w:tc>
        <w:tc>
          <w:tcPr>
            <w:tcW w:w="1260" w:type="dxa"/>
          </w:tcPr>
          <w:p w:rsidR="0039108A" w:rsidRPr="001D6512" w:rsidRDefault="0039108A" w:rsidP="0039108A">
            <w:pPr>
              <w:pStyle w:val="TableCell"/>
              <w:keepNext w:val="0"/>
              <w:spacing w:before="60" w:after="60"/>
            </w:pPr>
            <w:r w:rsidRPr="001D6512">
              <w:t>3</w:t>
            </w:r>
          </w:p>
        </w:tc>
      </w:tr>
      <w:tr w:rsidR="0039108A" w:rsidTr="0039108A">
        <w:trPr>
          <w:trHeight w:val="374"/>
          <w:jc w:val="center"/>
        </w:trPr>
        <w:tc>
          <w:tcPr>
            <w:tcW w:w="2538" w:type="dxa"/>
          </w:tcPr>
          <w:p w:rsidR="0039108A" w:rsidRPr="001D6512" w:rsidRDefault="0039108A" w:rsidP="0039108A">
            <w:pPr>
              <w:pStyle w:val="TableCell"/>
              <w:keepNext w:val="0"/>
              <w:spacing w:before="60" w:after="60"/>
            </w:pPr>
            <w:r w:rsidRPr="001D6512">
              <w:t>COP</w:t>
            </w:r>
            <w:r w:rsidRPr="001D6512">
              <w:rPr>
                <w:vertAlign w:val="subscript"/>
              </w:rPr>
              <w:t>adj</w:t>
            </w:r>
          </w:p>
        </w:tc>
        <w:tc>
          <w:tcPr>
            <w:tcW w:w="1315" w:type="dxa"/>
          </w:tcPr>
          <w:p w:rsidR="0039108A" w:rsidRPr="001D6512" w:rsidRDefault="0039108A" w:rsidP="0039108A">
            <w:pPr>
              <w:pStyle w:val="TableCell"/>
              <w:keepNext w:val="0"/>
              <w:spacing w:before="60" w:after="60"/>
            </w:pPr>
            <w:r w:rsidRPr="001D6512">
              <w:t>Fixed</w:t>
            </w:r>
          </w:p>
        </w:tc>
        <w:tc>
          <w:tcPr>
            <w:tcW w:w="2015" w:type="dxa"/>
          </w:tcPr>
          <w:p w:rsidR="0039108A" w:rsidRPr="001D6512" w:rsidRDefault="0039108A" w:rsidP="0039108A">
            <w:pPr>
              <w:pStyle w:val="TableCell"/>
              <w:keepNext w:val="0"/>
              <w:spacing w:before="60" w:after="60"/>
            </w:pPr>
            <w:r w:rsidRPr="001D6512">
              <w:t>1.91</w:t>
            </w:r>
          </w:p>
        </w:tc>
        <w:tc>
          <w:tcPr>
            <w:tcW w:w="1260" w:type="dxa"/>
          </w:tcPr>
          <w:p w:rsidR="0039108A" w:rsidRPr="001D6512" w:rsidRDefault="0039108A" w:rsidP="0039108A">
            <w:pPr>
              <w:pStyle w:val="TableCell"/>
              <w:keepNext w:val="0"/>
              <w:spacing w:before="60" w:after="60"/>
            </w:pPr>
            <w:r w:rsidRPr="001D6512">
              <w:t>1 and 2</w:t>
            </w:r>
          </w:p>
        </w:tc>
      </w:tr>
    </w:tbl>
    <w:p w:rsidR="0039108A" w:rsidRPr="008C78B9" w:rsidRDefault="0039108A" w:rsidP="0039108A"/>
    <w:p w:rsidR="0039108A" w:rsidRDefault="0039108A" w:rsidP="0039108A">
      <w:pPr>
        <w:keepNext/>
        <w:rPr>
          <w:b/>
        </w:rPr>
      </w:pPr>
      <w:r w:rsidRPr="005B6299">
        <w:rPr>
          <w:b/>
        </w:rPr>
        <w:t>Sources:</w:t>
      </w:r>
    </w:p>
    <w:p w:rsidR="0039108A" w:rsidRPr="00B7263F" w:rsidRDefault="0039108A" w:rsidP="0005632A">
      <w:pPr>
        <w:pStyle w:val="source1"/>
        <w:numPr>
          <w:ilvl w:val="0"/>
          <w:numId w:val="81"/>
        </w:numPr>
      </w:pPr>
      <w:r w:rsidRPr="00EE6367">
        <w:t>http://www.calmac.org/publications/ComFac_Evaluation_V1_Final_Report_02-18-2010.pdf</w:t>
      </w:r>
      <w:r w:rsidRPr="00B7263F">
        <w:t xml:space="preserve">. The scale factors have been determined with tracer gas measurements on over 100 walk-in refrigeration units during the California Public Utility Commission’s evaluation of the 2006-2008 CA investor owned utility energy efficiency programs.  The door-open and close times, and temperatures of the infiltrating and refrigerated airs are taken from short-term monitoring of over 100 walk-in units. </w:t>
      </w:r>
    </w:p>
    <w:p w:rsidR="0039108A" w:rsidRDefault="0039108A" w:rsidP="0039108A">
      <w:pPr>
        <w:pStyle w:val="source1"/>
      </w:pPr>
      <w:r w:rsidRPr="00B7263F">
        <w:t>For refrigerated warehouses, we used a bin calculation method to weight the outdoor temperature by the infiltration that occurs at that outdoor temperature.  This tends to shift the average outdoor temperature during times of infiltration higher (e.g. from 54 °F year-round average to 64 °F).  We also performed the same exercise to find out effective outdoor temperatures to use for adjustment of nominal refrigeration system COPs.</w:t>
      </w:r>
    </w:p>
    <w:p w:rsidR="0039108A" w:rsidRPr="00B7263F" w:rsidRDefault="0039108A" w:rsidP="0039108A">
      <w:pPr>
        <w:pStyle w:val="source1"/>
      </w:pPr>
      <w:r>
        <w:t>Density and enthalpy of infiltrating and refrigerated air are based on psychometric equations based on the dry bulb temperature and relative humidity. Relative humidity is estimated to be 55% for infiltrating air and 80% for refrigerated air. Dry bulb temperatures were determined through the evaluation cited in Source 1.</w:t>
      </w:r>
    </w:p>
    <w:p w:rsidR="0039108A" w:rsidRPr="008A63B7" w:rsidRDefault="0039108A" w:rsidP="00871FA2">
      <w:pPr>
        <w:pStyle w:val="Heading3"/>
      </w:pPr>
      <w:r>
        <w:t>Measure Life</w:t>
      </w:r>
    </w:p>
    <w:p w:rsidR="0039108A" w:rsidRDefault="0039108A" w:rsidP="0039108A">
      <w:pPr>
        <w:keepNext/>
      </w:pPr>
      <w:r w:rsidRPr="00926DAE">
        <w:t xml:space="preserve">The measure life is estimated to be </w:t>
      </w:r>
      <w:r w:rsidRPr="005B6299">
        <w:t>4</w:t>
      </w:r>
      <w:r w:rsidRPr="00EF1B3A">
        <w:t xml:space="preserve"> </w:t>
      </w:r>
      <w:r w:rsidRPr="005B6299">
        <w:t>years</w:t>
      </w:r>
      <w:r>
        <w:t>.</w:t>
      </w:r>
    </w:p>
    <w:p w:rsidR="0039108A" w:rsidRDefault="0039108A" w:rsidP="0039108A">
      <w:pPr>
        <w:keepNext/>
        <w:rPr>
          <w:b/>
        </w:rPr>
      </w:pPr>
      <w:r w:rsidRPr="005B6299">
        <w:rPr>
          <w:b/>
        </w:rPr>
        <w:t>Sources:</w:t>
      </w:r>
    </w:p>
    <w:p w:rsidR="0039108A" w:rsidRDefault="0039108A" w:rsidP="0005632A">
      <w:pPr>
        <w:pStyle w:val="source1"/>
        <w:numPr>
          <w:ilvl w:val="0"/>
          <w:numId w:val="82"/>
        </w:numPr>
      </w:pPr>
      <w:r w:rsidRPr="0039108A">
        <w:rPr>
          <w:bCs/>
        </w:rPr>
        <w:t xml:space="preserve">Commercial Facilities Contract Group 2006-2008 Direct Impact Evaluation, </w:t>
      </w:r>
      <w:r>
        <w:t xml:space="preserve"> </w:t>
      </w:r>
      <w:hyperlink r:id="rId47" w:history="1">
        <w:r w:rsidRPr="00FA7F75">
          <w:rPr>
            <w:rStyle w:val="Hyperlink"/>
          </w:rPr>
          <w:t>http://www.calmac.org/publications/ComFac_Evaluation_V1_Final_Report_02-18-2010.pdf</w:t>
        </w:r>
      </w:hyperlink>
    </w:p>
    <w:p w:rsidR="0039108A" w:rsidRPr="00B7263F" w:rsidRDefault="0039108A" w:rsidP="0005632A">
      <w:pPr>
        <w:pStyle w:val="source1"/>
        <w:numPr>
          <w:ilvl w:val="0"/>
          <w:numId w:val="27"/>
        </w:numPr>
      </w:pPr>
      <w:r w:rsidRPr="00C70092">
        <w:rPr>
          <w:color w:val="000000"/>
          <w:szCs w:val="16"/>
        </w:rPr>
        <w:t>The Measure Life Report for Residential and Commercial/Industrial Lighting and HVAC Measures, GDS Associates, Inc., June 2007</w:t>
      </w:r>
    </w:p>
    <w:p w:rsidR="0039108A" w:rsidRDefault="0039108A" w:rsidP="00871FA2">
      <w:pPr>
        <w:pStyle w:val="Heading3"/>
      </w:pPr>
      <w:r>
        <w:t>Evaluation Protocols</w:t>
      </w:r>
    </w:p>
    <w:p w:rsidR="0039108A" w:rsidRPr="00926DAE" w:rsidRDefault="0039108A" w:rsidP="0039108A">
      <w:r w:rsidRPr="00926DAE">
        <w:t>The most appropriate evaluation protocol for this measure is verification of installation coupled with assignment of stipulated energy savings according to store type.  The strip curtains are not expected to be installed directly.  As such, the program tracking / evaluation effort must capture the following key information:</w:t>
      </w:r>
    </w:p>
    <w:p w:rsidR="0039108A" w:rsidRPr="00926DAE" w:rsidRDefault="0039108A" w:rsidP="0005632A">
      <w:pPr>
        <w:pStyle w:val="ListParagraph"/>
        <w:numPr>
          <w:ilvl w:val="0"/>
          <w:numId w:val="80"/>
        </w:numPr>
        <w:spacing w:after="200"/>
        <w:contextualSpacing/>
      </w:pPr>
      <w:r w:rsidRPr="00926DAE">
        <w:t>Fraction of strip curtains installed in each of the categories (e.g. freezer / cooler and store type)</w:t>
      </w:r>
    </w:p>
    <w:p w:rsidR="0039108A" w:rsidRPr="008C04DA" w:rsidRDefault="0039108A" w:rsidP="0005632A">
      <w:pPr>
        <w:pStyle w:val="ListParagraph"/>
        <w:numPr>
          <w:ilvl w:val="0"/>
          <w:numId w:val="80"/>
        </w:numPr>
        <w:spacing w:after="200"/>
        <w:contextualSpacing/>
      </w:pPr>
      <w:r w:rsidRPr="008C04DA">
        <w:t>Fraction of customers that had pre-existing strip curtains</w:t>
      </w:r>
    </w:p>
    <w:p w:rsidR="0039108A" w:rsidRDefault="0039108A" w:rsidP="0039108A">
      <w:r w:rsidRPr="008C04DA">
        <w:t>The rebate forms should track the above information.  During the M&amp;V process, interviews with site contacts should track this fraction, and savings should be adjusted accordingly.</w:t>
      </w:r>
    </w:p>
    <w:p w:rsidR="00412363" w:rsidRDefault="0039108A" w:rsidP="00412363">
      <w:pPr>
        <w:pStyle w:val="Heading2"/>
      </w:pPr>
      <w:r>
        <w:rPr>
          <w:rFonts w:cs="Arial"/>
        </w:rPr>
        <w:br w:type="page"/>
      </w:r>
      <w:bookmarkStart w:id="977" w:name="_Toc310875457"/>
      <w:r w:rsidR="00412363">
        <w:t>Geothermal Heat Pumps</w:t>
      </w:r>
      <w:bookmarkEnd w:id="977"/>
      <w:r w:rsidR="00412363">
        <w:t xml:space="preserve"> </w:t>
      </w:r>
    </w:p>
    <w:p w:rsidR="00412363" w:rsidRDefault="00412363" w:rsidP="00412363">
      <w:r w:rsidRPr="0092279D">
        <w:t xml:space="preserve">This </w:t>
      </w:r>
      <w:r>
        <w:t>p</w:t>
      </w:r>
      <w:r w:rsidRPr="0092279D">
        <w:t>rotocol shall apply to ground source</w:t>
      </w:r>
      <w:r>
        <w:t>,</w:t>
      </w:r>
      <w:r w:rsidRPr="0092279D">
        <w:t xml:space="preserve"> groundwater source</w:t>
      </w:r>
      <w:r>
        <w:t>, and water source</w:t>
      </w:r>
      <w:r w:rsidRPr="0092279D">
        <w:t xml:space="preserve"> heat pumps in commercial applications as further described below.  This measure may apply to early replacement of an existing system, replacement on burnout, or installation of a new unit in a new or existing non-residential building for HVAC applications.  </w:t>
      </w:r>
      <w:r>
        <w:t>T</w:t>
      </w:r>
      <w:r w:rsidRPr="0092279D">
        <w:t xml:space="preserve">he base case may employ a different system than the retrofit case.  </w:t>
      </w:r>
    </w:p>
    <w:p w:rsidR="00412363" w:rsidRDefault="00412363" w:rsidP="00412363">
      <w:pPr>
        <w:pStyle w:val="Heading3"/>
        <w:spacing w:before="120"/>
        <w:ind w:left="900" w:hanging="900"/>
      </w:pPr>
      <w:r>
        <w:t>Eligibility</w:t>
      </w:r>
    </w:p>
    <w:p w:rsidR="00412363" w:rsidRDefault="00412363" w:rsidP="00412363">
      <w:r w:rsidRPr="00087200">
        <w:t>In order for this characterization to apply, the efficient equipment is a high-efficiency groundwater source</w:t>
      </w:r>
      <w:r>
        <w:t>, water source,</w:t>
      </w:r>
      <w:r w:rsidRPr="00087200">
        <w:t xml:space="preserve"> or ground source heat pump system that </w:t>
      </w:r>
      <w:r>
        <w:t xml:space="preserve">meets or </w:t>
      </w:r>
      <w:r w:rsidRPr="00087200">
        <w:t xml:space="preserve">exceeds the energy efficiency requirements of the International Energy Conservation Code (IECC) 2009, Table 503.2.3(2). The following retrofit scenarios are considered: </w:t>
      </w:r>
    </w:p>
    <w:p w:rsidR="00412363" w:rsidRDefault="00412363" w:rsidP="0005632A">
      <w:pPr>
        <w:pStyle w:val="BodyText"/>
        <w:numPr>
          <w:ilvl w:val="0"/>
          <w:numId w:val="123"/>
        </w:numPr>
        <w:spacing w:after="0"/>
      </w:pPr>
      <w:r w:rsidRPr="00087200">
        <w:t>Ground source heat pumps for existing or new non-residential HVAC applications</w:t>
      </w:r>
    </w:p>
    <w:p w:rsidR="00412363" w:rsidRDefault="00412363" w:rsidP="0005632A">
      <w:pPr>
        <w:pStyle w:val="BodyText"/>
        <w:numPr>
          <w:ilvl w:val="0"/>
          <w:numId w:val="123"/>
        </w:numPr>
        <w:spacing w:after="0"/>
      </w:pPr>
      <w:r w:rsidRPr="00087200">
        <w:t>Groundwater source heat pumps for existing or new non-residential HVAC applications</w:t>
      </w:r>
    </w:p>
    <w:p w:rsidR="00412363" w:rsidRDefault="00412363" w:rsidP="0005632A">
      <w:pPr>
        <w:pStyle w:val="BodyText"/>
        <w:numPr>
          <w:ilvl w:val="0"/>
          <w:numId w:val="123"/>
        </w:numPr>
      </w:pPr>
      <w:r>
        <w:t>Water source heat pumps for existing or new non-residential HVAC applications</w:t>
      </w:r>
    </w:p>
    <w:p w:rsidR="00412363" w:rsidRDefault="00412363" w:rsidP="00412363">
      <w:r w:rsidRPr="00087200">
        <w:t>These retrofits reduce energy consumption by the improved thermodynamic efficiency of the refrigeration cycle of new equipment, by improving the efficiency of the cooling and heating cycle</w:t>
      </w:r>
      <w:r>
        <w:t>,</w:t>
      </w:r>
      <w:r w:rsidRPr="00087200">
        <w:t xml:space="preserve"> and by lowering the condensing temperature when the system is in cooling mode and raising the evaporating temperature when the equipment is in heating mode as compared to the base case heating or cooling system.  It is expected that the retrofit system will use a similar conditioned-air distribution system as the base case system.</w:t>
      </w:r>
    </w:p>
    <w:p w:rsidR="00412363" w:rsidRDefault="00412363" w:rsidP="00412363">
      <w:r w:rsidRPr="0092279D">
        <w:t>Heat pump systems coupled with a non-heat pump system such as a</w:t>
      </w:r>
      <w:r>
        <w:t xml:space="preserve"> chiller </w:t>
      </w:r>
      <w:r w:rsidRPr="0092279D">
        <w:t xml:space="preserve">shall not be included </w:t>
      </w:r>
      <w:r>
        <w:t>in this protocol</w:t>
      </w:r>
      <w:r w:rsidRPr="0092279D">
        <w:t>.  Projects that use unique, combined systems such as this should use a site-specific M&amp;V plan (SSMVP) to describe the particulars of the project and how savings are calculated.</w:t>
      </w:r>
    </w:p>
    <w:p w:rsidR="00412363" w:rsidRDefault="00412363" w:rsidP="00412363">
      <w:pPr>
        <w:pStyle w:val="Heading4"/>
      </w:pPr>
      <w:r w:rsidRPr="0092279D">
        <w:t>Definition of Baseline Equipment</w:t>
      </w:r>
    </w:p>
    <w:p w:rsidR="00412363" w:rsidRDefault="00412363" w:rsidP="00412363">
      <w:r w:rsidRPr="00087200">
        <w:t xml:space="preserve">In order for this protocol to apply, the baseline equipment </w:t>
      </w:r>
      <w:r>
        <w:t>could</w:t>
      </w:r>
      <w:r w:rsidRPr="00087200">
        <w:t xml:space="preserve"> be a standard-efficiency air source, water source, groundwater source, or ground source heat pump system, or an electric chiller and boiler system, or other chilled/hot water loop system.  T</w:t>
      </w:r>
      <w:r>
        <w:t>o calculate savings, the</w:t>
      </w:r>
      <w:r w:rsidRPr="00087200">
        <w:t xml:space="preserve"> baseline system type </w:t>
      </w:r>
      <w:r>
        <w:t>is assumed to be an air source heat pump of similar size except f</w:t>
      </w:r>
      <w:r w:rsidRPr="00087200">
        <w:t xml:space="preserve">or cases where </w:t>
      </w:r>
      <w:r>
        <w:t>the project is replacing a ground source, groundwater source, or water source heat pump; in those cases, the baseline system type is assumed to be a similar system at code.</w:t>
      </w:r>
    </w:p>
    <w:p w:rsidR="00412363" w:rsidRDefault="00412363" w:rsidP="00412363">
      <w:pPr>
        <w:pStyle w:val="Caption"/>
      </w:pPr>
      <w:bookmarkStart w:id="978" w:name="_Toc310875613"/>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61</w:t>
      </w:r>
      <w:r w:rsidR="00274AB1">
        <w:rPr>
          <w:noProof/>
        </w:rPr>
        <w:fldChar w:fldCharType="end"/>
      </w:r>
      <w:r>
        <w:t>: Geothermal Heat Pump Baseline Assumptions</w:t>
      </w:r>
      <w:bookmarkEnd w:id="97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9"/>
        <w:gridCol w:w="3512"/>
        <w:gridCol w:w="3705"/>
      </w:tblGrid>
      <w:tr w:rsidR="00412363" w:rsidRPr="00256BCB" w:rsidTr="00412363">
        <w:trPr>
          <w:cantSplit/>
          <w:tblHeader/>
          <w:jc w:val="center"/>
        </w:trPr>
        <w:tc>
          <w:tcPr>
            <w:tcW w:w="2908" w:type="pct"/>
            <w:gridSpan w:val="2"/>
            <w:shd w:val="clear" w:color="auto" w:fill="BFBFBF"/>
            <w:vAlign w:val="bottom"/>
          </w:tcPr>
          <w:p w:rsidR="00412363" w:rsidRPr="001D6512" w:rsidRDefault="00412363" w:rsidP="00274AB1">
            <w:pPr>
              <w:pStyle w:val="TableCell"/>
              <w:spacing w:before="40" w:afterLines="40" w:after="96" w:line="240" w:lineRule="auto"/>
              <w:jc w:val="center"/>
              <w:rPr>
                <w:b/>
                <w:szCs w:val="18"/>
              </w:rPr>
            </w:pPr>
            <w:r w:rsidRPr="001D6512">
              <w:rPr>
                <w:b/>
                <w:szCs w:val="18"/>
              </w:rPr>
              <w:t>Baseline Scenario</w:t>
            </w:r>
          </w:p>
        </w:tc>
        <w:tc>
          <w:tcPr>
            <w:tcW w:w="2092" w:type="pct"/>
            <w:shd w:val="clear" w:color="auto" w:fill="BFBFBF"/>
            <w:vAlign w:val="bottom"/>
          </w:tcPr>
          <w:p w:rsidR="00412363" w:rsidRPr="001D6512" w:rsidRDefault="00412363" w:rsidP="00274AB1">
            <w:pPr>
              <w:pStyle w:val="TableCell"/>
              <w:spacing w:before="40" w:afterLines="40" w:after="96" w:line="240" w:lineRule="auto"/>
              <w:jc w:val="center"/>
              <w:rPr>
                <w:b/>
                <w:szCs w:val="18"/>
              </w:rPr>
            </w:pPr>
            <w:r w:rsidRPr="001D6512">
              <w:rPr>
                <w:b/>
                <w:szCs w:val="18"/>
              </w:rPr>
              <w:t>Baseline Efficiency Assumptions</w:t>
            </w:r>
          </w:p>
        </w:tc>
      </w:tr>
      <w:tr w:rsidR="00412363" w:rsidRPr="00256BCB" w:rsidTr="00412363">
        <w:trPr>
          <w:cantSplit/>
          <w:jc w:val="center"/>
        </w:trPr>
        <w:tc>
          <w:tcPr>
            <w:tcW w:w="2908" w:type="pct"/>
            <w:gridSpan w:val="2"/>
            <w:vAlign w:val="center"/>
          </w:tcPr>
          <w:p w:rsidR="00412363" w:rsidRPr="001D6512" w:rsidRDefault="00412363" w:rsidP="00274AB1">
            <w:pPr>
              <w:pStyle w:val="TableCell"/>
              <w:spacing w:before="40" w:afterLines="40" w:after="96" w:line="240" w:lineRule="auto"/>
              <w:rPr>
                <w:szCs w:val="18"/>
              </w:rPr>
            </w:pPr>
            <w:r w:rsidRPr="001D6512">
              <w:rPr>
                <w:szCs w:val="18"/>
              </w:rPr>
              <w:t>New Construction</w:t>
            </w:r>
          </w:p>
        </w:tc>
        <w:tc>
          <w:tcPr>
            <w:tcW w:w="2092" w:type="pct"/>
            <w:vAlign w:val="center"/>
          </w:tcPr>
          <w:p w:rsidR="00412363" w:rsidRPr="001D6512" w:rsidRDefault="00412363" w:rsidP="00274AB1">
            <w:pPr>
              <w:pStyle w:val="TableCell"/>
              <w:spacing w:before="40" w:afterLines="40" w:after="96" w:line="240" w:lineRule="auto"/>
              <w:rPr>
                <w:szCs w:val="18"/>
              </w:rPr>
            </w:pPr>
            <w:r w:rsidRPr="001D6512">
              <w:rPr>
                <w:szCs w:val="18"/>
              </w:rPr>
              <w:t>Standard efficiency air source heat pump system</w:t>
            </w:r>
          </w:p>
        </w:tc>
      </w:tr>
      <w:tr w:rsidR="00412363" w:rsidRPr="00256BCB" w:rsidTr="00412363">
        <w:trPr>
          <w:cantSplit/>
          <w:jc w:val="center"/>
        </w:trPr>
        <w:tc>
          <w:tcPr>
            <w:tcW w:w="925" w:type="pct"/>
            <w:vMerge w:val="restart"/>
            <w:vAlign w:val="center"/>
          </w:tcPr>
          <w:p w:rsidR="00412363" w:rsidRPr="001D6512" w:rsidRDefault="00412363" w:rsidP="00274AB1">
            <w:pPr>
              <w:pStyle w:val="TableCell"/>
              <w:spacing w:before="40" w:afterLines="40" w:after="96" w:line="240" w:lineRule="auto"/>
              <w:rPr>
                <w:szCs w:val="18"/>
              </w:rPr>
            </w:pPr>
            <w:r w:rsidRPr="001D6512">
              <w:rPr>
                <w:szCs w:val="18"/>
              </w:rPr>
              <w:t>Retrofit</w:t>
            </w:r>
          </w:p>
          <w:p w:rsidR="00412363" w:rsidRPr="001D6512" w:rsidRDefault="00412363" w:rsidP="00274AB1">
            <w:pPr>
              <w:pStyle w:val="TableCell"/>
              <w:spacing w:before="40" w:afterLines="40" w:after="96"/>
              <w:rPr>
                <w:rFonts w:cs="Arial"/>
                <w:b/>
                <w:bCs/>
                <w:smallCaps/>
                <w:kern w:val="32"/>
                <w:szCs w:val="18"/>
              </w:rPr>
            </w:pPr>
          </w:p>
        </w:tc>
        <w:tc>
          <w:tcPr>
            <w:tcW w:w="1983" w:type="pct"/>
            <w:vAlign w:val="center"/>
          </w:tcPr>
          <w:p w:rsidR="00412363" w:rsidRPr="001D6512" w:rsidRDefault="00412363" w:rsidP="00274AB1">
            <w:pPr>
              <w:pStyle w:val="TableCell"/>
              <w:spacing w:before="40" w:afterLines="40" w:after="96" w:line="240" w:lineRule="auto"/>
              <w:rPr>
                <w:szCs w:val="18"/>
              </w:rPr>
            </w:pPr>
            <w:r w:rsidRPr="001D6512">
              <w:rPr>
                <w:szCs w:val="18"/>
              </w:rPr>
              <w:t>Replacing any technology besides a ground source, groundwater source, or water source heat pump</w:t>
            </w:r>
          </w:p>
        </w:tc>
        <w:tc>
          <w:tcPr>
            <w:tcW w:w="2092" w:type="pct"/>
            <w:vAlign w:val="center"/>
          </w:tcPr>
          <w:p w:rsidR="00412363" w:rsidRPr="001D6512" w:rsidRDefault="00412363" w:rsidP="00274AB1">
            <w:pPr>
              <w:pStyle w:val="TableCell"/>
              <w:spacing w:before="40" w:afterLines="40" w:after="96" w:line="240" w:lineRule="auto"/>
              <w:rPr>
                <w:szCs w:val="18"/>
              </w:rPr>
            </w:pPr>
            <w:r w:rsidRPr="001D6512">
              <w:rPr>
                <w:szCs w:val="18"/>
              </w:rPr>
              <w:t>Standard efficiency air source heat pump system</w:t>
            </w:r>
          </w:p>
        </w:tc>
      </w:tr>
      <w:tr w:rsidR="00412363" w:rsidRPr="00256BCB" w:rsidTr="00412363">
        <w:trPr>
          <w:cantSplit/>
          <w:trHeight w:val="696"/>
          <w:jc w:val="center"/>
        </w:trPr>
        <w:tc>
          <w:tcPr>
            <w:tcW w:w="925" w:type="pct"/>
            <w:vMerge/>
          </w:tcPr>
          <w:p w:rsidR="00412363" w:rsidRPr="001D6512" w:rsidRDefault="00412363" w:rsidP="00274AB1">
            <w:pPr>
              <w:pStyle w:val="TableCell"/>
              <w:keepNext w:val="0"/>
              <w:spacing w:before="40" w:afterLines="40" w:after="96" w:line="240" w:lineRule="auto"/>
              <w:rPr>
                <w:szCs w:val="18"/>
              </w:rPr>
            </w:pPr>
          </w:p>
        </w:tc>
        <w:tc>
          <w:tcPr>
            <w:tcW w:w="1983" w:type="pct"/>
            <w:vAlign w:val="center"/>
          </w:tcPr>
          <w:p w:rsidR="00412363" w:rsidRPr="001D6512" w:rsidRDefault="00412363" w:rsidP="00274AB1">
            <w:pPr>
              <w:pStyle w:val="TableCell"/>
              <w:keepNext w:val="0"/>
              <w:spacing w:before="40" w:afterLines="40" w:after="96" w:line="240" w:lineRule="auto"/>
              <w:rPr>
                <w:szCs w:val="18"/>
                <w:highlight w:val="yellow"/>
              </w:rPr>
            </w:pPr>
            <w:r w:rsidRPr="001D6512">
              <w:rPr>
                <w:szCs w:val="18"/>
              </w:rPr>
              <w:t>Replacing a ground source, groundwater source, or water source heat pump</w:t>
            </w:r>
          </w:p>
        </w:tc>
        <w:tc>
          <w:tcPr>
            <w:tcW w:w="2092" w:type="pct"/>
            <w:vAlign w:val="center"/>
          </w:tcPr>
          <w:p w:rsidR="00412363" w:rsidRPr="001D6512" w:rsidRDefault="00412363" w:rsidP="00274AB1">
            <w:pPr>
              <w:pStyle w:val="TableCell"/>
              <w:keepNext w:val="0"/>
              <w:spacing w:before="40" w:afterLines="40" w:after="96" w:line="240" w:lineRule="auto"/>
              <w:rPr>
                <w:szCs w:val="18"/>
                <w:highlight w:val="yellow"/>
              </w:rPr>
            </w:pPr>
            <w:r w:rsidRPr="001D6512">
              <w:rPr>
                <w:szCs w:val="18"/>
              </w:rPr>
              <w:t>Efficiency of the replaced geothermal system for early replacement only (if known), else code for a similar system</w:t>
            </w:r>
          </w:p>
        </w:tc>
      </w:tr>
    </w:tbl>
    <w:p w:rsidR="00412363" w:rsidRPr="00412363" w:rsidRDefault="00412363" w:rsidP="00412363"/>
    <w:p w:rsidR="00412363" w:rsidRPr="006F488A" w:rsidRDefault="00412363" w:rsidP="00412363">
      <w:pPr>
        <w:pStyle w:val="Heading3"/>
        <w:spacing w:before="120"/>
        <w:ind w:left="900" w:hanging="900"/>
      </w:pPr>
      <w:r>
        <w:t>Algorithms</w:t>
      </w:r>
    </w:p>
    <w:p w:rsidR="00412363" w:rsidRDefault="00412363" w:rsidP="00412363">
      <w:r>
        <w:t>There are two primary components that must be accounted for in the energy and demand calculations.  The first component is the heat pump unit energy and power, and the second is the circulating pump in the ground/water loop system</w:t>
      </w:r>
      <w:r w:rsidRPr="00087200">
        <w:t xml:space="preserve"> </w:t>
      </w:r>
      <w:r>
        <w:t xml:space="preserve">energy and power.  For projects where the retrofit system is similar to the baseline system, such as a standard efficiency ground source system replaced with a high efficiency ground source system, the pump energy is expected to be the same for both conditions and does not need to be calculated. The kWh savings should be calculated using the basic equations below. </w:t>
      </w:r>
    </w:p>
    <w:p w:rsidR="00412363" w:rsidRPr="002C4AFB" w:rsidRDefault="00412363" w:rsidP="004F06D1">
      <w:pPr>
        <w:pStyle w:val="Heading4"/>
      </w:pPr>
      <w:r w:rsidRPr="002C4AFB">
        <w:t>For air-cooled base case units with cooling capacities less than 65 kBtu/h:</w:t>
      </w:r>
    </w:p>
    <w:p w:rsidR="00412363" w:rsidRPr="00B67BCC" w:rsidRDefault="00412363" w:rsidP="00412363">
      <w:pPr>
        <w:pStyle w:val="Equation"/>
        <w:rPr>
          <w:noProof/>
        </w:rPr>
      </w:pPr>
      <w:r w:rsidRPr="00B67BCC">
        <w:rPr>
          <w:noProof/>
        </w:rPr>
        <w:t>ΔkWh</w:t>
      </w:r>
      <w:r w:rsidRPr="00B67BCC">
        <w:rPr>
          <w:noProof/>
        </w:rPr>
        <w:tab/>
      </w:r>
      <w:r>
        <w:rPr>
          <w:noProof/>
        </w:rPr>
        <w:tab/>
      </w:r>
      <w:r w:rsidRPr="00B67BCC">
        <w:rPr>
          <w:noProof/>
        </w:rPr>
        <w:t>= ΔkWh</w:t>
      </w:r>
      <w:r w:rsidRPr="00B67BCC">
        <w:rPr>
          <w:noProof/>
          <w:vertAlign w:val="subscript"/>
        </w:rPr>
        <w:t xml:space="preserve"> cool</w:t>
      </w:r>
      <w:r w:rsidRPr="00B67BCC">
        <w:rPr>
          <w:noProof/>
        </w:rPr>
        <w:t xml:space="preserve"> + ΔkWh</w:t>
      </w:r>
      <w:r w:rsidRPr="00B67BCC">
        <w:rPr>
          <w:noProof/>
          <w:vertAlign w:val="subscript"/>
        </w:rPr>
        <w:t xml:space="preserve"> heat</w:t>
      </w:r>
      <w:r w:rsidRPr="00B67BCC">
        <w:rPr>
          <w:noProof/>
        </w:rPr>
        <w:t xml:space="preserve"> + ΔkWh</w:t>
      </w:r>
      <w:r w:rsidRPr="00B67BCC">
        <w:rPr>
          <w:noProof/>
          <w:vertAlign w:val="subscript"/>
        </w:rPr>
        <w:t xml:space="preserve"> pump</w:t>
      </w:r>
    </w:p>
    <w:p w:rsidR="00412363" w:rsidRPr="00B67BCC" w:rsidRDefault="00412363" w:rsidP="00412363">
      <w:pPr>
        <w:pStyle w:val="Equation"/>
        <w:rPr>
          <w:noProof/>
        </w:rPr>
      </w:pPr>
      <w:r w:rsidRPr="00B67BCC">
        <w:rPr>
          <w:noProof/>
        </w:rPr>
        <w:t>ΔkWh</w:t>
      </w:r>
      <w:r w:rsidRPr="00B67BCC">
        <w:rPr>
          <w:noProof/>
          <w:vertAlign w:val="subscript"/>
        </w:rPr>
        <w:t xml:space="preserve"> cool</w:t>
      </w:r>
      <w:r w:rsidRPr="00B67BCC">
        <w:rPr>
          <w:noProof/>
        </w:rPr>
        <w:tab/>
        <w:t>= {(</w:t>
      </w:r>
      <w:r w:rsidRPr="00C02887">
        <w:rPr>
          <w:rFonts w:cs="Arial"/>
        </w:rPr>
        <w:t xml:space="preserve"> </w:t>
      </w:r>
      <w:r w:rsidRPr="00F5204A">
        <w:rPr>
          <w:rFonts w:cs="Arial"/>
        </w:rPr>
        <w:t>BtuH</w:t>
      </w:r>
      <w:r w:rsidRPr="00F5204A">
        <w:rPr>
          <w:rFonts w:cs="Arial"/>
          <w:vertAlign w:val="subscript"/>
        </w:rPr>
        <w:t>cool</w:t>
      </w:r>
      <w:r>
        <w:rPr>
          <w:rFonts w:cs="Arial"/>
        </w:rPr>
        <w:t>/ 1000</w:t>
      </w:r>
      <w:r w:rsidRPr="00B67BCC">
        <w:rPr>
          <w:noProof/>
        </w:rPr>
        <w:t>) X (1/SEER</w:t>
      </w:r>
      <w:r w:rsidRPr="00B67BCC">
        <w:rPr>
          <w:noProof/>
          <w:vertAlign w:val="subscript"/>
        </w:rPr>
        <w:t>base</w:t>
      </w:r>
      <w:r w:rsidRPr="00B67BCC">
        <w:rPr>
          <w:noProof/>
        </w:rPr>
        <w:t>) X EFLH</w:t>
      </w:r>
      <w:r w:rsidRPr="00B67BCC">
        <w:rPr>
          <w:noProof/>
          <w:vertAlign w:val="subscript"/>
        </w:rPr>
        <w:t>cool</w:t>
      </w:r>
      <w:r w:rsidRPr="00B67BCC">
        <w:rPr>
          <w:noProof/>
        </w:rPr>
        <w:t>} - {(</w:t>
      </w:r>
      <w:r w:rsidRPr="00C02887">
        <w:rPr>
          <w:rFonts w:cs="Arial"/>
        </w:rPr>
        <w:t xml:space="preserve"> </w:t>
      </w:r>
      <w:r w:rsidRPr="00F5204A">
        <w:rPr>
          <w:rFonts w:cs="Arial"/>
        </w:rPr>
        <w:t>BtuH</w:t>
      </w:r>
      <w:r w:rsidRPr="00F5204A">
        <w:rPr>
          <w:rFonts w:cs="Arial"/>
          <w:vertAlign w:val="subscript"/>
        </w:rPr>
        <w:t>cool</w:t>
      </w:r>
      <w:r>
        <w:rPr>
          <w:rFonts w:cs="Arial"/>
        </w:rPr>
        <w:t>/ 1000</w:t>
      </w:r>
      <w:r w:rsidRPr="00B67BCC">
        <w:rPr>
          <w:noProof/>
        </w:rPr>
        <w:t>) X (1/EER</w:t>
      </w:r>
      <w:r w:rsidRPr="00B67BCC">
        <w:rPr>
          <w:noProof/>
          <w:vertAlign w:val="subscript"/>
        </w:rPr>
        <w:t>ee</w:t>
      </w:r>
      <w:r w:rsidRPr="00B67BCC">
        <w:rPr>
          <w:noProof/>
        </w:rPr>
        <w:t>) X EFLH</w:t>
      </w:r>
      <w:r w:rsidRPr="00B67BCC">
        <w:rPr>
          <w:noProof/>
          <w:vertAlign w:val="subscript"/>
        </w:rPr>
        <w:t>cool</w:t>
      </w:r>
      <w:r w:rsidRPr="00B67BCC">
        <w:rPr>
          <w:noProof/>
        </w:rPr>
        <w:t>}</w:t>
      </w:r>
    </w:p>
    <w:p w:rsidR="00412363" w:rsidRPr="00B67BCC" w:rsidRDefault="00412363" w:rsidP="00412363">
      <w:pPr>
        <w:pStyle w:val="Equation"/>
        <w:rPr>
          <w:noProof/>
        </w:rPr>
      </w:pPr>
      <w:r w:rsidRPr="00B67BCC">
        <w:rPr>
          <w:noProof/>
        </w:rPr>
        <w:t>ΔkWh</w:t>
      </w:r>
      <w:r w:rsidRPr="00B67BCC">
        <w:rPr>
          <w:noProof/>
          <w:vertAlign w:val="subscript"/>
        </w:rPr>
        <w:t xml:space="preserve"> heat</w:t>
      </w:r>
      <w:r w:rsidRPr="00B67BCC">
        <w:rPr>
          <w:noProof/>
        </w:rPr>
        <w:tab/>
        <w:t>= {(</w:t>
      </w:r>
      <w:r w:rsidRPr="00C02887">
        <w:rPr>
          <w:rFonts w:cs="Arial"/>
        </w:rPr>
        <w:t xml:space="preserve"> </w:t>
      </w:r>
      <w:r w:rsidRPr="00F5204A">
        <w:rPr>
          <w:rFonts w:cs="Arial"/>
        </w:rPr>
        <w:t>BtuH</w:t>
      </w:r>
      <w:r w:rsidRPr="00B67BCC">
        <w:rPr>
          <w:noProof/>
          <w:vertAlign w:val="subscript"/>
        </w:rPr>
        <w:t>heat</w:t>
      </w:r>
      <w:r>
        <w:rPr>
          <w:noProof/>
        </w:rPr>
        <w:t>/ 1000</w:t>
      </w:r>
      <w:r w:rsidRPr="00B67BCC">
        <w:rPr>
          <w:noProof/>
        </w:rPr>
        <w:t>) X (</w:t>
      </w:r>
      <w:r>
        <w:rPr>
          <w:noProof/>
        </w:rPr>
        <w:t>1</w:t>
      </w:r>
      <w:r w:rsidRPr="00B67BCC">
        <w:rPr>
          <w:noProof/>
        </w:rPr>
        <w:t>/HSPF</w:t>
      </w:r>
      <w:r w:rsidRPr="00B67BCC">
        <w:rPr>
          <w:noProof/>
          <w:vertAlign w:val="subscript"/>
        </w:rPr>
        <w:t>base</w:t>
      </w:r>
      <w:r w:rsidRPr="00B67BCC">
        <w:rPr>
          <w:noProof/>
        </w:rPr>
        <w:t>) X EFLH</w:t>
      </w:r>
      <w:r w:rsidRPr="00B67BCC">
        <w:rPr>
          <w:noProof/>
          <w:vertAlign w:val="subscript"/>
        </w:rPr>
        <w:t>heat</w:t>
      </w:r>
      <w:r w:rsidRPr="00B67BCC">
        <w:rPr>
          <w:noProof/>
        </w:rPr>
        <w:t>} - {(</w:t>
      </w:r>
      <w:r w:rsidRPr="00C02887">
        <w:rPr>
          <w:rFonts w:cs="Arial"/>
        </w:rPr>
        <w:t xml:space="preserve"> </w:t>
      </w:r>
      <w:r w:rsidRPr="00F5204A">
        <w:rPr>
          <w:rFonts w:cs="Arial"/>
        </w:rPr>
        <w:t>BtuH</w:t>
      </w:r>
      <w:r w:rsidRPr="00B67BCC">
        <w:rPr>
          <w:noProof/>
          <w:vertAlign w:val="subscript"/>
        </w:rPr>
        <w:t>heat</w:t>
      </w:r>
      <w:r>
        <w:rPr>
          <w:noProof/>
        </w:rPr>
        <w:t>/ 1000</w:t>
      </w:r>
      <w:r w:rsidRPr="00B67BCC">
        <w:rPr>
          <w:noProof/>
        </w:rPr>
        <w:t>) X (</w:t>
      </w:r>
      <w:r>
        <w:rPr>
          <w:noProof/>
        </w:rPr>
        <w:t>1</w:t>
      </w:r>
      <w:r w:rsidRPr="00B67BCC">
        <w:rPr>
          <w:noProof/>
        </w:rPr>
        <w:t>/COP</w:t>
      </w:r>
      <w:r w:rsidRPr="00B67BCC">
        <w:rPr>
          <w:noProof/>
          <w:vertAlign w:val="subscript"/>
        </w:rPr>
        <w:t>ee</w:t>
      </w:r>
      <w:r w:rsidRPr="00B67BCC">
        <w:rPr>
          <w:noProof/>
        </w:rPr>
        <w:t>)</w:t>
      </w:r>
      <w:r w:rsidRPr="007E5D66">
        <w:rPr>
          <w:noProof/>
        </w:rPr>
        <w:t xml:space="preserve"> </w:t>
      </w:r>
      <w:r w:rsidRPr="00B67BCC">
        <w:rPr>
          <w:noProof/>
        </w:rPr>
        <w:t>X</w:t>
      </w:r>
      <w:r>
        <w:rPr>
          <w:noProof/>
        </w:rPr>
        <w:t xml:space="preserve"> (1/3.412)</w:t>
      </w:r>
      <w:r w:rsidRPr="00B67BCC">
        <w:rPr>
          <w:noProof/>
        </w:rPr>
        <w:t xml:space="preserve"> X EFLH</w:t>
      </w:r>
      <w:r w:rsidRPr="00B67BCC">
        <w:rPr>
          <w:noProof/>
          <w:vertAlign w:val="subscript"/>
        </w:rPr>
        <w:t>heat</w:t>
      </w:r>
      <w:r w:rsidRPr="00B67BCC">
        <w:rPr>
          <w:noProof/>
        </w:rPr>
        <w:t>}</w:t>
      </w:r>
    </w:p>
    <w:p w:rsidR="00412363" w:rsidRPr="004F06D1" w:rsidRDefault="00412363" w:rsidP="00412363">
      <w:pPr>
        <w:pStyle w:val="Equation"/>
        <w:rPr>
          <w:rFonts w:cs="Arial"/>
          <w:noProof/>
        </w:rPr>
      </w:pPr>
      <w:r w:rsidRPr="004F06D1">
        <w:rPr>
          <w:rFonts w:cs="Arial"/>
          <w:noProof/>
        </w:rPr>
        <w:t>ΔkWh</w:t>
      </w:r>
      <w:r w:rsidRPr="004F06D1">
        <w:rPr>
          <w:rFonts w:cs="Arial"/>
          <w:noProof/>
          <w:vertAlign w:val="subscript"/>
        </w:rPr>
        <w:t xml:space="preserve"> pump</w:t>
      </w:r>
      <w:r w:rsidRPr="004F06D1">
        <w:rPr>
          <w:rFonts w:cs="Arial"/>
          <w:noProof/>
        </w:rPr>
        <w:tab/>
        <w:t>= {(HP</w:t>
      </w:r>
      <w:r w:rsidRPr="004F06D1">
        <w:rPr>
          <w:rFonts w:cs="Arial"/>
          <w:noProof/>
          <w:vertAlign w:val="subscript"/>
        </w:rPr>
        <w:t>basemotor</w:t>
      </w:r>
      <w:r w:rsidRPr="004F06D1">
        <w:rPr>
          <w:rFonts w:cs="Arial"/>
          <w:noProof/>
        </w:rPr>
        <w:t xml:space="preserve"> X LF</w:t>
      </w:r>
      <w:r w:rsidRPr="004F06D1">
        <w:rPr>
          <w:rFonts w:cs="Arial"/>
          <w:noProof/>
          <w:vertAlign w:val="subscript"/>
        </w:rPr>
        <w:t>base</w:t>
      </w:r>
      <w:r w:rsidRPr="004F06D1">
        <w:rPr>
          <w:rFonts w:cs="Arial"/>
          <w:noProof/>
        </w:rPr>
        <w:t xml:space="preserve"> X 0.746 X (1/η</w:t>
      </w:r>
      <w:r w:rsidRPr="004F06D1">
        <w:rPr>
          <w:rFonts w:cs="Arial"/>
          <w:noProof/>
          <w:vertAlign w:val="subscript"/>
        </w:rPr>
        <w:t>basemotor</w:t>
      </w:r>
      <w:r w:rsidRPr="004F06D1">
        <w:rPr>
          <w:rFonts w:cs="Arial"/>
          <w:noProof/>
        </w:rPr>
        <w:t>) X (1/η</w:t>
      </w:r>
      <w:r w:rsidRPr="004F06D1">
        <w:rPr>
          <w:rFonts w:cs="Arial"/>
          <w:noProof/>
          <w:vertAlign w:val="subscript"/>
        </w:rPr>
        <w:t>basepump</w:t>
      </w:r>
      <w:r w:rsidRPr="004F06D1">
        <w:rPr>
          <w:rFonts w:cs="Arial"/>
          <w:noProof/>
        </w:rPr>
        <w:t>) X (HOURS</w:t>
      </w:r>
      <w:r w:rsidRPr="004F06D1">
        <w:rPr>
          <w:rFonts w:cs="Arial"/>
          <w:noProof/>
          <w:vertAlign w:val="subscript"/>
        </w:rPr>
        <w:t>basepump</w:t>
      </w:r>
      <w:r w:rsidRPr="004F06D1">
        <w:rPr>
          <w:rFonts w:cs="Arial"/>
          <w:noProof/>
        </w:rPr>
        <w:t>)} - {(HP</w:t>
      </w:r>
      <w:r w:rsidRPr="004F06D1">
        <w:rPr>
          <w:rFonts w:cs="Arial"/>
          <w:noProof/>
          <w:vertAlign w:val="subscript"/>
        </w:rPr>
        <w:t>eemotor</w:t>
      </w:r>
      <w:r w:rsidRPr="004F06D1">
        <w:rPr>
          <w:rFonts w:cs="Arial"/>
          <w:noProof/>
        </w:rPr>
        <w:t xml:space="preserve"> X LF</w:t>
      </w:r>
      <w:r w:rsidRPr="004F06D1">
        <w:rPr>
          <w:rFonts w:cs="Arial"/>
          <w:noProof/>
          <w:vertAlign w:val="subscript"/>
        </w:rPr>
        <w:t>ee</w:t>
      </w:r>
      <w:r w:rsidRPr="004F06D1">
        <w:rPr>
          <w:rFonts w:cs="Arial"/>
          <w:noProof/>
        </w:rPr>
        <w:t xml:space="preserve"> X 0.746 X (1/η</w:t>
      </w:r>
      <w:r w:rsidRPr="004F06D1">
        <w:rPr>
          <w:rFonts w:cs="Arial"/>
          <w:noProof/>
          <w:vertAlign w:val="subscript"/>
        </w:rPr>
        <w:t>eemotor</w:t>
      </w:r>
      <w:r w:rsidRPr="004F06D1">
        <w:rPr>
          <w:rFonts w:cs="Arial"/>
          <w:noProof/>
        </w:rPr>
        <w:t>) * (1/η</w:t>
      </w:r>
      <w:r w:rsidRPr="004F06D1">
        <w:rPr>
          <w:rFonts w:cs="Arial"/>
          <w:noProof/>
          <w:vertAlign w:val="subscript"/>
        </w:rPr>
        <w:t>eepump</w:t>
      </w:r>
      <w:r w:rsidRPr="004F06D1">
        <w:rPr>
          <w:rFonts w:cs="Arial"/>
          <w:noProof/>
        </w:rPr>
        <w:t>) X (HOURS</w:t>
      </w:r>
      <w:r w:rsidRPr="004F06D1">
        <w:rPr>
          <w:rFonts w:cs="Arial"/>
          <w:noProof/>
          <w:vertAlign w:val="subscript"/>
        </w:rPr>
        <w:t>eepump</w:t>
      </w:r>
      <w:r w:rsidRPr="004F06D1">
        <w:rPr>
          <w:rFonts w:cs="Arial"/>
          <w:noProof/>
        </w:rPr>
        <w:t>)}</w:t>
      </w:r>
    </w:p>
    <w:p w:rsidR="00412363" w:rsidRPr="004F06D1" w:rsidRDefault="00412363" w:rsidP="00412363">
      <w:pPr>
        <w:pStyle w:val="Equation"/>
        <w:rPr>
          <w:rFonts w:cs="Arial"/>
          <w:noProof/>
        </w:rPr>
      </w:pPr>
      <w:r w:rsidRPr="004F06D1">
        <w:rPr>
          <w:rFonts w:cs="Arial"/>
          <w:noProof/>
        </w:rPr>
        <w:t>ΔkW</w:t>
      </w:r>
      <w:r w:rsidRPr="004F06D1">
        <w:rPr>
          <w:rFonts w:cs="Arial"/>
          <w:noProof/>
          <w:vertAlign w:val="subscript"/>
        </w:rPr>
        <w:t>peak</w:t>
      </w:r>
      <w:r w:rsidRPr="004F06D1">
        <w:rPr>
          <w:rFonts w:cs="Arial"/>
          <w:noProof/>
          <w:vertAlign w:val="subscript"/>
        </w:rPr>
        <w:tab/>
      </w:r>
      <w:r w:rsidRPr="004F06D1">
        <w:rPr>
          <w:rFonts w:cs="Arial"/>
          <w:noProof/>
          <w:vertAlign w:val="subscript"/>
        </w:rPr>
        <w:tab/>
      </w:r>
      <w:r w:rsidRPr="004F06D1">
        <w:rPr>
          <w:rFonts w:cs="Arial"/>
          <w:noProof/>
        </w:rPr>
        <w:t>= ΔkW</w:t>
      </w:r>
      <w:r w:rsidRPr="004F06D1">
        <w:rPr>
          <w:rFonts w:cs="Arial"/>
          <w:noProof/>
          <w:vertAlign w:val="subscript"/>
        </w:rPr>
        <w:t>peak cool</w:t>
      </w:r>
      <w:r w:rsidRPr="004F06D1">
        <w:rPr>
          <w:rFonts w:cs="Arial"/>
          <w:noProof/>
        </w:rPr>
        <w:t xml:space="preserve"> + ΔkW</w:t>
      </w:r>
      <w:r w:rsidRPr="004F06D1">
        <w:rPr>
          <w:rFonts w:cs="Arial"/>
          <w:noProof/>
          <w:vertAlign w:val="subscript"/>
        </w:rPr>
        <w:t>peak pump</w:t>
      </w:r>
    </w:p>
    <w:p w:rsidR="00412363" w:rsidRPr="004F06D1" w:rsidRDefault="00412363" w:rsidP="00412363">
      <w:pPr>
        <w:pStyle w:val="Equation"/>
        <w:rPr>
          <w:rFonts w:cs="Arial"/>
          <w:noProof/>
        </w:rPr>
      </w:pPr>
      <w:r w:rsidRPr="004F06D1">
        <w:rPr>
          <w:rFonts w:cs="Arial"/>
          <w:noProof/>
        </w:rPr>
        <w:t>ΔkW</w:t>
      </w:r>
      <w:r w:rsidRPr="004F06D1">
        <w:rPr>
          <w:rFonts w:cs="Arial"/>
          <w:noProof/>
          <w:vertAlign w:val="subscript"/>
        </w:rPr>
        <w:t>peak cool</w:t>
      </w:r>
      <w:r w:rsidRPr="004F06D1">
        <w:rPr>
          <w:rFonts w:cs="Arial"/>
          <w:noProof/>
        </w:rPr>
        <w:tab/>
        <w:t>= {(</w:t>
      </w:r>
      <w:r w:rsidRPr="004F06D1">
        <w:rPr>
          <w:rFonts w:cs="Arial"/>
        </w:rPr>
        <w:t xml:space="preserve"> BtuH</w:t>
      </w:r>
      <w:r w:rsidRPr="004F06D1">
        <w:rPr>
          <w:rFonts w:cs="Arial"/>
          <w:vertAlign w:val="subscript"/>
        </w:rPr>
        <w:t>cool</w:t>
      </w:r>
      <w:r w:rsidRPr="004F06D1">
        <w:rPr>
          <w:rFonts w:cs="Arial"/>
        </w:rPr>
        <w:t>/ 1000</w:t>
      </w:r>
      <w:r w:rsidRPr="004F06D1">
        <w:rPr>
          <w:rFonts w:cs="Arial"/>
          <w:noProof/>
        </w:rPr>
        <w:t>) X [(1/EER</w:t>
      </w:r>
      <w:r w:rsidRPr="004F06D1">
        <w:rPr>
          <w:rFonts w:cs="Arial"/>
          <w:noProof/>
          <w:vertAlign w:val="subscript"/>
        </w:rPr>
        <w:t>base</w:t>
      </w:r>
      <w:r w:rsidRPr="004F06D1">
        <w:rPr>
          <w:rFonts w:cs="Arial"/>
          <w:noProof/>
        </w:rPr>
        <w:t>)] X CF</w:t>
      </w:r>
      <w:r w:rsidRPr="004F06D1">
        <w:rPr>
          <w:rFonts w:cs="Arial"/>
          <w:noProof/>
          <w:vertAlign w:val="subscript"/>
        </w:rPr>
        <w:t>cool</w:t>
      </w:r>
      <w:r w:rsidRPr="004F06D1">
        <w:rPr>
          <w:rFonts w:cs="Arial"/>
          <w:noProof/>
        </w:rPr>
        <w:t>} - {(</w:t>
      </w:r>
      <w:r w:rsidRPr="004F06D1">
        <w:rPr>
          <w:rFonts w:cs="Arial"/>
        </w:rPr>
        <w:t xml:space="preserve"> BtuH</w:t>
      </w:r>
      <w:r w:rsidRPr="004F06D1">
        <w:rPr>
          <w:rFonts w:cs="Arial"/>
          <w:vertAlign w:val="subscript"/>
        </w:rPr>
        <w:t>cool</w:t>
      </w:r>
      <w:r w:rsidRPr="004F06D1">
        <w:rPr>
          <w:rFonts w:cs="Arial"/>
        </w:rPr>
        <w:t>/ 1000</w:t>
      </w:r>
      <w:r w:rsidRPr="004F06D1">
        <w:rPr>
          <w:rFonts w:cs="Arial"/>
          <w:noProof/>
        </w:rPr>
        <w:t>) X [(1/EER</w:t>
      </w:r>
      <w:r w:rsidRPr="004F06D1">
        <w:rPr>
          <w:rFonts w:cs="Arial"/>
          <w:noProof/>
          <w:vertAlign w:val="subscript"/>
        </w:rPr>
        <w:t>ee</w:t>
      </w:r>
      <w:r w:rsidRPr="004F06D1">
        <w:rPr>
          <w:rFonts w:cs="Arial"/>
          <w:noProof/>
        </w:rPr>
        <w:t>)] X CF</w:t>
      </w:r>
      <w:r w:rsidRPr="004F06D1">
        <w:rPr>
          <w:rFonts w:cs="Arial"/>
          <w:noProof/>
          <w:vertAlign w:val="subscript"/>
        </w:rPr>
        <w:t>cool</w:t>
      </w:r>
      <w:r w:rsidRPr="004F06D1">
        <w:rPr>
          <w:rFonts w:cs="Arial"/>
          <w:noProof/>
        </w:rPr>
        <w:t>}</w:t>
      </w:r>
    </w:p>
    <w:p w:rsidR="00412363" w:rsidRPr="004F06D1" w:rsidRDefault="00412363" w:rsidP="00412363">
      <w:pPr>
        <w:pStyle w:val="Equation"/>
        <w:rPr>
          <w:rFonts w:cs="Arial"/>
          <w:noProof/>
        </w:rPr>
      </w:pPr>
      <w:r w:rsidRPr="004F06D1">
        <w:rPr>
          <w:rFonts w:cs="Arial"/>
          <w:noProof/>
        </w:rPr>
        <w:t>ΔkW</w:t>
      </w:r>
      <w:r w:rsidRPr="004F06D1">
        <w:rPr>
          <w:rFonts w:cs="Arial"/>
          <w:noProof/>
          <w:vertAlign w:val="subscript"/>
        </w:rPr>
        <w:t>peak pump</w:t>
      </w:r>
      <w:r w:rsidRPr="004F06D1">
        <w:rPr>
          <w:rFonts w:cs="Arial"/>
          <w:noProof/>
        </w:rPr>
        <w:tab/>
        <w:t>= {HP</w:t>
      </w:r>
      <w:r w:rsidRPr="004F06D1">
        <w:rPr>
          <w:rFonts w:cs="Arial"/>
          <w:noProof/>
          <w:vertAlign w:val="subscript"/>
        </w:rPr>
        <w:t>basemotor</w:t>
      </w:r>
      <w:r w:rsidRPr="004F06D1">
        <w:rPr>
          <w:rFonts w:cs="Arial"/>
          <w:noProof/>
        </w:rPr>
        <w:t xml:space="preserve"> X LF</w:t>
      </w:r>
      <w:r w:rsidRPr="004F06D1">
        <w:rPr>
          <w:rFonts w:cs="Arial"/>
          <w:noProof/>
          <w:vertAlign w:val="subscript"/>
        </w:rPr>
        <w:t>base</w:t>
      </w:r>
      <w:r w:rsidRPr="004F06D1">
        <w:rPr>
          <w:rFonts w:cs="Arial"/>
          <w:noProof/>
        </w:rPr>
        <w:t xml:space="preserve"> X 0.746 X (1/η</w:t>
      </w:r>
      <w:r w:rsidRPr="004F06D1">
        <w:rPr>
          <w:rFonts w:cs="Arial"/>
          <w:noProof/>
          <w:vertAlign w:val="subscript"/>
        </w:rPr>
        <w:t>basemotor</w:t>
      </w:r>
      <w:r w:rsidRPr="004F06D1">
        <w:rPr>
          <w:rFonts w:cs="Arial"/>
          <w:noProof/>
        </w:rPr>
        <w:t>) X (1/η</w:t>
      </w:r>
      <w:r w:rsidRPr="004F06D1">
        <w:rPr>
          <w:rFonts w:cs="Arial"/>
          <w:noProof/>
          <w:vertAlign w:val="subscript"/>
        </w:rPr>
        <w:t>basepump</w:t>
      </w:r>
      <w:r w:rsidRPr="004F06D1">
        <w:rPr>
          <w:rFonts w:cs="Arial"/>
          <w:noProof/>
        </w:rPr>
        <w:t>) X CF</w:t>
      </w:r>
      <w:r w:rsidRPr="004F06D1">
        <w:rPr>
          <w:rFonts w:cs="Arial"/>
          <w:noProof/>
          <w:vertAlign w:val="subscript"/>
        </w:rPr>
        <w:t>pump</w:t>
      </w:r>
      <w:r w:rsidRPr="004F06D1">
        <w:rPr>
          <w:rFonts w:cs="Arial"/>
          <w:noProof/>
        </w:rPr>
        <w:t>}  - {HP</w:t>
      </w:r>
      <w:r w:rsidRPr="004F06D1">
        <w:rPr>
          <w:rFonts w:cs="Arial"/>
          <w:noProof/>
          <w:vertAlign w:val="subscript"/>
        </w:rPr>
        <w:t>eemotor</w:t>
      </w:r>
      <w:r w:rsidRPr="004F06D1">
        <w:rPr>
          <w:rFonts w:cs="Arial"/>
          <w:noProof/>
        </w:rPr>
        <w:t xml:space="preserve"> X LF</w:t>
      </w:r>
      <w:r w:rsidRPr="004F06D1">
        <w:rPr>
          <w:rFonts w:cs="Arial"/>
          <w:noProof/>
          <w:vertAlign w:val="subscript"/>
        </w:rPr>
        <w:t>ee</w:t>
      </w:r>
      <w:r w:rsidRPr="004F06D1">
        <w:rPr>
          <w:rFonts w:cs="Arial"/>
          <w:noProof/>
        </w:rPr>
        <w:t xml:space="preserve"> X 0.746 X (1/η</w:t>
      </w:r>
      <w:r w:rsidRPr="004F06D1">
        <w:rPr>
          <w:rFonts w:cs="Arial"/>
          <w:noProof/>
          <w:vertAlign w:val="subscript"/>
        </w:rPr>
        <w:t>eemotor</w:t>
      </w:r>
      <w:r w:rsidRPr="004F06D1">
        <w:rPr>
          <w:rFonts w:cs="Arial"/>
          <w:noProof/>
        </w:rPr>
        <w:t>) X (1/η</w:t>
      </w:r>
      <w:r w:rsidRPr="004F06D1">
        <w:rPr>
          <w:rFonts w:cs="Arial"/>
          <w:noProof/>
          <w:vertAlign w:val="subscript"/>
        </w:rPr>
        <w:t>eepump</w:t>
      </w:r>
      <w:r w:rsidRPr="004F06D1">
        <w:rPr>
          <w:rFonts w:cs="Arial"/>
          <w:noProof/>
        </w:rPr>
        <w:t>)] X CF</w:t>
      </w:r>
      <w:r w:rsidRPr="004F06D1">
        <w:rPr>
          <w:rFonts w:cs="Arial"/>
          <w:noProof/>
          <w:vertAlign w:val="subscript"/>
        </w:rPr>
        <w:t>pump</w:t>
      </w:r>
      <w:r w:rsidRPr="004F06D1">
        <w:rPr>
          <w:rFonts w:cs="Arial"/>
          <w:noProof/>
        </w:rPr>
        <w:t>}</w:t>
      </w:r>
    </w:p>
    <w:p w:rsidR="00412363" w:rsidRPr="002C4AFB" w:rsidRDefault="00412363" w:rsidP="004F06D1">
      <w:pPr>
        <w:pStyle w:val="Heading4"/>
      </w:pPr>
      <w:r w:rsidRPr="002C4AFB">
        <w:t>For air-cooled base case units with cooling capacities equal to or greater than 65 kBtu/h, and all other units:</w:t>
      </w:r>
    </w:p>
    <w:p w:rsidR="00412363" w:rsidRPr="004F06D1" w:rsidRDefault="00412363" w:rsidP="004F06D1">
      <w:pPr>
        <w:pStyle w:val="Equation"/>
        <w:keepNext/>
        <w:rPr>
          <w:rFonts w:cs="Arial"/>
          <w:noProof/>
        </w:rPr>
      </w:pPr>
      <w:r w:rsidRPr="004F06D1">
        <w:rPr>
          <w:rFonts w:cs="Arial"/>
          <w:noProof/>
        </w:rPr>
        <w:t>ΔkWh</w:t>
      </w:r>
      <w:r w:rsidRPr="004F06D1">
        <w:rPr>
          <w:rFonts w:cs="Arial"/>
          <w:noProof/>
        </w:rPr>
        <w:tab/>
      </w:r>
      <w:r w:rsidR="004F06D1" w:rsidRPr="004F06D1">
        <w:rPr>
          <w:rFonts w:cs="Arial"/>
          <w:noProof/>
        </w:rPr>
        <w:tab/>
      </w:r>
      <w:r w:rsidRPr="004F06D1">
        <w:rPr>
          <w:rFonts w:cs="Arial"/>
          <w:noProof/>
        </w:rPr>
        <w:t>= ΔkWh</w:t>
      </w:r>
      <w:r w:rsidRPr="004F06D1">
        <w:rPr>
          <w:rFonts w:cs="Arial"/>
          <w:noProof/>
          <w:vertAlign w:val="subscript"/>
        </w:rPr>
        <w:t xml:space="preserve"> cool</w:t>
      </w:r>
      <w:r w:rsidRPr="004F06D1">
        <w:rPr>
          <w:rFonts w:cs="Arial"/>
          <w:noProof/>
        </w:rPr>
        <w:t xml:space="preserve"> + ΔkWh</w:t>
      </w:r>
      <w:r w:rsidRPr="004F06D1">
        <w:rPr>
          <w:rFonts w:cs="Arial"/>
          <w:noProof/>
          <w:vertAlign w:val="subscript"/>
        </w:rPr>
        <w:t xml:space="preserve"> heat</w:t>
      </w:r>
      <w:r w:rsidRPr="004F06D1">
        <w:rPr>
          <w:rFonts w:cs="Arial"/>
          <w:noProof/>
        </w:rPr>
        <w:t xml:space="preserve"> + ΔkWh</w:t>
      </w:r>
      <w:r w:rsidRPr="004F06D1">
        <w:rPr>
          <w:rFonts w:cs="Arial"/>
          <w:noProof/>
          <w:vertAlign w:val="subscript"/>
        </w:rPr>
        <w:t xml:space="preserve"> pump</w:t>
      </w:r>
    </w:p>
    <w:p w:rsidR="00412363" w:rsidRPr="004F06D1" w:rsidRDefault="00412363" w:rsidP="004F06D1">
      <w:pPr>
        <w:pStyle w:val="Equation"/>
        <w:rPr>
          <w:rFonts w:cs="Arial"/>
          <w:noProof/>
        </w:rPr>
      </w:pPr>
      <w:r w:rsidRPr="004F06D1">
        <w:rPr>
          <w:rFonts w:cs="Arial"/>
          <w:noProof/>
        </w:rPr>
        <w:t>ΔkWh</w:t>
      </w:r>
      <w:r w:rsidRPr="004F06D1">
        <w:rPr>
          <w:rFonts w:cs="Arial"/>
          <w:noProof/>
          <w:vertAlign w:val="subscript"/>
        </w:rPr>
        <w:t xml:space="preserve"> cool</w:t>
      </w:r>
      <w:r w:rsidRPr="004F06D1">
        <w:rPr>
          <w:rFonts w:cs="Arial"/>
          <w:noProof/>
        </w:rPr>
        <w:tab/>
        <w:t>= {(</w:t>
      </w:r>
      <w:r w:rsidRPr="004F06D1">
        <w:rPr>
          <w:rFonts w:cs="Arial"/>
        </w:rPr>
        <w:t xml:space="preserve"> BtuH</w:t>
      </w:r>
      <w:r w:rsidRPr="004F06D1">
        <w:rPr>
          <w:rFonts w:cs="Arial"/>
          <w:vertAlign w:val="subscript"/>
        </w:rPr>
        <w:t>cool</w:t>
      </w:r>
      <w:r w:rsidRPr="004F06D1">
        <w:rPr>
          <w:rFonts w:cs="Arial"/>
        </w:rPr>
        <w:t>/ 1000</w:t>
      </w:r>
      <w:r w:rsidRPr="004F06D1">
        <w:rPr>
          <w:rFonts w:cs="Arial"/>
          <w:noProof/>
        </w:rPr>
        <w:t>) X (1/EER</w:t>
      </w:r>
      <w:r w:rsidRPr="004F06D1">
        <w:rPr>
          <w:rFonts w:cs="Arial"/>
          <w:noProof/>
          <w:vertAlign w:val="subscript"/>
        </w:rPr>
        <w:t>base</w:t>
      </w:r>
      <w:r w:rsidRPr="004F06D1">
        <w:rPr>
          <w:rFonts w:cs="Arial"/>
          <w:noProof/>
        </w:rPr>
        <w:t>) X EFLH</w:t>
      </w:r>
      <w:r w:rsidRPr="004F06D1">
        <w:rPr>
          <w:rFonts w:cs="Arial"/>
          <w:noProof/>
          <w:vertAlign w:val="subscript"/>
        </w:rPr>
        <w:t>cool</w:t>
      </w:r>
      <w:r w:rsidRPr="004F06D1">
        <w:rPr>
          <w:rFonts w:cs="Arial"/>
          <w:noProof/>
        </w:rPr>
        <w:t>} - {(</w:t>
      </w:r>
      <w:r w:rsidRPr="004F06D1">
        <w:rPr>
          <w:rFonts w:cs="Arial"/>
        </w:rPr>
        <w:t xml:space="preserve"> BtuH</w:t>
      </w:r>
      <w:r w:rsidRPr="004F06D1">
        <w:rPr>
          <w:rFonts w:cs="Arial"/>
          <w:vertAlign w:val="subscript"/>
        </w:rPr>
        <w:t>cool</w:t>
      </w:r>
      <w:r w:rsidRPr="004F06D1">
        <w:rPr>
          <w:rFonts w:cs="Arial"/>
        </w:rPr>
        <w:t>/ 1000</w:t>
      </w:r>
      <w:r w:rsidRPr="004F06D1">
        <w:rPr>
          <w:rFonts w:cs="Arial"/>
          <w:noProof/>
        </w:rPr>
        <w:t>) X (1/EER</w:t>
      </w:r>
      <w:r w:rsidRPr="004F06D1">
        <w:rPr>
          <w:rFonts w:cs="Arial"/>
          <w:noProof/>
          <w:vertAlign w:val="subscript"/>
        </w:rPr>
        <w:t>ee</w:t>
      </w:r>
      <w:r w:rsidRPr="004F06D1">
        <w:rPr>
          <w:rFonts w:cs="Arial"/>
          <w:noProof/>
        </w:rPr>
        <w:t>) X EFLH</w:t>
      </w:r>
      <w:r w:rsidRPr="004F06D1">
        <w:rPr>
          <w:rFonts w:cs="Arial"/>
          <w:noProof/>
          <w:vertAlign w:val="subscript"/>
        </w:rPr>
        <w:t>cool</w:t>
      </w:r>
      <w:r w:rsidRPr="004F06D1">
        <w:rPr>
          <w:rFonts w:cs="Arial"/>
          <w:noProof/>
        </w:rPr>
        <w:t>}</w:t>
      </w:r>
    </w:p>
    <w:p w:rsidR="00412363" w:rsidRPr="004F06D1" w:rsidRDefault="00412363" w:rsidP="004F06D1">
      <w:pPr>
        <w:pStyle w:val="Equation"/>
        <w:rPr>
          <w:rFonts w:cs="Arial"/>
          <w:noProof/>
        </w:rPr>
      </w:pPr>
      <w:r w:rsidRPr="004F06D1">
        <w:rPr>
          <w:rFonts w:cs="Arial"/>
          <w:noProof/>
        </w:rPr>
        <w:t>ΔkWh</w:t>
      </w:r>
      <w:r w:rsidRPr="004F06D1">
        <w:rPr>
          <w:rFonts w:cs="Arial"/>
          <w:noProof/>
          <w:vertAlign w:val="subscript"/>
        </w:rPr>
        <w:t xml:space="preserve"> heat</w:t>
      </w:r>
      <w:r w:rsidRPr="004F06D1">
        <w:rPr>
          <w:rFonts w:cs="Arial"/>
          <w:noProof/>
        </w:rPr>
        <w:tab/>
        <w:t>= {(</w:t>
      </w:r>
      <w:r w:rsidRPr="004F06D1">
        <w:rPr>
          <w:rFonts w:cs="Arial"/>
        </w:rPr>
        <w:t xml:space="preserve"> BtuH</w:t>
      </w:r>
      <w:r w:rsidRPr="004F06D1">
        <w:rPr>
          <w:rFonts w:cs="Arial"/>
          <w:noProof/>
          <w:vertAlign w:val="subscript"/>
        </w:rPr>
        <w:t>heat</w:t>
      </w:r>
      <w:r w:rsidRPr="004F06D1">
        <w:rPr>
          <w:rFonts w:cs="Arial"/>
          <w:noProof/>
        </w:rPr>
        <w:t>/ 1000) X (1/COP</w:t>
      </w:r>
      <w:r w:rsidRPr="004F06D1">
        <w:rPr>
          <w:rFonts w:cs="Arial"/>
          <w:noProof/>
          <w:vertAlign w:val="subscript"/>
        </w:rPr>
        <w:t>base</w:t>
      </w:r>
      <w:r w:rsidRPr="004F06D1">
        <w:rPr>
          <w:rFonts w:cs="Arial"/>
          <w:noProof/>
        </w:rPr>
        <w:t>) X (1/3.412) X EFLH</w:t>
      </w:r>
      <w:r w:rsidRPr="004F06D1">
        <w:rPr>
          <w:rFonts w:cs="Arial"/>
          <w:noProof/>
          <w:vertAlign w:val="subscript"/>
        </w:rPr>
        <w:t>heat</w:t>
      </w:r>
      <w:r w:rsidRPr="004F06D1">
        <w:rPr>
          <w:rFonts w:cs="Arial"/>
          <w:noProof/>
        </w:rPr>
        <w:t>} - {(</w:t>
      </w:r>
      <w:r w:rsidRPr="004F06D1">
        <w:rPr>
          <w:rFonts w:cs="Arial"/>
        </w:rPr>
        <w:t xml:space="preserve"> BtuH</w:t>
      </w:r>
      <w:r w:rsidRPr="004F06D1">
        <w:rPr>
          <w:rFonts w:cs="Arial"/>
          <w:noProof/>
          <w:vertAlign w:val="subscript"/>
        </w:rPr>
        <w:t>heat</w:t>
      </w:r>
      <w:r w:rsidRPr="004F06D1">
        <w:rPr>
          <w:rFonts w:cs="Arial"/>
          <w:noProof/>
        </w:rPr>
        <w:t>/ 1000) X (1/COP</w:t>
      </w:r>
      <w:r w:rsidRPr="004F06D1">
        <w:rPr>
          <w:rFonts w:cs="Arial"/>
          <w:noProof/>
          <w:vertAlign w:val="subscript"/>
        </w:rPr>
        <w:t>ee</w:t>
      </w:r>
      <w:r w:rsidRPr="004F06D1">
        <w:rPr>
          <w:rFonts w:cs="Arial"/>
          <w:noProof/>
        </w:rPr>
        <w:t>) X (1/3.412) X EFLH</w:t>
      </w:r>
      <w:r w:rsidRPr="004F06D1">
        <w:rPr>
          <w:rFonts w:cs="Arial"/>
          <w:noProof/>
          <w:vertAlign w:val="subscript"/>
        </w:rPr>
        <w:t>heat</w:t>
      </w:r>
      <w:r w:rsidRPr="004F06D1">
        <w:rPr>
          <w:rFonts w:cs="Arial"/>
          <w:noProof/>
        </w:rPr>
        <w:t>}</w:t>
      </w:r>
    </w:p>
    <w:p w:rsidR="00412363" w:rsidRPr="004F06D1" w:rsidRDefault="00412363" w:rsidP="004F06D1">
      <w:pPr>
        <w:pStyle w:val="Equation"/>
        <w:rPr>
          <w:rFonts w:cs="Arial"/>
          <w:noProof/>
        </w:rPr>
      </w:pPr>
      <w:r w:rsidRPr="004F06D1">
        <w:rPr>
          <w:rFonts w:cs="Arial"/>
          <w:noProof/>
        </w:rPr>
        <w:t>ΔkWh</w:t>
      </w:r>
      <w:r w:rsidRPr="004F06D1">
        <w:rPr>
          <w:rFonts w:cs="Arial"/>
          <w:noProof/>
          <w:vertAlign w:val="subscript"/>
        </w:rPr>
        <w:t xml:space="preserve"> pump</w:t>
      </w:r>
      <w:r w:rsidRPr="004F06D1">
        <w:rPr>
          <w:rFonts w:cs="Arial"/>
          <w:noProof/>
        </w:rPr>
        <w:tab/>
        <w:t>= {(HP</w:t>
      </w:r>
      <w:r w:rsidRPr="004F06D1">
        <w:rPr>
          <w:rFonts w:cs="Arial"/>
          <w:noProof/>
          <w:vertAlign w:val="subscript"/>
        </w:rPr>
        <w:t>basemotor</w:t>
      </w:r>
      <w:r w:rsidRPr="004F06D1">
        <w:rPr>
          <w:rFonts w:cs="Arial"/>
          <w:noProof/>
        </w:rPr>
        <w:t xml:space="preserve"> X LF</w:t>
      </w:r>
      <w:r w:rsidRPr="004F06D1">
        <w:rPr>
          <w:rFonts w:cs="Arial"/>
          <w:noProof/>
          <w:vertAlign w:val="subscript"/>
        </w:rPr>
        <w:t>base</w:t>
      </w:r>
      <w:r w:rsidRPr="004F06D1">
        <w:rPr>
          <w:rFonts w:cs="Arial"/>
          <w:noProof/>
        </w:rPr>
        <w:t xml:space="preserve"> X 0.746 X (1/η</w:t>
      </w:r>
      <w:r w:rsidRPr="004F06D1">
        <w:rPr>
          <w:rFonts w:cs="Arial"/>
          <w:noProof/>
          <w:vertAlign w:val="subscript"/>
        </w:rPr>
        <w:t>basemotor</w:t>
      </w:r>
      <w:r w:rsidRPr="004F06D1">
        <w:rPr>
          <w:rFonts w:cs="Arial"/>
          <w:noProof/>
        </w:rPr>
        <w:t>) X (1/η</w:t>
      </w:r>
      <w:r w:rsidRPr="004F06D1">
        <w:rPr>
          <w:rFonts w:cs="Arial"/>
          <w:noProof/>
          <w:vertAlign w:val="subscript"/>
        </w:rPr>
        <w:t>basepump</w:t>
      </w:r>
      <w:r w:rsidRPr="004F06D1">
        <w:rPr>
          <w:rFonts w:cs="Arial"/>
          <w:noProof/>
        </w:rPr>
        <w:t>) X (HOURS</w:t>
      </w:r>
      <w:r w:rsidRPr="004F06D1">
        <w:rPr>
          <w:rFonts w:cs="Arial"/>
          <w:noProof/>
          <w:vertAlign w:val="subscript"/>
        </w:rPr>
        <w:t>basepump</w:t>
      </w:r>
      <w:r w:rsidRPr="004F06D1">
        <w:rPr>
          <w:rFonts w:cs="Arial"/>
          <w:noProof/>
        </w:rPr>
        <w:t>)} - {(HP</w:t>
      </w:r>
      <w:r w:rsidRPr="004F06D1">
        <w:rPr>
          <w:rFonts w:cs="Arial"/>
          <w:noProof/>
          <w:vertAlign w:val="subscript"/>
        </w:rPr>
        <w:t>eemotor</w:t>
      </w:r>
      <w:r w:rsidRPr="004F06D1">
        <w:rPr>
          <w:rFonts w:cs="Arial"/>
          <w:noProof/>
        </w:rPr>
        <w:t xml:space="preserve"> X LF</w:t>
      </w:r>
      <w:r w:rsidRPr="004F06D1">
        <w:rPr>
          <w:rFonts w:cs="Arial"/>
          <w:noProof/>
          <w:vertAlign w:val="subscript"/>
        </w:rPr>
        <w:t>ee</w:t>
      </w:r>
      <w:r w:rsidRPr="004F06D1">
        <w:rPr>
          <w:rFonts w:cs="Arial"/>
          <w:noProof/>
        </w:rPr>
        <w:t xml:space="preserve"> X 0.746 X (1/η</w:t>
      </w:r>
      <w:r w:rsidRPr="004F06D1">
        <w:rPr>
          <w:rFonts w:cs="Arial"/>
          <w:noProof/>
          <w:vertAlign w:val="subscript"/>
        </w:rPr>
        <w:t>eemotor</w:t>
      </w:r>
      <w:r w:rsidRPr="004F06D1">
        <w:rPr>
          <w:rFonts w:cs="Arial"/>
          <w:noProof/>
        </w:rPr>
        <w:t>) * (1/η</w:t>
      </w:r>
      <w:r w:rsidRPr="004F06D1">
        <w:rPr>
          <w:rFonts w:cs="Arial"/>
          <w:noProof/>
          <w:vertAlign w:val="subscript"/>
        </w:rPr>
        <w:t>eepump</w:t>
      </w:r>
      <w:r w:rsidRPr="004F06D1">
        <w:rPr>
          <w:rFonts w:cs="Arial"/>
          <w:noProof/>
        </w:rPr>
        <w:t>) X (HOURS</w:t>
      </w:r>
      <w:r w:rsidRPr="004F06D1">
        <w:rPr>
          <w:rFonts w:cs="Arial"/>
          <w:noProof/>
          <w:vertAlign w:val="subscript"/>
        </w:rPr>
        <w:t>eepump</w:t>
      </w:r>
      <w:r w:rsidRPr="004F06D1">
        <w:rPr>
          <w:rFonts w:cs="Arial"/>
          <w:noProof/>
        </w:rPr>
        <w:t>)}</w:t>
      </w:r>
    </w:p>
    <w:p w:rsidR="00412363" w:rsidRPr="004F06D1" w:rsidRDefault="00412363" w:rsidP="004F06D1">
      <w:pPr>
        <w:pStyle w:val="Equation"/>
        <w:rPr>
          <w:rFonts w:cs="Arial"/>
          <w:noProof/>
        </w:rPr>
      </w:pPr>
      <w:r w:rsidRPr="004F06D1">
        <w:rPr>
          <w:rFonts w:cs="Arial"/>
          <w:noProof/>
        </w:rPr>
        <w:t>ΔkW</w:t>
      </w:r>
      <w:r w:rsidRPr="004F06D1">
        <w:rPr>
          <w:rFonts w:cs="Arial"/>
          <w:noProof/>
          <w:vertAlign w:val="subscript"/>
        </w:rPr>
        <w:t>peak</w:t>
      </w:r>
      <w:r w:rsidRPr="004F06D1">
        <w:rPr>
          <w:rFonts w:cs="Arial"/>
          <w:noProof/>
        </w:rPr>
        <w:tab/>
      </w:r>
      <w:r w:rsidR="004F06D1" w:rsidRPr="004F06D1">
        <w:rPr>
          <w:rFonts w:cs="Arial"/>
          <w:noProof/>
        </w:rPr>
        <w:tab/>
      </w:r>
      <w:r w:rsidRPr="004F06D1">
        <w:rPr>
          <w:rFonts w:cs="Arial"/>
          <w:noProof/>
        </w:rPr>
        <w:t>= ΔkW</w:t>
      </w:r>
      <w:r w:rsidRPr="004F06D1">
        <w:rPr>
          <w:rFonts w:cs="Arial"/>
          <w:noProof/>
          <w:vertAlign w:val="subscript"/>
        </w:rPr>
        <w:t>peak cool</w:t>
      </w:r>
      <w:r w:rsidRPr="004F06D1">
        <w:rPr>
          <w:rFonts w:cs="Arial"/>
          <w:noProof/>
        </w:rPr>
        <w:t xml:space="preserve"> + ΔkW</w:t>
      </w:r>
      <w:r w:rsidRPr="004F06D1">
        <w:rPr>
          <w:rFonts w:cs="Arial"/>
          <w:noProof/>
          <w:vertAlign w:val="subscript"/>
        </w:rPr>
        <w:t>peak pump</w:t>
      </w:r>
    </w:p>
    <w:p w:rsidR="00412363" w:rsidRPr="004F06D1" w:rsidRDefault="00412363" w:rsidP="004F06D1">
      <w:pPr>
        <w:pStyle w:val="Equation"/>
        <w:rPr>
          <w:rFonts w:cs="Arial"/>
          <w:noProof/>
        </w:rPr>
      </w:pPr>
      <w:r w:rsidRPr="004F06D1">
        <w:rPr>
          <w:rFonts w:cs="Arial"/>
          <w:noProof/>
        </w:rPr>
        <w:t>ΔkW</w:t>
      </w:r>
      <w:r w:rsidRPr="004F06D1">
        <w:rPr>
          <w:rFonts w:cs="Arial"/>
          <w:noProof/>
          <w:vertAlign w:val="subscript"/>
        </w:rPr>
        <w:t>peak cool</w:t>
      </w:r>
      <w:r w:rsidRPr="004F06D1">
        <w:rPr>
          <w:rFonts w:cs="Arial"/>
          <w:noProof/>
        </w:rPr>
        <w:tab/>
        <w:t>= {(</w:t>
      </w:r>
      <w:r w:rsidRPr="004F06D1">
        <w:rPr>
          <w:rFonts w:cs="Arial"/>
        </w:rPr>
        <w:t xml:space="preserve"> BtuH</w:t>
      </w:r>
      <w:r w:rsidRPr="004F06D1">
        <w:rPr>
          <w:rFonts w:cs="Arial"/>
          <w:vertAlign w:val="subscript"/>
        </w:rPr>
        <w:t>cool</w:t>
      </w:r>
      <w:r w:rsidRPr="004F06D1">
        <w:rPr>
          <w:rFonts w:cs="Arial"/>
        </w:rPr>
        <w:t>/ 1000</w:t>
      </w:r>
      <w:r w:rsidRPr="004F06D1">
        <w:rPr>
          <w:rFonts w:cs="Arial"/>
          <w:noProof/>
        </w:rPr>
        <w:t>) X [(1/EER</w:t>
      </w:r>
      <w:r w:rsidRPr="004F06D1">
        <w:rPr>
          <w:rFonts w:cs="Arial"/>
          <w:noProof/>
          <w:vertAlign w:val="subscript"/>
        </w:rPr>
        <w:t>base</w:t>
      </w:r>
      <w:r w:rsidRPr="004F06D1">
        <w:rPr>
          <w:rFonts w:cs="Arial"/>
          <w:noProof/>
        </w:rPr>
        <w:t>)] X CF</w:t>
      </w:r>
      <w:r w:rsidRPr="004F06D1">
        <w:rPr>
          <w:rFonts w:cs="Arial"/>
          <w:noProof/>
          <w:vertAlign w:val="subscript"/>
        </w:rPr>
        <w:t>cool</w:t>
      </w:r>
      <w:r w:rsidRPr="004F06D1">
        <w:rPr>
          <w:rFonts w:cs="Arial"/>
          <w:noProof/>
        </w:rPr>
        <w:t>} - {(</w:t>
      </w:r>
      <w:r w:rsidRPr="004F06D1">
        <w:rPr>
          <w:rFonts w:cs="Arial"/>
        </w:rPr>
        <w:t xml:space="preserve"> BtuH</w:t>
      </w:r>
      <w:r w:rsidRPr="004F06D1">
        <w:rPr>
          <w:rFonts w:cs="Arial"/>
          <w:vertAlign w:val="subscript"/>
        </w:rPr>
        <w:t>cool</w:t>
      </w:r>
      <w:r w:rsidRPr="004F06D1">
        <w:rPr>
          <w:rFonts w:cs="Arial"/>
        </w:rPr>
        <w:t>/ 1000</w:t>
      </w:r>
      <w:r w:rsidRPr="004F06D1">
        <w:rPr>
          <w:rFonts w:cs="Arial"/>
          <w:noProof/>
        </w:rPr>
        <w:t>) X [ (1/EER</w:t>
      </w:r>
      <w:r w:rsidRPr="004F06D1">
        <w:rPr>
          <w:rFonts w:cs="Arial"/>
          <w:noProof/>
          <w:vertAlign w:val="subscript"/>
        </w:rPr>
        <w:t>ee</w:t>
      </w:r>
      <w:r w:rsidRPr="004F06D1">
        <w:rPr>
          <w:rFonts w:cs="Arial"/>
          <w:noProof/>
        </w:rPr>
        <w:t>)] X CF</w:t>
      </w:r>
      <w:r w:rsidRPr="004F06D1">
        <w:rPr>
          <w:rFonts w:cs="Arial"/>
          <w:noProof/>
          <w:vertAlign w:val="subscript"/>
        </w:rPr>
        <w:t>cool</w:t>
      </w:r>
      <w:r w:rsidRPr="004F06D1">
        <w:rPr>
          <w:rFonts w:cs="Arial"/>
          <w:noProof/>
        </w:rPr>
        <w:t>}</w:t>
      </w:r>
    </w:p>
    <w:p w:rsidR="00412363" w:rsidRPr="004F06D1" w:rsidRDefault="00412363" w:rsidP="004F06D1">
      <w:pPr>
        <w:pStyle w:val="Equation"/>
        <w:rPr>
          <w:rFonts w:cs="Arial"/>
          <w:noProof/>
        </w:rPr>
      </w:pPr>
      <w:r w:rsidRPr="004F06D1">
        <w:rPr>
          <w:rFonts w:cs="Arial"/>
          <w:noProof/>
        </w:rPr>
        <w:t>ΔkW</w:t>
      </w:r>
      <w:r w:rsidRPr="004F06D1">
        <w:rPr>
          <w:rFonts w:cs="Arial"/>
          <w:noProof/>
          <w:vertAlign w:val="subscript"/>
        </w:rPr>
        <w:t>peak pump</w:t>
      </w:r>
      <w:r w:rsidRPr="004F06D1">
        <w:rPr>
          <w:rFonts w:cs="Arial"/>
          <w:noProof/>
        </w:rPr>
        <w:tab/>
        <w:t>= {HP</w:t>
      </w:r>
      <w:r w:rsidRPr="004F06D1">
        <w:rPr>
          <w:rFonts w:cs="Arial"/>
          <w:noProof/>
          <w:vertAlign w:val="subscript"/>
        </w:rPr>
        <w:t>basemotor</w:t>
      </w:r>
      <w:r w:rsidRPr="004F06D1">
        <w:rPr>
          <w:rFonts w:cs="Arial"/>
          <w:noProof/>
        </w:rPr>
        <w:t xml:space="preserve"> X LF</w:t>
      </w:r>
      <w:r w:rsidRPr="004F06D1">
        <w:rPr>
          <w:rFonts w:cs="Arial"/>
          <w:noProof/>
          <w:vertAlign w:val="subscript"/>
        </w:rPr>
        <w:t>base</w:t>
      </w:r>
      <w:r w:rsidRPr="004F06D1">
        <w:rPr>
          <w:rFonts w:cs="Arial"/>
          <w:noProof/>
        </w:rPr>
        <w:t xml:space="preserve"> X 0.746 X (1/η</w:t>
      </w:r>
      <w:r w:rsidRPr="004F06D1">
        <w:rPr>
          <w:rFonts w:cs="Arial"/>
          <w:noProof/>
          <w:vertAlign w:val="subscript"/>
        </w:rPr>
        <w:t>basemotor</w:t>
      </w:r>
      <w:r w:rsidRPr="004F06D1">
        <w:rPr>
          <w:rFonts w:cs="Arial"/>
          <w:noProof/>
        </w:rPr>
        <w:t>) X (1/η</w:t>
      </w:r>
      <w:r w:rsidRPr="004F06D1">
        <w:rPr>
          <w:rFonts w:cs="Arial"/>
          <w:noProof/>
          <w:vertAlign w:val="subscript"/>
        </w:rPr>
        <w:t>basepump</w:t>
      </w:r>
      <w:r w:rsidRPr="004F06D1">
        <w:rPr>
          <w:rFonts w:cs="Arial"/>
          <w:noProof/>
        </w:rPr>
        <w:t>) X CF</w:t>
      </w:r>
      <w:r w:rsidRPr="004F06D1">
        <w:rPr>
          <w:rFonts w:cs="Arial"/>
          <w:noProof/>
          <w:vertAlign w:val="subscript"/>
        </w:rPr>
        <w:t>pump</w:t>
      </w:r>
      <w:r w:rsidRPr="004F06D1">
        <w:rPr>
          <w:rFonts w:cs="Arial"/>
          <w:noProof/>
        </w:rPr>
        <w:t>}  - {HP</w:t>
      </w:r>
      <w:r w:rsidRPr="004F06D1">
        <w:rPr>
          <w:rFonts w:cs="Arial"/>
          <w:noProof/>
          <w:vertAlign w:val="subscript"/>
        </w:rPr>
        <w:t>eemotor</w:t>
      </w:r>
      <w:r w:rsidRPr="004F06D1">
        <w:rPr>
          <w:rFonts w:cs="Arial"/>
          <w:noProof/>
        </w:rPr>
        <w:t xml:space="preserve"> X LF</w:t>
      </w:r>
      <w:r w:rsidRPr="004F06D1">
        <w:rPr>
          <w:rFonts w:cs="Arial"/>
          <w:noProof/>
          <w:vertAlign w:val="subscript"/>
        </w:rPr>
        <w:t>ee</w:t>
      </w:r>
      <w:r w:rsidRPr="004F06D1">
        <w:rPr>
          <w:rFonts w:cs="Arial"/>
          <w:noProof/>
        </w:rPr>
        <w:t xml:space="preserve"> X 0.746 X (1/η</w:t>
      </w:r>
      <w:r w:rsidRPr="004F06D1">
        <w:rPr>
          <w:rFonts w:cs="Arial"/>
          <w:noProof/>
          <w:vertAlign w:val="subscript"/>
        </w:rPr>
        <w:t>eemotor</w:t>
      </w:r>
      <w:r w:rsidRPr="004F06D1">
        <w:rPr>
          <w:rFonts w:cs="Arial"/>
          <w:noProof/>
        </w:rPr>
        <w:t>) X (1/η</w:t>
      </w:r>
      <w:r w:rsidRPr="004F06D1">
        <w:rPr>
          <w:rFonts w:cs="Arial"/>
          <w:noProof/>
          <w:vertAlign w:val="subscript"/>
        </w:rPr>
        <w:t>eepump</w:t>
      </w:r>
      <w:r w:rsidRPr="004F06D1">
        <w:rPr>
          <w:rFonts w:cs="Arial"/>
          <w:noProof/>
        </w:rPr>
        <w:t>)] X CF</w:t>
      </w:r>
      <w:r w:rsidRPr="004F06D1">
        <w:rPr>
          <w:rFonts w:cs="Arial"/>
          <w:noProof/>
          <w:vertAlign w:val="subscript"/>
        </w:rPr>
        <w:t>pump</w:t>
      </w:r>
      <w:r w:rsidRPr="004F06D1">
        <w:rPr>
          <w:rFonts w:cs="Arial"/>
          <w:noProof/>
        </w:rPr>
        <w:t>}</w:t>
      </w:r>
    </w:p>
    <w:p w:rsidR="004F06D1" w:rsidRDefault="004F06D1" w:rsidP="004F06D1">
      <w:pPr>
        <w:pStyle w:val="Heading3"/>
        <w:spacing w:before="120"/>
        <w:ind w:left="900" w:hanging="900"/>
        <w:rPr>
          <w:noProof/>
        </w:rPr>
      </w:pPr>
      <w:r>
        <w:rPr>
          <w:noProof/>
        </w:rPr>
        <w:t xml:space="preserve">Definition of Terms </w:t>
      </w:r>
    </w:p>
    <w:p w:rsidR="004F06D1" w:rsidRPr="00F5204A" w:rsidRDefault="004F06D1" w:rsidP="004F06D1">
      <w:pPr>
        <w:pStyle w:val="Equation"/>
      </w:pPr>
      <w:r>
        <w:tab/>
      </w:r>
      <w:r w:rsidRPr="00F5204A">
        <w:t>BtuH</w:t>
      </w:r>
      <w:r w:rsidRPr="00F5204A">
        <w:rPr>
          <w:vertAlign w:val="subscript"/>
        </w:rPr>
        <w:t>cool</w:t>
      </w:r>
      <w:r w:rsidRPr="00F5204A">
        <w:tab/>
        <w:t>= Rated cooling capacity of the energy efficient unit in BtuH</w:t>
      </w:r>
      <w:r w:rsidRPr="00F5204A">
        <w:rPr>
          <w:vertAlign w:val="subscript"/>
        </w:rPr>
        <w:t>cool</w:t>
      </w:r>
      <w:r w:rsidRPr="00F5204A">
        <w:t xml:space="preserve"> /hour</w:t>
      </w:r>
    </w:p>
    <w:p w:rsidR="004F06D1" w:rsidRPr="00F5204A" w:rsidRDefault="004F06D1" w:rsidP="004F06D1">
      <w:pPr>
        <w:pStyle w:val="Equation"/>
      </w:pPr>
      <w:r w:rsidRPr="00F5204A">
        <w:t xml:space="preserve"> </w:t>
      </w:r>
      <w:r w:rsidRPr="00F5204A">
        <w:tab/>
        <w:t>BtuH</w:t>
      </w:r>
      <w:r w:rsidRPr="00F5204A">
        <w:rPr>
          <w:vertAlign w:val="subscript"/>
        </w:rPr>
        <w:t>heat</w:t>
      </w:r>
      <w:r w:rsidRPr="00F5204A">
        <w:tab/>
        <w:t>= Rated heating capacity of the energy efficient unit in BtuH</w:t>
      </w:r>
      <w:r w:rsidRPr="00F5204A">
        <w:rPr>
          <w:vertAlign w:val="subscript"/>
        </w:rPr>
        <w:t>heat</w:t>
      </w:r>
      <w:r w:rsidRPr="00F5204A">
        <w:t xml:space="preserve"> /hour</w:t>
      </w:r>
    </w:p>
    <w:p w:rsidR="004F06D1" w:rsidRPr="00AF6669" w:rsidRDefault="004F06D1" w:rsidP="004F06D1">
      <w:pPr>
        <w:pStyle w:val="Equation"/>
      </w:pPr>
      <w:r>
        <w:tab/>
      </w:r>
      <w:r w:rsidRPr="00AF6669">
        <w:t>S</w:t>
      </w:r>
      <w:r w:rsidRPr="00AF6669" w:rsidDel="00642819">
        <w:t>EER</w:t>
      </w:r>
      <w:r w:rsidRPr="00AF6669" w:rsidDel="00642819">
        <w:rPr>
          <w:vertAlign w:val="subscript"/>
        </w:rPr>
        <w:t>b</w:t>
      </w:r>
      <w:r w:rsidRPr="00AF6669">
        <w:rPr>
          <w:vertAlign w:val="subscript"/>
        </w:rPr>
        <w:t>ase</w:t>
      </w:r>
      <w:r w:rsidRPr="00AF6669">
        <w:t xml:space="preserve"> </w:t>
      </w:r>
      <w:r>
        <w:tab/>
      </w:r>
      <w:r w:rsidRPr="00AF6669">
        <w:t>= the cooling SEER of the baseline unit</w:t>
      </w:r>
    </w:p>
    <w:p w:rsidR="004F06D1" w:rsidRPr="00AF6669" w:rsidRDefault="004F06D1" w:rsidP="004F06D1">
      <w:pPr>
        <w:pStyle w:val="Equation"/>
      </w:pPr>
      <w:r>
        <w:tab/>
      </w:r>
      <w:r w:rsidRPr="00AF6669" w:rsidDel="00642819">
        <w:t>EER</w:t>
      </w:r>
      <w:r w:rsidRPr="00AF6669">
        <w:rPr>
          <w:vertAlign w:val="subscript"/>
        </w:rPr>
        <w:t>base</w:t>
      </w:r>
      <w:r w:rsidRPr="00AF6669">
        <w:t xml:space="preserve"> </w:t>
      </w:r>
      <w:r>
        <w:tab/>
      </w:r>
      <w:r w:rsidRPr="00AF6669">
        <w:t xml:space="preserve">= the cooling EER of the baseline unit </w:t>
      </w:r>
    </w:p>
    <w:p w:rsidR="004F06D1" w:rsidRPr="00AF6669" w:rsidRDefault="004F06D1" w:rsidP="004F06D1">
      <w:pPr>
        <w:pStyle w:val="Equation"/>
      </w:pPr>
      <w:r>
        <w:tab/>
      </w:r>
      <w:r w:rsidRPr="00AF6669" w:rsidDel="00642819">
        <w:t>HSPF</w:t>
      </w:r>
      <w:r w:rsidRPr="00AF6669">
        <w:rPr>
          <w:vertAlign w:val="subscript"/>
        </w:rPr>
        <w:t>base</w:t>
      </w:r>
      <w:r w:rsidRPr="00AF6669">
        <w:t xml:space="preserve"> </w:t>
      </w:r>
      <w:r>
        <w:tab/>
      </w:r>
      <w:r w:rsidRPr="00AF6669">
        <w:t xml:space="preserve">= Heating Season Performance Factor of the Baseline Unit </w:t>
      </w:r>
    </w:p>
    <w:p w:rsidR="004F06D1" w:rsidRPr="00AF6669" w:rsidRDefault="004F06D1" w:rsidP="004F06D1">
      <w:pPr>
        <w:pStyle w:val="Equation"/>
      </w:pPr>
      <w:r>
        <w:tab/>
      </w:r>
      <w:r w:rsidRPr="00AF6669" w:rsidDel="00642819">
        <w:t>COP</w:t>
      </w:r>
      <w:r w:rsidRPr="00AF6669">
        <w:rPr>
          <w:vertAlign w:val="subscript"/>
        </w:rPr>
        <w:t>base</w:t>
      </w:r>
      <w:r w:rsidRPr="00AF6669">
        <w:t xml:space="preserve"> </w:t>
      </w:r>
      <w:r>
        <w:tab/>
      </w:r>
      <w:r w:rsidRPr="00AF6669">
        <w:t xml:space="preserve">= Coefficient of Performance of the </w:t>
      </w:r>
      <w:r w:rsidR="00C5390A" w:rsidRPr="00AF6669">
        <w:t>Baseline Unit</w:t>
      </w:r>
      <w:r w:rsidRPr="00AF6669">
        <w:t xml:space="preserve"> </w:t>
      </w:r>
    </w:p>
    <w:p w:rsidR="004F06D1" w:rsidRPr="00AF6669" w:rsidRDefault="004F06D1" w:rsidP="004F06D1">
      <w:pPr>
        <w:pStyle w:val="Equation"/>
      </w:pPr>
      <w:r>
        <w:tab/>
      </w:r>
      <w:r w:rsidRPr="00AF6669" w:rsidDel="00642819">
        <w:t>EER</w:t>
      </w:r>
      <w:r w:rsidRPr="00AF6669">
        <w:rPr>
          <w:vertAlign w:val="subscript"/>
        </w:rPr>
        <w:t>ee</w:t>
      </w:r>
      <w:r w:rsidRPr="00AF6669">
        <w:t xml:space="preserve"> </w:t>
      </w:r>
      <w:r>
        <w:tab/>
      </w:r>
      <w:r w:rsidRPr="00AF6669">
        <w:t xml:space="preserve">= the cooling EER of the </w:t>
      </w:r>
      <w:r w:rsidR="00C5390A">
        <w:t xml:space="preserve">new </w:t>
      </w:r>
      <w:r w:rsidR="00C5390A" w:rsidRPr="00C5390A">
        <w:t xml:space="preserve">ground source, groundwater source, </w:t>
      </w:r>
      <w:r w:rsidR="00C5390A">
        <w:t>or water source heat pump</w:t>
      </w:r>
      <w:r w:rsidRPr="00AF6669">
        <w:t xml:space="preserve">ground being installed </w:t>
      </w:r>
    </w:p>
    <w:p w:rsidR="004F06D1" w:rsidRPr="00AF6669" w:rsidRDefault="004F06D1" w:rsidP="004F06D1">
      <w:pPr>
        <w:pStyle w:val="Equation"/>
      </w:pPr>
      <w:r>
        <w:tab/>
      </w:r>
      <w:r w:rsidRPr="00AF6669" w:rsidDel="00642819">
        <w:t>COP</w:t>
      </w:r>
      <w:r w:rsidRPr="00AF6669">
        <w:rPr>
          <w:vertAlign w:val="subscript"/>
        </w:rPr>
        <w:t>ee</w:t>
      </w:r>
      <w:r w:rsidRPr="00AF6669">
        <w:t xml:space="preserve"> </w:t>
      </w:r>
      <w:r>
        <w:tab/>
      </w:r>
      <w:r w:rsidRPr="00AF6669">
        <w:t xml:space="preserve">= Coefficient of Performance of the new ground </w:t>
      </w:r>
      <w:r w:rsidR="00C5390A" w:rsidRPr="00C5390A">
        <w:t xml:space="preserve">source, groundwater source, </w:t>
      </w:r>
      <w:r w:rsidR="00C5390A">
        <w:t>or water source heat pump being installed</w:t>
      </w:r>
    </w:p>
    <w:p w:rsidR="004F06D1" w:rsidRPr="00AF6669" w:rsidRDefault="004F06D1" w:rsidP="004F06D1">
      <w:pPr>
        <w:pStyle w:val="Equation"/>
      </w:pPr>
      <w:r>
        <w:tab/>
      </w:r>
      <w:r w:rsidRPr="00AF6669" w:rsidDel="00642819">
        <w:t>EFLH</w:t>
      </w:r>
      <w:r w:rsidRPr="00AF6669">
        <w:rPr>
          <w:vertAlign w:val="subscript"/>
        </w:rPr>
        <w:t>cool</w:t>
      </w:r>
      <w:r w:rsidRPr="00AF6669">
        <w:t xml:space="preserve"> </w:t>
      </w:r>
      <w:r>
        <w:tab/>
      </w:r>
      <w:r w:rsidRPr="00AF6669">
        <w:t>= Cooling annual Equivalent Full Load Hours EFLH for Commercial HVAC for different occupancies</w:t>
      </w:r>
    </w:p>
    <w:p w:rsidR="004F06D1" w:rsidRPr="00AF6669" w:rsidRDefault="004F06D1" w:rsidP="004F06D1">
      <w:pPr>
        <w:pStyle w:val="Equation"/>
      </w:pPr>
      <w:r>
        <w:tab/>
      </w:r>
      <w:r w:rsidRPr="00AF6669" w:rsidDel="00642819">
        <w:t>EFLH</w:t>
      </w:r>
      <w:r w:rsidRPr="00AF6669">
        <w:rPr>
          <w:vertAlign w:val="subscript"/>
        </w:rPr>
        <w:t>heat</w:t>
      </w:r>
      <w:r w:rsidRPr="00AF6669">
        <w:t xml:space="preserve"> </w:t>
      </w:r>
      <w:r>
        <w:tab/>
      </w:r>
      <w:r w:rsidRPr="00AF6669">
        <w:t xml:space="preserve">= Heating annual Equivalent Full Load Hours EFLH for Commercial HVAC for different occupancies </w:t>
      </w:r>
    </w:p>
    <w:p w:rsidR="004F06D1" w:rsidRPr="004F06D1" w:rsidRDefault="004F06D1" w:rsidP="004F06D1">
      <w:pPr>
        <w:pStyle w:val="Equation"/>
        <w:rPr>
          <w:rFonts w:cs="Arial"/>
        </w:rPr>
      </w:pPr>
      <w:r w:rsidRPr="004F06D1">
        <w:rPr>
          <w:rFonts w:cs="Arial"/>
        </w:rPr>
        <w:tab/>
      </w:r>
      <w:r w:rsidRPr="004F06D1" w:rsidDel="00642819">
        <w:rPr>
          <w:rFonts w:cs="Arial"/>
        </w:rPr>
        <w:t>CF</w:t>
      </w:r>
      <w:r w:rsidRPr="004F06D1">
        <w:rPr>
          <w:rFonts w:cs="Arial"/>
          <w:vertAlign w:val="subscript"/>
        </w:rPr>
        <w:t>cool</w:t>
      </w:r>
      <w:r w:rsidRPr="004F06D1">
        <w:rPr>
          <w:rFonts w:cs="Arial"/>
        </w:rPr>
        <w:t xml:space="preserve"> </w:t>
      </w:r>
      <w:r w:rsidRPr="004F06D1">
        <w:rPr>
          <w:rFonts w:cs="Arial"/>
        </w:rPr>
        <w:tab/>
        <w:t>= Demand Coincidence Factor</w:t>
      </w:r>
      <w:r w:rsidR="000E4853">
        <w:rPr>
          <w:rFonts w:cs="Arial"/>
        </w:rPr>
        <w:t xml:space="preserve"> (See Section 1.4)</w:t>
      </w:r>
      <w:r w:rsidRPr="004F06D1">
        <w:rPr>
          <w:rFonts w:cs="Arial"/>
        </w:rPr>
        <w:t xml:space="preserve"> for Commercial HVAC </w:t>
      </w:r>
    </w:p>
    <w:p w:rsidR="004F06D1" w:rsidRPr="004F06D1" w:rsidRDefault="004F06D1" w:rsidP="004F06D1">
      <w:pPr>
        <w:pStyle w:val="Equation"/>
        <w:rPr>
          <w:rFonts w:cs="Arial"/>
        </w:rPr>
      </w:pPr>
      <w:r w:rsidRPr="004F06D1">
        <w:rPr>
          <w:rFonts w:cs="Arial"/>
        </w:rPr>
        <w:tab/>
      </w:r>
      <w:r w:rsidRPr="004F06D1" w:rsidDel="00642819">
        <w:rPr>
          <w:rFonts w:cs="Arial"/>
        </w:rPr>
        <w:t>CF</w:t>
      </w:r>
      <w:r w:rsidRPr="004F06D1">
        <w:rPr>
          <w:rFonts w:cs="Arial"/>
          <w:vertAlign w:val="subscript"/>
        </w:rPr>
        <w:t>pump</w:t>
      </w:r>
      <w:r w:rsidRPr="004F06D1">
        <w:rPr>
          <w:rFonts w:cs="Arial"/>
        </w:rPr>
        <w:t xml:space="preserve"> </w:t>
      </w:r>
      <w:r w:rsidRPr="004F06D1">
        <w:rPr>
          <w:rFonts w:cs="Arial"/>
        </w:rPr>
        <w:tab/>
        <w:t xml:space="preserve">= Demand Coincidence Factor </w:t>
      </w:r>
      <w:r w:rsidR="000E4853">
        <w:rPr>
          <w:rFonts w:cs="Arial"/>
        </w:rPr>
        <w:t xml:space="preserve">(See Section 1.4) </w:t>
      </w:r>
      <w:r w:rsidRPr="004F06D1">
        <w:rPr>
          <w:rFonts w:cs="Arial"/>
        </w:rPr>
        <w:t xml:space="preserve">for ground source loop pump </w:t>
      </w:r>
    </w:p>
    <w:p w:rsidR="004F06D1" w:rsidRPr="004F06D1" w:rsidRDefault="004F06D1" w:rsidP="004F06D1">
      <w:pPr>
        <w:pStyle w:val="Equation"/>
        <w:rPr>
          <w:rFonts w:cs="Arial"/>
          <w:noProof/>
        </w:rPr>
      </w:pPr>
      <w:r w:rsidRPr="004F06D1">
        <w:rPr>
          <w:rFonts w:cs="Arial"/>
          <w:noProof/>
        </w:rPr>
        <w:tab/>
        <w:t>HP</w:t>
      </w:r>
      <w:r w:rsidRPr="004F06D1">
        <w:rPr>
          <w:rFonts w:cs="Arial"/>
          <w:noProof/>
          <w:vertAlign w:val="subscript"/>
        </w:rPr>
        <w:t>basemotor</w:t>
      </w:r>
      <w:r w:rsidRPr="004F06D1">
        <w:rPr>
          <w:rFonts w:cs="Arial"/>
          <w:noProof/>
        </w:rPr>
        <w:t xml:space="preserve"> </w:t>
      </w:r>
      <w:r w:rsidRPr="004F06D1">
        <w:rPr>
          <w:rFonts w:cs="Arial"/>
          <w:noProof/>
        </w:rPr>
        <w:tab/>
        <w:t>= Horsepower of base case ground loop pump motor</w:t>
      </w:r>
    </w:p>
    <w:p w:rsidR="004F06D1" w:rsidRPr="004F06D1" w:rsidRDefault="004F06D1" w:rsidP="004F06D1">
      <w:pPr>
        <w:pStyle w:val="Equation"/>
        <w:rPr>
          <w:rFonts w:cs="Arial"/>
          <w:noProof/>
        </w:rPr>
      </w:pPr>
      <w:r w:rsidRPr="004F06D1">
        <w:rPr>
          <w:rFonts w:cs="Arial"/>
          <w:noProof/>
        </w:rPr>
        <w:tab/>
        <w:t>LF</w:t>
      </w:r>
      <w:r w:rsidRPr="004F06D1">
        <w:rPr>
          <w:rFonts w:cs="Arial"/>
          <w:noProof/>
          <w:vertAlign w:val="subscript"/>
        </w:rPr>
        <w:t>base</w:t>
      </w:r>
      <w:r w:rsidRPr="004F06D1">
        <w:rPr>
          <w:rFonts w:cs="Arial"/>
          <w:noProof/>
        </w:rPr>
        <w:t xml:space="preserve"> </w:t>
      </w:r>
      <w:r w:rsidRPr="004F06D1">
        <w:rPr>
          <w:rFonts w:cs="Arial"/>
          <w:noProof/>
        </w:rPr>
        <w:tab/>
        <w:t xml:space="preserve">= Load factor </w:t>
      </w:r>
      <w:r w:rsidRPr="004F06D1">
        <w:rPr>
          <w:rFonts w:cs="Arial"/>
        </w:rPr>
        <w:t xml:space="preserve">of the </w:t>
      </w:r>
      <w:r w:rsidRPr="004F06D1">
        <w:rPr>
          <w:rFonts w:cs="Arial"/>
          <w:noProof/>
        </w:rPr>
        <w:t xml:space="preserve">base case ground loop pump motor; </w:t>
      </w:r>
      <w:r w:rsidRPr="004F06D1">
        <w:rPr>
          <w:rFonts w:cs="Arial"/>
        </w:rPr>
        <w:t xml:space="preserve">Ratio of the peak running load to the nameplate rating of the pump </w:t>
      </w:r>
      <w:r w:rsidRPr="004F06D1">
        <w:rPr>
          <w:rFonts w:cs="Arial"/>
          <w:noProof/>
        </w:rPr>
        <w:t>motor</w:t>
      </w:r>
      <w:r w:rsidRPr="004F06D1">
        <w:rPr>
          <w:rFonts w:cs="Arial"/>
        </w:rPr>
        <w:t xml:space="preserve">. </w:t>
      </w:r>
    </w:p>
    <w:p w:rsidR="004F06D1" w:rsidRPr="004F06D1" w:rsidRDefault="004F06D1" w:rsidP="004F06D1">
      <w:pPr>
        <w:pStyle w:val="Equation"/>
        <w:rPr>
          <w:rFonts w:cs="Arial"/>
        </w:rPr>
      </w:pPr>
      <w:r w:rsidRPr="004F06D1">
        <w:rPr>
          <w:rFonts w:cs="Arial"/>
          <w:noProof/>
        </w:rPr>
        <w:tab/>
        <w:t>η</w:t>
      </w:r>
      <w:r w:rsidRPr="004F06D1">
        <w:rPr>
          <w:rFonts w:cs="Arial"/>
          <w:noProof/>
          <w:vertAlign w:val="subscript"/>
        </w:rPr>
        <w:t>basemotor</w:t>
      </w:r>
      <w:r w:rsidRPr="004F06D1">
        <w:rPr>
          <w:rFonts w:cs="Arial"/>
          <w:noProof/>
        </w:rPr>
        <w:t xml:space="preserve"> </w:t>
      </w:r>
      <w:r w:rsidRPr="004F06D1">
        <w:rPr>
          <w:rFonts w:cs="Arial"/>
          <w:noProof/>
        </w:rPr>
        <w:tab/>
        <w:t>= efficiency of base case ground loop pump motor</w:t>
      </w:r>
    </w:p>
    <w:p w:rsidR="004F06D1" w:rsidRPr="004F06D1" w:rsidRDefault="004F06D1" w:rsidP="004F06D1">
      <w:pPr>
        <w:pStyle w:val="Equation"/>
        <w:rPr>
          <w:rFonts w:cs="Arial"/>
        </w:rPr>
      </w:pPr>
      <w:r w:rsidRPr="004F06D1">
        <w:rPr>
          <w:rFonts w:cs="Arial"/>
          <w:noProof/>
        </w:rPr>
        <w:tab/>
        <w:t>η</w:t>
      </w:r>
      <w:r w:rsidRPr="004F06D1">
        <w:rPr>
          <w:rFonts w:cs="Arial"/>
          <w:noProof/>
          <w:vertAlign w:val="subscript"/>
        </w:rPr>
        <w:t>basepump</w:t>
      </w:r>
      <w:r w:rsidRPr="004F06D1">
        <w:rPr>
          <w:rFonts w:cs="Arial"/>
          <w:noProof/>
        </w:rPr>
        <w:t xml:space="preserve"> </w:t>
      </w:r>
      <w:r w:rsidRPr="004F06D1">
        <w:rPr>
          <w:rFonts w:cs="Arial"/>
          <w:noProof/>
        </w:rPr>
        <w:tab/>
        <w:t>= efficiency of base case ground loop pump</w:t>
      </w:r>
      <w:r w:rsidRPr="004F06D1">
        <w:rPr>
          <w:rFonts w:cs="Arial"/>
        </w:rPr>
        <w:t xml:space="preserve"> at design point</w:t>
      </w:r>
    </w:p>
    <w:p w:rsidR="004F06D1" w:rsidRPr="004F06D1" w:rsidRDefault="004F06D1" w:rsidP="004F06D1">
      <w:pPr>
        <w:pStyle w:val="Equation"/>
        <w:rPr>
          <w:rFonts w:cs="Arial"/>
          <w:noProof/>
        </w:rPr>
      </w:pPr>
      <w:r w:rsidRPr="004F06D1">
        <w:rPr>
          <w:rFonts w:cs="Arial"/>
          <w:noProof/>
        </w:rPr>
        <w:tab/>
        <w:t>HOURS</w:t>
      </w:r>
      <w:r w:rsidRPr="004F06D1">
        <w:rPr>
          <w:rFonts w:cs="Arial"/>
          <w:noProof/>
          <w:vertAlign w:val="subscript"/>
        </w:rPr>
        <w:t>basepump</w:t>
      </w:r>
      <w:r w:rsidRPr="004F06D1">
        <w:rPr>
          <w:rFonts w:cs="Arial"/>
          <w:noProof/>
        </w:rPr>
        <w:t xml:space="preserve"> </w:t>
      </w:r>
      <w:r w:rsidRPr="004F06D1">
        <w:rPr>
          <w:rFonts w:cs="Arial"/>
          <w:noProof/>
        </w:rPr>
        <w:tab/>
        <w:t>= Run hours of base case ground loop pump motor</w:t>
      </w:r>
    </w:p>
    <w:p w:rsidR="004F06D1" w:rsidRPr="004F06D1" w:rsidRDefault="004F06D1" w:rsidP="004F06D1">
      <w:pPr>
        <w:pStyle w:val="Equation"/>
        <w:rPr>
          <w:rFonts w:cs="Arial"/>
          <w:noProof/>
        </w:rPr>
      </w:pPr>
      <w:r w:rsidRPr="004F06D1">
        <w:rPr>
          <w:rFonts w:cs="Arial"/>
          <w:noProof/>
        </w:rPr>
        <w:tab/>
        <w:t>HP</w:t>
      </w:r>
      <w:r w:rsidRPr="004F06D1">
        <w:rPr>
          <w:rFonts w:cs="Arial"/>
          <w:noProof/>
          <w:vertAlign w:val="subscript"/>
        </w:rPr>
        <w:t>eemotor</w:t>
      </w:r>
      <w:r w:rsidRPr="004F06D1">
        <w:rPr>
          <w:rFonts w:cs="Arial"/>
          <w:noProof/>
        </w:rPr>
        <w:t xml:space="preserve"> </w:t>
      </w:r>
      <w:r w:rsidRPr="004F06D1">
        <w:rPr>
          <w:rFonts w:cs="Arial"/>
          <w:noProof/>
        </w:rPr>
        <w:tab/>
        <w:t>= Horsepower of retrofit case ground loop pump motor</w:t>
      </w:r>
    </w:p>
    <w:p w:rsidR="004F06D1" w:rsidRPr="004F06D1" w:rsidRDefault="004F06D1" w:rsidP="004F06D1">
      <w:pPr>
        <w:pStyle w:val="Equation"/>
        <w:rPr>
          <w:rFonts w:cs="Arial"/>
          <w:noProof/>
        </w:rPr>
      </w:pPr>
      <w:r w:rsidRPr="004F06D1">
        <w:rPr>
          <w:rFonts w:cs="Arial"/>
          <w:noProof/>
        </w:rPr>
        <w:tab/>
        <w:t>LF</w:t>
      </w:r>
      <w:r w:rsidRPr="004F06D1">
        <w:rPr>
          <w:rFonts w:cs="Arial"/>
          <w:noProof/>
          <w:vertAlign w:val="subscript"/>
        </w:rPr>
        <w:t>ee</w:t>
      </w:r>
      <w:r w:rsidRPr="004F06D1">
        <w:rPr>
          <w:rFonts w:cs="Arial"/>
          <w:noProof/>
        </w:rPr>
        <w:t xml:space="preserve"> </w:t>
      </w:r>
      <w:r w:rsidRPr="004F06D1">
        <w:rPr>
          <w:rFonts w:cs="Arial"/>
          <w:noProof/>
        </w:rPr>
        <w:tab/>
        <w:t xml:space="preserve">= Load factor </w:t>
      </w:r>
      <w:r w:rsidRPr="004F06D1">
        <w:rPr>
          <w:rFonts w:cs="Arial"/>
        </w:rPr>
        <w:t xml:space="preserve">of the </w:t>
      </w:r>
      <w:r w:rsidRPr="004F06D1">
        <w:rPr>
          <w:rFonts w:cs="Arial"/>
          <w:noProof/>
        </w:rPr>
        <w:t xml:space="preserve">retrofit case ground loop pump motor; </w:t>
      </w:r>
      <w:r w:rsidRPr="004F06D1">
        <w:rPr>
          <w:rFonts w:cs="Arial"/>
        </w:rPr>
        <w:t xml:space="preserve">Ratio of the peak running load to the nameplate rating of the pump </w:t>
      </w:r>
      <w:r w:rsidRPr="004F06D1">
        <w:rPr>
          <w:rFonts w:cs="Arial"/>
          <w:noProof/>
        </w:rPr>
        <w:t>motor</w:t>
      </w:r>
      <w:r w:rsidRPr="004F06D1">
        <w:rPr>
          <w:rFonts w:cs="Arial"/>
        </w:rPr>
        <w:t xml:space="preserve">. </w:t>
      </w:r>
    </w:p>
    <w:p w:rsidR="004F06D1" w:rsidRPr="004F06D1" w:rsidRDefault="004F06D1" w:rsidP="004F06D1">
      <w:pPr>
        <w:pStyle w:val="Equation"/>
        <w:rPr>
          <w:rFonts w:cs="Arial"/>
        </w:rPr>
      </w:pPr>
      <w:r w:rsidRPr="004F06D1">
        <w:rPr>
          <w:rFonts w:cs="Arial"/>
          <w:noProof/>
        </w:rPr>
        <w:tab/>
        <w:t>η</w:t>
      </w:r>
      <w:r w:rsidRPr="004F06D1">
        <w:rPr>
          <w:rFonts w:cs="Arial"/>
          <w:noProof/>
          <w:vertAlign w:val="subscript"/>
        </w:rPr>
        <w:t>eemotor</w:t>
      </w:r>
      <w:r w:rsidRPr="004F06D1">
        <w:rPr>
          <w:rFonts w:cs="Arial"/>
          <w:noProof/>
        </w:rPr>
        <w:t xml:space="preserve"> </w:t>
      </w:r>
      <w:r w:rsidRPr="004F06D1">
        <w:rPr>
          <w:rFonts w:cs="Arial"/>
          <w:noProof/>
        </w:rPr>
        <w:tab/>
        <w:t>= efficiency of retrofit case ground loop pump motor</w:t>
      </w:r>
    </w:p>
    <w:p w:rsidR="004F06D1" w:rsidRPr="004F06D1" w:rsidRDefault="004F06D1" w:rsidP="004F06D1">
      <w:pPr>
        <w:pStyle w:val="Equation"/>
        <w:rPr>
          <w:rFonts w:cs="Arial"/>
        </w:rPr>
      </w:pPr>
      <w:r w:rsidRPr="004F06D1">
        <w:rPr>
          <w:rFonts w:cs="Arial"/>
          <w:noProof/>
        </w:rPr>
        <w:tab/>
        <w:t>η</w:t>
      </w:r>
      <w:r w:rsidRPr="004F06D1">
        <w:rPr>
          <w:rFonts w:cs="Arial"/>
          <w:noProof/>
          <w:vertAlign w:val="subscript"/>
        </w:rPr>
        <w:t>eepump</w:t>
      </w:r>
      <w:r w:rsidRPr="004F06D1">
        <w:rPr>
          <w:rFonts w:cs="Arial"/>
          <w:noProof/>
        </w:rPr>
        <w:t xml:space="preserve"> </w:t>
      </w:r>
      <w:r w:rsidRPr="004F06D1">
        <w:rPr>
          <w:rFonts w:cs="Arial"/>
          <w:noProof/>
        </w:rPr>
        <w:tab/>
        <w:t>= efficiency of retrofit case ground loop pump</w:t>
      </w:r>
      <w:r w:rsidRPr="004F06D1">
        <w:rPr>
          <w:rFonts w:cs="Arial"/>
        </w:rPr>
        <w:t xml:space="preserve"> at design point</w:t>
      </w:r>
    </w:p>
    <w:p w:rsidR="004F06D1" w:rsidRPr="004F06D1" w:rsidRDefault="004F06D1" w:rsidP="004F06D1">
      <w:pPr>
        <w:pStyle w:val="Equation"/>
        <w:rPr>
          <w:rFonts w:cs="Arial"/>
          <w:noProof/>
        </w:rPr>
      </w:pPr>
      <w:r w:rsidRPr="004F06D1">
        <w:rPr>
          <w:rFonts w:cs="Arial"/>
          <w:noProof/>
        </w:rPr>
        <w:tab/>
        <w:t>HOURS</w:t>
      </w:r>
      <w:r w:rsidRPr="004F06D1">
        <w:rPr>
          <w:rFonts w:cs="Arial"/>
          <w:noProof/>
          <w:vertAlign w:val="subscript"/>
        </w:rPr>
        <w:t>eepump</w:t>
      </w:r>
      <w:r w:rsidRPr="004F06D1">
        <w:rPr>
          <w:rFonts w:cs="Arial"/>
          <w:noProof/>
        </w:rPr>
        <w:t xml:space="preserve"> </w:t>
      </w:r>
      <w:r w:rsidRPr="004F06D1">
        <w:rPr>
          <w:rFonts w:cs="Arial"/>
          <w:noProof/>
        </w:rPr>
        <w:tab/>
        <w:t xml:space="preserve">= Run hours of retrofit case ground loop pump motor </w:t>
      </w:r>
    </w:p>
    <w:p w:rsidR="004F06D1" w:rsidRPr="004F06D1" w:rsidRDefault="004F06D1" w:rsidP="004F06D1">
      <w:pPr>
        <w:pStyle w:val="Equation"/>
        <w:rPr>
          <w:rFonts w:cs="Arial"/>
          <w:noProof/>
        </w:rPr>
      </w:pPr>
      <w:r w:rsidRPr="004F06D1">
        <w:rPr>
          <w:rFonts w:cs="Arial"/>
          <w:noProof/>
        </w:rPr>
        <w:tab/>
        <w:t xml:space="preserve">3.412 </w:t>
      </w:r>
      <w:r w:rsidRPr="004F06D1">
        <w:rPr>
          <w:rFonts w:cs="Arial"/>
          <w:noProof/>
        </w:rPr>
        <w:tab/>
        <w:t>= kBtu per kWh</w:t>
      </w:r>
    </w:p>
    <w:p w:rsidR="004F06D1" w:rsidRPr="004F06D1" w:rsidRDefault="004F06D1" w:rsidP="004F06D1">
      <w:pPr>
        <w:pStyle w:val="Equation"/>
        <w:rPr>
          <w:rFonts w:cs="Arial"/>
          <w:noProof/>
        </w:rPr>
      </w:pPr>
      <w:r w:rsidRPr="004F06D1">
        <w:rPr>
          <w:rFonts w:cs="Arial"/>
          <w:noProof/>
        </w:rPr>
        <w:tab/>
        <w:t xml:space="preserve">0.746 </w:t>
      </w:r>
      <w:r w:rsidRPr="004F06D1">
        <w:rPr>
          <w:rFonts w:cs="Arial"/>
          <w:noProof/>
        </w:rPr>
        <w:tab/>
        <w:t xml:space="preserve">= </w:t>
      </w:r>
      <w:r w:rsidRPr="004F06D1">
        <w:rPr>
          <w:rFonts w:cs="Arial"/>
        </w:rPr>
        <w:t>conversion factor from horsepower to kW (kW/hp)</w:t>
      </w:r>
    </w:p>
    <w:p w:rsidR="004F06D1" w:rsidRDefault="004F06D1" w:rsidP="00DE12EC">
      <w:pPr>
        <w:pStyle w:val="Caption"/>
      </w:pPr>
      <w:bookmarkStart w:id="979" w:name="_Toc310875614"/>
      <w:bookmarkStart w:id="980" w:name="_Ref288812312"/>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62</w:t>
      </w:r>
      <w:r w:rsidR="00274AB1">
        <w:rPr>
          <w:noProof/>
        </w:rPr>
        <w:fldChar w:fldCharType="end"/>
      </w:r>
      <w:r>
        <w:t>: Geothermal</w:t>
      </w:r>
      <w:r w:rsidRPr="00D0553F">
        <w:t xml:space="preserve"> </w:t>
      </w:r>
      <w:r>
        <w:t>Heat Pump</w:t>
      </w:r>
      <w:r w:rsidRPr="00D0553F">
        <w:t>– Values and References</w:t>
      </w:r>
      <w:bookmarkEnd w:id="979"/>
    </w:p>
    <w:tbl>
      <w:tblPr>
        <w:tblW w:w="47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7"/>
        <w:gridCol w:w="957"/>
        <w:gridCol w:w="3870"/>
        <w:gridCol w:w="2070"/>
      </w:tblGrid>
      <w:tr w:rsidR="004F06D1" w:rsidRPr="00256BCB" w:rsidTr="00F1106A">
        <w:trPr>
          <w:cantSplit/>
          <w:trHeight w:val="20"/>
          <w:tblHeader/>
          <w:jc w:val="center"/>
        </w:trPr>
        <w:tc>
          <w:tcPr>
            <w:tcW w:w="892" w:type="pct"/>
            <w:shd w:val="clear" w:color="auto" w:fill="BFBFBF"/>
          </w:tcPr>
          <w:p w:rsidR="004F06D1" w:rsidRPr="001D6512" w:rsidRDefault="004F06D1" w:rsidP="00DE12EC">
            <w:pPr>
              <w:pStyle w:val="TableCell"/>
              <w:spacing w:before="40" w:after="40" w:line="264" w:lineRule="auto"/>
              <w:rPr>
                <w:b/>
                <w:szCs w:val="18"/>
              </w:rPr>
            </w:pPr>
            <w:r w:rsidRPr="001D6512">
              <w:rPr>
                <w:b/>
                <w:szCs w:val="18"/>
              </w:rPr>
              <w:t>Component</w:t>
            </w:r>
          </w:p>
        </w:tc>
        <w:tc>
          <w:tcPr>
            <w:tcW w:w="570" w:type="pct"/>
            <w:shd w:val="clear" w:color="auto" w:fill="BFBFBF"/>
          </w:tcPr>
          <w:p w:rsidR="004F06D1" w:rsidRPr="001D6512" w:rsidRDefault="004F06D1" w:rsidP="00DE12EC">
            <w:pPr>
              <w:pStyle w:val="TableCell"/>
              <w:spacing w:before="40" w:after="40" w:line="264" w:lineRule="auto"/>
              <w:rPr>
                <w:b/>
                <w:szCs w:val="18"/>
              </w:rPr>
            </w:pPr>
            <w:r w:rsidRPr="001D6512">
              <w:rPr>
                <w:b/>
                <w:szCs w:val="18"/>
              </w:rPr>
              <w:t>Type</w:t>
            </w:r>
          </w:p>
        </w:tc>
        <w:tc>
          <w:tcPr>
            <w:tcW w:w="2305" w:type="pct"/>
            <w:shd w:val="clear" w:color="auto" w:fill="BFBFBF"/>
          </w:tcPr>
          <w:p w:rsidR="004F06D1" w:rsidRPr="001D6512" w:rsidRDefault="004F06D1" w:rsidP="00DE12EC">
            <w:pPr>
              <w:pStyle w:val="TableCell"/>
              <w:spacing w:before="40" w:after="40" w:line="264" w:lineRule="auto"/>
              <w:rPr>
                <w:b/>
                <w:szCs w:val="18"/>
              </w:rPr>
            </w:pPr>
            <w:r w:rsidRPr="001D6512">
              <w:rPr>
                <w:b/>
                <w:szCs w:val="18"/>
              </w:rPr>
              <w:t>Values</w:t>
            </w:r>
          </w:p>
        </w:tc>
        <w:tc>
          <w:tcPr>
            <w:tcW w:w="1233" w:type="pct"/>
            <w:shd w:val="clear" w:color="auto" w:fill="BFBFBF"/>
          </w:tcPr>
          <w:p w:rsidR="004F06D1" w:rsidRPr="001D6512" w:rsidRDefault="004F06D1" w:rsidP="00DE12EC">
            <w:pPr>
              <w:pStyle w:val="TableCell"/>
              <w:spacing w:before="40" w:after="40" w:line="264" w:lineRule="auto"/>
              <w:rPr>
                <w:b/>
                <w:szCs w:val="18"/>
              </w:rPr>
            </w:pPr>
            <w:r w:rsidRPr="001D6512">
              <w:rPr>
                <w:b/>
                <w:szCs w:val="18"/>
              </w:rPr>
              <w:t>Sources</w:t>
            </w:r>
          </w:p>
        </w:tc>
      </w:tr>
      <w:tr w:rsidR="004F06D1" w:rsidRPr="00256BCB" w:rsidTr="00F1106A">
        <w:trPr>
          <w:cantSplit/>
          <w:trHeight w:val="20"/>
          <w:jc w:val="center"/>
        </w:trPr>
        <w:tc>
          <w:tcPr>
            <w:tcW w:w="892" w:type="pct"/>
          </w:tcPr>
          <w:p w:rsidR="004F06D1" w:rsidRPr="001D6512" w:rsidRDefault="004F06D1" w:rsidP="00DE12EC">
            <w:pPr>
              <w:pStyle w:val="TableCell"/>
              <w:spacing w:before="40" w:after="40" w:line="264" w:lineRule="auto"/>
              <w:rPr>
                <w:szCs w:val="18"/>
              </w:rPr>
            </w:pPr>
            <w:r w:rsidRPr="001D6512">
              <w:rPr>
                <w:rFonts w:cs="Arial"/>
                <w:sz w:val="20"/>
              </w:rPr>
              <w:t>BtuH</w:t>
            </w:r>
            <w:r w:rsidRPr="001D6512">
              <w:rPr>
                <w:szCs w:val="18"/>
                <w:vertAlign w:val="subscript"/>
              </w:rPr>
              <w:t>cool</w:t>
            </w:r>
          </w:p>
        </w:tc>
        <w:tc>
          <w:tcPr>
            <w:tcW w:w="570" w:type="pct"/>
          </w:tcPr>
          <w:p w:rsidR="004F06D1" w:rsidRPr="001D6512" w:rsidRDefault="004F06D1" w:rsidP="00DE12EC">
            <w:pPr>
              <w:pStyle w:val="TableCell"/>
              <w:spacing w:before="40" w:after="40" w:line="264" w:lineRule="auto"/>
              <w:rPr>
                <w:szCs w:val="18"/>
              </w:rPr>
            </w:pPr>
            <w:r w:rsidRPr="001D6512">
              <w:rPr>
                <w:szCs w:val="18"/>
              </w:rPr>
              <w:t>Variable</w:t>
            </w:r>
          </w:p>
        </w:tc>
        <w:tc>
          <w:tcPr>
            <w:tcW w:w="2305" w:type="pct"/>
          </w:tcPr>
          <w:p w:rsidR="004F06D1" w:rsidRPr="001D6512" w:rsidRDefault="004F06D1" w:rsidP="00DE12EC">
            <w:pPr>
              <w:pStyle w:val="TableCell"/>
              <w:spacing w:before="40" w:after="40" w:line="264" w:lineRule="auto"/>
              <w:rPr>
                <w:szCs w:val="18"/>
              </w:rPr>
            </w:pPr>
            <w:r w:rsidRPr="001D6512">
              <w:rPr>
                <w:rFonts w:cs="Arial"/>
                <w:szCs w:val="18"/>
              </w:rPr>
              <w:t>Nameplate data (ARI or AHAM)</w:t>
            </w:r>
          </w:p>
        </w:tc>
        <w:tc>
          <w:tcPr>
            <w:tcW w:w="1233" w:type="pct"/>
          </w:tcPr>
          <w:p w:rsidR="004F06D1" w:rsidRPr="00256BCB" w:rsidRDefault="004F06D1" w:rsidP="00DE12EC">
            <w:pPr>
              <w:keepNext/>
              <w:spacing w:before="40" w:after="40" w:line="264" w:lineRule="auto"/>
              <w:rPr>
                <w:sz w:val="18"/>
                <w:szCs w:val="18"/>
              </w:rPr>
            </w:pPr>
            <w:r w:rsidRPr="00256BCB">
              <w:rPr>
                <w:rFonts w:cs="Arial"/>
                <w:sz w:val="18"/>
                <w:szCs w:val="18"/>
              </w:rPr>
              <w:t>EDC Data Gathering</w:t>
            </w:r>
          </w:p>
        </w:tc>
      </w:tr>
      <w:tr w:rsidR="004F06D1" w:rsidRPr="00256BCB" w:rsidTr="00F1106A">
        <w:trPr>
          <w:cantSplit/>
          <w:trHeight w:val="20"/>
          <w:jc w:val="center"/>
        </w:trPr>
        <w:tc>
          <w:tcPr>
            <w:tcW w:w="892" w:type="pct"/>
          </w:tcPr>
          <w:p w:rsidR="004F06D1" w:rsidRPr="001D6512" w:rsidRDefault="004F06D1" w:rsidP="00DE12EC">
            <w:pPr>
              <w:pStyle w:val="TableCell"/>
              <w:spacing w:before="40" w:after="40" w:line="264" w:lineRule="auto"/>
              <w:rPr>
                <w:szCs w:val="18"/>
              </w:rPr>
            </w:pPr>
            <w:r w:rsidRPr="001D6512">
              <w:rPr>
                <w:rFonts w:cs="Arial"/>
                <w:sz w:val="20"/>
              </w:rPr>
              <w:t>BtuH</w:t>
            </w:r>
            <w:r w:rsidRPr="001D6512">
              <w:rPr>
                <w:i/>
                <w:noProof/>
                <w:vertAlign w:val="subscript"/>
              </w:rPr>
              <w:t>heat</w:t>
            </w:r>
          </w:p>
        </w:tc>
        <w:tc>
          <w:tcPr>
            <w:tcW w:w="570" w:type="pct"/>
          </w:tcPr>
          <w:p w:rsidR="004F06D1" w:rsidRPr="001D6512" w:rsidRDefault="004F06D1" w:rsidP="00DE12EC">
            <w:pPr>
              <w:pStyle w:val="TableCell"/>
              <w:spacing w:before="40" w:after="40" w:line="264" w:lineRule="auto"/>
              <w:rPr>
                <w:szCs w:val="18"/>
              </w:rPr>
            </w:pPr>
            <w:r w:rsidRPr="001D6512">
              <w:rPr>
                <w:szCs w:val="18"/>
              </w:rPr>
              <w:t>Variable</w:t>
            </w:r>
          </w:p>
        </w:tc>
        <w:tc>
          <w:tcPr>
            <w:tcW w:w="2305" w:type="pct"/>
          </w:tcPr>
          <w:p w:rsidR="004F06D1" w:rsidRPr="001D6512" w:rsidRDefault="004F06D1" w:rsidP="00DE12EC">
            <w:pPr>
              <w:pStyle w:val="TableCell"/>
              <w:spacing w:before="40" w:after="40" w:line="264" w:lineRule="auto"/>
              <w:rPr>
                <w:rFonts w:cs="Arial"/>
                <w:szCs w:val="18"/>
              </w:rPr>
            </w:pPr>
            <w:r w:rsidRPr="001D6512">
              <w:rPr>
                <w:rFonts w:cs="Arial"/>
                <w:szCs w:val="18"/>
              </w:rPr>
              <w:t>Nameplate data (ARI or AHAM)</w:t>
            </w:r>
          </w:p>
          <w:p w:rsidR="004F06D1" w:rsidRPr="001D6512" w:rsidRDefault="004F06D1" w:rsidP="00DE12EC">
            <w:pPr>
              <w:pStyle w:val="TableCell"/>
              <w:spacing w:before="40" w:after="40" w:line="264" w:lineRule="auto"/>
              <w:rPr>
                <w:szCs w:val="18"/>
              </w:rPr>
            </w:pPr>
            <w:r w:rsidRPr="001D6512">
              <w:t xml:space="preserve">Use </w:t>
            </w:r>
            <w:r w:rsidR="00D74AE2" w:rsidRPr="00D74AE2">
              <w:t xml:space="preserve"> </w:t>
            </w:r>
            <w:r w:rsidR="00AA1CF1" w:rsidRPr="001D6512">
              <w:rPr>
                <w:rFonts w:cs="Arial"/>
                <w:sz w:val="20"/>
              </w:rPr>
              <w:t>BtuH</w:t>
            </w:r>
            <w:r w:rsidR="00AA1CF1" w:rsidRPr="001D6512">
              <w:rPr>
                <w:szCs w:val="18"/>
                <w:vertAlign w:val="subscript"/>
              </w:rPr>
              <w:t>cool</w:t>
            </w:r>
            <w:r w:rsidRPr="001D6512">
              <w:t xml:space="preserve"> if the heating capacity is not known</w:t>
            </w:r>
          </w:p>
        </w:tc>
        <w:tc>
          <w:tcPr>
            <w:tcW w:w="1233" w:type="pct"/>
          </w:tcPr>
          <w:p w:rsidR="004F06D1" w:rsidRPr="00256BCB" w:rsidRDefault="004F06D1" w:rsidP="00DE12EC">
            <w:pPr>
              <w:keepNext/>
              <w:spacing w:before="40" w:after="40" w:line="264" w:lineRule="auto"/>
              <w:rPr>
                <w:sz w:val="18"/>
                <w:szCs w:val="18"/>
              </w:rPr>
            </w:pPr>
            <w:r w:rsidRPr="00256BCB">
              <w:rPr>
                <w:rFonts w:cs="Arial"/>
                <w:sz w:val="18"/>
                <w:szCs w:val="18"/>
              </w:rPr>
              <w:t>EDC Data Gathering</w:t>
            </w:r>
          </w:p>
        </w:tc>
      </w:tr>
      <w:tr w:rsidR="004F06D1" w:rsidRPr="00256BCB" w:rsidTr="00F1106A">
        <w:trPr>
          <w:cantSplit/>
          <w:trHeight w:val="20"/>
          <w:jc w:val="center"/>
        </w:trPr>
        <w:tc>
          <w:tcPr>
            <w:tcW w:w="892" w:type="pct"/>
            <w:vMerge w:val="restart"/>
          </w:tcPr>
          <w:p w:rsidR="004F06D1" w:rsidRPr="001D6512" w:rsidRDefault="004F06D1" w:rsidP="00DE12EC">
            <w:pPr>
              <w:pStyle w:val="TableCell"/>
              <w:spacing w:before="40" w:after="40" w:line="264" w:lineRule="auto"/>
              <w:rPr>
                <w:szCs w:val="18"/>
                <w:highlight w:val="yellow"/>
              </w:rPr>
            </w:pPr>
            <w:r w:rsidRPr="001D6512">
              <w:rPr>
                <w:szCs w:val="18"/>
              </w:rPr>
              <w:t>S</w:t>
            </w:r>
            <w:r w:rsidRPr="001D6512" w:rsidDel="00642819">
              <w:rPr>
                <w:szCs w:val="18"/>
              </w:rPr>
              <w:t>EER</w:t>
            </w:r>
            <w:r w:rsidRPr="001D6512" w:rsidDel="00642819">
              <w:rPr>
                <w:szCs w:val="18"/>
                <w:vertAlign w:val="subscript"/>
              </w:rPr>
              <w:t>b</w:t>
            </w:r>
            <w:r w:rsidRPr="001D6512">
              <w:rPr>
                <w:szCs w:val="18"/>
                <w:vertAlign w:val="subscript"/>
              </w:rPr>
              <w:t>ase</w:t>
            </w:r>
          </w:p>
        </w:tc>
        <w:tc>
          <w:tcPr>
            <w:tcW w:w="570" w:type="pct"/>
            <w:vMerge w:val="restart"/>
          </w:tcPr>
          <w:p w:rsidR="004F06D1" w:rsidRPr="001D6512" w:rsidRDefault="004F06D1" w:rsidP="00DE12EC">
            <w:pPr>
              <w:pStyle w:val="TableCell"/>
              <w:spacing w:before="40" w:after="40" w:line="264" w:lineRule="auto"/>
              <w:rPr>
                <w:szCs w:val="18"/>
                <w:highlight w:val="yellow"/>
              </w:rPr>
            </w:pPr>
            <w:r w:rsidRPr="001D6512">
              <w:rPr>
                <w:szCs w:val="18"/>
              </w:rPr>
              <w:t>Fixed</w:t>
            </w:r>
          </w:p>
        </w:tc>
        <w:tc>
          <w:tcPr>
            <w:tcW w:w="2305" w:type="pct"/>
          </w:tcPr>
          <w:p w:rsidR="004F06D1" w:rsidRPr="001D6512" w:rsidRDefault="004F06D1" w:rsidP="00DE12EC">
            <w:pPr>
              <w:pStyle w:val="TableCell"/>
              <w:spacing w:before="40" w:after="40" w:line="264" w:lineRule="auto"/>
              <w:rPr>
                <w:szCs w:val="18"/>
                <w:highlight w:val="yellow"/>
              </w:rPr>
            </w:pPr>
            <w:r w:rsidRPr="001D6512">
              <w:rPr>
                <w:rFonts w:cs="Arial"/>
              </w:rPr>
              <w:t>Early Replacement: Nameplate data</w:t>
            </w:r>
          </w:p>
        </w:tc>
        <w:tc>
          <w:tcPr>
            <w:tcW w:w="1233" w:type="pct"/>
          </w:tcPr>
          <w:p w:rsidR="004F06D1" w:rsidRPr="001D6512" w:rsidRDefault="004F06D1" w:rsidP="00DE12EC">
            <w:pPr>
              <w:pStyle w:val="TableCell"/>
              <w:spacing w:before="40" w:after="40" w:line="264" w:lineRule="auto"/>
              <w:rPr>
                <w:szCs w:val="18"/>
              </w:rPr>
            </w:pPr>
            <w:r w:rsidRPr="001D6512">
              <w:rPr>
                <w:rFonts w:cs="Arial"/>
              </w:rPr>
              <w:t>EDC Data Gathering</w:t>
            </w:r>
          </w:p>
        </w:tc>
      </w:tr>
      <w:tr w:rsidR="004F06D1" w:rsidRPr="00256BCB" w:rsidTr="00F1106A">
        <w:trPr>
          <w:cantSplit/>
          <w:trHeight w:val="20"/>
          <w:jc w:val="center"/>
        </w:trPr>
        <w:tc>
          <w:tcPr>
            <w:tcW w:w="892" w:type="pct"/>
            <w:vMerge/>
          </w:tcPr>
          <w:p w:rsidR="004F06D1" w:rsidRPr="001D6512" w:rsidRDefault="004F06D1" w:rsidP="00DE12EC">
            <w:pPr>
              <w:pStyle w:val="TableCell"/>
              <w:spacing w:before="40" w:after="40" w:line="264" w:lineRule="auto"/>
              <w:rPr>
                <w:szCs w:val="18"/>
              </w:rPr>
            </w:pPr>
          </w:p>
        </w:tc>
        <w:tc>
          <w:tcPr>
            <w:tcW w:w="570" w:type="pct"/>
            <w:vMerge/>
          </w:tcPr>
          <w:p w:rsidR="004F06D1" w:rsidRPr="001D6512" w:rsidRDefault="004F06D1" w:rsidP="00DE12EC">
            <w:pPr>
              <w:pStyle w:val="TableCell"/>
              <w:spacing w:before="40" w:after="40" w:line="264" w:lineRule="auto"/>
              <w:rPr>
                <w:szCs w:val="18"/>
              </w:rPr>
            </w:pPr>
          </w:p>
        </w:tc>
        <w:tc>
          <w:tcPr>
            <w:tcW w:w="2305" w:type="pct"/>
          </w:tcPr>
          <w:p w:rsidR="004F06D1" w:rsidRPr="00DE12EC" w:rsidRDefault="004F06D1" w:rsidP="00DE12EC">
            <w:pPr>
              <w:pStyle w:val="Caption"/>
              <w:spacing w:before="40" w:after="40" w:line="264" w:lineRule="auto"/>
              <w:jc w:val="left"/>
              <w:rPr>
                <w:rFonts w:ascii="Arial" w:hAnsi="Arial" w:cs="Arial"/>
                <w:b w:val="0"/>
                <w:sz w:val="18"/>
                <w:szCs w:val="18"/>
              </w:rPr>
            </w:pPr>
            <w:r w:rsidRPr="00DE12EC">
              <w:rPr>
                <w:rFonts w:ascii="Arial" w:hAnsi="Arial" w:cs="Arial"/>
                <w:b w:val="0"/>
                <w:sz w:val="18"/>
                <w:szCs w:val="18"/>
              </w:rPr>
              <w:t xml:space="preserve">New Construction or Replace on Burnout: Default values from </w:t>
            </w:r>
            <w:r w:rsidR="00274AB1">
              <w:fldChar w:fldCharType="begin"/>
            </w:r>
            <w:r w:rsidR="00274AB1">
              <w:instrText xml:space="preserve"> REF _Ref310874949 \h  \* MERGEFORMAT </w:instrText>
            </w:r>
            <w:r w:rsidR="00274AB1">
              <w:fldChar w:fldCharType="separate"/>
            </w:r>
            <w:r w:rsidR="00C0292F" w:rsidRPr="00C0292F">
              <w:rPr>
                <w:rFonts w:ascii="Arial" w:hAnsi="Arial" w:cs="Arial"/>
                <w:b w:val="0"/>
                <w:sz w:val="18"/>
                <w:szCs w:val="18"/>
              </w:rPr>
              <w:t xml:space="preserve">Table </w:t>
            </w:r>
            <w:r w:rsidR="00C0292F" w:rsidRPr="00C0292F">
              <w:rPr>
                <w:rFonts w:ascii="Arial" w:hAnsi="Arial" w:cs="Arial"/>
                <w:b w:val="0"/>
                <w:noProof/>
                <w:sz w:val="18"/>
                <w:szCs w:val="18"/>
              </w:rPr>
              <w:t>3</w:t>
            </w:r>
            <w:r w:rsidR="00C0292F" w:rsidRPr="00C0292F">
              <w:rPr>
                <w:rFonts w:ascii="Arial" w:hAnsi="Arial" w:cs="Arial"/>
                <w:b w:val="0"/>
                <w:noProof/>
                <w:sz w:val="18"/>
                <w:szCs w:val="18"/>
              </w:rPr>
              <w:noBreakHyphen/>
              <w:t>65</w:t>
            </w:r>
            <w:r w:rsidR="00274AB1">
              <w:fldChar w:fldCharType="end"/>
            </w:r>
          </w:p>
        </w:tc>
        <w:tc>
          <w:tcPr>
            <w:tcW w:w="1233" w:type="pct"/>
          </w:tcPr>
          <w:p w:rsidR="00DE12EC" w:rsidRPr="00DE12EC" w:rsidRDefault="004F06D1" w:rsidP="00DE12EC">
            <w:pPr>
              <w:pStyle w:val="Caption"/>
              <w:spacing w:before="40" w:after="40" w:line="264" w:lineRule="auto"/>
              <w:jc w:val="left"/>
              <w:rPr>
                <w:rFonts w:ascii="Arial" w:hAnsi="Arial" w:cs="Arial"/>
                <w:b w:val="0"/>
                <w:sz w:val="18"/>
                <w:szCs w:val="18"/>
              </w:rPr>
            </w:pPr>
            <w:r w:rsidRPr="00DE12EC">
              <w:rPr>
                <w:rFonts w:ascii="Arial" w:hAnsi="Arial" w:cs="Arial"/>
                <w:b w:val="0"/>
                <w:sz w:val="18"/>
                <w:szCs w:val="18"/>
              </w:rPr>
              <w:t xml:space="preserve">See </w:t>
            </w:r>
            <w:r w:rsidR="00274AB1">
              <w:fldChar w:fldCharType="begin"/>
            </w:r>
            <w:r w:rsidR="00274AB1">
              <w:instrText xml:space="preserve"> REF _Ref310874949 \h  \* MERGEFORMAT </w:instrText>
            </w:r>
            <w:r w:rsidR="00274AB1">
              <w:fldChar w:fldCharType="separate"/>
            </w:r>
            <w:r w:rsidR="00C0292F" w:rsidRPr="00C0292F">
              <w:rPr>
                <w:rFonts w:ascii="Arial" w:hAnsi="Arial" w:cs="Arial"/>
                <w:b w:val="0"/>
                <w:sz w:val="18"/>
                <w:szCs w:val="18"/>
              </w:rPr>
              <w:t xml:space="preserve">Table </w:t>
            </w:r>
            <w:r w:rsidR="00C0292F" w:rsidRPr="00C0292F">
              <w:rPr>
                <w:rFonts w:ascii="Arial" w:hAnsi="Arial" w:cs="Arial"/>
                <w:b w:val="0"/>
                <w:noProof/>
                <w:sz w:val="18"/>
                <w:szCs w:val="18"/>
              </w:rPr>
              <w:t>3</w:t>
            </w:r>
            <w:r w:rsidR="00C0292F" w:rsidRPr="00C0292F">
              <w:rPr>
                <w:rFonts w:ascii="Arial" w:hAnsi="Arial" w:cs="Arial"/>
                <w:b w:val="0"/>
                <w:noProof/>
                <w:sz w:val="18"/>
                <w:szCs w:val="18"/>
              </w:rPr>
              <w:noBreakHyphen/>
              <w:t>65</w:t>
            </w:r>
            <w:r w:rsidR="00274AB1">
              <w:fldChar w:fldCharType="end"/>
            </w:r>
          </w:p>
          <w:p w:rsidR="004F06D1" w:rsidRPr="00DE12EC" w:rsidRDefault="004F06D1" w:rsidP="00DE12EC">
            <w:pPr>
              <w:pStyle w:val="Caption"/>
              <w:spacing w:before="40" w:after="40" w:line="264" w:lineRule="auto"/>
              <w:jc w:val="left"/>
              <w:rPr>
                <w:rFonts w:ascii="Arial" w:hAnsi="Arial" w:cs="Arial"/>
                <w:b w:val="0"/>
                <w:sz w:val="18"/>
                <w:szCs w:val="18"/>
              </w:rPr>
            </w:pPr>
          </w:p>
        </w:tc>
      </w:tr>
      <w:tr w:rsidR="004F06D1" w:rsidRPr="00256BCB" w:rsidTr="00F1106A">
        <w:trPr>
          <w:cantSplit/>
          <w:trHeight w:val="20"/>
          <w:jc w:val="center"/>
        </w:trPr>
        <w:tc>
          <w:tcPr>
            <w:tcW w:w="892" w:type="pct"/>
            <w:vMerge w:val="restart"/>
          </w:tcPr>
          <w:p w:rsidR="004F06D1" w:rsidRPr="001D6512" w:rsidRDefault="004F06D1" w:rsidP="00DE12EC">
            <w:pPr>
              <w:pStyle w:val="TableCell"/>
              <w:spacing w:before="40" w:after="40" w:line="264" w:lineRule="auto"/>
              <w:rPr>
                <w:szCs w:val="18"/>
              </w:rPr>
            </w:pPr>
            <w:r w:rsidRPr="001D6512" w:rsidDel="00642819">
              <w:rPr>
                <w:szCs w:val="18"/>
              </w:rPr>
              <w:t>EER</w:t>
            </w:r>
            <w:r w:rsidRPr="001D6512">
              <w:rPr>
                <w:szCs w:val="18"/>
                <w:vertAlign w:val="subscript"/>
              </w:rPr>
              <w:t>base</w:t>
            </w:r>
          </w:p>
        </w:tc>
        <w:tc>
          <w:tcPr>
            <w:tcW w:w="570" w:type="pct"/>
            <w:vMerge w:val="restart"/>
          </w:tcPr>
          <w:p w:rsidR="004F06D1" w:rsidRPr="001D6512" w:rsidRDefault="004F06D1" w:rsidP="00DE12EC">
            <w:pPr>
              <w:pStyle w:val="TableCell"/>
              <w:spacing w:before="40" w:after="40" w:line="264" w:lineRule="auto"/>
              <w:rPr>
                <w:szCs w:val="18"/>
              </w:rPr>
            </w:pPr>
            <w:r w:rsidRPr="001D6512">
              <w:rPr>
                <w:szCs w:val="18"/>
              </w:rPr>
              <w:t>Fixed</w:t>
            </w:r>
          </w:p>
        </w:tc>
        <w:tc>
          <w:tcPr>
            <w:tcW w:w="2305" w:type="pct"/>
          </w:tcPr>
          <w:p w:rsidR="004F06D1" w:rsidRPr="001D6512" w:rsidRDefault="004F06D1" w:rsidP="00DE12EC">
            <w:pPr>
              <w:pStyle w:val="TableCell"/>
              <w:spacing w:before="40" w:after="40" w:line="264" w:lineRule="auto"/>
              <w:rPr>
                <w:szCs w:val="18"/>
                <w:highlight w:val="yellow"/>
              </w:rPr>
            </w:pPr>
            <w:r w:rsidRPr="001D6512">
              <w:rPr>
                <w:rFonts w:cs="Arial"/>
              </w:rPr>
              <w:t>Early Replacement: Nameplate data</w:t>
            </w:r>
          </w:p>
        </w:tc>
        <w:tc>
          <w:tcPr>
            <w:tcW w:w="1233" w:type="pct"/>
          </w:tcPr>
          <w:p w:rsidR="004F06D1" w:rsidRPr="001D6512" w:rsidRDefault="004F06D1" w:rsidP="00DE12EC">
            <w:pPr>
              <w:pStyle w:val="TableCell"/>
              <w:spacing w:before="40" w:after="40" w:line="264" w:lineRule="auto"/>
              <w:rPr>
                <w:szCs w:val="18"/>
              </w:rPr>
            </w:pPr>
            <w:r w:rsidRPr="001D6512">
              <w:rPr>
                <w:rFonts w:cs="Arial"/>
              </w:rPr>
              <w:t>EDC Data Gathering</w:t>
            </w:r>
          </w:p>
        </w:tc>
      </w:tr>
      <w:tr w:rsidR="00DE12EC" w:rsidRPr="00256BCB" w:rsidTr="00F1106A">
        <w:trPr>
          <w:cantSplit/>
          <w:trHeight w:val="20"/>
          <w:jc w:val="center"/>
        </w:trPr>
        <w:tc>
          <w:tcPr>
            <w:tcW w:w="892" w:type="pct"/>
            <w:vMerge/>
          </w:tcPr>
          <w:p w:rsidR="00DE12EC" w:rsidRPr="001D6512" w:rsidRDefault="00DE12EC" w:rsidP="00DE12EC">
            <w:pPr>
              <w:pStyle w:val="TableCell"/>
              <w:spacing w:before="40" w:after="40" w:line="264" w:lineRule="auto"/>
              <w:rPr>
                <w:szCs w:val="18"/>
              </w:rPr>
            </w:pPr>
          </w:p>
        </w:tc>
        <w:tc>
          <w:tcPr>
            <w:tcW w:w="570" w:type="pct"/>
            <w:vMerge/>
          </w:tcPr>
          <w:p w:rsidR="00DE12EC" w:rsidRPr="001D6512" w:rsidRDefault="00DE12EC" w:rsidP="00DE12EC">
            <w:pPr>
              <w:pStyle w:val="TableCell"/>
              <w:spacing w:before="40" w:after="40" w:line="264" w:lineRule="auto"/>
              <w:rPr>
                <w:szCs w:val="18"/>
              </w:rPr>
            </w:pPr>
          </w:p>
        </w:tc>
        <w:tc>
          <w:tcPr>
            <w:tcW w:w="2305" w:type="pct"/>
          </w:tcPr>
          <w:p w:rsidR="00DE12EC" w:rsidRPr="00DE12EC" w:rsidRDefault="00DE12EC" w:rsidP="00DE12EC">
            <w:pPr>
              <w:pStyle w:val="Caption"/>
              <w:spacing w:before="40" w:after="40" w:line="264" w:lineRule="auto"/>
              <w:jc w:val="left"/>
              <w:rPr>
                <w:rFonts w:ascii="Arial" w:hAnsi="Arial" w:cs="Arial"/>
                <w:b w:val="0"/>
                <w:sz w:val="18"/>
                <w:szCs w:val="18"/>
              </w:rPr>
            </w:pPr>
            <w:r w:rsidRPr="00DE12EC">
              <w:rPr>
                <w:rFonts w:ascii="Arial" w:hAnsi="Arial" w:cs="Arial"/>
                <w:b w:val="0"/>
                <w:sz w:val="18"/>
                <w:szCs w:val="18"/>
              </w:rPr>
              <w:t xml:space="preserve">New Construction or Replace on Burnout: Default values from </w:t>
            </w:r>
            <w:r w:rsidR="00274AB1">
              <w:fldChar w:fldCharType="begin"/>
            </w:r>
            <w:r w:rsidR="00274AB1">
              <w:instrText xml:space="preserve"> REF _Ref310874949 \h  \* MERGEFORMAT </w:instrText>
            </w:r>
            <w:r w:rsidR="00274AB1">
              <w:fldChar w:fldCharType="separate"/>
            </w:r>
            <w:r w:rsidR="00C0292F" w:rsidRPr="00C0292F">
              <w:rPr>
                <w:rFonts w:ascii="Arial" w:hAnsi="Arial" w:cs="Arial"/>
                <w:b w:val="0"/>
                <w:sz w:val="18"/>
                <w:szCs w:val="18"/>
              </w:rPr>
              <w:t xml:space="preserve">Table </w:t>
            </w:r>
            <w:r w:rsidR="00C0292F" w:rsidRPr="00C0292F">
              <w:rPr>
                <w:rFonts w:ascii="Arial" w:hAnsi="Arial" w:cs="Arial"/>
                <w:b w:val="0"/>
                <w:noProof/>
                <w:sz w:val="18"/>
                <w:szCs w:val="18"/>
              </w:rPr>
              <w:t>3</w:t>
            </w:r>
            <w:r w:rsidR="00C0292F" w:rsidRPr="00C0292F">
              <w:rPr>
                <w:rFonts w:ascii="Arial" w:hAnsi="Arial" w:cs="Arial"/>
                <w:b w:val="0"/>
                <w:noProof/>
                <w:sz w:val="18"/>
                <w:szCs w:val="18"/>
              </w:rPr>
              <w:noBreakHyphen/>
              <w:t>65</w:t>
            </w:r>
            <w:r w:rsidR="00274AB1">
              <w:fldChar w:fldCharType="end"/>
            </w:r>
          </w:p>
        </w:tc>
        <w:tc>
          <w:tcPr>
            <w:tcW w:w="1233" w:type="pct"/>
          </w:tcPr>
          <w:p w:rsidR="00DE12EC" w:rsidRPr="00DE12EC" w:rsidRDefault="00DE12EC" w:rsidP="00DE12EC">
            <w:pPr>
              <w:pStyle w:val="Caption"/>
              <w:spacing w:before="40" w:after="40" w:line="264" w:lineRule="auto"/>
              <w:jc w:val="left"/>
              <w:rPr>
                <w:rFonts w:ascii="Arial" w:hAnsi="Arial" w:cs="Arial"/>
                <w:b w:val="0"/>
                <w:sz w:val="18"/>
                <w:szCs w:val="18"/>
              </w:rPr>
            </w:pPr>
            <w:r w:rsidRPr="00DE12EC">
              <w:rPr>
                <w:rFonts w:ascii="Arial" w:hAnsi="Arial" w:cs="Arial"/>
                <w:b w:val="0"/>
                <w:sz w:val="18"/>
                <w:szCs w:val="18"/>
              </w:rPr>
              <w:t xml:space="preserve">See </w:t>
            </w:r>
            <w:r w:rsidR="00274AB1">
              <w:fldChar w:fldCharType="begin"/>
            </w:r>
            <w:r w:rsidR="00274AB1">
              <w:instrText xml:space="preserve"> REF _Ref310874949 \h  \* MERGEFORMAT </w:instrText>
            </w:r>
            <w:r w:rsidR="00274AB1">
              <w:fldChar w:fldCharType="separate"/>
            </w:r>
            <w:r w:rsidR="00C0292F" w:rsidRPr="00C0292F">
              <w:rPr>
                <w:rFonts w:ascii="Arial" w:hAnsi="Arial" w:cs="Arial"/>
                <w:b w:val="0"/>
                <w:sz w:val="18"/>
                <w:szCs w:val="18"/>
              </w:rPr>
              <w:t xml:space="preserve">Table </w:t>
            </w:r>
            <w:r w:rsidR="00C0292F" w:rsidRPr="00C0292F">
              <w:rPr>
                <w:rFonts w:ascii="Arial" w:hAnsi="Arial" w:cs="Arial"/>
                <w:b w:val="0"/>
                <w:noProof/>
                <w:sz w:val="18"/>
                <w:szCs w:val="18"/>
              </w:rPr>
              <w:t>3</w:t>
            </w:r>
            <w:r w:rsidR="00C0292F" w:rsidRPr="00C0292F">
              <w:rPr>
                <w:rFonts w:ascii="Arial" w:hAnsi="Arial" w:cs="Arial"/>
                <w:b w:val="0"/>
                <w:noProof/>
                <w:sz w:val="18"/>
                <w:szCs w:val="18"/>
              </w:rPr>
              <w:noBreakHyphen/>
              <w:t>65</w:t>
            </w:r>
            <w:r w:rsidR="00274AB1">
              <w:fldChar w:fldCharType="end"/>
            </w:r>
          </w:p>
          <w:p w:rsidR="00DE12EC" w:rsidRPr="00DE12EC" w:rsidRDefault="00DE12EC" w:rsidP="00DE12EC">
            <w:pPr>
              <w:pStyle w:val="Caption"/>
              <w:spacing w:before="40" w:after="40" w:line="264" w:lineRule="auto"/>
              <w:jc w:val="left"/>
              <w:rPr>
                <w:rFonts w:ascii="Arial" w:hAnsi="Arial" w:cs="Arial"/>
                <w:b w:val="0"/>
                <w:sz w:val="18"/>
                <w:szCs w:val="18"/>
              </w:rPr>
            </w:pPr>
          </w:p>
        </w:tc>
      </w:tr>
      <w:tr w:rsidR="004F06D1" w:rsidRPr="00256BCB" w:rsidTr="00F1106A">
        <w:trPr>
          <w:cantSplit/>
          <w:trHeight w:val="20"/>
          <w:jc w:val="center"/>
        </w:trPr>
        <w:tc>
          <w:tcPr>
            <w:tcW w:w="892" w:type="pct"/>
            <w:vMerge w:val="restart"/>
          </w:tcPr>
          <w:p w:rsidR="004F06D1" w:rsidRPr="001D6512" w:rsidRDefault="004F06D1" w:rsidP="00DE12EC">
            <w:pPr>
              <w:pStyle w:val="TableCell"/>
              <w:spacing w:before="40" w:after="40" w:line="264" w:lineRule="auto"/>
              <w:rPr>
                <w:szCs w:val="18"/>
              </w:rPr>
            </w:pPr>
            <w:r w:rsidRPr="001D6512" w:rsidDel="00642819">
              <w:rPr>
                <w:szCs w:val="18"/>
              </w:rPr>
              <w:t>HSPF</w:t>
            </w:r>
            <w:r w:rsidRPr="001D6512">
              <w:rPr>
                <w:szCs w:val="18"/>
                <w:vertAlign w:val="subscript"/>
              </w:rPr>
              <w:t>base</w:t>
            </w:r>
          </w:p>
        </w:tc>
        <w:tc>
          <w:tcPr>
            <w:tcW w:w="570" w:type="pct"/>
            <w:vMerge w:val="restart"/>
          </w:tcPr>
          <w:p w:rsidR="004F06D1" w:rsidRPr="001D6512" w:rsidRDefault="004F06D1" w:rsidP="00DE12EC">
            <w:pPr>
              <w:pStyle w:val="TableCell"/>
              <w:spacing w:before="40" w:after="40" w:line="264" w:lineRule="auto"/>
              <w:rPr>
                <w:szCs w:val="18"/>
              </w:rPr>
            </w:pPr>
            <w:r w:rsidRPr="001D6512">
              <w:rPr>
                <w:szCs w:val="18"/>
              </w:rPr>
              <w:t>Fixed</w:t>
            </w:r>
          </w:p>
        </w:tc>
        <w:tc>
          <w:tcPr>
            <w:tcW w:w="2305" w:type="pct"/>
          </w:tcPr>
          <w:p w:rsidR="004F06D1" w:rsidRPr="001D6512" w:rsidRDefault="004F06D1" w:rsidP="00DE12EC">
            <w:pPr>
              <w:pStyle w:val="TableCell"/>
              <w:spacing w:before="40" w:after="40" w:line="264" w:lineRule="auto"/>
              <w:rPr>
                <w:szCs w:val="18"/>
                <w:highlight w:val="yellow"/>
              </w:rPr>
            </w:pPr>
            <w:r w:rsidRPr="001D6512">
              <w:rPr>
                <w:rFonts w:cs="Arial"/>
              </w:rPr>
              <w:t>Early Replacement: Nameplate data</w:t>
            </w:r>
          </w:p>
        </w:tc>
        <w:tc>
          <w:tcPr>
            <w:tcW w:w="1233" w:type="pct"/>
          </w:tcPr>
          <w:p w:rsidR="004F06D1" w:rsidRPr="001D6512" w:rsidRDefault="004F06D1" w:rsidP="00DE12EC">
            <w:pPr>
              <w:pStyle w:val="TableCell"/>
              <w:spacing w:before="40" w:after="40" w:line="264" w:lineRule="auto"/>
              <w:rPr>
                <w:szCs w:val="18"/>
              </w:rPr>
            </w:pPr>
            <w:r w:rsidRPr="001D6512">
              <w:rPr>
                <w:rFonts w:cs="Arial"/>
              </w:rPr>
              <w:t>EDC Data Gathering</w:t>
            </w:r>
          </w:p>
        </w:tc>
      </w:tr>
      <w:tr w:rsidR="00DE12EC" w:rsidRPr="00256BCB" w:rsidTr="00F1106A">
        <w:trPr>
          <w:cantSplit/>
          <w:trHeight w:val="20"/>
          <w:jc w:val="center"/>
        </w:trPr>
        <w:tc>
          <w:tcPr>
            <w:tcW w:w="892" w:type="pct"/>
            <w:vMerge/>
          </w:tcPr>
          <w:p w:rsidR="00DE12EC" w:rsidRPr="001D6512" w:rsidRDefault="00DE12EC" w:rsidP="00DE12EC">
            <w:pPr>
              <w:pStyle w:val="TableCell"/>
              <w:spacing w:before="40" w:after="40" w:line="264" w:lineRule="auto"/>
              <w:rPr>
                <w:szCs w:val="18"/>
              </w:rPr>
            </w:pPr>
          </w:p>
        </w:tc>
        <w:tc>
          <w:tcPr>
            <w:tcW w:w="570" w:type="pct"/>
            <w:vMerge/>
          </w:tcPr>
          <w:p w:rsidR="00DE12EC" w:rsidRPr="001D6512" w:rsidRDefault="00DE12EC" w:rsidP="00DE12EC">
            <w:pPr>
              <w:pStyle w:val="TableCell"/>
              <w:spacing w:before="40" w:after="40" w:line="264" w:lineRule="auto"/>
              <w:rPr>
                <w:szCs w:val="18"/>
              </w:rPr>
            </w:pPr>
          </w:p>
        </w:tc>
        <w:tc>
          <w:tcPr>
            <w:tcW w:w="2305" w:type="pct"/>
          </w:tcPr>
          <w:p w:rsidR="00DE12EC" w:rsidRPr="00DE12EC" w:rsidRDefault="00DE12EC" w:rsidP="00DE12EC">
            <w:pPr>
              <w:pStyle w:val="Caption"/>
              <w:spacing w:before="40" w:after="40" w:line="264" w:lineRule="auto"/>
              <w:jc w:val="left"/>
              <w:rPr>
                <w:rFonts w:ascii="Arial" w:hAnsi="Arial" w:cs="Arial"/>
                <w:b w:val="0"/>
                <w:sz w:val="18"/>
                <w:szCs w:val="18"/>
              </w:rPr>
            </w:pPr>
            <w:r w:rsidRPr="00DE12EC">
              <w:rPr>
                <w:rFonts w:ascii="Arial" w:hAnsi="Arial" w:cs="Arial"/>
                <w:b w:val="0"/>
                <w:sz w:val="18"/>
                <w:szCs w:val="18"/>
              </w:rPr>
              <w:t xml:space="preserve">New Construction or Replace on Burnout: Default values from </w:t>
            </w:r>
            <w:r w:rsidR="00274AB1">
              <w:fldChar w:fldCharType="begin"/>
            </w:r>
            <w:r w:rsidR="00274AB1">
              <w:instrText xml:space="preserve"> REF _Ref310874949 \h  \* MERGEFORMAT </w:instrText>
            </w:r>
            <w:r w:rsidR="00274AB1">
              <w:fldChar w:fldCharType="separate"/>
            </w:r>
            <w:r w:rsidR="00C0292F" w:rsidRPr="00C0292F">
              <w:rPr>
                <w:rFonts w:ascii="Arial" w:hAnsi="Arial" w:cs="Arial"/>
                <w:b w:val="0"/>
                <w:sz w:val="18"/>
                <w:szCs w:val="18"/>
              </w:rPr>
              <w:t xml:space="preserve">Table </w:t>
            </w:r>
            <w:r w:rsidR="00C0292F" w:rsidRPr="00C0292F">
              <w:rPr>
                <w:rFonts w:ascii="Arial" w:hAnsi="Arial" w:cs="Arial"/>
                <w:b w:val="0"/>
                <w:noProof/>
                <w:sz w:val="18"/>
                <w:szCs w:val="18"/>
              </w:rPr>
              <w:t>3</w:t>
            </w:r>
            <w:r w:rsidR="00C0292F" w:rsidRPr="00C0292F">
              <w:rPr>
                <w:rFonts w:ascii="Arial" w:hAnsi="Arial" w:cs="Arial"/>
                <w:b w:val="0"/>
                <w:noProof/>
                <w:sz w:val="18"/>
                <w:szCs w:val="18"/>
              </w:rPr>
              <w:noBreakHyphen/>
              <w:t>65</w:t>
            </w:r>
            <w:r w:rsidR="00274AB1">
              <w:fldChar w:fldCharType="end"/>
            </w:r>
          </w:p>
        </w:tc>
        <w:tc>
          <w:tcPr>
            <w:tcW w:w="1233" w:type="pct"/>
          </w:tcPr>
          <w:p w:rsidR="00DE12EC" w:rsidRPr="00DE12EC" w:rsidRDefault="00DE12EC" w:rsidP="00DE12EC">
            <w:pPr>
              <w:pStyle w:val="Caption"/>
              <w:spacing w:before="40" w:after="40" w:line="264" w:lineRule="auto"/>
              <w:jc w:val="left"/>
              <w:rPr>
                <w:rFonts w:ascii="Arial" w:hAnsi="Arial" w:cs="Arial"/>
                <w:b w:val="0"/>
                <w:sz w:val="18"/>
                <w:szCs w:val="18"/>
              </w:rPr>
            </w:pPr>
            <w:r w:rsidRPr="00DE12EC">
              <w:rPr>
                <w:rFonts w:ascii="Arial" w:hAnsi="Arial" w:cs="Arial"/>
                <w:b w:val="0"/>
                <w:sz w:val="18"/>
                <w:szCs w:val="18"/>
              </w:rPr>
              <w:t xml:space="preserve">See </w:t>
            </w:r>
            <w:r w:rsidR="00274AB1">
              <w:fldChar w:fldCharType="begin"/>
            </w:r>
            <w:r w:rsidR="00274AB1">
              <w:instrText xml:space="preserve"> REF _Ref310874949 \h  \* MERGEFORMAT </w:instrText>
            </w:r>
            <w:r w:rsidR="00274AB1">
              <w:fldChar w:fldCharType="separate"/>
            </w:r>
            <w:r w:rsidR="00C0292F" w:rsidRPr="00C0292F">
              <w:rPr>
                <w:rFonts w:ascii="Arial" w:hAnsi="Arial" w:cs="Arial"/>
                <w:b w:val="0"/>
                <w:sz w:val="18"/>
                <w:szCs w:val="18"/>
              </w:rPr>
              <w:t xml:space="preserve">Table </w:t>
            </w:r>
            <w:r w:rsidR="00C0292F" w:rsidRPr="00C0292F">
              <w:rPr>
                <w:rFonts w:ascii="Arial" w:hAnsi="Arial" w:cs="Arial"/>
                <w:b w:val="0"/>
                <w:noProof/>
                <w:sz w:val="18"/>
                <w:szCs w:val="18"/>
              </w:rPr>
              <w:t>3</w:t>
            </w:r>
            <w:r w:rsidR="00C0292F" w:rsidRPr="00C0292F">
              <w:rPr>
                <w:rFonts w:ascii="Arial" w:hAnsi="Arial" w:cs="Arial"/>
                <w:b w:val="0"/>
                <w:noProof/>
                <w:sz w:val="18"/>
                <w:szCs w:val="18"/>
              </w:rPr>
              <w:noBreakHyphen/>
              <w:t>65</w:t>
            </w:r>
            <w:r w:rsidR="00274AB1">
              <w:fldChar w:fldCharType="end"/>
            </w:r>
          </w:p>
          <w:p w:rsidR="00DE12EC" w:rsidRPr="00DE12EC" w:rsidRDefault="00DE12EC" w:rsidP="00DE12EC">
            <w:pPr>
              <w:pStyle w:val="Caption"/>
              <w:spacing w:before="40" w:after="40" w:line="264" w:lineRule="auto"/>
              <w:jc w:val="left"/>
              <w:rPr>
                <w:rFonts w:ascii="Arial" w:hAnsi="Arial" w:cs="Arial"/>
                <w:b w:val="0"/>
                <w:sz w:val="18"/>
                <w:szCs w:val="18"/>
              </w:rPr>
            </w:pPr>
          </w:p>
        </w:tc>
      </w:tr>
      <w:tr w:rsidR="004F06D1" w:rsidRPr="00256BCB" w:rsidTr="00F1106A">
        <w:trPr>
          <w:cantSplit/>
          <w:trHeight w:val="20"/>
          <w:jc w:val="center"/>
        </w:trPr>
        <w:tc>
          <w:tcPr>
            <w:tcW w:w="892" w:type="pct"/>
            <w:vMerge w:val="restart"/>
          </w:tcPr>
          <w:p w:rsidR="004F06D1" w:rsidRPr="001D6512" w:rsidRDefault="004F06D1" w:rsidP="00DE12EC">
            <w:pPr>
              <w:pStyle w:val="TableCell"/>
              <w:spacing w:before="40" w:after="40" w:line="264" w:lineRule="auto"/>
              <w:rPr>
                <w:szCs w:val="18"/>
              </w:rPr>
            </w:pPr>
            <w:r w:rsidRPr="001D6512" w:rsidDel="00642819">
              <w:rPr>
                <w:szCs w:val="18"/>
              </w:rPr>
              <w:t>COP</w:t>
            </w:r>
            <w:r w:rsidRPr="001D6512">
              <w:rPr>
                <w:szCs w:val="18"/>
                <w:vertAlign w:val="subscript"/>
              </w:rPr>
              <w:t>base</w:t>
            </w:r>
          </w:p>
        </w:tc>
        <w:tc>
          <w:tcPr>
            <w:tcW w:w="570" w:type="pct"/>
            <w:vMerge w:val="restart"/>
          </w:tcPr>
          <w:p w:rsidR="004F06D1" w:rsidRPr="001D6512" w:rsidRDefault="004F06D1" w:rsidP="00DE12EC">
            <w:pPr>
              <w:pStyle w:val="TableCell"/>
              <w:spacing w:before="40" w:after="40" w:line="264" w:lineRule="auto"/>
              <w:rPr>
                <w:szCs w:val="18"/>
              </w:rPr>
            </w:pPr>
            <w:r w:rsidRPr="001D6512">
              <w:rPr>
                <w:szCs w:val="18"/>
              </w:rPr>
              <w:t>Fixed</w:t>
            </w:r>
          </w:p>
        </w:tc>
        <w:tc>
          <w:tcPr>
            <w:tcW w:w="2305" w:type="pct"/>
          </w:tcPr>
          <w:p w:rsidR="004F06D1" w:rsidRPr="001D6512" w:rsidRDefault="004F06D1" w:rsidP="00DE12EC">
            <w:pPr>
              <w:pStyle w:val="TableCell"/>
              <w:spacing w:before="40" w:after="40" w:line="264" w:lineRule="auto"/>
              <w:rPr>
                <w:szCs w:val="18"/>
                <w:highlight w:val="yellow"/>
              </w:rPr>
            </w:pPr>
            <w:r w:rsidRPr="001D6512">
              <w:rPr>
                <w:rFonts w:cs="Arial"/>
              </w:rPr>
              <w:t>Early Replacement: Nameplate data</w:t>
            </w:r>
          </w:p>
        </w:tc>
        <w:tc>
          <w:tcPr>
            <w:tcW w:w="1233" w:type="pct"/>
          </w:tcPr>
          <w:p w:rsidR="004F06D1" w:rsidRPr="001D6512" w:rsidRDefault="004F06D1" w:rsidP="00DE12EC">
            <w:pPr>
              <w:pStyle w:val="TableCell"/>
              <w:spacing w:before="40" w:after="40" w:line="264" w:lineRule="auto"/>
              <w:rPr>
                <w:szCs w:val="18"/>
              </w:rPr>
            </w:pPr>
            <w:r w:rsidRPr="001D6512">
              <w:rPr>
                <w:rFonts w:cs="Arial"/>
              </w:rPr>
              <w:t>EDC Data Gathering</w:t>
            </w:r>
          </w:p>
        </w:tc>
      </w:tr>
      <w:tr w:rsidR="00DE12EC" w:rsidRPr="00256BCB" w:rsidTr="00F1106A">
        <w:trPr>
          <w:cantSplit/>
          <w:trHeight w:val="20"/>
          <w:jc w:val="center"/>
        </w:trPr>
        <w:tc>
          <w:tcPr>
            <w:tcW w:w="892" w:type="pct"/>
            <w:vMerge/>
          </w:tcPr>
          <w:p w:rsidR="00DE12EC" w:rsidRPr="001D6512" w:rsidRDefault="00DE12EC" w:rsidP="00DE12EC">
            <w:pPr>
              <w:pStyle w:val="TableCell"/>
              <w:keepNext w:val="0"/>
              <w:spacing w:before="40" w:after="40" w:line="264" w:lineRule="auto"/>
              <w:rPr>
                <w:szCs w:val="18"/>
              </w:rPr>
            </w:pPr>
          </w:p>
        </w:tc>
        <w:tc>
          <w:tcPr>
            <w:tcW w:w="570" w:type="pct"/>
            <w:vMerge/>
          </w:tcPr>
          <w:p w:rsidR="00DE12EC" w:rsidRPr="001D6512" w:rsidRDefault="00DE12EC" w:rsidP="00DE12EC">
            <w:pPr>
              <w:pStyle w:val="TableCell"/>
              <w:keepNext w:val="0"/>
              <w:spacing w:before="40" w:after="40" w:line="264" w:lineRule="auto"/>
              <w:rPr>
                <w:szCs w:val="18"/>
              </w:rPr>
            </w:pPr>
          </w:p>
        </w:tc>
        <w:tc>
          <w:tcPr>
            <w:tcW w:w="2305" w:type="pct"/>
          </w:tcPr>
          <w:p w:rsidR="00DE12EC" w:rsidRPr="00DE12EC" w:rsidRDefault="00DE12EC" w:rsidP="003D2F79">
            <w:pPr>
              <w:pStyle w:val="Caption"/>
              <w:spacing w:before="40" w:after="40" w:line="264" w:lineRule="auto"/>
              <w:jc w:val="left"/>
              <w:rPr>
                <w:rFonts w:ascii="Arial" w:hAnsi="Arial" w:cs="Arial"/>
                <w:b w:val="0"/>
                <w:sz w:val="18"/>
                <w:szCs w:val="18"/>
              </w:rPr>
            </w:pPr>
            <w:r w:rsidRPr="00DE12EC">
              <w:rPr>
                <w:rFonts w:ascii="Arial" w:hAnsi="Arial" w:cs="Arial"/>
                <w:b w:val="0"/>
                <w:sz w:val="18"/>
                <w:szCs w:val="18"/>
              </w:rPr>
              <w:t xml:space="preserve">New Construction or Replace on Burnout: Default values from </w:t>
            </w:r>
            <w:r w:rsidR="00274AB1">
              <w:fldChar w:fldCharType="begin"/>
            </w:r>
            <w:r w:rsidR="00274AB1">
              <w:instrText xml:space="preserve"> REF _Ref310874949 \h  \* MERGEFORMAT </w:instrText>
            </w:r>
            <w:r w:rsidR="00274AB1">
              <w:fldChar w:fldCharType="separate"/>
            </w:r>
            <w:r w:rsidR="00C0292F" w:rsidRPr="00C0292F">
              <w:rPr>
                <w:rFonts w:ascii="Arial" w:hAnsi="Arial" w:cs="Arial"/>
                <w:b w:val="0"/>
                <w:sz w:val="18"/>
                <w:szCs w:val="18"/>
              </w:rPr>
              <w:t xml:space="preserve">Table </w:t>
            </w:r>
            <w:r w:rsidR="00C0292F" w:rsidRPr="00C0292F">
              <w:rPr>
                <w:rFonts w:ascii="Arial" w:hAnsi="Arial" w:cs="Arial"/>
                <w:b w:val="0"/>
                <w:noProof/>
                <w:sz w:val="18"/>
                <w:szCs w:val="18"/>
              </w:rPr>
              <w:t>3</w:t>
            </w:r>
            <w:r w:rsidR="00C0292F" w:rsidRPr="00C0292F">
              <w:rPr>
                <w:rFonts w:ascii="Arial" w:hAnsi="Arial" w:cs="Arial"/>
                <w:b w:val="0"/>
                <w:noProof/>
                <w:sz w:val="18"/>
                <w:szCs w:val="18"/>
              </w:rPr>
              <w:noBreakHyphen/>
              <w:t>65</w:t>
            </w:r>
            <w:r w:rsidR="00274AB1">
              <w:fldChar w:fldCharType="end"/>
            </w:r>
          </w:p>
        </w:tc>
        <w:tc>
          <w:tcPr>
            <w:tcW w:w="1233" w:type="pct"/>
          </w:tcPr>
          <w:p w:rsidR="00DE12EC" w:rsidRPr="00DE12EC" w:rsidRDefault="00DE12EC" w:rsidP="003D2F79">
            <w:pPr>
              <w:pStyle w:val="Caption"/>
              <w:spacing w:before="40" w:after="40" w:line="264" w:lineRule="auto"/>
              <w:jc w:val="left"/>
              <w:rPr>
                <w:rFonts w:ascii="Arial" w:hAnsi="Arial" w:cs="Arial"/>
                <w:b w:val="0"/>
                <w:sz w:val="18"/>
                <w:szCs w:val="18"/>
              </w:rPr>
            </w:pPr>
            <w:r w:rsidRPr="00DE12EC">
              <w:rPr>
                <w:rFonts w:ascii="Arial" w:hAnsi="Arial" w:cs="Arial"/>
                <w:b w:val="0"/>
                <w:sz w:val="18"/>
                <w:szCs w:val="18"/>
              </w:rPr>
              <w:t xml:space="preserve">See </w:t>
            </w:r>
            <w:r w:rsidR="00274AB1">
              <w:fldChar w:fldCharType="begin"/>
            </w:r>
            <w:r w:rsidR="00274AB1">
              <w:instrText xml:space="preserve"> REF _Ref310874949 \h  \* MERGEFORMAT </w:instrText>
            </w:r>
            <w:r w:rsidR="00274AB1">
              <w:fldChar w:fldCharType="separate"/>
            </w:r>
            <w:r w:rsidR="00C0292F" w:rsidRPr="00C0292F">
              <w:rPr>
                <w:rFonts w:ascii="Arial" w:hAnsi="Arial" w:cs="Arial"/>
                <w:b w:val="0"/>
                <w:sz w:val="18"/>
                <w:szCs w:val="18"/>
              </w:rPr>
              <w:t xml:space="preserve">Table </w:t>
            </w:r>
            <w:r w:rsidR="00C0292F" w:rsidRPr="00C0292F">
              <w:rPr>
                <w:rFonts w:ascii="Arial" w:hAnsi="Arial" w:cs="Arial"/>
                <w:b w:val="0"/>
                <w:noProof/>
                <w:sz w:val="18"/>
                <w:szCs w:val="18"/>
              </w:rPr>
              <w:t>3</w:t>
            </w:r>
            <w:r w:rsidR="00C0292F" w:rsidRPr="00C0292F">
              <w:rPr>
                <w:rFonts w:ascii="Arial" w:hAnsi="Arial" w:cs="Arial"/>
                <w:b w:val="0"/>
                <w:noProof/>
                <w:sz w:val="18"/>
                <w:szCs w:val="18"/>
              </w:rPr>
              <w:noBreakHyphen/>
              <w:t>65</w:t>
            </w:r>
            <w:r w:rsidR="00274AB1">
              <w:fldChar w:fldCharType="end"/>
            </w:r>
          </w:p>
          <w:p w:rsidR="00DE12EC" w:rsidRPr="00DE12EC" w:rsidRDefault="00DE12EC" w:rsidP="003D2F79">
            <w:pPr>
              <w:pStyle w:val="Caption"/>
              <w:spacing w:before="40" w:after="40" w:line="264" w:lineRule="auto"/>
              <w:jc w:val="left"/>
              <w:rPr>
                <w:rFonts w:ascii="Arial" w:hAnsi="Arial" w:cs="Arial"/>
                <w:b w:val="0"/>
                <w:sz w:val="18"/>
                <w:szCs w:val="18"/>
              </w:rPr>
            </w:pPr>
          </w:p>
        </w:tc>
      </w:tr>
      <w:tr w:rsidR="004F06D1" w:rsidRPr="00256BCB" w:rsidTr="00F1106A">
        <w:trPr>
          <w:cantSplit/>
          <w:trHeight w:val="20"/>
          <w:jc w:val="center"/>
        </w:trPr>
        <w:tc>
          <w:tcPr>
            <w:tcW w:w="892" w:type="pct"/>
          </w:tcPr>
          <w:p w:rsidR="004F06D1" w:rsidRPr="001D6512" w:rsidRDefault="004F06D1" w:rsidP="00DE12EC">
            <w:pPr>
              <w:pStyle w:val="TableCell"/>
              <w:keepNext w:val="0"/>
              <w:spacing w:before="40" w:after="40" w:line="264" w:lineRule="auto"/>
              <w:rPr>
                <w:szCs w:val="18"/>
              </w:rPr>
            </w:pPr>
            <w:r w:rsidRPr="001D6512" w:rsidDel="00642819">
              <w:rPr>
                <w:szCs w:val="18"/>
              </w:rPr>
              <w:t>EER</w:t>
            </w:r>
            <w:r w:rsidRPr="001D6512">
              <w:rPr>
                <w:szCs w:val="18"/>
                <w:vertAlign w:val="subscript"/>
              </w:rPr>
              <w:t>ee</w:t>
            </w:r>
          </w:p>
        </w:tc>
        <w:tc>
          <w:tcPr>
            <w:tcW w:w="570" w:type="pct"/>
          </w:tcPr>
          <w:p w:rsidR="004F06D1" w:rsidRPr="001D6512" w:rsidRDefault="004F06D1" w:rsidP="00DE12EC">
            <w:pPr>
              <w:pStyle w:val="TableCell"/>
              <w:keepNext w:val="0"/>
              <w:spacing w:before="40" w:after="40" w:line="264" w:lineRule="auto"/>
              <w:rPr>
                <w:szCs w:val="18"/>
              </w:rPr>
            </w:pPr>
            <w:r w:rsidRPr="001D6512">
              <w:rPr>
                <w:szCs w:val="18"/>
              </w:rPr>
              <w:t>Variable</w:t>
            </w:r>
          </w:p>
        </w:tc>
        <w:tc>
          <w:tcPr>
            <w:tcW w:w="2305" w:type="pct"/>
          </w:tcPr>
          <w:p w:rsidR="004F06D1" w:rsidRPr="001D6512" w:rsidRDefault="004F06D1" w:rsidP="00DE12EC">
            <w:pPr>
              <w:pStyle w:val="TableCell"/>
              <w:keepNext w:val="0"/>
              <w:spacing w:before="40" w:after="40" w:line="264" w:lineRule="auto"/>
              <w:rPr>
                <w:szCs w:val="18"/>
              </w:rPr>
            </w:pPr>
            <w:r w:rsidRPr="001D6512">
              <w:rPr>
                <w:rFonts w:cs="Arial"/>
                <w:szCs w:val="18"/>
              </w:rPr>
              <w:t>Nameplate data (ARI or AHAM)</w:t>
            </w:r>
          </w:p>
        </w:tc>
        <w:tc>
          <w:tcPr>
            <w:tcW w:w="1233" w:type="pct"/>
          </w:tcPr>
          <w:p w:rsidR="004F06D1" w:rsidRPr="001D6512" w:rsidRDefault="004F06D1" w:rsidP="00DE12EC">
            <w:pPr>
              <w:pStyle w:val="TableCell"/>
              <w:keepNext w:val="0"/>
              <w:spacing w:before="40" w:after="40" w:line="264" w:lineRule="auto"/>
              <w:rPr>
                <w:szCs w:val="18"/>
              </w:rPr>
            </w:pPr>
            <w:r w:rsidRPr="001D6512">
              <w:rPr>
                <w:rFonts w:cs="Arial"/>
                <w:szCs w:val="18"/>
              </w:rPr>
              <w:t>EDC Data Gathering</w:t>
            </w:r>
          </w:p>
        </w:tc>
      </w:tr>
      <w:tr w:rsidR="004F06D1" w:rsidRPr="00256BCB" w:rsidTr="00F1106A">
        <w:trPr>
          <w:cantSplit/>
          <w:trHeight w:val="20"/>
          <w:jc w:val="center"/>
        </w:trPr>
        <w:tc>
          <w:tcPr>
            <w:tcW w:w="892" w:type="pct"/>
          </w:tcPr>
          <w:p w:rsidR="004F06D1" w:rsidRPr="001D6512" w:rsidRDefault="004F06D1" w:rsidP="00DE12EC">
            <w:pPr>
              <w:pStyle w:val="TableCell"/>
              <w:keepNext w:val="0"/>
              <w:spacing w:before="40" w:after="40" w:line="264" w:lineRule="auto"/>
              <w:rPr>
                <w:szCs w:val="18"/>
              </w:rPr>
            </w:pPr>
            <w:r w:rsidRPr="001D6512" w:rsidDel="00642819">
              <w:rPr>
                <w:szCs w:val="18"/>
              </w:rPr>
              <w:t>COP</w:t>
            </w:r>
            <w:r w:rsidRPr="001D6512">
              <w:rPr>
                <w:szCs w:val="18"/>
                <w:vertAlign w:val="subscript"/>
              </w:rPr>
              <w:t>ee</w:t>
            </w:r>
          </w:p>
        </w:tc>
        <w:tc>
          <w:tcPr>
            <w:tcW w:w="570" w:type="pct"/>
          </w:tcPr>
          <w:p w:rsidR="004F06D1" w:rsidRPr="001D6512" w:rsidRDefault="004F06D1" w:rsidP="00DE12EC">
            <w:pPr>
              <w:pStyle w:val="TableCell"/>
              <w:keepNext w:val="0"/>
              <w:spacing w:before="40" w:after="40" w:line="264" w:lineRule="auto"/>
              <w:rPr>
                <w:szCs w:val="18"/>
              </w:rPr>
            </w:pPr>
            <w:r w:rsidRPr="001D6512">
              <w:rPr>
                <w:szCs w:val="18"/>
              </w:rPr>
              <w:t>Variable</w:t>
            </w:r>
          </w:p>
        </w:tc>
        <w:tc>
          <w:tcPr>
            <w:tcW w:w="2305" w:type="pct"/>
          </w:tcPr>
          <w:p w:rsidR="004F06D1" w:rsidRPr="001D6512" w:rsidRDefault="004F06D1" w:rsidP="00DE12EC">
            <w:pPr>
              <w:pStyle w:val="TableCell"/>
              <w:keepNext w:val="0"/>
              <w:spacing w:before="40" w:after="40" w:line="264" w:lineRule="auto"/>
              <w:rPr>
                <w:szCs w:val="18"/>
              </w:rPr>
            </w:pPr>
            <w:r w:rsidRPr="001D6512">
              <w:rPr>
                <w:rFonts w:cs="Arial"/>
                <w:szCs w:val="18"/>
              </w:rPr>
              <w:t>Nameplate data (ARI or AHAM)</w:t>
            </w:r>
          </w:p>
        </w:tc>
        <w:tc>
          <w:tcPr>
            <w:tcW w:w="1233" w:type="pct"/>
          </w:tcPr>
          <w:p w:rsidR="004F06D1" w:rsidRPr="001D6512" w:rsidRDefault="004F06D1" w:rsidP="00DE12EC">
            <w:pPr>
              <w:pStyle w:val="TableCell"/>
              <w:keepNext w:val="0"/>
              <w:spacing w:before="40" w:after="40" w:line="264" w:lineRule="auto"/>
              <w:rPr>
                <w:szCs w:val="18"/>
              </w:rPr>
            </w:pPr>
            <w:r w:rsidRPr="001D6512">
              <w:rPr>
                <w:rFonts w:cs="Arial"/>
                <w:szCs w:val="18"/>
              </w:rPr>
              <w:t>EDC Data Gathering</w:t>
            </w:r>
          </w:p>
        </w:tc>
      </w:tr>
      <w:tr w:rsidR="004F06D1" w:rsidRPr="00256BCB" w:rsidTr="00F1106A">
        <w:trPr>
          <w:cantSplit/>
          <w:trHeight w:val="20"/>
          <w:jc w:val="center"/>
        </w:trPr>
        <w:tc>
          <w:tcPr>
            <w:tcW w:w="892" w:type="pct"/>
            <w:vMerge w:val="restart"/>
          </w:tcPr>
          <w:p w:rsidR="004F06D1" w:rsidRPr="001D6512" w:rsidRDefault="004F06D1" w:rsidP="00DE12EC">
            <w:pPr>
              <w:pStyle w:val="TableCell"/>
              <w:keepNext w:val="0"/>
              <w:spacing w:before="40" w:after="40" w:line="264" w:lineRule="auto"/>
              <w:rPr>
                <w:szCs w:val="18"/>
              </w:rPr>
            </w:pPr>
            <w:r w:rsidRPr="001D6512" w:rsidDel="00642819">
              <w:rPr>
                <w:szCs w:val="18"/>
              </w:rPr>
              <w:t>EFLH</w:t>
            </w:r>
            <w:r w:rsidRPr="001D6512">
              <w:rPr>
                <w:szCs w:val="18"/>
                <w:vertAlign w:val="subscript"/>
              </w:rPr>
              <w:t>cool</w:t>
            </w:r>
          </w:p>
        </w:tc>
        <w:tc>
          <w:tcPr>
            <w:tcW w:w="570" w:type="pct"/>
            <w:vMerge w:val="restart"/>
          </w:tcPr>
          <w:p w:rsidR="004F06D1" w:rsidRPr="001D6512" w:rsidRDefault="004F06D1" w:rsidP="00DE12EC">
            <w:pPr>
              <w:pStyle w:val="TableCell"/>
              <w:keepNext w:val="0"/>
              <w:spacing w:before="40" w:after="40" w:line="264" w:lineRule="auto"/>
              <w:rPr>
                <w:szCs w:val="18"/>
              </w:rPr>
            </w:pPr>
            <w:r w:rsidRPr="001D6512">
              <w:rPr>
                <w:szCs w:val="18"/>
              </w:rPr>
              <w:t>Variable</w:t>
            </w:r>
          </w:p>
        </w:tc>
        <w:tc>
          <w:tcPr>
            <w:tcW w:w="2305" w:type="pct"/>
            <w:vAlign w:val="center"/>
          </w:tcPr>
          <w:p w:rsidR="004F06D1" w:rsidRPr="001D6512" w:rsidRDefault="004F06D1" w:rsidP="00DE12EC">
            <w:pPr>
              <w:pStyle w:val="TableCell"/>
              <w:keepNext w:val="0"/>
              <w:spacing w:before="40" w:after="40" w:line="264" w:lineRule="auto"/>
              <w:rPr>
                <w:rFonts w:cs="Arial"/>
                <w:szCs w:val="18"/>
              </w:rPr>
            </w:pPr>
            <w:r w:rsidRPr="001D6512">
              <w:rPr>
                <w:rFonts w:cs="Arial"/>
                <w:szCs w:val="18"/>
              </w:rPr>
              <w:t>Based on Logging or Modeling</w:t>
            </w:r>
          </w:p>
        </w:tc>
        <w:tc>
          <w:tcPr>
            <w:tcW w:w="1233" w:type="pct"/>
          </w:tcPr>
          <w:p w:rsidR="004F06D1" w:rsidRPr="001D6512" w:rsidRDefault="004F06D1" w:rsidP="00DE12EC">
            <w:pPr>
              <w:pStyle w:val="TableCell"/>
              <w:keepNext w:val="0"/>
              <w:spacing w:before="40" w:after="40" w:line="264" w:lineRule="auto"/>
              <w:rPr>
                <w:szCs w:val="18"/>
              </w:rPr>
            </w:pPr>
            <w:r w:rsidRPr="001D6512">
              <w:rPr>
                <w:rFonts w:cs="Arial"/>
                <w:szCs w:val="18"/>
              </w:rPr>
              <w:t>EDC Data Gathering</w:t>
            </w:r>
          </w:p>
        </w:tc>
      </w:tr>
      <w:tr w:rsidR="004F06D1" w:rsidRPr="00256BCB" w:rsidTr="00F1106A">
        <w:trPr>
          <w:cantSplit/>
          <w:trHeight w:val="20"/>
          <w:jc w:val="center"/>
        </w:trPr>
        <w:tc>
          <w:tcPr>
            <w:tcW w:w="892" w:type="pct"/>
            <w:vMerge/>
          </w:tcPr>
          <w:p w:rsidR="004F06D1" w:rsidRPr="001D6512" w:rsidRDefault="004F06D1" w:rsidP="00DE12EC">
            <w:pPr>
              <w:pStyle w:val="TableCell"/>
              <w:keepNext w:val="0"/>
              <w:spacing w:before="40" w:after="40" w:line="264" w:lineRule="auto"/>
              <w:rPr>
                <w:szCs w:val="18"/>
              </w:rPr>
            </w:pPr>
          </w:p>
        </w:tc>
        <w:tc>
          <w:tcPr>
            <w:tcW w:w="570" w:type="pct"/>
            <w:vMerge/>
          </w:tcPr>
          <w:p w:rsidR="004F06D1" w:rsidRPr="001D6512" w:rsidRDefault="004F06D1" w:rsidP="00DE12EC">
            <w:pPr>
              <w:pStyle w:val="TableCell"/>
              <w:keepNext w:val="0"/>
              <w:spacing w:before="40" w:after="40" w:line="264" w:lineRule="auto"/>
              <w:rPr>
                <w:szCs w:val="18"/>
              </w:rPr>
            </w:pPr>
          </w:p>
        </w:tc>
        <w:tc>
          <w:tcPr>
            <w:tcW w:w="2305" w:type="pct"/>
            <w:vAlign w:val="center"/>
          </w:tcPr>
          <w:p w:rsidR="004F06D1" w:rsidRPr="001D6512" w:rsidRDefault="004F06D1" w:rsidP="00DE12EC">
            <w:pPr>
              <w:pStyle w:val="TableCell"/>
              <w:keepNext w:val="0"/>
              <w:spacing w:before="40" w:after="40" w:line="264" w:lineRule="auto"/>
              <w:rPr>
                <w:rFonts w:cs="Arial"/>
                <w:szCs w:val="18"/>
              </w:rPr>
            </w:pPr>
            <w:r w:rsidRPr="001D6512">
              <w:rPr>
                <w:rFonts w:cs="Arial"/>
                <w:szCs w:val="18"/>
              </w:rPr>
              <w:t xml:space="preserve">Default values from </w:t>
            </w:r>
            <w:r w:rsidR="00274AB1">
              <w:fldChar w:fldCharType="begin"/>
            </w:r>
            <w:r w:rsidR="00274AB1">
              <w:instrText xml:space="preserve"> REF _Ref275556730 \h  \* MERGEFORMAT </w:instrText>
            </w:r>
            <w:r w:rsidR="00274AB1">
              <w:fldChar w:fldCharType="separate"/>
            </w:r>
            <w:r w:rsidR="00C0292F" w:rsidRPr="00C0292F">
              <w:rPr>
                <w:rFonts w:cs="Arial"/>
                <w:szCs w:val="18"/>
              </w:rPr>
              <w:t xml:space="preserve">Table </w:t>
            </w:r>
            <w:r w:rsidR="00C0292F" w:rsidRPr="00C0292F">
              <w:rPr>
                <w:rFonts w:cs="Arial"/>
                <w:noProof/>
                <w:szCs w:val="18"/>
              </w:rPr>
              <w:t>3</w:t>
            </w:r>
            <w:r w:rsidR="00C0292F" w:rsidRPr="00C0292F">
              <w:rPr>
                <w:rFonts w:cs="Arial"/>
                <w:noProof/>
                <w:szCs w:val="18"/>
              </w:rPr>
              <w:noBreakHyphen/>
              <w:t>21</w:t>
            </w:r>
            <w:r w:rsidR="00274AB1">
              <w:fldChar w:fldCharType="end"/>
            </w:r>
            <w:r w:rsidRPr="001D6512">
              <w:rPr>
                <w:rFonts w:cs="Arial"/>
                <w:szCs w:val="18"/>
              </w:rPr>
              <w:t xml:space="preserve"> and </w:t>
            </w:r>
            <w:r w:rsidR="00274AB1">
              <w:fldChar w:fldCharType="begin"/>
            </w:r>
            <w:r w:rsidR="00274AB1">
              <w:instrText xml:space="preserve"> REF _Ref275556731 \h  \* MERGEFORMAT </w:instrText>
            </w:r>
            <w:r w:rsidR="00274AB1">
              <w:fldChar w:fldCharType="separate"/>
            </w:r>
            <w:r w:rsidR="00C0292F" w:rsidRPr="00C0292F">
              <w:rPr>
                <w:rFonts w:cs="Arial"/>
                <w:szCs w:val="18"/>
              </w:rPr>
              <w:t xml:space="preserve">Table </w:t>
            </w:r>
            <w:r w:rsidR="00C0292F" w:rsidRPr="00C0292F">
              <w:rPr>
                <w:rFonts w:cs="Arial"/>
                <w:noProof/>
                <w:szCs w:val="18"/>
              </w:rPr>
              <w:t>3</w:t>
            </w:r>
            <w:r w:rsidR="00C0292F" w:rsidRPr="00C0292F">
              <w:rPr>
                <w:rFonts w:cs="Arial"/>
                <w:noProof/>
                <w:szCs w:val="18"/>
              </w:rPr>
              <w:noBreakHyphen/>
              <w:t>22</w:t>
            </w:r>
            <w:r w:rsidR="00274AB1">
              <w:fldChar w:fldCharType="end"/>
            </w:r>
          </w:p>
        </w:tc>
        <w:tc>
          <w:tcPr>
            <w:tcW w:w="1233" w:type="pct"/>
          </w:tcPr>
          <w:p w:rsidR="004F06D1" w:rsidRPr="001D6512" w:rsidRDefault="004F06D1" w:rsidP="00DE12EC">
            <w:pPr>
              <w:pStyle w:val="TableCell"/>
              <w:keepNext w:val="0"/>
              <w:spacing w:before="40" w:after="40" w:line="264" w:lineRule="auto"/>
              <w:rPr>
                <w:rFonts w:cs="Arial"/>
                <w:szCs w:val="18"/>
              </w:rPr>
            </w:pPr>
            <w:r w:rsidRPr="001D6512">
              <w:rPr>
                <w:rFonts w:cs="Arial"/>
                <w:szCs w:val="18"/>
              </w:rPr>
              <w:t xml:space="preserve">See </w:t>
            </w:r>
            <w:r w:rsidR="00274AB1">
              <w:fldChar w:fldCharType="begin"/>
            </w:r>
            <w:r w:rsidR="00274AB1">
              <w:instrText xml:space="preserve"> REF _Ref275556730 \h  \* MERGEFORMAT </w:instrText>
            </w:r>
            <w:r w:rsidR="00274AB1">
              <w:fldChar w:fldCharType="separate"/>
            </w:r>
            <w:r w:rsidR="00C0292F" w:rsidRPr="00C0292F">
              <w:rPr>
                <w:rFonts w:cs="Arial"/>
                <w:szCs w:val="18"/>
              </w:rPr>
              <w:t xml:space="preserve">Table </w:t>
            </w:r>
            <w:r w:rsidR="00C0292F" w:rsidRPr="00C0292F">
              <w:rPr>
                <w:rFonts w:cs="Arial"/>
                <w:noProof/>
                <w:szCs w:val="18"/>
              </w:rPr>
              <w:t>3</w:t>
            </w:r>
            <w:r w:rsidR="00C0292F" w:rsidRPr="00C0292F">
              <w:rPr>
                <w:rFonts w:cs="Arial"/>
                <w:noProof/>
                <w:szCs w:val="18"/>
              </w:rPr>
              <w:noBreakHyphen/>
              <w:t>21</w:t>
            </w:r>
            <w:r w:rsidR="00274AB1">
              <w:fldChar w:fldCharType="end"/>
            </w:r>
            <w:r w:rsidRPr="001D6512">
              <w:rPr>
                <w:rFonts w:cs="Arial"/>
                <w:szCs w:val="18"/>
              </w:rPr>
              <w:t xml:space="preserve"> and </w:t>
            </w:r>
            <w:r w:rsidR="00274AB1">
              <w:fldChar w:fldCharType="begin"/>
            </w:r>
            <w:r w:rsidR="00274AB1">
              <w:instrText xml:space="preserve"> REF _Ref275556731 \h  \* MERGEFORMAT </w:instrText>
            </w:r>
            <w:r w:rsidR="00274AB1">
              <w:fldChar w:fldCharType="separate"/>
            </w:r>
            <w:r w:rsidR="00C0292F" w:rsidRPr="00C0292F">
              <w:rPr>
                <w:rFonts w:cs="Arial"/>
                <w:szCs w:val="18"/>
              </w:rPr>
              <w:t xml:space="preserve">Table </w:t>
            </w:r>
            <w:r w:rsidR="00C0292F" w:rsidRPr="00C0292F">
              <w:rPr>
                <w:rFonts w:cs="Arial"/>
                <w:noProof/>
                <w:szCs w:val="18"/>
              </w:rPr>
              <w:t>3</w:t>
            </w:r>
            <w:r w:rsidR="00C0292F" w:rsidRPr="00C0292F">
              <w:rPr>
                <w:rFonts w:cs="Arial"/>
                <w:noProof/>
                <w:szCs w:val="18"/>
              </w:rPr>
              <w:noBreakHyphen/>
              <w:t>22</w:t>
            </w:r>
            <w:r w:rsidR="00274AB1">
              <w:fldChar w:fldCharType="end"/>
            </w:r>
          </w:p>
        </w:tc>
      </w:tr>
      <w:tr w:rsidR="004F06D1" w:rsidRPr="00256BCB" w:rsidTr="00F1106A">
        <w:trPr>
          <w:cantSplit/>
          <w:trHeight w:val="20"/>
          <w:jc w:val="center"/>
        </w:trPr>
        <w:tc>
          <w:tcPr>
            <w:tcW w:w="892" w:type="pct"/>
            <w:vMerge w:val="restart"/>
          </w:tcPr>
          <w:p w:rsidR="004F06D1" w:rsidRPr="001D6512" w:rsidDel="00642819" w:rsidRDefault="004F06D1" w:rsidP="00DE12EC">
            <w:pPr>
              <w:pStyle w:val="TableCell"/>
              <w:keepNext w:val="0"/>
              <w:spacing w:before="40" w:after="40" w:line="264" w:lineRule="auto"/>
              <w:rPr>
                <w:szCs w:val="18"/>
              </w:rPr>
            </w:pPr>
            <w:r w:rsidRPr="001D6512" w:rsidDel="00642819">
              <w:rPr>
                <w:szCs w:val="18"/>
              </w:rPr>
              <w:t>EFLH</w:t>
            </w:r>
            <w:r w:rsidRPr="001D6512">
              <w:rPr>
                <w:szCs w:val="18"/>
                <w:vertAlign w:val="subscript"/>
              </w:rPr>
              <w:t>heat</w:t>
            </w:r>
          </w:p>
        </w:tc>
        <w:tc>
          <w:tcPr>
            <w:tcW w:w="570" w:type="pct"/>
            <w:vMerge w:val="restart"/>
          </w:tcPr>
          <w:p w:rsidR="004F06D1" w:rsidRPr="001D6512" w:rsidRDefault="004F06D1" w:rsidP="00DE12EC">
            <w:pPr>
              <w:pStyle w:val="TableCell"/>
              <w:keepNext w:val="0"/>
              <w:spacing w:before="40" w:after="40" w:line="264" w:lineRule="auto"/>
              <w:rPr>
                <w:szCs w:val="18"/>
              </w:rPr>
            </w:pPr>
            <w:r w:rsidRPr="001D6512">
              <w:rPr>
                <w:szCs w:val="18"/>
              </w:rPr>
              <w:t>Variable</w:t>
            </w:r>
          </w:p>
        </w:tc>
        <w:tc>
          <w:tcPr>
            <w:tcW w:w="2305" w:type="pct"/>
            <w:vAlign w:val="center"/>
          </w:tcPr>
          <w:p w:rsidR="004F06D1" w:rsidRPr="001D6512" w:rsidRDefault="004F06D1" w:rsidP="00DE12EC">
            <w:pPr>
              <w:pStyle w:val="TableCell"/>
              <w:keepNext w:val="0"/>
              <w:spacing w:before="40" w:after="40" w:line="264" w:lineRule="auto"/>
              <w:rPr>
                <w:rFonts w:cs="Arial"/>
                <w:szCs w:val="18"/>
              </w:rPr>
            </w:pPr>
            <w:r w:rsidRPr="001D6512">
              <w:rPr>
                <w:rFonts w:cs="Arial"/>
                <w:szCs w:val="18"/>
              </w:rPr>
              <w:t>Based on Logging or Modeling</w:t>
            </w:r>
          </w:p>
        </w:tc>
        <w:tc>
          <w:tcPr>
            <w:tcW w:w="1233" w:type="pct"/>
          </w:tcPr>
          <w:p w:rsidR="004F06D1" w:rsidRPr="001D6512" w:rsidRDefault="004F06D1" w:rsidP="00DE12EC">
            <w:pPr>
              <w:pStyle w:val="TableCell"/>
              <w:keepNext w:val="0"/>
              <w:spacing w:before="40" w:after="40" w:line="264" w:lineRule="auto"/>
              <w:rPr>
                <w:szCs w:val="18"/>
              </w:rPr>
            </w:pPr>
            <w:r w:rsidRPr="001D6512">
              <w:rPr>
                <w:rFonts w:cs="Arial"/>
                <w:szCs w:val="18"/>
              </w:rPr>
              <w:t>EDC Data Gathering</w:t>
            </w:r>
          </w:p>
        </w:tc>
      </w:tr>
      <w:tr w:rsidR="004F06D1" w:rsidRPr="00256BCB" w:rsidTr="00F1106A">
        <w:trPr>
          <w:cantSplit/>
          <w:trHeight w:val="20"/>
          <w:jc w:val="center"/>
        </w:trPr>
        <w:tc>
          <w:tcPr>
            <w:tcW w:w="892" w:type="pct"/>
            <w:vMerge/>
          </w:tcPr>
          <w:p w:rsidR="004F06D1" w:rsidRPr="001D6512" w:rsidRDefault="004F06D1" w:rsidP="00DE12EC">
            <w:pPr>
              <w:pStyle w:val="TableCell"/>
              <w:keepNext w:val="0"/>
              <w:spacing w:before="40" w:after="40" w:line="264" w:lineRule="auto"/>
              <w:rPr>
                <w:szCs w:val="18"/>
              </w:rPr>
            </w:pPr>
          </w:p>
        </w:tc>
        <w:tc>
          <w:tcPr>
            <w:tcW w:w="570" w:type="pct"/>
            <w:vMerge/>
          </w:tcPr>
          <w:p w:rsidR="004F06D1" w:rsidRPr="001D6512" w:rsidRDefault="004F06D1" w:rsidP="00DE12EC">
            <w:pPr>
              <w:pStyle w:val="TableCell"/>
              <w:keepNext w:val="0"/>
              <w:spacing w:before="40" w:after="40" w:line="264" w:lineRule="auto"/>
              <w:rPr>
                <w:szCs w:val="18"/>
              </w:rPr>
            </w:pPr>
          </w:p>
        </w:tc>
        <w:tc>
          <w:tcPr>
            <w:tcW w:w="2305" w:type="pct"/>
            <w:vAlign w:val="center"/>
          </w:tcPr>
          <w:p w:rsidR="004F06D1" w:rsidRPr="001D6512" w:rsidRDefault="004F06D1" w:rsidP="00DE12EC">
            <w:pPr>
              <w:pStyle w:val="TableCell"/>
              <w:keepNext w:val="0"/>
              <w:spacing w:before="40" w:after="40" w:line="264" w:lineRule="auto"/>
              <w:rPr>
                <w:rFonts w:cs="Arial"/>
                <w:szCs w:val="18"/>
              </w:rPr>
            </w:pPr>
            <w:r w:rsidRPr="001D6512">
              <w:rPr>
                <w:rFonts w:cs="Arial"/>
                <w:szCs w:val="18"/>
              </w:rPr>
              <w:t xml:space="preserve">Default values from </w:t>
            </w:r>
            <w:r w:rsidR="00274AB1">
              <w:fldChar w:fldCharType="begin"/>
            </w:r>
            <w:r w:rsidR="00274AB1">
              <w:instrText xml:space="preserve"> REF _Ref275556730 \h  \* MERGEFORMAT </w:instrText>
            </w:r>
            <w:r w:rsidR="00274AB1">
              <w:fldChar w:fldCharType="separate"/>
            </w:r>
            <w:r w:rsidR="00C0292F" w:rsidRPr="00C0292F">
              <w:rPr>
                <w:rFonts w:cs="Arial"/>
                <w:szCs w:val="18"/>
              </w:rPr>
              <w:t xml:space="preserve">Table </w:t>
            </w:r>
            <w:r w:rsidR="00C0292F" w:rsidRPr="00C0292F">
              <w:rPr>
                <w:rFonts w:cs="Arial"/>
                <w:noProof/>
                <w:szCs w:val="18"/>
              </w:rPr>
              <w:t>3</w:t>
            </w:r>
            <w:r w:rsidR="00C0292F" w:rsidRPr="00C0292F">
              <w:rPr>
                <w:rFonts w:cs="Arial"/>
                <w:noProof/>
                <w:szCs w:val="18"/>
              </w:rPr>
              <w:noBreakHyphen/>
              <w:t>21</w:t>
            </w:r>
            <w:r w:rsidR="00274AB1">
              <w:fldChar w:fldCharType="end"/>
            </w:r>
            <w:r w:rsidRPr="001D6512">
              <w:rPr>
                <w:rFonts w:cs="Arial"/>
                <w:szCs w:val="18"/>
              </w:rPr>
              <w:t xml:space="preserve"> and </w:t>
            </w:r>
            <w:r w:rsidR="00274AB1">
              <w:fldChar w:fldCharType="begin"/>
            </w:r>
            <w:r w:rsidR="00274AB1">
              <w:instrText xml:space="preserve"> REF _Ref275556731 \h  \* MERGEFORMAT </w:instrText>
            </w:r>
            <w:r w:rsidR="00274AB1">
              <w:fldChar w:fldCharType="separate"/>
            </w:r>
            <w:r w:rsidR="00C0292F" w:rsidRPr="00C0292F">
              <w:rPr>
                <w:rFonts w:cs="Arial"/>
                <w:szCs w:val="18"/>
              </w:rPr>
              <w:t xml:space="preserve">Table </w:t>
            </w:r>
            <w:r w:rsidR="00C0292F" w:rsidRPr="00C0292F">
              <w:rPr>
                <w:rFonts w:cs="Arial"/>
                <w:noProof/>
                <w:szCs w:val="18"/>
              </w:rPr>
              <w:t>3</w:t>
            </w:r>
            <w:r w:rsidR="00C0292F" w:rsidRPr="00C0292F">
              <w:rPr>
                <w:rFonts w:cs="Arial"/>
                <w:noProof/>
                <w:szCs w:val="18"/>
              </w:rPr>
              <w:noBreakHyphen/>
              <w:t>22</w:t>
            </w:r>
            <w:r w:rsidR="00274AB1">
              <w:fldChar w:fldCharType="end"/>
            </w:r>
          </w:p>
        </w:tc>
        <w:tc>
          <w:tcPr>
            <w:tcW w:w="1233" w:type="pct"/>
          </w:tcPr>
          <w:p w:rsidR="004F06D1" w:rsidRPr="001D6512" w:rsidRDefault="004F06D1" w:rsidP="00DE12EC">
            <w:pPr>
              <w:pStyle w:val="TableCell"/>
              <w:keepNext w:val="0"/>
              <w:spacing w:before="40" w:after="40" w:line="264" w:lineRule="auto"/>
              <w:rPr>
                <w:rFonts w:cs="Arial"/>
                <w:szCs w:val="18"/>
              </w:rPr>
            </w:pPr>
            <w:r w:rsidRPr="001D6512">
              <w:rPr>
                <w:rFonts w:cs="Arial"/>
                <w:szCs w:val="18"/>
              </w:rPr>
              <w:t xml:space="preserve">See </w:t>
            </w:r>
            <w:r w:rsidR="00274AB1">
              <w:fldChar w:fldCharType="begin"/>
            </w:r>
            <w:r w:rsidR="00274AB1">
              <w:instrText xml:space="preserve"> REF _Ref275556730 \h  \* MERGEFORMAT </w:instrText>
            </w:r>
            <w:r w:rsidR="00274AB1">
              <w:fldChar w:fldCharType="separate"/>
            </w:r>
            <w:r w:rsidR="00C0292F" w:rsidRPr="00C0292F">
              <w:rPr>
                <w:rFonts w:cs="Arial"/>
                <w:szCs w:val="18"/>
              </w:rPr>
              <w:t xml:space="preserve">Table </w:t>
            </w:r>
            <w:r w:rsidR="00C0292F" w:rsidRPr="00C0292F">
              <w:rPr>
                <w:rFonts w:cs="Arial"/>
                <w:noProof/>
                <w:szCs w:val="18"/>
              </w:rPr>
              <w:t>3</w:t>
            </w:r>
            <w:r w:rsidR="00C0292F" w:rsidRPr="00C0292F">
              <w:rPr>
                <w:rFonts w:cs="Arial"/>
                <w:noProof/>
                <w:szCs w:val="18"/>
              </w:rPr>
              <w:noBreakHyphen/>
              <w:t>21</w:t>
            </w:r>
            <w:r w:rsidR="00274AB1">
              <w:fldChar w:fldCharType="end"/>
            </w:r>
            <w:r w:rsidRPr="001D6512">
              <w:rPr>
                <w:rFonts w:cs="Arial"/>
                <w:szCs w:val="18"/>
              </w:rPr>
              <w:t xml:space="preserve"> and </w:t>
            </w:r>
            <w:r w:rsidR="00274AB1">
              <w:fldChar w:fldCharType="begin"/>
            </w:r>
            <w:r w:rsidR="00274AB1">
              <w:instrText xml:space="preserve"> REF _Ref275556731 \h  \* MERGEFORMAT </w:instrText>
            </w:r>
            <w:r w:rsidR="00274AB1">
              <w:fldChar w:fldCharType="separate"/>
            </w:r>
            <w:r w:rsidR="00C0292F" w:rsidRPr="00C0292F">
              <w:rPr>
                <w:rFonts w:cs="Arial"/>
                <w:szCs w:val="18"/>
              </w:rPr>
              <w:t xml:space="preserve">Table </w:t>
            </w:r>
            <w:r w:rsidR="00C0292F" w:rsidRPr="00C0292F">
              <w:rPr>
                <w:rFonts w:cs="Arial"/>
                <w:noProof/>
                <w:szCs w:val="18"/>
              </w:rPr>
              <w:t>3</w:t>
            </w:r>
            <w:r w:rsidR="00C0292F" w:rsidRPr="00C0292F">
              <w:rPr>
                <w:rFonts w:cs="Arial"/>
                <w:noProof/>
                <w:szCs w:val="18"/>
              </w:rPr>
              <w:noBreakHyphen/>
              <w:t>22</w:t>
            </w:r>
            <w:r w:rsidR="00274AB1">
              <w:fldChar w:fldCharType="end"/>
            </w:r>
          </w:p>
        </w:tc>
      </w:tr>
      <w:tr w:rsidR="004F06D1" w:rsidRPr="00256BCB" w:rsidTr="00F1106A">
        <w:trPr>
          <w:cantSplit/>
          <w:trHeight w:val="20"/>
          <w:jc w:val="center"/>
        </w:trPr>
        <w:tc>
          <w:tcPr>
            <w:tcW w:w="892" w:type="pct"/>
          </w:tcPr>
          <w:p w:rsidR="004F06D1" w:rsidRPr="001D6512" w:rsidDel="00642819" w:rsidRDefault="004F06D1" w:rsidP="00DE12EC">
            <w:pPr>
              <w:pStyle w:val="TableCell"/>
              <w:keepNext w:val="0"/>
              <w:spacing w:before="40" w:after="40" w:line="264" w:lineRule="auto"/>
              <w:rPr>
                <w:szCs w:val="18"/>
              </w:rPr>
            </w:pPr>
            <w:r w:rsidRPr="001D6512" w:rsidDel="00642819">
              <w:rPr>
                <w:szCs w:val="18"/>
              </w:rPr>
              <w:t>CF</w:t>
            </w:r>
            <w:r w:rsidRPr="001D6512">
              <w:rPr>
                <w:szCs w:val="18"/>
                <w:vertAlign w:val="subscript"/>
              </w:rPr>
              <w:t>cool</w:t>
            </w:r>
          </w:p>
        </w:tc>
        <w:tc>
          <w:tcPr>
            <w:tcW w:w="570" w:type="pct"/>
          </w:tcPr>
          <w:p w:rsidR="004F06D1" w:rsidRPr="001D6512" w:rsidRDefault="004F06D1" w:rsidP="00DE12EC">
            <w:pPr>
              <w:pStyle w:val="TableCell"/>
              <w:keepNext w:val="0"/>
              <w:spacing w:before="40" w:after="40" w:line="264" w:lineRule="auto"/>
              <w:rPr>
                <w:szCs w:val="18"/>
              </w:rPr>
            </w:pPr>
            <w:r w:rsidRPr="001D6512">
              <w:rPr>
                <w:szCs w:val="18"/>
              </w:rPr>
              <w:t>Fixed</w:t>
            </w:r>
          </w:p>
        </w:tc>
        <w:tc>
          <w:tcPr>
            <w:tcW w:w="2305" w:type="pct"/>
          </w:tcPr>
          <w:p w:rsidR="004F06D1" w:rsidRPr="001D6512" w:rsidRDefault="004F06D1" w:rsidP="00DE12EC">
            <w:pPr>
              <w:pStyle w:val="TableCell"/>
              <w:keepNext w:val="0"/>
              <w:spacing w:before="40" w:after="40" w:line="264" w:lineRule="auto"/>
              <w:rPr>
                <w:szCs w:val="18"/>
              </w:rPr>
            </w:pPr>
            <w:r w:rsidRPr="001D6512">
              <w:rPr>
                <w:szCs w:val="18"/>
              </w:rPr>
              <w:t>Default = 0.</w:t>
            </w:r>
            <w:r w:rsidR="00F1106A" w:rsidRPr="001D6512">
              <w:rPr>
                <w:szCs w:val="18"/>
              </w:rPr>
              <w:t>80</w:t>
            </w:r>
          </w:p>
        </w:tc>
        <w:tc>
          <w:tcPr>
            <w:tcW w:w="1233" w:type="pct"/>
          </w:tcPr>
          <w:p w:rsidR="004F06D1" w:rsidRPr="001D6512" w:rsidRDefault="00F1106A" w:rsidP="00DE12EC">
            <w:pPr>
              <w:pStyle w:val="TableCell"/>
              <w:keepNext w:val="0"/>
              <w:spacing w:before="40" w:after="40" w:line="264" w:lineRule="auto"/>
              <w:rPr>
                <w:szCs w:val="18"/>
              </w:rPr>
            </w:pPr>
            <w:r w:rsidRPr="001D6512">
              <w:rPr>
                <w:szCs w:val="18"/>
              </w:rPr>
              <w:t>3</w:t>
            </w:r>
          </w:p>
        </w:tc>
      </w:tr>
      <w:tr w:rsidR="004F06D1" w:rsidRPr="00256BCB" w:rsidTr="00F1106A">
        <w:trPr>
          <w:cantSplit/>
          <w:trHeight w:val="20"/>
          <w:jc w:val="center"/>
        </w:trPr>
        <w:tc>
          <w:tcPr>
            <w:tcW w:w="892" w:type="pct"/>
          </w:tcPr>
          <w:p w:rsidR="004F06D1" w:rsidRPr="001D6512" w:rsidDel="00642819" w:rsidRDefault="004F06D1" w:rsidP="00DE12EC">
            <w:pPr>
              <w:pStyle w:val="TableCell"/>
              <w:keepNext w:val="0"/>
              <w:spacing w:before="40" w:after="40" w:line="264" w:lineRule="auto"/>
              <w:rPr>
                <w:szCs w:val="18"/>
              </w:rPr>
            </w:pPr>
            <w:r w:rsidRPr="001D6512" w:rsidDel="00642819">
              <w:rPr>
                <w:szCs w:val="18"/>
              </w:rPr>
              <w:t>CF</w:t>
            </w:r>
            <w:r w:rsidRPr="001D6512">
              <w:rPr>
                <w:szCs w:val="18"/>
                <w:vertAlign w:val="subscript"/>
              </w:rPr>
              <w:t>pump</w:t>
            </w:r>
          </w:p>
        </w:tc>
        <w:tc>
          <w:tcPr>
            <w:tcW w:w="570" w:type="pct"/>
          </w:tcPr>
          <w:p w:rsidR="004F06D1" w:rsidRPr="001D6512" w:rsidRDefault="004F06D1" w:rsidP="00DE12EC">
            <w:pPr>
              <w:pStyle w:val="TableCell"/>
              <w:keepNext w:val="0"/>
              <w:spacing w:before="40" w:after="40" w:line="264" w:lineRule="auto"/>
              <w:rPr>
                <w:szCs w:val="18"/>
              </w:rPr>
            </w:pPr>
            <w:r w:rsidRPr="001D6512">
              <w:rPr>
                <w:szCs w:val="18"/>
              </w:rPr>
              <w:t>Fixed</w:t>
            </w:r>
          </w:p>
        </w:tc>
        <w:tc>
          <w:tcPr>
            <w:tcW w:w="2305" w:type="pct"/>
          </w:tcPr>
          <w:p w:rsidR="004F06D1" w:rsidRPr="001D6512" w:rsidRDefault="00DE12EC" w:rsidP="00DE12EC">
            <w:pPr>
              <w:pStyle w:val="TableCell"/>
              <w:keepNext w:val="0"/>
              <w:spacing w:before="40" w:after="40" w:line="264" w:lineRule="auto"/>
              <w:rPr>
                <w:szCs w:val="18"/>
              </w:rPr>
            </w:pPr>
            <w:r>
              <w:rPr>
                <w:szCs w:val="18"/>
              </w:rPr>
              <w:t>I</w:t>
            </w:r>
            <w:r w:rsidR="004F06D1" w:rsidRPr="001D6512">
              <w:rPr>
                <w:szCs w:val="18"/>
              </w:rPr>
              <w:t xml:space="preserve">f unit runs 24/7/365, default = 1.0; </w:t>
            </w:r>
          </w:p>
          <w:p w:rsidR="004F06D1" w:rsidRPr="001D6512" w:rsidRDefault="00DE12EC" w:rsidP="00DE12EC">
            <w:pPr>
              <w:pStyle w:val="TableCell"/>
              <w:keepNext w:val="0"/>
              <w:spacing w:before="40" w:after="40" w:line="264" w:lineRule="auto"/>
              <w:rPr>
                <w:szCs w:val="18"/>
              </w:rPr>
            </w:pPr>
            <w:r>
              <w:rPr>
                <w:szCs w:val="18"/>
              </w:rPr>
              <w:t>I</w:t>
            </w:r>
            <w:r w:rsidR="004F06D1" w:rsidRPr="001D6512">
              <w:rPr>
                <w:szCs w:val="18"/>
              </w:rPr>
              <w:t xml:space="preserve">f unit runs only with heat pump unit compressor, default = 0.67 </w:t>
            </w:r>
          </w:p>
        </w:tc>
        <w:tc>
          <w:tcPr>
            <w:tcW w:w="1233" w:type="pct"/>
          </w:tcPr>
          <w:p w:rsidR="004F06D1" w:rsidRPr="001D6512" w:rsidRDefault="00F1106A" w:rsidP="00DE12EC">
            <w:pPr>
              <w:pStyle w:val="TableCell"/>
              <w:keepNext w:val="0"/>
              <w:spacing w:before="40" w:after="40" w:line="264" w:lineRule="auto"/>
              <w:rPr>
                <w:szCs w:val="18"/>
              </w:rPr>
            </w:pPr>
            <w:r w:rsidRPr="001D6512">
              <w:rPr>
                <w:rFonts w:cs="Arial"/>
                <w:szCs w:val="18"/>
              </w:rPr>
              <w:t>4</w:t>
            </w:r>
          </w:p>
        </w:tc>
      </w:tr>
      <w:tr w:rsidR="004F06D1" w:rsidRPr="00256BCB" w:rsidTr="00F1106A">
        <w:trPr>
          <w:cantSplit/>
          <w:trHeight w:val="20"/>
          <w:jc w:val="center"/>
        </w:trPr>
        <w:tc>
          <w:tcPr>
            <w:tcW w:w="892" w:type="pct"/>
          </w:tcPr>
          <w:p w:rsidR="004F06D1" w:rsidRPr="001D6512" w:rsidDel="00642819" w:rsidRDefault="004F06D1" w:rsidP="00DE12EC">
            <w:pPr>
              <w:pStyle w:val="TableCell"/>
              <w:keepNext w:val="0"/>
              <w:spacing w:before="40" w:after="40" w:line="264" w:lineRule="auto"/>
              <w:rPr>
                <w:szCs w:val="18"/>
              </w:rPr>
            </w:pPr>
            <w:r w:rsidRPr="001D6512">
              <w:rPr>
                <w:noProof/>
                <w:szCs w:val="18"/>
              </w:rPr>
              <w:t>HP</w:t>
            </w:r>
            <w:r w:rsidRPr="001D6512">
              <w:rPr>
                <w:noProof/>
                <w:szCs w:val="18"/>
                <w:vertAlign w:val="subscript"/>
              </w:rPr>
              <w:t>basemotor</w:t>
            </w:r>
          </w:p>
        </w:tc>
        <w:tc>
          <w:tcPr>
            <w:tcW w:w="570" w:type="pct"/>
          </w:tcPr>
          <w:p w:rsidR="004F06D1" w:rsidRPr="001D6512" w:rsidRDefault="004F06D1" w:rsidP="00DE12EC">
            <w:pPr>
              <w:pStyle w:val="TableCell"/>
              <w:keepNext w:val="0"/>
              <w:spacing w:before="40" w:after="40" w:line="264" w:lineRule="auto"/>
              <w:rPr>
                <w:szCs w:val="18"/>
              </w:rPr>
            </w:pPr>
            <w:r w:rsidRPr="001D6512">
              <w:rPr>
                <w:szCs w:val="18"/>
              </w:rPr>
              <w:t>Variable</w:t>
            </w:r>
          </w:p>
        </w:tc>
        <w:tc>
          <w:tcPr>
            <w:tcW w:w="2305" w:type="pct"/>
          </w:tcPr>
          <w:p w:rsidR="004F06D1" w:rsidRPr="001D6512" w:rsidRDefault="004F06D1" w:rsidP="00DE12EC">
            <w:pPr>
              <w:pStyle w:val="TableCell"/>
              <w:keepNext w:val="0"/>
              <w:spacing w:before="40" w:after="40" w:line="264" w:lineRule="auto"/>
              <w:rPr>
                <w:szCs w:val="18"/>
              </w:rPr>
            </w:pPr>
            <w:r w:rsidRPr="001D6512">
              <w:rPr>
                <w:szCs w:val="18"/>
              </w:rPr>
              <w:t>Nameplate</w:t>
            </w:r>
          </w:p>
        </w:tc>
        <w:tc>
          <w:tcPr>
            <w:tcW w:w="1233" w:type="pct"/>
          </w:tcPr>
          <w:p w:rsidR="004F06D1" w:rsidRPr="001D6512" w:rsidRDefault="004F06D1" w:rsidP="00DE12EC">
            <w:pPr>
              <w:pStyle w:val="TableCell"/>
              <w:keepNext w:val="0"/>
              <w:spacing w:before="40" w:after="40" w:line="264" w:lineRule="auto"/>
              <w:rPr>
                <w:szCs w:val="18"/>
              </w:rPr>
            </w:pPr>
            <w:r w:rsidRPr="001D6512">
              <w:rPr>
                <w:rFonts w:cs="Arial"/>
                <w:szCs w:val="18"/>
              </w:rPr>
              <w:t>EDC Data Gathering</w:t>
            </w:r>
          </w:p>
        </w:tc>
      </w:tr>
      <w:tr w:rsidR="004F06D1" w:rsidRPr="00256BCB" w:rsidTr="00F1106A">
        <w:trPr>
          <w:cantSplit/>
          <w:trHeight w:val="20"/>
          <w:jc w:val="center"/>
        </w:trPr>
        <w:tc>
          <w:tcPr>
            <w:tcW w:w="892" w:type="pct"/>
            <w:vMerge w:val="restart"/>
          </w:tcPr>
          <w:p w:rsidR="004F06D1" w:rsidRPr="001D6512" w:rsidRDefault="004F06D1" w:rsidP="00DE12EC">
            <w:pPr>
              <w:pStyle w:val="TableCell"/>
              <w:keepNext w:val="0"/>
              <w:spacing w:before="40" w:after="40" w:line="264" w:lineRule="auto"/>
              <w:rPr>
                <w:noProof/>
                <w:szCs w:val="18"/>
              </w:rPr>
            </w:pPr>
            <w:r w:rsidRPr="001D6512">
              <w:rPr>
                <w:noProof/>
                <w:szCs w:val="18"/>
              </w:rPr>
              <w:t>LF</w:t>
            </w:r>
            <w:r w:rsidRPr="001D6512">
              <w:rPr>
                <w:noProof/>
                <w:szCs w:val="18"/>
                <w:vertAlign w:val="subscript"/>
              </w:rPr>
              <w:t>base</w:t>
            </w:r>
          </w:p>
        </w:tc>
        <w:tc>
          <w:tcPr>
            <w:tcW w:w="570" w:type="pct"/>
            <w:vMerge w:val="restart"/>
          </w:tcPr>
          <w:p w:rsidR="004F06D1" w:rsidRPr="001D6512" w:rsidRDefault="004F06D1" w:rsidP="00DE12EC">
            <w:pPr>
              <w:pStyle w:val="TableCell"/>
              <w:keepNext w:val="0"/>
              <w:spacing w:before="40" w:after="40" w:line="264" w:lineRule="auto"/>
              <w:rPr>
                <w:szCs w:val="18"/>
              </w:rPr>
            </w:pPr>
            <w:r w:rsidRPr="001D6512">
              <w:rPr>
                <w:szCs w:val="18"/>
              </w:rPr>
              <w:t>Variable</w:t>
            </w:r>
          </w:p>
        </w:tc>
        <w:tc>
          <w:tcPr>
            <w:tcW w:w="2305" w:type="pct"/>
            <w:vAlign w:val="center"/>
          </w:tcPr>
          <w:p w:rsidR="004F06D1" w:rsidRPr="001D6512" w:rsidRDefault="004F06D1" w:rsidP="00DE12EC">
            <w:pPr>
              <w:pStyle w:val="TableCell"/>
              <w:keepNext w:val="0"/>
              <w:spacing w:before="40" w:after="40" w:line="264" w:lineRule="auto"/>
            </w:pPr>
            <w:r w:rsidRPr="001D6512">
              <w:t>Based on spot metering</w:t>
            </w:r>
          </w:p>
        </w:tc>
        <w:tc>
          <w:tcPr>
            <w:tcW w:w="1233" w:type="pct"/>
            <w:vAlign w:val="center"/>
          </w:tcPr>
          <w:p w:rsidR="004F06D1" w:rsidRPr="001D6512" w:rsidRDefault="004F06D1" w:rsidP="00DE12EC">
            <w:pPr>
              <w:pStyle w:val="TableCell"/>
              <w:keepNext w:val="0"/>
              <w:spacing w:before="40" w:after="40" w:line="264" w:lineRule="auto"/>
            </w:pPr>
            <w:r w:rsidRPr="001D6512">
              <w:t>EDC Data Gathering</w:t>
            </w:r>
          </w:p>
        </w:tc>
      </w:tr>
      <w:tr w:rsidR="004F06D1" w:rsidRPr="00256BCB" w:rsidTr="00F1106A">
        <w:trPr>
          <w:cantSplit/>
          <w:trHeight w:val="20"/>
          <w:jc w:val="center"/>
        </w:trPr>
        <w:tc>
          <w:tcPr>
            <w:tcW w:w="892" w:type="pct"/>
            <w:vMerge/>
          </w:tcPr>
          <w:p w:rsidR="004F06D1" w:rsidRPr="001D6512" w:rsidRDefault="004F06D1" w:rsidP="00DE12EC">
            <w:pPr>
              <w:pStyle w:val="TableCell"/>
              <w:keepNext w:val="0"/>
              <w:spacing w:before="40" w:after="40" w:line="264" w:lineRule="auto"/>
              <w:rPr>
                <w:noProof/>
                <w:szCs w:val="18"/>
              </w:rPr>
            </w:pPr>
          </w:p>
        </w:tc>
        <w:tc>
          <w:tcPr>
            <w:tcW w:w="570" w:type="pct"/>
            <w:vMerge/>
          </w:tcPr>
          <w:p w:rsidR="004F06D1" w:rsidRPr="001D6512" w:rsidRDefault="004F06D1" w:rsidP="00DE12EC">
            <w:pPr>
              <w:pStyle w:val="TableCell"/>
              <w:keepNext w:val="0"/>
              <w:spacing w:before="40" w:after="40" w:line="264" w:lineRule="auto"/>
              <w:rPr>
                <w:szCs w:val="18"/>
              </w:rPr>
            </w:pPr>
          </w:p>
        </w:tc>
        <w:tc>
          <w:tcPr>
            <w:tcW w:w="2305" w:type="pct"/>
          </w:tcPr>
          <w:p w:rsidR="004F06D1" w:rsidRPr="001D6512" w:rsidRDefault="004F06D1" w:rsidP="00DE12EC">
            <w:pPr>
              <w:pStyle w:val="TableCell"/>
              <w:keepNext w:val="0"/>
              <w:spacing w:before="40" w:after="40" w:line="264" w:lineRule="auto"/>
              <w:rPr>
                <w:szCs w:val="18"/>
              </w:rPr>
            </w:pPr>
            <w:r w:rsidRPr="001D6512">
              <w:rPr>
                <w:szCs w:val="18"/>
              </w:rPr>
              <w:t>Default 75%</w:t>
            </w:r>
          </w:p>
        </w:tc>
        <w:tc>
          <w:tcPr>
            <w:tcW w:w="1233" w:type="pct"/>
          </w:tcPr>
          <w:p w:rsidR="004F06D1" w:rsidRPr="001D6512" w:rsidRDefault="004F06D1" w:rsidP="00DE12EC">
            <w:pPr>
              <w:pStyle w:val="TableCell"/>
              <w:keepNext w:val="0"/>
              <w:spacing w:before="40" w:after="40" w:line="264" w:lineRule="auto"/>
              <w:rPr>
                <w:rFonts w:cs="Arial"/>
                <w:szCs w:val="18"/>
              </w:rPr>
            </w:pPr>
            <w:r w:rsidRPr="001D6512">
              <w:rPr>
                <w:rFonts w:cs="Arial"/>
                <w:szCs w:val="18"/>
              </w:rPr>
              <w:t>1</w:t>
            </w:r>
          </w:p>
        </w:tc>
      </w:tr>
      <w:tr w:rsidR="004F06D1" w:rsidRPr="00256BCB" w:rsidTr="00F1106A">
        <w:trPr>
          <w:cantSplit/>
          <w:trHeight w:val="20"/>
          <w:jc w:val="center"/>
        </w:trPr>
        <w:tc>
          <w:tcPr>
            <w:tcW w:w="892" w:type="pct"/>
            <w:vMerge w:val="restart"/>
          </w:tcPr>
          <w:p w:rsidR="004F06D1" w:rsidRPr="001D6512" w:rsidRDefault="004F06D1" w:rsidP="00DE12EC">
            <w:pPr>
              <w:pStyle w:val="TableCell"/>
              <w:keepNext w:val="0"/>
              <w:spacing w:before="40" w:after="40" w:line="264" w:lineRule="auto"/>
              <w:rPr>
                <w:noProof/>
                <w:szCs w:val="18"/>
              </w:rPr>
            </w:pPr>
            <w:r w:rsidRPr="001D6512">
              <w:rPr>
                <w:rFonts w:hint="eastAsia"/>
                <w:noProof/>
                <w:szCs w:val="18"/>
              </w:rPr>
              <w:t>η</w:t>
            </w:r>
            <w:r w:rsidRPr="001D6512">
              <w:rPr>
                <w:noProof/>
                <w:szCs w:val="18"/>
                <w:vertAlign w:val="subscript"/>
              </w:rPr>
              <w:t>basemotor</w:t>
            </w:r>
          </w:p>
        </w:tc>
        <w:tc>
          <w:tcPr>
            <w:tcW w:w="570" w:type="pct"/>
            <w:vMerge w:val="restart"/>
          </w:tcPr>
          <w:p w:rsidR="004F06D1" w:rsidRPr="001D6512" w:rsidRDefault="004F06D1" w:rsidP="00DE12EC">
            <w:pPr>
              <w:pStyle w:val="TableCell"/>
              <w:keepNext w:val="0"/>
              <w:spacing w:before="40" w:after="40" w:line="264" w:lineRule="auto"/>
              <w:rPr>
                <w:szCs w:val="18"/>
              </w:rPr>
            </w:pPr>
            <w:r w:rsidRPr="001D6512">
              <w:rPr>
                <w:szCs w:val="18"/>
              </w:rPr>
              <w:t>Variable</w:t>
            </w:r>
          </w:p>
        </w:tc>
        <w:tc>
          <w:tcPr>
            <w:tcW w:w="2305" w:type="pct"/>
          </w:tcPr>
          <w:p w:rsidR="004F06D1" w:rsidRPr="001D6512" w:rsidRDefault="004F06D1" w:rsidP="00DE12EC">
            <w:pPr>
              <w:pStyle w:val="TableCell"/>
              <w:keepNext w:val="0"/>
              <w:spacing w:before="40" w:after="40" w:line="264" w:lineRule="auto"/>
              <w:rPr>
                <w:szCs w:val="18"/>
              </w:rPr>
            </w:pPr>
            <w:r w:rsidRPr="001D6512">
              <w:rPr>
                <w:szCs w:val="18"/>
              </w:rPr>
              <w:t>Nameplate</w:t>
            </w:r>
          </w:p>
        </w:tc>
        <w:tc>
          <w:tcPr>
            <w:tcW w:w="1233" w:type="pct"/>
          </w:tcPr>
          <w:p w:rsidR="004F06D1" w:rsidRPr="001D6512" w:rsidRDefault="004F06D1" w:rsidP="00DE12EC">
            <w:pPr>
              <w:pStyle w:val="TableCell"/>
              <w:keepNext w:val="0"/>
              <w:spacing w:before="40" w:after="40" w:line="264" w:lineRule="auto"/>
              <w:rPr>
                <w:szCs w:val="18"/>
              </w:rPr>
            </w:pPr>
            <w:r w:rsidRPr="001D6512">
              <w:rPr>
                <w:rFonts w:cs="Arial"/>
                <w:szCs w:val="18"/>
              </w:rPr>
              <w:t>EDC’s Data Gathering</w:t>
            </w:r>
          </w:p>
        </w:tc>
      </w:tr>
      <w:tr w:rsidR="004F06D1" w:rsidRPr="00256BCB" w:rsidTr="00F1106A">
        <w:trPr>
          <w:cantSplit/>
          <w:trHeight w:val="20"/>
          <w:jc w:val="center"/>
        </w:trPr>
        <w:tc>
          <w:tcPr>
            <w:tcW w:w="892" w:type="pct"/>
            <w:vMerge/>
          </w:tcPr>
          <w:p w:rsidR="004F06D1" w:rsidRPr="001D6512" w:rsidRDefault="004F06D1" w:rsidP="00DE12EC">
            <w:pPr>
              <w:pStyle w:val="TableCell"/>
              <w:keepNext w:val="0"/>
              <w:spacing w:before="40" w:after="40" w:line="264" w:lineRule="auto"/>
              <w:rPr>
                <w:noProof/>
                <w:szCs w:val="18"/>
              </w:rPr>
            </w:pPr>
          </w:p>
        </w:tc>
        <w:tc>
          <w:tcPr>
            <w:tcW w:w="570" w:type="pct"/>
            <w:vMerge/>
          </w:tcPr>
          <w:p w:rsidR="004F06D1" w:rsidRPr="001D6512" w:rsidRDefault="004F06D1" w:rsidP="00DE12EC">
            <w:pPr>
              <w:pStyle w:val="TableCell"/>
              <w:keepNext w:val="0"/>
              <w:spacing w:before="40" w:after="40" w:line="264" w:lineRule="auto"/>
              <w:rPr>
                <w:szCs w:val="18"/>
              </w:rPr>
            </w:pPr>
          </w:p>
        </w:tc>
        <w:tc>
          <w:tcPr>
            <w:tcW w:w="2305" w:type="pct"/>
          </w:tcPr>
          <w:p w:rsidR="004F06D1" w:rsidRPr="001D6512" w:rsidRDefault="004F06D1" w:rsidP="00DE12EC">
            <w:pPr>
              <w:pStyle w:val="TableCell"/>
              <w:keepNext w:val="0"/>
              <w:spacing w:before="40" w:after="40" w:line="264" w:lineRule="auto"/>
              <w:rPr>
                <w:szCs w:val="18"/>
              </w:rPr>
            </w:pPr>
            <w:r w:rsidRPr="001D6512">
              <w:rPr>
                <w:szCs w:val="18"/>
              </w:rPr>
              <w:t xml:space="preserve">If unknown, assume the federal minimum efficiency requirements in </w:t>
            </w:r>
            <w:r w:rsidR="007A1FB6" w:rsidRPr="001D6512">
              <w:fldChar w:fldCharType="begin"/>
            </w:r>
            <w:r w:rsidRPr="001D6512">
              <w:rPr>
                <w:szCs w:val="18"/>
              </w:rPr>
              <w:instrText xml:space="preserve"> REF _Ref303272340 \h </w:instrText>
            </w:r>
            <w:r w:rsidR="007A1FB6" w:rsidRPr="001D6512">
              <w:fldChar w:fldCharType="separate"/>
            </w:r>
            <w:r w:rsidR="00C0292F">
              <w:t xml:space="preserve">Table </w:t>
            </w:r>
            <w:r w:rsidR="00C0292F">
              <w:rPr>
                <w:noProof/>
              </w:rPr>
              <w:t>3</w:t>
            </w:r>
            <w:r w:rsidR="00C0292F">
              <w:noBreakHyphen/>
            </w:r>
            <w:r w:rsidR="00C0292F">
              <w:rPr>
                <w:noProof/>
              </w:rPr>
              <w:t>63</w:t>
            </w:r>
            <w:r w:rsidR="007A1FB6" w:rsidRPr="001D6512">
              <w:fldChar w:fldCharType="end"/>
            </w:r>
          </w:p>
        </w:tc>
        <w:tc>
          <w:tcPr>
            <w:tcW w:w="1233" w:type="pct"/>
          </w:tcPr>
          <w:p w:rsidR="004F06D1" w:rsidRPr="001D6512" w:rsidRDefault="004F06D1" w:rsidP="00DE12EC">
            <w:pPr>
              <w:pStyle w:val="TableCell"/>
              <w:keepNext w:val="0"/>
              <w:spacing w:before="40" w:after="40" w:line="264" w:lineRule="auto"/>
              <w:rPr>
                <w:rFonts w:cs="Arial"/>
                <w:szCs w:val="18"/>
              </w:rPr>
            </w:pPr>
            <w:r w:rsidRPr="001D6512">
              <w:rPr>
                <w:rFonts w:cs="Arial"/>
                <w:szCs w:val="18"/>
              </w:rPr>
              <w:t xml:space="preserve">See </w:t>
            </w:r>
            <w:r w:rsidR="007A1FB6" w:rsidRPr="001D6512">
              <w:fldChar w:fldCharType="begin"/>
            </w:r>
            <w:r w:rsidRPr="001D6512">
              <w:rPr>
                <w:szCs w:val="18"/>
              </w:rPr>
              <w:instrText xml:space="preserve"> REF _Ref303272340 \h </w:instrText>
            </w:r>
            <w:r w:rsidR="007A1FB6" w:rsidRPr="001D6512">
              <w:fldChar w:fldCharType="separate"/>
            </w:r>
            <w:r w:rsidR="00C0292F">
              <w:t xml:space="preserve">Table </w:t>
            </w:r>
            <w:r w:rsidR="00C0292F">
              <w:rPr>
                <w:noProof/>
              </w:rPr>
              <w:t>3</w:t>
            </w:r>
            <w:r w:rsidR="00C0292F">
              <w:noBreakHyphen/>
            </w:r>
            <w:r w:rsidR="00C0292F">
              <w:rPr>
                <w:noProof/>
              </w:rPr>
              <w:t>63</w:t>
            </w:r>
            <w:r w:rsidR="007A1FB6" w:rsidRPr="001D6512">
              <w:fldChar w:fldCharType="end"/>
            </w:r>
          </w:p>
        </w:tc>
      </w:tr>
      <w:tr w:rsidR="004F06D1" w:rsidRPr="00256BCB" w:rsidTr="00F1106A">
        <w:trPr>
          <w:cantSplit/>
          <w:trHeight w:val="20"/>
          <w:jc w:val="center"/>
        </w:trPr>
        <w:tc>
          <w:tcPr>
            <w:tcW w:w="892" w:type="pct"/>
            <w:vMerge w:val="restart"/>
          </w:tcPr>
          <w:p w:rsidR="004F06D1" w:rsidRPr="001D6512" w:rsidRDefault="004F06D1" w:rsidP="00DE12EC">
            <w:pPr>
              <w:pStyle w:val="TableCell"/>
              <w:keepNext w:val="0"/>
              <w:spacing w:before="40" w:after="40" w:line="264" w:lineRule="auto"/>
              <w:rPr>
                <w:noProof/>
                <w:szCs w:val="18"/>
              </w:rPr>
            </w:pPr>
            <w:r w:rsidRPr="001D6512">
              <w:rPr>
                <w:rFonts w:hint="eastAsia"/>
                <w:noProof/>
                <w:szCs w:val="18"/>
              </w:rPr>
              <w:t>η</w:t>
            </w:r>
            <w:r w:rsidRPr="001D6512">
              <w:rPr>
                <w:noProof/>
                <w:szCs w:val="18"/>
                <w:vertAlign w:val="subscript"/>
              </w:rPr>
              <w:t>basepump</w:t>
            </w:r>
          </w:p>
        </w:tc>
        <w:tc>
          <w:tcPr>
            <w:tcW w:w="570" w:type="pct"/>
            <w:vMerge w:val="restart"/>
          </w:tcPr>
          <w:p w:rsidR="004F06D1" w:rsidRPr="001D6512" w:rsidRDefault="004F06D1" w:rsidP="00DE12EC">
            <w:pPr>
              <w:pStyle w:val="TableCell"/>
              <w:keepNext w:val="0"/>
              <w:spacing w:before="40" w:after="40" w:line="264" w:lineRule="auto"/>
              <w:rPr>
                <w:szCs w:val="18"/>
              </w:rPr>
            </w:pPr>
            <w:r w:rsidRPr="001D6512">
              <w:rPr>
                <w:szCs w:val="18"/>
              </w:rPr>
              <w:t>Variable</w:t>
            </w:r>
          </w:p>
        </w:tc>
        <w:tc>
          <w:tcPr>
            <w:tcW w:w="2305" w:type="pct"/>
          </w:tcPr>
          <w:p w:rsidR="004F06D1" w:rsidRPr="001D6512" w:rsidRDefault="004F06D1" w:rsidP="00DE12EC">
            <w:pPr>
              <w:pStyle w:val="TableCell"/>
              <w:keepNext w:val="0"/>
              <w:spacing w:before="40" w:after="40" w:line="264" w:lineRule="auto"/>
              <w:rPr>
                <w:szCs w:val="18"/>
              </w:rPr>
            </w:pPr>
            <w:r w:rsidRPr="001D6512">
              <w:rPr>
                <w:szCs w:val="18"/>
              </w:rPr>
              <w:t>Nameplate</w:t>
            </w:r>
          </w:p>
        </w:tc>
        <w:tc>
          <w:tcPr>
            <w:tcW w:w="1233" w:type="pct"/>
          </w:tcPr>
          <w:p w:rsidR="004F06D1" w:rsidRPr="001D6512" w:rsidRDefault="004F06D1" w:rsidP="00DE12EC">
            <w:pPr>
              <w:pStyle w:val="TableCell"/>
              <w:keepNext w:val="0"/>
              <w:spacing w:before="40" w:after="40" w:line="264" w:lineRule="auto"/>
              <w:rPr>
                <w:szCs w:val="18"/>
              </w:rPr>
            </w:pPr>
            <w:r w:rsidRPr="001D6512">
              <w:rPr>
                <w:rFonts w:cs="Arial"/>
                <w:szCs w:val="18"/>
              </w:rPr>
              <w:t>EDC’s Data Gathering</w:t>
            </w:r>
          </w:p>
        </w:tc>
      </w:tr>
      <w:tr w:rsidR="004F06D1" w:rsidRPr="00256BCB" w:rsidTr="00F1106A">
        <w:trPr>
          <w:cantSplit/>
          <w:trHeight w:val="20"/>
          <w:jc w:val="center"/>
        </w:trPr>
        <w:tc>
          <w:tcPr>
            <w:tcW w:w="892" w:type="pct"/>
            <w:vMerge/>
          </w:tcPr>
          <w:p w:rsidR="004F06D1" w:rsidRPr="001D6512" w:rsidRDefault="004F06D1" w:rsidP="00DE12EC">
            <w:pPr>
              <w:pStyle w:val="TableCell"/>
              <w:keepNext w:val="0"/>
              <w:spacing w:before="40" w:after="40" w:line="264" w:lineRule="auto"/>
              <w:rPr>
                <w:noProof/>
                <w:szCs w:val="18"/>
              </w:rPr>
            </w:pPr>
          </w:p>
        </w:tc>
        <w:tc>
          <w:tcPr>
            <w:tcW w:w="570" w:type="pct"/>
            <w:vMerge/>
          </w:tcPr>
          <w:p w:rsidR="004F06D1" w:rsidRPr="001D6512" w:rsidRDefault="004F06D1" w:rsidP="00DE12EC">
            <w:pPr>
              <w:pStyle w:val="TableCell"/>
              <w:keepNext w:val="0"/>
              <w:spacing w:before="40" w:after="40" w:line="264" w:lineRule="auto"/>
              <w:rPr>
                <w:szCs w:val="18"/>
              </w:rPr>
            </w:pPr>
          </w:p>
        </w:tc>
        <w:tc>
          <w:tcPr>
            <w:tcW w:w="2305" w:type="pct"/>
          </w:tcPr>
          <w:p w:rsidR="004F06D1" w:rsidRPr="001D6512" w:rsidRDefault="004F06D1" w:rsidP="00DE12EC">
            <w:pPr>
              <w:pStyle w:val="TableCell"/>
              <w:keepNext w:val="0"/>
              <w:spacing w:before="40" w:after="40" w:line="264" w:lineRule="auto"/>
              <w:rPr>
                <w:szCs w:val="18"/>
              </w:rPr>
            </w:pPr>
            <w:r w:rsidRPr="001D6512">
              <w:rPr>
                <w:szCs w:val="18"/>
              </w:rPr>
              <w:t xml:space="preserve">If unknown, assume program compliance efficiency in </w:t>
            </w:r>
            <w:r w:rsidR="00274AB1">
              <w:fldChar w:fldCharType="begin"/>
            </w:r>
            <w:r w:rsidR="00274AB1">
              <w:instrText xml:space="preserve"> REF _Ref288812382 \h  \* MERGEFORMAT </w:instrText>
            </w:r>
            <w:r w:rsidR="00274AB1">
              <w:fldChar w:fldCharType="separate"/>
            </w:r>
            <w:r w:rsidR="00C0292F" w:rsidRPr="00C0292F">
              <w:rPr>
                <w:szCs w:val="18"/>
              </w:rPr>
              <w:t xml:space="preserve">Table </w:t>
            </w:r>
            <w:r w:rsidR="00C0292F" w:rsidRPr="00C0292F">
              <w:rPr>
                <w:noProof/>
                <w:szCs w:val="18"/>
              </w:rPr>
              <w:t>3</w:t>
            </w:r>
            <w:r w:rsidR="00C0292F" w:rsidRPr="00C0292F">
              <w:rPr>
                <w:noProof/>
                <w:szCs w:val="18"/>
              </w:rPr>
              <w:noBreakHyphen/>
              <w:t>64</w:t>
            </w:r>
            <w:r w:rsidR="00274AB1">
              <w:fldChar w:fldCharType="end"/>
            </w:r>
          </w:p>
        </w:tc>
        <w:tc>
          <w:tcPr>
            <w:tcW w:w="1233" w:type="pct"/>
          </w:tcPr>
          <w:p w:rsidR="004F06D1" w:rsidRPr="001D6512" w:rsidRDefault="004F06D1" w:rsidP="00DE12EC">
            <w:pPr>
              <w:pStyle w:val="TableCell"/>
              <w:keepNext w:val="0"/>
              <w:spacing w:before="40" w:after="40" w:line="264" w:lineRule="auto"/>
              <w:rPr>
                <w:rFonts w:cs="Arial"/>
                <w:szCs w:val="18"/>
              </w:rPr>
            </w:pPr>
            <w:r w:rsidRPr="001D6512">
              <w:rPr>
                <w:rFonts w:cs="Arial"/>
                <w:szCs w:val="18"/>
              </w:rPr>
              <w:t xml:space="preserve">See </w:t>
            </w:r>
            <w:r w:rsidR="00274AB1">
              <w:fldChar w:fldCharType="begin"/>
            </w:r>
            <w:r w:rsidR="00274AB1">
              <w:instrText xml:space="preserve"> REF _Ref288812382 \h  \* MERGEFORMAT </w:instrText>
            </w:r>
            <w:r w:rsidR="00274AB1">
              <w:fldChar w:fldCharType="separate"/>
            </w:r>
            <w:r w:rsidR="00C0292F" w:rsidRPr="00C0292F">
              <w:rPr>
                <w:szCs w:val="18"/>
              </w:rPr>
              <w:t xml:space="preserve">Table </w:t>
            </w:r>
            <w:r w:rsidR="00C0292F" w:rsidRPr="00C0292F">
              <w:rPr>
                <w:noProof/>
                <w:szCs w:val="18"/>
              </w:rPr>
              <w:t>3</w:t>
            </w:r>
            <w:r w:rsidR="00C0292F" w:rsidRPr="00C0292F">
              <w:rPr>
                <w:noProof/>
                <w:szCs w:val="18"/>
              </w:rPr>
              <w:noBreakHyphen/>
              <w:t>64</w:t>
            </w:r>
            <w:r w:rsidR="00274AB1">
              <w:fldChar w:fldCharType="end"/>
            </w:r>
          </w:p>
        </w:tc>
      </w:tr>
      <w:tr w:rsidR="004F06D1" w:rsidRPr="00256BCB" w:rsidTr="00F1106A">
        <w:trPr>
          <w:cantSplit/>
          <w:trHeight w:val="20"/>
          <w:jc w:val="center"/>
        </w:trPr>
        <w:tc>
          <w:tcPr>
            <w:tcW w:w="892" w:type="pct"/>
            <w:vMerge w:val="restart"/>
          </w:tcPr>
          <w:p w:rsidR="004F06D1" w:rsidRPr="001D6512" w:rsidRDefault="004F06D1" w:rsidP="00DE12EC">
            <w:pPr>
              <w:pStyle w:val="TableCell"/>
              <w:spacing w:before="40" w:after="40" w:line="264" w:lineRule="auto"/>
              <w:rPr>
                <w:noProof/>
                <w:szCs w:val="18"/>
              </w:rPr>
            </w:pPr>
            <w:r w:rsidRPr="001D6512">
              <w:rPr>
                <w:noProof/>
                <w:szCs w:val="18"/>
              </w:rPr>
              <w:t>HOURS</w:t>
            </w:r>
            <w:r w:rsidRPr="001D6512">
              <w:rPr>
                <w:noProof/>
                <w:szCs w:val="18"/>
                <w:vertAlign w:val="subscript"/>
              </w:rPr>
              <w:t>basepump</w:t>
            </w:r>
          </w:p>
        </w:tc>
        <w:tc>
          <w:tcPr>
            <w:tcW w:w="570" w:type="pct"/>
            <w:vMerge w:val="restart"/>
          </w:tcPr>
          <w:p w:rsidR="004F06D1" w:rsidRPr="001D6512" w:rsidRDefault="004F06D1" w:rsidP="00DE12EC">
            <w:pPr>
              <w:pStyle w:val="TableCell"/>
              <w:spacing w:before="40" w:after="40" w:line="264" w:lineRule="auto"/>
              <w:rPr>
                <w:szCs w:val="18"/>
              </w:rPr>
            </w:pPr>
            <w:r w:rsidRPr="001D6512">
              <w:rPr>
                <w:szCs w:val="18"/>
              </w:rPr>
              <w:t>Fixed</w:t>
            </w:r>
          </w:p>
        </w:tc>
        <w:tc>
          <w:tcPr>
            <w:tcW w:w="2305" w:type="pct"/>
          </w:tcPr>
          <w:p w:rsidR="004F06D1" w:rsidRPr="001D6512" w:rsidRDefault="004F06D1" w:rsidP="00DE12EC">
            <w:pPr>
              <w:pStyle w:val="TableCell"/>
              <w:spacing w:before="40" w:after="40" w:line="264" w:lineRule="auto"/>
              <w:rPr>
                <w:szCs w:val="18"/>
              </w:rPr>
            </w:pPr>
            <w:r w:rsidRPr="001D6512">
              <w:rPr>
                <w:szCs w:val="18"/>
              </w:rPr>
              <w:t>Based on Logging or Modeling</w:t>
            </w:r>
          </w:p>
        </w:tc>
        <w:tc>
          <w:tcPr>
            <w:tcW w:w="1233" w:type="pct"/>
          </w:tcPr>
          <w:p w:rsidR="004F06D1" w:rsidRPr="00256BCB" w:rsidRDefault="004F06D1" w:rsidP="00DE12EC">
            <w:pPr>
              <w:keepNext/>
              <w:spacing w:before="40" w:after="40" w:line="264" w:lineRule="auto"/>
              <w:rPr>
                <w:sz w:val="18"/>
                <w:szCs w:val="18"/>
              </w:rPr>
            </w:pPr>
            <w:r w:rsidRPr="00256BCB">
              <w:rPr>
                <w:rFonts w:cs="Arial"/>
                <w:sz w:val="18"/>
                <w:szCs w:val="18"/>
              </w:rPr>
              <w:t>EDC’s Data Gathering</w:t>
            </w:r>
          </w:p>
        </w:tc>
      </w:tr>
      <w:tr w:rsidR="004F06D1" w:rsidRPr="00256BCB" w:rsidTr="00F1106A">
        <w:trPr>
          <w:cantSplit/>
          <w:trHeight w:val="20"/>
          <w:jc w:val="center"/>
        </w:trPr>
        <w:tc>
          <w:tcPr>
            <w:tcW w:w="892" w:type="pct"/>
            <w:vMerge/>
          </w:tcPr>
          <w:p w:rsidR="004F06D1" w:rsidRPr="001D6512" w:rsidRDefault="004F06D1" w:rsidP="00DE12EC">
            <w:pPr>
              <w:pStyle w:val="TableCell"/>
              <w:keepNext w:val="0"/>
              <w:spacing w:before="40" w:after="40" w:line="264" w:lineRule="auto"/>
              <w:rPr>
                <w:noProof/>
                <w:szCs w:val="18"/>
              </w:rPr>
            </w:pPr>
          </w:p>
        </w:tc>
        <w:tc>
          <w:tcPr>
            <w:tcW w:w="570" w:type="pct"/>
            <w:vMerge/>
          </w:tcPr>
          <w:p w:rsidR="004F06D1" w:rsidRPr="001D6512" w:rsidRDefault="004F06D1" w:rsidP="00DE12EC">
            <w:pPr>
              <w:pStyle w:val="TableCell"/>
              <w:keepNext w:val="0"/>
              <w:spacing w:before="40" w:after="40" w:line="264" w:lineRule="auto"/>
              <w:rPr>
                <w:szCs w:val="18"/>
              </w:rPr>
            </w:pPr>
          </w:p>
        </w:tc>
        <w:tc>
          <w:tcPr>
            <w:tcW w:w="2305" w:type="pct"/>
          </w:tcPr>
          <w:p w:rsidR="00004DC0" w:rsidRPr="001D6512" w:rsidRDefault="00004DC0" w:rsidP="00DE12EC">
            <w:pPr>
              <w:pStyle w:val="TableCell"/>
              <w:keepNext w:val="0"/>
              <w:spacing w:before="40" w:after="40" w:line="264" w:lineRule="auto"/>
              <w:rPr>
                <w:rFonts w:cs="Arial"/>
                <w:szCs w:val="18"/>
              </w:rPr>
            </w:pPr>
            <w:r w:rsidRPr="001D6512" w:rsidDel="00642819">
              <w:rPr>
                <w:szCs w:val="18"/>
              </w:rPr>
              <w:t>EFLH</w:t>
            </w:r>
            <w:r w:rsidRPr="001D6512">
              <w:rPr>
                <w:szCs w:val="18"/>
                <w:vertAlign w:val="subscript"/>
              </w:rPr>
              <w:t>cool</w:t>
            </w:r>
            <w:r w:rsidRPr="001D6512">
              <w:rPr>
                <w:rFonts w:cs="Arial"/>
                <w:szCs w:val="18"/>
              </w:rPr>
              <w:t xml:space="preserve"> + </w:t>
            </w:r>
            <w:r w:rsidRPr="001D6512" w:rsidDel="00642819">
              <w:rPr>
                <w:szCs w:val="18"/>
              </w:rPr>
              <w:t>EFLH</w:t>
            </w:r>
            <w:r w:rsidRPr="001D6512">
              <w:rPr>
                <w:szCs w:val="18"/>
                <w:vertAlign w:val="subscript"/>
              </w:rPr>
              <w:t xml:space="preserve">heat </w:t>
            </w:r>
            <w:r w:rsidR="0064313D" w:rsidRPr="001D6512">
              <w:rPr>
                <w:rStyle w:val="FootnoteReference"/>
                <w:szCs w:val="18"/>
              </w:rPr>
              <w:footnoteReference w:id="190"/>
            </w:r>
          </w:p>
          <w:p w:rsidR="004F06D1" w:rsidRPr="001D6512" w:rsidRDefault="00004DC0" w:rsidP="00DE12EC">
            <w:pPr>
              <w:pStyle w:val="TableCell"/>
              <w:keepNext w:val="0"/>
              <w:spacing w:before="40" w:after="40" w:line="264" w:lineRule="auto"/>
              <w:rPr>
                <w:noProof/>
                <w:szCs w:val="18"/>
              </w:rPr>
            </w:pPr>
            <w:r w:rsidRPr="001D6512">
              <w:rPr>
                <w:rFonts w:cs="Arial"/>
                <w:szCs w:val="18"/>
              </w:rPr>
              <w:t xml:space="preserve">Default values from </w:t>
            </w:r>
            <w:r w:rsidR="00274AB1">
              <w:fldChar w:fldCharType="begin"/>
            </w:r>
            <w:r w:rsidR="00274AB1">
              <w:instrText xml:space="preserve"> REF _Ref275556730 \h  \* MERGEFORMAT </w:instrText>
            </w:r>
            <w:r w:rsidR="00274AB1">
              <w:fldChar w:fldCharType="separate"/>
            </w:r>
            <w:r w:rsidR="00C0292F" w:rsidRPr="00C0292F">
              <w:rPr>
                <w:rFonts w:cs="Arial"/>
                <w:szCs w:val="18"/>
              </w:rPr>
              <w:t xml:space="preserve">Table </w:t>
            </w:r>
            <w:r w:rsidR="00C0292F" w:rsidRPr="00C0292F">
              <w:rPr>
                <w:rFonts w:cs="Arial"/>
                <w:noProof/>
                <w:szCs w:val="18"/>
              </w:rPr>
              <w:t>3</w:t>
            </w:r>
            <w:r w:rsidR="00C0292F" w:rsidRPr="00C0292F">
              <w:rPr>
                <w:rFonts w:cs="Arial"/>
                <w:noProof/>
                <w:szCs w:val="18"/>
              </w:rPr>
              <w:noBreakHyphen/>
              <w:t>21</w:t>
            </w:r>
            <w:r w:rsidR="00274AB1">
              <w:fldChar w:fldCharType="end"/>
            </w:r>
            <w:r w:rsidRPr="001D6512">
              <w:rPr>
                <w:rFonts w:cs="Arial"/>
                <w:szCs w:val="18"/>
              </w:rPr>
              <w:t xml:space="preserve"> and </w:t>
            </w:r>
            <w:r w:rsidR="00274AB1">
              <w:fldChar w:fldCharType="begin"/>
            </w:r>
            <w:r w:rsidR="00274AB1">
              <w:instrText xml:space="preserve"> REF _Ref275556731 \h  \* MERGEFORMAT </w:instrText>
            </w:r>
            <w:r w:rsidR="00274AB1">
              <w:fldChar w:fldCharType="separate"/>
            </w:r>
            <w:r w:rsidR="00C0292F" w:rsidRPr="00C0292F">
              <w:rPr>
                <w:rFonts w:cs="Arial"/>
                <w:szCs w:val="18"/>
              </w:rPr>
              <w:t xml:space="preserve">Table </w:t>
            </w:r>
            <w:r w:rsidR="00C0292F" w:rsidRPr="00C0292F">
              <w:rPr>
                <w:rFonts w:cs="Arial"/>
                <w:noProof/>
                <w:szCs w:val="18"/>
              </w:rPr>
              <w:t>3</w:t>
            </w:r>
            <w:r w:rsidR="00C0292F" w:rsidRPr="00C0292F">
              <w:rPr>
                <w:rFonts w:cs="Arial"/>
                <w:noProof/>
                <w:szCs w:val="18"/>
              </w:rPr>
              <w:noBreakHyphen/>
              <w:t>22</w:t>
            </w:r>
            <w:r w:rsidR="00274AB1">
              <w:fldChar w:fldCharType="end"/>
            </w:r>
          </w:p>
        </w:tc>
        <w:tc>
          <w:tcPr>
            <w:tcW w:w="1233" w:type="pct"/>
          </w:tcPr>
          <w:p w:rsidR="004F06D1" w:rsidRPr="001D6512" w:rsidRDefault="004F06D1" w:rsidP="00DE12EC">
            <w:pPr>
              <w:pStyle w:val="TableCell"/>
              <w:keepNext w:val="0"/>
              <w:spacing w:before="40" w:after="40" w:line="264" w:lineRule="auto"/>
              <w:rPr>
                <w:szCs w:val="18"/>
              </w:rPr>
            </w:pPr>
            <w:r w:rsidRPr="001D6512">
              <w:rPr>
                <w:rFonts w:cs="Arial"/>
                <w:szCs w:val="18"/>
              </w:rPr>
              <w:t>2</w:t>
            </w:r>
          </w:p>
        </w:tc>
      </w:tr>
      <w:tr w:rsidR="004F06D1" w:rsidRPr="00256BCB" w:rsidTr="00F1106A">
        <w:trPr>
          <w:cantSplit/>
          <w:trHeight w:val="20"/>
          <w:jc w:val="center"/>
        </w:trPr>
        <w:tc>
          <w:tcPr>
            <w:tcW w:w="892" w:type="pct"/>
          </w:tcPr>
          <w:p w:rsidR="004F06D1" w:rsidRPr="001D6512" w:rsidRDefault="004F06D1" w:rsidP="00DE12EC">
            <w:pPr>
              <w:pStyle w:val="TableCell"/>
              <w:keepNext w:val="0"/>
              <w:spacing w:before="40" w:after="40" w:line="264" w:lineRule="auto"/>
              <w:rPr>
                <w:noProof/>
                <w:szCs w:val="18"/>
              </w:rPr>
            </w:pPr>
            <w:r w:rsidRPr="001D6512">
              <w:rPr>
                <w:noProof/>
                <w:szCs w:val="18"/>
              </w:rPr>
              <w:t>HP</w:t>
            </w:r>
            <w:r w:rsidRPr="001D6512">
              <w:rPr>
                <w:noProof/>
                <w:szCs w:val="18"/>
                <w:vertAlign w:val="subscript"/>
              </w:rPr>
              <w:t>eemotor</w:t>
            </w:r>
          </w:p>
        </w:tc>
        <w:tc>
          <w:tcPr>
            <w:tcW w:w="570" w:type="pct"/>
          </w:tcPr>
          <w:p w:rsidR="004F06D1" w:rsidRPr="001D6512" w:rsidRDefault="004F06D1" w:rsidP="00DE12EC">
            <w:pPr>
              <w:pStyle w:val="TableCell"/>
              <w:keepNext w:val="0"/>
              <w:spacing w:before="40" w:after="40" w:line="264" w:lineRule="auto"/>
              <w:rPr>
                <w:szCs w:val="18"/>
              </w:rPr>
            </w:pPr>
            <w:r w:rsidRPr="001D6512">
              <w:rPr>
                <w:szCs w:val="18"/>
              </w:rPr>
              <w:t>Variable</w:t>
            </w:r>
          </w:p>
        </w:tc>
        <w:tc>
          <w:tcPr>
            <w:tcW w:w="2305" w:type="pct"/>
          </w:tcPr>
          <w:p w:rsidR="004F06D1" w:rsidRPr="001D6512" w:rsidRDefault="004F06D1" w:rsidP="00DE12EC">
            <w:pPr>
              <w:pStyle w:val="TableCell"/>
              <w:keepNext w:val="0"/>
              <w:spacing w:before="40" w:after="40" w:line="264" w:lineRule="auto"/>
              <w:rPr>
                <w:noProof/>
                <w:szCs w:val="18"/>
              </w:rPr>
            </w:pPr>
            <w:r w:rsidRPr="001D6512">
              <w:rPr>
                <w:szCs w:val="18"/>
              </w:rPr>
              <w:t>Nameplate</w:t>
            </w:r>
          </w:p>
        </w:tc>
        <w:tc>
          <w:tcPr>
            <w:tcW w:w="1233" w:type="pct"/>
          </w:tcPr>
          <w:p w:rsidR="004F06D1" w:rsidRPr="00256BCB" w:rsidRDefault="004F06D1" w:rsidP="00DE12EC">
            <w:pPr>
              <w:spacing w:before="40" w:after="40" w:line="264" w:lineRule="auto"/>
              <w:rPr>
                <w:sz w:val="18"/>
                <w:szCs w:val="18"/>
              </w:rPr>
            </w:pPr>
            <w:r w:rsidRPr="00256BCB">
              <w:rPr>
                <w:rFonts w:cs="Arial"/>
                <w:sz w:val="18"/>
                <w:szCs w:val="18"/>
              </w:rPr>
              <w:t>EDC’s Data Gathering</w:t>
            </w:r>
          </w:p>
        </w:tc>
      </w:tr>
      <w:tr w:rsidR="004F06D1" w:rsidRPr="00256BCB" w:rsidTr="00F1106A">
        <w:trPr>
          <w:cantSplit/>
          <w:trHeight w:val="20"/>
          <w:jc w:val="center"/>
        </w:trPr>
        <w:tc>
          <w:tcPr>
            <w:tcW w:w="892" w:type="pct"/>
            <w:vMerge w:val="restart"/>
          </w:tcPr>
          <w:p w:rsidR="004F06D1" w:rsidRPr="001D6512" w:rsidRDefault="004F06D1" w:rsidP="00DE12EC">
            <w:pPr>
              <w:pStyle w:val="TableCell"/>
              <w:keepNext w:val="0"/>
              <w:spacing w:before="40" w:after="40" w:line="264" w:lineRule="auto"/>
              <w:rPr>
                <w:noProof/>
                <w:szCs w:val="18"/>
              </w:rPr>
            </w:pPr>
            <w:r w:rsidRPr="001D6512">
              <w:rPr>
                <w:noProof/>
                <w:szCs w:val="18"/>
              </w:rPr>
              <w:t>LF</w:t>
            </w:r>
            <w:r w:rsidRPr="001D6512">
              <w:rPr>
                <w:noProof/>
                <w:szCs w:val="18"/>
                <w:vertAlign w:val="subscript"/>
              </w:rPr>
              <w:t>ee</w:t>
            </w:r>
          </w:p>
        </w:tc>
        <w:tc>
          <w:tcPr>
            <w:tcW w:w="570" w:type="pct"/>
            <w:vMerge w:val="restart"/>
          </w:tcPr>
          <w:p w:rsidR="004F06D1" w:rsidRPr="001D6512" w:rsidRDefault="004F06D1" w:rsidP="00DE12EC">
            <w:pPr>
              <w:pStyle w:val="TableCell"/>
              <w:keepNext w:val="0"/>
              <w:spacing w:before="40" w:after="40" w:line="264" w:lineRule="auto"/>
              <w:rPr>
                <w:szCs w:val="18"/>
              </w:rPr>
            </w:pPr>
            <w:r w:rsidRPr="001D6512">
              <w:rPr>
                <w:szCs w:val="18"/>
              </w:rPr>
              <w:t>Variable</w:t>
            </w:r>
          </w:p>
        </w:tc>
        <w:tc>
          <w:tcPr>
            <w:tcW w:w="2305" w:type="pct"/>
            <w:vAlign w:val="center"/>
          </w:tcPr>
          <w:p w:rsidR="004F06D1" w:rsidRPr="001D6512" w:rsidRDefault="004F06D1" w:rsidP="00DE12EC">
            <w:pPr>
              <w:pStyle w:val="TableCell"/>
              <w:keepNext w:val="0"/>
              <w:spacing w:before="40" w:after="40" w:line="264" w:lineRule="auto"/>
            </w:pPr>
            <w:r w:rsidRPr="001D6512">
              <w:t>Based on spot metering</w:t>
            </w:r>
          </w:p>
        </w:tc>
        <w:tc>
          <w:tcPr>
            <w:tcW w:w="1233" w:type="pct"/>
            <w:vAlign w:val="center"/>
          </w:tcPr>
          <w:p w:rsidR="004F06D1" w:rsidRPr="001D6512" w:rsidRDefault="004F06D1" w:rsidP="00DE12EC">
            <w:pPr>
              <w:pStyle w:val="TableCell"/>
              <w:keepNext w:val="0"/>
              <w:spacing w:before="40" w:after="40" w:line="264" w:lineRule="auto"/>
            </w:pPr>
            <w:r w:rsidRPr="001D6512">
              <w:t>EDC Data Gathering</w:t>
            </w:r>
          </w:p>
        </w:tc>
      </w:tr>
      <w:tr w:rsidR="004F06D1" w:rsidRPr="00256BCB" w:rsidTr="00F1106A">
        <w:trPr>
          <w:cantSplit/>
          <w:trHeight w:val="20"/>
          <w:jc w:val="center"/>
        </w:trPr>
        <w:tc>
          <w:tcPr>
            <w:tcW w:w="892" w:type="pct"/>
            <w:vMerge/>
          </w:tcPr>
          <w:p w:rsidR="004F06D1" w:rsidRPr="001D6512" w:rsidRDefault="004F06D1" w:rsidP="00DE12EC">
            <w:pPr>
              <w:pStyle w:val="TableCell"/>
              <w:keepNext w:val="0"/>
              <w:spacing w:before="40" w:after="40" w:line="264" w:lineRule="auto"/>
              <w:rPr>
                <w:noProof/>
                <w:szCs w:val="18"/>
              </w:rPr>
            </w:pPr>
          </w:p>
        </w:tc>
        <w:tc>
          <w:tcPr>
            <w:tcW w:w="570" w:type="pct"/>
            <w:vMerge/>
          </w:tcPr>
          <w:p w:rsidR="004F06D1" w:rsidRPr="001D6512" w:rsidRDefault="004F06D1" w:rsidP="00DE12EC">
            <w:pPr>
              <w:pStyle w:val="TableCell"/>
              <w:keepNext w:val="0"/>
              <w:spacing w:before="40" w:after="40" w:line="264" w:lineRule="auto"/>
              <w:rPr>
                <w:szCs w:val="18"/>
              </w:rPr>
            </w:pPr>
          </w:p>
        </w:tc>
        <w:tc>
          <w:tcPr>
            <w:tcW w:w="2305" w:type="pct"/>
          </w:tcPr>
          <w:p w:rsidR="004F06D1" w:rsidRPr="001D6512" w:rsidRDefault="004F06D1" w:rsidP="00DE12EC">
            <w:pPr>
              <w:pStyle w:val="TableCell"/>
              <w:keepNext w:val="0"/>
              <w:spacing w:before="40" w:after="40" w:line="264" w:lineRule="auto"/>
              <w:rPr>
                <w:szCs w:val="18"/>
              </w:rPr>
            </w:pPr>
            <w:r w:rsidRPr="001D6512">
              <w:rPr>
                <w:szCs w:val="18"/>
              </w:rPr>
              <w:t>Default 75%</w:t>
            </w:r>
          </w:p>
        </w:tc>
        <w:tc>
          <w:tcPr>
            <w:tcW w:w="1233" w:type="pct"/>
          </w:tcPr>
          <w:p w:rsidR="004F06D1" w:rsidRPr="001D6512" w:rsidRDefault="004F06D1" w:rsidP="00DE12EC">
            <w:pPr>
              <w:pStyle w:val="TableCell"/>
              <w:keepNext w:val="0"/>
              <w:spacing w:before="40" w:after="40" w:line="264" w:lineRule="auto"/>
              <w:rPr>
                <w:rFonts w:cs="Arial"/>
                <w:szCs w:val="18"/>
              </w:rPr>
            </w:pPr>
            <w:r w:rsidRPr="001D6512">
              <w:rPr>
                <w:rFonts w:cs="Arial"/>
                <w:szCs w:val="18"/>
              </w:rPr>
              <w:t>1</w:t>
            </w:r>
          </w:p>
        </w:tc>
      </w:tr>
      <w:tr w:rsidR="004F06D1" w:rsidRPr="00256BCB" w:rsidTr="00F1106A">
        <w:trPr>
          <w:cantSplit/>
          <w:trHeight w:val="20"/>
          <w:jc w:val="center"/>
        </w:trPr>
        <w:tc>
          <w:tcPr>
            <w:tcW w:w="892" w:type="pct"/>
            <w:vMerge w:val="restart"/>
          </w:tcPr>
          <w:p w:rsidR="004F06D1" w:rsidRPr="001D6512" w:rsidRDefault="004F06D1" w:rsidP="00DE12EC">
            <w:pPr>
              <w:pStyle w:val="TableCell"/>
              <w:keepNext w:val="0"/>
              <w:spacing w:before="40" w:after="40" w:line="264" w:lineRule="auto"/>
              <w:rPr>
                <w:noProof/>
                <w:szCs w:val="18"/>
              </w:rPr>
            </w:pPr>
            <w:r w:rsidRPr="001D6512">
              <w:rPr>
                <w:rFonts w:hint="eastAsia"/>
                <w:noProof/>
                <w:szCs w:val="18"/>
              </w:rPr>
              <w:t>η</w:t>
            </w:r>
            <w:r w:rsidRPr="001D6512">
              <w:rPr>
                <w:noProof/>
                <w:szCs w:val="18"/>
                <w:vertAlign w:val="subscript"/>
              </w:rPr>
              <w:t>eemotor</w:t>
            </w:r>
          </w:p>
        </w:tc>
        <w:tc>
          <w:tcPr>
            <w:tcW w:w="570" w:type="pct"/>
            <w:vMerge w:val="restart"/>
          </w:tcPr>
          <w:p w:rsidR="004F06D1" w:rsidRPr="001D6512" w:rsidRDefault="004F06D1" w:rsidP="00DE12EC">
            <w:pPr>
              <w:pStyle w:val="TableCell"/>
              <w:keepNext w:val="0"/>
              <w:spacing w:before="40" w:after="40" w:line="264" w:lineRule="auto"/>
              <w:rPr>
                <w:szCs w:val="18"/>
              </w:rPr>
            </w:pPr>
            <w:r w:rsidRPr="001D6512">
              <w:rPr>
                <w:szCs w:val="18"/>
              </w:rPr>
              <w:t>Variable</w:t>
            </w:r>
          </w:p>
        </w:tc>
        <w:tc>
          <w:tcPr>
            <w:tcW w:w="2305" w:type="pct"/>
          </w:tcPr>
          <w:p w:rsidR="004F06D1" w:rsidRPr="001D6512" w:rsidRDefault="004F06D1" w:rsidP="00DE12EC">
            <w:pPr>
              <w:pStyle w:val="TableCell"/>
              <w:keepNext w:val="0"/>
              <w:spacing w:before="40" w:after="40" w:line="264" w:lineRule="auto"/>
              <w:rPr>
                <w:szCs w:val="18"/>
              </w:rPr>
            </w:pPr>
            <w:r w:rsidRPr="001D6512">
              <w:rPr>
                <w:szCs w:val="18"/>
              </w:rPr>
              <w:t>Nameplate</w:t>
            </w:r>
          </w:p>
        </w:tc>
        <w:tc>
          <w:tcPr>
            <w:tcW w:w="1233" w:type="pct"/>
          </w:tcPr>
          <w:p w:rsidR="004F06D1" w:rsidRPr="00256BCB" w:rsidRDefault="004F06D1" w:rsidP="00DE12EC">
            <w:pPr>
              <w:spacing w:before="40" w:after="40" w:line="264" w:lineRule="auto"/>
              <w:rPr>
                <w:sz w:val="18"/>
                <w:szCs w:val="18"/>
              </w:rPr>
            </w:pPr>
            <w:r w:rsidRPr="00256BCB">
              <w:rPr>
                <w:rFonts w:cs="Arial"/>
                <w:sz w:val="18"/>
                <w:szCs w:val="18"/>
              </w:rPr>
              <w:t>EDC’s Data Gathering</w:t>
            </w:r>
          </w:p>
        </w:tc>
      </w:tr>
      <w:tr w:rsidR="004F06D1" w:rsidRPr="00256BCB" w:rsidTr="00F1106A">
        <w:trPr>
          <w:cantSplit/>
          <w:trHeight w:val="20"/>
          <w:jc w:val="center"/>
        </w:trPr>
        <w:tc>
          <w:tcPr>
            <w:tcW w:w="892" w:type="pct"/>
            <w:vMerge/>
          </w:tcPr>
          <w:p w:rsidR="004F06D1" w:rsidRPr="001D6512" w:rsidRDefault="004F06D1" w:rsidP="00DE12EC">
            <w:pPr>
              <w:pStyle w:val="TableCell"/>
              <w:keepNext w:val="0"/>
              <w:spacing w:before="40" w:after="40" w:line="264" w:lineRule="auto"/>
              <w:rPr>
                <w:noProof/>
                <w:szCs w:val="18"/>
              </w:rPr>
            </w:pPr>
          </w:p>
        </w:tc>
        <w:tc>
          <w:tcPr>
            <w:tcW w:w="570" w:type="pct"/>
            <w:vMerge/>
          </w:tcPr>
          <w:p w:rsidR="004F06D1" w:rsidRPr="001D6512" w:rsidRDefault="004F06D1" w:rsidP="00DE12EC">
            <w:pPr>
              <w:pStyle w:val="TableCell"/>
              <w:keepNext w:val="0"/>
              <w:spacing w:before="40" w:after="40" w:line="264" w:lineRule="auto"/>
              <w:rPr>
                <w:szCs w:val="18"/>
              </w:rPr>
            </w:pPr>
          </w:p>
        </w:tc>
        <w:tc>
          <w:tcPr>
            <w:tcW w:w="2305" w:type="pct"/>
          </w:tcPr>
          <w:p w:rsidR="004F06D1" w:rsidRPr="001D6512" w:rsidRDefault="004F06D1" w:rsidP="00DE12EC">
            <w:pPr>
              <w:pStyle w:val="TableCell"/>
              <w:keepNext w:val="0"/>
              <w:spacing w:before="40" w:after="40" w:line="264" w:lineRule="auto"/>
              <w:rPr>
                <w:szCs w:val="18"/>
              </w:rPr>
            </w:pPr>
            <w:r w:rsidRPr="001D6512">
              <w:rPr>
                <w:szCs w:val="18"/>
              </w:rPr>
              <w:t xml:space="preserve">If unknown, assume the federal minimum efficiency requirements in </w:t>
            </w:r>
            <w:r w:rsidR="007A1FB6" w:rsidRPr="001D6512">
              <w:fldChar w:fldCharType="begin"/>
            </w:r>
            <w:r w:rsidRPr="001D6512">
              <w:rPr>
                <w:szCs w:val="18"/>
              </w:rPr>
              <w:instrText xml:space="preserve"> REF _Ref303272340 \h </w:instrText>
            </w:r>
            <w:r w:rsidR="007A1FB6" w:rsidRPr="001D6512">
              <w:fldChar w:fldCharType="separate"/>
            </w:r>
            <w:r w:rsidR="00C0292F">
              <w:t xml:space="preserve">Table </w:t>
            </w:r>
            <w:r w:rsidR="00C0292F">
              <w:rPr>
                <w:noProof/>
              </w:rPr>
              <w:t>3</w:t>
            </w:r>
            <w:r w:rsidR="00C0292F">
              <w:noBreakHyphen/>
            </w:r>
            <w:r w:rsidR="00C0292F">
              <w:rPr>
                <w:noProof/>
              </w:rPr>
              <w:t>63</w:t>
            </w:r>
            <w:r w:rsidR="007A1FB6" w:rsidRPr="001D6512">
              <w:fldChar w:fldCharType="end"/>
            </w:r>
          </w:p>
        </w:tc>
        <w:tc>
          <w:tcPr>
            <w:tcW w:w="1233" w:type="pct"/>
          </w:tcPr>
          <w:p w:rsidR="004F06D1" w:rsidRPr="00256BCB" w:rsidRDefault="007A1FB6" w:rsidP="00DE12EC">
            <w:pPr>
              <w:spacing w:before="40" w:after="40" w:line="264" w:lineRule="auto"/>
              <w:rPr>
                <w:rFonts w:cs="Arial"/>
                <w:sz w:val="18"/>
                <w:szCs w:val="18"/>
              </w:rPr>
            </w:pPr>
            <w:r>
              <w:fldChar w:fldCharType="begin"/>
            </w:r>
            <w:r w:rsidR="00F1106A">
              <w:rPr>
                <w:szCs w:val="18"/>
              </w:rPr>
              <w:instrText xml:space="preserve"> REF _Ref303272340 \h </w:instrText>
            </w:r>
            <w:r>
              <w:fldChar w:fldCharType="separate"/>
            </w:r>
            <w:r w:rsidR="00C0292F">
              <w:t xml:space="preserve">Table </w:t>
            </w:r>
            <w:r w:rsidR="00C0292F">
              <w:rPr>
                <w:noProof/>
              </w:rPr>
              <w:t>3</w:t>
            </w:r>
            <w:r w:rsidR="00C0292F">
              <w:noBreakHyphen/>
            </w:r>
            <w:r w:rsidR="00C0292F">
              <w:rPr>
                <w:noProof/>
              </w:rPr>
              <w:t>63</w:t>
            </w:r>
            <w:r>
              <w:fldChar w:fldCharType="end"/>
            </w:r>
          </w:p>
        </w:tc>
      </w:tr>
      <w:tr w:rsidR="004F06D1" w:rsidRPr="00256BCB" w:rsidTr="00F1106A">
        <w:trPr>
          <w:cantSplit/>
          <w:trHeight w:val="20"/>
          <w:jc w:val="center"/>
        </w:trPr>
        <w:tc>
          <w:tcPr>
            <w:tcW w:w="892" w:type="pct"/>
            <w:vMerge w:val="restart"/>
          </w:tcPr>
          <w:p w:rsidR="004F06D1" w:rsidRPr="001D6512" w:rsidRDefault="004F06D1" w:rsidP="00DE12EC">
            <w:pPr>
              <w:pStyle w:val="TableCell"/>
              <w:keepNext w:val="0"/>
              <w:spacing w:before="40" w:after="40" w:line="264" w:lineRule="auto"/>
              <w:rPr>
                <w:noProof/>
                <w:szCs w:val="18"/>
              </w:rPr>
            </w:pPr>
            <w:r w:rsidRPr="001D6512">
              <w:rPr>
                <w:rFonts w:hint="eastAsia"/>
                <w:noProof/>
                <w:szCs w:val="18"/>
              </w:rPr>
              <w:t>η</w:t>
            </w:r>
            <w:r w:rsidRPr="001D6512">
              <w:rPr>
                <w:noProof/>
                <w:szCs w:val="18"/>
                <w:vertAlign w:val="subscript"/>
              </w:rPr>
              <w:t>eepump</w:t>
            </w:r>
          </w:p>
        </w:tc>
        <w:tc>
          <w:tcPr>
            <w:tcW w:w="570" w:type="pct"/>
            <w:vMerge w:val="restart"/>
          </w:tcPr>
          <w:p w:rsidR="004F06D1" w:rsidRPr="001D6512" w:rsidRDefault="004F06D1" w:rsidP="00DE12EC">
            <w:pPr>
              <w:pStyle w:val="TableCell"/>
              <w:keepNext w:val="0"/>
              <w:spacing w:before="40" w:after="40" w:line="264" w:lineRule="auto"/>
              <w:rPr>
                <w:szCs w:val="18"/>
              </w:rPr>
            </w:pPr>
            <w:r w:rsidRPr="001D6512">
              <w:rPr>
                <w:szCs w:val="18"/>
              </w:rPr>
              <w:t>Variable</w:t>
            </w:r>
          </w:p>
        </w:tc>
        <w:tc>
          <w:tcPr>
            <w:tcW w:w="2305" w:type="pct"/>
          </w:tcPr>
          <w:p w:rsidR="004F06D1" w:rsidRPr="001D6512" w:rsidRDefault="004F06D1" w:rsidP="00DE12EC">
            <w:pPr>
              <w:pStyle w:val="TableCell"/>
              <w:keepNext w:val="0"/>
              <w:spacing w:before="40" w:after="40" w:line="264" w:lineRule="auto"/>
              <w:rPr>
                <w:szCs w:val="18"/>
              </w:rPr>
            </w:pPr>
            <w:r w:rsidRPr="001D6512">
              <w:rPr>
                <w:szCs w:val="18"/>
              </w:rPr>
              <w:t>Nameplate</w:t>
            </w:r>
          </w:p>
        </w:tc>
        <w:tc>
          <w:tcPr>
            <w:tcW w:w="1233" w:type="pct"/>
          </w:tcPr>
          <w:p w:rsidR="004F06D1" w:rsidRPr="00256BCB" w:rsidRDefault="004F06D1" w:rsidP="00DE12EC">
            <w:pPr>
              <w:spacing w:before="40" w:after="40" w:line="264" w:lineRule="auto"/>
              <w:rPr>
                <w:sz w:val="18"/>
                <w:szCs w:val="18"/>
              </w:rPr>
            </w:pPr>
            <w:r w:rsidRPr="00256BCB">
              <w:rPr>
                <w:rFonts w:cs="Arial"/>
                <w:sz w:val="18"/>
                <w:szCs w:val="18"/>
              </w:rPr>
              <w:t>EDC’s Data Gathering</w:t>
            </w:r>
          </w:p>
        </w:tc>
      </w:tr>
      <w:tr w:rsidR="004F06D1" w:rsidRPr="00256BCB" w:rsidTr="00F1106A">
        <w:trPr>
          <w:cantSplit/>
          <w:trHeight w:val="20"/>
          <w:jc w:val="center"/>
        </w:trPr>
        <w:tc>
          <w:tcPr>
            <w:tcW w:w="892" w:type="pct"/>
            <w:vMerge/>
          </w:tcPr>
          <w:p w:rsidR="004F06D1" w:rsidRPr="001D6512" w:rsidRDefault="004F06D1" w:rsidP="00DE12EC">
            <w:pPr>
              <w:pStyle w:val="TableCell"/>
              <w:keepNext w:val="0"/>
              <w:spacing w:before="40" w:after="40" w:line="264" w:lineRule="auto"/>
              <w:rPr>
                <w:noProof/>
                <w:szCs w:val="18"/>
              </w:rPr>
            </w:pPr>
          </w:p>
        </w:tc>
        <w:tc>
          <w:tcPr>
            <w:tcW w:w="570" w:type="pct"/>
            <w:vMerge/>
          </w:tcPr>
          <w:p w:rsidR="004F06D1" w:rsidRPr="001D6512" w:rsidRDefault="004F06D1" w:rsidP="00DE12EC">
            <w:pPr>
              <w:pStyle w:val="TableCell"/>
              <w:keepNext w:val="0"/>
              <w:spacing w:before="40" w:after="40" w:line="264" w:lineRule="auto"/>
              <w:rPr>
                <w:szCs w:val="18"/>
              </w:rPr>
            </w:pPr>
          </w:p>
        </w:tc>
        <w:tc>
          <w:tcPr>
            <w:tcW w:w="2305" w:type="pct"/>
          </w:tcPr>
          <w:p w:rsidR="004F06D1" w:rsidRPr="001D6512" w:rsidRDefault="004F06D1" w:rsidP="00DE12EC">
            <w:pPr>
              <w:pStyle w:val="TableCell"/>
              <w:keepNext w:val="0"/>
              <w:spacing w:before="40" w:after="40" w:line="264" w:lineRule="auto"/>
              <w:rPr>
                <w:szCs w:val="18"/>
              </w:rPr>
            </w:pPr>
            <w:r w:rsidRPr="001D6512">
              <w:rPr>
                <w:szCs w:val="18"/>
              </w:rPr>
              <w:t xml:space="preserve">If unknown, assume program compliance efficiency in </w:t>
            </w:r>
            <w:r w:rsidR="00274AB1">
              <w:fldChar w:fldCharType="begin"/>
            </w:r>
            <w:r w:rsidR="00274AB1">
              <w:instrText xml:space="preserve"> REF _Ref288812382 \h  \* MERGEFORMAT </w:instrText>
            </w:r>
            <w:r w:rsidR="00274AB1">
              <w:fldChar w:fldCharType="separate"/>
            </w:r>
            <w:r w:rsidR="00C0292F" w:rsidRPr="00C0292F">
              <w:rPr>
                <w:szCs w:val="18"/>
              </w:rPr>
              <w:t xml:space="preserve">Table </w:t>
            </w:r>
            <w:r w:rsidR="00C0292F" w:rsidRPr="00C0292F">
              <w:rPr>
                <w:noProof/>
                <w:szCs w:val="18"/>
              </w:rPr>
              <w:t>3</w:t>
            </w:r>
            <w:r w:rsidR="00C0292F" w:rsidRPr="00C0292F">
              <w:rPr>
                <w:noProof/>
                <w:szCs w:val="18"/>
              </w:rPr>
              <w:noBreakHyphen/>
              <w:t>64</w:t>
            </w:r>
            <w:r w:rsidR="00274AB1">
              <w:fldChar w:fldCharType="end"/>
            </w:r>
          </w:p>
        </w:tc>
        <w:tc>
          <w:tcPr>
            <w:tcW w:w="1233" w:type="pct"/>
          </w:tcPr>
          <w:p w:rsidR="004F06D1" w:rsidRPr="00256BCB" w:rsidRDefault="004F06D1" w:rsidP="00DE12EC">
            <w:pPr>
              <w:spacing w:before="40" w:after="40" w:line="264" w:lineRule="auto"/>
              <w:rPr>
                <w:rFonts w:cs="Arial"/>
                <w:sz w:val="18"/>
                <w:szCs w:val="18"/>
              </w:rPr>
            </w:pPr>
            <w:r>
              <w:rPr>
                <w:rFonts w:cs="Arial"/>
                <w:sz w:val="18"/>
                <w:szCs w:val="18"/>
              </w:rPr>
              <w:t xml:space="preserve">See </w:t>
            </w:r>
            <w:r w:rsidR="00274AB1">
              <w:fldChar w:fldCharType="begin"/>
            </w:r>
            <w:r w:rsidR="00274AB1">
              <w:instrText xml:space="preserve"> REF _Ref288812382 \h  \* MERGEFORMAT </w:instrText>
            </w:r>
            <w:r w:rsidR="00274AB1">
              <w:fldChar w:fldCharType="separate"/>
            </w:r>
            <w:r w:rsidR="00C0292F" w:rsidRPr="00C0292F">
              <w:rPr>
                <w:szCs w:val="18"/>
              </w:rPr>
              <w:t xml:space="preserve">Table </w:t>
            </w:r>
            <w:r w:rsidR="00C0292F" w:rsidRPr="00C0292F">
              <w:rPr>
                <w:noProof/>
                <w:szCs w:val="18"/>
              </w:rPr>
              <w:t>3</w:t>
            </w:r>
            <w:r w:rsidR="00C0292F" w:rsidRPr="00C0292F">
              <w:rPr>
                <w:noProof/>
                <w:szCs w:val="18"/>
              </w:rPr>
              <w:noBreakHyphen/>
              <w:t>64</w:t>
            </w:r>
            <w:r w:rsidR="00274AB1">
              <w:fldChar w:fldCharType="end"/>
            </w:r>
          </w:p>
        </w:tc>
      </w:tr>
      <w:tr w:rsidR="004F06D1" w:rsidRPr="00256BCB" w:rsidTr="00F1106A">
        <w:trPr>
          <w:cantSplit/>
          <w:trHeight w:val="20"/>
          <w:jc w:val="center"/>
        </w:trPr>
        <w:tc>
          <w:tcPr>
            <w:tcW w:w="892" w:type="pct"/>
            <w:vMerge w:val="restart"/>
          </w:tcPr>
          <w:p w:rsidR="004F06D1" w:rsidRPr="001D6512" w:rsidRDefault="004F06D1" w:rsidP="00DE12EC">
            <w:pPr>
              <w:pStyle w:val="TableCell"/>
              <w:spacing w:before="40" w:after="40" w:line="264" w:lineRule="auto"/>
              <w:rPr>
                <w:noProof/>
                <w:szCs w:val="18"/>
              </w:rPr>
            </w:pPr>
            <w:r w:rsidRPr="001D6512">
              <w:rPr>
                <w:noProof/>
                <w:szCs w:val="18"/>
              </w:rPr>
              <w:t>HOURS</w:t>
            </w:r>
            <w:r w:rsidRPr="001D6512">
              <w:rPr>
                <w:noProof/>
                <w:szCs w:val="18"/>
                <w:vertAlign w:val="subscript"/>
              </w:rPr>
              <w:t>eepump</w:t>
            </w:r>
          </w:p>
        </w:tc>
        <w:tc>
          <w:tcPr>
            <w:tcW w:w="570" w:type="pct"/>
            <w:vMerge w:val="restart"/>
          </w:tcPr>
          <w:p w:rsidR="004F06D1" w:rsidRPr="001D6512" w:rsidRDefault="004F06D1" w:rsidP="00DE12EC">
            <w:pPr>
              <w:pStyle w:val="TableCell"/>
              <w:spacing w:before="40" w:after="40" w:line="264" w:lineRule="auto"/>
              <w:rPr>
                <w:szCs w:val="18"/>
              </w:rPr>
            </w:pPr>
            <w:r w:rsidRPr="001D6512">
              <w:rPr>
                <w:szCs w:val="18"/>
              </w:rPr>
              <w:t>Variable</w:t>
            </w:r>
          </w:p>
        </w:tc>
        <w:tc>
          <w:tcPr>
            <w:tcW w:w="2305" w:type="pct"/>
          </w:tcPr>
          <w:p w:rsidR="004F06D1" w:rsidRPr="001D6512" w:rsidRDefault="004F06D1" w:rsidP="00DE12EC">
            <w:pPr>
              <w:pStyle w:val="TableCell"/>
              <w:spacing w:before="40" w:after="40" w:line="264" w:lineRule="auto"/>
              <w:rPr>
                <w:szCs w:val="18"/>
              </w:rPr>
            </w:pPr>
            <w:r w:rsidRPr="001D6512">
              <w:rPr>
                <w:szCs w:val="18"/>
              </w:rPr>
              <w:t>Based on Logging or Modeling</w:t>
            </w:r>
          </w:p>
        </w:tc>
        <w:tc>
          <w:tcPr>
            <w:tcW w:w="1233" w:type="pct"/>
          </w:tcPr>
          <w:p w:rsidR="004F06D1" w:rsidRPr="00256BCB" w:rsidRDefault="004F06D1" w:rsidP="00DE12EC">
            <w:pPr>
              <w:keepNext/>
              <w:spacing w:before="40" w:after="40" w:line="264" w:lineRule="auto"/>
              <w:rPr>
                <w:sz w:val="18"/>
                <w:szCs w:val="18"/>
              </w:rPr>
            </w:pPr>
            <w:r w:rsidRPr="00256BCB">
              <w:rPr>
                <w:rFonts w:cs="Arial"/>
                <w:sz w:val="18"/>
                <w:szCs w:val="18"/>
              </w:rPr>
              <w:t>EDC Data Gathering</w:t>
            </w:r>
          </w:p>
        </w:tc>
      </w:tr>
      <w:tr w:rsidR="004F06D1" w:rsidRPr="00256BCB" w:rsidTr="00F1106A">
        <w:trPr>
          <w:cantSplit/>
          <w:trHeight w:val="20"/>
          <w:jc w:val="center"/>
        </w:trPr>
        <w:tc>
          <w:tcPr>
            <w:tcW w:w="892" w:type="pct"/>
            <w:vMerge/>
          </w:tcPr>
          <w:p w:rsidR="004F06D1" w:rsidRPr="001D6512" w:rsidRDefault="004F06D1" w:rsidP="00DE12EC">
            <w:pPr>
              <w:pStyle w:val="TableCell"/>
              <w:keepNext w:val="0"/>
              <w:spacing w:before="40" w:after="40" w:line="264" w:lineRule="auto"/>
              <w:rPr>
                <w:noProof/>
                <w:szCs w:val="18"/>
              </w:rPr>
            </w:pPr>
          </w:p>
        </w:tc>
        <w:tc>
          <w:tcPr>
            <w:tcW w:w="570" w:type="pct"/>
            <w:vMerge/>
          </w:tcPr>
          <w:p w:rsidR="004F06D1" w:rsidRPr="001D6512" w:rsidRDefault="004F06D1" w:rsidP="00DE12EC">
            <w:pPr>
              <w:pStyle w:val="TableCell"/>
              <w:keepNext w:val="0"/>
              <w:spacing w:before="40" w:after="40" w:line="264" w:lineRule="auto"/>
              <w:rPr>
                <w:szCs w:val="18"/>
              </w:rPr>
            </w:pPr>
          </w:p>
        </w:tc>
        <w:tc>
          <w:tcPr>
            <w:tcW w:w="2305" w:type="pct"/>
          </w:tcPr>
          <w:p w:rsidR="0064313D" w:rsidRPr="001D6512" w:rsidRDefault="0064313D" w:rsidP="00DE12EC">
            <w:pPr>
              <w:pStyle w:val="TableCell"/>
              <w:keepNext w:val="0"/>
              <w:spacing w:before="40" w:after="40" w:line="264" w:lineRule="auto"/>
              <w:rPr>
                <w:rFonts w:cs="Arial"/>
                <w:szCs w:val="18"/>
              </w:rPr>
            </w:pPr>
            <w:r w:rsidRPr="001D6512" w:rsidDel="00642819">
              <w:rPr>
                <w:szCs w:val="18"/>
              </w:rPr>
              <w:t>EFLH</w:t>
            </w:r>
            <w:r w:rsidRPr="001D6512">
              <w:rPr>
                <w:szCs w:val="18"/>
                <w:vertAlign w:val="subscript"/>
              </w:rPr>
              <w:t>cool</w:t>
            </w:r>
            <w:r w:rsidRPr="001D6512">
              <w:rPr>
                <w:rFonts w:cs="Arial"/>
                <w:szCs w:val="18"/>
              </w:rPr>
              <w:t xml:space="preserve"> + </w:t>
            </w:r>
            <w:r w:rsidRPr="001D6512" w:rsidDel="00642819">
              <w:rPr>
                <w:szCs w:val="18"/>
              </w:rPr>
              <w:t>EFLH</w:t>
            </w:r>
            <w:r w:rsidRPr="001D6512">
              <w:rPr>
                <w:szCs w:val="18"/>
                <w:vertAlign w:val="subscript"/>
              </w:rPr>
              <w:t xml:space="preserve">heat </w:t>
            </w:r>
            <w:r w:rsidRPr="001D6512">
              <w:rPr>
                <w:rStyle w:val="FootnoteReference"/>
                <w:szCs w:val="18"/>
              </w:rPr>
              <w:footnoteReference w:id="191"/>
            </w:r>
          </w:p>
          <w:p w:rsidR="004F06D1" w:rsidRPr="001D6512" w:rsidRDefault="00AC2B96" w:rsidP="00DE12EC">
            <w:pPr>
              <w:pStyle w:val="TableCell"/>
              <w:keepNext w:val="0"/>
              <w:spacing w:before="40" w:after="40" w:line="264" w:lineRule="auto"/>
              <w:rPr>
                <w:noProof/>
                <w:szCs w:val="18"/>
              </w:rPr>
            </w:pPr>
            <w:r w:rsidRPr="001D6512">
              <w:rPr>
                <w:rFonts w:cs="Arial"/>
                <w:szCs w:val="18"/>
              </w:rPr>
              <w:t xml:space="preserve">Default values from </w:t>
            </w:r>
            <w:r w:rsidR="00274AB1">
              <w:fldChar w:fldCharType="begin"/>
            </w:r>
            <w:r w:rsidR="00274AB1">
              <w:instrText xml:space="preserve"> REF _Ref275556730 \h  \* MERGEFORMAT </w:instrText>
            </w:r>
            <w:r w:rsidR="00274AB1">
              <w:fldChar w:fldCharType="separate"/>
            </w:r>
            <w:r w:rsidR="00C0292F" w:rsidRPr="00C0292F">
              <w:rPr>
                <w:rFonts w:cs="Arial"/>
                <w:szCs w:val="18"/>
              </w:rPr>
              <w:t xml:space="preserve">Table </w:t>
            </w:r>
            <w:r w:rsidR="00C0292F" w:rsidRPr="00C0292F">
              <w:rPr>
                <w:rFonts w:cs="Arial"/>
                <w:noProof/>
                <w:szCs w:val="18"/>
              </w:rPr>
              <w:t>3</w:t>
            </w:r>
            <w:r w:rsidR="00C0292F" w:rsidRPr="00C0292F">
              <w:rPr>
                <w:rFonts w:cs="Arial"/>
                <w:noProof/>
                <w:szCs w:val="18"/>
              </w:rPr>
              <w:noBreakHyphen/>
              <w:t>21</w:t>
            </w:r>
            <w:r w:rsidR="00274AB1">
              <w:fldChar w:fldCharType="end"/>
            </w:r>
            <w:r w:rsidRPr="001D6512">
              <w:rPr>
                <w:rFonts w:cs="Arial"/>
                <w:szCs w:val="18"/>
              </w:rPr>
              <w:t xml:space="preserve"> and </w:t>
            </w:r>
            <w:r w:rsidR="00274AB1">
              <w:fldChar w:fldCharType="begin"/>
            </w:r>
            <w:r w:rsidR="00274AB1">
              <w:instrText xml:space="preserve"> REF _Ref275556731 \h  \* MERGEFORMAT </w:instrText>
            </w:r>
            <w:r w:rsidR="00274AB1">
              <w:fldChar w:fldCharType="separate"/>
            </w:r>
            <w:r w:rsidR="00C0292F" w:rsidRPr="00C0292F">
              <w:rPr>
                <w:rFonts w:cs="Arial"/>
                <w:szCs w:val="18"/>
              </w:rPr>
              <w:t xml:space="preserve">Table </w:t>
            </w:r>
            <w:r w:rsidR="00C0292F" w:rsidRPr="00C0292F">
              <w:rPr>
                <w:rFonts w:cs="Arial"/>
                <w:noProof/>
                <w:szCs w:val="18"/>
              </w:rPr>
              <w:t>3</w:t>
            </w:r>
            <w:r w:rsidR="00C0292F" w:rsidRPr="00C0292F">
              <w:rPr>
                <w:rFonts w:cs="Arial"/>
                <w:noProof/>
                <w:szCs w:val="18"/>
              </w:rPr>
              <w:noBreakHyphen/>
              <w:t>22</w:t>
            </w:r>
            <w:r w:rsidR="00274AB1">
              <w:fldChar w:fldCharType="end"/>
            </w:r>
            <w:r w:rsidR="00E77A04">
              <w:t xml:space="preserve"> </w:t>
            </w:r>
          </w:p>
        </w:tc>
        <w:tc>
          <w:tcPr>
            <w:tcW w:w="1233" w:type="pct"/>
          </w:tcPr>
          <w:p w:rsidR="004F06D1" w:rsidRPr="001D6512" w:rsidRDefault="004F06D1" w:rsidP="00DE12EC">
            <w:pPr>
              <w:pStyle w:val="TableCell"/>
              <w:keepNext w:val="0"/>
              <w:spacing w:before="40" w:after="40" w:line="264" w:lineRule="auto"/>
              <w:rPr>
                <w:szCs w:val="18"/>
              </w:rPr>
            </w:pPr>
            <w:r w:rsidRPr="001D6512">
              <w:rPr>
                <w:szCs w:val="18"/>
              </w:rPr>
              <w:t>2</w:t>
            </w:r>
          </w:p>
        </w:tc>
      </w:tr>
    </w:tbl>
    <w:p w:rsidR="004F06D1" w:rsidRDefault="004F06D1" w:rsidP="004F06D1">
      <w:pPr>
        <w:rPr>
          <w:rStyle w:val="BodyTextChar"/>
          <w:b/>
        </w:rPr>
      </w:pPr>
    </w:p>
    <w:p w:rsidR="004F06D1" w:rsidRDefault="004F06D1" w:rsidP="004F06D1">
      <w:pPr>
        <w:rPr>
          <w:sz w:val="24"/>
          <w:szCs w:val="24"/>
        </w:rPr>
      </w:pPr>
      <w:r w:rsidRPr="00E8678C">
        <w:rPr>
          <w:rStyle w:val="BodyTextChar"/>
          <w:b/>
        </w:rPr>
        <w:t>Sources</w:t>
      </w:r>
      <w:r>
        <w:rPr>
          <w:rStyle w:val="BodyTextChar"/>
          <w:b/>
        </w:rPr>
        <w:t>:</w:t>
      </w:r>
    </w:p>
    <w:p w:rsidR="004F06D1" w:rsidRPr="001C4AD5" w:rsidRDefault="004F06D1" w:rsidP="0005632A">
      <w:pPr>
        <w:pStyle w:val="source1"/>
        <w:numPr>
          <w:ilvl w:val="0"/>
          <w:numId w:val="124"/>
        </w:numPr>
      </w:pPr>
      <w:r w:rsidRPr="001C4AD5">
        <w:t xml:space="preserve">California Public Utility Commission. </w:t>
      </w:r>
      <w:r w:rsidRPr="004F06D1">
        <w:rPr>
          <w:i/>
        </w:rPr>
        <w:t>Database for Energy Efficiency Resources</w:t>
      </w:r>
      <w:r w:rsidRPr="001C4AD5">
        <w:t xml:space="preserve"> 2005</w:t>
      </w:r>
    </w:p>
    <w:p w:rsidR="004F06D1" w:rsidRDefault="004F06D1" w:rsidP="004F06D1">
      <w:pPr>
        <w:pStyle w:val="source1"/>
      </w:pPr>
      <w:r w:rsidRPr="0032231B">
        <w:t>Provides a conservative estimate in the absence of logging or modeling data.</w:t>
      </w:r>
    </w:p>
    <w:p w:rsidR="00F1106A" w:rsidRDefault="00F1106A" w:rsidP="004F06D1">
      <w:pPr>
        <w:pStyle w:val="source1"/>
      </w:pPr>
      <w:r>
        <w:t>Average based on coincidence factors from Ohio, New Jersey, Mid-Atlantic, Massachusetts, Connecticut, Illinois, New York, CEE and Minnesota. (74%, 67%, 81%, 94%, 82%, 72%, 100%, 70% and 76% respectively)</w:t>
      </w:r>
    </w:p>
    <w:p w:rsidR="00F1106A" w:rsidRPr="0032231B" w:rsidRDefault="00F1106A" w:rsidP="004F06D1">
      <w:pPr>
        <w:pStyle w:val="source1"/>
      </w:pPr>
      <w:r>
        <w:t>Engineering Estimate - See definition in section 3.3.2 for specific algorithm to be used when performing spot metering analysis to determine alternate load factor.</w:t>
      </w:r>
    </w:p>
    <w:p w:rsidR="004F06D1" w:rsidRDefault="004F06D1" w:rsidP="004F06D1">
      <w:pPr>
        <w:pStyle w:val="Caption"/>
      </w:pPr>
    </w:p>
    <w:p w:rsidR="004F06D1" w:rsidRDefault="004F06D1" w:rsidP="00DE12EC">
      <w:pPr>
        <w:pStyle w:val="Caption"/>
      </w:pPr>
      <w:bookmarkStart w:id="981" w:name="_Ref303272340"/>
      <w:bookmarkStart w:id="982" w:name="_Toc310875615"/>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w:instrText>
      </w:r>
      <w:r w:rsidR="00274AB1">
        <w:instrText xml:space="preserve">\* ARABIC \s 1 </w:instrText>
      </w:r>
      <w:r w:rsidR="00274AB1">
        <w:fldChar w:fldCharType="separate"/>
      </w:r>
      <w:r w:rsidR="00C0292F">
        <w:rPr>
          <w:noProof/>
        </w:rPr>
        <w:t>63</w:t>
      </w:r>
      <w:r w:rsidR="00274AB1">
        <w:rPr>
          <w:noProof/>
        </w:rPr>
        <w:fldChar w:fldCharType="end"/>
      </w:r>
      <w:bookmarkEnd w:id="980"/>
      <w:bookmarkEnd w:id="981"/>
      <w:r>
        <w:t>:  Federal Minimum Efficiency Requirements for Motors</w:t>
      </w:r>
      <w:r w:rsidR="00992A47">
        <w:rPr>
          <w:rStyle w:val="FootnoteReference"/>
        </w:rPr>
        <w:footnoteReference w:id="192"/>
      </w:r>
      <w:bookmarkEnd w:id="98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875"/>
        <w:gridCol w:w="870"/>
        <w:gridCol w:w="868"/>
        <w:gridCol w:w="900"/>
        <w:gridCol w:w="866"/>
        <w:gridCol w:w="892"/>
      </w:tblGrid>
      <w:tr w:rsidR="004F06D1" w:rsidRPr="007A2CAE" w:rsidTr="004F06D1">
        <w:trPr>
          <w:trHeight w:val="345"/>
          <w:jc w:val="center"/>
        </w:trPr>
        <w:tc>
          <w:tcPr>
            <w:tcW w:w="889" w:type="dxa"/>
            <w:vMerge w:val="restart"/>
            <w:shd w:val="clear" w:color="auto" w:fill="D9D9D9"/>
          </w:tcPr>
          <w:p w:rsidR="004F06D1" w:rsidRPr="007A2CAE" w:rsidRDefault="004F06D1" w:rsidP="00DE12EC">
            <w:pPr>
              <w:keepNext/>
              <w:spacing w:before="40" w:after="40" w:line="240" w:lineRule="auto"/>
              <w:jc w:val="center"/>
              <w:rPr>
                <w:b/>
                <w:bCs/>
                <w:sz w:val="18"/>
                <w:szCs w:val="18"/>
              </w:rPr>
            </w:pPr>
          </w:p>
          <w:p w:rsidR="004F06D1" w:rsidRPr="007A2CAE" w:rsidRDefault="004F06D1" w:rsidP="00DE12EC">
            <w:pPr>
              <w:keepNext/>
              <w:spacing w:before="40" w:after="40" w:line="240" w:lineRule="auto"/>
              <w:jc w:val="center"/>
              <w:rPr>
                <w:b/>
                <w:bCs/>
                <w:sz w:val="18"/>
                <w:szCs w:val="18"/>
              </w:rPr>
            </w:pPr>
          </w:p>
          <w:p w:rsidR="004F06D1" w:rsidRPr="007A2CAE" w:rsidRDefault="004F06D1" w:rsidP="00DE12EC">
            <w:pPr>
              <w:keepNext/>
              <w:spacing w:before="40" w:after="40" w:line="240" w:lineRule="auto"/>
              <w:jc w:val="center"/>
              <w:rPr>
                <w:b/>
                <w:bCs/>
                <w:sz w:val="18"/>
                <w:szCs w:val="18"/>
              </w:rPr>
            </w:pPr>
            <w:r w:rsidRPr="007A2CAE">
              <w:rPr>
                <w:b/>
                <w:bCs/>
                <w:sz w:val="18"/>
                <w:szCs w:val="18"/>
              </w:rPr>
              <w:t>Size HP</w:t>
            </w:r>
          </w:p>
        </w:tc>
        <w:tc>
          <w:tcPr>
            <w:tcW w:w="2613" w:type="dxa"/>
            <w:gridSpan w:val="3"/>
            <w:shd w:val="clear" w:color="auto" w:fill="D9D9D9"/>
          </w:tcPr>
          <w:p w:rsidR="004F06D1" w:rsidRPr="007A2CAE" w:rsidRDefault="004F06D1" w:rsidP="00DE12EC">
            <w:pPr>
              <w:keepNext/>
              <w:spacing w:before="40" w:after="40" w:line="240" w:lineRule="auto"/>
              <w:jc w:val="center"/>
              <w:rPr>
                <w:b/>
                <w:bCs/>
                <w:iCs/>
                <w:sz w:val="18"/>
                <w:szCs w:val="18"/>
              </w:rPr>
            </w:pPr>
            <w:r w:rsidRPr="007A2CAE">
              <w:rPr>
                <w:b/>
                <w:bCs/>
                <w:iCs/>
                <w:sz w:val="18"/>
                <w:szCs w:val="18"/>
              </w:rPr>
              <w:t>Open Drip Proof (ODP)</w:t>
            </w:r>
            <w:r w:rsidRPr="007A2CAE">
              <w:rPr>
                <w:b/>
                <w:bCs/>
                <w:iCs/>
                <w:sz w:val="18"/>
                <w:szCs w:val="18"/>
              </w:rPr>
              <w:br/>
              <w:t># of Poles</w:t>
            </w:r>
          </w:p>
        </w:tc>
        <w:tc>
          <w:tcPr>
            <w:tcW w:w="2658" w:type="dxa"/>
            <w:gridSpan w:val="3"/>
            <w:shd w:val="clear" w:color="auto" w:fill="D9D9D9"/>
          </w:tcPr>
          <w:p w:rsidR="004F06D1" w:rsidRPr="007A2CAE" w:rsidRDefault="004F06D1" w:rsidP="00DE12EC">
            <w:pPr>
              <w:keepNext/>
              <w:spacing w:before="40" w:after="40" w:line="240" w:lineRule="auto"/>
              <w:jc w:val="center"/>
              <w:rPr>
                <w:b/>
                <w:bCs/>
                <w:iCs/>
                <w:sz w:val="18"/>
                <w:szCs w:val="18"/>
              </w:rPr>
            </w:pPr>
            <w:r w:rsidRPr="007A2CAE">
              <w:rPr>
                <w:b/>
                <w:bCs/>
                <w:iCs/>
                <w:sz w:val="18"/>
                <w:szCs w:val="18"/>
              </w:rPr>
              <w:t>Totally Enclosed Fan-Cooled (TEFC)</w:t>
            </w:r>
          </w:p>
        </w:tc>
      </w:tr>
      <w:tr w:rsidR="004F06D1" w:rsidRPr="007A2CAE" w:rsidTr="004F06D1">
        <w:trPr>
          <w:trHeight w:val="153"/>
          <w:jc w:val="center"/>
        </w:trPr>
        <w:tc>
          <w:tcPr>
            <w:tcW w:w="889" w:type="dxa"/>
            <w:vMerge/>
            <w:shd w:val="clear" w:color="auto" w:fill="D9D9D9"/>
          </w:tcPr>
          <w:p w:rsidR="004F06D1" w:rsidRPr="007A2CAE" w:rsidRDefault="004F06D1" w:rsidP="00DE12EC">
            <w:pPr>
              <w:keepNext/>
              <w:spacing w:before="40" w:after="40" w:line="240" w:lineRule="auto"/>
              <w:jc w:val="center"/>
              <w:rPr>
                <w:b/>
                <w:bCs/>
                <w:sz w:val="18"/>
                <w:szCs w:val="18"/>
              </w:rPr>
            </w:pPr>
          </w:p>
        </w:tc>
        <w:tc>
          <w:tcPr>
            <w:tcW w:w="875" w:type="dxa"/>
            <w:shd w:val="clear" w:color="auto" w:fill="D9D9D9"/>
          </w:tcPr>
          <w:p w:rsidR="004F06D1" w:rsidRPr="007A2CAE" w:rsidRDefault="004F06D1" w:rsidP="00DE12EC">
            <w:pPr>
              <w:keepNext/>
              <w:spacing w:before="40" w:after="40" w:line="240" w:lineRule="auto"/>
              <w:jc w:val="center"/>
              <w:rPr>
                <w:bCs/>
                <w:i/>
                <w:iCs/>
                <w:sz w:val="18"/>
                <w:szCs w:val="18"/>
              </w:rPr>
            </w:pPr>
            <w:r w:rsidRPr="007A2CAE">
              <w:rPr>
                <w:bCs/>
                <w:i/>
                <w:iCs/>
                <w:sz w:val="18"/>
                <w:szCs w:val="18"/>
              </w:rPr>
              <w:t>6</w:t>
            </w:r>
          </w:p>
        </w:tc>
        <w:tc>
          <w:tcPr>
            <w:tcW w:w="870" w:type="dxa"/>
            <w:shd w:val="clear" w:color="auto" w:fill="D9D9D9"/>
          </w:tcPr>
          <w:p w:rsidR="004F06D1" w:rsidRPr="007A2CAE" w:rsidRDefault="004F06D1" w:rsidP="00DE12EC">
            <w:pPr>
              <w:keepNext/>
              <w:spacing w:before="40" w:after="40" w:line="240" w:lineRule="auto"/>
              <w:jc w:val="center"/>
              <w:rPr>
                <w:bCs/>
                <w:i/>
                <w:iCs/>
                <w:sz w:val="18"/>
                <w:szCs w:val="18"/>
              </w:rPr>
            </w:pPr>
            <w:r w:rsidRPr="007A2CAE">
              <w:rPr>
                <w:bCs/>
                <w:i/>
                <w:iCs/>
                <w:sz w:val="18"/>
                <w:szCs w:val="18"/>
              </w:rPr>
              <w:t>4</w:t>
            </w:r>
          </w:p>
        </w:tc>
        <w:tc>
          <w:tcPr>
            <w:tcW w:w="868" w:type="dxa"/>
            <w:shd w:val="clear" w:color="auto" w:fill="D9D9D9"/>
          </w:tcPr>
          <w:p w:rsidR="004F06D1" w:rsidRPr="007A2CAE" w:rsidRDefault="004F06D1" w:rsidP="00DE12EC">
            <w:pPr>
              <w:keepNext/>
              <w:spacing w:before="40" w:after="40" w:line="240" w:lineRule="auto"/>
              <w:jc w:val="center"/>
              <w:rPr>
                <w:bCs/>
                <w:i/>
                <w:iCs/>
                <w:sz w:val="18"/>
                <w:szCs w:val="18"/>
              </w:rPr>
            </w:pPr>
            <w:r w:rsidRPr="007A2CAE">
              <w:rPr>
                <w:bCs/>
                <w:i/>
                <w:iCs/>
                <w:sz w:val="18"/>
                <w:szCs w:val="18"/>
              </w:rPr>
              <w:t>2</w:t>
            </w:r>
          </w:p>
        </w:tc>
        <w:tc>
          <w:tcPr>
            <w:tcW w:w="900" w:type="dxa"/>
            <w:shd w:val="clear" w:color="auto" w:fill="D9D9D9"/>
          </w:tcPr>
          <w:p w:rsidR="004F06D1" w:rsidRPr="007A2CAE" w:rsidRDefault="004F06D1" w:rsidP="00DE12EC">
            <w:pPr>
              <w:keepNext/>
              <w:spacing w:before="40" w:after="40" w:line="240" w:lineRule="auto"/>
              <w:jc w:val="center"/>
              <w:rPr>
                <w:bCs/>
                <w:i/>
                <w:iCs/>
                <w:sz w:val="18"/>
                <w:szCs w:val="18"/>
              </w:rPr>
            </w:pPr>
            <w:r w:rsidRPr="007A2CAE">
              <w:rPr>
                <w:bCs/>
                <w:i/>
                <w:iCs/>
                <w:sz w:val="18"/>
                <w:szCs w:val="18"/>
              </w:rPr>
              <w:t>6</w:t>
            </w:r>
          </w:p>
        </w:tc>
        <w:tc>
          <w:tcPr>
            <w:tcW w:w="866" w:type="dxa"/>
            <w:shd w:val="clear" w:color="auto" w:fill="D9D9D9"/>
          </w:tcPr>
          <w:p w:rsidR="004F06D1" w:rsidRPr="007A2CAE" w:rsidRDefault="004F06D1" w:rsidP="00DE12EC">
            <w:pPr>
              <w:keepNext/>
              <w:spacing w:before="40" w:after="40" w:line="240" w:lineRule="auto"/>
              <w:jc w:val="center"/>
              <w:rPr>
                <w:bCs/>
                <w:i/>
                <w:iCs/>
                <w:sz w:val="18"/>
                <w:szCs w:val="18"/>
              </w:rPr>
            </w:pPr>
            <w:r w:rsidRPr="007A2CAE">
              <w:rPr>
                <w:bCs/>
                <w:i/>
                <w:iCs/>
                <w:sz w:val="18"/>
                <w:szCs w:val="18"/>
              </w:rPr>
              <w:t>4</w:t>
            </w:r>
          </w:p>
        </w:tc>
        <w:tc>
          <w:tcPr>
            <w:tcW w:w="892" w:type="dxa"/>
            <w:shd w:val="clear" w:color="auto" w:fill="D9D9D9"/>
          </w:tcPr>
          <w:p w:rsidR="004F06D1" w:rsidRPr="007A2CAE" w:rsidRDefault="004F06D1" w:rsidP="00DE12EC">
            <w:pPr>
              <w:keepNext/>
              <w:spacing w:before="40" w:after="40" w:line="240" w:lineRule="auto"/>
              <w:jc w:val="center"/>
              <w:rPr>
                <w:bCs/>
                <w:i/>
                <w:iCs/>
                <w:sz w:val="18"/>
                <w:szCs w:val="18"/>
              </w:rPr>
            </w:pPr>
            <w:r w:rsidRPr="007A2CAE">
              <w:rPr>
                <w:bCs/>
                <w:i/>
                <w:iCs/>
                <w:sz w:val="18"/>
                <w:szCs w:val="18"/>
              </w:rPr>
              <w:t>2</w:t>
            </w:r>
          </w:p>
        </w:tc>
      </w:tr>
      <w:tr w:rsidR="004F06D1" w:rsidRPr="007A2CAE" w:rsidTr="004F06D1">
        <w:trPr>
          <w:trHeight w:val="125"/>
          <w:jc w:val="center"/>
        </w:trPr>
        <w:tc>
          <w:tcPr>
            <w:tcW w:w="889" w:type="dxa"/>
            <w:vMerge/>
            <w:shd w:val="clear" w:color="auto" w:fill="D9D9D9"/>
          </w:tcPr>
          <w:p w:rsidR="004F06D1" w:rsidRPr="007A2CAE" w:rsidRDefault="004F06D1" w:rsidP="00DE12EC">
            <w:pPr>
              <w:keepNext/>
              <w:spacing w:before="40" w:after="40" w:line="240" w:lineRule="auto"/>
              <w:jc w:val="center"/>
              <w:rPr>
                <w:b/>
                <w:bCs/>
                <w:sz w:val="18"/>
                <w:szCs w:val="18"/>
              </w:rPr>
            </w:pPr>
          </w:p>
        </w:tc>
        <w:tc>
          <w:tcPr>
            <w:tcW w:w="2613" w:type="dxa"/>
            <w:gridSpan w:val="3"/>
            <w:shd w:val="clear" w:color="auto" w:fill="D9D9D9"/>
          </w:tcPr>
          <w:p w:rsidR="004F06D1" w:rsidRPr="007A2CAE" w:rsidRDefault="004F06D1" w:rsidP="00DE12EC">
            <w:pPr>
              <w:keepNext/>
              <w:spacing w:before="40" w:after="40" w:line="240" w:lineRule="auto"/>
              <w:jc w:val="center"/>
              <w:rPr>
                <w:b/>
                <w:bCs/>
                <w:iCs/>
                <w:sz w:val="18"/>
                <w:szCs w:val="18"/>
              </w:rPr>
            </w:pPr>
            <w:r w:rsidRPr="007A2CAE">
              <w:rPr>
                <w:b/>
                <w:bCs/>
                <w:iCs/>
                <w:sz w:val="18"/>
                <w:szCs w:val="18"/>
              </w:rPr>
              <w:t>Speed (RPM)</w:t>
            </w:r>
          </w:p>
        </w:tc>
        <w:tc>
          <w:tcPr>
            <w:tcW w:w="2658" w:type="dxa"/>
            <w:gridSpan w:val="3"/>
            <w:shd w:val="clear" w:color="auto" w:fill="D9D9D9"/>
          </w:tcPr>
          <w:p w:rsidR="004F06D1" w:rsidRPr="007A2CAE" w:rsidRDefault="004F06D1" w:rsidP="00DE12EC">
            <w:pPr>
              <w:keepNext/>
              <w:spacing w:before="40" w:after="40" w:line="240" w:lineRule="auto"/>
              <w:jc w:val="center"/>
              <w:rPr>
                <w:b/>
                <w:bCs/>
                <w:iCs/>
                <w:sz w:val="18"/>
                <w:szCs w:val="18"/>
              </w:rPr>
            </w:pPr>
            <w:r w:rsidRPr="007A2CAE">
              <w:rPr>
                <w:b/>
                <w:bCs/>
                <w:iCs/>
                <w:sz w:val="18"/>
                <w:szCs w:val="18"/>
              </w:rPr>
              <w:t>Speed (RPM)</w:t>
            </w:r>
          </w:p>
        </w:tc>
      </w:tr>
      <w:tr w:rsidR="004F06D1" w:rsidRPr="007A2CAE" w:rsidTr="004F06D1">
        <w:trPr>
          <w:trHeight w:val="125"/>
          <w:jc w:val="center"/>
        </w:trPr>
        <w:tc>
          <w:tcPr>
            <w:tcW w:w="889" w:type="dxa"/>
            <w:vMerge/>
            <w:shd w:val="clear" w:color="auto" w:fill="D9D9D9"/>
          </w:tcPr>
          <w:p w:rsidR="004F06D1" w:rsidRPr="007A2CAE" w:rsidRDefault="004F06D1" w:rsidP="00DE12EC">
            <w:pPr>
              <w:keepNext/>
              <w:spacing w:before="40" w:after="40" w:line="240" w:lineRule="auto"/>
              <w:jc w:val="center"/>
              <w:rPr>
                <w:b/>
                <w:bCs/>
                <w:sz w:val="18"/>
                <w:szCs w:val="18"/>
              </w:rPr>
            </w:pPr>
          </w:p>
        </w:tc>
        <w:tc>
          <w:tcPr>
            <w:tcW w:w="875" w:type="dxa"/>
            <w:shd w:val="clear" w:color="auto" w:fill="D9D9D9"/>
            <w:vAlign w:val="bottom"/>
          </w:tcPr>
          <w:p w:rsidR="004F06D1" w:rsidRPr="007A2CAE" w:rsidRDefault="004F06D1" w:rsidP="00DE12EC">
            <w:pPr>
              <w:keepNext/>
              <w:spacing w:before="40" w:after="40" w:line="240" w:lineRule="auto"/>
              <w:jc w:val="center"/>
              <w:rPr>
                <w:bCs/>
                <w:i/>
                <w:iCs/>
                <w:sz w:val="18"/>
                <w:szCs w:val="18"/>
              </w:rPr>
            </w:pPr>
            <w:r w:rsidRPr="007A2CAE">
              <w:rPr>
                <w:bCs/>
                <w:i/>
                <w:iCs/>
                <w:sz w:val="18"/>
                <w:szCs w:val="18"/>
              </w:rPr>
              <w:t>1200</w:t>
            </w:r>
          </w:p>
        </w:tc>
        <w:tc>
          <w:tcPr>
            <w:tcW w:w="870" w:type="dxa"/>
            <w:shd w:val="clear" w:color="auto" w:fill="D9D9D9"/>
            <w:vAlign w:val="bottom"/>
          </w:tcPr>
          <w:p w:rsidR="004F06D1" w:rsidRPr="007A2CAE" w:rsidRDefault="004F06D1" w:rsidP="00DE12EC">
            <w:pPr>
              <w:keepNext/>
              <w:spacing w:before="40" w:after="40" w:line="240" w:lineRule="auto"/>
              <w:jc w:val="center"/>
              <w:rPr>
                <w:bCs/>
                <w:i/>
                <w:iCs/>
                <w:sz w:val="18"/>
                <w:szCs w:val="18"/>
              </w:rPr>
            </w:pPr>
            <w:r w:rsidRPr="007A2CAE">
              <w:rPr>
                <w:bCs/>
                <w:i/>
                <w:iCs/>
                <w:sz w:val="18"/>
                <w:szCs w:val="18"/>
              </w:rPr>
              <w:t>1800</w:t>
            </w:r>
          </w:p>
        </w:tc>
        <w:tc>
          <w:tcPr>
            <w:tcW w:w="868" w:type="dxa"/>
            <w:shd w:val="clear" w:color="auto" w:fill="D9D9D9"/>
            <w:vAlign w:val="bottom"/>
          </w:tcPr>
          <w:p w:rsidR="004F06D1" w:rsidRPr="007A2CAE" w:rsidRDefault="004F06D1" w:rsidP="00DE12EC">
            <w:pPr>
              <w:keepNext/>
              <w:spacing w:before="40" w:after="40" w:line="240" w:lineRule="auto"/>
              <w:jc w:val="center"/>
              <w:rPr>
                <w:bCs/>
                <w:i/>
                <w:iCs/>
                <w:sz w:val="18"/>
                <w:szCs w:val="18"/>
              </w:rPr>
            </w:pPr>
            <w:r w:rsidRPr="007A2CAE">
              <w:rPr>
                <w:bCs/>
                <w:i/>
                <w:iCs/>
                <w:sz w:val="18"/>
                <w:szCs w:val="18"/>
              </w:rPr>
              <w:t>3600</w:t>
            </w:r>
          </w:p>
        </w:tc>
        <w:tc>
          <w:tcPr>
            <w:tcW w:w="900" w:type="dxa"/>
            <w:shd w:val="clear" w:color="auto" w:fill="D9D9D9"/>
            <w:vAlign w:val="bottom"/>
          </w:tcPr>
          <w:p w:rsidR="004F06D1" w:rsidRPr="007A2CAE" w:rsidRDefault="004F06D1" w:rsidP="00DE12EC">
            <w:pPr>
              <w:keepNext/>
              <w:spacing w:before="40" w:after="40" w:line="240" w:lineRule="auto"/>
              <w:jc w:val="center"/>
              <w:rPr>
                <w:bCs/>
                <w:i/>
                <w:iCs/>
                <w:sz w:val="18"/>
                <w:szCs w:val="18"/>
              </w:rPr>
            </w:pPr>
            <w:r w:rsidRPr="007A2CAE">
              <w:rPr>
                <w:bCs/>
                <w:i/>
                <w:iCs/>
                <w:sz w:val="18"/>
                <w:szCs w:val="18"/>
              </w:rPr>
              <w:t>1200</w:t>
            </w:r>
          </w:p>
        </w:tc>
        <w:tc>
          <w:tcPr>
            <w:tcW w:w="866" w:type="dxa"/>
            <w:shd w:val="clear" w:color="auto" w:fill="D9D9D9"/>
            <w:vAlign w:val="bottom"/>
          </w:tcPr>
          <w:p w:rsidR="004F06D1" w:rsidRPr="007A2CAE" w:rsidRDefault="004F06D1" w:rsidP="00DE12EC">
            <w:pPr>
              <w:keepNext/>
              <w:spacing w:before="40" w:after="40" w:line="240" w:lineRule="auto"/>
              <w:jc w:val="center"/>
              <w:rPr>
                <w:bCs/>
                <w:i/>
                <w:iCs/>
                <w:sz w:val="18"/>
                <w:szCs w:val="18"/>
              </w:rPr>
            </w:pPr>
            <w:r w:rsidRPr="007A2CAE">
              <w:rPr>
                <w:bCs/>
                <w:i/>
                <w:iCs/>
                <w:sz w:val="18"/>
                <w:szCs w:val="18"/>
              </w:rPr>
              <w:t>1800</w:t>
            </w:r>
          </w:p>
        </w:tc>
        <w:tc>
          <w:tcPr>
            <w:tcW w:w="892" w:type="dxa"/>
            <w:shd w:val="clear" w:color="auto" w:fill="D9D9D9"/>
            <w:vAlign w:val="bottom"/>
          </w:tcPr>
          <w:p w:rsidR="004F06D1" w:rsidRPr="007A2CAE" w:rsidRDefault="004F06D1" w:rsidP="00DE12EC">
            <w:pPr>
              <w:keepNext/>
              <w:spacing w:before="40" w:after="40" w:line="240" w:lineRule="auto"/>
              <w:jc w:val="center"/>
              <w:rPr>
                <w:bCs/>
                <w:i/>
                <w:iCs/>
                <w:sz w:val="18"/>
                <w:szCs w:val="18"/>
              </w:rPr>
            </w:pPr>
            <w:r w:rsidRPr="007A2CAE">
              <w:rPr>
                <w:bCs/>
                <w:i/>
                <w:iCs/>
                <w:sz w:val="18"/>
                <w:szCs w:val="18"/>
              </w:rPr>
              <w:t>3600</w:t>
            </w:r>
          </w:p>
        </w:tc>
      </w:tr>
      <w:tr w:rsidR="004F06D1" w:rsidRPr="007A2CAE" w:rsidTr="004F06D1">
        <w:trPr>
          <w:trHeight w:val="125"/>
          <w:jc w:val="center"/>
        </w:trPr>
        <w:tc>
          <w:tcPr>
            <w:tcW w:w="889" w:type="dxa"/>
            <w:shd w:val="clear" w:color="auto" w:fill="auto"/>
            <w:vAlign w:val="center"/>
          </w:tcPr>
          <w:p w:rsidR="004F06D1" w:rsidRPr="007A2CAE" w:rsidRDefault="004F06D1" w:rsidP="004F06D1">
            <w:pPr>
              <w:spacing w:before="40" w:after="40" w:line="240" w:lineRule="auto"/>
              <w:jc w:val="center"/>
              <w:rPr>
                <w:sz w:val="18"/>
                <w:szCs w:val="18"/>
              </w:rPr>
            </w:pPr>
            <w:r w:rsidRPr="007A2CAE">
              <w:rPr>
                <w:sz w:val="18"/>
                <w:szCs w:val="18"/>
              </w:rPr>
              <w:t>1</w:t>
            </w:r>
          </w:p>
        </w:tc>
        <w:tc>
          <w:tcPr>
            <w:tcW w:w="875" w:type="dxa"/>
            <w:shd w:val="clear" w:color="auto" w:fill="auto"/>
            <w:vAlign w:val="center"/>
          </w:tcPr>
          <w:p w:rsidR="004F06D1" w:rsidRPr="001D6512" w:rsidRDefault="004F06D1" w:rsidP="004F06D1">
            <w:pPr>
              <w:pStyle w:val="TableCell"/>
              <w:spacing w:before="60" w:after="60"/>
              <w:jc w:val="right"/>
            </w:pPr>
            <w:r w:rsidRPr="001D6512">
              <w:t>82.50%</w:t>
            </w:r>
          </w:p>
        </w:tc>
        <w:tc>
          <w:tcPr>
            <w:tcW w:w="870" w:type="dxa"/>
            <w:shd w:val="clear" w:color="auto" w:fill="auto"/>
            <w:vAlign w:val="center"/>
          </w:tcPr>
          <w:p w:rsidR="004F06D1" w:rsidRPr="001D6512" w:rsidRDefault="004F06D1" w:rsidP="004F06D1">
            <w:pPr>
              <w:pStyle w:val="TableCell"/>
              <w:spacing w:before="60" w:after="60"/>
              <w:jc w:val="right"/>
            </w:pPr>
            <w:r w:rsidRPr="001D6512">
              <w:t>85.50%</w:t>
            </w:r>
          </w:p>
        </w:tc>
        <w:tc>
          <w:tcPr>
            <w:tcW w:w="868" w:type="dxa"/>
            <w:shd w:val="clear" w:color="auto" w:fill="auto"/>
            <w:vAlign w:val="center"/>
          </w:tcPr>
          <w:p w:rsidR="004F06D1" w:rsidRPr="001D6512" w:rsidRDefault="004F06D1" w:rsidP="004F06D1">
            <w:pPr>
              <w:pStyle w:val="TableCell"/>
              <w:spacing w:before="60" w:after="60"/>
              <w:jc w:val="right"/>
            </w:pPr>
            <w:r w:rsidRPr="001D6512">
              <w:t>77.00%</w:t>
            </w:r>
          </w:p>
        </w:tc>
        <w:tc>
          <w:tcPr>
            <w:tcW w:w="900" w:type="dxa"/>
            <w:shd w:val="clear" w:color="auto" w:fill="auto"/>
            <w:vAlign w:val="center"/>
          </w:tcPr>
          <w:p w:rsidR="004F06D1" w:rsidRPr="001D6512" w:rsidRDefault="004F06D1" w:rsidP="004F06D1">
            <w:pPr>
              <w:pStyle w:val="TableCell"/>
              <w:spacing w:before="60" w:after="60"/>
              <w:jc w:val="right"/>
            </w:pPr>
            <w:r w:rsidRPr="001D6512">
              <w:t>82.50%</w:t>
            </w:r>
          </w:p>
        </w:tc>
        <w:tc>
          <w:tcPr>
            <w:tcW w:w="866" w:type="dxa"/>
            <w:shd w:val="clear" w:color="auto" w:fill="auto"/>
            <w:vAlign w:val="center"/>
          </w:tcPr>
          <w:p w:rsidR="004F06D1" w:rsidRPr="001D6512" w:rsidRDefault="004F06D1" w:rsidP="004F06D1">
            <w:pPr>
              <w:pStyle w:val="TableCell"/>
              <w:spacing w:before="60" w:after="60"/>
              <w:jc w:val="right"/>
            </w:pPr>
            <w:r w:rsidRPr="001D6512">
              <w:t>85.50%</w:t>
            </w:r>
          </w:p>
        </w:tc>
        <w:tc>
          <w:tcPr>
            <w:tcW w:w="892" w:type="dxa"/>
            <w:shd w:val="clear" w:color="auto" w:fill="auto"/>
            <w:vAlign w:val="center"/>
          </w:tcPr>
          <w:p w:rsidR="004F06D1" w:rsidRPr="001D6512" w:rsidRDefault="004F06D1" w:rsidP="004F06D1">
            <w:pPr>
              <w:pStyle w:val="TableCell"/>
              <w:spacing w:before="60" w:after="60"/>
              <w:jc w:val="right"/>
            </w:pPr>
            <w:r w:rsidRPr="001D6512">
              <w:t>77.00%</w:t>
            </w:r>
          </w:p>
        </w:tc>
      </w:tr>
      <w:tr w:rsidR="004F06D1" w:rsidRPr="007A2CAE" w:rsidTr="004F06D1">
        <w:trPr>
          <w:trHeight w:val="143"/>
          <w:jc w:val="center"/>
        </w:trPr>
        <w:tc>
          <w:tcPr>
            <w:tcW w:w="889" w:type="dxa"/>
            <w:shd w:val="clear" w:color="auto" w:fill="auto"/>
            <w:vAlign w:val="center"/>
          </w:tcPr>
          <w:p w:rsidR="004F06D1" w:rsidRPr="007A2CAE" w:rsidRDefault="004F06D1" w:rsidP="004F06D1">
            <w:pPr>
              <w:spacing w:before="40" w:after="40" w:line="240" w:lineRule="auto"/>
              <w:jc w:val="center"/>
              <w:rPr>
                <w:sz w:val="18"/>
                <w:szCs w:val="18"/>
              </w:rPr>
            </w:pPr>
            <w:r w:rsidRPr="007A2CAE">
              <w:rPr>
                <w:sz w:val="18"/>
                <w:szCs w:val="18"/>
              </w:rPr>
              <w:t>1.5</w:t>
            </w:r>
          </w:p>
        </w:tc>
        <w:tc>
          <w:tcPr>
            <w:tcW w:w="875" w:type="dxa"/>
            <w:shd w:val="clear" w:color="auto" w:fill="auto"/>
            <w:vAlign w:val="center"/>
          </w:tcPr>
          <w:p w:rsidR="004F06D1" w:rsidRPr="001D6512" w:rsidRDefault="004F06D1" w:rsidP="004F06D1">
            <w:pPr>
              <w:pStyle w:val="TableCell"/>
              <w:spacing w:before="60" w:after="60"/>
              <w:jc w:val="right"/>
            </w:pPr>
            <w:r w:rsidRPr="001D6512">
              <w:t>86.50%</w:t>
            </w:r>
          </w:p>
        </w:tc>
        <w:tc>
          <w:tcPr>
            <w:tcW w:w="870" w:type="dxa"/>
            <w:shd w:val="clear" w:color="auto" w:fill="auto"/>
            <w:vAlign w:val="center"/>
          </w:tcPr>
          <w:p w:rsidR="004F06D1" w:rsidRPr="001D6512" w:rsidRDefault="004F06D1" w:rsidP="004F06D1">
            <w:pPr>
              <w:pStyle w:val="TableCell"/>
              <w:spacing w:before="60" w:after="60"/>
              <w:jc w:val="right"/>
            </w:pPr>
            <w:r w:rsidRPr="001D6512">
              <w:t>86.50%</w:t>
            </w:r>
          </w:p>
        </w:tc>
        <w:tc>
          <w:tcPr>
            <w:tcW w:w="868" w:type="dxa"/>
            <w:shd w:val="clear" w:color="auto" w:fill="auto"/>
            <w:vAlign w:val="center"/>
          </w:tcPr>
          <w:p w:rsidR="004F06D1" w:rsidRPr="001D6512" w:rsidRDefault="004F06D1" w:rsidP="004F06D1">
            <w:pPr>
              <w:pStyle w:val="TableCell"/>
              <w:spacing w:before="60" w:after="60"/>
              <w:jc w:val="right"/>
            </w:pPr>
            <w:r w:rsidRPr="001D6512">
              <w:t>84.00%</w:t>
            </w:r>
          </w:p>
        </w:tc>
        <w:tc>
          <w:tcPr>
            <w:tcW w:w="900" w:type="dxa"/>
            <w:shd w:val="clear" w:color="auto" w:fill="auto"/>
            <w:vAlign w:val="center"/>
          </w:tcPr>
          <w:p w:rsidR="004F06D1" w:rsidRPr="001D6512" w:rsidRDefault="004F06D1" w:rsidP="004F06D1">
            <w:pPr>
              <w:pStyle w:val="TableCell"/>
              <w:spacing w:before="60" w:after="60"/>
              <w:jc w:val="right"/>
            </w:pPr>
            <w:r w:rsidRPr="001D6512">
              <w:t>87.50%</w:t>
            </w:r>
          </w:p>
        </w:tc>
        <w:tc>
          <w:tcPr>
            <w:tcW w:w="866" w:type="dxa"/>
            <w:shd w:val="clear" w:color="auto" w:fill="auto"/>
            <w:vAlign w:val="center"/>
          </w:tcPr>
          <w:p w:rsidR="004F06D1" w:rsidRPr="001D6512" w:rsidRDefault="004F06D1" w:rsidP="004F06D1">
            <w:pPr>
              <w:pStyle w:val="TableCell"/>
              <w:spacing w:before="60" w:after="60"/>
              <w:jc w:val="right"/>
            </w:pPr>
            <w:r w:rsidRPr="001D6512">
              <w:t>86.50%</w:t>
            </w:r>
          </w:p>
        </w:tc>
        <w:tc>
          <w:tcPr>
            <w:tcW w:w="892" w:type="dxa"/>
            <w:shd w:val="clear" w:color="auto" w:fill="auto"/>
            <w:vAlign w:val="center"/>
          </w:tcPr>
          <w:p w:rsidR="004F06D1" w:rsidRPr="001D6512" w:rsidRDefault="004F06D1" w:rsidP="004F06D1">
            <w:pPr>
              <w:pStyle w:val="TableCell"/>
              <w:spacing w:before="60" w:after="60"/>
              <w:jc w:val="right"/>
            </w:pPr>
            <w:r w:rsidRPr="001D6512">
              <w:t>84.00%</w:t>
            </w:r>
          </w:p>
        </w:tc>
      </w:tr>
      <w:tr w:rsidR="004F06D1" w:rsidRPr="007A2CAE" w:rsidTr="004F06D1">
        <w:trPr>
          <w:trHeight w:val="107"/>
          <w:jc w:val="center"/>
        </w:trPr>
        <w:tc>
          <w:tcPr>
            <w:tcW w:w="889" w:type="dxa"/>
            <w:shd w:val="clear" w:color="auto" w:fill="auto"/>
            <w:vAlign w:val="center"/>
          </w:tcPr>
          <w:p w:rsidR="004F06D1" w:rsidRPr="007A2CAE" w:rsidRDefault="004F06D1" w:rsidP="004F06D1">
            <w:pPr>
              <w:spacing w:before="40" w:after="40" w:line="240" w:lineRule="auto"/>
              <w:jc w:val="center"/>
              <w:rPr>
                <w:sz w:val="18"/>
                <w:szCs w:val="18"/>
              </w:rPr>
            </w:pPr>
            <w:r w:rsidRPr="007A2CAE">
              <w:rPr>
                <w:sz w:val="18"/>
                <w:szCs w:val="18"/>
              </w:rPr>
              <w:t>2</w:t>
            </w:r>
          </w:p>
        </w:tc>
        <w:tc>
          <w:tcPr>
            <w:tcW w:w="875" w:type="dxa"/>
            <w:shd w:val="clear" w:color="auto" w:fill="auto"/>
            <w:vAlign w:val="center"/>
          </w:tcPr>
          <w:p w:rsidR="004F06D1" w:rsidRPr="001D6512" w:rsidRDefault="004F06D1" w:rsidP="004F06D1">
            <w:pPr>
              <w:pStyle w:val="TableCell"/>
              <w:spacing w:before="60" w:after="60"/>
              <w:jc w:val="right"/>
            </w:pPr>
            <w:r w:rsidRPr="001D6512">
              <w:t>87.50%</w:t>
            </w:r>
          </w:p>
        </w:tc>
        <w:tc>
          <w:tcPr>
            <w:tcW w:w="870" w:type="dxa"/>
            <w:shd w:val="clear" w:color="auto" w:fill="auto"/>
            <w:vAlign w:val="center"/>
          </w:tcPr>
          <w:p w:rsidR="004F06D1" w:rsidRPr="001D6512" w:rsidRDefault="004F06D1" w:rsidP="004F06D1">
            <w:pPr>
              <w:pStyle w:val="TableCell"/>
              <w:spacing w:before="60" w:after="60"/>
              <w:jc w:val="right"/>
            </w:pPr>
            <w:r w:rsidRPr="001D6512">
              <w:t>86.50%</w:t>
            </w:r>
          </w:p>
        </w:tc>
        <w:tc>
          <w:tcPr>
            <w:tcW w:w="868" w:type="dxa"/>
            <w:shd w:val="clear" w:color="auto" w:fill="auto"/>
            <w:vAlign w:val="center"/>
          </w:tcPr>
          <w:p w:rsidR="004F06D1" w:rsidRPr="001D6512" w:rsidRDefault="004F06D1" w:rsidP="004F06D1">
            <w:pPr>
              <w:pStyle w:val="TableCell"/>
              <w:spacing w:before="60" w:after="60"/>
              <w:jc w:val="right"/>
            </w:pPr>
            <w:r w:rsidRPr="001D6512">
              <w:t>85.50%</w:t>
            </w:r>
          </w:p>
        </w:tc>
        <w:tc>
          <w:tcPr>
            <w:tcW w:w="900" w:type="dxa"/>
            <w:shd w:val="clear" w:color="auto" w:fill="auto"/>
            <w:vAlign w:val="center"/>
          </w:tcPr>
          <w:p w:rsidR="004F06D1" w:rsidRPr="001D6512" w:rsidRDefault="004F06D1" w:rsidP="004F06D1">
            <w:pPr>
              <w:pStyle w:val="TableCell"/>
              <w:spacing w:before="60" w:after="60"/>
              <w:jc w:val="right"/>
            </w:pPr>
            <w:r w:rsidRPr="001D6512">
              <w:t>88.50%</w:t>
            </w:r>
          </w:p>
        </w:tc>
        <w:tc>
          <w:tcPr>
            <w:tcW w:w="866" w:type="dxa"/>
            <w:shd w:val="clear" w:color="auto" w:fill="auto"/>
            <w:vAlign w:val="center"/>
          </w:tcPr>
          <w:p w:rsidR="004F06D1" w:rsidRPr="001D6512" w:rsidRDefault="004F06D1" w:rsidP="004F06D1">
            <w:pPr>
              <w:pStyle w:val="TableCell"/>
              <w:spacing w:before="60" w:after="60"/>
              <w:jc w:val="right"/>
            </w:pPr>
            <w:r w:rsidRPr="001D6512">
              <w:t>86.50%</w:t>
            </w:r>
          </w:p>
        </w:tc>
        <w:tc>
          <w:tcPr>
            <w:tcW w:w="892" w:type="dxa"/>
            <w:shd w:val="clear" w:color="auto" w:fill="auto"/>
            <w:vAlign w:val="center"/>
          </w:tcPr>
          <w:p w:rsidR="004F06D1" w:rsidRPr="001D6512" w:rsidRDefault="004F06D1" w:rsidP="004F06D1">
            <w:pPr>
              <w:pStyle w:val="TableCell"/>
              <w:spacing w:before="60" w:after="60"/>
              <w:jc w:val="right"/>
            </w:pPr>
            <w:r w:rsidRPr="001D6512">
              <w:t>85.50%</w:t>
            </w:r>
          </w:p>
        </w:tc>
      </w:tr>
      <w:tr w:rsidR="004F06D1" w:rsidRPr="007A2CAE" w:rsidTr="004F06D1">
        <w:trPr>
          <w:trHeight w:val="70"/>
          <w:jc w:val="center"/>
        </w:trPr>
        <w:tc>
          <w:tcPr>
            <w:tcW w:w="889" w:type="dxa"/>
            <w:shd w:val="clear" w:color="auto" w:fill="auto"/>
            <w:vAlign w:val="center"/>
          </w:tcPr>
          <w:p w:rsidR="004F06D1" w:rsidRPr="007A2CAE" w:rsidRDefault="004F06D1" w:rsidP="004F06D1">
            <w:pPr>
              <w:spacing w:before="40" w:after="40" w:line="240" w:lineRule="auto"/>
              <w:jc w:val="center"/>
              <w:rPr>
                <w:sz w:val="18"/>
                <w:szCs w:val="18"/>
              </w:rPr>
            </w:pPr>
            <w:r w:rsidRPr="007A2CAE">
              <w:rPr>
                <w:sz w:val="18"/>
                <w:szCs w:val="18"/>
              </w:rPr>
              <w:t>3</w:t>
            </w:r>
          </w:p>
        </w:tc>
        <w:tc>
          <w:tcPr>
            <w:tcW w:w="875" w:type="dxa"/>
            <w:shd w:val="clear" w:color="auto" w:fill="auto"/>
            <w:vAlign w:val="center"/>
          </w:tcPr>
          <w:p w:rsidR="004F06D1" w:rsidRPr="001D6512" w:rsidRDefault="004F06D1" w:rsidP="004F06D1">
            <w:pPr>
              <w:pStyle w:val="TableCell"/>
              <w:spacing w:before="60" w:after="60"/>
              <w:jc w:val="right"/>
            </w:pPr>
            <w:r w:rsidRPr="001D6512">
              <w:t>88.50%</w:t>
            </w:r>
          </w:p>
        </w:tc>
        <w:tc>
          <w:tcPr>
            <w:tcW w:w="870" w:type="dxa"/>
            <w:shd w:val="clear" w:color="auto" w:fill="auto"/>
            <w:vAlign w:val="center"/>
          </w:tcPr>
          <w:p w:rsidR="004F06D1" w:rsidRPr="001D6512" w:rsidRDefault="004F06D1" w:rsidP="004F06D1">
            <w:pPr>
              <w:pStyle w:val="TableCell"/>
              <w:spacing w:before="60" w:after="60"/>
              <w:jc w:val="right"/>
            </w:pPr>
            <w:r w:rsidRPr="001D6512">
              <w:t>89.50%</w:t>
            </w:r>
          </w:p>
        </w:tc>
        <w:tc>
          <w:tcPr>
            <w:tcW w:w="868" w:type="dxa"/>
            <w:shd w:val="clear" w:color="auto" w:fill="auto"/>
            <w:vAlign w:val="center"/>
          </w:tcPr>
          <w:p w:rsidR="004F06D1" w:rsidRPr="001D6512" w:rsidRDefault="004F06D1" w:rsidP="004F06D1">
            <w:pPr>
              <w:pStyle w:val="TableCell"/>
              <w:spacing w:before="60" w:after="60"/>
              <w:jc w:val="right"/>
            </w:pPr>
            <w:r w:rsidRPr="001D6512">
              <w:t>85.50%</w:t>
            </w:r>
          </w:p>
        </w:tc>
        <w:tc>
          <w:tcPr>
            <w:tcW w:w="900" w:type="dxa"/>
            <w:shd w:val="clear" w:color="auto" w:fill="auto"/>
            <w:vAlign w:val="center"/>
          </w:tcPr>
          <w:p w:rsidR="004F06D1" w:rsidRPr="001D6512" w:rsidRDefault="004F06D1" w:rsidP="004F06D1">
            <w:pPr>
              <w:pStyle w:val="TableCell"/>
              <w:spacing w:before="60" w:after="60"/>
              <w:jc w:val="right"/>
            </w:pPr>
            <w:r w:rsidRPr="001D6512">
              <w:t>89.50%</w:t>
            </w:r>
          </w:p>
        </w:tc>
        <w:tc>
          <w:tcPr>
            <w:tcW w:w="866" w:type="dxa"/>
            <w:shd w:val="clear" w:color="auto" w:fill="auto"/>
            <w:vAlign w:val="center"/>
          </w:tcPr>
          <w:p w:rsidR="004F06D1" w:rsidRPr="001D6512" w:rsidRDefault="004F06D1" w:rsidP="004F06D1">
            <w:pPr>
              <w:pStyle w:val="TableCell"/>
              <w:spacing w:before="60" w:after="60"/>
              <w:jc w:val="right"/>
            </w:pPr>
            <w:r w:rsidRPr="001D6512">
              <w:t>89.50%</w:t>
            </w:r>
          </w:p>
        </w:tc>
        <w:tc>
          <w:tcPr>
            <w:tcW w:w="892" w:type="dxa"/>
            <w:shd w:val="clear" w:color="auto" w:fill="auto"/>
            <w:vAlign w:val="center"/>
          </w:tcPr>
          <w:p w:rsidR="004F06D1" w:rsidRPr="001D6512" w:rsidRDefault="004F06D1" w:rsidP="004F06D1">
            <w:pPr>
              <w:pStyle w:val="TableCell"/>
              <w:spacing w:before="60" w:after="60"/>
              <w:jc w:val="right"/>
            </w:pPr>
            <w:r w:rsidRPr="001D6512">
              <w:t>86.50%</w:t>
            </w:r>
          </w:p>
        </w:tc>
      </w:tr>
      <w:tr w:rsidR="004F06D1" w:rsidRPr="007A2CAE" w:rsidTr="004F06D1">
        <w:trPr>
          <w:trHeight w:val="98"/>
          <w:jc w:val="center"/>
        </w:trPr>
        <w:tc>
          <w:tcPr>
            <w:tcW w:w="889" w:type="dxa"/>
            <w:shd w:val="clear" w:color="auto" w:fill="auto"/>
            <w:vAlign w:val="center"/>
          </w:tcPr>
          <w:p w:rsidR="004F06D1" w:rsidRPr="007A2CAE" w:rsidRDefault="004F06D1" w:rsidP="004F06D1">
            <w:pPr>
              <w:spacing w:before="40" w:after="40" w:line="240" w:lineRule="auto"/>
              <w:jc w:val="center"/>
              <w:rPr>
                <w:sz w:val="18"/>
                <w:szCs w:val="18"/>
              </w:rPr>
            </w:pPr>
            <w:r w:rsidRPr="007A2CAE">
              <w:rPr>
                <w:sz w:val="18"/>
                <w:szCs w:val="18"/>
              </w:rPr>
              <w:t>5</w:t>
            </w:r>
          </w:p>
        </w:tc>
        <w:tc>
          <w:tcPr>
            <w:tcW w:w="875" w:type="dxa"/>
            <w:shd w:val="clear" w:color="auto" w:fill="auto"/>
            <w:vAlign w:val="center"/>
          </w:tcPr>
          <w:p w:rsidR="004F06D1" w:rsidRPr="001D6512" w:rsidRDefault="004F06D1" w:rsidP="004F06D1">
            <w:pPr>
              <w:pStyle w:val="TableCell"/>
              <w:spacing w:before="60" w:after="60"/>
              <w:jc w:val="right"/>
            </w:pPr>
            <w:r w:rsidRPr="001D6512">
              <w:t>89.50%</w:t>
            </w:r>
          </w:p>
        </w:tc>
        <w:tc>
          <w:tcPr>
            <w:tcW w:w="870" w:type="dxa"/>
            <w:shd w:val="clear" w:color="auto" w:fill="auto"/>
            <w:vAlign w:val="center"/>
          </w:tcPr>
          <w:p w:rsidR="004F06D1" w:rsidRPr="001D6512" w:rsidRDefault="004F06D1" w:rsidP="004F06D1">
            <w:pPr>
              <w:pStyle w:val="TableCell"/>
              <w:spacing w:before="60" w:after="60"/>
              <w:jc w:val="right"/>
            </w:pPr>
            <w:r w:rsidRPr="001D6512">
              <w:t>89.50%</w:t>
            </w:r>
          </w:p>
        </w:tc>
        <w:tc>
          <w:tcPr>
            <w:tcW w:w="868" w:type="dxa"/>
            <w:shd w:val="clear" w:color="auto" w:fill="auto"/>
            <w:vAlign w:val="center"/>
          </w:tcPr>
          <w:p w:rsidR="004F06D1" w:rsidRPr="001D6512" w:rsidRDefault="004F06D1" w:rsidP="004F06D1">
            <w:pPr>
              <w:pStyle w:val="TableCell"/>
              <w:spacing w:before="60" w:after="60"/>
              <w:jc w:val="right"/>
            </w:pPr>
            <w:r w:rsidRPr="001D6512">
              <w:t>86.50%</w:t>
            </w:r>
          </w:p>
        </w:tc>
        <w:tc>
          <w:tcPr>
            <w:tcW w:w="900" w:type="dxa"/>
            <w:shd w:val="clear" w:color="auto" w:fill="auto"/>
            <w:vAlign w:val="center"/>
          </w:tcPr>
          <w:p w:rsidR="004F06D1" w:rsidRPr="001D6512" w:rsidRDefault="004F06D1" w:rsidP="004F06D1">
            <w:pPr>
              <w:pStyle w:val="TableCell"/>
              <w:spacing w:before="60" w:after="60"/>
              <w:jc w:val="right"/>
            </w:pPr>
            <w:r w:rsidRPr="001D6512">
              <w:t>89.50%</w:t>
            </w:r>
          </w:p>
        </w:tc>
        <w:tc>
          <w:tcPr>
            <w:tcW w:w="866" w:type="dxa"/>
            <w:shd w:val="clear" w:color="auto" w:fill="auto"/>
            <w:vAlign w:val="center"/>
          </w:tcPr>
          <w:p w:rsidR="004F06D1" w:rsidRPr="001D6512" w:rsidRDefault="004F06D1" w:rsidP="004F06D1">
            <w:pPr>
              <w:pStyle w:val="TableCell"/>
              <w:spacing w:before="60" w:after="60"/>
              <w:jc w:val="right"/>
            </w:pPr>
            <w:r w:rsidRPr="001D6512">
              <w:t>89.50%</w:t>
            </w:r>
          </w:p>
        </w:tc>
        <w:tc>
          <w:tcPr>
            <w:tcW w:w="892" w:type="dxa"/>
            <w:shd w:val="clear" w:color="auto" w:fill="auto"/>
            <w:vAlign w:val="center"/>
          </w:tcPr>
          <w:p w:rsidR="004F06D1" w:rsidRPr="001D6512" w:rsidRDefault="004F06D1" w:rsidP="004F06D1">
            <w:pPr>
              <w:pStyle w:val="TableCell"/>
              <w:spacing w:before="60" w:after="60"/>
              <w:jc w:val="right"/>
            </w:pPr>
            <w:r w:rsidRPr="001D6512">
              <w:t>88.50%</w:t>
            </w:r>
          </w:p>
        </w:tc>
      </w:tr>
      <w:tr w:rsidR="004F06D1" w:rsidRPr="007A2CAE" w:rsidTr="004F06D1">
        <w:trPr>
          <w:trHeight w:val="70"/>
          <w:jc w:val="center"/>
        </w:trPr>
        <w:tc>
          <w:tcPr>
            <w:tcW w:w="889" w:type="dxa"/>
            <w:shd w:val="clear" w:color="auto" w:fill="auto"/>
            <w:vAlign w:val="center"/>
          </w:tcPr>
          <w:p w:rsidR="004F06D1" w:rsidRPr="007A2CAE" w:rsidRDefault="004F06D1" w:rsidP="004F06D1">
            <w:pPr>
              <w:spacing w:before="40" w:after="40" w:line="240" w:lineRule="auto"/>
              <w:jc w:val="center"/>
              <w:rPr>
                <w:sz w:val="18"/>
                <w:szCs w:val="18"/>
              </w:rPr>
            </w:pPr>
            <w:r w:rsidRPr="007A2CAE">
              <w:rPr>
                <w:sz w:val="18"/>
                <w:szCs w:val="18"/>
              </w:rPr>
              <w:t>7.5</w:t>
            </w:r>
          </w:p>
        </w:tc>
        <w:tc>
          <w:tcPr>
            <w:tcW w:w="875" w:type="dxa"/>
            <w:shd w:val="clear" w:color="auto" w:fill="auto"/>
            <w:vAlign w:val="center"/>
          </w:tcPr>
          <w:p w:rsidR="004F06D1" w:rsidRPr="001D6512" w:rsidRDefault="004F06D1" w:rsidP="004F06D1">
            <w:pPr>
              <w:pStyle w:val="TableCell"/>
              <w:spacing w:before="60" w:after="60"/>
              <w:jc w:val="right"/>
            </w:pPr>
            <w:r w:rsidRPr="001D6512">
              <w:t>90.20%</w:t>
            </w:r>
          </w:p>
        </w:tc>
        <w:tc>
          <w:tcPr>
            <w:tcW w:w="870" w:type="dxa"/>
            <w:shd w:val="clear" w:color="auto" w:fill="auto"/>
            <w:vAlign w:val="center"/>
          </w:tcPr>
          <w:p w:rsidR="004F06D1" w:rsidRPr="001D6512" w:rsidRDefault="004F06D1" w:rsidP="004F06D1">
            <w:pPr>
              <w:pStyle w:val="TableCell"/>
              <w:spacing w:before="60" w:after="60"/>
              <w:jc w:val="right"/>
            </w:pPr>
            <w:r w:rsidRPr="001D6512">
              <w:t>91.00%</w:t>
            </w:r>
          </w:p>
        </w:tc>
        <w:tc>
          <w:tcPr>
            <w:tcW w:w="868" w:type="dxa"/>
            <w:shd w:val="clear" w:color="auto" w:fill="auto"/>
            <w:vAlign w:val="center"/>
          </w:tcPr>
          <w:p w:rsidR="004F06D1" w:rsidRPr="001D6512" w:rsidRDefault="004F06D1" w:rsidP="004F06D1">
            <w:pPr>
              <w:pStyle w:val="TableCell"/>
              <w:spacing w:before="60" w:after="60"/>
              <w:jc w:val="right"/>
            </w:pPr>
            <w:r w:rsidRPr="001D6512">
              <w:t>88.50%</w:t>
            </w:r>
          </w:p>
        </w:tc>
        <w:tc>
          <w:tcPr>
            <w:tcW w:w="900" w:type="dxa"/>
            <w:shd w:val="clear" w:color="auto" w:fill="auto"/>
            <w:vAlign w:val="center"/>
          </w:tcPr>
          <w:p w:rsidR="004F06D1" w:rsidRPr="001D6512" w:rsidRDefault="004F06D1" w:rsidP="004F06D1">
            <w:pPr>
              <w:pStyle w:val="TableCell"/>
              <w:spacing w:before="60" w:after="60"/>
              <w:jc w:val="right"/>
            </w:pPr>
            <w:r w:rsidRPr="001D6512">
              <w:t>91.00%</w:t>
            </w:r>
          </w:p>
        </w:tc>
        <w:tc>
          <w:tcPr>
            <w:tcW w:w="866" w:type="dxa"/>
            <w:shd w:val="clear" w:color="auto" w:fill="auto"/>
            <w:vAlign w:val="center"/>
          </w:tcPr>
          <w:p w:rsidR="004F06D1" w:rsidRPr="001D6512" w:rsidRDefault="004F06D1" w:rsidP="004F06D1">
            <w:pPr>
              <w:pStyle w:val="TableCell"/>
              <w:spacing w:before="60" w:after="60"/>
              <w:jc w:val="right"/>
            </w:pPr>
            <w:r w:rsidRPr="001D6512">
              <w:t>91.70%</w:t>
            </w:r>
          </w:p>
        </w:tc>
        <w:tc>
          <w:tcPr>
            <w:tcW w:w="892" w:type="dxa"/>
            <w:shd w:val="clear" w:color="auto" w:fill="auto"/>
            <w:vAlign w:val="center"/>
          </w:tcPr>
          <w:p w:rsidR="004F06D1" w:rsidRPr="001D6512" w:rsidRDefault="004F06D1" w:rsidP="004F06D1">
            <w:pPr>
              <w:pStyle w:val="TableCell"/>
              <w:spacing w:before="60" w:after="60"/>
              <w:jc w:val="right"/>
            </w:pPr>
            <w:r w:rsidRPr="001D6512">
              <w:t>89.50%</w:t>
            </w:r>
          </w:p>
        </w:tc>
      </w:tr>
      <w:tr w:rsidR="004F06D1" w:rsidRPr="007A2CAE" w:rsidTr="004F06D1">
        <w:trPr>
          <w:trHeight w:val="70"/>
          <w:jc w:val="center"/>
        </w:trPr>
        <w:tc>
          <w:tcPr>
            <w:tcW w:w="889" w:type="dxa"/>
            <w:shd w:val="clear" w:color="auto" w:fill="auto"/>
            <w:vAlign w:val="center"/>
          </w:tcPr>
          <w:p w:rsidR="004F06D1" w:rsidRPr="007A2CAE" w:rsidRDefault="004F06D1" w:rsidP="004F06D1">
            <w:pPr>
              <w:spacing w:before="40" w:after="40" w:line="240" w:lineRule="auto"/>
              <w:jc w:val="center"/>
              <w:rPr>
                <w:sz w:val="18"/>
                <w:szCs w:val="18"/>
              </w:rPr>
            </w:pPr>
            <w:r w:rsidRPr="007A2CAE">
              <w:rPr>
                <w:sz w:val="18"/>
                <w:szCs w:val="18"/>
              </w:rPr>
              <w:t>10</w:t>
            </w:r>
          </w:p>
        </w:tc>
        <w:tc>
          <w:tcPr>
            <w:tcW w:w="875" w:type="dxa"/>
            <w:shd w:val="clear" w:color="auto" w:fill="auto"/>
            <w:vAlign w:val="center"/>
          </w:tcPr>
          <w:p w:rsidR="004F06D1" w:rsidRPr="001D6512" w:rsidRDefault="004F06D1" w:rsidP="004F06D1">
            <w:pPr>
              <w:pStyle w:val="TableCell"/>
              <w:spacing w:before="60" w:after="60"/>
              <w:jc w:val="right"/>
            </w:pPr>
            <w:r w:rsidRPr="001D6512">
              <w:t>91.70%</w:t>
            </w:r>
          </w:p>
        </w:tc>
        <w:tc>
          <w:tcPr>
            <w:tcW w:w="870" w:type="dxa"/>
            <w:shd w:val="clear" w:color="auto" w:fill="auto"/>
            <w:vAlign w:val="center"/>
          </w:tcPr>
          <w:p w:rsidR="004F06D1" w:rsidRPr="001D6512" w:rsidRDefault="004F06D1" w:rsidP="004F06D1">
            <w:pPr>
              <w:pStyle w:val="TableCell"/>
              <w:spacing w:before="60" w:after="60"/>
              <w:jc w:val="right"/>
            </w:pPr>
            <w:r w:rsidRPr="001D6512">
              <w:t>91.70%</w:t>
            </w:r>
          </w:p>
        </w:tc>
        <w:tc>
          <w:tcPr>
            <w:tcW w:w="868" w:type="dxa"/>
            <w:shd w:val="clear" w:color="auto" w:fill="auto"/>
            <w:vAlign w:val="center"/>
          </w:tcPr>
          <w:p w:rsidR="004F06D1" w:rsidRPr="001D6512" w:rsidRDefault="004F06D1" w:rsidP="004F06D1">
            <w:pPr>
              <w:pStyle w:val="TableCell"/>
              <w:spacing w:before="60" w:after="60"/>
              <w:jc w:val="right"/>
            </w:pPr>
            <w:r w:rsidRPr="001D6512">
              <w:t>89.50%</w:t>
            </w:r>
          </w:p>
        </w:tc>
        <w:tc>
          <w:tcPr>
            <w:tcW w:w="900" w:type="dxa"/>
            <w:shd w:val="clear" w:color="auto" w:fill="auto"/>
            <w:vAlign w:val="center"/>
          </w:tcPr>
          <w:p w:rsidR="004F06D1" w:rsidRPr="001D6512" w:rsidRDefault="004F06D1" w:rsidP="004F06D1">
            <w:pPr>
              <w:pStyle w:val="TableCell"/>
              <w:spacing w:before="60" w:after="60"/>
              <w:jc w:val="right"/>
            </w:pPr>
            <w:r w:rsidRPr="001D6512">
              <w:t>91.00%</w:t>
            </w:r>
          </w:p>
        </w:tc>
        <w:tc>
          <w:tcPr>
            <w:tcW w:w="866" w:type="dxa"/>
            <w:shd w:val="clear" w:color="auto" w:fill="auto"/>
            <w:vAlign w:val="center"/>
          </w:tcPr>
          <w:p w:rsidR="004F06D1" w:rsidRPr="001D6512" w:rsidRDefault="004F06D1" w:rsidP="004F06D1">
            <w:pPr>
              <w:pStyle w:val="TableCell"/>
              <w:spacing w:before="60" w:after="60"/>
              <w:jc w:val="right"/>
            </w:pPr>
            <w:r w:rsidRPr="001D6512">
              <w:t>91.70%</w:t>
            </w:r>
          </w:p>
        </w:tc>
        <w:tc>
          <w:tcPr>
            <w:tcW w:w="892" w:type="dxa"/>
            <w:shd w:val="clear" w:color="auto" w:fill="auto"/>
            <w:vAlign w:val="center"/>
          </w:tcPr>
          <w:p w:rsidR="004F06D1" w:rsidRPr="001D6512" w:rsidRDefault="004F06D1" w:rsidP="004F06D1">
            <w:pPr>
              <w:pStyle w:val="TableCell"/>
              <w:spacing w:before="60" w:after="60"/>
              <w:jc w:val="right"/>
            </w:pPr>
            <w:r w:rsidRPr="001D6512">
              <w:t>90.20%</w:t>
            </w:r>
          </w:p>
        </w:tc>
      </w:tr>
      <w:tr w:rsidR="004F06D1" w:rsidRPr="007A2CAE" w:rsidTr="004F06D1">
        <w:trPr>
          <w:trHeight w:val="125"/>
          <w:jc w:val="center"/>
        </w:trPr>
        <w:tc>
          <w:tcPr>
            <w:tcW w:w="889" w:type="dxa"/>
            <w:shd w:val="clear" w:color="auto" w:fill="auto"/>
            <w:vAlign w:val="center"/>
          </w:tcPr>
          <w:p w:rsidR="004F06D1" w:rsidRPr="007A2CAE" w:rsidRDefault="004F06D1" w:rsidP="004F06D1">
            <w:pPr>
              <w:spacing w:before="40" w:after="40" w:line="240" w:lineRule="auto"/>
              <w:jc w:val="center"/>
              <w:rPr>
                <w:sz w:val="18"/>
                <w:szCs w:val="18"/>
              </w:rPr>
            </w:pPr>
            <w:r w:rsidRPr="007A2CAE">
              <w:rPr>
                <w:sz w:val="18"/>
                <w:szCs w:val="18"/>
              </w:rPr>
              <w:t>15</w:t>
            </w:r>
          </w:p>
        </w:tc>
        <w:tc>
          <w:tcPr>
            <w:tcW w:w="875" w:type="dxa"/>
            <w:shd w:val="clear" w:color="auto" w:fill="auto"/>
            <w:vAlign w:val="center"/>
          </w:tcPr>
          <w:p w:rsidR="004F06D1" w:rsidRPr="001D6512" w:rsidRDefault="004F06D1" w:rsidP="004F06D1">
            <w:pPr>
              <w:pStyle w:val="TableCell"/>
              <w:spacing w:before="60" w:after="60"/>
              <w:jc w:val="right"/>
            </w:pPr>
            <w:r w:rsidRPr="001D6512">
              <w:t>91.70%</w:t>
            </w:r>
          </w:p>
        </w:tc>
        <w:tc>
          <w:tcPr>
            <w:tcW w:w="870" w:type="dxa"/>
            <w:shd w:val="clear" w:color="auto" w:fill="auto"/>
            <w:vAlign w:val="center"/>
          </w:tcPr>
          <w:p w:rsidR="004F06D1" w:rsidRPr="001D6512" w:rsidRDefault="004F06D1" w:rsidP="004F06D1">
            <w:pPr>
              <w:pStyle w:val="TableCell"/>
              <w:spacing w:before="60" w:after="60"/>
              <w:jc w:val="right"/>
            </w:pPr>
            <w:r w:rsidRPr="001D6512">
              <w:t>93.00%</w:t>
            </w:r>
          </w:p>
        </w:tc>
        <w:tc>
          <w:tcPr>
            <w:tcW w:w="868" w:type="dxa"/>
            <w:shd w:val="clear" w:color="auto" w:fill="auto"/>
            <w:vAlign w:val="center"/>
          </w:tcPr>
          <w:p w:rsidR="004F06D1" w:rsidRPr="001D6512" w:rsidRDefault="004F06D1" w:rsidP="004F06D1">
            <w:pPr>
              <w:pStyle w:val="TableCell"/>
              <w:spacing w:before="60" w:after="60"/>
              <w:jc w:val="right"/>
            </w:pPr>
            <w:r w:rsidRPr="001D6512">
              <w:t>90.20%</w:t>
            </w:r>
          </w:p>
        </w:tc>
        <w:tc>
          <w:tcPr>
            <w:tcW w:w="900" w:type="dxa"/>
            <w:shd w:val="clear" w:color="auto" w:fill="auto"/>
            <w:vAlign w:val="center"/>
          </w:tcPr>
          <w:p w:rsidR="004F06D1" w:rsidRPr="001D6512" w:rsidRDefault="004F06D1" w:rsidP="004F06D1">
            <w:pPr>
              <w:pStyle w:val="TableCell"/>
              <w:spacing w:before="60" w:after="60"/>
              <w:jc w:val="right"/>
            </w:pPr>
            <w:r w:rsidRPr="001D6512">
              <w:t>91.70%</w:t>
            </w:r>
          </w:p>
        </w:tc>
        <w:tc>
          <w:tcPr>
            <w:tcW w:w="866" w:type="dxa"/>
            <w:shd w:val="clear" w:color="auto" w:fill="auto"/>
            <w:vAlign w:val="center"/>
          </w:tcPr>
          <w:p w:rsidR="004F06D1" w:rsidRPr="001D6512" w:rsidRDefault="004F06D1" w:rsidP="004F06D1">
            <w:pPr>
              <w:pStyle w:val="TableCell"/>
              <w:spacing w:before="60" w:after="60"/>
              <w:jc w:val="right"/>
            </w:pPr>
            <w:r w:rsidRPr="001D6512">
              <w:t>92.40%</w:t>
            </w:r>
          </w:p>
        </w:tc>
        <w:tc>
          <w:tcPr>
            <w:tcW w:w="892" w:type="dxa"/>
            <w:shd w:val="clear" w:color="auto" w:fill="auto"/>
            <w:vAlign w:val="center"/>
          </w:tcPr>
          <w:p w:rsidR="004F06D1" w:rsidRPr="001D6512" w:rsidRDefault="004F06D1" w:rsidP="004F06D1">
            <w:pPr>
              <w:pStyle w:val="TableCell"/>
              <w:spacing w:before="60" w:after="60"/>
              <w:jc w:val="right"/>
            </w:pPr>
            <w:r w:rsidRPr="001D6512">
              <w:t>91.00%</w:t>
            </w:r>
          </w:p>
        </w:tc>
      </w:tr>
      <w:tr w:rsidR="004F06D1" w:rsidRPr="007A2CAE" w:rsidTr="004F06D1">
        <w:trPr>
          <w:trHeight w:val="107"/>
          <w:jc w:val="center"/>
        </w:trPr>
        <w:tc>
          <w:tcPr>
            <w:tcW w:w="889" w:type="dxa"/>
            <w:shd w:val="clear" w:color="auto" w:fill="auto"/>
            <w:vAlign w:val="center"/>
          </w:tcPr>
          <w:p w:rsidR="004F06D1" w:rsidRPr="007A2CAE" w:rsidRDefault="004F06D1" w:rsidP="004F06D1">
            <w:pPr>
              <w:spacing w:before="40" w:after="40" w:line="240" w:lineRule="auto"/>
              <w:jc w:val="center"/>
              <w:rPr>
                <w:sz w:val="18"/>
                <w:szCs w:val="18"/>
              </w:rPr>
            </w:pPr>
            <w:r w:rsidRPr="007A2CAE">
              <w:rPr>
                <w:sz w:val="18"/>
                <w:szCs w:val="18"/>
              </w:rPr>
              <w:t>20</w:t>
            </w:r>
          </w:p>
        </w:tc>
        <w:tc>
          <w:tcPr>
            <w:tcW w:w="875" w:type="dxa"/>
            <w:shd w:val="clear" w:color="auto" w:fill="auto"/>
            <w:vAlign w:val="center"/>
          </w:tcPr>
          <w:p w:rsidR="004F06D1" w:rsidRPr="001D6512" w:rsidRDefault="004F06D1" w:rsidP="004F06D1">
            <w:pPr>
              <w:pStyle w:val="TableCell"/>
              <w:spacing w:before="60" w:after="60"/>
              <w:jc w:val="right"/>
            </w:pPr>
            <w:r w:rsidRPr="001D6512">
              <w:t>92.40%</w:t>
            </w:r>
          </w:p>
        </w:tc>
        <w:tc>
          <w:tcPr>
            <w:tcW w:w="870" w:type="dxa"/>
            <w:shd w:val="clear" w:color="auto" w:fill="auto"/>
            <w:vAlign w:val="center"/>
          </w:tcPr>
          <w:p w:rsidR="004F06D1" w:rsidRPr="001D6512" w:rsidRDefault="004F06D1" w:rsidP="004F06D1">
            <w:pPr>
              <w:pStyle w:val="TableCell"/>
              <w:spacing w:before="60" w:after="60"/>
              <w:jc w:val="right"/>
            </w:pPr>
            <w:r w:rsidRPr="001D6512">
              <w:t>93.00%</w:t>
            </w:r>
          </w:p>
        </w:tc>
        <w:tc>
          <w:tcPr>
            <w:tcW w:w="868" w:type="dxa"/>
            <w:shd w:val="clear" w:color="auto" w:fill="auto"/>
            <w:vAlign w:val="center"/>
          </w:tcPr>
          <w:p w:rsidR="004F06D1" w:rsidRPr="001D6512" w:rsidRDefault="004F06D1" w:rsidP="004F06D1">
            <w:pPr>
              <w:pStyle w:val="TableCell"/>
              <w:spacing w:before="60" w:after="60"/>
              <w:jc w:val="right"/>
            </w:pPr>
            <w:r w:rsidRPr="001D6512">
              <w:t>91.00%</w:t>
            </w:r>
          </w:p>
        </w:tc>
        <w:tc>
          <w:tcPr>
            <w:tcW w:w="900" w:type="dxa"/>
            <w:shd w:val="clear" w:color="auto" w:fill="auto"/>
            <w:vAlign w:val="center"/>
          </w:tcPr>
          <w:p w:rsidR="004F06D1" w:rsidRPr="001D6512" w:rsidRDefault="004F06D1" w:rsidP="004F06D1">
            <w:pPr>
              <w:pStyle w:val="TableCell"/>
              <w:spacing w:before="60" w:after="60"/>
              <w:jc w:val="right"/>
            </w:pPr>
            <w:r w:rsidRPr="001D6512">
              <w:t>91.70%</w:t>
            </w:r>
          </w:p>
        </w:tc>
        <w:tc>
          <w:tcPr>
            <w:tcW w:w="866" w:type="dxa"/>
            <w:shd w:val="clear" w:color="auto" w:fill="auto"/>
            <w:vAlign w:val="center"/>
          </w:tcPr>
          <w:p w:rsidR="004F06D1" w:rsidRPr="001D6512" w:rsidRDefault="004F06D1" w:rsidP="004F06D1">
            <w:pPr>
              <w:pStyle w:val="TableCell"/>
              <w:spacing w:before="60" w:after="60"/>
              <w:jc w:val="right"/>
            </w:pPr>
            <w:r w:rsidRPr="001D6512">
              <w:t>93.00%</w:t>
            </w:r>
          </w:p>
        </w:tc>
        <w:tc>
          <w:tcPr>
            <w:tcW w:w="892" w:type="dxa"/>
            <w:shd w:val="clear" w:color="auto" w:fill="auto"/>
            <w:vAlign w:val="center"/>
          </w:tcPr>
          <w:p w:rsidR="004F06D1" w:rsidRPr="001D6512" w:rsidRDefault="004F06D1" w:rsidP="004F06D1">
            <w:pPr>
              <w:pStyle w:val="TableCell"/>
              <w:spacing w:before="60" w:after="60"/>
              <w:jc w:val="right"/>
            </w:pPr>
            <w:r w:rsidRPr="001D6512">
              <w:t>91.00%</w:t>
            </w:r>
          </w:p>
        </w:tc>
      </w:tr>
    </w:tbl>
    <w:p w:rsidR="004F06D1" w:rsidRDefault="004F06D1" w:rsidP="004F06D1">
      <w:pPr>
        <w:jc w:val="both"/>
      </w:pPr>
    </w:p>
    <w:p w:rsidR="004F06D1" w:rsidRDefault="004F06D1" w:rsidP="004F06D1">
      <w:pPr>
        <w:pStyle w:val="Caption"/>
      </w:pPr>
      <w:bookmarkStart w:id="983" w:name="_Ref288812382"/>
      <w:bookmarkStart w:id="984" w:name="_Toc310875616"/>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64</w:t>
      </w:r>
      <w:r w:rsidR="00274AB1">
        <w:rPr>
          <w:noProof/>
        </w:rPr>
        <w:fldChar w:fldCharType="end"/>
      </w:r>
      <w:bookmarkEnd w:id="983"/>
      <w:r w:rsidR="00DE12EC">
        <w:t>:</w:t>
      </w:r>
      <w:r>
        <w:t xml:space="preserve">  Ground Loop Pump Efficiency</w:t>
      </w:r>
      <w:r w:rsidR="0003527C">
        <w:rPr>
          <w:rStyle w:val="FootnoteReference"/>
        </w:rPr>
        <w:footnoteReference w:id="193"/>
      </w:r>
      <w:bookmarkEnd w:id="984"/>
      <w:r>
        <w:t xml:space="preserve"> </w:t>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445"/>
      </w:tblGrid>
      <w:tr w:rsidR="004F06D1" w:rsidRPr="007A2CAE" w:rsidTr="004F06D1">
        <w:tc>
          <w:tcPr>
            <w:tcW w:w="900" w:type="dxa"/>
            <w:shd w:val="clear" w:color="auto" w:fill="D9D9D9"/>
          </w:tcPr>
          <w:p w:rsidR="004F06D1" w:rsidRPr="007A2CAE" w:rsidRDefault="004F06D1" w:rsidP="004F06D1">
            <w:pPr>
              <w:spacing w:before="40" w:after="40" w:line="240" w:lineRule="auto"/>
              <w:jc w:val="center"/>
              <w:rPr>
                <w:b/>
                <w:sz w:val="18"/>
                <w:szCs w:val="18"/>
              </w:rPr>
            </w:pPr>
            <w:r w:rsidRPr="007A2CAE">
              <w:rPr>
                <w:b/>
                <w:sz w:val="18"/>
                <w:szCs w:val="18"/>
              </w:rPr>
              <w:t>HP</w:t>
            </w:r>
          </w:p>
        </w:tc>
        <w:tc>
          <w:tcPr>
            <w:tcW w:w="3445" w:type="dxa"/>
            <w:shd w:val="clear" w:color="auto" w:fill="D9D9D9"/>
          </w:tcPr>
          <w:p w:rsidR="004F06D1" w:rsidRPr="007A2CAE" w:rsidRDefault="004F06D1" w:rsidP="004F06D1">
            <w:pPr>
              <w:spacing w:before="40" w:after="40" w:line="240" w:lineRule="auto"/>
              <w:jc w:val="center"/>
              <w:rPr>
                <w:b/>
                <w:sz w:val="18"/>
                <w:szCs w:val="18"/>
              </w:rPr>
            </w:pPr>
            <w:r w:rsidRPr="007A2CAE">
              <w:rPr>
                <w:b/>
                <w:sz w:val="18"/>
                <w:szCs w:val="18"/>
              </w:rPr>
              <w:t>Minimum Pump Efficiency at Design Point (η</w:t>
            </w:r>
            <w:r w:rsidRPr="007A2CAE">
              <w:rPr>
                <w:b/>
                <w:sz w:val="18"/>
                <w:szCs w:val="18"/>
                <w:vertAlign w:val="subscript"/>
              </w:rPr>
              <w:t>pump</w:t>
            </w:r>
            <w:r w:rsidRPr="007A2CAE">
              <w:rPr>
                <w:b/>
                <w:sz w:val="18"/>
                <w:szCs w:val="18"/>
              </w:rPr>
              <w:t>)</w:t>
            </w:r>
          </w:p>
        </w:tc>
      </w:tr>
      <w:tr w:rsidR="004F06D1" w:rsidRPr="007A2CAE" w:rsidTr="004F06D1">
        <w:tc>
          <w:tcPr>
            <w:tcW w:w="900" w:type="dxa"/>
          </w:tcPr>
          <w:p w:rsidR="004F06D1" w:rsidRPr="007A2CAE" w:rsidRDefault="004F06D1" w:rsidP="00F1106A">
            <w:pPr>
              <w:spacing w:before="60" w:after="60"/>
              <w:jc w:val="center"/>
              <w:rPr>
                <w:sz w:val="18"/>
                <w:szCs w:val="18"/>
              </w:rPr>
            </w:pPr>
            <w:r w:rsidRPr="007A2CAE">
              <w:rPr>
                <w:sz w:val="18"/>
                <w:szCs w:val="18"/>
              </w:rPr>
              <w:t>1.5</w:t>
            </w:r>
          </w:p>
        </w:tc>
        <w:tc>
          <w:tcPr>
            <w:tcW w:w="3445" w:type="dxa"/>
          </w:tcPr>
          <w:p w:rsidR="004F06D1" w:rsidRPr="007A2CAE" w:rsidRDefault="004F06D1" w:rsidP="00F1106A">
            <w:pPr>
              <w:spacing w:before="60" w:after="60"/>
              <w:jc w:val="center"/>
              <w:rPr>
                <w:sz w:val="18"/>
                <w:szCs w:val="18"/>
              </w:rPr>
            </w:pPr>
            <w:r w:rsidRPr="007A2CAE">
              <w:rPr>
                <w:sz w:val="18"/>
                <w:szCs w:val="18"/>
              </w:rPr>
              <w:t>65%</w:t>
            </w:r>
          </w:p>
        </w:tc>
      </w:tr>
      <w:tr w:rsidR="004F06D1" w:rsidRPr="007A2CAE" w:rsidTr="004F06D1">
        <w:tc>
          <w:tcPr>
            <w:tcW w:w="900" w:type="dxa"/>
          </w:tcPr>
          <w:p w:rsidR="004F06D1" w:rsidRPr="007A2CAE" w:rsidRDefault="004F06D1" w:rsidP="00F1106A">
            <w:pPr>
              <w:spacing w:before="60" w:after="60"/>
              <w:jc w:val="center"/>
              <w:rPr>
                <w:sz w:val="18"/>
                <w:szCs w:val="18"/>
              </w:rPr>
            </w:pPr>
            <w:r w:rsidRPr="007A2CAE">
              <w:rPr>
                <w:sz w:val="18"/>
                <w:szCs w:val="18"/>
              </w:rPr>
              <w:t>2</w:t>
            </w:r>
          </w:p>
        </w:tc>
        <w:tc>
          <w:tcPr>
            <w:tcW w:w="3445" w:type="dxa"/>
          </w:tcPr>
          <w:p w:rsidR="004F06D1" w:rsidRPr="007A2CAE" w:rsidRDefault="004F06D1" w:rsidP="00F1106A">
            <w:pPr>
              <w:spacing w:before="60" w:after="60"/>
              <w:jc w:val="center"/>
              <w:rPr>
                <w:sz w:val="18"/>
                <w:szCs w:val="18"/>
              </w:rPr>
            </w:pPr>
            <w:r w:rsidRPr="007A2CAE">
              <w:rPr>
                <w:sz w:val="18"/>
                <w:szCs w:val="18"/>
              </w:rPr>
              <w:t>65%</w:t>
            </w:r>
          </w:p>
        </w:tc>
      </w:tr>
      <w:tr w:rsidR="004F06D1" w:rsidRPr="007A2CAE" w:rsidTr="004F06D1">
        <w:tc>
          <w:tcPr>
            <w:tcW w:w="900" w:type="dxa"/>
          </w:tcPr>
          <w:p w:rsidR="004F06D1" w:rsidRPr="007A2CAE" w:rsidRDefault="004F06D1" w:rsidP="00F1106A">
            <w:pPr>
              <w:spacing w:before="60" w:after="60"/>
              <w:jc w:val="center"/>
              <w:rPr>
                <w:sz w:val="18"/>
                <w:szCs w:val="18"/>
              </w:rPr>
            </w:pPr>
            <w:r w:rsidRPr="007A2CAE">
              <w:rPr>
                <w:sz w:val="18"/>
                <w:szCs w:val="18"/>
              </w:rPr>
              <w:t>3</w:t>
            </w:r>
          </w:p>
        </w:tc>
        <w:tc>
          <w:tcPr>
            <w:tcW w:w="3445" w:type="dxa"/>
          </w:tcPr>
          <w:p w:rsidR="004F06D1" w:rsidRPr="007A2CAE" w:rsidRDefault="004F06D1" w:rsidP="00F1106A">
            <w:pPr>
              <w:spacing w:before="60" w:after="60"/>
              <w:jc w:val="center"/>
              <w:rPr>
                <w:sz w:val="18"/>
                <w:szCs w:val="18"/>
              </w:rPr>
            </w:pPr>
            <w:r w:rsidRPr="007A2CAE">
              <w:rPr>
                <w:sz w:val="18"/>
                <w:szCs w:val="18"/>
              </w:rPr>
              <w:t>67%</w:t>
            </w:r>
          </w:p>
        </w:tc>
      </w:tr>
      <w:tr w:rsidR="004F06D1" w:rsidRPr="007A2CAE" w:rsidTr="004F06D1">
        <w:tc>
          <w:tcPr>
            <w:tcW w:w="900" w:type="dxa"/>
          </w:tcPr>
          <w:p w:rsidR="004F06D1" w:rsidRPr="007A2CAE" w:rsidRDefault="004F06D1" w:rsidP="00F1106A">
            <w:pPr>
              <w:spacing w:before="60" w:after="60"/>
              <w:jc w:val="center"/>
              <w:rPr>
                <w:sz w:val="18"/>
                <w:szCs w:val="18"/>
              </w:rPr>
            </w:pPr>
            <w:r w:rsidRPr="007A2CAE">
              <w:rPr>
                <w:sz w:val="18"/>
                <w:szCs w:val="18"/>
              </w:rPr>
              <w:t>5</w:t>
            </w:r>
          </w:p>
        </w:tc>
        <w:tc>
          <w:tcPr>
            <w:tcW w:w="3445" w:type="dxa"/>
          </w:tcPr>
          <w:p w:rsidR="004F06D1" w:rsidRPr="007A2CAE" w:rsidRDefault="004F06D1" w:rsidP="00F1106A">
            <w:pPr>
              <w:spacing w:before="60" w:after="60"/>
              <w:jc w:val="center"/>
              <w:rPr>
                <w:sz w:val="18"/>
                <w:szCs w:val="18"/>
              </w:rPr>
            </w:pPr>
            <w:r w:rsidRPr="007A2CAE">
              <w:rPr>
                <w:sz w:val="18"/>
                <w:szCs w:val="18"/>
              </w:rPr>
              <w:t>70%</w:t>
            </w:r>
          </w:p>
        </w:tc>
      </w:tr>
      <w:tr w:rsidR="004F06D1" w:rsidRPr="007A2CAE" w:rsidTr="004F06D1">
        <w:tc>
          <w:tcPr>
            <w:tcW w:w="900" w:type="dxa"/>
          </w:tcPr>
          <w:p w:rsidR="004F06D1" w:rsidRPr="007A2CAE" w:rsidRDefault="004F06D1" w:rsidP="00F1106A">
            <w:pPr>
              <w:spacing w:before="60" w:after="60"/>
              <w:jc w:val="center"/>
              <w:rPr>
                <w:sz w:val="18"/>
                <w:szCs w:val="18"/>
              </w:rPr>
            </w:pPr>
            <w:r w:rsidRPr="007A2CAE">
              <w:rPr>
                <w:sz w:val="18"/>
                <w:szCs w:val="18"/>
              </w:rPr>
              <w:t>7.5</w:t>
            </w:r>
          </w:p>
        </w:tc>
        <w:tc>
          <w:tcPr>
            <w:tcW w:w="3445" w:type="dxa"/>
          </w:tcPr>
          <w:p w:rsidR="004F06D1" w:rsidRPr="007A2CAE" w:rsidRDefault="004F06D1" w:rsidP="00F1106A">
            <w:pPr>
              <w:spacing w:before="60" w:after="60"/>
              <w:jc w:val="center"/>
              <w:rPr>
                <w:sz w:val="18"/>
                <w:szCs w:val="18"/>
              </w:rPr>
            </w:pPr>
            <w:r w:rsidRPr="007A2CAE">
              <w:rPr>
                <w:sz w:val="18"/>
                <w:szCs w:val="18"/>
              </w:rPr>
              <w:t>73%</w:t>
            </w:r>
          </w:p>
        </w:tc>
      </w:tr>
      <w:tr w:rsidR="004F06D1" w:rsidRPr="007A2CAE" w:rsidTr="004F06D1">
        <w:tc>
          <w:tcPr>
            <w:tcW w:w="900" w:type="dxa"/>
          </w:tcPr>
          <w:p w:rsidR="004F06D1" w:rsidRPr="007A2CAE" w:rsidRDefault="004F06D1" w:rsidP="00F1106A">
            <w:pPr>
              <w:spacing w:before="60" w:after="60"/>
              <w:jc w:val="center"/>
              <w:rPr>
                <w:sz w:val="18"/>
                <w:szCs w:val="18"/>
              </w:rPr>
            </w:pPr>
            <w:r w:rsidRPr="007A2CAE">
              <w:rPr>
                <w:sz w:val="18"/>
                <w:szCs w:val="18"/>
              </w:rPr>
              <w:t>10</w:t>
            </w:r>
          </w:p>
        </w:tc>
        <w:tc>
          <w:tcPr>
            <w:tcW w:w="3445" w:type="dxa"/>
          </w:tcPr>
          <w:p w:rsidR="004F06D1" w:rsidRPr="007A2CAE" w:rsidRDefault="004F06D1" w:rsidP="00F1106A">
            <w:pPr>
              <w:spacing w:before="60" w:after="60"/>
              <w:jc w:val="center"/>
              <w:rPr>
                <w:sz w:val="18"/>
                <w:szCs w:val="18"/>
              </w:rPr>
            </w:pPr>
            <w:r w:rsidRPr="007A2CAE">
              <w:rPr>
                <w:sz w:val="18"/>
                <w:szCs w:val="18"/>
              </w:rPr>
              <w:t>75%</w:t>
            </w:r>
          </w:p>
        </w:tc>
      </w:tr>
      <w:tr w:rsidR="004F06D1" w:rsidRPr="007A2CAE" w:rsidTr="004F06D1">
        <w:tc>
          <w:tcPr>
            <w:tcW w:w="900" w:type="dxa"/>
          </w:tcPr>
          <w:p w:rsidR="004F06D1" w:rsidRPr="007A2CAE" w:rsidRDefault="004F06D1" w:rsidP="00F1106A">
            <w:pPr>
              <w:spacing w:before="60" w:after="60"/>
              <w:jc w:val="center"/>
              <w:rPr>
                <w:sz w:val="18"/>
                <w:szCs w:val="18"/>
              </w:rPr>
            </w:pPr>
            <w:r w:rsidRPr="007A2CAE">
              <w:rPr>
                <w:sz w:val="18"/>
                <w:szCs w:val="18"/>
              </w:rPr>
              <w:t>15</w:t>
            </w:r>
          </w:p>
        </w:tc>
        <w:tc>
          <w:tcPr>
            <w:tcW w:w="3445" w:type="dxa"/>
          </w:tcPr>
          <w:p w:rsidR="004F06D1" w:rsidRPr="007A2CAE" w:rsidRDefault="004F06D1" w:rsidP="00F1106A">
            <w:pPr>
              <w:spacing w:before="60" w:after="60"/>
              <w:jc w:val="center"/>
              <w:rPr>
                <w:sz w:val="18"/>
                <w:szCs w:val="18"/>
              </w:rPr>
            </w:pPr>
            <w:r w:rsidRPr="007A2CAE">
              <w:rPr>
                <w:sz w:val="18"/>
                <w:szCs w:val="18"/>
              </w:rPr>
              <w:t>77%</w:t>
            </w:r>
          </w:p>
        </w:tc>
      </w:tr>
      <w:tr w:rsidR="004F06D1" w:rsidRPr="007A2CAE" w:rsidTr="004F06D1">
        <w:tc>
          <w:tcPr>
            <w:tcW w:w="900" w:type="dxa"/>
          </w:tcPr>
          <w:p w:rsidR="004F06D1" w:rsidRPr="007A2CAE" w:rsidRDefault="004F06D1" w:rsidP="00F1106A">
            <w:pPr>
              <w:spacing w:before="60" w:after="60"/>
              <w:jc w:val="center"/>
              <w:rPr>
                <w:sz w:val="18"/>
                <w:szCs w:val="18"/>
              </w:rPr>
            </w:pPr>
            <w:r w:rsidRPr="007A2CAE">
              <w:rPr>
                <w:sz w:val="18"/>
                <w:szCs w:val="18"/>
              </w:rPr>
              <w:t>20</w:t>
            </w:r>
          </w:p>
        </w:tc>
        <w:tc>
          <w:tcPr>
            <w:tcW w:w="3445" w:type="dxa"/>
          </w:tcPr>
          <w:p w:rsidR="004F06D1" w:rsidRPr="007A2CAE" w:rsidRDefault="004F06D1" w:rsidP="00F1106A">
            <w:pPr>
              <w:spacing w:before="60" w:after="60"/>
              <w:jc w:val="center"/>
              <w:rPr>
                <w:sz w:val="18"/>
                <w:szCs w:val="18"/>
              </w:rPr>
            </w:pPr>
            <w:r w:rsidRPr="007A2CAE">
              <w:rPr>
                <w:sz w:val="18"/>
                <w:szCs w:val="18"/>
              </w:rPr>
              <w:t>77%</w:t>
            </w:r>
          </w:p>
        </w:tc>
      </w:tr>
    </w:tbl>
    <w:p w:rsidR="00205E45" w:rsidRDefault="00205E45" w:rsidP="00DE12EC">
      <w:bookmarkStart w:id="985" w:name="_Ref288814095"/>
      <w:bookmarkStart w:id="986" w:name="_Ref288824546"/>
    </w:p>
    <w:p w:rsidR="00DE12EC" w:rsidRDefault="00DE12EC" w:rsidP="00DE12EC">
      <w:pPr>
        <w:pStyle w:val="Caption"/>
      </w:pPr>
      <w:bookmarkStart w:id="987" w:name="_Ref310874949"/>
      <w:bookmarkStart w:id="988" w:name="_Toc310875617"/>
      <w:bookmarkEnd w:id="985"/>
      <w:bookmarkEnd w:id="986"/>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noBreakHyphen/>
      </w:r>
      <w:r w:rsidR="00274AB1">
        <w:fldChar w:fldCharType="begin"/>
      </w:r>
      <w:r w:rsidR="00274AB1">
        <w:instrText xml:space="preserve"> SEQ Table \* ARABIC \s 1 </w:instrText>
      </w:r>
      <w:r w:rsidR="00274AB1">
        <w:fldChar w:fldCharType="separate"/>
      </w:r>
      <w:r w:rsidR="00C0292F">
        <w:rPr>
          <w:noProof/>
        </w:rPr>
        <w:t>65</w:t>
      </w:r>
      <w:r w:rsidR="00274AB1">
        <w:rPr>
          <w:noProof/>
        </w:rPr>
        <w:fldChar w:fldCharType="end"/>
      </w:r>
      <w:bookmarkEnd w:id="987"/>
      <w:r>
        <w:t>:</w:t>
      </w:r>
      <w:r>
        <w:rPr>
          <w:noProof/>
        </w:rPr>
        <w:t xml:space="preserve"> Default Baseline Equipment Efficiencies</w:t>
      </w:r>
      <w:bookmarkEnd w:id="988"/>
    </w:p>
    <w:tbl>
      <w:tblPr>
        <w:tblW w:w="5000" w:type="pct"/>
        <w:jc w:val="center"/>
        <w:tblLook w:val="00A0" w:firstRow="1" w:lastRow="0" w:firstColumn="1" w:lastColumn="0" w:noHBand="0" w:noVBand="0"/>
      </w:tblPr>
      <w:tblGrid>
        <w:gridCol w:w="4518"/>
        <w:gridCol w:w="2170"/>
        <w:gridCol w:w="2168"/>
      </w:tblGrid>
      <w:tr w:rsidR="004F06D1" w:rsidRPr="00064E44" w:rsidTr="004F06D1">
        <w:trPr>
          <w:trHeight w:val="288"/>
          <w:tblHeader/>
          <w:jc w:val="center"/>
        </w:trPr>
        <w:tc>
          <w:tcPr>
            <w:tcW w:w="2551" w:type="pct"/>
            <w:tcBorders>
              <w:top w:val="single" w:sz="8" w:space="0" w:color="auto"/>
              <w:left w:val="single" w:sz="8" w:space="0" w:color="auto"/>
              <w:bottom w:val="single" w:sz="8" w:space="0" w:color="auto"/>
              <w:right w:val="single" w:sz="8" w:space="0" w:color="000000"/>
            </w:tcBorders>
            <w:shd w:val="clear" w:color="000000" w:fill="BFBFBF"/>
            <w:vAlign w:val="center"/>
          </w:tcPr>
          <w:p w:rsidR="004F06D1" w:rsidRPr="001D6512" w:rsidRDefault="004F06D1" w:rsidP="004F06D1">
            <w:pPr>
              <w:pStyle w:val="TableCell"/>
              <w:spacing w:before="40" w:after="40" w:line="240" w:lineRule="auto"/>
              <w:jc w:val="center"/>
              <w:rPr>
                <w:rFonts w:cs="Arial"/>
                <w:b/>
                <w:szCs w:val="18"/>
              </w:rPr>
            </w:pPr>
            <w:r w:rsidRPr="001D6512">
              <w:rPr>
                <w:rFonts w:cs="Arial"/>
                <w:b/>
                <w:szCs w:val="18"/>
              </w:rPr>
              <w:t>Equipment Type and Capacity</w:t>
            </w:r>
          </w:p>
        </w:tc>
        <w:tc>
          <w:tcPr>
            <w:tcW w:w="1225" w:type="pct"/>
            <w:tcBorders>
              <w:top w:val="single" w:sz="8" w:space="0" w:color="auto"/>
              <w:left w:val="nil"/>
              <w:bottom w:val="single" w:sz="8" w:space="0" w:color="auto"/>
              <w:right w:val="single" w:sz="8" w:space="0" w:color="auto"/>
            </w:tcBorders>
            <w:shd w:val="clear" w:color="000000" w:fill="BFBFBF"/>
            <w:vAlign w:val="center"/>
          </w:tcPr>
          <w:p w:rsidR="004F06D1" w:rsidRPr="001D6512" w:rsidRDefault="004F06D1" w:rsidP="004F06D1">
            <w:pPr>
              <w:pStyle w:val="TableCell"/>
              <w:spacing w:before="40" w:after="40" w:line="240" w:lineRule="auto"/>
              <w:jc w:val="center"/>
              <w:rPr>
                <w:rFonts w:cs="Arial"/>
                <w:b/>
                <w:szCs w:val="18"/>
              </w:rPr>
            </w:pPr>
            <w:r w:rsidRPr="001D6512">
              <w:rPr>
                <w:rFonts w:cs="Arial"/>
                <w:b/>
                <w:szCs w:val="18"/>
              </w:rPr>
              <w:t>Cooling Baseline</w:t>
            </w:r>
          </w:p>
        </w:tc>
        <w:tc>
          <w:tcPr>
            <w:tcW w:w="1224" w:type="pct"/>
            <w:tcBorders>
              <w:top w:val="single" w:sz="8" w:space="0" w:color="auto"/>
              <w:left w:val="nil"/>
              <w:bottom w:val="single" w:sz="8" w:space="0" w:color="auto"/>
              <w:right w:val="single" w:sz="8" w:space="0" w:color="auto"/>
            </w:tcBorders>
            <w:shd w:val="clear" w:color="000000" w:fill="BFBFBF"/>
            <w:vAlign w:val="center"/>
          </w:tcPr>
          <w:p w:rsidR="004F06D1" w:rsidRPr="001D6512" w:rsidRDefault="004F06D1" w:rsidP="004F06D1">
            <w:pPr>
              <w:pStyle w:val="TableCell"/>
              <w:spacing w:before="40" w:after="40" w:line="240" w:lineRule="auto"/>
              <w:jc w:val="center"/>
              <w:rPr>
                <w:rFonts w:cs="Arial"/>
                <w:b/>
                <w:szCs w:val="18"/>
              </w:rPr>
            </w:pPr>
            <w:r w:rsidRPr="001D6512">
              <w:rPr>
                <w:rFonts w:cs="Arial"/>
                <w:b/>
                <w:szCs w:val="18"/>
              </w:rPr>
              <w:t>Heating Baseline</w:t>
            </w:r>
          </w:p>
        </w:tc>
      </w:tr>
      <w:tr w:rsidR="004F06D1" w:rsidRPr="00064E44" w:rsidTr="004F06D1">
        <w:trPr>
          <w:trHeight w:val="20"/>
          <w:jc w:val="center"/>
        </w:trPr>
        <w:tc>
          <w:tcPr>
            <w:tcW w:w="5000" w:type="pct"/>
            <w:gridSpan w:val="3"/>
            <w:tcBorders>
              <w:top w:val="single" w:sz="8" w:space="0" w:color="auto"/>
              <w:left w:val="single" w:sz="8" w:space="0" w:color="auto"/>
              <w:bottom w:val="single" w:sz="8" w:space="0" w:color="auto"/>
              <w:right w:val="single" w:sz="8" w:space="0" w:color="auto"/>
            </w:tcBorders>
            <w:shd w:val="clear" w:color="000000" w:fill="D8D8D8"/>
            <w:tcMar>
              <w:left w:w="115" w:type="dxa"/>
              <w:right w:w="115" w:type="dxa"/>
            </w:tcMar>
            <w:vAlign w:val="center"/>
          </w:tcPr>
          <w:p w:rsidR="004F06D1" w:rsidRPr="001D6512" w:rsidRDefault="004F06D1" w:rsidP="004F06D1">
            <w:pPr>
              <w:pStyle w:val="TableCell"/>
              <w:spacing w:before="40" w:after="40" w:line="240" w:lineRule="auto"/>
              <w:rPr>
                <w:rFonts w:cs="Arial"/>
                <w:szCs w:val="18"/>
              </w:rPr>
            </w:pPr>
            <w:r w:rsidRPr="001D6512">
              <w:rPr>
                <w:rFonts w:cs="Arial"/>
                <w:szCs w:val="18"/>
              </w:rPr>
              <w:t>Air-Source Air Conditioners</w:t>
            </w:r>
          </w:p>
        </w:tc>
      </w:tr>
      <w:tr w:rsidR="004F06D1" w:rsidRPr="00064E44" w:rsidTr="004F06D1">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4F06D1" w:rsidRPr="001D6512" w:rsidRDefault="004F06D1" w:rsidP="004F06D1">
            <w:pPr>
              <w:pStyle w:val="TableCell"/>
              <w:spacing w:before="40" w:after="40" w:line="240" w:lineRule="auto"/>
              <w:rPr>
                <w:rFonts w:cs="Arial"/>
                <w:szCs w:val="18"/>
              </w:rPr>
            </w:pPr>
            <w:r w:rsidRPr="001D6512">
              <w:rPr>
                <w:rFonts w:cs="Arial"/>
                <w:szCs w:val="18"/>
              </w:rPr>
              <w:t>&lt; 65,000 BtuH</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4F06D1" w:rsidRPr="001D6512" w:rsidRDefault="004F06D1" w:rsidP="004F06D1">
            <w:pPr>
              <w:pStyle w:val="TableCell"/>
              <w:spacing w:before="40" w:after="40" w:line="240" w:lineRule="auto"/>
              <w:rPr>
                <w:rFonts w:cs="Arial"/>
                <w:szCs w:val="18"/>
              </w:rPr>
            </w:pPr>
            <w:r w:rsidRPr="00064E44">
              <w:rPr>
                <w:rFonts w:cs="Arial"/>
                <w:szCs w:val="18"/>
                <w:lang w:val="de-DE"/>
              </w:rPr>
              <w:t>13.0 SEER</w:t>
            </w:r>
          </w:p>
        </w:tc>
        <w:tc>
          <w:tcPr>
            <w:tcW w:w="1224" w:type="pct"/>
            <w:tcBorders>
              <w:top w:val="single" w:sz="8" w:space="0" w:color="auto"/>
              <w:left w:val="nil"/>
              <w:bottom w:val="single" w:sz="8" w:space="0" w:color="auto"/>
              <w:right w:val="single" w:sz="8" w:space="0" w:color="auto"/>
            </w:tcBorders>
            <w:vAlign w:val="center"/>
          </w:tcPr>
          <w:p w:rsidR="004F06D1" w:rsidRPr="001D6512" w:rsidRDefault="004F06D1" w:rsidP="004F06D1">
            <w:pPr>
              <w:pStyle w:val="TableCell"/>
              <w:spacing w:before="40" w:after="40" w:line="240" w:lineRule="auto"/>
              <w:rPr>
                <w:rFonts w:cs="Arial"/>
                <w:szCs w:val="18"/>
              </w:rPr>
            </w:pPr>
            <w:r w:rsidRPr="001D6512">
              <w:rPr>
                <w:rFonts w:cs="Arial"/>
                <w:szCs w:val="18"/>
              </w:rPr>
              <w:t>N/A</w:t>
            </w:r>
          </w:p>
        </w:tc>
      </w:tr>
      <w:tr w:rsidR="004F06D1" w:rsidRPr="00064E44" w:rsidTr="004F06D1">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4F06D1" w:rsidRPr="001D6512" w:rsidRDefault="004F06D1" w:rsidP="004F06D1">
            <w:pPr>
              <w:pStyle w:val="TableCell"/>
              <w:spacing w:before="40" w:after="40" w:line="240" w:lineRule="auto"/>
              <w:rPr>
                <w:rFonts w:cs="Arial"/>
                <w:szCs w:val="18"/>
              </w:rPr>
            </w:pPr>
            <w:r w:rsidRPr="001D6512">
              <w:rPr>
                <w:rFonts w:cs="Arial"/>
                <w:szCs w:val="18"/>
                <w:u w:val="single"/>
              </w:rPr>
              <w:t>&gt;</w:t>
            </w:r>
            <w:r w:rsidRPr="001D6512">
              <w:rPr>
                <w:rFonts w:cs="Arial"/>
                <w:szCs w:val="18"/>
              </w:rPr>
              <w:t xml:space="preserve"> 65,000 BtuH and &lt;135,000 BtuH</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4F06D1" w:rsidRPr="001D6512" w:rsidRDefault="004F06D1" w:rsidP="004F06D1">
            <w:pPr>
              <w:pStyle w:val="TableCell"/>
              <w:spacing w:before="40" w:after="40" w:line="240" w:lineRule="auto"/>
              <w:rPr>
                <w:rFonts w:cs="Arial"/>
                <w:szCs w:val="18"/>
              </w:rPr>
            </w:pPr>
            <w:r w:rsidRPr="00064E44">
              <w:rPr>
                <w:rFonts w:cs="Arial"/>
                <w:szCs w:val="18"/>
                <w:lang w:val="de-DE"/>
              </w:rPr>
              <w:t>11.2 EER</w:t>
            </w:r>
          </w:p>
        </w:tc>
        <w:tc>
          <w:tcPr>
            <w:tcW w:w="1224" w:type="pct"/>
            <w:tcBorders>
              <w:top w:val="single" w:sz="8" w:space="0" w:color="auto"/>
              <w:left w:val="nil"/>
              <w:bottom w:val="single" w:sz="8" w:space="0" w:color="auto"/>
              <w:right w:val="single" w:sz="8" w:space="0" w:color="auto"/>
            </w:tcBorders>
            <w:vAlign w:val="center"/>
          </w:tcPr>
          <w:p w:rsidR="004F06D1" w:rsidRPr="001D6512" w:rsidRDefault="004F06D1" w:rsidP="004F06D1">
            <w:pPr>
              <w:pStyle w:val="TableCell"/>
              <w:spacing w:before="40" w:after="40" w:line="240" w:lineRule="auto"/>
              <w:rPr>
                <w:rFonts w:cs="Arial"/>
                <w:szCs w:val="18"/>
              </w:rPr>
            </w:pPr>
            <w:r w:rsidRPr="001D6512">
              <w:rPr>
                <w:rFonts w:cs="Arial"/>
                <w:szCs w:val="18"/>
              </w:rPr>
              <w:t>N/A</w:t>
            </w:r>
          </w:p>
        </w:tc>
      </w:tr>
      <w:tr w:rsidR="004F06D1" w:rsidRPr="00064E44" w:rsidTr="004F06D1">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4F06D1" w:rsidRPr="001D6512" w:rsidRDefault="004F06D1" w:rsidP="004F06D1">
            <w:pPr>
              <w:pStyle w:val="TableCell"/>
              <w:spacing w:before="40" w:after="40" w:line="240" w:lineRule="auto"/>
              <w:rPr>
                <w:rFonts w:cs="Arial"/>
                <w:szCs w:val="18"/>
              </w:rPr>
            </w:pPr>
            <w:r w:rsidRPr="001D6512">
              <w:rPr>
                <w:rFonts w:cs="Arial"/>
                <w:szCs w:val="18"/>
                <w:u w:val="single"/>
              </w:rPr>
              <w:t>&gt;</w:t>
            </w:r>
            <w:r w:rsidRPr="001D6512">
              <w:rPr>
                <w:rFonts w:cs="Arial"/>
                <w:szCs w:val="18"/>
              </w:rPr>
              <w:t xml:space="preserve"> 135,000 BtuH and &lt; 240,000 BtuH</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4F06D1" w:rsidRPr="001D6512" w:rsidRDefault="004F06D1" w:rsidP="004F06D1">
            <w:pPr>
              <w:pStyle w:val="TableCell"/>
              <w:spacing w:before="40" w:after="40" w:line="240" w:lineRule="auto"/>
              <w:rPr>
                <w:rFonts w:cs="Arial"/>
                <w:szCs w:val="18"/>
              </w:rPr>
            </w:pPr>
            <w:r w:rsidRPr="00064E44">
              <w:rPr>
                <w:rFonts w:cs="Arial"/>
                <w:szCs w:val="18"/>
                <w:lang w:val="de-DE"/>
              </w:rPr>
              <w:t>11.0 EER</w:t>
            </w:r>
          </w:p>
        </w:tc>
        <w:tc>
          <w:tcPr>
            <w:tcW w:w="1224" w:type="pct"/>
            <w:tcBorders>
              <w:top w:val="single" w:sz="8" w:space="0" w:color="auto"/>
              <w:left w:val="nil"/>
              <w:bottom w:val="single" w:sz="8" w:space="0" w:color="auto"/>
              <w:right w:val="single" w:sz="8" w:space="0" w:color="auto"/>
            </w:tcBorders>
            <w:vAlign w:val="center"/>
          </w:tcPr>
          <w:p w:rsidR="004F06D1" w:rsidRPr="001D6512" w:rsidRDefault="004F06D1" w:rsidP="004F06D1">
            <w:pPr>
              <w:pStyle w:val="TableCell"/>
              <w:spacing w:before="40" w:after="40" w:line="240" w:lineRule="auto"/>
              <w:rPr>
                <w:rFonts w:cs="Arial"/>
                <w:szCs w:val="18"/>
              </w:rPr>
            </w:pPr>
            <w:r w:rsidRPr="001D6512">
              <w:rPr>
                <w:rFonts w:cs="Arial"/>
                <w:szCs w:val="18"/>
              </w:rPr>
              <w:t>N/A</w:t>
            </w:r>
          </w:p>
        </w:tc>
      </w:tr>
      <w:tr w:rsidR="004F06D1" w:rsidRPr="00064E44" w:rsidTr="004F06D1">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4F06D1" w:rsidRPr="001D6512" w:rsidRDefault="004F06D1" w:rsidP="004F06D1">
            <w:pPr>
              <w:pStyle w:val="TableCell"/>
              <w:spacing w:before="40" w:after="40" w:line="240" w:lineRule="auto"/>
              <w:rPr>
                <w:rFonts w:cs="Arial"/>
                <w:szCs w:val="18"/>
              </w:rPr>
            </w:pPr>
            <w:r w:rsidRPr="001D6512">
              <w:rPr>
                <w:rFonts w:cs="Arial"/>
                <w:szCs w:val="18"/>
                <w:u w:val="single"/>
              </w:rPr>
              <w:t>&gt;</w:t>
            </w:r>
            <w:r w:rsidRPr="001D6512">
              <w:rPr>
                <w:rFonts w:cs="Arial"/>
                <w:szCs w:val="18"/>
              </w:rPr>
              <w:t xml:space="preserve"> 240,000 BtuH and &lt; 760,000 BtuH</w:t>
            </w:r>
          </w:p>
          <w:p w:rsidR="004F06D1" w:rsidRPr="001D6512" w:rsidRDefault="004F06D1" w:rsidP="004F06D1">
            <w:pPr>
              <w:pStyle w:val="TableCell"/>
              <w:spacing w:before="40" w:after="40" w:line="240" w:lineRule="auto"/>
              <w:rPr>
                <w:rFonts w:cs="Arial"/>
                <w:szCs w:val="18"/>
              </w:rPr>
            </w:pPr>
            <w:r w:rsidRPr="001D6512">
              <w:rPr>
                <w:rFonts w:cs="Arial"/>
                <w:szCs w:val="18"/>
              </w:rPr>
              <w:t>(IPLV for units with capacity-modulation only)</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4F06D1" w:rsidRPr="001D6512" w:rsidRDefault="004F06D1" w:rsidP="004F06D1">
            <w:pPr>
              <w:pStyle w:val="TableCell"/>
              <w:spacing w:before="40" w:after="40" w:line="240" w:lineRule="auto"/>
              <w:rPr>
                <w:rFonts w:cs="Arial"/>
                <w:szCs w:val="18"/>
              </w:rPr>
            </w:pPr>
            <w:r w:rsidRPr="00064E44">
              <w:rPr>
                <w:rFonts w:cs="Arial"/>
                <w:szCs w:val="18"/>
                <w:lang w:val="de-DE"/>
              </w:rPr>
              <w:t>10.0 EER</w:t>
            </w:r>
            <w:r>
              <w:rPr>
                <w:rFonts w:cs="Arial"/>
                <w:szCs w:val="18"/>
                <w:lang w:val="de-DE"/>
              </w:rPr>
              <w:t xml:space="preserve"> / 9.7 IPLV</w:t>
            </w:r>
          </w:p>
        </w:tc>
        <w:tc>
          <w:tcPr>
            <w:tcW w:w="1224" w:type="pct"/>
            <w:tcBorders>
              <w:top w:val="single" w:sz="8" w:space="0" w:color="auto"/>
              <w:left w:val="nil"/>
              <w:bottom w:val="single" w:sz="8" w:space="0" w:color="auto"/>
              <w:right w:val="single" w:sz="8" w:space="0" w:color="auto"/>
            </w:tcBorders>
            <w:vAlign w:val="center"/>
          </w:tcPr>
          <w:p w:rsidR="004F06D1" w:rsidRPr="001D6512" w:rsidRDefault="004F06D1" w:rsidP="004F06D1">
            <w:pPr>
              <w:pStyle w:val="TableCell"/>
              <w:spacing w:before="40" w:after="40" w:line="240" w:lineRule="auto"/>
              <w:rPr>
                <w:rFonts w:cs="Arial"/>
                <w:szCs w:val="18"/>
              </w:rPr>
            </w:pPr>
            <w:r w:rsidRPr="001D6512">
              <w:rPr>
                <w:rFonts w:cs="Arial"/>
                <w:szCs w:val="18"/>
              </w:rPr>
              <w:t>N/A</w:t>
            </w:r>
          </w:p>
        </w:tc>
      </w:tr>
      <w:tr w:rsidR="004F06D1" w:rsidRPr="00064E44" w:rsidTr="004F06D1">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4F06D1" w:rsidRPr="001D6512" w:rsidRDefault="004F06D1" w:rsidP="004F06D1">
            <w:pPr>
              <w:pStyle w:val="TableCell"/>
              <w:spacing w:before="40" w:after="40" w:line="240" w:lineRule="auto"/>
              <w:rPr>
                <w:rFonts w:cs="Arial"/>
                <w:szCs w:val="18"/>
              </w:rPr>
            </w:pPr>
            <w:r w:rsidRPr="001D6512">
              <w:rPr>
                <w:rFonts w:cs="Arial"/>
                <w:szCs w:val="18"/>
                <w:u w:val="single"/>
              </w:rPr>
              <w:t>&gt;</w:t>
            </w:r>
            <w:r w:rsidRPr="001D6512">
              <w:rPr>
                <w:rFonts w:cs="Arial"/>
                <w:szCs w:val="18"/>
              </w:rPr>
              <w:t xml:space="preserve"> 760,000 BtuH</w:t>
            </w:r>
          </w:p>
          <w:p w:rsidR="004F06D1" w:rsidRPr="001D6512" w:rsidRDefault="004F06D1" w:rsidP="004F06D1">
            <w:pPr>
              <w:pStyle w:val="TableCell"/>
              <w:spacing w:before="40" w:after="40" w:line="240" w:lineRule="auto"/>
              <w:rPr>
                <w:rFonts w:cs="Arial"/>
                <w:szCs w:val="18"/>
              </w:rPr>
            </w:pPr>
            <w:r w:rsidRPr="001D6512">
              <w:rPr>
                <w:rFonts w:cs="Arial"/>
                <w:szCs w:val="18"/>
              </w:rPr>
              <w:t>(IPLV for units with capacity-modulation only)</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4F06D1" w:rsidRPr="001D6512" w:rsidRDefault="004F06D1" w:rsidP="004F06D1">
            <w:pPr>
              <w:pStyle w:val="TableCell"/>
              <w:spacing w:before="40" w:after="40" w:line="240" w:lineRule="auto"/>
              <w:rPr>
                <w:rFonts w:cs="Arial"/>
                <w:szCs w:val="18"/>
              </w:rPr>
            </w:pPr>
            <w:r w:rsidRPr="00064E44">
              <w:rPr>
                <w:rFonts w:cs="Arial"/>
                <w:szCs w:val="18"/>
                <w:lang w:val="de-DE"/>
              </w:rPr>
              <w:t>9.7 EER</w:t>
            </w:r>
            <w:r>
              <w:rPr>
                <w:rFonts w:cs="Arial"/>
                <w:szCs w:val="18"/>
                <w:lang w:val="de-DE"/>
              </w:rPr>
              <w:t xml:space="preserve"> / 9.4 IPLV</w:t>
            </w:r>
          </w:p>
        </w:tc>
        <w:tc>
          <w:tcPr>
            <w:tcW w:w="1224" w:type="pct"/>
            <w:tcBorders>
              <w:top w:val="single" w:sz="8" w:space="0" w:color="auto"/>
              <w:left w:val="nil"/>
              <w:bottom w:val="single" w:sz="8" w:space="0" w:color="auto"/>
              <w:right w:val="single" w:sz="8" w:space="0" w:color="auto"/>
            </w:tcBorders>
            <w:vAlign w:val="center"/>
          </w:tcPr>
          <w:p w:rsidR="004F06D1" w:rsidRPr="001D6512" w:rsidRDefault="004F06D1" w:rsidP="004F06D1">
            <w:pPr>
              <w:pStyle w:val="TableCell"/>
              <w:spacing w:before="40" w:after="40" w:line="240" w:lineRule="auto"/>
              <w:rPr>
                <w:rFonts w:cs="Arial"/>
                <w:szCs w:val="18"/>
              </w:rPr>
            </w:pPr>
            <w:r w:rsidRPr="001D6512">
              <w:rPr>
                <w:rFonts w:cs="Arial"/>
                <w:szCs w:val="18"/>
              </w:rPr>
              <w:t>N/A</w:t>
            </w:r>
          </w:p>
        </w:tc>
      </w:tr>
      <w:tr w:rsidR="004F06D1" w:rsidRPr="00064E44" w:rsidTr="004F06D1">
        <w:trPr>
          <w:trHeight w:val="20"/>
          <w:jc w:val="center"/>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noWrap/>
            <w:tcMar>
              <w:left w:w="115" w:type="dxa"/>
              <w:right w:w="115" w:type="dxa"/>
            </w:tcMar>
            <w:vAlign w:val="center"/>
          </w:tcPr>
          <w:p w:rsidR="004F06D1" w:rsidRPr="00064E44" w:rsidRDefault="004F06D1" w:rsidP="004F06D1">
            <w:pPr>
              <w:pStyle w:val="TableCell"/>
              <w:spacing w:before="40" w:after="40" w:line="240" w:lineRule="auto"/>
              <w:rPr>
                <w:rFonts w:cs="Arial"/>
                <w:szCs w:val="18"/>
                <w:lang w:val="de-DE"/>
              </w:rPr>
            </w:pPr>
            <w:r w:rsidRPr="001D6512">
              <w:rPr>
                <w:rFonts w:cs="Arial"/>
                <w:szCs w:val="18"/>
              </w:rPr>
              <w:t>Water-Source and Evaporatively-Cooled Air Conditioners</w:t>
            </w:r>
          </w:p>
        </w:tc>
      </w:tr>
      <w:tr w:rsidR="004F06D1" w:rsidRPr="00064E44" w:rsidTr="004F06D1">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4F06D1" w:rsidRPr="001D6512" w:rsidRDefault="004F06D1" w:rsidP="004F06D1">
            <w:pPr>
              <w:pStyle w:val="TableCell"/>
              <w:spacing w:before="40" w:after="40" w:line="240" w:lineRule="auto"/>
              <w:rPr>
                <w:rFonts w:cs="Arial"/>
                <w:szCs w:val="18"/>
              </w:rPr>
            </w:pPr>
            <w:r w:rsidRPr="001D6512">
              <w:rPr>
                <w:rFonts w:cs="Arial"/>
                <w:szCs w:val="18"/>
              </w:rPr>
              <w:t>&lt; 65,000 BtuH</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4F06D1" w:rsidRPr="00064E44" w:rsidRDefault="004F06D1" w:rsidP="004F06D1">
            <w:pPr>
              <w:pStyle w:val="TableCell"/>
              <w:spacing w:before="40" w:after="40" w:line="240" w:lineRule="auto"/>
              <w:rPr>
                <w:rFonts w:cs="Arial"/>
                <w:szCs w:val="18"/>
                <w:lang w:val="de-DE"/>
              </w:rPr>
            </w:pPr>
            <w:r>
              <w:rPr>
                <w:rFonts w:cs="Arial"/>
                <w:szCs w:val="18"/>
                <w:lang w:val="de-DE"/>
              </w:rPr>
              <w:t>12.1 EER</w:t>
            </w:r>
          </w:p>
        </w:tc>
        <w:tc>
          <w:tcPr>
            <w:tcW w:w="1224" w:type="pct"/>
            <w:tcBorders>
              <w:top w:val="single" w:sz="8" w:space="0" w:color="auto"/>
              <w:left w:val="nil"/>
              <w:bottom w:val="single" w:sz="8" w:space="0" w:color="auto"/>
              <w:right w:val="single" w:sz="8" w:space="0" w:color="auto"/>
            </w:tcBorders>
            <w:vAlign w:val="center"/>
          </w:tcPr>
          <w:p w:rsidR="004F06D1" w:rsidRPr="00064E44" w:rsidRDefault="004F06D1" w:rsidP="004F06D1">
            <w:pPr>
              <w:pStyle w:val="TableCell"/>
              <w:spacing w:before="40" w:after="40" w:line="240" w:lineRule="auto"/>
              <w:rPr>
                <w:rFonts w:cs="Arial"/>
                <w:szCs w:val="18"/>
                <w:lang w:val="de-DE"/>
              </w:rPr>
            </w:pPr>
            <w:r w:rsidRPr="001D6512">
              <w:rPr>
                <w:rFonts w:cs="Arial"/>
                <w:szCs w:val="18"/>
              </w:rPr>
              <w:t>N/A</w:t>
            </w:r>
          </w:p>
        </w:tc>
      </w:tr>
      <w:tr w:rsidR="004F06D1" w:rsidRPr="00064E44" w:rsidTr="004F06D1">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4F06D1" w:rsidRPr="001D6512" w:rsidRDefault="004F06D1" w:rsidP="004F06D1">
            <w:pPr>
              <w:pStyle w:val="TableCell"/>
              <w:spacing w:before="40" w:after="40" w:line="240" w:lineRule="auto"/>
              <w:rPr>
                <w:rFonts w:cs="Arial"/>
                <w:szCs w:val="18"/>
              </w:rPr>
            </w:pPr>
            <w:r w:rsidRPr="001D6512">
              <w:rPr>
                <w:rFonts w:cs="Arial"/>
                <w:szCs w:val="18"/>
                <w:u w:val="single"/>
              </w:rPr>
              <w:t>&gt;</w:t>
            </w:r>
            <w:r w:rsidRPr="001D6512">
              <w:rPr>
                <w:rFonts w:cs="Arial"/>
                <w:szCs w:val="18"/>
              </w:rPr>
              <w:t xml:space="preserve"> 65,000 BtuH and &lt;135,000 BtuH</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4F06D1" w:rsidRPr="00064E44" w:rsidRDefault="004F06D1" w:rsidP="004F06D1">
            <w:pPr>
              <w:pStyle w:val="TableCell"/>
              <w:spacing w:before="40" w:after="40" w:line="240" w:lineRule="auto"/>
              <w:rPr>
                <w:rFonts w:cs="Arial"/>
                <w:szCs w:val="18"/>
                <w:lang w:val="de-DE"/>
              </w:rPr>
            </w:pPr>
            <w:r>
              <w:rPr>
                <w:rFonts w:cs="Arial"/>
                <w:szCs w:val="18"/>
                <w:lang w:val="de-DE"/>
              </w:rPr>
              <w:t>11.5 EER</w:t>
            </w:r>
          </w:p>
        </w:tc>
        <w:tc>
          <w:tcPr>
            <w:tcW w:w="1224" w:type="pct"/>
            <w:tcBorders>
              <w:top w:val="single" w:sz="8" w:space="0" w:color="auto"/>
              <w:left w:val="nil"/>
              <w:bottom w:val="single" w:sz="8" w:space="0" w:color="auto"/>
              <w:right w:val="single" w:sz="8" w:space="0" w:color="auto"/>
            </w:tcBorders>
            <w:vAlign w:val="center"/>
          </w:tcPr>
          <w:p w:rsidR="004F06D1" w:rsidRPr="00064E44" w:rsidRDefault="004F06D1" w:rsidP="004F06D1">
            <w:pPr>
              <w:pStyle w:val="TableCell"/>
              <w:spacing w:before="40" w:after="40" w:line="240" w:lineRule="auto"/>
              <w:rPr>
                <w:rFonts w:cs="Arial"/>
                <w:szCs w:val="18"/>
                <w:lang w:val="de-DE"/>
              </w:rPr>
            </w:pPr>
            <w:r w:rsidRPr="001D6512">
              <w:rPr>
                <w:rFonts w:cs="Arial"/>
                <w:szCs w:val="18"/>
              </w:rPr>
              <w:t>N/A</w:t>
            </w:r>
          </w:p>
        </w:tc>
      </w:tr>
      <w:tr w:rsidR="004F06D1" w:rsidRPr="00064E44" w:rsidTr="004F06D1">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4F06D1" w:rsidRPr="001D6512" w:rsidRDefault="004F06D1" w:rsidP="004F06D1">
            <w:pPr>
              <w:pStyle w:val="TableCell"/>
              <w:spacing w:before="40" w:after="40" w:line="240" w:lineRule="auto"/>
              <w:rPr>
                <w:rFonts w:cs="Arial"/>
                <w:szCs w:val="18"/>
              </w:rPr>
            </w:pPr>
            <w:r w:rsidRPr="001D6512">
              <w:rPr>
                <w:rFonts w:cs="Arial"/>
                <w:szCs w:val="18"/>
                <w:u w:val="single"/>
              </w:rPr>
              <w:t>&gt;</w:t>
            </w:r>
            <w:r w:rsidRPr="001D6512">
              <w:rPr>
                <w:rFonts w:cs="Arial"/>
                <w:szCs w:val="18"/>
              </w:rPr>
              <w:t xml:space="preserve"> 135,000 BtuH and &lt; 240,000 BtuH</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4F06D1" w:rsidRPr="00064E44" w:rsidRDefault="004F06D1" w:rsidP="004F06D1">
            <w:pPr>
              <w:pStyle w:val="TableCell"/>
              <w:spacing w:before="40" w:after="40" w:line="240" w:lineRule="auto"/>
              <w:rPr>
                <w:rFonts w:cs="Arial"/>
                <w:szCs w:val="18"/>
                <w:lang w:val="de-DE"/>
              </w:rPr>
            </w:pPr>
            <w:r>
              <w:rPr>
                <w:rFonts w:cs="Arial"/>
                <w:szCs w:val="18"/>
                <w:lang w:val="de-DE"/>
              </w:rPr>
              <w:t>11.0 EER</w:t>
            </w:r>
          </w:p>
        </w:tc>
        <w:tc>
          <w:tcPr>
            <w:tcW w:w="1224" w:type="pct"/>
            <w:tcBorders>
              <w:top w:val="single" w:sz="8" w:space="0" w:color="auto"/>
              <w:left w:val="nil"/>
              <w:bottom w:val="single" w:sz="8" w:space="0" w:color="auto"/>
              <w:right w:val="single" w:sz="8" w:space="0" w:color="auto"/>
            </w:tcBorders>
            <w:vAlign w:val="center"/>
          </w:tcPr>
          <w:p w:rsidR="004F06D1" w:rsidRPr="00064E44" w:rsidRDefault="004F06D1" w:rsidP="004F06D1">
            <w:pPr>
              <w:pStyle w:val="TableCell"/>
              <w:spacing w:before="40" w:after="40" w:line="240" w:lineRule="auto"/>
              <w:rPr>
                <w:rFonts w:cs="Arial"/>
                <w:szCs w:val="18"/>
                <w:lang w:val="de-DE"/>
              </w:rPr>
            </w:pPr>
            <w:r w:rsidRPr="001D6512">
              <w:rPr>
                <w:rFonts w:cs="Arial"/>
                <w:szCs w:val="18"/>
              </w:rPr>
              <w:t>N/A</w:t>
            </w:r>
          </w:p>
        </w:tc>
      </w:tr>
      <w:tr w:rsidR="004F06D1" w:rsidRPr="00064E44" w:rsidTr="004F06D1">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4F06D1" w:rsidRPr="001D6512" w:rsidRDefault="004F06D1" w:rsidP="004F06D1">
            <w:pPr>
              <w:pStyle w:val="TableCell"/>
              <w:spacing w:before="40" w:after="40" w:line="240" w:lineRule="auto"/>
              <w:rPr>
                <w:rFonts w:cs="Arial"/>
                <w:szCs w:val="18"/>
              </w:rPr>
            </w:pPr>
            <w:r w:rsidRPr="001D6512">
              <w:rPr>
                <w:rFonts w:cs="Arial"/>
                <w:szCs w:val="18"/>
                <w:u w:val="single"/>
              </w:rPr>
              <w:t>&gt;</w:t>
            </w:r>
            <w:r w:rsidRPr="001D6512">
              <w:rPr>
                <w:rFonts w:cs="Arial"/>
                <w:szCs w:val="18"/>
              </w:rPr>
              <w:t xml:space="preserve"> 240,000 BtuH</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4F06D1" w:rsidRPr="00064E44" w:rsidRDefault="004F06D1" w:rsidP="004F06D1">
            <w:pPr>
              <w:pStyle w:val="TableCell"/>
              <w:spacing w:before="40" w:after="40" w:line="240" w:lineRule="auto"/>
              <w:rPr>
                <w:rFonts w:cs="Arial"/>
                <w:szCs w:val="18"/>
                <w:lang w:val="de-DE"/>
              </w:rPr>
            </w:pPr>
            <w:r>
              <w:rPr>
                <w:rFonts w:cs="Arial"/>
                <w:szCs w:val="18"/>
                <w:lang w:val="de-DE"/>
              </w:rPr>
              <w:t>11.5 EER</w:t>
            </w:r>
          </w:p>
        </w:tc>
        <w:tc>
          <w:tcPr>
            <w:tcW w:w="1224" w:type="pct"/>
            <w:tcBorders>
              <w:top w:val="single" w:sz="8" w:space="0" w:color="auto"/>
              <w:left w:val="nil"/>
              <w:bottom w:val="single" w:sz="8" w:space="0" w:color="auto"/>
              <w:right w:val="single" w:sz="8" w:space="0" w:color="auto"/>
            </w:tcBorders>
            <w:vAlign w:val="center"/>
          </w:tcPr>
          <w:p w:rsidR="004F06D1" w:rsidRPr="00064E44" w:rsidRDefault="004F06D1" w:rsidP="004F06D1">
            <w:pPr>
              <w:pStyle w:val="TableCell"/>
              <w:spacing w:before="40" w:after="40" w:line="240" w:lineRule="auto"/>
              <w:rPr>
                <w:rFonts w:cs="Arial"/>
                <w:szCs w:val="18"/>
                <w:lang w:val="de-DE"/>
              </w:rPr>
            </w:pPr>
            <w:r w:rsidRPr="001D6512">
              <w:rPr>
                <w:rFonts w:cs="Arial"/>
                <w:szCs w:val="18"/>
              </w:rPr>
              <w:t>N/A</w:t>
            </w:r>
          </w:p>
        </w:tc>
      </w:tr>
      <w:tr w:rsidR="004F06D1" w:rsidRPr="00064E44" w:rsidTr="004F06D1">
        <w:trPr>
          <w:trHeight w:val="20"/>
          <w:jc w:val="center"/>
        </w:trPr>
        <w:tc>
          <w:tcPr>
            <w:tcW w:w="5000" w:type="pct"/>
            <w:gridSpan w:val="3"/>
            <w:tcBorders>
              <w:top w:val="single" w:sz="8" w:space="0" w:color="auto"/>
              <w:left w:val="single" w:sz="8" w:space="0" w:color="auto"/>
              <w:bottom w:val="single" w:sz="8" w:space="0" w:color="auto"/>
              <w:right w:val="single" w:sz="8" w:space="0" w:color="auto"/>
            </w:tcBorders>
            <w:shd w:val="clear" w:color="000000" w:fill="D8D8D8"/>
            <w:tcMar>
              <w:left w:w="115" w:type="dxa"/>
              <w:right w:w="115" w:type="dxa"/>
            </w:tcMar>
            <w:vAlign w:val="center"/>
          </w:tcPr>
          <w:p w:rsidR="004F06D1" w:rsidRPr="001D6512" w:rsidRDefault="004F06D1" w:rsidP="004F06D1">
            <w:pPr>
              <w:pStyle w:val="TableCell"/>
              <w:spacing w:before="40" w:after="40" w:line="240" w:lineRule="auto"/>
              <w:rPr>
                <w:rFonts w:cs="Arial"/>
                <w:szCs w:val="18"/>
              </w:rPr>
            </w:pPr>
            <w:r w:rsidRPr="001D6512">
              <w:rPr>
                <w:rFonts w:cs="Arial"/>
                <w:szCs w:val="18"/>
              </w:rPr>
              <w:t xml:space="preserve">Air-Source Heat Pumps </w:t>
            </w:r>
          </w:p>
        </w:tc>
      </w:tr>
      <w:tr w:rsidR="004F06D1" w:rsidRPr="00064E44" w:rsidTr="004F06D1">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4F06D1" w:rsidRPr="001D6512" w:rsidRDefault="004F06D1" w:rsidP="004F06D1">
            <w:pPr>
              <w:pStyle w:val="TableCell"/>
              <w:spacing w:before="40" w:after="40" w:line="240" w:lineRule="auto"/>
              <w:rPr>
                <w:rFonts w:cs="Arial"/>
                <w:szCs w:val="18"/>
              </w:rPr>
            </w:pPr>
            <w:r w:rsidRPr="001D6512">
              <w:rPr>
                <w:rFonts w:cs="Arial"/>
                <w:szCs w:val="18"/>
              </w:rPr>
              <w:t>&lt; 65,000 BtuH</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4F06D1" w:rsidRPr="001D6512" w:rsidRDefault="004F06D1" w:rsidP="004F06D1">
            <w:pPr>
              <w:pStyle w:val="TableCell"/>
              <w:spacing w:before="40" w:after="40" w:line="240" w:lineRule="auto"/>
              <w:rPr>
                <w:rFonts w:cs="Arial"/>
                <w:szCs w:val="18"/>
              </w:rPr>
            </w:pPr>
            <w:r w:rsidRPr="001D6512">
              <w:rPr>
                <w:rFonts w:cs="Arial"/>
                <w:szCs w:val="18"/>
              </w:rPr>
              <w:t>13 SEER</w:t>
            </w:r>
          </w:p>
        </w:tc>
        <w:tc>
          <w:tcPr>
            <w:tcW w:w="1224" w:type="pct"/>
            <w:tcBorders>
              <w:top w:val="single" w:sz="8" w:space="0" w:color="auto"/>
              <w:left w:val="nil"/>
              <w:bottom w:val="single" w:sz="8" w:space="0" w:color="auto"/>
              <w:right w:val="single" w:sz="8" w:space="0" w:color="auto"/>
            </w:tcBorders>
            <w:vAlign w:val="center"/>
          </w:tcPr>
          <w:p w:rsidR="004F06D1" w:rsidRPr="001D6512" w:rsidRDefault="004F06D1" w:rsidP="004F06D1">
            <w:pPr>
              <w:pStyle w:val="TableCell"/>
              <w:spacing w:before="40" w:after="40" w:line="240" w:lineRule="auto"/>
              <w:rPr>
                <w:rFonts w:cs="Arial"/>
                <w:szCs w:val="18"/>
              </w:rPr>
            </w:pPr>
            <w:r w:rsidRPr="001D6512">
              <w:rPr>
                <w:rFonts w:cs="Arial"/>
                <w:szCs w:val="18"/>
              </w:rPr>
              <w:t>7.7 HSPF</w:t>
            </w:r>
          </w:p>
        </w:tc>
      </w:tr>
      <w:tr w:rsidR="004F06D1" w:rsidRPr="00064E44" w:rsidTr="004F06D1">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4F06D1" w:rsidRPr="001D6512" w:rsidRDefault="004F06D1" w:rsidP="004F06D1">
            <w:pPr>
              <w:pStyle w:val="TableCell"/>
              <w:spacing w:before="40" w:after="40" w:line="240" w:lineRule="auto"/>
              <w:rPr>
                <w:rFonts w:cs="Arial"/>
                <w:szCs w:val="18"/>
              </w:rPr>
            </w:pPr>
            <w:r w:rsidRPr="001D6512">
              <w:rPr>
                <w:rFonts w:cs="Arial"/>
                <w:szCs w:val="18"/>
                <w:u w:val="single"/>
              </w:rPr>
              <w:t>&gt;</w:t>
            </w:r>
            <w:r w:rsidRPr="001D6512">
              <w:rPr>
                <w:rFonts w:cs="Arial"/>
                <w:szCs w:val="18"/>
              </w:rPr>
              <w:t xml:space="preserve"> 65,000 BtuH and &lt;135,000 BtuH</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4F06D1" w:rsidRPr="001D6512" w:rsidRDefault="004F06D1" w:rsidP="004F06D1">
            <w:pPr>
              <w:pStyle w:val="TableCell"/>
              <w:spacing w:before="40" w:after="40" w:line="240" w:lineRule="auto"/>
              <w:rPr>
                <w:rFonts w:cs="Arial"/>
                <w:szCs w:val="18"/>
              </w:rPr>
            </w:pPr>
            <w:r w:rsidRPr="001D6512">
              <w:rPr>
                <w:rFonts w:cs="Arial"/>
                <w:szCs w:val="18"/>
              </w:rPr>
              <w:t>11.0 EER</w:t>
            </w:r>
          </w:p>
        </w:tc>
        <w:tc>
          <w:tcPr>
            <w:tcW w:w="1224" w:type="pct"/>
            <w:tcBorders>
              <w:top w:val="single" w:sz="8" w:space="0" w:color="auto"/>
              <w:left w:val="nil"/>
              <w:bottom w:val="single" w:sz="8" w:space="0" w:color="auto"/>
              <w:right w:val="single" w:sz="8" w:space="0" w:color="auto"/>
            </w:tcBorders>
            <w:vAlign w:val="center"/>
          </w:tcPr>
          <w:p w:rsidR="004F06D1" w:rsidRPr="001D6512" w:rsidRDefault="004F06D1" w:rsidP="004F06D1">
            <w:pPr>
              <w:pStyle w:val="TableCell"/>
              <w:spacing w:before="40" w:after="40" w:line="240" w:lineRule="auto"/>
              <w:rPr>
                <w:rFonts w:cs="Arial"/>
                <w:szCs w:val="18"/>
              </w:rPr>
            </w:pPr>
            <w:r w:rsidRPr="001D6512">
              <w:rPr>
                <w:rFonts w:cs="Arial"/>
                <w:szCs w:val="18"/>
              </w:rPr>
              <w:t>3.3 COP</w:t>
            </w:r>
          </w:p>
        </w:tc>
      </w:tr>
      <w:tr w:rsidR="004F06D1" w:rsidRPr="00064E44" w:rsidTr="004F06D1">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4F06D1" w:rsidRPr="001D6512" w:rsidRDefault="004F06D1" w:rsidP="004F06D1">
            <w:pPr>
              <w:pStyle w:val="TableCell"/>
              <w:spacing w:before="40" w:after="40" w:line="240" w:lineRule="auto"/>
              <w:rPr>
                <w:rFonts w:cs="Arial"/>
                <w:szCs w:val="18"/>
              </w:rPr>
            </w:pPr>
            <w:r w:rsidRPr="001D6512">
              <w:rPr>
                <w:rFonts w:cs="Arial"/>
                <w:szCs w:val="18"/>
                <w:u w:val="single"/>
              </w:rPr>
              <w:t>&gt;</w:t>
            </w:r>
            <w:r w:rsidRPr="001D6512">
              <w:rPr>
                <w:rFonts w:cs="Arial"/>
                <w:szCs w:val="18"/>
              </w:rPr>
              <w:t xml:space="preserve"> 135,000 BtuH and &lt; 240,000 BtuH</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4F06D1" w:rsidRPr="001D6512" w:rsidRDefault="004F06D1" w:rsidP="004F06D1">
            <w:pPr>
              <w:pStyle w:val="TableCell"/>
              <w:spacing w:before="40" w:after="40" w:line="240" w:lineRule="auto"/>
              <w:rPr>
                <w:rFonts w:cs="Arial"/>
                <w:szCs w:val="18"/>
              </w:rPr>
            </w:pPr>
            <w:r w:rsidRPr="001D6512">
              <w:rPr>
                <w:rFonts w:cs="Arial"/>
                <w:szCs w:val="18"/>
              </w:rPr>
              <w:t>10.6 EER</w:t>
            </w:r>
          </w:p>
        </w:tc>
        <w:tc>
          <w:tcPr>
            <w:tcW w:w="1224" w:type="pct"/>
            <w:tcBorders>
              <w:top w:val="single" w:sz="8" w:space="0" w:color="auto"/>
              <w:left w:val="nil"/>
              <w:bottom w:val="single" w:sz="8" w:space="0" w:color="auto"/>
              <w:right w:val="single" w:sz="8" w:space="0" w:color="auto"/>
            </w:tcBorders>
            <w:vAlign w:val="center"/>
          </w:tcPr>
          <w:p w:rsidR="004F06D1" w:rsidRPr="001D6512" w:rsidRDefault="004F06D1" w:rsidP="004F06D1">
            <w:pPr>
              <w:pStyle w:val="TableCell"/>
              <w:spacing w:before="40" w:after="40" w:line="240" w:lineRule="auto"/>
              <w:rPr>
                <w:rFonts w:cs="Arial"/>
                <w:szCs w:val="18"/>
              </w:rPr>
            </w:pPr>
            <w:r w:rsidRPr="001D6512">
              <w:rPr>
                <w:rFonts w:cs="Arial"/>
                <w:szCs w:val="18"/>
              </w:rPr>
              <w:t>3.2 COP</w:t>
            </w:r>
          </w:p>
        </w:tc>
      </w:tr>
      <w:tr w:rsidR="004F06D1" w:rsidRPr="00064E44" w:rsidTr="004F06D1">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4F06D1" w:rsidRPr="001D6512" w:rsidRDefault="004F06D1" w:rsidP="004F06D1">
            <w:pPr>
              <w:pStyle w:val="TableCell"/>
              <w:spacing w:before="40" w:after="40" w:line="240" w:lineRule="auto"/>
              <w:rPr>
                <w:rFonts w:cs="Arial"/>
                <w:szCs w:val="18"/>
              </w:rPr>
            </w:pPr>
            <w:r w:rsidRPr="001D6512">
              <w:rPr>
                <w:rFonts w:cs="Arial"/>
                <w:szCs w:val="18"/>
                <w:u w:val="single"/>
              </w:rPr>
              <w:t>&gt;</w:t>
            </w:r>
            <w:r w:rsidRPr="001D6512">
              <w:rPr>
                <w:rFonts w:cs="Arial"/>
                <w:szCs w:val="18"/>
              </w:rPr>
              <w:t xml:space="preserve"> 240,000 BtuH</w:t>
            </w:r>
          </w:p>
          <w:p w:rsidR="004F06D1" w:rsidRPr="001D6512" w:rsidRDefault="004F06D1" w:rsidP="004F06D1">
            <w:pPr>
              <w:pStyle w:val="TableCell"/>
              <w:spacing w:before="40" w:after="40" w:line="240" w:lineRule="auto"/>
              <w:rPr>
                <w:rFonts w:cs="Arial"/>
                <w:szCs w:val="18"/>
              </w:rPr>
            </w:pPr>
            <w:r w:rsidRPr="001D6512">
              <w:rPr>
                <w:rFonts w:cs="Arial"/>
                <w:szCs w:val="18"/>
              </w:rPr>
              <w:t>(IPLV for units with capacity-modulation only)</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4F06D1" w:rsidRPr="001D6512" w:rsidRDefault="004F06D1" w:rsidP="004F06D1">
            <w:pPr>
              <w:pStyle w:val="TableCell"/>
              <w:spacing w:before="40" w:after="40" w:line="240" w:lineRule="auto"/>
              <w:rPr>
                <w:rFonts w:cs="Arial"/>
                <w:szCs w:val="18"/>
              </w:rPr>
            </w:pPr>
            <w:r w:rsidRPr="001D6512">
              <w:rPr>
                <w:rFonts w:cs="Arial"/>
                <w:szCs w:val="18"/>
              </w:rPr>
              <w:t>9.5 EER / 9.2 IPLV</w:t>
            </w:r>
          </w:p>
        </w:tc>
        <w:tc>
          <w:tcPr>
            <w:tcW w:w="1224" w:type="pct"/>
            <w:tcBorders>
              <w:top w:val="single" w:sz="8" w:space="0" w:color="auto"/>
              <w:left w:val="nil"/>
              <w:bottom w:val="single" w:sz="8" w:space="0" w:color="auto"/>
              <w:right w:val="single" w:sz="8" w:space="0" w:color="auto"/>
            </w:tcBorders>
            <w:vAlign w:val="center"/>
          </w:tcPr>
          <w:p w:rsidR="004F06D1" w:rsidRPr="001D6512" w:rsidRDefault="004F06D1" w:rsidP="004F06D1">
            <w:pPr>
              <w:pStyle w:val="TableCell"/>
              <w:spacing w:before="40" w:after="40" w:line="240" w:lineRule="auto"/>
              <w:rPr>
                <w:rFonts w:cs="Arial"/>
                <w:szCs w:val="18"/>
              </w:rPr>
            </w:pPr>
            <w:r w:rsidRPr="001D6512">
              <w:rPr>
                <w:rFonts w:cs="Arial"/>
                <w:szCs w:val="18"/>
              </w:rPr>
              <w:t>3.2 COP</w:t>
            </w:r>
          </w:p>
        </w:tc>
      </w:tr>
      <w:tr w:rsidR="004F06D1" w:rsidRPr="00064E44" w:rsidTr="004F06D1">
        <w:trPr>
          <w:trHeight w:val="20"/>
          <w:jc w:val="center"/>
        </w:trPr>
        <w:tc>
          <w:tcPr>
            <w:tcW w:w="5000" w:type="pct"/>
            <w:gridSpan w:val="3"/>
            <w:tcBorders>
              <w:top w:val="single" w:sz="8" w:space="0" w:color="auto"/>
              <w:left w:val="single" w:sz="8" w:space="0" w:color="auto"/>
              <w:bottom w:val="single" w:sz="8" w:space="0" w:color="auto"/>
              <w:right w:val="single" w:sz="8" w:space="0" w:color="auto"/>
            </w:tcBorders>
            <w:shd w:val="clear" w:color="000000" w:fill="D8D8D8"/>
            <w:tcMar>
              <w:left w:w="115" w:type="dxa"/>
              <w:right w:w="115" w:type="dxa"/>
            </w:tcMar>
            <w:vAlign w:val="center"/>
          </w:tcPr>
          <w:p w:rsidR="004F06D1" w:rsidRPr="001D6512" w:rsidRDefault="004F06D1" w:rsidP="004F06D1">
            <w:pPr>
              <w:pStyle w:val="TableCell"/>
              <w:keepNext w:val="0"/>
              <w:spacing w:before="40" w:after="40" w:line="240" w:lineRule="auto"/>
              <w:rPr>
                <w:rFonts w:cs="Arial"/>
                <w:szCs w:val="18"/>
              </w:rPr>
            </w:pPr>
            <w:r w:rsidRPr="001D6512">
              <w:rPr>
                <w:rFonts w:cs="Arial"/>
                <w:szCs w:val="18"/>
              </w:rPr>
              <w:t xml:space="preserve">Water-Source Heat Pumps </w:t>
            </w:r>
          </w:p>
        </w:tc>
      </w:tr>
      <w:tr w:rsidR="004F06D1" w:rsidRPr="00064E44" w:rsidTr="004F06D1">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4F06D1" w:rsidRPr="001D6512" w:rsidRDefault="004F06D1" w:rsidP="004F06D1">
            <w:pPr>
              <w:pStyle w:val="TableCell"/>
              <w:keepNext w:val="0"/>
              <w:spacing w:before="40" w:after="40" w:line="240" w:lineRule="auto"/>
              <w:rPr>
                <w:rFonts w:cs="Arial"/>
                <w:szCs w:val="18"/>
              </w:rPr>
            </w:pPr>
            <w:r w:rsidRPr="001D6512">
              <w:rPr>
                <w:rFonts w:cs="Arial"/>
                <w:szCs w:val="18"/>
              </w:rPr>
              <w:t xml:space="preserve">&lt; 17,000 BtuH </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4F06D1" w:rsidRPr="001D6512" w:rsidRDefault="004F06D1" w:rsidP="004F06D1">
            <w:pPr>
              <w:pStyle w:val="TableCell"/>
              <w:keepNext w:val="0"/>
              <w:spacing w:before="40" w:after="40" w:line="240" w:lineRule="auto"/>
              <w:rPr>
                <w:rFonts w:cs="Arial"/>
                <w:szCs w:val="18"/>
              </w:rPr>
            </w:pPr>
            <w:r w:rsidRPr="001D6512">
              <w:rPr>
                <w:rFonts w:cs="Arial"/>
                <w:szCs w:val="18"/>
              </w:rPr>
              <w:t>11.2 EER</w:t>
            </w:r>
          </w:p>
        </w:tc>
        <w:tc>
          <w:tcPr>
            <w:tcW w:w="1224" w:type="pct"/>
            <w:tcBorders>
              <w:top w:val="single" w:sz="8" w:space="0" w:color="auto"/>
              <w:left w:val="nil"/>
              <w:bottom w:val="single" w:sz="8" w:space="0" w:color="auto"/>
              <w:right w:val="single" w:sz="8" w:space="0" w:color="auto"/>
            </w:tcBorders>
            <w:vAlign w:val="center"/>
          </w:tcPr>
          <w:p w:rsidR="004F06D1" w:rsidRPr="001D6512" w:rsidRDefault="004F06D1" w:rsidP="004F06D1">
            <w:pPr>
              <w:pStyle w:val="TableCell"/>
              <w:keepNext w:val="0"/>
              <w:spacing w:before="40" w:after="40" w:line="240" w:lineRule="auto"/>
              <w:rPr>
                <w:rFonts w:cs="Arial"/>
                <w:szCs w:val="18"/>
              </w:rPr>
            </w:pPr>
            <w:r w:rsidRPr="001D6512">
              <w:rPr>
                <w:rFonts w:cs="Arial"/>
                <w:szCs w:val="18"/>
              </w:rPr>
              <w:t>4.2 COP</w:t>
            </w:r>
          </w:p>
        </w:tc>
      </w:tr>
      <w:tr w:rsidR="004F06D1" w:rsidRPr="00064E44" w:rsidTr="004F06D1">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4F06D1" w:rsidRPr="001D6512" w:rsidRDefault="004F06D1" w:rsidP="004F06D1">
            <w:pPr>
              <w:pStyle w:val="TableCell"/>
              <w:keepNext w:val="0"/>
              <w:spacing w:before="40" w:after="40" w:line="240" w:lineRule="auto"/>
              <w:rPr>
                <w:rFonts w:cs="Arial"/>
                <w:szCs w:val="18"/>
              </w:rPr>
            </w:pPr>
            <w:r w:rsidRPr="001D6512">
              <w:rPr>
                <w:rFonts w:cs="Arial"/>
                <w:szCs w:val="18"/>
                <w:u w:val="single"/>
              </w:rPr>
              <w:t>&gt;</w:t>
            </w:r>
            <w:r w:rsidRPr="001D6512">
              <w:rPr>
                <w:rFonts w:cs="Arial"/>
                <w:szCs w:val="18"/>
              </w:rPr>
              <w:t xml:space="preserve"> 17,000 BtuH and </w:t>
            </w:r>
            <w:r w:rsidRPr="001D6512">
              <w:rPr>
                <w:rFonts w:cs="Arial"/>
                <w:szCs w:val="18"/>
                <w:u w:val="single"/>
              </w:rPr>
              <w:t>&lt;</w:t>
            </w:r>
            <w:r w:rsidRPr="001D6512">
              <w:rPr>
                <w:rFonts w:cs="Arial"/>
                <w:szCs w:val="18"/>
              </w:rPr>
              <w:t xml:space="preserve"> 135,000 BtuH</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4F06D1" w:rsidRPr="001D6512" w:rsidRDefault="004F06D1" w:rsidP="004F06D1">
            <w:pPr>
              <w:pStyle w:val="TableCell"/>
              <w:keepNext w:val="0"/>
              <w:spacing w:before="40" w:after="40" w:line="240" w:lineRule="auto"/>
              <w:rPr>
                <w:rFonts w:cs="Arial"/>
                <w:szCs w:val="18"/>
              </w:rPr>
            </w:pPr>
            <w:r w:rsidRPr="001D6512">
              <w:rPr>
                <w:rFonts w:cs="Arial"/>
                <w:szCs w:val="18"/>
              </w:rPr>
              <w:t>12.0 EER</w:t>
            </w:r>
          </w:p>
        </w:tc>
        <w:tc>
          <w:tcPr>
            <w:tcW w:w="1224" w:type="pct"/>
            <w:tcBorders>
              <w:top w:val="single" w:sz="8" w:space="0" w:color="auto"/>
              <w:left w:val="nil"/>
              <w:bottom w:val="single" w:sz="8" w:space="0" w:color="auto"/>
              <w:right w:val="single" w:sz="8" w:space="0" w:color="auto"/>
            </w:tcBorders>
            <w:vAlign w:val="center"/>
          </w:tcPr>
          <w:p w:rsidR="004F06D1" w:rsidRPr="001D6512" w:rsidRDefault="004F06D1" w:rsidP="004F06D1">
            <w:pPr>
              <w:pStyle w:val="TableCell"/>
              <w:keepNext w:val="0"/>
              <w:spacing w:before="40" w:after="40" w:line="240" w:lineRule="auto"/>
              <w:rPr>
                <w:rFonts w:cs="Arial"/>
                <w:szCs w:val="18"/>
              </w:rPr>
            </w:pPr>
            <w:r w:rsidRPr="001D6512">
              <w:rPr>
                <w:rFonts w:cs="Arial"/>
                <w:szCs w:val="18"/>
              </w:rPr>
              <w:t>4.2 COP</w:t>
            </w:r>
          </w:p>
        </w:tc>
      </w:tr>
      <w:tr w:rsidR="004F06D1" w:rsidRPr="00064E44" w:rsidTr="004F06D1">
        <w:trPr>
          <w:trHeight w:val="20"/>
          <w:jc w:val="center"/>
        </w:trPr>
        <w:tc>
          <w:tcPr>
            <w:tcW w:w="5000" w:type="pct"/>
            <w:gridSpan w:val="3"/>
            <w:tcBorders>
              <w:top w:val="single" w:sz="8" w:space="0" w:color="auto"/>
              <w:left w:val="single" w:sz="8" w:space="0" w:color="auto"/>
              <w:bottom w:val="single" w:sz="8" w:space="0" w:color="auto"/>
              <w:right w:val="single" w:sz="8" w:space="0" w:color="auto"/>
            </w:tcBorders>
            <w:shd w:val="clear" w:color="000000" w:fill="D8D8D8"/>
            <w:tcMar>
              <w:left w:w="115" w:type="dxa"/>
              <w:right w:w="115" w:type="dxa"/>
            </w:tcMar>
            <w:vAlign w:val="center"/>
          </w:tcPr>
          <w:p w:rsidR="004F06D1" w:rsidRPr="001D6512" w:rsidRDefault="004F06D1" w:rsidP="00205E45">
            <w:pPr>
              <w:pStyle w:val="TableCell"/>
              <w:spacing w:before="40" w:after="40" w:line="240" w:lineRule="auto"/>
              <w:rPr>
                <w:rFonts w:cs="Arial"/>
                <w:szCs w:val="18"/>
              </w:rPr>
            </w:pPr>
            <w:r w:rsidRPr="001D6512">
              <w:rPr>
                <w:rFonts w:cs="Arial"/>
                <w:szCs w:val="18"/>
              </w:rPr>
              <w:t xml:space="preserve">Ground Water Source Heat Pumps </w:t>
            </w:r>
          </w:p>
        </w:tc>
      </w:tr>
      <w:tr w:rsidR="004F06D1" w:rsidRPr="00064E44" w:rsidTr="004F06D1">
        <w:trPr>
          <w:trHeight w:val="20"/>
          <w:jc w:val="center"/>
        </w:trPr>
        <w:tc>
          <w:tcPr>
            <w:tcW w:w="2551" w:type="pct"/>
            <w:tcBorders>
              <w:top w:val="single" w:sz="8" w:space="0" w:color="auto"/>
              <w:left w:val="single" w:sz="8" w:space="0" w:color="auto"/>
              <w:bottom w:val="single" w:sz="8" w:space="0" w:color="auto"/>
            </w:tcBorders>
            <w:shd w:val="clear" w:color="auto" w:fill="auto"/>
            <w:tcMar>
              <w:left w:w="115" w:type="dxa"/>
              <w:right w:w="115" w:type="dxa"/>
            </w:tcMar>
            <w:vAlign w:val="center"/>
          </w:tcPr>
          <w:p w:rsidR="004F06D1" w:rsidRPr="001D6512" w:rsidRDefault="004F06D1" w:rsidP="004F06D1">
            <w:pPr>
              <w:pStyle w:val="TableCell"/>
              <w:keepNext w:val="0"/>
              <w:spacing w:before="40" w:after="40" w:line="240" w:lineRule="auto"/>
              <w:rPr>
                <w:rFonts w:cs="Arial"/>
                <w:szCs w:val="18"/>
              </w:rPr>
            </w:pPr>
            <w:r w:rsidRPr="001D6512">
              <w:rPr>
                <w:rFonts w:cs="Arial"/>
                <w:szCs w:val="18"/>
              </w:rPr>
              <w:t>&lt; 135,000 BtuH</w:t>
            </w:r>
          </w:p>
        </w:tc>
        <w:tc>
          <w:tcPr>
            <w:tcW w:w="1225" w:type="pct"/>
            <w:tcBorders>
              <w:top w:val="single" w:sz="8" w:space="0" w:color="auto"/>
              <w:bottom w:val="single" w:sz="8" w:space="0" w:color="auto"/>
            </w:tcBorders>
            <w:shd w:val="clear" w:color="auto" w:fill="auto"/>
            <w:tcMar>
              <w:left w:w="115" w:type="dxa"/>
              <w:right w:w="115" w:type="dxa"/>
            </w:tcMar>
            <w:vAlign w:val="center"/>
          </w:tcPr>
          <w:p w:rsidR="004F06D1" w:rsidRPr="001D6512" w:rsidRDefault="004F06D1" w:rsidP="004F06D1">
            <w:pPr>
              <w:pStyle w:val="TableCell"/>
              <w:keepNext w:val="0"/>
              <w:spacing w:before="40" w:after="40" w:line="240" w:lineRule="auto"/>
              <w:rPr>
                <w:rFonts w:cs="Arial"/>
                <w:szCs w:val="18"/>
              </w:rPr>
            </w:pPr>
            <w:r w:rsidRPr="001D6512">
              <w:rPr>
                <w:rFonts w:cs="Arial"/>
                <w:szCs w:val="18"/>
              </w:rPr>
              <w:t>16.2 EER</w:t>
            </w:r>
          </w:p>
        </w:tc>
        <w:tc>
          <w:tcPr>
            <w:tcW w:w="1224" w:type="pct"/>
            <w:tcBorders>
              <w:top w:val="single" w:sz="8" w:space="0" w:color="auto"/>
              <w:bottom w:val="single" w:sz="8" w:space="0" w:color="auto"/>
              <w:right w:val="single" w:sz="8" w:space="0" w:color="auto"/>
            </w:tcBorders>
            <w:shd w:val="clear" w:color="auto" w:fill="auto"/>
            <w:vAlign w:val="center"/>
          </w:tcPr>
          <w:p w:rsidR="004F06D1" w:rsidRPr="001D6512" w:rsidRDefault="004F06D1" w:rsidP="004F06D1">
            <w:pPr>
              <w:pStyle w:val="TableCell"/>
              <w:keepNext w:val="0"/>
              <w:spacing w:before="40" w:after="40" w:line="240" w:lineRule="auto"/>
              <w:rPr>
                <w:rFonts w:cs="Arial"/>
                <w:szCs w:val="18"/>
              </w:rPr>
            </w:pPr>
            <w:r w:rsidRPr="001D6512">
              <w:rPr>
                <w:rFonts w:cs="Arial"/>
                <w:szCs w:val="18"/>
              </w:rPr>
              <w:t>3.6 COP</w:t>
            </w:r>
          </w:p>
        </w:tc>
      </w:tr>
      <w:tr w:rsidR="004F06D1" w:rsidRPr="00064E44" w:rsidTr="004F06D1">
        <w:trPr>
          <w:trHeight w:val="20"/>
          <w:jc w:val="center"/>
        </w:trPr>
        <w:tc>
          <w:tcPr>
            <w:tcW w:w="5000" w:type="pct"/>
            <w:gridSpan w:val="3"/>
            <w:tcBorders>
              <w:top w:val="single" w:sz="8" w:space="0" w:color="auto"/>
              <w:left w:val="single" w:sz="8" w:space="0" w:color="auto"/>
              <w:bottom w:val="single" w:sz="8" w:space="0" w:color="auto"/>
              <w:right w:val="single" w:sz="8" w:space="0" w:color="auto"/>
            </w:tcBorders>
            <w:shd w:val="clear" w:color="000000" w:fill="D8D8D8"/>
            <w:tcMar>
              <w:left w:w="115" w:type="dxa"/>
              <w:right w:w="115" w:type="dxa"/>
            </w:tcMar>
            <w:vAlign w:val="center"/>
          </w:tcPr>
          <w:p w:rsidR="004F06D1" w:rsidRPr="001D6512" w:rsidRDefault="004F06D1" w:rsidP="004F06D1">
            <w:pPr>
              <w:pStyle w:val="TableCell"/>
              <w:keepNext w:val="0"/>
              <w:spacing w:before="40" w:after="40" w:line="240" w:lineRule="auto"/>
              <w:rPr>
                <w:rFonts w:cs="Arial"/>
                <w:szCs w:val="18"/>
              </w:rPr>
            </w:pPr>
            <w:r w:rsidRPr="001D6512">
              <w:rPr>
                <w:rFonts w:cs="Arial"/>
                <w:szCs w:val="18"/>
              </w:rPr>
              <w:t xml:space="preserve">Ground Source Heat Pumps </w:t>
            </w:r>
          </w:p>
        </w:tc>
      </w:tr>
      <w:tr w:rsidR="004F06D1" w:rsidRPr="00064E44" w:rsidTr="004F06D1">
        <w:trPr>
          <w:trHeight w:val="20"/>
          <w:jc w:val="center"/>
        </w:trPr>
        <w:tc>
          <w:tcPr>
            <w:tcW w:w="2551" w:type="pct"/>
            <w:tcBorders>
              <w:top w:val="single" w:sz="8" w:space="0" w:color="auto"/>
              <w:left w:val="single" w:sz="8" w:space="0" w:color="auto"/>
              <w:bottom w:val="single" w:sz="8" w:space="0" w:color="auto"/>
              <w:right w:val="single" w:sz="8" w:space="0" w:color="000000"/>
            </w:tcBorders>
            <w:tcMar>
              <w:left w:w="115" w:type="dxa"/>
              <w:right w:w="115" w:type="dxa"/>
            </w:tcMar>
            <w:vAlign w:val="center"/>
          </w:tcPr>
          <w:p w:rsidR="004F06D1" w:rsidRPr="001D6512" w:rsidRDefault="004F06D1" w:rsidP="004F06D1">
            <w:pPr>
              <w:pStyle w:val="TableCell"/>
              <w:keepNext w:val="0"/>
              <w:spacing w:before="40" w:after="40" w:line="240" w:lineRule="auto"/>
              <w:rPr>
                <w:rFonts w:cs="Arial"/>
                <w:szCs w:val="18"/>
              </w:rPr>
            </w:pPr>
            <w:r w:rsidRPr="001D6512">
              <w:rPr>
                <w:rFonts w:cs="Arial"/>
                <w:szCs w:val="18"/>
              </w:rPr>
              <w:t>&lt; 135,000 BtuH</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4F06D1" w:rsidRPr="001D6512" w:rsidRDefault="004F06D1" w:rsidP="004F06D1">
            <w:pPr>
              <w:pStyle w:val="TableCell"/>
              <w:keepNext w:val="0"/>
              <w:spacing w:before="40" w:after="40" w:line="240" w:lineRule="auto"/>
              <w:rPr>
                <w:rFonts w:cs="Arial"/>
                <w:szCs w:val="18"/>
              </w:rPr>
            </w:pPr>
            <w:r w:rsidRPr="001D6512">
              <w:rPr>
                <w:rFonts w:cs="Arial"/>
                <w:szCs w:val="18"/>
              </w:rPr>
              <w:t>13.4 EER</w:t>
            </w:r>
          </w:p>
        </w:tc>
        <w:tc>
          <w:tcPr>
            <w:tcW w:w="1224" w:type="pct"/>
            <w:tcBorders>
              <w:top w:val="single" w:sz="8" w:space="0" w:color="auto"/>
              <w:left w:val="nil"/>
              <w:bottom w:val="single" w:sz="8" w:space="0" w:color="auto"/>
              <w:right w:val="single" w:sz="8" w:space="0" w:color="auto"/>
            </w:tcBorders>
            <w:vAlign w:val="center"/>
          </w:tcPr>
          <w:p w:rsidR="004F06D1" w:rsidRPr="001D6512" w:rsidRDefault="004F06D1" w:rsidP="004F06D1">
            <w:pPr>
              <w:pStyle w:val="TableCell"/>
              <w:keepNext w:val="0"/>
              <w:spacing w:before="40" w:after="40" w:line="240" w:lineRule="auto"/>
              <w:rPr>
                <w:rFonts w:cs="Arial"/>
                <w:szCs w:val="18"/>
              </w:rPr>
            </w:pPr>
            <w:r w:rsidRPr="001D6512">
              <w:rPr>
                <w:rFonts w:cs="Arial"/>
                <w:szCs w:val="18"/>
              </w:rPr>
              <w:t>3.1 COP</w:t>
            </w:r>
          </w:p>
        </w:tc>
      </w:tr>
      <w:tr w:rsidR="004F06D1" w:rsidRPr="00064E44" w:rsidTr="004F06D1">
        <w:trPr>
          <w:trHeight w:val="20"/>
          <w:jc w:val="center"/>
        </w:trPr>
        <w:tc>
          <w:tcPr>
            <w:tcW w:w="5000" w:type="pct"/>
            <w:gridSpan w:val="3"/>
            <w:tcBorders>
              <w:top w:val="single" w:sz="8" w:space="0" w:color="auto"/>
              <w:left w:val="single" w:sz="8" w:space="0" w:color="auto"/>
              <w:bottom w:val="single" w:sz="8" w:space="0" w:color="auto"/>
              <w:right w:val="single" w:sz="8" w:space="0" w:color="auto"/>
            </w:tcBorders>
            <w:shd w:val="clear" w:color="000000" w:fill="D8D8D8"/>
            <w:tcMar>
              <w:left w:w="115" w:type="dxa"/>
              <w:right w:w="115" w:type="dxa"/>
            </w:tcMar>
            <w:vAlign w:val="center"/>
          </w:tcPr>
          <w:p w:rsidR="004F06D1" w:rsidRPr="001D6512" w:rsidRDefault="004F06D1" w:rsidP="004F06D1">
            <w:pPr>
              <w:pStyle w:val="TableCell"/>
              <w:keepNext w:val="0"/>
              <w:spacing w:before="40" w:after="40" w:line="240" w:lineRule="auto"/>
              <w:rPr>
                <w:rFonts w:cs="Arial"/>
                <w:szCs w:val="18"/>
              </w:rPr>
            </w:pPr>
            <w:r w:rsidRPr="001D6512">
              <w:rPr>
                <w:rFonts w:cs="Arial"/>
                <w:szCs w:val="18"/>
              </w:rPr>
              <w:t>Packaged Terminal Systems (Replacements)</w:t>
            </w:r>
            <w:r w:rsidRPr="001D6512">
              <w:rPr>
                <w:rStyle w:val="FootnoteReference"/>
                <w:szCs w:val="18"/>
              </w:rPr>
              <w:footnoteReference w:id="194"/>
            </w:r>
          </w:p>
        </w:tc>
      </w:tr>
      <w:tr w:rsidR="004F06D1" w:rsidRPr="00064E44" w:rsidTr="004F06D1">
        <w:trPr>
          <w:trHeight w:val="20"/>
          <w:jc w:val="center"/>
        </w:trPr>
        <w:tc>
          <w:tcPr>
            <w:tcW w:w="2551" w:type="pct"/>
            <w:tcBorders>
              <w:top w:val="single" w:sz="8" w:space="0" w:color="auto"/>
              <w:left w:val="single" w:sz="8" w:space="0" w:color="auto"/>
              <w:bottom w:val="single" w:sz="8" w:space="0" w:color="auto"/>
              <w:right w:val="single" w:sz="8" w:space="0" w:color="000000"/>
            </w:tcBorders>
            <w:tcMar>
              <w:left w:w="115" w:type="dxa"/>
              <w:right w:w="115" w:type="dxa"/>
            </w:tcMar>
            <w:vAlign w:val="center"/>
          </w:tcPr>
          <w:p w:rsidR="004F06D1" w:rsidRPr="001D6512" w:rsidRDefault="004F06D1" w:rsidP="004F06D1">
            <w:pPr>
              <w:pStyle w:val="TableCell"/>
              <w:keepNext w:val="0"/>
              <w:spacing w:before="40" w:after="40" w:line="240" w:lineRule="auto"/>
              <w:rPr>
                <w:rFonts w:cs="Arial"/>
                <w:szCs w:val="18"/>
              </w:rPr>
            </w:pPr>
            <w:r w:rsidRPr="001D6512">
              <w:rPr>
                <w:rFonts w:cs="Arial"/>
                <w:szCs w:val="18"/>
              </w:rPr>
              <w:t>PTAC (cooling)</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4F06D1" w:rsidRPr="001D6512" w:rsidRDefault="004F06D1" w:rsidP="004F06D1">
            <w:pPr>
              <w:pStyle w:val="TableCell"/>
              <w:keepNext w:val="0"/>
              <w:spacing w:before="40" w:after="40" w:line="240" w:lineRule="auto"/>
              <w:rPr>
                <w:rFonts w:cs="Arial"/>
                <w:szCs w:val="18"/>
              </w:rPr>
            </w:pPr>
            <w:r w:rsidRPr="001D6512">
              <w:rPr>
                <w:rFonts w:cs="Arial"/>
                <w:szCs w:val="18"/>
              </w:rPr>
              <w:t>10.9 - (0.213 x Cap / 1000) EER</w:t>
            </w:r>
          </w:p>
        </w:tc>
        <w:tc>
          <w:tcPr>
            <w:tcW w:w="1224" w:type="pct"/>
            <w:tcBorders>
              <w:top w:val="single" w:sz="8" w:space="0" w:color="auto"/>
              <w:left w:val="nil"/>
              <w:bottom w:val="single" w:sz="8" w:space="0" w:color="auto"/>
              <w:right w:val="single" w:sz="8" w:space="0" w:color="auto"/>
            </w:tcBorders>
            <w:vAlign w:val="center"/>
          </w:tcPr>
          <w:p w:rsidR="004F06D1" w:rsidRPr="001D6512" w:rsidRDefault="004F06D1" w:rsidP="004F06D1">
            <w:pPr>
              <w:pStyle w:val="TableCell"/>
              <w:keepNext w:val="0"/>
              <w:spacing w:before="40" w:after="40" w:line="240" w:lineRule="auto"/>
              <w:rPr>
                <w:rFonts w:cs="Arial"/>
                <w:szCs w:val="18"/>
              </w:rPr>
            </w:pPr>
          </w:p>
        </w:tc>
      </w:tr>
      <w:tr w:rsidR="004F06D1" w:rsidRPr="00064E44" w:rsidTr="004F06D1">
        <w:trPr>
          <w:trHeight w:val="20"/>
          <w:jc w:val="center"/>
        </w:trPr>
        <w:tc>
          <w:tcPr>
            <w:tcW w:w="2551" w:type="pct"/>
            <w:tcBorders>
              <w:top w:val="single" w:sz="8" w:space="0" w:color="auto"/>
              <w:left w:val="single" w:sz="8" w:space="0" w:color="auto"/>
              <w:bottom w:val="single" w:sz="8" w:space="0" w:color="auto"/>
              <w:right w:val="single" w:sz="8" w:space="0" w:color="000000"/>
            </w:tcBorders>
            <w:tcMar>
              <w:left w:w="115" w:type="dxa"/>
              <w:right w:w="115" w:type="dxa"/>
            </w:tcMar>
            <w:vAlign w:val="center"/>
          </w:tcPr>
          <w:p w:rsidR="004F06D1" w:rsidRPr="001D6512" w:rsidRDefault="004F06D1" w:rsidP="004F06D1">
            <w:pPr>
              <w:pStyle w:val="TableCell"/>
              <w:keepNext w:val="0"/>
              <w:spacing w:before="40" w:after="40" w:line="240" w:lineRule="auto"/>
              <w:rPr>
                <w:rFonts w:cs="Arial"/>
                <w:szCs w:val="18"/>
              </w:rPr>
            </w:pPr>
            <w:r w:rsidRPr="001D6512">
              <w:rPr>
                <w:rFonts w:cs="Arial"/>
                <w:szCs w:val="18"/>
              </w:rPr>
              <w:t xml:space="preserve">PTHP </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4F06D1" w:rsidRPr="001D6512" w:rsidRDefault="004F06D1" w:rsidP="004F06D1">
            <w:pPr>
              <w:pStyle w:val="TableCell"/>
              <w:keepNext w:val="0"/>
              <w:spacing w:before="40" w:after="40" w:line="240" w:lineRule="auto"/>
              <w:rPr>
                <w:rFonts w:cs="Arial"/>
                <w:szCs w:val="18"/>
              </w:rPr>
            </w:pPr>
            <w:r w:rsidRPr="001D6512">
              <w:rPr>
                <w:rFonts w:cs="Arial"/>
                <w:szCs w:val="18"/>
              </w:rPr>
              <w:t>10.8 - (0.213 x Cap / 1000) EER</w:t>
            </w:r>
          </w:p>
        </w:tc>
        <w:tc>
          <w:tcPr>
            <w:tcW w:w="1224" w:type="pct"/>
            <w:tcBorders>
              <w:top w:val="single" w:sz="8" w:space="0" w:color="auto"/>
              <w:left w:val="nil"/>
              <w:bottom w:val="single" w:sz="8" w:space="0" w:color="auto"/>
              <w:right w:val="single" w:sz="8" w:space="0" w:color="auto"/>
            </w:tcBorders>
            <w:vAlign w:val="center"/>
          </w:tcPr>
          <w:p w:rsidR="004F06D1" w:rsidRPr="001D6512" w:rsidRDefault="004F06D1" w:rsidP="004F06D1">
            <w:pPr>
              <w:pStyle w:val="TableCell"/>
              <w:keepNext w:val="0"/>
              <w:spacing w:before="40" w:after="40" w:line="240" w:lineRule="auto"/>
              <w:rPr>
                <w:rFonts w:cs="Arial"/>
                <w:szCs w:val="18"/>
              </w:rPr>
            </w:pPr>
            <w:r w:rsidRPr="001D6512">
              <w:rPr>
                <w:rFonts w:cs="Arial"/>
                <w:szCs w:val="18"/>
              </w:rPr>
              <w:t>2.9 - (0.026 x Cap / 1000) COP</w:t>
            </w:r>
          </w:p>
        </w:tc>
      </w:tr>
      <w:tr w:rsidR="004F06D1" w:rsidRPr="00064E44" w:rsidTr="004F06D1">
        <w:trPr>
          <w:trHeight w:val="20"/>
          <w:jc w:val="center"/>
        </w:trPr>
        <w:tc>
          <w:tcPr>
            <w:tcW w:w="5000" w:type="pct"/>
            <w:gridSpan w:val="3"/>
            <w:tcBorders>
              <w:top w:val="single" w:sz="8" w:space="0" w:color="auto"/>
              <w:left w:val="single" w:sz="8" w:space="0" w:color="auto"/>
              <w:bottom w:val="single" w:sz="8" w:space="0" w:color="auto"/>
              <w:right w:val="single" w:sz="8" w:space="0" w:color="auto"/>
            </w:tcBorders>
            <w:shd w:val="clear" w:color="000000" w:fill="D8D8D8"/>
            <w:tcMar>
              <w:left w:w="115" w:type="dxa"/>
              <w:right w:w="115" w:type="dxa"/>
            </w:tcMar>
            <w:vAlign w:val="center"/>
          </w:tcPr>
          <w:p w:rsidR="004F06D1" w:rsidRPr="001D6512" w:rsidRDefault="004F06D1" w:rsidP="004F06D1">
            <w:pPr>
              <w:pStyle w:val="TableCell"/>
              <w:keepNext w:val="0"/>
              <w:spacing w:before="40" w:after="40" w:line="240" w:lineRule="auto"/>
              <w:rPr>
                <w:rFonts w:cs="Arial"/>
                <w:szCs w:val="18"/>
              </w:rPr>
            </w:pPr>
            <w:r w:rsidRPr="001D6512">
              <w:rPr>
                <w:rFonts w:cs="Arial"/>
                <w:szCs w:val="18"/>
              </w:rPr>
              <w:t>Packaged Terminal Systems (New Construction)</w:t>
            </w:r>
          </w:p>
        </w:tc>
      </w:tr>
      <w:tr w:rsidR="004F06D1" w:rsidRPr="00064E44" w:rsidTr="004F06D1">
        <w:trPr>
          <w:trHeight w:val="20"/>
          <w:jc w:val="center"/>
        </w:trPr>
        <w:tc>
          <w:tcPr>
            <w:tcW w:w="2551" w:type="pct"/>
            <w:tcBorders>
              <w:top w:val="single" w:sz="8" w:space="0" w:color="auto"/>
              <w:left w:val="single" w:sz="8" w:space="0" w:color="auto"/>
              <w:bottom w:val="single" w:sz="8" w:space="0" w:color="auto"/>
              <w:right w:val="single" w:sz="8" w:space="0" w:color="000000"/>
            </w:tcBorders>
            <w:tcMar>
              <w:left w:w="115" w:type="dxa"/>
              <w:right w:w="115" w:type="dxa"/>
            </w:tcMar>
            <w:vAlign w:val="center"/>
          </w:tcPr>
          <w:p w:rsidR="004F06D1" w:rsidRPr="001D6512" w:rsidRDefault="004F06D1" w:rsidP="004F06D1">
            <w:pPr>
              <w:pStyle w:val="TableCell"/>
              <w:keepNext w:val="0"/>
              <w:spacing w:before="40" w:after="40" w:line="240" w:lineRule="auto"/>
              <w:rPr>
                <w:rFonts w:cs="Arial"/>
                <w:szCs w:val="18"/>
              </w:rPr>
            </w:pPr>
            <w:r w:rsidRPr="001D6512">
              <w:rPr>
                <w:rFonts w:cs="Arial"/>
                <w:szCs w:val="18"/>
              </w:rPr>
              <w:t>PTAC (cooling)</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4F06D1" w:rsidRPr="002E1D01" w:rsidRDefault="004F06D1" w:rsidP="004F06D1">
            <w:pPr>
              <w:overflowPunct/>
              <w:spacing w:before="40" w:after="40" w:line="240" w:lineRule="auto"/>
              <w:textAlignment w:val="auto"/>
            </w:pPr>
            <w:r w:rsidRPr="002E1D01">
              <w:rPr>
                <w:rFonts w:cs="Arial"/>
                <w:sz w:val="18"/>
                <w:szCs w:val="18"/>
              </w:rPr>
              <w:t>12.5 - (0.213 x</w:t>
            </w:r>
            <w:r>
              <w:rPr>
                <w:rFonts w:cs="Arial"/>
                <w:sz w:val="18"/>
                <w:szCs w:val="18"/>
              </w:rPr>
              <w:t xml:space="preserve"> </w:t>
            </w:r>
            <w:r w:rsidRPr="002E1D01">
              <w:rPr>
                <w:rFonts w:cs="Arial"/>
                <w:sz w:val="18"/>
                <w:szCs w:val="18"/>
              </w:rPr>
              <w:t>Cap / 1000)</w:t>
            </w:r>
            <w:r>
              <w:rPr>
                <w:rFonts w:cs="Arial"/>
                <w:sz w:val="18"/>
                <w:szCs w:val="18"/>
              </w:rPr>
              <w:t xml:space="preserve"> </w:t>
            </w:r>
            <w:r w:rsidRPr="00A41BC2">
              <w:rPr>
                <w:sz w:val="18"/>
                <w:szCs w:val="18"/>
              </w:rPr>
              <w:t>EER</w:t>
            </w:r>
          </w:p>
        </w:tc>
        <w:tc>
          <w:tcPr>
            <w:tcW w:w="1224" w:type="pct"/>
            <w:tcBorders>
              <w:top w:val="single" w:sz="8" w:space="0" w:color="auto"/>
              <w:left w:val="nil"/>
              <w:bottom w:val="single" w:sz="8" w:space="0" w:color="auto"/>
              <w:right w:val="single" w:sz="8" w:space="0" w:color="auto"/>
            </w:tcBorders>
            <w:vAlign w:val="center"/>
          </w:tcPr>
          <w:p w:rsidR="004F06D1" w:rsidRPr="001D6512" w:rsidRDefault="004F06D1" w:rsidP="004F06D1">
            <w:pPr>
              <w:pStyle w:val="TableCell"/>
              <w:keepNext w:val="0"/>
              <w:spacing w:before="40" w:after="40" w:line="240" w:lineRule="auto"/>
              <w:rPr>
                <w:rFonts w:cs="Arial"/>
                <w:szCs w:val="18"/>
              </w:rPr>
            </w:pPr>
          </w:p>
        </w:tc>
      </w:tr>
      <w:tr w:rsidR="004F06D1" w:rsidRPr="00064E44" w:rsidTr="004F06D1">
        <w:trPr>
          <w:trHeight w:val="20"/>
          <w:jc w:val="center"/>
        </w:trPr>
        <w:tc>
          <w:tcPr>
            <w:tcW w:w="2551" w:type="pct"/>
            <w:tcBorders>
              <w:top w:val="single" w:sz="8" w:space="0" w:color="auto"/>
              <w:left w:val="single" w:sz="8" w:space="0" w:color="auto"/>
              <w:bottom w:val="single" w:sz="8" w:space="0" w:color="auto"/>
              <w:right w:val="single" w:sz="8" w:space="0" w:color="000000"/>
            </w:tcBorders>
            <w:tcMar>
              <w:left w:w="115" w:type="dxa"/>
              <w:right w:w="115" w:type="dxa"/>
            </w:tcMar>
            <w:vAlign w:val="center"/>
          </w:tcPr>
          <w:p w:rsidR="004F06D1" w:rsidRPr="001D6512" w:rsidRDefault="004F06D1" w:rsidP="004F06D1">
            <w:pPr>
              <w:pStyle w:val="TableCell"/>
              <w:keepNext w:val="0"/>
              <w:spacing w:before="40" w:after="40" w:line="240" w:lineRule="auto"/>
              <w:rPr>
                <w:rFonts w:cs="Arial"/>
                <w:szCs w:val="18"/>
              </w:rPr>
            </w:pPr>
            <w:r w:rsidRPr="001D6512">
              <w:rPr>
                <w:rFonts w:cs="Arial"/>
                <w:szCs w:val="18"/>
              </w:rPr>
              <w:t xml:space="preserve">PTHP </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4F06D1" w:rsidRPr="00A41BC2" w:rsidRDefault="004F06D1" w:rsidP="004F06D1">
            <w:pPr>
              <w:overflowPunct/>
              <w:spacing w:before="40" w:after="40" w:line="240" w:lineRule="auto"/>
              <w:textAlignment w:val="auto"/>
              <w:rPr>
                <w:sz w:val="18"/>
                <w:szCs w:val="18"/>
              </w:rPr>
            </w:pPr>
            <w:r w:rsidRPr="00A41BC2">
              <w:rPr>
                <w:rFonts w:cs="Arial"/>
                <w:sz w:val="18"/>
                <w:szCs w:val="18"/>
              </w:rPr>
              <w:t xml:space="preserve">12.3 - (0.213 x Cap / 1000) </w:t>
            </w:r>
            <w:r w:rsidRPr="00A41BC2">
              <w:rPr>
                <w:sz w:val="18"/>
                <w:szCs w:val="18"/>
              </w:rPr>
              <w:t>EER</w:t>
            </w:r>
          </w:p>
        </w:tc>
        <w:tc>
          <w:tcPr>
            <w:tcW w:w="1224" w:type="pct"/>
            <w:tcBorders>
              <w:top w:val="single" w:sz="8" w:space="0" w:color="auto"/>
              <w:left w:val="nil"/>
              <w:bottom w:val="single" w:sz="8" w:space="0" w:color="auto"/>
              <w:right w:val="single" w:sz="8" w:space="0" w:color="auto"/>
            </w:tcBorders>
            <w:vAlign w:val="center"/>
          </w:tcPr>
          <w:p w:rsidR="004F06D1" w:rsidRPr="00A41BC2" w:rsidRDefault="004F06D1" w:rsidP="004F06D1">
            <w:pPr>
              <w:overflowPunct/>
              <w:spacing w:before="40" w:after="40" w:line="240" w:lineRule="auto"/>
              <w:textAlignment w:val="auto"/>
              <w:rPr>
                <w:sz w:val="18"/>
                <w:szCs w:val="18"/>
              </w:rPr>
            </w:pPr>
            <w:r w:rsidRPr="00A41BC2">
              <w:rPr>
                <w:rFonts w:cs="Arial"/>
                <w:sz w:val="18"/>
                <w:szCs w:val="18"/>
              </w:rPr>
              <w:t xml:space="preserve">3.2 - (0.026 x Cap / 1000) </w:t>
            </w:r>
            <w:r w:rsidRPr="00A41BC2">
              <w:rPr>
                <w:sz w:val="18"/>
                <w:szCs w:val="18"/>
              </w:rPr>
              <w:t>COP</w:t>
            </w:r>
          </w:p>
        </w:tc>
      </w:tr>
    </w:tbl>
    <w:p w:rsidR="004F06D1" w:rsidRPr="00DD12EF" w:rsidRDefault="004F06D1" w:rsidP="004F06D1">
      <w:pPr>
        <w:pStyle w:val="ListParagraph"/>
        <w:rPr>
          <w:sz w:val="18"/>
          <w:szCs w:val="18"/>
        </w:rPr>
      </w:pPr>
    </w:p>
    <w:p w:rsidR="004F06D1" w:rsidRDefault="004F06D1" w:rsidP="004F06D1">
      <w:pPr>
        <w:pStyle w:val="Heading3"/>
        <w:spacing w:before="120"/>
        <w:ind w:left="900" w:hanging="900"/>
      </w:pPr>
      <w:r>
        <w:t>Measure Life</w:t>
      </w:r>
    </w:p>
    <w:p w:rsidR="004F06D1" w:rsidRDefault="004F06D1" w:rsidP="004F06D1">
      <w:r>
        <w:t xml:space="preserve">The expected measure life is assumed to be </w:t>
      </w:r>
      <w:r w:rsidRPr="006467DD">
        <w:t>15 years.</w:t>
      </w:r>
      <w:r w:rsidRPr="003E60A5">
        <w:rPr>
          <w:rStyle w:val="FootnoteReference"/>
          <w:szCs w:val="22"/>
        </w:rPr>
        <w:footnoteReference w:id="195"/>
      </w:r>
    </w:p>
    <w:p w:rsidR="004F06D1" w:rsidRPr="003C07C5" w:rsidRDefault="004F06D1" w:rsidP="004F06D1">
      <w:pPr>
        <w:pStyle w:val="Heading3"/>
        <w:spacing w:before="120"/>
        <w:ind w:left="900" w:hanging="900"/>
      </w:pPr>
      <w:r w:rsidRPr="003C07C5">
        <w:t>Evaluation Protocols</w:t>
      </w:r>
    </w:p>
    <w:p w:rsidR="004F06D1" w:rsidRDefault="004F06D1" w:rsidP="004F06D1">
      <w:pPr>
        <w:pStyle w:val="BodyText"/>
      </w:pPr>
      <w:r w:rsidRPr="003C07C5">
        <w:t xml:space="preserve">The most appropriate evaluation protocol for this measure is verification of installation coupled with assignment of stipulated energy savings. </w:t>
      </w:r>
    </w:p>
    <w:p w:rsidR="00412363" w:rsidRDefault="00412363" w:rsidP="00412363"/>
    <w:p w:rsidR="00412363" w:rsidRPr="00412363" w:rsidRDefault="00412363" w:rsidP="00412363"/>
    <w:p w:rsidR="0039108A" w:rsidRDefault="00412363" w:rsidP="0039108A">
      <w:pPr>
        <w:pStyle w:val="Heading2"/>
      </w:pPr>
      <w:r>
        <w:br w:type="page"/>
      </w:r>
      <w:bookmarkStart w:id="989" w:name="_Toc310875458"/>
      <w:r w:rsidR="0039108A">
        <w:t>Ductless Mini-Split Heat Pumps – Commercial &lt; 5.4 tons</w:t>
      </w:r>
      <w:bookmarkEnd w:id="989"/>
    </w:p>
    <w:tbl>
      <w:tblPr>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0A0" w:firstRow="1" w:lastRow="0" w:firstColumn="1" w:lastColumn="0" w:noHBand="0" w:noVBand="0"/>
      </w:tblPr>
      <w:tblGrid>
        <w:gridCol w:w="2898"/>
        <w:gridCol w:w="5958"/>
      </w:tblGrid>
      <w:tr w:rsidR="0039108A" w:rsidRPr="000A55E4" w:rsidTr="0039108A">
        <w:tc>
          <w:tcPr>
            <w:tcW w:w="2898" w:type="dxa"/>
            <w:shd w:val="clear" w:color="auto" w:fill="BFBFBF"/>
          </w:tcPr>
          <w:p w:rsidR="0039108A" w:rsidRPr="001D6512" w:rsidRDefault="0039108A" w:rsidP="0039108A">
            <w:pPr>
              <w:pStyle w:val="TableCell"/>
              <w:spacing w:before="60" w:after="60"/>
              <w:rPr>
                <w:b/>
                <w:bCs/>
              </w:rPr>
            </w:pPr>
            <w:r w:rsidRPr="001D6512">
              <w:rPr>
                <w:b/>
                <w:bCs/>
              </w:rPr>
              <w:t>Measure Name</w:t>
            </w:r>
          </w:p>
        </w:tc>
        <w:tc>
          <w:tcPr>
            <w:tcW w:w="5958" w:type="dxa"/>
            <w:shd w:val="clear" w:color="auto" w:fill="BFBFBF"/>
          </w:tcPr>
          <w:p w:rsidR="0039108A" w:rsidRPr="001D6512" w:rsidRDefault="0039108A" w:rsidP="0039108A">
            <w:pPr>
              <w:pStyle w:val="TableCell"/>
              <w:spacing w:before="60" w:after="60"/>
              <w:rPr>
                <w:b/>
                <w:bCs/>
              </w:rPr>
            </w:pPr>
            <w:r w:rsidRPr="001D6512">
              <w:rPr>
                <w:b/>
                <w:bCs/>
              </w:rPr>
              <w:t>Ductless Heat Pumps</w:t>
            </w:r>
          </w:p>
        </w:tc>
      </w:tr>
      <w:tr w:rsidR="0039108A" w:rsidRPr="000A55E4" w:rsidTr="0039108A">
        <w:tc>
          <w:tcPr>
            <w:tcW w:w="2898" w:type="dxa"/>
            <w:shd w:val="clear" w:color="auto" w:fill="FFFFFF"/>
          </w:tcPr>
          <w:p w:rsidR="0039108A" w:rsidRPr="001D6512" w:rsidRDefault="0039108A" w:rsidP="0039108A">
            <w:pPr>
              <w:pStyle w:val="TableCell"/>
              <w:spacing w:before="60" w:after="60"/>
              <w:rPr>
                <w:b/>
                <w:bCs/>
                <w:color w:val="000000"/>
              </w:rPr>
            </w:pPr>
            <w:r w:rsidRPr="001D6512">
              <w:rPr>
                <w:bCs/>
                <w:color w:val="000000"/>
              </w:rPr>
              <w:t>Target Sector</w:t>
            </w:r>
          </w:p>
        </w:tc>
        <w:tc>
          <w:tcPr>
            <w:tcW w:w="5958" w:type="dxa"/>
            <w:shd w:val="clear" w:color="auto" w:fill="FFFFFF"/>
          </w:tcPr>
          <w:p w:rsidR="0039108A" w:rsidRPr="001D6512" w:rsidRDefault="0039108A" w:rsidP="0039108A">
            <w:pPr>
              <w:pStyle w:val="TableCell"/>
              <w:spacing w:before="60" w:after="60"/>
              <w:rPr>
                <w:color w:val="000000"/>
              </w:rPr>
            </w:pPr>
            <w:r w:rsidRPr="001D6512">
              <w:rPr>
                <w:color w:val="000000"/>
              </w:rPr>
              <w:t>Commercial (non-residential) Establishments</w:t>
            </w:r>
          </w:p>
        </w:tc>
      </w:tr>
      <w:tr w:rsidR="0039108A" w:rsidRPr="000A55E4" w:rsidTr="0039108A">
        <w:tc>
          <w:tcPr>
            <w:tcW w:w="2898" w:type="dxa"/>
          </w:tcPr>
          <w:p w:rsidR="0039108A" w:rsidRPr="001D6512" w:rsidRDefault="0039108A" w:rsidP="0039108A">
            <w:pPr>
              <w:pStyle w:val="TableCell"/>
              <w:spacing w:before="60" w:after="60"/>
              <w:rPr>
                <w:b/>
                <w:bCs/>
                <w:color w:val="000000"/>
              </w:rPr>
            </w:pPr>
            <w:r w:rsidRPr="001D6512">
              <w:rPr>
                <w:bCs/>
                <w:color w:val="000000"/>
              </w:rPr>
              <w:t>Measure Unit</w:t>
            </w:r>
          </w:p>
        </w:tc>
        <w:tc>
          <w:tcPr>
            <w:tcW w:w="5958" w:type="dxa"/>
          </w:tcPr>
          <w:p w:rsidR="0039108A" w:rsidRPr="001D6512" w:rsidRDefault="0039108A" w:rsidP="0039108A">
            <w:pPr>
              <w:pStyle w:val="TableCell"/>
              <w:spacing w:before="60" w:after="60"/>
              <w:rPr>
                <w:color w:val="000000"/>
              </w:rPr>
            </w:pPr>
            <w:r w:rsidRPr="001D6512">
              <w:rPr>
                <w:color w:val="000000"/>
              </w:rPr>
              <w:t>Ductless Heat Pumps</w:t>
            </w:r>
          </w:p>
        </w:tc>
      </w:tr>
      <w:tr w:rsidR="0039108A" w:rsidRPr="000A55E4" w:rsidTr="0039108A">
        <w:tc>
          <w:tcPr>
            <w:tcW w:w="2898" w:type="dxa"/>
            <w:shd w:val="clear" w:color="auto" w:fill="FFFFFF"/>
          </w:tcPr>
          <w:p w:rsidR="0039108A" w:rsidRPr="001D6512" w:rsidRDefault="0039108A" w:rsidP="0039108A">
            <w:pPr>
              <w:pStyle w:val="TableCell"/>
              <w:spacing w:before="60" w:after="60"/>
              <w:rPr>
                <w:b/>
                <w:bCs/>
                <w:color w:val="000000"/>
              </w:rPr>
            </w:pPr>
            <w:r w:rsidRPr="001D6512">
              <w:rPr>
                <w:bCs/>
                <w:color w:val="000000"/>
              </w:rPr>
              <w:t>Unit Energy Savings</w:t>
            </w:r>
          </w:p>
        </w:tc>
        <w:tc>
          <w:tcPr>
            <w:tcW w:w="5958" w:type="dxa"/>
            <w:shd w:val="clear" w:color="auto" w:fill="FFFFFF"/>
          </w:tcPr>
          <w:p w:rsidR="0039108A" w:rsidRPr="001D6512" w:rsidRDefault="0039108A" w:rsidP="0039108A">
            <w:pPr>
              <w:pStyle w:val="TableCell"/>
              <w:spacing w:before="60" w:after="60"/>
              <w:rPr>
                <w:color w:val="000000"/>
              </w:rPr>
            </w:pPr>
            <w:r w:rsidRPr="001D6512">
              <w:rPr>
                <w:color w:val="000000"/>
              </w:rPr>
              <w:t>Variable based on efficiency of systems</w:t>
            </w:r>
          </w:p>
        </w:tc>
      </w:tr>
      <w:tr w:rsidR="0039108A" w:rsidRPr="000A55E4" w:rsidTr="0039108A">
        <w:tc>
          <w:tcPr>
            <w:tcW w:w="2898" w:type="dxa"/>
          </w:tcPr>
          <w:p w:rsidR="0039108A" w:rsidRPr="001D6512" w:rsidRDefault="0039108A" w:rsidP="0039108A">
            <w:pPr>
              <w:pStyle w:val="TableCell"/>
              <w:spacing w:before="60" w:after="60"/>
              <w:rPr>
                <w:b/>
                <w:bCs/>
                <w:color w:val="000000"/>
              </w:rPr>
            </w:pPr>
            <w:smartTag w:uri="urn:schemas-microsoft-com:office:smarttags" w:element="PlaceName">
              <w:smartTag w:uri="urn:schemas-microsoft-com:office:smarttags" w:element="place">
                <w:r w:rsidRPr="001D6512">
                  <w:rPr>
                    <w:bCs/>
                    <w:color w:val="000000"/>
                  </w:rPr>
                  <w:t>Unit</w:t>
                </w:r>
              </w:smartTag>
              <w:r w:rsidRPr="001D6512">
                <w:rPr>
                  <w:bCs/>
                  <w:color w:val="000000"/>
                </w:rPr>
                <w:t xml:space="preserve"> </w:t>
              </w:r>
              <w:smartTag w:uri="urn:schemas-microsoft-com:office:smarttags" w:element="PlaceType">
                <w:r w:rsidRPr="001D6512">
                  <w:rPr>
                    <w:bCs/>
                    <w:color w:val="000000"/>
                  </w:rPr>
                  <w:t>Peak</w:t>
                </w:r>
              </w:smartTag>
            </w:smartTag>
            <w:r w:rsidRPr="001D6512">
              <w:rPr>
                <w:bCs/>
                <w:color w:val="000000"/>
              </w:rPr>
              <w:t xml:space="preserve"> Demand Reduction</w:t>
            </w:r>
          </w:p>
        </w:tc>
        <w:tc>
          <w:tcPr>
            <w:tcW w:w="5958" w:type="dxa"/>
          </w:tcPr>
          <w:p w:rsidR="0039108A" w:rsidRPr="001D6512" w:rsidRDefault="0039108A" w:rsidP="0039108A">
            <w:pPr>
              <w:pStyle w:val="TableCell"/>
              <w:spacing w:before="60" w:after="60"/>
              <w:rPr>
                <w:color w:val="000000"/>
              </w:rPr>
            </w:pPr>
            <w:r w:rsidRPr="001D6512">
              <w:rPr>
                <w:color w:val="000000"/>
              </w:rPr>
              <w:t>Variable based on efficiency of systems</w:t>
            </w:r>
          </w:p>
        </w:tc>
      </w:tr>
      <w:tr w:rsidR="0039108A" w:rsidRPr="000A55E4" w:rsidTr="0039108A">
        <w:tc>
          <w:tcPr>
            <w:tcW w:w="2898" w:type="dxa"/>
            <w:shd w:val="clear" w:color="auto" w:fill="FFFFFF"/>
          </w:tcPr>
          <w:p w:rsidR="0039108A" w:rsidRPr="001D6512" w:rsidRDefault="0039108A" w:rsidP="0039108A">
            <w:pPr>
              <w:pStyle w:val="TableCell"/>
              <w:spacing w:before="60" w:after="60"/>
              <w:rPr>
                <w:b/>
                <w:bCs/>
                <w:color w:val="000000"/>
              </w:rPr>
            </w:pPr>
            <w:r w:rsidRPr="001D6512">
              <w:rPr>
                <w:bCs/>
                <w:color w:val="000000"/>
              </w:rPr>
              <w:t>Measure Life</w:t>
            </w:r>
          </w:p>
        </w:tc>
        <w:tc>
          <w:tcPr>
            <w:tcW w:w="5958" w:type="dxa"/>
            <w:shd w:val="clear" w:color="auto" w:fill="FFFFFF"/>
          </w:tcPr>
          <w:p w:rsidR="0039108A" w:rsidRPr="001D6512" w:rsidRDefault="0039108A" w:rsidP="0039108A">
            <w:pPr>
              <w:pStyle w:val="TableCell"/>
              <w:spacing w:before="60" w:after="60"/>
              <w:rPr>
                <w:color w:val="000000"/>
              </w:rPr>
            </w:pPr>
            <w:r w:rsidRPr="001D6512">
              <w:rPr>
                <w:color w:val="000000"/>
              </w:rPr>
              <w:t xml:space="preserve">15 </w:t>
            </w:r>
          </w:p>
        </w:tc>
      </w:tr>
    </w:tbl>
    <w:p w:rsidR="0039108A" w:rsidRPr="005F63C6" w:rsidRDefault="0039108A" w:rsidP="0039108A">
      <w:pPr>
        <w:spacing w:after="0"/>
      </w:pPr>
    </w:p>
    <w:p w:rsidR="0039108A" w:rsidRPr="001D75B9" w:rsidRDefault="0039108A" w:rsidP="0039108A">
      <w:pPr>
        <w:pStyle w:val="BodyText"/>
      </w:pPr>
      <w:r>
        <w:t xml:space="preserve">ENERGY STAR ductless “mini-split” heat pumps (DHP) utilize high efficiency SEER/EER and HSPF energy performance factors of 14.5/12 and 8.2, respectively, or greater. This technology typically converts an electric resistance heated space into a space heated/cooled with a single or multi-zonal ductless heat pump system. </w:t>
      </w:r>
    </w:p>
    <w:p w:rsidR="0039108A" w:rsidRPr="00C465DB" w:rsidRDefault="0039108A" w:rsidP="00871FA2">
      <w:pPr>
        <w:pStyle w:val="Heading3"/>
      </w:pPr>
      <w:r>
        <w:t>Eligibility</w:t>
      </w:r>
    </w:p>
    <w:p w:rsidR="0039108A" w:rsidRPr="00E16867" w:rsidRDefault="0039108A" w:rsidP="0039108A">
      <w:pPr>
        <w:pStyle w:val="BodyText"/>
      </w:pPr>
      <w:r w:rsidRPr="00837206">
        <w:t xml:space="preserve">This </w:t>
      </w:r>
      <w:r>
        <w:t>protocol</w:t>
      </w:r>
      <w:r w:rsidRPr="00837206">
        <w:t xml:space="preserve"> documents the energy savings attributed to </w:t>
      </w:r>
      <w:r>
        <w:t xml:space="preserve">ENERGY </w:t>
      </w:r>
      <w:smartTag w:uri="urn:schemas-microsoft-com:office:smarttags" w:element="stockticker">
        <w:r>
          <w:t>STAR</w:t>
        </w:r>
      </w:smartTag>
      <w:r>
        <w:t xml:space="preserve"> ductless mini-split heat pumps</w:t>
      </w:r>
      <w:r w:rsidRPr="00837206">
        <w:t xml:space="preserve"> with </w:t>
      </w:r>
      <w:r>
        <w:t>energy-efficiency performance of 14.5</w:t>
      </w:r>
      <w:r w:rsidRPr="007C4C3C">
        <w:t>/12 SEER/EER and 8.2 HSPF or</w:t>
      </w:r>
      <w:r w:rsidRPr="00837206">
        <w:t xml:space="preserve"> greater</w:t>
      </w:r>
      <w:r>
        <w:t xml:space="preserve"> with inverter technology.</w:t>
      </w:r>
      <w:r>
        <w:rPr>
          <w:rStyle w:val="FootnoteReference"/>
          <w:rFonts w:ascii="Times New Roman" w:hAnsi="Times New Roman"/>
          <w:szCs w:val="22"/>
        </w:rPr>
        <w:footnoteReference w:id="196"/>
      </w:r>
      <w:r w:rsidRPr="00837206">
        <w:t xml:space="preserve"> </w:t>
      </w:r>
      <w:r>
        <w:t xml:space="preserve"> </w:t>
      </w:r>
      <w:r w:rsidRPr="00E16867">
        <w:t xml:space="preserve">The </w:t>
      </w:r>
      <w:r>
        <w:t>baseline heating system could be an existing electric resistance, a lower-efficiency ductless heat pump system, a ducted heat pump, packaged terminal heat pump (PTHP), electric furnace, or a non-electric fuel-based system. The baseline cooling system could be a standard efficiency heat pump system, central air conditioning system, packaged terminal air conditioner (</w:t>
      </w:r>
      <w:smartTag w:uri="urn:schemas-microsoft-com:office:smarttags" w:element="stockticker">
        <w:r>
          <w:t>PTAC</w:t>
        </w:r>
      </w:smartTag>
      <w:r>
        <w:t>), or room air conditioner. The DHP could be a new device in an existing space, a new device in a new space, or could replace an existing heating/cooling device.  The DHP systems could be installed as a single-zone system (one indoor unit, one outdoor unit) or a multi-zone system (multiple indoor units, one outdoor unit).</w:t>
      </w:r>
    </w:p>
    <w:p w:rsidR="0039108A" w:rsidRPr="006F488A" w:rsidRDefault="0039108A" w:rsidP="00871FA2">
      <w:pPr>
        <w:pStyle w:val="Heading3"/>
      </w:pPr>
      <w:r>
        <w:t>Algorithms</w:t>
      </w:r>
    </w:p>
    <w:p w:rsidR="0039108A" w:rsidRDefault="0039108A" w:rsidP="0039108A">
      <w:pPr>
        <w:pStyle w:val="BodyText"/>
      </w:pPr>
      <w:r w:rsidRPr="00E16867">
        <w:t>The savings depend on</w:t>
      </w:r>
      <w:r>
        <w:t xml:space="preserve"> three main factors: baseline condition, usage, and the capacity of the indoor unit. </w:t>
      </w:r>
    </w:p>
    <w:p w:rsidR="0039108A" w:rsidRDefault="0039108A" w:rsidP="0039108A">
      <w:pPr>
        <w:pStyle w:val="BodyText"/>
      </w:pPr>
      <w:r>
        <w:t>The algorithm is separated into two calculations: single zone and multi-zone ductless heat pumps. The savings algorithm is as follows:</w:t>
      </w:r>
    </w:p>
    <w:p w:rsidR="0039108A" w:rsidRPr="00B72E70" w:rsidRDefault="0039108A" w:rsidP="0039108A">
      <w:pPr>
        <w:pStyle w:val="Heading4"/>
      </w:pPr>
      <w:r w:rsidRPr="00B72E70">
        <w:t>Single Zone:</w:t>
      </w:r>
    </w:p>
    <w:p w:rsidR="0039108A" w:rsidRDefault="0039108A" w:rsidP="0039108A">
      <w:pPr>
        <w:pStyle w:val="Equation"/>
        <w:rPr>
          <w:szCs w:val="24"/>
        </w:rPr>
      </w:pPr>
      <w:r>
        <w:sym w:font="Symbol" w:char="F044"/>
      </w:r>
      <w:r>
        <w:t>kWh</w:t>
      </w:r>
      <w:r>
        <w:tab/>
      </w:r>
      <w:r>
        <w:tab/>
        <w:t xml:space="preserve">= </w:t>
      </w:r>
      <w:r>
        <w:sym w:font="Symbol" w:char="F044"/>
      </w:r>
      <w:r>
        <w:t>kWh</w:t>
      </w:r>
      <w:r w:rsidRPr="00675C56">
        <w:rPr>
          <w:vertAlign w:val="subscript"/>
        </w:rPr>
        <w:t>cool</w:t>
      </w:r>
      <w:r>
        <w:t xml:space="preserve"> + </w:t>
      </w:r>
      <w:r>
        <w:sym w:font="Symbol" w:char="F044"/>
      </w:r>
      <w:r>
        <w:t>kWh</w:t>
      </w:r>
      <w:r w:rsidRPr="00675C56">
        <w:rPr>
          <w:vertAlign w:val="subscript"/>
        </w:rPr>
        <w:t>heat</w:t>
      </w:r>
    </w:p>
    <w:p w:rsidR="0039108A" w:rsidRDefault="0039108A" w:rsidP="0039108A">
      <w:pPr>
        <w:pStyle w:val="Equation"/>
      </w:pPr>
      <w:r>
        <w:sym w:font="Symbol" w:char="F044"/>
      </w:r>
      <w:r>
        <w:t>kWh</w:t>
      </w:r>
      <w:r>
        <w:rPr>
          <w:vertAlign w:val="subscript"/>
        </w:rPr>
        <w:t>heat</w:t>
      </w:r>
      <w:r>
        <w:tab/>
        <w:t xml:space="preserve">= </w:t>
      </w:r>
      <w:r w:rsidRPr="00C4260B">
        <w:t>CAPY</w:t>
      </w:r>
      <w:r>
        <w:rPr>
          <w:vertAlign w:val="subscript"/>
        </w:rPr>
        <w:t>heat</w:t>
      </w:r>
      <w:r w:rsidRPr="007A6429">
        <w:t xml:space="preserve"> </w:t>
      </w:r>
      <w:r w:rsidRPr="00C4260B">
        <w:t>/</w:t>
      </w:r>
      <w:r>
        <w:t xml:space="preserve"> </w:t>
      </w:r>
      <w:r w:rsidRPr="00C4260B">
        <w:t xml:space="preserve">1000 X </w:t>
      </w:r>
      <w:r>
        <w:t>(1/COP</w:t>
      </w:r>
      <w:r w:rsidRPr="00523EDE">
        <w:rPr>
          <w:vertAlign w:val="subscript"/>
        </w:rPr>
        <w:t>b</w:t>
      </w:r>
      <w:r>
        <w:t xml:space="preserve">  - 1/COP</w:t>
      </w:r>
      <w:r w:rsidRPr="00523EDE">
        <w:rPr>
          <w:vertAlign w:val="subscript"/>
        </w:rPr>
        <w:t>e</w:t>
      </w:r>
      <w:r w:rsidRPr="00C4260B">
        <w:t xml:space="preserve"> ) </w:t>
      </w:r>
      <w:r>
        <w:t xml:space="preserve">/ 3.413 </w:t>
      </w:r>
      <w:r w:rsidRPr="00C4260B">
        <w:t>X EFLH</w:t>
      </w:r>
      <w:r w:rsidRPr="00523EDE">
        <w:rPr>
          <w:vertAlign w:val="subscript"/>
        </w:rPr>
        <w:t>heat</w:t>
      </w:r>
      <w:r>
        <w:t xml:space="preserve"> X LF</w:t>
      </w:r>
    </w:p>
    <w:p w:rsidR="0039108A" w:rsidRDefault="0039108A" w:rsidP="0039108A">
      <w:pPr>
        <w:pStyle w:val="Equation"/>
      </w:pPr>
      <w:r>
        <w:sym w:font="Symbol" w:char="F044"/>
      </w:r>
      <w:r>
        <w:t>kWh</w:t>
      </w:r>
      <w:r w:rsidRPr="00236446">
        <w:rPr>
          <w:vertAlign w:val="subscript"/>
        </w:rPr>
        <w:t>cool</w:t>
      </w:r>
      <w:r>
        <w:tab/>
        <w:t>= CAPY</w:t>
      </w:r>
      <w:r>
        <w:rPr>
          <w:vertAlign w:val="subscript"/>
        </w:rPr>
        <w:t>cool</w:t>
      </w:r>
      <w:r w:rsidRPr="007A6429">
        <w:t xml:space="preserve"> </w:t>
      </w:r>
      <w:r>
        <w:t>/ 1000 X (1/EER</w:t>
      </w:r>
      <w:r w:rsidRPr="00523EDE">
        <w:rPr>
          <w:vertAlign w:val="subscript"/>
        </w:rPr>
        <w:t>b</w:t>
      </w:r>
      <w:r>
        <w:t xml:space="preserve"> – 1/</w:t>
      </w:r>
      <w:r w:rsidRPr="00C4260B">
        <w:t>EER</w:t>
      </w:r>
      <w:r w:rsidRPr="00523EDE">
        <w:rPr>
          <w:vertAlign w:val="subscript"/>
        </w:rPr>
        <w:t>e</w:t>
      </w:r>
      <w:r w:rsidRPr="00C4260B">
        <w:t xml:space="preserve"> ) X EFLH</w:t>
      </w:r>
      <w:r w:rsidRPr="00523EDE">
        <w:rPr>
          <w:vertAlign w:val="subscript"/>
        </w:rPr>
        <w:t>cool</w:t>
      </w:r>
      <w:r>
        <w:t xml:space="preserve"> X LF</w:t>
      </w:r>
    </w:p>
    <w:p w:rsidR="0039108A" w:rsidRDefault="0039108A" w:rsidP="0039108A">
      <w:pPr>
        <w:pStyle w:val="Equation"/>
      </w:pPr>
      <w:r>
        <w:sym w:font="Symbol" w:char="F044"/>
      </w:r>
      <w:r>
        <w:t>kW</w:t>
      </w:r>
      <w:r w:rsidRPr="00675C56">
        <w:rPr>
          <w:vertAlign w:val="subscript"/>
        </w:rPr>
        <w:t>peak</w:t>
      </w:r>
      <w:r>
        <w:tab/>
      </w:r>
      <w:r>
        <w:tab/>
        <w:t>= CAPY</w:t>
      </w:r>
      <w:r>
        <w:rPr>
          <w:vertAlign w:val="subscript"/>
        </w:rPr>
        <w:t>cool</w:t>
      </w:r>
      <w:r>
        <w:t xml:space="preserve"> / 1000 X (1/EER</w:t>
      </w:r>
      <w:r w:rsidRPr="00523EDE">
        <w:rPr>
          <w:vertAlign w:val="subscript"/>
        </w:rPr>
        <w:t>b</w:t>
      </w:r>
      <w:r>
        <w:t xml:space="preserve"> – 1/EER</w:t>
      </w:r>
      <w:r w:rsidRPr="00523EDE">
        <w:rPr>
          <w:vertAlign w:val="subscript"/>
        </w:rPr>
        <w:t>e</w:t>
      </w:r>
      <w:r w:rsidRPr="00C4260B">
        <w:t xml:space="preserve"> ) X CF </w:t>
      </w:r>
    </w:p>
    <w:p w:rsidR="0039108A" w:rsidRPr="00B72E70" w:rsidRDefault="0039108A" w:rsidP="0039108A">
      <w:pPr>
        <w:pStyle w:val="Heading4"/>
      </w:pPr>
      <w:r w:rsidRPr="00B72E70">
        <w:t>Multi-Zone</w:t>
      </w:r>
      <w:r>
        <w:t>:</w:t>
      </w:r>
    </w:p>
    <w:p w:rsidR="0039108A" w:rsidRDefault="0039108A" w:rsidP="0039108A">
      <w:pPr>
        <w:pStyle w:val="Equation"/>
        <w:rPr>
          <w:szCs w:val="24"/>
        </w:rPr>
      </w:pPr>
      <w:r>
        <w:sym w:font="Symbol" w:char="F044"/>
      </w:r>
      <w:r>
        <w:t>kWh</w:t>
      </w:r>
      <w:r>
        <w:tab/>
      </w:r>
      <w:r>
        <w:tab/>
        <w:t xml:space="preserve">= </w:t>
      </w:r>
      <w:r>
        <w:sym w:font="Symbol" w:char="F044"/>
      </w:r>
      <w:r>
        <w:t>kWh</w:t>
      </w:r>
      <w:r w:rsidRPr="00675C56">
        <w:rPr>
          <w:vertAlign w:val="subscript"/>
        </w:rPr>
        <w:t>cool</w:t>
      </w:r>
      <w:r>
        <w:t xml:space="preserve"> + </w:t>
      </w:r>
      <w:r>
        <w:sym w:font="Symbol" w:char="F044"/>
      </w:r>
      <w:r>
        <w:t>kWh</w:t>
      </w:r>
      <w:r w:rsidRPr="00675C56">
        <w:rPr>
          <w:vertAlign w:val="subscript"/>
        </w:rPr>
        <w:t>heat</w:t>
      </w:r>
    </w:p>
    <w:p w:rsidR="0039108A" w:rsidRDefault="0039108A" w:rsidP="0039108A">
      <w:pPr>
        <w:pStyle w:val="Equation"/>
      </w:pPr>
      <w:r>
        <w:sym w:font="Symbol" w:char="F044"/>
      </w:r>
      <w:r>
        <w:t>kWh</w:t>
      </w:r>
      <w:r>
        <w:rPr>
          <w:vertAlign w:val="subscript"/>
        </w:rPr>
        <w:t>heat</w:t>
      </w:r>
      <w:r>
        <w:tab/>
        <w:t>= [</w:t>
      </w:r>
      <w:r w:rsidRPr="00C4260B">
        <w:t>CAPY</w:t>
      </w:r>
      <w:r>
        <w:rPr>
          <w:vertAlign w:val="subscript"/>
        </w:rPr>
        <w:t>heat</w:t>
      </w:r>
      <w:r>
        <w:t xml:space="preserve"> </w:t>
      </w:r>
      <w:r w:rsidRPr="00C4260B">
        <w:t>/</w:t>
      </w:r>
      <w:r>
        <w:t xml:space="preserve"> </w:t>
      </w:r>
      <w:r w:rsidRPr="00C4260B">
        <w:t xml:space="preserve">1000 X </w:t>
      </w:r>
      <w:r>
        <w:t>(1/COP</w:t>
      </w:r>
      <w:r w:rsidRPr="007A6429">
        <w:rPr>
          <w:vertAlign w:val="subscript"/>
        </w:rPr>
        <w:t>b</w:t>
      </w:r>
      <w:r>
        <w:t xml:space="preserve"> - 1/COP</w:t>
      </w:r>
      <w:r w:rsidRPr="007A6429">
        <w:rPr>
          <w:vertAlign w:val="subscript"/>
        </w:rPr>
        <w:t>e</w:t>
      </w:r>
      <w:r w:rsidRPr="00C4260B">
        <w:t xml:space="preserve"> )</w:t>
      </w:r>
      <w:r>
        <w:t xml:space="preserve"> / 3.413</w:t>
      </w:r>
      <w:r w:rsidRPr="00C4260B">
        <w:t xml:space="preserve"> X EFLH</w:t>
      </w:r>
      <w:r w:rsidRPr="007A6429">
        <w:rPr>
          <w:vertAlign w:val="subscript"/>
        </w:rPr>
        <w:t>heat</w:t>
      </w:r>
      <w:r>
        <w:t xml:space="preserve"> X LF]</w:t>
      </w:r>
      <w:r>
        <w:rPr>
          <w:vertAlign w:val="subscript"/>
        </w:rPr>
        <w:t>ZONE1</w:t>
      </w:r>
      <w:r>
        <w:t xml:space="preserve"> + [</w:t>
      </w:r>
      <w:r w:rsidRPr="00C4260B">
        <w:t>CAPY</w:t>
      </w:r>
      <w:r>
        <w:rPr>
          <w:vertAlign w:val="subscript"/>
        </w:rPr>
        <w:t>heat</w:t>
      </w:r>
      <w:r>
        <w:t xml:space="preserve"> </w:t>
      </w:r>
      <w:r w:rsidRPr="00C4260B">
        <w:t>/</w:t>
      </w:r>
      <w:r>
        <w:t xml:space="preserve"> </w:t>
      </w:r>
      <w:r w:rsidRPr="00C4260B">
        <w:t xml:space="preserve">1000 X </w:t>
      </w:r>
      <w:r>
        <w:t>(1/COP</w:t>
      </w:r>
      <w:r w:rsidRPr="007A6429">
        <w:rPr>
          <w:vertAlign w:val="subscript"/>
        </w:rPr>
        <w:t>b</w:t>
      </w:r>
      <w:r>
        <w:t xml:space="preserve"> - 1/COP</w:t>
      </w:r>
      <w:r w:rsidRPr="007A6429">
        <w:rPr>
          <w:vertAlign w:val="subscript"/>
        </w:rPr>
        <w:t>e</w:t>
      </w:r>
      <w:r w:rsidRPr="00C4260B">
        <w:t xml:space="preserve"> )</w:t>
      </w:r>
      <w:r>
        <w:t xml:space="preserve"> / 3.413</w:t>
      </w:r>
      <w:r w:rsidRPr="00C4260B">
        <w:t xml:space="preserve"> X EFLH</w:t>
      </w:r>
      <w:r w:rsidRPr="007A6429">
        <w:rPr>
          <w:vertAlign w:val="subscript"/>
        </w:rPr>
        <w:t>heat</w:t>
      </w:r>
      <w:r>
        <w:t xml:space="preserve"> X LF]</w:t>
      </w:r>
      <w:r>
        <w:rPr>
          <w:vertAlign w:val="subscript"/>
        </w:rPr>
        <w:t>ZONE2</w:t>
      </w:r>
      <w:r>
        <w:t xml:space="preserve"> + [</w:t>
      </w:r>
      <w:r w:rsidRPr="00C4260B">
        <w:t>CAPY</w:t>
      </w:r>
      <w:r>
        <w:rPr>
          <w:vertAlign w:val="subscript"/>
        </w:rPr>
        <w:t>heat</w:t>
      </w:r>
      <w:r>
        <w:t xml:space="preserve"> </w:t>
      </w:r>
      <w:r w:rsidRPr="00C4260B">
        <w:t>/</w:t>
      </w:r>
      <w:r>
        <w:t xml:space="preserve"> </w:t>
      </w:r>
      <w:r w:rsidRPr="00C4260B">
        <w:t xml:space="preserve">1000 X </w:t>
      </w:r>
      <w:r>
        <w:t>(1/COP</w:t>
      </w:r>
      <w:r w:rsidRPr="007A6429">
        <w:rPr>
          <w:vertAlign w:val="subscript"/>
        </w:rPr>
        <w:t>b</w:t>
      </w:r>
      <w:r>
        <w:t xml:space="preserve"> - 1/COP</w:t>
      </w:r>
      <w:r w:rsidRPr="007A6429">
        <w:rPr>
          <w:vertAlign w:val="subscript"/>
        </w:rPr>
        <w:t>e</w:t>
      </w:r>
      <w:r w:rsidRPr="00C4260B">
        <w:t xml:space="preserve"> ) </w:t>
      </w:r>
      <w:r>
        <w:t xml:space="preserve">/ 3.413 </w:t>
      </w:r>
      <w:r w:rsidRPr="00C4260B">
        <w:t>X EFLH</w:t>
      </w:r>
      <w:r w:rsidRPr="007A6429">
        <w:rPr>
          <w:vertAlign w:val="subscript"/>
        </w:rPr>
        <w:t>heat</w:t>
      </w:r>
      <w:r>
        <w:t xml:space="preserve"> X LF]</w:t>
      </w:r>
      <w:r>
        <w:rPr>
          <w:vertAlign w:val="subscript"/>
        </w:rPr>
        <w:t>ZONEn</w:t>
      </w:r>
    </w:p>
    <w:p w:rsidR="0039108A" w:rsidRPr="007E19CD" w:rsidRDefault="0039108A" w:rsidP="0039108A">
      <w:pPr>
        <w:pStyle w:val="Equation"/>
      </w:pPr>
      <w:r>
        <w:sym w:font="Symbol" w:char="F044"/>
      </w:r>
      <w:r>
        <w:t>kWh</w:t>
      </w:r>
      <w:r w:rsidRPr="00236446">
        <w:rPr>
          <w:vertAlign w:val="subscript"/>
        </w:rPr>
        <w:t>cool</w:t>
      </w:r>
      <w:r>
        <w:tab/>
      </w:r>
      <w:r w:rsidRPr="00C4260B">
        <w:t xml:space="preserve">= </w:t>
      </w:r>
      <w:r>
        <w:t>[CAPY</w:t>
      </w:r>
      <w:r>
        <w:rPr>
          <w:vertAlign w:val="subscript"/>
        </w:rPr>
        <w:t>cool</w:t>
      </w:r>
      <w:r w:rsidRPr="007A6429">
        <w:t xml:space="preserve"> </w:t>
      </w:r>
      <w:r>
        <w:t>/ 1000 X (1/EER</w:t>
      </w:r>
      <w:r w:rsidRPr="007A6429">
        <w:rPr>
          <w:vertAlign w:val="subscript"/>
        </w:rPr>
        <w:t>b</w:t>
      </w:r>
      <w:r>
        <w:t xml:space="preserve"> – 1/</w:t>
      </w:r>
      <w:r w:rsidRPr="00C4260B">
        <w:t>EER</w:t>
      </w:r>
      <w:r w:rsidRPr="007A6429">
        <w:rPr>
          <w:vertAlign w:val="subscript"/>
        </w:rPr>
        <w:t>e</w:t>
      </w:r>
      <w:r w:rsidRPr="00C4260B">
        <w:t xml:space="preserve"> ) X EFLH</w:t>
      </w:r>
      <w:r w:rsidRPr="007A6429">
        <w:rPr>
          <w:vertAlign w:val="subscript"/>
        </w:rPr>
        <w:t>cool</w:t>
      </w:r>
      <w:r>
        <w:t xml:space="preserve"> X LF]</w:t>
      </w:r>
      <w:r>
        <w:rPr>
          <w:vertAlign w:val="subscript"/>
        </w:rPr>
        <w:t>ZONE1</w:t>
      </w:r>
      <w:r>
        <w:t xml:space="preserve"> + [CAPY</w:t>
      </w:r>
      <w:r>
        <w:rPr>
          <w:vertAlign w:val="subscript"/>
        </w:rPr>
        <w:t>cool</w:t>
      </w:r>
      <w:r w:rsidRPr="007A6429">
        <w:t xml:space="preserve"> </w:t>
      </w:r>
      <w:r>
        <w:t>/ 1000 X (1/EER</w:t>
      </w:r>
      <w:r w:rsidRPr="007A6429">
        <w:rPr>
          <w:vertAlign w:val="subscript"/>
        </w:rPr>
        <w:t>b</w:t>
      </w:r>
      <w:r>
        <w:t xml:space="preserve"> – 1/</w:t>
      </w:r>
      <w:r w:rsidRPr="00C4260B">
        <w:t>EER</w:t>
      </w:r>
      <w:r w:rsidRPr="007A6429">
        <w:rPr>
          <w:vertAlign w:val="subscript"/>
        </w:rPr>
        <w:t>e</w:t>
      </w:r>
      <w:r w:rsidRPr="00C4260B">
        <w:t xml:space="preserve"> ) X EFLH</w:t>
      </w:r>
      <w:r w:rsidRPr="007A6429">
        <w:rPr>
          <w:vertAlign w:val="subscript"/>
        </w:rPr>
        <w:t>cool</w:t>
      </w:r>
      <w:r>
        <w:t xml:space="preserve"> X LF]</w:t>
      </w:r>
      <w:r>
        <w:rPr>
          <w:vertAlign w:val="subscript"/>
        </w:rPr>
        <w:t>ZONE2</w:t>
      </w:r>
      <w:r>
        <w:t xml:space="preserve"> + [CAPY</w:t>
      </w:r>
      <w:r>
        <w:rPr>
          <w:vertAlign w:val="subscript"/>
        </w:rPr>
        <w:t>cool</w:t>
      </w:r>
      <w:r w:rsidRPr="007A6429">
        <w:t xml:space="preserve"> </w:t>
      </w:r>
      <w:r>
        <w:t>/ 1000 X (1/EER</w:t>
      </w:r>
      <w:r w:rsidRPr="007A6429">
        <w:rPr>
          <w:vertAlign w:val="subscript"/>
        </w:rPr>
        <w:t>b</w:t>
      </w:r>
      <w:r>
        <w:t xml:space="preserve"> – 1/</w:t>
      </w:r>
      <w:r w:rsidRPr="00C4260B">
        <w:t>EER</w:t>
      </w:r>
      <w:r w:rsidRPr="007A6429">
        <w:rPr>
          <w:vertAlign w:val="subscript"/>
        </w:rPr>
        <w:t>e</w:t>
      </w:r>
      <w:r w:rsidRPr="00C4260B">
        <w:t xml:space="preserve"> ) X EFLH</w:t>
      </w:r>
      <w:r w:rsidRPr="007A6429">
        <w:rPr>
          <w:vertAlign w:val="subscript"/>
        </w:rPr>
        <w:t>cool</w:t>
      </w:r>
      <w:r>
        <w:t xml:space="preserve"> X LF]</w:t>
      </w:r>
      <w:r>
        <w:rPr>
          <w:vertAlign w:val="subscript"/>
        </w:rPr>
        <w:t>ZONEn</w:t>
      </w:r>
    </w:p>
    <w:p w:rsidR="0039108A" w:rsidRPr="002C5AAF" w:rsidRDefault="0039108A" w:rsidP="0039108A">
      <w:pPr>
        <w:pStyle w:val="Equation"/>
      </w:pPr>
      <w:r>
        <w:sym w:font="Symbol" w:char="F044"/>
      </w:r>
      <w:r>
        <w:t>kW</w:t>
      </w:r>
      <w:r w:rsidRPr="00675C56">
        <w:rPr>
          <w:vertAlign w:val="subscript"/>
        </w:rPr>
        <w:t>peak</w:t>
      </w:r>
      <w:r>
        <w:tab/>
      </w:r>
      <w:r>
        <w:tab/>
      </w:r>
      <w:r w:rsidRPr="002C5AAF">
        <w:t>= [CAPY</w:t>
      </w:r>
      <w:r>
        <w:rPr>
          <w:vertAlign w:val="subscript"/>
        </w:rPr>
        <w:t>cool</w:t>
      </w:r>
      <w:r>
        <w:t xml:space="preserve"> </w:t>
      </w:r>
      <w:r w:rsidRPr="002C5AAF">
        <w:t>/</w:t>
      </w:r>
      <w:r>
        <w:t xml:space="preserve"> </w:t>
      </w:r>
      <w:r w:rsidRPr="002C5AAF">
        <w:t>1000 X (1/EER</w:t>
      </w:r>
      <w:r w:rsidRPr="007A6429">
        <w:rPr>
          <w:vertAlign w:val="subscript"/>
        </w:rPr>
        <w:t>b</w:t>
      </w:r>
      <w:r w:rsidRPr="002C5AAF">
        <w:t xml:space="preserve"> – 1/EER</w:t>
      </w:r>
      <w:r w:rsidRPr="007A6429">
        <w:rPr>
          <w:vertAlign w:val="subscript"/>
        </w:rPr>
        <w:t>e</w:t>
      </w:r>
      <w:r w:rsidRPr="002C5AAF">
        <w:t xml:space="preserve"> ) X CF]</w:t>
      </w:r>
      <w:r w:rsidRPr="002C5AAF">
        <w:rPr>
          <w:vertAlign w:val="subscript"/>
        </w:rPr>
        <w:t>ZONE1</w:t>
      </w:r>
      <w:r w:rsidRPr="002C5AAF">
        <w:t xml:space="preserve"> + [CAPY</w:t>
      </w:r>
      <w:r>
        <w:rPr>
          <w:vertAlign w:val="subscript"/>
        </w:rPr>
        <w:t>cool</w:t>
      </w:r>
      <w:r>
        <w:t xml:space="preserve"> </w:t>
      </w:r>
      <w:r w:rsidRPr="002C5AAF">
        <w:t>/</w:t>
      </w:r>
      <w:r>
        <w:t xml:space="preserve"> </w:t>
      </w:r>
      <w:r w:rsidRPr="002C5AAF">
        <w:t>1000 X (1/EER</w:t>
      </w:r>
      <w:r w:rsidRPr="007A6429">
        <w:rPr>
          <w:vertAlign w:val="subscript"/>
        </w:rPr>
        <w:t>b</w:t>
      </w:r>
      <w:r w:rsidRPr="002C5AAF">
        <w:t xml:space="preserve"> – 1/EER</w:t>
      </w:r>
      <w:r w:rsidRPr="007A6429">
        <w:rPr>
          <w:vertAlign w:val="subscript"/>
        </w:rPr>
        <w:t>e</w:t>
      </w:r>
      <w:r w:rsidRPr="002C5AAF">
        <w:t xml:space="preserve"> ) X CF]</w:t>
      </w:r>
      <w:r w:rsidRPr="002C5AAF">
        <w:rPr>
          <w:vertAlign w:val="subscript"/>
        </w:rPr>
        <w:t>ZONE2</w:t>
      </w:r>
      <w:r w:rsidRPr="002C5AAF">
        <w:t xml:space="preserve"> + [CAPY</w:t>
      </w:r>
      <w:r>
        <w:rPr>
          <w:vertAlign w:val="subscript"/>
        </w:rPr>
        <w:t>cool</w:t>
      </w:r>
      <w:r>
        <w:t xml:space="preserve"> </w:t>
      </w:r>
      <w:r w:rsidRPr="002C5AAF">
        <w:t>/</w:t>
      </w:r>
      <w:r>
        <w:t xml:space="preserve"> </w:t>
      </w:r>
      <w:r w:rsidRPr="002C5AAF">
        <w:t>1000 X (1/EER</w:t>
      </w:r>
      <w:r w:rsidRPr="007A6429">
        <w:rPr>
          <w:vertAlign w:val="subscript"/>
        </w:rPr>
        <w:t>b</w:t>
      </w:r>
      <w:r w:rsidRPr="002C5AAF">
        <w:t xml:space="preserve"> – 1/EER</w:t>
      </w:r>
      <w:r w:rsidRPr="007A6429">
        <w:rPr>
          <w:vertAlign w:val="subscript"/>
        </w:rPr>
        <w:t>e</w:t>
      </w:r>
      <w:r w:rsidRPr="002C5AAF">
        <w:t xml:space="preserve"> ) X CF]</w:t>
      </w:r>
      <w:r w:rsidRPr="002C5AAF">
        <w:rPr>
          <w:vertAlign w:val="subscript"/>
        </w:rPr>
        <w:t>ZONEn</w:t>
      </w:r>
    </w:p>
    <w:p w:rsidR="0039108A" w:rsidRPr="00AB128D" w:rsidRDefault="0039108A" w:rsidP="00871FA2">
      <w:pPr>
        <w:pStyle w:val="Heading3"/>
      </w:pPr>
      <w:r>
        <w:t>Definition of Terms</w:t>
      </w:r>
    </w:p>
    <w:p w:rsidR="0039108A" w:rsidRDefault="0039108A" w:rsidP="0039108A">
      <w:pPr>
        <w:pStyle w:val="Equation"/>
      </w:pPr>
      <w:r>
        <w:tab/>
      </w:r>
      <w:r w:rsidRPr="00690DC3">
        <w:t>CAPY</w:t>
      </w:r>
      <w:r>
        <w:rPr>
          <w:vertAlign w:val="subscript"/>
        </w:rPr>
        <w:t>cool</w:t>
      </w:r>
      <w:r w:rsidRPr="00690DC3">
        <w:t xml:space="preserve"> </w:t>
      </w:r>
      <w:r>
        <w:tab/>
        <w:t>=T</w:t>
      </w:r>
      <w:r w:rsidRPr="00221865">
        <w:t xml:space="preserve">he </w:t>
      </w:r>
      <w:r>
        <w:t xml:space="preserve">cooling </w:t>
      </w:r>
      <w:r w:rsidRPr="00221865">
        <w:t xml:space="preserve">capacity of the </w:t>
      </w:r>
      <w:r>
        <w:t xml:space="preserve">indoor </w:t>
      </w:r>
      <w:r w:rsidRPr="00221865">
        <w:t>unit</w:t>
      </w:r>
      <w:r>
        <w:t xml:space="preserve">, </w:t>
      </w:r>
      <w:r w:rsidRPr="00221865">
        <w:t>given in BTUH</w:t>
      </w:r>
      <w:r>
        <w:t xml:space="preserve"> as appropriate for the calculation. This protocol is limited to units &lt; 65,000 BTUh (5.4 tons)</w:t>
      </w:r>
      <w:r w:rsidRPr="00221865">
        <w:t xml:space="preserve"> </w:t>
      </w:r>
    </w:p>
    <w:p w:rsidR="0039108A" w:rsidRDefault="0039108A" w:rsidP="0039108A">
      <w:pPr>
        <w:pStyle w:val="Equation"/>
      </w:pPr>
      <w:r>
        <w:tab/>
      </w:r>
      <w:r w:rsidRPr="00690DC3">
        <w:t>CAPY</w:t>
      </w:r>
      <w:r>
        <w:rPr>
          <w:vertAlign w:val="subscript"/>
        </w:rPr>
        <w:t>heat</w:t>
      </w:r>
      <w:r w:rsidRPr="00690DC3">
        <w:t xml:space="preserve"> </w:t>
      </w:r>
      <w:r>
        <w:tab/>
        <w:t>=T</w:t>
      </w:r>
      <w:r w:rsidRPr="00221865">
        <w:t xml:space="preserve">he </w:t>
      </w:r>
      <w:r>
        <w:t xml:space="preserve">heating </w:t>
      </w:r>
      <w:r w:rsidRPr="00221865">
        <w:t xml:space="preserve">capacity of the </w:t>
      </w:r>
      <w:r>
        <w:t xml:space="preserve">indoor </w:t>
      </w:r>
      <w:r w:rsidRPr="00221865">
        <w:t>unit</w:t>
      </w:r>
      <w:r>
        <w:t xml:space="preserve">, </w:t>
      </w:r>
      <w:r w:rsidRPr="00221865">
        <w:t>given in BTUH</w:t>
      </w:r>
      <w:r>
        <w:t xml:space="preserve"> as appropriate for the calculation.</w:t>
      </w:r>
      <w:r w:rsidRPr="00221865">
        <w:t xml:space="preserve"> </w:t>
      </w:r>
    </w:p>
    <w:p w:rsidR="0039108A" w:rsidRDefault="0039108A" w:rsidP="0039108A">
      <w:pPr>
        <w:pStyle w:val="Equation"/>
      </w:pPr>
      <w:r>
        <w:tab/>
        <w:t>EFLH</w:t>
      </w:r>
      <w:r w:rsidRPr="00477116">
        <w:rPr>
          <w:vertAlign w:val="subscript"/>
        </w:rPr>
        <w:t xml:space="preserve">cool </w:t>
      </w:r>
      <w:r>
        <w:tab/>
        <w:t>= Equivalent Full Load Hours for cooling</w:t>
      </w:r>
    </w:p>
    <w:p w:rsidR="0039108A" w:rsidRDefault="0039108A" w:rsidP="0039108A">
      <w:pPr>
        <w:pStyle w:val="Equation"/>
      </w:pPr>
      <w:r>
        <w:tab/>
        <w:t>EFLH</w:t>
      </w:r>
      <w:r w:rsidRPr="00477116">
        <w:rPr>
          <w:vertAlign w:val="subscript"/>
        </w:rPr>
        <w:t>heat</w:t>
      </w:r>
      <w:r>
        <w:tab/>
        <w:t>= Equivalent Full Load Hours for heating</w:t>
      </w:r>
    </w:p>
    <w:p w:rsidR="0039108A" w:rsidRPr="00690DC3" w:rsidRDefault="0039108A" w:rsidP="0039108A">
      <w:pPr>
        <w:pStyle w:val="Equation"/>
      </w:pPr>
      <w:r>
        <w:tab/>
        <w:t>COP</w:t>
      </w:r>
      <w:r w:rsidRPr="00477116">
        <w:rPr>
          <w:vertAlign w:val="subscript"/>
        </w:rPr>
        <w:t>b</w:t>
      </w:r>
      <w:r>
        <w:t xml:space="preserve"> </w:t>
      </w:r>
      <w:r>
        <w:tab/>
        <w:t>= Coefficient Of Performance h</w:t>
      </w:r>
      <w:r w:rsidRPr="00690DC3">
        <w:t xml:space="preserve">eating efficiency of </w:t>
      </w:r>
      <w:r>
        <w:t>baseline</w:t>
      </w:r>
      <w:r w:rsidRPr="00690DC3">
        <w:t xml:space="preserve"> unit</w:t>
      </w:r>
    </w:p>
    <w:p w:rsidR="0039108A" w:rsidRPr="00690DC3" w:rsidRDefault="0039108A" w:rsidP="0039108A">
      <w:pPr>
        <w:pStyle w:val="Equation"/>
      </w:pPr>
      <w:r>
        <w:tab/>
        <w:t>COP</w:t>
      </w:r>
      <w:r w:rsidRPr="00477116">
        <w:rPr>
          <w:vertAlign w:val="subscript"/>
        </w:rPr>
        <w:t>e</w:t>
      </w:r>
      <w:r w:rsidRPr="00690DC3">
        <w:t xml:space="preserve"> </w:t>
      </w:r>
      <w:r>
        <w:tab/>
      </w:r>
      <w:r w:rsidRPr="00690DC3">
        <w:t>= Efficiency of the installed DHP</w:t>
      </w:r>
      <w:r>
        <w:t xml:space="preserve"> (based on HSPF)</w:t>
      </w:r>
    </w:p>
    <w:p w:rsidR="0039108A" w:rsidRPr="00690DC3" w:rsidRDefault="0039108A" w:rsidP="0039108A">
      <w:pPr>
        <w:pStyle w:val="Equation"/>
      </w:pPr>
      <w:r>
        <w:tab/>
      </w:r>
      <w:r w:rsidRPr="00690DC3">
        <w:t>EER</w:t>
      </w:r>
      <w:r w:rsidRPr="00477116">
        <w:rPr>
          <w:vertAlign w:val="subscript"/>
        </w:rPr>
        <w:t>b</w:t>
      </w:r>
      <w:r w:rsidRPr="00690DC3">
        <w:t xml:space="preserve"> </w:t>
      </w:r>
      <w:r>
        <w:tab/>
      </w:r>
      <w:r w:rsidRPr="00690DC3">
        <w:t xml:space="preserve">= </w:t>
      </w:r>
      <w:r>
        <w:t>Energy Efficiency Ratio c</w:t>
      </w:r>
      <w:r w:rsidRPr="00690DC3">
        <w:t xml:space="preserve">ooling efficiency of </w:t>
      </w:r>
      <w:r>
        <w:t>baseline</w:t>
      </w:r>
      <w:r w:rsidRPr="00690DC3">
        <w:t xml:space="preserve"> unit</w:t>
      </w:r>
    </w:p>
    <w:p w:rsidR="0039108A" w:rsidRPr="00690DC3" w:rsidRDefault="0039108A" w:rsidP="0039108A">
      <w:pPr>
        <w:pStyle w:val="Equation"/>
      </w:pPr>
      <w:r>
        <w:tab/>
      </w:r>
      <w:r w:rsidRPr="00690DC3">
        <w:t>EER</w:t>
      </w:r>
      <w:r w:rsidRPr="00477116">
        <w:rPr>
          <w:vertAlign w:val="subscript"/>
        </w:rPr>
        <w:t>e</w:t>
      </w:r>
      <w:r w:rsidRPr="00690DC3">
        <w:t xml:space="preserve"> </w:t>
      </w:r>
      <w:r>
        <w:tab/>
      </w:r>
      <w:r w:rsidRPr="00690DC3">
        <w:t>= Efficiency of the installed DHP</w:t>
      </w:r>
    </w:p>
    <w:p w:rsidR="0039108A" w:rsidRPr="00690DC3" w:rsidRDefault="0039108A" w:rsidP="0039108A">
      <w:pPr>
        <w:pStyle w:val="Equation"/>
      </w:pPr>
      <w:r>
        <w:tab/>
        <w:t xml:space="preserve">LF </w:t>
      </w:r>
      <w:r>
        <w:tab/>
        <w:t>= Load f</w:t>
      </w:r>
      <w:r w:rsidRPr="00690DC3">
        <w:t>actor</w:t>
      </w:r>
    </w:p>
    <w:p w:rsidR="004101D1" w:rsidRPr="00F5204A" w:rsidRDefault="0048780B" w:rsidP="004101D1">
      <w:pPr>
        <w:pStyle w:val="Equation"/>
        <w:rPr>
          <w:rFonts w:cs="Arial"/>
          <w:szCs w:val="20"/>
        </w:rPr>
      </w:pPr>
      <w:r>
        <w:tab/>
      </w:r>
      <w:r w:rsidR="004101D1" w:rsidRPr="00F5204A">
        <w:rPr>
          <w:rFonts w:cs="Arial"/>
          <w:szCs w:val="20"/>
        </w:rPr>
        <w:t xml:space="preserve">CF </w:t>
      </w:r>
      <w:r w:rsidR="004101D1" w:rsidRPr="00F5204A">
        <w:rPr>
          <w:rFonts w:cs="Arial"/>
          <w:szCs w:val="20"/>
        </w:rPr>
        <w:tab/>
        <w:t>= Demand Coincidence Factor (See Section 1.4)</w:t>
      </w:r>
    </w:p>
    <w:p w:rsidR="0048780B" w:rsidRPr="00690DC3" w:rsidRDefault="0048780B" w:rsidP="0039108A">
      <w:pPr>
        <w:pStyle w:val="Equation"/>
      </w:pPr>
    </w:p>
    <w:p w:rsidR="0039108A" w:rsidRDefault="0039108A" w:rsidP="0039108A">
      <w:pPr>
        <w:pStyle w:val="Caption"/>
      </w:pPr>
      <w:bookmarkStart w:id="990" w:name="_Toc310875618"/>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66</w:t>
      </w:r>
      <w:r w:rsidR="00274AB1">
        <w:rPr>
          <w:noProof/>
        </w:rPr>
        <w:fldChar w:fldCharType="end"/>
      </w:r>
      <w:r>
        <w:t xml:space="preserve">: </w:t>
      </w:r>
      <w:r w:rsidRPr="00D0553F">
        <w:t>DHP – Values and References</w:t>
      </w:r>
      <w:bookmarkEnd w:id="990"/>
    </w:p>
    <w:tbl>
      <w:tblPr>
        <w:tblW w:w="47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9"/>
        <w:gridCol w:w="1085"/>
        <w:gridCol w:w="3870"/>
        <w:gridCol w:w="2070"/>
      </w:tblGrid>
      <w:tr w:rsidR="0039108A" w:rsidRPr="00B00E9F" w:rsidTr="0039108A">
        <w:trPr>
          <w:tblHeader/>
          <w:jc w:val="center"/>
        </w:trPr>
        <w:tc>
          <w:tcPr>
            <w:tcW w:w="815" w:type="pct"/>
            <w:shd w:val="clear" w:color="auto" w:fill="BFBFBF"/>
          </w:tcPr>
          <w:p w:rsidR="0039108A" w:rsidRPr="001D6512" w:rsidRDefault="0039108A" w:rsidP="0039108A">
            <w:pPr>
              <w:pStyle w:val="TableCell"/>
              <w:spacing w:before="60" w:after="60"/>
              <w:rPr>
                <w:b/>
              </w:rPr>
            </w:pPr>
            <w:r w:rsidRPr="001D6512">
              <w:rPr>
                <w:b/>
              </w:rPr>
              <w:t>Component</w:t>
            </w:r>
          </w:p>
        </w:tc>
        <w:tc>
          <w:tcPr>
            <w:tcW w:w="646" w:type="pct"/>
            <w:shd w:val="clear" w:color="auto" w:fill="BFBFBF"/>
          </w:tcPr>
          <w:p w:rsidR="0039108A" w:rsidRPr="001D6512" w:rsidRDefault="0039108A" w:rsidP="0039108A">
            <w:pPr>
              <w:pStyle w:val="TableCell"/>
              <w:spacing w:before="60" w:after="60"/>
              <w:rPr>
                <w:b/>
              </w:rPr>
            </w:pPr>
            <w:r w:rsidRPr="001D6512">
              <w:rPr>
                <w:b/>
              </w:rPr>
              <w:t>Type</w:t>
            </w:r>
          </w:p>
        </w:tc>
        <w:tc>
          <w:tcPr>
            <w:tcW w:w="2305" w:type="pct"/>
            <w:shd w:val="clear" w:color="auto" w:fill="BFBFBF"/>
          </w:tcPr>
          <w:p w:rsidR="0039108A" w:rsidRPr="001D6512" w:rsidRDefault="0039108A" w:rsidP="0039108A">
            <w:pPr>
              <w:pStyle w:val="TableCell"/>
              <w:spacing w:before="60" w:after="60"/>
              <w:rPr>
                <w:b/>
              </w:rPr>
            </w:pPr>
            <w:r w:rsidRPr="001D6512">
              <w:rPr>
                <w:b/>
              </w:rPr>
              <w:t>Values</w:t>
            </w:r>
          </w:p>
        </w:tc>
        <w:tc>
          <w:tcPr>
            <w:tcW w:w="1233" w:type="pct"/>
            <w:shd w:val="clear" w:color="auto" w:fill="BFBFBF"/>
          </w:tcPr>
          <w:p w:rsidR="0039108A" w:rsidRPr="001D6512" w:rsidRDefault="0039108A" w:rsidP="0039108A">
            <w:pPr>
              <w:pStyle w:val="TableCell"/>
              <w:spacing w:before="60" w:after="60"/>
              <w:rPr>
                <w:b/>
              </w:rPr>
            </w:pPr>
            <w:r w:rsidRPr="001D6512">
              <w:rPr>
                <w:b/>
              </w:rPr>
              <w:t>Sources</w:t>
            </w:r>
          </w:p>
        </w:tc>
      </w:tr>
      <w:tr w:rsidR="0039108A" w:rsidRPr="00B00E9F" w:rsidTr="0039108A">
        <w:trPr>
          <w:cantSplit/>
          <w:jc w:val="center"/>
        </w:trPr>
        <w:tc>
          <w:tcPr>
            <w:tcW w:w="815" w:type="pct"/>
          </w:tcPr>
          <w:p w:rsidR="0039108A" w:rsidRPr="001D6512" w:rsidRDefault="0039108A" w:rsidP="0039108A">
            <w:pPr>
              <w:pStyle w:val="TableCell"/>
              <w:spacing w:before="60" w:after="60"/>
              <w:rPr>
                <w:vertAlign w:val="subscript"/>
              </w:rPr>
            </w:pPr>
            <w:r w:rsidRPr="001D6512">
              <w:t>CAPY</w:t>
            </w:r>
            <w:r w:rsidRPr="001D6512">
              <w:rPr>
                <w:vertAlign w:val="subscript"/>
              </w:rPr>
              <w:t>cool</w:t>
            </w:r>
          </w:p>
          <w:p w:rsidR="0039108A" w:rsidRPr="001D6512" w:rsidRDefault="0039108A" w:rsidP="0039108A">
            <w:pPr>
              <w:pStyle w:val="TableCell"/>
              <w:spacing w:before="60" w:after="60"/>
            </w:pPr>
            <w:r w:rsidRPr="001D6512">
              <w:t>CAPY</w:t>
            </w:r>
            <w:r w:rsidRPr="001D6512">
              <w:rPr>
                <w:vertAlign w:val="subscript"/>
              </w:rPr>
              <w:t>heat</w:t>
            </w:r>
          </w:p>
        </w:tc>
        <w:tc>
          <w:tcPr>
            <w:tcW w:w="646" w:type="pct"/>
          </w:tcPr>
          <w:p w:rsidR="0039108A" w:rsidRPr="001D6512" w:rsidRDefault="0039108A" w:rsidP="0039108A">
            <w:pPr>
              <w:pStyle w:val="TableCell"/>
              <w:spacing w:before="60" w:after="60"/>
            </w:pPr>
            <w:r w:rsidRPr="001D6512">
              <w:t>Variable</w:t>
            </w:r>
          </w:p>
        </w:tc>
        <w:tc>
          <w:tcPr>
            <w:tcW w:w="2305" w:type="pct"/>
          </w:tcPr>
          <w:p w:rsidR="0039108A" w:rsidRPr="001D6512" w:rsidRDefault="0039108A" w:rsidP="0039108A">
            <w:pPr>
              <w:pStyle w:val="TableCell"/>
              <w:spacing w:before="60" w:after="60"/>
            </w:pPr>
            <w:r w:rsidRPr="001D6512">
              <w:t>Nameplate</w:t>
            </w:r>
          </w:p>
        </w:tc>
        <w:tc>
          <w:tcPr>
            <w:tcW w:w="1233" w:type="pct"/>
          </w:tcPr>
          <w:p w:rsidR="0039108A" w:rsidRPr="001D6512" w:rsidRDefault="0039108A" w:rsidP="0039108A">
            <w:pPr>
              <w:pStyle w:val="TableCell"/>
              <w:spacing w:before="60" w:after="60"/>
            </w:pPr>
            <w:r w:rsidRPr="001D6512">
              <w:t>AEPS Application; EDC Data Gathering</w:t>
            </w:r>
          </w:p>
        </w:tc>
      </w:tr>
      <w:tr w:rsidR="0039108A" w:rsidRPr="00B00E9F" w:rsidTr="0039108A">
        <w:trPr>
          <w:cantSplit/>
          <w:jc w:val="center"/>
        </w:trPr>
        <w:tc>
          <w:tcPr>
            <w:tcW w:w="815" w:type="pct"/>
          </w:tcPr>
          <w:p w:rsidR="0039108A" w:rsidRPr="001D6512" w:rsidRDefault="0039108A" w:rsidP="0039108A">
            <w:pPr>
              <w:pStyle w:val="TableCell"/>
              <w:spacing w:before="60" w:after="60"/>
            </w:pPr>
            <w:r w:rsidRPr="001D6512">
              <w:t>EFLH</w:t>
            </w:r>
            <w:r w:rsidRPr="001D6512">
              <w:rPr>
                <w:vertAlign w:val="subscript"/>
              </w:rPr>
              <w:t>cool</w:t>
            </w:r>
            <w:r w:rsidRPr="001D6512">
              <w:br/>
              <w:t>EFLH</w:t>
            </w:r>
            <w:r w:rsidRPr="001D6512">
              <w:rPr>
                <w:vertAlign w:val="subscript"/>
              </w:rPr>
              <w:t>heat</w:t>
            </w:r>
            <w:r w:rsidRPr="001D6512">
              <w:t xml:space="preserve"> </w:t>
            </w:r>
          </w:p>
        </w:tc>
        <w:tc>
          <w:tcPr>
            <w:tcW w:w="646" w:type="pct"/>
          </w:tcPr>
          <w:p w:rsidR="0039108A" w:rsidRPr="001D6512" w:rsidRDefault="0039108A" w:rsidP="0039108A">
            <w:pPr>
              <w:pStyle w:val="TableCell"/>
              <w:spacing w:before="60" w:after="60"/>
            </w:pPr>
            <w:r w:rsidRPr="001D6512">
              <w:t>Fixed</w:t>
            </w:r>
          </w:p>
        </w:tc>
        <w:tc>
          <w:tcPr>
            <w:tcW w:w="2305" w:type="pct"/>
          </w:tcPr>
          <w:p w:rsidR="0039108A" w:rsidRPr="001D6512" w:rsidRDefault="0039108A" w:rsidP="0039108A">
            <w:pPr>
              <w:pStyle w:val="TableCell"/>
              <w:spacing w:before="60" w:after="60"/>
            </w:pPr>
            <w:r w:rsidRPr="001D6512">
              <w:t xml:space="preserve">See </w:t>
            </w:r>
            <w:r w:rsidR="00274AB1">
              <w:fldChar w:fldCharType="begin"/>
            </w:r>
            <w:r w:rsidR="00274AB1">
              <w:instrText xml:space="preserve"> REF _Ref296696439 \h  \* MERGEFORMAT </w:instrText>
            </w:r>
            <w:r w:rsidR="00274AB1">
              <w:fldChar w:fldCharType="separate"/>
            </w:r>
            <w:r w:rsidR="00C0292F">
              <w:t xml:space="preserve">Table </w:t>
            </w:r>
            <w:r w:rsidR="00C0292F">
              <w:rPr>
                <w:noProof/>
              </w:rPr>
              <w:t>3</w:t>
            </w:r>
            <w:r w:rsidR="00C0292F">
              <w:rPr>
                <w:noProof/>
              </w:rPr>
              <w:noBreakHyphen/>
              <w:t>67</w:t>
            </w:r>
            <w:r w:rsidR="00C0292F">
              <w:t xml:space="preserve">: </w:t>
            </w:r>
            <w:r w:rsidR="00274AB1">
              <w:fldChar w:fldCharType="end"/>
            </w:r>
            <w:r w:rsidRPr="001D6512">
              <w:t xml:space="preserve"> and </w:t>
            </w:r>
            <w:r w:rsidR="00274AB1">
              <w:fldChar w:fldCharType="begin"/>
            </w:r>
            <w:r w:rsidR="00274AB1">
              <w:instrText xml:space="preserve"> REF _Ref296696488 \h  \* MERGEFORMAT </w:instrText>
            </w:r>
            <w:r w:rsidR="00274AB1">
              <w:fldChar w:fldCharType="separate"/>
            </w:r>
            <w:r w:rsidR="00C0292F">
              <w:t xml:space="preserve">Table </w:t>
            </w:r>
            <w:r w:rsidR="00C0292F">
              <w:rPr>
                <w:noProof/>
              </w:rPr>
              <w:t>3</w:t>
            </w:r>
            <w:r w:rsidR="00C0292F">
              <w:rPr>
                <w:noProof/>
              </w:rPr>
              <w:noBreakHyphen/>
              <w:t>68</w:t>
            </w:r>
            <w:r w:rsidR="00C0292F">
              <w:t xml:space="preserve">: </w:t>
            </w:r>
            <w:r w:rsidR="00274AB1">
              <w:fldChar w:fldCharType="end"/>
            </w:r>
          </w:p>
        </w:tc>
        <w:tc>
          <w:tcPr>
            <w:tcW w:w="1233" w:type="pct"/>
          </w:tcPr>
          <w:p w:rsidR="0039108A" w:rsidRPr="001D6512" w:rsidRDefault="0039108A" w:rsidP="0039108A">
            <w:pPr>
              <w:pStyle w:val="TableCell"/>
              <w:spacing w:before="60" w:after="60"/>
            </w:pPr>
            <w:r w:rsidRPr="001D6512">
              <w:t>1</w:t>
            </w:r>
          </w:p>
        </w:tc>
      </w:tr>
      <w:tr w:rsidR="0039108A" w:rsidRPr="00B00E9F" w:rsidTr="0039108A">
        <w:trPr>
          <w:cantSplit/>
          <w:jc w:val="center"/>
        </w:trPr>
        <w:tc>
          <w:tcPr>
            <w:tcW w:w="815" w:type="pct"/>
          </w:tcPr>
          <w:p w:rsidR="0039108A" w:rsidRPr="001D6512" w:rsidRDefault="0039108A" w:rsidP="0039108A">
            <w:pPr>
              <w:pStyle w:val="TableCell"/>
              <w:keepNext w:val="0"/>
              <w:spacing w:before="60" w:after="60"/>
            </w:pPr>
            <w:r w:rsidRPr="001D6512">
              <w:t>COP</w:t>
            </w:r>
            <w:r w:rsidRPr="001D6512">
              <w:rPr>
                <w:vertAlign w:val="subscript"/>
              </w:rPr>
              <w:t>b</w:t>
            </w:r>
          </w:p>
        </w:tc>
        <w:tc>
          <w:tcPr>
            <w:tcW w:w="646" w:type="pct"/>
          </w:tcPr>
          <w:p w:rsidR="0039108A" w:rsidRPr="001D6512" w:rsidRDefault="0039108A" w:rsidP="0039108A">
            <w:pPr>
              <w:pStyle w:val="TableCell"/>
              <w:keepNext w:val="0"/>
              <w:spacing w:before="60" w:after="60"/>
            </w:pPr>
            <w:r w:rsidRPr="001D6512">
              <w:t>Fixed</w:t>
            </w:r>
          </w:p>
        </w:tc>
        <w:tc>
          <w:tcPr>
            <w:tcW w:w="2305" w:type="pct"/>
          </w:tcPr>
          <w:p w:rsidR="0039108A" w:rsidRPr="001D6512" w:rsidRDefault="0039108A" w:rsidP="0039108A">
            <w:pPr>
              <w:pStyle w:val="TableCell"/>
              <w:keepNext w:val="0"/>
              <w:spacing w:before="60" w:after="60"/>
            </w:pPr>
            <w:r w:rsidRPr="001D6512">
              <w:t>Standard DHP: 2.26</w:t>
            </w:r>
          </w:p>
          <w:p w:rsidR="0039108A" w:rsidRPr="001D6512" w:rsidRDefault="0039108A" w:rsidP="0039108A">
            <w:pPr>
              <w:pStyle w:val="TableCell"/>
              <w:keepNext w:val="0"/>
              <w:spacing w:before="60" w:after="60"/>
            </w:pPr>
            <w:r w:rsidRPr="001D6512">
              <w:t>Electric resistance: 1.00</w:t>
            </w:r>
          </w:p>
          <w:p w:rsidR="0039108A" w:rsidRPr="001D6512" w:rsidRDefault="0039108A" w:rsidP="0039108A">
            <w:pPr>
              <w:pStyle w:val="TableCell"/>
              <w:keepNext w:val="0"/>
              <w:spacing w:before="60" w:after="60"/>
            </w:pPr>
            <w:r w:rsidRPr="001D6512">
              <w:t>ASHP: 2.26</w:t>
            </w:r>
          </w:p>
          <w:p w:rsidR="0039108A" w:rsidRPr="001D6512" w:rsidRDefault="0039108A" w:rsidP="0039108A">
            <w:pPr>
              <w:pStyle w:val="TableCell"/>
              <w:keepNext w:val="0"/>
              <w:spacing w:before="60" w:after="60"/>
            </w:pPr>
            <w:r w:rsidRPr="001D6512">
              <w:t>PTHP: 3.2-(0.026xCAPY</w:t>
            </w:r>
            <w:r w:rsidRPr="001D6512">
              <w:rPr>
                <w:vertAlign w:val="subscript"/>
              </w:rPr>
              <w:t>heat</w:t>
            </w:r>
            <w:r w:rsidRPr="001D6512">
              <w:t xml:space="preserve">/1000) </w:t>
            </w:r>
          </w:p>
          <w:p w:rsidR="0039108A" w:rsidRPr="001D6512" w:rsidRDefault="0039108A" w:rsidP="0039108A">
            <w:pPr>
              <w:pStyle w:val="TableCell"/>
              <w:keepNext w:val="0"/>
              <w:spacing w:before="60" w:after="60"/>
            </w:pPr>
            <w:r w:rsidRPr="001D6512">
              <w:t xml:space="preserve">Electric furnace: 0.95 </w:t>
            </w:r>
          </w:p>
          <w:p w:rsidR="0039108A" w:rsidRPr="001D6512" w:rsidRDefault="0039108A" w:rsidP="0039108A">
            <w:pPr>
              <w:pStyle w:val="TableCell"/>
              <w:keepNext w:val="0"/>
              <w:spacing w:before="60" w:after="60"/>
            </w:pPr>
            <w:r w:rsidRPr="001D6512">
              <w:t>For new space, no heat in an existing space, or non-electric heating in an existing space: use standard DHP: 2.26</w:t>
            </w:r>
          </w:p>
        </w:tc>
        <w:tc>
          <w:tcPr>
            <w:tcW w:w="1233" w:type="pct"/>
          </w:tcPr>
          <w:p w:rsidR="0039108A" w:rsidRPr="001D6512" w:rsidRDefault="0039108A" w:rsidP="0039108A">
            <w:pPr>
              <w:pStyle w:val="TableCell"/>
              <w:keepNext w:val="0"/>
              <w:spacing w:before="60" w:after="60"/>
            </w:pPr>
            <w:r w:rsidRPr="001D6512">
              <w:t>2, 4,9</w:t>
            </w:r>
          </w:p>
        </w:tc>
      </w:tr>
      <w:tr w:rsidR="0039108A" w:rsidRPr="00B00E9F" w:rsidTr="0039108A">
        <w:trPr>
          <w:cantSplit/>
          <w:jc w:val="center"/>
        </w:trPr>
        <w:tc>
          <w:tcPr>
            <w:tcW w:w="815" w:type="pct"/>
          </w:tcPr>
          <w:p w:rsidR="0039108A" w:rsidRPr="001D6512" w:rsidRDefault="0039108A" w:rsidP="0039108A">
            <w:pPr>
              <w:pStyle w:val="TableCell"/>
              <w:keepNext w:val="0"/>
              <w:spacing w:before="60" w:after="60"/>
            </w:pPr>
            <w:r w:rsidRPr="001D6512">
              <w:t>EER</w:t>
            </w:r>
            <w:r w:rsidRPr="001D6512">
              <w:rPr>
                <w:vertAlign w:val="subscript"/>
              </w:rPr>
              <w:t>b</w:t>
            </w:r>
          </w:p>
        </w:tc>
        <w:tc>
          <w:tcPr>
            <w:tcW w:w="646" w:type="pct"/>
          </w:tcPr>
          <w:p w:rsidR="0039108A" w:rsidRPr="001D6512" w:rsidRDefault="0039108A" w:rsidP="0039108A">
            <w:pPr>
              <w:pStyle w:val="TableCell"/>
              <w:keepNext w:val="0"/>
              <w:spacing w:before="60" w:after="60"/>
            </w:pPr>
            <w:r w:rsidRPr="001D6512">
              <w:t>Fixed</w:t>
            </w:r>
          </w:p>
        </w:tc>
        <w:tc>
          <w:tcPr>
            <w:tcW w:w="2305" w:type="pct"/>
          </w:tcPr>
          <w:p w:rsidR="0039108A" w:rsidRPr="001D6512" w:rsidRDefault="0039108A" w:rsidP="0039108A">
            <w:pPr>
              <w:pStyle w:val="TableCell"/>
              <w:keepNext w:val="0"/>
              <w:spacing w:before="60" w:after="60"/>
            </w:pPr>
            <w:r w:rsidRPr="001D6512">
              <w:t>DHP, ASHP, or central AC: 11.3</w:t>
            </w:r>
          </w:p>
          <w:p w:rsidR="0039108A" w:rsidRPr="001D6512" w:rsidRDefault="0039108A" w:rsidP="0039108A">
            <w:pPr>
              <w:pStyle w:val="TableCell"/>
              <w:keepNext w:val="0"/>
              <w:spacing w:before="60" w:after="60"/>
            </w:pPr>
            <w:r w:rsidRPr="001D6512">
              <w:t>Room AC: 9.8</w:t>
            </w:r>
          </w:p>
          <w:p w:rsidR="0039108A" w:rsidRPr="001D6512" w:rsidRDefault="0039108A" w:rsidP="0039108A">
            <w:pPr>
              <w:pStyle w:val="TableCell"/>
              <w:keepNext w:val="0"/>
              <w:spacing w:before="60" w:after="60"/>
            </w:pPr>
            <w:r w:rsidRPr="001D6512">
              <w:t>PTAC: 12.5-(0.213xCAPY</w:t>
            </w:r>
            <w:r w:rsidRPr="001D6512">
              <w:rPr>
                <w:vertAlign w:val="subscript"/>
              </w:rPr>
              <w:t>cool</w:t>
            </w:r>
            <w:r w:rsidRPr="001D6512">
              <w:t xml:space="preserve">/1000) </w:t>
            </w:r>
          </w:p>
          <w:p w:rsidR="0039108A" w:rsidRPr="001D6512" w:rsidRDefault="0039108A" w:rsidP="0039108A">
            <w:pPr>
              <w:pStyle w:val="TableCell"/>
              <w:keepNext w:val="0"/>
              <w:spacing w:before="60" w:after="60"/>
            </w:pPr>
            <w:r w:rsidRPr="001D6512">
              <w:t>PTHP: 12.3-(0.213xCAPY</w:t>
            </w:r>
            <w:r w:rsidRPr="001D6512">
              <w:rPr>
                <w:vertAlign w:val="subscript"/>
              </w:rPr>
              <w:t>cool</w:t>
            </w:r>
            <w:r w:rsidRPr="001D6512">
              <w:t xml:space="preserve">/1000) </w:t>
            </w:r>
          </w:p>
          <w:p w:rsidR="0039108A" w:rsidRPr="001D6512" w:rsidRDefault="0039108A" w:rsidP="0039108A">
            <w:pPr>
              <w:pStyle w:val="TableCell"/>
              <w:keepNext w:val="0"/>
              <w:spacing w:before="60" w:after="60"/>
            </w:pPr>
            <w:r w:rsidRPr="001D6512">
              <w:t>For new space or no cooling in an existing space: use Central AC: 11.3</w:t>
            </w:r>
          </w:p>
        </w:tc>
        <w:tc>
          <w:tcPr>
            <w:tcW w:w="1233" w:type="pct"/>
          </w:tcPr>
          <w:p w:rsidR="0039108A" w:rsidRPr="001D6512" w:rsidRDefault="0039108A" w:rsidP="0039108A">
            <w:pPr>
              <w:pStyle w:val="TableCell"/>
              <w:keepNext w:val="0"/>
              <w:spacing w:before="60" w:after="60"/>
            </w:pPr>
            <w:r w:rsidRPr="001D6512">
              <w:t>3,4,5,7,9</w:t>
            </w:r>
          </w:p>
        </w:tc>
      </w:tr>
      <w:tr w:rsidR="0039108A" w:rsidRPr="00B00E9F" w:rsidTr="0039108A">
        <w:trPr>
          <w:cantSplit/>
          <w:jc w:val="center"/>
        </w:trPr>
        <w:tc>
          <w:tcPr>
            <w:tcW w:w="815" w:type="pct"/>
          </w:tcPr>
          <w:p w:rsidR="0039108A" w:rsidRPr="001D6512" w:rsidRDefault="0039108A" w:rsidP="0039108A">
            <w:pPr>
              <w:pStyle w:val="TableCell"/>
              <w:keepNext w:val="0"/>
              <w:spacing w:before="60" w:after="60"/>
            </w:pPr>
            <w:r w:rsidRPr="001D6512">
              <w:t>COP</w:t>
            </w:r>
            <w:r w:rsidRPr="001D6512">
              <w:rPr>
                <w:vertAlign w:val="subscript"/>
              </w:rPr>
              <w:t>e</w:t>
            </w:r>
          </w:p>
        </w:tc>
        <w:tc>
          <w:tcPr>
            <w:tcW w:w="646" w:type="pct"/>
          </w:tcPr>
          <w:p w:rsidR="0039108A" w:rsidRPr="001D6512" w:rsidRDefault="0039108A" w:rsidP="0039108A">
            <w:pPr>
              <w:pStyle w:val="TableCell"/>
              <w:keepNext w:val="0"/>
              <w:spacing w:before="60" w:after="60"/>
            </w:pPr>
            <w:r w:rsidRPr="001D6512">
              <w:t>Variable</w:t>
            </w:r>
          </w:p>
        </w:tc>
        <w:tc>
          <w:tcPr>
            <w:tcW w:w="2305" w:type="pct"/>
          </w:tcPr>
          <w:p w:rsidR="0039108A" w:rsidRPr="001D6512" w:rsidRDefault="0039108A" w:rsidP="0039108A">
            <w:pPr>
              <w:pStyle w:val="TableCell"/>
              <w:keepNext w:val="0"/>
              <w:spacing w:before="60" w:after="60"/>
            </w:pPr>
            <w:r w:rsidRPr="001D6512">
              <w:t>= (HSPF</w:t>
            </w:r>
            <w:r w:rsidRPr="001D6512">
              <w:rPr>
                <w:vertAlign w:val="subscript"/>
              </w:rPr>
              <w:t>e</w:t>
            </w:r>
            <w:r w:rsidRPr="001D6512">
              <w:t xml:space="preserve"> / 3.413)   Based on nameplate information. Should be at least ENERGY STAR. </w:t>
            </w:r>
          </w:p>
        </w:tc>
        <w:tc>
          <w:tcPr>
            <w:tcW w:w="1233" w:type="pct"/>
          </w:tcPr>
          <w:p w:rsidR="0039108A" w:rsidRPr="001D6512" w:rsidRDefault="0039108A" w:rsidP="0039108A">
            <w:pPr>
              <w:pStyle w:val="TableCell"/>
              <w:keepNext w:val="0"/>
              <w:spacing w:before="60" w:after="60"/>
            </w:pPr>
            <w:r w:rsidRPr="001D6512">
              <w:t>AEPS Application; EDC Data Gathering</w:t>
            </w:r>
          </w:p>
        </w:tc>
      </w:tr>
      <w:tr w:rsidR="0039108A" w:rsidRPr="00B00E9F" w:rsidTr="0039108A">
        <w:trPr>
          <w:cantSplit/>
          <w:jc w:val="center"/>
        </w:trPr>
        <w:tc>
          <w:tcPr>
            <w:tcW w:w="815" w:type="pct"/>
          </w:tcPr>
          <w:p w:rsidR="0039108A" w:rsidRPr="001D6512" w:rsidRDefault="0039108A" w:rsidP="0039108A">
            <w:pPr>
              <w:pStyle w:val="TableCell"/>
              <w:keepNext w:val="0"/>
              <w:spacing w:before="60" w:after="60"/>
            </w:pPr>
            <w:r w:rsidRPr="001D6512">
              <w:t>EER</w:t>
            </w:r>
            <w:r w:rsidRPr="001D6512">
              <w:rPr>
                <w:vertAlign w:val="subscript"/>
              </w:rPr>
              <w:t>e</w:t>
            </w:r>
          </w:p>
        </w:tc>
        <w:tc>
          <w:tcPr>
            <w:tcW w:w="646" w:type="pct"/>
          </w:tcPr>
          <w:p w:rsidR="0039108A" w:rsidRPr="001D6512" w:rsidRDefault="0039108A" w:rsidP="0039108A">
            <w:pPr>
              <w:pStyle w:val="TableCell"/>
              <w:keepNext w:val="0"/>
              <w:spacing w:before="60" w:after="60"/>
            </w:pPr>
            <w:r w:rsidRPr="001D6512">
              <w:t>Variable</w:t>
            </w:r>
          </w:p>
        </w:tc>
        <w:tc>
          <w:tcPr>
            <w:tcW w:w="2305" w:type="pct"/>
          </w:tcPr>
          <w:p w:rsidR="0039108A" w:rsidRPr="001D6512" w:rsidRDefault="0039108A" w:rsidP="0039108A">
            <w:pPr>
              <w:pStyle w:val="TableCell"/>
              <w:keepNext w:val="0"/>
              <w:spacing w:before="60" w:after="60"/>
            </w:pPr>
            <w:r w:rsidRPr="001D6512">
              <w:t>Based on nameplate information. Should be at least ENERGY STAR.</w:t>
            </w:r>
          </w:p>
          <w:p w:rsidR="0039108A" w:rsidRPr="001D6512" w:rsidRDefault="0039108A" w:rsidP="0039108A">
            <w:pPr>
              <w:pStyle w:val="TableCell"/>
              <w:keepNext w:val="0"/>
              <w:spacing w:before="60" w:after="60"/>
            </w:pPr>
            <w:r w:rsidRPr="001D6512">
              <w:t>= SEER</w:t>
            </w:r>
            <w:r w:rsidRPr="001D6512">
              <w:rPr>
                <w:vertAlign w:val="subscript"/>
              </w:rPr>
              <w:t>e</w:t>
            </w:r>
            <w:r w:rsidRPr="001D6512">
              <w:t xml:space="preserve"> X (11.3/13) if EER not available   </w:t>
            </w:r>
          </w:p>
        </w:tc>
        <w:tc>
          <w:tcPr>
            <w:tcW w:w="1233" w:type="pct"/>
          </w:tcPr>
          <w:p w:rsidR="0039108A" w:rsidRPr="001D6512" w:rsidRDefault="0039108A" w:rsidP="0039108A">
            <w:pPr>
              <w:pStyle w:val="TableCell"/>
              <w:keepNext w:val="0"/>
              <w:spacing w:before="60" w:after="60"/>
            </w:pPr>
            <w:r w:rsidRPr="001D6512">
              <w:t>AEPS Application; EDC Data Gathering</w:t>
            </w:r>
          </w:p>
        </w:tc>
      </w:tr>
      <w:tr w:rsidR="0039108A" w:rsidRPr="00B00E9F" w:rsidTr="0039108A">
        <w:trPr>
          <w:cantSplit/>
          <w:jc w:val="center"/>
        </w:trPr>
        <w:tc>
          <w:tcPr>
            <w:tcW w:w="815" w:type="pct"/>
          </w:tcPr>
          <w:p w:rsidR="0039108A" w:rsidRPr="001D6512" w:rsidRDefault="0039108A" w:rsidP="0039108A">
            <w:pPr>
              <w:pStyle w:val="TableCell"/>
              <w:keepNext w:val="0"/>
              <w:spacing w:before="60" w:after="60"/>
            </w:pPr>
            <w:r w:rsidRPr="001D6512">
              <w:t>CF</w:t>
            </w:r>
          </w:p>
        </w:tc>
        <w:tc>
          <w:tcPr>
            <w:tcW w:w="646" w:type="pct"/>
          </w:tcPr>
          <w:p w:rsidR="0039108A" w:rsidRPr="001D6512" w:rsidRDefault="0039108A" w:rsidP="0039108A">
            <w:pPr>
              <w:pStyle w:val="TableCell"/>
              <w:keepNext w:val="0"/>
              <w:spacing w:before="60" w:after="60"/>
            </w:pPr>
            <w:r w:rsidRPr="001D6512">
              <w:t>Fixed</w:t>
            </w:r>
          </w:p>
        </w:tc>
        <w:tc>
          <w:tcPr>
            <w:tcW w:w="2305" w:type="pct"/>
          </w:tcPr>
          <w:p w:rsidR="0039108A" w:rsidRPr="001D6512" w:rsidRDefault="0039108A" w:rsidP="0039108A">
            <w:pPr>
              <w:pStyle w:val="TableCell"/>
              <w:keepNext w:val="0"/>
              <w:spacing w:before="60" w:after="60"/>
            </w:pPr>
            <w:r w:rsidRPr="001D6512">
              <w:t>70%</w:t>
            </w:r>
          </w:p>
        </w:tc>
        <w:tc>
          <w:tcPr>
            <w:tcW w:w="1233" w:type="pct"/>
          </w:tcPr>
          <w:p w:rsidR="0039108A" w:rsidRPr="001D6512" w:rsidRDefault="0039108A" w:rsidP="0039108A">
            <w:pPr>
              <w:pStyle w:val="TableCell"/>
              <w:keepNext w:val="0"/>
              <w:spacing w:before="60" w:after="60"/>
            </w:pPr>
            <w:r w:rsidRPr="001D6512">
              <w:t>6</w:t>
            </w:r>
          </w:p>
        </w:tc>
      </w:tr>
      <w:tr w:rsidR="0039108A" w:rsidRPr="00B00E9F" w:rsidTr="0039108A">
        <w:trPr>
          <w:cantSplit/>
          <w:jc w:val="center"/>
        </w:trPr>
        <w:tc>
          <w:tcPr>
            <w:tcW w:w="815" w:type="pct"/>
          </w:tcPr>
          <w:p w:rsidR="0039108A" w:rsidRPr="001D6512" w:rsidRDefault="0039108A" w:rsidP="0039108A">
            <w:pPr>
              <w:pStyle w:val="TableCell"/>
              <w:spacing w:before="60" w:after="60"/>
            </w:pPr>
            <w:r w:rsidRPr="001D6512">
              <w:t>LF</w:t>
            </w:r>
          </w:p>
        </w:tc>
        <w:tc>
          <w:tcPr>
            <w:tcW w:w="646" w:type="pct"/>
          </w:tcPr>
          <w:p w:rsidR="0039108A" w:rsidRPr="001D6512" w:rsidRDefault="0039108A" w:rsidP="0039108A">
            <w:pPr>
              <w:pStyle w:val="TableCell"/>
              <w:spacing w:before="60" w:after="60"/>
            </w:pPr>
            <w:r w:rsidRPr="001D6512">
              <w:t>Fixed</w:t>
            </w:r>
          </w:p>
        </w:tc>
        <w:tc>
          <w:tcPr>
            <w:tcW w:w="2305" w:type="pct"/>
          </w:tcPr>
          <w:p w:rsidR="0039108A" w:rsidRPr="001D6512" w:rsidRDefault="0039108A" w:rsidP="0039108A">
            <w:pPr>
              <w:pStyle w:val="TableCell"/>
              <w:spacing w:before="60" w:after="60"/>
            </w:pPr>
            <w:r w:rsidRPr="001D6512">
              <w:t>25%</w:t>
            </w:r>
          </w:p>
        </w:tc>
        <w:tc>
          <w:tcPr>
            <w:tcW w:w="1233" w:type="pct"/>
          </w:tcPr>
          <w:p w:rsidR="0039108A" w:rsidRPr="001D6512" w:rsidRDefault="0039108A" w:rsidP="0039108A">
            <w:pPr>
              <w:pStyle w:val="TableCell"/>
              <w:spacing w:before="60" w:after="60"/>
            </w:pPr>
            <w:r w:rsidRPr="001D6512">
              <w:t>8</w:t>
            </w:r>
          </w:p>
        </w:tc>
      </w:tr>
    </w:tbl>
    <w:p w:rsidR="0039108A" w:rsidRDefault="0039108A" w:rsidP="0039108A">
      <w:pPr>
        <w:spacing w:after="0"/>
        <w:rPr>
          <w:rStyle w:val="BodyTextChar"/>
          <w:i/>
        </w:rPr>
      </w:pPr>
    </w:p>
    <w:p w:rsidR="0039108A" w:rsidRPr="00E8678C" w:rsidRDefault="0039108A" w:rsidP="0039108A">
      <w:pPr>
        <w:rPr>
          <w:b/>
          <w:sz w:val="24"/>
          <w:szCs w:val="24"/>
        </w:rPr>
      </w:pPr>
      <w:r w:rsidRPr="00E8678C">
        <w:rPr>
          <w:rStyle w:val="BodyTextChar"/>
          <w:b/>
        </w:rPr>
        <w:t>Sources</w:t>
      </w:r>
      <w:r>
        <w:rPr>
          <w:rStyle w:val="BodyTextChar"/>
          <w:b/>
        </w:rPr>
        <w:t>:</w:t>
      </w:r>
    </w:p>
    <w:p w:rsidR="0039108A" w:rsidRPr="00760993" w:rsidRDefault="0039108A" w:rsidP="0005632A">
      <w:pPr>
        <w:pStyle w:val="source1"/>
        <w:numPr>
          <w:ilvl w:val="0"/>
          <w:numId w:val="83"/>
        </w:numPr>
      </w:pPr>
      <w:r w:rsidRPr="003167B7">
        <w:t xml:space="preserve">US Department of Energy.  </w:t>
      </w:r>
      <w:r>
        <w:t>ENERGY STAR</w:t>
      </w:r>
      <w:r w:rsidRPr="003167B7">
        <w:t xml:space="preserve"> Calculator and Bin Analysis Models</w:t>
      </w:r>
      <w:r w:rsidRPr="00760993">
        <w:t>.</w:t>
      </w:r>
    </w:p>
    <w:p w:rsidR="0039108A" w:rsidRPr="00760993" w:rsidRDefault="0039108A" w:rsidP="0039108A">
      <w:pPr>
        <w:pStyle w:val="source1"/>
      </w:pPr>
      <w:r>
        <w:t xml:space="preserve">COP = </w:t>
      </w:r>
      <w:r w:rsidRPr="00760993">
        <w:t>HSPF</w:t>
      </w:r>
      <w:r>
        <w:t>/3.413. HSPF = 3.413</w:t>
      </w:r>
      <w:r w:rsidRPr="00760993">
        <w:t xml:space="preserve"> for electric resistance heating</w:t>
      </w:r>
      <w:r>
        <w:t>, HSPF = 7.7 for standard DHP</w:t>
      </w:r>
      <w:r w:rsidRPr="00760993">
        <w:t xml:space="preserve">. Electric furnace </w:t>
      </w:r>
      <w:r>
        <w:t>COP</w:t>
      </w:r>
      <w:r w:rsidRPr="00760993">
        <w:t xml:space="preserve"> typically varies from 0.95 to 1.00 and thereby a</w:t>
      </w:r>
      <w:r>
        <w:t xml:space="preserve">ssumed a COP 0.95 (HSPF = 3.242).     </w:t>
      </w:r>
    </w:p>
    <w:p w:rsidR="0039108A" w:rsidRPr="00760993" w:rsidRDefault="0039108A" w:rsidP="0039108A">
      <w:pPr>
        <w:pStyle w:val="source1"/>
      </w:pPr>
      <w:r w:rsidRPr="00760993">
        <w:t xml:space="preserve">Federal Register, Vol. 66, No. 14, Monday, January 22, 2001/Rules and Regulations, p. 7170-7200. </w:t>
      </w:r>
    </w:p>
    <w:p w:rsidR="0039108A" w:rsidRDefault="0039108A" w:rsidP="0039108A">
      <w:pPr>
        <w:pStyle w:val="source1"/>
      </w:pPr>
      <w:r w:rsidRPr="00760993">
        <w:t>Air-Conditioning, Heating, and Refrigeration Institute (AHRI); the directory of the available ductless mini-split heat pumps and corresponding efficiencies (lowest efficiency currently available).   Accessed 8/16/2010.</w:t>
      </w:r>
    </w:p>
    <w:p w:rsidR="0039108A" w:rsidRDefault="0039108A" w:rsidP="0039108A">
      <w:pPr>
        <w:pStyle w:val="source1"/>
      </w:pPr>
      <w:r>
        <w:t>SEER based on average EER of 9.8 for room AC unit.</w:t>
      </w:r>
      <w:r w:rsidRPr="00774646">
        <w:t xml:space="preserve"> </w:t>
      </w:r>
      <w:r w:rsidRPr="00760993">
        <w:t xml:space="preserve">From </w:t>
      </w:r>
      <w:smartTag w:uri="urn:schemas-microsoft-com:office:smarttags" w:element="State">
        <w:smartTag w:uri="urn:schemas-microsoft-com:office:smarttags" w:element="place">
          <w:r w:rsidRPr="00760993">
            <w:t>Pennsylvania</w:t>
          </w:r>
        </w:smartTag>
      </w:smartTag>
      <w:r w:rsidRPr="00760993">
        <w:t>’s Technical Reference Manual.</w:t>
      </w:r>
    </w:p>
    <w:p w:rsidR="0039108A" w:rsidRPr="00760993" w:rsidRDefault="0039108A" w:rsidP="0039108A">
      <w:pPr>
        <w:pStyle w:val="source1"/>
      </w:pPr>
      <w:r w:rsidRPr="00760993">
        <w:t xml:space="preserve">Based on an analysis of six different utilities by Proctor Engineering. From </w:t>
      </w:r>
      <w:smartTag w:uri="urn:schemas-microsoft-com:office:smarttags" w:element="State">
        <w:smartTag w:uri="urn:schemas-microsoft-com:office:smarttags" w:element="place">
          <w:r w:rsidRPr="00760993">
            <w:t>Pennsylvania</w:t>
          </w:r>
        </w:smartTag>
      </w:smartTag>
      <w:r w:rsidRPr="00760993">
        <w:t>’s Technical Reference Manual.</w:t>
      </w:r>
    </w:p>
    <w:p w:rsidR="0039108A" w:rsidRDefault="0039108A" w:rsidP="0039108A">
      <w:pPr>
        <w:pStyle w:val="source1"/>
      </w:pPr>
      <w:r w:rsidRPr="00760993">
        <w:t xml:space="preserve">Average EER for SEER 13 unit. From </w:t>
      </w:r>
      <w:smartTag w:uri="urn:schemas-microsoft-com:office:smarttags" w:element="State">
        <w:smartTag w:uri="urn:schemas-microsoft-com:office:smarttags" w:element="place">
          <w:r w:rsidRPr="00760993">
            <w:t>Pennsylvania</w:t>
          </w:r>
        </w:smartTag>
      </w:smartTag>
      <w:r w:rsidRPr="00760993">
        <w:t>’s Technical Reference Manual.</w:t>
      </w:r>
    </w:p>
    <w:p w:rsidR="0039108A" w:rsidRPr="00760993" w:rsidRDefault="0039108A" w:rsidP="0039108A">
      <w:pPr>
        <w:pStyle w:val="source1"/>
        <w:spacing w:after="200"/>
      </w:pPr>
      <w:r>
        <w:t>The load factor is used to account for inverter-based DHP units operating at partial loads. The value was chosen to align savings with what is seen in other jurisdictions: based on personal communication with Bruce Manclark, Delta-T, Inc. who is working with Northwest Energy Efficiency Alliance (NEEA) on the Northwest DHP Project &lt;</w:t>
      </w:r>
      <w:hyperlink r:id="rId48" w:history="1">
        <w:r w:rsidRPr="003A4B0F">
          <w:rPr>
            <w:rStyle w:val="Hyperlink"/>
            <w:rFonts w:cs="Arial"/>
          </w:rPr>
          <w:t>http://www.nwductless.com/</w:t>
        </w:r>
      </w:hyperlink>
      <w:r>
        <w:t>&gt;, and the results found in the “Ductless Mini Pilot Study” by KEMA, Inc., June 2009.</w:t>
      </w:r>
      <w:r w:rsidRPr="003A4B0F">
        <w:t xml:space="preserve"> </w:t>
      </w:r>
      <w:r>
        <w:t>The adjustment is required to account for partial load conditions and because the EFLH used are based on central ducted systems which may overestimate actual usage for baseboard systems.</w:t>
      </w:r>
    </w:p>
    <w:p w:rsidR="0039108A" w:rsidRDefault="0039108A" w:rsidP="0039108A">
      <w:pPr>
        <w:pStyle w:val="source1"/>
        <w:spacing w:after="200"/>
      </w:pPr>
      <w:r>
        <w:t xml:space="preserve">Package terminal air conditioners (PTAC) and package terminal heat pumps (PTHP) COP and EER minimum efficiency requirements is based on CAPY value. If the unit’s capacity is less than 7,000 BTUH, use 7,000 BTUH in the calculation. If the unit’s capacity is greater than 15,000 BTUH, use 15,000 BTUH in the calculation. </w:t>
      </w:r>
    </w:p>
    <w:p w:rsidR="0039108A" w:rsidRDefault="0039108A" w:rsidP="00DE12EC">
      <w:pPr>
        <w:pStyle w:val="Caption"/>
      </w:pPr>
      <w:bookmarkStart w:id="991" w:name="_Ref296696439"/>
      <w:bookmarkStart w:id="992" w:name="_Toc310875619"/>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67</w:t>
      </w:r>
      <w:r w:rsidR="00274AB1">
        <w:rPr>
          <w:noProof/>
        </w:rPr>
        <w:fldChar w:fldCharType="end"/>
      </w:r>
      <w:r>
        <w:t xml:space="preserve">: </w:t>
      </w:r>
      <w:bookmarkEnd w:id="991"/>
      <w:r>
        <w:t>Cooling EFLH for Pennsylvania Cities</w:t>
      </w:r>
      <w:r>
        <w:rPr>
          <w:rStyle w:val="FootnoteReference"/>
        </w:rPr>
        <w:footnoteReference w:id="197"/>
      </w:r>
      <w:r w:rsidR="00937EC7">
        <w:rPr>
          <w:vertAlign w:val="superscript"/>
        </w:rPr>
        <w:t xml:space="preserve">, </w:t>
      </w:r>
      <w:r w:rsidR="000B6706">
        <w:rPr>
          <w:rStyle w:val="FootnoteReference"/>
        </w:rPr>
        <w:footnoteReference w:id="198"/>
      </w:r>
      <w:r w:rsidR="00937EC7">
        <w:rPr>
          <w:vertAlign w:val="superscript"/>
        </w:rPr>
        <w:t xml:space="preserve">, </w:t>
      </w:r>
      <w:r>
        <w:rPr>
          <w:rStyle w:val="FootnoteReference"/>
        </w:rPr>
        <w:footnoteReference w:id="199"/>
      </w:r>
      <w:bookmarkEnd w:id="992"/>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5"/>
        <w:gridCol w:w="810"/>
        <w:gridCol w:w="810"/>
        <w:gridCol w:w="810"/>
        <w:gridCol w:w="810"/>
        <w:gridCol w:w="810"/>
        <w:gridCol w:w="810"/>
        <w:gridCol w:w="810"/>
      </w:tblGrid>
      <w:tr w:rsidR="0039108A" w:rsidRPr="00861542" w:rsidTr="0039108A">
        <w:trPr>
          <w:cantSplit/>
          <w:trHeight w:hRule="exact" w:val="1296"/>
          <w:tblHeader/>
        </w:trPr>
        <w:tc>
          <w:tcPr>
            <w:tcW w:w="1835" w:type="pct"/>
            <w:shd w:val="clear" w:color="auto" w:fill="BFBFBF"/>
            <w:vAlign w:val="bottom"/>
          </w:tcPr>
          <w:p w:rsidR="0039108A" w:rsidRPr="001D6512" w:rsidRDefault="0039108A" w:rsidP="00DE12EC">
            <w:pPr>
              <w:pStyle w:val="TableCell"/>
              <w:spacing w:before="60" w:after="60" w:line="240" w:lineRule="auto"/>
              <w:contextualSpacing/>
              <w:rPr>
                <w:rFonts w:cs="Arial"/>
                <w:b/>
                <w:szCs w:val="18"/>
              </w:rPr>
            </w:pPr>
            <w:r w:rsidRPr="001D6512">
              <w:rPr>
                <w:rFonts w:cs="Arial"/>
                <w:b/>
                <w:szCs w:val="18"/>
              </w:rPr>
              <w:t>Space and/or Building Type</w:t>
            </w:r>
          </w:p>
        </w:tc>
        <w:tc>
          <w:tcPr>
            <w:tcW w:w="452" w:type="pct"/>
            <w:shd w:val="clear" w:color="auto" w:fill="BFBFBF"/>
            <w:textDirection w:val="btLr"/>
            <w:vAlign w:val="center"/>
          </w:tcPr>
          <w:p w:rsidR="0039108A" w:rsidRPr="001D6512" w:rsidRDefault="0039108A" w:rsidP="00DE12EC">
            <w:pPr>
              <w:pStyle w:val="TableCell"/>
              <w:spacing w:before="60" w:after="60" w:line="240" w:lineRule="auto"/>
              <w:ind w:left="60"/>
              <w:contextualSpacing/>
              <w:rPr>
                <w:rFonts w:cs="Arial"/>
                <w:b/>
                <w:szCs w:val="18"/>
              </w:rPr>
            </w:pPr>
            <w:r w:rsidRPr="001D6512">
              <w:rPr>
                <w:rFonts w:cs="Arial"/>
                <w:b/>
                <w:szCs w:val="18"/>
              </w:rPr>
              <w:t>Allentown</w:t>
            </w:r>
          </w:p>
        </w:tc>
        <w:tc>
          <w:tcPr>
            <w:tcW w:w="452" w:type="pct"/>
            <w:shd w:val="clear" w:color="auto" w:fill="BFBFBF"/>
            <w:textDirection w:val="btLr"/>
            <w:vAlign w:val="center"/>
          </w:tcPr>
          <w:p w:rsidR="0039108A" w:rsidRPr="001D6512" w:rsidRDefault="0039108A" w:rsidP="00DE12EC">
            <w:pPr>
              <w:pStyle w:val="TableCell"/>
              <w:spacing w:before="60" w:after="60" w:line="240" w:lineRule="auto"/>
              <w:ind w:left="60"/>
              <w:contextualSpacing/>
              <w:rPr>
                <w:rFonts w:cs="Arial"/>
                <w:b/>
                <w:szCs w:val="18"/>
              </w:rPr>
            </w:pPr>
            <w:r w:rsidRPr="001D6512">
              <w:rPr>
                <w:rFonts w:cs="Arial"/>
                <w:b/>
                <w:szCs w:val="18"/>
              </w:rPr>
              <w:t>Erie</w:t>
            </w:r>
          </w:p>
        </w:tc>
        <w:tc>
          <w:tcPr>
            <w:tcW w:w="452" w:type="pct"/>
            <w:shd w:val="clear" w:color="auto" w:fill="BFBFBF"/>
            <w:textDirection w:val="btLr"/>
            <w:vAlign w:val="center"/>
          </w:tcPr>
          <w:p w:rsidR="0039108A" w:rsidRPr="001D6512" w:rsidRDefault="0039108A" w:rsidP="00DE12EC">
            <w:pPr>
              <w:pStyle w:val="TableCell"/>
              <w:spacing w:before="60" w:after="60" w:line="240" w:lineRule="auto"/>
              <w:ind w:left="60"/>
              <w:contextualSpacing/>
              <w:rPr>
                <w:rFonts w:cs="Arial"/>
                <w:b/>
                <w:szCs w:val="18"/>
              </w:rPr>
            </w:pPr>
            <w:r w:rsidRPr="001D6512">
              <w:rPr>
                <w:rFonts w:cs="Arial"/>
                <w:b/>
                <w:szCs w:val="18"/>
              </w:rPr>
              <w:t>Harrisburg</w:t>
            </w:r>
          </w:p>
        </w:tc>
        <w:tc>
          <w:tcPr>
            <w:tcW w:w="452" w:type="pct"/>
            <w:shd w:val="clear" w:color="auto" w:fill="BFBFBF"/>
            <w:textDirection w:val="btLr"/>
            <w:vAlign w:val="center"/>
          </w:tcPr>
          <w:p w:rsidR="0039108A" w:rsidRPr="001D6512" w:rsidRDefault="0039108A" w:rsidP="00DE12EC">
            <w:pPr>
              <w:pStyle w:val="TableCell"/>
              <w:spacing w:before="60" w:after="60" w:line="240" w:lineRule="auto"/>
              <w:ind w:left="60"/>
              <w:contextualSpacing/>
              <w:rPr>
                <w:rFonts w:cs="Arial"/>
                <w:b/>
                <w:szCs w:val="18"/>
              </w:rPr>
            </w:pPr>
            <w:r w:rsidRPr="001D6512">
              <w:rPr>
                <w:rFonts w:cs="Arial"/>
                <w:b/>
                <w:szCs w:val="18"/>
              </w:rPr>
              <w:t>Pittsburgh</w:t>
            </w:r>
          </w:p>
        </w:tc>
        <w:tc>
          <w:tcPr>
            <w:tcW w:w="452" w:type="pct"/>
            <w:shd w:val="clear" w:color="auto" w:fill="BFBFBF"/>
            <w:textDirection w:val="btLr"/>
            <w:vAlign w:val="center"/>
          </w:tcPr>
          <w:p w:rsidR="0039108A" w:rsidRPr="001D6512" w:rsidRDefault="0039108A" w:rsidP="00DE12EC">
            <w:pPr>
              <w:pStyle w:val="TableCell"/>
              <w:spacing w:before="60" w:after="60" w:line="240" w:lineRule="auto"/>
              <w:ind w:left="60"/>
              <w:contextualSpacing/>
              <w:rPr>
                <w:rFonts w:cs="Arial"/>
                <w:b/>
                <w:szCs w:val="18"/>
              </w:rPr>
            </w:pPr>
            <w:r w:rsidRPr="001D6512">
              <w:rPr>
                <w:rFonts w:cs="Arial"/>
                <w:b/>
                <w:szCs w:val="18"/>
              </w:rPr>
              <w:t>Williamsport</w:t>
            </w:r>
          </w:p>
        </w:tc>
        <w:tc>
          <w:tcPr>
            <w:tcW w:w="452" w:type="pct"/>
            <w:shd w:val="clear" w:color="auto" w:fill="BFBFBF"/>
            <w:textDirection w:val="btLr"/>
            <w:vAlign w:val="center"/>
          </w:tcPr>
          <w:p w:rsidR="0039108A" w:rsidRPr="001D6512" w:rsidRDefault="0039108A" w:rsidP="00DE12EC">
            <w:pPr>
              <w:pStyle w:val="TableCell"/>
              <w:spacing w:before="60" w:after="60" w:line="240" w:lineRule="auto"/>
              <w:ind w:left="60"/>
              <w:contextualSpacing/>
              <w:rPr>
                <w:rFonts w:cs="Arial"/>
                <w:b/>
                <w:szCs w:val="18"/>
              </w:rPr>
            </w:pPr>
            <w:r w:rsidRPr="001D6512">
              <w:rPr>
                <w:rFonts w:cs="Arial"/>
                <w:b/>
                <w:szCs w:val="18"/>
              </w:rPr>
              <w:t>Philadelphia</w:t>
            </w:r>
          </w:p>
        </w:tc>
        <w:tc>
          <w:tcPr>
            <w:tcW w:w="452" w:type="pct"/>
            <w:shd w:val="clear" w:color="auto" w:fill="BFBFBF"/>
            <w:textDirection w:val="btLr"/>
            <w:vAlign w:val="center"/>
          </w:tcPr>
          <w:p w:rsidR="0039108A" w:rsidRPr="001D6512" w:rsidRDefault="0039108A" w:rsidP="00DE12EC">
            <w:pPr>
              <w:pStyle w:val="TableCell"/>
              <w:spacing w:before="60" w:after="60" w:line="240" w:lineRule="auto"/>
              <w:ind w:left="60"/>
              <w:rPr>
                <w:rFonts w:cs="Arial"/>
                <w:b/>
                <w:szCs w:val="18"/>
              </w:rPr>
            </w:pPr>
            <w:r w:rsidRPr="001D6512">
              <w:rPr>
                <w:rFonts w:cs="Arial"/>
                <w:b/>
                <w:szCs w:val="18"/>
              </w:rPr>
              <w:t>Scranton</w:t>
            </w:r>
          </w:p>
        </w:tc>
      </w:tr>
      <w:tr w:rsidR="0039108A" w:rsidRPr="00861542" w:rsidTr="0039108A">
        <w:trPr>
          <w:trHeight w:val="300"/>
        </w:trPr>
        <w:tc>
          <w:tcPr>
            <w:tcW w:w="1835" w:type="pct"/>
            <w:noWrap/>
          </w:tcPr>
          <w:p w:rsidR="0039108A" w:rsidRPr="001D6512" w:rsidRDefault="0039108A" w:rsidP="00DE12EC">
            <w:pPr>
              <w:pStyle w:val="TableCell"/>
              <w:spacing w:before="60" w:after="60" w:line="240" w:lineRule="auto"/>
              <w:rPr>
                <w:rFonts w:cs="Arial"/>
                <w:color w:val="000000"/>
                <w:szCs w:val="18"/>
              </w:rPr>
            </w:pPr>
            <w:r w:rsidRPr="001D6512">
              <w:rPr>
                <w:rFonts w:cs="Arial"/>
                <w:color w:val="000000"/>
                <w:szCs w:val="18"/>
              </w:rPr>
              <w:t>Arena/Auditorium/Convention Center</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602</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332</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640</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508</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454</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711</w:t>
            </w:r>
          </w:p>
        </w:tc>
        <w:tc>
          <w:tcPr>
            <w:tcW w:w="452" w:type="pct"/>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428</w:t>
            </w:r>
          </w:p>
        </w:tc>
      </w:tr>
      <w:tr w:rsidR="0039108A" w:rsidRPr="00861542" w:rsidTr="0039108A">
        <w:trPr>
          <w:trHeight w:val="300"/>
        </w:trPr>
        <w:tc>
          <w:tcPr>
            <w:tcW w:w="1835" w:type="pct"/>
            <w:noWrap/>
          </w:tcPr>
          <w:p w:rsidR="0039108A" w:rsidRPr="001D6512" w:rsidRDefault="0039108A" w:rsidP="00DE12EC">
            <w:pPr>
              <w:pStyle w:val="TableCell"/>
              <w:spacing w:before="60" w:after="60" w:line="240" w:lineRule="auto"/>
              <w:rPr>
                <w:rFonts w:cs="Arial"/>
                <w:color w:val="000000"/>
                <w:szCs w:val="18"/>
              </w:rPr>
            </w:pPr>
            <w:r w:rsidRPr="001D6512">
              <w:rPr>
                <w:rFonts w:cs="Arial"/>
                <w:color w:val="000000"/>
                <w:szCs w:val="18"/>
              </w:rPr>
              <w:t>College: Classes/Administrative</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690</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380</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733</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582</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520</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815</w:t>
            </w:r>
          </w:p>
        </w:tc>
        <w:tc>
          <w:tcPr>
            <w:tcW w:w="452" w:type="pct"/>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490</w:t>
            </w:r>
          </w:p>
        </w:tc>
      </w:tr>
      <w:tr w:rsidR="0039108A" w:rsidRPr="00861542" w:rsidTr="0039108A">
        <w:trPr>
          <w:trHeight w:val="300"/>
        </w:trPr>
        <w:tc>
          <w:tcPr>
            <w:tcW w:w="1835" w:type="pct"/>
            <w:noWrap/>
          </w:tcPr>
          <w:p w:rsidR="0039108A" w:rsidRPr="001D6512" w:rsidRDefault="0039108A" w:rsidP="00DE12EC">
            <w:pPr>
              <w:pStyle w:val="TableCell"/>
              <w:spacing w:before="60" w:after="60" w:line="240" w:lineRule="auto"/>
              <w:rPr>
                <w:rFonts w:cs="Arial"/>
                <w:color w:val="000000"/>
                <w:szCs w:val="18"/>
              </w:rPr>
            </w:pPr>
            <w:r w:rsidRPr="001D6512">
              <w:rPr>
                <w:rFonts w:cs="Arial"/>
                <w:color w:val="000000"/>
                <w:szCs w:val="18"/>
              </w:rPr>
              <w:t>Convenience Stores</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1,216</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671</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1,293</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1,026</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917</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1,436</w:t>
            </w:r>
          </w:p>
        </w:tc>
        <w:tc>
          <w:tcPr>
            <w:tcW w:w="452" w:type="pct"/>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864</w:t>
            </w:r>
          </w:p>
        </w:tc>
      </w:tr>
      <w:tr w:rsidR="0039108A" w:rsidRPr="00861542" w:rsidTr="0039108A">
        <w:trPr>
          <w:trHeight w:val="300"/>
        </w:trPr>
        <w:tc>
          <w:tcPr>
            <w:tcW w:w="1835" w:type="pct"/>
            <w:noWrap/>
          </w:tcPr>
          <w:p w:rsidR="0039108A" w:rsidRPr="001D6512" w:rsidRDefault="0039108A" w:rsidP="00DE12EC">
            <w:pPr>
              <w:pStyle w:val="TableCell"/>
              <w:spacing w:before="60" w:after="60" w:line="240" w:lineRule="auto"/>
              <w:rPr>
                <w:rFonts w:cs="Arial"/>
                <w:color w:val="000000"/>
                <w:szCs w:val="18"/>
              </w:rPr>
            </w:pPr>
            <w:r w:rsidRPr="001D6512">
              <w:rPr>
                <w:rFonts w:cs="Arial"/>
                <w:color w:val="000000"/>
                <w:szCs w:val="18"/>
              </w:rPr>
              <w:t>Dining: Bar Lounge/Leisure</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912</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503</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969</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769</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688</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1,077</w:t>
            </w:r>
          </w:p>
        </w:tc>
        <w:tc>
          <w:tcPr>
            <w:tcW w:w="452" w:type="pct"/>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648</w:t>
            </w:r>
          </w:p>
        </w:tc>
      </w:tr>
      <w:tr w:rsidR="0039108A" w:rsidRPr="00861542" w:rsidTr="0039108A">
        <w:trPr>
          <w:trHeight w:val="300"/>
        </w:trPr>
        <w:tc>
          <w:tcPr>
            <w:tcW w:w="1835" w:type="pct"/>
            <w:noWrap/>
          </w:tcPr>
          <w:p w:rsidR="0039108A" w:rsidRPr="001D6512" w:rsidRDefault="0039108A" w:rsidP="00DE12EC">
            <w:pPr>
              <w:pStyle w:val="TableCell"/>
              <w:spacing w:before="60" w:after="60" w:line="240" w:lineRule="auto"/>
              <w:rPr>
                <w:rFonts w:cs="Arial"/>
                <w:color w:val="000000"/>
                <w:szCs w:val="18"/>
              </w:rPr>
            </w:pPr>
            <w:r w:rsidRPr="001D6512">
              <w:rPr>
                <w:rFonts w:cs="Arial"/>
                <w:color w:val="000000"/>
                <w:szCs w:val="18"/>
              </w:rPr>
              <w:t>Dining: Cafeteria / Fast Food</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1,227</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677</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1,304</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1,035</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925</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1,449</w:t>
            </w:r>
          </w:p>
        </w:tc>
        <w:tc>
          <w:tcPr>
            <w:tcW w:w="452" w:type="pct"/>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872</w:t>
            </w:r>
          </w:p>
        </w:tc>
      </w:tr>
      <w:tr w:rsidR="0039108A" w:rsidRPr="00861542" w:rsidTr="0039108A">
        <w:trPr>
          <w:trHeight w:val="300"/>
        </w:trPr>
        <w:tc>
          <w:tcPr>
            <w:tcW w:w="1835" w:type="pct"/>
            <w:noWrap/>
          </w:tcPr>
          <w:p w:rsidR="0039108A" w:rsidRPr="001D6512" w:rsidRDefault="0039108A" w:rsidP="00DE12EC">
            <w:pPr>
              <w:pStyle w:val="TableCell"/>
              <w:spacing w:before="60" w:after="60" w:line="240" w:lineRule="auto"/>
              <w:rPr>
                <w:rFonts w:cs="Arial"/>
                <w:color w:val="000000"/>
                <w:szCs w:val="18"/>
              </w:rPr>
            </w:pPr>
            <w:r w:rsidRPr="001D6512">
              <w:rPr>
                <w:rFonts w:cs="Arial"/>
                <w:color w:val="000000"/>
                <w:szCs w:val="18"/>
              </w:rPr>
              <w:t>Dining: Restaurants</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912</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503</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969</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769</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688</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1,077</w:t>
            </w:r>
          </w:p>
        </w:tc>
        <w:tc>
          <w:tcPr>
            <w:tcW w:w="452" w:type="pct"/>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648</w:t>
            </w:r>
          </w:p>
        </w:tc>
      </w:tr>
      <w:tr w:rsidR="0039108A" w:rsidRPr="00861542" w:rsidTr="0039108A">
        <w:trPr>
          <w:trHeight w:val="300"/>
        </w:trPr>
        <w:tc>
          <w:tcPr>
            <w:tcW w:w="1835" w:type="pct"/>
            <w:noWrap/>
          </w:tcPr>
          <w:p w:rsidR="0039108A" w:rsidRPr="001D6512" w:rsidRDefault="0039108A" w:rsidP="00DE12EC">
            <w:pPr>
              <w:pStyle w:val="TableCell"/>
              <w:spacing w:before="60" w:after="60" w:line="240" w:lineRule="auto"/>
              <w:rPr>
                <w:rFonts w:cs="Arial"/>
                <w:color w:val="000000"/>
                <w:szCs w:val="18"/>
              </w:rPr>
            </w:pPr>
            <w:r w:rsidRPr="001D6512">
              <w:rPr>
                <w:rFonts w:cs="Arial"/>
                <w:color w:val="000000"/>
                <w:szCs w:val="18"/>
              </w:rPr>
              <w:t>Gymnasium/Performing Arts Theatre</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690</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380</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733</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582</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520</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815</w:t>
            </w:r>
          </w:p>
        </w:tc>
        <w:tc>
          <w:tcPr>
            <w:tcW w:w="452" w:type="pct"/>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490</w:t>
            </w:r>
          </w:p>
        </w:tc>
      </w:tr>
      <w:tr w:rsidR="0039108A" w:rsidRPr="00861542" w:rsidTr="0039108A">
        <w:trPr>
          <w:trHeight w:val="300"/>
        </w:trPr>
        <w:tc>
          <w:tcPr>
            <w:tcW w:w="1835" w:type="pct"/>
            <w:noWrap/>
          </w:tcPr>
          <w:p w:rsidR="0039108A" w:rsidRPr="001D6512" w:rsidRDefault="0039108A" w:rsidP="00DE12EC">
            <w:pPr>
              <w:pStyle w:val="TableCell"/>
              <w:spacing w:before="60" w:after="60" w:line="240" w:lineRule="auto"/>
              <w:rPr>
                <w:rFonts w:cs="Arial"/>
                <w:color w:val="000000"/>
                <w:szCs w:val="18"/>
              </w:rPr>
            </w:pPr>
            <w:r w:rsidRPr="001D6512">
              <w:rPr>
                <w:rFonts w:cs="Arial"/>
                <w:color w:val="000000"/>
                <w:szCs w:val="18"/>
              </w:rPr>
              <w:t>Hospitals/Health care</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1,396</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770</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1,483</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1,177</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1,052</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1,648</w:t>
            </w:r>
          </w:p>
        </w:tc>
        <w:tc>
          <w:tcPr>
            <w:tcW w:w="452" w:type="pct"/>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992</w:t>
            </w:r>
          </w:p>
        </w:tc>
      </w:tr>
      <w:tr w:rsidR="0039108A" w:rsidRPr="00861542" w:rsidTr="0039108A">
        <w:trPr>
          <w:trHeight w:val="300"/>
        </w:trPr>
        <w:tc>
          <w:tcPr>
            <w:tcW w:w="1835" w:type="pct"/>
            <w:noWrap/>
          </w:tcPr>
          <w:p w:rsidR="0039108A" w:rsidRPr="001D6512" w:rsidRDefault="0039108A" w:rsidP="00DE12EC">
            <w:pPr>
              <w:pStyle w:val="TableCell"/>
              <w:spacing w:before="60" w:after="60" w:line="240" w:lineRule="auto"/>
              <w:rPr>
                <w:rFonts w:cs="Arial"/>
                <w:color w:val="000000"/>
                <w:szCs w:val="18"/>
              </w:rPr>
            </w:pPr>
            <w:r w:rsidRPr="001D6512">
              <w:rPr>
                <w:rFonts w:cs="Arial"/>
                <w:color w:val="000000"/>
                <w:szCs w:val="18"/>
              </w:rPr>
              <w:t>Industrial: 1 Shift/Light Manufacturing</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727</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401</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773</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613</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548</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859</w:t>
            </w:r>
          </w:p>
        </w:tc>
        <w:tc>
          <w:tcPr>
            <w:tcW w:w="452" w:type="pct"/>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517</w:t>
            </w:r>
          </w:p>
        </w:tc>
      </w:tr>
      <w:tr w:rsidR="0039108A" w:rsidRPr="00861542" w:rsidTr="0039108A">
        <w:trPr>
          <w:trHeight w:val="300"/>
        </w:trPr>
        <w:tc>
          <w:tcPr>
            <w:tcW w:w="1835" w:type="pct"/>
            <w:noWrap/>
          </w:tcPr>
          <w:p w:rsidR="0039108A" w:rsidRPr="001D6512" w:rsidRDefault="0039108A" w:rsidP="00DE12EC">
            <w:pPr>
              <w:pStyle w:val="TableCell"/>
              <w:spacing w:before="60" w:after="60" w:line="240" w:lineRule="auto"/>
              <w:rPr>
                <w:rFonts w:cs="Arial"/>
                <w:color w:val="000000"/>
                <w:szCs w:val="18"/>
              </w:rPr>
            </w:pPr>
            <w:r w:rsidRPr="001D6512">
              <w:rPr>
                <w:rFonts w:cs="Arial"/>
                <w:color w:val="000000"/>
                <w:szCs w:val="18"/>
              </w:rPr>
              <w:t>Industrial: 2 Shift</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988</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545</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1,050</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833</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745</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1,166</w:t>
            </w:r>
          </w:p>
        </w:tc>
        <w:tc>
          <w:tcPr>
            <w:tcW w:w="452" w:type="pct"/>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702</w:t>
            </w:r>
          </w:p>
        </w:tc>
      </w:tr>
      <w:tr w:rsidR="0039108A" w:rsidRPr="00861542" w:rsidTr="0039108A">
        <w:trPr>
          <w:trHeight w:val="300"/>
        </w:trPr>
        <w:tc>
          <w:tcPr>
            <w:tcW w:w="1835" w:type="pct"/>
            <w:noWrap/>
          </w:tcPr>
          <w:p w:rsidR="0039108A" w:rsidRPr="001D6512" w:rsidRDefault="0039108A" w:rsidP="00DE12EC">
            <w:pPr>
              <w:pStyle w:val="TableCell"/>
              <w:spacing w:before="60" w:after="60" w:line="240" w:lineRule="auto"/>
              <w:rPr>
                <w:rFonts w:cs="Arial"/>
                <w:color w:val="000000"/>
                <w:szCs w:val="18"/>
              </w:rPr>
            </w:pPr>
            <w:r w:rsidRPr="001D6512">
              <w:rPr>
                <w:rFonts w:cs="Arial"/>
                <w:color w:val="000000"/>
                <w:szCs w:val="18"/>
              </w:rPr>
              <w:t>Industrial: 3 Shift</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1,251</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690</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1,330</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1,055</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944</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1,478</w:t>
            </w:r>
          </w:p>
        </w:tc>
        <w:tc>
          <w:tcPr>
            <w:tcW w:w="452" w:type="pct"/>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889</w:t>
            </w:r>
          </w:p>
        </w:tc>
      </w:tr>
      <w:tr w:rsidR="0039108A" w:rsidRPr="00861542" w:rsidTr="0039108A">
        <w:trPr>
          <w:trHeight w:val="300"/>
        </w:trPr>
        <w:tc>
          <w:tcPr>
            <w:tcW w:w="1835" w:type="pct"/>
            <w:noWrap/>
          </w:tcPr>
          <w:p w:rsidR="0039108A" w:rsidRPr="001D6512" w:rsidRDefault="0039108A" w:rsidP="00DE12EC">
            <w:pPr>
              <w:pStyle w:val="TableCell"/>
              <w:spacing w:before="60" w:after="60" w:line="240" w:lineRule="auto"/>
              <w:rPr>
                <w:rFonts w:cs="Arial"/>
                <w:color w:val="000000"/>
                <w:szCs w:val="18"/>
              </w:rPr>
            </w:pPr>
            <w:r w:rsidRPr="001D6512">
              <w:rPr>
                <w:rFonts w:cs="Arial"/>
                <w:color w:val="000000"/>
                <w:szCs w:val="18"/>
              </w:rPr>
              <w:t>Lodging: Hotels/Motels/Dormitories</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756</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418</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805</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638</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571</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894</w:t>
            </w:r>
          </w:p>
        </w:tc>
        <w:tc>
          <w:tcPr>
            <w:tcW w:w="452" w:type="pct"/>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538</w:t>
            </w:r>
          </w:p>
        </w:tc>
      </w:tr>
      <w:tr w:rsidR="0039108A" w:rsidRPr="00861542" w:rsidTr="0039108A">
        <w:trPr>
          <w:trHeight w:val="300"/>
        </w:trPr>
        <w:tc>
          <w:tcPr>
            <w:tcW w:w="1835" w:type="pct"/>
            <w:noWrap/>
          </w:tcPr>
          <w:p w:rsidR="0039108A" w:rsidRPr="001D6512" w:rsidRDefault="0039108A" w:rsidP="00DE12EC">
            <w:pPr>
              <w:pStyle w:val="TableCell"/>
              <w:spacing w:before="60" w:after="60" w:line="240" w:lineRule="auto"/>
              <w:rPr>
                <w:rFonts w:cs="Arial"/>
                <w:color w:val="000000"/>
                <w:szCs w:val="18"/>
              </w:rPr>
            </w:pPr>
            <w:r w:rsidRPr="001D6512">
              <w:rPr>
                <w:rFonts w:cs="Arial"/>
                <w:color w:val="000000"/>
                <w:szCs w:val="18"/>
              </w:rPr>
              <w:t>Lodging: Residential</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757</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418</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805</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638</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571</w:t>
            </w:r>
          </w:p>
        </w:tc>
        <w:tc>
          <w:tcPr>
            <w:tcW w:w="452" w:type="pct"/>
            <w:noWrap/>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894</w:t>
            </w:r>
          </w:p>
        </w:tc>
        <w:tc>
          <w:tcPr>
            <w:tcW w:w="452" w:type="pct"/>
          </w:tcPr>
          <w:p w:rsidR="0039108A" w:rsidRPr="001D6512" w:rsidRDefault="0039108A" w:rsidP="00DE12EC">
            <w:pPr>
              <w:pStyle w:val="TableCell"/>
              <w:spacing w:before="60" w:after="60" w:line="240" w:lineRule="auto"/>
              <w:jc w:val="right"/>
              <w:rPr>
                <w:rFonts w:cs="Arial"/>
                <w:color w:val="000000"/>
                <w:szCs w:val="18"/>
              </w:rPr>
            </w:pPr>
            <w:r w:rsidRPr="001D6512">
              <w:rPr>
                <w:rFonts w:cs="Arial"/>
                <w:color w:val="000000"/>
                <w:szCs w:val="18"/>
              </w:rPr>
              <w:t>538</w:t>
            </w:r>
          </w:p>
        </w:tc>
      </w:tr>
      <w:tr w:rsidR="0039108A" w:rsidRPr="00861542" w:rsidTr="0039108A">
        <w:trPr>
          <w:trHeight w:val="300"/>
        </w:trPr>
        <w:tc>
          <w:tcPr>
            <w:tcW w:w="1835" w:type="pct"/>
            <w:noWrap/>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Multi-Family (Common Areas)</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1,395</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769</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1,482</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1,176</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1,052</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1,647</w:t>
            </w:r>
          </w:p>
        </w:tc>
        <w:tc>
          <w:tcPr>
            <w:tcW w:w="452" w:type="pct"/>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991</w:t>
            </w:r>
          </w:p>
        </w:tc>
      </w:tr>
      <w:tr w:rsidR="0039108A" w:rsidRPr="00861542" w:rsidTr="0039108A">
        <w:trPr>
          <w:trHeight w:val="300"/>
        </w:trPr>
        <w:tc>
          <w:tcPr>
            <w:tcW w:w="1835" w:type="pct"/>
            <w:noWrap/>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Museum/Library</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851</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469</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905</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718</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642</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1,005</w:t>
            </w:r>
          </w:p>
        </w:tc>
        <w:tc>
          <w:tcPr>
            <w:tcW w:w="452" w:type="pct"/>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605</w:t>
            </w:r>
          </w:p>
        </w:tc>
      </w:tr>
      <w:tr w:rsidR="0039108A" w:rsidRPr="00861542" w:rsidTr="0039108A">
        <w:trPr>
          <w:trHeight w:val="300"/>
        </w:trPr>
        <w:tc>
          <w:tcPr>
            <w:tcW w:w="1835" w:type="pct"/>
            <w:noWrap/>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Nursing Homes</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1,141</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630</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1,213</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963</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861</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1,348</w:t>
            </w:r>
          </w:p>
        </w:tc>
        <w:tc>
          <w:tcPr>
            <w:tcW w:w="452" w:type="pct"/>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811</w:t>
            </w:r>
          </w:p>
        </w:tc>
      </w:tr>
      <w:tr w:rsidR="0039108A" w:rsidRPr="00861542" w:rsidTr="0039108A">
        <w:trPr>
          <w:trHeight w:val="300"/>
        </w:trPr>
        <w:tc>
          <w:tcPr>
            <w:tcW w:w="1835" w:type="pct"/>
            <w:noWrap/>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Office: General/Retail</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851</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469</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905</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718</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642</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1,005</w:t>
            </w:r>
          </w:p>
        </w:tc>
        <w:tc>
          <w:tcPr>
            <w:tcW w:w="452" w:type="pct"/>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605</w:t>
            </w:r>
          </w:p>
        </w:tc>
      </w:tr>
      <w:tr w:rsidR="0039108A" w:rsidRPr="00861542" w:rsidTr="0039108A">
        <w:trPr>
          <w:trHeight w:val="300"/>
        </w:trPr>
        <w:tc>
          <w:tcPr>
            <w:tcW w:w="1835" w:type="pct"/>
            <w:noWrap/>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Office: Medical/Banks</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851</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469</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905</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718</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642</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1,005</w:t>
            </w:r>
          </w:p>
        </w:tc>
        <w:tc>
          <w:tcPr>
            <w:tcW w:w="452" w:type="pct"/>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605</w:t>
            </w:r>
          </w:p>
        </w:tc>
      </w:tr>
      <w:tr w:rsidR="0039108A" w:rsidRPr="00861542" w:rsidTr="0039108A">
        <w:trPr>
          <w:trHeight w:val="300"/>
        </w:trPr>
        <w:tc>
          <w:tcPr>
            <w:tcW w:w="1835" w:type="pct"/>
            <w:noWrap/>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Parking Garages &amp; Lots</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938</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517</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997</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791</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707</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1,107</w:t>
            </w:r>
          </w:p>
        </w:tc>
        <w:tc>
          <w:tcPr>
            <w:tcW w:w="452" w:type="pct"/>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666</w:t>
            </w:r>
          </w:p>
        </w:tc>
      </w:tr>
      <w:tr w:rsidR="0039108A" w:rsidRPr="00861542" w:rsidTr="0039108A">
        <w:trPr>
          <w:trHeight w:val="300"/>
        </w:trPr>
        <w:tc>
          <w:tcPr>
            <w:tcW w:w="1835" w:type="pct"/>
            <w:noWrap/>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Penitentiary</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1,091</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602</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1,160</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920</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823</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1,289</w:t>
            </w:r>
          </w:p>
        </w:tc>
        <w:tc>
          <w:tcPr>
            <w:tcW w:w="452" w:type="pct"/>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775</w:t>
            </w:r>
          </w:p>
        </w:tc>
      </w:tr>
      <w:tr w:rsidR="0039108A" w:rsidRPr="00861542" w:rsidTr="0039108A">
        <w:trPr>
          <w:trHeight w:val="300"/>
        </w:trPr>
        <w:tc>
          <w:tcPr>
            <w:tcW w:w="1835" w:type="pct"/>
            <w:noWrap/>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Police/Fire Stations (24 Hr)</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1,395</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769</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1,482</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1,176</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1,052</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1,647</w:t>
            </w:r>
          </w:p>
        </w:tc>
        <w:tc>
          <w:tcPr>
            <w:tcW w:w="452" w:type="pct"/>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991</w:t>
            </w:r>
          </w:p>
        </w:tc>
      </w:tr>
      <w:tr w:rsidR="0039108A" w:rsidRPr="00861542" w:rsidTr="0039108A">
        <w:trPr>
          <w:trHeight w:val="300"/>
        </w:trPr>
        <w:tc>
          <w:tcPr>
            <w:tcW w:w="1835" w:type="pct"/>
            <w:noWrap/>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Post Office/Town Hall/Court House</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851</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469</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905</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718</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642</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1,005</w:t>
            </w:r>
          </w:p>
        </w:tc>
        <w:tc>
          <w:tcPr>
            <w:tcW w:w="452" w:type="pct"/>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605</w:t>
            </w:r>
          </w:p>
        </w:tc>
      </w:tr>
      <w:tr w:rsidR="0039108A" w:rsidRPr="00861542" w:rsidTr="0039108A">
        <w:trPr>
          <w:trHeight w:val="300"/>
        </w:trPr>
        <w:tc>
          <w:tcPr>
            <w:tcW w:w="1835" w:type="pct"/>
            <w:noWrap/>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Religious Buildings/Church</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602</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332</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640</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508</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454</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711</w:t>
            </w:r>
          </w:p>
        </w:tc>
        <w:tc>
          <w:tcPr>
            <w:tcW w:w="452" w:type="pct"/>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428</w:t>
            </w:r>
          </w:p>
        </w:tc>
      </w:tr>
      <w:tr w:rsidR="0039108A" w:rsidRPr="00861542" w:rsidTr="0039108A">
        <w:trPr>
          <w:trHeight w:val="300"/>
        </w:trPr>
        <w:tc>
          <w:tcPr>
            <w:tcW w:w="1835" w:type="pct"/>
            <w:noWrap/>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Retail</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894</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493</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950</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754</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674</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1,055</w:t>
            </w:r>
          </w:p>
        </w:tc>
        <w:tc>
          <w:tcPr>
            <w:tcW w:w="452" w:type="pct"/>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635</w:t>
            </w:r>
          </w:p>
        </w:tc>
      </w:tr>
      <w:tr w:rsidR="0039108A" w:rsidRPr="00861542" w:rsidTr="0039108A">
        <w:trPr>
          <w:trHeight w:val="300"/>
        </w:trPr>
        <w:tc>
          <w:tcPr>
            <w:tcW w:w="1835" w:type="pct"/>
            <w:noWrap/>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Schools/University</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634</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350</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674</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535</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478</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749</w:t>
            </w:r>
          </w:p>
        </w:tc>
        <w:tc>
          <w:tcPr>
            <w:tcW w:w="452" w:type="pct"/>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451</w:t>
            </w:r>
          </w:p>
        </w:tc>
      </w:tr>
      <w:tr w:rsidR="0039108A" w:rsidRPr="00861542" w:rsidTr="0039108A">
        <w:trPr>
          <w:trHeight w:val="300"/>
        </w:trPr>
        <w:tc>
          <w:tcPr>
            <w:tcW w:w="1835" w:type="pct"/>
            <w:noWrap/>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Warehouses (Not Refrigerated)</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692</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382</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735</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583</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522</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817</w:t>
            </w:r>
          </w:p>
        </w:tc>
        <w:tc>
          <w:tcPr>
            <w:tcW w:w="452" w:type="pct"/>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492</w:t>
            </w:r>
          </w:p>
        </w:tc>
      </w:tr>
      <w:tr w:rsidR="0039108A" w:rsidRPr="00861542" w:rsidTr="0039108A">
        <w:trPr>
          <w:trHeight w:val="300"/>
        </w:trPr>
        <w:tc>
          <w:tcPr>
            <w:tcW w:w="1835" w:type="pct"/>
            <w:noWrap/>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Warehouses (Refrigerated)</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692</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382</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735</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583</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522</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817</w:t>
            </w:r>
          </w:p>
        </w:tc>
        <w:tc>
          <w:tcPr>
            <w:tcW w:w="452" w:type="pct"/>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492</w:t>
            </w:r>
          </w:p>
        </w:tc>
      </w:tr>
      <w:tr w:rsidR="0039108A" w:rsidRPr="00861542" w:rsidTr="0039108A">
        <w:trPr>
          <w:trHeight w:val="300"/>
        </w:trPr>
        <w:tc>
          <w:tcPr>
            <w:tcW w:w="1835" w:type="pct"/>
            <w:noWrap/>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Waste Water Treatment Plant</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1,265</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1,473</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1,204</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1,208</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1,270</w:t>
            </w:r>
          </w:p>
        </w:tc>
        <w:tc>
          <w:tcPr>
            <w:tcW w:w="452" w:type="pct"/>
            <w:noWrap/>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1,182</w:t>
            </w:r>
          </w:p>
        </w:tc>
        <w:tc>
          <w:tcPr>
            <w:tcW w:w="452" w:type="pct"/>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1,285</w:t>
            </w:r>
          </w:p>
        </w:tc>
      </w:tr>
    </w:tbl>
    <w:p w:rsidR="0039108A" w:rsidRDefault="0039108A" w:rsidP="0039108A">
      <w:pPr>
        <w:pStyle w:val="Caption"/>
        <w:jc w:val="left"/>
      </w:pPr>
    </w:p>
    <w:p w:rsidR="0039108A" w:rsidRDefault="0039108A" w:rsidP="0039108A">
      <w:pPr>
        <w:pStyle w:val="Caption"/>
      </w:pPr>
      <w:bookmarkStart w:id="993" w:name="_Ref296696488"/>
      <w:bookmarkStart w:id="994" w:name="_Toc310875620"/>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68</w:t>
      </w:r>
      <w:r w:rsidR="00274AB1">
        <w:rPr>
          <w:noProof/>
        </w:rPr>
        <w:fldChar w:fldCharType="end"/>
      </w:r>
      <w:r>
        <w:t xml:space="preserve">: </w:t>
      </w:r>
      <w:bookmarkEnd w:id="993"/>
      <w:r>
        <w:t>Heating EFLH for Pennsylvania Cities</w:t>
      </w:r>
      <w:r>
        <w:rPr>
          <w:rStyle w:val="FootnoteReference"/>
        </w:rPr>
        <w:footnoteReference w:id="200"/>
      </w:r>
      <w:r w:rsidR="00937EC7">
        <w:rPr>
          <w:vertAlign w:val="superscript"/>
        </w:rPr>
        <w:t xml:space="preserve">, </w:t>
      </w:r>
      <w:r w:rsidR="000B6706">
        <w:rPr>
          <w:rStyle w:val="FootnoteReference"/>
        </w:rPr>
        <w:footnoteReference w:id="201"/>
      </w:r>
      <w:r w:rsidR="00937EC7">
        <w:rPr>
          <w:vertAlign w:val="superscript"/>
        </w:rPr>
        <w:t xml:space="preserve">, </w:t>
      </w:r>
      <w:r>
        <w:rPr>
          <w:rStyle w:val="FootnoteReference"/>
        </w:rPr>
        <w:footnoteReference w:id="202"/>
      </w:r>
      <w:bookmarkEnd w:id="994"/>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79"/>
        <w:gridCol w:w="812"/>
        <w:gridCol w:w="812"/>
        <w:gridCol w:w="813"/>
        <w:gridCol w:w="813"/>
        <w:gridCol w:w="813"/>
        <w:gridCol w:w="813"/>
        <w:gridCol w:w="813"/>
      </w:tblGrid>
      <w:tr w:rsidR="0039108A" w:rsidRPr="008B1B2F" w:rsidTr="0039108A">
        <w:trPr>
          <w:cantSplit/>
          <w:trHeight w:hRule="exact" w:val="1296"/>
          <w:tblHeader/>
        </w:trPr>
        <w:tc>
          <w:tcPr>
            <w:tcW w:w="1829" w:type="pct"/>
            <w:shd w:val="clear" w:color="auto" w:fill="BFBFBF"/>
            <w:vAlign w:val="bottom"/>
          </w:tcPr>
          <w:p w:rsidR="0039108A" w:rsidRPr="001D6512" w:rsidRDefault="0039108A" w:rsidP="0039108A">
            <w:pPr>
              <w:pStyle w:val="TableCell"/>
              <w:spacing w:before="60" w:after="60" w:line="240" w:lineRule="auto"/>
              <w:contextualSpacing/>
              <w:rPr>
                <w:rFonts w:cs="Arial"/>
                <w:b/>
                <w:szCs w:val="18"/>
              </w:rPr>
            </w:pPr>
            <w:r w:rsidRPr="001D6512">
              <w:rPr>
                <w:rFonts w:cs="Arial"/>
                <w:b/>
                <w:szCs w:val="18"/>
              </w:rPr>
              <w:t>Space and/or Building Type</w:t>
            </w:r>
          </w:p>
        </w:tc>
        <w:tc>
          <w:tcPr>
            <w:tcW w:w="453" w:type="pct"/>
            <w:shd w:val="clear" w:color="auto" w:fill="BFBFBF"/>
            <w:textDirection w:val="btLr"/>
            <w:vAlign w:val="center"/>
          </w:tcPr>
          <w:p w:rsidR="0039108A" w:rsidRPr="001D6512" w:rsidRDefault="0039108A" w:rsidP="0039108A">
            <w:pPr>
              <w:pStyle w:val="TableCell"/>
              <w:spacing w:before="60" w:after="60" w:line="240" w:lineRule="auto"/>
              <w:ind w:left="60"/>
              <w:contextualSpacing/>
              <w:rPr>
                <w:rFonts w:cs="Arial"/>
                <w:b/>
                <w:szCs w:val="18"/>
              </w:rPr>
            </w:pPr>
            <w:r w:rsidRPr="001D6512">
              <w:rPr>
                <w:rFonts w:cs="Arial"/>
                <w:b/>
                <w:szCs w:val="18"/>
              </w:rPr>
              <w:t>Allentown</w:t>
            </w:r>
          </w:p>
        </w:tc>
        <w:tc>
          <w:tcPr>
            <w:tcW w:w="453" w:type="pct"/>
            <w:shd w:val="clear" w:color="auto" w:fill="BFBFBF"/>
            <w:textDirection w:val="btLr"/>
            <w:vAlign w:val="center"/>
          </w:tcPr>
          <w:p w:rsidR="0039108A" w:rsidRPr="001D6512" w:rsidRDefault="0039108A" w:rsidP="0039108A">
            <w:pPr>
              <w:pStyle w:val="TableCell"/>
              <w:spacing w:before="60" w:after="60" w:line="240" w:lineRule="auto"/>
              <w:ind w:left="60"/>
              <w:contextualSpacing/>
              <w:rPr>
                <w:rFonts w:cs="Arial"/>
                <w:b/>
                <w:szCs w:val="18"/>
              </w:rPr>
            </w:pPr>
            <w:r w:rsidRPr="001D6512">
              <w:rPr>
                <w:rFonts w:cs="Arial"/>
                <w:b/>
                <w:szCs w:val="18"/>
              </w:rPr>
              <w:t>Erie</w:t>
            </w:r>
          </w:p>
        </w:tc>
        <w:tc>
          <w:tcPr>
            <w:tcW w:w="453" w:type="pct"/>
            <w:shd w:val="clear" w:color="auto" w:fill="BFBFBF"/>
            <w:textDirection w:val="btLr"/>
            <w:vAlign w:val="center"/>
          </w:tcPr>
          <w:p w:rsidR="0039108A" w:rsidRPr="001D6512" w:rsidRDefault="0039108A" w:rsidP="0039108A">
            <w:pPr>
              <w:pStyle w:val="TableCell"/>
              <w:spacing w:before="60" w:after="60" w:line="240" w:lineRule="auto"/>
              <w:ind w:left="60"/>
              <w:contextualSpacing/>
              <w:rPr>
                <w:rFonts w:cs="Arial"/>
                <w:b/>
                <w:szCs w:val="18"/>
              </w:rPr>
            </w:pPr>
            <w:r w:rsidRPr="001D6512">
              <w:rPr>
                <w:rFonts w:cs="Arial"/>
                <w:b/>
                <w:szCs w:val="18"/>
              </w:rPr>
              <w:t>Harrisburg</w:t>
            </w:r>
          </w:p>
        </w:tc>
        <w:tc>
          <w:tcPr>
            <w:tcW w:w="453" w:type="pct"/>
            <w:shd w:val="clear" w:color="auto" w:fill="BFBFBF"/>
            <w:textDirection w:val="btLr"/>
            <w:vAlign w:val="center"/>
          </w:tcPr>
          <w:p w:rsidR="0039108A" w:rsidRPr="001D6512" w:rsidRDefault="0039108A" w:rsidP="0039108A">
            <w:pPr>
              <w:pStyle w:val="TableCell"/>
              <w:spacing w:before="60" w:after="60" w:line="240" w:lineRule="auto"/>
              <w:ind w:left="60"/>
              <w:contextualSpacing/>
              <w:rPr>
                <w:rFonts w:cs="Arial"/>
                <w:b/>
                <w:szCs w:val="18"/>
              </w:rPr>
            </w:pPr>
            <w:r w:rsidRPr="001D6512">
              <w:rPr>
                <w:rFonts w:cs="Arial"/>
                <w:b/>
                <w:szCs w:val="18"/>
              </w:rPr>
              <w:t>Pittsburgh</w:t>
            </w:r>
          </w:p>
        </w:tc>
        <w:tc>
          <w:tcPr>
            <w:tcW w:w="453" w:type="pct"/>
            <w:shd w:val="clear" w:color="auto" w:fill="BFBFBF"/>
            <w:textDirection w:val="btLr"/>
            <w:vAlign w:val="center"/>
          </w:tcPr>
          <w:p w:rsidR="0039108A" w:rsidRPr="001D6512" w:rsidRDefault="0039108A" w:rsidP="0039108A">
            <w:pPr>
              <w:pStyle w:val="TableCell"/>
              <w:spacing w:before="60" w:after="60" w:line="240" w:lineRule="auto"/>
              <w:ind w:left="60"/>
              <w:contextualSpacing/>
              <w:rPr>
                <w:rFonts w:cs="Arial"/>
                <w:b/>
                <w:szCs w:val="18"/>
              </w:rPr>
            </w:pPr>
            <w:r w:rsidRPr="001D6512">
              <w:rPr>
                <w:rFonts w:cs="Arial"/>
                <w:b/>
                <w:szCs w:val="18"/>
              </w:rPr>
              <w:t>Williamsport</w:t>
            </w:r>
          </w:p>
        </w:tc>
        <w:tc>
          <w:tcPr>
            <w:tcW w:w="453" w:type="pct"/>
            <w:shd w:val="clear" w:color="auto" w:fill="BFBFBF"/>
            <w:textDirection w:val="btLr"/>
            <w:vAlign w:val="center"/>
          </w:tcPr>
          <w:p w:rsidR="0039108A" w:rsidRPr="001D6512" w:rsidRDefault="0039108A" w:rsidP="0039108A">
            <w:pPr>
              <w:pStyle w:val="TableCell"/>
              <w:spacing w:before="60" w:after="60" w:line="240" w:lineRule="auto"/>
              <w:ind w:left="60"/>
              <w:contextualSpacing/>
              <w:rPr>
                <w:rFonts w:cs="Arial"/>
                <w:b/>
                <w:szCs w:val="18"/>
              </w:rPr>
            </w:pPr>
            <w:r w:rsidRPr="001D6512">
              <w:rPr>
                <w:rFonts w:cs="Arial"/>
                <w:b/>
                <w:szCs w:val="18"/>
              </w:rPr>
              <w:t>Philadelphia</w:t>
            </w:r>
          </w:p>
        </w:tc>
        <w:tc>
          <w:tcPr>
            <w:tcW w:w="453" w:type="pct"/>
            <w:shd w:val="clear" w:color="auto" w:fill="BFBFBF"/>
            <w:textDirection w:val="btLr"/>
            <w:vAlign w:val="center"/>
          </w:tcPr>
          <w:p w:rsidR="0039108A" w:rsidRPr="001D6512" w:rsidRDefault="0039108A" w:rsidP="0039108A">
            <w:pPr>
              <w:pStyle w:val="TableCell"/>
              <w:spacing w:before="60" w:after="60" w:line="240" w:lineRule="auto"/>
              <w:ind w:left="60"/>
              <w:rPr>
                <w:rFonts w:cs="Arial"/>
                <w:b/>
                <w:szCs w:val="18"/>
              </w:rPr>
            </w:pPr>
            <w:r w:rsidRPr="001D6512">
              <w:rPr>
                <w:rFonts w:cs="Arial"/>
                <w:b/>
                <w:szCs w:val="18"/>
              </w:rPr>
              <w:t>Scranton</w:t>
            </w:r>
          </w:p>
        </w:tc>
      </w:tr>
      <w:tr w:rsidR="0039108A" w:rsidRPr="008B1B2F" w:rsidTr="0039108A">
        <w:trPr>
          <w:trHeight w:val="300"/>
        </w:trPr>
        <w:tc>
          <w:tcPr>
            <w:tcW w:w="1829" w:type="pct"/>
            <w:noWrap/>
            <w:vAlign w:val="center"/>
          </w:tcPr>
          <w:p w:rsidR="0039108A" w:rsidRPr="001D6512" w:rsidRDefault="0039108A" w:rsidP="0039108A">
            <w:pPr>
              <w:pStyle w:val="TableCell"/>
              <w:spacing w:before="60" w:after="60" w:line="240" w:lineRule="auto"/>
              <w:rPr>
                <w:rFonts w:cs="Arial"/>
                <w:color w:val="000000"/>
                <w:szCs w:val="18"/>
              </w:rPr>
            </w:pPr>
            <w:r w:rsidRPr="001D6512">
              <w:rPr>
                <w:rFonts w:cs="Arial"/>
                <w:color w:val="000000"/>
                <w:szCs w:val="18"/>
              </w:rPr>
              <w:t>Arena/Auditorium/Convention Center</w:t>
            </w:r>
          </w:p>
        </w:tc>
        <w:tc>
          <w:tcPr>
            <w:tcW w:w="453" w:type="pct"/>
            <w:noWrap/>
            <w:vAlign w:val="center"/>
          </w:tcPr>
          <w:p w:rsidR="0039108A" w:rsidRPr="001D6512" w:rsidRDefault="0039108A" w:rsidP="0039108A">
            <w:pPr>
              <w:pStyle w:val="TableCell"/>
              <w:spacing w:before="60" w:after="60" w:line="240" w:lineRule="auto"/>
              <w:jc w:val="right"/>
              <w:rPr>
                <w:rFonts w:cs="Arial"/>
                <w:color w:val="000000"/>
                <w:szCs w:val="18"/>
              </w:rPr>
            </w:pPr>
            <w:r w:rsidRPr="001D6512">
              <w:rPr>
                <w:rFonts w:cs="Arial"/>
                <w:color w:val="000000"/>
                <w:szCs w:val="18"/>
              </w:rPr>
              <w:t>1,719</w:t>
            </w:r>
          </w:p>
        </w:tc>
        <w:tc>
          <w:tcPr>
            <w:tcW w:w="453" w:type="pct"/>
            <w:noWrap/>
            <w:vAlign w:val="center"/>
          </w:tcPr>
          <w:p w:rsidR="0039108A" w:rsidRPr="001D6512" w:rsidRDefault="0039108A" w:rsidP="0039108A">
            <w:pPr>
              <w:pStyle w:val="TableCell"/>
              <w:spacing w:before="60" w:after="60" w:line="240" w:lineRule="auto"/>
              <w:jc w:val="right"/>
              <w:rPr>
                <w:rFonts w:cs="Arial"/>
                <w:color w:val="000000"/>
                <w:szCs w:val="18"/>
              </w:rPr>
            </w:pPr>
            <w:r w:rsidRPr="001D6512">
              <w:rPr>
                <w:rFonts w:cs="Arial"/>
                <w:color w:val="000000"/>
                <w:szCs w:val="18"/>
              </w:rPr>
              <w:t>2,002</w:t>
            </w:r>
          </w:p>
        </w:tc>
        <w:tc>
          <w:tcPr>
            <w:tcW w:w="453" w:type="pct"/>
            <w:noWrap/>
            <w:vAlign w:val="center"/>
          </w:tcPr>
          <w:p w:rsidR="0039108A" w:rsidRPr="001D6512" w:rsidRDefault="0039108A" w:rsidP="0039108A">
            <w:pPr>
              <w:pStyle w:val="TableCell"/>
              <w:spacing w:before="60" w:after="60" w:line="240" w:lineRule="auto"/>
              <w:jc w:val="right"/>
              <w:rPr>
                <w:rFonts w:cs="Arial"/>
                <w:color w:val="000000"/>
                <w:szCs w:val="18"/>
              </w:rPr>
            </w:pPr>
            <w:r w:rsidRPr="001D6512">
              <w:rPr>
                <w:rFonts w:cs="Arial"/>
                <w:color w:val="000000"/>
                <w:szCs w:val="18"/>
              </w:rPr>
              <w:t>1,636</w:t>
            </w:r>
          </w:p>
        </w:tc>
        <w:tc>
          <w:tcPr>
            <w:tcW w:w="453" w:type="pct"/>
            <w:noWrap/>
            <w:vAlign w:val="center"/>
          </w:tcPr>
          <w:p w:rsidR="0039108A" w:rsidRPr="001D6512" w:rsidRDefault="0039108A" w:rsidP="0039108A">
            <w:pPr>
              <w:pStyle w:val="TableCell"/>
              <w:spacing w:before="60" w:after="60" w:line="240" w:lineRule="auto"/>
              <w:jc w:val="right"/>
              <w:rPr>
                <w:rFonts w:cs="Arial"/>
                <w:color w:val="000000"/>
                <w:szCs w:val="18"/>
              </w:rPr>
            </w:pPr>
            <w:r w:rsidRPr="001D6512">
              <w:rPr>
                <w:rFonts w:cs="Arial"/>
                <w:color w:val="000000"/>
                <w:szCs w:val="18"/>
              </w:rPr>
              <w:t>1,642</w:t>
            </w:r>
          </w:p>
        </w:tc>
        <w:tc>
          <w:tcPr>
            <w:tcW w:w="453" w:type="pct"/>
            <w:noWrap/>
            <w:vAlign w:val="center"/>
          </w:tcPr>
          <w:p w:rsidR="0039108A" w:rsidRPr="001D6512" w:rsidRDefault="0039108A" w:rsidP="0039108A">
            <w:pPr>
              <w:pStyle w:val="TableCell"/>
              <w:spacing w:before="60" w:after="60" w:line="240" w:lineRule="auto"/>
              <w:jc w:val="right"/>
              <w:rPr>
                <w:rFonts w:cs="Arial"/>
                <w:color w:val="000000"/>
                <w:szCs w:val="18"/>
              </w:rPr>
            </w:pPr>
            <w:r w:rsidRPr="001D6512">
              <w:rPr>
                <w:rFonts w:cs="Arial"/>
                <w:color w:val="000000"/>
                <w:szCs w:val="18"/>
              </w:rPr>
              <w:t>1,726</w:t>
            </w:r>
          </w:p>
        </w:tc>
        <w:tc>
          <w:tcPr>
            <w:tcW w:w="453" w:type="pct"/>
            <w:noWrap/>
            <w:vAlign w:val="center"/>
          </w:tcPr>
          <w:p w:rsidR="0039108A" w:rsidRPr="001D6512" w:rsidRDefault="0039108A" w:rsidP="0039108A">
            <w:pPr>
              <w:pStyle w:val="TableCell"/>
              <w:spacing w:before="60" w:after="60" w:line="240" w:lineRule="auto"/>
              <w:jc w:val="right"/>
              <w:rPr>
                <w:rFonts w:cs="Arial"/>
                <w:color w:val="000000"/>
                <w:szCs w:val="18"/>
              </w:rPr>
            </w:pPr>
            <w:r w:rsidRPr="001D6512">
              <w:rPr>
                <w:rFonts w:cs="Arial"/>
                <w:color w:val="000000"/>
                <w:szCs w:val="18"/>
              </w:rPr>
              <w:t>1,606</w:t>
            </w:r>
          </w:p>
        </w:tc>
        <w:tc>
          <w:tcPr>
            <w:tcW w:w="453" w:type="pct"/>
            <w:vAlign w:val="center"/>
          </w:tcPr>
          <w:p w:rsidR="0039108A" w:rsidRPr="001D6512" w:rsidRDefault="0039108A" w:rsidP="0039108A">
            <w:pPr>
              <w:pStyle w:val="TableCell"/>
              <w:spacing w:before="60" w:after="60" w:line="240" w:lineRule="auto"/>
              <w:jc w:val="right"/>
              <w:rPr>
                <w:rFonts w:cs="Arial"/>
                <w:color w:val="000000"/>
                <w:szCs w:val="18"/>
              </w:rPr>
            </w:pPr>
            <w:r w:rsidRPr="001D6512">
              <w:rPr>
                <w:rFonts w:cs="Arial"/>
                <w:color w:val="000000"/>
                <w:szCs w:val="18"/>
              </w:rPr>
              <w:t>1,747</w:t>
            </w:r>
          </w:p>
        </w:tc>
      </w:tr>
      <w:tr w:rsidR="0039108A" w:rsidRPr="008B1B2F" w:rsidTr="0039108A">
        <w:trPr>
          <w:trHeight w:val="300"/>
        </w:trPr>
        <w:tc>
          <w:tcPr>
            <w:tcW w:w="1829" w:type="pct"/>
            <w:noWrap/>
            <w:vAlign w:val="center"/>
          </w:tcPr>
          <w:p w:rsidR="0039108A" w:rsidRPr="001D6512" w:rsidRDefault="0039108A" w:rsidP="0039108A">
            <w:pPr>
              <w:pStyle w:val="TableCell"/>
              <w:spacing w:before="60" w:after="60" w:line="240" w:lineRule="auto"/>
              <w:rPr>
                <w:rFonts w:cs="Arial"/>
                <w:color w:val="000000"/>
                <w:szCs w:val="18"/>
              </w:rPr>
            </w:pPr>
            <w:r w:rsidRPr="001D6512">
              <w:rPr>
                <w:rFonts w:cs="Arial"/>
                <w:color w:val="000000"/>
                <w:szCs w:val="18"/>
              </w:rPr>
              <w:t>College: Classes/Administrative</w:t>
            </w:r>
          </w:p>
        </w:tc>
        <w:tc>
          <w:tcPr>
            <w:tcW w:w="453" w:type="pct"/>
            <w:noWrap/>
            <w:vAlign w:val="center"/>
          </w:tcPr>
          <w:p w:rsidR="0039108A" w:rsidRPr="001D6512" w:rsidRDefault="0039108A" w:rsidP="0039108A">
            <w:pPr>
              <w:pStyle w:val="TableCell"/>
              <w:spacing w:before="60" w:after="60" w:line="240" w:lineRule="auto"/>
              <w:jc w:val="right"/>
              <w:rPr>
                <w:rFonts w:cs="Arial"/>
                <w:color w:val="000000"/>
                <w:szCs w:val="18"/>
              </w:rPr>
            </w:pPr>
            <w:r w:rsidRPr="001D6512">
              <w:rPr>
                <w:rFonts w:cs="Arial"/>
                <w:color w:val="000000"/>
                <w:szCs w:val="18"/>
              </w:rPr>
              <w:t>1,559</w:t>
            </w:r>
          </w:p>
        </w:tc>
        <w:tc>
          <w:tcPr>
            <w:tcW w:w="453" w:type="pct"/>
            <w:noWrap/>
            <w:vAlign w:val="center"/>
          </w:tcPr>
          <w:p w:rsidR="0039108A" w:rsidRPr="001D6512" w:rsidRDefault="0039108A" w:rsidP="0039108A">
            <w:pPr>
              <w:pStyle w:val="TableCell"/>
              <w:spacing w:before="60" w:after="60" w:line="240" w:lineRule="auto"/>
              <w:jc w:val="right"/>
              <w:rPr>
                <w:rFonts w:cs="Arial"/>
                <w:color w:val="000000"/>
                <w:szCs w:val="18"/>
              </w:rPr>
            </w:pPr>
            <w:r w:rsidRPr="001D6512">
              <w:rPr>
                <w:rFonts w:cs="Arial"/>
                <w:color w:val="000000"/>
                <w:szCs w:val="18"/>
              </w:rPr>
              <w:t>1,815</w:t>
            </w:r>
          </w:p>
        </w:tc>
        <w:tc>
          <w:tcPr>
            <w:tcW w:w="453" w:type="pct"/>
            <w:noWrap/>
            <w:vAlign w:val="center"/>
          </w:tcPr>
          <w:p w:rsidR="0039108A" w:rsidRPr="001D6512" w:rsidRDefault="0039108A" w:rsidP="0039108A">
            <w:pPr>
              <w:pStyle w:val="TableCell"/>
              <w:spacing w:before="60" w:after="60" w:line="240" w:lineRule="auto"/>
              <w:jc w:val="right"/>
              <w:rPr>
                <w:rFonts w:cs="Arial"/>
                <w:color w:val="000000"/>
                <w:szCs w:val="18"/>
              </w:rPr>
            </w:pPr>
            <w:r w:rsidRPr="001D6512">
              <w:rPr>
                <w:rFonts w:cs="Arial"/>
                <w:color w:val="000000"/>
                <w:szCs w:val="18"/>
              </w:rPr>
              <w:t>1,484</w:t>
            </w:r>
          </w:p>
        </w:tc>
        <w:tc>
          <w:tcPr>
            <w:tcW w:w="453" w:type="pct"/>
            <w:noWrap/>
            <w:vAlign w:val="center"/>
          </w:tcPr>
          <w:p w:rsidR="0039108A" w:rsidRPr="001D6512" w:rsidRDefault="0039108A" w:rsidP="0039108A">
            <w:pPr>
              <w:pStyle w:val="TableCell"/>
              <w:spacing w:before="60" w:after="60" w:line="240" w:lineRule="auto"/>
              <w:jc w:val="right"/>
              <w:rPr>
                <w:rFonts w:cs="Arial"/>
                <w:color w:val="000000"/>
                <w:szCs w:val="18"/>
              </w:rPr>
            </w:pPr>
            <w:r w:rsidRPr="001D6512">
              <w:rPr>
                <w:rFonts w:cs="Arial"/>
                <w:color w:val="000000"/>
                <w:szCs w:val="18"/>
              </w:rPr>
              <w:t>1,489</w:t>
            </w:r>
          </w:p>
        </w:tc>
        <w:tc>
          <w:tcPr>
            <w:tcW w:w="453" w:type="pct"/>
            <w:noWrap/>
            <w:vAlign w:val="center"/>
          </w:tcPr>
          <w:p w:rsidR="0039108A" w:rsidRPr="001D6512" w:rsidRDefault="0039108A" w:rsidP="0039108A">
            <w:pPr>
              <w:pStyle w:val="TableCell"/>
              <w:spacing w:before="60" w:after="60" w:line="240" w:lineRule="auto"/>
              <w:jc w:val="right"/>
              <w:rPr>
                <w:rFonts w:cs="Arial"/>
                <w:color w:val="000000"/>
                <w:szCs w:val="18"/>
              </w:rPr>
            </w:pPr>
            <w:r w:rsidRPr="001D6512">
              <w:rPr>
                <w:rFonts w:cs="Arial"/>
                <w:color w:val="000000"/>
                <w:szCs w:val="18"/>
              </w:rPr>
              <w:t>1,565</w:t>
            </w:r>
          </w:p>
        </w:tc>
        <w:tc>
          <w:tcPr>
            <w:tcW w:w="453" w:type="pct"/>
            <w:noWrap/>
            <w:vAlign w:val="center"/>
          </w:tcPr>
          <w:p w:rsidR="0039108A" w:rsidRPr="001D6512" w:rsidRDefault="0039108A" w:rsidP="0039108A">
            <w:pPr>
              <w:pStyle w:val="TableCell"/>
              <w:spacing w:before="60" w:after="60" w:line="240" w:lineRule="auto"/>
              <w:jc w:val="right"/>
              <w:rPr>
                <w:rFonts w:cs="Arial"/>
                <w:color w:val="000000"/>
                <w:szCs w:val="18"/>
              </w:rPr>
            </w:pPr>
            <w:r w:rsidRPr="001D6512">
              <w:rPr>
                <w:rFonts w:cs="Arial"/>
                <w:color w:val="000000"/>
                <w:szCs w:val="18"/>
              </w:rPr>
              <w:t>1,457</w:t>
            </w:r>
          </w:p>
        </w:tc>
        <w:tc>
          <w:tcPr>
            <w:tcW w:w="453" w:type="pct"/>
            <w:vAlign w:val="center"/>
          </w:tcPr>
          <w:p w:rsidR="0039108A" w:rsidRPr="001D6512" w:rsidRDefault="0039108A" w:rsidP="0039108A">
            <w:pPr>
              <w:pStyle w:val="TableCell"/>
              <w:spacing w:before="60" w:after="60" w:line="240" w:lineRule="auto"/>
              <w:jc w:val="right"/>
              <w:rPr>
                <w:rFonts w:cs="Arial"/>
                <w:color w:val="000000"/>
                <w:szCs w:val="18"/>
              </w:rPr>
            </w:pPr>
            <w:r w:rsidRPr="001D6512">
              <w:rPr>
                <w:rFonts w:cs="Arial"/>
                <w:color w:val="000000"/>
                <w:szCs w:val="18"/>
              </w:rPr>
              <w:t>1,584</w:t>
            </w:r>
          </w:p>
        </w:tc>
      </w:tr>
      <w:tr w:rsidR="0039108A" w:rsidRPr="008B1B2F" w:rsidTr="0039108A">
        <w:trPr>
          <w:trHeight w:val="300"/>
        </w:trPr>
        <w:tc>
          <w:tcPr>
            <w:tcW w:w="1829" w:type="pct"/>
            <w:noWrap/>
            <w:vAlign w:val="center"/>
          </w:tcPr>
          <w:p w:rsidR="0039108A" w:rsidRPr="001D6512" w:rsidRDefault="0039108A" w:rsidP="0039108A">
            <w:pPr>
              <w:pStyle w:val="TableCell"/>
              <w:spacing w:before="60" w:after="60" w:line="240" w:lineRule="auto"/>
              <w:rPr>
                <w:rFonts w:cs="Arial"/>
                <w:color w:val="000000"/>
                <w:szCs w:val="18"/>
              </w:rPr>
            </w:pPr>
            <w:r w:rsidRPr="001D6512">
              <w:rPr>
                <w:rFonts w:cs="Arial"/>
                <w:color w:val="000000"/>
                <w:szCs w:val="18"/>
              </w:rPr>
              <w:t>Convenience Stores</w:t>
            </w:r>
          </w:p>
        </w:tc>
        <w:tc>
          <w:tcPr>
            <w:tcW w:w="453" w:type="pct"/>
            <w:noWrap/>
            <w:vAlign w:val="center"/>
          </w:tcPr>
          <w:p w:rsidR="0039108A" w:rsidRPr="001D6512" w:rsidRDefault="0039108A" w:rsidP="0039108A">
            <w:pPr>
              <w:pStyle w:val="TableCell"/>
              <w:spacing w:before="60" w:after="60" w:line="240" w:lineRule="auto"/>
              <w:jc w:val="right"/>
              <w:rPr>
                <w:rFonts w:cs="Arial"/>
                <w:color w:val="000000"/>
                <w:szCs w:val="18"/>
              </w:rPr>
            </w:pPr>
            <w:r w:rsidRPr="001D6512">
              <w:rPr>
                <w:rFonts w:cs="Arial"/>
                <w:color w:val="000000"/>
                <w:szCs w:val="18"/>
              </w:rPr>
              <w:t>603</w:t>
            </w:r>
          </w:p>
        </w:tc>
        <w:tc>
          <w:tcPr>
            <w:tcW w:w="453" w:type="pct"/>
            <w:noWrap/>
            <w:vAlign w:val="center"/>
          </w:tcPr>
          <w:p w:rsidR="0039108A" w:rsidRPr="001D6512" w:rsidRDefault="0039108A" w:rsidP="0039108A">
            <w:pPr>
              <w:pStyle w:val="TableCell"/>
              <w:spacing w:before="60" w:after="60" w:line="240" w:lineRule="auto"/>
              <w:jc w:val="right"/>
              <w:rPr>
                <w:rFonts w:cs="Arial"/>
                <w:color w:val="000000"/>
                <w:szCs w:val="18"/>
              </w:rPr>
            </w:pPr>
            <w:r w:rsidRPr="001D6512">
              <w:rPr>
                <w:rFonts w:cs="Arial"/>
                <w:color w:val="000000"/>
                <w:szCs w:val="18"/>
              </w:rPr>
              <w:t>3,148</w:t>
            </w:r>
          </w:p>
        </w:tc>
        <w:tc>
          <w:tcPr>
            <w:tcW w:w="453" w:type="pct"/>
            <w:noWrap/>
            <w:vAlign w:val="center"/>
          </w:tcPr>
          <w:p w:rsidR="0039108A" w:rsidRPr="001D6512" w:rsidRDefault="0039108A" w:rsidP="0039108A">
            <w:pPr>
              <w:pStyle w:val="TableCell"/>
              <w:spacing w:before="60" w:after="60" w:line="240" w:lineRule="auto"/>
              <w:jc w:val="right"/>
              <w:rPr>
                <w:rFonts w:cs="Arial"/>
                <w:color w:val="000000"/>
                <w:szCs w:val="18"/>
              </w:rPr>
            </w:pPr>
            <w:r w:rsidRPr="001D6512">
              <w:rPr>
                <w:rFonts w:cs="Arial"/>
                <w:color w:val="000000"/>
                <w:szCs w:val="18"/>
              </w:rPr>
              <w:t>2,573</w:t>
            </w:r>
          </w:p>
        </w:tc>
        <w:tc>
          <w:tcPr>
            <w:tcW w:w="453" w:type="pct"/>
            <w:noWrap/>
            <w:vAlign w:val="center"/>
          </w:tcPr>
          <w:p w:rsidR="0039108A" w:rsidRPr="001D6512" w:rsidRDefault="0039108A" w:rsidP="0039108A">
            <w:pPr>
              <w:pStyle w:val="TableCell"/>
              <w:spacing w:before="60" w:after="60" w:line="240" w:lineRule="auto"/>
              <w:jc w:val="right"/>
              <w:rPr>
                <w:rFonts w:cs="Arial"/>
                <w:color w:val="000000"/>
                <w:szCs w:val="18"/>
              </w:rPr>
            </w:pPr>
            <w:r w:rsidRPr="001D6512">
              <w:rPr>
                <w:rFonts w:cs="Arial"/>
                <w:color w:val="000000"/>
                <w:szCs w:val="18"/>
              </w:rPr>
              <w:t>2,582</w:t>
            </w:r>
          </w:p>
        </w:tc>
        <w:tc>
          <w:tcPr>
            <w:tcW w:w="453" w:type="pct"/>
            <w:noWrap/>
            <w:vAlign w:val="center"/>
          </w:tcPr>
          <w:p w:rsidR="0039108A" w:rsidRPr="001D6512" w:rsidRDefault="0039108A" w:rsidP="0039108A">
            <w:pPr>
              <w:pStyle w:val="TableCell"/>
              <w:spacing w:before="60" w:after="60" w:line="240" w:lineRule="auto"/>
              <w:jc w:val="right"/>
              <w:rPr>
                <w:rFonts w:cs="Arial"/>
                <w:color w:val="000000"/>
                <w:szCs w:val="18"/>
              </w:rPr>
            </w:pPr>
            <w:r w:rsidRPr="001D6512">
              <w:rPr>
                <w:rFonts w:cs="Arial"/>
                <w:color w:val="000000"/>
                <w:szCs w:val="18"/>
              </w:rPr>
              <w:t>2,715</w:t>
            </w:r>
          </w:p>
        </w:tc>
        <w:tc>
          <w:tcPr>
            <w:tcW w:w="453" w:type="pct"/>
            <w:noWrap/>
            <w:vAlign w:val="center"/>
          </w:tcPr>
          <w:p w:rsidR="0039108A" w:rsidRPr="001D6512" w:rsidRDefault="0039108A" w:rsidP="0039108A">
            <w:pPr>
              <w:pStyle w:val="TableCell"/>
              <w:spacing w:before="60" w:after="60" w:line="240" w:lineRule="auto"/>
              <w:jc w:val="right"/>
              <w:rPr>
                <w:rFonts w:cs="Arial"/>
                <w:color w:val="000000"/>
                <w:szCs w:val="18"/>
              </w:rPr>
            </w:pPr>
            <w:r w:rsidRPr="001D6512">
              <w:rPr>
                <w:rFonts w:cs="Arial"/>
                <w:color w:val="000000"/>
                <w:szCs w:val="18"/>
              </w:rPr>
              <w:t>2,526</w:t>
            </w:r>
          </w:p>
        </w:tc>
        <w:tc>
          <w:tcPr>
            <w:tcW w:w="453" w:type="pct"/>
            <w:vAlign w:val="center"/>
          </w:tcPr>
          <w:p w:rsidR="0039108A" w:rsidRPr="001D6512" w:rsidRDefault="0039108A" w:rsidP="0039108A">
            <w:pPr>
              <w:pStyle w:val="TableCell"/>
              <w:spacing w:before="60" w:after="60" w:line="240" w:lineRule="auto"/>
              <w:jc w:val="right"/>
              <w:rPr>
                <w:rFonts w:cs="Arial"/>
                <w:color w:val="000000"/>
                <w:szCs w:val="18"/>
              </w:rPr>
            </w:pPr>
            <w:r w:rsidRPr="001D6512">
              <w:rPr>
                <w:rFonts w:cs="Arial"/>
                <w:color w:val="000000"/>
                <w:szCs w:val="18"/>
              </w:rPr>
              <w:t>2,747</w:t>
            </w:r>
          </w:p>
        </w:tc>
      </w:tr>
      <w:tr w:rsidR="0039108A" w:rsidRPr="008B1B2F" w:rsidTr="0039108A">
        <w:trPr>
          <w:trHeight w:val="300"/>
        </w:trPr>
        <w:tc>
          <w:tcPr>
            <w:tcW w:w="1829" w:type="pct"/>
            <w:noWrap/>
            <w:vAlign w:val="center"/>
          </w:tcPr>
          <w:p w:rsidR="0039108A" w:rsidRPr="001D6512" w:rsidRDefault="0039108A" w:rsidP="0039108A">
            <w:pPr>
              <w:pStyle w:val="TableCell"/>
              <w:spacing w:before="60" w:after="60" w:line="240" w:lineRule="auto"/>
              <w:rPr>
                <w:rFonts w:cs="Arial"/>
                <w:color w:val="000000"/>
                <w:szCs w:val="18"/>
              </w:rPr>
            </w:pPr>
            <w:r w:rsidRPr="001D6512">
              <w:rPr>
                <w:rFonts w:cs="Arial"/>
                <w:color w:val="000000"/>
                <w:szCs w:val="18"/>
              </w:rPr>
              <w:t>Dining: Bar Lounge/Leisure</w:t>
            </w:r>
          </w:p>
        </w:tc>
        <w:tc>
          <w:tcPr>
            <w:tcW w:w="453" w:type="pct"/>
            <w:noWrap/>
            <w:vAlign w:val="center"/>
          </w:tcPr>
          <w:p w:rsidR="0039108A" w:rsidRPr="001D6512" w:rsidRDefault="0039108A" w:rsidP="0039108A">
            <w:pPr>
              <w:pStyle w:val="TableCell"/>
              <w:spacing w:before="60" w:after="60" w:line="240" w:lineRule="auto"/>
              <w:jc w:val="right"/>
              <w:rPr>
                <w:rFonts w:cs="Arial"/>
                <w:color w:val="000000"/>
                <w:szCs w:val="18"/>
              </w:rPr>
            </w:pPr>
            <w:r w:rsidRPr="001D6512">
              <w:rPr>
                <w:rFonts w:cs="Arial"/>
                <w:color w:val="000000"/>
                <w:szCs w:val="18"/>
              </w:rPr>
              <w:t>1,156</w:t>
            </w:r>
          </w:p>
        </w:tc>
        <w:tc>
          <w:tcPr>
            <w:tcW w:w="453" w:type="pct"/>
            <w:noWrap/>
            <w:vAlign w:val="center"/>
          </w:tcPr>
          <w:p w:rsidR="0039108A" w:rsidRPr="001D6512" w:rsidRDefault="0039108A" w:rsidP="0039108A">
            <w:pPr>
              <w:pStyle w:val="TableCell"/>
              <w:spacing w:before="60" w:after="60" w:line="240" w:lineRule="auto"/>
              <w:jc w:val="right"/>
              <w:rPr>
                <w:rFonts w:cs="Arial"/>
                <w:color w:val="000000"/>
                <w:szCs w:val="18"/>
              </w:rPr>
            </w:pPr>
            <w:r w:rsidRPr="001D6512">
              <w:rPr>
                <w:rFonts w:cs="Arial"/>
                <w:color w:val="000000"/>
                <w:szCs w:val="18"/>
              </w:rPr>
              <w:t>1,346</w:t>
            </w:r>
          </w:p>
        </w:tc>
        <w:tc>
          <w:tcPr>
            <w:tcW w:w="453" w:type="pct"/>
            <w:noWrap/>
            <w:vAlign w:val="center"/>
          </w:tcPr>
          <w:p w:rsidR="0039108A" w:rsidRPr="001D6512" w:rsidRDefault="0039108A" w:rsidP="0039108A">
            <w:pPr>
              <w:pStyle w:val="TableCell"/>
              <w:spacing w:before="60" w:after="60" w:line="240" w:lineRule="auto"/>
              <w:jc w:val="right"/>
              <w:rPr>
                <w:rFonts w:cs="Arial"/>
                <w:color w:val="000000"/>
                <w:szCs w:val="18"/>
              </w:rPr>
            </w:pPr>
            <w:r w:rsidRPr="001D6512">
              <w:rPr>
                <w:rFonts w:cs="Arial"/>
                <w:color w:val="000000"/>
                <w:szCs w:val="18"/>
              </w:rPr>
              <w:t>1,100</w:t>
            </w:r>
          </w:p>
        </w:tc>
        <w:tc>
          <w:tcPr>
            <w:tcW w:w="453" w:type="pct"/>
            <w:noWrap/>
            <w:vAlign w:val="center"/>
          </w:tcPr>
          <w:p w:rsidR="0039108A" w:rsidRPr="001D6512" w:rsidRDefault="0039108A" w:rsidP="0039108A">
            <w:pPr>
              <w:pStyle w:val="TableCell"/>
              <w:spacing w:before="60" w:after="60" w:line="240" w:lineRule="auto"/>
              <w:jc w:val="right"/>
              <w:rPr>
                <w:rFonts w:cs="Arial"/>
                <w:color w:val="000000"/>
                <w:szCs w:val="18"/>
              </w:rPr>
            </w:pPr>
            <w:r w:rsidRPr="001D6512">
              <w:rPr>
                <w:rFonts w:cs="Arial"/>
                <w:color w:val="000000"/>
                <w:szCs w:val="18"/>
              </w:rPr>
              <w:t>1,104</w:t>
            </w:r>
          </w:p>
        </w:tc>
        <w:tc>
          <w:tcPr>
            <w:tcW w:w="453" w:type="pct"/>
            <w:noWrap/>
            <w:vAlign w:val="center"/>
          </w:tcPr>
          <w:p w:rsidR="0039108A" w:rsidRPr="001D6512" w:rsidRDefault="0039108A" w:rsidP="0039108A">
            <w:pPr>
              <w:pStyle w:val="TableCell"/>
              <w:spacing w:before="60" w:after="60" w:line="240" w:lineRule="auto"/>
              <w:jc w:val="right"/>
              <w:rPr>
                <w:rFonts w:cs="Arial"/>
                <w:color w:val="000000"/>
                <w:szCs w:val="18"/>
              </w:rPr>
            </w:pPr>
            <w:r w:rsidRPr="001D6512">
              <w:rPr>
                <w:rFonts w:cs="Arial"/>
                <w:color w:val="000000"/>
                <w:szCs w:val="18"/>
              </w:rPr>
              <w:t>1,161</w:t>
            </w:r>
          </w:p>
        </w:tc>
        <w:tc>
          <w:tcPr>
            <w:tcW w:w="453" w:type="pct"/>
            <w:noWrap/>
            <w:vAlign w:val="center"/>
          </w:tcPr>
          <w:p w:rsidR="0039108A" w:rsidRPr="001D6512" w:rsidRDefault="0039108A" w:rsidP="0039108A">
            <w:pPr>
              <w:pStyle w:val="TableCell"/>
              <w:spacing w:before="60" w:after="60" w:line="240" w:lineRule="auto"/>
              <w:jc w:val="right"/>
              <w:rPr>
                <w:rFonts w:cs="Arial"/>
                <w:color w:val="000000"/>
                <w:szCs w:val="18"/>
              </w:rPr>
            </w:pPr>
            <w:r w:rsidRPr="001D6512">
              <w:rPr>
                <w:rFonts w:cs="Arial"/>
                <w:color w:val="000000"/>
                <w:szCs w:val="18"/>
              </w:rPr>
              <w:t>1,080</w:t>
            </w:r>
          </w:p>
        </w:tc>
        <w:tc>
          <w:tcPr>
            <w:tcW w:w="453" w:type="pct"/>
            <w:vAlign w:val="center"/>
          </w:tcPr>
          <w:p w:rsidR="0039108A" w:rsidRPr="001D6512" w:rsidRDefault="0039108A" w:rsidP="0039108A">
            <w:pPr>
              <w:pStyle w:val="TableCell"/>
              <w:spacing w:before="60" w:after="60" w:line="240" w:lineRule="auto"/>
              <w:jc w:val="right"/>
              <w:rPr>
                <w:rFonts w:cs="Arial"/>
                <w:color w:val="000000"/>
                <w:szCs w:val="18"/>
              </w:rPr>
            </w:pPr>
            <w:r w:rsidRPr="001D6512">
              <w:rPr>
                <w:rFonts w:cs="Arial"/>
                <w:color w:val="000000"/>
                <w:szCs w:val="18"/>
              </w:rPr>
              <w:t>1,175</w:t>
            </w:r>
          </w:p>
        </w:tc>
      </w:tr>
      <w:tr w:rsidR="0039108A" w:rsidRPr="008B1B2F" w:rsidTr="0039108A">
        <w:trPr>
          <w:trHeight w:val="300"/>
        </w:trPr>
        <w:tc>
          <w:tcPr>
            <w:tcW w:w="1829" w:type="pct"/>
            <w:noWrap/>
            <w:vAlign w:val="center"/>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Dining: Cafeteria / Fast Food</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582</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2,066</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1,689</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1,695</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1,782</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1,658</w:t>
            </w:r>
          </w:p>
        </w:tc>
        <w:tc>
          <w:tcPr>
            <w:tcW w:w="453" w:type="pct"/>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1,803</w:t>
            </w:r>
          </w:p>
        </w:tc>
      </w:tr>
      <w:tr w:rsidR="0039108A" w:rsidRPr="008B1B2F" w:rsidTr="0039108A">
        <w:trPr>
          <w:trHeight w:val="300"/>
        </w:trPr>
        <w:tc>
          <w:tcPr>
            <w:tcW w:w="1829" w:type="pct"/>
            <w:noWrap/>
            <w:vAlign w:val="center"/>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Dining: Restaurants</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1,156</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1,346</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1,100</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1,104</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1,161</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1,080</w:t>
            </w:r>
          </w:p>
        </w:tc>
        <w:tc>
          <w:tcPr>
            <w:tcW w:w="453" w:type="pct"/>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1,175</w:t>
            </w:r>
          </w:p>
        </w:tc>
      </w:tr>
      <w:tr w:rsidR="0039108A" w:rsidRPr="008B1B2F" w:rsidTr="0039108A">
        <w:trPr>
          <w:trHeight w:val="300"/>
        </w:trPr>
        <w:tc>
          <w:tcPr>
            <w:tcW w:w="1829" w:type="pct"/>
            <w:noWrap/>
            <w:vAlign w:val="center"/>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Gymnasium/Performing Arts Theatre</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1,559</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1,815</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1,484</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1,489</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1,565</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1,457</w:t>
            </w:r>
          </w:p>
        </w:tc>
        <w:tc>
          <w:tcPr>
            <w:tcW w:w="453" w:type="pct"/>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1,584</w:t>
            </w:r>
          </w:p>
        </w:tc>
      </w:tr>
      <w:tr w:rsidR="0039108A" w:rsidRPr="008B1B2F" w:rsidTr="0039108A">
        <w:trPr>
          <w:trHeight w:val="300"/>
        </w:trPr>
        <w:tc>
          <w:tcPr>
            <w:tcW w:w="1829" w:type="pct"/>
            <w:noWrap/>
            <w:vAlign w:val="center"/>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Hospitals/Health care</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276</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321</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263</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264</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277</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2,526</w:t>
            </w:r>
          </w:p>
        </w:tc>
        <w:tc>
          <w:tcPr>
            <w:tcW w:w="453" w:type="pct"/>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280</w:t>
            </w:r>
          </w:p>
        </w:tc>
      </w:tr>
      <w:tr w:rsidR="0039108A" w:rsidRPr="008B1B2F" w:rsidTr="0039108A">
        <w:trPr>
          <w:trHeight w:val="300"/>
        </w:trPr>
        <w:tc>
          <w:tcPr>
            <w:tcW w:w="1829" w:type="pct"/>
            <w:noWrap/>
            <w:vAlign w:val="center"/>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Industrial: 1 Shift/Light Manufacturing</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1,491</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1,737</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1,420</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1,425</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1,498</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1,394</w:t>
            </w:r>
          </w:p>
        </w:tc>
        <w:tc>
          <w:tcPr>
            <w:tcW w:w="453" w:type="pct"/>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1,516</w:t>
            </w:r>
          </w:p>
        </w:tc>
      </w:tr>
      <w:tr w:rsidR="0039108A" w:rsidRPr="008B1B2F" w:rsidTr="0039108A">
        <w:trPr>
          <w:trHeight w:val="300"/>
        </w:trPr>
        <w:tc>
          <w:tcPr>
            <w:tcW w:w="1829" w:type="pct"/>
            <w:noWrap/>
            <w:vAlign w:val="center"/>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Industrial: 2 Shift</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1,017</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1,184</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968</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972</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1,022</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951</w:t>
            </w:r>
          </w:p>
        </w:tc>
        <w:tc>
          <w:tcPr>
            <w:tcW w:w="453" w:type="pct"/>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1,034</w:t>
            </w:r>
          </w:p>
        </w:tc>
      </w:tr>
      <w:tr w:rsidR="0039108A" w:rsidRPr="008B1B2F" w:rsidTr="0039108A">
        <w:trPr>
          <w:trHeight w:val="300"/>
        </w:trPr>
        <w:tc>
          <w:tcPr>
            <w:tcW w:w="1829" w:type="pct"/>
            <w:noWrap/>
            <w:vAlign w:val="center"/>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Industrial: 3 Shift</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538</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626</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512</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513</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540</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502</w:t>
            </w:r>
          </w:p>
        </w:tc>
        <w:tc>
          <w:tcPr>
            <w:tcW w:w="453" w:type="pct"/>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546</w:t>
            </w:r>
          </w:p>
        </w:tc>
      </w:tr>
      <w:tr w:rsidR="0039108A" w:rsidRPr="008B1B2F" w:rsidTr="0039108A">
        <w:trPr>
          <w:trHeight w:val="300"/>
        </w:trPr>
        <w:tc>
          <w:tcPr>
            <w:tcW w:w="1829" w:type="pct"/>
            <w:noWrap/>
            <w:vAlign w:val="center"/>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Lodging: Hotels/Motels/Dormitories</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1,438</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1,675</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1,369</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1,374</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1,444</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1,344</w:t>
            </w:r>
          </w:p>
        </w:tc>
        <w:tc>
          <w:tcPr>
            <w:tcW w:w="453" w:type="pct"/>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1,462</w:t>
            </w:r>
          </w:p>
        </w:tc>
      </w:tr>
      <w:tr w:rsidR="0039108A" w:rsidRPr="008B1B2F" w:rsidTr="0039108A">
        <w:trPr>
          <w:trHeight w:val="300"/>
        </w:trPr>
        <w:tc>
          <w:tcPr>
            <w:tcW w:w="1829" w:type="pct"/>
            <w:noWrap/>
            <w:vAlign w:val="center"/>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Lodging: Residential</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1,438</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1,675</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1,369</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1,374</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1,444</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1,344</w:t>
            </w:r>
          </w:p>
        </w:tc>
        <w:tc>
          <w:tcPr>
            <w:tcW w:w="453" w:type="pct"/>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1,462</w:t>
            </w:r>
          </w:p>
        </w:tc>
      </w:tr>
      <w:tr w:rsidR="0039108A" w:rsidRPr="008B1B2F" w:rsidTr="0039108A">
        <w:trPr>
          <w:trHeight w:val="300"/>
        </w:trPr>
        <w:tc>
          <w:tcPr>
            <w:tcW w:w="1829" w:type="pct"/>
            <w:noWrap/>
            <w:vAlign w:val="center"/>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Multi-Family (Common Areas)</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277</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3,148</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2,573</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2,582</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2,715</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2,526</w:t>
            </w:r>
          </w:p>
        </w:tc>
        <w:tc>
          <w:tcPr>
            <w:tcW w:w="453" w:type="pct"/>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2,747</w:t>
            </w:r>
          </w:p>
        </w:tc>
      </w:tr>
      <w:tr w:rsidR="0039108A" w:rsidRPr="008B1B2F" w:rsidTr="0039108A">
        <w:trPr>
          <w:trHeight w:val="300"/>
        </w:trPr>
        <w:tc>
          <w:tcPr>
            <w:tcW w:w="1829" w:type="pct"/>
            <w:noWrap/>
            <w:vAlign w:val="center"/>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Museum/Library</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1,266</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1,474</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1,205</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1,209</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1,271</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1,183</w:t>
            </w:r>
          </w:p>
        </w:tc>
        <w:tc>
          <w:tcPr>
            <w:tcW w:w="453" w:type="pct"/>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1,286</w:t>
            </w:r>
          </w:p>
        </w:tc>
      </w:tr>
      <w:tr w:rsidR="0039108A" w:rsidRPr="008B1B2F" w:rsidTr="0039108A">
        <w:trPr>
          <w:trHeight w:val="300"/>
        </w:trPr>
        <w:tc>
          <w:tcPr>
            <w:tcW w:w="1829" w:type="pct"/>
            <w:noWrap/>
            <w:vAlign w:val="center"/>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Nursing Homes</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738</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3,148</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2,573</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2,582</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2,715</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2,526</w:t>
            </w:r>
          </w:p>
        </w:tc>
        <w:tc>
          <w:tcPr>
            <w:tcW w:w="453" w:type="pct"/>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2,747</w:t>
            </w:r>
          </w:p>
        </w:tc>
      </w:tr>
      <w:tr w:rsidR="0039108A" w:rsidRPr="008B1B2F" w:rsidTr="0039108A">
        <w:trPr>
          <w:trHeight w:val="300"/>
        </w:trPr>
        <w:tc>
          <w:tcPr>
            <w:tcW w:w="1829" w:type="pct"/>
            <w:noWrap/>
            <w:vAlign w:val="center"/>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Office: General/Retail</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1,266</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884</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722</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725</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762</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709</w:t>
            </w:r>
          </w:p>
        </w:tc>
        <w:tc>
          <w:tcPr>
            <w:tcW w:w="453" w:type="pct"/>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771</w:t>
            </w:r>
          </w:p>
        </w:tc>
      </w:tr>
      <w:tr w:rsidR="0039108A" w:rsidRPr="008B1B2F" w:rsidTr="0039108A">
        <w:trPr>
          <w:trHeight w:val="300"/>
        </w:trPr>
        <w:tc>
          <w:tcPr>
            <w:tcW w:w="1829" w:type="pct"/>
            <w:noWrap/>
            <w:vAlign w:val="center"/>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Office: Medical/Banks</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1,266</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1,474</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1,205</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1,209</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1,271</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1,183</w:t>
            </w:r>
          </w:p>
        </w:tc>
        <w:tc>
          <w:tcPr>
            <w:tcW w:w="453" w:type="pct"/>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1,286</w:t>
            </w:r>
          </w:p>
        </w:tc>
      </w:tr>
      <w:tr w:rsidR="0039108A" w:rsidRPr="008B1B2F" w:rsidTr="0039108A">
        <w:trPr>
          <w:trHeight w:val="300"/>
        </w:trPr>
        <w:tc>
          <w:tcPr>
            <w:tcW w:w="1829" w:type="pct"/>
            <w:noWrap/>
            <w:vAlign w:val="center"/>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Parking Garages &amp; Lots</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1,110</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1,292</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1,056</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1,060</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1,114</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1,037</w:t>
            </w:r>
          </w:p>
        </w:tc>
        <w:tc>
          <w:tcPr>
            <w:tcW w:w="453" w:type="pct"/>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1,128</w:t>
            </w:r>
          </w:p>
        </w:tc>
      </w:tr>
      <w:tr w:rsidR="0039108A" w:rsidRPr="008B1B2F" w:rsidTr="0039108A">
        <w:trPr>
          <w:trHeight w:val="300"/>
        </w:trPr>
        <w:tc>
          <w:tcPr>
            <w:tcW w:w="1829" w:type="pct"/>
            <w:noWrap/>
            <w:vAlign w:val="center"/>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Penitentiary</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829</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3,148</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2,573</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2,582</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2,715</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2,526</w:t>
            </w:r>
          </w:p>
        </w:tc>
        <w:tc>
          <w:tcPr>
            <w:tcW w:w="453" w:type="pct"/>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2,747</w:t>
            </w:r>
          </w:p>
        </w:tc>
      </w:tr>
      <w:tr w:rsidR="0039108A" w:rsidRPr="008B1B2F" w:rsidTr="0039108A">
        <w:trPr>
          <w:trHeight w:val="300"/>
        </w:trPr>
        <w:tc>
          <w:tcPr>
            <w:tcW w:w="1829" w:type="pct"/>
            <w:noWrap/>
            <w:vAlign w:val="center"/>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Police/Fire Stations (24 Hr)</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277</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3,148</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2,573</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2,582</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2,715</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2,526</w:t>
            </w:r>
          </w:p>
        </w:tc>
        <w:tc>
          <w:tcPr>
            <w:tcW w:w="453" w:type="pct"/>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2,747</w:t>
            </w:r>
          </w:p>
        </w:tc>
      </w:tr>
      <w:tr w:rsidR="0039108A" w:rsidRPr="008B1B2F" w:rsidTr="0039108A">
        <w:trPr>
          <w:trHeight w:val="300"/>
        </w:trPr>
        <w:tc>
          <w:tcPr>
            <w:tcW w:w="1829" w:type="pct"/>
            <w:noWrap/>
            <w:vAlign w:val="center"/>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Post Office/Town Hall/Court House</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1,266</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1,474</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1,205</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1,209</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1,271</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1,183</w:t>
            </w:r>
          </w:p>
        </w:tc>
        <w:tc>
          <w:tcPr>
            <w:tcW w:w="453" w:type="pct"/>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1,286</w:t>
            </w:r>
          </w:p>
        </w:tc>
      </w:tr>
      <w:tr w:rsidR="0039108A" w:rsidRPr="008B1B2F" w:rsidTr="0039108A">
        <w:trPr>
          <w:trHeight w:val="300"/>
        </w:trPr>
        <w:tc>
          <w:tcPr>
            <w:tcW w:w="1829" w:type="pct"/>
            <w:noWrap/>
            <w:vAlign w:val="center"/>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Religious Buildings/Church</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1,718</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2,001</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1,635</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1,641</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1,725</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1,605</w:t>
            </w:r>
          </w:p>
        </w:tc>
        <w:tc>
          <w:tcPr>
            <w:tcW w:w="453" w:type="pct"/>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1,746</w:t>
            </w:r>
          </w:p>
        </w:tc>
      </w:tr>
      <w:tr w:rsidR="0039108A" w:rsidRPr="008B1B2F" w:rsidTr="0039108A">
        <w:trPr>
          <w:trHeight w:val="300"/>
        </w:trPr>
        <w:tc>
          <w:tcPr>
            <w:tcW w:w="1829" w:type="pct"/>
            <w:noWrap/>
            <w:vAlign w:val="center"/>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Retail</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1,188</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1,383</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1,130</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1,135</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1,193</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1,110</w:t>
            </w:r>
          </w:p>
        </w:tc>
        <w:tc>
          <w:tcPr>
            <w:tcW w:w="453" w:type="pct"/>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1,207</w:t>
            </w:r>
          </w:p>
        </w:tc>
      </w:tr>
      <w:tr w:rsidR="0039108A" w:rsidRPr="008B1B2F" w:rsidTr="0039108A">
        <w:trPr>
          <w:trHeight w:val="300"/>
        </w:trPr>
        <w:tc>
          <w:tcPr>
            <w:tcW w:w="1829" w:type="pct"/>
            <w:noWrap/>
            <w:vAlign w:val="center"/>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Schools/University</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1,661</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984</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805</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808</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849</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790</w:t>
            </w:r>
          </w:p>
        </w:tc>
        <w:tc>
          <w:tcPr>
            <w:tcW w:w="453" w:type="pct"/>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859</w:t>
            </w:r>
          </w:p>
        </w:tc>
      </w:tr>
      <w:tr w:rsidR="0039108A" w:rsidRPr="008B1B2F" w:rsidTr="0039108A">
        <w:trPr>
          <w:trHeight w:val="300"/>
        </w:trPr>
        <w:tc>
          <w:tcPr>
            <w:tcW w:w="1829" w:type="pct"/>
            <w:noWrap/>
            <w:vAlign w:val="center"/>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Warehouses (Not Refrigerated)</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538</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567</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463</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465</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489</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455</w:t>
            </w:r>
          </w:p>
        </w:tc>
        <w:tc>
          <w:tcPr>
            <w:tcW w:w="453" w:type="pct"/>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495</w:t>
            </w:r>
          </w:p>
        </w:tc>
      </w:tr>
      <w:tr w:rsidR="0039108A" w:rsidRPr="008B1B2F" w:rsidTr="0039108A">
        <w:trPr>
          <w:trHeight w:val="300"/>
        </w:trPr>
        <w:tc>
          <w:tcPr>
            <w:tcW w:w="1829" w:type="pct"/>
            <w:noWrap/>
            <w:vAlign w:val="center"/>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Warehouses (Refrigerated)</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1,555</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1,810</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1,480</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1,485</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1,561</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1,453</w:t>
            </w:r>
          </w:p>
        </w:tc>
        <w:tc>
          <w:tcPr>
            <w:tcW w:w="453" w:type="pct"/>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1,580</w:t>
            </w:r>
          </w:p>
        </w:tc>
      </w:tr>
      <w:tr w:rsidR="0039108A" w:rsidRPr="008B1B2F" w:rsidTr="0039108A">
        <w:trPr>
          <w:trHeight w:val="300"/>
        </w:trPr>
        <w:tc>
          <w:tcPr>
            <w:tcW w:w="1829" w:type="pct"/>
            <w:noWrap/>
            <w:vAlign w:val="center"/>
          </w:tcPr>
          <w:p w:rsidR="0039108A" w:rsidRPr="001D6512" w:rsidRDefault="0039108A" w:rsidP="0039108A">
            <w:pPr>
              <w:pStyle w:val="TableCell"/>
              <w:keepNext w:val="0"/>
              <w:spacing w:before="60" w:after="60" w:line="240" w:lineRule="auto"/>
              <w:rPr>
                <w:rFonts w:cs="Arial"/>
                <w:color w:val="000000"/>
                <w:szCs w:val="18"/>
              </w:rPr>
            </w:pPr>
            <w:r w:rsidRPr="001D6512">
              <w:rPr>
                <w:rFonts w:cs="Arial"/>
                <w:color w:val="000000"/>
                <w:szCs w:val="18"/>
              </w:rPr>
              <w:t>Waste Water Treatment Plant</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1,265</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1,473</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1,204</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1,208</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1,270</w:t>
            </w:r>
          </w:p>
        </w:tc>
        <w:tc>
          <w:tcPr>
            <w:tcW w:w="453" w:type="pct"/>
            <w:noWrap/>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1,182</w:t>
            </w:r>
          </w:p>
        </w:tc>
        <w:tc>
          <w:tcPr>
            <w:tcW w:w="453" w:type="pct"/>
            <w:vAlign w:val="center"/>
          </w:tcPr>
          <w:p w:rsidR="0039108A" w:rsidRPr="001D6512" w:rsidRDefault="0039108A" w:rsidP="0039108A">
            <w:pPr>
              <w:pStyle w:val="TableCell"/>
              <w:keepNext w:val="0"/>
              <w:spacing w:before="60" w:after="60" w:line="240" w:lineRule="auto"/>
              <w:jc w:val="right"/>
              <w:rPr>
                <w:rFonts w:cs="Arial"/>
                <w:color w:val="000000"/>
                <w:szCs w:val="18"/>
              </w:rPr>
            </w:pPr>
            <w:r w:rsidRPr="001D6512">
              <w:rPr>
                <w:rFonts w:cs="Arial"/>
                <w:color w:val="000000"/>
                <w:szCs w:val="18"/>
              </w:rPr>
              <w:t>1,285</w:t>
            </w:r>
          </w:p>
        </w:tc>
      </w:tr>
    </w:tbl>
    <w:p w:rsidR="0039108A" w:rsidRPr="00760993" w:rsidRDefault="0039108A" w:rsidP="0039108A">
      <w:pPr>
        <w:pStyle w:val="source1"/>
        <w:numPr>
          <w:ilvl w:val="0"/>
          <w:numId w:val="0"/>
        </w:numPr>
        <w:spacing w:after="200"/>
        <w:ind w:left="720" w:hanging="360"/>
      </w:pPr>
    </w:p>
    <w:p w:rsidR="0039108A" w:rsidRPr="006F488A" w:rsidRDefault="0039108A" w:rsidP="00871FA2">
      <w:pPr>
        <w:pStyle w:val="Heading3"/>
      </w:pPr>
      <w:r w:rsidRPr="006F488A">
        <w:t>Measure Life</w:t>
      </w:r>
    </w:p>
    <w:p w:rsidR="0039108A" w:rsidRPr="006F488A" w:rsidRDefault="0039108A" w:rsidP="0039108A">
      <w:pPr>
        <w:pStyle w:val="BodyText"/>
      </w:pPr>
      <w:r w:rsidRPr="006F488A">
        <w:t xml:space="preserve">According to an October 2008 report for the CA Database for Energy Efficiency Resources, a heat pump’s lifespan is </w:t>
      </w:r>
      <w:r w:rsidRPr="007A6429">
        <w:t>15 years.</w:t>
      </w:r>
      <w:r w:rsidRPr="007A6429">
        <w:rPr>
          <w:rStyle w:val="FootnoteReference"/>
          <w:sz w:val="22"/>
        </w:rPr>
        <w:footnoteReference w:id="203"/>
      </w:r>
    </w:p>
    <w:p w:rsidR="0039108A" w:rsidRPr="003C07C5" w:rsidRDefault="0039108A" w:rsidP="00871FA2">
      <w:pPr>
        <w:pStyle w:val="Heading3"/>
      </w:pPr>
      <w:r w:rsidRPr="003C07C5">
        <w:t>Evaluation Protocols</w:t>
      </w:r>
    </w:p>
    <w:p w:rsidR="0039108A" w:rsidRDefault="0039108A" w:rsidP="0039108A">
      <w:pPr>
        <w:pStyle w:val="BodyText"/>
      </w:pPr>
      <w:r w:rsidRPr="003C07C5">
        <w:t xml:space="preserve">The most appropriate evaluation protocol for this measure is verification of installation coupled with assignment of stipulated energy savings. </w:t>
      </w:r>
    </w:p>
    <w:p w:rsidR="0039108A" w:rsidRDefault="0039108A" w:rsidP="0039108A">
      <w:pPr>
        <w:pStyle w:val="Heading2"/>
      </w:pPr>
      <w:r>
        <w:rPr>
          <w:rFonts w:cs="Arial"/>
        </w:rPr>
        <w:br w:type="page"/>
      </w:r>
      <w:bookmarkStart w:id="995" w:name="_Toc310875459"/>
      <w:r>
        <w:t>ENERGY STAR Electric Steam Cooker</w:t>
      </w:r>
      <w:bookmarkEnd w:id="995"/>
    </w:p>
    <w:p w:rsidR="0039108A" w:rsidRDefault="0039108A" w:rsidP="0039108A">
      <w:pPr>
        <w:pStyle w:val="BodyText"/>
      </w:pPr>
      <w:r>
        <w:t>This measure applies to the installation of electric ENERGY STAR steam cookers as either a new item or replacement for an existing unit.  Gas steam cookers are not eligible. The steam cookers must meet minimum ENERGY STAR efficiency requirements. A qualifying steam cooker must meet a minimum cooking efficiency of 50 percent and meet idle energy rates specified by pan capacity.</w:t>
      </w:r>
    </w:p>
    <w:p w:rsidR="0039108A" w:rsidRPr="001D75B9" w:rsidRDefault="0039108A" w:rsidP="0039108A">
      <w:pPr>
        <w:pStyle w:val="BodyText"/>
      </w:pPr>
      <w:r>
        <w:t>The baseline equipment is a unit with efficiency specifications that do not meet the minimum ENERGY STAR efficiency requirements.</w:t>
      </w:r>
    </w:p>
    <w:p w:rsidR="0039108A" w:rsidRPr="006F488A" w:rsidRDefault="0039108A" w:rsidP="00871FA2">
      <w:pPr>
        <w:pStyle w:val="Heading3"/>
      </w:pPr>
      <w:r>
        <w:t>Algorithms</w:t>
      </w:r>
    </w:p>
    <w:p w:rsidR="0039108A" w:rsidRPr="00B629BE" w:rsidRDefault="0039108A" w:rsidP="0039108A">
      <w:pPr>
        <w:pStyle w:val="BodyText"/>
      </w:pPr>
      <w:r w:rsidRPr="00B629BE">
        <w:t xml:space="preserve">The savings depend on </w:t>
      </w:r>
      <w:r>
        <w:t>three</w:t>
      </w:r>
      <w:r w:rsidRPr="00B629BE">
        <w:t xml:space="preserve"> main factors: pounds of food steam cooked per day</w:t>
      </w:r>
      <w:r>
        <w:t>,</w:t>
      </w:r>
      <w:r w:rsidRPr="00B629BE">
        <w:t xml:space="preserve"> pan capacity</w:t>
      </w:r>
      <w:r>
        <w:t>, and cooking efficiency</w:t>
      </w:r>
      <w:r w:rsidRPr="00B629BE">
        <w:t xml:space="preserve">. </w:t>
      </w:r>
    </w:p>
    <w:p w:rsidR="0039108A" w:rsidRPr="006E25D9" w:rsidRDefault="0039108A" w:rsidP="0039108A">
      <w:pPr>
        <w:pStyle w:val="Equation"/>
        <w:rPr>
          <w:szCs w:val="24"/>
        </w:rPr>
      </w:pPr>
      <w:r w:rsidRPr="006E25D9">
        <w:sym w:font="Symbol" w:char="F044"/>
      </w:r>
      <w:r>
        <w:t>kWh</w:t>
      </w:r>
      <w:r>
        <w:tab/>
      </w:r>
      <w:r>
        <w:tab/>
      </w:r>
      <w:r w:rsidRPr="006E25D9">
        <w:t xml:space="preserve">= </w:t>
      </w:r>
      <w:r w:rsidRPr="006E25D9">
        <w:sym w:font="Symbol" w:char="F044"/>
      </w:r>
      <w:r w:rsidRPr="006E25D9">
        <w:t>kWh</w:t>
      </w:r>
      <w:r w:rsidRPr="006E25D9">
        <w:rPr>
          <w:vertAlign w:val="subscript"/>
        </w:rPr>
        <w:t>cooking</w:t>
      </w:r>
      <w:r w:rsidRPr="006E25D9">
        <w:t xml:space="preserve">+ </w:t>
      </w:r>
      <w:r w:rsidRPr="006E25D9">
        <w:sym w:font="Symbol" w:char="F044"/>
      </w:r>
      <w:r w:rsidRPr="006E25D9">
        <w:t>kWh</w:t>
      </w:r>
      <w:r w:rsidRPr="006E25D9">
        <w:rPr>
          <w:vertAlign w:val="subscript"/>
        </w:rPr>
        <w:t>idle</w:t>
      </w:r>
    </w:p>
    <w:p w:rsidR="0039108A" w:rsidRPr="00071A85" w:rsidRDefault="0039108A" w:rsidP="0039108A">
      <w:pPr>
        <w:pStyle w:val="Equation"/>
      </w:pPr>
      <w:r w:rsidRPr="00071A85">
        <w:sym w:font="Symbol" w:char="F044"/>
      </w:r>
      <w:r w:rsidRPr="00071A85">
        <w:t>kWh</w:t>
      </w:r>
      <w:r w:rsidRPr="00071A85">
        <w:rPr>
          <w:vertAlign w:val="subscript"/>
        </w:rPr>
        <w:t>cooking</w:t>
      </w:r>
      <w:r w:rsidRPr="00071A85">
        <w:tab/>
        <w:t>= lbsfood X E</w:t>
      </w:r>
      <w:r>
        <w:t>nergyToFood X (1/Eff</w:t>
      </w:r>
      <w:r>
        <w:rPr>
          <w:vertAlign w:val="subscript"/>
        </w:rPr>
        <w:t>b</w:t>
      </w:r>
      <w:r w:rsidRPr="00071A85">
        <w:t xml:space="preserve"> – 1/Eff</w:t>
      </w:r>
      <w:r>
        <w:rPr>
          <w:vertAlign w:val="subscript"/>
        </w:rPr>
        <w:t>ee</w:t>
      </w:r>
      <w:r w:rsidRPr="00071A85">
        <w:t>)</w:t>
      </w:r>
    </w:p>
    <w:p w:rsidR="0039108A" w:rsidRDefault="0039108A" w:rsidP="0039108A">
      <w:pPr>
        <w:pStyle w:val="Equation"/>
      </w:pPr>
      <w:r w:rsidRPr="00372C25">
        <w:sym w:font="Symbol" w:char="F044"/>
      </w:r>
      <w:r w:rsidRPr="00372C25">
        <w:t>kWh</w:t>
      </w:r>
      <w:r w:rsidRPr="00372C25">
        <w:rPr>
          <w:vertAlign w:val="subscript"/>
        </w:rPr>
        <w:t>idle</w:t>
      </w:r>
      <w:r w:rsidRPr="00372C25">
        <w:tab/>
        <w:t xml:space="preserve">= </w:t>
      </w:r>
      <w:r>
        <w:t>[(</w:t>
      </w:r>
      <w:r w:rsidRPr="00372C25">
        <w:t>Power</w:t>
      </w:r>
      <w:r w:rsidRPr="00372C25">
        <w:rPr>
          <w:vertAlign w:val="subscript"/>
        </w:rPr>
        <w:t>idle</w:t>
      </w:r>
      <w:r>
        <w:rPr>
          <w:vertAlign w:val="subscript"/>
        </w:rPr>
        <w:t>-b</w:t>
      </w:r>
      <w:r>
        <w:t xml:space="preserve"> X (1- %HOURS</w:t>
      </w:r>
      <w:r>
        <w:rPr>
          <w:vertAlign w:val="subscript"/>
        </w:rPr>
        <w:t>consteam</w:t>
      </w:r>
      <w:r>
        <w:t>) + %HOURS</w:t>
      </w:r>
      <w:r w:rsidRPr="00A41ACD">
        <w:rPr>
          <w:vertAlign w:val="subscript"/>
        </w:rPr>
        <w:t>consteam</w:t>
      </w:r>
      <w:r>
        <w:t xml:space="preserve"> X CAPY</w:t>
      </w:r>
      <w:r w:rsidRPr="00B30C85">
        <w:rPr>
          <w:vertAlign w:val="subscript"/>
        </w:rPr>
        <w:t>b</w:t>
      </w:r>
      <w:r>
        <w:t xml:space="preserve"> X Qty</w:t>
      </w:r>
      <w:r w:rsidRPr="00B30C85">
        <w:rPr>
          <w:vertAlign w:val="subscript"/>
        </w:rPr>
        <w:t>pans</w:t>
      </w:r>
      <w:r>
        <w:t xml:space="preserve"> X (EnergyToFood/Eff</w:t>
      </w:r>
      <w:r w:rsidRPr="00B30C85">
        <w:rPr>
          <w:vertAlign w:val="subscript"/>
        </w:rPr>
        <w:t>b</w:t>
      </w:r>
      <w:r>
        <w:t>) X (HOURS</w:t>
      </w:r>
      <w:r w:rsidRPr="00BF5E66">
        <w:rPr>
          <w:vertAlign w:val="subscript"/>
        </w:rPr>
        <w:t>op</w:t>
      </w:r>
      <w:r>
        <w:t xml:space="preserve"> - lbsfood/(CAPY</w:t>
      </w:r>
      <w:r>
        <w:rPr>
          <w:vertAlign w:val="subscript"/>
        </w:rPr>
        <w:t>b</w:t>
      </w:r>
      <w:r>
        <w:t xml:space="preserve"> X Qty</w:t>
      </w:r>
      <w:r w:rsidRPr="00B94F76">
        <w:rPr>
          <w:vertAlign w:val="subscript"/>
        </w:rPr>
        <w:t>pans</w:t>
      </w:r>
      <w:r>
        <w:t>) - HOURS</w:t>
      </w:r>
      <w:r w:rsidRPr="00B94F76">
        <w:rPr>
          <w:vertAlign w:val="subscript"/>
        </w:rPr>
        <w:t>pre</w:t>
      </w:r>
      <w:r>
        <w:t xml:space="preserve">)] – </w:t>
      </w:r>
    </w:p>
    <w:p w:rsidR="0039108A" w:rsidRPr="00D35DBF" w:rsidRDefault="0039108A" w:rsidP="0039108A">
      <w:pPr>
        <w:pStyle w:val="Equation"/>
      </w:pPr>
      <w:r>
        <w:tab/>
      </w:r>
      <w:r>
        <w:tab/>
        <w:t>[(</w:t>
      </w:r>
      <w:r w:rsidRPr="00372C25">
        <w:t>Power</w:t>
      </w:r>
      <w:r w:rsidRPr="00372C25">
        <w:rPr>
          <w:vertAlign w:val="subscript"/>
        </w:rPr>
        <w:t>idle</w:t>
      </w:r>
      <w:r>
        <w:rPr>
          <w:vertAlign w:val="subscript"/>
        </w:rPr>
        <w:t>-ee</w:t>
      </w:r>
      <w:r>
        <w:t xml:space="preserve"> X (1- %HOURS</w:t>
      </w:r>
      <w:r>
        <w:rPr>
          <w:vertAlign w:val="subscript"/>
        </w:rPr>
        <w:t>consteam</w:t>
      </w:r>
      <w:r>
        <w:t>) + %HOURS</w:t>
      </w:r>
      <w:r w:rsidRPr="00A41ACD">
        <w:rPr>
          <w:vertAlign w:val="subscript"/>
        </w:rPr>
        <w:t>consteam</w:t>
      </w:r>
      <w:r>
        <w:t xml:space="preserve"> X CAPY</w:t>
      </w:r>
      <w:r w:rsidRPr="00B30C85">
        <w:rPr>
          <w:vertAlign w:val="subscript"/>
        </w:rPr>
        <w:t>ee</w:t>
      </w:r>
      <w:r>
        <w:t xml:space="preserve"> X Qty</w:t>
      </w:r>
      <w:r w:rsidRPr="00B30C85">
        <w:rPr>
          <w:vertAlign w:val="subscript"/>
        </w:rPr>
        <w:t>pans</w:t>
      </w:r>
      <w:r>
        <w:t xml:space="preserve"> X (EnergyToFood/Eff</w:t>
      </w:r>
      <w:r w:rsidRPr="00B30C85">
        <w:rPr>
          <w:vertAlign w:val="subscript"/>
        </w:rPr>
        <w:t>ee</w:t>
      </w:r>
      <w:r>
        <w:t>) X (HOURS</w:t>
      </w:r>
      <w:r w:rsidRPr="00BF5E66">
        <w:rPr>
          <w:vertAlign w:val="subscript"/>
        </w:rPr>
        <w:t>op</w:t>
      </w:r>
      <w:r>
        <w:t xml:space="preserve"> - lbsfood/(CAPY</w:t>
      </w:r>
      <w:r w:rsidRPr="00B94F76">
        <w:rPr>
          <w:vertAlign w:val="subscript"/>
        </w:rPr>
        <w:t>ee</w:t>
      </w:r>
      <w:r>
        <w:t xml:space="preserve"> X Qty</w:t>
      </w:r>
      <w:r w:rsidRPr="00B94F76">
        <w:rPr>
          <w:vertAlign w:val="subscript"/>
        </w:rPr>
        <w:t>pans</w:t>
      </w:r>
      <w:r>
        <w:t>) - HOURS</w:t>
      </w:r>
      <w:r w:rsidRPr="00B94F76">
        <w:rPr>
          <w:vertAlign w:val="subscript"/>
        </w:rPr>
        <w:t>pre</w:t>
      </w:r>
      <w:r>
        <w:t>)]</w:t>
      </w:r>
    </w:p>
    <w:p w:rsidR="0039108A" w:rsidRPr="00372C25" w:rsidRDefault="0039108A" w:rsidP="0039108A">
      <w:pPr>
        <w:pStyle w:val="Equation"/>
        <w:rPr>
          <w:vertAlign w:val="subscript"/>
        </w:rPr>
      </w:pPr>
      <w:r w:rsidRPr="006E25D9">
        <w:sym w:font="Symbol" w:char="F044"/>
      </w:r>
      <w:r>
        <w:t>kW</w:t>
      </w:r>
      <w:r>
        <w:rPr>
          <w:vertAlign w:val="subscript"/>
        </w:rPr>
        <w:t>peak</w:t>
      </w:r>
      <w:r>
        <w:rPr>
          <w:vertAlign w:val="subscript"/>
        </w:rPr>
        <w:tab/>
      </w:r>
      <w:r>
        <w:tab/>
        <w:t>= (</w:t>
      </w:r>
      <w:r w:rsidRPr="006E25D9">
        <w:sym w:font="Symbol" w:char="F044"/>
      </w:r>
      <w:r w:rsidRPr="006E25D9">
        <w:t>kWh</w:t>
      </w:r>
      <w:r>
        <w:t xml:space="preserve"> / EFLH) X CF</w:t>
      </w:r>
    </w:p>
    <w:p w:rsidR="0039108A" w:rsidRPr="00AB7A0E" w:rsidRDefault="0039108A" w:rsidP="00871FA2">
      <w:pPr>
        <w:pStyle w:val="Heading3"/>
      </w:pPr>
      <w:r w:rsidRPr="00885EEB">
        <w:t>Definition of Terms</w:t>
      </w:r>
    </w:p>
    <w:p w:rsidR="0039108A" w:rsidRPr="00885EEB" w:rsidRDefault="0039108A" w:rsidP="0039108A">
      <w:pPr>
        <w:pStyle w:val="Equation"/>
      </w:pPr>
      <w:r w:rsidRPr="00885EEB">
        <w:tab/>
        <w:t xml:space="preserve">lbsfood </w:t>
      </w:r>
      <w:r w:rsidRPr="00885EEB">
        <w:tab/>
        <w:t xml:space="preserve">= </w:t>
      </w:r>
      <w:r w:rsidR="00937EC7">
        <w:t>P</w:t>
      </w:r>
      <w:r w:rsidRPr="00885EEB">
        <w:t>ounds of food cooked per day in the steam cooker</w:t>
      </w:r>
      <w:r w:rsidRPr="00885EEB">
        <w:tab/>
      </w:r>
    </w:p>
    <w:p w:rsidR="0039108A" w:rsidRPr="00885EEB" w:rsidRDefault="0039108A" w:rsidP="0039108A">
      <w:pPr>
        <w:pStyle w:val="Equation"/>
      </w:pPr>
      <w:r w:rsidRPr="00885EEB">
        <w:tab/>
        <w:t>EnergyToFood</w:t>
      </w:r>
      <w:r w:rsidRPr="00885EEB">
        <w:tab/>
        <w:t xml:space="preserve">= </w:t>
      </w:r>
      <w:r>
        <w:t>ASTM energy to food ratio; energy (kilo</w:t>
      </w:r>
      <w:r w:rsidRPr="00885EEB">
        <w:t>watt-hours</w:t>
      </w:r>
      <w:r>
        <w:t>)</w:t>
      </w:r>
      <w:r w:rsidRPr="00885EEB">
        <w:t xml:space="preserve"> required per pound of food</w:t>
      </w:r>
      <w:r>
        <w:t xml:space="preserve"> during cooking</w:t>
      </w:r>
    </w:p>
    <w:p w:rsidR="0039108A" w:rsidRPr="00885EEB" w:rsidRDefault="0039108A" w:rsidP="0039108A">
      <w:pPr>
        <w:pStyle w:val="Equation"/>
      </w:pPr>
      <w:r w:rsidRPr="00885EEB">
        <w:tab/>
        <w:t>Eff</w:t>
      </w:r>
      <w:r w:rsidRPr="00885EEB">
        <w:rPr>
          <w:vertAlign w:val="subscript"/>
        </w:rPr>
        <w:t>ee</w:t>
      </w:r>
      <w:r w:rsidRPr="00885EEB">
        <w:rPr>
          <w:vertAlign w:val="subscript"/>
        </w:rPr>
        <w:tab/>
      </w:r>
      <w:r w:rsidRPr="00885EEB">
        <w:t xml:space="preserve">= </w:t>
      </w:r>
      <w:r w:rsidR="00937EC7">
        <w:t>C</w:t>
      </w:r>
      <w:r w:rsidRPr="00885EEB">
        <w:t>ooking energy efficiency of the new unit</w:t>
      </w:r>
    </w:p>
    <w:p w:rsidR="0039108A" w:rsidRPr="00885EEB" w:rsidRDefault="0039108A" w:rsidP="0039108A">
      <w:pPr>
        <w:pStyle w:val="Equation"/>
      </w:pPr>
      <w:r w:rsidRPr="00885EEB">
        <w:tab/>
        <w:t>Eff</w:t>
      </w:r>
      <w:r w:rsidRPr="00885EEB">
        <w:rPr>
          <w:vertAlign w:val="subscript"/>
        </w:rPr>
        <w:t>b</w:t>
      </w:r>
      <w:r w:rsidRPr="00885EEB">
        <w:tab/>
        <w:t xml:space="preserve">= </w:t>
      </w:r>
      <w:r w:rsidR="00937EC7">
        <w:t>C</w:t>
      </w:r>
      <w:r w:rsidRPr="00885EEB">
        <w:t>ooking energy efficiency of the baseline unit</w:t>
      </w:r>
    </w:p>
    <w:p w:rsidR="0039108A" w:rsidRDefault="0039108A" w:rsidP="0039108A">
      <w:pPr>
        <w:pStyle w:val="Equation"/>
      </w:pPr>
      <w:r w:rsidRPr="00885EEB">
        <w:tab/>
        <w:t>Power</w:t>
      </w:r>
      <w:r w:rsidRPr="00885EEB">
        <w:rPr>
          <w:vertAlign w:val="subscript"/>
        </w:rPr>
        <w:t>idle</w:t>
      </w:r>
      <w:r>
        <w:rPr>
          <w:vertAlign w:val="subscript"/>
        </w:rPr>
        <w:t>-b</w:t>
      </w:r>
      <w:r w:rsidRPr="00885EEB">
        <w:tab/>
        <w:t xml:space="preserve">= </w:t>
      </w:r>
      <w:r w:rsidR="00937EC7">
        <w:t>I</w:t>
      </w:r>
      <w:r w:rsidRPr="00885EEB">
        <w:t>dle power</w:t>
      </w:r>
      <w:r>
        <w:t xml:space="preserve"> of the baseline unit in kilowatts</w:t>
      </w:r>
    </w:p>
    <w:p w:rsidR="0039108A" w:rsidRDefault="0039108A" w:rsidP="0039108A">
      <w:pPr>
        <w:pStyle w:val="Equation"/>
      </w:pPr>
      <w:r>
        <w:tab/>
        <w:t>Power</w:t>
      </w:r>
      <w:r>
        <w:rPr>
          <w:vertAlign w:val="subscript"/>
        </w:rPr>
        <w:t>idle-ee</w:t>
      </w:r>
      <w:r>
        <w:tab/>
        <w:t xml:space="preserve">= </w:t>
      </w:r>
      <w:r w:rsidR="00937EC7">
        <w:t>I</w:t>
      </w:r>
      <w:r>
        <w:t>dle power of the new unit in kilowatts</w:t>
      </w:r>
      <w:r>
        <w:tab/>
      </w:r>
    </w:p>
    <w:p w:rsidR="0039108A" w:rsidRDefault="0039108A" w:rsidP="0039108A">
      <w:pPr>
        <w:pStyle w:val="Equation"/>
      </w:pPr>
      <w:r>
        <w:tab/>
        <w:t>%HOURS</w:t>
      </w:r>
      <w:r>
        <w:rPr>
          <w:vertAlign w:val="subscript"/>
        </w:rPr>
        <w:t>consteam</w:t>
      </w:r>
      <w:r>
        <w:tab/>
        <w:t xml:space="preserve">= </w:t>
      </w:r>
      <w:r w:rsidR="00937EC7">
        <w:t>P</w:t>
      </w:r>
      <w:r>
        <w:t>ercentage of idle time per day the steamer is in continuous steam mode instead of timed cooking. The power used in this mode is the same as the power in cooking mode.</w:t>
      </w:r>
    </w:p>
    <w:p w:rsidR="0039108A" w:rsidRDefault="0039108A" w:rsidP="0039108A">
      <w:pPr>
        <w:pStyle w:val="Equation"/>
      </w:pPr>
      <w:r>
        <w:tab/>
        <w:t>HOURS</w:t>
      </w:r>
      <w:r w:rsidRPr="00BF5E66">
        <w:rPr>
          <w:vertAlign w:val="subscript"/>
        </w:rPr>
        <w:t>op</w:t>
      </w:r>
      <w:r>
        <w:tab/>
        <w:t xml:space="preserve">= </w:t>
      </w:r>
      <w:r w:rsidR="00937EC7">
        <w:t>T</w:t>
      </w:r>
      <w:r>
        <w:t>otal operating hours per day</w:t>
      </w:r>
    </w:p>
    <w:p w:rsidR="0039108A" w:rsidRDefault="0039108A" w:rsidP="0039108A">
      <w:pPr>
        <w:pStyle w:val="Equation"/>
      </w:pPr>
      <w:r>
        <w:t>`</w:t>
      </w:r>
      <w:r>
        <w:tab/>
        <w:t>HOURS</w:t>
      </w:r>
      <w:r>
        <w:rPr>
          <w:vertAlign w:val="subscript"/>
        </w:rPr>
        <w:t>pre</w:t>
      </w:r>
      <w:r>
        <w:rPr>
          <w:vertAlign w:val="subscript"/>
        </w:rPr>
        <w:tab/>
      </w:r>
      <w:r>
        <w:t xml:space="preserve">= </w:t>
      </w:r>
      <w:r w:rsidR="00937EC7">
        <w:t>D</w:t>
      </w:r>
      <w:r>
        <w:t>aily hours spent preheating the steam cooker</w:t>
      </w:r>
    </w:p>
    <w:p w:rsidR="0039108A" w:rsidRDefault="0039108A" w:rsidP="0039108A">
      <w:pPr>
        <w:pStyle w:val="Equation"/>
      </w:pPr>
      <w:r>
        <w:tab/>
        <w:t>CAPY</w:t>
      </w:r>
      <w:r w:rsidRPr="009F7338">
        <w:rPr>
          <w:vertAlign w:val="subscript"/>
        </w:rPr>
        <w:t>b</w:t>
      </w:r>
      <w:r>
        <w:t xml:space="preserve"> </w:t>
      </w:r>
      <w:r>
        <w:tab/>
        <w:t xml:space="preserve">= </w:t>
      </w:r>
      <w:r w:rsidR="00937EC7">
        <w:t>P</w:t>
      </w:r>
      <w:r>
        <w:t>roduction capacity per pan of the baseline unit in pounds per hour of the baseline unit</w:t>
      </w:r>
    </w:p>
    <w:p w:rsidR="0039108A" w:rsidRDefault="0039108A" w:rsidP="0039108A">
      <w:pPr>
        <w:pStyle w:val="Equation"/>
      </w:pPr>
      <w:r>
        <w:tab/>
        <w:t>CAPY</w:t>
      </w:r>
      <w:r>
        <w:rPr>
          <w:vertAlign w:val="subscript"/>
        </w:rPr>
        <w:t>ee</w:t>
      </w:r>
      <w:r>
        <w:tab/>
        <w:t xml:space="preserve">= </w:t>
      </w:r>
      <w:r w:rsidR="00937EC7">
        <w:t>P</w:t>
      </w:r>
      <w:r>
        <w:t>roduction capacity per pan of the new unit in pounds per hour</w:t>
      </w:r>
    </w:p>
    <w:p w:rsidR="0039108A" w:rsidRPr="00D56BC0" w:rsidRDefault="0039108A" w:rsidP="0039108A">
      <w:pPr>
        <w:pStyle w:val="Equation"/>
      </w:pPr>
      <w:r>
        <w:tab/>
        <w:t>Qty</w:t>
      </w:r>
      <w:r>
        <w:rPr>
          <w:vertAlign w:val="subscript"/>
        </w:rPr>
        <w:t>pans</w:t>
      </w:r>
      <w:r>
        <w:rPr>
          <w:vertAlign w:val="subscript"/>
        </w:rPr>
        <w:tab/>
      </w:r>
      <w:r>
        <w:t xml:space="preserve">= </w:t>
      </w:r>
      <w:r w:rsidR="00937EC7">
        <w:t>Q</w:t>
      </w:r>
      <w:r>
        <w:t xml:space="preserve">uantity of pans in the unit </w:t>
      </w:r>
    </w:p>
    <w:p w:rsidR="0039108A" w:rsidRDefault="0039108A" w:rsidP="0039108A">
      <w:pPr>
        <w:pStyle w:val="Equation"/>
      </w:pPr>
      <w:r>
        <w:tab/>
        <w:t>EFLH</w:t>
      </w:r>
      <w:r>
        <w:tab/>
        <w:t xml:space="preserve">= </w:t>
      </w:r>
      <w:r w:rsidR="00937EC7">
        <w:t>E</w:t>
      </w:r>
      <w:r>
        <w:t>quivalent full load hours per year</w:t>
      </w:r>
    </w:p>
    <w:p w:rsidR="0039108A" w:rsidRPr="00885EEB" w:rsidRDefault="0039108A" w:rsidP="0039108A">
      <w:pPr>
        <w:pStyle w:val="Equation"/>
      </w:pPr>
      <w:r>
        <w:tab/>
        <w:t xml:space="preserve">CF </w:t>
      </w:r>
      <w:r>
        <w:tab/>
        <w:t xml:space="preserve">= </w:t>
      </w:r>
      <w:r w:rsidR="000E4853" w:rsidRPr="00165C8E">
        <w:rPr>
          <w:rFonts w:cs="Arial"/>
          <w:szCs w:val="20"/>
        </w:rPr>
        <w:t>Demand Coincidence Factor (See Section 1.4)</w:t>
      </w:r>
      <w:r>
        <w:tab/>
        <w:t>1000</w:t>
      </w:r>
      <w:r>
        <w:tab/>
        <w:t xml:space="preserve">= </w:t>
      </w:r>
      <w:r w:rsidR="00937EC7">
        <w:t>C</w:t>
      </w:r>
      <w:r>
        <w:t>onversion from watts to kilowatts</w:t>
      </w:r>
    </w:p>
    <w:p w:rsidR="0039108A" w:rsidRDefault="0039108A" w:rsidP="0039108A">
      <w:pPr>
        <w:pStyle w:val="Caption"/>
      </w:pPr>
      <w:bookmarkStart w:id="996" w:name="_Toc310875621"/>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69</w:t>
      </w:r>
      <w:r w:rsidR="00274AB1">
        <w:rPr>
          <w:noProof/>
        </w:rPr>
        <w:fldChar w:fldCharType="end"/>
      </w:r>
      <w:r>
        <w:t>: Steam Cooker - Values and References</w:t>
      </w:r>
      <w:bookmarkEnd w:id="996"/>
    </w:p>
    <w:tbl>
      <w:tblPr>
        <w:tblW w:w="0" w:type="auto"/>
        <w:jc w:val="center"/>
        <w:tblInd w:w="-1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7"/>
        <w:gridCol w:w="1128"/>
        <w:gridCol w:w="3037"/>
        <w:gridCol w:w="2443"/>
      </w:tblGrid>
      <w:tr w:rsidR="0039108A" w:rsidRPr="00696684" w:rsidTr="0039108A">
        <w:trPr>
          <w:trHeight w:val="374"/>
          <w:tblHeader/>
          <w:jc w:val="center"/>
        </w:trPr>
        <w:tc>
          <w:tcPr>
            <w:tcW w:w="1747" w:type="dxa"/>
            <w:shd w:val="clear" w:color="auto" w:fill="BFBFBF"/>
          </w:tcPr>
          <w:p w:rsidR="0039108A" w:rsidRPr="001D6512" w:rsidRDefault="0039108A" w:rsidP="0039108A">
            <w:pPr>
              <w:pStyle w:val="TableCell"/>
              <w:rPr>
                <w:b/>
              </w:rPr>
            </w:pPr>
            <w:r w:rsidRPr="001D6512">
              <w:rPr>
                <w:b/>
              </w:rPr>
              <w:t>Component</w:t>
            </w:r>
          </w:p>
        </w:tc>
        <w:tc>
          <w:tcPr>
            <w:tcW w:w="1128" w:type="dxa"/>
            <w:shd w:val="clear" w:color="auto" w:fill="BFBFBF"/>
          </w:tcPr>
          <w:p w:rsidR="0039108A" w:rsidRPr="001D6512" w:rsidRDefault="0039108A" w:rsidP="0039108A">
            <w:pPr>
              <w:pStyle w:val="TableCell"/>
              <w:rPr>
                <w:b/>
              </w:rPr>
            </w:pPr>
            <w:r w:rsidRPr="001D6512">
              <w:rPr>
                <w:b/>
              </w:rPr>
              <w:t>Type</w:t>
            </w:r>
          </w:p>
        </w:tc>
        <w:tc>
          <w:tcPr>
            <w:tcW w:w="3037" w:type="dxa"/>
            <w:shd w:val="clear" w:color="auto" w:fill="BFBFBF"/>
          </w:tcPr>
          <w:p w:rsidR="0039108A" w:rsidRPr="001D6512" w:rsidRDefault="0039108A" w:rsidP="0039108A">
            <w:pPr>
              <w:pStyle w:val="TableCell"/>
              <w:rPr>
                <w:b/>
              </w:rPr>
            </w:pPr>
            <w:r w:rsidRPr="001D6512">
              <w:rPr>
                <w:b/>
              </w:rPr>
              <w:t>Values</w:t>
            </w:r>
          </w:p>
        </w:tc>
        <w:tc>
          <w:tcPr>
            <w:tcW w:w="2443" w:type="dxa"/>
            <w:shd w:val="clear" w:color="auto" w:fill="BFBFBF"/>
          </w:tcPr>
          <w:p w:rsidR="0039108A" w:rsidRPr="001D6512" w:rsidRDefault="0039108A" w:rsidP="0039108A">
            <w:pPr>
              <w:pStyle w:val="TableCell"/>
              <w:rPr>
                <w:b/>
              </w:rPr>
            </w:pPr>
            <w:r w:rsidRPr="001D6512">
              <w:rPr>
                <w:b/>
              </w:rPr>
              <w:t>Sources</w:t>
            </w:r>
          </w:p>
        </w:tc>
      </w:tr>
      <w:tr w:rsidR="0039108A" w:rsidRPr="00696684" w:rsidTr="0039108A">
        <w:trPr>
          <w:cantSplit/>
          <w:trHeight w:val="374"/>
          <w:jc w:val="center"/>
        </w:trPr>
        <w:tc>
          <w:tcPr>
            <w:tcW w:w="1747" w:type="dxa"/>
            <w:vMerge w:val="restart"/>
          </w:tcPr>
          <w:p w:rsidR="0039108A" w:rsidRPr="001D6512" w:rsidRDefault="0039108A" w:rsidP="0039108A">
            <w:pPr>
              <w:pStyle w:val="TableCell"/>
              <w:spacing w:before="60" w:after="60"/>
            </w:pPr>
            <w:r w:rsidRPr="001D6512">
              <w:t>Lbsfood</w:t>
            </w:r>
          </w:p>
        </w:tc>
        <w:tc>
          <w:tcPr>
            <w:tcW w:w="1128" w:type="dxa"/>
            <w:vMerge w:val="restart"/>
          </w:tcPr>
          <w:p w:rsidR="0039108A" w:rsidRPr="001D6512" w:rsidRDefault="0039108A" w:rsidP="0039108A">
            <w:pPr>
              <w:pStyle w:val="TableCell"/>
              <w:spacing w:before="60" w:after="60"/>
            </w:pPr>
            <w:r w:rsidRPr="001D6512">
              <w:t>Variable</w:t>
            </w:r>
          </w:p>
        </w:tc>
        <w:tc>
          <w:tcPr>
            <w:tcW w:w="3037" w:type="dxa"/>
          </w:tcPr>
          <w:p w:rsidR="0039108A" w:rsidRPr="001D6512" w:rsidRDefault="0039108A" w:rsidP="0039108A">
            <w:pPr>
              <w:pStyle w:val="TableCell"/>
              <w:spacing w:before="60" w:after="60"/>
            </w:pPr>
            <w:r w:rsidRPr="001D6512">
              <w:t>Nameplate</w:t>
            </w:r>
          </w:p>
        </w:tc>
        <w:tc>
          <w:tcPr>
            <w:tcW w:w="2443" w:type="dxa"/>
          </w:tcPr>
          <w:p w:rsidR="0039108A" w:rsidRPr="001D6512" w:rsidRDefault="0039108A" w:rsidP="0039108A">
            <w:pPr>
              <w:pStyle w:val="TableCell"/>
              <w:spacing w:before="60" w:after="60"/>
            </w:pPr>
            <w:r w:rsidRPr="001D6512">
              <w:rPr>
                <w:rFonts w:cs="Arial"/>
              </w:rPr>
              <w:t>EDC Data Gathering</w:t>
            </w:r>
          </w:p>
        </w:tc>
      </w:tr>
      <w:tr w:rsidR="0039108A" w:rsidRPr="00696684" w:rsidTr="0039108A">
        <w:trPr>
          <w:cantSplit/>
          <w:trHeight w:val="374"/>
          <w:jc w:val="center"/>
        </w:trPr>
        <w:tc>
          <w:tcPr>
            <w:tcW w:w="1747" w:type="dxa"/>
            <w:vMerge/>
          </w:tcPr>
          <w:p w:rsidR="0039108A" w:rsidRPr="001D6512" w:rsidRDefault="0039108A" w:rsidP="0039108A">
            <w:pPr>
              <w:pStyle w:val="TableCell"/>
              <w:spacing w:before="60" w:after="60"/>
            </w:pPr>
          </w:p>
        </w:tc>
        <w:tc>
          <w:tcPr>
            <w:tcW w:w="1128" w:type="dxa"/>
            <w:vMerge/>
          </w:tcPr>
          <w:p w:rsidR="0039108A" w:rsidRPr="001D6512" w:rsidRDefault="0039108A" w:rsidP="0039108A">
            <w:pPr>
              <w:pStyle w:val="TableCell"/>
              <w:spacing w:before="60" w:after="60"/>
            </w:pPr>
          </w:p>
        </w:tc>
        <w:tc>
          <w:tcPr>
            <w:tcW w:w="3037" w:type="dxa"/>
          </w:tcPr>
          <w:p w:rsidR="0039108A" w:rsidRPr="001D6512" w:rsidRDefault="0039108A" w:rsidP="0039108A">
            <w:pPr>
              <w:pStyle w:val="TableCell"/>
              <w:spacing w:before="60" w:after="60"/>
            </w:pPr>
            <w:r w:rsidRPr="001D6512">
              <w:t xml:space="preserve">Default values in </w:t>
            </w:r>
            <w:r w:rsidR="007A1FB6" w:rsidRPr="001D6512">
              <w:fldChar w:fldCharType="begin"/>
            </w:r>
            <w:r w:rsidRPr="001D6512">
              <w:instrText xml:space="preserve"> REF _Ref298152194 \h </w:instrText>
            </w:r>
            <w:r w:rsidR="007A1FB6" w:rsidRPr="001D6512">
              <w:fldChar w:fldCharType="separate"/>
            </w:r>
            <w:r w:rsidR="00C0292F" w:rsidRPr="00FC76AC">
              <w:t xml:space="preserve">Table </w:t>
            </w:r>
            <w:r w:rsidR="00C0292F">
              <w:rPr>
                <w:noProof/>
              </w:rPr>
              <w:t>3</w:t>
            </w:r>
            <w:r w:rsidR="00C0292F">
              <w:noBreakHyphen/>
            </w:r>
            <w:r w:rsidR="00C0292F">
              <w:rPr>
                <w:noProof/>
              </w:rPr>
              <w:t>70</w:t>
            </w:r>
            <w:r w:rsidR="007A1FB6" w:rsidRPr="001D6512">
              <w:fldChar w:fldCharType="end"/>
            </w:r>
          </w:p>
        </w:tc>
        <w:tc>
          <w:tcPr>
            <w:tcW w:w="2443" w:type="dxa"/>
          </w:tcPr>
          <w:p w:rsidR="0039108A" w:rsidRPr="001D6512" w:rsidRDefault="007A1FB6" w:rsidP="0039108A">
            <w:pPr>
              <w:pStyle w:val="TableCell"/>
              <w:spacing w:before="60" w:after="60"/>
              <w:rPr>
                <w:i/>
              </w:rPr>
            </w:pPr>
            <w:r w:rsidRPr="001D6512">
              <w:fldChar w:fldCharType="begin"/>
            </w:r>
            <w:r w:rsidR="0039108A" w:rsidRPr="001D6512">
              <w:instrText xml:space="preserve"> REF _Ref298152194 \h </w:instrText>
            </w:r>
            <w:r w:rsidRPr="001D6512">
              <w:fldChar w:fldCharType="separate"/>
            </w:r>
            <w:r w:rsidR="00C0292F" w:rsidRPr="00FC76AC">
              <w:t xml:space="preserve">Table </w:t>
            </w:r>
            <w:r w:rsidR="00C0292F">
              <w:rPr>
                <w:noProof/>
              </w:rPr>
              <w:t>3</w:t>
            </w:r>
            <w:r w:rsidR="00C0292F">
              <w:noBreakHyphen/>
            </w:r>
            <w:r w:rsidR="00C0292F">
              <w:rPr>
                <w:noProof/>
              </w:rPr>
              <w:t>70</w:t>
            </w:r>
            <w:r w:rsidRPr="001D6512">
              <w:fldChar w:fldCharType="end"/>
            </w:r>
          </w:p>
        </w:tc>
      </w:tr>
      <w:tr w:rsidR="0039108A" w:rsidRPr="00696684" w:rsidTr="0039108A">
        <w:trPr>
          <w:cantSplit/>
          <w:trHeight w:val="374"/>
          <w:jc w:val="center"/>
        </w:trPr>
        <w:tc>
          <w:tcPr>
            <w:tcW w:w="1747" w:type="dxa"/>
          </w:tcPr>
          <w:p w:rsidR="0039108A" w:rsidRPr="001D6512" w:rsidRDefault="0039108A" w:rsidP="0039108A">
            <w:pPr>
              <w:pStyle w:val="TableCell"/>
              <w:keepNext w:val="0"/>
              <w:spacing w:before="60" w:after="60"/>
            </w:pPr>
            <w:r w:rsidRPr="001D6512">
              <w:t>EnergyToFood</w:t>
            </w:r>
          </w:p>
        </w:tc>
        <w:tc>
          <w:tcPr>
            <w:tcW w:w="1128" w:type="dxa"/>
          </w:tcPr>
          <w:p w:rsidR="0039108A" w:rsidRPr="001D6512" w:rsidRDefault="0039108A" w:rsidP="0039108A">
            <w:pPr>
              <w:pStyle w:val="TableCell"/>
              <w:keepNext w:val="0"/>
              <w:spacing w:before="60" w:after="60"/>
            </w:pPr>
            <w:r w:rsidRPr="001D6512">
              <w:t>Fixed</w:t>
            </w:r>
          </w:p>
        </w:tc>
        <w:tc>
          <w:tcPr>
            <w:tcW w:w="3037" w:type="dxa"/>
          </w:tcPr>
          <w:p w:rsidR="0039108A" w:rsidRPr="001D6512" w:rsidRDefault="0039108A" w:rsidP="0039108A">
            <w:pPr>
              <w:pStyle w:val="TableCell"/>
              <w:keepNext w:val="0"/>
              <w:spacing w:before="60" w:after="60"/>
            </w:pPr>
            <w:r w:rsidRPr="001D6512">
              <w:t>0.0308 kWh/pound</w:t>
            </w:r>
          </w:p>
        </w:tc>
        <w:tc>
          <w:tcPr>
            <w:tcW w:w="2443" w:type="dxa"/>
          </w:tcPr>
          <w:p w:rsidR="0039108A" w:rsidRPr="001D6512" w:rsidRDefault="0039108A" w:rsidP="0039108A">
            <w:pPr>
              <w:pStyle w:val="TableCell"/>
              <w:keepNext w:val="0"/>
              <w:spacing w:before="60" w:after="60"/>
            </w:pPr>
            <w:r w:rsidRPr="001D6512">
              <w:t>1</w:t>
            </w:r>
          </w:p>
        </w:tc>
      </w:tr>
      <w:tr w:rsidR="0039108A" w:rsidRPr="00696684" w:rsidTr="0039108A">
        <w:trPr>
          <w:cantSplit/>
          <w:trHeight w:val="374"/>
          <w:jc w:val="center"/>
        </w:trPr>
        <w:tc>
          <w:tcPr>
            <w:tcW w:w="1747" w:type="dxa"/>
            <w:vMerge w:val="restart"/>
          </w:tcPr>
          <w:p w:rsidR="0039108A" w:rsidRPr="001D6512" w:rsidRDefault="0039108A" w:rsidP="0039108A">
            <w:pPr>
              <w:pStyle w:val="TableCell"/>
              <w:keepNext w:val="0"/>
              <w:spacing w:before="60" w:after="60"/>
            </w:pPr>
            <w:r w:rsidRPr="001D6512">
              <w:t>Eff</w:t>
            </w:r>
            <w:r w:rsidRPr="001D6512">
              <w:rPr>
                <w:vertAlign w:val="subscript"/>
              </w:rPr>
              <w:t>ee</w:t>
            </w:r>
          </w:p>
        </w:tc>
        <w:tc>
          <w:tcPr>
            <w:tcW w:w="1128" w:type="dxa"/>
            <w:vMerge w:val="restart"/>
          </w:tcPr>
          <w:p w:rsidR="0039108A" w:rsidRPr="001D6512" w:rsidRDefault="0039108A" w:rsidP="0039108A">
            <w:pPr>
              <w:pStyle w:val="TableCell"/>
              <w:keepNext w:val="0"/>
              <w:spacing w:before="60" w:after="60"/>
            </w:pPr>
            <w:r w:rsidRPr="001D6512">
              <w:t>Variable</w:t>
            </w:r>
          </w:p>
        </w:tc>
        <w:tc>
          <w:tcPr>
            <w:tcW w:w="3037" w:type="dxa"/>
          </w:tcPr>
          <w:p w:rsidR="0039108A" w:rsidRPr="001D6512" w:rsidRDefault="0039108A" w:rsidP="0039108A">
            <w:pPr>
              <w:pStyle w:val="TableCell"/>
              <w:keepNext w:val="0"/>
              <w:spacing w:before="60" w:after="60"/>
            </w:pPr>
            <w:r w:rsidRPr="001D6512">
              <w:t>Nameplate</w:t>
            </w:r>
          </w:p>
        </w:tc>
        <w:tc>
          <w:tcPr>
            <w:tcW w:w="2443" w:type="dxa"/>
          </w:tcPr>
          <w:p w:rsidR="0039108A" w:rsidRPr="001D6512" w:rsidRDefault="0039108A" w:rsidP="0039108A">
            <w:pPr>
              <w:pStyle w:val="TableCell"/>
              <w:keepNext w:val="0"/>
              <w:spacing w:before="60" w:after="60"/>
              <w:rPr>
                <w:highlight w:val="yellow"/>
              </w:rPr>
            </w:pPr>
            <w:r w:rsidRPr="001D6512">
              <w:rPr>
                <w:rFonts w:cs="Arial"/>
              </w:rPr>
              <w:t>EDC Data Gathering</w:t>
            </w:r>
          </w:p>
        </w:tc>
      </w:tr>
      <w:tr w:rsidR="0039108A" w:rsidRPr="00696684" w:rsidTr="0039108A">
        <w:trPr>
          <w:cantSplit/>
          <w:trHeight w:val="374"/>
          <w:jc w:val="center"/>
        </w:trPr>
        <w:tc>
          <w:tcPr>
            <w:tcW w:w="1747" w:type="dxa"/>
            <w:vMerge/>
          </w:tcPr>
          <w:p w:rsidR="0039108A" w:rsidRPr="001D6512" w:rsidRDefault="0039108A" w:rsidP="0039108A">
            <w:pPr>
              <w:pStyle w:val="TableCell"/>
              <w:keepNext w:val="0"/>
              <w:spacing w:before="60" w:after="60"/>
            </w:pPr>
          </w:p>
        </w:tc>
        <w:tc>
          <w:tcPr>
            <w:tcW w:w="1128" w:type="dxa"/>
            <w:vMerge/>
          </w:tcPr>
          <w:p w:rsidR="0039108A" w:rsidRPr="001D6512" w:rsidRDefault="0039108A" w:rsidP="0039108A">
            <w:pPr>
              <w:pStyle w:val="TableCell"/>
              <w:keepNext w:val="0"/>
              <w:spacing w:before="60" w:after="60"/>
            </w:pPr>
          </w:p>
        </w:tc>
        <w:tc>
          <w:tcPr>
            <w:tcW w:w="3037" w:type="dxa"/>
          </w:tcPr>
          <w:p w:rsidR="0039108A" w:rsidRPr="001D6512" w:rsidRDefault="0039108A" w:rsidP="0039108A">
            <w:pPr>
              <w:pStyle w:val="TableCell"/>
              <w:spacing w:before="60" w:after="60"/>
            </w:pPr>
            <w:r w:rsidRPr="001D6512">
              <w:t xml:space="preserve">Default values in </w:t>
            </w:r>
            <w:r w:rsidR="007A1FB6" w:rsidRPr="001D6512">
              <w:fldChar w:fldCharType="begin"/>
            </w:r>
            <w:r w:rsidRPr="001D6512">
              <w:instrText xml:space="preserve"> REF _Ref298152194 \h </w:instrText>
            </w:r>
            <w:r w:rsidR="007A1FB6" w:rsidRPr="001D6512">
              <w:fldChar w:fldCharType="separate"/>
            </w:r>
            <w:r w:rsidR="00C0292F" w:rsidRPr="00FC76AC">
              <w:t xml:space="preserve">Table </w:t>
            </w:r>
            <w:r w:rsidR="00C0292F">
              <w:rPr>
                <w:noProof/>
              </w:rPr>
              <w:t>3</w:t>
            </w:r>
            <w:r w:rsidR="00C0292F">
              <w:noBreakHyphen/>
            </w:r>
            <w:r w:rsidR="00C0292F">
              <w:rPr>
                <w:noProof/>
              </w:rPr>
              <w:t>70</w:t>
            </w:r>
            <w:r w:rsidR="007A1FB6" w:rsidRPr="001D6512">
              <w:fldChar w:fldCharType="end"/>
            </w:r>
          </w:p>
        </w:tc>
        <w:tc>
          <w:tcPr>
            <w:tcW w:w="2443" w:type="dxa"/>
          </w:tcPr>
          <w:p w:rsidR="0039108A" w:rsidRPr="001D6512" w:rsidRDefault="007A1FB6" w:rsidP="0039108A">
            <w:pPr>
              <w:pStyle w:val="TableCell"/>
              <w:spacing w:before="60" w:after="60"/>
            </w:pPr>
            <w:r w:rsidRPr="001D6512">
              <w:fldChar w:fldCharType="begin"/>
            </w:r>
            <w:r w:rsidR="0039108A" w:rsidRPr="001D6512">
              <w:instrText xml:space="preserve"> REF _Ref298152194 \h </w:instrText>
            </w:r>
            <w:r w:rsidRPr="001D6512">
              <w:fldChar w:fldCharType="separate"/>
            </w:r>
            <w:r w:rsidR="00C0292F" w:rsidRPr="00FC76AC">
              <w:t xml:space="preserve">Table </w:t>
            </w:r>
            <w:r w:rsidR="00C0292F">
              <w:rPr>
                <w:noProof/>
              </w:rPr>
              <w:t>3</w:t>
            </w:r>
            <w:r w:rsidR="00C0292F">
              <w:noBreakHyphen/>
            </w:r>
            <w:r w:rsidR="00C0292F">
              <w:rPr>
                <w:noProof/>
              </w:rPr>
              <w:t>70</w:t>
            </w:r>
            <w:r w:rsidRPr="001D6512">
              <w:fldChar w:fldCharType="end"/>
            </w:r>
          </w:p>
        </w:tc>
      </w:tr>
      <w:tr w:rsidR="0039108A" w:rsidRPr="00696684" w:rsidTr="0039108A">
        <w:trPr>
          <w:cantSplit/>
          <w:trHeight w:val="374"/>
          <w:jc w:val="center"/>
        </w:trPr>
        <w:tc>
          <w:tcPr>
            <w:tcW w:w="1747" w:type="dxa"/>
          </w:tcPr>
          <w:p w:rsidR="0039108A" w:rsidRPr="001D6512" w:rsidRDefault="0039108A" w:rsidP="0039108A">
            <w:pPr>
              <w:pStyle w:val="TableCell"/>
              <w:keepNext w:val="0"/>
              <w:spacing w:before="60" w:after="60"/>
            </w:pPr>
            <w:r w:rsidRPr="001D6512">
              <w:t>Eff</w:t>
            </w:r>
            <w:r w:rsidRPr="001D6512">
              <w:rPr>
                <w:vertAlign w:val="subscript"/>
              </w:rPr>
              <w:t>b</w:t>
            </w:r>
          </w:p>
        </w:tc>
        <w:tc>
          <w:tcPr>
            <w:tcW w:w="1128" w:type="dxa"/>
          </w:tcPr>
          <w:p w:rsidR="0039108A" w:rsidRPr="001D6512" w:rsidRDefault="0039108A" w:rsidP="0039108A">
            <w:pPr>
              <w:pStyle w:val="TableCell"/>
              <w:keepNext w:val="0"/>
              <w:spacing w:before="60" w:after="60"/>
            </w:pPr>
            <w:r w:rsidRPr="001D6512">
              <w:t>Fixed</w:t>
            </w:r>
          </w:p>
        </w:tc>
        <w:tc>
          <w:tcPr>
            <w:tcW w:w="3037" w:type="dxa"/>
          </w:tcPr>
          <w:p w:rsidR="0039108A" w:rsidRPr="001D6512" w:rsidRDefault="0039108A" w:rsidP="0039108A">
            <w:pPr>
              <w:pStyle w:val="TableCell"/>
              <w:keepNext w:val="0"/>
              <w:spacing w:before="60" w:after="60"/>
              <w:rPr>
                <w:highlight w:val="yellow"/>
              </w:rPr>
            </w:pPr>
            <w:r w:rsidRPr="001D6512">
              <w:t xml:space="preserve">See </w:t>
            </w:r>
            <w:r w:rsidR="007A1FB6" w:rsidRPr="001D6512">
              <w:fldChar w:fldCharType="begin"/>
            </w:r>
            <w:r w:rsidRPr="001D6512">
              <w:instrText xml:space="preserve"> REF _Ref298152194 \h </w:instrText>
            </w:r>
            <w:r w:rsidR="007A1FB6" w:rsidRPr="001D6512">
              <w:fldChar w:fldCharType="separate"/>
            </w:r>
            <w:r w:rsidR="00C0292F" w:rsidRPr="00FC76AC">
              <w:t xml:space="preserve">Table </w:t>
            </w:r>
            <w:r w:rsidR="00C0292F">
              <w:rPr>
                <w:noProof/>
              </w:rPr>
              <w:t>3</w:t>
            </w:r>
            <w:r w:rsidR="00C0292F">
              <w:noBreakHyphen/>
            </w:r>
            <w:r w:rsidR="00C0292F">
              <w:rPr>
                <w:noProof/>
              </w:rPr>
              <w:t>70</w:t>
            </w:r>
            <w:r w:rsidR="007A1FB6" w:rsidRPr="001D6512">
              <w:fldChar w:fldCharType="end"/>
            </w:r>
          </w:p>
        </w:tc>
        <w:tc>
          <w:tcPr>
            <w:tcW w:w="2443" w:type="dxa"/>
          </w:tcPr>
          <w:p w:rsidR="0039108A" w:rsidRPr="001D6512" w:rsidRDefault="007A1FB6" w:rsidP="0039108A">
            <w:pPr>
              <w:pStyle w:val="TableCell"/>
              <w:keepNext w:val="0"/>
              <w:spacing w:before="60" w:after="60"/>
              <w:rPr>
                <w:highlight w:val="yellow"/>
              </w:rPr>
            </w:pPr>
            <w:r w:rsidRPr="001D6512">
              <w:fldChar w:fldCharType="begin"/>
            </w:r>
            <w:r w:rsidR="0039108A" w:rsidRPr="001D6512">
              <w:instrText xml:space="preserve"> REF _Ref298152194 \h </w:instrText>
            </w:r>
            <w:r w:rsidRPr="001D6512">
              <w:fldChar w:fldCharType="separate"/>
            </w:r>
            <w:r w:rsidR="00C0292F" w:rsidRPr="00FC76AC">
              <w:t xml:space="preserve">Table </w:t>
            </w:r>
            <w:r w:rsidR="00C0292F">
              <w:rPr>
                <w:noProof/>
              </w:rPr>
              <w:t>3</w:t>
            </w:r>
            <w:r w:rsidR="00C0292F">
              <w:noBreakHyphen/>
            </w:r>
            <w:r w:rsidR="00C0292F">
              <w:rPr>
                <w:noProof/>
              </w:rPr>
              <w:t>70</w:t>
            </w:r>
            <w:r w:rsidRPr="001D6512">
              <w:fldChar w:fldCharType="end"/>
            </w:r>
          </w:p>
        </w:tc>
      </w:tr>
      <w:tr w:rsidR="0039108A" w:rsidRPr="00696684" w:rsidTr="0039108A">
        <w:trPr>
          <w:cantSplit/>
          <w:trHeight w:val="374"/>
          <w:jc w:val="center"/>
        </w:trPr>
        <w:tc>
          <w:tcPr>
            <w:tcW w:w="1747" w:type="dxa"/>
          </w:tcPr>
          <w:p w:rsidR="0039108A" w:rsidRPr="001D6512" w:rsidRDefault="0039108A" w:rsidP="0039108A">
            <w:pPr>
              <w:pStyle w:val="TableCell"/>
              <w:keepNext w:val="0"/>
              <w:spacing w:before="60" w:after="60"/>
              <w:rPr>
                <w:vertAlign w:val="subscript"/>
              </w:rPr>
            </w:pPr>
            <w:r w:rsidRPr="001D6512">
              <w:t>Power</w:t>
            </w:r>
            <w:r w:rsidRPr="001D6512">
              <w:rPr>
                <w:vertAlign w:val="subscript"/>
              </w:rPr>
              <w:t>idle-b</w:t>
            </w:r>
          </w:p>
        </w:tc>
        <w:tc>
          <w:tcPr>
            <w:tcW w:w="1128" w:type="dxa"/>
          </w:tcPr>
          <w:p w:rsidR="0039108A" w:rsidRPr="001D6512" w:rsidRDefault="0039108A" w:rsidP="0039108A">
            <w:pPr>
              <w:pStyle w:val="TableCell"/>
              <w:keepNext w:val="0"/>
              <w:spacing w:before="60" w:after="60"/>
            </w:pPr>
            <w:r w:rsidRPr="001D6512">
              <w:t>Variable</w:t>
            </w:r>
          </w:p>
        </w:tc>
        <w:tc>
          <w:tcPr>
            <w:tcW w:w="3037" w:type="dxa"/>
          </w:tcPr>
          <w:p w:rsidR="0039108A" w:rsidRPr="001D6512" w:rsidRDefault="0039108A" w:rsidP="0039108A">
            <w:pPr>
              <w:pStyle w:val="TableCell"/>
              <w:keepNext w:val="0"/>
              <w:spacing w:before="60" w:after="60"/>
            </w:pPr>
            <w:r w:rsidRPr="001D6512">
              <w:t xml:space="preserve">See </w:t>
            </w:r>
            <w:r w:rsidR="007A1FB6" w:rsidRPr="001D6512">
              <w:fldChar w:fldCharType="begin"/>
            </w:r>
            <w:r w:rsidRPr="001D6512">
              <w:instrText xml:space="preserve"> REF _Ref298152194 \h </w:instrText>
            </w:r>
            <w:r w:rsidR="007A1FB6" w:rsidRPr="001D6512">
              <w:fldChar w:fldCharType="separate"/>
            </w:r>
            <w:r w:rsidR="00C0292F" w:rsidRPr="00FC76AC">
              <w:t xml:space="preserve">Table </w:t>
            </w:r>
            <w:r w:rsidR="00C0292F">
              <w:rPr>
                <w:noProof/>
              </w:rPr>
              <w:t>3</w:t>
            </w:r>
            <w:r w:rsidR="00C0292F">
              <w:noBreakHyphen/>
            </w:r>
            <w:r w:rsidR="00C0292F">
              <w:rPr>
                <w:noProof/>
              </w:rPr>
              <w:t>70</w:t>
            </w:r>
            <w:r w:rsidR="007A1FB6" w:rsidRPr="001D6512">
              <w:fldChar w:fldCharType="end"/>
            </w:r>
          </w:p>
        </w:tc>
        <w:tc>
          <w:tcPr>
            <w:tcW w:w="2443" w:type="dxa"/>
          </w:tcPr>
          <w:p w:rsidR="0039108A" w:rsidRPr="001D6512" w:rsidRDefault="007A1FB6" w:rsidP="0039108A">
            <w:pPr>
              <w:pStyle w:val="TableCell"/>
              <w:keepNext w:val="0"/>
              <w:spacing w:before="60" w:after="60"/>
            </w:pPr>
            <w:r w:rsidRPr="001D6512">
              <w:fldChar w:fldCharType="begin"/>
            </w:r>
            <w:r w:rsidR="0039108A" w:rsidRPr="001D6512">
              <w:instrText xml:space="preserve"> REF _Ref298152194 \h </w:instrText>
            </w:r>
            <w:r w:rsidRPr="001D6512">
              <w:fldChar w:fldCharType="separate"/>
            </w:r>
            <w:r w:rsidR="00C0292F" w:rsidRPr="00FC76AC">
              <w:t xml:space="preserve">Table </w:t>
            </w:r>
            <w:r w:rsidR="00C0292F">
              <w:rPr>
                <w:noProof/>
              </w:rPr>
              <w:t>3</w:t>
            </w:r>
            <w:r w:rsidR="00C0292F">
              <w:noBreakHyphen/>
            </w:r>
            <w:r w:rsidR="00C0292F">
              <w:rPr>
                <w:noProof/>
              </w:rPr>
              <w:t>70</w:t>
            </w:r>
            <w:r w:rsidRPr="001D6512">
              <w:fldChar w:fldCharType="end"/>
            </w:r>
          </w:p>
        </w:tc>
      </w:tr>
      <w:tr w:rsidR="0039108A" w:rsidRPr="00696684" w:rsidTr="0039108A">
        <w:trPr>
          <w:cantSplit/>
          <w:trHeight w:val="374"/>
          <w:jc w:val="center"/>
        </w:trPr>
        <w:tc>
          <w:tcPr>
            <w:tcW w:w="1747" w:type="dxa"/>
            <w:vMerge w:val="restart"/>
          </w:tcPr>
          <w:p w:rsidR="0039108A" w:rsidRPr="001D6512" w:rsidRDefault="0039108A" w:rsidP="0039108A">
            <w:pPr>
              <w:pStyle w:val="TableCell"/>
              <w:keepNext w:val="0"/>
              <w:spacing w:before="60" w:after="60"/>
            </w:pPr>
            <w:r w:rsidRPr="001D6512">
              <w:t>Power</w:t>
            </w:r>
            <w:r w:rsidRPr="001D6512">
              <w:rPr>
                <w:vertAlign w:val="subscript"/>
              </w:rPr>
              <w:t>idle-ee</w:t>
            </w:r>
          </w:p>
        </w:tc>
        <w:tc>
          <w:tcPr>
            <w:tcW w:w="1128" w:type="dxa"/>
            <w:vMerge w:val="restart"/>
          </w:tcPr>
          <w:p w:rsidR="0039108A" w:rsidRPr="001D6512" w:rsidRDefault="0039108A" w:rsidP="0039108A">
            <w:pPr>
              <w:pStyle w:val="TableCell"/>
              <w:keepNext w:val="0"/>
              <w:spacing w:before="60" w:after="60"/>
            </w:pPr>
            <w:r w:rsidRPr="001D6512">
              <w:t>Variable</w:t>
            </w:r>
          </w:p>
        </w:tc>
        <w:tc>
          <w:tcPr>
            <w:tcW w:w="3037" w:type="dxa"/>
          </w:tcPr>
          <w:p w:rsidR="0039108A" w:rsidRPr="001D6512" w:rsidRDefault="0039108A" w:rsidP="0039108A">
            <w:pPr>
              <w:pStyle w:val="TableCell"/>
              <w:keepNext w:val="0"/>
              <w:spacing w:before="60" w:after="60"/>
            </w:pPr>
            <w:r w:rsidRPr="001D6512">
              <w:t>Nameplate</w:t>
            </w:r>
          </w:p>
        </w:tc>
        <w:tc>
          <w:tcPr>
            <w:tcW w:w="2443" w:type="dxa"/>
          </w:tcPr>
          <w:p w:rsidR="0039108A" w:rsidRPr="001D6512" w:rsidRDefault="0039108A" w:rsidP="0039108A">
            <w:pPr>
              <w:pStyle w:val="TableCell"/>
              <w:keepNext w:val="0"/>
              <w:spacing w:before="60" w:after="60"/>
            </w:pPr>
            <w:r w:rsidRPr="001D6512">
              <w:rPr>
                <w:rFonts w:cs="Arial"/>
              </w:rPr>
              <w:t>EDC Data Gathering</w:t>
            </w:r>
          </w:p>
        </w:tc>
      </w:tr>
      <w:tr w:rsidR="0039108A" w:rsidRPr="00696684" w:rsidTr="0039108A">
        <w:trPr>
          <w:cantSplit/>
          <w:trHeight w:val="374"/>
          <w:jc w:val="center"/>
        </w:trPr>
        <w:tc>
          <w:tcPr>
            <w:tcW w:w="1747" w:type="dxa"/>
            <w:vMerge/>
          </w:tcPr>
          <w:p w:rsidR="0039108A" w:rsidRPr="001D6512" w:rsidRDefault="0039108A" w:rsidP="0039108A">
            <w:pPr>
              <w:pStyle w:val="TableCell"/>
              <w:keepNext w:val="0"/>
              <w:spacing w:before="60" w:after="60"/>
            </w:pPr>
          </w:p>
        </w:tc>
        <w:tc>
          <w:tcPr>
            <w:tcW w:w="1128" w:type="dxa"/>
            <w:vMerge/>
          </w:tcPr>
          <w:p w:rsidR="0039108A" w:rsidRPr="001D6512" w:rsidRDefault="0039108A" w:rsidP="0039108A">
            <w:pPr>
              <w:pStyle w:val="TableCell"/>
              <w:keepNext w:val="0"/>
              <w:spacing w:before="60" w:after="60"/>
            </w:pPr>
          </w:p>
        </w:tc>
        <w:tc>
          <w:tcPr>
            <w:tcW w:w="3037" w:type="dxa"/>
          </w:tcPr>
          <w:p w:rsidR="0039108A" w:rsidRPr="001D6512" w:rsidRDefault="0039108A" w:rsidP="0039108A">
            <w:pPr>
              <w:pStyle w:val="TableCell"/>
              <w:spacing w:before="60" w:after="60"/>
            </w:pPr>
            <w:r w:rsidRPr="001D6512">
              <w:t xml:space="preserve">Default values in </w:t>
            </w:r>
            <w:r w:rsidR="007A1FB6" w:rsidRPr="001D6512">
              <w:fldChar w:fldCharType="begin"/>
            </w:r>
            <w:r w:rsidRPr="001D6512">
              <w:instrText xml:space="preserve"> REF _Ref298152194 \h </w:instrText>
            </w:r>
            <w:r w:rsidR="007A1FB6" w:rsidRPr="001D6512">
              <w:fldChar w:fldCharType="separate"/>
            </w:r>
            <w:r w:rsidR="00C0292F" w:rsidRPr="00FC76AC">
              <w:t xml:space="preserve">Table </w:t>
            </w:r>
            <w:r w:rsidR="00C0292F">
              <w:rPr>
                <w:noProof/>
              </w:rPr>
              <w:t>3</w:t>
            </w:r>
            <w:r w:rsidR="00C0292F">
              <w:noBreakHyphen/>
            </w:r>
            <w:r w:rsidR="00C0292F">
              <w:rPr>
                <w:noProof/>
              </w:rPr>
              <w:t>70</w:t>
            </w:r>
            <w:r w:rsidR="007A1FB6" w:rsidRPr="001D6512">
              <w:fldChar w:fldCharType="end"/>
            </w:r>
          </w:p>
        </w:tc>
        <w:tc>
          <w:tcPr>
            <w:tcW w:w="2443" w:type="dxa"/>
          </w:tcPr>
          <w:p w:rsidR="0039108A" w:rsidRPr="001D6512" w:rsidRDefault="007A1FB6" w:rsidP="0039108A">
            <w:pPr>
              <w:pStyle w:val="TableCell"/>
              <w:spacing w:before="60" w:after="60"/>
            </w:pPr>
            <w:r w:rsidRPr="001D6512">
              <w:fldChar w:fldCharType="begin"/>
            </w:r>
            <w:r w:rsidR="0039108A" w:rsidRPr="001D6512">
              <w:instrText xml:space="preserve"> REF _Ref298152194 \h </w:instrText>
            </w:r>
            <w:r w:rsidRPr="001D6512">
              <w:fldChar w:fldCharType="separate"/>
            </w:r>
            <w:r w:rsidR="00C0292F" w:rsidRPr="00FC76AC">
              <w:t xml:space="preserve">Table </w:t>
            </w:r>
            <w:r w:rsidR="00C0292F">
              <w:rPr>
                <w:noProof/>
              </w:rPr>
              <w:t>3</w:t>
            </w:r>
            <w:r w:rsidR="00C0292F">
              <w:noBreakHyphen/>
            </w:r>
            <w:r w:rsidR="00C0292F">
              <w:rPr>
                <w:noProof/>
              </w:rPr>
              <w:t>70</w:t>
            </w:r>
            <w:r w:rsidRPr="001D6512">
              <w:fldChar w:fldCharType="end"/>
            </w:r>
          </w:p>
        </w:tc>
      </w:tr>
      <w:tr w:rsidR="0039108A" w:rsidRPr="00696684" w:rsidTr="0039108A">
        <w:trPr>
          <w:cantSplit/>
          <w:trHeight w:val="374"/>
          <w:jc w:val="center"/>
        </w:trPr>
        <w:tc>
          <w:tcPr>
            <w:tcW w:w="1747" w:type="dxa"/>
            <w:vMerge w:val="restart"/>
          </w:tcPr>
          <w:p w:rsidR="0039108A" w:rsidRPr="001D6512" w:rsidRDefault="0039108A" w:rsidP="0039108A">
            <w:pPr>
              <w:pStyle w:val="TableCell"/>
              <w:keepNext w:val="0"/>
              <w:spacing w:before="60" w:after="60"/>
            </w:pPr>
            <w:r w:rsidRPr="001D6512">
              <w:t>HOURS</w:t>
            </w:r>
            <w:r w:rsidRPr="001D6512">
              <w:rPr>
                <w:vertAlign w:val="subscript"/>
              </w:rPr>
              <w:t>op</w:t>
            </w:r>
          </w:p>
        </w:tc>
        <w:tc>
          <w:tcPr>
            <w:tcW w:w="1128" w:type="dxa"/>
            <w:vMerge w:val="restart"/>
          </w:tcPr>
          <w:p w:rsidR="0039108A" w:rsidRPr="001D6512" w:rsidRDefault="0039108A" w:rsidP="0039108A">
            <w:pPr>
              <w:pStyle w:val="TableCell"/>
              <w:keepNext w:val="0"/>
              <w:spacing w:before="60" w:after="60"/>
            </w:pPr>
            <w:r w:rsidRPr="001D6512">
              <w:t>Variable</w:t>
            </w:r>
          </w:p>
        </w:tc>
        <w:tc>
          <w:tcPr>
            <w:tcW w:w="3037" w:type="dxa"/>
          </w:tcPr>
          <w:p w:rsidR="0039108A" w:rsidRPr="001D6512" w:rsidRDefault="0039108A" w:rsidP="0039108A">
            <w:pPr>
              <w:pStyle w:val="TableCell"/>
              <w:keepNext w:val="0"/>
              <w:spacing w:before="60" w:after="60"/>
            </w:pPr>
            <w:r w:rsidRPr="001D6512">
              <w:t>Nameplate</w:t>
            </w:r>
          </w:p>
        </w:tc>
        <w:tc>
          <w:tcPr>
            <w:tcW w:w="2443" w:type="dxa"/>
          </w:tcPr>
          <w:p w:rsidR="0039108A" w:rsidRPr="001D6512" w:rsidRDefault="0039108A" w:rsidP="0039108A">
            <w:pPr>
              <w:pStyle w:val="TableCell"/>
              <w:keepNext w:val="0"/>
              <w:spacing w:before="60" w:after="60"/>
              <w:rPr>
                <w:rFonts w:cs="Arial"/>
              </w:rPr>
            </w:pPr>
            <w:r w:rsidRPr="001D6512">
              <w:rPr>
                <w:rFonts w:cs="Arial"/>
              </w:rPr>
              <w:t>EDC Data Gathering</w:t>
            </w:r>
          </w:p>
        </w:tc>
      </w:tr>
      <w:tr w:rsidR="0039108A" w:rsidRPr="00696684" w:rsidTr="0039108A">
        <w:trPr>
          <w:cantSplit/>
          <w:trHeight w:val="374"/>
          <w:jc w:val="center"/>
        </w:trPr>
        <w:tc>
          <w:tcPr>
            <w:tcW w:w="1747" w:type="dxa"/>
            <w:vMerge/>
          </w:tcPr>
          <w:p w:rsidR="0039108A" w:rsidRPr="001D6512" w:rsidRDefault="0039108A" w:rsidP="0039108A">
            <w:pPr>
              <w:pStyle w:val="TableCell"/>
              <w:keepNext w:val="0"/>
              <w:spacing w:before="60" w:after="60"/>
            </w:pPr>
          </w:p>
        </w:tc>
        <w:tc>
          <w:tcPr>
            <w:tcW w:w="1128" w:type="dxa"/>
            <w:vMerge/>
          </w:tcPr>
          <w:p w:rsidR="0039108A" w:rsidRPr="001D6512" w:rsidRDefault="0039108A" w:rsidP="0039108A">
            <w:pPr>
              <w:pStyle w:val="TableCell"/>
              <w:keepNext w:val="0"/>
              <w:spacing w:before="60" w:after="60"/>
            </w:pPr>
          </w:p>
        </w:tc>
        <w:tc>
          <w:tcPr>
            <w:tcW w:w="3037" w:type="dxa"/>
          </w:tcPr>
          <w:p w:rsidR="0039108A" w:rsidRPr="001D6512" w:rsidRDefault="0039108A" w:rsidP="0039108A">
            <w:pPr>
              <w:pStyle w:val="TableCell"/>
              <w:keepNext w:val="0"/>
              <w:spacing w:before="60" w:after="60"/>
            </w:pPr>
            <w:r w:rsidRPr="001D6512">
              <w:t>12 hours</w:t>
            </w:r>
          </w:p>
        </w:tc>
        <w:tc>
          <w:tcPr>
            <w:tcW w:w="2443" w:type="dxa"/>
          </w:tcPr>
          <w:p w:rsidR="0039108A" w:rsidRPr="001D6512" w:rsidRDefault="0039108A" w:rsidP="0039108A">
            <w:pPr>
              <w:pStyle w:val="TableCell"/>
              <w:keepNext w:val="0"/>
              <w:spacing w:before="60" w:after="60"/>
              <w:rPr>
                <w:rFonts w:cs="Arial"/>
              </w:rPr>
            </w:pPr>
            <w:r w:rsidRPr="001D6512">
              <w:rPr>
                <w:rFonts w:cs="Arial"/>
              </w:rPr>
              <w:t>1</w:t>
            </w:r>
          </w:p>
        </w:tc>
      </w:tr>
      <w:tr w:rsidR="0039108A" w:rsidRPr="00696684" w:rsidTr="0039108A">
        <w:trPr>
          <w:cantSplit/>
          <w:trHeight w:val="374"/>
          <w:jc w:val="center"/>
        </w:trPr>
        <w:tc>
          <w:tcPr>
            <w:tcW w:w="1747" w:type="dxa"/>
          </w:tcPr>
          <w:p w:rsidR="0039108A" w:rsidRPr="001D6512" w:rsidRDefault="0039108A" w:rsidP="0039108A">
            <w:pPr>
              <w:pStyle w:val="TableCell"/>
              <w:keepNext w:val="0"/>
              <w:spacing w:before="60" w:after="60"/>
              <w:rPr>
                <w:highlight w:val="yellow"/>
              </w:rPr>
            </w:pPr>
            <w:r w:rsidRPr="001D6512">
              <w:t>HOURS</w:t>
            </w:r>
            <w:r w:rsidRPr="001D6512">
              <w:rPr>
                <w:vertAlign w:val="subscript"/>
              </w:rPr>
              <w:t>pre</w:t>
            </w:r>
          </w:p>
        </w:tc>
        <w:tc>
          <w:tcPr>
            <w:tcW w:w="1128" w:type="dxa"/>
          </w:tcPr>
          <w:p w:rsidR="0039108A" w:rsidRPr="001D6512" w:rsidRDefault="0039108A" w:rsidP="0039108A">
            <w:pPr>
              <w:pStyle w:val="TableCell"/>
              <w:keepNext w:val="0"/>
              <w:spacing w:before="60" w:after="60"/>
            </w:pPr>
            <w:r w:rsidRPr="001D6512">
              <w:t>Fixed</w:t>
            </w:r>
          </w:p>
        </w:tc>
        <w:tc>
          <w:tcPr>
            <w:tcW w:w="3037" w:type="dxa"/>
          </w:tcPr>
          <w:p w:rsidR="0039108A" w:rsidRPr="001D6512" w:rsidRDefault="0039108A" w:rsidP="0039108A">
            <w:pPr>
              <w:pStyle w:val="TableCell"/>
              <w:keepNext w:val="0"/>
              <w:spacing w:before="60" w:after="60"/>
            </w:pPr>
            <w:r w:rsidRPr="001D6512">
              <w:t>0.25</w:t>
            </w:r>
          </w:p>
        </w:tc>
        <w:tc>
          <w:tcPr>
            <w:tcW w:w="2443" w:type="dxa"/>
          </w:tcPr>
          <w:p w:rsidR="0039108A" w:rsidRPr="001D6512" w:rsidRDefault="0039108A" w:rsidP="0039108A">
            <w:pPr>
              <w:pStyle w:val="TableCell"/>
              <w:keepNext w:val="0"/>
              <w:spacing w:before="60" w:after="60"/>
            </w:pPr>
            <w:r w:rsidRPr="001D6512">
              <w:rPr>
                <w:rFonts w:cs="Arial"/>
              </w:rPr>
              <w:t>1</w:t>
            </w:r>
          </w:p>
        </w:tc>
      </w:tr>
      <w:tr w:rsidR="0039108A" w:rsidRPr="00696684" w:rsidTr="0039108A">
        <w:trPr>
          <w:cantSplit/>
          <w:trHeight w:val="374"/>
          <w:jc w:val="center"/>
        </w:trPr>
        <w:tc>
          <w:tcPr>
            <w:tcW w:w="1747" w:type="dxa"/>
          </w:tcPr>
          <w:p w:rsidR="0039108A" w:rsidRPr="001D6512" w:rsidRDefault="0039108A" w:rsidP="0039108A">
            <w:pPr>
              <w:pStyle w:val="TableCell"/>
              <w:keepNext w:val="0"/>
              <w:spacing w:before="60" w:after="60"/>
              <w:rPr>
                <w:highlight w:val="yellow"/>
              </w:rPr>
            </w:pPr>
            <w:r w:rsidRPr="001D6512">
              <w:t>%HOURS</w:t>
            </w:r>
            <w:r w:rsidRPr="001D6512">
              <w:rPr>
                <w:vertAlign w:val="subscript"/>
              </w:rPr>
              <w:t>consteam</w:t>
            </w:r>
          </w:p>
        </w:tc>
        <w:tc>
          <w:tcPr>
            <w:tcW w:w="1128" w:type="dxa"/>
          </w:tcPr>
          <w:p w:rsidR="0039108A" w:rsidRPr="001D6512" w:rsidRDefault="0039108A" w:rsidP="0039108A">
            <w:pPr>
              <w:pStyle w:val="TableCell"/>
              <w:keepNext w:val="0"/>
              <w:spacing w:before="60" w:after="60"/>
            </w:pPr>
            <w:r w:rsidRPr="001D6512">
              <w:t>Fixed</w:t>
            </w:r>
          </w:p>
        </w:tc>
        <w:tc>
          <w:tcPr>
            <w:tcW w:w="3037" w:type="dxa"/>
          </w:tcPr>
          <w:p w:rsidR="0039108A" w:rsidRPr="001D6512" w:rsidRDefault="0039108A" w:rsidP="0039108A">
            <w:pPr>
              <w:pStyle w:val="TableCell"/>
              <w:keepNext w:val="0"/>
              <w:spacing w:before="60" w:after="60"/>
            </w:pPr>
            <w:r w:rsidRPr="001D6512">
              <w:t>40%</w:t>
            </w:r>
          </w:p>
        </w:tc>
        <w:tc>
          <w:tcPr>
            <w:tcW w:w="2443" w:type="dxa"/>
          </w:tcPr>
          <w:p w:rsidR="0039108A" w:rsidRPr="001D6512" w:rsidRDefault="0039108A" w:rsidP="0039108A">
            <w:pPr>
              <w:pStyle w:val="TableCell"/>
              <w:keepNext w:val="0"/>
              <w:spacing w:before="60" w:after="60"/>
            </w:pPr>
            <w:r w:rsidRPr="001D6512">
              <w:t>1</w:t>
            </w:r>
          </w:p>
        </w:tc>
      </w:tr>
      <w:tr w:rsidR="0039108A" w:rsidRPr="00696684" w:rsidTr="0039108A">
        <w:trPr>
          <w:cantSplit/>
          <w:trHeight w:val="374"/>
          <w:jc w:val="center"/>
        </w:trPr>
        <w:tc>
          <w:tcPr>
            <w:tcW w:w="1747" w:type="dxa"/>
          </w:tcPr>
          <w:p w:rsidR="0039108A" w:rsidRPr="001D6512" w:rsidRDefault="0039108A" w:rsidP="0039108A">
            <w:pPr>
              <w:pStyle w:val="TableCell"/>
              <w:keepNext w:val="0"/>
              <w:spacing w:before="60" w:after="60"/>
            </w:pPr>
            <w:r w:rsidRPr="001D6512">
              <w:t>CAPY</w:t>
            </w:r>
            <w:r w:rsidRPr="001D6512">
              <w:rPr>
                <w:vertAlign w:val="subscript"/>
              </w:rPr>
              <w:t>b</w:t>
            </w:r>
          </w:p>
        </w:tc>
        <w:tc>
          <w:tcPr>
            <w:tcW w:w="1128" w:type="dxa"/>
          </w:tcPr>
          <w:p w:rsidR="0039108A" w:rsidRPr="001D6512" w:rsidRDefault="0039108A" w:rsidP="0039108A">
            <w:pPr>
              <w:pStyle w:val="TableCell"/>
              <w:keepNext w:val="0"/>
              <w:spacing w:before="60" w:after="60"/>
            </w:pPr>
            <w:r w:rsidRPr="001D6512">
              <w:t>Fixed</w:t>
            </w:r>
          </w:p>
        </w:tc>
        <w:tc>
          <w:tcPr>
            <w:tcW w:w="3037" w:type="dxa"/>
          </w:tcPr>
          <w:p w:rsidR="0039108A" w:rsidRPr="001D6512" w:rsidRDefault="0039108A" w:rsidP="0039108A">
            <w:pPr>
              <w:pStyle w:val="TableCell"/>
              <w:keepNext w:val="0"/>
              <w:spacing w:before="60" w:after="60"/>
            </w:pPr>
            <w:r w:rsidRPr="001D6512">
              <w:t xml:space="preserve">See </w:t>
            </w:r>
            <w:r w:rsidR="007A1FB6" w:rsidRPr="001D6512">
              <w:fldChar w:fldCharType="begin"/>
            </w:r>
            <w:r w:rsidRPr="001D6512">
              <w:instrText xml:space="preserve"> REF _Ref298152194 \h </w:instrText>
            </w:r>
            <w:r w:rsidR="007A1FB6" w:rsidRPr="001D6512">
              <w:fldChar w:fldCharType="separate"/>
            </w:r>
            <w:r w:rsidR="00C0292F" w:rsidRPr="00FC76AC">
              <w:t xml:space="preserve">Table </w:t>
            </w:r>
            <w:r w:rsidR="00C0292F">
              <w:rPr>
                <w:noProof/>
              </w:rPr>
              <w:t>3</w:t>
            </w:r>
            <w:r w:rsidR="00C0292F">
              <w:noBreakHyphen/>
            </w:r>
            <w:r w:rsidR="00C0292F">
              <w:rPr>
                <w:noProof/>
              </w:rPr>
              <w:t>70</w:t>
            </w:r>
            <w:r w:rsidR="007A1FB6" w:rsidRPr="001D6512">
              <w:fldChar w:fldCharType="end"/>
            </w:r>
          </w:p>
        </w:tc>
        <w:tc>
          <w:tcPr>
            <w:tcW w:w="2443" w:type="dxa"/>
          </w:tcPr>
          <w:p w:rsidR="0039108A" w:rsidRPr="001D6512" w:rsidRDefault="007A1FB6" w:rsidP="0039108A">
            <w:pPr>
              <w:pStyle w:val="TableCell"/>
              <w:keepNext w:val="0"/>
              <w:spacing w:before="60" w:after="60"/>
            </w:pPr>
            <w:r w:rsidRPr="001D6512">
              <w:fldChar w:fldCharType="begin"/>
            </w:r>
            <w:r w:rsidR="0039108A" w:rsidRPr="001D6512">
              <w:instrText xml:space="preserve"> REF _Ref298152194 \h </w:instrText>
            </w:r>
            <w:r w:rsidRPr="001D6512">
              <w:fldChar w:fldCharType="separate"/>
            </w:r>
            <w:r w:rsidR="00C0292F" w:rsidRPr="00FC76AC">
              <w:t xml:space="preserve">Table </w:t>
            </w:r>
            <w:r w:rsidR="00C0292F">
              <w:rPr>
                <w:noProof/>
              </w:rPr>
              <w:t>3</w:t>
            </w:r>
            <w:r w:rsidR="00C0292F">
              <w:noBreakHyphen/>
            </w:r>
            <w:r w:rsidR="00C0292F">
              <w:rPr>
                <w:noProof/>
              </w:rPr>
              <w:t>70</w:t>
            </w:r>
            <w:r w:rsidRPr="001D6512">
              <w:fldChar w:fldCharType="end"/>
            </w:r>
          </w:p>
        </w:tc>
      </w:tr>
      <w:tr w:rsidR="0039108A" w:rsidRPr="00696684" w:rsidTr="0039108A">
        <w:trPr>
          <w:cantSplit/>
          <w:trHeight w:val="374"/>
          <w:jc w:val="center"/>
        </w:trPr>
        <w:tc>
          <w:tcPr>
            <w:tcW w:w="1747" w:type="dxa"/>
          </w:tcPr>
          <w:p w:rsidR="0039108A" w:rsidRPr="001D6512" w:rsidRDefault="0039108A" w:rsidP="0039108A">
            <w:pPr>
              <w:pStyle w:val="TableCell"/>
              <w:keepNext w:val="0"/>
              <w:spacing w:before="60" w:after="60"/>
              <w:rPr>
                <w:highlight w:val="yellow"/>
              </w:rPr>
            </w:pPr>
            <w:r w:rsidRPr="001D6512">
              <w:t>CAPY</w:t>
            </w:r>
            <w:r w:rsidRPr="001D6512">
              <w:rPr>
                <w:vertAlign w:val="subscript"/>
              </w:rPr>
              <w:t>ee</w:t>
            </w:r>
          </w:p>
        </w:tc>
        <w:tc>
          <w:tcPr>
            <w:tcW w:w="1128" w:type="dxa"/>
          </w:tcPr>
          <w:p w:rsidR="0039108A" w:rsidRPr="001D6512" w:rsidRDefault="0039108A" w:rsidP="0039108A">
            <w:pPr>
              <w:pStyle w:val="TableCell"/>
              <w:keepNext w:val="0"/>
              <w:spacing w:before="60" w:after="60"/>
              <w:rPr>
                <w:highlight w:val="yellow"/>
              </w:rPr>
            </w:pPr>
            <w:r w:rsidRPr="001D6512">
              <w:t>Fixed</w:t>
            </w:r>
          </w:p>
        </w:tc>
        <w:tc>
          <w:tcPr>
            <w:tcW w:w="3037" w:type="dxa"/>
          </w:tcPr>
          <w:p w:rsidR="0039108A" w:rsidRPr="001D6512" w:rsidRDefault="0039108A" w:rsidP="0039108A">
            <w:pPr>
              <w:pStyle w:val="TableCell"/>
              <w:keepNext w:val="0"/>
              <w:spacing w:before="60" w:after="60"/>
            </w:pPr>
            <w:r w:rsidRPr="001D6512">
              <w:t xml:space="preserve">See </w:t>
            </w:r>
            <w:r w:rsidR="007A1FB6" w:rsidRPr="001D6512">
              <w:fldChar w:fldCharType="begin"/>
            </w:r>
            <w:r w:rsidRPr="001D6512">
              <w:instrText xml:space="preserve"> REF _Ref298152194 \h </w:instrText>
            </w:r>
            <w:r w:rsidR="007A1FB6" w:rsidRPr="001D6512">
              <w:fldChar w:fldCharType="separate"/>
            </w:r>
            <w:r w:rsidR="00C0292F" w:rsidRPr="00FC76AC">
              <w:t xml:space="preserve">Table </w:t>
            </w:r>
            <w:r w:rsidR="00C0292F">
              <w:rPr>
                <w:noProof/>
              </w:rPr>
              <w:t>3</w:t>
            </w:r>
            <w:r w:rsidR="00C0292F">
              <w:noBreakHyphen/>
            </w:r>
            <w:r w:rsidR="00C0292F">
              <w:rPr>
                <w:noProof/>
              </w:rPr>
              <w:t>70</w:t>
            </w:r>
            <w:r w:rsidR="007A1FB6" w:rsidRPr="001D6512">
              <w:fldChar w:fldCharType="end"/>
            </w:r>
          </w:p>
        </w:tc>
        <w:tc>
          <w:tcPr>
            <w:tcW w:w="2443" w:type="dxa"/>
          </w:tcPr>
          <w:p w:rsidR="0039108A" w:rsidRPr="001D6512" w:rsidRDefault="007A1FB6" w:rsidP="0039108A">
            <w:pPr>
              <w:pStyle w:val="TableCell"/>
              <w:keepNext w:val="0"/>
              <w:spacing w:before="60" w:after="60"/>
            </w:pPr>
            <w:r w:rsidRPr="001D6512">
              <w:fldChar w:fldCharType="begin"/>
            </w:r>
            <w:r w:rsidR="0039108A" w:rsidRPr="001D6512">
              <w:instrText xml:space="preserve"> REF _Ref298152194 \h </w:instrText>
            </w:r>
            <w:r w:rsidRPr="001D6512">
              <w:fldChar w:fldCharType="separate"/>
            </w:r>
            <w:r w:rsidR="00C0292F" w:rsidRPr="00FC76AC">
              <w:t xml:space="preserve">Table </w:t>
            </w:r>
            <w:r w:rsidR="00C0292F">
              <w:rPr>
                <w:noProof/>
              </w:rPr>
              <w:t>3</w:t>
            </w:r>
            <w:r w:rsidR="00C0292F">
              <w:noBreakHyphen/>
            </w:r>
            <w:r w:rsidR="00C0292F">
              <w:rPr>
                <w:noProof/>
              </w:rPr>
              <w:t>70</w:t>
            </w:r>
            <w:r w:rsidRPr="001D6512">
              <w:fldChar w:fldCharType="end"/>
            </w:r>
          </w:p>
        </w:tc>
      </w:tr>
      <w:tr w:rsidR="0039108A" w:rsidRPr="00696684" w:rsidTr="0039108A">
        <w:trPr>
          <w:cantSplit/>
          <w:trHeight w:val="374"/>
          <w:jc w:val="center"/>
        </w:trPr>
        <w:tc>
          <w:tcPr>
            <w:tcW w:w="1747" w:type="dxa"/>
          </w:tcPr>
          <w:p w:rsidR="0039108A" w:rsidRPr="001D6512" w:rsidRDefault="0039108A" w:rsidP="0039108A">
            <w:pPr>
              <w:pStyle w:val="TableCell"/>
              <w:keepNext w:val="0"/>
              <w:spacing w:before="60" w:after="60"/>
            </w:pPr>
            <w:r w:rsidRPr="001D6512">
              <w:t>Qty</w:t>
            </w:r>
            <w:r w:rsidRPr="001D6512">
              <w:rPr>
                <w:vertAlign w:val="subscript"/>
              </w:rPr>
              <w:t>pans</w:t>
            </w:r>
          </w:p>
        </w:tc>
        <w:tc>
          <w:tcPr>
            <w:tcW w:w="1128" w:type="dxa"/>
          </w:tcPr>
          <w:p w:rsidR="0039108A" w:rsidRPr="001D6512" w:rsidRDefault="0039108A" w:rsidP="0039108A">
            <w:pPr>
              <w:pStyle w:val="TableCell"/>
              <w:keepNext w:val="0"/>
              <w:spacing w:before="60" w:after="60"/>
            </w:pPr>
            <w:r w:rsidRPr="001D6512">
              <w:t>Variable</w:t>
            </w:r>
          </w:p>
        </w:tc>
        <w:tc>
          <w:tcPr>
            <w:tcW w:w="3037" w:type="dxa"/>
          </w:tcPr>
          <w:p w:rsidR="0039108A" w:rsidRPr="001D6512" w:rsidRDefault="0039108A" w:rsidP="0039108A">
            <w:pPr>
              <w:pStyle w:val="TableCell"/>
              <w:keepNext w:val="0"/>
              <w:spacing w:before="60" w:after="60"/>
            </w:pPr>
            <w:r w:rsidRPr="001D6512">
              <w:t>Nameplate</w:t>
            </w:r>
          </w:p>
        </w:tc>
        <w:tc>
          <w:tcPr>
            <w:tcW w:w="2443" w:type="dxa"/>
          </w:tcPr>
          <w:p w:rsidR="0039108A" w:rsidRPr="001D6512" w:rsidRDefault="0039108A" w:rsidP="0039108A">
            <w:pPr>
              <w:pStyle w:val="TableCell"/>
              <w:keepNext w:val="0"/>
              <w:spacing w:before="60" w:after="60"/>
            </w:pPr>
            <w:r w:rsidRPr="001D6512">
              <w:rPr>
                <w:rFonts w:cs="Arial"/>
              </w:rPr>
              <w:t>EDC Data Gathering</w:t>
            </w:r>
          </w:p>
        </w:tc>
      </w:tr>
      <w:tr w:rsidR="0039108A" w:rsidRPr="00696684" w:rsidTr="0039108A">
        <w:trPr>
          <w:cantSplit/>
          <w:trHeight w:val="374"/>
          <w:jc w:val="center"/>
        </w:trPr>
        <w:tc>
          <w:tcPr>
            <w:tcW w:w="1747" w:type="dxa"/>
          </w:tcPr>
          <w:p w:rsidR="0039108A" w:rsidRPr="001D6512" w:rsidRDefault="0039108A" w:rsidP="0039108A">
            <w:pPr>
              <w:pStyle w:val="TableCell"/>
              <w:spacing w:before="60" w:after="60"/>
            </w:pPr>
            <w:r w:rsidRPr="001D6512">
              <w:t>EFLH</w:t>
            </w:r>
          </w:p>
        </w:tc>
        <w:tc>
          <w:tcPr>
            <w:tcW w:w="1128" w:type="dxa"/>
          </w:tcPr>
          <w:p w:rsidR="0039108A" w:rsidRPr="001D6512" w:rsidRDefault="0039108A" w:rsidP="0039108A">
            <w:pPr>
              <w:pStyle w:val="TableCell"/>
              <w:spacing w:before="60" w:after="60"/>
            </w:pPr>
            <w:r w:rsidRPr="001D6512">
              <w:t>Fixed</w:t>
            </w:r>
          </w:p>
        </w:tc>
        <w:tc>
          <w:tcPr>
            <w:tcW w:w="3037" w:type="dxa"/>
          </w:tcPr>
          <w:p w:rsidR="0039108A" w:rsidRPr="001D6512" w:rsidRDefault="0039108A" w:rsidP="0039108A">
            <w:pPr>
              <w:pStyle w:val="TableCell"/>
              <w:spacing w:before="60" w:after="60"/>
            </w:pPr>
            <w:r w:rsidRPr="001D6512">
              <w:t>4380</w:t>
            </w:r>
          </w:p>
        </w:tc>
        <w:tc>
          <w:tcPr>
            <w:tcW w:w="2443" w:type="dxa"/>
          </w:tcPr>
          <w:p w:rsidR="0039108A" w:rsidRPr="001D6512" w:rsidRDefault="0039108A" w:rsidP="0039108A">
            <w:pPr>
              <w:pStyle w:val="TableCell"/>
              <w:spacing w:before="60" w:after="60"/>
            </w:pPr>
            <w:r w:rsidRPr="001D6512">
              <w:t>2</w:t>
            </w:r>
          </w:p>
        </w:tc>
      </w:tr>
      <w:tr w:rsidR="0039108A" w:rsidRPr="00696684" w:rsidTr="0039108A">
        <w:trPr>
          <w:cantSplit/>
          <w:trHeight w:val="374"/>
          <w:jc w:val="center"/>
        </w:trPr>
        <w:tc>
          <w:tcPr>
            <w:tcW w:w="1747" w:type="dxa"/>
          </w:tcPr>
          <w:p w:rsidR="0039108A" w:rsidRPr="001D6512" w:rsidRDefault="0039108A" w:rsidP="0039108A">
            <w:pPr>
              <w:pStyle w:val="TableCell"/>
              <w:spacing w:before="60" w:after="60"/>
            </w:pPr>
            <w:r w:rsidRPr="001D6512">
              <w:t>CF</w:t>
            </w:r>
          </w:p>
        </w:tc>
        <w:tc>
          <w:tcPr>
            <w:tcW w:w="1128" w:type="dxa"/>
          </w:tcPr>
          <w:p w:rsidR="0039108A" w:rsidRPr="001D6512" w:rsidRDefault="0039108A" w:rsidP="0039108A">
            <w:pPr>
              <w:pStyle w:val="TableCell"/>
              <w:spacing w:before="60" w:after="60"/>
            </w:pPr>
            <w:r w:rsidRPr="001D6512">
              <w:t>Fixed</w:t>
            </w:r>
          </w:p>
        </w:tc>
        <w:tc>
          <w:tcPr>
            <w:tcW w:w="3037" w:type="dxa"/>
          </w:tcPr>
          <w:p w:rsidR="0039108A" w:rsidRPr="001D6512" w:rsidRDefault="0039108A" w:rsidP="0039108A">
            <w:pPr>
              <w:pStyle w:val="TableCell"/>
              <w:spacing w:before="60" w:after="60"/>
            </w:pPr>
            <w:r w:rsidRPr="001D6512">
              <w:t>0.84</w:t>
            </w:r>
          </w:p>
        </w:tc>
        <w:tc>
          <w:tcPr>
            <w:tcW w:w="2443" w:type="dxa"/>
          </w:tcPr>
          <w:p w:rsidR="0039108A" w:rsidRPr="001D6512" w:rsidRDefault="0039108A" w:rsidP="0039108A">
            <w:pPr>
              <w:pStyle w:val="TableCell"/>
              <w:spacing w:before="60" w:after="60"/>
            </w:pPr>
            <w:r w:rsidRPr="001D6512">
              <w:t>4, 5</w:t>
            </w:r>
          </w:p>
        </w:tc>
      </w:tr>
    </w:tbl>
    <w:p w:rsidR="0039108A" w:rsidRPr="00696684" w:rsidRDefault="0039108A" w:rsidP="0039108A">
      <w:pPr>
        <w:spacing w:after="0"/>
        <w:rPr>
          <w:rStyle w:val="BodyTextChar"/>
          <w:i/>
        </w:rPr>
      </w:pPr>
    </w:p>
    <w:p w:rsidR="0039108A" w:rsidRDefault="0039108A" w:rsidP="0039108A">
      <w:pPr>
        <w:keepNext/>
        <w:rPr>
          <w:b/>
          <w:sz w:val="24"/>
          <w:szCs w:val="24"/>
        </w:rPr>
      </w:pPr>
      <w:r w:rsidRPr="00C002A4">
        <w:rPr>
          <w:rStyle w:val="BodyTextChar"/>
          <w:b/>
        </w:rPr>
        <w:t>Sources</w:t>
      </w:r>
      <w:r w:rsidR="00E757AB">
        <w:rPr>
          <w:rStyle w:val="BodyTextChar"/>
          <w:b/>
        </w:rPr>
        <w:t>:</w:t>
      </w:r>
    </w:p>
    <w:p w:rsidR="0039108A" w:rsidRDefault="0039108A" w:rsidP="0005632A">
      <w:pPr>
        <w:pStyle w:val="source1"/>
        <w:numPr>
          <w:ilvl w:val="0"/>
          <w:numId w:val="84"/>
        </w:numPr>
      </w:pPr>
      <w:r w:rsidRPr="00C002A4">
        <w:t>US Department of Energy.  ENERGY STAR Calculator.</w:t>
      </w:r>
    </w:p>
    <w:p w:rsidR="0039108A" w:rsidRDefault="0039108A" w:rsidP="0005632A">
      <w:pPr>
        <w:pStyle w:val="source1"/>
        <w:numPr>
          <w:ilvl w:val="0"/>
          <w:numId w:val="27"/>
        </w:numPr>
        <w:rPr>
          <w:snapToGrid w:val="0"/>
        </w:rPr>
      </w:pPr>
      <w:r w:rsidRPr="00E84388">
        <w:rPr>
          <w:snapToGrid w:val="0"/>
        </w:rPr>
        <w:t xml:space="preserve">Food Service Technology Center (FSTC), based on </w:t>
      </w:r>
      <w:r>
        <w:rPr>
          <w:snapToGrid w:val="0"/>
        </w:rPr>
        <w:t xml:space="preserve">an </w:t>
      </w:r>
      <w:r w:rsidRPr="00E84388">
        <w:rPr>
          <w:snapToGrid w:val="0"/>
        </w:rPr>
        <w:t xml:space="preserve">assumption that </w:t>
      </w:r>
      <w:r>
        <w:rPr>
          <w:snapToGrid w:val="0"/>
        </w:rPr>
        <w:t xml:space="preserve">the </w:t>
      </w:r>
      <w:r w:rsidRPr="00E84388">
        <w:rPr>
          <w:snapToGrid w:val="0"/>
        </w:rPr>
        <w:t>restaurant is open 12 hours a day, 365 days a year.</w:t>
      </w:r>
    </w:p>
    <w:p w:rsidR="0039108A" w:rsidRPr="00E84388" w:rsidRDefault="0039108A" w:rsidP="0005632A">
      <w:pPr>
        <w:pStyle w:val="source1"/>
        <w:numPr>
          <w:ilvl w:val="0"/>
          <w:numId w:val="27"/>
        </w:numPr>
        <w:rPr>
          <w:snapToGrid w:val="0"/>
        </w:rPr>
      </w:pPr>
      <w:r w:rsidRPr="00A5517F">
        <w:rPr>
          <w:snapToGrid w:val="0"/>
        </w:rPr>
        <w:t xml:space="preserve">FSTC (2002). </w:t>
      </w:r>
      <w:r w:rsidRPr="00A5517F">
        <w:rPr>
          <w:i/>
          <w:snapToGrid w:val="0"/>
        </w:rPr>
        <w:t>Commercial Cooking Appliance Technology Assessment</w:t>
      </w:r>
      <w:r w:rsidRPr="00A5517F">
        <w:rPr>
          <w:snapToGrid w:val="0"/>
        </w:rPr>
        <w:t>. Chapter 8: Steamers.</w:t>
      </w:r>
    </w:p>
    <w:p w:rsidR="0039108A" w:rsidRDefault="0039108A" w:rsidP="0005632A">
      <w:pPr>
        <w:pStyle w:val="source1"/>
        <w:numPr>
          <w:ilvl w:val="0"/>
          <w:numId w:val="27"/>
        </w:numPr>
        <w:rPr>
          <w:snapToGrid w:val="0"/>
        </w:rPr>
      </w:pPr>
      <w:r w:rsidRPr="006B08D3">
        <w:rPr>
          <w:i/>
          <w:snapToGrid w:val="0"/>
        </w:rPr>
        <w:t>State of Ohio Energy Efficiency Technical Reference Manual</w:t>
      </w:r>
      <w:r>
        <w:rPr>
          <w:snapToGrid w:val="0"/>
        </w:rPr>
        <w:t xml:space="preserve"> cites a CF = 0.84</w:t>
      </w:r>
      <w:r w:rsidRPr="006B08D3">
        <w:rPr>
          <w:snapToGrid w:val="0"/>
        </w:rPr>
        <w:t xml:space="preserve"> as adopted from the Efficiency Vermont TRM. Assumes CF is similar to that for general commercial </w:t>
      </w:r>
      <w:r>
        <w:rPr>
          <w:snapToGrid w:val="0"/>
        </w:rPr>
        <w:t>industrial lighting</w:t>
      </w:r>
      <w:r w:rsidRPr="006B08D3">
        <w:rPr>
          <w:snapToGrid w:val="0"/>
        </w:rPr>
        <w:t xml:space="preserve"> equipment.</w:t>
      </w:r>
    </w:p>
    <w:p w:rsidR="0039108A" w:rsidRDefault="0039108A" w:rsidP="0005632A">
      <w:pPr>
        <w:pStyle w:val="source1"/>
        <w:numPr>
          <w:ilvl w:val="0"/>
          <w:numId w:val="27"/>
        </w:numPr>
        <w:rPr>
          <w:snapToGrid w:val="0"/>
        </w:rPr>
      </w:pPr>
      <w:r w:rsidRPr="004271D9">
        <w:rPr>
          <w:snapToGrid w:val="0"/>
        </w:rPr>
        <w:t>RLW Analytics. Coincidence Factor Study – Residential and Commercial Industrial Lighting Measures. Spring 2007.</w:t>
      </w:r>
    </w:p>
    <w:p w:rsidR="0039108A" w:rsidRDefault="0039108A" w:rsidP="0039108A">
      <w:pPr>
        <w:rPr>
          <w:snapToGrid w:val="0"/>
        </w:rPr>
      </w:pPr>
    </w:p>
    <w:p w:rsidR="0039108A" w:rsidRDefault="0039108A" w:rsidP="0039108A">
      <w:pPr>
        <w:pStyle w:val="Caption"/>
        <w:keepNext w:val="0"/>
      </w:pPr>
      <w:bookmarkStart w:id="997" w:name="_Ref298152194"/>
      <w:bookmarkStart w:id="998" w:name="_Toc310875622"/>
      <w:r w:rsidRPr="00FC76AC">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70</w:t>
      </w:r>
      <w:r w:rsidR="00274AB1">
        <w:rPr>
          <w:noProof/>
        </w:rPr>
        <w:fldChar w:fldCharType="end"/>
      </w:r>
      <w:bookmarkEnd w:id="997"/>
      <w:r>
        <w:t>: Default Values</w:t>
      </w:r>
      <w:r w:rsidRPr="00FC76AC">
        <w:rPr>
          <w:rFonts w:cs="Arial"/>
        </w:rPr>
        <w:t xml:space="preserve"> for Electric Steam Cookers</w:t>
      </w:r>
      <w:r>
        <w:rPr>
          <w:rFonts w:cs="Arial"/>
        </w:rPr>
        <w:t xml:space="preserve"> by Number of Pans</w:t>
      </w:r>
      <w:r>
        <w:rPr>
          <w:rStyle w:val="FootnoteReference"/>
        </w:rPr>
        <w:footnoteReference w:id="204"/>
      </w:r>
      <w:bookmarkEnd w:id="99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2135"/>
        <w:gridCol w:w="1545"/>
        <w:gridCol w:w="1545"/>
        <w:gridCol w:w="1546"/>
      </w:tblGrid>
      <w:tr w:rsidR="0039108A" w:rsidRPr="00F53B63" w:rsidTr="0039108A">
        <w:trPr>
          <w:trHeight w:val="374"/>
          <w:tblHeader/>
          <w:jc w:val="center"/>
        </w:trPr>
        <w:tc>
          <w:tcPr>
            <w:tcW w:w="1241" w:type="dxa"/>
            <w:shd w:val="clear" w:color="auto" w:fill="D9D9D9"/>
          </w:tcPr>
          <w:p w:rsidR="0039108A" w:rsidRDefault="0039108A" w:rsidP="0039108A">
            <w:pPr>
              <w:overflowPunct/>
              <w:autoSpaceDE/>
              <w:autoSpaceDN/>
              <w:adjustRightInd/>
              <w:spacing w:before="120" w:after="96"/>
              <w:textAlignment w:val="auto"/>
              <w:rPr>
                <w:rFonts w:cs="Arial"/>
                <w:b/>
                <w:sz w:val="18"/>
                <w:szCs w:val="18"/>
              </w:rPr>
            </w:pPr>
            <w:r w:rsidRPr="00036649">
              <w:rPr>
                <w:rFonts w:cs="Arial"/>
                <w:b/>
                <w:sz w:val="18"/>
                <w:szCs w:val="18"/>
              </w:rPr>
              <w:t># of Pans</w:t>
            </w:r>
          </w:p>
        </w:tc>
        <w:tc>
          <w:tcPr>
            <w:tcW w:w="2135" w:type="dxa"/>
            <w:shd w:val="clear" w:color="auto" w:fill="D9D9D9"/>
          </w:tcPr>
          <w:p w:rsidR="0039108A" w:rsidRDefault="0039108A" w:rsidP="0039108A">
            <w:pPr>
              <w:overflowPunct/>
              <w:autoSpaceDE/>
              <w:autoSpaceDN/>
              <w:adjustRightInd/>
              <w:spacing w:before="120" w:after="96"/>
              <w:textAlignment w:val="auto"/>
              <w:rPr>
                <w:rFonts w:cs="Arial"/>
                <w:b/>
                <w:sz w:val="18"/>
                <w:szCs w:val="18"/>
              </w:rPr>
            </w:pPr>
            <w:r w:rsidRPr="00036649">
              <w:rPr>
                <w:rFonts w:cs="Arial"/>
                <w:b/>
                <w:sz w:val="18"/>
                <w:szCs w:val="18"/>
              </w:rPr>
              <w:t>Parameter</w:t>
            </w:r>
          </w:p>
        </w:tc>
        <w:tc>
          <w:tcPr>
            <w:tcW w:w="1545" w:type="dxa"/>
            <w:shd w:val="clear" w:color="auto" w:fill="D9D9D9"/>
          </w:tcPr>
          <w:p w:rsidR="0039108A" w:rsidRDefault="0039108A" w:rsidP="0039108A">
            <w:pPr>
              <w:overflowPunct/>
              <w:autoSpaceDE/>
              <w:autoSpaceDN/>
              <w:adjustRightInd/>
              <w:spacing w:before="120" w:after="96"/>
              <w:textAlignment w:val="auto"/>
              <w:rPr>
                <w:rFonts w:cs="Arial"/>
                <w:b/>
                <w:sz w:val="18"/>
                <w:szCs w:val="18"/>
              </w:rPr>
            </w:pPr>
            <w:r w:rsidRPr="00036649">
              <w:rPr>
                <w:rFonts w:cs="Arial"/>
                <w:b/>
                <w:sz w:val="18"/>
                <w:szCs w:val="18"/>
              </w:rPr>
              <w:t>Baseline</w:t>
            </w:r>
            <w:r>
              <w:rPr>
                <w:rFonts w:cs="Arial"/>
                <w:b/>
                <w:sz w:val="18"/>
                <w:szCs w:val="18"/>
              </w:rPr>
              <w:t xml:space="preserve"> Model</w:t>
            </w:r>
            <w:r w:rsidRPr="00036649">
              <w:rPr>
                <w:rFonts w:cs="Arial"/>
                <w:b/>
                <w:sz w:val="18"/>
                <w:szCs w:val="18"/>
              </w:rPr>
              <w:t xml:space="preserve"> </w:t>
            </w:r>
          </w:p>
        </w:tc>
        <w:tc>
          <w:tcPr>
            <w:tcW w:w="1545" w:type="dxa"/>
            <w:shd w:val="clear" w:color="auto" w:fill="D9D9D9"/>
          </w:tcPr>
          <w:p w:rsidR="0039108A" w:rsidRDefault="0039108A" w:rsidP="0039108A">
            <w:pPr>
              <w:overflowPunct/>
              <w:autoSpaceDE/>
              <w:autoSpaceDN/>
              <w:adjustRightInd/>
              <w:spacing w:before="120" w:after="96"/>
              <w:textAlignment w:val="auto"/>
              <w:rPr>
                <w:rFonts w:cs="Arial"/>
                <w:b/>
                <w:sz w:val="18"/>
                <w:szCs w:val="18"/>
              </w:rPr>
            </w:pPr>
            <w:r w:rsidRPr="00036649">
              <w:rPr>
                <w:rFonts w:cs="Arial"/>
                <w:b/>
                <w:sz w:val="18"/>
                <w:szCs w:val="18"/>
              </w:rPr>
              <w:t>Efficient Model</w:t>
            </w:r>
          </w:p>
        </w:tc>
        <w:tc>
          <w:tcPr>
            <w:tcW w:w="1546" w:type="dxa"/>
            <w:tcBorders>
              <w:bottom w:val="single" w:sz="4" w:space="0" w:color="auto"/>
            </w:tcBorders>
            <w:shd w:val="clear" w:color="auto" w:fill="D9D9D9"/>
          </w:tcPr>
          <w:p w:rsidR="0039108A" w:rsidRDefault="0039108A" w:rsidP="0039108A">
            <w:pPr>
              <w:overflowPunct/>
              <w:autoSpaceDE/>
              <w:autoSpaceDN/>
              <w:adjustRightInd/>
              <w:spacing w:before="120" w:after="96"/>
              <w:textAlignment w:val="auto"/>
              <w:rPr>
                <w:rFonts w:cs="Arial"/>
                <w:b/>
                <w:sz w:val="18"/>
                <w:szCs w:val="18"/>
              </w:rPr>
            </w:pPr>
            <w:r>
              <w:rPr>
                <w:rFonts w:cs="Arial"/>
                <w:b/>
                <w:sz w:val="18"/>
                <w:szCs w:val="18"/>
              </w:rPr>
              <w:t>Savings</w:t>
            </w:r>
          </w:p>
        </w:tc>
      </w:tr>
      <w:tr w:rsidR="0039108A" w:rsidRPr="00F53B63" w:rsidTr="0039108A">
        <w:trPr>
          <w:trHeight w:val="20"/>
          <w:jc w:val="center"/>
        </w:trPr>
        <w:tc>
          <w:tcPr>
            <w:tcW w:w="1241" w:type="dxa"/>
            <w:vMerge w:val="restart"/>
            <w:vAlign w:val="center"/>
          </w:tcPr>
          <w:p w:rsidR="0039108A" w:rsidRDefault="0039108A" w:rsidP="0039108A">
            <w:pPr>
              <w:overflowPunct/>
              <w:autoSpaceDE/>
              <w:autoSpaceDN/>
              <w:adjustRightInd/>
              <w:spacing w:before="60" w:after="96"/>
              <w:textAlignment w:val="auto"/>
              <w:rPr>
                <w:rFonts w:cs="Arial"/>
                <w:sz w:val="18"/>
                <w:szCs w:val="18"/>
              </w:rPr>
            </w:pPr>
            <w:r w:rsidRPr="00036649">
              <w:rPr>
                <w:rFonts w:cs="Arial"/>
                <w:sz w:val="18"/>
                <w:szCs w:val="18"/>
              </w:rPr>
              <w:t>3</w:t>
            </w:r>
          </w:p>
        </w:tc>
        <w:tc>
          <w:tcPr>
            <w:tcW w:w="2135" w:type="dxa"/>
          </w:tcPr>
          <w:p w:rsidR="0039108A" w:rsidRDefault="0039108A" w:rsidP="0039108A">
            <w:pPr>
              <w:overflowPunct/>
              <w:autoSpaceDE/>
              <w:autoSpaceDN/>
              <w:adjustRightInd/>
              <w:spacing w:before="60" w:after="96"/>
              <w:textAlignment w:val="auto"/>
              <w:rPr>
                <w:rFonts w:cs="Arial"/>
                <w:sz w:val="18"/>
                <w:szCs w:val="18"/>
              </w:rPr>
            </w:pPr>
            <w:r w:rsidRPr="00036649">
              <w:rPr>
                <w:rFonts w:cs="Arial"/>
                <w:sz w:val="18"/>
                <w:szCs w:val="18"/>
              </w:rPr>
              <w:t>Power</w:t>
            </w:r>
            <w:r w:rsidRPr="00036649">
              <w:rPr>
                <w:rFonts w:cs="Arial"/>
                <w:sz w:val="18"/>
                <w:szCs w:val="18"/>
                <w:vertAlign w:val="subscript"/>
              </w:rPr>
              <w:t>idle</w:t>
            </w:r>
            <w:r w:rsidRPr="00036649">
              <w:rPr>
                <w:rFonts w:cs="Arial"/>
                <w:sz w:val="18"/>
                <w:szCs w:val="18"/>
              </w:rPr>
              <w:t xml:space="preserve"> (kW)</w:t>
            </w:r>
            <w:r w:rsidRPr="00036649">
              <w:rPr>
                <w:rFonts w:cs="Arial"/>
                <w:sz w:val="18"/>
                <w:szCs w:val="18"/>
                <w:vertAlign w:val="superscript"/>
              </w:rPr>
              <w:footnoteReference w:id="205"/>
            </w:r>
          </w:p>
        </w:tc>
        <w:tc>
          <w:tcPr>
            <w:tcW w:w="1545" w:type="dxa"/>
          </w:tcPr>
          <w:p w:rsidR="0039108A" w:rsidRDefault="0039108A" w:rsidP="0039108A">
            <w:pPr>
              <w:spacing w:before="60" w:after="96"/>
              <w:rPr>
                <w:rFonts w:cs="Arial"/>
                <w:sz w:val="18"/>
                <w:szCs w:val="18"/>
              </w:rPr>
            </w:pPr>
            <w:r w:rsidRPr="00036649">
              <w:rPr>
                <w:rFonts w:cs="Arial"/>
                <w:sz w:val="18"/>
                <w:szCs w:val="18"/>
              </w:rPr>
              <w:t>1</w:t>
            </w:r>
            <w:r>
              <w:rPr>
                <w:rFonts w:cs="Arial"/>
                <w:sz w:val="18"/>
                <w:szCs w:val="18"/>
              </w:rPr>
              <w:t>.000</w:t>
            </w:r>
          </w:p>
        </w:tc>
        <w:tc>
          <w:tcPr>
            <w:tcW w:w="1545" w:type="dxa"/>
          </w:tcPr>
          <w:p w:rsidR="0039108A" w:rsidRDefault="0039108A" w:rsidP="0039108A">
            <w:pPr>
              <w:spacing w:before="60" w:after="96"/>
              <w:rPr>
                <w:rFonts w:cs="Arial"/>
                <w:sz w:val="18"/>
                <w:szCs w:val="18"/>
              </w:rPr>
            </w:pPr>
            <w:r w:rsidRPr="00036649">
              <w:rPr>
                <w:rFonts w:cs="Arial"/>
                <w:sz w:val="18"/>
                <w:szCs w:val="18"/>
              </w:rPr>
              <w:t>0.2</w:t>
            </w:r>
            <w:r>
              <w:rPr>
                <w:rFonts w:cs="Arial"/>
                <w:sz w:val="18"/>
                <w:szCs w:val="18"/>
              </w:rPr>
              <w:t>7</w:t>
            </w:r>
          </w:p>
        </w:tc>
        <w:tc>
          <w:tcPr>
            <w:tcW w:w="1546" w:type="dxa"/>
            <w:shd w:val="thinDiagStripe" w:color="auto" w:fill="auto"/>
          </w:tcPr>
          <w:p w:rsidR="0039108A" w:rsidRDefault="0039108A" w:rsidP="0039108A">
            <w:pPr>
              <w:spacing w:before="60" w:after="96"/>
              <w:rPr>
                <w:rFonts w:cs="Arial"/>
                <w:sz w:val="18"/>
                <w:szCs w:val="18"/>
              </w:rPr>
            </w:pPr>
          </w:p>
        </w:tc>
      </w:tr>
      <w:tr w:rsidR="0039108A" w:rsidRPr="00F53B63" w:rsidTr="0039108A">
        <w:trPr>
          <w:trHeight w:val="20"/>
          <w:jc w:val="center"/>
        </w:trPr>
        <w:tc>
          <w:tcPr>
            <w:tcW w:w="1241" w:type="dxa"/>
            <w:vMerge/>
            <w:vAlign w:val="center"/>
          </w:tcPr>
          <w:p w:rsidR="0039108A" w:rsidRDefault="0039108A" w:rsidP="0039108A">
            <w:pPr>
              <w:overflowPunct/>
              <w:autoSpaceDE/>
              <w:autoSpaceDN/>
              <w:adjustRightInd/>
              <w:spacing w:before="60" w:after="96"/>
              <w:textAlignment w:val="auto"/>
              <w:rPr>
                <w:rFonts w:cs="Arial"/>
                <w:sz w:val="18"/>
                <w:szCs w:val="18"/>
              </w:rPr>
            </w:pPr>
          </w:p>
        </w:tc>
        <w:tc>
          <w:tcPr>
            <w:tcW w:w="2135" w:type="dxa"/>
          </w:tcPr>
          <w:p w:rsidR="0039108A" w:rsidRDefault="0039108A" w:rsidP="0039108A">
            <w:pPr>
              <w:overflowPunct/>
              <w:autoSpaceDE/>
              <w:autoSpaceDN/>
              <w:adjustRightInd/>
              <w:spacing w:before="60" w:after="96"/>
              <w:textAlignment w:val="auto"/>
              <w:rPr>
                <w:rFonts w:cs="Arial"/>
                <w:sz w:val="18"/>
                <w:szCs w:val="18"/>
              </w:rPr>
            </w:pPr>
            <w:r w:rsidRPr="00036649">
              <w:rPr>
                <w:rFonts w:cs="Arial"/>
                <w:sz w:val="18"/>
                <w:szCs w:val="18"/>
              </w:rPr>
              <w:t>CAPY (lb/h)</w:t>
            </w:r>
          </w:p>
        </w:tc>
        <w:tc>
          <w:tcPr>
            <w:tcW w:w="1545" w:type="dxa"/>
          </w:tcPr>
          <w:p w:rsidR="0039108A" w:rsidRDefault="0039108A" w:rsidP="0039108A">
            <w:pPr>
              <w:spacing w:before="60" w:after="96"/>
              <w:rPr>
                <w:rFonts w:cs="Arial"/>
                <w:sz w:val="18"/>
                <w:szCs w:val="18"/>
              </w:rPr>
            </w:pPr>
            <w:r w:rsidRPr="00591D36">
              <w:rPr>
                <w:rFonts w:cs="Arial"/>
                <w:sz w:val="18"/>
                <w:szCs w:val="18"/>
              </w:rPr>
              <w:t>23.3</w:t>
            </w:r>
          </w:p>
        </w:tc>
        <w:tc>
          <w:tcPr>
            <w:tcW w:w="1545" w:type="dxa"/>
          </w:tcPr>
          <w:p w:rsidR="0039108A" w:rsidRDefault="0039108A" w:rsidP="0039108A">
            <w:pPr>
              <w:spacing w:before="60" w:after="96"/>
              <w:rPr>
                <w:rFonts w:cs="Arial"/>
                <w:sz w:val="18"/>
                <w:szCs w:val="18"/>
              </w:rPr>
            </w:pPr>
            <w:r w:rsidRPr="00591D36">
              <w:rPr>
                <w:rFonts w:cs="Arial"/>
                <w:sz w:val="18"/>
                <w:szCs w:val="18"/>
              </w:rPr>
              <w:t>16.7</w:t>
            </w:r>
          </w:p>
        </w:tc>
        <w:tc>
          <w:tcPr>
            <w:tcW w:w="1546" w:type="dxa"/>
            <w:shd w:val="thinDiagStripe" w:color="auto" w:fill="auto"/>
          </w:tcPr>
          <w:p w:rsidR="0039108A" w:rsidRDefault="0039108A" w:rsidP="0039108A">
            <w:pPr>
              <w:spacing w:before="60" w:after="96"/>
              <w:rPr>
                <w:rFonts w:cs="Arial"/>
                <w:sz w:val="18"/>
                <w:szCs w:val="18"/>
              </w:rPr>
            </w:pPr>
          </w:p>
        </w:tc>
      </w:tr>
      <w:tr w:rsidR="0039108A" w:rsidRPr="00F53B63" w:rsidTr="0039108A">
        <w:trPr>
          <w:trHeight w:val="20"/>
          <w:jc w:val="center"/>
        </w:trPr>
        <w:tc>
          <w:tcPr>
            <w:tcW w:w="1241" w:type="dxa"/>
            <w:vMerge/>
            <w:vAlign w:val="center"/>
          </w:tcPr>
          <w:p w:rsidR="0039108A" w:rsidRDefault="0039108A" w:rsidP="0039108A">
            <w:pPr>
              <w:overflowPunct/>
              <w:autoSpaceDE/>
              <w:autoSpaceDN/>
              <w:adjustRightInd/>
              <w:spacing w:before="60" w:after="96"/>
              <w:textAlignment w:val="auto"/>
              <w:rPr>
                <w:rFonts w:cs="Arial"/>
                <w:sz w:val="18"/>
                <w:szCs w:val="18"/>
              </w:rPr>
            </w:pPr>
          </w:p>
        </w:tc>
        <w:tc>
          <w:tcPr>
            <w:tcW w:w="2135" w:type="dxa"/>
          </w:tcPr>
          <w:p w:rsidR="0039108A" w:rsidRDefault="0039108A" w:rsidP="0039108A">
            <w:pPr>
              <w:overflowPunct/>
              <w:autoSpaceDE/>
              <w:autoSpaceDN/>
              <w:adjustRightInd/>
              <w:spacing w:before="60" w:after="96"/>
              <w:textAlignment w:val="auto"/>
              <w:rPr>
                <w:rFonts w:cs="Arial"/>
                <w:sz w:val="18"/>
                <w:szCs w:val="18"/>
              </w:rPr>
            </w:pPr>
            <w:r w:rsidRPr="00036649">
              <w:rPr>
                <w:rFonts w:cs="Arial"/>
                <w:sz w:val="18"/>
                <w:szCs w:val="18"/>
              </w:rPr>
              <w:t>lbsfood</w:t>
            </w:r>
          </w:p>
        </w:tc>
        <w:tc>
          <w:tcPr>
            <w:tcW w:w="1545" w:type="dxa"/>
          </w:tcPr>
          <w:p w:rsidR="0039108A" w:rsidRDefault="0039108A" w:rsidP="0039108A">
            <w:pPr>
              <w:spacing w:before="60" w:after="96"/>
              <w:rPr>
                <w:rFonts w:cs="Arial"/>
                <w:sz w:val="18"/>
                <w:szCs w:val="18"/>
              </w:rPr>
            </w:pPr>
            <w:r w:rsidRPr="00036649">
              <w:rPr>
                <w:rFonts w:cs="Arial"/>
                <w:sz w:val="18"/>
                <w:szCs w:val="18"/>
              </w:rPr>
              <w:t>100</w:t>
            </w:r>
          </w:p>
        </w:tc>
        <w:tc>
          <w:tcPr>
            <w:tcW w:w="1545" w:type="dxa"/>
          </w:tcPr>
          <w:p w:rsidR="0039108A" w:rsidRDefault="0039108A" w:rsidP="0039108A">
            <w:pPr>
              <w:spacing w:before="60" w:after="96"/>
              <w:rPr>
                <w:rFonts w:cs="Arial"/>
                <w:sz w:val="18"/>
                <w:szCs w:val="18"/>
              </w:rPr>
            </w:pPr>
            <w:r w:rsidRPr="00036649">
              <w:rPr>
                <w:rFonts w:cs="Arial"/>
                <w:sz w:val="18"/>
                <w:szCs w:val="18"/>
              </w:rPr>
              <w:t>100</w:t>
            </w:r>
          </w:p>
        </w:tc>
        <w:tc>
          <w:tcPr>
            <w:tcW w:w="1546" w:type="dxa"/>
            <w:shd w:val="thinDiagStripe" w:color="auto" w:fill="auto"/>
          </w:tcPr>
          <w:p w:rsidR="0039108A" w:rsidRDefault="0039108A" w:rsidP="0039108A">
            <w:pPr>
              <w:spacing w:before="60" w:after="96"/>
              <w:rPr>
                <w:rFonts w:cs="Arial"/>
                <w:sz w:val="18"/>
                <w:szCs w:val="18"/>
              </w:rPr>
            </w:pPr>
          </w:p>
        </w:tc>
      </w:tr>
      <w:tr w:rsidR="0039108A" w:rsidRPr="00F53B63" w:rsidTr="0039108A">
        <w:trPr>
          <w:trHeight w:val="20"/>
          <w:jc w:val="center"/>
        </w:trPr>
        <w:tc>
          <w:tcPr>
            <w:tcW w:w="1241" w:type="dxa"/>
            <w:vMerge/>
            <w:vAlign w:val="center"/>
          </w:tcPr>
          <w:p w:rsidR="0039108A" w:rsidRDefault="0039108A" w:rsidP="0039108A">
            <w:pPr>
              <w:overflowPunct/>
              <w:autoSpaceDE/>
              <w:autoSpaceDN/>
              <w:adjustRightInd/>
              <w:spacing w:before="60" w:after="96"/>
              <w:textAlignment w:val="auto"/>
              <w:rPr>
                <w:rFonts w:cs="Arial"/>
                <w:sz w:val="18"/>
                <w:szCs w:val="18"/>
              </w:rPr>
            </w:pPr>
          </w:p>
        </w:tc>
        <w:tc>
          <w:tcPr>
            <w:tcW w:w="2135" w:type="dxa"/>
          </w:tcPr>
          <w:p w:rsidR="0039108A" w:rsidRDefault="0039108A" w:rsidP="0039108A">
            <w:pPr>
              <w:overflowPunct/>
              <w:autoSpaceDE/>
              <w:autoSpaceDN/>
              <w:adjustRightInd/>
              <w:spacing w:before="60" w:after="96"/>
              <w:textAlignment w:val="auto"/>
              <w:rPr>
                <w:rFonts w:cs="Arial"/>
                <w:sz w:val="18"/>
                <w:szCs w:val="18"/>
              </w:rPr>
            </w:pPr>
            <w:r w:rsidRPr="00036649">
              <w:rPr>
                <w:rFonts w:cs="Arial"/>
                <w:sz w:val="18"/>
                <w:szCs w:val="18"/>
              </w:rPr>
              <w:t>Eff</w:t>
            </w:r>
            <w:r w:rsidRPr="00036649">
              <w:rPr>
                <w:rFonts w:cs="Arial"/>
                <w:sz w:val="18"/>
                <w:szCs w:val="18"/>
                <w:vertAlign w:val="superscript"/>
              </w:rPr>
              <w:footnoteReference w:id="206"/>
            </w:r>
          </w:p>
        </w:tc>
        <w:tc>
          <w:tcPr>
            <w:tcW w:w="1545" w:type="dxa"/>
            <w:tcBorders>
              <w:bottom w:val="single" w:sz="4" w:space="0" w:color="auto"/>
            </w:tcBorders>
          </w:tcPr>
          <w:p w:rsidR="0039108A" w:rsidRDefault="009164CB" w:rsidP="00937EC7">
            <w:pPr>
              <w:spacing w:before="60" w:after="96"/>
              <w:rPr>
                <w:rFonts w:cs="Arial"/>
                <w:sz w:val="18"/>
                <w:szCs w:val="18"/>
              </w:rPr>
            </w:pPr>
            <w:r>
              <w:rPr>
                <w:rFonts w:cs="Arial"/>
                <w:sz w:val="18"/>
                <w:szCs w:val="18"/>
              </w:rPr>
              <w:t>30</w:t>
            </w:r>
            <w:r w:rsidR="0039108A" w:rsidRPr="00036649">
              <w:rPr>
                <w:rFonts w:cs="Arial"/>
                <w:sz w:val="18"/>
                <w:szCs w:val="18"/>
              </w:rPr>
              <w:t>%</w:t>
            </w:r>
          </w:p>
        </w:tc>
        <w:tc>
          <w:tcPr>
            <w:tcW w:w="1545" w:type="dxa"/>
            <w:tcBorders>
              <w:bottom w:val="single" w:sz="4" w:space="0" w:color="auto"/>
            </w:tcBorders>
          </w:tcPr>
          <w:p w:rsidR="0039108A" w:rsidRDefault="0039108A" w:rsidP="0039108A">
            <w:pPr>
              <w:spacing w:before="60" w:after="96"/>
              <w:rPr>
                <w:rFonts w:cs="Arial"/>
                <w:sz w:val="18"/>
                <w:szCs w:val="18"/>
              </w:rPr>
            </w:pPr>
            <w:r w:rsidRPr="00036649">
              <w:rPr>
                <w:rFonts w:cs="Arial"/>
                <w:sz w:val="18"/>
                <w:szCs w:val="18"/>
              </w:rPr>
              <w:t>59%</w:t>
            </w:r>
          </w:p>
        </w:tc>
        <w:tc>
          <w:tcPr>
            <w:tcW w:w="1546" w:type="dxa"/>
            <w:shd w:val="thinDiagStripe" w:color="auto" w:fill="auto"/>
          </w:tcPr>
          <w:p w:rsidR="0039108A" w:rsidRDefault="0039108A" w:rsidP="0039108A">
            <w:pPr>
              <w:spacing w:before="60" w:after="96"/>
              <w:rPr>
                <w:rFonts w:cs="Arial"/>
                <w:sz w:val="18"/>
                <w:szCs w:val="18"/>
              </w:rPr>
            </w:pPr>
          </w:p>
        </w:tc>
      </w:tr>
      <w:tr w:rsidR="0039108A" w:rsidRPr="00F53B63" w:rsidTr="0039108A">
        <w:trPr>
          <w:trHeight w:val="20"/>
          <w:jc w:val="center"/>
        </w:trPr>
        <w:tc>
          <w:tcPr>
            <w:tcW w:w="1241" w:type="dxa"/>
            <w:vMerge/>
            <w:vAlign w:val="center"/>
          </w:tcPr>
          <w:p w:rsidR="0039108A" w:rsidRDefault="0039108A" w:rsidP="0039108A">
            <w:pPr>
              <w:overflowPunct/>
              <w:autoSpaceDE/>
              <w:autoSpaceDN/>
              <w:adjustRightInd/>
              <w:spacing w:before="60" w:after="96"/>
              <w:textAlignment w:val="auto"/>
              <w:rPr>
                <w:rFonts w:cs="Arial"/>
                <w:sz w:val="18"/>
                <w:szCs w:val="18"/>
              </w:rPr>
            </w:pPr>
          </w:p>
        </w:tc>
        <w:tc>
          <w:tcPr>
            <w:tcW w:w="2135" w:type="dxa"/>
          </w:tcPr>
          <w:p w:rsidR="0039108A" w:rsidRDefault="0039108A" w:rsidP="0039108A">
            <w:pPr>
              <w:overflowPunct/>
              <w:autoSpaceDE/>
              <w:autoSpaceDN/>
              <w:adjustRightInd/>
              <w:spacing w:before="60" w:after="96"/>
              <w:textAlignment w:val="auto"/>
              <w:rPr>
                <w:rFonts w:cs="Arial"/>
                <w:sz w:val="18"/>
                <w:szCs w:val="18"/>
              </w:rPr>
            </w:pPr>
            <w:r w:rsidRPr="00811C98">
              <w:rPr>
                <w:rFonts w:cs="Arial"/>
                <w:sz w:val="18"/>
                <w:szCs w:val="18"/>
              </w:rPr>
              <w:sym w:font="Symbol" w:char="F044"/>
            </w:r>
            <w:r w:rsidRPr="00811C98">
              <w:rPr>
                <w:rFonts w:cs="Arial"/>
                <w:sz w:val="18"/>
                <w:szCs w:val="18"/>
              </w:rPr>
              <w:t>kWh</w:t>
            </w:r>
          </w:p>
        </w:tc>
        <w:tc>
          <w:tcPr>
            <w:tcW w:w="1545" w:type="dxa"/>
            <w:shd w:val="thinDiagStripe" w:color="auto" w:fill="auto"/>
          </w:tcPr>
          <w:p w:rsidR="0039108A" w:rsidRDefault="0039108A" w:rsidP="0039108A">
            <w:pPr>
              <w:spacing w:before="60" w:after="96"/>
              <w:rPr>
                <w:rFonts w:cs="Arial"/>
                <w:sz w:val="18"/>
                <w:szCs w:val="18"/>
              </w:rPr>
            </w:pPr>
          </w:p>
        </w:tc>
        <w:tc>
          <w:tcPr>
            <w:tcW w:w="1545" w:type="dxa"/>
            <w:shd w:val="thinDiagStripe" w:color="auto" w:fill="auto"/>
          </w:tcPr>
          <w:p w:rsidR="0039108A" w:rsidRDefault="0039108A" w:rsidP="0039108A">
            <w:pPr>
              <w:spacing w:before="60" w:after="96"/>
              <w:rPr>
                <w:rFonts w:cs="Arial"/>
                <w:sz w:val="18"/>
                <w:szCs w:val="18"/>
              </w:rPr>
            </w:pPr>
          </w:p>
        </w:tc>
        <w:tc>
          <w:tcPr>
            <w:tcW w:w="1546" w:type="dxa"/>
          </w:tcPr>
          <w:p w:rsidR="0039108A" w:rsidRDefault="0039108A" w:rsidP="0039108A">
            <w:pPr>
              <w:spacing w:before="60" w:after="96"/>
              <w:rPr>
                <w:rFonts w:cs="Arial"/>
                <w:sz w:val="18"/>
                <w:szCs w:val="18"/>
              </w:rPr>
            </w:pPr>
            <w:r>
              <w:rPr>
                <w:rFonts w:cs="Arial"/>
                <w:sz w:val="18"/>
                <w:szCs w:val="18"/>
              </w:rPr>
              <w:t>2,813</w:t>
            </w:r>
          </w:p>
        </w:tc>
      </w:tr>
      <w:tr w:rsidR="0039108A" w:rsidRPr="00F53B63" w:rsidTr="0039108A">
        <w:trPr>
          <w:trHeight w:val="20"/>
          <w:jc w:val="center"/>
        </w:trPr>
        <w:tc>
          <w:tcPr>
            <w:tcW w:w="1241" w:type="dxa"/>
            <w:vMerge/>
            <w:vAlign w:val="center"/>
          </w:tcPr>
          <w:p w:rsidR="0039108A" w:rsidRDefault="0039108A" w:rsidP="0039108A">
            <w:pPr>
              <w:overflowPunct/>
              <w:autoSpaceDE/>
              <w:autoSpaceDN/>
              <w:adjustRightInd/>
              <w:spacing w:before="60" w:after="96"/>
              <w:textAlignment w:val="auto"/>
              <w:rPr>
                <w:rFonts w:cs="Arial"/>
                <w:sz w:val="18"/>
                <w:szCs w:val="18"/>
              </w:rPr>
            </w:pPr>
          </w:p>
        </w:tc>
        <w:tc>
          <w:tcPr>
            <w:tcW w:w="2135" w:type="dxa"/>
          </w:tcPr>
          <w:p w:rsidR="0039108A" w:rsidRDefault="0039108A" w:rsidP="0039108A">
            <w:pPr>
              <w:overflowPunct/>
              <w:autoSpaceDE/>
              <w:autoSpaceDN/>
              <w:adjustRightInd/>
              <w:spacing w:before="60" w:after="96"/>
              <w:textAlignment w:val="auto"/>
              <w:rPr>
                <w:rFonts w:cs="Arial"/>
                <w:sz w:val="18"/>
                <w:szCs w:val="18"/>
              </w:rPr>
            </w:pPr>
            <w:r w:rsidRPr="00811C98">
              <w:rPr>
                <w:rFonts w:cs="Arial"/>
                <w:sz w:val="18"/>
                <w:szCs w:val="18"/>
              </w:rPr>
              <w:sym w:font="Symbol" w:char="F044"/>
            </w:r>
            <w:r w:rsidRPr="00811C98">
              <w:rPr>
                <w:rFonts w:cs="Arial"/>
                <w:sz w:val="18"/>
                <w:szCs w:val="18"/>
              </w:rPr>
              <w:t>kW</w:t>
            </w:r>
            <w:r w:rsidRPr="00811C98">
              <w:rPr>
                <w:rFonts w:cs="Arial"/>
                <w:sz w:val="18"/>
                <w:szCs w:val="18"/>
                <w:vertAlign w:val="subscript"/>
              </w:rPr>
              <w:t>peak</w:t>
            </w:r>
            <w:r w:rsidRPr="00811C98">
              <w:rPr>
                <w:rFonts w:cs="Arial"/>
                <w:sz w:val="18"/>
                <w:szCs w:val="18"/>
                <w:vertAlign w:val="subscript"/>
              </w:rPr>
              <w:tab/>
            </w:r>
          </w:p>
        </w:tc>
        <w:tc>
          <w:tcPr>
            <w:tcW w:w="1545" w:type="dxa"/>
            <w:shd w:val="thinDiagStripe" w:color="auto" w:fill="auto"/>
          </w:tcPr>
          <w:p w:rsidR="0039108A" w:rsidRDefault="0039108A" w:rsidP="0039108A">
            <w:pPr>
              <w:spacing w:before="60" w:after="96"/>
              <w:rPr>
                <w:rFonts w:cs="Arial"/>
                <w:sz w:val="18"/>
                <w:szCs w:val="18"/>
              </w:rPr>
            </w:pPr>
          </w:p>
        </w:tc>
        <w:tc>
          <w:tcPr>
            <w:tcW w:w="1545" w:type="dxa"/>
            <w:shd w:val="thinDiagStripe" w:color="auto" w:fill="auto"/>
          </w:tcPr>
          <w:p w:rsidR="0039108A" w:rsidRDefault="0039108A" w:rsidP="0039108A">
            <w:pPr>
              <w:spacing w:before="60" w:after="96"/>
              <w:rPr>
                <w:rFonts w:cs="Arial"/>
                <w:sz w:val="18"/>
                <w:szCs w:val="18"/>
              </w:rPr>
            </w:pPr>
          </w:p>
        </w:tc>
        <w:tc>
          <w:tcPr>
            <w:tcW w:w="1546" w:type="dxa"/>
            <w:tcBorders>
              <w:bottom w:val="single" w:sz="4" w:space="0" w:color="auto"/>
            </w:tcBorders>
          </w:tcPr>
          <w:p w:rsidR="0039108A" w:rsidRDefault="0039108A" w:rsidP="0039108A">
            <w:pPr>
              <w:spacing w:before="60" w:after="96"/>
              <w:rPr>
                <w:rFonts w:cs="Arial"/>
                <w:sz w:val="18"/>
                <w:szCs w:val="18"/>
              </w:rPr>
            </w:pPr>
            <w:r>
              <w:rPr>
                <w:rFonts w:cs="Arial"/>
                <w:sz w:val="18"/>
                <w:szCs w:val="18"/>
              </w:rPr>
              <w:t>0.54</w:t>
            </w:r>
          </w:p>
        </w:tc>
      </w:tr>
      <w:tr w:rsidR="0039108A" w:rsidRPr="00F53B63" w:rsidTr="0039108A">
        <w:trPr>
          <w:trHeight w:val="20"/>
          <w:jc w:val="center"/>
        </w:trPr>
        <w:tc>
          <w:tcPr>
            <w:tcW w:w="1241" w:type="dxa"/>
            <w:vMerge w:val="restart"/>
            <w:vAlign w:val="center"/>
          </w:tcPr>
          <w:p w:rsidR="0039108A" w:rsidRDefault="0039108A" w:rsidP="0039108A">
            <w:pPr>
              <w:overflowPunct/>
              <w:autoSpaceDE/>
              <w:autoSpaceDN/>
              <w:adjustRightInd/>
              <w:spacing w:before="60" w:after="96"/>
              <w:textAlignment w:val="auto"/>
              <w:rPr>
                <w:rFonts w:cs="Arial"/>
                <w:sz w:val="18"/>
                <w:szCs w:val="18"/>
              </w:rPr>
            </w:pPr>
            <w:r w:rsidRPr="00036649">
              <w:rPr>
                <w:rFonts w:cs="Arial"/>
                <w:sz w:val="18"/>
                <w:szCs w:val="18"/>
              </w:rPr>
              <w:t>4</w:t>
            </w:r>
          </w:p>
        </w:tc>
        <w:tc>
          <w:tcPr>
            <w:tcW w:w="2135" w:type="dxa"/>
          </w:tcPr>
          <w:p w:rsidR="0039108A" w:rsidRDefault="0039108A" w:rsidP="0039108A">
            <w:pPr>
              <w:overflowPunct/>
              <w:autoSpaceDE/>
              <w:autoSpaceDN/>
              <w:adjustRightInd/>
              <w:spacing w:before="60" w:after="96"/>
              <w:textAlignment w:val="auto"/>
              <w:rPr>
                <w:rFonts w:cs="Arial"/>
                <w:sz w:val="18"/>
                <w:szCs w:val="18"/>
              </w:rPr>
            </w:pPr>
            <w:r w:rsidRPr="00036649">
              <w:rPr>
                <w:rFonts w:cs="Arial"/>
                <w:sz w:val="18"/>
                <w:szCs w:val="18"/>
              </w:rPr>
              <w:t>Power</w:t>
            </w:r>
            <w:r w:rsidRPr="00036649">
              <w:rPr>
                <w:rFonts w:cs="Arial"/>
                <w:sz w:val="18"/>
                <w:szCs w:val="18"/>
                <w:vertAlign w:val="subscript"/>
              </w:rPr>
              <w:t>idle</w:t>
            </w:r>
            <w:r w:rsidRPr="00036649">
              <w:rPr>
                <w:rFonts w:cs="Arial"/>
                <w:sz w:val="18"/>
                <w:szCs w:val="18"/>
              </w:rPr>
              <w:t xml:space="preserve"> (kW)</w:t>
            </w:r>
          </w:p>
        </w:tc>
        <w:tc>
          <w:tcPr>
            <w:tcW w:w="1545" w:type="dxa"/>
          </w:tcPr>
          <w:p w:rsidR="0039108A" w:rsidRDefault="0039108A" w:rsidP="0039108A">
            <w:pPr>
              <w:spacing w:before="60" w:after="96"/>
              <w:rPr>
                <w:rFonts w:cs="Arial"/>
                <w:sz w:val="18"/>
                <w:szCs w:val="18"/>
              </w:rPr>
            </w:pPr>
            <w:r w:rsidRPr="00036649">
              <w:rPr>
                <w:rFonts w:cs="Arial"/>
                <w:sz w:val="18"/>
                <w:szCs w:val="18"/>
              </w:rPr>
              <w:t>1.325</w:t>
            </w:r>
          </w:p>
        </w:tc>
        <w:tc>
          <w:tcPr>
            <w:tcW w:w="1545" w:type="dxa"/>
          </w:tcPr>
          <w:p w:rsidR="0039108A" w:rsidRDefault="0039108A" w:rsidP="0039108A">
            <w:pPr>
              <w:spacing w:before="60" w:after="96"/>
              <w:rPr>
                <w:rFonts w:cs="Arial"/>
                <w:sz w:val="18"/>
                <w:szCs w:val="18"/>
              </w:rPr>
            </w:pPr>
            <w:r w:rsidRPr="00036649">
              <w:rPr>
                <w:rFonts w:cs="Arial"/>
                <w:sz w:val="18"/>
                <w:szCs w:val="18"/>
              </w:rPr>
              <w:t>0.</w:t>
            </w:r>
            <w:r>
              <w:rPr>
                <w:rFonts w:cs="Arial"/>
                <w:sz w:val="18"/>
                <w:szCs w:val="18"/>
              </w:rPr>
              <w:t>30</w:t>
            </w:r>
          </w:p>
        </w:tc>
        <w:tc>
          <w:tcPr>
            <w:tcW w:w="1546" w:type="dxa"/>
            <w:shd w:val="thinDiagStripe" w:color="auto" w:fill="auto"/>
          </w:tcPr>
          <w:p w:rsidR="0039108A" w:rsidRDefault="0039108A" w:rsidP="0039108A">
            <w:pPr>
              <w:spacing w:before="60" w:after="96"/>
              <w:rPr>
                <w:rFonts w:cs="Arial"/>
                <w:sz w:val="18"/>
                <w:szCs w:val="18"/>
              </w:rPr>
            </w:pPr>
          </w:p>
        </w:tc>
      </w:tr>
      <w:tr w:rsidR="0039108A" w:rsidRPr="00F53B63" w:rsidTr="0039108A">
        <w:trPr>
          <w:trHeight w:val="20"/>
          <w:jc w:val="center"/>
        </w:trPr>
        <w:tc>
          <w:tcPr>
            <w:tcW w:w="1241" w:type="dxa"/>
            <w:vMerge/>
            <w:vAlign w:val="center"/>
          </w:tcPr>
          <w:p w:rsidR="0039108A" w:rsidRDefault="0039108A" w:rsidP="0039108A">
            <w:pPr>
              <w:overflowPunct/>
              <w:autoSpaceDE/>
              <w:autoSpaceDN/>
              <w:adjustRightInd/>
              <w:spacing w:before="60" w:after="96"/>
              <w:textAlignment w:val="auto"/>
              <w:rPr>
                <w:rFonts w:cs="Arial"/>
                <w:sz w:val="18"/>
                <w:szCs w:val="18"/>
              </w:rPr>
            </w:pPr>
          </w:p>
        </w:tc>
        <w:tc>
          <w:tcPr>
            <w:tcW w:w="2135" w:type="dxa"/>
          </w:tcPr>
          <w:p w:rsidR="0039108A" w:rsidRDefault="0039108A" w:rsidP="0039108A">
            <w:pPr>
              <w:overflowPunct/>
              <w:autoSpaceDE/>
              <w:autoSpaceDN/>
              <w:adjustRightInd/>
              <w:spacing w:before="60" w:after="96"/>
              <w:textAlignment w:val="auto"/>
              <w:rPr>
                <w:rFonts w:cs="Arial"/>
                <w:sz w:val="18"/>
                <w:szCs w:val="18"/>
              </w:rPr>
            </w:pPr>
            <w:r w:rsidRPr="00036649">
              <w:rPr>
                <w:rFonts w:cs="Arial"/>
                <w:sz w:val="18"/>
                <w:szCs w:val="18"/>
              </w:rPr>
              <w:t>CAPY (lb/h)</w:t>
            </w:r>
          </w:p>
        </w:tc>
        <w:tc>
          <w:tcPr>
            <w:tcW w:w="1545" w:type="dxa"/>
          </w:tcPr>
          <w:p w:rsidR="0039108A" w:rsidRDefault="0039108A" w:rsidP="0039108A">
            <w:pPr>
              <w:spacing w:before="60" w:after="96"/>
              <w:rPr>
                <w:rFonts w:cs="Arial"/>
                <w:sz w:val="18"/>
                <w:szCs w:val="18"/>
              </w:rPr>
            </w:pPr>
            <w:r>
              <w:rPr>
                <w:rFonts w:cs="Arial"/>
                <w:sz w:val="18"/>
                <w:szCs w:val="18"/>
              </w:rPr>
              <w:t>21.8</w:t>
            </w:r>
          </w:p>
        </w:tc>
        <w:tc>
          <w:tcPr>
            <w:tcW w:w="1545" w:type="dxa"/>
          </w:tcPr>
          <w:p w:rsidR="0039108A" w:rsidRDefault="0039108A" w:rsidP="0039108A">
            <w:pPr>
              <w:spacing w:before="60" w:after="96"/>
              <w:rPr>
                <w:rFonts w:cs="Arial"/>
                <w:sz w:val="18"/>
                <w:szCs w:val="18"/>
              </w:rPr>
            </w:pPr>
            <w:r>
              <w:rPr>
                <w:rFonts w:cs="Arial"/>
                <w:sz w:val="18"/>
                <w:szCs w:val="18"/>
              </w:rPr>
              <w:t>16.8</w:t>
            </w:r>
          </w:p>
        </w:tc>
        <w:tc>
          <w:tcPr>
            <w:tcW w:w="1546" w:type="dxa"/>
            <w:shd w:val="thinDiagStripe" w:color="auto" w:fill="auto"/>
          </w:tcPr>
          <w:p w:rsidR="0039108A" w:rsidRDefault="0039108A" w:rsidP="0039108A">
            <w:pPr>
              <w:spacing w:before="60" w:after="96"/>
              <w:rPr>
                <w:rFonts w:cs="Arial"/>
                <w:sz w:val="18"/>
                <w:szCs w:val="18"/>
              </w:rPr>
            </w:pPr>
          </w:p>
        </w:tc>
      </w:tr>
      <w:tr w:rsidR="0039108A" w:rsidRPr="00F53B63" w:rsidTr="0039108A">
        <w:trPr>
          <w:trHeight w:val="20"/>
          <w:jc w:val="center"/>
        </w:trPr>
        <w:tc>
          <w:tcPr>
            <w:tcW w:w="1241" w:type="dxa"/>
            <w:vMerge/>
            <w:vAlign w:val="center"/>
          </w:tcPr>
          <w:p w:rsidR="0039108A" w:rsidRDefault="0039108A" w:rsidP="0039108A">
            <w:pPr>
              <w:overflowPunct/>
              <w:autoSpaceDE/>
              <w:autoSpaceDN/>
              <w:adjustRightInd/>
              <w:spacing w:before="60" w:after="96"/>
              <w:textAlignment w:val="auto"/>
              <w:rPr>
                <w:rFonts w:cs="Arial"/>
                <w:sz w:val="18"/>
                <w:szCs w:val="18"/>
              </w:rPr>
            </w:pPr>
          </w:p>
        </w:tc>
        <w:tc>
          <w:tcPr>
            <w:tcW w:w="2135" w:type="dxa"/>
          </w:tcPr>
          <w:p w:rsidR="0039108A" w:rsidRDefault="0039108A" w:rsidP="0039108A">
            <w:pPr>
              <w:overflowPunct/>
              <w:autoSpaceDE/>
              <w:autoSpaceDN/>
              <w:adjustRightInd/>
              <w:spacing w:before="60" w:after="96"/>
              <w:textAlignment w:val="auto"/>
              <w:rPr>
                <w:rFonts w:cs="Arial"/>
                <w:sz w:val="18"/>
                <w:szCs w:val="18"/>
              </w:rPr>
            </w:pPr>
            <w:r w:rsidRPr="00036649">
              <w:rPr>
                <w:rFonts w:cs="Arial"/>
                <w:sz w:val="18"/>
                <w:szCs w:val="18"/>
              </w:rPr>
              <w:t>lbsfood</w:t>
            </w:r>
          </w:p>
        </w:tc>
        <w:tc>
          <w:tcPr>
            <w:tcW w:w="1545" w:type="dxa"/>
          </w:tcPr>
          <w:p w:rsidR="0039108A" w:rsidRDefault="0039108A" w:rsidP="0039108A">
            <w:pPr>
              <w:spacing w:before="60" w:after="96"/>
              <w:rPr>
                <w:rFonts w:cs="Arial"/>
                <w:sz w:val="18"/>
                <w:szCs w:val="18"/>
              </w:rPr>
            </w:pPr>
            <w:r w:rsidRPr="00036649">
              <w:rPr>
                <w:rFonts w:cs="Arial"/>
                <w:sz w:val="18"/>
                <w:szCs w:val="18"/>
              </w:rPr>
              <w:t>128</w:t>
            </w:r>
          </w:p>
        </w:tc>
        <w:tc>
          <w:tcPr>
            <w:tcW w:w="1545" w:type="dxa"/>
          </w:tcPr>
          <w:p w:rsidR="0039108A" w:rsidRDefault="0039108A" w:rsidP="0039108A">
            <w:pPr>
              <w:spacing w:before="60" w:after="96"/>
              <w:rPr>
                <w:rFonts w:cs="Arial"/>
                <w:sz w:val="18"/>
                <w:szCs w:val="18"/>
              </w:rPr>
            </w:pPr>
            <w:r w:rsidRPr="00036649">
              <w:rPr>
                <w:rFonts w:cs="Arial"/>
                <w:sz w:val="18"/>
                <w:szCs w:val="18"/>
              </w:rPr>
              <w:t>128</w:t>
            </w:r>
          </w:p>
        </w:tc>
        <w:tc>
          <w:tcPr>
            <w:tcW w:w="1546" w:type="dxa"/>
            <w:shd w:val="thinDiagStripe" w:color="auto" w:fill="auto"/>
          </w:tcPr>
          <w:p w:rsidR="0039108A" w:rsidRDefault="0039108A" w:rsidP="0039108A">
            <w:pPr>
              <w:spacing w:before="60" w:after="96"/>
              <w:rPr>
                <w:rFonts w:cs="Arial"/>
                <w:sz w:val="18"/>
                <w:szCs w:val="18"/>
              </w:rPr>
            </w:pPr>
          </w:p>
        </w:tc>
      </w:tr>
      <w:tr w:rsidR="0039108A" w:rsidRPr="00F53B63" w:rsidTr="0039108A">
        <w:trPr>
          <w:trHeight w:val="20"/>
          <w:jc w:val="center"/>
        </w:trPr>
        <w:tc>
          <w:tcPr>
            <w:tcW w:w="1241" w:type="dxa"/>
            <w:vMerge/>
            <w:vAlign w:val="center"/>
          </w:tcPr>
          <w:p w:rsidR="0039108A" w:rsidRDefault="0039108A" w:rsidP="0039108A">
            <w:pPr>
              <w:overflowPunct/>
              <w:autoSpaceDE/>
              <w:autoSpaceDN/>
              <w:adjustRightInd/>
              <w:spacing w:before="60" w:after="96"/>
              <w:textAlignment w:val="auto"/>
              <w:rPr>
                <w:rFonts w:cs="Arial"/>
                <w:sz w:val="18"/>
                <w:szCs w:val="18"/>
              </w:rPr>
            </w:pPr>
          </w:p>
        </w:tc>
        <w:tc>
          <w:tcPr>
            <w:tcW w:w="2135" w:type="dxa"/>
          </w:tcPr>
          <w:p w:rsidR="0039108A" w:rsidRDefault="0039108A" w:rsidP="0039108A">
            <w:pPr>
              <w:overflowPunct/>
              <w:autoSpaceDE/>
              <w:autoSpaceDN/>
              <w:adjustRightInd/>
              <w:spacing w:before="60" w:after="96"/>
              <w:textAlignment w:val="auto"/>
              <w:rPr>
                <w:rFonts w:cs="Arial"/>
                <w:sz w:val="18"/>
                <w:szCs w:val="18"/>
              </w:rPr>
            </w:pPr>
            <w:r w:rsidRPr="00036649">
              <w:rPr>
                <w:rFonts w:cs="Arial"/>
                <w:sz w:val="18"/>
                <w:szCs w:val="18"/>
              </w:rPr>
              <w:t>Eff</w:t>
            </w:r>
          </w:p>
        </w:tc>
        <w:tc>
          <w:tcPr>
            <w:tcW w:w="1545" w:type="dxa"/>
            <w:tcBorders>
              <w:bottom w:val="single" w:sz="4" w:space="0" w:color="auto"/>
            </w:tcBorders>
          </w:tcPr>
          <w:p w:rsidR="0039108A" w:rsidRDefault="009164CB" w:rsidP="00937EC7">
            <w:pPr>
              <w:spacing w:before="60" w:after="96"/>
              <w:rPr>
                <w:rFonts w:cs="Arial"/>
                <w:sz w:val="18"/>
                <w:szCs w:val="18"/>
              </w:rPr>
            </w:pPr>
            <w:r>
              <w:rPr>
                <w:rFonts w:cs="Arial"/>
                <w:sz w:val="18"/>
                <w:szCs w:val="18"/>
              </w:rPr>
              <w:t>30</w:t>
            </w:r>
            <w:r w:rsidR="0039108A" w:rsidRPr="00036649">
              <w:rPr>
                <w:rFonts w:cs="Arial"/>
                <w:sz w:val="18"/>
                <w:szCs w:val="18"/>
              </w:rPr>
              <w:t>%</w:t>
            </w:r>
          </w:p>
        </w:tc>
        <w:tc>
          <w:tcPr>
            <w:tcW w:w="1545" w:type="dxa"/>
            <w:tcBorders>
              <w:bottom w:val="single" w:sz="4" w:space="0" w:color="auto"/>
            </w:tcBorders>
          </w:tcPr>
          <w:p w:rsidR="0039108A" w:rsidRDefault="0039108A" w:rsidP="0039108A">
            <w:pPr>
              <w:spacing w:before="60" w:after="96"/>
              <w:rPr>
                <w:rFonts w:cs="Arial"/>
                <w:sz w:val="18"/>
                <w:szCs w:val="18"/>
              </w:rPr>
            </w:pPr>
            <w:r>
              <w:rPr>
                <w:rFonts w:cs="Arial"/>
                <w:sz w:val="18"/>
                <w:szCs w:val="18"/>
              </w:rPr>
              <w:t>57</w:t>
            </w:r>
            <w:r w:rsidRPr="00036649">
              <w:rPr>
                <w:rFonts w:cs="Arial"/>
                <w:sz w:val="18"/>
                <w:szCs w:val="18"/>
              </w:rPr>
              <w:t>%</w:t>
            </w:r>
          </w:p>
        </w:tc>
        <w:tc>
          <w:tcPr>
            <w:tcW w:w="1546" w:type="dxa"/>
            <w:shd w:val="thinDiagStripe" w:color="auto" w:fill="auto"/>
          </w:tcPr>
          <w:p w:rsidR="0039108A" w:rsidRDefault="0039108A" w:rsidP="0039108A">
            <w:pPr>
              <w:spacing w:before="60" w:after="96"/>
              <w:rPr>
                <w:rFonts w:cs="Arial"/>
                <w:sz w:val="18"/>
                <w:szCs w:val="18"/>
              </w:rPr>
            </w:pPr>
          </w:p>
        </w:tc>
      </w:tr>
      <w:tr w:rsidR="0039108A" w:rsidRPr="00F53B63" w:rsidTr="0039108A">
        <w:trPr>
          <w:trHeight w:val="20"/>
          <w:jc w:val="center"/>
        </w:trPr>
        <w:tc>
          <w:tcPr>
            <w:tcW w:w="1241" w:type="dxa"/>
            <w:vMerge/>
            <w:vAlign w:val="center"/>
          </w:tcPr>
          <w:p w:rsidR="0039108A" w:rsidRDefault="0039108A" w:rsidP="0039108A">
            <w:pPr>
              <w:overflowPunct/>
              <w:autoSpaceDE/>
              <w:autoSpaceDN/>
              <w:adjustRightInd/>
              <w:spacing w:before="60" w:after="96"/>
              <w:textAlignment w:val="auto"/>
              <w:rPr>
                <w:rFonts w:cs="Arial"/>
                <w:sz w:val="18"/>
                <w:szCs w:val="18"/>
              </w:rPr>
            </w:pPr>
          </w:p>
        </w:tc>
        <w:tc>
          <w:tcPr>
            <w:tcW w:w="2135" w:type="dxa"/>
          </w:tcPr>
          <w:p w:rsidR="0039108A" w:rsidRDefault="0039108A" w:rsidP="0039108A">
            <w:pPr>
              <w:overflowPunct/>
              <w:autoSpaceDE/>
              <w:autoSpaceDN/>
              <w:adjustRightInd/>
              <w:spacing w:before="60" w:after="96"/>
              <w:textAlignment w:val="auto"/>
              <w:rPr>
                <w:rFonts w:cs="Arial"/>
                <w:sz w:val="18"/>
                <w:szCs w:val="18"/>
              </w:rPr>
            </w:pPr>
            <w:r w:rsidRPr="00811C98">
              <w:rPr>
                <w:rFonts w:cs="Arial"/>
                <w:sz w:val="18"/>
                <w:szCs w:val="18"/>
              </w:rPr>
              <w:sym w:font="Symbol" w:char="F044"/>
            </w:r>
            <w:r w:rsidRPr="00811C98">
              <w:rPr>
                <w:rFonts w:cs="Arial"/>
                <w:sz w:val="18"/>
                <w:szCs w:val="18"/>
              </w:rPr>
              <w:t>kWh</w:t>
            </w:r>
          </w:p>
        </w:tc>
        <w:tc>
          <w:tcPr>
            <w:tcW w:w="1545" w:type="dxa"/>
            <w:shd w:val="thinDiagStripe" w:color="auto" w:fill="auto"/>
          </w:tcPr>
          <w:p w:rsidR="0039108A" w:rsidRDefault="0039108A" w:rsidP="0039108A">
            <w:pPr>
              <w:spacing w:before="60" w:after="96"/>
              <w:rPr>
                <w:rFonts w:cs="Arial"/>
                <w:sz w:val="18"/>
                <w:szCs w:val="18"/>
              </w:rPr>
            </w:pPr>
          </w:p>
        </w:tc>
        <w:tc>
          <w:tcPr>
            <w:tcW w:w="1545" w:type="dxa"/>
            <w:shd w:val="thinDiagStripe" w:color="auto" w:fill="auto"/>
          </w:tcPr>
          <w:p w:rsidR="0039108A" w:rsidRDefault="0039108A" w:rsidP="0039108A">
            <w:pPr>
              <w:spacing w:before="60" w:after="96"/>
              <w:rPr>
                <w:rFonts w:cs="Arial"/>
                <w:sz w:val="18"/>
                <w:szCs w:val="18"/>
              </w:rPr>
            </w:pPr>
          </w:p>
        </w:tc>
        <w:tc>
          <w:tcPr>
            <w:tcW w:w="1546" w:type="dxa"/>
          </w:tcPr>
          <w:p w:rsidR="0039108A" w:rsidRDefault="0039108A" w:rsidP="0039108A">
            <w:pPr>
              <w:spacing w:before="60" w:after="96"/>
              <w:rPr>
                <w:rFonts w:cs="Arial"/>
                <w:sz w:val="18"/>
                <w:szCs w:val="18"/>
              </w:rPr>
            </w:pPr>
            <w:r>
              <w:rPr>
                <w:rFonts w:cs="Arial"/>
                <w:sz w:val="18"/>
                <w:szCs w:val="18"/>
              </w:rPr>
              <w:t>3,902</w:t>
            </w:r>
          </w:p>
        </w:tc>
      </w:tr>
      <w:tr w:rsidR="0039108A" w:rsidRPr="00F53B63" w:rsidTr="0039108A">
        <w:trPr>
          <w:trHeight w:val="20"/>
          <w:jc w:val="center"/>
        </w:trPr>
        <w:tc>
          <w:tcPr>
            <w:tcW w:w="1241" w:type="dxa"/>
            <w:vMerge/>
            <w:vAlign w:val="center"/>
          </w:tcPr>
          <w:p w:rsidR="0039108A" w:rsidRDefault="0039108A" w:rsidP="0039108A">
            <w:pPr>
              <w:overflowPunct/>
              <w:autoSpaceDE/>
              <w:autoSpaceDN/>
              <w:adjustRightInd/>
              <w:spacing w:before="60" w:after="96"/>
              <w:textAlignment w:val="auto"/>
              <w:rPr>
                <w:rFonts w:cs="Arial"/>
                <w:sz w:val="18"/>
                <w:szCs w:val="18"/>
              </w:rPr>
            </w:pPr>
          </w:p>
        </w:tc>
        <w:tc>
          <w:tcPr>
            <w:tcW w:w="2135" w:type="dxa"/>
          </w:tcPr>
          <w:p w:rsidR="0039108A" w:rsidRDefault="0039108A" w:rsidP="0039108A">
            <w:pPr>
              <w:overflowPunct/>
              <w:autoSpaceDE/>
              <w:autoSpaceDN/>
              <w:adjustRightInd/>
              <w:spacing w:before="60" w:after="96"/>
              <w:textAlignment w:val="auto"/>
              <w:rPr>
                <w:rFonts w:cs="Arial"/>
                <w:sz w:val="18"/>
                <w:szCs w:val="18"/>
              </w:rPr>
            </w:pPr>
            <w:r w:rsidRPr="00811C98">
              <w:rPr>
                <w:rFonts w:cs="Arial"/>
                <w:sz w:val="18"/>
                <w:szCs w:val="18"/>
              </w:rPr>
              <w:sym w:font="Symbol" w:char="F044"/>
            </w:r>
            <w:r w:rsidRPr="00811C98">
              <w:rPr>
                <w:rFonts w:cs="Arial"/>
                <w:sz w:val="18"/>
                <w:szCs w:val="18"/>
              </w:rPr>
              <w:t>kW</w:t>
            </w:r>
            <w:r w:rsidRPr="00811C98">
              <w:rPr>
                <w:rFonts w:cs="Arial"/>
                <w:sz w:val="18"/>
                <w:szCs w:val="18"/>
                <w:vertAlign w:val="subscript"/>
              </w:rPr>
              <w:t>peak</w:t>
            </w:r>
            <w:r w:rsidRPr="00811C98">
              <w:rPr>
                <w:rFonts w:cs="Arial"/>
                <w:sz w:val="18"/>
                <w:szCs w:val="18"/>
                <w:vertAlign w:val="subscript"/>
              </w:rPr>
              <w:tab/>
            </w:r>
          </w:p>
        </w:tc>
        <w:tc>
          <w:tcPr>
            <w:tcW w:w="1545" w:type="dxa"/>
            <w:shd w:val="thinDiagStripe" w:color="auto" w:fill="auto"/>
          </w:tcPr>
          <w:p w:rsidR="0039108A" w:rsidRDefault="0039108A" w:rsidP="0039108A">
            <w:pPr>
              <w:spacing w:before="60" w:after="96"/>
              <w:rPr>
                <w:rFonts w:cs="Arial"/>
                <w:sz w:val="18"/>
                <w:szCs w:val="18"/>
              </w:rPr>
            </w:pPr>
          </w:p>
        </w:tc>
        <w:tc>
          <w:tcPr>
            <w:tcW w:w="1545" w:type="dxa"/>
            <w:shd w:val="thinDiagStripe" w:color="auto" w:fill="auto"/>
          </w:tcPr>
          <w:p w:rsidR="0039108A" w:rsidRDefault="0039108A" w:rsidP="0039108A">
            <w:pPr>
              <w:spacing w:before="60" w:after="96"/>
              <w:rPr>
                <w:rFonts w:cs="Arial"/>
                <w:sz w:val="18"/>
                <w:szCs w:val="18"/>
              </w:rPr>
            </w:pPr>
          </w:p>
        </w:tc>
        <w:tc>
          <w:tcPr>
            <w:tcW w:w="1546" w:type="dxa"/>
            <w:tcBorders>
              <w:bottom w:val="single" w:sz="4" w:space="0" w:color="auto"/>
            </w:tcBorders>
          </w:tcPr>
          <w:p w:rsidR="0039108A" w:rsidRDefault="0039108A" w:rsidP="0039108A">
            <w:pPr>
              <w:spacing w:before="60" w:after="96"/>
              <w:rPr>
                <w:rFonts w:cs="Arial"/>
                <w:sz w:val="18"/>
                <w:szCs w:val="18"/>
              </w:rPr>
            </w:pPr>
            <w:r>
              <w:rPr>
                <w:rFonts w:cs="Arial"/>
                <w:sz w:val="18"/>
                <w:szCs w:val="18"/>
              </w:rPr>
              <w:t>0.75</w:t>
            </w:r>
          </w:p>
        </w:tc>
      </w:tr>
      <w:tr w:rsidR="0039108A" w:rsidRPr="00F53B63" w:rsidTr="0039108A">
        <w:trPr>
          <w:trHeight w:val="20"/>
          <w:jc w:val="center"/>
        </w:trPr>
        <w:tc>
          <w:tcPr>
            <w:tcW w:w="1241" w:type="dxa"/>
            <w:vMerge w:val="restart"/>
            <w:vAlign w:val="center"/>
          </w:tcPr>
          <w:p w:rsidR="0039108A" w:rsidRDefault="0039108A" w:rsidP="0039108A">
            <w:pPr>
              <w:keepNext/>
              <w:keepLines/>
              <w:overflowPunct/>
              <w:autoSpaceDE/>
              <w:autoSpaceDN/>
              <w:adjustRightInd/>
              <w:spacing w:before="60" w:after="96"/>
              <w:textAlignment w:val="auto"/>
              <w:rPr>
                <w:rFonts w:cs="Arial"/>
                <w:sz w:val="18"/>
                <w:szCs w:val="18"/>
              </w:rPr>
            </w:pPr>
            <w:r w:rsidRPr="00036649">
              <w:rPr>
                <w:rFonts w:cs="Arial"/>
                <w:sz w:val="18"/>
                <w:szCs w:val="18"/>
              </w:rPr>
              <w:t>5</w:t>
            </w:r>
          </w:p>
        </w:tc>
        <w:tc>
          <w:tcPr>
            <w:tcW w:w="2135" w:type="dxa"/>
          </w:tcPr>
          <w:p w:rsidR="0039108A" w:rsidRDefault="0039108A" w:rsidP="0039108A">
            <w:pPr>
              <w:keepNext/>
              <w:keepLines/>
              <w:overflowPunct/>
              <w:autoSpaceDE/>
              <w:autoSpaceDN/>
              <w:adjustRightInd/>
              <w:spacing w:before="60" w:after="96"/>
              <w:textAlignment w:val="auto"/>
              <w:rPr>
                <w:rFonts w:cs="Arial"/>
                <w:sz w:val="18"/>
                <w:szCs w:val="18"/>
              </w:rPr>
            </w:pPr>
            <w:r w:rsidRPr="00036649">
              <w:rPr>
                <w:rFonts w:cs="Arial"/>
                <w:sz w:val="18"/>
                <w:szCs w:val="18"/>
              </w:rPr>
              <w:t>Power</w:t>
            </w:r>
            <w:r w:rsidRPr="00036649">
              <w:rPr>
                <w:rFonts w:cs="Arial"/>
                <w:sz w:val="18"/>
                <w:szCs w:val="18"/>
                <w:vertAlign w:val="subscript"/>
              </w:rPr>
              <w:t>idle</w:t>
            </w:r>
            <w:r w:rsidRPr="00036649">
              <w:rPr>
                <w:rFonts w:cs="Arial"/>
                <w:sz w:val="18"/>
                <w:szCs w:val="18"/>
              </w:rPr>
              <w:t xml:space="preserve"> (kW)</w:t>
            </w:r>
          </w:p>
        </w:tc>
        <w:tc>
          <w:tcPr>
            <w:tcW w:w="1545" w:type="dxa"/>
          </w:tcPr>
          <w:p w:rsidR="0039108A" w:rsidRDefault="0039108A" w:rsidP="0039108A">
            <w:pPr>
              <w:keepNext/>
              <w:keepLines/>
              <w:spacing w:before="60" w:after="96"/>
              <w:rPr>
                <w:rFonts w:cs="Arial"/>
                <w:sz w:val="18"/>
                <w:szCs w:val="18"/>
              </w:rPr>
            </w:pPr>
            <w:r w:rsidRPr="00036649">
              <w:rPr>
                <w:rFonts w:cs="Arial"/>
                <w:sz w:val="18"/>
                <w:szCs w:val="18"/>
              </w:rPr>
              <w:t>1.675</w:t>
            </w:r>
          </w:p>
        </w:tc>
        <w:tc>
          <w:tcPr>
            <w:tcW w:w="1545" w:type="dxa"/>
          </w:tcPr>
          <w:p w:rsidR="0039108A" w:rsidRDefault="0039108A" w:rsidP="0039108A">
            <w:pPr>
              <w:keepNext/>
              <w:keepLines/>
              <w:spacing w:before="60" w:after="96"/>
              <w:rPr>
                <w:rFonts w:cs="Arial"/>
                <w:sz w:val="18"/>
                <w:szCs w:val="18"/>
              </w:rPr>
            </w:pPr>
            <w:r w:rsidRPr="00036649">
              <w:rPr>
                <w:rFonts w:cs="Arial"/>
                <w:sz w:val="18"/>
                <w:szCs w:val="18"/>
              </w:rPr>
              <w:t>0.</w:t>
            </w:r>
            <w:r>
              <w:rPr>
                <w:rFonts w:cs="Arial"/>
                <w:sz w:val="18"/>
                <w:szCs w:val="18"/>
              </w:rPr>
              <w:t>31</w:t>
            </w:r>
          </w:p>
        </w:tc>
        <w:tc>
          <w:tcPr>
            <w:tcW w:w="1546" w:type="dxa"/>
            <w:shd w:val="thinDiagStripe" w:color="auto" w:fill="auto"/>
          </w:tcPr>
          <w:p w:rsidR="0039108A" w:rsidRDefault="0039108A" w:rsidP="0039108A">
            <w:pPr>
              <w:keepNext/>
              <w:keepLines/>
              <w:spacing w:before="60" w:after="96"/>
              <w:rPr>
                <w:rFonts w:cs="Arial"/>
                <w:sz w:val="18"/>
                <w:szCs w:val="18"/>
              </w:rPr>
            </w:pPr>
          </w:p>
        </w:tc>
      </w:tr>
      <w:tr w:rsidR="0039108A" w:rsidRPr="00F53B63" w:rsidTr="0039108A">
        <w:trPr>
          <w:trHeight w:val="20"/>
          <w:jc w:val="center"/>
        </w:trPr>
        <w:tc>
          <w:tcPr>
            <w:tcW w:w="1241" w:type="dxa"/>
            <w:vMerge/>
            <w:vAlign w:val="center"/>
          </w:tcPr>
          <w:p w:rsidR="0039108A" w:rsidRDefault="0039108A" w:rsidP="0039108A">
            <w:pPr>
              <w:keepNext/>
              <w:keepLines/>
              <w:overflowPunct/>
              <w:autoSpaceDE/>
              <w:autoSpaceDN/>
              <w:adjustRightInd/>
              <w:spacing w:before="60" w:after="96"/>
              <w:textAlignment w:val="auto"/>
              <w:rPr>
                <w:rFonts w:cs="Arial"/>
                <w:sz w:val="18"/>
                <w:szCs w:val="18"/>
              </w:rPr>
            </w:pPr>
          </w:p>
        </w:tc>
        <w:tc>
          <w:tcPr>
            <w:tcW w:w="2135" w:type="dxa"/>
          </w:tcPr>
          <w:p w:rsidR="0039108A" w:rsidRDefault="0039108A" w:rsidP="0039108A">
            <w:pPr>
              <w:keepNext/>
              <w:keepLines/>
              <w:overflowPunct/>
              <w:autoSpaceDE/>
              <w:autoSpaceDN/>
              <w:adjustRightInd/>
              <w:spacing w:before="60" w:after="96"/>
              <w:textAlignment w:val="auto"/>
              <w:rPr>
                <w:rFonts w:cs="Arial"/>
                <w:sz w:val="18"/>
                <w:szCs w:val="18"/>
              </w:rPr>
            </w:pPr>
            <w:r w:rsidRPr="00036649">
              <w:rPr>
                <w:rFonts w:cs="Arial"/>
                <w:sz w:val="18"/>
                <w:szCs w:val="18"/>
              </w:rPr>
              <w:t>CAPY (lb/h)</w:t>
            </w:r>
          </w:p>
        </w:tc>
        <w:tc>
          <w:tcPr>
            <w:tcW w:w="1545" w:type="dxa"/>
          </w:tcPr>
          <w:p w:rsidR="0039108A" w:rsidRDefault="0039108A" w:rsidP="0039108A">
            <w:pPr>
              <w:keepNext/>
              <w:keepLines/>
              <w:spacing w:before="60" w:after="96"/>
              <w:rPr>
                <w:rFonts w:cs="Arial"/>
                <w:sz w:val="18"/>
                <w:szCs w:val="18"/>
              </w:rPr>
            </w:pPr>
            <w:r>
              <w:rPr>
                <w:rFonts w:cs="Arial"/>
                <w:sz w:val="18"/>
                <w:szCs w:val="18"/>
              </w:rPr>
              <w:t>20.6</w:t>
            </w:r>
          </w:p>
        </w:tc>
        <w:tc>
          <w:tcPr>
            <w:tcW w:w="1545" w:type="dxa"/>
          </w:tcPr>
          <w:p w:rsidR="0039108A" w:rsidRDefault="0039108A" w:rsidP="0039108A">
            <w:pPr>
              <w:keepNext/>
              <w:keepLines/>
              <w:spacing w:before="60" w:after="96"/>
              <w:rPr>
                <w:rFonts w:cs="Arial"/>
                <w:sz w:val="18"/>
                <w:szCs w:val="18"/>
              </w:rPr>
            </w:pPr>
            <w:r>
              <w:rPr>
                <w:rFonts w:cs="Arial"/>
                <w:sz w:val="18"/>
                <w:szCs w:val="18"/>
              </w:rPr>
              <w:t>16.6</w:t>
            </w:r>
          </w:p>
        </w:tc>
        <w:tc>
          <w:tcPr>
            <w:tcW w:w="1546" w:type="dxa"/>
            <w:shd w:val="thinDiagStripe" w:color="auto" w:fill="auto"/>
          </w:tcPr>
          <w:p w:rsidR="0039108A" w:rsidRDefault="0039108A" w:rsidP="0039108A">
            <w:pPr>
              <w:keepNext/>
              <w:keepLines/>
              <w:spacing w:before="60" w:after="96"/>
              <w:rPr>
                <w:rFonts w:cs="Arial"/>
                <w:sz w:val="18"/>
                <w:szCs w:val="18"/>
              </w:rPr>
            </w:pPr>
          </w:p>
        </w:tc>
      </w:tr>
      <w:tr w:rsidR="0039108A" w:rsidRPr="00F53B63" w:rsidTr="0039108A">
        <w:trPr>
          <w:trHeight w:val="20"/>
          <w:jc w:val="center"/>
        </w:trPr>
        <w:tc>
          <w:tcPr>
            <w:tcW w:w="1241" w:type="dxa"/>
            <w:vMerge/>
            <w:vAlign w:val="center"/>
          </w:tcPr>
          <w:p w:rsidR="0039108A" w:rsidRDefault="0039108A" w:rsidP="0039108A">
            <w:pPr>
              <w:keepNext/>
              <w:keepLines/>
              <w:overflowPunct/>
              <w:autoSpaceDE/>
              <w:autoSpaceDN/>
              <w:adjustRightInd/>
              <w:spacing w:before="60" w:after="96"/>
              <w:textAlignment w:val="auto"/>
              <w:rPr>
                <w:rFonts w:cs="Arial"/>
                <w:sz w:val="18"/>
                <w:szCs w:val="18"/>
              </w:rPr>
            </w:pPr>
          </w:p>
        </w:tc>
        <w:tc>
          <w:tcPr>
            <w:tcW w:w="2135" w:type="dxa"/>
          </w:tcPr>
          <w:p w:rsidR="0039108A" w:rsidRDefault="0039108A" w:rsidP="0039108A">
            <w:pPr>
              <w:keepNext/>
              <w:keepLines/>
              <w:overflowPunct/>
              <w:autoSpaceDE/>
              <w:autoSpaceDN/>
              <w:adjustRightInd/>
              <w:spacing w:before="60" w:after="96"/>
              <w:textAlignment w:val="auto"/>
              <w:rPr>
                <w:rFonts w:cs="Arial"/>
                <w:sz w:val="18"/>
                <w:szCs w:val="18"/>
              </w:rPr>
            </w:pPr>
            <w:r w:rsidRPr="00036649">
              <w:rPr>
                <w:rFonts w:cs="Arial"/>
                <w:sz w:val="18"/>
                <w:szCs w:val="18"/>
              </w:rPr>
              <w:t>lbsfood</w:t>
            </w:r>
          </w:p>
        </w:tc>
        <w:tc>
          <w:tcPr>
            <w:tcW w:w="1545" w:type="dxa"/>
          </w:tcPr>
          <w:p w:rsidR="0039108A" w:rsidRDefault="0039108A" w:rsidP="0039108A">
            <w:pPr>
              <w:keepNext/>
              <w:keepLines/>
              <w:spacing w:before="60" w:after="96"/>
              <w:rPr>
                <w:rFonts w:cs="Arial"/>
                <w:sz w:val="18"/>
                <w:szCs w:val="18"/>
              </w:rPr>
            </w:pPr>
            <w:r w:rsidRPr="00036649">
              <w:rPr>
                <w:rFonts w:cs="Arial"/>
                <w:sz w:val="18"/>
                <w:szCs w:val="18"/>
              </w:rPr>
              <w:t>160</w:t>
            </w:r>
          </w:p>
        </w:tc>
        <w:tc>
          <w:tcPr>
            <w:tcW w:w="1545" w:type="dxa"/>
          </w:tcPr>
          <w:p w:rsidR="0039108A" w:rsidRDefault="0039108A" w:rsidP="0039108A">
            <w:pPr>
              <w:keepNext/>
              <w:keepLines/>
              <w:spacing w:before="60" w:after="96"/>
              <w:rPr>
                <w:rFonts w:cs="Arial"/>
                <w:sz w:val="18"/>
                <w:szCs w:val="18"/>
              </w:rPr>
            </w:pPr>
            <w:r w:rsidRPr="00036649">
              <w:rPr>
                <w:rFonts w:cs="Arial"/>
                <w:sz w:val="18"/>
                <w:szCs w:val="18"/>
              </w:rPr>
              <w:t>160</w:t>
            </w:r>
          </w:p>
        </w:tc>
        <w:tc>
          <w:tcPr>
            <w:tcW w:w="1546" w:type="dxa"/>
            <w:shd w:val="thinDiagStripe" w:color="auto" w:fill="auto"/>
          </w:tcPr>
          <w:p w:rsidR="0039108A" w:rsidRDefault="0039108A" w:rsidP="0039108A">
            <w:pPr>
              <w:keepNext/>
              <w:keepLines/>
              <w:spacing w:before="60" w:after="96"/>
              <w:rPr>
                <w:rFonts w:cs="Arial"/>
                <w:sz w:val="18"/>
                <w:szCs w:val="18"/>
              </w:rPr>
            </w:pPr>
          </w:p>
        </w:tc>
      </w:tr>
      <w:tr w:rsidR="0039108A" w:rsidRPr="00F53B63" w:rsidTr="0039108A">
        <w:trPr>
          <w:trHeight w:val="20"/>
          <w:jc w:val="center"/>
        </w:trPr>
        <w:tc>
          <w:tcPr>
            <w:tcW w:w="1241" w:type="dxa"/>
            <w:vMerge/>
            <w:vAlign w:val="center"/>
          </w:tcPr>
          <w:p w:rsidR="0039108A" w:rsidRDefault="0039108A" w:rsidP="0039108A">
            <w:pPr>
              <w:keepNext/>
              <w:keepLines/>
              <w:overflowPunct/>
              <w:autoSpaceDE/>
              <w:autoSpaceDN/>
              <w:adjustRightInd/>
              <w:spacing w:before="60" w:after="96"/>
              <w:textAlignment w:val="auto"/>
              <w:rPr>
                <w:rFonts w:cs="Arial"/>
                <w:sz w:val="18"/>
                <w:szCs w:val="18"/>
              </w:rPr>
            </w:pPr>
          </w:p>
        </w:tc>
        <w:tc>
          <w:tcPr>
            <w:tcW w:w="2135" w:type="dxa"/>
          </w:tcPr>
          <w:p w:rsidR="0039108A" w:rsidRDefault="0039108A" w:rsidP="0039108A">
            <w:pPr>
              <w:keepNext/>
              <w:keepLines/>
              <w:overflowPunct/>
              <w:autoSpaceDE/>
              <w:autoSpaceDN/>
              <w:adjustRightInd/>
              <w:spacing w:before="60" w:after="96"/>
              <w:textAlignment w:val="auto"/>
              <w:rPr>
                <w:rFonts w:cs="Arial"/>
                <w:sz w:val="18"/>
                <w:szCs w:val="18"/>
              </w:rPr>
            </w:pPr>
            <w:r w:rsidRPr="00036649">
              <w:rPr>
                <w:rFonts w:cs="Arial"/>
                <w:sz w:val="18"/>
                <w:szCs w:val="18"/>
              </w:rPr>
              <w:t>Eff</w:t>
            </w:r>
          </w:p>
        </w:tc>
        <w:tc>
          <w:tcPr>
            <w:tcW w:w="1545" w:type="dxa"/>
            <w:tcBorders>
              <w:bottom w:val="single" w:sz="4" w:space="0" w:color="auto"/>
            </w:tcBorders>
          </w:tcPr>
          <w:p w:rsidR="0039108A" w:rsidRDefault="009164CB" w:rsidP="00937EC7">
            <w:pPr>
              <w:keepNext/>
              <w:keepLines/>
              <w:spacing w:before="60" w:after="96"/>
              <w:rPr>
                <w:rFonts w:cs="Arial"/>
                <w:sz w:val="18"/>
                <w:szCs w:val="18"/>
              </w:rPr>
            </w:pPr>
            <w:r>
              <w:rPr>
                <w:rFonts w:cs="Arial"/>
                <w:sz w:val="18"/>
                <w:szCs w:val="18"/>
              </w:rPr>
              <w:t>30</w:t>
            </w:r>
            <w:r w:rsidR="0039108A" w:rsidRPr="00036649">
              <w:rPr>
                <w:rFonts w:cs="Arial"/>
                <w:sz w:val="18"/>
                <w:szCs w:val="18"/>
              </w:rPr>
              <w:t>%</w:t>
            </w:r>
          </w:p>
        </w:tc>
        <w:tc>
          <w:tcPr>
            <w:tcW w:w="1545" w:type="dxa"/>
            <w:tcBorders>
              <w:bottom w:val="single" w:sz="4" w:space="0" w:color="auto"/>
            </w:tcBorders>
          </w:tcPr>
          <w:p w:rsidR="0039108A" w:rsidRDefault="0039108A" w:rsidP="0039108A">
            <w:pPr>
              <w:keepNext/>
              <w:keepLines/>
              <w:spacing w:before="60" w:after="96"/>
              <w:rPr>
                <w:rFonts w:cs="Arial"/>
                <w:sz w:val="18"/>
                <w:szCs w:val="18"/>
              </w:rPr>
            </w:pPr>
            <w:r>
              <w:rPr>
                <w:rFonts w:cs="Arial"/>
                <w:sz w:val="18"/>
                <w:szCs w:val="18"/>
              </w:rPr>
              <w:t>70</w:t>
            </w:r>
            <w:r w:rsidRPr="00036649">
              <w:rPr>
                <w:rFonts w:cs="Arial"/>
                <w:sz w:val="18"/>
                <w:szCs w:val="18"/>
              </w:rPr>
              <w:t>%</w:t>
            </w:r>
          </w:p>
        </w:tc>
        <w:tc>
          <w:tcPr>
            <w:tcW w:w="1546" w:type="dxa"/>
            <w:shd w:val="thinDiagStripe" w:color="auto" w:fill="auto"/>
          </w:tcPr>
          <w:p w:rsidR="0039108A" w:rsidRDefault="0039108A" w:rsidP="0039108A">
            <w:pPr>
              <w:keepNext/>
              <w:keepLines/>
              <w:spacing w:before="60" w:after="96"/>
              <w:rPr>
                <w:rFonts w:cs="Arial"/>
                <w:sz w:val="18"/>
                <w:szCs w:val="18"/>
              </w:rPr>
            </w:pPr>
          </w:p>
        </w:tc>
      </w:tr>
      <w:tr w:rsidR="0039108A" w:rsidRPr="00F53B63" w:rsidTr="0039108A">
        <w:trPr>
          <w:trHeight w:val="20"/>
          <w:jc w:val="center"/>
        </w:trPr>
        <w:tc>
          <w:tcPr>
            <w:tcW w:w="1241" w:type="dxa"/>
            <w:vMerge/>
            <w:vAlign w:val="center"/>
          </w:tcPr>
          <w:p w:rsidR="0039108A" w:rsidRDefault="0039108A" w:rsidP="0039108A">
            <w:pPr>
              <w:keepNext/>
              <w:keepLines/>
              <w:overflowPunct/>
              <w:autoSpaceDE/>
              <w:autoSpaceDN/>
              <w:adjustRightInd/>
              <w:spacing w:before="60" w:after="96"/>
              <w:textAlignment w:val="auto"/>
              <w:rPr>
                <w:rFonts w:cs="Arial"/>
                <w:sz w:val="18"/>
                <w:szCs w:val="18"/>
              </w:rPr>
            </w:pPr>
          </w:p>
        </w:tc>
        <w:tc>
          <w:tcPr>
            <w:tcW w:w="2135" w:type="dxa"/>
          </w:tcPr>
          <w:p w:rsidR="0039108A" w:rsidRDefault="0039108A" w:rsidP="0039108A">
            <w:pPr>
              <w:keepNext/>
              <w:keepLines/>
              <w:overflowPunct/>
              <w:autoSpaceDE/>
              <w:autoSpaceDN/>
              <w:adjustRightInd/>
              <w:spacing w:before="60" w:after="96"/>
              <w:textAlignment w:val="auto"/>
              <w:rPr>
                <w:rFonts w:cs="Arial"/>
                <w:sz w:val="18"/>
                <w:szCs w:val="18"/>
              </w:rPr>
            </w:pPr>
            <w:r w:rsidRPr="00811C98">
              <w:rPr>
                <w:rFonts w:cs="Arial"/>
                <w:sz w:val="18"/>
                <w:szCs w:val="18"/>
              </w:rPr>
              <w:sym w:font="Symbol" w:char="F044"/>
            </w:r>
            <w:r w:rsidRPr="00811C98">
              <w:rPr>
                <w:rFonts w:cs="Arial"/>
                <w:sz w:val="18"/>
                <w:szCs w:val="18"/>
              </w:rPr>
              <w:t>kWh</w:t>
            </w:r>
          </w:p>
        </w:tc>
        <w:tc>
          <w:tcPr>
            <w:tcW w:w="1545" w:type="dxa"/>
            <w:shd w:val="thinDiagStripe" w:color="auto" w:fill="auto"/>
          </w:tcPr>
          <w:p w:rsidR="0039108A" w:rsidRDefault="0039108A" w:rsidP="0039108A">
            <w:pPr>
              <w:keepNext/>
              <w:keepLines/>
              <w:spacing w:before="60" w:after="96"/>
              <w:rPr>
                <w:rFonts w:cs="Arial"/>
                <w:sz w:val="18"/>
                <w:szCs w:val="18"/>
              </w:rPr>
            </w:pPr>
          </w:p>
        </w:tc>
        <w:tc>
          <w:tcPr>
            <w:tcW w:w="1545" w:type="dxa"/>
            <w:shd w:val="thinDiagStripe" w:color="auto" w:fill="auto"/>
          </w:tcPr>
          <w:p w:rsidR="0039108A" w:rsidRDefault="0039108A" w:rsidP="0039108A">
            <w:pPr>
              <w:keepNext/>
              <w:keepLines/>
              <w:spacing w:before="60" w:after="96"/>
              <w:rPr>
                <w:rFonts w:cs="Arial"/>
                <w:sz w:val="18"/>
                <w:szCs w:val="18"/>
              </w:rPr>
            </w:pPr>
          </w:p>
        </w:tc>
        <w:tc>
          <w:tcPr>
            <w:tcW w:w="1546" w:type="dxa"/>
          </w:tcPr>
          <w:p w:rsidR="0039108A" w:rsidRDefault="0039108A" w:rsidP="0039108A">
            <w:pPr>
              <w:keepNext/>
              <w:keepLines/>
              <w:spacing w:before="60" w:after="96"/>
              <w:rPr>
                <w:rFonts w:cs="Arial"/>
                <w:sz w:val="18"/>
                <w:szCs w:val="18"/>
              </w:rPr>
            </w:pPr>
            <w:r>
              <w:rPr>
                <w:rFonts w:cs="Arial"/>
                <w:sz w:val="18"/>
                <w:szCs w:val="18"/>
              </w:rPr>
              <w:t>5,134</w:t>
            </w:r>
          </w:p>
        </w:tc>
      </w:tr>
      <w:tr w:rsidR="0039108A" w:rsidRPr="00F53B63" w:rsidTr="0039108A">
        <w:trPr>
          <w:trHeight w:val="20"/>
          <w:jc w:val="center"/>
        </w:trPr>
        <w:tc>
          <w:tcPr>
            <w:tcW w:w="1241" w:type="dxa"/>
            <w:vMerge/>
            <w:vAlign w:val="center"/>
          </w:tcPr>
          <w:p w:rsidR="0039108A" w:rsidRDefault="0039108A" w:rsidP="0039108A">
            <w:pPr>
              <w:keepNext/>
              <w:keepLines/>
              <w:overflowPunct/>
              <w:autoSpaceDE/>
              <w:autoSpaceDN/>
              <w:adjustRightInd/>
              <w:spacing w:before="60" w:after="96"/>
              <w:textAlignment w:val="auto"/>
              <w:rPr>
                <w:rFonts w:cs="Arial"/>
                <w:sz w:val="18"/>
                <w:szCs w:val="18"/>
              </w:rPr>
            </w:pPr>
          </w:p>
        </w:tc>
        <w:tc>
          <w:tcPr>
            <w:tcW w:w="2135" w:type="dxa"/>
          </w:tcPr>
          <w:p w:rsidR="0039108A" w:rsidRDefault="0039108A" w:rsidP="0039108A">
            <w:pPr>
              <w:keepNext/>
              <w:keepLines/>
              <w:overflowPunct/>
              <w:autoSpaceDE/>
              <w:autoSpaceDN/>
              <w:adjustRightInd/>
              <w:spacing w:before="60" w:after="96"/>
              <w:textAlignment w:val="auto"/>
              <w:rPr>
                <w:rFonts w:cs="Arial"/>
                <w:sz w:val="18"/>
                <w:szCs w:val="18"/>
              </w:rPr>
            </w:pPr>
            <w:r w:rsidRPr="00811C98">
              <w:rPr>
                <w:rFonts w:cs="Arial"/>
                <w:sz w:val="18"/>
                <w:szCs w:val="18"/>
              </w:rPr>
              <w:sym w:font="Symbol" w:char="F044"/>
            </w:r>
            <w:r w:rsidRPr="00811C98">
              <w:rPr>
                <w:rFonts w:cs="Arial"/>
                <w:sz w:val="18"/>
                <w:szCs w:val="18"/>
              </w:rPr>
              <w:t>kW</w:t>
            </w:r>
            <w:r w:rsidRPr="00811C98">
              <w:rPr>
                <w:rFonts w:cs="Arial"/>
                <w:sz w:val="18"/>
                <w:szCs w:val="18"/>
                <w:vertAlign w:val="subscript"/>
              </w:rPr>
              <w:t>peak</w:t>
            </w:r>
            <w:r w:rsidRPr="00811C98">
              <w:rPr>
                <w:rFonts w:cs="Arial"/>
                <w:sz w:val="18"/>
                <w:szCs w:val="18"/>
                <w:vertAlign w:val="subscript"/>
              </w:rPr>
              <w:tab/>
            </w:r>
          </w:p>
        </w:tc>
        <w:tc>
          <w:tcPr>
            <w:tcW w:w="1545" w:type="dxa"/>
            <w:shd w:val="thinDiagStripe" w:color="auto" w:fill="auto"/>
          </w:tcPr>
          <w:p w:rsidR="0039108A" w:rsidRDefault="0039108A" w:rsidP="0039108A">
            <w:pPr>
              <w:keepNext/>
              <w:keepLines/>
              <w:spacing w:before="60" w:after="96"/>
              <w:rPr>
                <w:rFonts w:cs="Arial"/>
                <w:sz w:val="18"/>
                <w:szCs w:val="18"/>
              </w:rPr>
            </w:pPr>
          </w:p>
        </w:tc>
        <w:tc>
          <w:tcPr>
            <w:tcW w:w="1545" w:type="dxa"/>
            <w:shd w:val="thinDiagStripe" w:color="auto" w:fill="auto"/>
          </w:tcPr>
          <w:p w:rsidR="0039108A" w:rsidRDefault="0039108A" w:rsidP="0039108A">
            <w:pPr>
              <w:keepNext/>
              <w:keepLines/>
              <w:spacing w:before="60" w:after="96"/>
              <w:rPr>
                <w:rFonts w:cs="Arial"/>
                <w:sz w:val="18"/>
                <w:szCs w:val="18"/>
              </w:rPr>
            </w:pPr>
          </w:p>
        </w:tc>
        <w:tc>
          <w:tcPr>
            <w:tcW w:w="1546" w:type="dxa"/>
            <w:tcBorders>
              <w:bottom w:val="single" w:sz="4" w:space="0" w:color="auto"/>
            </w:tcBorders>
          </w:tcPr>
          <w:p w:rsidR="0039108A" w:rsidRDefault="0039108A" w:rsidP="0039108A">
            <w:pPr>
              <w:keepNext/>
              <w:keepLines/>
              <w:spacing w:before="60" w:after="96"/>
              <w:rPr>
                <w:rFonts w:cs="Arial"/>
                <w:sz w:val="18"/>
                <w:szCs w:val="18"/>
              </w:rPr>
            </w:pPr>
            <w:r>
              <w:rPr>
                <w:rFonts w:cs="Arial"/>
                <w:sz w:val="18"/>
                <w:szCs w:val="18"/>
              </w:rPr>
              <w:t>0.98</w:t>
            </w:r>
          </w:p>
        </w:tc>
      </w:tr>
      <w:tr w:rsidR="0039108A" w:rsidRPr="00F53B63" w:rsidTr="0039108A">
        <w:trPr>
          <w:trHeight w:val="20"/>
          <w:jc w:val="center"/>
        </w:trPr>
        <w:tc>
          <w:tcPr>
            <w:tcW w:w="1241" w:type="dxa"/>
            <w:vMerge w:val="restart"/>
            <w:vAlign w:val="center"/>
          </w:tcPr>
          <w:p w:rsidR="0039108A" w:rsidRDefault="0039108A" w:rsidP="0039108A">
            <w:pPr>
              <w:overflowPunct/>
              <w:autoSpaceDE/>
              <w:autoSpaceDN/>
              <w:adjustRightInd/>
              <w:spacing w:before="60" w:after="96"/>
              <w:textAlignment w:val="auto"/>
              <w:rPr>
                <w:rFonts w:cs="Arial"/>
                <w:sz w:val="18"/>
                <w:szCs w:val="18"/>
              </w:rPr>
            </w:pPr>
            <w:r w:rsidRPr="00036649">
              <w:rPr>
                <w:rFonts w:cs="Arial"/>
                <w:sz w:val="18"/>
                <w:szCs w:val="18"/>
              </w:rPr>
              <w:t>6</w:t>
            </w:r>
          </w:p>
        </w:tc>
        <w:tc>
          <w:tcPr>
            <w:tcW w:w="2135" w:type="dxa"/>
          </w:tcPr>
          <w:p w:rsidR="0039108A" w:rsidRDefault="0039108A" w:rsidP="0039108A">
            <w:pPr>
              <w:overflowPunct/>
              <w:autoSpaceDE/>
              <w:autoSpaceDN/>
              <w:adjustRightInd/>
              <w:spacing w:before="60" w:after="96"/>
              <w:textAlignment w:val="auto"/>
              <w:rPr>
                <w:rFonts w:cs="Arial"/>
                <w:sz w:val="18"/>
                <w:szCs w:val="18"/>
              </w:rPr>
            </w:pPr>
            <w:r w:rsidRPr="00036649">
              <w:rPr>
                <w:rFonts w:cs="Arial"/>
                <w:sz w:val="18"/>
                <w:szCs w:val="18"/>
              </w:rPr>
              <w:t>Power</w:t>
            </w:r>
            <w:r w:rsidRPr="00036649">
              <w:rPr>
                <w:rFonts w:cs="Arial"/>
                <w:sz w:val="18"/>
                <w:szCs w:val="18"/>
                <w:vertAlign w:val="subscript"/>
              </w:rPr>
              <w:t>idle</w:t>
            </w:r>
            <w:r w:rsidRPr="00036649">
              <w:rPr>
                <w:rFonts w:cs="Arial"/>
                <w:sz w:val="18"/>
                <w:szCs w:val="18"/>
              </w:rPr>
              <w:t xml:space="preserve"> (kW)</w:t>
            </w:r>
          </w:p>
        </w:tc>
        <w:tc>
          <w:tcPr>
            <w:tcW w:w="1545" w:type="dxa"/>
          </w:tcPr>
          <w:p w:rsidR="0039108A" w:rsidRDefault="0039108A" w:rsidP="0039108A">
            <w:pPr>
              <w:spacing w:before="60" w:after="96"/>
              <w:rPr>
                <w:rFonts w:cs="Arial"/>
                <w:sz w:val="18"/>
                <w:szCs w:val="18"/>
              </w:rPr>
            </w:pPr>
            <w:r w:rsidRPr="00036649">
              <w:rPr>
                <w:rFonts w:cs="Arial"/>
                <w:sz w:val="18"/>
                <w:szCs w:val="18"/>
              </w:rPr>
              <w:t>2</w:t>
            </w:r>
            <w:r>
              <w:rPr>
                <w:rFonts w:cs="Arial"/>
                <w:sz w:val="18"/>
                <w:szCs w:val="18"/>
              </w:rPr>
              <w:t>.000</w:t>
            </w:r>
          </w:p>
        </w:tc>
        <w:tc>
          <w:tcPr>
            <w:tcW w:w="1545" w:type="dxa"/>
          </w:tcPr>
          <w:p w:rsidR="0039108A" w:rsidRDefault="0039108A" w:rsidP="0039108A">
            <w:pPr>
              <w:spacing w:before="60" w:after="96"/>
              <w:rPr>
                <w:rFonts w:cs="Arial"/>
                <w:sz w:val="18"/>
                <w:szCs w:val="18"/>
              </w:rPr>
            </w:pPr>
            <w:r w:rsidRPr="00036649">
              <w:rPr>
                <w:rFonts w:cs="Arial"/>
                <w:sz w:val="18"/>
                <w:szCs w:val="18"/>
              </w:rPr>
              <w:t>0.3</w:t>
            </w:r>
            <w:r>
              <w:rPr>
                <w:rFonts w:cs="Arial"/>
                <w:sz w:val="18"/>
                <w:szCs w:val="18"/>
              </w:rPr>
              <w:t>1</w:t>
            </w:r>
          </w:p>
        </w:tc>
        <w:tc>
          <w:tcPr>
            <w:tcW w:w="1546" w:type="dxa"/>
            <w:shd w:val="thinDiagStripe" w:color="auto" w:fill="auto"/>
          </w:tcPr>
          <w:p w:rsidR="0039108A" w:rsidRDefault="0039108A" w:rsidP="0039108A">
            <w:pPr>
              <w:spacing w:before="60" w:after="96"/>
              <w:rPr>
                <w:rFonts w:cs="Arial"/>
                <w:sz w:val="18"/>
                <w:szCs w:val="18"/>
              </w:rPr>
            </w:pPr>
          </w:p>
        </w:tc>
      </w:tr>
      <w:tr w:rsidR="0039108A" w:rsidRPr="00F53B63" w:rsidTr="0039108A">
        <w:trPr>
          <w:trHeight w:val="20"/>
          <w:jc w:val="center"/>
        </w:trPr>
        <w:tc>
          <w:tcPr>
            <w:tcW w:w="1241" w:type="dxa"/>
            <w:vMerge/>
          </w:tcPr>
          <w:p w:rsidR="0039108A" w:rsidRDefault="0039108A" w:rsidP="0039108A">
            <w:pPr>
              <w:overflowPunct/>
              <w:autoSpaceDE/>
              <w:autoSpaceDN/>
              <w:adjustRightInd/>
              <w:spacing w:before="60" w:after="96"/>
              <w:textAlignment w:val="auto"/>
              <w:rPr>
                <w:rFonts w:cs="Arial"/>
                <w:b/>
                <w:sz w:val="18"/>
                <w:szCs w:val="18"/>
              </w:rPr>
            </w:pPr>
          </w:p>
        </w:tc>
        <w:tc>
          <w:tcPr>
            <w:tcW w:w="2135" w:type="dxa"/>
          </w:tcPr>
          <w:p w:rsidR="0039108A" w:rsidRDefault="0039108A" w:rsidP="0039108A">
            <w:pPr>
              <w:overflowPunct/>
              <w:autoSpaceDE/>
              <w:autoSpaceDN/>
              <w:adjustRightInd/>
              <w:spacing w:before="60" w:after="96"/>
              <w:textAlignment w:val="auto"/>
              <w:rPr>
                <w:rFonts w:cs="Arial"/>
                <w:sz w:val="18"/>
                <w:szCs w:val="18"/>
              </w:rPr>
            </w:pPr>
            <w:r w:rsidRPr="00036649">
              <w:rPr>
                <w:rFonts w:cs="Arial"/>
                <w:sz w:val="18"/>
                <w:szCs w:val="18"/>
              </w:rPr>
              <w:t>CAPY (lb/h)</w:t>
            </w:r>
          </w:p>
        </w:tc>
        <w:tc>
          <w:tcPr>
            <w:tcW w:w="1545" w:type="dxa"/>
          </w:tcPr>
          <w:p w:rsidR="0039108A" w:rsidRDefault="0039108A" w:rsidP="0039108A">
            <w:pPr>
              <w:spacing w:before="60" w:after="96"/>
              <w:rPr>
                <w:rFonts w:cs="Arial"/>
                <w:sz w:val="18"/>
                <w:szCs w:val="18"/>
              </w:rPr>
            </w:pPr>
            <w:r>
              <w:rPr>
                <w:rFonts w:cs="Arial"/>
                <w:sz w:val="18"/>
                <w:szCs w:val="18"/>
              </w:rPr>
              <w:t>20.0</w:t>
            </w:r>
          </w:p>
        </w:tc>
        <w:tc>
          <w:tcPr>
            <w:tcW w:w="1545" w:type="dxa"/>
          </w:tcPr>
          <w:p w:rsidR="0039108A" w:rsidRDefault="0039108A" w:rsidP="0039108A">
            <w:pPr>
              <w:spacing w:before="60" w:after="96"/>
              <w:rPr>
                <w:rFonts w:cs="Arial"/>
                <w:sz w:val="18"/>
                <w:szCs w:val="18"/>
              </w:rPr>
            </w:pPr>
            <w:r>
              <w:rPr>
                <w:rFonts w:cs="Arial"/>
                <w:sz w:val="18"/>
                <w:szCs w:val="18"/>
              </w:rPr>
              <w:t>16.7</w:t>
            </w:r>
          </w:p>
        </w:tc>
        <w:tc>
          <w:tcPr>
            <w:tcW w:w="1546" w:type="dxa"/>
            <w:shd w:val="thinDiagStripe" w:color="auto" w:fill="auto"/>
          </w:tcPr>
          <w:p w:rsidR="0039108A" w:rsidRDefault="0039108A" w:rsidP="0039108A">
            <w:pPr>
              <w:spacing w:before="60" w:after="96"/>
              <w:rPr>
                <w:rFonts w:cs="Arial"/>
                <w:sz w:val="18"/>
                <w:szCs w:val="18"/>
              </w:rPr>
            </w:pPr>
          </w:p>
        </w:tc>
      </w:tr>
      <w:tr w:rsidR="0039108A" w:rsidRPr="00F53B63" w:rsidTr="0039108A">
        <w:trPr>
          <w:trHeight w:val="20"/>
          <w:jc w:val="center"/>
        </w:trPr>
        <w:tc>
          <w:tcPr>
            <w:tcW w:w="1241" w:type="dxa"/>
            <w:vMerge/>
          </w:tcPr>
          <w:p w:rsidR="0039108A" w:rsidRDefault="0039108A" w:rsidP="0039108A">
            <w:pPr>
              <w:overflowPunct/>
              <w:autoSpaceDE/>
              <w:autoSpaceDN/>
              <w:adjustRightInd/>
              <w:spacing w:before="60" w:after="96"/>
              <w:textAlignment w:val="auto"/>
              <w:rPr>
                <w:rFonts w:cs="Arial"/>
                <w:b/>
                <w:sz w:val="18"/>
                <w:szCs w:val="18"/>
              </w:rPr>
            </w:pPr>
          </w:p>
        </w:tc>
        <w:tc>
          <w:tcPr>
            <w:tcW w:w="2135" w:type="dxa"/>
          </w:tcPr>
          <w:p w:rsidR="0039108A" w:rsidRDefault="0039108A" w:rsidP="0039108A">
            <w:pPr>
              <w:overflowPunct/>
              <w:autoSpaceDE/>
              <w:autoSpaceDN/>
              <w:adjustRightInd/>
              <w:spacing w:before="60" w:after="96"/>
              <w:textAlignment w:val="auto"/>
              <w:rPr>
                <w:rFonts w:cs="Arial"/>
                <w:sz w:val="18"/>
                <w:szCs w:val="18"/>
              </w:rPr>
            </w:pPr>
            <w:r w:rsidRPr="00036649">
              <w:rPr>
                <w:rFonts w:cs="Arial"/>
                <w:sz w:val="18"/>
                <w:szCs w:val="18"/>
              </w:rPr>
              <w:t>lbsfood</w:t>
            </w:r>
          </w:p>
        </w:tc>
        <w:tc>
          <w:tcPr>
            <w:tcW w:w="1545" w:type="dxa"/>
          </w:tcPr>
          <w:p w:rsidR="0039108A" w:rsidRDefault="0039108A" w:rsidP="0039108A">
            <w:pPr>
              <w:spacing w:before="60" w:after="96"/>
              <w:rPr>
                <w:rFonts w:cs="Arial"/>
                <w:sz w:val="18"/>
                <w:szCs w:val="18"/>
              </w:rPr>
            </w:pPr>
            <w:r w:rsidRPr="00036649">
              <w:rPr>
                <w:rFonts w:cs="Arial"/>
                <w:sz w:val="18"/>
                <w:szCs w:val="18"/>
              </w:rPr>
              <w:t>192</w:t>
            </w:r>
          </w:p>
        </w:tc>
        <w:tc>
          <w:tcPr>
            <w:tcW w:w="1545" w:type="dxa"/>
          </w:tcPr>
          <w:p w:rsidR="0039108A" w:rsidRDefault="0039108A" w:rsidP="0039108A">
            <w:pPr>
              <w:spacing w:before="60" w:after="96"/>
              <w:rPr>
                <w:rFonts w:cs="Arial"/>
                <w:sz w:val="18"/>
                <w:szCs w:val="18"/>
              </w:rPr>
            </w:pPr>
            <w:r w:rsidRPr="00036649">
              <w:rPr>
                <w:rFonts w:cs="Arial"/>
                <w:sz w:val="18"/>
                <w:szCs w:val="18"/>
              </w:rPr>
              <w:t>192</w:t>
            </w:r>
          </w:p>
        </w:tc>
        <w:tc>
          <w:tcPr>
            <w:tcW w:w="1546" w:type="dxa"/>
            <w:shd w:val="thinDiagStripe" w:color="auto" w:fill="auto"/>
          </w:tcPr>
          <w:p w:rsidR="0039108A" w:rsidRDefault="0039108A" w:rsidP="0039108A">
            <w:pPr>
              <w:spacing w:before="60" w:after="96"/>
              <w:rPr>
                <w:rFonts w:cs="Arial"/>
                <w:sz w:val="18"/>
                <w:szCs w:val="18"/>
              </w:rPr>
            </w:pPr>
          </w:p>
        </w:tc>
      </w:tr>
      <w:tr w:rsidR="0039108A" w:rsidRPr="00F53B63" w:rsidTr="0039108A">
        <w:trPr>
          <w:trHeight w:val="20"/>
          <w:jc w:val="center"/>
        </w:trPr>
        <w:tc>
          <w:tcPr>
            <w:tcW w:w="1241" w:type="dxa"/>
            <w:vMerge/>
          </w:tcPr>
          <w:p w:rsidR="0039108A" w:rsidRDefault="0039108A" w:rsidP="0039108A">
            <w:pPr>
              <w:overflowPunct/>
              <w:autoSpaceDE/>
              <w:autoSpaceDN/>
              <w:adjustRightInd/>
              <w:spacing w:before="60" w:after="96"/>
              <w:textAlignment w:val="auto"/>
              <w:rPr>
                <w:rFonts w:cs="Arial"/>
                <w:b/>
                <w:sz w:val="18"/>
                <w:szCs w:val="18"/>
              </w:rPr>
            </w:pPr>
          </w:p>
        </w:tc>
        <w:tc>
          <w:tcPr>
            <w:tcW w:w="2135" w:type="dxa"/>
          </w:tcPr>
          <w:p w:rsidR="0039108A" w:rsidRDefault="0039108A" w:rsidP="0039108A">
            <w:pPr>
              <w:overflowPunct/>
              <w:autoSpaceDE/>
              <w:autoSpaceDN/>
              <w:adjustRightInd/>
              <w:spacing w:before="60" w:after="96"/>
              <w:textAlignment w:val="auto"/>
              <w:rPr>
                <w:rFonts w:cs="Arial"/>
                <w:sz w:val="18"/>
                <w:szCs w:val="18"/>
              </w:rPr>
            </w:pPr>
            <w:r w:rsidRPr="00036649">
              <w:rPr>
                <w:rFonts w:cs="Arial"/>
                <w:sz w:val="18"/>
                <w:szCs w:val="18"/>
              </w:rPr>
              <w:t>Eff</w:t>
            </w:r>
          </w:p>
        </w:tc>
        <w:tc>
          <w:tcPr>
            <w:tcW w:w="1545" w:type="dxa"/>
            <w:tcBorders>
              <w:bottom w:val="single" w:sz="4" w:space="0" w:color="auto"/>
            </w:tcBorders>
          </w:tcPr>
          <w:p w:rsidR="0039108A" w:rsidRDefault="009164CB" w:rsidP="00937EC7">
            <w:pPr>
              <w:spacing w:before="60" w:after="96"/>
              <w:rPr>
                <w:rFonts w:cs="Arial"/>
                <w:sz w:val="18"/>
                <w:szCs w:val="18"/>
              </w:rPr>
            </w:pPr>
            <w:r>
              <w:rPr>
                <w:rFonts w:cs="Arial"/>
                <w:sz w:val="18"/>
                <w:szCs w:val="18"/>
              </w:rPr>
              <w:t>30</w:t>
            </w:r>
            <w:r w:rsidR="0039108A" w:rsidRPr="00036649">
              <w:rPr>
                <w:rFonts w:cs="Arial"/>
                <w:sz w:val="18"/>
                <w:szCs w:val="18"/>
              </w:rPr>
              <w:t>%</w:t>
            </w:r>
          </w:p>
        </w:tc>
        <w:tc>
          <w:tcPr>
            <w:tcW w:w="1545" w:type="dxa"/>
            <w:tcBorders>
              <w:bottom w:val="single" w:sz="4" w:space="0" w:color="auto"/>
            </w:tcBorders>
          </w:tcPr>
          <w:p w:rsidR="0039108A" w:rsidRDefault="0039108A" w:rsidP="0039108A">
            <w:pPr>
              <w:spacing w:before="60" w:after="96"/>
              <w:rPr>
                <w:rFonts w:cs="Arial"/>
                <w:sz w:val="18"/>
                <w:szCs w:val="18"/>
              </w:rPr>
            </w:pPr>
            <w:r>
              <w:rPr>
                <w:rFonts w:cs="Arial"/>
                <w:sz w:val="18"/>
                <w:szCs w:val="18"/>
              </w:rPr>
              <w:t>65</w:t>
            </w:r>
            <w:r w:rsidRPr="00036649">
              <w:rPr>
                <w:rFonts w:cs="Arial"/>
                <w:sz w:val="18"/>
                <w:szCs w:val="18"/>
              </w:rPr>
              <w:t>%</w:t>
            </w:r>
          </w:p>
        </w:tc>
        <w:tc>
          <w:tcPr>
            <w:tcW w:w="1546" w:type="dxa"/>
            <w:shd w:val="thinDiagStripe" w:color="auto" w:fill="auto"/>
          </w:tcPr>
          <w:p w:rsidR="0039108A" w:rsidRDefault="0039108A" w:rsidP="0039108A">
            <w:pPr>
              <w:spacing w:before="60" w:after="96"/>
              <w:rPr>
                <w:rFonts w:cs="Arial"/>
                <w:sz w:val="18"/>
                <w:szCs w:val="18"/>
              </w:rPr>
            </w:pPr>
          </w:p>
        </w:tc>
      </w:tr>
      <w:tr w:rsidR="0039108A" w:rsidRPr="00F53B63" w:rsidTr="0039108A">
        <w:trPr>
          <w:trHeight w:val="20"/>
          <w:jc w:val="center"/>
        </w:trPr>
        <w:tc>
          <w:tcPr>
            <w:tcW w:w="1241" w:type="dxa"/>
            <w:vMerge/>
          </w:tcPr>
          <w:p w:rsidR="0039108A" w:rsidRDefault="0039108A" w:rsidP="0039108A">
            <w:pPr>
              <w:overflowPunct/>
              <w:autoSpaceDE/>
              <w:autoSpaceDN/>
              <w:adjustRightInd/>
              <w:spacing w:before="60" w:after="96"/>
              <w:textAlignment w:val="auto"/>
              <w:rPr>
                <w:rFonts w:cs="Arial"/>
                <w:b/>
                <w:sz w:val="18"/>
                <w:szCs w:val="18"/>
              </w:rPr>
            </w:pPr>
          </w:p>
        </w:tc>
        <w:tc>
          <w:tcPr>
            <w:tcW w:w="2135" w:type="dxa"/>
          </w:tcPr>
          <w:p w:rsidR="0039108A" w:rsidRDefault="0039108A" w:rsidP="0039108A">
            <w:pPr>
              <w:overflowPunct/>
              <w:autoSpaceDE/>
              <w:autoSpaceDN/>
              <w:adjustRightInd/>
              <w:spacing w:before="60" w:after="96"/>
              <w:textAlignment w:val="auto"/>
              <w:rPr>
                <w:rFonts w:cs="Arial"/>
                <w:sz w:val="18"/>
                <w:szCs w:val="18"/>
              </w:rPr>
            </w:pPr>
            <w:r w:rsidRPr="00811C98">
              <w:rPr>
                <w:rFonts w:cs="Arial"/>
                <w:sz w:val="18"/>
                <w:szCs w:val="18"/>
              </w:rPr>
              <w:sym w:font="Symbol" w:char="F044"/>
            </w:r>
            <w:r w:rsidRPr="00811C98">
              <w:rPr>
                <w:rFonts w:cs="Arial"/>
                <w:sz w:val="18"/>
                <w:szCs w:val="18"/>
              </w:rPr>
              <w:t>kWh</w:t>
            </w:r>
          </w:p>
        </w:tc>
        <w:tc>
          <w:tcPr>
            <w:tcW w:w="1545" w:type="dxa"/>
            <w:shd w:val="thinDiagStripe" w:color="auto" w:fill="auto"/>
          </w:tcPr>
          <w:p w:rsidR="0039108A" w:rsidRDefault="0039108A" w:rsidP="0039108A">
            <w:pPr>
              <w:spacing w:before="60" w:after="96"/>
              <w:rPr>
                <w:rFonts w:cs="Arial"/>
                <w:sz w:val="18"/>
                <w:szCs w:val="18"/>
              </w:rPr>
            </w:pPr>
          </w:p>
        </w:tc>
        <w:tc>
          <w:tcPr>
            <w:tcW w:w="1545" w:type="dxa"/>
            <w:shd w:val="thinDiagStripe" w:color="auto" w:fill="auto"/>
          </w:tcPr>
          <w:p w:rsidR="0039108A" w:rsidRDefault="0039108A" w:rsidP="0039108A">
            <w:pPr>
              <w:spacing w:before="60" w:after="96"/>
              <w:rPr>
                <w:rFonts w:cs="Arial"/>
                <w:sz w:val="18"/>
                <w:szCs w:val="18"/>
              </w:rPr>
            </w:pPr>
          </w:p>
        </w:tc>
        <w:tc>
          <w:tcPr>
            <w:tcW w:w="1546" w:type="dxa"/>
          </w:tcPr>
          <w:p w:rsidR="0039108A" w:rsidRDefault="0039108A" w:rsidP="0039108A">
            <w:pPr>
              <w:spacing w:before="60" w:after="96"/>
              <w:rPr>
                <w:rFonts w:cs="Arial"/>
                <w:sz w:val="18"/>
                <w:szCs w:val="18"/>
              </w:rPr>
            </w:pPr>
            <w:r>
              <w:rPr>
                <w:rFonts w:cs="Arial"/>
                <w:sz w:val="18"/>
                <w:szCs w:val="18"/>
              </w:rPr>
              <w:t>6,311</w:t>
            </w:r>
          </w:p>
        </w:tc>
      </w:tr>
      <w:tr w:rsidR="0039108A" w:rsidRPr="00F53B63" w:rsidTr="0039108A">
        <w:trPr>
          <w:trHeight w:val="20"/>
          <w:jc w:val="center"/>
        </w:trPr>
        <w:tc>
          <w:tcPr>
            <w:tcW w:w="1241" w:type="dxa"/>
            <w:vMerge/>
          </w:tcPr>
          <w:p w:rsidR="0039108A" w:rsidRDefault="0039108A" w:rsidP="0039108A">
            <w:pPr>
              <w:overflowPunct/>
              <w:autoSpaceDE/>
              <w:autoSpaceDN/>
              <w:adjustRightInd/>
              <w:spacing w:before="60" w:after="96"/>
              <w:textAlignment w:val="auto"/>
              <w:rPr>
                <w:rFonts w:cs="Arial"/>
                <w:b/>
                <w:sz w:val="18"/>
                <w:szCs w:val="18"/>
              </w:rPr>
            </w:pPr>
          </w:p>
        </w:tc>
        <w:tc>
          <w:tcPr>
            <w:tcW w:w="2135" w:type="dxa"/>
          </w:tcPr>
          <w:p w:rsidR="0039108A" w:rsidRDefault="0039108A" w:rsidP="0039108A">
            <w:pPr>
              <w:overflowPunct/>
              <w:autoSpaceDE/>
              <w:autoSpaceDN/>
              <w:adjustRightInd/>
              <w:spacing w:before="60" w:after="96"/>
              <w:textAlignment w:val="auto"/>
              <w:rPr>
                <w:rFonts w:cs="Arial"/>
                <w:sz w:val="18"/>
                <w:szCs w:val="18"/>
              </w:rPr>
            </w:pPr>
            <w:r w:rsidRPr="00811C98">
              <w:rPr>
                <w:rFonts w:cs="Arial"/>
                <w:sz w:val="18"/>
                <w:szCs w:val="18"/>
              </w:rPr>
              <w:sym w:font="Symbol" w:char="F044"/>
            </w:r>
            <w:r w:rsidRPr="00811C98">
              <w:rPr>
                <w:rFonts w:cs="Arial"/>
                <w:sz w:val="18"/>
                <w:szCs w:val="18"/>
              </w:rPr>
              <w:t>kW</w:t>
            </w:r>
            <w:r w:rsidRPr="00811C98">
              <w:rPr>
                <w:rFonts w:cs="Arial"/>
                <w:sz w:val="18"/>
                <w:szCs w:val="18"/>
                <w:vertAlign w:val="subscript"/>
              </w:rPr>
              <w:t>peak</w:t>
            </w:r>
            <w:r w:rsidRPr="00811C98">
              <w:rPr>
                <w:rFonts w:cs="Arial"/>
                <w:sz w:val="18"/>
                <w:szCs w:val="18"/>
                <w:vertAlign w:val="subscript"/>
              </w:rPr>
              <w:tab/>
            </w:r>
          </w:p>
        </w:tc>
        <w:tc>
          <w:tcPr>
            <w:tcW w:w="1545" w:type="dxa"/>
            <w:shd w:val="thinDiagStripe" w:color="auto" w:fill="auto"/>
          </w:tcPr>
          <w:p w:rsidR="0039108A" w:rsidRDefault="0039108A" w:rsidP="0039108A">
            <w:pPr>
              <w:spacing w:before="60" w:after="96"/>
              <w:rPr>
                <w:rFonts w:cs="Arial"/>
                <w:sz w:val="18"/>
                <w:szCs w:val="18"/>
              </w:rPr>
            </w:pPr>
          </w:p>
        </w:tc>
        <w:tc>
          <w:tcPr>
            <w:tcW w:w="1545" w:type="dxa"/>
            <w:shd w:val="thinDiagStripe" w:color="auto" w:fill="auto"/>
          </w:tcPr>
          <w:p w:rsidR="0039108A" w:rsidRDefault="0039108A" w:rsidP="0039108A">
            <w:pPr>
              <w:spacing w:before="60" w:after="96"/>
              <w:rPr>
                <w:rFonts w:cs="Arial"/>
                <w:sz w:val="18"/>
                <w:szCs w:val="18"/>
              </w:rPr>
            </w:pPr>
          </w:p>
        </w:tc>
        <w:tc>
          <w:tcPr>
            <w:tcW w:w="1546" w:type="dxa"/>
          </w:tcPr>
          <w:p w:rsidR="0039108A" w:rsidRDefault="0039108A" w:rsidP="0039108A">
            <w:pPr>
              <w:spacing w:before="60" w:after="96"/>
              <w:rPr>
                <w:rFonts w:cs="Arial"/>
                <w:sz w:val="18"/>
                <w:szCs w:val="18"/>
              </w:rPr>
            </w:pPr>
            <w:r>
              <w:rPr>
                <w:rFonts w:cs="Arial"/>
                <w:sz w:val="18"/>
                <w:szCs w:val="18"/>
              </w:rPr>
              <w:t>1.21</w:t>
            </w:r>
          </w:p>
        </w:tc>
      </w:tr>
    </w:tbl>
    <w:p w:rsidR="0039108A" w:rsidRPr="00760993" w:rsidRDefault="0039108A" w:rsidP="0039108A">
      <w:pPr>
        <w:pStyle w:val="source1"/>
        <w:numPr>
          <w:ilvl w:val="0"/>
          <w:numId w:val="0"/>
        </w:numPr>
        <w:spacing w:after="200"/>
        <w:ind w:left="720" w:hanging="360"/>
      </w:pPr>
    </w:p>
    <w:p w:rsidR="0039108A" w:rsidRPr="006F488A" w:rsidRDefault="0039108A" w:rsidP="00871FA2">
      <w:pPr>
        <w:pStyle w:val="Heading3"/>
      </w:pPr>
      <w:r w:rsidRPr="006F488A">
        <w:t>Measure Life</w:t>
      </w:r>
    </w:p>
    <w:p w:rsidR="0039108A" w:rsidRPr="00696684" w:rsidRDefault="0039108A" w:rsidP="0039108A">
      <w:pPr>
        <w:pStyle w:val="BodyText"/>
      </w:pPr>
      <w:r w:rsidRPr="006F488A">
        <w:t xml:space="preserve">According to </w:t>
      </w:r>
      <w:r>
        <w:t>Food Service Technology Center (FSTC) data provided to ENERGY STAR, the lifetime of a steam cooker</w:t>
      </w:r>
      <w:r w:rsidRPr="006F488A">
        <w:t xml:space="preserve"> </w:t>
      </w:r>
      <w:r>
        <w:t xml:space="preserve">is </w:t>
      </w:r>
      <w:r w:rsidRPr="00C30A1E">
        <w:t>12 years</w:t>
      </w:r>
      <w:r w:rsidRPr="00C30A1E">
        <w:rPr>
          <w:rStyle w:val="FootnoteReference"/>
        </w:rPr>
        <w:footnoteReference w:id="207"/>
      </w:r>
      <w:r w:rsidRPr="00C30A1E">
        <w:t>.</w:t>
      </w:r>
    </w:p>
    <w:p w:rsidR="0039108A" w:rsidRPr="003C07C5" w:rsidRDefault="0039108A" w:rsidP="00871FA2">
      <w:pPr>
        <w:pStyle w:val="Heading3"/>
      </w:pPr>
      <w:r w:rsidRPr="003C07C5">
        <w:t>Evaluation Protocols</w:t>
      </w:r>
    </w:p>
    <w:p w:rsidR="0039108A" w:rsidRDefault="0039108A" w:rsidP="0039108A">
      <w:pPr>
        <w:pStyle w:val="BodyText"/>
      </w:pPr>
      <w:r w:rsidRPr="003C07C5">
        <w:t xml:space="preserve">The most appropriate evaluation protocol for this measure is verification of installation coupled with assignment of stipulated energy savings. </w:t>
      </w:r>
    </w:p>
    <w:p w:rsidR="0039108A" w:rsidRPr="001C4AD5" w:rsidRDefault="0039108A" w:rsidP="0039108A">
      <w:pPr>
        <w:pStyle w:val="Heading2"/>
      </w:pPr>
      <w:r>
        <w:rPr>
          <w:rFonts w:cs="Arial"/>
        </w:rPr>
        <w:br w:type="page"/>
      </w:r>
      <w:bookmarkStart w:id="999" w:name="_Toc310875460"/>
      <w:r w:rsidR="00500CAF">
        <w:rPr>
          <w:rFonts w:cs="Arial"/>
        </w:rPr>
        <w:t xml:space="preserve">Refrigeration – </w:t>
      </w:r>
      <w:r w:rsidRPr="004E17CF">
        <w:t>Night Covers</w:t>
      </w:r>
      <w:r>
        <w:t xml:space="preserve"> for Display Cases</w:t>
      </w:r>
      <w:bookmarkEnd w:id="999"/>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5440"/>
      </w:tblGrid>
      <w:tr w:rsidR="0039108A" w:rsidRPr="00DC57D4" w:rsidTr="0039108A">
        <w:trPr>
          <w:jc w:val="center"/>
        </w:trPr>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39108A" w:rsidRPr="001D6512" w:rsidRDefault="0039108A" w:rsidP="0039108A">
            <w:pPr>
              <w:pStyle w:val="TableCell"/>
              <w:rPr>
                <w:b/>
              </w:rPr>
            </w:pPr>
            <w:r w:rsidRPr="001D6512">
              <w:rPr>
                <w:b/>
              </w:rPr>
              <w:t>Measure Name</w:t>
            </w:r>
          </w:p>
        </w:tc>
        <w:tc>
          <w:tcPr>
            <w:tcW w:w="459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39108A" w:rsidRPr="001D6512" w:rsidRDefault="0039108A" w:rsidP="0039108A">
            <w:pPr>
              <w:pStyle w:val="TableCell"/>
              <w:rPr>
                <w:b/>
              </w:rPr>
            </w:pPr>
            <w:r w:rsidRPr="001D6512">
              <w:rPr>
                <w:b/>
              </w:rPr>
              <w:t>Night Covers for Display Cases</w:t>
            </w:r>
          </w:p>
        </w:tc>
      </w:tr>
      <w:tr w:rsidR="0039108A" w:rsidRPr="00DC57D4" w:rsidTr="0039108A">
        <w:trPr>
          <w:jc w:val="center"/>
        </w:trPr>
        <w:tc>
          <w:tcPr>
            <w:tcW w:w="2700" w:type="dxa"/>
          </w:tcPr>
          <w:p w:rsidR="0039108A" w:rsidRPr="001D6512" w:rsidRDefault="0039108A" w:rsidP="0039108A">
            <w:pPr>
              <w:pStyle w:val="TableCell"/>
              <w:spacing w:before="60" w:after="60"/>
            </w:pPr>
            <w:r w:rsidRPr="001D6512">
              <w:t>Target Sector</w:t>
            </w:r>
          </w:p>
        </w:tc>
        <w:tc>
          <w:tcPr>
            <w:tcW w:w="4590" w:type="dxa"/>
          </w:tcPr>
          <w:p w:rsidR="0039108A" w:rsidRPr="001D6512" w:rsidRDefault="0039108A" w:rsidP="0039108A">
            <w:pPr>
              <w:pStyle w:val="TableCell"/>
              <w:spacing w:before="60" w:after="60"/>
            </w:pPr>
            <w:r w:rsidRPr="001D6512">
              <w:t>Commercial Refrigeration</w:t>
            </w:r>
          </w:p>
        </w:tc>
      </w:tr>
      <w:tr w:rsidR="0039108A" w:rsidRPr="00DC57D4" w:rsidTr="0039108A">
        <w:trPr>
          <w:jc w:val="center"/>
        </w:trPr>
        <w:tc>
          <w:tcPr>
            <w:tcW w:w="2700" w:type="dxa"/>
          </w:tcPr>
          <w:p w:rsidR="0039108A" w:rsidRPr="001D6512" w:rsidRDefault="0039108A" w:rsidP="0039108A">
            <w:pPr>
              <w:pStyle w:val="TableCell"/>
              <w:spacing w:before="60" w:after="60"/>
            </w:pPr>
            <w:r w:rsidRPr="001D6512">
              <w:t>Measure Unit</w:t>
            </w:r>
          </w:p>
        </w:tc>
        <w:tc>
          <w:tcPr>
            <w:tcW w:w="4590" w:type="dxa"/>
          </w:tcPr>
          <w:p w:rsidR="0039108A" w:rsidRPr="001D6512" w:rsidRDefault="0039108A" w:rsidP="0039108A">
            <w:pPr>
              <w:pStyle w:val="TableCell"/>
              <w:spacing w:before="60" w:after="60"/>
            </w:pPr>
            <w:r w:rsidRPr="001D6512">
              <w:t>Display Cases</w:t>
            </w:r>
          </w:p>
        </w:tc>
      </w:tr>
      <w:tr w:rsidR="0039108A" w:rsidRPr="00DC57D4" w:rsidTr="0039108A">
        <w:trPr>
          <w:jc w:val="center"/>
        </w:trPr>
        <w:tc>
          <w:tcPr>
            <w:tcW w:w="2700" w:type="dxa"/>
          </w:tcPr>
          <w:p w:rsidR="0039108A" w:rsidRPr="001D6512" w:rsidRDefault="0039108A" w:rsidP="0039108A">
            <w:pPr>
              <w:pStyle w:val="TableCell"/>
              <w:spacing w:before="60" w:after="60"/>
            </w:pPr>
            <w:r w:rsidRPr="001D6512">
              <w:t>Unit Energy Savings</w:t>
            </w:r>
          </w:p>
        </w:tc>
        <w:tc>
          <w:tcPr>
            <w:tcW w:w="4590" w:type="dxa"/>
          </w:tcPr>
          <w:p w:rsidR="0039108A" w:rsidRPr="001D6512" w:rsidRDefault="0039108A" w:rsidP="0039108A">
            <w:pPr>
              <w:pStyle w:val="TableCell"/>
              <w:spacing w:before="60" w:after="60"/>
            </w:pPr>
            <w:r w:rsidRPr="001D6512">
              <w:t>Variable</w:t>
            </w:r>
          </w:p>
        </w:tc>
      </w:tr>
      <w:tr w:rsidR="0039108A" w:rsidRPr="00DC57D4" w:rsidTr="0039108A">
        <w:trPr>
          <w:jc w:val="center"/>
        </w:trPr>
        <w:tc>
          <w:tcPr>
            <w:tcW w:w="2700" w:type="dxa"/>
          </w:tcPr>
          <w:p w:rsidR="0039108A" w:rsidRPr="001D6512" w:rsidRDefault="0039108A" w:rsidP="0039108A">
            <w:pPr>
              <w:pStyle w:val="TableCell"/>
              <w:spacing w:before="60" w:after="60"/>
            </w:pPr>
            <w:r w:rsidRPr="001D6512">
              <w:t>Unit Peak Demand Reduction</w:t>
            </w:r>
          </w:p>
        </w:tc>
        <w:tc>
          <w:tcPr>
            <w:tcW w:w="4590" w:type="dxa"/>
          </w:tcPr>
          <w:p w:rsidR="0039108A" w:rsidRPr="001D6512" w:rsidRDefault="0039108A" w:rsidP="0039108A">
            <w:pPr>
              <w:pStyle w:val="TableCell"/>
              <w:spacing w:before="60" w:after="60"/>
            </w:pPr>
            <w:r w:rsidRPr="001D6512">
              <w:t>Variable</w:t>
            </w:r>
          </w:p>
        </w:tc>
      </w:tr>
      <w:tr w:rsidR="0039108A" w:rsidRPr="00DC57D4" w:rsidTr="0039108A">
        <w:trPr>
          <w:jc w:val="center"/>
        </w:trPr>
        <w:tc>
          <w:tcPr>
            <w:tcW w:w="2700" w:type="dxa"/>
          </w:tcPr>
          <w:p w:rsidR="0039108A" w:rsidRPr="001D6512" w:rsidRDefault="0039108A" w:rsidP="0039108A">
            <w:pPr>
              <w:pStyle w:val="TableCell"/>
              <w:spacing w:before="60" w:after="60"/>
            </w:pPr>
            <w:r w:rsidRPr="001D6512">
              <w:t>Measure Life</w:t>
            </w:r>
          </w:p>
        </w:tc>
        <w:tc>
          <w:tcPr>
            <w:tcW w:w="4590" w:type="dxa"/>
          </w:tcPr>
          <w:p w:rsidR="0039108A" w:rsidRPr="001D6512" w:rsidRDefault="0039108A" w:rsidP="0039108A">
            <w:pPr>
              <w:pStyle w:val="TableCell"/>
              <w:spacing w:before="60" w:after="60"/>
              <w:rPr>
                <w:highlight w:val="yellow"/>
              </w:rPr>
            </w:pPr>
            <w:r w:rsidRPr="001D6512">
              <w:t>5 years</w:t>
            </w:r>
          </w:p>
        </w:tc>
      </w:tr>
    </w:tbl>
    <w:p w:rsidR="0039108A" w:rsidRDefault="0039108A" w:rsidP="00F05DC2"/>
    <w:p w:rsidR="0039108A" w:rsidRDefault="0039108A" w:rsidP="00F05DC2">
      <w:r w:rsidRPr="00D51CAD">
        <w:t xml:space="preserve">This measure is the installation of night covers on existing </w:t>
      </w:r>
      <w:r>
        <w:t xml:space="preserve">open-type refrigerated display cases, where covers are deployed during the facility unoccupied hours in order to reduce refrigeration energy consumption.. </w:t>
      </w:r>
      <w:r w:rsidRPr="00D51CAD">
        <w:t>These types of display cases can be found in small and medium to large size grocery stores.</w:t>
      </w:r>
      <w:r>
        <w:t xml:space="preserve"> </w:t>
      </w:r>
      <w:r w:rsidRPr="00D51CAD">
        <w:t xml:space="preserve"> The air temperature inside low-temperature display cases </w:t>
      </w:r>
      <w:r>
        <w:t>is below 0</w:t>
      </w:r>
      <w:r w:rsidRPr="000D1FCC">
        <w:t>°</w:t>
      </w:r>
      <w:r>
        <w:t>F</w:t>
      </w:r>
      <w:r>
        <w:rPr>
          <w:rStyle w:val="FootnoteReference"/>
        </w:rPr>
        <w:footnoteReference w:id="208"/>
      </w:r>
      <w:r>
        <w:t xml:space="preserve"> and between 0</w:t>
      </w:r>
      <w:r w:rsidRPr="000D1FCC">
        <w:t>°</w:t>
      </w:r>
      <w:r>
        <w:t>F to 30</w:t>
      </w:r>
      <w:r w:rsidRPr="000D1FCC">
        <w:t>°</w:t>
      </w:r>
      <w:r>
        <w:t>F for medium-temperature and between 35</w:t>
      </w:r>
      <w:r w:rsidRPr="000D1FCC">
        <w:t>°</w:t>
      </w:r>
      <w:r>
        <w:t>F to 55</w:t>
      </w:r>
      <w:r w:rsidRPr="000D1FCC">
        <w:t>°</w:t>
      </w:r>
      <w:r>
        <w:t>F for high-temperature display cases</w:t>
      </w:r>
      <w:r>
        <w:rPr>
          <w:rStyle w:val="FootnoteReference"/>
        </w:rPr>
        <w:footnoteReference w:id="209"/>
      </w:r>
      <w:r w:rsidRPr="00D51CAD">
        <w:t xml:space="preserve">. The main benefit of using night covers on open display cases is a reduction of infiltration and radiation cooling loads. </w:t>
      </w:r>
      <w:r>
        <w:t xml:space="preserve">It is recommended that these covers have small, perforated holes to decrease moisture buildup. </w:t>
      </w:r>
    </w:p>
    <w:p w:rsidR="0039108A" w:rsidRPr="001C4AD5" w:rsidRDefault="0039108A" w:rsidP="00871FA2">
      <w:pPr>
        <w:pStyle w:val="Heading3"/>
      </w:pPr>
      <w:r w:rsidRPr="009E6ED2">
        <w:t>Algorithms</w:t>
      </w:r>
    </w:p>
    <w:p w:rsidR="0039108A" w:rsidRPr="00853988" w:rsidRDefault="0039108A" w:rsidP="0039108A">
      <w:pPr>
        <w:pStyle w:val="BodyText"/>
      </w:pPr>
      <w:r w:rsidRPr="003814C9">
        <w:t xml:space="preserve">The energy savings and demand reduction </w:t>
      </w:r>
      <w:r>
        <w:t xml:space="preserve">are </w:t>
      </w:r>
      <w:r w:rsidRPr="003814C9">
        <w:t>obtain</w:t>
      </w:r>
      <w:r>
        <w:t>ed</w:t>
      </w:r>
      <w:r w:rsidRPr="003814C9">
        <w:t xml:space="preserve"> through the following calculation</w:t>
      </w:r>
      <w:r>
        <w:t>s</w:t>
      </w:r>
      <w:r>
        <w:rPr>
          <w:rStyle w:val="FootnoteReference"/>
          <w:bCs/>
        </w:rPr>
        <w:footnoteReference w:id="210"/>
      </w:r>
      <w:r w:rsidRPr="003F1502">
        <w:rPr>
          <w:bCs/>
        </w:rPr>
        <w:t>.</w:t>
      </w:r>
    </w:p>
    <w:p w:rsidR="0039108A" w:rsidRDefault="0039108A" w:rsidP="0039108A">
      <w:pPr>
        <w:pStyle w:val="Equation"/>
        <w:rPr>
          <w:rFonts w:cs="Arial"/>
          <w:szCs w:val="20"/>
        </w:rPr>
      </w:pPr>
      <w:r w:rsidRPr="00637A67">
        <w:rPr>
          <w:rFonts w:cs="Arial"/>
          <w:szCs w:val="20"/>
        </w:rPr>
        <w:t xml:space="preserve">ΔkWh </w:t>
      </w:r>
      <w:r>
        <w:rPr>
          <w:rFonts w:cs="Arial"/>
          <w:szCs w:val="20"/>
        </w:rPr>
        <w:tab/>
      </w:r>
      <w:r>
        <w:rPr>
          <w:rFonts w:cs="Arial"/>
          <w:szCs w:val="20"/>
        </w:rPr>
        <w:tab/>
      </w:r>
      <w:r w:rsidRPr="00637A67">
        <w:rPr>
          <w:rFonts w:cs="Arial"/>
          <w:szCs w:val="20"/>
        </w:rPr>
        <w:t xml:space="preserve">= </w:t>
      </w:r>
      <w:r>
        <w:rPr>
          <w:rFonts w:cs="Arial"/>
          <w:szCs w:val="20"/>
        </w:rPr>
        <w:t>W x SF x H</w:t>
      </w:r>
      <w:r w:rsidR="00532D0C">
        <w:rPr>
          <w:rFonts w:cs="Arial"/>
          <w:szCs w:val="20"/>
        </w:rPr>
        <w:t>OU</w:t>
      </w:r>
    </w:p>
    <w:p w:rsidR="0039108A" w:rsidRPr="00FB6FF1" w:rsidRDefault="0039108A" w:rsidP="0039108A">
      <w:pPr>
        <w:spacing w:before="120" w:after="120"/>
      </w:pPr>
      <w:r>
        <w:t>There are no demand savings for this measure because the covers will not be in use during the peak period</w:t>
      </w:r>
      <w:r>
        <w:rPr>
          <w:rStyle w:val="FootnoteReference"/>
        </w:rPr>
        <w:footnoteReference w:id="211"/>
      </w:r>
      <w:r>
        <w:t>.</w:t>
      </w:r>
    </w:p>
    <w:p w:rsidR="0039108A" w:rsidRDefault="0039108A" w:rsidP="00871FA2">
      <w:pPr>
        <w:pStyle w:val="Heading3"/>
      </w:pPr>
      <w:r w:rsidRPr="009E6ED2">
        <w:t>Definition of Terms</w:t>
      </w:r>
    </w:p>
    <w:p w:rsidR="0039108A" w:rsidRDefault="0039108A" w:rsidP="0039108A">
      <w:pPr>
        <w:spacing w:before="120" w:after="120"/>
      </w:pPr>
      <w:r w:rsidRPr="00D87D12">
        <w:t>The variables in the above equation are defined below:</w:t>
      </w:r>
    </w:p>
    <w:p w:rsidR="0039108A" w:rsidRPr="0015613A" w:rsidRDefault="0039108A" w:rsidP="0039108A">
      <w:pPr>
        <w:pStyle w:val="Equation"/>
        <w:rPr>
          <w:rFonts w:cs="Arial"/>
          <w:szCs w:val="20"/>
        </w:rPr>
      </w:pPr>
      <w:r>
        <w:rPr>
          <w:rFonts w:cs="Arial"/>
          <w:szCs w:val="20"/>
        </w:rPr>
        <w:tab/>
        <w:t>W</w:t>
      </w:r>
      <w:r w:rsidRPr="003E7154">
        <w:rPr>
          <w:rFonts w:cs="Arial"/>
          <w:szCs w:val="20"/>
        </w:rPr>
        <w:t xml:space="preserve"> </w:t>
      </w:r>
      <w:r>
        <w:rPr>
          <w:rFonts w:cs="Arial"/>
          <w:szCs w:val="20"/>
        </w:rPr>
        <w:tab/>
      </w:r>
      <w:r w:rsidRPr="003E7154">
        <w:rPr>
          <w:rFonts w:cs="Arial"/>
          <w:szCs w:val="20"/>
        </w:rPr>
        <w:t xml:space="preserve">= </w:t>
      </w:r>
      <w:r w:rsidRPr="0015613A">
        <w:rPr>
          <w:rFonts w:cs="Arial"/>
          <w:szCs w:val="20"/>
        </w:rPr>
        <w:t>Width of the opening that the night covers protect (ft)</w:t>
      </w:r>
    </w:p>
    <w:p w:rsidR="0039108A" w:rsidRPr="0015613A" w:rsidRDefault="0039108A" w:rsidP="0039108A">
      <w:pPr>
        <w:pStyle w:val="Equation"/>
        <w:rPr>
          <w:rFonts w:cs="Arial"/>
          <w:szCs w:val="20"/>
        </w:rPr>
      </w:pPr>
      <w:r w:rsidRPr="0015613A">
        <w:rPr>
          <w:rFonts w:cs="Arial"/>
          <w:szCs w:val="20"/>
        </w:rPr>
        <w:tab/>
        <w:t>SF</w:t>
      </w:r>
      <w:r w:rsidRPr="0015613A">
        <w:rPr>
          <w:rFonts w:cs="Arial"/>
          <w:szCs w:val="20"/>
        </w:rPr>
        <w:tab/>
        <w:t>= Savings factor based on the temperature of the case (kW/ft)</w:t>
      </w:r>
    </w:p>
    <w:p w:rsidR="0039108A" w:rsidRDefault="0039108A" w:rsidP="0039108A">
      <w:pPr>
        <w:pStyle w:val="Equation"/>
        <w:rPr>
          <w:rFonts w:cs="Arial"/>
          <w:szCs w:val="20"/>
        </w:rPr>
      </w:pPr>
      <w:r>
        <w:rPr>
          <w:rFonts w:cs="Arial"/>
          <w:szCs w:val="20"/>
        </w:rPr>
        <w:tab/>
        <w:t>H</w:t>
      </w:r>
      <w:r w:rsidR="00532D0C">
        <w:rPr>
          <w:rFonts w:cs="Arial"/>
          <w:szCs w:val="20"/>
        </w:rPr>
        <w:t>OU</w:t>
      </w:r>
      <w:r w:rsidRPr="004301D4">
        <w:rPr>
          <w:rFonts w:cs="Arial"/>
          <w:szCs w:val="20"/>
        </w:rPr>
        <w:t xml:space="preserve"> </w:t>
      </w:r>
      <w:r>
        <w:rPr>
          <w:rFonts w:cs="Arial"/>
          <w:szCs w:val="20"/>
        </w:rPr>
        <w:tab/>
      </w:r>
      <w:r w:rsidRPr="004301D4">
        <w:rPr>
          <w:rFonts w:cs="Arial"/>
          <w:szCs w:val="20"/>
        </w:rPr>
        <w:t xml:space="preserve">= </w:t>
      </w:r>
      <w:r w:rsidRPr="0015613A">
        <w:rPr>
          <w:rFonts w:cs="Arial"/>
          <w:szCs w:val="20"/>
        </w:rPr>
        <w:t>Annual hours that the night covers are in use</w:t>
      </w:r>
    </w:p>
    <w:p w:rsidR="0039108A" w:rsidRPr="001C4AD5" w:rsidRDefault="0039108A" w:rsidP="0039108A">
      <w:pPr>
        <w:pStyle w:val="StyleCaptionCentered"/>
      </w:pPr>
      <w:bookmarkStart w:id="1000" w:name="_Toc283744250"/>
      <w:bookmarkStart w:id="1001" w:name="_Toc310875623"/>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71</w:t>
      </w:r>
      <w:r w:rsidR="00274AB1">
        <w:rPr>
          <w:noProof/>
        </w:rPr>
        <w:fldChar w:fldCharType="end"/>
      </w:r>
      <w:r>
        <w:t xml:space="preserve">: </w:t>
      </w:r>
      <w:bookmarkEnd w:id="1000"/>
      <w:r>
        <w:t>Night Covers Calculations Assumptions</w:t>
      </w:r>
      <w:bookmarkEnd w:id="1001"/>
      <w:r>
        <w:t xml:space="preserve"> </w:t>
      </w:r>
    </w:p>
    <w:tbl>
      <w:tblPr>
        <w:tblW w:w="5000" w:type="pct"/>
        <w:jc w:val="center"/>
        <w:tblCellMar>
          <w:left w:w="115" w:type="dxa"/>
          <w:right w:w="115" w:type="dxa"/>
        </w:tblCellMar>
        <w:tblLook w:val="00A0" w:firstRow="1" w:lastRow="0" w:firstColumn="1" w:lastColumn="0" w:noHBand="0" w:noVBand="0"/>
      </w:tblPr>
      <w:tblGrid>
        <w:gridCol w:w="1353"/>
        <w:gridCol w:w="995"/>
        <w:gridCol w:w="4336"/>
        <w:gridCol w:w="2186"/>
      </w:tblGrid>
      <w:tr w:rsidR="0039108A" w:rsidRPr="000151F9" w:rsidTr="0039108A">
        <w:trPr>
          <w:trHeight w:val="20"/>
          <w:jc w:val="center"/>
        </w:trPr>
        <w:tc>
          <w:tcPr>
            <w:tcW w:w="763" w:type="pct"/>
            <w:tcBorders>
              <w:top w:val="single" w:sz="8" w:space="0" w:color="auto"/>
              <w:left w:val="single" w:sz="8" w:space="0" w:color="auto"/>
              <w:right w:val="single" w:sz="8" w:space="0" w:color="auto"/>
            </w:tcBorders>
            <w:shd w:val="clear" w:color="auto" w:fill="BFBFBF"/>
          </w:tcPr>
          <w:p w:rsidR="0039108A" w:rsidRPr="001D6512" w:rsidRDefault="0039108A" w:rsidP="0039108A">
            <w:pPr>
              <w:pStyle w:val="TableCell"/>
              <w:rPr>
                <w:b/>
              </w:rPr>
            </w:pPr>
            <w:r w:rsidRPr="001D6512">
              <w:rPr>
                <w:b/>
              </w:rPr>
              <w:t>Component</w:t>
            </w:r>
          </w:p>
        </w:tc>
        <w:tc>
          <w:tcPr>
            <w:tcW w:w="561" w:type="pct"/>
            <w:tcBorders>
              <w:top w:val="single" w:sz="8" w:space="0" w:color="auto"/>
              <w:left w:val="nil"/>
              <w:right w:val="single" w:sz="8" w:space="0" w:color="auto"/>
            </w:tcBorders>
            <w:shd w:val="clear" w:color="auto" w:fill="BFBFBF"/>
          </w:tcPr>
          <w:p w:rsidR="0039108A" w:rsidRPr="001D6512" w:rsidRDefault="0039108A" w:rsidP="0039108A">
            <w:pPr>
              <w:pStyle w:val="TableCell"/>
              <w:rPr>
                <w:b/>
              </w:rPr>
            </w:pPr>
            <w:r w:rsidRPr="001D6512">
              <w:rPr>
                <w:b/>
              </w:rPr>
              <w:t>Type</w:t>
            </w:r>
          </w:p>
        </w:tc>
        <w:tc>
          <w:tcPr>
            <w:tcW w:w="2444" w:type="pct"/>
            <w:tcBorders>
              <w:top w:val="single" w:sz="8" w:space="0" w:color="auto"/>
              <w:left w:val="nil"/>
              <w:right w:val="single" w:sz="8" w:space="0" w:color="auto"/>
            </w:tcBorders>
            <w:shd w:val="clear" w:color="auto" w:fill="BFBFBF"/>
          </w:tcPr>
          <w:p w:rsidR="0039108A" w:rsidRPr="001D6512" w:rsidRDefault="0039108A" w:rsidP="0039108A">
            <w:pPr>
              <w:pStyle w:val="TableCell"/>
              <w:rPr>
                <w:b/>
              </w:rPr>
            </w:pPr>
            <w:r w:rsidRPr="001D6512">
              <w:rPr>
                <w:b/>
              </w:rPr>
              <w:t>Value</w:t>
            </w:r>
          </w:p>
        </w:tc>
        <w:tc>
          <w:tcPr>
            <w:tcW w:w="1232" w:type="pct"/>
            <w:tcBorders>
              <w:top w:val="single" w:sz="8" w:space="0" w:color="auto"/>
              <w:left w:val="nil"/>
              <w:right w:val="single" w:sz="8" w:space="0" w:color="auto"/>
            </w:tcBorders>
            <w:shd w:val="clear" w:color="auto" w:fill="BFBFBF"/>
          </w:tcPr>
          <w:p w:rsidR="0039108A" w:rsidRPr="001D6512" w:rsidRDefault="0039108A" w:rsidP="0039108A">
            <w:pPr>
              <w:pStyle w:val="TableCell"/>
              <w:rPr>
                <w:b/>
              </w:rPr>
            </w:pPr>
            <w:r w:rsidRPr="001D6512">
              <w:rPr>
                <w:b/>
              </w:rPr>
              <w:t>Source</w:t>
            </w:r>
          </w:p>
        </w:tc>
      </w:tr>
      <w:tr w:rsidR="0039108A" w:rsidRPr="000151F9" w:rsidTr="0039108A">
        <w:trPr>
          <w:trHeight w:val="20"/>
          <w:jc w:val="center"/>
        </w:trPr>
        <w:tc>
          <w:tcPr>
            <w:tcW w:w="763" w:type="pct"/>
            <w:tcBorders>
              <w:top w:val="single" w:sz="8" w:space="0" w:color="auto"/>
              <w:left w:val="single" w:sz="8" w:space="0" w:color="auto"/>
              <w:bottom w:val="single" w:sz="8" w:space="0" w:color="auto"/>
              <w:right w:val="single" w:sz="8" w:space="0" w:color="auto"/>
            </w:tcBorders>
          </w:tcPr>
          <w:p w:rsidR="0039108A" w:rsidRPr="001D6512" w:rsidRDefault="0039108A" w:rsidP="0039108A">
            <w:pPr>
              <w:pStyle w:val="TableCell"/>
              <w:spacing w:before="60" w:after="60"/>
            </w:pPr>
            <w:r w:rsidRPr="001D6512">
              <w:t>W</w:t>
            </w:r>
          </w:p>
        </w:tc>
        <w:tc>
          <w:tcPr>
            <w:tcW w:w="561" w:type="pct"/>
            <w:tcBorders>
              <w:top w:val="single" w:sz="8" w:space="0" w:color="auto"/>
              <w:left w:val="nil"/>
              <w:bottom w:val="single" w:sz="8" w:space="0" w:color="auto"/>
              <w:right w:val="single" w:sz="8" w:space="0" w:color="auto"/>
            </w:tcBorders>
          </w:tcPr>
          <w:p w:rsidR="0039108A" w:rsidRPr="001D6512" w:rsidRDefault="0039108A" w:rsidP="0039108A">
            <w:pPr>
              <w:pStyle w:val="TableCell"/>
              <w:spacing w:before="60" w:after="60"/>
            </w:pPr>
            <w:r w:rsidRPr="001D6512">
              <w:t>Variable</w:t>
            </w:r>
          </w:p>
        </w:tc>
        <w:tc>
          <w:tcPr>
            <w:tcW w:w="2444" w:type="pct"/>
            <w:tcBorders>
              <w:top w:val="single" w:sz="8" w:space="0" w:color="auto"/>
              <w:left w:val="nil"/>
              <w:bottom w:val="single" w:sz="8" w:space="0" w:color="auto"/>
              <w:right w:val="single" w:sz="8" w:space="0" w:color="auto"/>
            </w:tcBorders>
          </w:tcPr>
          <w:p w:rsidR="0039108A" w:rsidRPr="001D6512" w:rsidRDefault="0039108A" w:rsidP="0039108A">
            <w:pPr>
              <w:pStyle w:val="TableCell"/>
              <w:spacing w:before="60" w:after="60"/>
            </w:pPr>
            <w:r w:rsidRPr="001D6512">
              <w:rPr>
                <w:rFonts w:cs="Arial"/>
              </w:rPr>
              <w:t>EDC’s Data Gathering</w:t>
            </w:r>
          </w:p>
        </w:tc>
        <w:tc>
          <w:tcPr>
            <w:tcW w:w="1232" w:type="pct"/>
            <w:tcBorders>
              <w:top w:val="single" w:sz="8" w:space="0" w:color="auto"/>
              <w:left w:val="nil"/>
              <w:bottom w:val="single" w:sz="8" w:space="0" w:color="auto"/>
              <w:right w:val="single" w:sz="8" w:space="0" w:color="auto"/>
            </w:tcBorders>
          </w:tcPr>
          <w:p w:rsidR="0039108A" w:rsidRPr="001D6512" w:rsidRDefault="0039108A" w:rsidP="0039108A">
            <w:pPr>
              <w:pStyle w:val="TableCell"/>
              <w:spacing w:before="60" w:after="60"/>
            </w:pPr>
            <w:r w:rsidRPr="001D6512">
              <w:rPr>
                <w:rFonts w:cs="Arial"/>
              </w:rPr>
              <w:t>EDC’s Data Gathering</w:t>
            </w:r>
          </w:p>
        </w:tc>
      </w:tr>
      <w:tr w:rsidR="0039108A" w:rsidRPr="000151F9" w:rsidTr="0039108A">
        <w:trPr>
          <w:trHeight w:val="20"/>
          <w:jc w:val="center"/>
        </w:trPr>
        <w:tc>
          <w:tcPr>
            <w:tcW w:w="763" w:type="pct"/>
            <w:tcBorders>
              <w:top w:val="single" w:sz="8" w:space="0" w:color="auto"/>
              <w:left w:val="single" w:sz="8" w:space="0" w:color="auto"/>
              <w:bottom w:val="single" w:sz="8" w:space="0" w:color="auto"/>
              <w:right w:val="single" w:sz="8" w:space="0" w:color="auto"/>
            </w:tcBorders>
          </w:tcPr>
          <w:p w:rsidR="0039108A" w:rsidRPr="001D6512" w:rsidRDefault="0039108A" w:rsidP="0039108A">
            <w:pPr>
              <w:pStyle w:val="TableCell"/>
              <w:spacing w:before="60" w:after="60"/>
            </w:pPr>
            <w:r w:rsidRPr="001D6512">
              <w:t>SF</w:t>
            </w:r>
          </w:p>
        </w:tc>
        <w:tc>
          <w:tcPr>
            <w:tcW w:w="561" w:type="pct"/>
            <w:tcBorders>
              <w:top w:val="single" w:sz="8" w:space="0" w:color="auto"/>
              <w:left w:val="nil"/>
              <w:bottom w:val="single" w:sz="8" w:space="0" w:color="auto"/>
              <w:right w:val="single" w:sz="8" w:space="0" w:color="auto"/>
            </w:tcBorders>
          </w:tcPr>
          <w:p w:rsidR="0039108A" w:rsidRPr="001D6512" w:rsidRDefault="0039108A" w:rsidP="0039108A">
            <w:pPr>
              <w:pStyle w:val="TableCell"/>
              <w:spacing w:before="60" w:after="60"/>
            </w:pPr>
            <w:r w:rsidRPr="001D6512">
              <w:t>Fixed</w:t>
            </w:r>
          </w:p>
        </w:tc>
        <w:tc>
          <w:tcPr>
            <w:tcW w:w="2444" w:type="pct"/>
            <w:tcBorders>
              <w:top w:val="single" w:sz="8" w:space="0" w:color="auto"/>
              <w:left w:val="nil"/>
              <w:bottom w:val="single" w:sz="8" w:space="0" w:color="auto"/>
              <w:right w:val="single" w:sz="8" w:space="0" w:color="auto"/>
            </w:tcBorders>
          </w:tcPr>
          <w:p w:rsidR="0039108A" w:rsidRPr="001D6512" w:rsidRDefault="0039108A" w:rsidP="0039108A">
            <w:pPr>
              <w:pStyle w:val="TableCell"/>
              <w:spacing w:before="60" w:after="60"/>
            </w:pPr>
            <w:r w:rsidRPr="001D6512">
              <w:t xml:space="preserve">Default values in </w:t>
            </w:r>
            <w:r w:rsidR="00274AB1">
              <w:fldChar w:fldCharType="begin"/>
            </w:r>
            <w:r w:rsidR="00274AB1">
              <w:instrText xml:space="preserve"> REF _Ref297720186 \h  \* MERGEFORMAT </w:instrText>
            </w:r>
            <w:r w:rsidR="00274AB1">
              <w:fldChar w:fldCharType="separate"/>
            </w:r>
            <w:r w:rsidR="00C0292F" w:rsidRPr="00C0292F">
              <w:rPr>
                <w:rFonts w:cs="Arial"/>
                <w:szCs w:val="18"/>
              </w:rPr>
              <w:t>Table 3</w:t>
            </w:r>
            <w:r w:rsidR="00C0292F" w:rsidRPr="00C0292F">
              <w:rPr>
                <w:rFonts w:cs="Arial"/>
                <w:szCs w:val="18"/>
              </w:rPr>
              <w:noBreakHyphen/>
              <w:t>72</w:t>
            </w:r>
            <w:r w:rsidR="00C0292F" w:rsidRPr="002F4834">
              <w:t>: Savings Factors</w:t>
            </w:r>
            <w:r w:rsidR="00274AB1">
              <w:fldChar w:fldCharType="end"/>
            </w:r>
          </w:p>
        </w:tc>
        <w:tc>
          <w:tcPr>
            <w:tcW w:w="1232" w:type="pct"/>
            <w:tcBorders>
              <w:top w:val="single" w:sz="8" w:space="0" w:color="auto"/>
              <w:left w:val="nil"/>
              <w:bottom w:val="single" w:sz="8" w:space="0" w:color="auto"/>
              <w:right w:val="single" w:sz="8" w:space="0" w:color="auto"/>
            </w:tcBorders>
          </w:tcPr>
          <w:p w:rsidR="0039108A" w:rsidRPr="001D6512" w:rsidRDefault="0039108A" w:rsidP="0039108A">
            <w:pPr>
              <w:pStyle w:val="TableCell"/>
              <w:spacing w:before="60" w:after="60"/>
            </w:pPr>
            <w:r w:rsidRPr="001D6512">
              <w:t>1</w:t>
            </w:r>
          </w:p>
        </w:tc>
      </w:tr>
      <w:tr w:rsidR="0039108A" w:rsidRPr="000151F9" w:rsidTr="0039108A">
        <w:trPr>
          <w:trHeight w:val="20"/>
          <w:jc w:val="center"/>
        </w:trPr>
        <w:tc>
          <w:tcPr>
            <w:tcW w:w="763" w:type="pct"/>
            <w:tcBorders>
              <w:top w:val="single" w:sz="8" w:space="0" w:color="auto"/>
              <w:left w:val="single" w:sz="8" w:space="0" w:color="auto"/>
              <w:bottom w:val="single" w:sz="8" w:space="0" w:color="auto"/>
              <w:right w:val="single" w:sz="8" w:space="0" w:color="auto"/>
            </w:tcBorders>
          </w:tcPr>
          <w:p w:rsidR="0039108A" w:rsidRPr="001D6512" w:rsidRDefault="0039108A" w:rsidP="00937EC7">
            <w:pPr>
              <w:pStyle w:val="TableCell"/>
              <w:spacing w:before="60" w:after="60"/>
            </w:pPr>
            <w:r w:rsidRPr="001D6512">
              <w:t>H</w:t>
            </w:r>
            <w:r w:rsidR="00532D0C" w:rsidRPr="001D6512">
              <w:t>OU</w:t>
            </w:r>
          </w:p>
        </w:tc>
        <w:tc>
          <w:tcPr>
            <w:tcW w:w="561" w:type="pct"/>
            <w:tcBorders>
              <w:top w:val="single" w:sz="8" w:space="0" w:color="auto"/>
              <w:left w:val="nil"/>
              <w:bottom w:val="single" w:sz="8" w:space="0" w:color="auto"/>
              <w:right w:val="single" w:sz="8" w:space="0" w:color="auto"/>
            </w:tcBorders>
          </w:tcPr>
          <w:p w:rsidR="0039108A" w:rsidRPr="001D6512" w:rsidRDefault="0039108A" w:rsidP="0039108A">
            <w:pPr>
              <w:pStyle w:val="TableCell"/>
              <w:spacing w:before="60" w:after="60"/>
            </w:pPr>
            <w:r w:rsidRPr="001D6512">
              <w:t>Variable</w:t>
            </w:r>
          </w:p>
        </w:tc>
        <w:tc>
          <w:tcPr>
            <w:tcW w:w="2444" w:type="pct"/>
            <w:tcBorders>
              <w:top w:val="single" w:sz="8" w:space="0" w:color="auto"/>
              <w:left w:val="nil"/>
              <w:bottom w:val="single" w:sz="8" w:space="0" w:color="auto"/>
              <w:right w:val="single" w:sz="8" w:space="0" w:color="auto"/>
            </w:tcBorders>
          </w:tcPr>
          <w:p w:rsidR="0039108A" w:rsidRPr="001D6512" w:rsidRDefault="0039108A" w:rsidP="0039108A">
            <w:pPr>
              <w:pStyle w:val="TableCell"/>
              <w:spacing w:before="60" w:after="60"/>
              <w:rPr>
                <w:rFonts w:cs="Arial"/>
              </w:rPr>
            </w:pPr>
            <w:r w:rsidRPr="001D6512">
              <w:rPr>
                <w:rFonts w:cs="Arial"/>
              </w:rPr>
              <w:t>EDC’s Data Gathering</w:t>
            </w:r>
          </w:p>
          <w:p w:rsidR="0039108A" w:rsidRPr="001D6512" w:rsidRDefault="0039108A" w:rsidP="0039108A">
            <w:pPr>
              <w:pStyle w:val="TableCell"/>
              <w:spacing w:before="60" w:after="60"/>
            </w:pPr>
            <w:r w:rsidRPr="001D6512">
              <w:rPr>
                <w:rFonts w:cs="Arial"/>
              </w:rPr>
              <w:t>Default: 2190</w:t>
            </w:r>
            <w:r w:rsidRPr="001D6512">
              <w:rPr>
                <w:rStyle w:val="FootnoteReference"/>
              </w:rPr>
              <w:footnoteReference w:id="212"/>
            </w:r>
          </w:p>
        </w:tc>
        <w:tc>
          <w:tcPr>
            <w:tcW w:w="1232" w:type="pct"/>
            <w:tcBorders>
              <w:top w:val="single" w:sz="8" w:space="0" w:color="auto"/>
              <w:left w:val="nil"/>
              <w:bottom w:val="single" w:sz="8" w:space="0" w:color="auto"/>
              <w:right w:val="single" w:sz="8" w:space="0" w:color="auto"/>
            </w:tcBorders>
          </w:tcPr>
          <w:p w:rsidR="0039108A" w:rsidRPr="001D6512" w:rsidRDefault="0039108A" w:rsidP="0039108A">
            <w:pPr>
              <w:pStyle w:val="TableCell"/>
              <w:spacing w:before="60" w:after="60"/>
            </w:pPr>
            <w:r w:rsidRPr="001D6512">
              <w:rPr>
                <w:rFonts w:cs="Arial"/>
              </w:rPr>
              <w:t>EDC’s Data Gathering</w:t>
            </w:r>
          </w:p>
        </w:tc>
      </w:tr>
    </w:tbl>
    <w:p w:rsidR="0039108A" w:rsidRPr="001C4AD5" w:rsidRDefault="0039108A" w:rsidP="0039108A">
      <w:pPr>
        <w:spacing w:after="0"/>
        <w:ind w:left="475" w:hanging="475"/>
      </w:pPr>
    </w:p>
    <w:p w:rsidR="0039108A" w:rsidRPr="001D7420" w:rsidRDefault="0039108A" w:rsidP="0039108A">
      <w:pPr>
        <w:keepNext/>
        <w:rPr>
          <w:b/>
        </w:rPr>
      </w:pPr>
      <w:r w:rsidRPr="001D7420">
        <w:rPr>
          <w:b/>
        </w:rPr>
        <w:t>Sources:</w:t>
      </w:r>
    </w:p>
    <w:p w:rsidR="0039108A" w:rsidRPr="00E757AB" w:rsidRDefault="0039108A" w:rsidP="0005632A">
      <w:pPr>
        <w:pStyle w:val="source1"/>
        <w:numPr>
          <w:ilvl w:val="0"/>
          <w:numId w:val="85"/>
        </w:numPr>
        <w:rPr>
          <w:rFonts w:eastAsia="Calibri"/>
        </w:rPr>
      </w:pPr>
      <w:r w:rsidRPr="00E757AB">
        <w:rPr>
          <w:rFonts w:eastAsia="Calibri"/>
        </w:rPr>
        <w:t xml:space="preserve">CL&amp;P Program Savings Documentation for 2011 Program Year (2010). Factors based on Southern California Edison (1997). </w:t>
      </w:r>
      <w:r w:rsidRPr="00E757AB">
        <w:rPr>
          <w:rFonts w:eastAsia="Calibri"/>
          <w:i/>
          <w:iCs/>
        </w:rPr>
        <w:t>Effects of the Low Emissive Shields on Performance and Power Use of a Refrigerated Display Case</w:t>
      </w:r>
      <w:r w:rsidRPr="00E757AB">
        <w:rPr>
          <w:rFonts w:eastAsia="Calibri"/>
        </w:rPr>
        <w:t>.</w:t>
      </w:r>
    </w:p>
    <w:p w:rsidR="0039108A" w:rsidRPr="002F4834" w:rsidRDefault="0039108A" w:rsidP="0039108A">
      <w:pPr>
        <w:pStyle w:val="Caption"/>
      </w:pPr>
      <w:bookmarkStart w:id="1002" w:name="_Ref297720186"/>
      <w:bookmarkStart w:id="1003" w:name="_Toc310875624"/>
      <w:r w:rsidRPr="002F4834">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w:instrText>
      </w:r>
      <w:r w:rsidR="00274AB1">
        <w:instrText xml:space="preserve">BIC \s 1 </w:instrText>
      </w:r>
      <w:r w:rsidR="00274AB1">
        <w:fldChar w:fldCharType="separate"/>
      </w:r>
      <w:r w:rsidR="00C0292F">
        <w:rPr>
          <w:noProof/>
        </w:rPr>
        <w:t>72</w:t>
      </w:r>
      <w:r w:rsidR="00274AB1">
        <w:rPr>
          <w:noProof/>
        </w:rPr>
        <w:fldChar w:fldCharType="end"/>
      </w:r>
      <w:r w:rsidRPr="002F4834">
        <w:t>: Savings Factors</w:t>
      </w:r>
      <w:bookmarkEnd w:id="1002"/>
      <w:bookmarkEnd w:id="1003"/>
    </w:p>
    <w:tbl>
      <w:tblPr>
        <w:tblW w:w="5000" w:type="pct"/>
        <w:jc w:val="center"/>
        <w:tblCellMar>
          <w:left w:w="115" w:type="dxa"/>
          <w:right w:w="115" w:type="dxa"/>
        </w:tblCellMar>
        <w:tblLook w:val="00A0" w:firstRow="1" w:lastRow="0" w:firstColumn="1" w:lastColumn="0" w:noHBand="0" w:noVBand="0"/>
      </w:tblPr>
      <w:tblGrid>
        <w:gridCol w:w="4552"/>
        <w:gridCol w:w="4318"/>
      </w:tblGrid>
      <w:tr w:rsidR="0039108A" w:rsidRPr="002F4834" w:rsidTr="0039108A">
        <w:trPr>
          <w:trHeight w:val="368"/>
          <w:jc w:val="center"/>
        </w:trPr>
        <w:tc>
          <w:tcPr>
            <w:tcW w:w="2566" w:type="pct"/>
            <w:tcBorders>
              <w:top w:val="single" w:sz="8" w:space="0" w:color="auto"/>
              <w:left w:val="single" w:sz="8" w:space="0" w:color="auto"/>
              <w:right w:val="single" w:sz="8" w:space="0" w:color="auto"/>
            </w:tcBorders>
            <w:shd w:val="clear" w:color="auto" w:fill="BFBFBF"/>
          </w:tcPr>
          <w:p w:rsidR="0039108A" w:rsidRPr="001D6512" w:rsidRDefault="0039108A" w:rsidP="0039108A">
            <w:pPr>
              <w:pStyle w:val="TableCell"/>
              <w:rPr>
                <w:rFonts w:cs="Arial"/>
                <w:b/>
                <w:szCs w:val="18"/>
              </w:rPr>
            </w:pPr>
            <w:r w:rsidRPr="001D6512">
              <w:rPr>
                <w:rFonts w:cs="Arial"/>
                <w:b/>
                <w:szCs w:val="18"/>
              </w:rPr>
              <w:t>Cooler Case Temperature</w:t>
            </w:r>
          </w:p>
        </w:tc>
        <w:tc>
          <w:tcPr>
            <w:tcW w:w="2434" w:type="pct"/>
            <w:tcBorders>
              <w:top w:val="single" w:sz="8" w:space="0" w:color="auto"/>
              <w:left w:val="nil"/>
              <w:right w:val="single" w:sz="8" w:space="0" w:color="auto"/>
            </w:tcBorders>
            <w:shd w:val="clear" w:color="auto" w:fill="BFBFBF"/>
          </w:tcPr>
          <w:p w:rsidR="0039108A" w:rsidRPr="001D6512" w:rsidRDefault="0039108A" w:rsidP="0039108A">
            <w:pPr>
              <w:pStyle w:val="TableCell"/>
              <w:rPr>
                <w:rFonts w:cs="Arial"/>
                <w:b/>
                <w:szCs w:val="18"/>
              </w:rPr>
            </w:pPr>
            <w:r w:rsidRPr="001D6512">
              <w:rPr>
                <w:rFonts w:cs="Arial"/>
                <w:b/>
                <w:szCs w:val="18"/>
              </w:rPr>
              <w:t>Savings Factor</w:t>
            </w:r>
          </w:p>
        </w:tc>
      </w:tr>
      <w:tr w:rsidR="0039108A" w:rsidRPr="002F4834" w:rsidTr="0039108A">
        <w:trPr>
          <w:trHeight w:val="20"/>
          <w:jc w:val="center"/>
        </w:trPr>
        <w:tc>
          <w:tcPr>
            <w:tcW w:w="2566" w:type="pct"/>
            <w:tcBorders>
              <w:top w:val="single" w:sz="8" w:space="0" w:color="auto"/>
              <w:left w:val="single" w:sz="8" w:space="0" w:color="auto"/>
              <w:bottom w:val="single" w:sz="8" w:space="0" w:color="auto"/>
              <w:right w:val="single" w:sz="8" w:space="0" w:color="auto"/>
            </w:tcBorders>
          </w:tcPr>
          <w:p w:rsidR="0039108A" w:rsidRPr="001D6512" w:rsidRDefault="0039108A" w:rsidP="0039108A">
            <w:pPr>
              <w:pStyle w:val="TableCell"/>
              <w:spacing w:before="60" w:after="60"/>
              <w:rPr>
                <w:rFonts w:cs="Arial"/>
                <w:szCs w:val="18"/>
              </w:rPr>
            </w:pPr>
            <w:r w:rsidRPr="001D6512">
              <w:rPr>
                <w:rFonts w:eastAsia="Calibri" w:cs="Arial"/>
                <w:szCs w:val="18"/>
              </w:rPr>
              <w:t>Low Temperature (-35 F to -5 F)</w:t>
            </w:r>
          </w:p>
        </w:tc>
        <w:tc>
          <w:tcPr>
            <w:tcW w:w="2434" w:type="pct"/>
            <w:tcBorders>
              <w:top w:val="single" w:sz="8" w:space="0" w:color="auto"/>
              <w:left w:val="nil"/>
              <w:bottom w:val="single" w:sz="8" w:space="0" w:color="auto"/>
              <w:right w:val="single" w:sz="8" w:space="0" w:color="auto"/>
            </w:tcBorders>
          </w:tcPr>
          <w:p w:rsidR="0039108A" w:rsidRPr="001D6512" w:rsidRDefault="0039108A" w:rsidP="0039108A">
            <w:pPr>
              <w:pStyle w:val="TableCell"/>
              <w:spacing w:before="60" w:after="60"/>
              <w:rPr>
                <w:rFonts w:cs="Arial"/>
                <w:szCs w:val="18"/>
              </w:rPr>
            </w:pPr>
            <w:r w:rsidRPr="001D6512">
              <w:rPr>
                <w:rFonts w:eastAsia="Calibri" w:cs="Arial"/>
                <w:szCs w:val="18"/>
              </w:rPr>
              <w:t>0.03 kW/ft</w:t>
            </w:r>
          </w:p>
        </w:tc>
      </w:tr>
      <w:tr w:rsidR="0039108A" w:rsidRPr="002F4834" w:rsidTr="0039108A">
        <w:trPr>
          <w:trHeight w:val="20"/>
          <w:jc w:val="center"/>
        </w:trPr>
        <w:tc>
          <w:tcPr>
            <w:tcW w:w="2566" w:type="pct"/>
            <w:tcBorders>
              <w:top w:val="single" w:sz="8" w:space="0" w:color="auto"/>
              <w:left w:val="single" w:sz="8" w:space="0" w:color="auto"/>
              <w:bottom w:val="single" w:sz="8" w:space="0" w:color="auto"/>
              <w:right w:val="single" w:sz="8" w:space="0" w:color="auto"/>
            </w:tcBorders>
          </w:tcPr>
          <w:p w:rsidR="0039108A" w:rsidRPr="001D6512" w:rsidRDefault="0039108A" w:rsidP="0039108A">
            <w:pPr>
              <w:pStyle w:val="TableCell"/>
              <w:spacing w:before="60" w:after="60"/>
              <w:rPr>
                <w:rFonts w:cs="Arial"/>
                <w:szCs w:val="18"/>
              </w:rPr>
            </w:pPr>
            <w:r w:rsidRPr="001D6512">
              <w:rPr>
                <w:rFonts w:eastAsia="Calibri" w:cs="Arial"/>
                <w:szCs w:val="18"/>
              </w:rPr>
              <w:t>Medium Temperature (0 F to 30 F)</w:t>
            </w:r>
          </w:p>
        </w:tc>
        <w:tc>
          <w:tcPr>
            <w:tcW w:w="2434" w:type="pct"/>
            <w:tcBorders>
              <w:top w:val="single" w:sz="8" w:space="0" w:color="auto"/>
              <w:left w:val="nil"/>
              <w:bottom w:val="single" w:sz="8" w:space="0" w:color="auto"/>
              <w:right w:val="single" w:sz="8" w:space="0" w:color="auto"/>
            </w:tcBorders>
          </w:tcPr>
          <w:p w:rsidR="0039108A" w:rsidRPr="001D6512" w:rsidRDefault="0039108A" w:rsidP="0039108A">
            <w:pPr>
              <w:pStyle w:val="TableCell"/>
              <w:spacing w:before="60" w:after="60"/>
              <w:rPr>
                <w:rFonts w:cs="Arial"/>
                <w:szCs w:val="18"/>
              </w:rPr>
            </w:pPr>
            <w:r w:rsidRPr="001D6512">
              <w:rPr>
                <w:rFonts w:eastAsia="Calibri" w:cs="Arial"/>
                <w:szCs w:val="18"/>
              </w:rPr>
              <w:t>0.02 kW/ft</w:t>
            </w:r>
          </w:p>
        </w:tc>
      </w:tr>
      <w:tr w:rsidR="0039108A" w:rsidRPr="002F4834" w:rsidTr="0039108A">
        <w:trPr>
          <w:trHeight w:val="20"/>
          <w:jc w:val="center"/>
        </w:trPr>
        <w:tc>
          <w:tcPr>
            <w:tcW w:w="2566" w:type="pct"/>
            <w:tcBorders>
              <w:top w:val="single" w:sz="8" w:space="0" w:color="auto"/>
              <w:left w:val="single" w:sz="8" w:space="0" w:color="auto"/>
              <w:bottom w:val="single" w:sz="8" w:space="0" w:color="auto"/>
              <w:right w:val="single" w:sz="8" w:space="0" w:color="auto"/>
            </w:tcBorders>
          </w:tcPr>
          <w:p w:rsidR="0039108A" w:rsidRPr="001D6512" w:rsidRDefault="0039108A" w:rsidP="0039108A">
            <w:pPr>
              <w:pStyle w:val="TableCell"/>
              <w:spacing w:before="60" w:after="60"/>
              <w:rPr>
                <w:rFonts w:cs="Arial"/>
                <w:szCs w:val="18"/>
              </w:rPr>
            </w:pPr>
            <w:r w:rsidRPr="001D6512">
              <w:rPr>
                <w:rFonts w:eastAsia="Calibri" w:cs="Arial"/>
                <w:szCs w:val="18"/>
              </w:rPr>
              <w:t>High Temperature (35 F to 55 F)</w:t>
            </w:r>
          </w:p>
        </w:tc>
        <w:tc>
          <w:tcPr>
            <w:tcW w:w="2434" w:type="pct"/>
            <w:tcBorders>
              <w:top w:val="single" w:sz="8" w:space="0" w:color="auto"/>
              <w:left w:val="nil"/>
              <w:bottom w:val="single" w:sz="8" w:space="0" w:color="auto"/>
              <w:right w:val="single" w:sz="8" w:space="0" w:color="auto"/>
            </w:tcBorders>
          </w:tcPr>
          <w:p w:rsidR="0039108A" w:rsidRPr="001D6512" w:rsidRDefault="0039108A" w:rsidP="0039108A">
            <w:pPr>
              <w:pStyle w:val="TableCell"/>
              <w:spacing w:before="60" w:after="60"/>
              <w:rPr>
                <w:rFonts w:cs="Arial"/>
                <w:szCs w:val="18"/>
              </w:rPr>
            </w:pPr>
            <w:r w:rsidRPr="001D6512">
              <w:rPr>
                <w:rFonts w:eastAsia="Calibri" w:cs="Arial"/>
                <w:szCs w:val="18"/>
              </w:rPr>
              <w:t>0.01 kW/ft</w:t>
            </w:r>
          </w:p>
        </w:tc>
      </w:tr>
    </w:tbl>
    <w:p w:rsidR="0039108A" w:rsidRDefault="0039108A" w:rsidP="0039108A">
      <w:pPr>
        <w:pStyle w:val="source1"/>
        <w:numPr>
          <w:ilvl w:val="0"/>
          <w:numId w:val="0"/>
        </w:numPr>
        <w:rPr>
          <w:rFonts w:eastAsia="Calibri"/>
        </w:rPr>
      </w:pPr>
    </w:p>
    <w:p w:rsidR="0039108A" w:rsidRDefault="0039108A" w:rsidP="0039108A">
      <w:pPr>
        <w:rPr>
          <w:rFonts w:eastAsia="Calibri" w:cs="Arial"/>
        </w:rPr>
      </w:pPr>
      <w:r>
        <w:t>The</w:t>
      </w:r>
      <w:r w:rsidRPr="001E655F">
        <w:t xml:space="preserve"> demand and energy savings assumptions </w:t>
      </w:r>
      <w:r>
        <w:t xml:space="preserve">are based on </w:t>
      </w:r>
      <w:r w:rsidRPr="001E655F">
        <w:t>analysis performed by Southern California Edison (SCE).</w:t>
      </w:r>
      <w:r>
        <w:t xml:space="preserve"> </w:t>
      </w:r>
      <w:r w:rsidRPr="00511D93">
        <w:rPr>
          <w:rFonts w:eastAsia="Calibri" w:cs="Arial"/>
        </w:rPr>
        <w:t>SCE conducted this test at its Refrigeration Technology a</w:t>
      </w:r>
      <w:r>
        <w:rPr>
          <w:rFonts w:eastAsia="Calibri" w:cs="Arial"/>
        </w:rPr>
        <w:t xml:space="preserve">nd </w:t>
      </w:r>
      <w:r w:rsidRPr="00511D93">
        <w:rPr>
          <w:rFonts w:eastAsia="Calibri" w:cs="Arial"/>
        </w:rPr>
        <w:t>Test Center (RTTC).</w:t>
      </w:r>
      <w:r>
        <w:rPr>
          <w:rFonts w:eastAsia="Calibri" w:cs="Arial"/>
        </w:rPr>
        <w:t xml:space="preserve"> </w:t>
      </w:r>
      <w:r w:rsidRPr="00511D93">
        <w:rPr>
          <w:rFonts w:eastAsia="Calibri" w:cs="Arial"/>
        </w:rPr>
        <w:t>The RTTC’s sophist</w:t>
      </w:r>
      <w:r>
        <w:rPr>
          <w:rFonts w:eastAsia="Calibri" w:cs="Arial"/>
        </w:rPr>
        <w:t xml:space="preserve">icated instrumentation and data </w:t>
      </w:r>
      <w:r w:rsidRPr="00511D93">
        <w:rPr>
          <w:rFonts w:eastAsia="Calibri" w:cs="Arial"/>
        </w:rPr>
        <w:t>acquisition system provided detailed tracking of the refrigeration system’s cr</w:t>
      </w:r>
      <w:r>
        <w:rPr>
          <w:rFonts w:eastAsia="Calibri" w:cs="Arial"/>
        </w:rPr>
        <w:t xml:space="preserve">itical temperature and pressure </w:t>
      </w:r>
      <w:r w:rsidRPr="00511D93">
        <w:rPr>
          <w:rFonts w:eastAsia="Calibri" w:cs="Arial"/>
        </w:rPr>
        <w:t xml:space="preserve">points during the test period. These readings were then utilized to quantify </w:t>
      </w:r>
      <w:r>
        <w:rPr>
          <w:rFonts w:eastAsia="Calibri" w:cs="Arial"/>
        </w:rPr>
        <w:t xml:space="preserve">various heat transfer and power </w:t>
      </w:r>
      <w:r w:rsidRPr="00511D93">
        <w:rPr>
          <w:rFonts w:eastAsia="Calibri" w:cs="Arial"/>
        </w:rPr>
        <w:t>related parameters within the refrigeration cycle. The results of SCE’</w:t>
      </w:r>
      <w:r>
        <w:rPr>
          <w:rFonts w:eastAsia="Calibri" w:cs="Arial"/>
        </w:rPr>
        <w:t xml:space="preserve">s test focused on three typical </w:t>
      </w:r>
      <w:r w:rsidRPr="00511D93">
        <w:rPr>
          <w:rFonts w:eastAsia="Calibri" w:cs="Arial"/>
        </w:rPr>
        <w:t>scenarios found mostly in supermarkets.</w:t>
      </w:r>
      <w:r>
        <w:rPr>
          <w:rFonts w:eastAsia="Calibri" w:cs="Arial"/>
        </w:rPr>
        <w:t xml:space="preserve">  </w:t>
      </w:r>
    </w:p>
    <w:p w:rsidR="0039108A" w:rsidRPr="009E6ED2" w:rsidRDefault="0039108A" w:rsidP="00871FA2">
      <w:pPr>
        <w:pStyle w:val="Heading3"/>
        <w:rPr>
          <w:rFonts w:eastAsia="Calibri" w:cs="Arial"/>
        </w:rPr>
      </w:pPr>
      <w:r w:rsidRPr="009E6ED2">
        <w:t>Measure Life</w:t>
      </w:r>
    </w:p>
    <w:p w:rsidR="0039108A" w:rsidRPr="008C78B9" w:rsidRDefault="0039108A" w:rsidP="0039108A">
      <w:r>
        <w:t xml:space="preserve">The expected measure life is </w:t>
      </w:r>
      <w:r w:rsidRPr="00AE0FDD">
        <w:t>5 years</w:t>
      </w:r>
      <w:r w:rsidRPr="00B808E0">
        <w:rPr>
          <w:rStyle w:val="FootnoteReference"/>
        </w:rPr>
        <w:footnoteReference w:id="213"/>
      </w:r>
      <w:r w:rsidRPr="00AE0FDD">
        <w:rPr>
          <w:vertAlign w:val="superscript"/>
        </w:rPr>
        <w:t>,</w:t>
      </w:r>
      <w:r>
        <w:rPr>
          <w:rStyle w:val="FootnoteReference"/>
        </w:rPr>
        <w:footnoteReference w:id="214"/>
      </w:r>
      <w:r>
        <w:t>.</w:t>
      </w:r>
    </w:p>
    <w:p w:rsidR="00E757AB" w:rsidRPr="001C4AD5" w:rsidRDefault="00E757AB" w:rsidP="00E757AB">
      <w:pPr>
        <w:pStyle w:val="Heading2"/>
      </w:pPr>
      <w:r>
        <w:rPr>
          <w:rFonts w:cs="Arial"/>
        </w:rPr>
        <w:br w:type="page"/>
      </w:r>
      <w:bookmarkStart w:id="1004" w:name="_Toc310875461"/>
      <w:r>
        <w:t>Office Equipment – Network Power Management Enabling</w:t>
      </w:r>
      <w:bookmarkEnd w:id="1004"/>
    </w:p>
    <w:p w:rsidR="00E757AB" w:rsidRDefault="00E757AB" w:rsidP="00E757AB">
      <w:r>
        <w:t>Over the last three years, a number of strategies have evolved to save energy in desktop computers. One class of products uses software implemented at the network level for desktop computers that manipulates the internal power settings of the central processing unit (CPU) and of the monitor. These power settings are an integral part of a computer’s operating system (most commonly, Microsoft Windows) including “on”, “standby”, “sleep”, and “off” modes and can be set by users from their individual desktops.</w:t>
      </w:r>
    </w:p>
    <w:p w:rsidR="00E757AB" w:rsidRDefault="00E757AB" w:rsidP="00E757AB">
      <w:r>
        <w:t>Most individual computer users are unfamiliar with these energy saving settings, and hence, settings are normally set by an IT administrator to minimize user complaints related to bringing the computer back from standby, sleep, or off modes.  However, these strategies use a large amount of energy during times when the computer is not in active use. Studies have shown that energy consumed during non-use periods is large, and is often the majority of total energy consumed.</w:t>
      </w:r>
    </w:p>
    <w:p w:rsidR="00E757AB" w:rsidRDefault="00E757AB" w:rsidP="00E757AB">
      <w:r>
        <w:t>Qualifying software must control desktop computer and monitor power settings within a network from a central location.</w:t>
      </w:r>
    </w:p>
    <w:p w:rsidR="00E757AB" w:rsidRDefault="00E757AB" w:rsidP="00871FA2">
      <w:pPr>
        <w:pStyle w:val="Heading3"/>
      </w:pPr>
      <w:r>
        <w:t>Deemed Savings</w:t>
      </w:r>
    </w:p>
    <w:p w:rsidR="00E757AB" w:rsidRDefault="00E757AB" w:rsidP="00F05DC2">
      <w:r>
        <w:t xml:space="preserve">The energy savings per unit found in various studies specific to the Verdiem Surveyor software varied from 33.8 kWh/year to 330 kWh/year, with an average savings of about 200 kWh/year.  This includes the power savings from the PC as well as the monitor. Deemed savings are based on actual field measurements from Duquesne’s service territory of the Verdiem Surveyor product. </w:t>
      </w:r>
    </w:p>
    <w:p w:rsidR="00E757AB" w:rsidRPr="000B5217" w:rsidRDefault="00E757AB" w:rsidP="00F05DC2">
      <w:r w:rsidRPr="004D5E68">
        <w:t>Demand reduction was closely monitored in the study by Southern California Edison over a period of one month.  This included 120 PC’s operating in nine different departments within SCE’s network.  The study found that statistically the average PC did use less power during peak periods by about 20W.  The use of individual PC’s could vary dramatically, but with a sample size of about 12 units or greater the pattern for demand reduction was very clear.</w:t>
      </w:r>
    </w:p>
    <w:p w:rsidR="00E757AB" w:rsidRPr="00E25973" w:rsidRDefault="00E757AB" w:rsidP="00E757AB">
      <w:pPr>
        <w:pStyle w:val="Caption"/>
      </w:pPr>
      <w:bookmarkStart w:id="1005" w:name="_Toc310875625"/>
      <w:r w:rsidRPr="00E25973">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73</w:t>
      </w:r>
      <w:r w:rsidR="00274AB1">
        <w:rPr>
          <w:noProof/>
        </w:rPr>
        <w:fldChar w:fldCharType="end"/>
      </w:r>
      <w:r w:rsidRPr="00E25973">
        <w:t xml:space="preserve">: </w:t>
      </w:r>
      <w:r w:rsidR="00527D1B">
        <w:t xml:space="preserve">Network Power Controls, </w:t>
      </w:r>
      <w:r w:rsidRPr="00E25973">
        <w:t>Per Unit Summary Table</w:t>
      </w:r>
      <w:bookmarkEnd w:id="1005"/>
    </w:p>
    <w:tbl>
      <w:tblPr>
        <w:tblW w:w="5000" w:type="pct"/>
        <w:jc w:val="center"/>
        <w:tblCellMar>
          <w:left w:w="115" w:type="dxa"/>
          <w:right w:w="115" w:type="dxa"/>
        </w:tblCellMar>
        <w:tblLook w:val="00A0" w:firstRow="1" w:lastRow="0" w:firstColumn="1" w:lastColumn="0" w:noHBand="0" w:noVBand="0"/>
      </w:tblPr>
      <w:tblGrid>
        <w:gridCol w:w="1872"/>
        <w:gridCol w:w="1549"/>
        <w:gridCol w:w="1111"/>
        <w:gridCol w:w="1111"/>
        <w:gridCol w:w="1077"/>
        <w:gridCol w:w="1077"/>
        <w:gridCol w:w="1073"/>
      </w:tblGrid>
      <w:tr w:rsidR="00E757AB" w:rsidRPr="000151F9" w:rsidTr="00E757AB">
        <w:trPr>
          <w:trHeight w:val="317"/>
          <w:jc w:val="center"/>
        </w:trPr>
        <w:tc>
          <w:tcPr>
            <w:tcW w:w="1056" w:type="pct"/>
            <w:tcBorders>
              <w:top w:val="single" w:sz="8" w:space="0" w:color="auto"/>
              <w:left w:val="single" w:sz="8" w:space="0" w:color="auto"/>
              <w:bottom w:val="single" w:sz="8" w:space="0" w:color="auto"/>
              <w:right w:val="single" w:sz="8" w:space="0" w:color="auto"/>
            </w:tcBorders>
            <w:shd w:val="clear" w:color="auto" w:fill="BFBFBF"/>
            <w:vAlign w:val="center"/>
          </w:tcPr>
          <w:p w:rsidR="00E757AB" w:rsidRPr="001D6512" w:rsidRDefault="00E757AB" w:rsidP="00E757AB">
            <w:pPr>
              <w:pStyle w:val="TableCell"/>
              <w:spacing w:before="60" w:after="60"/>
              <w:rPr>
                <w:b/>
              </w:rPr>
            </w:pPr>
            <w:r w:rsidRPr="001D6512">
              <w:rPr>
                <w:b/>
              </w:rPr>
              <w:t>Measure Name</w:t>
            </w:r>
          </w:p>
        </w:tc>
        <w:tc>
          <w:tcPr>
            <w:tcW w:w="873" w:type="pct"/>
            <w:tcBorders>
              <w:top w:val="single" w:sz="8" w:space="0" w:color="auto"/>
              <w:left w:val="nil"/>
              <w:bottom w:val="single" w:sz="8" w:space="0" w:color="auto"/>
              <w:right w:val="single" w:sz="8" w:space="0" w:color="auto"/>
            </w:tcBorders>
            <w:shd w:val="clear" w:color="auto" w:fill="BFBFBF"/>
            <w:vAlign w:val="center"/>
          </w:tcPr>
          <w:p w:rsidR="00E757AB" w:rsidRPr="001D6512" w:rsidRDefault="00E757AB" w:rsidP="00E757AB">
            <w:pPr>
              <w:pStyle w:val="TableCell"/>
              <w:spacing w:before="60" w:after="60"/>
              <w:rPr>
                <w:b/>
              </w:rPr>
            </w:pPr>
            <w:r w:rsidRPr="001D6512">
              <w:rPr>
                <w:b/>
              </w:rPr>
              <w:t>Unit</w:t>
            </w:r>
          </w:p>
        </w:tc>
        <w:tc>
          <w:tcPr>
            <w:tcW w:w="626" w:type="pct"/>
            <w:tcBorders>
              <w:top w:val="single" w:sz="8" w:space="0" w:color="auto"/>
              <w:left w:val="nil"/>
              <w:bottom w:val="single" w:sz="8" w:space="0" w:color="auto"/>
              <w:right w:val="single" w:sz="8" w:space="0" w:color="auto"/>
            </w:tcBorders>
            <w:shd w:val="clear" w:color="auto" w:fill="BFBFBF"/>
            <w:vAlign w:val="center"/>
          </w:tcPr>
          <w:p w:rsidR="00E757AB" w:rsidRPr="001D6512" w:rsidRDefault="00E757AB" w:rsidP="00E757AB">
            <w:pPr>
              <w:pStyle w:val="TableCell"/>
              <w:spacing w:before="60" w:after="60"/>
              <w:rPr>
                <w:b/>
              </w:rPr>
            </w:pPr>
            <w:r w:rsidRPr="001D6512">
              <w:rPr>
                <w:b/>
              </w:rPr>
              <w:t>Gross Peak kW Reduction per Unit</w:t>
            </w:r>
          </w:p>
        </w:tc>
        <w:tc>
          <w:tcPr>
            <w:tcW w:w="626" w:type="pct"/>
            <w:tcBorders>
              <w:top w:val="single" w:sz="8" w:space="0" w:color="auto"/>
              <w:left w:val="nil"/>
              <w:bottom w:val="single" w:sz="8" w:space="0" w:color="auto"/>
              <w:right w:val="single" w:sz="8" w:space="0" w:color="auto"/>
            </w:tcBorders>
            <w:shd w:val="clear" w:color="auto" w:fill="BFBFBF"/>
          </w:tcPr>
          <w:p w:rsidR="00E757AB" w:rsidRPr="001D6512" w:rsidRDefault="00E757AB" w:rsidP="00E757AB">
            <w:pPr>
              <w:pStyle w:val="TableCell"/>
              <w:spacing w:before="60" w:after="60"/>
              <w:rPr>
                <w:b/>
              </w:rPr>
            </w:pPr>
            <w:r w:rsidRPr="001D6512">
              <w:rPr>
                <w:b/>
              </w:rPr>
              <w:t>Gross Peak kWh Reduction per Unit</w:t>
            </w:r>
          </w:p>
        </w:tc>
        <w:tc>
          <w:tcPr>
            <w:tcW w:w="607" w:type="pct"/>
            <w:tcBorders>
              <w:top w:val="single" w:sz="8" w:space="0" w:color="auto"/>
              <w:left w:val="single" w:sz="8" w:space="0" w:color="auto"/>
              <w:bottom w:val="single" w:sz="8" w:space="0" w:color="auto"/>
              <w:right w:val="single" w:sz="8" w:space="0" w:color="auto"/>
            </w:tcBorders>
            <w:shd w:val="clear" w:color="auto" w:fill="BFBFBF"/>
          </w:tcPr>
          <w:p w:rsidR="00E757AB" w:rsidRPr="001D6512" w:rsidRDefault="00E757AB" w:rsidP="00E757AB">
            <w:pPr>
              <w:pStyle w:val="TableCell"/>
              <w:spacing w:before="60" w:after="60"/>
              <w:rPr>
                <w:b/>
              </w:rPr>
            </w:pPr>
            <w:r w:rsidRPr="001D6512">
              <w:rPr>
                <w:b/>
              </w:rPr>
              <w:t>Effective Useful  Life</w:t>
            </w:r>
          </w:p>
        </w:tc>
        <w:tc>
          <w:tcPr>
            <w:tcW w:w="607" w:type="pct"/>
            <w:tcBorders>
              <w:top w:val="single" w:sz="8" w:space="0" w:color="auto"/>
              <w:left w:val="single" w:sz="8" w:space="0" w:color="auto"/>
              <w:bottom w:val="single" w:sz="8" w:space="0" w:color="auto"/>
              <w:right w:val="single" w:sz="8" w:space="0" w:color="auto"/>
            </w:tcBorders>
            <w:shd w:val="clear" w:color="auto" w:fill="BFBFBF"/>
          </w:tcPr>
          <w:p w:rsidR="00E757AB" w:rsidRPr="001D6512" w:rsidRDefault="00E757AB" w:rsidP="00E757AB">
            <w:pPr>
              <w:pStyle w:val="TableCell"/>
              <w:spacing w:before="60" w:after="60"/>
              <w:rPr>
                <w:b/>
              </w:rPr>
            </w:pPr>
            <w:r w:rsidRPr="001D6512">
              <w:rPr>
                <w:b/>
              </w:rPr>
              <w:t>IMC per unit ($)</w:t>
            </w:r>
          </w:p>
        </w:tc>
        <w:tc>
          <w:tcPr>
            <w:tcW w:w="607" w:type="pct"/>
            <w:tcBorders>
              <w:top w:val="single" w:sz="8" w:space="0" w:color="auto"/>
              <w:left w:val="single" w:sz="8" w:space="0" w:color="auto"/>
              <w:bottom w:val="single" w:sz="8" w:space="0" w:color="auto"/>
              <w:right w:val="single" w:sz="8" w:space="0" w:color="auto"/>
            </w:tcBorders>
            <w:shd w:val="clear" w:color="auto" w:fill="BFBFBF"/>
          </w:tcPr>
          <w:p w:rsidR="00E757AB" w:rsidRPr="001D6512" w:rsidRDefault="00E757AB" w:rsidP="00E757AB">
            <w:pPr>
              <w:pStyle w:val="TableCell"/>
              <w:spacing w:before="60" w:after="60"/>
              <w:rPr>
                <w:b/>
              </w:rPr>
            </w:pPr>
            <w:r w:rsidRPr="001D6512">
              <w:rPr>
                <w:b/>
              </w:rPr>
              <w:t>Net to Gross Ratio</w:t>
            </w:r>
          </w:p>
        </w:tc>
      </w:tr>
      <w:tr w:rsidR="00E757AB" w:rsidRPr="000151F9" w:rsidTr="00E757AB">
        <w:trPr>
          <w:trHeight w:val="317"/>
          <w:jc w:val="center"/>
        </w:trPr>
        <w:tc>
          <w:tcPr>
            <w:tcW w:w="1056" w:type="pct"/>
            <w:tcBorders>
              <w:top w:val="single" w:sz="8" w:space="0" w:color="auto"/>
              <w:left w:val="single" w:sz="8" w:space="0" w:color="auto"/>
              <w:bottom w:val="single" w:sz="8" w:space="0" w:color="auto"/>
              <w:right w:val="single" w:sz="8" w:space="0" w:color="auto"/>
            </w:tcBorders>
            <w:vAlign w:val="center"/>
          </w:tcPr>
          <w:p w:rsidR="00E757AB" w:rsidRPr="001D6512" w:rsidRDefault="00E757AB" w:rsidP="00E757AB">
            <w:pPr>
              <w:pStyle w:val="TableCell"/>
              <w:spacing w:before="60" w:after="60"/>
              <w:rPr>
                <w:sz w:val="16"/>
                <w:szCs w:val="16"/>
              </w:rPr>
            </w:pPr>
            <w:r w:rsidRPr="001D6512">
              <w:rPr>
                <w:sz w:val="16"/>
                <w:szCs w:val="16"/>
              </w:rPr>
              <w:t>Network PC Plug Load Power Management Software</w:t>
            </w:r>
          </w:p>
        </w:tc>
        <w:tc>
          <w:tcPr>
            <w:tcW w:w="873" w:type="pct"/>
            <w:tcBorders>
              <w:top w:val="single" w:sz="8" w:space="0" w:color="auto"/>
              <w:left w:val="nil"/>
              <w:bottom w:val="single" w:sz="8" w:space="0" w:color="auto"/>
              <w:right w:val="single" w:sz="8" w:space="0" w:color="auto"/>
            </w:tcBorders>
            <w:vAlign w:val="center"/>
          </w:tcPr>
          <w:p w:rsidR="00E757AB" w:rsidRPr="001D6512" w:rsidRDefault="00E757AB" w:rsidP="00E757AB">
            <w:pPr>
              <w:pStyle w:val="TableCell"/>
              <w:spacing w:before="60" w:after="60"/>
              <w:rPr>
                <w:sz w:val="16"/>
                <w:szCs w:val="16"/>
              </w:rPr>
            </w:pPr>
            <w:r w:rsidRPr="001D6512">
              <w:rPr>
                <w:sz w:val="16"/>
                <w:szCs w:val="16"/>
              </w:rPr>
              <w:t>One copy of licensed software installed on a PC workstation</w:t>
            </w:r>
          </w:p>
        </w:tc>
        <w:tc>
          <w:tcPr>
            <w:tcW w:w="626" w:type="pct"/>
            <w:tcBorders>
              <w:top w:val="single" w:sz="8" w:space="0" w:color="auto"/>
              <w:left w:val="nil"/>
              <w:bottom w:val="single" w:sz="8" w:space="0" w:color="auto"/>
              <w:right w:val="single" w:sz="8" w:space="0" w:color="auto"/>
            </w:tcBorders>
            <w:vAlign w:val="center"/>
          </w:tcPr>
          <w:p w:rsidR="00E757AB" w:rsidRPr="001D6512" w:rsidRDefault="00E757AB" w:rsidP="00E757AB">
            <w:pPr>
              <w:pStyle w:val="TableCell"/>
              <w:spacing w:before="60" w:after="60"/>
            </w:pPr>
            <w:r w:rsidRPr="001D6512">
              <w:t>0.020</w:t>
            </w:r>
          </w:p>
        </w:tc>
        <w:tc>
          <w:tcPr>
            <w:tcW w:w="626" w:type="pct"/>
            <w:tcBorders>
              <w:top w:val="single" w:sz="8" w:space="0" w:color="auto"/>
              <w:left w:val="nil"/>
              <w:bottom w:val="single" w:sz="8" w:space="0" w:color="auto"/>
              <w:right w:val="single" w:sz="8" w:space="0" w:color="auto"/>
            </w:tcBorders>
            <w:vAlign w:val="center"/>
          </w:tcPr>
          <w:p w:rsidR="00E757AB" w:rsidRPr="001D6512" w:rsidRDefault="00E757AB" w:rsidP="00E757AB">
            <w:pPr>
              <w:pStyle w:val="TableCell"/>
              <w:spacing w:before="60" w:after="60"/>
            </w:pPr>
            <w:r w:rsidRPr="001D6512">
              <w:t>148</w:t>
            </w:r>
          </w:p>
        </w:tc>
        <w:tc>
          <w:tcPr>
            <w:tcW w:w="607" w:type="pct"/>
            <w:tcBorders>
              <w:top w:val="single" w:sz="8" w:space="0" w:color="auto"/>
              <w:left w:val="single" w:sz="8" w:space="0" w:color="auto"/>
              <w:bottom w:val="single" w:sz="8" w:space="0" w:color="auto"/>
              <w:right w:val="single" w:sz="8" w:space="0" w:color="auto"/>
            </w:tcBorders>
            <w:vAlign w:val="center"/>
          </w:tcPr>
          <w:p w:rsidR="00E757AB" w:rsidRPr="001D6512" w:rsidRDefault="00E757AB" w:rsidP="00E757AB">
            <w:pPr>
              <w:pStyle w:val="TableCell"/>
              <w:spacing w:before="60" w:after="60"/>
            </w:pPr>
            <w:r w:rsidRPr="001D6512">
              <w:t>5</w:t>
            </w:r>
          </w:p>
        </w:tc>
        <w:tc>
          <w:tcPr>
            <w:tcW w:w="607" w:type="pct"/>
            <w:tcBorders>
              <w:top w:val="single" w:sz="8" w:space="0" w:color="auto"/>
              <w:left w:val="single" w:sz="8" w:space="0" w:color="auto"/>
              <w:bottom w:val="single" w:sz="8" w:space="0" w:color="auto"/>
              <w:right w:val="single" w:sz="8" w:space="0" w:color="auto"/>
            </w:tcBorders>
            <w:vAlign w:val="center"/>
          </w:tcPr>
          <w:p w:rsidR="00E757AB" w:rsidRPr="001D6512" w:rsidRDefault="00E757AB" w:rsidP="00E757AB">
            <w:pPr>
              <w:pStyle w:val="TableCell"/>
              <w:spacing w:before="60" w:after="60"/>
            </w:pPr>
            <w:r w:rsidRPr="001D6512">
              <w:t>20</w:t>
            </w:r>
          </w:p>
        </w:tc>
        <w:tc>
          <w:tcPr>
            <w:tcW w:w="607" w:type="pct"/>
            <w:tcBorders>
              <w:top w:val="single" w:sz="8" w:space="0" w:color="auto"/>
              <w:left w:val="single" w:sz="8" w:space="0" w:color="auto"/>
              <w:bottom w:val="single" w:sz="8" w:space="0" w:color="auto"/>
              <w:right w:val="single" w:sz="8" w:space="0" w:color="auto"/>
            </w:tcBorders>
            <w:vAlign w:val="center"/>
          </w:tcPr>
          <w:p w:rsidR="00E757AB" w:rsidRPr="001D6512" w:rsidRDefault="00E757AB" w:rsidP="00E757AB">
            <w:pPr>
              <w:pStyle w:val="TableCell"/>
              <w:spacing w:before="60" w:after="60"/>
            </w:pPr>
            <w:r w:rsidRPr="001D6512">
              <w:t>0.8</w:t>
            </w:r>
          </w:p>
        </w:tc>
      </w:tr>
    </w:tbl>
    <w:p w:rsidR="00E757AB" w:rsidRDefault="00E757AB" w:rsidP="00E757AB">
      <w:pPr>
        <w:spacing w:after="0" w:line="240" w:lineRule="auto"/>
      </w:pPr>
    </w:p>
    <w:p w:rsidR="00E757AB" w:rsidRDefault="00E757AB" w:rsidP="00E757AB">
      <w:pPr>
        <w:spacing w:after="0" w:line="240" w:lineRule="auto"/>
      </w:pPr>
    </w:p>
    <w:p w:rsidR="00E757AB" w:rsidRDefault="00E757AB" w:rsidP="00871FA2">
      <w:pPr>
        <w:pStyle w:val="Heading3"/>
      </w:pPr>
      <w:r>
        <w:t>Effective Useful Life</w:t>
      </w:r>
    </w:p>
    <w:p w:rsidR="00E757AB" w:rsidRDefault="00E757AB" w:rsidP="00E757AB">
      <w:r>
        <w:t>The EUL for this technology is estimated to be five (5) years.  While DEER lists the EUL of electro-mechanical plug load sensors at ten years, this product is subject to the cyclical nature of the PC software and hardware industry, so a more conservative number is appropriate.  This is the same value used in the SDG&amp;E program.</w:t>
      </w:r>
    </w:p>
    <w:p w:rsidR="00E757AB" w:rsidRDefault="00E757AB" w:rsidP="00E757AB">
      <w:pPr>
        <w:spacing w:after="0" w:line="240" w:lineRule="auto"/>
      </w:pPr>
    </w:p>
    <w:p w:rsidR="00E757AB" w:rsidRDefault="00E757AB" w:rsidP="00E757AB">
      <w:pPr>
        <w:spacing w:after="0" w:line="240" w:lineRule="auto"/>
        <w:rPr>
          <w:b/>
        </w:rPr>
      </w:pPr>
    </w:p>
    <w:p w:rsidR="00E757AB" w:rsidRDefault="00E757AB" w:rsidP="00E757AB">
      <w:pPr>
        <w:spacing w:after="0" w:line="240" w:lineRule="auto"/>
      </w:pPr>
      <w:r>
        <w:rPr>
          <w:b/>
        </w:rPr>
        <w:t>Sources:</w:t>
      </w:r>
    </w:p>
    <w:p w:rsidR="00E757AB" w:rsidRDefault="00E757AB" w:rsidP="00E757AB">
      <w:pPr>
        <w:spacing w:after="0" w:line="240" w:lineRule="auto"/>
      </w:pPr>
    </w:p>
    <w:p w:rsidR="00E757AB" w:rsidRPr="000875FF" w:rsidRDefault="00E757AB" w:rsidP="0005632A">
      <w:pPr>
        <w:pStyle w:val="source1"/>
        <w:numPr>
          <w:ilvl w:val="0"/>
          <w:numId w:val="86"/>
        </w:numPr>
      </w:pPr>
      <w:r>
        <w:t xml:space="preserve">Dimetrosky, S., Luedtke, J. S., &amp; Seiden, K. (2005). </w:t>
      </w:r>
      <w:r w:rsidRPr="00E757AB">
        <w:rPr>
          <w:i/>
        </w:rPr>
        <w:t>Surveyor Network Energy Manager: Market Progress Evaluation Report, No. 2</w:t>
      </w:r>
      <w:r>
        <w:t xml:space="preserve"> (Northwest Energy Efficiency Alliance report #E05-136). Portland, OR: Quantec LLC. </w:t>
      </w:r>
      <w:hyperlink r:id="rId49" w:history="1">
        <w:r w:rsidRPr="005672E6">
          <w:rPr>
            <w:rStyle w:val="Hyperlink"/>
          </w:rPr>
          <w:t>http://www.nwalliance.org/research/reports/136.pdf</w:t>
        </w:r>
      </w:hyperlink>
      <w:r>
        <w:t xml:space="preserve"> </w:t>
      </w:r>
    </w:p>
    <w:p w:rsidR="00E757AB" w:rsidRPr="00622545" w:rsidRDefault="00E757AB" w:rsidP="00E757AB">
      <w:pPr>
        <w:pStyle w:val="source1"/>
      </w:pPr>
      <w:r>
        <w:t xml:space="preserve">Dimetrosky, S., Steiner, J., &amp; Vellinga, N. (2006). </w:t>
      </w:r>
      <w:r>
        <w:rPr>
          <w:i/>
        </w:rPr>
        <w:t>San Diego Gas &amp; Electric 2004-2005 Local Energy Savers Program Evaluation Report</w:t>
      </w:r>
      <w:r>
        <w:t xml:space="preserve"> (Study ID: SDG0212). Portland, OR: Quantec LLC. </w:t>
      </w:r>
      <w:hyperlink r:id="rId50" w:history="1">
        <w:r w:rsidRPr="005672E6">
          <w:rPr>
            <w:rStyle w:val="Hyperlink"/>
          </w:rPr>
          <w:t>http://www.calmac.org/publications/SDGE_ESP_EMV_Report_073106_Final.pdf</w:t>
        </w:r>
      </w:hyperlink>
    </w:p>
    <w:p w:rsidR="00E757AB" w:rsidRPr="00DF5D87" w:rsidRDefault="00E757AB" w:rsidP="00E757AB">
      <w:pPr>
        <w:pStyle w:val="source1"/>
      </w:pPr>
      <w:r>
        <w:t xml:space="preserve">Greenberg, D. (2004). </w:t>
      </w:r>
      <w:r>
        <w:rPr>
          <w:i/>
        </w:rPr>
        <w:t>Network Power Management Software: Saving Energy by Remote Control</w:t>
      </w:r>
      <w:r>
        <w:t xml:space="preserve"> (E source report No. ER-04-15). Boulder, CO: Platts Research &amp; Consulting.</w:t>
      </w:r>
    </w:p>
    <w:p w:rsidR="00E757AB" w:rsidRPr="000875FF" w:rsidRDefault="00E757AB" w:rsidP="00E757AB">
      <w:pPr>
        <w:pStyle w:val="source1"/>
      </w:pPr>
      <w:r>
        <w:t xml:space="preserve">Roth, K., Larocque, G., &amp; Kleinman, J. (2004). </w:t>
      </w:r>
      <w:r>
        <w:rPr>
          <w:i/>
        </w:rPr>
        <w:t>Energy Consumption by Office and Telecommunications Equipment in Commercial Buildings Volume II: Energy Savings Potential</w:t>
      </w:r>
      <w:r>
        <w:t xml:space="preserve"> (U.S. DOE contract No. DE-AM26-99FT40465). Cambridge, MA: TIAX LLC. </w:t>
      </w:r>
      <w:hyperlink r:id="rId51" w:history="1">
        <w:r w:rsidRPr="005672E6">
          <w:rPr>
            <w:rStyle w:val="Hyperlink"/>
          </w:rPr>
          <w:t>http://www.eere.energy.gov/buildings/info/documents/pdfs/office_telecom-vol2_final.pdf</w:t>
        </w:r>
      </w:hyperlink>
      <w:r>
        <w:t xml:space="preserve"> </w:t>
      </w:r>
    </w:p>
    <w:p w:rsidR="00E757AB" w:rsidRPr="00851EE8" w:rsidRDefault="00E757AB" w:rsidP="00E757AB">
      <w:pPr>
        <w:pStyle w:val="source1"/>
      </w:pPr>
      <w:r w:rsidRPr="004D5E68">
        <w:t xml:space="preserve">Southern California Edison. (May 31, 2005). </w:t>
      </w:r>
      <w:r w:rsidRPr="004D5E68">
        <w:rPr>
          <w:i/>
        </w:rPr>
        <w:t>Surveyor Consumption Report</w:t>
      </w:r>
      <w:r w:rsidRPr="004D5E68">
        <w:t xml:space="preserve"> (contact: Leonel Campoy).</w:t>
      </w:r>
      <w:r>
        <w:t xml:space="preserve"> </w:t>
      </w:r>
    </w:p>
    <w:p w:rsidR="00E757AB" w:rsidRDefault="00E757AB" w:rsidP="00E757AB">
      <w:pPr>
        <w:spacing w:after="0" w:line="240" w:lineRule="auto"/>
        <w:rPr>
          <w:rFonts w:cs="Arial"/>
          <w:b/>
          <w:bCs/>
        </w:rPr>
      </w:pPr>
    </w:p>
    <w:p w:rsidR="00E757AB" w:rsidRPr="001C4AD5" w:rsidRDefault="00E757AB" w:rsidP="00E757AB">
      <w:pPr>
        <w:pStyle w:val="Heading2"/>
      </w:pPr>
      <w:r>
        <w:br w:type="page"/>
      </w:r>
      <w:bookmarkStart w:id="1006" w:name="_Toc310875462"/>
      <w:r>
        <w:t xml:space="preserve">Refrigeration </w:t>
      </w:r>
      <w:r w:rsidR="00500CAF">
        <w:t xml:space="preserve">– </w:t>
      </w:r>
      <w:r>
        <w:t>Auto Closers</w:t>
      </w:r>
      <w:bookmarkEnd w:id="1006"/>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5440"/>
      </w:tblGrid>
      <w:tr w:rsidR="00E757AB" w:rsidRPr="00DC57D4" w:rsidTr="00E757AB">
        <w:trPr>
          <w:jc w:val="center"/>
        </w:trPr>
        <w:tc>
          <w:tcPr>
            <w:tcW w:w="320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E757AB" w:rsidRPr="001D6512" w:rsidRDefault="00E757AB" w:rsidP="00E757AB">
            <w:pPr>
              <w:pStyle w:val="TableCell"/>
              <w:spacing w:before="60" w:after="60"/>
              <w:rPr>
                <w:b/>
              </w:rPr>
            </w:pPr>
            <w:r w:rsidRPr="001D6512">
              <w:rPr>
                <w:b/>
              </w:rPr>
              <w:t>Measure Name</w:t>
            </w:r>
          </w:p>
        </w:tc>
        <w:tc>
          <w:tcPr>
            <w:tcW w:w="544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E757AB" w:rsidRPr="001D6512" w:rsidRDefault="00E757AB" w:rsidP="00E757AB">
            <w:pPr>
              <w:pStyle w:val="TableCell"/>
              <w:spacing w:before="60" w:after="60"/>
              <w:rPr>
                <w:b/>
              </w:rPr>
            </w:pPr>
            <w:r w:rsidRPr="001D6512">
              <w:rPr>
                <w:b/>
              </w:rPr>
              <w:t>Auto Closers</w:t>
            </w:r>
          </w:p>
        </w:tc>
      </w:tr>
      <w:tr w:rsidR="00E757AB" w:rsidRPr="00DC57D4" w:rsidTr="00E757AB">
        <w:trPr>
          <w:jc w:val="center"/>
        </w:trPr>
        <w:tc>
          <w:tcPr>
            <w:tcW w:w="3200" w:type="dxa"/>
          </w:tcPr>
          <w:p w:rsidR="00E757AB" w:rsidRPr="001D6512" w:rsidRDefault="00E757AB" w:rsidP="00E757AB">
            <w:pPr>
              <w:pStyle w:val="TableCell"/>
              <w:spacing w:before="60" w:after="60"/>
            </w:pPr>
            <w:r w:rsidRPr="001D6512">
              <w:t>Target Sector</w:t>
            </w:r>
          </w:p>
        </w:tc>
        <w:tc>
          <w:tcPr>
            <w:tcW w:w="5440" w:type="dxa"/>
          </w:tcPr>
          <w:p w:rsidR="00E757AB" w:rsidRPr="001D6512" w:rsidRDefault="00E757AB" w:rsidP="00E757AB">
            <w:pPr>
              <w:pStyle w:val="TableCell"/>
              <w:spacing w:before="60" w:after="60"/>
            </w:pPr>
            <w:r w:rsidRPr="001D6512">
              <w:t>Commercial Refrigeration</w:t>
            </w:r>
          </w:p>
        </w:tc>
      </w:tr>
      <w:tr w:rsidR="00E757AB" w:rsidRPr="00DC57D4" w:rsidTr="00E757AB">
        <w:trPr>
          <w:jc w:val="center"/>
        </w:trPr>
        <w:tc>
          <w:tcPr>
            <w:tcW w:w="3200" w:type="dxa"/>
          </w:tcPr>
          <w:p w:rsidR="00E757AB" w:rsidRPr="001D6512" w:rsidRDefault="00E757AB" w:rsidP="00E757AB">
            <w:pPr>
              <w:pStyle w:val="TableCell"/>
              <w:spacing w:before="60" w:after="60"/>
            </w:pPr>
            <w:r w:rsidRPr="001D6512">
              <w:t>Measure Unit</w:t>
            </w:r>
          </w:p>
        </w:tc>
        <w:tc>
          <w:tcPr>
            <w:tcW w:w="5440" w:type="dxa"/>
          </w:tcPr>
          <w:p w:rsidR="00E757AB" w:rsidRPr="001D6512" w:rsidRDefault="00E757AB" w:rsidP="00E757AB">
            <w:pPr>
              <w:pStyle w:val="TableCell"/>
              <w:spacing w:before="60" w:after="60"/>
            </w:pPr>
            <w:r w:rsidRPr="001D6512">
              <w:t>Walk-in Coolers and Freezers</w:t>
            </w:r>
          </w:p>
        </w:tc>
      </w:tr>
      <w:tr w:rsidR="00E757AB" w:rsidRPr="00DC57D4" w:rsidTr="00E757AB">
        <w:trPr>
          <w:jc w:val="center"/>
        </w:trPr>
        <w:tc>
          <w:tcPr>
            <w:tcW w:w="3200" w:type="dxa"/>
          </w:tcPr>
          <w:p w:rsidR="00E757AB" w:rsidRPr="001D6512" w:rsidRDefault="00E757AB" w:rsidP="00E757AB">
            <w:pPr>
              <w:pStyle w:val="TableCell"/>
              <w:spacing w:before="60" w:after="60"/>
            </w:pPr>
            <w:r w:rsidRPr="001D6512">
              <w:t>Unit Energy Savings</w:t>
            </w:r>
          </w:p>
        </w:tc>
        <w:tc>
          <w:tcPr>
            <w:tcW w:w="5440" w:type="dxa"/>
          </w:tcPr>
          <w:p w:rsidR="00E757AB" w:rsidRPr="001D6512" w:rsidRDefault="00E757AB" w:rsidP="00E757AB">
            <w:pPr>
              <w:pStyle w:val="TableCell"/>
              <w:spacing w:before="60" w:after="60"/>
            </w:pPr>
            <w:r w:rsidRPr="001D6512">
              <w:t>Fixed</w:t>
            </w:r>
          </w:p>
        </w:tc>
      </w:tr>
      <w:tr w:rsidR="00E757AB" w:rsidRPr="00DC57D4" w:rsidTr="00E757AB">
        <w:trPr>
          <w:jc w:val="center"/>
        </w:trPr>
        <w:tc>
          <w:tcPr>
            <w:tcW w:w="3200" w:type="dxa"/>
          </w:tcPr>
          <w:p w:rsidR="00E757AB" w:rsidRPr="001D6512" w:rsidRDefault="00E757AB" w:rsidP="00E757AB">
            <w:pPr>
              <w:pStyle w:val="TableCell"/>
              <w:spacing w:before="60" w:after="60"/>
            </w:pPr>
            <w:r w:rsidRPr="001D6512">
              <w:t>Unit Peak Demand Reduction</w:t>
            </w:r>
          </w:p>
        </w:tc>
        <w:tc>
          <w:tcPr>
            <w:tcW w:w="5440" w:type="dxa"/>
          </w:tcPr>
          <w:p w:rsidR="00E757AB" w:rsidRPr="001D6512" w:rsidRDefault="00E757AB" w:rsidP="00E757AB">
            <w:pPr>
              <w:pStyle w:val="TableCell"/>
              <w:spacing w:before="60" w:after="60"/>
            </w:pPr>
            <w:r w:rsidRPr="001D6512">
              <w:t>Fixed</w:t>
            </w:r>
          </w:p>
        </w:tc>
      </w:tr>
      <w:tr w:rsidR="00E757AB" w:rsidRPr="00DC57D4" w:rsidTr="00E757AB">
        <w:trPr>
          <w:jc w:val="center"/>
        </w:trPr>
        <w:tc>
          <w:tcPr>
            <w:tcW w:w="3200" w:type="dxa"/>
          </w:tcPr>
          <w:p w:rsidR="00E757AB" w:rsidRPr="001D6512" w:rsidRDefault="00E757AB" w:rsidP="00E757AB">
            <w:pPr>
              <w:pStyle w:val="TableCell"/>
              <w:spacing w:before="60" w:after="60"/>
            </w:pPr>
            <w:r w:rsidRPr="001D6512">
              <w:t>Measure Life</w:t>
            </w:r>
          </w:p>
        </w:tc>
        <w:tc>
          <w:tcPr>
            <w:tcW w:w="5440" w:type="dxa"/>
          </w:tcPr>
          <w:p w:rsidR="00E757AB" w:rsidRPr="001D6512" w:rsidRDefault="00E757AB" w:rsidP="00E757AB">
            <w:pPr>
              <w:pStyle w:val="TableCell"/>
              <w:spacing w:before="60" w:after="60"/>
              <w:rPr>
                <w:highlight w:val="yellow"/>
              </w:rPr>
            </w:pPr>
            <w:r w:rsidRPr="001D6512">
              <w:t>8 years</w:t>
            </w:r>
          </w:p>
        </w:tc>
      </w:tr>
    </w:tbl>
    <w:p w:rsidR="00E757AB" w:rsidRDefault="00E757AB" w:rsidP="00E757AB"/>
    <w:p w:rsidR="00E757AB" w:rsidRDefault="00E757AB" w:rsidP="00F05DC2">
      <w:pPr>
        <w:rPr>
          <w:rFonts w:cs="Arial"/>
          <w:color w:val="000000"/>
        </w:rPr>
      </w:pPr>
      <w:r w:rsidRPr="00446F10">
        <w:rPr>
          <w:rFonts w:cs="Arial"/>
          <w:color w:val="000000"/>
        </w:rPr>
        <w:t>The auto-closer should be applied to the main insulated opaque door(s) of a walk-in cooler or freezer</w:t>
      </w:r>
      <w:r>
        <w:rPr>
          <w:rFonts w:cs="Arial"/>
          <w:color w:val="000000"/>
        </w:rPr>
        <w:t xml:space="preserve">.  </w:t>
      </w:r>
      <w:r w:rsidRPr="004255FD">
        <w:t>Auto-closers on freezers and coolers can reduce the amount of time that doors are open, thereby reducing infiltration and refrigeration loads. These measures are for retrofit of doors not previously equipped with auto-closers, and assume the doors have strip curtains.</w:t>
      </w:r>
      <w:r w:rsidRPr="001B0A6A">
        <w:rPr>
          <w:rFonts w:cs="Arial"/>
          <w:color w:val="000000"/>
        </w:rPr>
        <w:t xml:space="preserve"> </w:t>
      </w:r>
    </w:p>
    <w:p w:rsidR="00E757AB" w:rsidRDefault="00E757AB" w:rsidP="00871FA2">
      <w:pPr>
        <w:pStyle w:val="Heading3"/>
      </w:pPr>
      <w:r>
        <w:t>Eligibility</w:t>
      </w:r>
      <w:r>
        <w:rPr>
          <w:rStyle w:val="FootnoteReference"/>
        </w:rPr>
        <w:footnoteReference w:id="215"/>
      </w:r>
      <w:r>
        <w:t xml:space="preserve"> </w:t>
      </w:r>
    </w:p>
    <w:p w:rsidR="00E757AB" w:rsidRDefault="00E757AB" w:rsidP="00F05DC2">
      <w:r w:rsidRPr="002E1D8D">
        <w:t>This protocol documents the energy savings attribut</w:t>
      </w:r>
      <w:r>
        <w:t>ed</w:t>
      </w:r>
      <w:r w:rsidRPr="002E1D8D">
        <w:t xml:space="preserve"> to</w:t>
      </w:r>
      <w:r>
        <w:t xml:space="preserve"> installation of auto closers in walk-in coolers and freezers. </w:t>
      </w:r>
      <w:r w:rsidRPr="001B0A6A">
        <w:t xml:space="preserve">The auto-closer </w:t>
      </w:r>
      <w:r>
        <w:t>must be able to firmly close the</w:t>
      </w:r>
      <w:r w:rsidRPr="001B0A6A">
        <w:t xml:space="preserve"> door when it is within one inch of full closure.</w:t>
      </w:r>
      <w:r>
        <w:t xml:space="preserve"> The walk-in door perimeter must be </w:t>
      </w:r>
      <w:r w:rsidRPr="004E4746">
        <w:t>≥16 ft</w:t>
      </w:r>
      <w:r>
        <w:t>.</w:t>
      </w:r>
    </w:p>
    <w:p w:rsidR="00E757AB" w:rsidRDefault="00E757AB" w:rsidP="00871FA2">
      <w:pPr>
        <w:pStyle w:val="Heading3"/>
      </w:pPr>
      <w:r w:rsidRPr="001C4AD5">
        <w:t>Algorithms</w:t>
      </w:r>
    </w:p>
    <w:p w:rsidR="00E757AB" w:rsidRPr="00456BAF" w:rsidRDefault="00E757AB" w:rsidP="00F05DC2">
      <w:pPr>
        <w:rPr>
          <w:rFonts w:cs="Arial"/>
        </w:rPr>
      </w:pPr>
      <w:r w:rsidRPr="004255FD">
        <w:t xml:space="preserve">Auto-Closers are treated in Database for Energy Efficient Resources </w:t>
      </w:r>
      <w:r>
        <w:t>(</w:t>
      </w:r>
      <w:r w:rsidRPr="004255FD">
        <w:t>DEER</w:t>
      </w:r>
      <w:r>
        <w:t>)</w:t>
      </w:r>
      <w:r w:rsidRPr="004255FD">
        <w:t xml:space="preserve"> as weather-sensitive; therefore the recommended deemed savings values indicated below are derived from the DEER runs in </w:t>
      </w:r>
      <w:r>
        <w:t>California climate zones most closely associated to the climate zones of the main seven Pennsylvania cities</w:t>
      </w:r>
      <w:r w:rsidRPr="004255FD">
        <w:t>,</w:t>
      </w:r>
      <w:r>
        <w:t xml:space="preserve"> The association between California climate zones and the Pennsylvania cities is based on Cooling Degree Days (CDDs).</w:t>
      </w:r>
      <w:r w:rsidRPr="004255FD">
        <w:t xml:space="preserve"> Savings estimates for each measure are averaged across six building vintages for each climate-zone for building type 9, Grocery Stores.</w:t>
      </w:r>
      <w:r>
        <w:t xml:space="preserve"> </w:t>
      </w:r>
    </w:p>
    <w:p w:rsidR="00E757AB" w:rsidRPr="006C6252" w:rsidRDefault="00E757AB" w:rsidP="00E757AB">
      <w:pPr>
        <w:pStyle w:val="Equation"/>
        <w:rPr>
          <w:rFonts w:cs="Arial"/>
          <w:b/>
          <w:szCs w:val="20"/>
        </w:rPr>
      </w:pPr>
      <w:r w:rsidRPr="006C6252">
        <w:rPr>
          <w:rFonts w:cs="Arial"/>
          <w:b/>
          <w:szCs w:val="20"/>
        </w:rPr>
        <w:t>Main Cooler Door</w:t>
      </w:r>
      <w:r>
        <w:rPr>
          <w:rFonts w:cs="Arial"/>
          <w:b/>
          <w:szCs w:val="20"/>
        </w:rPr>
        <w:t>s</w:t>
      </w:r>
    </w:p>
    <w:p w:rsidR="00E757AB" w:rsidRDefault="00E757AB" w:rsidP="00E757AB">
      <w:pPr>
        <w:pStyle w:val="Equation"/>
        <w:rPr>
          <w:rFonts w:cs="Arial"/>
          <w:szCs w:val="20"/>
        </w:rPr>
      </w:pPr>
      <w:r w:rsidRPr="00AA2C40">
        <w:rPr>
          <w:rFonts w:cs="Arial"/>
          <w:szCs w:val="20"/>
        </w:rPr>
        <w:sym w:font="Symbol" w:char="F044"/>
      </w:r>
      <w:r w:rsidRPr="00AA2C40">
        <w:rPr>
          <w:rFonts w:cs="Arial"/>
          <w:szCs w:val="20"/>
        </w:rPr>
        <w:t>kWh</w:t>
      </w:r>
      <w:r>
        <w:rPr>
          <w:rFonts w:cs="Arial"/>
          <w:szCs w:val="20"/>
        </w:rPr>
        <w:tab/>
      </w:r>
      <w:r w:rsidRPr="00F5204A">
        <w:rPr>
          <w:rFonts w:cs="Arial"/>
          <w:szCs w:val="20"/>
        </w:rPr>
        <w:tab/>
        <w:t xml:space="preserve">= </w:t>
      </w:r>
      <w:r w:rsidRPr="006C6252">
        <w:rPr>
          <w:rFonts w:cs="Arial"/>
          <w:szCs w:val="20"/>
        </w:rPr>
        <w:t>ΔkWh</w:t>
      </w:r>
      <w:r w:rsidRPr="006C6252">
        <w:rPr>
          <w:rFonts w:cs="Arial"/>
          <w:szCs w:val="20"/>
          <w:vertAlign w:val="subscript"/>
        </w:rPr>
        <w:t>cooler</w:t>
      </w:r>
    </w:p>
    <w:p w:rsidR="00E757AB" w:rsidRDefault="00E757AB" w:rsidP="00E757AB">
      <w:pPr>
        <w:pStyle w:val="Equation"/>
      </w:pPr>
      <w:r w:rsidRPr="00AA2C40">
        <w:rPr>
          <w:rFonts w:cs="Arial"/>
          <w:szCs w:val="20"/>
        </w:rPr>
        <w:sym w:font="Symbol" w:char="F044"/>
      </w:r>
      <w:r w:rsidRPr="00AA2C40">
        <w:rPr>
          <w:rFonts w:cs="Arial"/>
          <w:szCs w:val="20"/>
        </w:rPr>
        <w:t>kW</w:t>
      </w:r>
      <w:r w:rsidRPr="00AA2C40">
        <w:rPr>
          <w:rFonts w:cs="Arial"/>
          <w:szCs w:val="20"/>
          <w:vertAlign w:val="subscript"/>
        </w:rPr>
        <w:t>peak</w:t>
      </w:r>
      <w:r>
        <w:rPr>
          <w:rFonts w:cs="Arial"/>
          <w:szCs w:val="20"/>
          <w:vertAlign w:val="subscript"/>
        </w:rPr>
        <w:tab/>
      </w:r>
      <w:r>
        <w:rPr>
          <w:rFonts w:cs="Arial"/>
          <w:szCs w:val="20"/>
          <w:vertAlign w:val="subscript"/>
        </w:rPr>
        <w:tab/>
      </w:r>
      <w:r w:rsidRPr="006C6252">
        <w:rPr>
          <w:rFonts w:cs="Arial"/>
          <w:szCs w:val="20"/>
        </w:rPr>
        <w:t>= ΔkW</w:t>
      </w:r>
      <w:r w:rsidRPr="006C6252">
        <w:rPr>
          <w:rFonts w:cs="Arial"/>
          <w:szCs w:val="20"/>
          <w:vertAlign w:val="subscript"/>
        </w:rPr>
        <w:t>cooler</w:t>
      </w:r>
    </w:p>
    <w:p w:rsidR="00E757AB" w:rsidRDefault="00E757AB" w:rsidP="00E757AB">
      <w:pPr>
        <w:pStyle w:val="Equation"/>
        <w:rPr>
          <w:rFonts w:cs="Arial"/>
          <w:b/>
          <w:szCs w:val="20"/>
        </w:rPr>
      </w:pPr>
      <w:r w:rsidRPr="006C6252">
        <w:rPr>
          <w:rFonts w:cs="Arial"/>
          <w:b/>
          <w:szCs w:val="20"/>
        </w:rPr>
        <w:t>Main Freezer Door</w:t>
      </w:r>
      <w:r>
        <w:rPr>
          <w:rFonts w:cs="Arial"/>
          <w:b/>
          <w:szCs w:val="20"/>
        </w:rPr>
        <w:t>s</w:t>
      </w:r>
    </w:p>
    <w:p w:rsidR="00E757AB" w:rsidRDefault="00E757AB" w:rsidP="00E757AB">
      <w:pPr>
        <w:pStyle w:val="Equation"/>
        <w:rPr>
          <w:rFonts w:cs="Arial"/>
          <w:szCs w:val="20"/>
        </w:rPr>
      </w:pPr>
      <w:r w:rsidRPr="00AA2C40">
        <w:rPr>
          <w:rFonts w:cs="Arial"/>
          <w:szCs w:val="20"/>
        </w:rPr>
        <w:sym w:font="Symbol" w:char="F044"/>
      </w:r>
      <w:r w:rsidRPr="00AA2C40">
        <w:rPr>
          <w:rFonts w:cs="Arial"/>
          <w:szCs w:val="20"/>
        </w:rPr>
        <w:t>kWh</w:t>
      </w:r>
      <w:r>
        <w:rPr>
          <w:rFonts w:cs="Arial"/>
          <w:szCs w:val="20"/>
        </w:rPr>
        <w:tab/>
      </w:r>
      <w:r w:rsidRPr="00F5204A">
        <w:rPr>
          <w:rFonts w:cs="Arial"/>
          <w:szCs w:val="20"/>
        </w:rPr>
        <w:tab/>
        <w:t xml:space="preserve">= </w:t>
      </w:r>
      <w:r w:rsidRPr="006C6252">
        <w:rPr>
          <w:rFonts w:cs="Arial"/>
          <w:szCs w:val="20"/>
        </w:rPr>
        <w:t>ΔkWh</w:t>
      </w:r>
      <w:r w:rsidRPr="006C6252">
        <w:rPr>
          <w:rFonts w:cs="Arial"/>
          <w:szCs w:val="20"/>
          <w:vertAlign w:val="subscript"/>
        </w:rPr>
        <w:t>freezer</w:t>
      </w:r>
    </w:p>
    <w:p w:rsidR="00E757AB" w:rsidRPr="006C6252" w:rsidRDefault="00E757AB" w:rsidP="00E757AB">
      <w:pPr>
        <w:pStyle w:val="Equation"/>
        <w:rPr>
          <w:rFonts w:cs="Arial"/>
          <w:szCs w:val="20"/>
        </w:rPr>
      </w:pPr>
      <w:r w:rsidRPr="00AA2C40">
        <w:rPr>
          <w:rFonts w:cs="Arial"/>
          <w:szCs w:val="20"/>
        </w:rPr>
        <w:sym w:font="Symbol" w:char="F044"/>
      </w:r>
      <w:r w:rsidRPr="00AA2C40">
        <w:rPr>
          <w:rFonts w:cs="Arial"/>
          <w:szCs w:val="20"/>
        </w:rPr>
        <w:t>kW</w:t>
      </w:r>
      <w:r w:rsidRPr="006C6252">
        <w:rPr>
          <w:rFonts w:cs="Arial"/>
          <w:szCs w:val="20"/>
          <w:vertAlign w:val="subscript"/>
        </w:rPr>
        <w:t>peak</w:t>
      </w:r>
      <w:r>
        <w:rPr>
          <w:rFonts w:cs="Arial"/>
          <w:szCs w:val="20"/>
        </w:rPr>
        <w:tab/>
      </w:r>
      <w:r>
        <w:rPr>
          <w:rFonts w:cs="Arial"/>
          <w:szCs w:val="20"/>
        </w:rPr>
        <w:tab/>
      </w:r>
      <w:r w:rsidRPr="006C6252">
        <w:rPr>
          <w:rFonts w:cs="Arial"/>
          <w:szCs w:val="20"/>
        </w:rPr>
        <w:t>= ΔkW</w:t>
      </w:r>
      <w:r w:rsidRPr="006C6252">
        <w:rPr>
          <w:rFonts w:cs="Arial"/>
          <w:szCs w:val="20"/>
          <w:vertAlign w:val="subscript"/>
        </w:rPr>
        <w:t>freezer</w:t>
      </w:r>
    </w:p>
    <w:p w:rsidR="00E757AB" w:rsidRDefault="00E757AB" w:rsidP="00871FA2">
      <w:pPr>
        <w:pStyle w:val="Heading3"/>
      </w:pPr>
      <w:r w:rsidRPr="001C4AD5">
        <w:t xml:space="preserve">Definition of </w:t>
      </w:r>
      <w:r>
        <w:t>Terms</w:t>
      </w:r>
    </w:p>
    <w:p w:rsidR="00E757AB" w:rsidRPr="00F83A91" w:rsidRDefault="00E757AB" w:rsidP="00E757AB">
      <w:pPr>
        <w:ind w:firstLine="720"/>
      </w:pPr>
      <w:r w:rsidRPr="00F83A91">
        <w:rPr>
          <w:rFonts w:cs="Arial"/>
          <w:szCs w:val="18"/>
        </w:rPr>
        <w:t>ΔkWh</w:t>
      </w:r>
      <w:r w:rsidRPr="00F83A91">
        <w:rPr>
          <w:rFonts w:cs="Arial"/>
          <w:szCs w:val="18"/>
          <w:vertAlign w:val="subscript"/>
        </w:rPr>
        <w:t>cooler,</w:t>
      </w:r>
      <w:r>
        <w:rPr>
          <w:rFonts w:cs="Arial"/>
          <w:szCs w:val="18"/>
          <w:vertAlign w:val="subscript"/>
        </w:rPr>
        <w:tab/>
      </w:r>
      <w:r>
        <w:rPr>
          <w:rFonts w:cs="Arial"/>
          <w:szCs w:val="18"/>
          <w:vertAlign w:val="subscript"/>
        </w:rPr>
        <w:tab/>
      </w:r>
      <w:r>
        <w:rPr>
          <w:rFonts w:cs="Arial"/>
          <w:szCs w:val="18"/>
        </w:rPr>
        <w:t xml:space="preserve">= </w:t>
      </w:r>
      <w:r w:rsidRPr="00F83A91">
        <w:rPr>
          <w:rFonts w:cs="Arial"/>
          <w:szCs w:val="18"/>
        </w:rPr>
        <w:t>Annual kWh savings for main cooler doors</w:t>
      </w:r>
    </w:p>
    <w:p w:rsidR="00E757AB" w:rsidRPr="00F83A91" w:rsidRDefault="00E757AB" w:rsidP="00E757AB">
      <w:pPr>
        <w:ind w:firstLine="720"/>
        <w:rPr>
          <w:rFonts w:cs="Arial"/>
          <w:szCs w:val="18"/>
        </w:rPr>
      </w:pPr>
      <w:r w:rsidRPr="00F83A91">
        <w:rPr>
          <w:rFonts w:cs="Arial"/>
          <w:szCs w:val="18"/>
        </w:rPr>
        <w:t>ΔkW</w:t>
      </w:r>
      <w:r w:rsidRPr="00F83A91">
        <w:rPr>
          <w:rFonts w:cs="Arial"/>
          <w:szCs w:val="18"/>
          <w:vertAlign w:val="subscript"/>
        </w:rPr>
        <w:t>cooler</w:t>
      </w:r>
      <w:r>
        <w:rPr>
          <w:rFonts w:cs="Arial"/>
          <w:szCs w:val="18"/>
          <w:vertAlign w:val="subscript"/>
        </w:rPr>
        <w:tab/>
      </w:r>
      <w:r>
        <w:rPr>
          <w:rFonts w:cs="Arial"/>
          <w:szCs w:val="18"/>
          <w:vertAlign w:val="subscript"/>
        </w:rPr>
        <w:tab/>
      </w:r>
      <w:r>
        <w:rPr>
          <w:rFonts w:cs="Arial"/>
          <w:szCs w:val="18"/>
        </w:rPr>
        <w:t xml:space="preserve">= </w:t>
      </w:r>
      <w:r w:rsidRPr="00F83A91">
        <w:rPr>
          <w:rFonts w:cs="Arial"/>
          <w:szCs w:val="18"/>
        </w:rPr>
        <w:t>Summer peak kW savings for main cooler doors</w:t>
      </w:r>
    </w:p>
    <w:p w:rsidR="00E757AB" w:rsidRPr="00F83A91" w:rsidRDefault="00E757AB" w:rsidP="00E757AB">
      <w:pPr>
        <w:ind w:firstLine="720"/>
        <w:rPr>
          <w:rFonts w:cs="Arial"/>
          <w:szCs w:val="18"/>
        </w:rPr>
      </w:pPr>
      <w:r w:rsidRPr="00F83A91">
        <w:rPr>
          <w:rFonts w:cs="Arial"/>
          <w:szCs w:val="18"/>
        </w:rPr>
        <w:t>ΔkWh</w:t>
      </w:r>
      <w:r w:rsidRPr="00F83A91">
        <w:rPr>
          <w:rFonts w:cs="Arial"/>
          <w:szCs w:val="18"/>
          <w:vertAlign w:val="subscript"/>
        </w:rPr>
        <w:t>freezer,</w:t>
      </w:r>
      <w:r>
        <w:rPr>
          <w:rFonts w:cs="Arial"/>
          <w:szCs w:val="18"/>
          <w:vertAlign w:val="subscript"/>
        </w:rPr>
        <w:tab/>
      </w:r>
      <w:r>
        <w:rPr>
          <w:rFonts w:cs="Arial"/>
          <w:szCs w:val="18"/>
          <w:vertAlign w:val="subscript"/>
        </w:rPr>
        <w:tab/>
        <w:t xml:space="preserve"> </w:t>
      </w:r>
      <w:r>
        <w:rPr>
          <w:rFonts w:cs="Arial"/>
          <w:szCs w:val="18"/>
        </w:rPr>
        <w:t xml:space="preserve">= </w:t>
      </w:r>
      <w:r w:rsidRPr="00F83A91">
        <w:rPr>
          <w:rFonts w:cs="Arial"/>
          <w:szCs w:val="18"/>
        </w:rPr>
        <w:t>Annual kWh savings for main freezer doors</w:t>
      </w:r>
    </w:p>
    <w:p w:rsidR="00E757AB" w:rsidRPr="00F83A91" w:rsidRDefault="00E757AB" w:rsidP="00E757AB">
      <w:pPr>
        <w:ind w:firstLine="720"/>
      </w:pPr>
      <w:r w:rsidRPr="00F83A91">
        <w:rPr>
          <w:rFonts w:cs="Arial"/>
          <w:szCs w:val="18"/>
        </w:rPr>
        <w:t>ΔkW</w:t>
      </w:r>
      <w:r w:rsidRPr="00F83A91">
        <w:rPr>
          <w:rFonts w:cs="Arial"/>
          <w:szCs w:val="18"/>
          <w:vertAlign w:val="subscript"/>
        </w:rPr>
        <w:t>freezer</w:t>
      </w:r>
      <w:r>
        <w:rPr>
          <w:rFonts w:cs="Arial"/>
          <w:szCs w:val="18"/>
          <w:vertAlign w:val="subscript"/>
        </w:rPr>
        <w:tab/>
      </w:r>
      <w:r>
        <w:rPr>
          <w:rFonts w:cs="Arial"/>
          <w:szCs w:val="18"/>
          <w:vertAlign w:val="subscript"/>
        </w:rPr>
        <w:tab/>
        <w:t xml:space="preserve"> </w:t>
      </w:r>
      <w:r>
        <w:rPr>
          <w:rFonts w:cs="Arial"/>
          <w:szCs w:val="18"/>
        </w:rPr>
        <w:t xml:space="preserve">= </w:t>
      </w:r>
      <w:r w:rsidRPr="00F83A91">
        <w:rPr>
          <w:rFonts w:cs="Arial"/>
          <w:szCs w:val="18"/>
        </w:rPr>
        <w:t>Summer peak kW savings for main freezer doors</w:t>
      </w:r>
    </w:p>
    <w:p w:rsidR="00E757AB" w:rsidRDefault="00E757AB" w:rsidP="00E757AB">
      <w:pPr>
        <w:keepNext/>
        <w:rPr>
          <w:b/>
        </w:rPr>
      </w:pPr>
    </w:p>
    <w:p w:rsidR="00E757AB" w:rsidRPr="005F556D" w:rsidRDefault="00E757AB" w:rsidP="00E757AB">
      <w:pPr>
        <w:pStyle w:val="Caption"/>
      </w:pPr>
      <w:bookmarkStart w:id="1007" w:name="_Toc310875626"/>
      <w:r w:rsidRPr="005F556D">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74</w:t>
      </w:r>
      <w:r w:rsidR="00274AB1">
        <w:rPr>
          <w:noProof/>
        </w:rPr>
        <w:fldChar w:fldCharType="end"/>
      </w:r>
      <w:r w:rsidRPr="005F556D">
        <w:t>: Refrigeration Auto Closers Calculations Assumptions</w:t>
      </w:r>
      <w:bookmarkEnd w:id="1007"/>
    </w:p>
    <w:tbl>
      <w:tblPr>
        <w:tblW w:w="0" w:type="auto"/>
        <w:jc w:val="center"/>
        <w:tblInd w:w="93" w:type="dxa"/>
        <w:tblLook w:val="04A0" w:firstRow="1" w:lastRow="0" w:firstColumn="1" w:lastColumn="0" w:noHBand="0" w:noVBand="1"/>
      </w:tblPr>
      <w:tblGrid>
        <w:gridCol w:w="1477"/>
        <w:gridCol w:w="1318"/>
        <w:gridCol w:w="1170"/>
        <w:gridCol w:w="1170"/>
        <w:gridCol w:w="1260"/>
        <w:gridCol w:w="1170"/>
        <w:gridCol w:w="900"/>
      </w:tblGrid>
      <w:tr w:rsidR="00E757AB" w:rsidRPr="00152A70" w:rsidTr="00E757AB">
        <w:trPr>
          <w:trHeight w:val="315"/>
          <w:jc w:val="center"/>
        </w:trPr>
        <w:tc>
          <w:tcPr>
            <w:tcW w:w="0" w:type="auto"/>
            <w:vMerge w:val="restart"/>
            <w:tcBorders>
              <w:top w:val="single" w:sz="8" w:space="0" w:color="auto"/>
              <w:left w:val="single" w:sz="8" w:space="0" w:color="auto"/>
              <w:bottom w:val="single" w:sz="8" w:space="0" w:color="000000"/>
              <w:right w:val="single" w:sz="8" w:space="0" w:color="auto"/>
            </w:tcBorders>
            <w:shd w:val="clear" w:color="000000" w:fill="A5A5A5"/>
            <w:vAlign w:val="center"/>
            <w:hideMark/>
          </w:tcPr>
          <w:p w:rsidR="00E757AB" w:rsidRPr="00152A70" w:rsidRDefault="00F949E0" w:rsidP="00E757AB">
            <w:pPr>
              <w:overflowPunct/>
              <w:autoSpaceDE/>
              <w:autoSpaceDN/>
              <w:adjustRightInd/>
              <w:spacing w:after="0" w:line="240" w:lineRule="auto"/>
              <w:jc w:val="center"/>
              <w:textAlignment w:val="auto"/>
              <w:rPr>
                <w:rFonts w:cs="Arial"/>
                <w:b/>
                <w:bCs/>
                <w:color w:val="000000"/>
                <w:sz w:val="18"/>
                <w:szCs w:val="18"/>
              </w:rPr>
            </w:pPr>
            <w:r>
              <w:rPr>
                <w:rFonts w:cs="Arial"/>
                <w:b/>
                <w:bCs/>
                <w:color w:val="000000"/>
                <w:sz w:val="18"/>
                <w:szCs w:val="18"/>
              </w:rPr>
              <w:t>Reference City</w:t>
            </w:r>
          </w:p>
        </w:tc>
        <w:tc>
          <w:tcPr>
            <w:tcW w:w="1318" w:type="dxa"/>
            <w:vMerge w:val="restart"/>
            <w:tcBorders>
              <w:top w:val="single" w:sz="8" w:space="0" w:color="auto"/>
              <w:left w:val="single" w:sz="8" w:space="0" w:color="auto"/>
              <w:bottom w:val="single" w:sz="8" w:space="0" w:color="000000"/>
              <w:right w:val="single" w:sz="8" w:space="0" w:color="auto"/>
            </w:tcBorders>
            <w:shd w:val="clear" w:color="000000" w:fill="A5A5A5"/>
            <w:vAlign w:val="center"/>
            <w:hideMark/>
          </w:tcPr>
          <w:p w:rsidR="00E757AB" w:rsidRPr="00152A70" w:rsidRDefault="00E757AB" w:rsidP="00E757AB">
            <w:pPr>
              <w:overflowPunct/>
              <w:autoSpaceDE/>
              <w:autoSpaceDN/>
              <w:adjustRightInd/>
              <w:spacing w:after="0" w:line="240" w:lineRule="auto"/>
              <w:jc w:val="center"/>
              <w:textAlignment w:val="auto"/>
              <w:rPr>
                <w:rFonts w:cs="Arial"/>
                <w:b/>
                <w:bCs/>
                <w:color w:val="000000"/>
                <w:sz w:val="18"/>
                <w:szCs w:val="18"/>
              </w:rPr>
            </w:pPr>
            <w:r w:rsidRPr="00152A70">
              <w:rPr>
                <w:rFonts w:cs="Arial"/>
                <w:b/>
                <w:bCs/>
                <w:color w:val="000000"/>
                <w:sz w:val="18"/>
                <w:szCs w:val="18"/>
              </w:rPr>
              <w:t>Associated California Climate Zone</w:t>
            </w:r>
          </w:p>
        </w:tc>
        <w:tc>
          <w:tcPr>
            <w:tcW w:w="4770" w:type="dxa"/>
            <w:gridSpan w:val="4"/>
            <w:tcBorders>
              <w:top w:val="single" w:sz="8" w:space="0" w:color="auto"/>
              <w:left w:val="nil"/>
              <w:bottom w:val="single" w:sz="8" w:space="0" w:color="auto"/>
              <w:right w:val="single" w:sz="8" w:space="0" w:color="000000"/>
            </w:tcBorders>
            <w:shd w:val="clear" w:color="000000" w:fill="A5A5A5"/>
            <w:vAlign w:val="center"/>
            <w:hideMark/>
          </w:tcPr>
          <w:p w:rsidR="00E757AB" w:rsidRPr="00152A70" w:rsidRDefault="00E757AB" w:rsidP="00E757AB">
            <w:pPr>
              <w:overflowPunct/>
              <w:autoSpaceDE/>
              <w:autoSpaceDN/>
              <w:adjustRightInd/>
              <w:spacing w:after="0" w:line="240" w:lineRule="auto"/>
              <w:jc w:val="center"/>
              <w:textAlignment w:val="auto"/>
              <w:rPr>
                <w:rFonts w:cs="Arial"/>
                <w:b/>
                <w:bCs/>
                <w:color w:val="000000"/>
                <w:sz w:val="18"/>
                <w:szCs w:val="18"/>
              </w:rPr>
            </w:pPr>
            <w:r w:rsidRPr="00152A70">
              <w:rPr>
                <w:rFonts w:cs="Arial"/>
                <w:b/>
                <w:bCs/>
                <w:color w:val="000000"/>
                <w:sz w:val="18"/>
                <w:szCs w:val="18"/>
              </w:rPr>
              <w:t>Value</w:t>
            </w:r>
          </w:p>
        </w:tc>
        <w:tc>
          <w:tcPr>
            <w:tcW w:w="900" w:type="dxa"/>
            <w:vMerge w:val="restart"/>
            <w:tcBorders>
              <w:top w:val="single" w:sz="8" w:space="0" w:color="auto"/>
              <w:left w:val="single" w:sz="8" w:space="0" w:color="auto"/>
              <w:bottom w:val="single" w:sz="8" w:space="0" w:color="000000"/>
              <w:right w:val="single" w:sz="8" w:space="0" w:color="auto"/>
            </w:tcBorders>
            <w:shd w:val="clear" w:color="000000" w:fill="A5A5A5"/>
            <w:vAlign w:val="center"/>
            <w:hideMark/>
          </w:tcPr>
          <w:p w:rsidR="00E757AB" w:rsidRPr="00152A70" w:rsidRDefault="00E757AB" w:rsidP="00E757AB">
            <w:pPr>
              <w:overflowPunct/>
              <w:autoSpaceDE/>
              <w:autoSpaceDN/>
              <w:adjustRightInd/>
              <w:spacing w:after="0" w:line="240" w:lineRule="auto"/>
              <w:jc w:val="center"/>
              <w:textAlignment w:val="auto"/>
              <w:rPr>
                <w:rFonts w:cs="Arial"/>
                <w:b/>
                <w:bCs/>
                <w:color w:val="000000"/>
                <w:sz w:val="18"/>
                <w:szCs w:val="18"/>
              </w:rPr>
            </w:pPr>
            <w:r w:rsidRPr="00152A70">
              <w:rPr>
                <w:rFonts w:cs="Arial"/>
                <w:b/>
                <w:bCs/>
                <w:color w:val="000000"/>
                <w:sz w:val="18"/>
                <w:szCs w:val="18"/>
              </w:rPr>
              <w:t>Source</w:t>
            </w:r>
          </w:p>
        </w:tc>
      </w:tr>
      <w:tr w:rsidR="00E757AB" w:rsidRPr="00152A70" w:rsidTr="00E757AB">
        <w:trPr>
          <w:trHeight w:val="31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E757AB" w:rsidRPr="00152A70" w:rsidRDefault="00E757AB" w:rsidP="00E757AB">
            <w:pPr>
              <w:overflowPunct/>
              <w:autoSpaceDE/>
              <w:autoSpaceDN/>
              <w:adjustRightInd/>
              <w:spacing w:after="0" w:line="240" w:lineRule="auto"/>
              <w:textAlignment w:val="auto"/>
              <w:rPr>
                <w:rFonts w:cs="Arial"/>
                <w:b/>
                <w:bCs/>
                <w:color w:val="000000"/>
                <w:sz w:val="18"/>
                <w:szCs w:val="18"/>
              </w:rPr>
            </w:pPr>
          </w:p>
        </w:tc>
        <w:tc>
          <w:tcPr>
            <w:tcW w:w="1318" w:type="dxa"/>
            <w:vMerge/>
            <w:tcBorders>
              <w:top w:val="single" w:sz="8" w:space="0" w:color="auto"/>
              <w:left w:val="single" w:sz="8" w:space="0" w:color="auto"/>
              <w:bottom w:val="single" w:sz="8" w:space="0" w:color="000000"/>
              <w:right w:val="single" w:sz="8" w:space="0" w:color="auto"/>
            </w:tcBorders>
            <w:vAlign w:val="center"/>
            <w:hideMark/>
          </w:tcPr>
          <w:p w:rsidR="00E757AB" w:rsidRPr="00152A70" w:rsidRDefault="00E757AB" w:rsidP="00E757AB">
            <w:pPr>
              <w:overflowPunct/>
              <w:autoSpaceDE/>
              <w:autoSpaceDN/>
              <w:adjustRightInd/>
              <w:spacing w:after="0" w:line="240" w:lineRule="auto"/>
              <w:textAlignment w:val="auto"/>
              <w:rPr>
                <w:rFonts w:cs="Arial"/>
                <w:b/>
                <w:bCs/>
                <w:color w:val="000000"/>
                <w:sz w:val="18"/>
                <w:szCs w:val="18"/>
              </w:rPr>
            </w:pPr>
          </w:p>
        </w:tc>
        <w:tc>
          <w:tcPr>
            <w:tcW w:w="2340" w:type="dxa"/>
            <w:gridSpan w:val="2"/>
            <w:tcBorders>
              <w:top w:val="single" w:sz="8" w:space="0" w:color="auto"/>
              <w:left w:val="nil"/>
              <w:bottom w:val="single" w:sz="8" w:space="0" w:color="auto"/>
              <w:right w:val="single" w:sz="8" w:space="0" w:color="000000"/>
            </w:tcBorders>
            <w:shd w:val="clear" w:color="000000" w:fill="A5A5A5"/>
            <w:vAlign w:val="center"/>
            <w:hideMark/>
          </w:tcPr>
          <w:p w:rsidR="00E757AB" w:rsidRPr="00152A70" w:rsidRDefault="00E757AB" w:rsidP="00E757AB">
            <w:pPr>
              <w:overflowPunct/>
              <w:autoSpaceDE/>
              <w:autoSpaceDN/>
              <w:adjustRightInd/>
              <w:spacing w:after="0" w:line="240" w:lineRule="auto"/>
              <w:jc w:val="center"/>
              <w:textAlignment w:val="auto"/>
              <w:rPr>
                <w:rFonts w:cs="Arial"/>
                <w:b/>
                <w:bCs/>
                <w:color w:val="000000"/>
                <w:sz w:val="18"/>
                <w:szCs w:val="18"/>
              </w:rPr>
            </w:pPr>
            <w:r w:rsidRPr="00152A70">
              <w:rPr>
                <w:rFonts w:cs="Arial"/>
                <w:b/>
                <w:bCs/>
                <w:color w:val="000000"/>
                <w:sz w:val="18"/>
                <w:szCs w:val="18"/>
              </w:rPr>
              <w:t>Cooler</w:t>
            </w:r>
          </w:p>
        </w:tc>
        <w:tc>
          <w:tcPr>
            <w:tcW w:w="2430" w:type="dxa"/>
            <w:gridSpan w:val="2"/>
            <w:tcBorders>
              <w:top w:val="single" w:sz="8" w:space="0" w:color="auto"/>
              <w:left w:val="nil"/>
              <w:bottom w:val="single" w:sz="8" w:space="0" w:color="auto"/>
              <w:right w:val="single" w:sz="8" w:space="0" w:color="000000"/>
            </w:tcBorders>
            <w:shd w:val="clear" w:color="000000" w:fill="A5A5A5"/>
            <w:vAlign w:val="center"/>
            <w:hideMark/>
          </w:tcPr>
          <w:p w:rsidR="00E757AB" w:rsidRPr="00152A70" w:rsidRDefault="00E757AB" w:rsidP="00E757AB">
            <w:pPr>
              <w:overflowPunct/>
              <w:autoSpaceDE/>
              <w:autoSpaceDN/>
              <w:adjustRightInd/>
              <w:spacing w:after="0" w:line="240" w:lineRule="auto"/>
              <w:jc w:val="center"/>
              <w:textAlignment w:val="auto"/>
              <w:rPr>
                <w:rFonts w:cs="Arial"/>
                <w:b/>
                <w:bCs/>
                <w:color w:val="000000"/>
                <w:sz w:val="18"/>
                <w:szCs w:val="18"/>
              </w:rPr>
            </w:pPr>
            <w:r w:rsidRPr="00152A70">
              <w:rPr>
                <w:rFonts w:cs="Arial"/>
                <w:b/>
                <w:bCs/>
                <w:color w:val="000000"/>
                <w:sz w:val="18"/>
                <w:szCs w:val="18"/>
              </w:rPr>
              <w:t>Freezer</w:t>
            </w:r>
          </w:p>
        </w:tc>
        <w:tc>
          <w:tcPr>
            <w:tcW w:w="900" w:type="dxa"/>
            <w:vMerge/>
            <w:tcBorders>
              <w:top w:val="single" w:sz="8" w:space="0" w:color="auto"/>
              <w:left w:val="single" w:sz="8" w:space="0" w:color="auto"/>
              <w:bottom w:val="single" w:sz="8" w:space="0" w:color="000000"/>
              <w:right w:val="single" w:sz="8" w:space="0" w:color="auto"/>
            </w:tcBorders>
            <w:vAlign w:val="center"/>
            <w:hideMark/>
          </w:tcPr>
          <w:p w:rsidR="00E757AB" w:rsidRPr="00152A70" w:rsidRDefault="00E757AB" w:rsidP="00E757AB">
            <w:pPr>
              <w:overflowPunct/>
              <w:autoSpaceDE/>
              <w:autoSpaceDN/>
              <w:adjustRightInd/>
              <w:spacing w:after="0" w:line="240" w:lineRule="auto"/>
              <w:textAlignment w:val="auto"/>
              <w:rPr>
                <w:rFonts w:cs="Arial"/>
                <w:b/>
                <w:bCs/>
                <w:color w:val="000000"/>
                <w:sz w:val="18"/>
                <w:szCs w:val="18"/>
              </w:rPr>
            </w:pPr>
          </w:p>
        </w:tc>
      </w:tr>
      <w:tr w:rsidR="00E757AB" w:rsidRPr="00152A70" w:rsidTr="00E757AB">
        <w:trPr>
          <w:trHeight w:val="31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E757AB" w:rsidRPr="00152A70" w:rsidRDefault="00E757AB" w:rsidP="00E757AB">
            <w:pPr>
              <w:overflowPunct/>
              <w:autoSpaceDE/>
              <w:autoSpaceDN/>
              <w:adjustRightInd/>
              <w:spacing w:after="0" w:line="240" w:lineRule="auto"/>
              <w:textAlignment w:val="auto"/>
              <w:rPr>
                <w:rFonts w:cs="Arial"/>
                <w:b/>
                <w:bCs/>
                <w:color w:val="000000"/>
                <w:sz w:val="18"/>
                <w:szCs w:val="18"/>
              </w:rPr>
            </w:pPr>
          </w:p>
        </w:tc>
        <w:tc>
          <w:tcPr>
            <w:tcW w:w="1318" w:type="dxa"/>
            <w:vMerge/>
            <w:tcBorders>
              <w:top w:val="single" w:sz="8" w:space="0" w:color="auto"/>
              <w:left w:val="single" w:sz="8" w:space="0" w:color="auto"/>
              <w:bottom w:val="single" w:sz="8" w:space="0" w:color="000000"/>
              <w:right w:val="single" w:sz="8" w:space="0" w:color="auto"/>
            </w:tcBorders>
            <w:vAlign w:val="center"/>
            <w:hideMark/>
          </w:tcPr>
          <w:p w:rsidR="00E757AB" w:rsidRPr="00152A70" w:rsidRDefault="00E757AB" w:rsidP="00E757AB">
            <w:pPr>
              <w:overflowPunct/>
              <w:autoSpaceDE/>
              <w:autoSpaceDN/>
              <w:adjustRightInd/>
              <w:spacing w:after="0" w:line="240" w:lineRule="auto"/>
              <w:textAlignment w:val="auto"/>
              <w:rPr>
                <w:rFonts w:cs="Arial"/>
                <w:b/>
                <w:bCs/>
                <w:color w:val="000000"/>
                <w:sz w:val="18"/>
                <w:szCs w:val="18"/>
              </w:rPr>
            </w:pPr>
          </w:p>
        </w:tc>
        <w:tc>
          <w:tcPr>
            <w:tcW w:w="1170" w:type="dxa"/>
            <w:tcBorders>
              <w:top w:val="nil"/>
              <w:left w:val="nil"/>
              <w:bottom w:val="single" w:sz="8" w:space="0" w:color="auto"/>
              <w:right w:val="single" w:sz="8" w:space="0" w:color="auto"/>
            </w:tcBorders>
            <w:shd w:val="clear" w:color="000000" w:fill="A5A5A5"/>
            <w:vAlign w:val="center"/>
            <w:hideMark/>
          </w:tcPr>
          <w:p w:rsidR="00E757AB" w:rsidRPr="00152A70" w:rsidRDefault="00E757AB" w:rsidP="00E757AB">
            <w:pPr>
              <w:overflowPunct/>
              <w:autoSpaceDE/>
              <w:autoSpaceDN/>
              <w:adjustRightInd/>
              <w:spacing w:after="0" w:line="240" w:lineRule="auto"/>
              <w:textAlignment w:val="auto"/>
              <w:rPr>
                <w:rFonts w:cs="Arial"/>
                <w:b/>
                <w:bCs/>
                <w:color w:val="000000"/>
                <w:sz w:val="18"/>
                <w:szCs w:val="18"/>
              </w:rPr>
            </w:pPr>
            <w:r w:rsidRPr="00152A70">
              <w:rPr>
                <w:rFonts w:cs="Arial"/>
                <w:b/>
                <w:bCs/>
                <w:color w:val="000000"/>
                <w:sz w:val="18"/>
                <w:szCs w:val="18"/>
              </w:rPr>
              <w:t>kWh</w:t>
            </w:r>
            <w:r w:rsidRPr="00152A70">
              <w:rPr>
                <w:rFonts w:cs="Arial"/>
                <w:b/>
                <w:bCs/>
                <w:color w:val="000000"/>
                <w:sz w:val="18"/>
                <w:szCs w:val="18"/>
                <w:vertAlign w:val="subscript"/>
              </w:rPr>
              <w:t>cooler</w:t>
            </w:r>
          </w:p>
        </w:tc>
        <w:tc>
          <w:tcPr>
            <w:tcW w:w="1170" w:type="dxa"/>
            <w:tcBorders>
              <w:top w:val="nil"/>
              <w:left w:val="nil"/>
              <w:bottom w:val="single" w:sz="8" w:space="0" w:color="auto"/>
              <w:right w:val="single" w:sz="8" w:space="0" w:color="auto"/>
            </w:tcBorders>
            <w:shd w:val="clear" w:color="000000" w:fill="A5A5A5"/>
            <w:vAlign w:val="center"/>
            <w:hideMark/>
          </w:tcPr>
          <w:p w:rsidR="00E757AB" w:rsidRPr="00152A70" w:rsidRDefault="00E757AB" w:rsidP="00E757AB">
            <w:pPr>
              <w:overflowPunct/>
              <w:autoSpaceDE/>
              <w:autoSpaceDN/>
              <w:adjustRightInd/>
              <w:spacing w:after="0" w:line="240" w:lineRule="auto"/>
              <w:textAlignment w:val="auto"/>
              <w:rPr>
                <w:rFonts w:cs="Arial"/>
                <w:b/>
                <w:bCs/>
                <w:color w:val="000000"/>
                <w:sz w:val="18"/>
                <w:szCs w:val="18"/>
              </w:rPr>
            </w:pPr>
            <w:r w:rsidRPr="00152A70">
              <w:rPr>
                <w:rFonts w:cs="Arial"/>
                <w:b/>
                <w:bCs/>
                <w:color w:val="000000"/>
                <w:sz w:val="18"/>
                <w:szCs w:val="18"/>
              </w:rPr>
              <w:t>kW</w:t>
            </w:r>
            <w:r w:rsidRPr="00152A70">
              <w:rPr>
                <w:rFonts w:cs="Arial"/>
                <w:b/>
                <w:bCs/>
                <w:color w:val="000000"/>
                <w:sz w:val="18"/>
                <w:szCs w:val="18"/>
                <w:vertAlign w:val="subscript"/>
              </w:rPr>
              <w:t>cooler</w:t>
            </w:r>
          </w:p>
        </w:tc>
        <w:tc>
          <w:tcPr>
            <w:tcW w:w="1260" w:type="dxa"/>
            <w:tcBorders>
              <w:top w:val="nil"/>
              <w:left w:val="nil"/>
              <w:bottom w:val="single" w:sz="8" w:space="0" w:color="auto"/>
              <w:right w:val="single" w:sz="8" w:space="0" w:color="auto"/>
            </w:tcBorders>
            <w:shd w:val="clear" w:color="000000" w:fill="A5A5A5"/>
            <w:vAlign w:val="center"/>
            <w:hideMark/>
          </w:tcPr>
          <w:p w:rsidR="00E757AB" w:rsidRPr="00152A70" w:rsidRDefault="00E757AB" w:rsidP="00E757AB">
            <w:pPr>
              <w:overflowPunct/>
              <w:autoSpaceDE/>
              <w:autoSpaceDN/>
              <w:adjustRightInd/>
              <w:spacing w:after="0" w:line="240" w:lineRule="auto"/>
              <w:textAlignment w:val="auto"/>
              <w:rPr>
                <w:rFonts w:cs="Arial"/>
                <w:b/>
                <w:bCs/>
                <w:color w:val="000000"/>
                <w:sz w:val="18"/>
                <w:szCs w:val="18"/>
              </w:rPr>
            </w:pPr>
            <w:r w:rsidRPr="00152A70">
              <w:rPr>
                <w:rFonts w:cs="Arial"/>
                <w:b/>
                <w:bCs/>
                <w:color w:val="000000"/>
                <w:sz w:val="18"/>
                <w:szCs w:val="18"/>
              </w:rPr>
              <w:t>kWh</w:t>
            </w:r>
            <w:r w:rsidRPr="00152A70">
              <w:rPr>
                <w:rFonts w:cs="Arial"/>
                <w:b/>
                <w:bCs/>
                <w:color w:val="000000"/>
                <w:sz w:val="18"/>
                <w:szCs w:val="18"/>
                <w:vertAlign w:val="subscript"/>
              </w:rPr>
              <w:t>freezer</w:t>
            </w:r>
          </w:p>
        </w:tc>
        <w:tc>
          <w:tcPr>
            <w:tcW w:w="1170" w:type="dxa"/>
            <w:tcBorders>
              <w:top w:val="nil"/>
              <w:left w:val="nil"/>
              <w:bottom w:val="single" w:sz="8" w:space="0" w:color="auto"/>
              <w:right w:val="single" w:sz="8" w:space="0" w:color="auto"/>
            </w:tcBorders>
            <w:shd w:val="clear" w:color="000000" w:fill="A5A5A5"/>
            <w:vAlign w:val="center"/>
            <w:hideMark/>
          </w:tcPr>
          <w:p w:rsidR="00E757AB" w:rsidRPr="00152A70" w:rsidRDefault="00E757AB" w:rsidP="00E757AB">
            <w:pPr>
              <w:overflowPunct/>
              <w:autoSpaceDE/>
              <w:autoSpaceDN/>
              <w:adjustRightInd/>
              <w:spacing w:after="0" w:line="240" w:lineRule="auto"/>
              <w:textAlignment w:val="auto"/>
              <w:rPr>
                <w:rFonts w:cs="Arial"/>
                <w:b/>
                <w:bCs/>
                <w:color w:val="000000"/>
                <w:sz w:val="18"/>
                <w:szCs w:val="18"/>
              </w:rPr>
            </w:pPr>
            <w:r w:rsidRPr="00152A70">
              <w:rPr>
                <w:rFonts w:cs="Arial"/>
                <w:b/>
                <w:bCs/>
                <w:color w:val="000000"/>
                <w:sz w:val="18"/>
                <w:szCs w:val="18"/>
              </w:rPr>
              <w:t>kW</w:t>
            </w:r>
            <w:r w:rsidRPr="00152A70">
              <w:rPr>
                <w:rFonts w:cs="Arial"/>
                <w:b/>
                <w:bCs/>
                <w:color w:val="000000"/>
                <w:sz w:val="18"/>
                <w:szCs w:val="18"/>
                <w:vertAlign w:val="subscript"/>
              </w:rPr>
              <w:t>freezer</w:t>
            </w:r>
          </w:p>
        </w:tc>
        <w:tc>
          <w:tcPr>
            <w:tcW w:w="900" w:type="dxa"/>
            <w:vMerge/>
            <w:tcBorders>
              <w:top w:val="single" w:sz="8" w:space="0" w:color="auto"/>
              <w:left w:val="single" w:sz="8" w:space="0" w:color="auto"/>
              <w:bottom w:val="single" w:sz="8" w:space="0" w:color="000000"/>
              <w:right w:val="single" w:sz="8" w:space="0" w:color="auto"/>
            </w:tcBorders>
            <w:vAlign w:val="center"/>
            <w:hideMark/>
          </w:tcPr>
          <w:p w:rsidR="00E757AB" w:rsidRPr="00152A70" w:rsidRDefault="00E757AB" w:rsidP="00E757AB">
            <w:pPr>
              <w:overflowPunct/>
              <w:autoSpaceDE/>
              <w:autoSpaceDN/>
              <w:adjustRightInd/>
              <w:spacing w:after="0" w:line="240" w:lineRule="auto"/>
              <w:textAlignment w:val="auto"/>
              <w:rPr>
                <w:rFonts w:cs="Arial"/>
                <w:b/>
                <w:bCs/>
                <w:color w:val="000000"/>
                <w:sz w:val="18"/>
                <w:szCs w:val="18"/>
              </w:rPr>
            </w:pPr>
          </w:p>
        </w:tc>
      </w:tr>
      <w:tr w:rsidR="00E757AB" w:rsidRPr="00152A70" w:rsidTr="00E757AB">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textAlignment w:val="auto"/>
              <w:rPr>
                <w:rFonts w:cs="Arial"/>
                <w:color w:val="000000"/>
                <w:sz w:val="18"/>
                <w:szCs w:val="18"/>
              </w:rPr>
            </w:pPr>
            <w:r w:rsidRPr="00871FA2">
              <w:rPr>
                <w:rFonts w:cs="Arial"/>
                <w:color w:val="000000"/>
                <w:sz w:val="18"/>
                <w:szCs w:val="18"/>
              </w:rPr>
              <w:t>Allentown</w:t>
            </w:r>
          </w:p>
        </w:tc>
        <w:tc>
          <w:tcPr>
            <w:tcW w:w="1318"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center"/>
              <w:textAlignment w:val="auto"/>
              <w:rPr>
                <w:rFonts w:cs="Arial"/>
                <w:color w:val="000000"/>
                <w:sz w:val="18"/>
                <w:szCs w:val="18"/>
              </w:rPr>
            </w:pPr>
            <w:r w:rsidRPr="00871FA2">
              <w:rPr>
                <w:rFonts w:cs="Arial"/>
                <w:color w:val="000000"/>
                <w:sz w:val="18"/>
                <w:szCs w:val="18"/>
              </w:rPr>
              <w:t>4</w:t>
            </w:r>
          </w:p>
        </w:tc>
        <w:tc>
          <w:tcPr>
            <w:tcW w:w="1170"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right"/>
              <w:textAlignment w:val="auto"/>
              <w:rPr>
                <w:rFonts w:cs="Arial"/>
                <w:color w:val="000000"/>
                <w:sz w:val="18"/>
                <w:szCs w:val="18"/>
              </w:rPr>
            </w:pPr>
            <w:r w:rsidRPr="00871FA2">
              <w:rPr>
                <w:rFonts w:cs="Arial"/>
                <w:color w:val="000000"/>
                <w:sz w:val="18"/>
                <w:szCs w:val="18"/>
              </w:rPr>
              <w:t>961 kWh</w:t>
            </w:r>
          </w:p>
        </w:tc>
        <w:tc>
          <w:tcPr>
            <w:tcW w:w="1170"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right"/>
              <w:textAlignment w:val="auto"/>
              <w:rPr>
                <w:rFonts w:cs="Arial"/>
                <w:color w:val="000000"/>
                <w:sz w:val="18"/>
                <w:szCs w:val="18"/>
              </w:rPr>
            </w:pPr>
            <w:r w:rsidRPr="00871FA2">
              <w:rPr>
                <w:rFonts w:cs="Arial"/>
                <w:color w:val="000000"/>
                <w:sz w:val="18"/>
                <w:szCs w:val="18"/>
              </w:rPr>
              <w:t>0.135 kW</w:t>
            </w:r>
          </w:p>
        </w:tc>
        <w:tc>
          <w:tcPr>
            <w:tcW w:w="1260"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right"/>
              <w:textAlignment w:val="auto"/>
              <w:rPr>
                <w:rFonts w:cs="Arial"/>
                <w:color w:val="000000"/>
                <w:sz w:val="18"/>
                <w:szCs w:val="18"/>
              </w:rPr>
            </w:pPr>
            <w:r w:rsidRPr="00871FA2">
              <w:rPr>
                <w:rFonts w:cs="Arial"/>
                <w:color w:val="000000"/>
                <w:sz w:val="18"/>
                <w:szCs w:val="18"/>
              </w:rPr>
              <w:t>2319 kWh</w:t>
            </w:r>
          </w:p>
        </w:tc>
        <w:tc>
          <w:tcPr>
            <w:tcW w:w="1170"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right"/>
              <w:textAlignment w:val="auto"/>
              <w:rPr>
                <w:rFonts w:cs="Arial"/>
                <w:color w:val="000000"/>
                <w:sz w:val="18"/>
                <w:szCs w:val="18"/>
              </w:rPr>
            </w:pPr>
            <w:r w:rsidRPr="00871FA2">
              <w:rPr>
                <w:rFonts w:cs="Arial"/>
                <w:color w:val="000000"/>
                <w:sz w:val="18"/>
                <w:szCs w:val="18"/>
              </w:rPr>
              <w:t>0.327 kW</w:t>
            </w:r>
          </w:p>
        </w:tc>
        <w:tc>
          <w:tcPr>
            <w:tcW w:w="900" w:type="dxa"/>
            <w:tcBorders>
              <w:top w:val="nil"/>
              <w:left w:val="nil"/>
              <w:bottom w:val="single" w:sz="4" w:space="0" w:color="auto"/>
              <w:right w:val="single" w:sz="8"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center"/>
              <w:textAlignment w:val="auto"/>
              <w:rPr>
                <w:rFonts w:cs="Arial"/>
                <w:color w:val="000000"/>
                <w:sz w:val="18"/>
                <w:szCs w:val="18"/>
              </w:rPr>
            </w:pPr>
            <w:r w:rsidRPr="00871FA2">
              <w:rPr>
                <w:rFonts w:cs="Arial"/>
                <w:color w:val="000000"/>
                <w:sz w:val="18"/>
                <w:szCs w:val="18"/>
              </w:rPr>
              <w:t>1</w:t>
            </w:r>
          </w:p>
        </w:tc>
      </w:tr>
      <w:tr w:rsidR="00E757AB" w:rsidRPr="00152A70" w:rsidTr="00E757AB">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textAlignment w:val="auto"/>
              <w:rPr>
                <w:rFonts w:cs="Arial"/>
                <w:color w:val="000000"/>
                <w:sz w:val="18"/>
                <w:szCs w:val="18"/>
              </w:rPr>
            </w:pPr>
            <w:r w:rsidRPr="00871FA2">
              <w:rPr>
                <w:rFonts w:cs="Arial"/>
                <w:color w:val="000000"/>
                <w:sz w:val="18"/>
                <w:szCs w:val="18"/>
              </w:rPr>
              <w:t>Williamstown</w:t>
            </w:r>
          </w:p>
        </w:tc>
        <w:tc>
          <w:tcPr>
            <w:tcW w:w="1318"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center"/>
              <w:textAlignment w:val="auto"/>
              <w:rPr>
                <w:rFonts w:cs="Arial"/>
                <w:color w:val="000000"/>
                <w:sz w:val="18"/>
                <w:szCs w:val="18"/>
              </w:rPr>
            </w:pPr>
            <w:r w:rsidRPr="00871FA2">
              <w:rPr>
                <w:rFonts w:cs="Arial"/>
                <w:color w:val="000000"/>
                <w:sz w:val="18"/>
                <w:szCs w:val="18"/>
              </w:rPr>
              <w:t>4</w:t>
            </w:r>
          </w:p>
        </w:tc>
        <w:tc>
          <w:tcPr>
            <w:tcW w:w="1170"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right"/>
              <w:textAlignment w:val="auto"/>
              <w:rPr>
                <w:rFonts w:cs="Arial"/>
                <w:color w:val="000000"/>
                <w:sz w:val="18"/>
                <w:szCs w:val="18"/>
              </w:rPr>
            </w:pPr>
            <w:r w:rsidRPr="00871FA2">
              <w:rPr>
                <w:rFonts w:cs="Arial"/>
                <w:color w:val="000000"/>
                <w:sz w:val="18"/>
                <w:szCs w:val="18"/>
              </w:rPr>
              <w:t>961 kWh</w:t>
            </w:r>
          </w:p>
        </w:tc>
        <w:tc>
          <w:tcPr>
            <w:tcW w:w="1170"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right"/>
              <w:textAlignment w:val="auto"/>
              <w:rPr>
                <w:rFonts w:cs="Arial"/>
                <w:color w:val="000000"/>
                <w:sz w:val="18"/>
                <w:szCs w:val="18"/>
              </w:rPr>
            </w:pPr>
            <w:r w:rsidRPr="00871FA2">
              <w:rPr>
                <w:rFonts w:cs="Arial"/>
                <w:color w:val="000000"/>
                <w:sz w:val="18"/>
                <w:szCs w:val="18"/>
              </w:rPr>
              <w:t>0.135 kW</w:t>
            </w:r>
          </w:p>
        </w:tc>
        <w:tc>
          <w:tcPr>
            <w:tcW w:w="1260"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right"/>
              <w:textAlignment w:val="auto"/>
              <w:rPr>
                <w:rFonts w:cs="Arial"/>
                <w:color w:val="000000"/>
                <w:sz w:val="18"/>
                <w:szCs w:val="18"/>
              </w:rPr>
            </w:pPr>
            <w:r w:rsidRPr="00871FA2">
              <w:rPr>
                <w:rFonts w:cs="Arial"/>
                <w:color w:val="000000"/>
                <w:sz w:val="18"/>
                <w:szCs w:val="18"/>
              </w:rPr>
              <w:t>2319 kWh</w:t>
            </w:r>
          </w:p>
        </w:tc>
        <w:tc>
          <w:tcPr>
            <w:tcW w:w="1170"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right"/>
              <w:textAlignment w:val="auto"/>
              <w:rPr>
                <w:rFonts w:cs="Arial"/>
                <w:color w:val="000000"/>
                <w:sz w:val="18"/>
                <w:szCs w:val="18"/>
              </w:rPr>
            </w:pPr>
            <w:r w:rsidRPr="00871FA2">
              <w:rPr>
                <w:rFonts w:cs="Arial"/>
                <w:color w:val="000000"/>
                <w:sz w:val="18"/>
                <w:szCs w:val="18"/>
              </w:rPr>
              <w:t>0.327 kW</w:t>
            </w:r>
          </w:p>
        </w:tc>
        <w:tc>
          <w:tcPr>
            <w:tcW w:w="900" w:type="dxa"/>
            <w:tcBorders>
              <w:top w:val="nil"/>
              <w:left w:val="nil"/>
              <w:bottom w:val="single" w:sz="4" w:space="0" w:color="auto"/>
              <w:right w:val="single" w:sz="8"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center"/>
              <w:textAlignment w:val="auto"/>
              <w:rPr>
                <w:rFonts w:cs="Arial"/>
                <w:color w:val="000000"/>
                <w:sz w:val="18"/>
                <w:szCs w:val="18"/>
              </w:rPr>
            </w:pPr>
            <w:r w:rsidRPr="00871FA2">
              <w:rPr>
                <w:rFonts w:cs="Arial"/>
                <w:color w:val="000000"/>
                <w:sz w:val="18"/>
                <w:szCs w:val="18"/>
              </w:rPr>
              <w:t>1</w:t>
            </w:r>
          </w:p>
        </w:tc>
      </w:tr>
      <w:tr w:rsidR="00E757AB" w:rsidRPr="00152A70" w:rsidTr="00E757AB">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textAlignment w:val="auto"/>
              <w:rPr>
                <w:rFonts w:cs="Arial"/>
                <w:color w:val="000000"/>
                <w:sz w:val="18"/>
                <w:szCs w:val="18"/>
              </w:rPr>
            </w:pPr>
            <w:r w:rsidRPr="00871FA2">
              <w:rPr>
                <w:rFonts w:cs="Arial"/>
                <w:color w:val="000000"/>
                <w:sz w:val="18"/>
                <w:szCs w:val="18"/>
              </w:rPr>
              <w:t>Pittsburgh</w:t>
            </w:r>
          </w:p>
        </w:tc>
        <w:tc>
          <w:tcPr>
            <w:tcW w:w="1318"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center"/>
              <w:textAlignment w:val="auto"/>
              <w:rPr>
                <w:rFonts w:cs="Arial"/>
                <w:color w:val="000000"/>
                <w:sz w:val="18"/>
                <w:szCs w:val="18"/>
              </w:rPr>
            </w:pPr>
            <w:r w:rsidRPr="00871FA2">
              <w:rPr>
                <w:rFonts w:cs="Arial"/>
                <w:color w:val="000000"/>
                <w:sz w:val="18"/>
                <w:szCs w:val="18"/>
              </w:rPr>
              <w:t>4</w:t>
            </w:r>
          </w:p>
        </w:tc>
        <w:tc>
          <w:tcPr>
            <w:tcW w:w="1170"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right"/>
              <w:textAlignment w:val="auto"/>
              <w:rPr>
                <w:rFonts w:cs="Arial"/>
                <w:color w:val="000000"/>
                <w:sz w:val="18"/>
                <w:szCs w:val="18"/>
              </w:rPr>
            </w:pPr>
            <w:r w:rsidRPr="00871FA2">
              <w:rPr>
                <w:rFonts w:cs="Arial"/>
                <w:color w:val="000000"/>
                <w:sz w:val="18"/>
                <w:szCs w:val="18"/>
              </w:rPr>
              <w:t>961 kWh</w:t>
            </w:r>
          </w:p>
        </w:tc>
        <w:tc>
          <w:tcPr>
            <w:tcW w:w="1170"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right"/>
              <w:textAlignment w:val="auto"/>
              <w:rPr>
                <w:rFonts w:cs="Arial"/>
                <w:color w:val="000000"/>
                <w:sz w:val="18"/>
                <w:szCs w:val="18"/>
              </w:rPr>
            </w:pPr>
            <w:r w:rsidRPr="00871FA2">
              <w:rPr>
                <w:rFonts w:cs="Arial"/>
                <w:color w:val="000000"/>
                <w:sz w:val="18"/>
                <w:szCs w:val="18"/>
              </w:rPr>
              <w:t>0.135 kW</w:t>
            </w:r>
          </w:p>
        </w:tc>
        <w:tc>
          <w:tcPr>
            <w:tcW w:w="1260"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right"/>
              <w:textAlignment w:val="auto"/>
              <w:rPr>
                <w:rFonts w:cs="Arial"/>
                <w:color w:val="000000"/>
                <w:sz w:val="18"/>
                <w:szCs w:val="18"/>
              </w:rPr>
            </w:pPr>
            <w:r w:rsidRPr="00871FA2">
              <w:rPr>
                <w:rFonts w:cs="Arial"/>
                <w:color w:val="000000"/>
                <w:sz w:val="18"/>
                <w:szCs w:val="18"/>
              </w:rPr>
              <w:t>2319 kWh</w:t>
            </w:r>
          </w:p>
        </w:tc>
        <w:tc>
          <w:tcPr>
            <w:tcW w:w="1170"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right"/>
              <w:textAlignment w:val="auto"/>
              <w:rPr>
                <w:rFonts w:cs="Arial"/>
                <w:color w:val="000000"/>
                <w:sz w:val="18"/>
                <w:szCs w:val="18"/>
              </w:rPr>
            </w:pPr>
            <w:r w:rsidRPr="00871FA2">
              <w:rPr>
                <w:rFonts w:cs="Arial"/>
                <w:color w:val="000000"/>
                <w:sz w:val="18"/>
                <w:szCs w:val="18"/>
              </w:rPr>
              <w:t>0.327 kW</w:t>
            </w:r>
          </w:p>
        </w:tc>
        <w:tc>
          <w:tcPr>
            <w:tcW w:w="900" w:type="dxa"/>
            <w:tcBorders>
              <w:top w:val="nil"/>
              <w:left w:val="nil"/>
              <w:bottom w:val="single" w:sz="4" w:space="0" w:color="auto"/>
              <w:right w:val="single" w:sz="8"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center"/>
              <w:textAlignment w:val="auto"/>
              <w:rPr>
                <w:rFonts w:cs="Arial"/>
                <w:color w:val="000000"/>
                <w:sz w:val="18"/>
                <w:szCs w:val="18"/>
              </w:rPr>
            </w:pPr>
            <w:r w:rsidRPr="00871FA2">
              <w:rPr>
                <w:rFonts w:cs="Arial"/>
                <w:color w:val="000000"/>
                <w:sz w:val="18"/>
                <w:szCs w:val="18"/>
              </w:rPr>
              <w:t>1</w:t>
            </w:r>
          </w:p>
        </w:tc>
      </w:tr>
      <w:tr w:rsidR="00E757AB" w:rsidRPr="00152A70" w:rsidTr="00E757AB">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textAlignment w:val="auto"/>
              <w:rPr>
                <w:rFonts w:cs="Arial"/>
                <w:color w:val="000000"/>
                <w:sz w:val="18"/>
                <w:szCs w:val="18"/>
              </w:rPr>
            </w:pPr>
            <w:r w:rsidRPr="00871FA2">
              <w:rPr>
                <w:rFonts w:cs="Arial"/>
                <w:color w:val="000000"/>
                <w:sz w:val="18"/>
                <w:szCs w:val="18"/>
              </w:rPr>
              <w:t>Harrisburg</w:t>
            </w:r>
          </w:p>
        </w:tc>
        <w:tc>
          <w:tcPr>
            <w:tcW w:w="1318"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center"/>
              <w:textAlignment w:val="auto"/>
              <w:rPr>
                <w:rFonts w:cs="Arial"/>
                <w:color w:val="000000"/>
                <w:sz w:val="18"/>
                <w:szCs w:val="18"/>
              </w:rPr>
            </w:pPr>
            <w:r w:rsidRPr="00871FA2">
              <w:rPr>
                <w:rFonts w:cs="Arial"/>
                <w:color w:val="000000"/>
                <w:sz w:val="18"/>
                <w:szCs w:val="18"/>
              </w:rPr>
              <w:t>8</w:t>
            </w:r>
          </w:p>
        </w:tc>
        <w:tc>
          <w:tcPr>
            <w:tcW w:w="1170"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right"/>
              <w:textAlignment w:val="auto"/>
              <w:rPr>
                <w:rFonts w:cs="Arial"/>
                <w:color w:val="000000"/>
                <w:sz w:val="18"/>
                <w:szCs w:val="18"/>
              </w:rPr>
            </w:pPr>
            <w:r w:rsidRPr="00871FA2">
              <w:rPr>
                <w:rFonts w:cs="Arial"/>
                <w:color w:val="000000"/>
                <w:sz w:val="18"/>
                <w:szCs w:val="18"/>
              </w:rPr>
              <w:t>981 kWh</w:t>
            </w:r>
          </w:p>
        </w:tc>
        <w:tc>
          <w:tcPr>
            <w:tcW w:w="1170"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right"/>
              <w:textAlignment w:val="auto"/>
              <w:rPr>
                <w:rFonts w:cs="Arial"/>
                <w:color w:val="000000"/>
                <w:sz w:val="18"/>
                <w:szCs w:val="18"/>
              </w:rPr>
            </w:pPr>
            <w:r w:rsidRPr="00871FA2">
              <w:rPr>
                <w:rFonts w:cs="Arial"/>
                <w:color w:val="000000"/>
                <w:sz w:val="18"/>
                <w:szCs w:val="18"/>
              </w:rPr>
              <w:t>0.108 kW</w:t>
            </w:r>
          </w:p>
        </w:tc>
        <w:tc>
          <w:tcPr>
            <w:tcW w:w="1260"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right"/>
              <w:textAlignment w:val="auto"/>
              <w:rPr>
                <w:rFonts w:cs="Arial"/>
                <w:color w:val="000000"/>
                <w:sz w:val="18"/>
                <w:szCs w:val="18"/>
              </w:rPr>
            </w:pPr>
            <w:r w:rsidRPr="00871FA2">
              <w:rPr>
                <w:rFonts w:cs="Arial"/>
                <w:color w:val="000000"/>
                <w:sz w:val="18"/>
                <w:szCs w:val="18"/>
              </w:rPr>
              <w:t>2348 kWh</w:t>
            </w:r>
          </w:p>
        </w:tc>
        <w:tc>
          <w:tcPr>
            <w:tcW w:w="1170"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right"/>
              <w:textAlignment w:val="auto"/>
              <w:rPr>
                <w:rFonts w:cs="Arial"/>
                <w:color w:val="000000"/>
                <w:sz w:val="18"/>
                <w:szCs w:val="18"/>
              </w:rPr>
            </w:pPr>
            <w:r w:rsidRPr="00871FA2">
              <w:rPr>
                <w:rFonts w:cs="Arial"/>
                <w:color w:val="000000"/>
                <w:sz w:val="18"/>
                <w:szCs w:val="18"/>
              </w:rPr>
              <w:t>0.272 kW</w:t>
            </w:r>
          </w:p>
        </w:tc>
        <w:tc>
          <w:tcPr>
            <w:tcW w:w="900" w:type="dxa"/>
            <w:tcBorders>
              <w:top w:val="nil"/>
              <w:left w:val="nil"/>
              <w:bottom w:val="single" w:sz="4" w:space="0" w:color="auto"/>
              <w:right w:val="single" w:sz="8"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center"/>
              <w:textAlignment w:val="auto"/>
              <w:rPr>
                <w:rFonts w:cs="Arial"/>
                <w:color w:val="000000"/>
                <w:sz w:val="18"/>
                <w:szCs w:val="18"/>
              </w:rPr>
            </w:pPr>
            <w:r w:rsidRPr="00871FA2">
              <w:rPr>
                <w:rFonts w:cs="Arial"/>
                <w:color w:val="000000"/>
                <w:sz w:val="18"/>
                <w:szCs w:val="18"/>
              </w:rPr>
              <w:t>1</w:t>
            </w:r>
          </w:p>
        </w:tc>
      </w:tr>
      <w:tr w:rsidR="00E757AB" w:rsidRPr="00152A70" w:rsidTr="00E757AB">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textAlignment w:val="auto"/>
              <w:rPr>
                <w:rFonts w:cs="Arial"/>
                <w:color w:val="000000"/>
                <w:sz w:val="18"/>
                <w:szCs w:val="18"/>
              </w:rPr>
            </w:pPr>
            <w:r w:rsidRPr="00871FA2">
              <w:rPr>
                <w:rFonts w:cs="Arial"/>
                <w:color w:val="000000"/>
                <w:sz w:val="18"/>
                <w:szCs w:val="18"/>
              </w:rPr>
              <w:t>Philadelphia</w:t>
            </w:r>
          </w:p>
        </w:tc>
        <w:tc>
          <w:tcPr>
            <w:tcW w:w="1318"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center"/>
              <w:textAlignment w:val="auto"/>
              <w:rPr>
                <w:rFonts w:cs="Arial"/>
                <w:color w:val="000000"/>
                <w:sz w:val="18"/>
                <w:szCs w:val="18"/>
              </w:rPr>
            </w:pPr>
            <w:r w:rsidRPr="00871FA2">
              <w:rPr>
                <w:rFonts w:cs="Arial"/>
                <w:color w:val="000000"/>
                <w:sz w:val="18"/>
                <w:szCs w:val="18"/>
              </w:rPr>
              <w:t>13</w:t>
            </w:r>
          </w:p>
        </w:tc>
        <w:tc>
          <w:tcPr>
            <w:tcW w:w="1170"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right"/>
              <w:textAlignment w:val="auto"/>
              <w:rPr>
                <w:rFonts w:cs="Arial"/>
                <w:color w:val="000000"/>
                <w:sz w:val="18"/>
                <w:szCs w:val="18"/>
              </w:rPr>
            </w:pPr>
            <w:r w:rsidRPr="00871FA2">
              <w:rPr>
                <w:rFonts w:cs="Arial"/>
                <w:color w:val="000000"/>
                <w:sz w:val="18"/>
                <w:szCs w:val="18"/>
              </w:rPr>
              <w:t>1017 kWh</w:t>
            </w:r>
          </w:p>
        </w:tc>
        <w:tc>
          <w:tcPr>
            <w:tcW w:w="1170"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right"/>
              <w:textAlignment w:val="auto"/>
              <w:rPr>
                <w:rFonts w:cs="Arial"/>
                <w:color w:val="000000"/>
                <w:sz w:val="18"/>
                <w:szCs w:val="18"/>
              </w:rPr>
            </w:pPr>
            <w:r w:rsidRPr="00871FA2">
              <w:rPr>
                <w:rFonts w:cs="Arial"/>
                <w:color w:val="000000"/>
                <w:sz w:val="18"/>
                <w:szCs w:val="18"/>
              </w:rPr>
              <w:t>0.143 kW</w:t>
            </w:r>
          </w:p>
        </w:tc>
        <w:tc>
          <w:tcPr>
            <w:tcW w:w="1260"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right"/>
              <w:textAlignment w:val="auto"/>
              <w:rPr>
                <w:rFonts w:cs="Arial"/>
                <w:color w:val="000000"/>
                <w:sz w:val="18"/>
                <w:szCs w:val="18"/>
              </w:rPr>
            </w:pPr>
            <w:r w:rsidRPr="00871FA2">
              <w:rPr>
                <w:rFonts w:cs="Arial"/>
                <w:color w:val="000000"/>
                <w:sz w:val="18"/>
                <w:szCs w:val="18"/>
              </w:rPr>
              <w:t>2457 kWh</w:t>
            </w:r>
          </w:p>
        </w:tc>
        <w:tc>
          <w:tcPr>
            <w:tcW w:w="1170"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right"/>
              <w:textAlignment w:val="auto"/>
              <w:rPr>
                <w:rFonts w:cs="Arial"/>
                <w:color w:val="000000"/>
                <w:sz w:val="18"/>
                <w:szCs w:val="18"/>
              </w:rPr>
            </w:pPr>
            <w:r w:rsidRPr="00871FA2">
              <w:rPr>
                <w:rFonts w:cs="Arial"/>
                <w:color w:val="000000"/>
                <w:sz w:val="18"/>
                <w:szCs w:val="18"/>
              </w:rPr>
              <w:t>0.426 kW</w:t>
            </w:r>
          </w:p>
        </w:tc>
        <w:tc>
          <w:tcPr>
            <w:tcW w:w="900" w:type="dxa"/>
            <w:tcBorders>
              <w:top w:val="nil"/>
              <w:left w:val="nil"/>
              <w:bottom w:val="single" w:sz="4" w:space="0" w:color="auto"/>
              <w:right w:val="single" w:sz="8"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center"/>
              <w:textAlignment w:val="auto"/>
              <w:rPr>
                <w:rFonts w:cs="Arial"/>
                <w:color w:val="000000"/>
                <w:sz w:val="18"/>
                <w:szCs w:val="18"/>
              </w:rPr>
            </w:pPr>
            <w:r w:rsidRPr="00871FA2">
              <w:rPr>
                <w:rFonts w:cs="Arial"/>
                <w:color w:val="000000"/>
                <w:sz w:val="18"/>
                <w:szCs w:val="18"/>
              </w:rPr>
              <w:t>1</w:t>
            </w:r>
          </w:p>
        </w:tc>
      </w:tr>
      <w:tr w:rsidR="00E757AB" w:rsidRPr="00152A70" w:rsidTr="00E757AB">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textAlignment w:val="auto"/>
              <w:rPr>
                <w:rFonts w:cs="Arial"/>
                <w:color w:val="000000"/>
                <w:sz w:val="18"/>
                <w:szCs w:val="18"/>
              </w:rPr>
            </w:pPr>
            <w:r w:rsidRPr="00871FA2">
              <w:rPr>
                <w:rFonts w:cs="Arial"/>
                <w:color w:val="000000"/>
                <w:sz w:val="18"/>
                <w:szCs w:val="18"/>
              </w:rPr>
              <w:t>Scranton</w:t>
            </w:r>
          </w:p>
        </w:tc>
        <w:tc>
          <w:tcPr>
            <w:tcW w:w="1318"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center"/>
              <w:textAlignment w:val="auto"/>
              <w:rPr>
                <w:rFonts w:cs="Arial"/>
                <w:color w:val="000000"/>
                <w:sz w:val="18"/>
                <w:szCs w:val="18"/>
              </w:rPr>
            </w:pPr>
            <w:r w:rsidRPr="00871FA2">
              <w:rPr>
                <w:rFonts w:cs="Arial"/>
                <w:color w:val="000000"/>
                <w:sz w:val="18"/>
                <w:szCs w:val="18"/>
              </w:rPr>
              <w:t>16</w:t>
            </w:r>
          </w:p>
        </w:tc>
        <w:tc>
          <w:tcPr>
            <w:tcW w:w="1170"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right"/>
              <w:textAlignment w:val="auto"/>
              <w:rPr>
                <w:rFonts w:cs="Arial"/>
                <w:color w:val="000000"/>
                <w:sz w:val="18"/>
                <w:szCs w:val="18"/>
              </w:rPr>
            </w:pPr>
            <w:r w:rsidRPr="00871FA2">
              <w:rPr>
                <w:rFonts w:cs="Arial"/>
                <w:color w:val="000000"/>
                <w:sz w:val="18"/>
                <w:szCs w:val="18"/>
              </w:rPr>
              <w:t>924 kWh</w:t>
            </w:r>
          </w:p>
        </w:tc>
        <w:tc>
          <w:tcPr>
            <w:tcW w:w="1170"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right"/>
              <w:textAlignment w:val="auto"/>
              <w:rPr>
                <w:rFonts w:cs="Arial"/>
                <w:color w:val="000000"/>
                <w:sz w:val="18"/>
                <w:szCs w:val="18"/>
              </w:rPr>
            </w:pPr>
            <w:r w:rsidRPr="00871FA2">
              <w:rPr>
                <w:rFonts w:cs="Arial"/>
                <w:color w:val="000000"/>
                <w:sz w:val="18"/>
                <w:szCs w:val="18"/>
              </w:rPr>
              <w:t>0.146 kW</w:t>
            </w:r>
          </w:p>
        </w:tc>
        <w:tc>
          <w:tcPr>
            <w:tcW w:w="1260"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right"/>
              <w:textAlignment w:val="auto"/>
              <w:rPr>
                <w:rFonts w:cs="Arial"/>
                <w:color w:val="000000"/>
                <w:sz w:val="18"/>
                <w:szCs w:val="18"/>
              </w:rPr>
            </w:pPr>
            <w:r w:rsidRPr="00871FA2">
              <w:rPr>
                <w:rFonts w:cs="Arial"/>
                <w:color w:val="000000"/>
                <w:sz w:val="18"/>
                <w:szCs w:val="18"/>
              </w:rPr>
              <w:t>2329 kWh</w:t>
            </w:r>
          </w:p>
        </w:tc>
        <w:tc>
          <w:tcPr>
            <w:tcW w:w="1170" w:type="dxa"/>
            <w:tcBorders>
              <w:top w:val="nil"/>
              <w:left w:val="nil"/>
              <w:bottom w:val="single" w:sz="4"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right"/>
              <w:textAlignment w:val="auto"/>
              <w:rPr>
                <w:rFonts w:cs="Arial"/>
                <w:color w:val="000000"/>
                <w:sz w:val="18"/>
                <w:szCs w:val="18"/>
              </w:rPr>
            </w:pPr>
            <w:r w:rsidRPr="00871FA2">
              <w:rPr>
                <w:rFonts w:cs="Arial"/>
                <w:color w:val="000000"/>
                <w:sz w:val="18"/>
                <w:szCs w:val="18"/>
              </w:rPr>
              <w:t>0.296 kW</w:t>
            </w:r>
          </w:p>
        </w:tc>
        <w:tc>
          <w:tcPr>
            <w:tcW w:w="900" w:type="dxa"/>
            <w:tcBorders>
              <w:top w:val="nil"/>
              <w:left w:val="nil"/>
              <w:bottom w:val="single" w:sz="4" w:space="0" w:color="auto"/>
              <w:right w:val="single" w:sz="8"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center"/>
              <w:textAlignment w:val="auto"/>
              <w:rPr>
                <w:rFonts w:cs="Arial"/>
                <w:color w:val="000000"/>
                <w:sz w:val="18"/>
                <w:szCs w:val="18"/>
              </w:rPr>
            </w:pPr>
            <w:r w:rsidRPr="00871FA2">
              <w:rPr>
                <w:rFonts w:cs="Arial"/>
                <w:color w:val="000000"/>
                <w:sz w:val="18"/>
                <w:szCs w:val="18"/>
              </w:rPr>
              <w:t>1</w:t>
            </w:r>
          </w:p>
        </w:tc>
      </w:tr>
      <w:tr w:rsidR="00E757AB" w:rsidRPr="00152A70" w:rsidTr="00E757AB">
        <w:trPr>
          <w:trHeight w:val="315"/>
          <w:jc w:val="center"/>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textAlignment w:val="auto"/>
              <w:rPr>
                <w:rFonts w:cs="Arial"/>
                <w:color w:val="000000"/>
                <w:sz w:val="18"/>
                <w:szCs w:val="18"/>
              </w:rPr>
            </w:pPr>
            <w:r w:rsidRPr="00871FA2">
              <w:rPr>
                <w:rFonts w:cs="Arial"/>
                <w:color w:val="000000"/>
                <w:sz w:val="18"/>
                <w:szCs w:val="18"/>
              </w:rPr>
              <w:t>Erie</w:t>
            </w:r>
          </w:p>
        </w:tc>
        <w:tc>
          <w:tcPr>
            <w:tcW w:w="1318" w:type="dxa"/>
            <w:tcBorders>
              <w:top w:val="nil"/>
              <w:left w:val="nil"/>
              <w:bottom w:val="single" w:sz="8"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center"/>
              <w:textAlignment w:val="auto"/>
              <w:rPr>
                <w:rFonts w:cs="Arial"/>
                <w:color w:val="000000"/>
                <w:sz w:val="18"/>
                <w:szCs w:val="18"/>
              </w:rPr>
            </w:pPr>
            <w:r w:rsidRPr="00871FA2">
              <w:rPr>
                <w:rFonts w:cs="Arial"/>
                <w:color w:val="000000"/>
                <w:sz w:val="18"/>
                <w:szCs w:val="18"/>
              </w:rPr>
              <w:t>6</w:t>
            </w:r>
          </w:p>
        </w:tc>
        <w:tc>
          <w:tcPr>
            <w:tcW w:w="1170" w:type="dxa"/>
            <w:tcBorders>
              <w:top w:val="nil"/>
              <w:left w:val="nil"/>
              <w:bottom w:val="single" w:sz="8"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right"/>
              <w:textAlignment w:val="auto"/>
              <w:rPr>
                <w:rFonts w:cs="Arial"/>
                <w:color w:val="000000"/>
                <w:sz w:val="18"/>
                <w:szCs w:val="18"/>
              </w:rPr>
            </w:pPr>
            <w:r w:rsidRPr="00871FA2">
              <w:rPr>
                <w:rFonts w:cs="Arial"/>
                <w:color w:val="000000"/>
                <w:sz w:val="18"/>
                <w:szCs w:val="18"/>
              </w:rPr>
              <w:t>952 kWh</w:t>
            </w:r>
          </w:p>
        </w:tc>
        <w:tc>
          <w:tcPr>
            <w:tcW w:w="1170" w:type="dxa"/>
            <w:tcBorders>
              <w:top w:val="nil"/>
              <w:left w:val="nil"/>
              <w:bottom w:val="single" w:sz="8"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right"/>
              <w:textAlignment w:val="auto"/>
              <w:rPr>
                <w:rFonts w:cs="Arial"/>
                <w:color w:val="000000"/>
                <w:sz w:val="18"/>
                <w:szCs w:val="18"/>
              </w:rPr>
            </w:pPr>
            <w:r w:rsidRPr="00871FA2">
              <w:rPr>
                <w:rFonts w:cs="Arial"/>
                <w:color w:val="000000"/>
                <w:sz w:val="18"/>
                <w:szCs w:val="18"/>
              </w:rPr>
              <w:t>0.116 kW</w:t>
            </w:r>
          </w:p>
        </w:tc>
        <w:tc>
          <w:tcPr>
            <w:tcW w:w="1260" w:type="dxa"/>
            <w:tcBorders>
              <w:top w:val="nil"/>
              <w:left w:val="nil"/>
              <w:bottom w:val="single" w:sz="8"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right"/>
              <w:textAlignment w:val="auto"/>
              <w:rPr>
                <w:rFonts w:cs="Arial"/>
                <w:color w:val="000000"/>
                <w:sz w:val="18"/>
                <w:szCs w:val="18"/>
              </w:rPr>
            </w:pPr>
            <w:r w:rsidRPr="00871FA2">
              <w:rPr>
                <w:rFonts w:cs="Arial"/>
                <w:color w:val="000000"/>
                <w:sz w:val="18"/>
                <w:szCs w:val="18"/>
              </w:rPr>
              <w:t>2329 kWh</w:t>
            </w:r>
          </w:p>
        </w:tc>
        <w:tc>
          <w:tcPr>
            <w:tcW w:w="1170" w:type="dxa"/>
            <w:tcBorders>
              <w:top w:val="nil"/>
              <w:left w:val="nil"/>
              <w:bottom w:val="single" w:sz="8" w:space="0" w:color="auto"/>
              <w:right w:val="single" w:sz="4"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right"/>
              <w:textAlignment w:val="auto"/>
              <w:rPr>
                <w:rFonts w:cs="Arial"/>
                <w:color w:val="000000"/>
                <w:sz w:val="18"/>
                <w:szCs w:val="18"/>
              </w:rPr>
            </w:pPr>
            <w:r w:rsidRPr="00871FA2">
              <w:rPr>
                <w:rFonts w:cs="Arial"/>
                <w:color w:val="000000"/>
                <w:sz w:val="18"/>
                <w:szCs w:val="18"/>
              </w:rPr>
              <w:t>0.191 kW</w:t>
            </w:r>
          </w:p>
        </w:tc>
        <w:tc>
          <w:tcPr>
            <w:tcW w:w="900" w:type="dxa"/>
            <w:tcBorders>
              <w:top w:val="nil"/>
              <w:left w:val="nil"/>
              <w:bottom w:val="single" w:sz="8" w:space="0" w:color="auto"/>
              <w:right w:val="single" w:sz="8" w:space="0" w:color="auto"/>
            </w:tcBorders>
            <w:shd w:val="clear" w:color="auto" w:fill="auto"/>
            <w:noWrap/>
            <w:vAlign w:val="center"/>
            <w:hideMark/>
          </w:tcPr>
          <w:p w:rsidR="00E757AB" w:rsidRPr="00871FA2" w:rsidRDefault="00E757AB" w:rsidP="00E757AB">
            <w:pPr>
              <w:overflowPunct/>
              <w:autoSpaceDE/>
              <w:autoSpaceDN/>
              <w:adjustRightInd/>
              <w:spacing w:after="0" w:line="240" w:lineRule="auto"/>
              <w:jc w:val="center"/>
              <w:textAlignment w:val="auto"/>
              <w:rPr>
                <w:rFonts w:cs="Arial"/>
                <w:color w:val="000000"/>
                <w:sz w:val="18"/>
                <w:szCs w:val="18"/>
              </w:rPr>
            </w:pPr>
            <w:r w:rsidRPr="00871FA2">
              <w:rPr>
                <w:rFonts w:cs="Arial"/>
                <w:color w:val="000000"/>
                <w:sz w:val="18"/>
                <w:szCs w:val="18"/>
              </w:rPr>
              <w:t>1</w:t>
            </w:r>
          </w:p>
        </w:tc>
      </w:tr>
    </w:tbl>
    <w:p w:rsidR="00E757AB" w:rsidRDefault="00E757AB" w:rsidP="00E757AB">
      <w:pPr>
        <w:keepNext/>
        <w:rPr>
          <w:b/>
        </w:rPr>
      </w:pPr>
    </w:p>
    <w:p w:rsidR="00E757AB" w:rsidRPr="001D7420" w:rsidRDefault="00E757AB" w:rsidP="00E757AB">
      <w:pPr>
        <w:keepNext/>
        <w:rPr>
          <w:b/>
        </w:rPr>
      </w:pPr>
      <w:r w:rsidRPr="001D7420">
        <w:rPr>
          <w:b/>
        </w:rPr>
        <w:t>Sources:</w:t>
      </w:r>
    </w:p>
    <w:p w:rsidR="00E757AB" w:rsidRDefault="00E757AB" w:rsidP="0005632A">
      <w:pPr>
        <w:pStyle w:val="source1"/>
        <w:numPr>
          <w:ilvl w:val="0"/>
          <w:numId w:val="87"/>
        </w:numPr>
      </w:pPr>
      <w:r>
        <w:t xml:space="preserve">2005 DEER weather sensitive commercial data; DEER Database, </w:t>
      </w:r>
      <w:r w:rsidRPr="008B65B5">
        <w:t>http://www.deeresources.com/</w:t>
      </w:r>
      <w:r w:rsidRPr="008B65B5" w:rsidDel="008B65B5">
        <w:t xml:space="preserve"> </w:t>
      </w:r>
    </w:p>
    <w:p w:rsidR="00E757AB" w:rsidRDefault="00E757AB" w:rsidP="00871FA2">
      <w:pPr>
        <w:pStyle w:val="Heading3"/>
      </w:pPr>
      <w:r>
        <w:t>Measure Life</w:t>
      </w:r>
    </w:p>
    <w:p w:rsidR="00E757AB" w:rsidRPr="008C78B9" w:rsidRDefault="00E757AB" w:rsidP="00E757AB">
      <w:r>
        <w:t xml:space="preserve">The expected measure life is </w:t>
      </w:r>
      <w:r w:rsidRPr="00F10953">
        <w:rPr>
          <w:b/>
        </w:rPr>
        <w:t>8 years</w:t>
      </w:r>
      <w:r>
        <w:rPr>
          <w:rStyle w:val="FootnoteReference"/>
          <w:b/>
        </w:rPr>
        <w:footnoteReference w:id="216"/>
      </w:r>
      <w:r>
        <w:t xml:space="preserve">. </w:t>
      </w:r>
    </w:p>
    <w:p w:rsidR="00E757AB" w:rsidRPr="001C4AD5" w:rsidRDefault="00E757AB" w:rsidP="00E757AB">
      <w:pPr>
        <w:pStyle w:val="Heading2"/>
      </w:pPr>
      <w:r>
        <w:br w:type="page"/>
      </w:r>
      <w:bookmarkStart w:id="1008" w:name="_Toc310875463"/>
      <w:r w:rsidR="00500CAF">
        <w:t xml:space="preserve">Refrigeration – </w:t>
      </w:r>
      <w:r>
        <w:t>Door Gaskets for Walk-in Coolers and Freezers</w:t>
      </w:r>
      <w:bookmarkEnd w:id="1008"/>
    </w:p>
    <w:p w:rsidR="00E104BA" w:rsidRDefault="00E757AB" w:rsidP="00F05DC2">
      <w:r w:rsidRPr="00FA3089">
        <w:t>The following protocol for the measurement of energy and demand savings</w:t>
      </w:r>
      <w:r w:rsidR="0053432F">
        <w:t xml:space="preserve"> is</w:t>
      </w:r>
      <w:r w:rsidRPr="00FA3089">
        <w:t xml:space="preserve"> appli</w:t>
      </w:r>
      <w:r w:rsidR="00E104BA">
        <w:t>cable</w:t>
      </w:r>
      <w:r w:rsidRPr="00FA3089">
        <w:t xml:space="preserve"> to </w:t>
      </w:r>
      <w:r w:rsidR="00E104BA">
        <w:t>commercial refrigeration and</w:t>
      </w:r>
      <w:r w:rsidR="0053432F">
        <w:t xml:space="preserve"> </w:t>
      </w:r>
      <w:r w:rsidRPr="00FA3089">
        <w:t>applies to the replacement of worn-out gaskets with new better-fitting gaskets</w:t>
      </w:r>
      <w:r w:rsidR="00E104BA">
        <w:t>.</w:t>
      </w:r>
      <w:r w:rsidRPr="00FA3089">
        <w:t xml:space="preserve"> </w:t>
      </w:r>
      <w:r w:rsidR="00E104BA">
        <w:t xml:space="preserve">Applicable gaskets include those located </w:t>
      </w:r>
      <w:r w:rsidRPr="00FA3089">
        <w:t xml:space="preserve">on </w:t>
      </w:r>
      <w:r w:rsidR="00E104BA">
        <w:t>the</w:t>
      </w:r>
      <w:r w:rsidRPr="00FA3089">
        <w:t xml:space="preserve"> doors of walk-in coolers and freezers. </w:t>
      </w:r>
    </w:p>
    <w:p w:rsidR="00E757AB" w:rsidRDefault="00E757AB" w:rsidP="00F05DC2">
      <w:r w:rsidRPr="00FA3089">
        <w:t>Tight fitting gaskets inhibit infiltration of warm</w:t>
      </w:r>
      <w:r w:rsidR="00E104BA">
        <w:t xml:space="preserve">, </w:t>
      </w:r>
      <w:r w:rsidRPr="00FA3089">
        <w:t xml:space="preserve">moist air </w:t>
      </w:r>
      <w:r w:rsidR="00E104BA">
        <w:t>into the cold refrigerated space, thereby</w:t>
      </w:r>
      <w:r w:rsidRPr="00FA3089">
        <w:t xml:space="preserve"> reducing the cooling load. </w:t>
      </w:r>
      <w:r w:rsidR="00E104BA">
        <w:t>Aside from the direct reduction in cooling load,</w:t>
      </w:r>
      <w:r w:rsidRPr="00FA3089">
        <w:t xml:space="preserve"> </w:t>
      </w:r>
      <w:r w:rsidR="00E104BA">
        <w:t xml:space="preserve">the associated decrease in </w:t>
      </w:r>
      <w:r w:rsidRPr="00FA3089">
        <w:t xml:space="preserve">moisture entering the refrigerated space </w:t>
      </w:r>
      <w:r w:rsidR="00E104BA">
        <w:t xml:space="preserve">also helps prevent </w:t>
      </w:r>
      <w:r w:rsidRPr="00FA3089">
        <w:t>frost on the cooling coils</w:t>
      </w:r>
      <w:r w:rsidR="00E104BA">
        <w:t xml:space="preserve">. Frost build-up adversely impacts the coil’s </w:t>
      </w:r>
      <w:r w:rsidRPr="00FA3089">
        <w:t xml:space="preserve">,heat transfer effectiveness, </w:t>
      </w:r>
      <w:r w:rsidR="00E104BA">
        <w:t xml:space="preserve">reduces </w:t>
      </w:r>
      <w:r w:rsidRPr="00FA3089">
        <w:t xml:space="preserve">air passage </w:t>
      </w:r>
      <w:r w:rsidR="00E104BA">
        <w:t>(lowering heat transfer efficiency),</w:t>
      </w:r>
      <w:r w:rsidRPr="00FA3089">
        <w:t xml:space="preserve"> and </w:t>
      </w:r>
      <w:r w:rsidR="00E104BA">
        <w:t xml:space="preserve">increases </w:t>
      </w:r>
      <w:r w:rsidRPr="00FA3089">
        <w:t>energy</w:t>
      </w:r>
      <w:r w:rsidR="00E104BA">
        <w:t xml:space="preserve"> use during the defrost cycle</w:t>
      </w:r>
      <w:r w:rsidRPr="00FA3089">
        <w:t xml:space="preserve">. </w:t>
      </w:r>
      <w:r w:rsidR="00E104BA">
        <w:t>Therefore, replacing defective door gaskets</w:t>
      </w:r>
      <w:r w:rsidRPr="00FA3089">
        <w:t>. reduce</w:t>
      </w:r>
      <w:r w:rsidR="00E104BA">
        <w:t>s</w:t>
      </w:r>
      <w:r w:rsidRPr="00FA3089">
        <w:t xml:space="preserve"> compressor run time and </w:t>
      </w:r>
      <w:r w:rsidR="00E104BA">
        <w:t>improves the overall effectiveness of heat removal from a refrigerated cabinet</w:t>
      </w:r>
      <w:r w:rsidRPr="00FA3089">
        <w:t xml:space="preserve">. </w:t>
      </w:r>
    </w:p>
    <w:p w:rsidR="00E757AB" w:rsidRDefault="00E757AB" w:rsidP="00871FA2">
      <w:pPr>
        <w:pStyle w:val="Heading3"/>
      </w:pPr>
      <w:r>
        <w:t xml:space="preserve">Eligibility </w:t>
      </w:r>
    </w:p>
    <w:p w:rsidR="00E757AB" w:rsidRDefault="00E757AB" w:rsidP="00E757AB">
      <w:r w:rsidRPr="00FA3089">
        <w:t>This protocol applies to the main doors of both low temperature (“freezer” – below 32°F) and medium temperature (“cooler” – above 32</w:t>
      </w:r>
      <w:r>
        <w:t>°F) walk-ins.</w:t>
      </w:r>
    </w:p>
    <w:p w:rsidR="00E757AB" w:rsidRPr="001C4AD5" w:rsidRDefault="00E757AB" w:rsidP="00871FA2">
      <w:pPr>
        <w:pStyle w:val="Heading3"/>
      </w:pPr>
      <w:r w:rsidRPr="001C4AD5">
        <w:t>Algorithms</w:t>
      </w:r>
    </w:p>
    <w:p w:rsidR="00E757AB" w:rsidRPr="00853988" w:rsidRDefault="00E757AB" w:rsidP="00E757AB">
      <w:pPr>
        <w:pStyle w:val="BodyText"/>
      </w:pPr>
      <w:r w:rsidRPr="003814C9">
        <w:t xml:space="preserve">The energy savings and demand reduction </w:t>
      </w:r>
      <w:r>
        <w:t xml:space="preserve">are </w:t>
      </w:r>
      <w:r w:rsidRPr="003814C9">
        <w:t>obtain</w:t>
      </w:r>
      <w:r>
        <w:t>ed</w:t>
      </w:r>
      <w:r w:rsidRPr="003814C9">
        <w:t xml:space="preserve"> through the following calculation</w:t>
      </w:r>
      <w:r>
        <w:t>s</w:t>
      </w:r>
      <w:r w:rsidRPr="003814C9">
        <w:t>:</w:t>
      </w:r>
    </w:p>
    <w:p w:rsidR="00E757AB" w:rsidRDefault="00E757AB" w:rsidP="00E757AB">
      <w:pPr>
        <w:pStyle w:val="Equation"/>
        <w:rPr>
          <w:rFonts w:cs="Arial"/>
          <w:szCs w:val="20"/>
        </w:rPr>
      </w:pPr>
      <w:r>
        <w:rPr>
          <w:rFonts w:cs="Arial"/>
          <w:szCs w:val="20"/>
        </w:rPr>
        <w:t>ΔkWh</w:t>
      </w:r>
      <w:r>
        <w:rPr>
          <w:rFonts w:cs="Arial"/>
          <w:szCs w:val="20"/>
        </w:rPr>
        <w:tab/>
      </w:r>
      <w:r w:rsidRPr="00F5204A">
        <w:rPr>
          <w:rFonts w:cs="Arial"/>
          <w:szCs w:val="20"/>
        </w:rPr>
        <w:tab/>
        <w:t xml:space="preserve">= </w:t>
      </w:r>
      <w:r>
        <w:rPr>
          <w:rFonts w:cs="Arial"/>
          <w:szCs w:val="20"/>
        </w:rPr>
        <w:t>ΔkWh/ft X L</w:t>
      </w:r>
    </w:p>
    <w:p w:rsidR="00E757AB" w:rsidRDefault="00E757AB" w:rsidP="00E757AB">
      <w:pPr>
        <w:pStyle w:val="Equation"/>
        <w:rPr>
          <w:rFonts w:cs="Arial"/>
          <w:szCs w:val="20"/>
        </w:rPr>
      </w:pPr>
      <w:r>
        <w:rPr>
          <w:rFonts w:cs="Arial"/>
          <w:szCs w:val="20"/>
        </w:rPr>
        <w:t>ΔkW</w:t>
      </w:r>
      <w:r w:rsidRPr="00477AEC">
        <w:rPr>
          <w:rFonts w:cs="Arial"/>
          <w:szCs w:val="20"/>
          <w:vertAlign w:val="subscript"/>
        </w:rPr>
        <w:t>peak</w:t>
      </w:r>
      <w:r>
        <w:rPr>
          <w:rFonts w:cs="Arial"/>
          <w:szCs w:val="20"/>
        </w:rPr>
        <w:tab/>
      </w:r>
      <w:r>
        <w:rPr>
          <w:rFonts w:cs="Arial"/>
          <w:szCs w:val="20"/>
        </w:rPr>
        <w:tab/>
        <w:t>= ΔkW/ft X L</w:t>
      </w:r>
    </w:p>
    <w:p w:rsidR="00E757AB" w:rsidRPr="008C730F" w:rsidRDefault="00E757AB" w:rsidP="00871FA2">
      <w:pPr>
        <w:pStyle w:val="Heading3"/>
      </w:pPr>
      <w:r w:rsidRPr="001C4AD5">
        <w:t xml:space="preserve">Definition of </w:t>
      </w:r>
      <w:r>
        <w:t>Terms</w:t>
      </w:r>
    </w:p>
    <w:p w:rsidR="00E757AB" w:rsidRDefault="00E757AB" w:rsidP="00E757AB">
      <w:pPr>
        <w:pStyle w:val="Equation"/>
        <w:rPr>
          <w:rFonts w:cs="Arial"/>
          <w:szCs w:val="20"/>
        </w:rPr>
      </w:pPr>
      <w:r>
        <w:rPr>
          <w:rFonts w:cs="Arial"/>
          <w:szCs w:val="20"/>
        </w:rPr>
        <w:tab/>
        <w:t>ΔkWh/ft</w:t>
      </w:r>
      <w:r w:rsidRPr="00F5204A">
        <w:rPr>
          <w:rFonts w:cs="Arial"/>
          <w:szCs w:val="20"/>
        </w:rPr>
        <w:t xml:space="preserve"> </w:t>
      </w:r>
      <w:r w:rsidRPr="00F5204A">
        <w:rPr>
          <w:rFonts w:cs="Arial"/>
          <w:szCs w:val="20"/>
        </w:rPr>
        <w:tab/>
        <w:t xml:space="preserve">= </w:t>
      </w:r>
      <w:r>
        <w:rPr>
          <w:rFonts w:cs="Arial"/>
          <w:szCs w:val="20"/>
        </w:rPr>
        <w:t>Annual energy savings per linear foot of gasket</w:t>
      </w:r>
    </w:p>
    <w:p w:rsidR="00E757AB" w:rsidRDefault="00E757AB" w:rsidP="00E757AB">
      <w:pPr>
        <w:pStyle w:val="Equation"/>
        <w:rPr>
          <w:rFonts w:cs="Arial"/>
          <w:szCs w:val="20"/>
        </w:rPr>
      </w:pPr>
      <w:r>
        <w:rPr>
          <w:rFonts w:cs="Arial"/>
          <w:szCs w:val="20"/>
        </w:rPr>
        <w:tab/>
        <w:t>ΔkW/ft</w:t>
      </w:r>
      <w:r>
        <w:rPr>
          <w:rFonts w:cs="Arial"/>
          <w:szCs w:val="20"/>
        </w:rPr>
        <w:tab/>
        <w:t>= Demand savings per linear foot of gasket</w:t>
      </w:r>
    </w:p>
    <w:p w:rsidR="00E757AB" w:rsidRDefault="00E757AB" w:rsidP="00E757AB">
      <w:pPr>
        <w:pStyle w:val="Equation"/>
        <w:rPr>
          <w:rFonts w:cs="Arial"/>
          <w:szCs w:val="20"/>
        </w:rPr>
      </w:pPr>
      <w:r>
        <w:rPr>
          <w:rFonts w:cs="Arial"/>
          <w:szCs w:val="20"/>
        </w:rPr>
        <w:tab/>
        <w:t>L</w:t>
      </w:r>
      <w:r>
        <w:rPr>
          <w:rFonts w:cs="Arial"/>
          <w:szCs w:val="20"/>
        </w:rPr>
        <w:tab/>
        <w:t>= Total gasket length in linear feet</w:t>
      </w:r>
    </w:p>
    <w:p w:rsidR="00E757AB" w:rsidRPr="001C4AD5" w:rsidRDefault="00E757AB" w:rsidP="00E757AB">
      <w:pPr>
        <w:pStyle w:val="StyleCaptionCentered"/>
      </w:pPr>
      <w:bookmarkStart w:id="1009" w:name="_Toc310875627"/>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75</w:t>
      </w:r>
      <w:r w:rsidR="00274AB1">
        <w:rPr>
          <w:noProof/>
        </w:rPr>
        <w:fldChar w:fldCharType="end"/>
      </w:r>
      <w:r>
        <w:t>: Door Gasket Assumptions</w:t>
      </w:r>
      <w:bookmarkEnd w:id="1009"/>
    </w:p>
    <w:tbl>
      <w:tblPr>
        <w:tblW w:w="5000" w:type="pct"/>
        <w:jc w:val="center"/>
        <w:tblCellMar>
          <w:left w:w="115" w:type="dxa"/>
          <w:right w:w="115" w:type="dxa"/>
        </w:tblCellMar>
        <w:tblLook w:val="00A0" w:firstRow="1" w:lastRow="0" w:firstColumn="1" w:lastColumn="0" w:noHBand="0" w:noVBand="0"/>
      </w:tblPr>
      <w:tblGrid>
        <w:gridCol w:w="1713"/>
        <w:gridCol w:w="1221"/>
        <w:gridCol w:w="3816"/>
        <w:gridCol w:w="2120"/>
      </w:tblGrid>
      <w:tr w:rsidR="00E757AB" w:rsidRPr="000151F9" w:rsidTr="00E757AB">
        <w:trPr>
          <w:trHeight w:val="374"/>
          <w:jc w:val="center"/>
        </w:trPr>
        <w:tc>
          <w:tcPr>
            <w:tcW w:w="966" w:type="pct"/>
            <w:tcBorders>
              <w:top w:val="single" w:sz="8" w:space="0" w:color="auto"/>
              <w:left w:val="single" w:sz="8" w:space="0" w:color="auto"/>
              <w:bottom w:val="single" w:sz="8" w:space="0" w:color="auto"/>
              <w:right w:val="single" w:sz="8" w:space="0" w:color="auto"/>
            </w:tcBorders>
            <w:shd w:val="clear" w:color="auto" w:fill="BFBFBF"/>
          </w:tcPr>
          <w:p w:rsidR="00E757AB" w:rsidRPr="001D6512" w:rsidRDefault="00E757AB" w:rsidP="00E757AB">
            <w:pPr>
              <w:pStyle w:val="TableCell"/>
              <w:spacing w:before="60" w:after="60"/>
              <w:rPr>
                <w:b/>
              </w:rPr>
            </w:pPr>
            <w:r w:rsidRPr="001D6512">
              <w:rPr>
                <w:b/>
              </w:rPr>
              <w:t>Component</w:t>
            </w:r>
          </w:p>
        </w:tc>
        <w:tc>
          <w:tcPr>
            <w:tcW w:w="688" w:type="pct"/>
            <w:tcBorders>
              <w:top w:val="single" w:sz="8" w:space="0" w:color="auto"/>
              <w:left w:val="nil"/>
              <w:bottom w:val="single" w:sz="8" w:space="0" w:color="auto"/>
              <w:right w:val="single" w:sz="8" w:space="0" w:color="auto"/>
            </w:tcBorders>
            <w:shd w:val="clear" w:color="auto" w:fill="BFBFBF"/>
          </w:tcPr>
          <w:p w:rsidR="00E757AB" w:rsidRPr="001D6512" w:rsidRDefault="00E757AB" w:rsidP="00E757AB">
            <w:pPr>
              <w:pStyle w:val="TableCell"/>
              <w:spacing w:before="60" w:after="60"/>
              <w:rPr>
                <w:b/>
              </w:rPr>
            </w:pPr>
            <w:r w:rsidRPr="001D6512">
              <w:rPr>
                <w:b/>
              </w:rPr>
              <w:t>Type</w:t>
            </w:r>
          </w:p>
        </w:tc>
        <w:tc>
          <w:tcPr>
            <w:tcW w:w="2151" w:type="pct"/>
            <w:tcBorders>
              <w:top w:val="single" w:sz="8" w:space="0" w:color="auto"/>
              <w:left w:val="nil"/>
              <w:bottom w:val="single" w:sz="8" w:space="0" w:color="auto"/>
              <w:right w:val="single" w:sz="8" w:space="0" w:color="auto"/>
            </w:tcBorders>
            <w:shd w:val="clear" w:color="auto" w:fill="BFBFBF"/>
          </w:tcPr>
          <w:p w:rsidR="00E757AB" w:rsidRPr="001D6512" w:rsidRDefault="00E757AB" w:rsidP="00E757AB">
            <w:pPr>
              <w:pStyle w:val="TableCell"/>
              <w:spacing w:before="60" w:after="60"/>
              <w:rPr>
                <w:b/>
              </w:rPr>
            </w:pPr>
            <w:r w:rsidRPr="001D6512">
              <w:rPr>
                <w:b/>
              </w:rPr>
              <w:t>Value</w:t>
            </w:r>
          </w:p>
        </w:tc>
        <w:tc>
          <w:tcPr>
            <w:tcW w:w="1195" w:type="pct"/>
            <w:tcBorders>
              <w:top w:val="single" w:sz="8" w:space="0" w:color="auto"/>
              <w:left w:val="nil"/>
              <w:bottom w:val="single" w:sz="8" w:space="0" w:color="auto"/>
              <w:right w:val="single" w:sz="8" w:space="0" w:color="auto"/>
            </w:tcBorders>
            <w:shd w:val="clear" w:color="auto" w:fill="BFBFBF"/>
          </w:tcPr>
          <w:p w:rsidR="00E757AB" w:rsidRPr="001D6512" w:rsidRDefault="00E757AB" w:rsidP="00E757AB">
            <w:pPr>
              <w:pStyle w:val="TableCell"/>
              <w:spacing w:before="60" w:after="60"/>
              <w:rPr>
                <w:b/>
              </w:rPr>
            </w:pPr>
            <w:r w:rsidRPr="001D6512">
              <w:rPr>
                <w:b/>
              </w:rPr>
              <w:t>Source</w:t>
            </w:r>
          </w:p>
        </w:tc>
      </w:tr>
      <w:tr w:rsidR="00E757AB" w:rsidRPr="000151F9" w:rsidTr="00E757AB">
        <w:trPr>
          <w:trHeight w:val="374"/>
          <w:jc w:val="center"/>
        </w:trPr>
        <w:tc>
          <w:tcPr>
            <w:tcW w:w="966" w:type="pct"/>
            <w:tcBorders>
              <w:top w:val="single" w:sz="8" w:space="0" w:color="auto"/>
              <w:left w:val="single" w:sz="8" w:space="0" w:color="auto"/>
              <w:bottom w:val="single" w:sz="8" w:space="0" w:color="auto"/>
              <w:right w:val="single" w:sz="8" w:space="0" w:color="auto"/>
            </w:tcBorders>
          </w:tcPr>
          <w:p w:rsidR="00E757AB" w:rsidRPr="001D6512" w:rsidRDefault="00E757AB" w:rsidP="00E757AB">
            <w:pPr>
              <w:pStyle w:val="TableCell"/>
              <w:spacing w:before="60" w:after="60"/>
            </w:pPr>
            <w:r w:rsidRPr="001D6512">
              <w:rPr>
                <w:rFonts w:cs="Arial"/>
              </w:rPr>
              <w:t>ΔkWh/ft</w:t>
            </w:r>
          </w:p>
        </w:tc>
        <w:tc>
          <w:tcPr>
            <w:tcW w:w="688" w:type="pct"/>
            <w:tcBorders>
              <w:top w:val="single" w:sz="8" w:space="0" w:color="auto"/>
              <w:left w:val="nil"/>
              <w:bottom w:val="single" w:sz="8" w:space="0" w:color="auto"/>
              <w:right w:val="single" w:sz="8" w:space="0" w:color="auto"/>
            </w:tcBorders>
          </w:tcPr>
          <w:p w:rsidR="00E757AB" w:rsidRPr="001D6512" w:rsidRDefault="00E757AB" w:rsidP="00E757AB">
            <w:pPr>
              <w:pStyle w:val="TableCell"/>
              <w:spacing w:before="60" w:after="60"/>
            </w:pPr>
            <w:r w:rsidRPr="001D6512">
              <w:t>Variable</w:t>
            </w:r>
          </w:p>
        </w:tc>
        <w:tc>
          <w:tcPr>
            <w:tcW w:w="2151" w:type="pct"/>
            <w:tcBorders>
              <w:top w:val="single" w:sz="8" w:space="0" w:color="auto"/>
              <w:left w:val="nil"/>
              <w:bottom w:val="single" w:sz="8" w:space="0" w:color="auto"/>
              <w:right w:val="single" w:sz="8" w:space="0" w:color="auto"/>
            </w:tcBorders>
          </w:tcPr>
          <w:p w:rsidR="00C0292F" w:rsidRPr="00C0292F" w:rsidRDefault="00E757AB" w:rsidP="00C0292F">
            <w:pPr>
              <w:pStyle w:val="TableCell"/>
              <w:spacing w:before="60" w:after="60"/>
              <w:rPr>
                <w:rFonts w:cs="Arial"/>
              </w:rPr>
            </w:pPr>
            <w:r w:rsidRPr="001D6512">
              <w:rPr>
                <w:rFonts w:cs="Arial"/>
              </w:rPr>
              <w:t xml:space="preserve">From </w:t>
            </w:r>
            <w:r w:rsidR="00274AB1">
              <w:fldChar w:fldCharType="begin"/>
            </w:r>
            <w:r w:rsidR="00274AB1">
              <w:instrText xml:space="preserve"> REF _Ref302735252 \h  \* MERGEFORMAT </w:instrText>
            </w:r>
            <w:r w:rsidR="00274AB1">
              <w:fldChar w:fldCharType="separate"/>
            </w:r>
            <w:r w:rsidR="00C0292F" w:rsidRPr="00C0292F">
              <w:rPr>
                <w:rFonts w:cs="Arial"/>
              </w:rPr>
              <w:t xml:space="preserve">Table </w:t>
            </w:r>
            <w:r w:rsidR="00C0292F" w:rsidRPr="00C0292F">
              <w:rPr>
                <w:rFonts w:cs="Arial"/>
                <w:noProof/>
              </w:rPr>
              <w:t>3</w:t>
            </w:r>
            <w:r w:rsidR="00C0292F" w:rsidRPr="00C0292F">
              <w:rPr>
                <w:rFonts w:cs="Arial"/>
                <w:noProof/>
              </w:rPr>
              <w:noBreakHyphen/>
              <w:t>76</w:t>
            </w:r>
            <w:r w:rsidR="00274AB1">
              <w:fldChar w:fldCharType="end"/>
            </w:r>
            <w:r w:rsidRPr="001D6512">
              <w:rPr>
                <w:rFonts w:cs="Arial"/>
              </w:rPr>
              <w:t xml:space="preserve"> to </w:t>
            </w:r>
            <w:r w:rsidR="007A1FB6" w:rsidRPr="001D6512">
              <w:rPr>
                <w:rFonts w:cs="Arial"/>
              </w:rPr>
              <w:fldChar w:fldCharType="begin"/>
            </w:r>
            <w:r w:rsidRPr="001D6512">
              <w:rPr>
                <w:rFonts w:cs="Arial"/>
              </w:rPr>
              <w:instrText xml:space="preserve"> REF _Ref302482367 \h  \* MERGEFORMAT </w:instrText>
            </w:r>
            <w:r w:rsidR="007A1FB6" w:rsidRPr="001D6512">
              <w:rPr>
                <w:rFonts w:cs="Arial"/>
              </w:rPr>
            </w:r>
            <w:r w:rsidR="007A1FB6" w:rsidRPr="001D6512">
              <w:rPr>
                <w:rFonts w:cs="Arial"/>
              </w:rPr>
              <w:fldChar w:fldCharType="separate"/>
            </w:r>
          </w:p>
          <w:p w:rsidR="00E757AB" w:rsidRPr="001D6512" w:rsidRDefault="00C0292F" w:rsidP="00E757AB">
            <w:pPr>
              <w:pStyle w:val="TableCell"/>
              <w:spacing w:before="60" w:after="60"/>
              <w:rPr>
                <w:rFonts w:cs="Arial"/>
              </w:rPr>
            </w:pPr>
            <w:r w:rsidRPr="00C0292F">
              <w:rPr>
                <w:rFonts w:cs="Arial"/>
              </w:rPr>
              <w:t>Table</w:t>
            </w:r>
            <w:r w:rsidRPr="00C0292F">
              <w:rPr>
                <w:rFonts w:cs="Arial"/>
                <w:noProof/>
              </w:rPr>
              <w:t xml:space="preserve"> </w:t>
            </w:r>
            <w:r w:rsidRPr="00C0292F">
              <w:rPr>
                <w:rFonts w:ascii="Arial Narrow" w:hAnsi="Arial Narrow"/>
                <w:b/>
                <w:noProof/>
              </w:rPr>
              <w:t>3</w:t>
            </w:r>
            <w:r w:rsidRPr="00C0292F">
              <w:rPr>
                <w:rFonts w:ascii="Arial Narrow" w:hAnsi="Arial Narrow"/>
                <w:b/>
                <w:noProof/>
              </w:rPr>
              <w:noBreakHyphen/>
              <w:t>80</w:t>
            </w:r>
            <w:r w:rsidR="007A1FB6" w:rsidRPr="001D6512">
              <w:rPr>
                <w:rFonts w:cs="Arial"/>
              </w:rPr>
              <w:fldChar w:fldCharType="end"/>
            </w:r>
          </w:p>
        </w:tc>
        <w:tc>
          <w:tcPr>
            <w:tcW w:w="1195" w:type="pct"/>
            <w:tcBorders>
              <w:top w:val="single" w:sz="8" w:space="0" w:color="auto"/>
              <w:left w:val="nil"/>
              <w:bottom w:val="single" w:sz="8" w:space="0" w:color="auto"/>
              <w:right w:val="single" w:sz="8" w:space="0" w:color="auto"/>
            </w:tcBorders>
          </w:tcPr>
          <w:p w:rsidR="00E757AB" w:rsidRPr="001D6512" w:rsidRDefault="00E757AB" w:rsidP="00E757AB">
            <w:pPr>
              <w:pStyle w:val="TableCell"/>
              <w:spacing w:before="60" w:after="60"/>
            </w:pPr>
            <w:r w:rsidRPr="001D6512">
              <w:t>1</w:t>
            </w:r>
          </w:p>
        </w:tc>
      </w:tr>
      <w:tr w:rsidR="00E757AB" w:rsidRPr="000151F9" w:rsidTr="00E757AB">
        <w:trPr>
          <w:trHeight w:val="374"/>
          <w:jc w:val="center"/>
        </w:trPr>
        <w:tc>
          <w:tcPr>
            <w:tcW w:w="966" w:type="pct"/>
            <w:tcBorders>
              <w:top w:val="single" w:sz="8" w:space="0" w:color="auto"/>
              <w:left w:val="single" w:sz="8" w:space="0" w:color="auto"/>
              <w:bottom w:val="single" w:sz="8" w:space="0" w:color="auto"/>
              <w:right w:val="single" w:sz="8" w:space="0" w:color="auto"/>
            </w:tcBorders>
          </w:tcPr>
          <w:p w:rsidR="00E757AB" w:rsidRPr="001D6512" w:rsidRDefault="00E757AB" w:rsidP="00E757AB">
            <w:pPr>
              <w:pStyle w:val="TableCell"/>
              <w:spacing w:before="60" w:after="60"/>
            </w:pPr>
            <w:r w:rsidRPr="001D6512">
              <w:rPr>
                <w:rFonts w:cs="Arial"/>
              </w:rPr>
              <w:t>ΔkW/ft</w:t>
            </w:r>
          </w:p>
        </w:tc>
        <w:tc>
          <w:tcPr>
            <w:tcW w:w="688" w:type="pct"/>
            <w:tcBorders>
              <w:top w:val="single" w:sz="8" w:space="0" w:color="auto"/>
              <w:left w:val="nil"/>
              <w:bottom w:val="single" w:sz="8" w:space="0" w:color="auto"/>
              <w:right w:val="single" w:sz="8" w:space="0" w:color="auto"/>
            </w:tcBorders>
          </w:tcPr>
          <w:p w:rsidR="00E757AB" w:rsidRPr="001D6512" w:rsidRDefault="00E757AB" w:rsidP="00E757AB">
            <w:pPr>
              <w:pStyle w:val="TableCell"/>
              <w:spacing w:before="60" w:after="60"/>
            </w:pPr>
            <w:r w:rsidRPr="001D6512">
              <w:t>Variable</w:t>
            </w:r>
          </w:p>
        </w:tc>
        <w:tc>
          <w:tcPr>
            <w:tcW w:w="2151" w:type="pct"/>
            <w:tcBorders>
              <w:top w:val="single" w:sz="8" w:space="0" w:color="auto"/>
              <w:left w:val="nil"/>
              <w:bottom w:val="single" w:sz="8" w:space="0" w:color="auto"/>
              <w:right w:val="single" w:sz="8" w:space="0" w:color="auto"/>
            </w:tcBorders>
          </w:tcPr>
          <w:p w:rsidR="00C0292F" w:rsidRPr="00C0292F" w:rsidRDefault="00E757AB" w:rsidP="00C0292F">
            <w:pPr>
              <w:pStyle w:val="TableCell"/>
              <w:spacing w:before="60" w:after="60"/>
              <w:rPr>
                <w:rFonts w:cs="Arial"/>
              </w:rPr>
            </w:pPr>
            <w:r w:rsidRPr="001D6512">
              <w:rPr>
                <w:rFonts w:cs="Arial"/>
              </w:rPr>
              <w:t xml:space="preserve">From </w:t>
            </w:r>
            <w:r w:rsidR="00274AB1">
              <w:fldChar w:fldCharType="begin"/>
            </w:r>
            <w:r w:rsidR="00274AB1">
              <w:instrText xml:space="preserve"> REF _Ref302735252 \h  \* MERGEFORMAT </w:instrText>
            </w:r>
            <w:r w:rsidR="00274AB1">
              <w:fldChar w:fldCharType="separate"/>
            </w:r>
            <w:r w:rsidR="00C0292F" w:rsidRPr="00C0292F">
              <w:rPr>
                <w:rFonts w:cs="Arial"/>
              </w:rPr>
              <w:t xml:space="preserve">Table </w:t>
            </w:r>
            <w:r w:rsidR="00C0292F" w:rsidRPr="00C0292F">
              <w:rPr>
                <w:rFonts w:cs="Arial"/>
                <w:noProof/>
              </w:rPr>
              <w:t>3</w:t>
            </w:r>
            <w:r w:rsidR="00C0292F" w:rsidRPr="00C0292F">
              <w:rPr>
                <w:rFonts w:cs="Arial"/>
                <w:noProof/>
              </w:rPr>
              <w:noBreakHyphen/>
              <w:t>76</w:t>
            </w:r>
            <w:r w:rsidR="00274AB1">
              <w:fldChar w:fldCharType="end"/>
            </w:r>
            <w:r w:rsidRPr="001D6512">
              <w:rPr>
                <w:rFonts w:cs="Arial"/>
              </w:rPr>
              <w:t xml:space="preserve"> to </w:t>
            </w:r>
            <w:r w:rsidR="007A1FB6" w:rsidRPr="001D6512">
              <w:rPr>
                <w:rFonts w:cs="Arial"/>
              </w:rPr>
              <w:fldChar w:fldCharType="begin"/>
            </w:r>
            <w:r w:rsidRPr="001D6512">
              <w:rPr>
                <w:rFonts w:cs="Arial"/>
              </w:rPr>
              <w:instrText xml:space="preserve"> REF _Ref302482367 \h  \* MERGEFORMAT </w:instrText>
            </w:r>
            <w:r w:rsidR="007A1FB6" w:rsidRPr="001D6512">
              <w:rPr>
                <w:rFonts w:cs="Arial"/>
              </w:rPr>
            </w:r>
            <w:r w:rsidR="007A1FB6" w:rsidRPr="001D6512">
              <w:rPr>
                <w:rFonts w:cs="Arial"/>
              </w:rPr>
              <w:fldChar w:fldCharType="separate"/>
            </w:r>
          </w:p>
          <w:p w:rsidR="00E757AB" w:rsidRPr="001D6512" w:rsidRDefault="00C0292F" w:rsidP="00E757AB">
            <w:pPr>
              <w:pStyle w:val="TableCell"/>
              <w:spacing w:before="60" w:after="60"/>
              <w:rPr>
                <w:rFonts w:cs="Arial"/>
              </w:rPr>
            </w:pPr>
            <w:r w:rsidRPr="00C0292F">
              <w:rPr>
                <w:rFonts w:cs="Arial"/>
              </w:rPr>
              <w:t>Table</w:t>
            </w:r>
            <w:r w:rsidRPr="00C0292F">
              <w:rPr>
                <w:rFonts w:cs="Arial"/>
                <w:noProof/>
              </w:rPr>
              <w:t xml:space="preserve"> </w:t>
            </w:r>
            <w:r w:rsidRPr="00C0292F">
              <w:rPr>
                <w:rFonts w:ascii="Arial Narrow" w:hAnsi="Arial Narrow"/>
                <w:b/>
                <w:noProof/>
              </w:rPr>
              <w:t>3</w:t>
            </w:r>
            <w:r w:rsidRPr="00C0292F">
              <w:rPr>
                <w:rFonts w:ascii="Arial Narrow" w:hAnsi="Arial Narrow"/>
                <w:b/>
                <w:noProof/>
              </w:rPr>
              <w:noBreakHyphen/>
              <w:t>80</w:t>
            </w:r>
            <w:r w:rsidR="007A1FB6" w:rsidRPr="001D6512">
              <w:rPr>
                <w:rFonts w:cs="Arial"/>
              </w:rPr>
              <w:fldChar w:fldCharType="end"/>
            </w:r>
          </w:p>
        </w:tc>
        <w:tc>
          <w:tcPr>
            <w:tcW w:w="1195" w:type="pct"/>
            <w:tcBorders>
              <w:top w:val="single" w:sz="8" w:space="0" w:color="auto"/>
              <w:left w:val="nil"/>
              <w:bottom w:val="single" w:sz="8" w:space="0" w:color="auto"/>
              <w:right w:val="single" w:sz="8" w:space="0" w:color="auto"/>
            </w:tcBorders>
          </w:tcPr>
          <w:p w:rsidR="00E757AB" w:rsidRPr="001D6512" w:rsidRDefault="00E757AB" w:rsidP="00E757AB">
            <w:pPr>
              <w:pStyle w:val="TableCell"/>
              <w:spacing w:before="60" w:after="60"/>
            </w:pPr>
            <w:r w:rsidRPr="001D6512">
              <w:t>1</w:t>
            </w:r>
          </w:p>
        </w:tc>
      </w:tr>
      <w:tr w:rsidR="00E757AB" w:rsidRPr="000151F9" w:rsidTr="00E757AB">
        <w:trPr>
          <w:trHeight w:val="374"/>
          <w:jc w:val="center"/>
        </w:trPr>
        <w:tc>
          <w:tcPr>
            <w:tcW w:w="966" w:type="pct"/>
            <w:tcBorders>
              <w:top w:val="single" w:sz="8" w:space="0" w:color="auto"/>
              <w:left w:val="single" w:sz="8" w:space="0" w:color="auto"/>
              <w:bottom w:val="single" w:sz="8" w:space="0" w:color="auto"/>
              <w:right w:val="single" w:sz="8" w:space="0" w:color="auto"/>
            </w:tcBorders>
          </w:tcPr>
          <w:p w:rsidR="00E757AB" w:rsidRPr="001D6512" w:rsidRDefault="00E757AB" w:rsidP="00E757AB">
            <w:pPr>
              <w:pStyle w:val="TableCell"/>
              <w:spacing w:before="60" w:after="60"/>
              <w:rPr>
                <w:rFonts w:cs="Arial"/>
              </w:rPr>
            </w:pPr>
            <w:r w:rsidRPr="001D6512">
              <w:rPr>
                <w:rFonts w:cs="Arial"/>
              </w:rPr>
              <w:t>L</w:t>
            </w:r>
          </w:p>
        </w:tc>
        <w:tc>
          <w:tcPr>
            <w:tcW w:w="688" w:type="pct"/>
            <w:tcBorders>
              <w:top w:val="single" w:sz="8" w:space="0" w:color="auto"/>
              <w:left w:val="nil"/>
              <w:bottom w:val="single" w:sz="8" w:space="0" w:color="auto"/>
              <w:right w:val="single" w:sz="8" w:space="0" w:color="auto"/>
            </w:tcBorders>
          </w:tcPr>
          <w:p w:rsidR="00E757AB" w:rsidRPr="001D6512" w:rsidRDefault="00E757AB" w:rsidP="00E757AB">
            <w:pPr>
              <w:pStyle w:val="TableCell"/>
              <w:spacing w:before="60" w:after="60"/>
            </w:pPr>
            <w:r w:rsidRPr="001D6512">
              <w:t>Variable</w:t>
            </w:r>
          </w:p>
        </w:tc>
        <w:tc>
          <w:tcPr>
            <w:tcW w:w="2151" w:type="pct"/>
            <w:tcBorders>
              <w:top w:val="single" w:sz="8" w:space="0" w:color="auto"/>
              <w:left w:val="nil"/>
              <w:bottom w:val="single" w:sz="8" w:space="0" w:color="auto"/>
              <w:right w:val="single" w:sz="8" w:space="0" w:color="auto"/>
            </w:tcBorders>
          </w:tcPr>
          <w:p w:rsidR="00E757AB" w:rsidRPr="001D6512" w:rsidRDefault="00E757AB" w:rsidP="00E757AB">
            <w:pPr>
              <w:pStyle w:val="TableCell"/>
              <w:spacing w:before="60" w:after="60"/>
            </w:pPr>
            <w:r w:rsidRPr="001D6512">
              <w:t>As Measured</w:t>
            </w:r>
          </w:p>
        </w:tc>
        <w:tc>
          <w:tcPr>
            <w:tcW w:w="1195" w:type="pct"/>
            <w:tcBorders>
              <w:top w:val="single" w:sz="8" w:space="0" w:color="auto"/>
              <w:left w:val="nil"/>
              <w:bottom w:val="single" w:sz="8" w:space="0" w:color="auto"/>
              <w:right w:val="single" w:sz="8" w:space="0" w:color="auto"/>
            </w:tcBorders>
          </w:tcPr>
          <w:p w:rsidR="00E757AB" w:rsidRPr="001D6512" w:rsidRDefault="00E757AB" w:rsidP="00E757AB">
            <w:pPr>
              <w:pStyle w:val="TableCell"/>
              <w:spacing w:before="60" w:after="60"/>
            </w:pPr>
            <w:r w:rsidRPr="001D6512">
              <w:t>EDC Data Gathering</w:t>
            </w:r>
          </w:p>
        </w:tc>
      </w:tr>
    </w:tbl>
    <w:p w:rsidR="00E757AB" w:rsidRDefault="00E757AB" w:rsidP="00E757AB">
      <w:pPr>
        <w:spacing w:after="0"/>
      </w:pPr>
    </w:p>
    <w:p w:rsidR="00B20792" w:rsidRPr="001D7420" w:rsidRDefault="00B20792" w:rsidP="00B20792">
      <w:pPr>
        <w:keepNext/>
        <w:rPr>
          <w:b/>
        </w:rPr>
      </w:pPr>
      <w:r w:rsidRPr="001D7420">
        <w:rPr>
          <w:b/>
        </w:rPr>
        <w:t>Sources:</w:t>
      </w:r>
    </w:p>
    <w:p w:rsidR="00B20792" w:rsidRDefault="00B20792" w:rsidP="0005632A">
      <w:pPr>
        <w:pStyle w:val="source1"/>
        <w:numPr>
          <w:ilvl w:val="0"/>
          <w:numId w:val="88"/>
        </w:numPr>
      </w:pPr>
      <w:r>
        <w:t>Southern California Edison Company, Design &amp; Engineering Services, Work Paper WPSCNRRN0001, 2006 – 2008 Program Planning Cycle.</w:t>
      </w:r>
    </w:p>
    <w:p w:rsidR="00E757AB" w:rsidRDefault="00E757AB" w:rsidP="00F05DC2">
      <w:r>
        <w:t>The deemed savings values below are weather sensitive, therefore the values for each reference city are taken from the associated California climate zones listed in the Southern California Edison work paper. The Commercial Facilities Contract Group 2006-2008 Direct Impact Evaluation</w:t>
      </w:r>
      <w:r>
        <w:rPr>
          <w:rStyle w:val="FootnoteReference"/>
        </w:rPr>
        <w:footnoteReference w:id="217"/>
      </w:r>
      <w:r>
        <w:t xml:space="preserve"> prepared for the California Public Utilities Commission, which mainly focuses on refrigerated display cases versus walk-in coolers, have shown low realization rates and net-to-gross ratios compared to the SCE work papers, mostly attributable to the effectiveness of baseline door gaskets being much higher than assumed. Due to the relatively small contribution of savings toward EDC portfolios as a whole and lack of Pennsylvania specific data, the ex ante savings based on the SCE work paper will be used until further research is conducted.</w:t>
      </w:r>
    </w:p>
    <w:p w:rsidR="007F5C21" w:rsidRDefault="007F5C21" w:rsidP="00220FD7">
      <w:pPr>
        <w:pStyle w:val="StyleCaptionCentered"/>
      </w:pPr>
      <w:bookmarkStart w:id="1010" w:name="_Ref302735252"/>
      <w:bookmarkStart w:id="1011" w:name="_Toc310875628"/>
      <w:r w:rsidRPr="00220FD7">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76</w:t>
      </w:r>
      <w:r w:rsidR="00274AB1">
        <w:rPr>
          <w:noProof/>
        </w:rPr>
        <w:fldChar w:fldCharType="end"/>
      </w:r>
      <w:bookmarkEnd w:id="1010"/>
      <w:r w:rsidRPr="00220FD7">
        <w:t>: Door Gasket Savings per Linear Foot (CZ 4 Allentown, Pittsburgh, Williamstown)</w:t>
      </w:r>
      <w:bookmarkEnd w:id="1011"/>
    </w:p>
    <w:tbl>
      <w:tblPr>
        <w:tblW w:w="5000" w:type="pct"/>
        <w:jc w:val="center"/>
        <w:tblLook w:val="04A0" w:firstRow="1" w:lastRow="0" w:firstColumn="1" w:lastColumn="0" w:noHBand="0" w:noVBand="1"/>
      </w:tblPr>
      <w:tblGrid>
        <w:gridCol w:w="4034"/>
        <w:gridCol w:w="1210"/>
        <w:gridCol w:w="1201"/>
        <w:gridCol w:w="1210"/>
        <w:gridCol w:w="1201"/>
      </w:tblGrid>
      <w:tr w:rsidR="00E757AB" w:rsidRPr="00D13311" w:rsidTr="00DE12EC">
        <w:trPr>
          <w:trHeight w:val="20"/>
          <w:jc w:val="center"/>
        </w:trPr>
        <w:tc>
          <w:tcPr>
            <w:tcW w:w="2278"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57AB" w:rsidRPr="00D13311" w:rsidRDefault="00E757AB" w:rsidP="00E757AB">
            <w:pPr>
              <w:spacing w:before="60" w:after="60" w:line="264" w:lineRule="auto"/>
              <w:rPr>
                <w:rFonts w:cs="Arial"/>
                <w:b/>
                <w:bCs/>
                <w:color w:val="000000"/>
                <w:sz w:val="18"/>
                <w:szCs w:val="18"/>
              </w:rPr>
            </w:pPr>
            <w:r w:rsidRPr="00D13311">
              <w:rPr>
                <w:rFonts w:cs="Arial"/>
                <w:b/>
                <w:bCs/>
                <w:color w:val="000000"/>
                <w:sz w:val="18"/>
                <w:szCs w:val="18"/>
              </w:rPr>
              <w:t>Building Type</w:t>
            </w:r>
          </w:p>
        </w:tc>
        <w:tc>
          <w:tcPr>
            <w:tcW w:w="136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57AB" w:rsidRPr="007141E5" w:rsidRDefault="00E757AB" w:rsidP="00E757AB">
            <w:pPr>
              <w:overflowPunct/>
              <w:autoSpaceDE/>
              <w:autoSpaceDN/>
              <w:adjustRightInd/>
              <w:spacing w:before="60" w:after="60" w:line="264" w:lineRule="auto"/>
              <w:jc w:val="center"/>
              <w:textAlignment w:val="auto"/>
              <w:rPr>
                <w:rFonts w:cs="Arial"/>
                <w:b/>
                <w:bCs/>
                <w:color w:val="000000"/>
                <w:sz w:val="18"/>
                <w:szCs w:val="18"/>
              </w:rPr>
            </w:pPr>
            <w:r w:rsidRPr="007141E5">
              <w:rPr>
                <w:rFonts w:cs="Arial"/>
                <w:b/>
                <w:color w:val="000000"/>
                <w:sz w:val="18"/>
                <w:szCs w:val="18"/>
              </w:rPr>
              <w:t>Coolers</w:t>
            </w:r>
          </w:p>
        </w:tc>
        <w:tc>
          <w:tcPr>
            <w:tcW w:w="136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57AB" w:rsidRPr="007141E5" w:rsidRDefault="00E757AB" w:rsidP="00E757AB">
            <w:pPr>
              <w:overflowPunct/>
              <w:autoSpaceDE/>
              <w:autoSpaceDN/>
              <w:adjustRightInd/>
              <w:spacing w:before="60" w:after="60" w:line="264" w:lineRule="auto"/>
              <w:jc w:val="center"/>
              <w:textAlignment w:val="auto"/>
              <w:rPr>
                <w:rFonts w:cs="Arial"/>
                <w:b/>
                <w:bCs/>
                <w:color w:val="000000"/>
                <w:sz w:val="18"/>
                <w:szCs w:val="18"/>
              </w:rPr>
            </w:pPr>
            <w:r w:rsidRPr="007141E5">
              <w:rPr>
                <w:rFonts w:cs="Arial"/>
                <w:b/>
                <w:color w:val="000000"/>
                <w:sz w:val="18"/>
                <w:szCs w:val="18"/>
              </w:rPr>
              <w:t>Freezers</w:t>
            </w:r>
          </w:p>
        </w:tc>
      </w:tr>
      <w:tr w:rsidR="00E757AB" w:rsidRPr="00D13311" w:rsidTr="00DE12EC">
        <w:trPr>
          <w:trHeight w:val="20"/>
          <w:jc w:val="center"/>
        </w:trPr>
        <w:tc>
          <w:tcPr>
            <w:tcW w:w="2278" w:type="pct"/>
            <w:vMerge/>
            <w:tcBorders>
              <w:top w:val="single" w:sz="4"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E757AB" w:rsidRPr="00D13311" w:rsidRDefault="00E757AB" w:rsidP="00E757AB">
            <w:pPr>
              <w:overflowPunct/>
              <w:autoSpaceDE/>
              <w:autoSpaceDN/>
              <w:adjustRightInd/>
              <w:spacing w:before="60" w:after="60" w:line="264" w:lineRule="auto"/>
              <w:textAlignment w:val="auto"/>
              <w:rPr>
                <w:rFonts w:cs="Arial"/>
                <w:b/>
                <w:bCs/>
                <w:color w:val="000000"/>
                <w:sz w:val="18"/>
                <w:szCs w:val="18"/>
              </w:rPr>
            </w:pPr>
          </w:p>
        </w:tc>
        <w:tc>
          <w:tcPr>
            <w:tcW w:w="683" w:type="pct"/>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E757AB" w:rsidRPr="00D13311" w:rsidRDefault="00E757AB" w:rsidP="00E757AB">
            <w:pPr>
              <w:overflowPunct/>
              <w:autoSpaceDE/>
              <w:autoSpaceDN/>
              <w:adjustRightInd/>
              <w:spacing w:before="60" w:after="60" w:line="264" w:lineRule="auto"/>
              <w:textAlignment w:val="auto"/>
              <w:rPr>
                <w:rFonts w:cs="Arial"/>
                <w:b/>
                <w:bCs/>
                <w:color w:val="000000"/>
                <w:sz w:val="18"/>
                <w:szCs w:val="18"/>
              </w:rPr>
            </w:pPr>
            <w:r>
              <w:rPr>
                <w:rFonts w:cs="Arial"/>
                <w:b/>
                <w:bCs/>
                <w:color w:val="000000"/>
                <w:sz w:val="18"/>
                <w:szCs w:val="18"/>
              </w:rPr>
              <w:t>Δ</w:t>
            </w:r>
            <w:r w:rsidRPr="00D13311">
              <w:rPr>
                <w:rFonts w:cs="Arial"/>
                <w:b/>
                <w:bCs/>
                <w:color w:val="000000"/>
                <w:sz w:val="18"/>
                <w:szCs w:val="18"/>
              </w:rPr>
              <w:t>kW/</w:t>
            </w:r>
            <w:r>
              <w:rPr>
                <w:rFonts w:cs="Arial"/>
                <w:b/>
                <w:bCs/>
                <w:color w:val="000000"/>
                <w:sz w:val="18"/>
                <w:szCs w:val="18"/>
              </w:rPr>
              <w:t>ft</w:t>
            </w:r>
          </w:p>
        </w:tc>
        <w:tc>
          <w:tcPr>
            <w:tcW w:w="678" w:type="pct"/>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E757AB" w:rsidRPr="00D13311" w:rsidRDefault="00E757AB" w:rsidP="00E757AB">
            <w:pPr>
              <w:overflowPunct/>
              <w:autoSpaceDE/>
              <w:autoSpaceDN/>
              <w:adjustRightInd/>
              <w:spacing w:before="60" w:after="60" w:line="264" w:lineRule="auto"/>
              <w:textAlignment w:val="auto"/>
              <w:rPr>
                <w:rFonts w:cs="Arial"/>
                <w:b/>
                <w:bCs/>
                <w:color w:val="000000"/>
                <w:sz w:val="18"/>
                <w:szCs w:val="18"/>
              </w:rPr>
            </w:pPr>
            <w:r>
              <w:rPr>
                <w:rFonts w:cs="Arial"/>
                <w:b/>
                <w:bCs/>
                <w:color w:val="000000"/>
                <w:sz w:val="18"/>
                <w:szCs w:val="18"/>
              </w:rPr>
              <w:t>Δ</w:t>
            </w:r>
            <w:r w:rsidRPr="00D13311">
              <w:rPr>
                <w:rFonts w:cs="Arial"/>
                <w:b/>
                <w:bCs/>
                <w:color w:val="000000"/>
                <w:sz w:val="18"/>
                <w:szCs w:val="18"/>
              </w:rPr>
              <w:t>kWh/</w:t>
            </w:r>
            <w:r>
              <w:rPr>
                <w:rFonts w:cs="Arial"/>
                <w:b/>
                <w:bCs/>
                <w:color w:val="000000"/>
                <w:sz w:val="18"/>
                <w:szCs w:val="18"/>
              </w:rPr>
              <w:t>ft</w:t>
            </w:r>
          </w:p>
        </w:tc>
        <w:tc>
          <w:tcPr>
            <w:tcW w:w="683" w:type="pct"/>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E757AB" w:rsidRPr="00D13311" w:rsidRDefault="00E757AB" w:rsidP="00E757AB">
            <w:pPr>
              <w:overflowPunct/>
              <w:autoSpaceDE/>
              <w:autoSpaceDN/>
              <w:adjustRightInd/>
              <w:spacing w:before="60" w:after="60" w:line="264" w:lineRule="auto"/>
              <w:textAlignment w:val="auto"/>
              <w:rPr>
                <w:rFonts w:cs="Arial"/>
                <w:b/>
                <w:bCs/>
                <w:color w:val="000000"/>
                <w:sz w:val="18"/>
                <w:szCs w:val="18"/>
              </w:rPr>
            </w:pPr>
            <w:r>
              <w:rPr>
                <w:rFonts w:cs="Arial"/>
                <w:b/>
                <w:bCs/>
                <w:color w:val="000000"/>
                <w:sz w:val="18"/>
                <w:szCs w:val="18"/>
              </w:rPr>
              <w:t>Δ</w:t>
            </w:r>
            <w:r w:rsidRPr="00D13311">
              <w:rPr>
                <w:rFonts w:cs="Arial"/>
                <w:b/>
                <w:bCs/>
                <w:color w:val="000000"/>
                <w:sz w:val="18"/>
                <w:szCs w:val="18"/>
              </w:rPr>
              <w:t>kW/</w:t>
            </w:r>
            <w:r>
              <w:rPr>
                <w:rFonts w:cs="Arial"/>
                <w:b/>
                <w:bCs/>
                <w:color w:val="000000"/>
                <w:sz w:val="18"/>
                <w:szCs w:val="18"/>
              </w:rPr>
              <w:t>ft</w:t>
            </w:r>
          </w:p>
        </w:tc>
        <w:tc>
          <w:tcPr>
            <w:tcW w:w="678" w:type="pct"/>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E757AB" w:rsidRPr="00D13311" w:rsidRDefault="00E757AB" w:rsidP="00E757AB">
            <w:pPr>
              <w:overflowPunct/>
              <w:autoSpaceDE/>
              <w:autoSpaceDN/>
              <w:adjustRightInd/>
              <w:spacing w:before="60" w:after="60" w:line="264" w:lineRule="auto"/>
              <w:textAlignment w:val="auto"/>
              <w:rPr>
                <w:rFonts w:cs="Arial"/>
                <w:b/>
                <w:bCs/>
                <w:color w:val="000000"/>
                <w:sz w:val="18"/>
                <w:szCs w:val="18"/>
              </w:rPr>
            </w:pPr>
            <w:r>
              <w:rPr>
                <w:rFonts w:cs="Arial"/>
                <w:b/>
                <w:bCs/>
                <w:color w:val="000000"/>
                <w:sz w:val="18"/>
                <w:szCs w:val="18"/>
              </w:rPr>
              <w:t>Δ</w:t>
            </w:r>
            <w:r w:rsidRPr="00D13311">
              <w:rPr>
                <w:rFonts w:cs="Arial"/>
                <w:b/>
                <w:bCs/>
                <w:color w:val="000000"/>
                <w:sz w:val="18"/>
                <w:szCs w:val="18"/>
              </w:rPr>
              <w:t>kW/</w:t>
            </w:r>
            <w:r>
              <w:rPr>
                <w:rFonts w:cs="Arial"/>
                <w:b/>
                <w:bCs/>
                <w:color w:val="000000"/>
                <w:sz w:val="18"/>
                <w:szCs w:val="18"/>
              </w:rPr>
              <w:t>ft</w:t>
            </w:r>
          </w:p>
        </w:tc>
      </w:tr>
      <w:tr w:rsidR="00E757AB" w:rsidRPr="00D13311" w:rsidTr="00E757AB">
        <w:trPr>
          <w:trHeight w:val="20"/>
          <w:jc w:val="center"/>
        </w:trPr>
        <w:tc>
          <w:tcPr>
            <w:tcW w:w="2278" w:type="pct"/>
            <w:tcBorders>
              <w:top w:val="nil"/>
              <w:left w:val="single" w:sz="8" w:space="0" w:color="auto"/>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textAlignment w:val="auto"/>
              <w:rPr>
                <w:rFonts w:cs="Arial"/>
                <w:color w:val="000000"/>
                <w:sz w:val="18"/>
                <w:szCs w:val="18"/>
              </w:rPr>
            </w:pPr>
            <w:r w:rsidRPr="00D13311">
              <w:rPr>
                <w:rFonts w:cs="Arial"/>
                <w:color w:val="000000"/>
                <w:sz w:val="18"/>
                <w:szCs w:val="18"/>
              </w:rPr>
              <w:t>Restaurant</w:t>
            </w:r>
          </w:p>
        </w:tc>
        <w:tc>
          <w:tcPr>
            <w:tcW w:w="683"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0.000886</w:t>
            </w:r>
          </w:p>
        </w:tc>
        <w:tc>
          <w:tcPr>
            <w:tcW w:w="678"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18</w:t>
            </w:r>
          </w:p>
        </w:tc>
        <w:tc>
          <w:tcPr>
            <w:tcW w:w="683"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0.001871</w:t>
            </w:r>
          </w:p>
        </w:tc>
        <w:tc>
          <w:tcPr>
            <w:tcW w:w="678"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63</w:t>
            </w:r>
          </w:p>
        </w:tc>
      </w:tr>
      <w:tr w:rsidR="00E757AB" w:rsidRPr="00D13311" w:rsidTr="00E757AB">
        <w:trPr>
          <w:trHeight w:val="20"/>
          <w:jc w:val="center"/>
        </w:trPr>
        <w:tc>
          <w:tcPr>
            <w:tcW w:w="2278" w:type="pct"/>
            <w:tcBorders>
              <w:top w:val="nil"/>
              <w:left w:val="single" w:sz="8" w:space="0" w:color="auto"/>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textAlignment w:val="auto"/>
              <w:rPr>
                <w:rFonts w:cs="Arial"/>
                <w:color w:val="000000"/>
                <w:sz w:val="18"/>
                <w:szCs w:val="18"/>
              </w:rPr>
            </w:pPr>
            <w:r w:rsidRPr="00D13311">
              <w:rPr>
                <w:rFonts w:cs="Arial"/>
                <w:color w:val="000000"/>
                <w:sz w:val="18"/>
                <w:szCs w:val="18"/>
              </w:rPr>
              <w:t>Small Grocery Store/ Convenience Store</w:t>
            </w:r>
          </w:p>
        </w:tc>
        <w:tc>
          <w:tcPr>
            <w:tcW w:w="683"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0.000658</w:t>
            </w:r>
          </w:p>
        </w:tc>
        <w:tc>
          <w:tcPr>
            <w:tcW w:w="678"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15</w:t>
            </w:r>
          </w:p>
        </w:tc>
        <w:tc>
          <w:tcPr>
            <w:tcW w:w="683"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0.001620</w:t>
            </w:r>
          </w:p>
        </w:tc>
        <w:tc>
          <w:tcPr>
            <w:tcW w:w="678"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64</w:t>
            </w:r>
          </w:p>
        </w:tc>
      </w:tr>
      <w:tr w:rsidR="00E757AB" w:rsidRPr="00D13311" w:rsidTr="00E757AB">
        <w:trPr>
          <w:trHeight w:val="20"/>
          <w:jc w:val="center"/>
        </w:trPr>
        <w:tc>
          <w:tcPr>
            <w:tcW w:w="2278" w:type="pct"/>
            <w:tcBorders>
              <w:top w:val="nil"/>
              <w:left w:val="single" w:sz="8" w:space="0" w:color="auto"/>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textAlignment w:val="auto"/>
              <w:rPr>
                <w:rFonts w:cs="Arial"/>
                <w:color w:val="000000"/>
                <w:sz w:val="18"/>
                <w:szCs w:val="18"/>
              </w:rPr>
            </w:pPr>
            <w:r w:rsidRPr="00D13311">
              <w:rPr>
                <w:rFonts w:cs="Arial"/>
                <w:color w:val="000000"/>
                <w:sz w:val="18"/>
                <w:szCs w:val="18"/>
              </w:rPr>
              <w:t>Medium/Large Grocery Store/ Supermarkets</w:t>
            </w:r>
          </w:p>
        </w:tc>
        <w:tc>
          <w:tcPr>
            <w:tcW w:w="683"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0.000647</w:t>
            </w:r>
          </w:p>
        </w:tc>
        <w:tc>
          <w:tcPr>
            <w:tcW w:w="678"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15</w:t>
            </w:r>
          </w:p>
        </w:tc>
        <w:tc>
          <w:tcPr>
            <w:tcW w:w="683"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0.001593</w:t>
            </w:r>
          </w:p>
        </w:tc>
        <w:tc>
          <w:tcPr>
            <w:tcW w:w="678"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91</w:t>
            </w:r>
          </w:p>
        </w:tc>
      </w:tr>
    </w:tbl>
    <w:p w:rsidR="00220FD7" w:rsidRDefault="00220FD7" w:rsidP="00220FD7"/>
    <w:p w:rsidR="00E757AB" w:rsidRPr="00220FD7" w:rsidRDefault="00220FD7" w:rsidP="00220FD7">
      <w:pPr>
        <w:pStyle w:val="StyleCaptionCentered"/>
      </w:pPr>
      <w:bookmarkStart w:id="1012" w:name="_Toc310875629"/>
      <w:r w:rsidRPr="00220FD7">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77</w:t>
      </w:r>
      <w:r w:rsidR="00274AB1">
        <w:rPr>
          <w:noProof/>
        </w:rPr>
        <w:fldChar w:fldCharType="end"/>
      </w:r>
      <w:r w:rsidRPr="00220FD7">
        <w:t>: Door Gasket Savings per Linear Foot (CZ 8 Harrisburg)</w:t>
      </w:r>
      <w:bookmarkEnd w:id="1012"/>
    </w:p>
    <w:tbl>
      <w:tblPr>
        <w:tblW w:w="5000" w:type="pct"/>
        <w:jc w:val="center"/>
        <w:tblLook w:val="04A0" w:firstRow="1" w:lastRow="0" w:firstColumn="1" w:lastColumn="0" w:noHBand="0" w:noVBand="1"/>
      </w:tblPr>
      <w:tblGrid>
        <w:gridCol w:w="4038"/>
        <w:gridCol w:w="1210"/>
        <w:gridCol w:w="1199"/>
        <w:gridCol w:w="1210"/>
        <w:gridCol w:w="1199"/>
      </w:tblGrid>
      <w:tr w:rsidR="00E757AB" w:rsidRPr="00D13311" w:rsidTr="00DE12EC">
        <w:trPr>
          <w:trHeight w:val="20"/>
          <w:jc w:val="center"/>
        </w:trPr>
        <w:tc>
          <w:tcPr>
            <w:tcW w:w="228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57AB" w:rsidRPr="00D13311" w:rsidRDefault="00E757AB" w:rsidP="00E757AB">
            <w:pPr>
              <w:spacing w:before="60" w:after="60" w:line="264" w:lineRule="auto"/>
              <w:rPr>
                <w:rFonts w:cs="Arial"/>
                <w:b/>
                <w:bCs/>
                <w:color w:val="000000"/>
                <w:sz w:val="18"/>
                <w:szCs w:val="18"/>
              </w:rPr>
            </w:pPr>
            <w:r w:rsidRPr="00D13311">
              <w:rPr>
                <w:rFonts w:cs="Arial"/>
                <w:b/>
                <w:bCs/>
                <w:color w:val="000000"/>
                <w:sz w:val="18"/>
                <w:szCs w:val="18"/>
              </w:rPr>
              <w:t>Building Type</w:t>
            </w:r>
          </w:p>
        </w:tc>
        <w:tc>
          <w:tcPr>
            <w:tcW w:w="136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57AB" w:rsidRPr="007141E5" w:rsidRDefault="00E757AB" w:rsidP="00E757AB">
            <w:pPr>
              <w:overflowPunct/>
              <w:autoSpaceDE/>
              <w:autoSpaceDN/>
              <w:adjustRightInd/>
              <w:spacing w:before="60" w:after="60" w:line="264" w:lineRule="auto"/>
              <w:jc w:val="center"/>
              <w:textAlignment w:val="auto"/>
              <w:rPr>
                <w:rFonts w:cs="Arial"/>
                <w:b/>
                <w:bCs/>
                <w:color w:val="000000"/>
                <w:sz w:val="18"/>
                <w:szCs w:val="18"/>
              </w:rPr>
            </w:pPr>
            <w:r w:rsidRPr="007141E5">
              <w:rPr>
                <w:rFonts w:cs="Arial"/>
                <w:b/>
                <w:color w:val="000000"/>
                <w:sz w:val="18"/>
                <w:szCs w:val="18"/>
              </w:rPr>
              <w:t>Coolers</w:t>
            </w:r>
          </w:p>
        </w:tc>
        <w:tc>
          <w:tcPr>
            <w:tcW w:w="136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57AB" w:rsidRPr="007141E5" w:rsidRDefault="00E757AB" w:rsidP="00E757AB">
            <w:pPr>
              <w:overflowPunct/>
              <w:autoSpaceDE/>
              <w:autoSpaceDN/>
              <w:adjustRightInd/>
              <w:spacing w:before="60" w:after="60" w:line="264" w:lineRule="auto"/>
              <w:jc w:val="center"/>
              <w:textAlignment w:val="auto"/>
              <w:rPr>
                <w:rFonts w:cs="Arial"/>
                <w:b/>
                <w:bCs/>
                <w:color w:val="000000"/>
                <w:sz w:val="18"/>
                <w:szCs w:val="18"/>
              </w:rPr>
            </w:pPr>
            <w:r w:rsidRPr="007141E5">
              <w:rPr>
                <w:rFonts w:cs="Arial"/>
                <w:b/>
                <w:color w:val="000000"/>
                <w:sz w:val="18"/>
                <w:szCs w:val="18"/>
              </w:rPr>
              <w:t>Freezers</w:t>
            </w:r>
          </w:p>
        </w:tc>
      </w:tr>
      <w:tr w:rsidR="00E757AB" w:rsidRPr="00D13311" w:rsidTr="00DE12EC">
        <w:trPr>
          <w:trHeight w:val="20"/>
          <w:jc w:val="center"/>
        </w:trPr>
        <w:tc>
          <w:tcPr>
            <w:tcW w:w="2280" w:type="pct"/>
            <w:vMerge/>
            <w:tcBorders>
              <w:top w:val="single" w:sz="4"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E757AB" w:rsidRPr="00D13311" w:rsidRDefault="00E757AB" w:rsidP="00E757AB">
            <w:pPr>
              <w:overflowPunct/>
              <w:autoSpaceDE/>
              <w:autoSpaceDN/>
              <w:adjustRightInd/>
              <w:spacing w:before="60" w:after="60" w:line="264" w:lineRule="auto"/>
              <w:textAlignment w:val="auto"/>
              <w:rPr>
                <w:rFonts w:cs="Arial"/>
                <w:b/>
                <w:bCs/>
                <w:color w:val="000000"/>
                <w:sz w:val="18"/>
                <w:szCs w:val="18"/>
              </w:rPr>
            </w:pPr>
          </w:p>
        </w:tc>
        <w:tc>
          <w:tcPr>
            <w:tcW w:w="683" w:type="pct"/>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E757AB" w:rsidRPr="00D13311" w:rsidRDefault="00E757AB" w:rsidP="00E757AB">
            <w:pPr>
              <w:overflowPunct/>
              <w:autoSpaceDE/>
              <w:autoSpaceDN/>
              <w:adjustRightInd/>
              <w:spacing w:before="60" w:after="60" w:line="264" w:lineRule="auto"/>
              <w:textAlignment w:val="auto"/>
              <w:rPr>
                <w:rFonts w:cs="Arial"/>
                <w:b/>
                <w:bCs/>
                <w:color w:val="000000"/>
                <w:sz w:val="18"/>
                <w:szCs w:val="18"/>
              </w:rPr>
            </w:pPr>
            <w:r>
              <w:rPr>
                <w:rFonts w:cs="Arial"/>
                <w:b/>
                <w:bCs/>
                <w:color w:val="000000"/>
                <w:sz w:val="18"/>
                <w:szCs w:val="18"/>
              </w:rPr>
              <w:t>Δ</w:t>
            </w:r>
            <w:r w:rsidRPr="00D13311">
              <w:rPr>
                <w:rFonts w:cs="Arial"/>
                <w:b/>
                <w:bCs/>
                <w:color w:val="000000"/>
                <w:sz w:val="18"/>
                <w:szCs w:val="18"/>
              </w:rPr>
              <w:t>kW/</w:t>
            </w:r>
            <w:r>
              <w:rPr>
                <w:rFonts w:cs="Arial"/>
                <w:b/>
                <w:bCs/>
                <w:color w:val="000000"/>
                <w:sz w:val="18"/>
                <w:szCs w:val="18"/>
              </w:rPr>
              <w:t>ft</w:t>
            </w:r>
          </w:p>
        </w:tc>
        <w:tc>
          <w:tcPr>
            <w:tcW w:w="677" w:type="pct"/>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E757AB" w:rsidRPr="00D13311" w:rsidRDefault="00E757AB" w:rsidP="00E757AB">
            <w:pPr>
              <w:overflowPunct/>
              <w:autoSpaceDE/>
              <w:autoSpaceDN/>
              <w:adjustRightInd/>
              <w:spacing w:before="60" w:after="60" w:line="264" w:lineRule="auto"/>
              <w:textAlignment w:val="auto"/>
              <w:rPr>
                <w:rFonts w:cs="Arial"/>
                <w:b/>
                <w:bCs/>
                <w:color w:val="000000"/>
                <w:sz w:val="18"/>
                <w:szCs w:val="18"/>
              </w:rPr>
            </w:pPr>
            <w:r>
              <w:rPr>
                <w:rFonts w:cs="Arial"/>
                <w:b/>
                <w:bCs/>
                <w:color w:val="000000"/>
                <w:sz w:val="18"/>
                <w:szCs w:val="18"/>
              </w:rPr>
              <w:t>Δ</w:t>
            </w:r>
            <w:r w:rsidRPr="00D13311">
              <w:rPr>
                <w:rFonts w:cs="Arial"/>
                <w:b/>
                <w:bCs/>
                <w:color w:val="000000"/>
                <w:sz w:val="18"/>
                <w:szCs w:val="18"/>
              </w:rPr>
              <w:t>kWh/</w:t>
            </w:r>
            <w:r>
              <w:rPr>
                <w:rFonts w:cs="Arial"/>
                <w:b/>
                <w:bCs/>
                <w:color w:val="000000"/>
                <w:sz w:val="18"/>
                <w:szCs w:val="18"/>
              </w:rPr>
              <w:t>ft</w:t>
            </w:r>
          </w:p>
        </w:tc>
        <w:tc>
          <w:tcPr>
            <w:tcW w:w="683" w:type="pct"/>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E757AB" w:rsidRPr="00D13311" w:rsidRDefault="00E757AB" w:rsidP="00E757AB">
            <w:pPr>
              <w:overflowPunct/>
              <w:autoSpaceDE/>
              <w:autoSpaceDN/>
              <w:adjustRightInd/>
              <w:spacing w:before="60" w:after="60" w:line="264" w:lineRule="auto"/>
              <w:textAlignment w:val="auto"/>
              <w:rPr>
                <w:rFonts w:cs="Arial"/>
                <w:b/>
                <w:bCs/>
                <w:color w:val="000000"/>
                <w:sz w:val="18"/>
                <w:szCs w:val="18"/>
              </w:rPr>
            </w:pPr>
            <w:r>
              <w:rPr>
                <w:rFonts w:cs="Arial"/>
                <w:b/>
                <w:bCs/>
                <w:color w:val="000000"/>
                <w:sz w:val="18"/>
                <w:szCs w:val="18"/>
              </w:rPr>
              <w:t>Δ</w:t>
            </w:r>
            <w:r w:rsidRPr="00D13311">
              <w:rPr>
                <w:rFonts w:cs="Arial"/>
                <w:b/>
                <w:bCs/>
                <w:color w:val="000000"/>
                <w:sz w:val="18"/>
                <w:szCs w:val="18"/>
              </w:rPr>
              <w:t>kW/</w:t>
            </w:r>
            <w:r>
              <w:rPr>
                <w:rFonts w:cs="Arial"/>
                <w:b/>
                <w:bCs/>
                <w:color w:val="000000"/>
                <w:sz w:val="18"/>
                <w:szCs w:val="18"/>
              </w:rPr>
              <w:t>ft</w:t>
            </w:r>
          </w:p>
        </w:tc>
        <w:tc>
          <w:tcPr>
            <w:tcW w:w="677" w:type="pct"/>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E757AB" w:rsidRPr="00D13311" w:rsidRDefault="00E757AB" w:rsidP="00E757AB">
            <w:pPr>
              <w:overflowPunct/>
              <w:autoSpaceDE/>
              <w:autoSpaceDN/>
              <w:adjustRightInd/>
              <w:spacing w:before="60" w:after="60" w:line="264" w:lineRule="auto"/>
              <w:textAlignment w:val="auto"/>
              <w:rPr>
                <w:rFonts w:cs="Arial"/>
                <w:b/>
                <w:bCs/>
                <w:color w:val="000000"/>
                <w:sz w:val="18"/>
                <w:szCs w:val="18"/>
              </w:rPr>
            </w:pPr>
            <w:r>
              <w:rPr>
                <w:rFonts w:cs="Arial"/>
                <w:b/>
                <w:bCs/>
                <w:color w:val="000000"/>
                <w:sz w:val="18"/>
                <w:szCs w:val="18"/>
              </w:rPr>
              <w:t>Δ</w:t>
            </w:r>
            <w:r w:rsidRPr="00D13311">
              <w:rPr>
                <w:rFonts w:cs="Arial"/>
                <w:b/>
                <w:bCs/>
                <w:color w:val="000000"/>
                <w:sz w:val="18"/>
                <w:szCs w:val="18"/>
              </w:rPr>
              <w:t>kWh/</w:t>
            </w:r>
            <w:r>
              <w:rPr>
                <w:rFonts w:cs="Arial"/>
                <w:b/>
                <w:bCs/>
                <w:color w:val="000000"/>
                <w:sz w:val="18"/>
                <w:szCs w:val="18"/>
              </w:rPr>
              <w:t>ft</w:t>
            </w:r>
          </w:p>
        </w:tc>
      </w:tr>
      <w:tr w:rsidR="00E757AB" w:rsidRPr="00D13311" w:rsidTr="00E757AB">
        <w:trPr>
          <w:trHeight w:val="20"/>
          <w:jc w:val="center"/>
        </w:trPr>
        <w:tc>
          <w:tcPr>
            <w:tcW w:w="2280" w:type="pct"/>
            <w:tcBorders>
              <w:top w:val="nil"/>
              <w:left w:val="single" w:sz="8" w:space="0" w:color="auto"/>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textAlignment w:val="auto"/>
              <w:rPr>
                <w:rFonts w:cs="Arial"/>
                <w:color w:val="000000"/>
                <w:sz w:val="18"/>
                <w:szCs w:val="18"/>
              </w:rPr>
            </w:pPr>
            <w:r w:rsidRPr="00D13311">
              <w:rPr>
                <w:rFonts w:cs="Arial"/>
                <w:color w:val="000000"/>
                <w:sz w:val="18"/>
                <w:szCs w:val="18"/>
              </w:rPr>
              <w:t>Restaurant</w:t>
            </w:r>
          </w:p>
        </w:tc>
        <w:tc>
          <w:tcPr>
            <w:tcW w:w="683"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sidRPr="00D13311">
              <w:rPr>
                <w:rFonts w:cs="Arial"/>
                <w:color w:val="000000"/>
                <w:sz w:val="18"/>
                <w:szCs w:val="18"/>
              </w:rPr>
              <w:t>0.000908</w:t>
            </w:r>
          </w:p>
        </w:tc>
        <w:tc>
          <w:tcPr>
            <w:tcW w:w="677"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sidRPr="00D13311">
              <w:rPr>
                <w:rFonts w:cs="Arial"/>
                <w:color w:val="000000"/>
                <w:sz w:val="18"/>
                <w:szCs w:val="18"/>
              </w:rPr>
              <w:t>19</w:t>
            </w:r>
          </w:p>
        </w:tc>
        <w:tc>
          <w:tcPr>
            <w:tcW w:w="683"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sidRPr="00D13311">
              <w:rPr>
                <w:rFonts w:cs="Arial"/>
                <w:color w:val="000000"/>
                <w:sz w:val="18"/>
                <w:szCs w:val="18"/>
              </w:rPr>
              <w:t>0.001928</w:t>
            </w:r>
          </w:p>
        </w:tc>
        <w:tc>
          <w:tcPr>
            <w:tcW w:w="677"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sidRPr="00D13311">
              <w:rPr>
                <w:rFonts w:cs="Arial"/>
                <w:color w:val="000000"/>
                <w:sz w:val="18"/>
                <w:szCs w:val="18"/>
              </w:rPr>
              <w:t>65</w:t>
            </w:r>
          </w:p>
        </w:tc>
      </w:tr>
      <w:tr w:rsidR="00E757AB" w:rsidRPr="00D13311" w:rsidTr="00E757AB">
        <w:trPr>
          <w:trHeight w:val="20"/>
          <w:jc w:val="center"/>
        </w:trPr>
        <w:tc>
          <w:tcPr>
            <w:tcW w:w="2280" w:type="pct"/>
            <w:tcBorders>
              <w:top w:val="nil"/>
              <w:left w:val="single" w:sz="8" w:space="0" w:color="auto"/>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textAlignment w:val="auto"/>
              <w:rPr>
                <w:rFonts w:cs="Arial"/>
                <w:color w:val="000000"/>
                <w:sz w:val="18"/>
                <w:szCs w:val="18"/>
              </w:rPr>
            </w:pPr>
            <w:r w:rsidRPr="00D13311">
              <w:rPr>
                <w:rFonts w:cs="Arial"/>
                <w:color w:val="000000"/>
                <w:sz w:val="18"/>
                <w:szCs w:val="18"/>
              </w:rPr>
              <w:t>Small Grocery Store/ Convenience Store</w:t>
            </w:r>
          </w:p>
        </w:tc>
        <w:tc>
          <w:tcPr>
            <w:tcW w:w="683"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0.000675</w:t>
            </w:r>
          </w:p>
        </w:tc>
        <w:tc>
          <w:tcPr>
            <w:tcW w:w="677"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15</w:t>
            </w:r>
          </w:p>
        </w:tc>
        <w:tc>
          <w:tcPr>
            <w:tcW w:w="683"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0.001669</w:t>
            </w:r>
          </w:p>
        </w:tc>
        <w:tc>
          <w:tcPr>
            <w:tcW w:w="677"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67</w:t>
            </w:r>
          </w:p>
        </w:tc>
      </w:tr>
      <w:tr w:rsidR="00E757AB" w:rsidRPr="00D13311" w:rsidTr="00E757AB">
        <w:trPr>
          <w:trHeight w:val="20"/>
          <w:jc w:val="center"/>
        </w:trPr>
        <w:tc>
          <w:tcPr>
            <w:tcW w:w="2280" w:type="pct"/>
            <w:tcBorders>
              <w:top w:val="nil"/>
              <w:left w:val="single" w:sz="8" w:space="0" w:color="auto"/>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textAlignment w:val="auto"/>
              <w:rPr>
                <w:rFonts w:cs="Arial"/>
                <w:color w:val="000000"/>
                <w:sz w:val="18"/>
                <w:szCs w:val="18"/>
              </w:rPr>
            </w:pPr>
            <w:r w:rsidRPr="00D13311">
              <w:rPr>
                <w:rFonts w:cs="Arial"/>
                <w:color w:val="000000"/>
                <w:sz w:val="18"/>
                <w:szCs w:val="18"/>
              </w:rPr>
              <w:t>Medium/Large Grocery Store/ Supermarkets</w:t>
            </w:r>
          </w:p>
        </w:tc>
        <w:tc>
          <w:tcPr>
            <w:tcW w:w="683"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0.000663</w:t>
            </w:r>
          </w:p>
        </w:tc>
        <w:tc>
          <w:tcPr>
            <w:tcW w:w="677"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15</w:t>
            </w:r>
          </w:p>
        </w:tc>
        <w:tc>
          <w:tcPr>
            <w:tcW w:w="683"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0.001642</w:t>
            </w:r>
          </w:p>
        </w:tc>
        <w:tc>
          <w:tcPr>
            <w:tcW w:w="677"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95</w:t>
            </w:r>
          </w:p>
        </w:tc>
      </w:tr>
    </w:tbl>
    <w:p w:rsidR="00220FD7" w:rsidRDefault="00220FD7" w:rsidP="00220FD7"/>
    <w:p w:rsidR="00E757AB" w:rsidRPr="00220FD7" w:rsidRDefault="00220FD7" w:rsidP="00220FD7">
      <w:pPr>
        <w:pStyle w:val="StyleCaptionCentered"/>
      </w:pPr>
      <w:bookmarkStart w:id="1013" w:name="_Toc310875630"/>
      <w:r w:rsidRPr="00220FD7">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78</w:t>
      </w:r>
      <w:r w:rsidR="00274AB1">
        <w:rPr>
          <w:noProof/>
        </w:rPr>
        <w:fldChar w:fldCharType="end"/>
      </w:r>
      <w:r w:rsidRPr="00220FD7">
        <w:t>: Door Gasket Savings per Linear Foot (CZ 13 Philadelphia)</w:t>
      </w:r>
      <w:bookmarkEnd w:id="1013"/>
    </w:p>
    <w:tbl>
      <w:tblPr>
        <w:tblW w:w="5000" w:type="pct"/>
        <w:jc w:val="center"/>
        <w:tblLook w:val="04A0" w:firstRow="1" w:lastRow="0" w:firstColumn="1" w:lastColumn="0" w:noHBand="0" w:noVBand="1"/>
      </w:tblPr>
      <w:tblGrid>
        <w:gridCol w:w="4038"/>
        <w:gridCol w:w="1210"/>
        <w:gridCol w:w="1199"/>
        <w:gridCol w:w="1210"/>
        <w:gridCol w:w="1199"/>
      </w:tblGrid>
      <w:tr w:rsidR="00E757AB" w:rsidRPr="00D13311" w:rsidTr="00DE12EC">
        <w:trPr>
          <w:trHeight w:val="20"/>
          <w:jc w:val="center"/>
        </w:trPr>
        <w:tc>
          <w:tcPr>
            <w:tcW w:w="228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57AB" w:rsidRPr="00D13311" w:rsidRDefault="00E757AB" w:rsidP="00E757AB">
            <w:pPr>
              <w:spacing w:before="60" w:after="60" w:line="264" w:lineRule="auto"/>
              <w:rPr>
                <w:rFonts w:cs="Arial"/>
                <w:b/>
                <w:bCs/>
                <w:color w:val="000000"/>
                <w:sz w:val="18"/>
                <w:szCs w:val="18"/>
              </w:rPr>
            </w:pPr>
            <w:r w:rsidRPr="00D13311">
              <w:rPr>
                <w:rFonts w:cs="Arial"/>
                <w:b/>
                <w:bCs/>
                <w:color w:val="000000"/>
                <w:sz w:val="18"/>
                <w:szCs w:val="18"/>
              </w:rPr>
              <w:t>Building Type</w:t>
            </w:r>
          </w:p>
        </w:tc>
        <w:tc>
          <w:tcPr>
            <w:tcW w:w="136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57AB" w:rsidRPr="007141E5" w:rsidRDefault="00E757AB" w:rsidP="00E757AB">
            <w:pPr>
              <w:overflowPunct/>
              <w:autoSpaceDE/>
              <w:autoSpaceDN/>
              <w:adjustRightInd/>
              <w:spacing w:before="60" w:after="60" w:line="264" w:lineRule="auto"/>
              <w:jc w:val="center"/>
              <w:textAlignment w:val="auto"/>
              <w:rPr>
                <w:rFonts w:cs="Arial"/>
                <w:b/>
                <w:bCs/>
                <w:color w:val="000000"/>
                <w:sz w:val="18"/>
                <w:szCs w:val="18"/>
              </w:rPr>
            </w:pPr>
            <w:r w:rsidRPr="007141E5">
              <w:rPr>
                <w:rFonts w:cs="Arial"/>
                <w:b/>
                <w:color w:val="000000"/>
                <w:sz w:val="18"/>
                <w:szCs w:val="18"/>
              </w:rPr>
              <w:t>Coolers</w:t>
            </w:r>
          </w:p>
        </w:tc>
        <w:tc>
          <w:tcPr>
            <w:tcW w:w="136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57AB" w:rsidRPr="007141E5" w:rsidRDefault="00E757AB" w:rsidP="00E757AB">
            <w:pPr>
              <w:overflowPunct/>
              <w:autoSpaceDE/>
              <w:autoSpaceDN/>
              <w:adjustRightInd/>
              <w:spacing w:before="60" w:after="60" w:line="264" w:lineRule="auto"/>
              <w:jc w:val="center"/>
              <w:textAlignment w:val="auto"/>
              <w:rPr>
                <w:rFonts w:cs="Arial"/>
                <w:b/>
                <w:bCs/>
                <w:color w:val="000000"/>
                <w:sz w:val="18"/>
                <w:szCs w:val="18"/>
              </w:rPr>
            </w:pPr>
            <w:r w:rsidRPr="007141E5">
              <w:rPr>
                <w:rFonts w:cs="Arial"/>
                <w:b/>
                <w:color w:val="000000"/>
                <w:sz w:val="18"/>
                <w:szCs w:val="18"/>
              </w:rPr>
              <w:t>Freezers</w:t>
            </w:r>
          </w:p>
        </w:tc>
      </w:tr>
      <w:tr w:rsidR="00E757AB" w:rsidRPr="00D13311" w:rsidTr="00DE12EC">
        <w:trPr>
          <w:trHeight w:val="20"/>
          <w:jc w:val="center"/>
        </w:trPr>
        <w:tc>
          <w:tcPr>
            <w:tcW w:w="2280"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57AB" w:rsidRPr="00D13311" w:rsidRDefault="00E757AB" w:rsidP="00E757AB">
            <w:pPr>
              <w:overflowPunct/>
              <w:autoSpaceDE/>
              <w:autoSpaceDN/>
              <w:adjustRightInd/>
              <w:spacing w:before="60" w:after="60" w:line="264" w:lineRule="auto"/>
              <w:textAlignment w:val="auto"/>
              <w:rPr>
                <w:rFonts w:cs="Arial"/>
                <w:b/>
                <w:bCs/>
                <w:color w:val="000000"/>
                <w:sz w:val="18"/>
                <w:szCs w:val="18"/>
              </w:rPr>
            </w:pPr>
          </w:p>
        </w:tc>
        <w:tc>
          <w:tcPr>
            <w:tcW w:w="68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57AB" w:rsidRPr="00D13311" w:rsidRDefault="00E757AB" w:rsidP="00E757AB">
            <w:pPr>
              <w:overflowPunct/>
              <w:autoSpaceDE/>
              <w:autoSpaceDN/>
              <w:adjustRightInd/>
              <w:spacing w:before="60" w:after="60" w:line="264" w:lineRule="auto"/>
              <w:textAlignment w:val="auto"/>
              <w:rPr>
                <w:rFonts w:cs="Arial"/>
                <w:b/>
                <w:bCs/>
                <w:color w:val="000000"/>
                <w:sz w:val="18"/>
                <w:szCs w:val="18"/>
              </w:rPr>
            </w:pPr>
            <w:r>
              <w:rPr>
                <w:rFonts w:cs="Arial"/>
                <w:b/>
                <w:bCs/>
                <w:color w:val="000000"/>
                <w:sz w:val="18"/>
                <w:szCs w:val="18"/>
              </w:rPr>
              <w:t>Δ</w:t>
            </w:r>
            <w:r w:rsidRPr="00D13311">
              <w:rPr>
                <w:rFonts w:cs="Arial"/>
                <w:b/>
                <w:bCs/>
                <w:color w:val="000000"/>
                <w:sz w:val="18"/>
                <w:szCs w:val="18"/>
              </w:rPr>
              <w:t>kW/</w:t>
            </w:r>
            <w:r>
              <w:rPr>
                <w:rFonts w:cs="Arial"/>
                <w:b/>
                <w:bCs/>
                <w:color w:val="000000"/>
                <w:sz w:val="18"/>
                <w:szCs w:val="18"/>
              </w:rPr>
              <w:t>ft</w:t>
            </w:r>
          </w:p>
        </w:tc>
        <w:tc>
          <w:tcPr>
            <w:tcW w:w="67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57AB" w:rsidRPr="00D13311" w:rsidRDefault="00E757AB" w:rsidP="00E757AB">
            <w:pPr>
              <w:overflowPunct/>
              <w:autoSpaceDE/>
              <w:autoSpaceDN/>
              <w:adjustRightInd/>
              <w:spacing w:before="60" w:after="60" w:line="264" w:lineRule="auto"/>
              <w:textAlignment w:val="auto"/>
              <w:rPr>
                <w:rFonts w:cs="Arial"/>
                <w:b/>
                <w:bCs/>
                <w:color w:val="000000"/>
                <w:sz w:val="18"/>
                <w:szCs w:val="18"/>
              </w:rPr>
            </w:pPr>
            <w:r>
              <w:rPr>
                <w:rFonts w:cs="Arial"/>
                <w:b/>
                <w:bCs/>
                <w:color w:val="000000"/>
                <w:sz w:val="18"/>
                <w:szCs w:val="18"/>
              </w:rPr>
              <w:t>Δ</w:t>
            </w:r>
            <w:r w:rsidRPr="00D13311">
              <w:rPr>
                <w:rFonts w:cs="Arial"/>
                <w:b/>
                <w:bCs/>
                <w:color w:val="000000"/>
                <w:sz w:val="18"/>
                <w:szCs w:val="18"/>
              </w:rPr>
              <w:t>kWh/</w:t>
            </w:r>
            <w:r>
              <w:rPr>
                <w:rFonts w:cs="Arial"/>
                <w:b/>
                <w:bCs/>
                <w:color w:val="000000"/>
                <w:sz w:val="18"/>
                <w:szCs w:val="18"/>
              </w:rPr>
              <w:t>ft</w:t>
            </w:r>
          </w:p>
        </w:tc>
        <w:tc>
          <w:tcPr>
            <w:tcW w:w="68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57AB" w:rsidRPr="00D13311" w:rsidRDefault="00E757AB" w:rsidP="00E757AB">
            <w:pPr>
              <w:overflowPunct/>
              <w:autoSpaceDE/>
              <w:autoSpaceDN/>
              <w:adjustRightInd/>
              <w:spacing w:before="60" w:after="60" w:line="264" w:lineRule="auto"/>
              <w:textAlignment w:val="auto"/>
              <w:rPr>
                <w:rFonts w:cs="Arial"/>
                <w:b/>
                <w:bCs/>
                <w:color w:val="000000"/>
                <w:sz w:val="18"/>
                <w:szCs w:val="18"/>
              </w:rPr>
            </w:pPr>
            <w:r>
              <w:rPr>
                <w:rFonts w:cs="Arial"/>
                <w:b/>
                <w:bCs/>
                <w:color w:val="000000"/>
                <w:sz w:val="18"/>
                <w:szCs w:val="18"/>
              </w:rPr>
              <w:t>Δ</w:t>
            </w:r>
            <w:r w:rsidRPr="00D13311">
              <w:rPr>
                <w:rFonts w:cs="Arial"/>
                <w:b/>
                <w:bCs/>
                <w:color w:val="000000"/>
                <w:sz w:val="18"/>
                <w:szCs w:val="18"/>
              </w:rPr>
              <w:t>kW/</w:t>
            </w:r>
            <w:r>
              <w:rPr>
                <w:rFonts w:cs="Arial"/>
                <w:b/>
                <w:bCs/>
                <w:color w:val="000000"/>
                <w:sz w:val="18"/>
                <w:szCs w:val="18"/>
              </w:rPr>
              <w:t>ft</w:t>
            </w:r>
          </w:p>
        </w:tc>
        <w:tc>
          <w:tcPr>
            <w:tcW w:w="67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57AB" w:rsidRPr="00D13311" w:rsidRDefault="00E757AB" w:rsidP="00E757AB">
            <w:pPr>
              <w:overflowPunct/>
              <w:autoSpaceDE/>
              <w:autoSpaceDN/>
              <w:adjustRightInd/>
              <w:spacing w:before="60" w:after="60" w:line="264" w:lineRule="auto"/>
              <w:textAlignment w:val="auto"/>
              <w:rPr>
                <w:rFonts w:cs="Arial"/>
                <w:b/>
                <w:bCs/>
                <w:color w:val="000000"/>
                <w:sz w:val="18"/>
                <w:szCs w:val="18"/>
              </w:rPr>
            </w:pPr>
            <w:r>
              <w:rPr>
                <w:rFonts w:cs="Arial"/>
                <w:b/>
                <w:bCs/>
                <w:color w:val="000000"/>
                <w:sz w:val="18"/>
                <w:szCs w:val="18"/>
              </w:rPr>
              <w:t>Δ</w:t>
            </w:r>
            <w:r w:rsidRPr="00D13311">
              <w:rPr>
                <w:rFonts w:cs="Arial"/>
                <w:b/>
                <w:bCs/>
                <w:color w:val="000000"/>
                <w:sz w:val="18"/>
                <w:szCs w:val="18"/>
              </w:rPr>
              <w:t>kWh/</w:t>
            </w:r>
            <w:r>
              <w:rPr>
                <w:rFonts w:cs="Arial"/>
                <w:b/>
                <w:bCs/>
                <w:color w:val="000000"/>
                <w:sz w:val="18"/>
                <w:szCs w:val="18"/>
              </w:rPr>
              <w:t>ft</w:t>
            </w:r>
          </w:p>
        </w:tc>
      </w:tr>
      <w:tr w:rsidR="00E757AB" w:rsidRPr="00D13311" w:rsidTr="00220FD7">
        <w:trPr>
          <w:trHeight w:val="20"/>
          <w:jc w:val="center"/>
        </w:trPr>
        <w:tc>
          <w:tcPr>
            <w:tcW w:w="2280"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textAlignment w:val="auto"/>
              <w:rPr>
                <w:rFonts w:cs="Arial"/>
                <w:color w:val="000000"/>
                <w:sz w:val="18"/>
                <w:szCs w:val="18"/>
              </w:rPr>
            </w:pPr>
            <w:r w:rsidRPr="00D13311">
              <w:rPr>
                <w:rFonts w:cs="Arial"/>
                <w:color w:val="000000"/>
                <w:sz w:val="18"/>
                <w:szCs w:val="18"/>
              </w:rPr>
              <w:t>Restaurant</w:t>
            </w:r>
          </w:p>
        </w:tc>
        <w:tc>
          <w:tcPr>
            <w:tcW w:w="683" w:type="pct"/>
            <w:tcBorders>
              <w:top w:val="single" w:sz="4" w:space="0" w:color="auto"/>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sidRPr="00D13311">
              <w:rPr>
                <w:rFonts w:cs="Arial"/>
                <w:color w:val="000000"/>
                <w:sz w:val="18"/>
                <w:szCs w:val="18"/>
              </w:rPr>
              <w:t>0.001228</w:t>
            </w:r>
          </w:p>
        </w:tc>
        <w:tc>
          <w:tcPr>
            <w:tcW w:w="677" w:type="pct"/>
            <w:tcBorders>
              <w:top w:val="single" w:sz="4" w:space="0" w:color="auto"/>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sidRPr="00D13311">
              <w:rPr>
                <w:rFonts w:cs="Arial"/>
                <w:color w:val="000000"/>
                <w:sz w:val="18"/>
                <w:szCs w:val="18"/>
              </w:rPr>
              <w:t>23</w:t>
            </w:r>
          </w:p>
        </w:tc>
        <w:tc>
          <w:tcPr>
            <w:tcW w:w="683" w:type="pct"/>
            <w:tcBorders>
              <w:top w:val="single" w:sz="4" w:space="0" w:color="auto"/>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sidRPr="00D13311">
              <w:rPr>
                <w:rFonts w:cs="Arial"/>
                <w:color w:val="000000"/>
                <w:sz w:val="18"/>
                <w:szCs w:val="18"/>
              </w:rPr>
              <w:t>0.002729</w:t>
            </w:r>
          </w:p>
        </w:tc>
        <w:tc>
          <w:tcPr>
            <w:tcW w:w="677" w:type="pct"/>
            <w:tcBorders>
              <w:top w:val="single" w:sz="4" w:space="0" w:color="auto"/>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sidRPr="00D13311">
              <w:rPr>
                <w:rFonts w:cs="Arial"/>
                <w:color w:val="000000"/>
                <w:sz w:val="18"/>
                <w:szCs w:val="18"/>
              </w:rPr>
              <w:t>80</w:t>
            </w:r>
          </w:p>
        </w:tc>
      </w:tr>
      <w:tr w:rsidR="00E757AB" w:rsidRPr="00D13311" w:rsidTr="00E757AB">
        <w:trPr>
          <w:trHeight w:val="20"/>
          <w:jc w:val="center"/>
        </w:trPr>
        <w:tc>
          <w:tcPr>
            <w:tcW w:w="2280" w:type="pct"/>
            <w:tcBorders>
              <w:top w:val="nil"/>
              <w:left w:val="single" w:sz="8" w:space="0" w:color="auto"/>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textAlignment w:val="auto"/>
              <w:rPr>
                <w:rFonts w:cs="Arial"/>
                <w:color w:val="000000"/>
                <w:sz w:val="18"/>
                <w:szCs w:val="18"/>
              </w:rPr>
            </w:pPr>
            <w:r w:rsidRPr="00D13311">
              <w:rPr>
                <w:rFonts w:cs="Arial"/>
                <w:color w:val="000000"/>
                <w:sz w:val="18"/>
                <w:szCs w:val="18"/>
              </w:rPr>
              <w:t>Small Grocery Store/ Convenience Store</w:t>
            </w:r>
          </w:p>
        </w:tc>
        <w:tc>
          <w:tcPr>
            <w:tcW w:w="683"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0.000915</w:t>
            </w:r>
          </w:p>
        </w:tc>
        <w:tc>
          <w:tcPr>
            <w:tcW w:w="677"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18</w:t>
            </w:r>
          </w:p>
        </w:tc>
        <w:tc>
          <w:tcPr>
            <w:tcW w:w="683"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0.002368</w:t>
            </w:r>
          </w:p>
        </w:tc>
        <w:tc>
          <w:tcPr>
            <w:tcW w:w="677"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81</w:t>
            </w:r>
          </w:p>
        </w:tc>
      </w:tr>
      <w:tr w:rsidR="00E757AB" w:rsidRPr="00D13311" w:rsidTr="00E757AB">
        <w:trPr>
          <w:trHeight w:val="20"/>
          <w:jc w:val="center"/>
        </w:trPr>
        <w:tc>
          <w:tcPr>
            <w:tcW w:w="2280" w:type="pct"/>
            <w:tcBorders>
              <w:top w:val="nil"/>
              <w:left w:val="single" w:sz="8" w:space="0" w:color="auto"/>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textAlignment w:val="auto"/>
              <w:rPr>
                <w:rFonts w:cs="Arial"/>
                <w:color w:val="000000"/>
                <w:sz w:val="18"/>
                <w:szCs w:val="18"/>
              </w:rPr>
            </w:pPr>
            <w:r w:rsidRPr="00D13311">
              <w:rPr>
                <w:rFonts w:cs="Arial"/>
                <w:color w:val="000000"/>
                <w:sz w:val="18"/>
                <w:szCs w:val="18"/>
              </w:rPr>
              <w:t>Medium/Large Grocery Store/ Supermarkets</w:t>
            </w:r>
          </w:p>
        </w:tc>
        <w:tc>
          <w:tcPr>
            <w:tcW w:w="683"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0.000899</w:t>
            </w:r>
          </w:p>
        </w:tc>
        <w:tc>
          <w:tcPr>
            <w:tcW w:w="677"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18</w:t>
            </w:r>
          </w:p>
        </w:tc>
        <w:tc>
          <w:tcPr>
            <w:tcW w:w="683"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0.002336</w:t>
            </w:r>
          </w:p>
        </w:tc>
        <w:tc>
          <w:tcPr>
            <w:tcW w:w="677"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115</w:t>
            </w:r>
          </w:p>
        </w:tc>
      </w:tr>
    </w:tbl>
    <w:p w:rsidR="00220FD7" w:rsidRDefault="00220FD7" w:rsidP="00220FD7"/>
    <w:p w:rsidR="00E757AB" w:rsidRPr="00220FD7" w:rsidRDefault="00220FD7" w:rsidP="00DE12EC">
      <w:pPr>
        <w:pStyle w:val="StyleCaptionCentered"/>
      </w:pPr>
      <w:bookmarkStart w:id="1014" w:name="_Toc310875631"/>
      <w:r w:rsidRPr="00220FD7">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79</w:t>
      </w:r>
      <w:r w:rsidR="00274AB1">
        <w:rPr>
          <w:noProof/>
        </w:rPr>
        <w:fldChar w:fldCharType="end"/>
      </w:r>
      <w:r w:rsidRPr="00220FD7">
        <w:t>: Door Gasket Savings per Linear Foot (CZ 16 Scranton)</w:t>
      </w:r>
      <w:bookmarkEnd w:id="1014"/>
    </w:p>
    <w:tbl>
      <w:tblPr>
        <w:tblW w:w="5000" w:type="pct"/>
        <w:jc w:val="center"/>
        <w:tblLook w:val="04A0" w:firstRow="1" w:lastRow="0" w:firstColumn="1" w:lastColumn="0" w:noHBand="0" w:noVBand="1"/>
      </w:tblPr>
      <w:tblGrid>
        <w:gridCol w:w="4038"/>
        <w:gridCol w:w="1210"/>
        <w:gridCol w:w="1199"/>
        <w:gridCol w:w="1210"/>
        <w:gridCol w:w="1199"/>
      </w:tblGrid>
      <w:tr w:rsidR="00E757AB" w:rsidRPr="00D13311" w:rsidTr="00DE12EC">
        <w:trPr>
          <w:trHeight w:val="20"/>
          <w:jc w:val="center"/>
        </w:trPr>
        <w:tc>
          <w:tcPr>
            <w:tcW w:w="228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57AB" w:rsidRPr="00D13311" w:rsidRDefault="00E757AB" w:rsidP="00DE12EC">
            <w:pPr>
              <w:keepNext/>
              <w:spacing w:before="60" w:after="60" w:line="264" w:lineRule="auto"/>
              <w:rPr>
                <w:rFonts w:cs="Arial"/>
                <w:b/>
                <w:bCs/>
                <w:color w:val="000000"/>
                <w:sz w:val="18"/>
                <w:szCs w:val="18"/>
              </w:rPr>
            </w:pPr>
            <w:r w:rsidRPr="00D13311">
              <w:rPr>
                <w:rFonts w:cs="Arial"/>
                <w:b/>
                <w:bCs/>
                <w:color w:val="000000"/>
                <w:sz w:val="18"/>
                <w:szCs w:val="18"/>
              </w:rPr>
              <w:t>Building Type</w:t>
            </w:r>
          </w:p>
        </w:tc>
        <w:tc>
          <w:tcPr>
            <w:tcW w:w="136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57AB" w:rsidRPr="007141E5" w:rsidRDefault="00E757AB" w:rsidP="00DE12EC">
            <w:pPr>
              <w:keepNext/>
              <w:overflowPunct/>
              <w:autoSpaceDE/>
              <w:autoSpaceDN/>
              <w:adjustRightInd/>
              <w:spacing w:before="60" w:after="60" w:line="264" w:lineRule="auto"/>
              <w:jc w:val="center"/>
              <w:textAlignment w:val="auto"/>
              <w:rPr>
                <w:rFonts w:cs="Arial"/>
                <w:b/>
                <w:bCs/>
                <w:color w:val="000000"/>
                <w:sz w:val="18"/>
                <w:szCs w:val="18"/>
              </w:rPr>
            </w:pPr>
            <w:r w:rsidRPr="007141E5">
              <w:rPr>
                <w:rFonts w:cs="Arial"/>
                <w:b/>
                <w:color w:val="000000"/>
                <w:sz w:val="18"/>
                <w:szCs w:val="18"/>
              </w:rPr>
              <w:t>Coolers</w:t>
            </w:r>
          </w:p>
        </w:tc>
        <w:tc>
          <w:tcPr>
            <w:tcW w:w="136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57AB" w:rsidRPr="007141E5" w:rsidRDefault="00E757AB" w:rsidP="00DE12EC">
            <w:pPr>
              <w:keepNext/>
              <w:overflowPunct/>
              <w:autoSpaceDE/>
              <w:autoSpaceDN/>
              <w:adjustRightInd/>
              <w:spacing w:before="60" w:after="60" w:line="264" w:lineRule="auto"/>
              <w:jc w:val="center"/>
              <w:textAlignment w:val="auto"/>
              <w:rPr>
                <w:rFonts w:cs="Arial"/>
                <w:b/>
                <w:bCs/>
                <w:color w:val="000000"/>
                <w:sz w:val="18"/>
                <w:szCs w:val="18"/>
              </w:rPr>
            </w:pPr>
            <w:r w:rsidRPr="007141E5">
              <w:rPr>
                <w:rFonts w:cs="Arial"/>
                <w:b/>
                <w:color w:val="000000"/>
                <w:sz w:val="18"/>
                <w:szCs w:val="18"/>
              </w:rPr>
              <w:t>Freezers</w:t>
            </w:r>
          </w:p>
        </w:tc>
      </w:tr>
      <w:tr w:rsidR="00E757AB" w:rsidRPr="00D13311" w:rsidTr="00DE12EC">
        <w:trPr>
          <w:trHeight w:val="20"/>
          <w:jc w:val="center"/>
        </w:trPr>
        <w:tc>
          <w:tcPr>
            <w:tcW w:w="2280" w:type="pct"/>
            <w:vMerge/>
            <w:tcBorders>
              <w:top w:val="single" w:sz="4"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E757AB" w:rsidRPr="00D13311" w:rsidRDefault="00E757AB" w:rsidP="00DE12EC">
            <w:pPr>
              <w:keepNext/>
              <w:overflowPunct/>
              <w:autoSpaceDE/>
              <w:autoSpaceDN/>
              <w:adjustRightInd/>
              <w:spacing w:before="60" w:after="60" w:line="264" w:lineRule="auto"/>
              <w:textAlignment w:val="auto"/>
              <w:rPr>
                <w:rFonts w:cs="Arial"/>
                <w:b/>
                <w:bCs/>
                <w:color w:val="000000"/>
                <w:sz w:val="18"/>
                <w:szCs w:val="18"/>
              </w:rPr>
            </w:pPr>
          </w:p>
        </w:tc>
        <w:tc>
          <w:tcPr>
            <w:tcW w:w="683" w:type="pct"/>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E757AB" w:rsidRPr="00D13311" w:rsidRDefault="00E757AB" w:rsidP="00DE12EC">
            <w:pPr>
              <w:keepNext/>
              <w:overflowPunct/>
              <w:autoSpaceDE/>
              <w:autoSpaceDN/>
              <w:adjustRightInd/>
              <w:spacing w:before="60" w:after="60" w:line="264" w:lineRule="auto"/>
              <w:textAlignment w:val="auto"/>
              <w:rPr>
                <w:rFonts w:cs="Arial"/>
                <w:b/>
                <w:bCs/>
                <w:color w:val="000000"/>
                <w:sz w:val="18"/>
                <w:szCs w:val="18"/>
              </w:rPr>
            </w:pPr>
            <w:r>
              <w:rPr>
                <w:rFonts w:cs="Arial"/>
                <w:b/>
                <w:bCs/>
                <w:color w:val="000000"/>
                <w:sz w:val="18"/>
                <w:szCs w:val="18"/>
              </w:rPr>
              <w:t>Δ</w:t>
            </w:r>
            <w:r w:rsidRPr="00D13311">
              <w:rPr>
                <w:rFonts w:cs="Arial"/>
                <w:b/>
                <w:bCs/>
                <w:color w:val="000000"/>
                <w:sz w:val="18"/>
                <w:szCs w:val="18"/>
              </w:rPr>
              <w:t>kW/</w:t>
            </w:r>
            <w:r>
              <w:rPr>
                <w:rFonts w:cs="Arial"/>
                <w:b/>
                <w:bCs/>
                <w:color w:val="000000"/>
                <w:sz w:val="18"/>
                <w:szCs w:val="18"/>
              </w:rPr>
              <w:t>ft</w:t>
            </w:r>
          </w:p>
        </w:tc>
        <w:tc>
          <w:tcPr>
            <w:tcW w:w="677" w:type="pct"/>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E757AB" w:rsidRPr="00D13311" w:rsidRDefault="00E757AB" w:rsidP="00DE12EC">
            <w:pPr>
              <w:keepNext/>
              <w:overflowPunct/>
              <w:autoSpaceDE/>
              <w:autoSpaceDN/>
              <w:adjustRightInd/>
              <w:spacing w:before="60" w:after="60" w:line="264" w:lineRule="auto"/>
              <w:textAlignment w:val="auto"/>
              <w:rPr>
                <w:rFonts w:cs="Arial"/>
                <w:b/>
                <w:bCs/>
                <w:color w:val="000000"/>
                <w:sz w:val="18"/>
                <w:szCs w:val="18"/>
              </w:rPr>
            </w:pPr>
            <w:r>
              <w:rPr>
                <w:rFonts w:cs="Arial"/>
                <w:b/>
                <w:bCs/>
                <w:color w:val="000000"/>
                <w:sz w:val="18"/>
                <w:szCs w:val="18"/>
              </w:rPr>
              <w:t>Δ</w:t>
            </w:r>
            <w:r w:rsidRPr="00D13311">
              <w:rPr>
                <w:rFonts w:cs="Arial"/>
                <w:b/>
                <w:bCs/>
                <w:color w:val="000000"/>
                <w:sz w:val="18"/>
                <w:szCs w:val="18"/>
              </w:rPr>
              <w:t>kWh/</w:t>
            </w:r>
            <w:r>
              <w:rPr>
                <w:rFonts w:cs="Arial"/>
                <w:b/>
                <w:bCs/>
                <w:color w:val="000000"/>
                <w:sz w:val="18"/>
                <w:szCs w:val="18"/>
              </w:rPr>
              <w:t>ft</w:t>
            </w:r>
          </w:p>
        </w:tc>
        <w:tc>
          <w:tcPr>
            <w:tcW w:w="683" w:type="pct"/>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E757AB" w:rsidRPr="00D13311" w:rsidRDefault="00E757AB" w:rsidP="00DE12EC">
            <w:pPr>
              <w:keepNext/>
              <w:overflowPunct/>
              <w:autoSpaceDE/>
              <w:autoSpaceDN/>
              <w:adjustRightInd/>
              <w:spacing w:before="60" w:after="60" w:line="264" w:lineRule="auto"/>
              <w:textAlignment w:val="auto"/>
              <w:rPr>
                <w:rFonts w:cs="Arial"/>
                <w:b/>
                <w:bCs/>
                <w:color w:val="000000"/>
                <w:sz w:val="18"/>
                <w:szCs w:val="18"/>
              </w:rPr>
            </w:pPr>
            <w:r>
              <w:rPr>
                <w:rFonts w:cs="Arial"/>
                <w:b/>
                <w:bCs/>
                <w:color w:val="000000"/>
                <w:sz w:val="18"/>
                <w:szCs w:val="18"/>
              </w:rPr>
              <w:t>Δ</w:t>
            </w:r>
            <w:r w:rsidRPr="00D13311">
              <w:rPr>
                <w:rFonts w:cs="Arial"/>
                <w:b/>
                <w:bCs/>
                <w:color w:val="000000"/>
                <w:sz w:val="18"/>
                <w:szCs w:val="18"/>
              </w:rPr>
              <w:t>kW/</w:t>
            </w:r>
            <w:r>
              <w:rPr>
                <w:rFonts w:cs="Arial"/>
                <w:b/>
                <w:bCs/>
                <w:color w:val="000000"/>
                <w:sz w:val="18"/>
                <w:szCs w:val="18"/>
              </w:rPr>
              <w:t>ft</w:t>
            </w:r>
          </w:p>
        </w:tc>
        <w:tc>
          <w:tcPr>
            <w:tcW w:w="677" w:type="pct"/>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E757AB" w:rsidRPr="00D13311" w:rsidRDefault="00E757AB" w:rsidP="00DE12EC">
            <w:pPr>
              <w:keepNext/>
              <w:overflowPunct/>
              <w:autoSpaceDE/>
              <w:autoSpaceDN/>
              <w:adjustRightInd/>
              <w:spacing w:before="60" w:after="60" w:line="264" w:lineRule="auto"/>
              <w:textAlignment w:val="auto"/>
              <w:rPr>
                <w:rFonts w:cs="Arial"/>
                <w:b/>
                <w:bCs/>
                <w:color w:val="000000"/>
                <w:sz w:val="18"/>
                <w:szCs w:val="18"/>
              </w:rPr>
            </w:pPr>
            <w:r>
              <w:rPr>
                <w:rFonts w:cs="Arial"/>
                <w:b/>
                <w:bCs/>
                <w:color w:val="000000"/>
                <w:sz w:val="18"/>
                <w:szCs w:val="18"/>
              </w:rPr>
              <w:t>Δ</w:t>
            </w:r>
            <w:r w:rsidRPr="00D13311">
              <w:rPr>
                <w:rFonts w:cs="Arial"/>
                <w:b/>
                <w:bCs/>
                <w:color w:val="000000"/>
                <w:sz w:val="18"/>
                <w:szCs w:val="18"/>
              </w:rPr>
              <w:t>kWh/</w:t>
            </w:r>
            <w:r>
              <w:rPr>
                <w:rFonts w:cs="Arial"/>
                <w:b/>
                <w:bCs/>
                <w:color w:val="000000"/>
                <w:sz w:val="18"/>
                <w:szCs w:val="18"/>
              </w:rPr>
              <w:t>ft</w:t>
            </w:r>
          </w:p>
        </w:tc>
      </w:tr>
      <w:tr w:rsidR="00E757AB" w:rsidRPr="00D13311" w:rsidTr="00E757AB">
        <w:trPr>
          <w:trHeight w:val="20"/>
          <w:jc w:val="center"/>
        </w:trPr>
        <w:tc>
          <w:tcPr>
            <w:tcW w:w="2280" w:type="pct"/>
            <w:tcBorders>
              <w:top w:val="nil"/>
              <w:left w:val="single" w:sz="8" w:space="0" w:color="auto"/>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textAlignment w:val="auto"/>
              <w:rPr>
                <w:rFonts w:cs="Arial"/>
                <w:color w:val="000000"/>
                <w:sz w:val="18"/>
                <w:szCs w:val="18"/>
              </w:rPr>
            </w:pPr>
            <w:r w:rsidRPr="00D13311">
              <w:rPr>
                <w:rFonts w:cs="Arial"/>
                <w:color w:val="000000"/>
                <w:sz w:val="18"/>
                <w:szCs w:val="18"/>
              </w:rPr>
              <w:t>Restaurant</w:t>
            </w:r>
          </w:p>
        </w:tc>
        <w:tc>
          <w:tcPr>
            <w:tcW w:w="683"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sidRPr="00D13311">
              <w:rPr>
                <w:rFonts w:cs="Arial"/>
                <w:color w:val="000000"/>
                <w:sz w:val="18"/>
                <w:szCs w:val="18"/>
              </w:rPr>
              <w:t>0.000908</w:t>
            </w:r>
          </w:p>
        </w:tc>
        <w:tc>
          <w:tcPr>
            <w:tcW w:w="677"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sidRPr="00D13311">
              <w:rPr>
                <w:rFonts w:cs="Arial"/>
                <w:color w:val="000000"/>
                <w:sz w:val="18"/>
                <w:szCs w:val="18"/>
              </w:rPr>
              <w:t>17</w:t>
            </w:r>
          </w:p>
        </w:tc>
        <w:tc>
          <w:tcPr>
            <w:tcW w:w="683"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sidRPr="00D13311">
              <w:rPr>
                <w:rFonts w:cs="Arial"/>
                <w:color w:val="000000"/>
                <w:sz w:val="18"/>
                <w:szCs w:val="18"/>
              </w:rPr>
              <w:t>0.001928</w:t>
            </w:r>
          </w:p>
        </w:tc>
        <w:tc>
          <w:tcPr>
            <w:tcW w:w="677"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sidRPr="00D13311">
              <w:rPr>
                <w:rFonts w:cs="Arial"/>
                <w:color w:val="000000"/>
                <w:sz w:val="18"/>
                <w:szCs w:val="18"/>
              </w:rPr>
              <w:t>58</w:t>
            </w:r>
          </w:p>
        </w:tc>
      </w:tr>
      <w:tr w:rsidR="00E757AB" w:rsidRPr="00D13311" w:rsidTr="00E757AB">
        <w:trPr>
          <w:trHeight w:val="20"/>
          <w:jc w:val="center"/>
        </w:trPr>
        <w:tc>
          <w:tcPr>
            <w:tcW w:w="2280" w:type="pct"/>
            <w:tcBorders>
              <w:top w:val="nil"/>
              <w:left w:val="single" w:sz="8" w:space="0" w:color="auto"/>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textAlignment w:val="auto"/>
              <w:rPr>
                <w:rFonts w:cs="Arial"/>
                <w:color w:val="000000"/>
                <w:sz w:val="18"/>
                <w:szCs w:val="18"/>
              </w:rPr>
            </w:pPr>
            <w:r w:rsidRPr="00D13311">
              <w:rPr>
                <w:rFonts w:cs="Arial"/>
                <w:color w:val="000000"/>
                <w:sz w:val="18"/>
                <w:szCs w:val="18"/>
              </w:rPr>
              <w:t>Small Grocery Store/ Convenience Store</w:t>
            </w:r>
          </w:p>
        </w:tc>
        <w:tc>
          <w:tcPr>
            <w:tcW w:w="683"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0.000675</w:t>
            </w:r>
          </w:p>
        </w:tc>
        <w:tc>
          <w:tcPr>
            <w:tcW w:w="677"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14</w:t>
            </w:r>
          </w:p>
        </w:tc>
        <w:tc>
          <w:tcPr>
            <w:tcW w:w="683"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0.001669</w:t>
            </w:r>
          </w:p>
        </w:tc>
        <w:tc>
          <w:tcPr>
            <w:tcW w:w="677"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60</w:t>
            </w:r>
          </w:p>
        </w:tc>
      </w:tr>
      <w:tr w:rsidR="00E757AB" w:rsidRPr="00D13311" w:rsidTr="00E757AB">
        <w:trPr>
          <w:trHeight w:val="20"/>
          <w:jc w:val="center"/>
        </w:trPr>
        <w:tc>
          <w:tcPr>
            <w:tcW w:w="2280" w:type="pct"/>
            <w:tcBorders>
              <w:top w:val="nil"/>
              <w:left w:val="single" w:sz="8" w:space="0" w:color="auto"/>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textAlignment w:val="auto"/>
              <w:rPr>
                <w:rFonts w:cs="Arial"/>
                <w:color w:val="000000"/>
                <w:sz w:val="18"/>
                <w:szCs w:val="18"/>
              </w:rPr>
            </w:pPr>
            <w:r w:rsidRPr="00D13311">
              <w:rPr>
                <w:rFonts w:cs="Arial"/>
                <w:color w:val="000000"/>
                <w:sz w:val="18"/>
                <w:szCs w:val="18"/>
              </w:rPr>
              <w:t>Medium/Large Grocery Store/ Supermarkets</w:t>
            </w:r>
          </w:p>
        </w:tc>
        <w:tc>
          <w:tcPr>
            <w:tcW w:w="683"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0.000663</w:t>
            </w:r>
          </w:p>
        </w:tc>
        <w:tc>
          <w:tcPr>
            <w:tcW w:w="677"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14</w:t>
            </w:r>
          </w:p>
        </w:tc>
        <w:tc>
          <w:tcPr>
            <w:tcW w:w="683"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0.001642</w:t>
            </w:r>
          </w:p>
        </w:tc>
        <w:tc>
          <w:tcPr>
            <w:tcW w:w="677"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85</w:t>
            </w:r>
          </w:p>
        </w:tc>
      </w:tr>
    </w:tbl>
    <w:p w:rsidR="00220FD7" w:rsidRDefault="00220FD7" w:rsidP="00220FD7">
      <w:pPr>
        <w:rPr>
          <w:rFonts w:ascii="Arial Narrow" w:hAnsi="Arial Narrow"/>
          <w:b/>
        </w:rPr>
      </w:pPr>
      <w:bookmarkStart w:id="1015" w:name="_Ref302482367"/>
    </w:p>
    <w:p w:rsidR="00E757AB" w:rsidRPr="00220FD7" w:rsidRDefault="00220FD7" w:rsidP="00220FD7">
      <w:pPr>
        <w:pStyle w:val="StyleCaptionCentered"/>
      </w:pPr>
      <w:bookmarkStart w:id="1016" w:name="_Toc310875632"/>
      <w:r w:rsidRPr="00220FD7">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80</w:t>
      </w:r>
      <w:r w:rsidR="00274AB1">
        <w:rPr>
          <w:noProof/>
        </w:rPr>
        <w:fldChar w:fldCharType="end"/>
      </w:r>
      <w:bookmarkEnd w:id="1015"/>
      <w:r w:rsidRPr="00220FD7">
        <w:t>: Door Gasket Savings per Linear Foot (CZ 6 Erie)</w:t>
      </w:r>
      <w:bookmarkEnd w:id="1016"/>
    </w:p>
    <w:tbl>
      <w:tblPr>
        <w:tblW w:w="5000" w:type="pct"/>
        <w:jc w:val="center"/>
        <w:tblLook w:val="04A0" w:firstRow="1" w:lastRow="0" w:firstColumn="1" w:lastColumn="0" w:noHBand="0" w:noVBand="1"/>
      </w:tblPr>
      <w:tblGrid>
        <w:gridCol w:w="4038"/>
        <w:gridCol w:w="1210"/>
        <w:gridCol w:w="1199"/>
        <w:gridCol w:w="1210"/>
        <w:gridCol w:w="1199"/>
      </w:tblGrid>
      <w:tr w:rsidR="00E757AB" w:rsidRPr="00D13311" w:rsidTr="00DE12EC">
        <w:trPr>
          <w:trHeight w:val="20"/>
          <w:jc w:val="center"/>
        </w:trPr>
        <w:tc>
          <w:tcPr>
            <w:tcW w:w="228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57AB" w:rsidRPr="00D13311" w:rsidRDefault="00E757AB" w:rsidP="00B20792">
            <w:pPr>
              <w:keepNext/>
              <w:spacing w:before="60" w:after="60" w:line="264" w:lineRule="auto"/>
              <w:rPr>
                <w:rFonts w:cs="Arial"/>
                <w:b/>
                <w:bCs/>
                <w:color w:val="000000"/>
                <w:sz w:val="18"/>
                <w:szCs w:val="18"/>
              </w:rPr>
            </w:pPr>
            <w:r w:rsidRPr="00D13311">
              <w:rPr>
                <w:rFonts w:cs="Arial"/>
                <w:b/>
                <w:bCs/>
                <w:color w:val="000000"/>
                <w:sz w:val="18"/>
                <w:szCs w:val="18"/>
              </w:rPr>
              <w:t>Building Type</w:t>
            </w:r>
          </w:p>
        </w:tc>
        <w:tc>
          <w:tcPr>
            <w:tcW w:w="136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57AB" w:rsidRPr="007141E5" w:rsidRDefault="00E757AB" w:rsidP="00B20792">
            <w:pPr>
              <w:keepNext/>
              <w:overflowPunct/>
              <w:autoSpaceDE/>
              <w:autoSpaceDN/>
              <w:adjustRightInd/>
              <w:spacing w:before="60" w:after="60" w:line="264" w:lineRule="auto"/>
              <w:jc w:val="center"/>
              <w:textAlignment w:val="auto"/>
              <w:rPr>
                <w:rFonts w:cs="Arial"/>
                <w:b/>
                <w:bCs/>
                <w:color w:val="000000"/>
                <w:sz w:val="18"/>
                <w:szCs w:val="18"/>
              </w:rPr>
            </w:pPr>
            <w:r w:rsidRPr="007141E5">
              <w:rPr>
                <w:rFonts w:cs="Arial"/>
                <w:b/>
                <w:color w:val="000000"/>
                <w:sz w:val="18"/>
                <w:szCs w:val="18"/>
              </w:rPr>
              <w:t>Coolers</w:t>
            </w:r>
          </w:p>
        </w:tc>
        <w:tc>
          <w:tcPr>
            <w:tcW w:w="136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57AB" w:rsidRPr="007141E5" w:rsidRDefault="00E757AB" w:rsidP="00B20792">
            <w:pPr>
              <w:keepNext/>
              <w:overflowPunct/>
              <w:autoSpaceDE/>
              <w:autoSpaceDN/>
              <w:adjustRightInd/>
              <w:spacing w:before="60" w:after="60" w:line="264" w:lineRule="auto"/>
              <w:jc w:val="center"/>
              <w:textAlignment w:val="auto"/>
              <w:rPr>
                <w:rFonts w:cs="Arial"/>
                <w:b/>
                <w:bCs/>
                <w:color w:val="000000"/>
                <w:sz w:val="18"/>
                <w:szCs w:val="18"/>
              </w:rPr>
            </w:pPr>
            <w:r w:rsidRPr="007141E5">
              <w:rPr>
                <w:rFonts w:cs="Arial"/>
                <w:b/>
                <w:color w:val="000000"/>
                <w:sz w:val="18"/>
                <w:szCs w:val="18"/>
              </w:rPr>
              <w:t>Freezers</w:t>
            </w:r>
          </w:p>
        </w:tc>
      </w:tr>
      <w:tr w:rsidR="00E757AB" w:rsidRPr="00D13311" w:rsidTr="00DE12EC">
        <w:trPr>
          <w:trHeight w:val="20"/>
          <w:jc w:val="center"/>
        </w:trPr>
        <w:tc>
          <w:tcPr>
            <w:tcW w:w="2280" w:type="pct"/>
            <w:vMerge/>
            <w:tcBorders>
              <w:top w:val="single" w:sz="4"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E757AB" w:rsidRPr="00D13311" w:rsidRDefault="00E757AB" w:rsidP="00E757AB">
            <w:pPr>
              <w:overflowPunct/>
              <w:autoSpaceDE/>
              <w:autoSpaceDN/>
              <w:adjustRightInd/>
              <w:spacing w:before="60" w:after="60" w:line="264" w:lineRule="auto"/>
              <w:textAlignment w:val="auto"/>
              <w:rPr>
                <w:rFonts w:cs="Arial"/>
                <w:b/>
                <w:bCs/>
                <w:color w:val="000000"/>
                <w:sz w:val="18"/>
                <w:szCs w:val="18"/>
              </w:rPr>
            </w:pPr>
          </w:p>
        </w:tc>
        <w:tc>
          <w:tcPr>
            <w:tcW w:w="683" w:type="pct"/>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E757AB" w:rsidRPr="00D13311" w:rsidRDefault="00E757AB" w:rsidP="00E757AB">
            <w:pPr>
              <w:overflowPunct/>
              <w:autoSpaceDE/>
              <w:autoSpaceDN/>
              <w:adjustRightInd/>
              <w:spacing w:before="60" w:after="60" w:line="264" w:lineRule="auto"/>
              <w:textAlignment w:val="auto"/>
              <w:rPr>
                <w:rFonts w:cs="Arial"/>
                <w:b/>
                <w:bCs/>
                <w:color w:val="000000"/>
                <w:sz w:val="18"/>
                <w:szCs w:val="18"/>
              </w:rPr>
            </w:pPr>
            <w:r>
              <w:rPr>
                <w:rFonts w:cs="Arial"/>
                <w:b/>
                <w:bCs/>
                <w:color w:val="000000"/>
                <w:sz w:val="18"/>
                <w:szCs w:val="18"/>
              </w:rPr>
              <w:t>Δ</w:t>
            </w:r>
            <w:r w:rsidRPr="00D13311">
              <w:rPr>
                <w:rFonts w:cs="Arial"/>
                <w:b/>
                <w:bCs/>
                <w:color w:val="000000"/>
                <w:sz w:val="18"/>
                <w:szCs w:val="18"/>
              </w:rPr>
              <w:t>kW/</w:t>
            </w:r>
            <w:r>
              <w:rPr>
                <w:rFonts w:cs="Arial"/>
                <w:b/>
                <w:bCs/>
                <w:color w:val="000000"/>
                <w:sz w:val="18"/>
                <w:szCs w:val="18"/>
              </w:rPr>
              <w:t>ft</w:t>
            </w:r>
          </w:p>
        </w:tc>
        <w:tc>
          <w:tcPr>
            <w:tcW w:w="677" w:type="pct"/>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E757AB" w:rsidRPr="00D13311" w:rsidRDefault="00E757AB" w:rsidP="00E757AB">
            <w:pPr>
              <w:overflowPunct/>
              <w:autoSpaceDE/>
              <w:autoSpaceDN/>
              <w:adjustRightInd/>
              <w:spacing w:before="60" w:after="60" w:line="264" w:lineRule="auto"/>
              <w:textAlignment w:val="auto"/>
              <w:rPr>
                <w:rFonts w:cs="Arial"/>
                <w:b/>
                <w:bCs/>
                <w:color w:val="000000"/>
                <w:sz w:val="18"/>
                <w:szCs w:val="18"/>
              </w:rPr>
            </w:pPr>
            <w:r>
              <w:rPr>
                <w:rFonts w:cs="Arial"/>
                <w:b/>
                <w:bCs/>
                <w:color w:val="000000"/>
                <w:sz w:val="18"/>
                <w:szCs w:val="18"/>
              </w:rPr>
              <w:t>Δ</w:t>
            </w:r>
            <w:r w:rsidRPr="00D13311">
              <w:rPr>
                <w:rFonts w:cs="Arial"/>
                <w:b/>
                <w:bCs/>
                <w:color w:val="000000"/>
                <w:sz w:val="18"/>
                <w:szCs w:val="18"/>
              </w:rPr>
              <w:t>kWh/</w:t>
            </w:r>
            <w:r>
              <w:rPr>
                <w:rFonts w:cs="Arial"/>
                <w:b/>
                <w:bCs/>
                <w:color w:val="000000"/>
                <w:sz w:val="18"/>
                <w:szCs w:val="18"/>
              </w:rPr>
              <w:t>ft</w:t>
            </w:r>
          </w:p>
        </w:tc>
        <w:tc>
          <w:tcPr>
            <w:tcW w:w="683" w:type="pct"/>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E757AB" w:rsidRPr="00D13311" w:rsidRDefault="00E757AB" w:rsidP="00E757AB">
            <w:pPr>
              <w:overflowPunct/>
              <w:autoSpaceDE/>
              <w:autoSpaceDN/>
              <w:adjustRightInd/>
              <w:spacing w:before="60" w:after="60" w:line="264" w:lineRule="auto"/>
              <w:textAlignment w:val="auto"/>
              <w:rPr>
                <w:rFonts w:cs="Arial"/>
                <w:b/>
                <w:bCs/>
                <w:color w:val="000000"/>
                <w:sz w:val="18"/>
                <w:szCs w:val="18"/>
              </w:rPr>
            </w:pPr>
            <w:r>
              <w:rPr>
                <w:rFonts w:cs="Arial"/>
                <w:b/>
                <w:bCs/>
                <w:color w:val="000000"/>
                <w:sz w:val="18"/>
                <w:szCs w:val="18"/>
              </w:rPr>
              <w:t>Δ</w:t>
            </w:r>
            <w:r w:rsidRPr="00D13311">
              <w:rPr>
                <w:rFonts w:cs="Arial"/>
                <w:b/>
                <w:bCs/>
                <w:color w:val="000000"/>
                <w:sz w:val="18"/>
                <w:szCs w:val="18"/>
              </w:rPr>
              <w:t>kW/</w:t>
            </w:r>
            <w:r>
              <w:rPr>
                <w:rFonts w:cs="Arial"/>
                <w:b/>
                <w:bCs/>
                <w:color w:val="000000"/>
                <w:sz w:val="18"/>
                <w:szCs w:val="18"/>
              </w:rPr>
              <w:t>ft</w:t>
            </w:r>
          </w:p>
        </w:tc>
        <w:tc>
          <w:tcPr>
            <w:tcW w:w="677" w:type="pct"/>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E757AB" w:rsidRPr="00D13311" w:rsidRDefault="00E757AB" w:rsidP="00E757AB">
            <w:pPr>
              <w:overflowPunct/>
              <w:autoSpaceDE/>
              <w:autoSpaceDN/>
              <w:adjustRightInd/>
              <w:spacing w:before="60" w:after="60" w:line="264" w:lineRule="auto"/>
              <w:textAlignment w:val="auto"/>
              <w:rPr>
                <w:rFonts w:cs="Arial"/>
                <w:b/>
                <w:bCs/>
                <w:color w:val="000000"/>
                <w:sz w:val="18"/>
                <w:szCs w:val="18"/>
              </w:rPr>
            </w:pPr>
            <w:r>
              <w:rPr>
                <w:rFonts w:cs="Arial"/>
                <w:b/>
                <w:bCs/>
                <w:color w:val="000000"/>
                <w:sz w:val="18"/>
                <w:szCs w:val="18"/>
              </w:rPr>
              <w:t>Δ</w:t>
            </w:r>
            <w:r w:rsidRPr="00D13311">
              <w:rPr>
                <w:rFonts w:cs="Arial"/>
                <w:b/>
                <w:bCs/>
                <w:color w:val="000000"/>
                <w:sz w:val="18"/>
                <w:szCs w:val="18"/>
              </w:rPr>
              <w:t>kWh/</w:t>
            </w:r>
            <w:r>
              <w:rPr>
                <w:rFonts w:cs="Arial"/>
                <w:b/>
                <w:bCs/>
                <w:color w:val="000000"/>
                <w:sz w:val="18"/>
                <w:szCs w:val="18"/>
              </w:rPr>
              <w:t>ft</w:t>
            </w:r>
          </w:p>
        </w:tc>
      </w:tr>
      <w:tr w:rsidR="00E757AB" w:rsidRPr="00D13311" w:rsidTr="00E757AB">
        <w:trPr>
          <w:trHeight w:val="20"/>
          <w:jc w:val="center"/>
        </w:trPr>
        <w:tc>
          <w:tcPr>
            <w:tcW w:w="2280" w:type="pct"/>
            <w:tcBorders>
              <w:top w:val="nil"/>
              <w:left w:val="single" w:sz="8" w:space="0" w:color="auto"/>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textAlignment w:val="auto"/>
              <w:rPr>
                <w:rFonts w:cs="Arial"/>
                <w:color w:val="000000"/>
                <w:sz w:val="18"/>
                <w:szCs w:val="18"/>
              </w:rPr>
            </w:pPr>
            <w:r w:rsidRPr="00D13311">
              <w:rPr>
                <w:rFonts w:cs="Arial"/>
                <w:color w:val="000000"/>
                <w:sz w:val="18"/>
                <w:szCs w:val="18"/>
              </w:rPr>
              <w:t>Restaurant</w:t>
            </w:r>
          </w:p>
        </w:tc>
        <w:tc>
          <w:tcPr>
            <w:tcW w:w="683"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sidRPr="00D13311">
              <w:rPr>
                <w:rFonts w:cs="Arial"/>
                <w:color w:val="000000"/>
                <w:sz w:val="18"/>
                <w:szCs w:val="18"/>
              </w:rPr>
              <w:t>0.000803</w:t>
            </w:r>
          </w:p>
        </w:tc>
        <w:tc>
          <w:tcPr>
            <w:tcW w:w="677"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sidRPr="00D13311">
              <w:rPr>
                <w:rFonts w:cs="Arial"/>
                <w:color w:val="000000"/>
                <w:sz w:val="18"/>
                <w:szCs w:val="18"/>
              </w:rPr>
              <w:t>17</w:t>
            </w:r>
          </w:p>
        </w:tc>
        <w:tc>
          <w:tcPr>
            <w:tcW w:w="683"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sidRPr="00D13311">
              <w:rPr>
                <w:rFonts w:cs="Arial"/>
                <w:color w:val="000000"/>
                <w:sz w:val="18"/>
                <w:szCs w:val="18"/>
              </w:rPr>
              <w:t>0.001659</w:t>
            </w:r>
          </w:p>
        </w:tc>
        <w:tc>
          <w:tcPr>
            <w:tcW w:w="677"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sidRPr="00D13311">
              <w:rPr>
                <w:rFonts w:cs="Arial"/>
                <w:color w:val="000000"/>
                <w:sz w:val="18"/>
                <w:szCs w:val="18"/>
              </w:rPr>
              <w:t>59</w:t>
            </w:r>
          </w:p>
        </w:tc>
      </w:tr>
      <w:tr w:rsidR="00E757AB" w:rsidRPr="00D13311" w:rsidTr="00E757AB">
        <w:trPr>
          <w:trHeight w:val="20"/>
          <w:jc w:val="center"/>
        </w:trPr>
        <w:tc>
          <w:tcPr>
            <w:tcW w:w="2280" w:type="pct"/>
            <w:tcBorders>
              <w:top w:val="nil"/>
              <w:left w:val="single" w:sz="8" w:space="0" w:color="auto"/>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textAlignment w:val="auto"/>
              <w:rPr>
                <w:rFonts w:cs="Arial"/>
                <w:color w:val="000000"/>
                <w:sz w:val="18"/>
                <w:szCs w:val="18"/>
              </w:rPr>
            </w:pPr>
            <w:r w:rsidRPr="00D13311">
              <w:rPr>
                <w:rFonts w:cs="Arial"/>
                <w:color w:val="000000"/>
                <w:sz w:val="18"/>
                <w:szCs w:val="18"/>
              </w:rPr>
              <w:t>Small Grocery Store/ Convenience Store</w:t>
            </w:r>
          </w:p>
        </w:tc>
        <w:tc>
          <w:tcPr>
            <w:tcW w:w="683"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sidRPr="00D13311">
              <w:rPr>
                <w:rFonts w:cs="Arial"/>
                <w:color w:val="000000"/>
                <w:sz w:val="18"/>
                <w:szCs w:val="18"/>
              </w:rPr>
              <w:t>0.0005</w:t>
            </w:r>
            <w:r>
              <w:rPr>
                <w:rFonts w:cs="Arial"/>
                <w:color w:val="000000"/>
                <w:sz w:val="18"/>
                <w:szCs w:val="18"/>
              </w:rPr>
              <w:t>96</w:t>
            </w:r>
          </w:p>
        </w:tc>
        <w:tc>
          <w:tcPr>
            <w:tcW w:w="677"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sidRPr="00D13311">
              <w:rPr>
                <w:rFonts w:cs="Arial"/>
                <w:color w:val="000000"/>
                <w:sz w:val="18"/>
                <w:szCs w:val="18"/>
              </w:rPr>
              <w:t>14</w:t>
            </w:r>
          </w:p>
        </w:tc>
        <w:tc>
          <w:tcPr>
            <w:tcW w:w="683"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sidRPr="00D13311">
              <w:rPr>
                <w:rFonts w:cs="Arial"/>
                <w:color w:val="000000"/>
                <w:sz w:val="18"/>
                <w:szCs w:val="18"/>
              </w:rPr>
              <w:t>0.0014</w:t>
            </w:r>
            <w:r>
              <w:rPr>
                <w:rFonts w:cs="Arial"/>
                <w:color w:val="000000"/>
                <w:sz w:val="18"/>
                <w:szCs w:val="18"/>
              </w:rPr>
              <w:t>35</w:t>
            </w:r>
          </w:p>
        </w:tc>
        <w:tc>
          <w:tcPr>
            <w:tcW w:w="677"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61</w:t>
            </w:r>
          </w:p>
        </w:tc>
      </w:tr>
      <w:tr w:rsidR="00E757AB" w:rsidRPr="00D13311" w:rsidTr="00E757AB">
        <w:trPr>
          <w:trHeight w:val="20"/>
          <w:jc w:val="center"/>
        </w:trPr>
        <w:tc>
          <w:tcPr>
            <w:tcW w:w="2280" w:type="pct"/>
            <w:tcBorders>
              <w:top w:val="nil"/>
              <w:left w:val="single" w:sz="8" w:space="0" w:color="auto"/>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textAlignment w:val="auto"/>
              <w:rPr>
                <w:rFonts w:cs="Arial"/>
                <w:color w:val="000000"/>
                <w:sz w:val="18"/>
                <w:szCs w:val="18"/>
              </w:rPr>
            </w:pPr>
            <w:r w:rsidRPr="00D13311">
              <w:rPr>
                <w:rFonts w:cs="Arial"/>
                <w:color w:val="000000"/>
                <w:sz w:val="18"/>
                <w:szCs w:val="18"/>
              </w:rPr>
              <w:t>Medium/Large Grocery Store/ Supermarkets</w:t>
            </w:r>
          </w:p>
        </w:tc>
        <w:tc>
          <w:tcPr>
            <w:tcW w:w="683"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0.000586</w:t>
            </w:r>
          </w:p>
        </w:tc>
        <w:tc>
          <w:tcPr>
            <w:tcW w:w="677"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sidRPr="00D13311">
              <w:rPr>
                <w:rFonts w:cs="Arial"/>
                <w:color w:val="000000"/>
                <w:sz w:val="18"/>
                <w:szCs w:val="18"/>
              </w:rPr>
              <w:t>14</w:t>
            </w:r>
          </w:p>
        </w:tc>
        <w:tc>
          <w:tcPr>
            <w:tcW w:w="683"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sidRPr="00D13311">
              <w:rPr>
                <w:rFonts w:cs="Arial"/>
                <w:color w:val="000000"/>
                <w:sz w:val="18"/>
                <w:szCs w:val="18"/>
              </w:rPr>
              <w:t>0.0014</w:t>
            </w:r>
            <w:r>
              <w:rPr>
                <w:rFonts w:cs="Arial"/>
                <w:color w:val="000000"/>
                <w:sz w:val="18"/>
                <w:szCs w:val="18"/>
              </w:rPr>
              <w:t>10</w:t>
            </w:r>
          </w:p>
        </w:tc>
        <w:tc>
          <w:tcPr>
            <w:tcW w:w="677" w:type="pct"/>
            <w:tcBorders>
              <w:top w:val="nil"/>
              <w:left w:val="nil"/>
              <w:bottom w:val="single" w:sz="8" w:space="0" w:color="auto"/>
              <w:right w:val="single" w:sz="8" w:space="0" w:color="auto"/>
            </w:tcBorders>
            <w:shd w:val="clear" w:color="auto" w:fill="auto"/>
            <w:vAlign w:val="center"/>
            <w:hideMark/>
          </w:tcPr>
          <w:p w:rsidR="00E757AB" w:rsidRPr="00D13311" w:rsidRDefault="00E757AB" w:rsidP="00E757AB">
            <w:pPr>
              <w:overflowPunct/>
              <w:autoSpaceDE/>
              <w:autoSpaceDN/>
              <w:adjustRightInd/>
              <w:spacing w:before="60" w:after="60" w:line="264" w:lineRule="auto"/>
              <w:jc w:val="right"/>
              <w:textAlignment w:val="auto"/>
              <w:rPr>
                <w:rFonts w:cs="Arial"/>
                <w:color w:val="000000"/>
                <w:sz w:val="18"/>
                <w:szCs w:val="18"/>
              </w:rPr>
            </w:pPr>
            <w:r>
              <w:rPr>
                <w:rFonts w:cs="Arial"/>
                <w:color w:val="000000"/>
                <w:sz w:val="18"/>
                <w:szCs w:val="18"/>
              </w:rPr>
              <w:t>86</w:t>
            </w:r>
          </w:p>
        </w:tc>
      </w:tr>
    </w:tbl>
    <w:p w:rsidR="00E757AB" w:rsidRDefault="00E757AB" w:rsidP="00E757AB">
      <w:pPr>
        <w:pStyle w:val="source1"/>
        <w:numPr>
          <w:ilvl w:val="0"/>
          <w:numId w:val="0"/>
        </w:numPr>
        <w:ind w:left="720"/>
      </w:pPr>
    </w:p>
    <w:p w:rsidR="00E757AB" w:rsidRDefault="00E757AB" w:rsidP="00871FA2">
      <w:pPr>
        <w:pStyle w:val="Heading3"/>
      </w:pPr>
      <w:r>
        <w:t xml:space="preserve">Measure Life </w:t>
      </w:r>
    </w:p>
    <w:p w:rsidR="00E757AB" w:rsidRDefault="00E757AB" w:rsidP="00E757AB">
      <w:pPr>
        <w:rPr>
          <w:rFonts w:ascii="Times New Roman" w:eastAsia="Calibri" w:hAnsi="Times New Roman"/>
          <w:sz w:val="24"/>
          <w:szCs w:val="24"/>
        </w:rPr>
      </w:pPr>
      <w:r w:rsidRPr="00E757AB">
        <w:t xml:space="preserve">The expected measure life is </w:t>
      </w:r>
      <w:r w:rsidRPr="00E757AB">
        <w:rPr>
          <w:rFonts w:eastAsia="Calibri"/>
        </w:rPr>
        <w:t>4 years</w:t>
      </w:r>
      <w:r w:rsidRPr="00E757AB">
        <w:rPr>
          <w:rStyle w:val="FootnoteReference"/>
          <w:rFonts w:eastAsia="Calibri" w:cs="Arial"/>
        </w:rPr>
        <w:footnoteReference w:id="218"/>
      </w:r>
      <w:r>
        <w:rPr>
          <w:rFonts w:eastAsia="Calibri"/>
        </w:rPr>
        <w:t>.</w:t>
      </w:r>
    </w:p>
    <w:p w:rsidR="00E757AB" w:rsidRPr="001C4AD5" w:rsidRDefault="00E757AB" w:rsidP="00E757AB">
      <w:pPr>
        <w:pStyle w:val="Heading2"/>
      </w:pPr>
      <w:bookmarkStart w:id="1017" w:name="_Toc303086240"/>
      <w:bookmarkStart w:id="1018" w:name="_Toc303339111"/>
      <w:bookmarkStart w:id="1019" w:name="_Toc303347608"/>
      <w:bookmarkStart w:id="1020" w:name="_Toc303352546"/>
      <w:bookmarkStart w:id="1021" w:name="_Toc310868477"/>
      <w:bookmarkStart w:id="1022" w:name="_Toc303086241"/>
      <w:bookmarkStart w:id="1023" w:name="_Toc303339112"/>
      <w:bookmarkStart w:id="1024" w:name="_Toc303347609"/>
      <w:bookmarkStart w:id="1025" w:name="_Toc303352547"/>
      <w:bookmarkStart w:id="1026" w:name="_Toc310868478"/>
      <w:bookmarkStart w:id="1027" w:name="_Toc275507474"/>
      <w:bookmarkStart w:id="1028" w:name="_Toc275514489"/>
      <w:bookmarkStart w:id="1029" w:name="_Toc275521507"/>
      <w:bookmarkStart w:id="1030" w:name="_Toc275528525"/>
      <w:bookmarkStart w:id="1031" w:name="_Toc275535541"/>
      <w:bookmarkStart w:id="1032" w:name="_Toc275542578"/>
      <w:bookmarkStart w:id="1033" w:name="_Toc275549611"/>
      <w:bookmarkStart w:id="1034" w:name="_Toc275848360"/>
      <w:bookmarkStart w:id="1035" w:name="_Toc275857233"/>
      <w:bookmarkStart w:id="1036" w:name="_Toc275864251"/>
      <w:bookmarkStart w:id="1037" w:name="_Toc275867122"/>
      <w:bookmarkStart w:id="1038" w:name="_Toc275867614"/>
      <w:bookmarkStart w:id="1039" w:name="_Toc275878865"/>
      <w:bookmarkStart w:id="1040" w:name="_Toc275903004"/>
      <w:bookmarkStart w:id="1041" w:name="_Toc275942781"/>
      <w:bookmarkStart w:id="1042" w:name="_Toc275943064"/>
      <w:bookmarkStart w:id="1043" w:name="_Toc275943447"/>
      <w:bookmarkStart w:id="1044" w:name="_Toc275507476"/>
      <w:bookmarkStart w:id="1045" w:name="_Toc275514491"/>
      <w:bookmarkStart w:id="1046" w:name="_Toc275521509"/>
      <w:bookmarkStart w:id="1047" w:name="_Toc275528527"/>
      <w:bookmarkStart w:id="1048" w:name="_Toc275535543"/>
      <w:bookmarkStart w:id="1049" w:name="_Toc275542580"/>
      <w:bookmarkStart w:id="1050" w:name="_Toc275549613"/>
      <w:bookmarkStart w:id="1051" w:name="_Toc275848362"/>
      <w:bookmarkStart w:id="1052" w:name="_Toc275857235"/>
      <w:bookmarkStart w:id="1053" w:name="_Toc275864253"/>
      <w:bookmarkStart w:id="1054" w:name="_Toc275867124"/>
      <w:bookmarkStart w:id="1055" w:name="_Toc275867616"/>
      <w:bookmarkStart w:id="1056" w:name="_Toc275878867"/>
      <w:bookmarkStart w:id="1057" w:name="_Toc275903006"/>
      <w:bookmarkStart w:id="1058" w:name="_Toc275942783"/>
      <w:bookmarkStart w:id="1059" w:name="_Toc275943066"/>
      <w:bookmarkStart w:id="1060" w:name="_Toc275943449"/>
      <w:bookmarkStart w:id="1061" w:name="_Toc275507485"/>
      <w:bookmarkStart w:id="1062" w:name="_Toc275514500"/>
      <w:bookmarkStart w:id="1063" w:name="_Toc275521518"/>
      <w:bookmarkStart w:id="1064" w:name="_Toc275528536"/>
      <w:bookmarkStart w:id="1065" w:name="_Toc275535552"/>
      <w:bookmarkStart w:id="1066" w:name="_Toc275542589"/>
      <w:bookmarkStart w:id="1067" w:name="_Toc275549622"/>
      <w:bookmarkStart w:id="1068" w:name="_Toc275848371"/>
      <w:bookmarkStart w:id="1069" w:name="_Toc275857244"/>
      <w:bookmarkStart w:id="1070" w:name="_Toc275864262"/>
      <w:bookmarkStart w:id="1071" w:name="_Toc275867133"/>
      <w:bookmarkStart w:id="1072" w:name="_Toc275867625"/>
      <w:bookmarkStart w:id="1073" w:name="_Toc275878876"/>
      <w:bookmarkStart w:id="1074" w:name="_Toc275903015"/>
      <w:bookmarkStart w:id="1075" w:name="_Toc275942792"/>
      <w:bookmarkStart w:id="1076" w:name="_Toc275943075"/>
      <w:bookmarkStart w:id="1077" w:name="_Toc275943458"/>
      <w:bookmarkStart w:id="1078" w:name="_Toc275507487"/>
      <w:bookmarkStart w:id="1079" w:name="_Toc275514502"/>
      <w:bookmarkStart w:id="1080" w:name="_Toc275521520"/>
      <w:bookmarkStart w:id="1081" w:name="_Toc275528538"/>
      <w:bookmarkStart w:id="1082" w:name="_Toc275535554"/>
      <w:bookmarkStart w:id="1083" w:name="_Toc275542591"/>
      <w:bookmarkStart w:id="1084" w:name="_Toc275549624"/>
      <w:bookmarkStart w:id="1085" w:name="_Toc275848373"/>
      <w:bookmarkStart w:id="1086" w:name="_Toc275857246"/>
      <w:bookmarkStart w:id="1087" w:name="_Toc275864264"/>
      <w:bookmarkStart w:id="1088" w:name="_Toc275867135"/>
      <w:bookmarkStart w:id="1089" w:name="_Toc275867627"/>
      <w:bookmarkStart w:id="1090" w:name="_Toc275878878"/>
      <w:bookmarkStart w:id="1091" w:name="_Toc275903017"/>
      <w:bookmarkStart w:id="1092" w:name="_Toc275942794"/>
      <w:bookmarkStart w:id="1093" w:name="_Toc275943077"/>
      <w:bookmarkStart w:id="1094" w:name="_Toc275943460"/>
      <w:bookmarkStart w:id="1095" w:name="_Toc275507490"/>
      <w:bookmarkStart w:id="1096" w:name="_Toc275514505"/>
      <w:bookmarkStart w:id="1097" w:name="_Toc275521523"/>
      <w:bookmarkStart w:id="1098" w:name="_Toc275528541"/>
      <w:bookmarkStart w:id="1099" w:name="_Toc275535557"/>
      <w:bookmarkStart w:id="1100" w:name="_Toc275542594"/>
      <w:bookmarkStart w:id="1101" w:name="_Toc275549627"/>
      <w:bookmarkStart w:id="1102" w:name="_Toc275848377"/>
      <w:bookmarkStart w:id="1103" w:name="_Toc275857249"/>
      <w:bookmarkStart w:id="1104" w:name="_Toc275864267"/>
      <w:bookmarkStart w:id="1105" w:name="_Toc275867138"/>
      <w:bookmarkStart w:id="1106" w:name="_Toc275867630"/>
      <w:bookmarkStart w:id="1107" w:name="_Toc275878881"/>
      <w:bookmarkStart w:id="1108" w:name="_Toc275903020"/>
      <w:bookmarkStart w:id="1109" w:name="_Toc275942797"/>
      <w:bookmarkStart w:id="1110" w:name="_Toc275943080"/>
      <w:bookmarkStart w:id="1111" w:name="_Toc275943463"/>
      <w:bookmarkStart w:id="1112" w:name="_Toc275507492"/>
      <w:bookmarkStart w:id="1113" w:name="_Toc275514507"/>
      <w:bookmarkStart w:id="1114" w:name="_Toc275521525"/>
      <w:bookmarkStart w:id="1115" w:name="_Toc275528543"/>
      <w:bookmarkStart w:id="1116" w:name="_Toc275535559"/>
      <w:bookmarkStart w:id="1117" w:name="_Toc275542596"/>
      <w:bookmarkStart w:id="1118" w:name="_Toc275549629"/>
      <w:bookmarkStart w:id="1119" w:name="_Toc275848379"/>
      <w:bookmarkStart w:id="1120" w:name="_Toc275857251"/>
      <w:bookmarkStart w:id="1121" w:name="_Toc275864269"/>
      <w:bookmarkStart w:id="1122" w:name="_Toc275867140"/>
      <w:bookmarkStart w:id="1123" w:name="_Toc275867632"/>
      <w:bookmarkStart w:id="1124" w:name="_Toc275878883"/>
      <w:bookmarkStart w:id="1125" w:name="_Toc275903022"/>
      <w:bookmarkStart w:id="1126" w:name="_Toc275942799"/>
      <w:bookmarkStart w:id="1127" w:name="_Toc275943082"/>
      <w:bookmarkStart w:id="1128" w:name="_Toc275943465"/>
      <w:bookmarkStart w:id="1129" w:name="_Toc275507494"/>
      <w:bookmarkStart w:id="1130" w:name="_Toc275514509"/>
      <w:bookmarkStart w:id="1131" w:name="_Toc275521527"/>
      <w:bookmarkStart w:id="1132" w:name="_Toc275528545"/>
      <w:bookmarkStart w:id="1133" w:name="_Toc275535561"/>
      <w:bookmarkStart w:id="1134" w:name="_Toc275542598"/>
      <w:bookmarkStart w:id="1135" w:name="_Toc275549631"/>
      <w:bookmarkStart w:id="1136" w:name="_Toc275848381"/>
      <w:bookmarkStart w:id="1137" w:name="_Toc275857253"/>
      <w:bookmarkStart w:id="1138" w:name="_Toc275864271"/>
      <w:bookmarkStart w:id="1139" w:name="_Toc275867142"/>
      <w:bookmarkStart w:id="1140" w:name="_Toc275867634"/>
      <w:bookmarkStart w:id="1141" w:name="_Toc275878885"/>
      <w:bookmarkStart w:id="1142" w:name="_Toc275903024"/>
      <w:bookmarkStart w:id="1143" w:name="_Toc275942801"/>
      <w:bookmarkStart w:id="1144" w:name="_Toc275943084"/>
      <w:bookmarkStart w:id="1145" w:name="_Toc275943467"/>
      <w:bookmarkStart w:id="1146" w:name="_Toc275507497"/>
      <w:bookmarkStart w:id="1147" w:name="_Toc275514512"/>
      <w:bookmarkStart w:id="1148" w:name="_Toc275521530"/>
      <w:bookmarkStart w:id="1149" w:name="_Toc275528548"/>
      <w:bookmarkStart w:id="1150" w:name="_Toc275535564"/>
      <w:bookmarkStart w:id="1151" w:name="_Toc275542601"/>
      <w:bookmarkStart w:id="1152" w:name="_Toc275549634"/>
      <w:bookmarkStart w:id="1153" w:name="_Toc275848384"/>
      <w:bookmarkStart w:id="1154" w:name="_Toc275857256"/>
      <w:bookmarkStart w:id="1155" w:name="_Toc275864274"/>
      <w:bookmarkStart w:id="1156" w:name="_Toc275867145"/>
      <w:bookmarkStart w:id="1157" w:name="_Toc275867637"/>
      <w:bookmarkStart w:id="1158" w:name="_Toc275878888"/>
      <w:bookmarkStart w:id="1159" w:name="_Toc275903027"/>
      <w:bookmarkStart w:id="1160" w:name="_Toc275942804"/>
      <w:bookmarkStart w:id="1161" w:name="_Toc275943087"/>
      <w:bookmarkStart w:id="1162" w:name="_Toc275943470"/>
      <w:bookmarkStart w:id="1163" w:name="_Toc275507499"/>
      <w:bookmarkStart w:id="1164" w:name="_Toc275514514"/>
      <w:bookmarkStart w:id="1165" w:name="_Toc275521532"/>
      <w:bookmarkStart w:id="1166" w:name="_Toc275528550"/>
      <w:bookmarkStart w:id="1167" w:name="_Toc275535566"/>
      <w:bookmarkStart w:id="1168" w:name="_Toc275542603"/>
      <w:bookmarkStart w:id="1169" w:name="_Toc275549636"/>
      <w:bookmarkStart w:id="1170" w:name="_Toc275848386"/>
      <w:bookmarkStart w:id="1171" w:name="_Toc275857258"/>
      <w:bookmarkStart w:id="1172" w:name="_Toc275864276"/>
      <w:bookmarkStart w:id="1173" w:name="_Toc275867147"/>
      <w:bookmarkStart w:id="1174" w:name="_Toc275867639"/>
      <w:bookmarkStart w:id="1175" w:name="_Toc275878890"/>
      <w:bookmarkStart w:id="1176" w:name="_Toc275903029"/>
      <w:bookmarkStart w:id="1177" w:name="_Toc275942806"/>
      <w:bookmarkStart w:id="1178" w:name="_Toc275943089"/>
      <w:bookmarkStart w:id="1179" w:name="_Toc275943472"/>
      <w:bookmarkStart w:id="1180" w:name="_Toc275507500"/>
      <w:bookmarkStart w:id="1181" w:name="_Toc275514515"/>
      <w:bookmarkStart w:id="1182" w:name="_Toc275521533"/>
      <w:bookmarkStart w:id="1183" w:name="_Toc275528551"/>
      <w:bookmarkStart w:id="1184" w:name="_Toc275535567"/>
      <w:bookmarkStart w:id="1185" w:name="_Toc275542604"/>
      <w:bookmarkStart w:id="1186" w:name="_Toc275549637"/>
      <w:bookmarkStart w:id="1187" w:name="_Toc275848387"/>
      <w:bookmarkStart w:id="1188" w:name="_Toc275857259"/>
      <w:bookmarkStart w:id="1189" w:name="_Toc275864277"/>
      <w:bookmarkStart w:id="1190" w:name="_Toc275867148"/>
      <w:bookmarkStart w:id="1191" w:name="_Toc275867640"/>
      <w:bookmarkStart w:id="1192" w:name="_Toc275878891"/>
      <w:bookmarkStart w:id="1193" w:name="_Toc275903030"/>
      <w:bookmarkStart w:id="1194" w:name="_Toc275942807"/>
      <w:bookmarkStart w:id="1195" w:name="_Toc275943090"/>
      <w:bookmarkStart w:id="1196" w:name="_Toc275943473"/>
      <w:bookmarkStart w:id="1197" w:name="_Toc275507502"/>
      <w:bookmarkStart w:id="1198" w:name="_Toc275514517"/>
      <w:bookmarkStart w:id="1199" w:name="_Toc275521535"/>
      <w:bookmarkStart w:id="1200" w:name="_Toc275528553"/>
      <w:bookmarkStart w:id="1201" w:name="_Toc275535569"/>
      <w:bookmarkStart w:id="1202" w:name="_Toc275542606"/>
      <w:bookmarkStart w:id="1203" w:name="_Toc275549639"/>
      <w:bookmarkStart w:id="1204" w:name="_Toc275848389"/>
      <w:bookmarkStart w:id="1205" w:name="_Toc275857261"/>
      <w:bookmarkStart w:id="1206" w:name="_Toc275864279"/>
      <w:bookmarkStart w:id="1207" w:name="_Toc275867150"/>
      <w:bookmarkStart w:id="1208" w:name="_Toc275867642"/>
      <w:bookmarkStart w:id="1209" w:name="_Toc275878893"/>
      <w:bookmarkStart w:id="1210" w:name="_Toc275903032"/>
      <w:bookmarkStart w:id="1211" w:name="_Toc275942809"/>
      <w:bookmarkStart w:id="1212" w:name="_Toc275943092"/>
      <w:bookmarkStart w:id="1213" w:name="_Toc275943475"/>
      <w:bookmarkStart w:id="1214" w:name="_Toc275507504"/>
      <w:bookmarkStart w:id="1215" w:name="_Toc275514519"/>
      <w:bookmarkStart w:id="1216" w:name="_Toc275521537"/>
      <w:bookmarkStart w:id="1217" w:name="_Toc275528555"/>
      <w:bookmarkStart w:id="1218" w:name="_Toc275535571"/>
      <w:bookmarkStart w:id="1219" w:name="_Toc275542608"/>
      <w:bookmarkStart w:id="1220" w:name="_Toc275549641"/>
      <w:bookmarkStart w:id="1221" w:name="_Toc275848391"/>
      <w:bookmarkStart w:id="1222" w:name="_Toc275857263"/>
      <w:bookmarkStart w:id="1223" w:name="_Toc275864281"/>
      <w:bookmarkStart w:id="1224" w:name="_Toc275867152"/>
      <w:bookmarkStart w:id="1225" w:name="_Toc275867644"/>
      <w:bookmarkStart w:id="1226" w:name="_Toc275878895"/>
      <w:bookmarkStart w:id="1227" w:name="_Toc275903034"/>
      <w:bookmarkStart w:id="1228" w:name="_Toc275942811"/>
      <w:bookmarkStart w:id="1229" w:name="_Toc275943094"/>
      <w:bookmarkStart w:id="1230" w:name="_Toc275943477"/>
      <w:bookmarkStart w:id="1231" w:name="_Toc275507506"/>
      <w:bookmarkStart w:id="1232" w:name="_Toc275514521"/>
      <w:bookmarkStart w:id="1233" w:name="_Toc275521539"/>
      <w:bookmarkStart w:id="1234" w:name="_Toc275528557"/>
      <w:bookmarkStart w:id="1235" w:name="_Toc275535573"/>
      <w:bookmarkStart w:id="1236" w:name="_Toc275542610"/>
      <w:bookmarkStart w:id="1237" w:name="_Toc275549643"/>
      <w:bookmarkStart w:id="1238" w:name="_Toc275848393"/>
      <w:bookmarkStart w:id="1239" w:name="_Toc275857265"/>
      <w:bookmarkStart w:id="1240" w:name="_Toc275864283"/>
      <w:bookmarkStart w:id="1241" w:name="_Toc275867154"/>
      <w:bookmarkStart w:id="1242" w:name="_Toc275867646"/>
      <w:bookmarkStart w:id="1243" w:name="_Toc275878897"/>
      <w:bookmarkStart w:id="1244" w:name="_Toc275903036"/>
      <w:bookmarkStart w:id="1245" w:name="_Toc275942813"/>
      <w:bookmarkStart w:id="1246" w:name="_Toc275943096"/>
      <w:bookmarkStart w:id="1247" w:name="_Toc275943479"/>
      <w:bookmarkStart w:id="1248" w:name="_Toc275507507"/>
      <w:bookmarkStart w:id="1249" w:name="_Toc275514522"/>
      <w:bookmarkStart w:id="1250" w:name="_Toc275521540"/>
      <w:bookmarkStart w:id="1251" w:name="_Toc275528558"/>
      <w:bookmarkStart w:id="1252" w:name="_Toc275535574"/>
      <w:bookmarkStart w:id="1253" w:name="_Toc275542611"/>
      <w:bookmarkStart w:id="1254" w:name="_Toc275549644"/>
      <w:bookmarkStart w:id="1255" w:name="_Toc275848394"/>
      <w:bookmarkStart w:id="1256" w:name="_Toc275857266"/>
      <w:bookmarkStart w:id="1257" w:name="_Toc275864284"/>
      <w:bookmarkStart w:id="1258" w:name="_Toc275867155"/>
      <w:bookmarkStart w:id="1259" w:name="_Toc275867647"/>
      <w:bookmarkStart w:id="1260" w:name="_Toc275878898"/>
      <w:bookmarkStart w:id="1261" w:name="_Toc275903037"/>
      <w:bookmarkStart w:id="1262" w:name="_Toc275942814"/>
      <w:bookmarkStart w:id="1263" w:name="_Toc275943097"/>
      <w:bookmarkStart w:id="1264" w:name="_Toc275943480"/>
      <w:bookmarkStart w:id="1265" w:name="_Toc275507529"/>
      <w:bookmarkStart w:id="1266" w:name="_Toc275514544"/>
      <w:bookmarkStart w:id="1267" w:name="_Toc275521562"/>
      <w:bookmarkStart w:id="1268" w:name="_Toc275528580"/>
      <w:bookmarkStart w:id="1269" w:name="_Toc275535596"/>
      <w:bookmarkStart w:id="1270" w:name="_Toc275542633"/>
      <w:bookmarkStart w:id="1271" w:name="_Toc275549666"/>
      <w:bookmarkStart w:id="1272" w:name="_Toc275848416"/>
      <w:bookmarkStart w:id="1273" w:name="_Toc275857288"/>
      <w:bookmarkStart w:id="1274" w:name="_Toc275864306"/>
      <w:bookmarkStart w:id="1275" w:name="_Toc275867177"/>
      <w:bookmarkStart w:id="1276" w:name="_Toc275867669"/>
      <w:bookmarkStart w:id="1277" w:name="_Toc275878920"/>
      <w:bookmarkStart w:id="1278" w:name="_Toc275903059"/>
      <w:bookmarkStart w:id="1279" w:name="_Toc275942836"/>
      <w:bookmarkStart w:id="1280" w:name="_Toc275943119"/>
      <w:bookmarkStart w:id="1281" w:name="_Toc275943502"/>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r>
        <w:br w:type="page"/>
      </w:r>
      <w:bookmarkStart w:id="1282" w:name="_Toc310875464"/>
      <w:r>
        <w:t xml:space="preserve">Refrigeration </w:t>
      </w:r>
      <w:r w:rsidR="00500CAF">
        <w:t xml:space="preserve">– </w:t>
      </w:r>
      <w:r>
        <w:t>Suction Pipes Insulation</w:t>
      </w:r>
      <w:bookmarkEnd w:id="1282"/>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5440"/>
      </w:tblGrid>
      <w:tr w:rsidR="00E757AB" w:rsidRPr="00DC57D4" w:rsidTr="00E757AB">
        <w:trPr>
          <w:jc w:val="center"/>
        </w:trPr>
        <w:tc>
          <w:tcPr>
            <w:tcW w:w="320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E757AB" w:rsidRPr="001D6512" w:rsidRDefault="00E757AB" w:rsidP="00E757AB">
            <w:pPr>
              <w:pStyle w:val="TableCell"/>
              <w:spacing w:before="60" w:after="60"/>
              <w:rPr>
                <w:b/>
              </w:rPr>
            </w:pPr>
            <w:r w:rsidRPr="001D6512">
              <w:rPr>
                <w:b/>
              </w:rPr>
              <w:t>Measure Name</w:t>
            </w:r>
          </w:p>
        </w:tc>
        <w:tc>
          <w:tcPr>
            <w:tcW w:w="544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E757AB" w:rsidRPr="001D6512" w:rsidRDefault="00E757AB" w:rsidP="00E757AB">
            <w:pPr>
              <w:pStyle w:val="TableCell"/>
              <w:spacing w:before="60" w:after="60"/>
              <w:rPr>
                <w:b/>
              </w:rPr>
            </w:pPr>
            <w:r w:rsidRPr="001D6512">
              <w:rPr>
                <w:b/>
              </w:rPr>
              <w:t>Refrigeration Suction Pipes Insulation</w:t>
            </w:r>
          </w:p>
        </w:tc>
      </w:tr>
      <w:tr w:rsidR="00E757AB" w:rsidRPr="00DC57D4" w:rsidTr="00E757AB">
        <w:trPr>
          <w:jc w:val="center"/>
        </w:trPr>
        <w:tc>
          <w:tcPr>
            <w:tcW w:w="3200" w:type="dxa"/>
          </w:tcPr>
          <w:p w:rsidR="00E757AB" w:rsidRPr="001D6512" w:rsidRDefault="00E757AB" w:rsidP="00E757AB">
            <w:pPr>
              <w:pStyle w:val="TableCell"/>
              <w:spacing w:before="60" w:after="60"/>
            </w:pPr>
            <w:r w:rsidRPr="001D6512">
              <w:t>Target Sector</w:t>
            </w:r>
          </w:p>
        </w:tc>
        <w:tc>
          <w:tcPr>
            <w:tcW w:w="5440" w:type="dxa"/>
          </w:tcPr>
          <w:p w:rsidR="00E757AB" w:rsidRPr="001D6512" w:rsidRDefault="00E757AB" w:rsidP="00E757AB">
            <w:pPr>
              <w:pStyle w:val="TableCell"/>
              <w:spacing w:before="60" w:after="60"/>
            </w:pPr>
            <w:r w:rsidRPr="001D6512">
              <w:t>Commercial Refrigeration</w:t>
            </w:r>
          </w:p>
        </w:tc>
      </w:tr>
      <w:tr w:rsidR="00E757AB" w:rsidRPr="00DC57D4" w:rsidTr="00E757AB">
        <w:trPr>
          <w:jc w:val="center"/>
        </w:trPr>
        <w:tc>
          <w:tcPr>
            <w:tcW w:w="3200" w:type="dxa"/>
          </w:tcPr>
          <w:p w:rsidR="00E757AB" w:rsidRPr="001D6512" w:rsidRDefault="00E757AB" w:rsidP="00E757AB">
            <w:pPr>
              <w:pStyle w:val="TableCell"/>
              <w:spacing w:before="60" w:after="60"/>
            </w:pPr>
            <w:r w:rsidRPr="001D6512">
              <w:t>Measure Unit</w:t>
            </w:r>
          </w:p>
        </w:tc>
        <w:tc>
          <w:tcPr>
            <w:tcW w:w="5440" w:type="dxa"/>
          </w:tcPr>
          <w:p w:rsidR="00E757AB" w:rsidRPr="001D6512" w:rsidRDefault="00E757AB" w:rsidP="00E757AB">
            <w:pPr>
              <w:pStyle w:val="TableCell"/>
              <w:spacing w:before="60" w:after="60"/>
            </w:pPr>
            <w:r w:rsidRPr="001D6512">
              <w:t xml:space="preserve">Refrigeration  </w:t>
            </w:r>
          </w:p>
        </w:tc>
      </w:tr>
      <w:tr w:rsidR="00E757AB" w:rsidRPr="00DC57D4" w:rsidTr="00E757AB">
        <w:trPr>
          <w:jc w:val="center"/>
        </w:trPr>
        <w:tc>
          <w:tcPr>
            <w:tcW w:w="3200" w:type="dxa"/>
          </w:tcPr>
          <w:p w:rsidR="00E757AB" w:rsidRPr="001D6512" w:rsidRDefault="00E757AB" w:rsidP="00E757AB">
            <w:pPr>
              <w:pStyle w:val="TableCell"/>
              <w:spacing w:before="60" w:after="60"/>
            </w:pPr>
            <w:r w:rsidRPr="001D6512">
              <w:t>Unit Energy Savings</w:t>
            </w:r>
          </w:p>
        </w:tc>
        <w:tc>
          <w:tcPr>
            <w:tcW w:w="5440" w:type="dxa"/>
          </w:tcPr>
          <w:p w:rsidR="00E757AB" w:rsidRPr="001D6512" w:rsidRDefault="00E757AB" w:rsidP="00E757AB">
            <w:pPr>
              <w:pStyle w:val="TableCell"/>
              <w:spacing w:before="60" w:after="60"/>
            </w:pPr>
            <w:r w:rsidRPr="001D6512">
              <w:t>Fixed</w:t>
            </w:r>
          </w:p>
        </w:tc>
      </w:tr>
      <w:tr w:rsidR="00E757AB" w:rsidRPr="00DC57D4" w:rsidTr="00E757AB">
        <w:trPr>
          <w:jc w:val="center"/>
        </w:trPr>
        <w:tc>
          <w:tcPr>
            <w:tcW w:w="3200" w:type="dxa"/>
          </w:tcPr>
          <w:p w:rsidR="00E757AB" w:rsidRPr="001D6512" w:rsidRDefault="00E757AB" w:rsidP="00E757AB">
            <w:pPr>
              <w:pStyle w:val="TableCell"/>
              <w:spacing w:before="60" w:after="60"/>
            </w:pPr>
            <w:r w:rsidRPr="001D6512">
              <w:t>Unit Peak Demand Reduction</w:t>
            </w:r>
          </w:p>
        </w:tc>
        <w:tc>
          <w:tcPr>
            <w:tcW w:w="5440" w:type="dxa"/>
          </w:tcPr>
          <w:p w:rsidR="00E757AB" w:rsidRPr="001D6512" w:rsidRDefault="00E757AB" w:rsidP="00E757AB">
            <w:pPr>
              <w:pStyle w:val="TableCell"/>
              <w:spacing w:before="60" w:after="60"/>
            </w:pPr>
            <w:r w:rsidRPr="001D6512">
              <w:t xml:space="preserve">Fixed </w:t>
            </w:r>
          </w:p>
        </w:tc>
      </w:tr>
      <w:tr w:rsidR="00E757AB" w:rsidRPr="00DC57D4" w:rsidTr="00E757AB">
        <w:trPr>
          <w:jc w:val="center"/>
        </w:trPr>
        <w:tc>
          <w:tcPr>
            <w:tcW w:w="3200" w:type="dxa"/>
          </w:tcPr>
          <w:p w:rsidR="00E757AB" w:rsidRPr="001D6512" w:rsidRDefault="00E757AB" w:rsidP="00E757AB">
            <w:pPr>
              <w:pStyle w:val="TableCell"/>
              <w:spacing w:before="60" w:after="60"/>
            </w:pPr>
            <w:r w:rsidRPr="001D6512">
              <w:t>Measure Life</w:t>
            </w:r>
          </w:p>
        </w:tc>
        <w:tc>
          <w:tcPr>
            <w:tcW w:w="5440" w:type="dxa"/>
          </w:tcPr>
          <w:p w:rsidR="00E757AB" w:rsidRPr="001D6512" w:rsidRDefault="00E757AB" w:rsidP="00E757AB">
            <w:pPr>
              <w:pStyle w:val="TableCell"/>
              <w:spacing w:before="60" w:after="60"/>
              <w:rPr>
                <w:highlight w:val="yellow"/>
              </w:rPr>
            </w:pPr>
            <w:r w:rsidRPr="001D6512">
              <w:t>11 years</w:t>
            </w:r>
          </w:p>
        </w:tc>
      </w:tr>
    </w:tbl>
    <w:p w:rsidR="00E757AB" w:rsidRDefault="00E757AB" w:rsidP="00E757AB"/>
    <w:p w:rsidR="00E757AB" w:rsidRDefault="00E757AB" w:rsidP="00F05DC2">
      <w:r w:rsidRPr="00515B3D">
        <w:t>This measure applies to installation of insulation on existing bare suction lines (the larger diameter lines that run from the evaporator to the compressor) that are located outside of the refrigerated space. Insulation impedes heat transfer from the ambient air to the suction lines, thereby reducing undesirable system superheat. This decreases the load on the compressor, resulting in decreased compressor operating hours, and energy savings.</w:t>
      </w:r>
      <w:r w:rsidRPr="00F044CE">
        <w:t xml:space="preserve"> </w:t>
      </w:r>
      <w:r>
        <w:t xml:space="preserve"> </w:t>
      </w:r>
    </w:p>
    <w:p w:rsidR="00E757AB" w:rsidRDefault="00E757AB" w:rsidP="00871FA2">
      <w:pPr>
        <w:pStyle w:val="Heading3"/>
      </w:pPr>
      <w:r>
        <w:t>Eligibility</w:t>
      </w:r>
    </w:p>
    <w:p w:rsidR="00E757AB" w:rsidRPr="00EB6537" w:rsidRDefault="00E757AB" w:rsidP="00E757AB">
      <w:r w:rsidRPr="002E1D8D">
        <w:t>This protocol documents the energy savings attribut</w:t>
      </w:r>
      <w:r>
        <w:t>ed</w:t>
      </w:r>
      <w:r w:rsidRPr="002E1D8D">
        <w:t xml:space="preserve"> to</w:t>
      </w:r>
      <w:r>
        <w:t xml:space="preserve"> insulation of bare refrigeration suction pipes. The following are the eligibility requirements</w:t>
      </w:r>
      <w:r w:rsidR="007365E7" w:rsidRPr="00E757AB">
        <w:rPr>
          <w:rStyle w:val="FootnoteReference"/>
          <w:rFonts w:cs="Arial"/>
        </w:rPr>
        <w:footnoteReference w:id="219"/>
      </w:r>
      <w:r>
        <w:t xml:space="preserve">: </w:t>
      </w:r>
    </w:p>
    <w:p w:rsidR="00E757AB" w:rsidRDefault="00E757AB" w:rsidP="0005632A">
      <w:pPr>
        <w:pStyle w:val="ListParagraph"/>
        <w:widowControl w:val="0"/>
        <w:numPr>
          <w:ilvl w:val="0"/>
          <w:numId w:val="89"/>
        </w:numPr>
        <w:overflowPunct/>
        <w:spacing w:after="0" w:line="360" w:lineRule="auto"/>
        <w:contextualSpacing/>
        <w:textAlignment w:val="auto"/>
        <w:rPr>
          <w:rFonts w:cs="Arial"/>
          <w:color w:val="000000"/>
        </w:rPr>
      </w:pPr>
      <w:r w:rsidRPr="005F1E9A">
        <w:rPr>
          <w:rFonts w:cs="Arial"/>
          <w:color w:val="000000"/>
        </w:rPr>
        <w:t xml:space="preserve">Must insulate bare refrigeration suction lines of </w:t>
      </w:r>
      <w:r w:rsidRPr="005F1E9A">
        <w:rPr>
          <w:rFonts w:eastAsia="Calibri" w:cs="Arial"/>
        </w:rPr>
        <w:t>1-5/8</w:t>
      </w:r>
      <w:r w:rsidRPr="005F1E9A">
        <w:rPr>
          <w:rFonts w:cs="Arial"/>
          <w:color w:val="000000"/>
        </w:rPr>
        <w:t xml:space="preserve"> inches in diameter or less on existing equipment only</w:t>
      </w:r>
    </w:p>
    <w:p w:rsidR="00E757AB" w:rsidRDefault="00E757AB" w:rsidP="0005632A">
      <w:pPr>
        <w:pStyle w:val="ListParagraph"/>
        <w:widowControl w:val="0"/>
        <w:numPr>
          <w:ilvl w:val="0"/>
          <w:numId w:val="89"/>
        </w:numPr>
        <w:overflowPunct/>
        <w:spacing w:after="0" w:line="360" w:lineRule="auto"/>
        <w:contextualSpacing/>
        <w:textAlignment w:val="auto"/>
        <w:rPr>
          <w:rFonts w:cs="Arial"/>
          <w:color w:val="000000"/>
        </w:rPr>
      </w:pPr>
      <w:r w:rsidRPr="005F1E9A">
        <w:rPr>
          <w:rFonts w:cs="Arial"/>
          <w:color w:val="000000"/>
        </w:rPr>
        <w:t>Medium temperature lines require 3/4 inch of flexible, closed-cell, nitrite rubber or an equivalent insulation</w:t>
      </w:r>
    </w:p>
    <w:p w:rsidR="00E757AB" w:rsidRDefault="00E757AB" w:rsidP="0005632A">
      <w:pPr>
        <w:pStyle w:val="ListParagraph"/>
        <w:widowControl w:val="0"/>
        <w:numPr>
          <w:ilvl w:val="0"/>
          <w:numId w:val="89"/>
        </w:numPr>
        <w:overflowPunct/>
        <w:spacing w:after="0" w:line="360" w:lineRule="auto"/>
        <w:contextualSpacing/>
        <w:textAlignment w:val="auto"/>
        <w:rPr>
          <w:rFonts w:cs="Arial"/>
          <w:color w:val="000000"/>
        </w:rPr>
      </w:pPr>
      <w:r w:rsidRPr="005F1E9A">
        <w:rPr>
          <w:rFonts w:cs="Arial"/>
          <w:color w:val="000000"/>
        </w:rPr>
        <w:t>Low temperature lines require 1-inch of insulation that is in compliance with the specifications above</w:t>
      </w:r>
    </w:p>
    <w:p w:rsidR="00E757AB" w:rsidRPr="005F1E9A" w:rsidRDefault="00E757AB" w:rsidP="0005632A">
      <w:pPr>
        <w:pStyle w:val="ListParagraph"/>
        <w:widowControl w:val="0"/>
        <w:numPr>
          <w:ilvl w:val="0"/>
          <w:numId w:val="89"/>
        </w:numPr>
        <w:overflowPunct/>
        <w:spacing w:after="0" w:line="360" w:lineRule="auto"/>
        <w:contextualSpacing/>
        <w:textAlignment w:val="auto"/>
        <w:rPr>
          <w:rFonts w:cs="Arial"/>
          <w:color w:val="000000"/>
        </w:rPr>
      </w:pPr>
      <w:r w:rsidRPr="005F1E9A">
        <w:rPr>
          <w:rFonts w:cs="Arial"/>
          <w:color w:val="000000"/>
        </w:rPr>
        <w:t>Insulation exposed to the outdoors must be protected from the weather (i.e. jacketed with a medium-gauge aluminum jacket)</w:t>
      </w:r>
    </w:p>
    <w:p w:rsidR="00E757AB" w:rsidRPr="001C4AD5" w:rsidRDefault="00E757AB" w:rsidP="00871FA2">
      <w:pPr>
        <w:pStyle w:val="Heading3"/>
      </w:pPr>
      <w:r w:rsidRPr="001C4AD5">
        <w:t>Algorithms</w:t>
      </w:r>
    </w:p>
    <w:p w:rsidR="00E757AB" w:rsidRDefault="00E757AB" w:rsidP="00F05DC2">
      <w:r>
        <w:t>The</w:t>
      </w:r>
      <w:r w:rsidRPr="001E655F">
        <w:t xml:space="preserve"> demand and energy savings assumptions </w:t>
      </w:r>
      <w:r>
        <w:t xml:space="preserve">are based on </w:t>
      </w:r>
      <w:r w:rsidRPr="001E655F">
        <w:t>analysis performed by Southern California Edison (SCE)</w:t>
      </w:r>
      <w:r>
        <w:rPr>
          <w:rStyle w:val="FootnoteReference"/>
        </w:rPr>
        <w:footnoteReference w:id="220"/>
      </w:r>
      <w:r w:rsidRPr="001E655F">
        <w:t>.</w:t>
      </w:r>
      <w:r w:rsidRPr="005D6113">
        <w:t xml:space="preserve"> Measure savings per linear foot of insulation installed on bare suction lines in Grocery Stores is provided </w:t>
      </w:r>
      <w:r>
        <w:t xml:space="preserve">in </w:t>
      </w:r>
      <w:r w:rsidR="00274AB1">
        <w:fldChar w:fldCharType="begin"/>
      </w:r>
      <w:r w:rsidR="00274AB1">
        <w:instrText xml:space="preserve"> REF _Ref297734197 \h  \* MERGEFORMAT </w:instrText>
      </w:r>
      <w:r w:rsidR="00274AB1">
        <w:fldChar w:fldCharType="separate"/>
      </w:r>
      <w:r w:rsidR="00C0292F">
        <w:t xml:space="preserve">Table </w:t>
      </w:r>
      <w:r w:rsidR="00C0292F">
        <w:rPr>
          <w:noProof/>
        </w:rPr>
        <w:t>3</w:t>
      </w:r>
      <w:r w:rsidR="00C0292F">
        <w:rPr>
          <w:noProof/>
        </w:rPr>
        <w:noBreakHyphen/>
        <w:t>81</w:t>
      </w:r>
      <w:r w:rsidR="00C0292F">
        <w:t>:</w:t>
      </w:r>
      <w:r w:rsidR="00C0292F">
        <w:rPr>
          <w:noProof/>
        </w:rPr>
        <w:t xml:space="preserve"> </w:t>
      </w:r>
      <w:r w:rsidR="00C0292F">
        <w:t xml:space="preserve">Insulate Bare </w:t>
      </w:r>
      <w:r w:rsidR="00C0292F" w:rsidRPr="00600C5B">
        <w:t>Refrigeration</w:t>
      </w:r>
      <w:r w:rsidR="00C0292F">
        <w:t xml:space="preserve"> Suction Pipes Calculations Assumptions</w:t>
      </w:r>
      <w:r w:rsidR="00274AB1">
        <w:fldChar w:fldCharType="end"/>
      </w:r>
      <w:r w:rsidR="00072F7A">
        <w:t xml:space="preserve"> </w:t>
      </w:r>
      <w:r w:rsidR="00274AB1">
        <w:fldChar w:fldCharType="begin"/>
      </w:r>
      <w:r w:rsidR="00274AB1">
        <w:instrText xml:space="preserve"> REF _Ref299979465 \h  \* MERGEFORMAT </w:instrText>
      </w:r>
      <w:r w:rsidR="00274AB1">
        <w:fldChar w:fldCharType="separate"/>
      </w:r>
      <w:r w:rsidR="00C0292F" w:rsidRPr="00C0292F">
        <w:rPr>
          <w:rFonts w:cs="Arial"/>
        </w:rPr>
        <w:t xml:space="preserve">Table </w:t>
      </w:r>
      <w:r w:rsidR="00C0292F" w:rsidRPr="00C0292F">
        <w:rPr>
          <w:rFonts w:cs="Arial"/>
          <w:noProof/>
        </w:rPr>
        <w:t>3</w:t>
      </w:r>
      <w:r w:rsidR="00C0292F" w:rsidRPr="00C0292F">
        <w:rPr>
          <w:rFonts w:cs="Arial"/>
          <w:noProof/>
        </w:rPr>
        <w:noBreakHyphen/>
        <w:t>82</w:t>
      </w:r>
      <w:r w:rsidR="00274AB1">
        <w:fldChar w:fldCharType="end"/>
      </w:r>
      <w:r w:rsidRPr="00515B3D">
        <w:rPr>
          <w:rFonts w:cs="Arial"/>
        </w:rPr>
        <w:t xml:space="preserve"> below lists the</w:t>
      </w:r>
      <w:r>
        <w:t xml:space="preserve"> “deemed” savings for the associated California Climate zones and their respective Pennsylvania city.</w:t>
      </w:r>
    </w:p>
    <w:p w:rsidR="00E757AB" w:rsidRDefault="00E757AB" w:rsidP="00E757AB">
      <w:pPr>
        <w:pStyle w:val="Equation"/>
        <w:rPr>
          <w:rFonts w:cs="Arial"/>
          <w:szCs w:val="20"/>
        </w:rPr>
      </w:pPr>
      <w:r>
        <w:rPr>
          <w:rFonts w:cs="Arial"/>
          <w:szCs w:val="20"/>
        </w:rPr>
        <w:t>ΔkWh</w:t>
      </w:r>
      <w:r>
        <w:rPr>
          <w:rFonts w:cs="Arial"/>
          <w:szCs w:val="20"/>
        </w:rPr>
        <w:tab/>
      </w:r>
      <w:r>
        <w:rPr>
          <w:rFonts w:cs="Arial"/>
          <w:szCs w:val="20"/>
        </w:rPr>
        <w:tab/>
        <w:t>= ΔkWh/ft X L</w:t>
      </w:r>
    </w:p>
    <w:p w:rsidR="00E757AB" w:rsidRPr="004C16B6" w:rsidRDefault="00E757AB" w:rsidP="00E757AB">
      <w:pPr>
        <w:pStyle w:val="Equation"/>
        <w:rPr>
          <w:rFonts w:cs="Arial"/>
          <w:szCs w:val="20"/>
        </w:rPr>
      </w:pPr>
      <w:r>
        <w:rPr>
          <w:rFonts w:cs="Arial"/>
          <w:szCs w:val="20"/>
        </w:rPr>
        <w:t>ΔkW</w:t>
      </w:r>
      <w:r>
        <w:rPr>
          <w:rFonts w:cs="Arial"/>
          <w:szCs w:val="20"/>
          <w:vertAlign w:val="subscript"/>
        </w:rPr>
        <w:t>peak</w:t>
      </w:r>
      <w:r>
        <w:rPr>
          <w:rFonts w:cs="Arial"/>
          <w:szCs w:val="20"/>
        </w:rPr>
        <w:tab/>
      </w:r>
      <w:r>
        <w:rPr>
          <w:rFonts w:cs="Arial"/>
          <w:szCs w:val="20"/>
        </w:rPr>
        <w:tab/>
        <w:t>= ΔkW/ft X L</w:t>
      </w:r>
    </w:p>
    <w:p w:rsidR="00E757AB" w:rsidRDefault="00E757AB" w:rsidP="00871FA2">
      <w:pPr>
        <w:pStyle w:val="Heading3"/>
      </w:pPr>
      <w:r w:rsidRPr="001C4AD5">
        <w:t xml:space="preserve">Definition of </w:t>
      </w:r>
      <w:r>
        <w:t>Terms</w:t>
      </w:r>
    </w:p>
    <w:p w:rsidR="00E757AB" w:rsidRDefault="00E757AB" w:rsidP="00E757AB">
      <w:pPr>
        <w:spacing w:before="120" w:after="120"/>
      </w:pPr>
      <w:r>
        <w:t>The variables in the above equation are defined below:</w:t>
      </w:r>
    </w:p>
    <w:p w:rsidR="00E757AB" w:rsidRDefault="00E757AB" w:rsidP="00E757AB">
      <w:pPr>
        <w:pStyle w:val="Equation"/>
        <w:rPr>
          <w:rFonts w:cs="Arial"/>
          <w:szCs w:val="20"/>
        </w:rPr>
      </w:pPr>
      <w:r>
        <w:rPr>
          <w:rFonts w:cs="Arial"/>
          <w:szCs w:val="20"/>
        </w:rPr>
        <w:tab/>
        <w:t xml:space="preserve">ΔkWh/ft </w:t>
      </w:r>
      <w:r>
        <w:rPr>
          <w:rFonts w:cs="Arial"/>
          <w:szCs w:val="20"/>
        </w:rPr>
        <w:tab/>
        <w:t>= Annual energy savings per linear foot of insulation</w:t>
      </w:r>
    </w:p>
    <w:p w:rsidR="00E757AB" w:rsidRDefault="00E757AB" w:rsidP="00E757AB">
      <w:pPr>
        <w:pStyle w:val="Equation"/>
        <w:rPr>
          <w:rFonts w:cs="Arial"/>
          <w:szCs w:val="20"/>
        </w:rPr>
      </w:pPr>
      <w:r>
        <w:rPr>
          <w:rFonts w:cs="Arial"/>
          <w:szCs w:val="20"/>
        </w:rPr>
        <w:tab/>
        <w:t>ΔkW/ft</w:t>
      </w:r>
      <w:r>
        <w:rPr>
          <w:rFonts w:cs="Arial"/>
          <w:szCs w:val="20"/>
        </w:rPr>
        <w:tab/>
        <w:t>= Demand savings per linear foot of insulation</w:t>
      </w:r>
    </w:p>
    <w:p w:rsidR="00E757AB" w:rsidRPr="004C16B6" w:rsidRDefault="00E757AB" w:rsidP="00E757AB">
      <w:pPr>
        <w:pStyle w:val="Equation"/>
        <w:rPr>
          <w:rFonts w:cs="Arial"/>
          <w:szCs w:val="20"/>
        </w:rPr>
      </w:pPr>
      <w:r>
        <w:rPr>
          <w:rFonts w:cs="Arial"/>
          <w:szCs w:val="20"/>
        </w:rPr>
        <w:tab/>
        <w:t>L</w:t>
      </w:r>
      <w:r>
        <w:rPr>
          <w:rFonts w:cs="Arial"/>
          <w:szCs w:val="20"/>
        </w:rPr>
        <w:tab/>
        <w:t>= Total insulation length in linear feet</w:t>
      </w:r>
    </w:p>
    <w:p w:rsidR="00E757AB" w:rsidRPr="001C4AD5" w:rsidRDefault="00E757AB" w:rsidP="00E757AB">
      <w:pPr>
        <w:pStyle w:val="StyleCaptionCentered"/>
      </w:pPr>
      <w:bookmarkStart w:id="1283" w:name="_Ref297734197"/>
      <w:bookmarkStart w:id="1284" w:name="_Toc310875633"/>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81</w:t>
      </w:r>
      <w:r w:rsidR="00274AB1">
        <w:rPr>
          <w:noProof/>
        </w:rPr>
        <w:fldChar w:fldCharType="end"/>
      </w:r>
      <w:r>
        <w:t xml:space="preserve">: Insulate Bare </w:t>
      </w:r>
      <w:r w:rsidRPr="00600C5B">
        <w:t>Refrigeration</w:t>
      </w:r>
      <w:r>
        <w:t xml:space="preserve"> Suction Pipes Calculations Assumptions</w:t>
      </w:r>
      <w:bookmarkEnd w:id="1283"/>
      <w:bookmarkEnd w:id="1284"/>
      <w:r>
        <w:t xml:space="preserve">   </w:t>
      </w:r>
    </w:p>
    <w:tbl>
      <w:tblPr>
        <w:tblW w:w="5000" w:type="pct"/>
        <w:jc w:val="center"/>
        <w:tblCellMar>
          <w:left w:w="115" w:type="dxa"/>
          <w:right w:w="115" w:type="dxa"/>
        </w:tblCellMar>
        <w:tblLook w:val="00A0" w:firstRow="1" w:lastRow="0" w:firstColumn="1" w:lastColumn="0" w:noHBand="0" w:noVBand="0"/>
      </w:tblPr>
      <w:tblGrid>
        <w:gridCol w:w="1713"/>
        <w:gridCol w:w="1221"/>
        <w:gridCol w:w="3816"/>
        <w:gridCol w:w="2120"/>
      </w:tblGrid>
      <w:tr w:rsidR="00E757AB" w:rsidRPr="00B20792" w:rsidTr="00B20792">
        <w:trPr>
          <w:trHeight w:val="20"/>
          <w:jc w:val="center"/>
        </w:trPr>
        <w:tc>
          <w:tcPr>
            <w:tcW w:w="966" w:type="pct"/>
            <w:tcBorders>
              <w:top w:val="single" w:sz="8" w:space="0" w:color="auto"/>
              <w:left w:val="single" w:sz="8" w:space="0" w:color="auto"/>
              <w:bottom w:val="single" w:sz="8" w:space="0" w:color="auto"/>
              <w:right w:val="single" w:sz="8" w:space="0" w:color="auto"/>
            </w:tcBorders>
            <w:shd w:val="clear" w:color="auto" w:fill="BFBFBF"/>
            <w:vAlign w:val="center"/>
          </w:tcPr>
          <w:p w:rsidR="00E757AB" w:rsidRPr="001D6512" w:rsidRDefault="00E757AB" w:rsidP="00DE12EC">
            <w:pPr>
              <w:pStyle w:val="TableCell"/>
              <w:spacing w:before="60" w:after="60" w:line="264" w:lineRule="auto"/>
              <w:rPr>
                <w:rFonts w:cs="Arial"/>
                <w:b/>
                <w:szCs w:val="18"/>
              </w:rPr>
            </w:pPr>
            <w:r w:rsidRPr="001D6512">
              <w:rPr>
                <w:rFonts w:cs="Arial"/>
                <w:b/>
                <w:szCs w:val="18"/>
              </w:rPr>
              <w:t>Component</w:t>
            </w:r>
          </w:p>
        </w:tc>
        <w:tc>
          <w:tcPr>
            <w:tcW w:w="688" w:type="pct"/>
            <w:tcBorders>
              <w:top w:val="single" w:sz="8" w:space="0" w:color="auto"/>
              <w:left w:val="nil"/>
              <w:bottom w:val="single" w:sz="8" w:space="0" w:color="auto"/>
              <w:right w:val="single" w:sz="8" w:space="0" w:color="auto"/>
            </w:tcBorders>
            <w:shd w:val="clear" w:color="auto" w:fill="BFBFBF"/>
            <w:vAlign w:val="center"/>
          </w:tcPr>
          <w:p w:rsidR="00E757AB" w:rsidRPr="001D6512" w:rsidRDefault="00E757AB" w:rsidP="00DE12EC">
            <w:pPr>
              <w:pStyle w:val="TableCell"/>
              <w:spacing w:before="60" w:after="60" w:line="264" w:lineRule="auto"/>
              <w:rPr>
                <w:rFonts w:cs="Arial"/>
                <w:b/>
                <w:szCs w:val="18"/>
              </w:rPr>
            </w:pPr>
            <w:r w:rsidRPr="001D6512">
              <w:rPr>
                <w:rFonts w:cs="Arial"/>
                <w:b/>
                <w:szCs w:val="18"/>
              </w:rPr>
              <w:t>Type</w:t>
            </w:r>
          </w:p>
        </w:tc>
        <w:tc>
          <w:tcPr>
            <w:tcW w:w="2151" w:type="pct"/>
            <w:tcBorders>
              <w:top w:val="single" w:sz="8" w:space="0" w:color="auto"/>
              <w:left w:val="nil"/>
              <w:bottom w:val="single" w:sz="8" w:space="0" w:color="auto"/>
              <w:right w:val="single" w:sz="8" w:space="0" w:color="auto"/>
            </w:tcBorders>
            <w:shd w:val="clear" w:color="auto" w:fill="BFBFBF"/>
            <w:vAlign w:val="center"/>
          </w:tcPr>
          <w:p w:rsidR="00E757AB" w:rsidRPr="001D6512" w:rsidRDefault="00E757AB" w:rsidP="00DE12EC">
            <w:pPr>
              <w:pStyle w:val="TableCell"/>
              <w:spacing w:before="60" w:after="60" w:line="264" w:lineRule="auto"/>
              <w:rPr>
                <w:rFonts w:cs="Arial"/>
                <w:b/>
                <w:szCs w:val="18"/>
              </w:rPr>
            </w:pPr>
            <w:r w:rsidRPr="001D6512">
              <w:rPr>
                <w:rFonts w:cs="Arial"/>
                <w:b/>
                <w:szCs w:val="18"/>
              </w:rPr>
              <w:t>Value</w:t>
            </w:r>
          </w:p>
        </w:tc>
        <w:tc>
          <w:tcPr>
            <w:tcW w:w="1195" w:type="pct"/>
            <w:tcBorders>
              <w:top w:val="single" w:sz="8" w:space="0" w:color="auto"/>
              <w:left w:val="nil"/>
              <w:bottom w:val="single" w:sz="8" w:space="0" w:color="auto"/>
              <w:right w:val="single" w:sz="8" w:space="0" w:color="auto"/>
            </w:tcBorders>
            <w:shd w:val="clear" w:color="auto" w:fill="BFBFBF"/>
            <w:vAlign w:val="center"/>
          </w:tcPr>
          <w:p w:rsidR="00E757AB" w:rsidRPr="001D6512" w:rsidRDefault="00E757AB" w:rsidP="00DE12EC">
            <w:pPr>
              <w:pStyle w:val="TableCell"/>
              <w:spacing w:before="60" w:after="60" w:line="264" w:lineRule="auto"/>
              <w:rPr>
                <w:rFonts w:cs="Arial"/>
                <w:b/>
                <w:szCs w:val="18"/>
              </w:rPr>
            </w:pPr>
            <w:r w:rsidRPr="001D6512">
              <w:rPr>
                <w:rFonts w:cs="Arial"/>
                <w:b/>
                <w:szCs w:val="18"/>
              </w:rPr>
              <w:t>Source</w:t>
            </w:r>
          </w:p>
        </w:tc>
      </w:tr>
      <w:tr w:rsidR="00E757AB" w:rsidRPr="00B20792" w:rsidTr="00B20792">
        <w:trPr>
          <w:trHeight w:val="20"/>
          <w:jc w:val="center"/>
        </w:trPr>
        <w:tc>
          <w:tcPr>
            <w:tcW w:w="966" w:type="pct"/>
            <w:tcBorders>
              <w:top w:val="single" w:sz="8" w:space="0" w:color="auto"/>
              <w:left w:val="single" w:sz="8" w:space="0" w:color="auto"/>
              <w:bottom w:val="single" w:sz="8" w:space="0" w:color="auto"/>
              <w:right w:val="single" w:sz="8" w:space="0" w:color="auto"/>
            </w:tcBorders>
            <w:vAlign w:val="center"/>
          </w:tcPr>
          <w:p w:rsidR="00E757AB" w:rsidRPr="001D6512" w:rsidRDefault="00E757AB" w:rsidP="00DE12EC">
            <w:pPr>
              <w:pStyle w:val="TableCell"/>
              <w:spacing w:before="60" w:after="60" w:line="264" w:lineRule="auto"/>
              <w:rPr>
                <w:rFonts w:cs="Arial"/>
                <w:szCs w:val="18"/>
              </w:rPr>
            </w:pPr>
            <w:r w:rsidRPr="001D6512">
              <w:rPr>
                <w:rFonts w:cs="Arial"/>
                <w:szCs w:val="18"/>
              </w:rPr>
              <w:t>ΔkW/ft</w:t>
            </w:r>
          </w:p>
        </w:tc>
        <w:tc>
          <w:tcPr>
            <w:tcW w:w="688" w:type="pct"/>
            <w:tcBorders>
              <w:top w:val="single" w:sz="8" w:space="0" w:color="auto"/>
              <w:left w:val="nil"/>
              <w:bottom w:val="single" w:sz="8" w:space="0" w:color="auto"/>
              <w:right w:val="single" w:sz="8" w:space="0" w:color="auto"/>
            </w:tcBorders>
            <w:vAlign w:val="center"/>
          </w:tcPr>
          <w:p w:rsidR="00E757AB" w:rsidRPr="001D6512" w:rsidRDefault="00E757AB" w:rsidP="00DE12EC">
            <w:pPr>
              <w:pStyle w:val="TableCell"/>
              <w:spacing w:before="60" w:after="60" w:line="264" w:lineRule="auto"/>
              <w:rPr>
                <w:rFonts w:cs="Arial"/>
                <w:szCs w:val="18"/>
              </w:rPr>
            </w:pPr>
            <w:r w:rsidRPr="001D6512">
              <w:rPr>
                <w:rFonts w:cs="Arial"/>
                <w:szCs w:val="18"/>
              </w:rPr>
              <w:t>Variable</w:t>
            </w:r>
          </w:p>
        </w:tc>
        <w:tc>
          <w:tcPr>
            <w:tcW w:w="2151" w:type="pct"/>
            <w:tcBorders>
              <w:top w:val="single" w:sz="8" w:space="0" w:color="auto"/>
              <w:left w:val="nil"/>
              <w:bottom w:val="single" w:sz="8" w:space="0" w:color="auto"/>
              <w:right w:val="single" w:sz="8" w:space="0" w:color="auto"/>
            </w:tcBorders>
            <w:vAlign w:val="center"/>
          </w:tcPr>
          <w:p w:rsidR="00E757AB" w:rsidRPr="001D6512" w:rsidRDefault="00274AB1" w:rsidP="00DE12EC">
            <w:pPr>
              <w:pStyle w:val="TableCell"/>
              <w:spacing w:before="60" w:after="60" w:line="264" w:lineRule="auto"/>
              <w:rPr>
                <w:rFonts w:cs="Arial"/>
                <w:szCs w:val="18"/>
              </w:rPr>
            </w:pPr>
            <w:r>
              <w:fldChar w:fldCharType="begin"/>
            </w:r>
            <w:r>
              <w:instrText xml:space="preserve"> REF _Ref299979465 \h  \* MERGEFORMAT </w:instrText>
            </w:r>
            <w:r>
              <w:fldChar w:fldCharType="separate"/>
            </w:r>
            <w:r w:rsidR="00C0292F" w:rsidRPr="00C0292F">
              <w:rPr>
                <w:rFonts w:cs="Arial"/>
                <w:szCs w:val="18"/>
              </w:rPr>
              <w:t xml:space="preserve">Table </w:t>
            </w:r>
            <w:r w:rsidR="00C0292F" w:rsidRPr="00C0292F">
              <w:rPr>
                <w:rFonts w:cs="Arial"/>
                <w:noProof/>
                <w:szCs w:val="18"/>
              </w:rPr>
              <w:t>3</w:t>
            </w:r>
            <w:r w:rsidR="00C0292F" w:rsidRPr="00C0292F">
              <w:rPr>
                <w:rFonts w:cs="Arial"/>
                <w:noProof/>
                <w:szCs w:val="18"/>
              </w:rPr>
              <w:noBreakHyphen/>
              <w:t>82</w:t>
            </w:r>
            <w:r>
              <w:fldChar w:fldCharType="end"/>
            </w:r>
          </w:p>
        </w:tc>
        <w:tc>
          <w:tcPr>
            <w:tcW w:w="1195" w:type="pct"/>
            <w:tcBorders>
              <w:top w:val="single" w:sz="8" w:space="0" w:color="auto"/>
              <w:left w:val="nil"/>
              <w:bottom w:val="single" w:sz="8" w:space="0" w:color="auto"/>
              <w:right w:val="single" w:sz="8" w:space="0" w:color="auto"/>
            </w:tcBorders>
            <w:vAlign w:val="center"/>
          </w:tcPr>
          <w:p w:rsidR="00E757AB" w:rsidRPr="001D6512" w:rsidRDefault="00E757AB" w:rsidP="00DE12EC">
            <w:pPr>
              <w:pStyle w:val="TableCell"/>
              <w:spacing w:before="60" w:after="60" w:line="264" w:lineRule="auto"/>
              <w:rPr>
                <w:rFonts w:cs="Arial"/>
                <w:szCs w:val="18"/>
              </w:rPr>
            </w:pPr>
            <w:r w:rsidRPr="001D6512">
              <w:rPr>
                <w:rFonts w:cs="Arial"/>
                <w:szCs w:val="18"/>
              </w:rPr>
              <w:t>1</w:t>
            </w:r>
          </w:p>
        </w:tc>
      </w:tr>
      <w:tr w:rsidR="00E757AB" w:rsidRPr="00B20792" w:rsidTr="00B20792">
        <w:trPr>
          <w:trHeight w:val="20"/>
          <w:jc w:val="center"/>
        </w:trPr>
        <w:tc>
          <w:tcPr>
            <w:tcW w:w="966" w:type="pct"/>
            <w:tcBorders>
              <w:top w:val="single" w:sz="8" w:space="0" w:color="auto"/>
              <w:left w:val="single" w:sz="8" w:space="0" w:color="auto"/>
              <w:bottom w:val="single" w:sz="8" w:space="0" w:color="auto"/>
              <w:right w:val="single" w:sz="8" w:space="0" w:color="auto"/>
            </w:tcBorders>
            <w:vAlign w:val="center"/>
          </w:tcPr>
          <w:p w:rsidR="00E757AB" w:rsidRPr="001D6512" w:rsidRDefault="00E757AB" w:rsidP="00DE12EC">
            <w:pPr>
              <w:pStyle w:val="TableCell"/>
              <w:spacing w:before="60" w:after="60" w:line="264" w:lineRule="auto"/>
              <w:rPr>
                <w:rFonts w:cs="Arial"/>
                <w:b/>
                <w:szCs w:val="18"/>
              </w:rPr>
            </w:pPr>
            <w:r w:rsidRPr="001D6512">
              <w:rPr>
                <w:rFonts w:cs="Arial"/>
                <w:szCs w:val="18"/>
              </w:rPr>
              <w:t>ΔkWh/ft</w:t>
            </w:r>
          </w:p>
        </w:tc>
        <w:tc>
          <w:tcPr>
            <w:tcW w:w="688" w:type="pct"/>
            <w:tcBorders>
              <w:top w:val="single" w:sz="8" w:space="0" w:color="auto"/>
              <w:left w:val="nil"/>
              <w:bottom w:val="single" w:sz="8" w:space="0" w:color="auto"/>
              <w:right w:val="single" w:sz="8" w:space="0" w:color="auto"/>
            </w:tcBorders>
            <w:vAlign w:val="center"/>
          </w:tcPr>
          <w:p w:rsidR="00E757AB" w:rsidRPr="001D6512" w:rsidRDefault="00E757AB" w:rsidP="00DE12EC">
            <w:pPr>
              <w:pStyle w:val="TableCell"/>
              <w:spacing w:before="60" w:after="60" w:line="264" w:lineRule="auto"/>
              <w:rPr>
                <w:rFonts w:cs="Arial"/>
                <w:szCs w:val="18"/>
              </w:rPr>
            </w:pPr>
            <w:r w:rsidRPr="001D6512">
              <w:rPr>
                <w:rFonts w:cs="Arial"/>
                <w:szCs w:val="18"/>
              </w:rPr>
              <w:t>Variable</w:t>
            </w:r>
          </w:p>
        </w:tc>
        <w:tc>
          <w:tcPr>
            <w:tcW w:w="2151" w:type="pct"/>
            <w:tcBorders>
              <w:top w:val="single" w:sz="8" w:space="0" w:color="auto"/>
              <w:left w:val="nil"/>
              <w:bottom w:val="single" w:sz="8" w:space="0" w:color="auto"/>
              <w:right w:val="single" w:sz="8" w:space="0" w:color="auto"/>
            </w:tcBorders>
            <w:vAlign w:val="center"/>
          </w:tcPr>
          <w:p w:rsidR="00E757AB" w:rsidRPr="001D6512" w:rsidRDefault="00274AB1" w:rsidP="00DE12EC">
            <w:pPr>
              <w:pStyle w:val="TableCell"/>
              <w:spacing w:before="60" w:after="60" w:line="264" w:lineRule="auto"/>
              <w:rPr>
                <w:rFonts w:cs="Arial"/>
                <w:szCs w:val="18"/>
              </w:rPr>
            </w:pPr>
            <w:r>
              <w:fldChar w:fldCharType="begin"/>
            </w:r>
            <w:r>
              <w:instrText xml:space="preserve"> REF _Ref299979465 \h  \* MERGEFORMAT </w:instrText>
            </w:r>
            <w:r>
              <w:fldChar w:fldCharType="separate"/>
            </w:r>
            <w:r w:rsidR="00C0292F" w:rsidRPr="00C0292F">
              <w:rPr>
                <w:rFonts w:cs="Arial"/>
                <w:szCs w:val="18"/>
              </w:rPr>
              <w:t xml:space="preserve">Table </w:t>
            </w:r>
            <w:r w:rsidR="00C0292F" w:rsidRPr="00C0292F">
              <w:rPr>
                <w:rFonts w:cs="Arial"/>
                <w:noProof/>
                <w:szCs w:val="18"/>
              </w:rPr>
              <w:t>3</w:t>
            </w:r>
            <w:r w:rsidR="00C0292F" w:rsidRPr="00C0292F">
              <w:rPr>
                <w:rFonts w:cs="Arial"/>
                <w:noProof/>
                <w:szCs w:val="18"/>
              </w:rPr>
              <w:noBreakHyphen/>
              <w:t>82</w:t>
            </w:r>
            <w:r>
              <w:fldChar w:fldCharType="end"/>
            </w:r>
          </w:p>
        </w:tc>
        <w:tc>
          <w:tcPr>
            <w:tcW w:w="1195" w:type="pct"/>
            <w:tcBorders>
              <w:top w:val="single" w:sz="8" w:space="0" w:color="auto"/>
              <w:left w:val="nil"/>
              <w:bottom w:val="single" w:sz="8" w:space="0" w:color="auto"/>
              <w:right w:val="single" w:sz="8" w:space="0" w:color="auto"/>
            </w:tcBorders>
            <w:vAlign w:val="center"/>
          </w:tcPr>
          <w:p w:rsidR="00E757AB" w:rsidRPr="001D6512" w:rsidDel="00E9516C" w:rsidRDefault="00E757AB" w:rsidP="00DE12EC">
            <w:pPr>
              <w:pStyle w:val="TableCell"/>
              <w:spacing w:before="60" w:after="60" w:line="264" w:lineRule="auto"/>
              <w:rPr>
                <w:rFonts w:cs="Arial"/>
                <w:szCs w:val="18"/>
              </w:rPr>
            </w:pPr>
            <w:r w:rsidRPr="001D6512">
              <w:rPr>
                <w:rFonts w:cs="Arial"/>
                <w:szCs w:val="18"/>
              </w:rPr>
              <w:t>1</w:t>
            </w:r>
          </w:p>
        </w:tc>
      </w:tr>
      <w:tr w:rsidR="00E757AB" w:rsidRPr="00B20792" w:rsidTr="00B20792">
        <w:trPr>
          <w:trHeight w:val="20"/>
          <w:jc w:val="center"/>
        </w:trPr>
        <w:tc>
          <w:tcPr>
            <w:tcW w:w="966" w:type="pct"/>
            <w:tcBorders>
              <w:top w:val="single" w:sz="8" w:space="0" w:color="auto"/>
              <w:left w:val="single" w:sz="8" w:space="0" w:color="auto"/>
              <w:bottom w:val="single" w:sz="8" w:space="0" w:color="auto"/>
              <w:right w:val="single" w:sz="8" w:space="0" w:color="auto"/>
            </w:tcBorders>
            <w:vAlign w:val="center"/>
          </w:tcPr>
          <w:p w:rsidR="00E757AB" w:rsidRPr="001D6512" w:rsidRDefault="00E757AB" w:rsidP="00DE12EC">
            <w:pPr>
              <w:pStyle w:val="TableCell"/>
              <w:spacing w:before="60" w:after="60" w:line="264" w:lineRule="auto"/>
              <w:rPr>
                <w:rFonts w:cs="Arial"/>
                <w:szCs w:val="18"/>
              </w:rPr>
            </w:pPr>
            <w:r w:rsidRPr="001D6512">
              <w:rPr>
                <w:rFonts w:cs="Arial"/>
                <w:szCs w:val="18"/>
              </w:rPr>
              <w:t>L</w:t>
            </w:r>
          </w:p>
        </w:tc>
        <w:tc>
          <w:tcPr>
            <w:tcW w:w="688" w:type="pct"/>
            <w:tcBorders>
              <w:top w:val="single" w:sz="8" w:space="0" w:color="auto"/>
              <w:left w:val="nil"/>
              <w:bottom w:val="single" w:sz="8" w:space="0" w:color="auto"/>
              <w:right w:val="single" w:sz="8" w:space="0" w:color="auto"/>
            </w:tcBorders>
            <w:vAlign w:val="center"/>
          </w:tcPr>
          <w:p w:rsidR="00E757AB" w:rsidRPr="001D6512" w:rsidRDefault="00E757AB" w:rsidP="00DE12EC">
            <w:pPr>
              <w:pStyle w:val="TableCell"/>
              <w:spacing w:before="60" w:after="60" w:line="264" w:lineRule="auto"/>
              <w:rPr>
                <w:rFonts w:cs="Arial"/>
                <w:szCs w:val="18"/>
              </w:rPr>
            </w:pPr>
            <w:r w:rsidRPr="001D6512">
              <w:rPr>
                <w:rFonts w:cs="Arial"/>
                <w:szCs w:val="18"/>
              </w:rPr>
              <w:t>Variable</w:t>
            </w:r>
          </w:p>
        </w:tc>
        <w:tc>
          <w:tcPr>
            <w:tcW w:w="2151" w:type="pct"/>
            <w:tcBorders>
              <w:top w:val="single" w:sz="8" w:space="0" w:color="auto"/>
              <w:left w:val="nil"/>
              <w:bottom w:val="single" w:sz="8" w:space="0" w:color="auto"/>
              <w:right w:val="single" w:sz="8" w:space="0" w:color="auto"/>
            </w:tcBorders>
            <w:vAlign w:val="center"/>
          </w:tcPr>
          <w:p w:rsidR="00E757AB" w:rsidRPr="001D6512" w:rsidRDefault="00E757AB" w:rsidP="00DE12EC">
            <w:pPr>
              <w:pStyle w:val="TableCell"/>
              <w:spacing w:before="60" w:after="60" w:line="264" w:lineRule="auto"/>
              <w:rPr>
                <w:rFonts w:cs="Arial"/>
                <w:szCs w:val="18"/>
              </w:rPr>
            </w:pPr>
            <w:r w:rsidRPr="001D6512">
              <w:rPr>
                <w:rFonts w:cs="Arial"/>
                <w:szCs w:val="18"/>
              </w:rPr>
              <w:t>As Measured</w:t>
            </w:r>
          </w:p>
        </w:tc>
        <w:tc>
          <w:tcPr>
            <w:tcW w:w="1195" w:type="pct"/>
            <w:tcBorders>
              <w:top w:val="single" w:sz="8" w:space="0" w:color="auto"/>
              <w:left w:val="nil"/>
              <w:bottom w:val="single" w:sz="8" w:space="0" w:color="auto"/>
              <w:right w:val="single" w:sz="8" w:space="0" w:color="auto"/>
            </w:tcBorders>
            <w:vAlign w:val="center"/>
          </w:tcPr>
          <w:p w:rsidR="00E757AB" w:rsidRPr="001D6512" w:rsidRDefault="00E757AB" w:rsidP="00DE12EC">
            <w:pPr>
              <w:pStyle w:val="TableCell"/>
              <w:spacing w:before="60" w:after="60" w:line="264" w:lineRule="auto"/>
              <w:rPr>
                <w:rFonts w:cs="Arial"/>
                <w:szCs w:val="18"/>
              </w:rPr>
            </w:pPr>
            <w:r w:rsidRPr="001D6512">
              <w:rPr>
                <w:rFonts w:cs="Arial"/>
                <w:szCs w:val="18"/>
              </w:rPr>
              <w:t xml:space="preserve">EDC Data Gathering </w:t>
            </w:r>
          </w:p>
        </w:tc>
      </w:tr>
    </w:tbl>
    <w:p w:rsidR="00E757AB" w:rsidRPr="00500CAF" w:rsidRDefault="00E757AB" w:rsidP="00E757AB">
      <w:pPr>
        <w:pStyle w:val="BodyText"/>
      </w:pPr>
    </w:p>
    <w:p w:rsidR="00E757AB" w:rsidRPr="00876D95" w:rsidRDefault="00E757AB" w:rsidP="00E757AB">
      <w:pPr>
        <w:pStyle w:val="Caption"/>
      </w:pPr>
      <w:bookmarkStart w:id="1285" w:name="_Ref299979465"/>
      <w:bookmarkStart w:id="1286" w:name="_Toc310875634"/>
      <w:r w:rsidRPr="00876D95">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82</w:t>
      </w:r>
      <w:r w:rsidR="00274AB1">
        <w:rPr>
          <w:noProof/>
        </w:rPr>
        <w:fldChar w:fldCharType="end"/>
      </w:r>
      <w:bookmarkEnd w:id="1285"/>
      <w:r w:rsidRPr="00876D95">
        <w:t>: Insulate Bare Refrigeration Suction Pipes Savings per Linear Foot</w:t>
      </w:r>
      <w:r w:rsidR="00177611">
        <w:rPr>
          <w:rStyle w:val="FootnoteReference"/>
        </w:rPr>
        <w:footnoteReference w:id="221"/>
      </w:r>
      <w:bookmarkEnd w:id="1286"/>
    </w:p>
    <w:tbl>
      <w:tblPr>
        <w:tblW w:w="7387" w:type="dxa"/>
        <w:jc w:val="center"/>
        <w:tblLook w:val="04A0" w:firstRow="1" w:lastRow="0" w:firstColumn="1" w:lastColumn="0" w:noHBand="0" w:noVBand="1"/>
      </w:tblPr>
      <w:tblGrid>
        <w:gridCol w:w="1838"/>
        <w:gridCol w:w="1489"/>
        <w:gridCol w:w="1042"/>
        <w:gridCol w:w="971"/>
        <w:gridCol w:w="1033"/>
        <w:gridCol w:w="1014"/>
      </w:tblGrid>
      <w:tr w:rsidR="00E757AB" w:rsidRPr="00876D95" w:rsidTr="00EC2B7A">
        <w:trPr>
          <w:trHeight w:val="20"/>
          <w:jc w:val="center"/>
        </w:trPr>
        <w:tc>
          <w:tcPr>
            <w:tcW w:w="1894" w:type="dxa"/>
            <w:vMerge w:val="restart"/>
            <w:tcBorders>
              <w:top w:val="single" w:sz="8" w:space="0" w:color="auto"/>
              <w:left w:val="single" w:sz="8" w:space="0" w:color="auto"/>
              <w:bottom w:val="single" w:sz="8" w:space="0" w:color="000000"/>
              <w:right w:val="single" w:sz="8" w:space="0" w:color="auto"/>
            </w:tcBorders>
            <w:shd w:val="clear" w:color="auto" w:fill="BFBFBF"/>
            <w:vAlign w:val="bottom"/>
            <w:hideMark/>
          </w:tcPr>
          <w:p w:rsidR="00E757AB" w:rsidRPr="00876D95" w:rsidRDefault="00E757AB" w:rsidP="007365E7">
            <w:pPr>
              <w:overflowPunct/>
              <w:autoSpaceDE/>
              <w:autoSpaceDN/>
              <w:adjustRightInd/>
              <w:spacing w:before="60" w:after="60" w:line="240" w:lineRule="auto"/>
              <w:jc w:val="center"/>
              <w:textAlignment w:val="auto"/>
              <w:rPr>
                <w:rFonts w:cs="Arial"/>
                <w:b/>
                <w:bCs/>
                <w:color w:val="000000"/>
                <w:sz w:val="18"/>
                <w:szCs w:val="18"/>
              </w:rPr>
            </w:pPr>
            <w:r w:rsidRPr="00876D95">
              <w:rPr>
                <w:rFonts w:cs="Arial"/>
                <w:b/>
                <w:bCs/>
                <w:color w:val="000000"/>
                <w:sz w:val="18"/>
                <w:szCs w:val="18"/>
              </w:rPr>
              <w:t>City</w:t>
            </w:r>
          </w:p>
        </w:tc>
        <w:tc>
          <w:tcPr>
            <w:tcW w:w="1519" w:type="dxa"/>
            <w:vMerge w:val="restart"/>
            <w:tcBorders>
              <w:top w:val="single" w:sz="8" w:space="0" w:color="auto"/>
              <w:left w:val="nil"/>
              <w:bottom w:val="single" w:sz="8" w:space="0" w:color="000000"/>
              <w:right w:val="single" w:sz="8" w:space="0" w:color="auto"/>
            </w:tcBorders>
            <w:shd w:val="clear" w:color="auto" w:fill="BFBFBF"/>
            <w:vAlign w:val="bottom"/>
            <w:hideMark/>
          </w:tcPr>
          <w:p w:rsidR="00E757AB" w:rsidRPr="00876D95" w:rsidRDefault="00E757AB" w:rsidP="007365E7">
            <w:pPr>
              <w:overflowPunct/>
              <w:autoSpaceDE/>
              <w:autoSpaceDN/>
              <w:adjustRightInd/>
              <w:spacing w:before="60" w:after="60" w:line="240" w:lineRule="auto"/>
              <w:jc w:val="center"/>
              <w:textAlignment w:val="auto"/>
              <w:rPr>
                <w:rFonts w:cs="Arial"/>
                <w:b/>
                <w:bCs/>
                <w:color w:val="000000"/>
                <w:sz w:val="18"/>
                <w:szCs w:val="18"/>
              </w:rPr>
            </w:pPr>
            <w:r w:rsidRPr="00876D95">
              <w:rPr>
                <w:rFonts w:cs="Arial"/>
                <w:b/>
                <w:bCs/>
                <w:color w:val="000000"/>
                <w:sz w:val="18"/>
                <w:szCs w:val="18"/>
              </w:rPr>
              <w:t>Associated California Climate Zone</w:t>
            </w:r>
          </w:p>
        </w:tc>
        <w:tc>
          <w:tcPr>
            <w:tcW w:w="2016" w:type="dxa"/>
            <w:gridSpan w:val="2"/>
            <w:tcBorders>
              <w:top w:val="single" w:sz="8" w:space="0" w:color="auto"/>
              <w:left w:val="nil"/>
              <w:bottom w:val="single" w:sz="8" w:space="0" w:color="auto"/>
              <w:right w:val="single" w:sz="8" w:space="0" w:color="000000"/>
            </w:tcBorders>
            <w:shd w:val="clear" w:color="auto" w:fill="BFBFBF"/>
            <w:vAlign w:val="bottom"/>
            <w:hideMark/>
          </w:tcPr>
          <w:p w:rsidR="00E757AB" w:rsidRPr="00876D95" w:rsidRDefault="00BF6285" w:rsidP="007365E7">
            <w:pPr>
              <w:overflowPunct/>
              <w:autoSpaceDE/>
              <w:autoSpaceDN/>
              <w:adjustRightInd/>
              <w:spacing w:before="60" w:after="60" w:line="240" w:lineRule="auto"/>
              <w:jc w:val="center"/>
              <w:textAlignment w:val="auto"/>
              <w:rPr>
                <w:rFonts w:cs="Arial"/>
                <w:b/>
                <w:bCs/>
                <w:color w:val="000000"/>
                <w:sz w:val="18"/>
                <w:szCs w:val="18"/>
              </w:rPr>
            </w:pPr>
            <w:r>
              <w:rPr>
                <w:rFonts w:cs="Arial"/>
                <w:b/>
                <w:bCs/>
                <w:color w:val="000000"/>
                <w:sz w:val="18"/>
                <w:szCs w:val="18"/>
              </w:rPr>
              <w:t>Medium-Temperature</w:t>
            </w:r>
            <w:r w:rsidR="00E757AB" w:rsidRPr="00876D95">
              <w:rPr>
                <w:rFonts w:cs="Arial"/>
                <w:b/>
                <w:bCs/>
                <w:color w:val="000000"/>
                <w:sz w:val="18"/>
                <w:szCs w:val="18"/>
              </w:rPr>
              <w:t>Coolers</w:t>
            </w:r>
          </w:p>
        </w:tc>
        <w:tc>
          <w:tcPr>
            <w:tcW w:w="1958" w:type="dxa"/>
            <w:gridSpan w:val="2"/>
            <w:tcBorders>
              <w:top w:val="single" w:sz="8" w:space="0" w:color="auto"/>
              <w:left w:val="nil"/>
              <w:bottom w:val="single" w:sz="8" w:space="0" w:color="auto"/>
              <w:right w:val="single" w:sz="8" w:space="0" w:color="000000"/>
            </w:tcBorders>
            <w:shd w:val="clear" w:color="auto" w:fill="BFBFBF"/>
            <w:vAlign w:val="bottom"/>
            <w:hideMark/>
          </w:tcPr>
          <w:p w:rsidR="00E757AB" w:rsidRPr="00876D95" w:rsidRDefault="00BF6285" w:rsidP="007365E7">
            <w:pPr>
              <w:overflowPunct/>
              <w:autoSpaceDE/>
              <w:autoSpaceDN/>
              <w:adjustRightInd/>
              <w:spacing w:before="60" w:after="60" w:line="240" w:lineRule="auto"/>
              <w:jc w:val="center"/>
              <w:textAlignment w:val="auto"/>
              <w:rPr>
                <w:rFonts w:cs="Arial"/>
                <w:b/>
                <w:bCs/>
                <w:color w:val="000000"/>
                <w:sz w:val="18"/>
                <w:szCs w:val="18"/>
              </w:rPr>
            </w:pPr>
            <w:r>
              <w:rPr>
                <w:rFonts w:cs="Arial"/>
                <w:b/>
                <w:bCs/>
                <w:color w:val="000000"/>
                <w:sz w:val="18"/>
                <w:szCs w:val="18"/>
              </w:rPr>
              <w:t>Low-Temperature</w:t>
            </w:r>
            <w:r w:rsidR="00E757AB" w:rsidRPr="00876D95">
              <w:rPr>
                <w:rFonts w:cs="Arial"/>
                <w:b/>
                <w:bCs/>
                <w:color w:val="000000"/>
                <w:sz w:val="18"/>
                <w:szCs w:val="18"/>
              </w:rPr>
              <w:t>Freezers</w:t>
            </w:r>
          </w:p>
        </w:tc>
      </w:tr>
      <w:tr w:rsidR="00E757AB" w:rsidRPr="00876D95" w:rsidTr="00EC2B7A">
        <w:trPr>
          <w:trHeight w:val="20"/>
          <w:jc w:val="center"/>
        </w:trPr>
        <w:tc>
          <w:tcPr>
            <w:tcW w:w="1894" w:type="dxa"/>
            <w:vMerge/>
            <w:tcBorders>
              <w:top w:val="single" w:sz="8" w:space="0" w:color="auto"/>
              <w:left w:val="single" w:sz="8" w:space="0" w:color="auto"/>
              <w:bottom w:val="single" w:sz="8" w:space="0" w:color="000000"/>
              <w:right w:val="single" w:sz="8" w:space="0" w:color="auto"/>
            </w:tcBorders>
            <w:shd w:val="clear" w:color="auto" w:fill="BFBFBF"/>
            <w:vAlign w:val="bottom"/>
            <w:hideMark/>
          </w:tcPr>
          <w:p w:rsidR="00E757AB" w:rsidRPr="00876D95" w:rsidRDefault="00E757AB" w:rsidP="007365E7">
            <w:pPr>
              <w:overflowPunct/>
              <w:autoSpaceDE/>
              <w:autoSpaceDN/>
              <w:adjustRightInd/>
              <w:spacing w:before="60" w:after="60" w:line="240" w:lineRule="auto"/>
              <w:jc w:val="center"/>
              <w:textAlignment w:val="auto"/>
              <w:rPr>
                <w:rFonts w:cs="Arial"/>
                <w:b/>
                <w:bCs/>
                <w:color w:val="000000"/>
                <w:sz w:val="18"/>
                <w:szCs w:val="18"/>
              </w:rPr>
            </w:pPr>
          </w:p>
        </w:tc>
        <w:tc>
          <w:tcPr>
            <w:tcW w:w="1519" w:type="dxa"/>
            <w:vMerge/>
            <w:tcBorders>
              <w:top w:val="single" w:sz="8" w:space="0" w:color="auto"/>
              <w:left w:val="nil"/>
              <w:bottom w:val="single" w:sz="8" w:space="0" w:color="000000"/>
              <w:right w:val="single" w:sz="8" w:space="0" w:color="auto"/>
            </w:tcBorders>
            <w:shd w:val="clear" w:color="auto" w:fill="BFBFBF"/>
            <w:vAlign w:val="bottom"/>
            <w:hideMark/>
          </w:tcPr>
          <w:p w:rsidR="00E757AB" w:rsidRPr="00876D95" w:rsidRDefault="00E757AB" w:rsidP="007365E7">
            <w:pPr>
              <w:overflowPunct/>
              <w:autoSpaceDE/>
              <w:autoSpaceDN/>
              <w:adjustRightInd/>
              <w:spacing w:before="60" w:after="60" w:line="240" w:lineRule="auto"/>
              <w:jc w:val="center"/>
              <w:textAlignment w:val="auto"/>
              <w:rPr>
                <w:rFonts w:cs="Arial"/>
                <w:b/>
                <w:bCs/>
                <w:color w:val="000000"/>
                <w:sz w:val="18"/>
                <w:szCs w:val="18"/>
              </w:rPr>
            </w:pPr>
          </w:p>
        </w:tc>
        <w:tc>
          <w:tcPr>
            <w:tcW w:w="1043" w:type="dxa"/>
            <w:tcBorders>
              <w:top w:val="nil"/>
              <w:left w:val="nil"/>
              <w:bottom w:val="single" w:sz="8" w:space="0" w:color="auto"/>
              <w:right w:val="single" w:sz="8" w:space="0" w:color="auto"/>
            </w:tcBorders>
            <w:shd w:val="clear" w:color="auto" w:fill="BFBFBF"/>
            <w:vAlign w:val="bottom"/>
            <w:hideMark/>
          </w:tcPr>
          <w:p w:rsidR="00E757AB" w:rsidRPr="00876D95" w:rsidRDefault="00E757AB" w:rsidP="007365E7">
            <w:pPr>
              <w:overflowPunct/>
              <w:autoSpaceDE/>
              <w:autoSpaceDN/>
              <w:adjustRightInd/>
              <w:spacing w:before="60" w:after="60" w:line="240" w:lineRule="auto"/>
              <w:jc w:val="center"/>
              <w:textAlignment w:val="auto"/>
              <w:rPr>
                <w:rFonts w:cs="Arial"/>
                <w:b/>
                <w:bCs/>
                <w:color w:val="000000"/>
                <w:sz w:val="18"/>
                <w:szCs w:val="18"/>
              </w:rPr>
            </w:pPr>
            <w:r>
              <w:rPr>
                <w:rFonts w:cs="Arial"/>
                <w:b/>
                <w:bCs/>
                <w:color w:val="000000"/>
                <w:sz w:val="18"/>
                <w:szCs w:val="18"/>
              </w:rPr>
              <w:t>Δ</w:t>
            </w:r>
            <w:r w:rsidRPr="00876D95">
              <w:rPr>
                <w:rFonts w:cs="Arial"/>
                <w:b/>
                <w:bCs/>
                <w:color w:val="000000"/>
                <w:sz w:val="18"/>
                <w:szCs w:val="18"/>
              </w:rPr>
              <w:t>kW/</w:t>
            </w:r>
            <w:r>
              <w:rPr>
                <w:rFonts w:cs="Arial"/>
                <w:b/>
                <w:bCs/>
                <w:color w:val="000000"/>
              </w:rPr>
              <w:t>ft</w:t>
            </w:r>
          </w:p>
        </w:tc>
        <w:tc>
          <w:tcPr>
            <w:tcW w:w="973" w:type="dxa"/>
            <w:tcBorders>
              <w:top w:val="nil"/>
              <w:left w:val="nil"/>
              <w:bottom w:val="single" w:sz="8" w:space="0" w:color="auto"/>
              <w:right w:val="single" w:sz="8" w:space="0" w:color="auto"/>
            </w:tcBorders>
            <w:shd w:val="clear" w:color="auto" w:fill="BFBFBF"/>
            <w:vAlign w:val="bottom"/>
            <w:hideMark/>
          </w:tcPr>
          <w:p w:rsidR="00E757AB" w:rsidRPr="00876D95" w:rsidRDefault="00E757AB" w:rsidP="007365E7">
            <w:pPr>
              <w:overflowPunct/>
              <w:autoSpaceDE/>
              <w:autoSpaceDN/>
              <w:adjustRightInd/>
              <w:spacing w:before="60" w:after="60" w:line="240" w:lineRule="auto"/>
              <w:jc w:val="center"/>
              <w:textAlignment w:val="auto"/>
              <w:rPr>
                <w:rFonts w:cs="Arial"/>
                <w:b/>
                <w:bCs/>
                <w:color w:val="000000"/>
                <w:sz w:val="18"/>
                <w:szCs w:val="18"/>
              </w:rPr>
            </w:pPr>
            <w:r>
              <w:rPr>
                <w:rFonts w:cs="Arial"/>
                <w:b/>
                <w:bCs/>
                <w:color w:val="000000"/>
                <w:sz w:val="18"/>
                <w:szCs w:val="18"/>
              </w:rPr>
              <w:t>Δ</w:t>
            </w:r>
            <w:r w:rsidRPr="00876D95">
              <w:rPr>
                <w:rFonts w:cs="Arial"/>
                <w:b/>
                <w:bCs/>
                <w:color w:val="000000"/>
                <w:sz w:val="18"/>
                <w:szCs w:val="18"/>
              </w:rPr>
              <w:t>kWh/</w:t>
            </w:r>
            <w:r>
              <w:rPr>
                <w:rFonts w:cs="Arial"/>
                <w:b/>
                <w:bCs/>
                <w:color w:val="000000"/>
              </w:rPr>
              <w:t>ft</w:t>
            </w:r>
          </w:p>
        </w:tc>
        <w:tc>
          <w:tcPr>
            <w:tcW w:w="967" w:type="dxa"/>
            <w:tcBorders>
              <w:top w:val="nil"/>
              <w:left w:val="nil"/>
              <w:bottom w:val="single" w:sz="8" w:space="0" w:color="auto"/>
              <w:right w:val="single" w:sz="8" w:space="0" w:color="auto"/>
            </w:tcBorders>
            <w:shd w:val="clear" w:color="auto" w:fill="BFBFBF"/>
            <w:vAlign w:val="bottom"/>
            <w:hideMark/>
          </w:tcPr>
          <w:p w:rsidR="00E757AB" w:rsidRPr="00876D95" w:rsidRDefault="00E757AB" w:rsidP="007365E7">
            <w:pPr>
              <w:overflowPunct/>
              <w:autoSpaceDE/>
              <w:autoSpaceDN/>
              <w:adjustRightInd/>
              <w:spacing w:before="60" w:after="60" w:line="240" w:lineRule="auto"/>
              <w:jc w:val="center"/>
              <w:textAlignment w:val="auto"/>
              <w:rPr>
                <w:rFonts w:cs="Arial"/>
                <w:b/>
                <w:bCs/>
                <w:color w:val="000000"/>
                <w:sz w:val="18"/>
                <w:szCs w:val="18"/>
              </w:rPr>
            </w:pPr>
            <w:r>
              <w:rPr>
                <w:rFonts w:cs="Arial"/>
                <w:b/>
                <w:bCs/>
                <w:color w:val="000000"/>
                <w:sz w:val="18"/>
                <w:szCs w:val="18"/>
              </w:rPr>
              <w:t>Δ</w:t>
            </w:r>
            <w:r w:rsidRPr="00876D95">
              <w:rPr>
                <w:rFonts w:cs="Arial"/>
                <w:b/>
                <w:bCs/>
                <w:color w:val="000000"/>
                <w:sz w:val="18"/>
                <w:szCs w:val="18"/>
              </w:rPr>
              <w:t>kW/</w:t>
            </w:r>
            <w:r>
              <w:rPr>
                <w:rFonts w:cs="Arial"/>
                <w:b/>
                <w:bCs/>
                <w:color w:val="000000"/>
              </w:rPr>
              <w:t>ft</w:t>
            </w:r>
          </w:p>
        </w:tc>
        <w:tc>
          <w:tcPr>
            <w:tcW w:w="991" w:type="dxa"/>
            <w:tcBorders>
              <w:top w:val="nil"/>
              <w:left w:val="nil"/>
              <w:bottom w:val="single" w:sz="8" w:space="0" w:color="auto"/>
              <w:right w:val="single" w:sz="8" w:space="0" w:color="auto"/>
            </w:tcBorders>
            <w:shd w:val="clear" w:color="auto" w:fill="BFBFBF"/>
            <w:vAlign w:val="bottom"/>
            <w:hideMark/>
          </w:tcPr>
          <w:p w:rsidR="00E757AB" w:rsidRPr="00876D95" w:rsidRDefault="00E757AB" w:rsidP="007365E7">
            <w:pPr>
              <w:overflowPunct/>
              <w:autoSpaceDE/>
              <w:autoSpaceDN/>
              <w:adjustRightInd/>
              <w:spacing w:before="60" w:after="60" w:line="240" w:lineRule="auto"/>
              <w:jc w:val="center"/>
              <w:textAlignment w:val="auto"/>
              <w:rPr>
                <w:rFonts w:cs="Arial"/>
                <w:b/>
                <w:bCs/>
                <w:color w:val="000000"/>
                <w:sz w:val="18"/>
                <w:szCs w:val="18"/>
              </w:rPr>
            </w:pPr>
            <w:r>
              <w:rPr>
                <w:rFonts w:cs="Arial"/>
                <w:b/>
                <w:bCs/>
                <w:color w:val="000000"/>
                <w:sz w:val="18"/>
                <w:szCs w:val="18"/>
              </w:rPr>
              <w:t>Δ</w:t>
            </w:r>
            <w:r w:rsidRPr="00876D95">
              <w:rPr>
                <w:rFonts w:cs="Arial"/>
                <w:b/>
                <w:bCs/>
                <w:color w:val="000000"/>
                <w:sz w:val="18"/>
                <w:szCs w:val="18"/>
              </w:rPr>
              <w:t>kWh/</w:t>
            </w:r>
            <w:r>
              <w:rPr>
                <w:rFonts w:cs="Arial"/>
                <w:b/>
                <w:bCs/>
                <w:color w:val="000000"/>
              </w:rPr>
              <w:t>ft</w:t>
            </w:r>
          </w:p>
        </w:tc>
      </w:tr>
      <w:tr w:rsidR="00E757AB" w:rsidRPr="00876D95" w:rsidTr="007365E7">
        <w:trPr>
          <w:trHeight w:val="20"/>
          <w:jc w:val="center"/>
        </w:trPr>
        <w:tc>
          <w:tcPr>
            <w:tcW w:w="1894" w:type="dxa"/>
            <w:tcBorders>
              <w:top w:val="nil"/>
              <w:left w:val="single" w:sz="8" w:space="0" w:color="auto"/>
              <w:bottom w:val="single" w:sz="4" w:space="0" w:color="auto"/>
              <w:right w:val="single" w:sz="4" w:space="0" w:color="auto"/>
            </w:tcBorders>
            <w:shd w:val="clear" w:color="auto" w:fill="auto"/>
            <w:vAlign w:val="bottom"/>
            <w:hideMark/>
          </w:tcPr>
          <w:p w:rsidR="00E757AB" w:rsidRPr="00E757AB" w:rsidRDefault="00E757AB" w:rsidP="00E757AB">
            <w:pPr>
              <w:overflowPunct/>
              <w:autoSpaceDE/>
              <w:autoSpaceDN/>
              <w:adjustRightInd/>
              <w:spacing w:before="60" w:after="60" w:line="264" w:lineRule="auto"/>
              <w:textAlignment w:val="auto"/>
              <w:rPr>
                <w:rFonts w:cs="Arial"/>
                <w:color w:val="000000"/>
                <w:sz w:val="18"/>
                <w:szCs w:val="18"/>
              </w:rPr>
            </w:pPr>
            <w:r w:rsidRPr="00E757AB">
              <w:rPr>
                <w:rFonts w:cs="Arial"/>
                <w:color w:val="000000"/>
                <w:sz w:val="18"/>
                <w:szCs w:val="18"/>
              </w:rPr>
              <w:t>Allentown</w:t>
            </w:r>
          </w:p>
        </w:tc>
        <w:tc>
          <w:tcPr>
            <w:tcW w:w="1519" w:type="dxa"/>
            <w:tcBorders>
              <w:top w:val="nil"/>
              <w:left w:val="nil"/>
              <w:bottom w:val="single" w:sz="4" w:space="0" w:color="auto"/>
              <w:right w:val="single" w:sz="4" w:space="0" w:color="auto"/>
            </w:tcBorders>
            <w:shd w:val="clear" w:color="auto" w:fill="auto"/>
            <w:vAlign w:val="bottom"/>
            <w:hideMark/>
          </w:tcPr>
          <w:p w:rsidR="00E757AB" w:rsidRPr="00E757AB" w:rsidRDefault="00E757AB" w:rsidP="00E757AB">
            <w:pPr>
              <w:overflowPunct/>
              <w:autoSpaceDE/>
              <w:autoSpaceDN/>
              <w:adjustRightInd/>
              <w:spacing w:before="60" w:after="60" w:line="264" w:lineRule="auto"/>
              <w:jc w:val="center"/>
              <w:textAlignment w:val="auto"/>
              <w:rPr>
                <w:rFonts w:cs="Arial"/>
                <w:color w:val="000000"/>
                <w:sz w:val="18"/>
                <w:szCs w:val="18"/>
              </w:rPr>
            </w:pPr>
            <w:r w:rsidRPr="00E757AB">
              <w:rPr>
                <w:rFonts w:cs="Arial"/>
                <w:color w:val="000000"/>
                <w:sz w:val="18"/>
                <w:szCs w:val="18"/>
              </w:rPr>
              <w:t>4</w:t>
            </w:r>
          </w:p>
        </w:tc>
        <w:tc>
          <w:tcPr>
            <w:tcW w:w="1043" w:type="dxa"/>
            <w:tcBorders>
              <w:top w:val="nil"/>
              <w:left w:val="nil"/>
              <w:bottom w:val="single" w:sz="4" w:space="0" w:color="auto"/>
              <w:right w:val="single" w:sz="4" w:space="0" w:color="auto"/>
            </w:tcBorders>
            <w:shd w:val="clear" w:color="auto" w:fill="auto"/>
            <w:vAlign w:val="center"/>
            <w:hideMark/>
          </w:tcPr>
          <w:p w:rsidR="00E757AB" w:rsidRPr="00E757AB" w:rsidRDefault="00E757AB" w:rsidP="00E757AB">
            <w:pPr>
              <w:overflowPunct/>
              <w:autoSpaceDE/>
              <w:autoSpaceDN/>
              <w:adjustRightInd/>
              <w:spacing w:before="60" w:after="60" w:line="264" w:lineRule="auto"/>
              <w:jc w:val="right"/>
              <w:textAlignment w:val="auto"/>
              <w:rPr>
                <w:rFonts w:cs="Arial"/>
                <w:color w:val="000000"/>
                <w:sz w:val="18"/>
                <w:szCs w:val="18"/>
              </w:rPr>
            </w:pPr>
            <w:r w:rsidRPr="00E757AB">
              <w:rPr>
                <w:rFonts w:cs="Arial"/>
                <w:color w:val="000000"/>
                <w:sz w:val="18"/>
                <w:szCs w:val="18"/>
              </w:rPr>
              <w:t>0.001507</w:t>
            </w:r>
          </w:p>
        </w:tc>
        <w:tc>
          <w:tcPr>
            <w:tcW w:w="973" w:type="dxa"/>
            <w:tcBorders>
              <w:top w:val="nil"/>
              <w:left w:val="nil"/>
              <w:bottom w:val="single" w:sz="4" w:space="0" w:color="auto"/>
              <w:right w:val="single" w:sz="4" w:space="0" w:color="auto"/>
            </w:tcBorders>
            <w:shd w:val="clear" w:color="auto" w:fill="auto"/>
            <w:vAlign w:val="center"/>
            <w:hideMark/>
          </w:tcPr>
          <w:p w:rsidR="00E757AB" w:rsidRPr="00E757AB" w:rsidRDefault="00E757AB" w:rsidP="00E757AB">
            <w:pPr>
              <w:overflowPunct/>
              <w:autoSpaceDE/>
              <w:autoSpaceDN/>
              <w:adjustRightInd/>
              <w:spacing w:before="60" w:after="60" w:line="264" w:lineRule="auto"/>
              <w:jc w:val="right"/>
              <w:textAlignment w:val="auto"/>
              <w:rPr>
                <w:rFonts w:cs="Arial"/>
                <w:color w:val="000000"/>
                <w:sz w:val="18"/>
                <w:szCs w:val="18"/>
              </w:rPr>
            </w:pPr>
            <w:r w:rsidRPr="00E757AB">
              <w:rPr>
                <w:rFonts w:cs="Arial"/>
                <w:color w:val="000000"/>
                <w:sz w:val="18"/>
                <w:szCs w:val="18"/>
              </w:rPr>
              <w:t>8</w:t>
            </w:r>
            <w:r>
              <w:rPr>
                <w:rFonts w:cs="Arial"/>
                <w:color w:val="000000"/>
                <w:sz w:val="18"/>
                <w:szCs w:val="18"/>
              </w:rPr>
              <w:t>.0</w:t>
            </w:r>
          </w:p>
        </w:tc>
        <w:tc>
          <w:tcPr>
            <w:tcW w:w="967" w:type="dxa"/>
            <w:tcBorders>
              <w:top w:val="nil"/>
              <w:left w:val="nil"/>
              <w:bottom w:val="single" w:sz="4" w:space="0" w:color="auto"/>
              <w:right w:val="single" w:sz="4" w:space="0" w:color="auto"/>
            </w:tcBorders>
            <w:shd w:val="clear" w:color="auto" w:fill="auto"/>
            <w:vAlign w:val="center"/>
            <w:hideMark/>
          </w:tcPr>
          <w:p w:rsidR="00E757AB" w:rsidRPr="00E757AB" w:rsidRDefault="00E757AB" w:rsidP="00E757AB">
            <w:pPr>
              <w:overflowPunct/>
              <w:autoSpaceDE/>
              <w:autoSpaceDN/>
              <w:adjustRightInd/>
              <w:spacing w:before="60" w:after="60" w:line="264" w:lineRule="auto"/>
              <w:jc w:val="right"/>
              <w:textAlignment w:val="auto"/>
              <w:rPr>
                <w:rFonts w:cs="Arial"/>
                <w:color w:val="000000"/>
                <w:sz w:val="18"/>
                <w:szCs w:val="18"/>
              </w:rPr>
            </w:pPr>
            <w:r w:rsidRPr="00E757AB">
              <w:rPr>
                <w:rFonts w:cs="Arial"/>
                <w:color w:val="000000"/>
                <w:sz w:val="18"/>
                <w:szCs w:val="18"/>
              </w:rPr>
              <w:t>0.0023</w:t>
            </w:r>
          </w:p>
        </w:tc>
        <w:tc>
          <w:tcPr>
            <w:tcW w:w="991" w:type="dxa"/>
            <w:tcBorders>
              <w:top w:val="nil"/>
              <w:left w:val="nil"/>
              <w:bottom w:val="single" w:sz="4" w:space="0" w:color="auto"/>
              <w:right w:val="single" w:sz="8" w:space="0" w:color="auto"/>
            </w:tcBorders>
            <w:shd w:val="clear" w:color="auto" w:fill="auto"/>
            <w:vAlign w:val="center"/>
            <w:hideMark/>
          </w:tcPr>
          <w:p w:rsidR="00E757AB" w:rsidRPr="00E757AB" w:rsidRDefault="00E757AB" w:rsidP="00E757AB">
            <w:pPr>
              <w:overflowPunct/>
              <w:autoSpaceDE/>
              <w:autoSpaceDN/>
              <w:adjustRightInd/>
              <w:spacing w:before="60" w:after="60" w:line="264" w:lineRule="auto"/>
              <w:jc w:val="right"/>
              <w:textAlignment w:val="auto"/>
              <w:rPr>
                <w:rFonts w:cs="Arial"/>
                <w:color w:val="000000"/>
                <w:sz w:val="18"/>
                <w:szCs w:val="18"/>
              </w:rPr>
            </w:pPr>
            <w:r w:rsidRPr="00E757AB">
              <w:rPr>
                <w:rFonts w:cs="Arial"/>
                <w:color w:val="000000"/>
                <w:sz w:val="18"/>
                <w:szCs w:val="18"/>
              </w:rPr>
              <w:t>13</w:t>
            </w:r>
            <w:r>
              <w:rPr>
                <w:rFonts w:cs="Arial"/>
                <w:color w:val="000000"/>
                <w:sz w:val="18"/>
                <w:szCs w:val="18"/>
              </w:rPr>
              <w:t>.0</w:t>
            </w:r>
          </w:p>
        </w:tc>
      </w:tr>
      <w:tr w:rsidR="00E757AB" w:rsidRPr="00876D95" w:rsidTr="007365E7">
        <w:trPr>
          <w:trHeight w:val="20"/>
          <w:jc w:val="center"/>
        </w:trPr>
        <w:tc>
          <w:tcPr>
            <w:tcW w:w="1894" w:type="dxa"/>
            <w:tcBorders>
              <w:top w:val="nil"/>
              <w:left w:val="single" w:sz="8" w:space="0" w:color="auto"/>
              <w:bottom w:val="single" w:sz="4" w:space="0" w:color="auto"/>
              <w:right w:val="single" w:sz="4" w:space="0" w:color="auto"/>
            </w:tcBorders>
            <w:shd w:val="clear" w:color="auto" w:fill="auto"/>
            <w:vAlign w:val="bottom"/>
            <w:hideMark/>
          </w:tcPr>
          <w:p w:rsidR="00E757AB" w:rsidRPr="00E757AB" w:rsidRDefault="00E757AB" w:rsidP="00E757AB">
            <w:pPr>
              <w:overflowPunct/>
              <w:autoSpaceDE/>
              <w:autoSpaceDN/>
              <w:adjustRightInd/>
              <w:spacing w:before="60" w:after="60" w:line="264" w:lineRule="auto"/>
              <w:textAlignment w:val="auto"/>
              <w:rPr>
                <w:rFonts w:cs="Arial"/>
                <w:color w:val="000000"/>
                <w:sz w:val="18"/>
                <w:szCs w:val="18"/>
              </w:rPr>
            </w:pPr>
            <w:r w:rsidRPr="00E757AB">
              <w:rPr>
                <w:rFonts w:cs="Arial"/>
                <w:color w:val="000000"/>
                <w:sz w:val="18"/>
                <w:szCs w:val="18"/>
              </w:rPr>
              <w:t>Williamstown</w:t>
            </w:r>
          </w:p>
        </w:tc>
        <w:tc>
          <w:tcPr>
            <w:tcW w:w="1519" w:type="dxa"/>
            <w:tcBorders>
              <w:top w:val="nil"/>
              <w:left w:val="nil"/>
              <w:bottom w:val="single" w:sz="4" w:space="0" w:color="auto"/>
              <w:right w:val="single" w:sz="4" w:space="0" w:color="auto"/>
            </w:tcBorders>
            <w:shd w:val="clear" w:color="auto" w:fill="auto"/>
            <w:vAlign w:val="bottom"/>
            <w:hideMark/>
          </w:tcPr>
          <w:p w:rsidR="00E757AB" w:rsidRPr="00E757AB" w:rsidRDefault="00E757AB" w:rsidP="00E757AB">
            <w:pPr>
              <w:overflowPunct/>
              <w:autoSpaceDE/>
              <w:autoSpaceDN/>
              <w:adjustRightInd/>
              <w:spacing w:before="60" w:after="60" w:line="264" w:lineRule="auto"/>
              <w:jc w:val="center"/>
              <w:textAlignment w:val="auto"/>
              <w:rPr>
                <w:rFonts w:cs="Arial"/>
                <w:color w:val="000000"/>
                <w:sz w:val="18"/>
                <w:szCs w:val="18"/>
              </w:rPr>
            </w:pPr>
            <w:r w:rsidRPr="00E757AB">
              <w:rPr>
                <w:rFonts w:cs="Arial"/>
                <w:color w:val="000000"/>
                <w:sz w:val="18"/>
                <w:szCs w:val="18"/>
              </w:rPr>
              <w:t>4</w:t>
            </w:r>
          </w:p>
        </w:tc>
        <w:tc>
          <w:tcPr>
            <w:tcW w:w="1043" w:type="dxa"/>
            <w:tcBorders>
              <w:top w:val="nil"/>
              <w:left w:val="nil"/>
              <w:bottom w:val="single" w:sz="4" w:space="0" w:color="auto"/>
              <w:right w:val="single" w:sz="4" w:space="0" w:color="auto"/>
            </w:tcBorders>
            <w:shd w:val="clear" w:color="auto" w:fill="auto"/>
            <w:vAlign w:val="center"/>
            <w:hideMark/>
          </w:tcPr>
          <w:p w:rsidR="00E757AB" w:rsidRPr="00E757AB" w:rsidRDefault="00E757AB" w:rsidP="00E757AB">
            <w:pPr>
              <w:overflowPunct/>
              <w:autoSpaceDE/>
              <w:autoSpaceDN/>
              <w:adjustRightInd/>
              <w:spacing w:before="60" w:after="60" w:line="264" w:lineRule="auto"/>
              <w:jc w:val="right"/>
              <w:textAlignment w:val="auto"/>
              <w:rPr>
                <w:rFonts w:cs="Arial"/>
                <w:color w:val="000000"/>
                <w:sz w:val="18"/>
                <w:szCs w:val="18"/>
              </w:rPr>
            </w:pPr>
            <w:r w:rsidRPr="00E757AB">
              <w:rPr>
                <w:rFonts w:cs="Arial"/>
                <w:color w:val="000000"/>
                <w:sz w:val="18"/>
                <w:szCs w:val="18"/>
              </w:rPr>
              <w:t>0.001507</w:t>
            </w:r>
          </w:p>
        </w:tc>
        <w:tc>
          <w:tcPr>
            <w:tcW w:w="973" w:type="dxa"/>
            <w:tcBorders>
              <w:top w:val="nil"/>
              <w:left w:val="nil"/>
              <w:bottom w:val="single" w:sz="4" w:space="0" w:color="auto"/>
              <w:right w:val="single" w:sz="4" w:space="0" w:color="auto"/>
            </w:tcBorders>
            <w:shd w:val="clear" w:color="auto" w:fill="auto"/>
            <w:vAlign w:val="center"/>
            <w:hideMark/>
          </w:tcPr>
          <w:p w:rsidR="00E757AB" w:rsidRPr="00E757AB" w:rsidRDefault="00E757AB" w:rsidP="00E757AB">
            <w:pPr>
              <w:overflowPunct/>
              <w:autoSpaceDE/>
              <w:autoSpaceDN/>
              <w:adjustRightInd/>
              <w:spacing w:before="60" w:after="60" w:line="264" w:lineRule="auto"/>
              <w:jc w:val="right"/>
              <w:textAlignment w:val="auto"/>
              <w:rPr>
                <w:rFonts w:cs="Arial"/>
                <w:color w:val="000000"/>
                <w:sz w:val="18"/>
                <w:szCs w:val="18"/>
              </w:rPr>
            </w:pPr>
            <w:r w:rsidRPr="00E757AB">
              <w:rPr>
                <w:rFonts w:cs="Arial"/>
                <w:color w:val="000000"/>
                <w:sz w:val="18"/>
                <w:szCs w:val="18"/>
              </w:rPr>
              <w:t>8</w:t>
            </w:r>
            <w:r>
              <w:rPr>
                <w:rFonts w:cs="Arial"/>
                <w:color w:val="000000"/>
                <w:sz w:val="18"/>
                <w:szCs w:val="18"/>
              </w:rPr>
              <w:t>.0</w:t>
            </w:r>
          </w:p>
        </w:tc>
        <w:tc>
          <w:tcPr>
            <w:tcW w:w="967" w:type="dxa"/>
            <w:tcBorders>
              <w:top w:val="nil"/>
              <w:left w:val="nil"/>
              <w:bottom w:val="single" w:sz="4" w:space="0" w:color="auto"/>
              <w:right w:val="single" w:sz="4" w:space="0" w:color="auto"/>
            </w:tcBorders>
            <w:shd w:val="clear" w:color="auto" w:fill="auto"/>
            <w:vAlign w:val="center"/>
            <w:hideMark/>
          </w:tcPr>
          <w:p w:rsidR="00E757AB" w:rsidRPr="00E757AB" w:rsidRDefault="00E757AB" w:rsidP="00E757AB">
            <w:pPr>
              <w:overflowPunct/>
              <w:autoSpaceDE/>
              <w:autoSpaceDN/>
              <w:adjustRightInd/>
              <w:spacing w:before="60" w:after="60" w:line="264" w:lineRule="auto"/>
              <w:jc w:val="right"/>
              <w:textAlignment w:val="auto"/>
              <w:rPr>
                <w:rFonts w:cs="Arial"/>
                <w:color w:val="000000"/>
                <w:sz w:val="18"/>
                <w:szCs w:val="18"/>
              </w:rPr>
            </w:pPr>
            <w:r w:rsidRPr="00E757AB">
              <w:rPr>
                <w:rFonts w:cs="Arial"/>
                <w:color w:val="000000"/>
                <w:sz w:val="18"/>
                <w:szCs w:val="18"/>
              </w:rPr>
              <w:t>0.0023</w:t>
            </w:r>
          </w:p>
        </w:tc>
        <w:tc>
          <w:tcPr>
            <w:tcW w:w="991" w:type="dxa"/>
            <w:tcBorders>
              <w:top w:val="nil"/>
              <w:left w:val="nil"/>
              <w:bottom w:val="single" w:sz="4" w:space="0" w:color="auto"/>
              <w:right w:val="single" w:sz="8" w:space="0" w:color="auto"/>
            </w:tcBorders>
            <w:shd w:val="clear" w:color="auto" w:fill="auto"/>
            <w:vAlign w:val="center"/>
            <w:hideMark/>
          </w:tcPr>
          <w:p w:rsidR="00E757AB" w:rsidRPr="00E757AB" w:rsidRDefault="00E757AB" w:rsidP="00E757AB">
            <w:pPr>
              <w:overflowPunct/>
              <w:autoSpaceDE/>
              <w:autoSpaceDN/>
              <w:adjustRightInd/>
              <w:spacing w:before="60" w:after="60" w:line="264" w:lineRule="auto"/>
              <w:jc w:val="right"/>
              <w:textAlignment w:val="auto"/>
              <w:rPr>
                <w:rFonts w:cs="Arial"/>
                <w:color w:val="000000"/>
                <w:sz w:val="18"/>
                <w:szCs w:val="18"/>
              </w:rPr>
            </w:pPr>
            <w:r w:rsidRPr="00E757AB">
              <w:rPr>
                <w:rFonts w:cs="Arial"/>
                <w:color w:val="000000"/>
                <w:sz w:val="18"/>
                <w:szCs w:val="18"/>
              </w:rPr>
              <w:t>13</w:t>
            </w:r>
            <w:r>
              <w:rPr>
                <w:rFonts w:cs="Arial"/>
                <w:color w:val="000000"/>
                <w:sz w:val="18"/>
                <w:szCs w:val="18"/>
              </w:rPr>
              <w:t>.0</w:t>
            </w:r>
          </w:p>
        </w:tc>
      </w:tr>
      <w:tr w:rsidR="00E757AB" w:rsidRPr="00876D95" w:rsidTr="007365E7">
        <w:trPr>
          <w:trHeight w:val="20"/>
          <w:jc w:val="center"/>
        </w:trPr>
        <w:tc>
          <w:tcPr>
            <w:tcW w:w="1894" w:type="dxa"/>
            <w:tcBorders>
              <w:top w:val="nil"/>
              <w:left w:val="single" w:sz="8" w:space="0" w:color="auto"/>
              <w:bottom w:val="single" w:sz="4" w:space="0" w:color="auto"/>
              <w:right w:val="single" w:sz="4" w:space="0" w:color="auto"/>
            </w:tcBorders>
            <w:shd w:val="clear" w:color="auto" w:fill="auto"/>
            <w:vAlign w:val="bottom"/>
            <w:hideMark/>
          </w:tcPr>
          <w:p w:rsidR="00E757AB" w:rsidRPr="00E757AB" w:rsidRDefault="00E757AB" w:rsidP="00E757AB">
            <w:pPr>
              <w:overflowPunct/>
              <w:autoSpaceDE/>
              <w:autoSpaceDN/>
              <w:adjustRightInd/>
              <w:spacing w:before="60" w:after="60" w:line="264" w:lineRule="auto"/>
              <w:textAlignment w:val="auto"/>
              <w:rPr>
                <w:rFonts w:cs="Arial"/>
                <w:color w:val="000000"/>
                <w:sz w:val="18"/>
                <w:szCs w:val="18"/>
              </w:rPr>
            </w:pPr>
            <w:r w:rsidRPr="00E757AB">
              <w:rPr>
                <w:rFonts w:cs="Arial"/>
                <w:color w:val="000000"/>
                <w:sz w:val="18"/>
                <w:szCs w:val="18"/>
              </w:rPr>
              <w:t>Pittsburgh</w:t>
            </w:r>
          </w:p>
        </w:tc>
        <w:tc>
          <w:tcPr>
            <w:tcW w:w="1519" w:type="dxa"/>
            <w:tcBorders>
              <w:top w:val="nil"/>
              <w:left w:val="nil"/>
              <w:bottom w:val="single" w:sz="4" w:space="0" w:color="auto"/>
              <w:right w:val="single" w:sz="4" w:space="0" w:color="auto"/>
            </w:tcBorders>
            <w:shd w:val="clear" w:color="auto" w:fill="auto"/>
            <w:vAlign w:val="bottom"/>
            <w:hideMark/>
          </w:tcPr>
          <w:p w:rsidR="00E757AB" w:rsidRPr="00E757AB" w:rsidRDefault="00E757AB" w:rsidP="00E757AB">
            <w:pPr>
              <w:overflowPunct/>
              <w:autoSpaceDE/>
              <w:autoSpaceDN/>
              <w:adjustRightInd/>
              <w:spacing w:before="60" w:after="60" w:line="264" w:lineRule="auto"/>
              <w:jc w:val="center"/>
              <w:textAlignment w:val="auto"/>
              <w:rPr>
                <w:rFonts w:cs="Arial"/>
                <w:color w:val="000000"/>
                <w:sz w:val="18"/>
                <w:szCs w:val="18"/>
              </w:rPr>
            </w:pPr>
            <w:r w:rsidRPr="00E757AB">
              <w:rPr>
                <w:rFonts w:cs="Arial"/>
                <w:color w:val="000000"/>
                <w:sz w:val="18"/>
                <w:szCs w:val="18"/>
              </w:rPr>
              <w:t>4</w:t>
            </w:r>
          </w:p>
        </w:tc>
        <w:tc>
          <w:tcPr>
            <w:tcW w:w="1043" w:type="dxa"/>
            <w:tcBorders>
              <w:top w:val="nil"/>
              <w:left w:val="nil"/>
              <w:bottom w:val="single" w:sz="4" w:space="0" w:color="auto"/>
              <w:right w:val="single" w:sz="4" w:space="0" w:color="auto"/>
            </w:tcBorders>
            <w:shd w:val="clear" w:color="auto" w:fill="auto"/>
            <w:vAlign w:val="center"/>
            <w:hideMark/>
          </w:tcPr>
          <w:p w:rsidR="00E757AB" w:rsidRPr="00E757AB" w:rsidRDefault="00E757AB" w:rsidP="00E757AB">
            <w:pPr>
              <w:overflowPunct/>
              <w:autoSpaceDE/>
              <w:autoSpaceDN/>
              <w:adjustRightInd/>
              <w:spacing w:before="60" w:after="60" w:line="264" w:lineRule="auto"/>
              <w:jc w:val="right"/>
              <w:textAlignment w:val="auto"/>
              <w:rPr>
                <w:rFonts w:cs="Arial"/>
                <w:color w:val="000000"/>
                <w:sz w:val="18"/>
                <w:szCs w:val="18"/>
              </w:rPr>
            </w:pPr>
            <w:r w:rsidRPr="00E757AB">
              <w:rPr>
                <w:rFonts w:cs="Arial"/>
                <w:color w:val="000000"/>
                <w:sz w:val="18"/>
                <w:szCs w:val="18"/>
              </w:rPr>
              <w:t>0.001507</w:t>
            </w:r>
          </w:p>
        </w:tc>
        <w:tc>
          <w:tcPr>
            <w:tcW w:w="973" w:type="dxa"/>
            <w:tcBorders>
              <w:top w:val="nil"/>
              <w:left w:val="nil"/>
              <w:bottom w:val="single" w:sz="4" w:space="0" w:color="auto"/>
              <w:right w:val="single" w:sz="4" w:space="0" w:color="auto"/>
            </w:tcBorders>
            <w:shd w:val="clear" w:color="auto" w:fill="auto"/>
            <w:vAlign w:val="center"/>
            <w:hideMark/>
          </w:tcPr>
          <w:p w:rsidR="00E757AB" w:rsidRPr="00E757AB" w:rsidRDefault="00E757AB" w:rsidP="00E757AB">
            <w:pPr>
              <w:overflowPunct/>
              <w:autoSpaceDE/>
              <w:autoSpaceDN/>
              <w:adjustRightInd/>
              <w:spacing w:before="60" w:after="60" w:line="264" w:lineRule="auto"/>
              <w:jc w:val="right"/>
              <w:textAlignment w:val="auto"/>
              <w:rPr>
                <w:rFonts w:cs="Arial"/>
                <w:color w:val="000000"/>
                <w:sz w:val="18"/>
                <w:szCs w:val="18"/>
              </w:rPr>
            </w:pPr>
            <w:r w:rsidRPr="00E757AB">
              <w:rPr>
                <w:rFonts w:cs="Arial"/>
                <w:color w:val="000000"/>
                <w:sz w:val="18"/>
                <w:szCs w:val="18"/>
              </w:rPr>
              <w:t>8</w:t>
            </w:r>
            <w:r>
              <w:rPr>
                <w:rFonts w:cs="Arial"/>
                <w:color w:val="000000"/>
                <w:sz w:val="18"/>
                <w:szCs w:val="18"/>
              </w:rPr>
              <w:t>.0</w:t>
            </w:r>
          </w:p>
        </w:tc>
        <w:tc>
          <w:tcPr>
            <w:tcW w:w="967" w:type="dxa"/>
            <w:tcBorders>
              <w:top w:val="nil"/>
              <w:left w:val="nil"/>
              <w:bottom w:val="single" w:sz="4" w:space="0" w:color="auto"/>
              <w:right w:val="single" w:sz="4" w:space="0" w:color="auto"/>
            </w:tcBorders>
            <w:shd w:val="clear" w:color="auto" w:fill="auto"/>
            <w:vAlign w:val="center"/>
            <w:hideMark/>
          </w:tcPr>
          <w:p w:rsidR="00E757AB" w:rsidRPr="00E757AB" w:rsidRDefault="00E757AB" w:rsidP="00E757AB">
            <w:pPr>
              <w:overflowPunct/>
              <w:autoSpaceDE/>
              <w:autoSpaceDN/>
              <w:adjustRightInd/>
              <w:spacing w:before="60" w:after="60" w:line="264" w:lineRule="auto"/>
              <w:jc w:val="right"/>
              <w:textAlignment w:val="auto"/>
              <w:rPr>
                <w:rFonts w:cs="Arial"/>
                <w:color w:val="000000"/>
                <w:sz w:val="18"/>
                <w:szCs w:val="18"/>
              </w:rPr>
            </w:pPr>
            <w:r w:rsidRPr="00E757AB">
              <w:rPr>
                <w:rFonts w:cs="Arial"/>
                <w:color w:val="000000"/>
                <w:sz w:val="18"/>
                <w:szCs w:val="18"/>
              </w:rPr>
              <w:t>0.0023</w:t>
            </w:r>
          </w:p>
        </w:tc>
        <w:tc>
          <w:tcPr>
            <w:tcW w:w="991" w:type="dxa"/>
            <w:tcBorders>
              <w:top w:val="nil"/>
              <w:left w:val="nil"/>
              <w:bottom w:val="single" w:sz="4" w:space="0" w:color="auto"/>
              <w:right w:val="single" w:sz="8" w:space="0" w:color="auto"/>
            </w:tcBorders>
            <w:shd w:val="clear" w:color="auto" w:fill="auto"/>
            <w:vAlign w:val="center"/>
            <w:hideMark/>
          </w:tcPr>
          <w:p w:rsidR="00E757AB" w:rsidRPr="00E757AB" w:rsidRDefault="00E757AB" w:rsidP="00E757AB">
            <w:pPr>
              <w:overflowPunct/>
              <w:autoSpaceDE/>
              <w:autoSpaceDN/>
              <w:adjustRightInd/>
              <w:spacing w:before="60" w:after="60" w:line="264" w:lineRule="auto"/>
              <w:jc w:val="right"/>
              <w:textAlignment w:val="auto"/>
              <w:rPr>
                <w:rFonts w:cs="Arial"/>
                <w:color w:val="000000"/>
                <w:sz w:val="18"/>
                <w:szCs w:val="18"/>
              </w:rPr>
            </w:pPr>
            <w:r w:rsidRPr="00E757AB">
              <w:rPr>
                <w:rFonts w:cs="Arial"/>
                <w:color w:val="000000"/>
                <w:sz w:val="18"/>
                <w:szCs w:val="18"/>
              </w:rPr>
              <w:t>13</w:t>
            </w:r>
            <w:r>
              <w:rPr>
                <w:rFonts w:cs="Arial"/>
                <w:color w:val="000000"/>
                <w:sz w:val="18"/>
                <w:szCs w:val="18"/>
              </w:rPr>
              <w:t>.0</w:t>
            </w:r>
          </w:p>
        </w:tc>
      </w:tr>
      <w:tr w:rsidR="00E757AB" w:rsidRPr="00876D95" w:rsidTr="007365E7">
        <w:trPr>
          <w:trHeight w:val="20"/>
          <w:jc w:val="center"/>
        </w:trPr>
        <w:tc>
          <w:tcPr>
            <w:tcW w:w="1894" w:type="dxa"/>
            <w:tcBorders>
              <w:top w:val="nil"/>
              <w:left w:val="single" w:sz="8" w:space="0" w:color="auto"/>
              <w:bottom w:val="single" w:sz="4" w:space="0" w:color="auto"/>
              <w:right w:val="single" w:sz="4" w:space="0" w:color="auto"/>
            </w:tcBorders>
            <w:shd w:val="clear" w:color="auto" w:fill="auto"/>
            <w:vAlign w:val="bottom"/>
            <w:hideMark/>
          </w:tcPr>
          <w:p w:rsidR="00E757AB" w:rsidRPr="00E757AB" w:rsidRDefault="00E757AB" w:rsidP="00E757AB">
            <w:pPr>
              <w:overflowPunct/>
              <w:autoSpaceDE/>
              <w:autoSpaceDN/>
              <w:adjustRightInd/>
              <w:spacing w:before="60" w:after="60" w:line="264" w:lineRule="auto"/>
              <w:textAlignment w:val="auto"/>
              <w:rPr>
                <w:rFonts w:cs="Arial"/>
                <w:color w:val="000000"/>
                <w:sz w:val="18"/>
                <w:szCs w:val="18"/>
              </w:rPr>
            </w:pPr>
            <w:r w:rsidRPr="00E757AB">
              <w:rPr>
                <w:rFonts w:cs="Arial"/>
                <w:color w:val="000000"/>
                <w:sz w:val="18"/>
                <w:szCs w:val="18"/>
              </w:rPr>
              <w:t>Philadelphia</w:t>
            </w:r>
          </w:p>
        </w:tc>
        <w:tc>
          <w:tcPr>
            <w:tcW w:w="1519" w:type="dxa"/>
            <w:tcBorders>
              <w:top w:val="nil"/>
              <w:left w:val="nil"/>
              <w:bottom w:val="single" w:sz="4" w:space="0" w:color="auto"/>
              <w:right w:val="single" w:sz="4" w:space="0" w:color="auto"/>
            </w:tcBorders>
            <w:shd w:val="clear" w:color="auto" w:fill="auto"/>
            <w:vAlign w:val="bottom"/>
            <w:hideMark/>
          </w:tcPr>
          <w:p w:rsidR="00E757AB" w:rsidRPr="00E757AB" w:rsidRDefault="00E757AB" w:rsidP="00E757AB">
            <w:pPr>
              <w:overflowPunct/>
              <w:autoSpaceDE/>
              <w:autoSpaceDN/>
              <w:adjustRightInd/>
              <w:spacing w:before="60" w:after="60" w:line="264" w:lineRule="auto"/>
              <w:jc w:val="center"/>
              <w:textAlignment w:val="auto"/>
              <w:rPr>
                <w:rFonts w:cs="Arial"/>
                <w:color w:val="000000"/>
                <w:sz w:val="18"/>
                <w:szCs w:val="18"/>
              </w:rPr>
            </w:pPr>
            <w:r w:rsidRPr="00E757AB">
              <w:rPr>
                <w:rFonts w:cs="Arial"/>
                <w:color w:val="000000"/>
                <w:sz w:val="18"/>
                <w:szCs w:val="18"/>
              </w:rPr>
              <w:t>13</w:t>
            </w:r>
          </w:p>
        </w:tc>
        <w:tc>
          <w:tcPr>
            <w:tcW w:w="1043" w:type="dxa"/>
            <w:tcBorders>
              <w:top w:val="nil"/>
              <w:left w:val="nil"/>
              <w:bottom w:val="single" w:sz="4" w:space="0" w:color="auto"/>
              <w:right w:val="single" w:sz="4" w:space="0" w:color="auto"/>
            </w:tcBorders>
            <w:shd w:val="clear" w:color="auto" w:fill="auto"/>
            <w:vAlign w:val="center"/>
            <w:hideMark/>
          </w:tcPr>
          <w:p w:rsidR="00E757AB" w:rsidRPr="00E757AB" w:rsidRDefault="00E757AB" w:rsidP="00E757AB">
            <w:pPr>
              <w:overflowPunct/>
              <w:autoSpaceDE/>
              <w:autoSpaceDN/>
              <w:adjustRightInd/>
              <w:spacing w:before="60" w:after="60" w:line="264" w:lineRule="auto"/>
              <w:jc w:val="right"/>
              <w:textAlignment w:val="auto"/>
              <w:rPr>
                <w:rFonts w:cs="Arial"/>
                <w:color w:val="000000"/>
                <w:sz w:val="18"/>
                <w:szCs w:val="18"/>
              </w:rPr>
            </w:pPr>
            <w:r w:rsidRPr="00E757AB">
              <w:rPr>
                <w:rFonts w:cs="Arial"/>
                <w:color w:val="000000"/>
                <w:sz w:val="18"/>
                <w:szCs w:val="18"/>
              </w:rPr>
              <w:t>0.002059</w:t>
            </w:r>
          </w:p>
        </w:tc>
        <w:tc>
          <w:tcPr>
            <w:tcW w:w="973" w:type="dxa"/>
            <w:tcBorders>
              <w:top w:val="nil"/>
              <w:left w:val="nil"/>
              <w:bottom w:val="single" w:sz="4" w:space="0" w:color="auto"/>
              <w:right w:val="single" w:sz="4" w:space="0" w:color="auto"/>
            </w:tcBorders>
            <w:shd w:val="clear" w:color="auto" w:fill="auto"/>
            <w:vAlign w:val="center"/>
            <w:hideMark/>
          </w:tcPr>
          <w:p w:rsidR="00E757AB" w:rsidRPr="00E757AB" w:rsidRDefault="00E757AB" w:rsidP="00E757AB">
            <w:pPr>
              <w:overflowPunct/>
              <w:autoSpaceDE/>
              <w:autoSpaceDN/>
              <w:adjustRightInd/>
              <w:spacing w:before="60" w:after="60" w:line="264" w:lineRule="auto"/>
              <w:jc w:val="right"/>
              <w:textAlignment w:val="auto"/>
              <w:rPr>
                <w:rFonts w:cs="Arial"/>
                <w:color w:val="000000"/>
                <w:sz w:val="18"/>
                <w:szCs w:val="18"/>
              </w:rPr>
            </w:pPr>
            <w:r w:rsidRPr="00E757AB">
              <w:rPr>
                <w:rFonts w:cs="Arial"/>
                <w:color w:val="000000"/>
                <w:sz w:val="18"/>
                <w:szCs w:val="18"/>
              </w:rPr>
              <w:t>11</w:t>
            </w:r>
            <w:r>
              <w:rPr>
                <w:rFonts w:cs="Arial"/>
                <w:color w:val="000000"/>
                <w:sz w:val="18"/>
                <w:szCs w:val="18"/>
              </w:rPr>
              <w:t>.0</w:t>
            </w:r>
          </w:p>
        </w:tc>
        <w:tc>
          <w:tcPr>
            <w:tcW w:w="967" w:type="dxa"/>
            <w:tcBorders>
              <w:top w:val="nil"/>
              <w:left w:val="nil"/>
              <w:bottom w:val="single" w:sz="4" w:space="0" w:color="auto"/>
              <w:right w:val="single" w:sz="4" w:space="0" w:color="auto"/>
            </w:tcBorders>
            <w:shd w:val="clear" w:color="auto" w:fill="auto"/>
            <w:vAlign w:val="center"/>
            <w:hideMark/>
          </w:tcPr>
          <w:p w:rsidR="00E757AB" w:rsidRPr="00E757AB" w:rsidRDefault="00E757AB" w:rsidP="00E757AB">
            <w:pPr>
              <w:overflowPunct/>
              <w:autoSpaceDE/>
              <w:autoSpaceDN/>
              <w:adjustRightInd/>
              <w:spacing w:before="60" w:after="60" w:line="264" w:lineRule="auto"/>
              <w:jc w:val="right"/>
              <w:textAlignment w:val="auto"/>
              <w:rPr>
                <w:rFonts w:cs="Arial"/>
                <w:color w:val="000000"/>
                <w:sz w:val="18"/>
                <w:szCs w:val="18"/>
              </w:rPr>
            </w:pPr>
            <w:r w:rsidRPr="00E757AB">
              <w:rPr>
                <w:rFonts w:cs="Arial"/>
                <w:color w:val="000000"/>
                <w:sz w:val="18"/>
                <w:szCs w:val="18"/>
              </w:rPr>
              <w:t>0.00233</w:t>
            </w:r>
          </w:p>
        </w:tc>
        <w:tc>
          <w:tcPr>
            <w:tcW w:w="991" w:type="dxa"/>
            <w:tcBorders>
              <w:top w:val="nil"/>
              <w:left w:val="nil"/>
              <w:bottom w:val="single" w:sz="4" w:space="0" w:color="auto"/>
              <w:right w:val="single" w:sz="8" w:space="0" w:color="auto"/>
            </w:tcBorders>
            <w:shd w:val="clear" w:color="auto" w:fill="auto"/>
            <w:vAlign w:val="center"/>
            <w:hideMark/>
          </w:tcPr>
          <w:p w:rsidR="00E757AB" w:rsidRPr="00E757AB" w:rsidRDefault="00E757AB" w:rsidP="00E757AB">
            <w:pPr>
              <w:overflowPunct/>
              <w:autoSpaceDE/>
              <w:autoSpaceDN/>
              <w:adjustRightInd/>
              <w:spacing w:before="60" w:after="60" w:line="264" w:lineRule="auto"/>
              <w:jc w:val="right"/>
              <w:textAlignment w:val="auto"/>
              <w:rPr>
                <w:rFonts w:cs="Arial"/>
                <w:color w:val="000000"/>
                <w:sz w:val="18"/>
                <w:szCs w:val="18"/>
              </w:rPr>
            </w:pPr>
            <w:r w:rsidRPr="00E757AB">
              <w:rPr>
                <w:rFonts w:cs="Arial"/>
                <w:color w:val="000000"/>
                <w:sz w:val="18"/>
                <w:szCs w:val="18"/>
              </w:rPr>
              <w:t>13.4</w:t>
            </w:r>
          </w:p>
        </w:tc>
      </w:tr>
      <w:tr w:rsidR="00E757AB" w:rsidRPr="00876D95" w:rsidTr="007365E7">
        <w:trPr>
          <w:trHeight w:val="20"/>
          <w:jc w:val="center"/>
        </w:trPr>
        <w:tc>
          <w:tcPr>
            <w:tcW w:w="1894" w:type="dxa"/>
            <w:tcBorders>
              <w:top w:val="nil"/>
              <w:left w:val="single" w:sz="8" w:space="0" w:color="auto"/>
              <w:bottom w:val="single" w:sz="4" w:space="0" w:color="auto"/>
              <w:right w:val="single" w:sz="4" w:space="0" w:color="auto"/>
            </w:tcBorders>
            <w:shd w:val="clear" w:color="auto" w:fill="auto"/>
            <w:vAlign w:val="bottom"/>
            <w:hideMark/>
          </w:tcPr>
          <w:p w:rsidR="00E757AB" w:rsidRPr="00E757AB" w:rsidRDefault="00E757AB" w:rsidP="00E757AB">
            <w:pPr>
              <w:overflowPunct/>
              <w:autoSpaceDE/>
              <w:autoSpaceDN/>
              <w:adjustRightInd/>
              <w:spacing w:before="60" w:after="60" w:line="264" w:lineRule="auto"/>
              <w:textAlignment w:val="auto"/>
              <w:rPr>
                <w:rFonts w:cs="Arial"/>
                <w:color w:val="000000"/>
                <w:sz w:val="18"/>
                <w:szCs w:val="18"/>
              </w:rPr>
            </w:pPr>
            <w:r w:rsidRPr="00E757AB">
              <w:rPr>
                <w:rFonts w:cs="Arial"/>
                <w:color w:val="000000"/>
                <w:sz w:val="18"/>
                <w:szCs w:val="18"/>
              </w:rPr>
              <w:t>Erie</w:t>
            </w:r>
          </w:p>
        </w:tc>
        <w:tc>
          <w:tcPr>
            <w:tcW w:w="1519" w:type="dxa"/>
            <w:tcBorders>
              <w:top w:val="nil"/>
              <w:left w:val="nil"/>
              <w:bottom w:val="single" w:sz="4" w:space="0" w:color="auto"/>
              <w:right w:val="single" w:sz="4" w:space="0" w:color="auto"/>
            </w:tcBorders>
            <w:shd w:val="clear" w:color="auto" w:fill="auto"/>
            <w:vAlign w:val="bottom"/>
            <w:hideMark/>
          </w:tcPr>
          <w:p w:rsidR="00E757AB" w:rsidRPr="00E757AB" w:rsidRDefault="00E757AB" w:rsidP="00E757AB">
            <w:pPr>
              <w:overflowPunct/>
              <w:autoSpaceDE/>
              <w:autoSpaceDN/>
              <w:adjustRightInd/>
              <w:spacing w:before="60" w:after="60" w:line="264" w:lineRule="auto"/>
              <w:jc w:val="center"/>
              <w:textAlignment w:val="auto"/>
              <w:rPr>
                <w:rFonts w:cs="Arial"/>
                <w:color w:val="000000"/>
                <w:sz w:val="18"/>
                <w:szCs w:val="18"/>
              </w:rPr>
            </w:pPr>
            <w:r w:rsidRPr="00E757AB">
              <w:rPr>
                <w:rFonts w:cs="Arial"/>
                <w:color w:val="000000"/>
                <w:sz w:val="18"/>
                <w:szCs w:val="18"/>
              </w:rPr>
              <w:t>6</w:t>
            </w:r>
          </w:p>
        </w:tc>
        <w:tc>
          <w:tcPr>
            <w:tcW w:w="1043" w:type="dxa"/>
            <w:tcBorders>
              <w:top w:val="nil"/>
              <w:left w:val="nil"/>
              <w:bottom w:val="single" w:sz="4" w:space="0" w:color="auto"/>
              <w:right w:val="single" w:sz="4" w:space="0" w:color="auto"/>
            </w:tcBorders>
            <w:shd w:val="clear" w:color="auto" w:fill="auto"/>
            <w:vAlign w:val="center"/>
            <w:hideMark/>
          </w:tcPr>
          <w:p w:rsidR="00E757AB" w:rsidRPr="00E757AB" w:rsidRDefault="00E757AB" w:rsidP="00E757AB">
            <w:pPr>
              <w:overflowPunct/>
              <w:autoSpaceDE/>
              <w:autoSpaceDN/>
              <w:adjustRightInd/>
              <w:spacing w:before="60" w:after="60" w:line="264" w:lineRule="auto"/>
              <w:jc w:val="right"/>
              <w:textAlignment w:val="auto"/>
              <w:rPr>
                <w:rFonts w:cs="Arial"/>
                <w:color w:val="000000"/>
                <w:sz w:val="18"/>
                <w:szCs w:val="18"/>
              </w:rPr>
            </w:pPr>
            <w:r w:rsidRPr="00E757AB">
              <w:rPr>
                <w:rFonts w:cs="Arial"/>
                <w:color w:val="000000"/>
                <w:sz w:val="18"/>
                <w:szCs w:val="18"/>
              </w:rPr>
              <w:t>0.001345</w:t>
            </w:r>
          </w:p>
        </w:tc>
        <w:tc>
          <w:tcPr>
            <w:tcW w:w="973" w:type="dxa"/>
            <w:tcBorders>
              <w:top w:val="nil"/>
              <w:left w:val="nil"/>
              <w:bottom w:val="single" w:sz="4" w:space="0" w:color="auto"/>
              <w:right w:val="single" w:sz="4" w:space="0" w:color="auto"/>
            </w:tcBorders>
            <w:shd w:val="clear" w:color="auto" w:fill="auto"/>
            <w:vAlign w:val="center"/>
            <w:hideMark/>
          </w:tcPr>
          <w:p w:rsidR="00E757AB" w:rsidRPr="00E757AB" w:rsidRDefault="00E757AB" w:rsidP="00E757AB">
            <w:pPr>
              <w:overflowPunct/>
              <w:autoSpaceDE/>
              <w:autoSpaceDN/>
              <w:adjustRightInd/>
              <w:spacing w:before="60" w:after="60" w:line="264" w:lineRule="auto"/>
              <w:jc w:val="right"/>
              <w:textAlignment w:val="auto"/>
              <w:rPr>
                <w:rFonts w:cs="Arial"/>
                <w:color w:val="000000"/>
                <w:sz w:val="18"/>
                <w:szCs w:val="18"/>
              </w:rPr>
            </w:pPr>
            <w:r w:rsidRPr="00E757AB">
              <w:rPr>
                <w:rFonts w:cs="Arial"/>
                <w:color w:val="000000"/>
                <w:sz w:val="18"/>
                <w:szCs w:val="18"/>
              </w:rPr>
              <w:t>7.3</w:t>
            </w:r>
          </w:p>
        </w:tc>
        <w:tc>
          <w:tcPr>
            <w:tcW w:w="967" w:type="dxa"/>
            <w:tcBorders>
              <w:top w:val="nil"/>
              <w:left w:val="nil"/>
              <w:bottom w:val="single" w:sz="4" w:space="0" w:color="auto"/>
              <w:right w:val="single" w:sz="4" w:space="0" w:color="auto"/>
            </w:tcBorders>
            <w:shd w:val="clear" w:color="auto" w:fill="auto"/>
            <w:vAlign w:val="center"/>
            <w:hideMark/>
          </w:tcPr>
          <w:p w:rsidR="00E757AB" w:rsidRPr="00E757AB" w:rsidRDefault="00E757AB" w:rsidP="00E757AB">
            <w:pPr>
              <w:overflowPunct/>
              <w:autoSpaceDE/>
              <w:autoSpaceDN/>
              <w:adjustRightInd/>
              <w:spacing w:before="60" w:after="60" w:line="264" w:lineRule="auto"/>
              <w:jc w:val="right"/>
              <w:textAlignment w:val="auto"/>
              <w:rPr>
                <w:rFonts w:cs="Arial"/>
                <w:color w:val="000000"/>
                <w:sz w:val="18"/>
                <w:szCs w:val="18"/>
              </w:rPr>
            </w:pPr>
            <w:r w:rsidRPr="00E757AB">
              <w:rPr>
                <w:rFonts w:cs="Arial"/>
                <w:color w:val="000000"/>
                <w:sz w:val="18"/>
                <w:szCs w:val="18"/>
              </w:rPr>
              <w:t>0.002175</w:t>
            </w:r>
          </w:p>
        </w:tc>
        <w:tc>
          <w:tcPr>
            <w:tcW w:w="991" w:type="dxa"/>
            <w:tcBorders>
              <w:top w:val="nil"/>
              <w:left w:val="nil"/>
              <w:bottom w:val="single" w:sz="4" w:space="0" w:color="auto"/>
              <w:right w:val="single" w:sz="8" w:space="0" w:color="auto"/>
            </w:tcBorders>
            <w:shd w:val="clear" w:color="auto" w:fill="auto"/>
            <w:vAlign w:val="center"/>
            <w:hideMark/>
          </w:tcPr>
          <w:p w:rsidR="00E757AB" w:rsidRPr="00E757AB" w:rsidRDefault="00E757AB" w:rsidP="00E757AB">
            <w:pPr>
              <w:overflowPunct/>
              <w:autoSpaceDE/>
              <w:autoSpaceDN/>
              <w:adjustRightInd/>
              <w:spacing w:before="60" w:after="60" w:line="264" w:lineRule="auto"/>
              <w:jc w:val="right"/>
              <w:textAlignment w:val="auto"/>
              <w:rPr>
                <w:rFonts w:cs="Arial"/>
                <w:color w:val="000000"/>
                <w:sz w:val="18"/>
                <w:szCs w:val="18"/>
              </w:rPr>
            </w:pPr>
            <w:r w:rsidRPr="00E757AB">
              <w:rPr>
                <w:rFonts w:cs="Arial"/>
                <w:color w:val="000000"/>
                <w:sz w:val="18"/>
                <w:szCs w:val="18"/>
              </w:rPr>
              <w:t>12.4</w:t>
            </w:r>
          </w:p>
        </w:tc>
      </w:tr>
      <w:tr w:rsidR="00E757AB" w:rsidRPr="00876D95" w:rsidTr="007365E7">
        <w:trPr>
          <w:trHeight w:val="20"/>
          <w:jc w:val="center"/>
        </w:trPr>
        <w:tc>
          <w:tcPr>
            <w:tcW w:w="1894" w:type="dxa"/>
            <w:tcBorders>
              <w:top w:val="nil"/>
              <w:left w:val="single" w:sz="8" w:space="0" w:color="auto"/>
              <w:bottom w:val="single" w:sz="4" w:space="0" w:color="auto"/>
              <w:right w:val="single" w:sz="4" w:space="0" w:color="auto"/>
            </w:tcBorders>
            <w:shd w:val="clear" w:color="auto" w:fill="auto"/>
            <w:vAlign w:val="bottom"/>
            <w:hideMark/>
          </w:tcPr>
          <w:p w:rsidR="00E757AB" w:rsidRPr="00E757AB" w:rsidRDefault="00E757AB" w:rsidP="00E757AB">
            <w:pPr>
              <w:overflowPunct/>
              <w:autoSpaceDE/>
              <w:autoSpaceDN/>
              <w:adjustRightInd/>
              <w:spacing w:before="60" w:after="60" w:line="264" w:lineRule="auto"/>
              <w:textAlignment w:val="auto"/>
              <w:rPr>
                <w:rFonts w:cs="Arial"/>
                <w:color w:val="000000"/>
                <w:sz w:val="18"/>
                <w:szCs w:val="18"/>
              </w:rPr>
            </w:pPr>
            <w:r w:rsidRPr="00E757AB">
              <w:rPr>
                <w:rFonts w:cs="Arial"/>
                <w:color w:val="000000"/>
                <w:sz w:val="18"/>
                <w:szCs w:val="18"/>
              </w:rPr>
              <w:t>Harrisburg</w:t>
            </w:r>
          </w:p>
        </w:tc>
        <w:tc>
          <w:tcPr>
            <w:tcW w:w="1519" w:type="dxa"/>
            <w:tcBorders>
              <w:top w:val="nil"/>
              <w:left w:val="nil"/>
              <w:bottom w:val="single" w:sz="4" w:space="0" w:color="auto"/>
              <w:right w:val="single" w:sz="4" w:space="0" w:color="auto"/>
            </w:tcBorders>
            <w:shd w:val="clear" w:color="auto" w:fill="auto"/>
            <w:vAlign w:val="bottom"/>
            <w:hideMark/>
          </w:tcPr>
          <w:p w:rsidR="00E757AB" w:rsidRPr="00E757AB" w:rsidRDefault="00E757AB" w:rsidP="00E757AB">
            <w:pPr>
              <w:overflowPunct/>
              <w:autoSpaceDE/>
              <w:autoSpaceDN/>
              <w:adjustRightInd/>
              <w:spacing w:before="60" w:after="60" w:line="264" w:lineRule="auto"/>
              <w:jc w:val="center"/>
              <w:textAlignment w:val="auto"/>
              <w:rPr>
                <w:rFonts w:cs="Arial"/>
                <w:color w:val="000000"/>
                <w:sz w:val="18"/>
                <w:szCs w:val="18"/>
              </w:rPr>
            </w:pPr>
            <w:r w:rsidRPr="00E757AB">
              <w:rPr>
                <w:rFonts w:cs="Arial"/>
                <w:color w:val="000000"/>
                <w:sz w:val="18"/>
                <w:szCs w:val="18"/>
              </w:rPr>
              <w:t>8</w:t>
            </w:r>
          </w:p>
        </w:tc>
        <w:tc>
          <w:tcPr>
            <w:tcW w:w="1043" w:type="dxa"/>
            <w:tcBorders>
              <w:top w:val="nil"/>
              <w:left w:val="nil"/>
              <w:bottom w:val="single" w:sz="4" w:space="0" w:color="auto"/>
              <w:right w:val="single" w:sz="4" w:space="0" w:color="auto"/>
            </w:tcBorders>
            <w:shd w:val="clear" w:color="auto" w:fill="auto"/>
            <w:vAlign w:val="center"/>
            <w:hideMark/>
          </w:tcPr>
          <w:p w:rsidR="00E757AB" w:rsidRPr="00E757AB" w:rsidRDefault="00E757AB" w:rsidP="00E757AB">
            <w:pPr>
              <w:overflowPunct/>
              <w:autoSpaceDE/>
              <w:autoSpaceDN/>
              <w:adjustRightInd/>
              <w:spacing w:before="60" w:after="60" w:line="264" w:lineRule="auto"/>
              <w:jc w:val="right"/>
              <w:textAlignment w:val="auto"/>
              <w:rPr>
                <w:rFonts w:cs="Arial"/>
                <w:color w:val="000000"/>
                <w:sz w:val="18"/>
                <w:szCs w:val="18"/>
              </w:rPr>
            </w:pPr>
            <w:r w:rsidRPr="00E757AB">
              <w:rPr>
                <w:rFonts w:cs="Arial"/>
                <w:color w:val="000000"/>
                <w:sz w:val="18"/>
                <w:szCs w:val="18"/>
              </w:rPr>
              <w:t>0.001548</w:t>
            </w:r>
          </w:p>
        </w:tc>
        <w:tc>
          <w:tcPr>
            <w:tcW w:w="973" w:type="dxa"/>
            <w:tcBorders>
              <w:top w:val="nil"/>
              <w:left w:val="nil"/>
              <w:bottom w:val="single" w:sz="4" w:space="0" w:color="auto"/>
              <w:right w:val="single" w:sz="4" w:space="0" w:color="auto"/>
            </w:tcBorders>
            <w:shd w:val="clear" w:color="auto" w:fill="auto"/>
            <w:vAlign w:val="center"/>
            <w:hideMark/>
          </w:tcPr>
          <w:p w:rsidR="00E757AB" w:rsidRPr="00E757AB" w:rsidRDefault="00E757AB" w:rsidP="00E757AB">
            <w:pPr>
              <w:overflowPunct/>
              <w:autoSpaceDE/>
              <w:autoSpaceDN/>
              <w:adjustRightInd/>
              <w:spacing w:before="60" w:after="60" w:line="264" w:lineRule="auto"/>
              <w:jc w:val="right"/>
              <w:textAlignment w:val="auto"/>
              <w:rPr>
                <w:rFonts w:cs="Arial"/>
                <w:color w:val="000000"/>
                <w:sz w:val="18"/>
                <w:szCs w:val="18"/>
              </w:rPr>
            </w:pPr>
            <w:r w:rsidRPr="00E757AB">
              <w:rPr>
                <w:rFonts w:cs="Arial"/>
                <w:color w:val="000000"/>
                <w:sz w:val="18"/>
                <w:szCs w:val="18"/>
              </w:rPr>
              <w:t>8.4</w:t>
            </w:r>
          </w:p>
        </w:tc>
        <w:tc>
          <w:tcPr>
            <w:tcW w:w="967" w:type="dxa"/>
            <w:tcBorders>
              <w:top w:val="nil"/>
              <w:left w:val="nil"/>
              <w:bottom w:val="single" w:sz="4" w:space="0" w:color="auto"/>
              <w:right w:val="single" w:sz="4" w:space="0" w:color="auto"/>
            </w:tcBorders>
            <w:shd w:val="clear" w:color="auto" w:fill="auto"/>
            <w:vAlign w:val="center"/>
            <w:hideMark/>
          </w:tcPr>
          <w:p w:rsidR="00E757AB" w:rsidRPr="00E757AB" w:rsidRDefault="00E757AB" w:rsidP="00E757AB">
            <w:pPr>
              <w:overflowPunct/>
              <w:autoSpaceDE/>
              <w:autoSpaceDN/>
              <w:adjustRightInd/>
              <w:spacing w:before="60" w:after="60" w:line="264" w:lineRule="auto"/>
              <w:jc w:val="right"/>
              <w:textAlignment w:val="auto"/>
              <w:rPr>
                <w:rFonts w:cs="Arial"/>
                <w:color w:val="000000"/>
                <w:sz w:val="18"/>
                <w:szCs w:val="18"/>
              </w:rPr>
            </w:pPr>
            <w:r w:rsidRPr="00E757AB">
              <w:rPr>
                <w:rFonts w:cs="Arial"/>
                <w:color w:val="000000"/>
                <w:sz w:val="18"/>
                <w:szCs w:val="18"/>
              </w:rPr>
              <w:t>0.00233</w:t>
            </w:r>
          </w:p>
        </w:tc>
        <w:tc>
          <w:tcPr>
            <w:tcW w:w="991" w:type="dxa"/>
            <w:tcBorders>
              <w:top w:val="nil"/>
              <w:left w:val="nil"/>
              <w:bottom w:val="single" w:sz="4" w:space="0" w:color="auto"/>
              <w:right w:val="single" w:sz="8" w:space="0" w:color="auto"/>
            </w:tcBorders>
            <w:shd w:val="clear" w:color="auto" w:fill="auto"/>
            <w:vAlign w:val="center"/>
            <w:hideMark/>
          </w:tcPr>
          <w:p w:rsidR="00E757AB" w:rsidRPr="00E757AB" w:rsidRDefault="00E757AB" w:rsidP="00E757AB">
            <w:pPr>
              <w:overflowPunct/>
              <w:autoSpaceDE/>
              <w:autoSpaceDN/>
              <w:adjustRightInd/>
              <w:spacing w:before="60" w:after="60" w:line="264" w:lineRule="auto"/>
              <w:jc w:val="right"/>
              <w:textAlignment w:val="auto"/>
              <w:rPr>
                <w:rFonts w:cs="Arial"/>
                <w:color w:val="000000"/>
                <w:sz w:val="18"/>
                <w:szCs w:val="18"/>
              </w:rPr>
            </w:pPr>
            <w:r w:rsidRPr="00E757AB">
              <w:rPr>
                <w:rFonts w:cs="Arial"/>
                <w:color w:val="000000"/>
                <w:sz w:val="18"/>
                <w:szCs w:val="18"/>
              </w:rPr>
              <w:t>13.4</w:t>
            </w:r>
          </w:p>
        </w:tc>
      </w:tr>
      <w:tr w:rsidR="00E757AB" w:rsidRPr="00876D95" w:rsidTr="007365E7">
        <w:trPr>
          <w:trHeight w:val="20"/>
          <w:jc w:val="center"/>
        </w:trPr>
        <w:tc>
          <w:tcPr>
            <w:tcW w:w="1894" w:type="dxa"/>
            <w:tcBorders>
              <w:top w:val="nil"/>
              <w:left w:val="single" w:sz="8" w:space="0" w:color="auto"/>
              <w:bottom w:val="single" w:sz="8" w:space="0" w:color="auto"/>
              <w:right w:val="single" w:sz="4" w:space="0" w:color="auto"/>
            </w:tcBorders>
            <w:shd w:val="clear" w:color="auto" w:fill="auto"/>
            <w:vAlign w:val="bottom"/>
            <w:hideMark/>
          </w:tcPr>
          <w:p w:rsidR="00E757AB" w:rsidRPr="00E757AB" w:rsidRDefault="00E757AB" w:rsidP="00E757AB">
            <w:pPr>
              <w:overflowPunct/>
              <w:autoSpaceDE/>
              <w:autoSpaceDN/>
              <w:adjustRightInd/>
              <w:spacing w:before="60" w:after="60" w:line="264" w:lineRule="auto"/>
              <w:textAlignment w:val="auto"/>
              <w:rPr>
                <w:rFonts w:cs="Arial"/>
                <w:color w:val="000000"/>
                <w:sz w:val="18"/>
                <w:szCs w:val="18"/>
              </w:rPr>
            </w:pPr>
            <w:r w:rsidRPr="00E757AB">
              <w:rPr>
                <w:rFonts w:cs="Arial"/>
                <w:color w:val="000000"/>
                <w:sz w:val="18"/>
                <w:szCs w:val="18"/>
              </w:rPr>
              <w:t>Scranton</w:t>
            </w:r>
          </w:p>
        </w:tc>
        <w:tc>
          <w:tcPr>
            <w:tcW w:w="1519" w:type="dxa"/>
            <w:tcBorders>
              <w:top w:val="nil"/>
              <w:left w:val="nil"/>
              <w:bottom w:val="single" w:sz="8" w:space="0" w:color="auto"/>
              <w:right w:val="single" w:sz="4" w:space="0" w:color="auto"/>
            </w:tcBorders>
            <w:shd w:val="clear" w:color="auto" w:fill="auto"/>
            <w:vAlign w:val="bottom"/>
            <w:hideMark/>
          </w:tcPr>
          <w:p w:rsidR="00E757AB" w:rsidRPr="00E757AB" w:rsidRDefault="00E757AB" w:rsidP="00E757AB">
            <w:pPr>
              <w:overflowPunct/>
              <w:autoSpaceDE/>
              <w:autoSpaceDN/>
              <w:adjustRightInd/>
              <w:spacing w:before="60" w:after="60" w:line="264" w:lineRule="auto"/>
              <w:jc w:val="center"/>
              <w:textAlignment w:val="auto"/>
              <w:rPr>
                <w:rFonts w:cs="Arial"/>
                <w:color w:val="000000"/>
                <w:sz w:val="18"/>
                <w:szCs w:val="18"/>
              </w:rPr>
            </w:pPr>
            <w:r w:rsidRPr="00E757AB">
              <w:rPr>
                <w:rFonts w:cs="Arial"/>
                <w:color w:val="000000"/>
                <w:sz w:val="18"/>
                <w:szCs w:val="18"/>
              </w:rPr>
              <w:t>16</w:t>
            </w:r>
          </w:p>
        </w:tc>
        <w:tc>
          <w:tcPr>
            <w:tcW w:w="1043" w:type="dxa"/>
            <w:tcBorders>
              <w:top w:val="nil"/>
              <w:left w:val="nil"/>
              <w:bottom w:val="single" w:sz="8" w:space="0" w:color="auto"/>
              <w:right w:val="single" w:sz="4" w:space="0" w:color="auto"/>
            </w:tcBorders>
            <w:shd w:val="clear" w:color="auto" w:fill="auto"/>
            <w:vAlign w:val="center"/>
            <w:hideMark/>
          </w:tcPr>
          <w:p w:rsidR="00E757AB" w:rsidRPr="00E757AB" w:rsidRDefault="00E757AB" w:rsidP="00E757AB">
            <w:pPr>
              <w:overflowPunct/>
              <w:autoSpaceDE/>
              <w:autoSpaceDN/>
              <w:adjustRightInd/>
              <w:spacing w:before="60" w:after="60" w:line="264" w:lineRule="auto"/>
              <w:jc w:val="right"/>
              <w:textAlignment w:val="auto"/>
              <w:rPr>
                <w:rFonts w:cs="Arial"/>
                <w:color w:val="000000"/>
                <w:sz w:val="18"/>
                <w:szCs w:val="18"/>
              </w:rPr>
            </w:pPr>
            <w:r w:rsidRPr="00E757AB">
              <w:rPr>
                <w:rFonts w:cs="Arial"/>
                <w:color w:val="000000"/>
                <w:sz w:val="18"/>
                <w:szCs w:val="18"/>
              </w:rPr>
              <w:t>0.001548</w:t>
            </w:r>
          </w:p>
        </w:tc>
        <w:tc>
          <w:tcPr>
            <w:tcW w:w="973" w:type="dxa"/>
            <w:tcBorders>
              <w:top w:val="nil"/>
              <w:left w:val="nil"/>
              <w:bottom w:val="single" w:sz="8" w:space="0" w:color="auto"/>
              <w:right w:val="single" w:sz="4" w:space="0" w:color="auto"/>
            </w:tcBorders>
            <w:shd w:val="clear" w:color="auto" w:fill="auto"/>
            <w:vAlign w:val="center"/>
            <w:hideMark/>
          </w:tcPr>
          <w:p w:rsidR="00E757AB" w:rsidRPr="00E757AB" w:rsidRDefault="00E757AB" w:rsidP="00E757AB">
            <w:pPr>
              <w:overflowPunct/>
              <w:autoSpaceDE/>
              <w:autoSpaceDN/>
              <w:adjustRightInd/>
              <w:spacing w:before="60" w:after="60" w:line="264" w:lineRule="auto"/>
              <w:jc w:val="right"/>
              <w:textAlignment w:val="auto"/>
              <w:rPr>
                <w:rFonts w:cs="Arial"/>
                <w:color w:val="000000"/>
                <w:sz w:val="18"/>
                <w:szCs w:val="18"/>
              </w:rPr>
            </w:pPr>
            <w:r w:rsidRPr="00E757AB">
              <w:rPr>
                <w:rFonts w:cs="Arial"/>
                <w:color w:val="000000"/>
                <w:sz w:val="18"/>
                <w:szCs w:val="18"/>
              </w:rPr>
              <w:t>7.5</w:t>
            </w:r>
          </w:p>
        </w:tc>
        <w:tc>
          <w:tcPr>
            <w:tcW w:w="967" w:type="dxa"/>
            <w:tcBorders>
              <w:top w:val="nil"/>
              <w:left w:val="nil"/>
              <w:bottom w:val="single" w:sz="8" w:space="0" w:color="auto"/>
              <w:right w:val="single" w:sz="4" w:space="0" w:color="auto"/>
            </w:tcBorders>
            <w:shd w:val="clear" w:color="auto" w:fill="auto"/>
            <w:vAlign w:val="center"/>
            <w:hideMark/>
          </w:tcPr>
          <w:p w:rsidR="00E757AB" w:rsidRPr="00E757AB" w:rsidRDefault="00E757AB" w:rsidP="00E757AB">
            <w:pPr>
              <w:overflowPunct/>
              <w:autoSpaceDE/>
              <w:autoSpaceDN/>
              <w:adjustRightInd/>
              <w:spacing w:before="60" w:after="60" w:line="264" w:lineRule="auto"/>
              <w:jc w:val="right"/>
              <w:textAlignment w:val="auto"/>
              <w:rPr>
                <w:rFonts w:cs="Arial"/>
                <w:color w:val="000000"/>
                <w:sz w:val="18"/>
                <w:szCs w:val="18"/>
              </w:rPr>
            </w:pPr>
            <w:r w:rsidRPr="00E757AB">
              <w:rPr>
                <w:rFonts w:cs="Arial"/>
                <w:color w:val="000000"/>
                <w:sz w:val="18"/>
                <w:szCs w:val="18"/>
              </w:rPr>
              <w:t>0.00233</w:t>
            </w:r>
          </w:p>
        </w:tc>
        <w:tc>
          <w:tcPr>
            <w:tcW w:w="991" w:type="dxa"/>
            <w:tcBorders>
              <w:top w:val="nil"/>
              <w:left w:val="nil"/>
              <w:bottom w:val="single" w:sz="8" w:space="0" w:color="auto"/>
              <w:right w:val="single" w:sz="8" w:space="0" w:color="auto"/>
            </w:tcBorders>
            <w:shd w:val="clear" w:color="auto" w:fill="auto"/>
            <w:vAlign w:val="center"/>
            <w:hideMark/>
          </w:tcPr>
          <w:p w:rsidR="00E757AB" w:rsidRPr="00E757AB" w:rsidRDefault="00E757AB" w:rsidP="00E757AB">
            <w:pPr>
              <w:overflowPunct/>
              <w:autoSpaceDE/>
              <w:autoSpaceDN/>
              <w:adjustRightInd/>
              <w:spacing w:before="60" w:after="60" w:line="264" w:lineRule="auto"/>
              <w:jc w:val="right"/>
              <w:textAlignment w:val="auto"/>
              <w:rPr>
                <w:rFonts w:cs="Arial"/>
                <w:color w:val="000000"/>
                <w:sz w:val="18"/>
                <w:szCs w:val="18"/>
              </w:rPr>
            </w:pPr>
            <w:r w:rsidRPr="00E757AB">
              <w:rPr>
                <w:rFonts w:cs="Arial"/>
                <w:color w:val="000000"/>
                <w:sz w:val="18"/>
                <w:szCs w:val="18"/>
              </w:rPr>
              <w:t>12</w:t>
            </w:r>
            <w:r>
              <w:rPr>
                <w:rFonts w:cs="Arial"/>
                <w:color w:val="000000"/>
                <w:sz w:val="18"/>
                <w:szCs w:val="18"/>
              </w:rPr>
              <w:t>.0</w:t>
            </w:r>
          </w:p>
        </w:tc>
      </w:tr>
    </w:tbl>
    <w:p w:rsidR="00E757AB" w:rsidRPr="00174BBD" w:rsidRDefault="00E757AB" w:rsidP="00E757AB">
      <w:pPr>
        <w:pStyle w:val="BodyText"/>
      </w:pPr>
    </w:p>
    <w:p w:rsidR="00E757AB" w:rsidRPr="001D7420" w:rsidRDefault="00E757AB" w:rsidP="00E757AB">
      <w:pPr>
        <w:keepNext/>
        <w:rPr>
          <w:b/>
        </w:rPr>
      </w:pPr>
      <w:r w:rsidRPr="001D7420">
        <w:rPr>
          <w:b/>
        </w:rPr>
        <w:t>Sources:</w:t>
      </w:r>
    </w:p>
    <w:p w:rsidR="00E757AB" w:rsidRDefault="00E757AB" w:rsidP="0005632A">
      <w:pPr>
        <w:pStyle w:val="source1"/>
        <w:numPr>
          <w:ilvl w:val="0"/>
          <w:numId w:val="90"/>
        </w:numPr>
      </w:pPr>
      <w:r w:rsidRPr="00F563CA">
        <w:t>Southern California Edison Company, “</w:t>
      </w:r>
      <w:r w:rsidRPr="00E4355E">
        <w:t>Insulation of Bare Refrigeration Suction Lines</w:t>
      </w:r>
      <w:r w:rsidRPr="00F563CA">
        <w:t xml:space="preserve">”, Work Paper </w:t>
      </w:r>
      <w:r w:rsidRPr="00E4355E">
        <w:t>WPSCNRRN0003.1</w:t>
      </w:r>
    </w:p>
    <w:p w:rsidR="00E757AB" w:rsidRDefault="00E757AB" w:rsidP="00871FA2">
      <w:pPr>
        <w:pStyle w:val="Heading3"/>
      </w:pPr>
      <w:r>
        <w:t>Measure Life</w:t>
      </w:r>
    </w:p>
    <w:p w:rsidR="00E757AB" w:rsidRPr="00922A0D" w:rsidRDefault="00E757AB" w:rsidP="00871FA2">
      <w:r>
        <w:t xml:space="preserve">The expected measure life is </w:t>
      </w:r>
      <w:r w:rsidRPr="00930F39">
        <w:t>11 years</w:t>
      </w:r>
      <w:r w:rsidRPr="00BF5BB5">
        <w:rPr>
          <w:rStyle w:val="FootnoteReference"/>
        </w:rPr>
        <w:footnoteReference w:id="222"/>
      </w:r>
      <w:r w:rsidRPr="00930F39">
        <w:rPr>
          <w:vertAlign w:val="superscript"/>
        </w:rPr>
        <w:t>,</w:t>
      </w:r>
      <w:r w:rsidRPr="00BF5BB5">
        <w:rPr>
          <w:rStyle w:val="FootnoteReference"/>
        </w:rPr>
        <w:footnoteReference w:id="223"/>
      </w:r>
      <w:r>
        <w:t>.</w:t>
      </w:r>
    </w:p>
    <w:p w:rsidR="00B20792" w:rsidRDefault="00B20792" w:rsidP="00B20792">
      <w:pPr>
        <w:pStyle w:val="Heading2"/>
      </w:pPr>
      <w:r>
        <w:br w:type="page"/>
      </w:r>
      <w:bookmarkStart w:id="1287" w:name="_Toc310875465"/>
      <w:r>
        <w:t>Refrigeration</w:t>
      </w:r>
      <w:r w:rsidR="00500CAF">
        <w:t xml:space="preserve"> –</w:t>
      </w:r>
      <w:r>
        <w:t xml:space="preserve"> Evaporator Fan Controllers</w:t>
      </w:r>
      <w:bookmarkEnd w:id="1287"/>
    </w:p>
    <w:p w:rsidR="00B20792" w:rsidRDefault="00B20792" w:rsidP="00F05DC2">
      <w:r w:rsidRPr="00110E7D">
        <w:t xml:space="preserve">This measure is for the installation of </w:t>
      </w:r>
      <w:r>
        <w:t xml:space="preserve">evaporator fan </w:t>
      </w:r>
      <w:r w:rsidRPr="00110E7D">
        <w:t>controls</w:t>
      </w:r>
      <w:r>
        <w:rPr>
          <w:rStyle w:val="FootnoteReference"/>
        </w:rPr>
        <w:footnoteReference w:id="224"/>
      </w:r>
      <w:r w:rsidRPr="00110E7D">
        <w:t xml:space="preserve"> in medium-temperature walk-in coolers</w:t>
      </w:r>
      <w:r>
        <w:t xml:space="preserve"> with no pre-existing controls. Evaporator fans run constantly to provide cooling when the compressor is running, and to provide air circulation when the compressor is not running. </w:t>
      </w:r>
      <w:r w:rsidR="005F2E22">
        <w:t>The equations specified in th</w:t>
      </w:r>
      <w:r w:rsidR="008761A2">
        <w:t>e Algorithms</w:t>
      </w:r>
      <w:r w:rsidR="005F2E22">
        <w:t xml:space="preserve"> section are for fans that are turned off and/or cycled.</w:t>
      </w:r>
      <w:r>
        <w:t xml:space="preserve">A fan controller saves energy by reducing fan usage, by reducing the refrigeration load resulting from the heat given off by the fan and by reducing compressor energy resulting from the electronic temperature control. This protocol documents the energy savings attributed to evaporator fan controls.  </w:t>
      </w:r>
    </w:p>
    <w:p w:rsidR="00B20792" w:rsidRDefault="00B20792" w:rsidP="00871FA2">
      <w:pPr>
        <w:pStyle w:val="Heading3"/>
      </w:pPr>
      <w:r>
        <w:t>Eligibility</w:t>
      </w:r>
    </w:p>
    <w:p w:rsidR="00B20792" w:rsidRDefault="00B20792" w:rsidP="00F05DC2">
      <w:r w:rsidRPr="002E1D8D">
        <w:t>This protocol documents the energy savings attribut</w:t>
      </w:r>
      <w:r>
        <w:t>ed</w:t>
      </w:r>
      <w:r w:rsidRPr="002E1D8D">
        <w:t xml:space="preserve"> to</w:t>
      </w:r>
      <w:r>
        <w:t xml:space="preserve"> installation of evaporator fan controls in medium-temperature walk-in coolers </w:t>
      </w:r>
      <w:r w:rsidR="00BE3E91">
        <w:t>and</w:t>
      </w:r>
      <w:r>
        <w:t xml:space="preserve"> low temperature walk-in </w:t>
      </w:r>
      <w:r w:rsidR="00EB6C4E">
        <w:t>freezers</w:t>
      </w:r>
      <w:r>
        <w:t>.</w:t>
      </w:r>
    </w:p>
    <w:p w:rsidR="00B20792" w:rsidRPr="001C4AD5" w:rsidRDefault="00B20792" w:rsidP="00871FA2">
      <w:pPr>
        <w:pStyle w:val="Heading3"/>
      </w:pPr>
      <w:r w:rsidRPr="001C4AD5">
        <w:t>Algorithms</w:t>
      </w:r>
      <w:r>
        <w:rPr>
          <w:rStyle w:val="FootnoteReference"/>
        </w:rPr>
        <w:footnoteReference w:id="225"/>
      </w:r>
      <w:r>
        <w:t xml:space="preserve"> </w:t>
      </w:r>
    </w:p>
    <w:p w:rsidR="00B20792" w:rsidRPr="006E2B3E" w:rsidRDefault="00B20792" w:rsidP="00B20792">
      <w:pPr>
        <w:pStyle w:val="Equation"/>
        <w:rPr>
          <w:rFonts w:cs="Arial"/>
          <w:szCs w:val="20"/>
          <w:vertAlign w:val="subscript"/>
        </w:rPr>
      </w:pPr>
      <w:r w:rsidRPr="006E2B3E">
        <w:rPr>
          <w:rFonts w:cs="Arial"/>
          <w:szCs w:val="20"/>
        </w:rPr>
        <w:t xml:space="preserve">∆kWh </w:t>
      </w:r>
      <w:r w:rsidRPr="006E2B3E">
        <w:rPr>
          <w:rFonts w:cs="Arial"/>
          <w:szCs w:val="20"/>
        </w:rPr>
        <w:tab/>
      </w:r>
      <w:r w:rsidRPr="006E2B3E">
        <w:rPr>
          <w:rFonts w:cs="Arial"/>
          <w:szCs w:val="20"/>
        </w:rPr>
        <w:tab/>
        <w:t>= ∆kWh</w:t>
      </w:r>
      <w:r w:rsidRPr="006E2B3E">
        <w:rPr>
          <w:rFonts w:cs="Arial"/>
          <w:szCs w:val="20"/>
          <w:vertAlign w:val="subscript"/>
        </w:rPr>
        <w:t>Fan</w:t>
      </w:r>
      <w:r w:rsidRPr="006E2B3E">
        <w:rPr>
          <w:rFonts w:cs="Arial"/>
          <w:szCs w:val="20"/>
        </w:rPr>
        <w:t xml:space="preserve"> + ∆kWh</w:t>
      </w:r>
      <w:r w:rsidRPr="006E2B3E">
        <w:rPr>
          <w:rFonts w:cs="Arial"/>
          <w:szCs w:val="20"/>
          <w:vertAlign w:val="subscript"/>
        </w:rPr>
        <w:t>Heat</w:t>
      </w:r>
      <w:r w:rsidRPr="006E2B3E">
        <w:rPr>
          <w:rFonts w:cs="Arial"/>
          <w:szCs w:val="20"/>
        </w:rPr>
        <w:t xml:space="preserve"> +∆kWh</w:t>
      </w:r>
      <w:r w:rsidRPr="006E2B3E">
        <w:rPr>
          <w:rFonts w:cs="Arial"/>
          <w:szCs w:val="20"/>
          <w:vertAlign w:val="subscript"/>
        </w:rPr>
        <w:t>Control</w:t>
      </w:r>
    </w:p>
    <w:p w:rsidR="00B20792" w:rsidRPr="006E2B3E" w:rsidRDefault="00B20792" w:rsidP="00B20792">
      <w:pPr>
        <w:pStyle w:val="Equation"/>
        <w:rPr>
          <w:rFonts w:cs="Arial"/>
          <w:szCs w:val="20"/>
        </w:rPr>
      </w:pPr>
      <w:r w:rsidRPr="006E2B3E">
        <w:rPr>
          <w:rFonts w:cs="Arial"/>
          <w:szCs w:val="20"/>
        </w:rPr>
        <w:t>∆kWh</w:t>
      </w:r>
      <w:r w:rsidRPr="006E2B3E">
        <w:rPr>
          <w:rFonts w:cs="Arial"/>
          <w:szCs w:val="20"/>
          <w:vertAlign w:val="subscript"/>
        </w:rPr>
        <w:t>Fan</w:t>
      </w:r>
      <w:r w:rsidRPr="006E2B3E">
        <w:rPr>
          <w:rFonts w:cs="Arial"/>
          <w:szCs w:val="20"/>
        </w:rPr>
        <w:t xml:space="preserve">  </w:t>
      </w:r>
      <w:r>
        <w:rPr>
          <w:rFonts w:cs="Arial"/>
          <w:szCs w:val="20"/>
        </w:rPr>
        <w:tab/>
      </w:r>
      <w:r w:rsidRPr="006E2B3E">
        <w:rPr>
          <w:rFonts w:cs="Arial"/>
          <w:szCs w:val="20"/>
        </w:rPr>
        <w:t>= kW</w:t>
      </w:r>
      <w:r w:rsidRPr="006E2B3E">
        <w:rPr>
          <w:rFonts w:cs="Arial"/>
          <w:szCs w:val="20"/>
          <w:vertAlign w:val="subscript"/>
        </w:rPr>
        <w:t>Fan</w:t>
      </w:r>
      <w:r w:rsidRPr="006E2B3E">
        <w:rPr>
          <w:rFonts w:cs="Arial"/>
          <w:szCs w:val="20"/>
        </w:rPr>
        <w:t xml:space="preserve"> </w:t>
      </w:r>
      <w:r>
        <w:rPr>
          <w:rFonts w:cs="Arial"/>
          <w:szCs w:val="20"/>
        </w:rPr>
        <w:t>X</w:t>
      </w:r>
      <w:r w:rsidRPr="006E2B3E">
        <w:rPr>
          <w:rFonts w:cs="Arial"/>
          <w:szCs w:val="20"/>
        </w:rPr>
        <w:t xml:space="preserve"> 8760</w:t>
      </w:r>
      <w:r>
        <w:rPr>
          <w:rFonts w:cs="Arial"/>
          <w:szCs w:val="20"/>
        </w:rPr>
        <w:t xml:space="preserve"> X</w:t>
      </w:r>
      <w:r w:rsidRPr="006E2B3E">
        <w:rPr>
          <w:rFonts w:cs="Arial"/>
          <w:szCs w:val="20"/>
        </w:rPr>
        <w:t xml:space="preserve"> %Off</w:t>
      </w:r>
    </w:p>
    <w:p w:rsidR="00B20792" w:rsidRPr="006E2B3E" w:rsidRDefault="00B20792" w:rsidP="00B20792">
      <w:pPr>
        <w:pStyle w:val="Equation"/>
        <w:rPr>
          <w:rFonts w:cs="Arial"/>
          <w:szCs w:val="20"/>
        </w:rPr>
      </w:pPr>
      <w:r w:rsidRPr="006E2B3E">
        <w:rPr>
          <w:rFonts w:cs="Arial"/>
          <w:szCs w:val="20"/>
        </w:rPr>
        <w:t>∆kWh</w:t>
      </w:r>
      <w:r w:rsidRPr="006E2B3E">
        <w:rPr>
          <w:rFonts w:cs="Arial"/>
          <w:szCs w:val="20"/>
          <w:vertAlign w:val="subscript"/>
        </w:rPr>
        <w:t>Heat</w:t>
      </w:r>
      <w:r w:rsidRPr="006E2B3E">
        <w:rPr>
          <w:rFonts w:cs="Arial"/>
          <w:szCs w:val="20"/>
        </w:rPr>
        <w:t xml:space="preserve"> </w:t>
      </w:r>
      <w:r>
        <w:rPr>
          <w:rFonts w:cs="Arial"/>
          <w:szCs w:val="20"/>
        </w:rPr>
        <w:tab/>
      </w:r>
      <w:r w:rsidRPr="006E2B3E">
        <w:rPr>
          <w:rFonts w:cs="Arial"/>
          <w:szCs w:val="20"/>
        </w:rPr>
        <w:t>= ∆kWh</w:t>
      </w:r>
      <w:r w:rsidRPr="006E2B3E">
        <w:rPr>
          <w:rFonts w:cs="Arial"/>
          <w:szCs w:val="20"/>
          <w:vertAlign w:val="subscript"/>
        </w:rPr>
        <w:t>Fan</w:t>
      </w:r>
      <w:r w:rsidRPr="006E2B3E">
        <w:rPr>
          <w:rFonts w:cs="Arial"/>
          <w:szCs w:val="20"/>
        </w:rPr>
        <w:t xml:space="preserve"> X 0.28 </w:t>
      </w:r>
      <w:r>
        <w:rPr>
          <w:rFonts w:cs="Arial"/>
          <w:szCs w:val="20"/>
        </w:rPr>
        <w:t>X</w:t>
      </w:r>
      <w:r w:rsidRPr="006E2B3E">
        <w:rPr>
          <w:rFonts w:cs="Arial"/>
          <w:szCs w:val="20"/>
        </w:rPr>
        <w:t xml:space="preserve"> Eff</w:t>
      </w:r>
      <w:r w:rsidRPr="006E2B3E">
        <w:rPr>
          <w:rFonts w:cs="Arial"/>
          <w:szCs w:val="20"/>
          <w:vertAlign w:val="subscript"/>
        </w:rPr>
        <w:t xml:space="preserve"> RS</w:t>
      </w:r>
    </w:p>
    <w:p w:rsidR="00B20792" w:rsidRPr="006E2B3E" w:rsidRDefault="00B20792" w:rsidP="00B20792">
      <w:pPr>
        <w:pStyle w:val="Equation"/>
        <w:rPr>
          <w:rFonts w:cs="Arial"/>
          <w:szCs w:val="20"/>
        </w:rPr>
      </w:pPr>
      <w:r w:rsidRPr="006E2B3E">
        <w:rPr>
          <w:rFonts w:cs="Arial"/>
          <w:szCs w:val="20"/>
        </w:rPr>
        <w:t>∆kWh</w:t>
      </w:r>
      <w:r w:rsidRPr="006E2B3E">
        <w:rPr>
          <w:rFonts w:cs="Arial"/>
          <w:szCs w:val="20"/>
          <w:vertAlign w:val="subscript"/>
        </w:rPr>
        <w:t>Control</w:t>
      </w:r>
      <w:r w:rsidRPr="006E2B3E">
        <w:rPr>
          <w:rFonts w:cs="Arial"/>
          <w:szCs w:val="20"/>
        </w:rPr>
        <w:t xml:space="preserve">  </w:t>
      </w:r>
      <w:r w:rsidRPr="006E2B3E">
        <w:rPr>
          <w:rFonts w:cs="Arial"/>
          <w:szCs w:val="20"/>
        </w:rPr>
        <w:tab/>
        <w:t>= [kW</w:t>
      </w:r>
      <w:r w:rsidRPr="006E2B3E">
        <w:rPr>
          <w:rFonts w:cs="Arial"/>
          <w:szCs w:val="20"/>
          <w:vertAlign w:val="subscript"/>
        </w:rPr>
        <w:t>CP</w:t>
      </w:r>
      <w:r w:rsidRPr="006E2B3E">
        <w:rPr>
          <w:rFonts w:cs="Arial"/>
          <w:szCs w:val="20"/>
        </w:rPr>
        <w:t xml:space="preserve"> X Hours</w:t>
      </w:r>
      <w:r w:rsidRPr="006E2B3E">
        <w:rPr>
          <w:rFonts w:cs="Arial"/>
          <w:szCs w:val="20"/>
          <w:vertAlign w:val="subscript"/>
        </w:rPr>
        <w:t>CP</w:t>
      </w:r>
      <w:r w:rsidRPr="006E2B3E">
        <w:rPr>
          <w:rFonts w:cs="Arial"/>
          <w:szCs w:val="20"/>
        </w:rPr>
        <w:t xml:space="preserve"> + kW</w:t>
      </w:r>
      <w:r w:rsidRPr="006E2B3E">
        <w:rPr>
          <w:rFonts w:cs="Arial"/>
          <w:szCs w:val="20"/>
          <w:vertAlign w:val="subscript"/>
        </w:rPr>
        <w:t>Fan</w:t>
      </w:r>
      <w:r w:rsidRPr="006E2B3E">
        <w:rPr>
          <w:rFonts w:cs="Arial"/>
          <w:szCs w:val="20"/>
        </w:rPr>
        <w:t xml:space="preserve"> </w:t>
      </w:r>
      <w:r>
        <w:rPr>
          <w:rFonts w:cs="Arial"/>
          <w:szCs w:val="20"/>
        </w:rPr>
        <w:t xml:space="preserve">X </w:t>
      </w:r>
      <w:r w:rsidRPr="006E2B3E">
        <w:rPr>
          <w:rFonts w:cs="Arial"/>
          <w:szCs w:val="20"/>
        </w:rPr>
        <w:t>8760</w:t>
      </w:r>
      <w:r>
        <w:rPr>
          <w:rFonts w:cs="Arial"/>
          <w:szCs w:val="20"/>
        </w:rPr>
        <w:t xml:space="preserve"> X</w:t>
      </w:r>
      <w:r w:rsidRPr="006E2B3E">
        <w:rPr>
          <w:rFonts w:cs="Arial"/>
          <w:szCs w:val="20"/>
        </w:rPr>
        <w:t xml:space="preserve"> (1 − %Off)]</w:t>
      </w:r>
      <w:r>
        <w:rPr>
          <w:rFonts w:cs="Arial"/>
          <w:szCs w:val="20"/>
        </w:rPr>
        <w:t xml:space="preserve"> X</w:t>
      </w:r>
      <w:r w:rsidRPr="006E2B3E">
        <w:rPr>
          <w:rFonts w:cs="Arial"/>
          <w:szCs w:val="20"/>
        </w:rPr>
        <w:t xml:space="preserve"> 5%</w:t>
      </w:r>
    </w:p>
    <w:p w:rsidR="00B20792" w:rsidRPr="00EC1F37" w:rsidRDefault="00B20792" w:rsidP="00B20792">
      <w:pPr>
        <w:pStyle w:val="Equation"/>
        <w:rPr>
          <w:rFonts w:cs="Arial"/>
          <w:szCs w:val="20"/>
        </w:rPr>
      </w:pPr>
      <w:r w:rsidRPr="006E2B3E">
        <w:rPr>
          <w:rFonts w:cs="Arial"/>
          <w:szCs w:val="20"/>
        </w:rPr>
        <w:t xml:space="preserve">∆kW </w:t>
      </w:r>
      <w:r w:rsidRPr="006E2B3E">
        <w:rPr>
          <w:rFonts w:cs="Arial"/>
          <w:szCs w:val="20"/>
        </w:rPr>
        <w:tab/>
      </w:r>
      <w:r w:rsidRPr="006E2B3E">
        <w:rPr>
          <w:rFonts w:cs="Arial"/>
          <w:szCs w:val="20"/>
        </w:rPr>
        <w:tab/>
        <w:t>= ∆kWh / 8760</w:t>
      </w:r>
    </w:p>
    <w:p w:rsidR="00B20792" w:rsidRPr="00BE0B10" w:rsidRDefault="00B20792" w:rsidP="00871FA2">
      <w:pPr>
        <w:pStyle w:val="Heading3"/>
      </w:pPr>
      <w:r w:rsidRPr="001C4AD5">
        <w:t xml:space="preserve">Definition of </w:t>
      </w:r>
      <w:r>
        <w:t>Terms</w:t>
      </w:r>
    </w:p>
    <w:p w:rsidR="00B20792" w:rsidRPr="003C1CCF" w:rsidRDefault="00B20792" w:rsidP="00B20792">
      <w:pPr>
        <w:pStyle w:val="Equation"/>
        <w:rPr>
          <w:rFonts w:cs="Arial"/>
          <w:w w:val="101"/>
          <w:szCs w:val="20"/>
        </w:rPr>
      </w:pPr>
      <w:r>
        <w:rPr>
          <w:rFonts w:cs="Arial"/>
          <w:spacing w:val="-1"/>
          <w:position w:val="1"/>
          <w:szCs w:val="20"/>
        </w:rPr>
        <w:tab/>
      </w:r>
      <w:r w:rsidRPr="003C1CCF">
        <w:rPr>
          <w:rFonts w:cs="Arial"/>
          <w:spacing w:val="-1"/>
          <w:position w:val="1"/>
          <w:szCs w:val="20"/>
        </w:rPr>
        <w:t>∆</w:t>
      </w:r>
      <w:r w:rsidRPr="003C1CCF">
        <w:rPr>
          <w:rFonts w:cs="Arial"/>
          <w:spacing w:val="-2"/>
          <w:w w:val="101"/>
          <w:position w:val="1"/>
          <w:szCs w:val="20"/>
        </w:rPr>
        <w:t>k</w:t>
      </w:r>
      <w:r w:rsidRPr="003C1CCF">
        <w:rPr>
          <w:rFonts w:cs="Arial"/>
          <w:spacing w:val="-5"/>
          <w:w w:val="102"/>
          <w:position w:val="1"/>
          <w:szCs w:val="20"/>
        </w:rPr>
        <w:t>W</w:t>
      </w:r>
      <w:r w:rsidRPr="003C1CCF">
        <w:rPr>
          <w:rFonts w:cs="Arial"/>
          <w:spacing w:val="3"/>
          <w:w w:val="101"/>
          <w:position w:val="1"/>
          <w:szCs w:val="20"/>
        </w:rPr>
        <w:t>h</w:t>
      </w:r>
      <w:r w:rsidRPr="003C1CCF">
        <w:rPr>
          <w:rFonts w:cs="Arial"/>
          <w:spacing w:val="-2"/>
          <w:position w:val="-2"/>
          <w:szCs w:val="20"/>
          <w:vertAlign w:val="subscript"/>
        </w:rPr>
        <w:t>F</w:t>
      </w:r>
      <w:r w:rsidRPr="003C1CCF">
        <w:rPr>
          <w:rFonts w:cs="Arial"/>
          <w:spacing w:val="-5"/>
          <w:w w:val="101"/>
          <w:position w:val="-2"/>
          <w:szCs w:val="20"/>
          <w:vertAlign w:val="subscript"/>
        </w:rPr>
        <w:t>a</w:t>
      </w:r>
      <w:r w:rsidRPr="003C1CCF">
        <w:rPr>
          <w:rFonts w:cs="Arial"/>
          <w:position w:val="-2"/>
          <w:szCs w:val="20"/>
          <w:vertAlign w:val="subscript"/>
        </w:rPr>
        <w:t>n</w:t>
      </w:r>
      <w:r w:rsidRPr="003C1CCF">
        <w:rPr>
          <w:rFonts w:cs="Arial"/>
          <w:position w:val="-2"/>
          <w:szCs w:val="20"/>
        </w:rPr>
        <w:t xml:space="preserve"> </w:t>
      </w:r>
      <w:r w:rsidRPr="003C1CCF">
        <w:rPr>
          <w:rFonts w:cs="Arial"/>
          <w:position w:val="-2"/>
          <w:szCs w:val="20"/>
        </w:rPr>
        <w:tab/>
      </w:r>
      <w:r w:rsidRPr="003C1CCF">
        <w:rPr>
          <w:rFonts w:cs="Arial"/>
          <w:w w:val="102"/>
          <w:szCs w:val="20"/>
        </w:rPr>
        <w:t xml:space="preserve">= </w:t>
      </w:r>
      <w:r w:rsidRPr="003C1CCF">
        <w:rPr>
          <w:rFonts w:cs="Arial"/>
          <w:spacing w:val="-3"/>
          <w:szCs w:val="20"/>
        </w:rPr>
        <w:t>E</w:t>
      </w:r>
      <w:r w:rsidRPr="003C1CCF">
        <w:rPr>
          <w:rFonts w:cs="Arial"/>
          <w:spacing w:val="3"/>
          <w:szCs w:val="20"/>
        </w:rPr>
        <w:t>n</w:t>
      </w:r>
      <w:r w:rsidRPr="003C1CCF">
        <w:rPr>
          <w:rFonts w:cs="Arial"/>
          <w:spacing w:val="-4"/>
          <w:szCs w:val="20"/>
        </w:rPr>
        <w:t>e</w:t>
      </w:r>
      <w:r w:rsidRPr="003C1CCF">
        <w:rPr>
          <w:rFonts w:cs="Arial"/>
          <w:spacing w:val="-3"/>
          <w:szCs w:val="20"/>
        </w:rPr>
        <w:t>r</w:t>
      </w:r>
      <w:r w:rsidRPr="003C1CCF">
        <w:rPr>
          <w:rFonts w:cs="Arial"/>
          <w:spacing w:val="-2"/>
          <w:szCs w:val="20"/>
        </w:rPr>
        <w:t>g</w:t>
      </w:r>
      <w:r w:rsidRPr="003C1CCF">
        <w:rPr>
          <w:rFonts w:cs="Arial"/>
          <w:szCs w:val="20"/>
        </w:rPr>
        <w:t>y</w:t>
      </w:r>
      <w:r w:rsidRPr="003C1CCF">
        <w:rPr>
          <w:rFonts w:cs="Arial"/>
          <w:spacing w:val="2"/>
          <w:szCs w:val="20"/>
        </w:rPr>
        <w:t xml:space="preserve"> </w:t>
      </w:r>
      <w:r w:rsidRPr="003C1CCF">
        <w:rPr>
          <w:rFonts w:cs="Arial"/>
          <w:spacing w:val="-1"/>
          <w:szCs w:val="20"/>
        </w:rPr>
        <w:t>s</w:t>
      </w:r>
      <w:r w:rsidRPr="003C1CCF">
        <w:rPr>
          <w:rFonts w:cs="Arial"/>
          <w:spacing w:val="-4"/>
          <w:szCs w:val="20"/>
        </w:rPr>
        <w:t>a</w:t>
      </w:r>
      <w:r w:rsidRPr="003C1CCF">
        <w:rPr>
          <w:rFonts w:cs="Arial"/>
          <w:spacing w:val="-7"/>
          <w:szCs w:val="20"/>
        </w:rPr>
        <w:t>v</w:t>
      </w:r>
      <w:r w:rsidRPr="003C1CCF">
        <w:rPr>
          <w:rFonts w:cs="Arial"/>
          <w:szCs w:val="20"/>
        </w:rPr>
        <w:t>i</w:t>
      </w:r>
      <w:r w:rsidRPr="003C1CCF">
        <w:rPr>
          <w:rFonts w:cs="Arial"/>
          <w:spacing w:val="3"/>
          <w:szCs w:val="20"/>
        </w:rPr>
        <w:t>n</w:t>
      </w:r>
      <w:r w:rsidRPr="003C1CCF">
        <w:rPr>
          <w:rFonts w:cs="Arial"/>
          <w:spacing w:val="-2"/>
          <w:szCs w:val="20"/>
        </w:rPr>
        <w:t>g</w:t>
      </w:r>
      <w:r w:rsidRPr="003C1CCF">
        <w:rPr>
          <w:rFonts w:cs="Arial"/>
          <w:szCs w:val="20"/>
        </w:rPr>
        <w:t>s</w:t>
      </w:r>
      <w:r w:rsidRPr="003C1CCF">
        <w:rPr>
          <w:rFonts w:cs="Arial"/>
          <w:spacing w:val="3"/>
          <w:szCs w:val="20"/>
        </w:rPr>
        <w:t xml:space="preserve"> </w:t>
      </w:r>
      <w:r w:rsidRPr="003C1CCF">
        <w:rPr>
          <w:rFonts w:cs="Arial"/>
          <w:spacing w:val="-2"/>
          <w:szCs w:val="20"/>
        </w:rPr>
        <w:t>d</w:t>
      </w:r>
      <w:r w:rsidRPr="003C1CCF">
        <w:rPr>
          <w:rFonts w:cs="Arial"/>
          <w:spacing w:val="3"/>
          <w:szCs w:val="20"/>
        </w:rPr>
        <w:t>u</w:t>
      </w:r>
      <w:r w:rsidRPr="003C1CCF">
        <w:rPr>
          <w:rFonts w:cs="Arial"/>
          <w:szCs w:val="20"/>
        </w:rPr>
        <w:t>e</w:t>
      </w:r>
      <w:r w:rsidRPr="003C1CCF">
        <w:rPr>
          <w:rFonts w:cs="Arial"/>
          <w:spacing w:val="-3"/>
          <w:szCs w:val="20"/>
        </w:rPr>
        <w:t xml:space="preserve"> </w:t>
      </w:r>
      <w:r w:rsidRPr="003C1CCF">
        <w:rPr>
          <w:rFonts w:cs="Arial"/>
          <w:szCs w:val="20"/>
        </w:rPr>
        <w:t>to</w:t>
      </w:r>
      <w:r w:rsidRPr="003C1CCF">
        <w:rPr>
          <w:rFonts w:cs="Arial"/>
          <w:spacing w:val="-2"/>
          <w:szCs w:val="20"/>
        </w:rPr>
        <w:t xml:space="preserve"> </w:t>
      </w:r>
      <w:r w:rsidRPr="003C1CCF">
        <w:rPr>
          <w:rFonts w:cs="Arial"/>
          <w:spacing w:val="-4"/>
          <w:szCs w:val="20"/>
        </w:rPr>
        <w:t>e</w:t>
      </w:r>
      <w:r w:rsidRPr="003C1CCF">
        <w:rPr>
          <w:rFonts w:cs="Arial"/>
          <w:spacing w:val="-7"/>
          <w:szCs w:val="20"/>
        </w:rPr>
        <w:t>v</w:t>
      </w:r>
      <w:r w:rsidRPr="003C1CCF">
        <w:rPr>
          <w:rFonts w:cs="Arial"/>
          <w:spacing w:val="-4"/>
          <w:szCs w:val="20"/>
        </w:rPr>
        <w:t>a</w:t>
      </w:r>
      <w:r w:rsidRPr="003C1CCF">
        <w:rPr>
          <w:rFonts w:cs="Arial"/>
          <w:spacing w:val="-2"/>
          <w:szCs w:val="20"/>
        </w:rPr>
        <w:t>po</w:t>
      </w:r>
      <w:r w:rsidRPr="003C1CCF">
        <w:rPr>
          <w:rFonts w:cs="Arial"/>
          <w:spacing w:val="2"/>
          <w:szCs w:val="20"/>
        </w:rPr>
        <w:t>r</w:t>
      </w:r>
      <w:r w:rsidRPr="003C1CCF">
        <w:rPr>
          <w:rFonts w:cs="Arial"/>
          <w:spacing w:val="-4"/>
          <w:szCs w:val="20"/>
        </w:rPr>
        <w:t>a</w:t>
      </w:r>
      <w:r w:rsidRPr="003C1CCF">
        <w:rPr>
          <w:rFonts w:cs="Arial"/>
          <w:szCs w:val="20"/>
        </w:rPr>
        <w:t>t</w:t>
      </w:r>
      <w:r w:rsidRPr="003C1CCF">
        <w:rPr>
          <w:rFonts w:cs="Arial"/>
          <w:spacing w:val="-2"/>
          <w:szCs w:val="20"/>
        </w:rPr>
        <w:t>o</w:t>
      </w:r>
      <w:r w:rsidRPr="003C1CCF">
        <w:rPr>
          <w:rFonts w:cs="Arial"/>
          <w:szCs w:val="20"/>
        </w:rPr>
        <w:t>r</w:t>
      </w:r>
      <w:r w:rsidRPr="003C1CCF">
        <w:rPr>
          <w:rFonts w:cs="Arial"/>
          <w:spacing w:val="13"/>
          <w:szCs w:val="20"/>
        </w:rPr>
        <w:t xml:space="preserve"> </w:t>
      </w:r>
      <w:r w:rsidRPr="003C1CCF">
        <w:rPr>
          <w:rFonts w:cs="Arial"/>
          <w:spacing w:val="-2"/>
          <w:szCs w:val="20"/>
        </w:rPr>
        <w:t>b</w:t>
      </w:r>
      <w:r w:rsidRPr="003C1CCF">
        <w:rPr>
          <w:rFonts w:cs="Arial"/>
          <w:spacing w:val="-4"/>
          <w:szCs w:val="20"/>
        </w:rPr>
        <w:t>e</w:t>
      </w:r>
      <w:r w:rsidRPr="003C1CCF">
        <w:rPr>
          <w:rFonts w:cs="Arial"/>
          <w:spacing w:val="-5"/>
          <w:szCs w:val="20"/>
        </w:rPr>
        <w:t>i</w:t>
      </w:r>
      <w:r w:rsidRPr="003C1CCF">
        <w:rPr>
          <w:rFonts w:cs="Arial"/>
          <w:spacing w:val="3"/>
          <w:szCs w:val="20"/>
        </w:rPr>
        <w:t>n</w:t>
      </w:r>
      <w:r w:rsidRPr="003C1CCF">
        <w:rPr>
          <w:rFonts w:cs="Arial"/>
          <w:szCs w:val="20"/>
        </w:rPr>
        <w:t xml:space="preserve">g </w:t>
      </w:r>
      <w:r w:rsidRPr="003C1CCF">
        <w:rPr>
          <w:rFonts w:cs="Arial"/>
          <w:spacing w:val="-6"/>
          <w:szCs w:val="20"/>
        </w:rPr>
        <w:t>s</w:t>
      </w:r>
      <w:r w:rsidRPr="003C1CCF">
        <w:rPr>
          <w:rFonts w:cs="Arial"/>
          <w:spacing w:val="-2"/>
          <w:szCs w:val="20"/>
        </w:rPr>
        <w:t>hu</w:t>
      </w:r>
      <w:r w:rsidRPr="003C1CCF">
        <w:rPr>
          <w:rFonts w:cs="Arial"/>
          <w:szCs w:val="20"/>
        </w:rPr>
        <w:t>t</w:t>
      </w:r>
      <w:r w:rsidRPr="003C1CCF">
        <w:rPr>
          <w:rFonts w:cs="Arial"/>
          <w:spacing w:val="5"/>
          <w:szCs w:val="20"/>
        </w:rPr>
        <w:t xml:space="preserve"> </w:t>
      </w:r>
      <w:r w:rsidRPr="003C1CCF">
        <w:rPr>
          <w:rFonts w:cs="Arial"/>
          <w:spacing w:val="-2"/>
          <w:w w:val="101"/>
          <w:szCs w:val="20"/>
        </w:rPr>
        <w:t>o</w:t>
      </w:r>
      <w:r w:rsidRPr="003C1CCF">
        <w:rPr>
          <w:rFonts w:cs="Arial"/>
          <w:spacing w:val="-7"/>
          <w:w w:val="101"/>
          <w:szCs w:val="20"/>
        </w:rPr>
        <w:t>f</w:t>
      </w:r>
      <w:r w:rsidRPr="003C1CCF">
        <w:rPr>
          <w:rFonts w:cs="Arial"/>
          <w:w w:val="101"/>
          <w:szCs w:val="20"/>
        </w:rPr>
        <w:t>f</w:t>
      </w:r>
    </w:p>
    <w:p w:rsidR="00B20792" w:rsidRPr="003C1CCF" w:rsidRDefault="00B20792" w:rsidP="00B20792">
      <w:pPr>
        <w:pStyle w:val="Equation"/>
        <w:rPr>
          <w:rFonts w:cs="Arial"/>
          <w:szCs w:val="20"/>
        </w:rPr>
      </w:pPr>
      <w:r>
        <w:rPr>
          <w:rFonts w:cs="Arial"/>
          <w:spacing w:val="-1"/>
          <w:position w:val="1"/>
          <w:szCs w:val="20"/>
        </w:rPr>
        <w:tab/>
      </w:r>
      <w:r w:rsidRPr="003C1CCF">
        <w:rPr>
          <w:rFonts w:cs="Arial"/>
          <w:spacing w:val="-1"/>
          <w:position w:val="1"/>
          <w:szCs w:val="20"/>
        </w:rPr>
        <w:t>∆</w:t>
      </w:r>
      <w:r w:rsidRPr="003C1CCF">
        <w:rPr>
          <w:rFonts w:cs="Arial"/>
          <w:spacing w:val="-2"/>
          <w:w w:val="101"/>
          <w:position w:val="1"/>
          <w:szCs w:val="20"/>
        </w:rPr>
        <w:t>k</w:t>
      </w:r>
      <w:r w:rsidRPr="003C1CCF">
        <w:rPr>
          <w:rFonts w:cs="Arial"/>
          <w:spacing w:val="-5"/>
          <w:w w:val="102"/>
          <w:position w:val="1"/>
          <w:szCs w:val="20"/>
        </w:rPr>
        <w:t>W</w:t>
      </w:r>
      <w:r w:rsidRPr="003C1CCF">
        <w:rPr>
          <w:rFonts w:cs="Arial"/>
          <w:spacing w:val="3"/>
          <w:w w:val="101"/>
          <w:position w:val="1"/>
          <w:szCs w:val="20"/>
        </w:rPr>
        <w:t>h</w:t>
      </w:r>
      <w:r>
        <w:rPr>
          <w:rFonts w:cs="Arial"/>
          <w:spacing w:val="3"/>
          <w:w w:val="101"/>
          <w:position w:val="1"/>
          <w:szCs w:val="20"/>
          <w:vertAlign w:val="subscript"/>
        </w:rPr>
        <w:t>Heat</w:t>
      </w:r>
      <w:r>
        <w:rPr>
          <w:rFonts w:cs="Arial"/>
          <w:spacing w:val="3"/>
          <w:w w:val="101"/>
          <w:position w:val="1"/>
          <w:szCs w:val="20"/>
        </w:rPr>
        <w:tab/>
        <w:t>= Heat energy savings due to reduced heat from evaporator fans</w:t>
      </w:r>
    </w:p>
    <w:p w:rsidR="00B20792" w:rsidRPr="003C1CCF" w:rsidRDefault="00B20792" w:rsidP="00B20792">
      <w:pPr>
        <w:pStyle w:val="Equation"/>
        <w:rPr>
          <w:rFonts w:cs="Arial"/>
          <w:szCs w:val="20"/>
        </w:rPr>
      </w:pPr>
      <w:r>
        <w:rPr>
          <w:rFonts w:cs="Arial"/>
          <w:spacing w:val="-1"/>
          <w:position w:val="1"/>
          <w:szCs w:val="20"/>
        </w:rPr>
        <w:tab/>
      </w:r>
      <w:r w:rsidRPr="003C1CCF">
        <w:rPr>
          <w:rFonts w:cs="Arial"/>
          <w:spacing w:val="-1"/>
          <w:position w:val="1"/>
          <w:szCs w:val="20"/>
        </w:rPr>
        <w:t>∆</w:t>
      </w:r>
      <w:r w:rsidRPr="003C1CCF">
        <w:rPr>
          <w:rFonts w:cs="Arial"/>
          <w:spacing w:val="-2"/>
          <w:w w:val="101"/>
          <w:position w:val="1"/>
          <w:szCs w:val="20"/>
        </w:rPr>
        <w:t>k</w:t>
      </w:r>
      <w:r w:rsidRPr="003C1CCF">
        <w:rPr>
          <w:rFonts w:cs="Arial"/>
          <w:spacing w:val="-5"/>
          <w:w w:val="102"/>
          <w:position w:val="1"/>
          <w:szCs w:val="20"/>
        </w:rPr>
        <w:t>W</w:t>
      </w:r>
      <w:r w:rsidRPr="003C1CCF">
        <w:rPr>
          <w:rFonts w:cs="Arial"/>
          <w:spacing w:val="3"/>
          <w:w w:val="101"/>
          <w:position w:val="1"/>
          <w:szCs w:val="20"/>
        </w:rPr>
        <w:t>h</w:t>
      </w:r>
      <w:r>
        <w:rPr>
          <w:rFonts w:cs="Arial"/>
          <w:spacing w:val="3"/>
          <w:w w:val="101"/>
          <w:position w:val="1"/>
          <w:szCs w:val="20"/>
          <w:vertAlign w:val="subscript"/>
        </w:rPr>
        <w:t>Control</w:t>
      </w:r>
      <w:r>
        <w:rPr>
          <w:rFonts w:cs="Arial"/>
          <w:spacing w:val="3"/>
          <w:w w:val="101"/>
          <w:position w:val="1"/>
          <w:szCs w:val="20"/>
        </w:rPr>
        <w:tab/>
        <w:t>= Control energy savings due to electronic controls on compressor and evaporator</w:t>
      </w:r>
    </w:p>
    <w:p w:rsidR="00B20792" w:rsidRPr="003C1CCF" w:rsidRDefault="00B20792" w:rsidP="00B20792">
      <w:pPr>
        <w:pStyle w:val="Equation"/>
        <w:rPr>
          <w:rFonts w:cs="Arial"/>
          <w:szCs w:val="20"/>
        </w:rPr>
      </w:pPr>
      <w:r>
        <w:rPr>
          <w:rFonts w:cs="Arial"/>
          <w:spacing w:val="-2"/>
          <w:w w:val="101"/>
          <w:szCs w:val="20"/>
        </w:rPr>
        <w:tab/>
      </w:r>
      <w:r w:rsidRPr="003C1CCF">
        <w:rPr>
          <w:rFonts w:cs="Arial"/>
          <w:spacing w:val="-2"/>
          <w:w w:val="101"/>
          <w:szCs w:val="20"/>
        </w:rPr>
        <w:t>k</w:t>
      </w:r>
      <w:r w:rsidRPr="003C1CCF">
        <w:rPr>
          <w:rFonts w:cs="Arial"/>
          <w:spacing w:val="-1"/>
          <w:w w:val="102"/>
          <w:szCs w:val="20"/>
        </w:rPr>
        <w:t>W</w:t>
      </w:r>
      <w:r w:rsidRPr="003C1CCF">
        <w:rPr>
          <w:rFonts w:cs="Arial"/>
          <w:spacing w:val="-2"/>
          <w:position w:val="-2"/>
          <w:szCs w:val="20"/>
          <w:vertAlign w:val="subscript"/>
        </w:rPr>
        <w:t>F</w:t>
      </w:r>
      <w:r w:rsidRPr="003C1CCF">
        <w:rPr>
          <w:rFonts w:cs="Arial"/>
          <w:spacing w:val="-5"/>
          <w:w w:val="101"/>
          <w:position w:val="-2"/>
          <w:szCs w:val="20"/>
          <w:vertAlign w:val="subscript"/>
        </w:rPr>
        <w:t>a</w:t>
      </w:r>
      <w:r w:rsidRPr="003C1CCF">
        <w:rPr>
          <w:rFonts w:cs="Arial"/>
          <w:position w:val="-2"/>
          <w:szCs w:val="20"/>
          <w:vertAlign w:val="subscript"/>
        </w:rPr>
        <w:t>n</w:t>
      </w:r>
      <w:r w:rsidRPr="003C1CCF">
        <w:rPr>
          <w:rFonts w:cs="Arial"/>
          <w:position w:val="-2"/>
          <w:szCs w:val="20"/>
        </w:rPr>
        <w:t xml:space="preserve"> </w:t>
      </w:r>
      <w:r>
        <w:rPr>
          <w:rFonts w:cs="Arial"/>
          <w:position w:val="-2"/>
          <w:szCs w:val="20"/>
        </w:rPr>
        <w:tab/>
        <w:t xml:space="preserve">= </w:t>
      </w:r>
      <w:r w:rsidRPr="003C1CCF">
        <w:rPr>
          <w:rFonts w:cs="Arial"/>
          <w:szCs w:val="20"/>
        </w:rPr>
        <w:t>P</w:t>
      </w:r>
      <w:r w:rsidRPr="003C1CCF">
        <w:rPr>
          <w:rFonts w:cs="Arial"/>
          <w:spacing w:val="-2"/>
          <w:szCs w:val="20"/>
        </w:rPr>
        <w:t>o</w:t>
      </w:r>
      <w:r w:rsidRPr="003C1CCF">
        <w:rPr>
          <w:rFonts w:cs="Arial"/>
          <w:spacing w:val="-4"/>
          <w:szCs w:val="20"/>
        </w:rPr>
        <w:t>we</w:t>
      </w:r>
      <w:r w:rsidRPr="003C1CCF">
        <w:rPr>
          <w:rFonts w:cs="Arial"/>
          <w:szCs w:val="20"/>
        </w:rPr>
        <w:t>r</w:t>
      </w:r>
      <w:r w:rsidRPr="003C1CCF">
        <w:rPr>
          <w:rFonts w:cs="Arial"/>
          <w:spacing w:val="4"/>
          <w:szCs w:val="20"/>
        </w:rPr>
        <w:t xml:space="preserve"> </w:t>
      </w:r>
      <w:r w:rsidRPr="003C1CCF">
        <w:rPr>
          <w:rFonts w:cs="Arial"/>
          <w:spacing w:val="3"/>
          <w:szCs w:val="20"/>
        </w:rPr>
        <w:t>d</w:t>
      </w:r>
      <w:r w:rsidRPr="003C1CCF">
        <w:rPr>
          <w:rFonts w:cs="Arial"/>
          <w:spacing w:val="-4"/>
          <w:szCs w:val="20"/>
        </w:rPr>
        <w:t>e</w:t>
      </w:r>
      <w:r w:rsidRPr="003C1CCF">
        <w:rPr>
          <w:rFonts w:cs="Arial"/>
          <w:spacing w:val="-7"/>
          <w:szCs w:val="20"/>
        </w:rPr>
        <w:t>m</w:t>
      </w:r>
      <w:r w:rsidRPr="003C1CCF">
        <w:rPr>
          <w:rFonts w:cs="Arial"/>
          <w:spacing w:val="-4"/>
          <w:szCs w:val="20"/>
        </w:rPr>
        <w:t>a</w:t>
      </w:r>
      <w:r w:rsidRPr="003C1CCF">
        <w:rPr>
          <w:rFonts w:cs="Arial"/>
          <w:spacing w:val="-2"/>
          <w:szCs w:val="20"/>
        </w:rPr>
        <w:t>n</w:t>
      </w:r>
      <w:r w:rsidRPr="003C1CCF">
        <w:rPr>
          <w:rFonts w:cs="Arial"/>
          <w:szCs w:val="20"/>
        </w:rPr>
        <w:t>d</w:t>
      </w:r>
      <w:r w:rsidRPr="003C1CCF">
        <w:rPr>
          <w:rFonts w:cs="Arial"/>
          <w:spacing w:val="5"/>
          <w:szCs w:val="20"/>
        </w:rPr>
        <w:t xml:space="preserve"> </w:t>
      </w:r>
      <w:r w:rsidRPr="003C1CCF">
        <w:rPr>
          <w:rFonts w:cs="Arial"/>
          <w:spacing w:val="-2"/>
          <w:szCs w:val="20"/>
        </w:rPr>
        <w:t>o</w:t>
      </w:r>
      <w:r w:rsidRPr="003C1CCF">
        <w:rPr>
          <w:rFonts w:cs="Arial"/>
          <w:szCs w:val="20"/>
        </w:rPr>
        <w:t>f</w:t>
      </w:r>
      <w:r w:rsidRPr="003C1CCF">
        <w:rPr>
          <w:rFonts w:cs="Arial"/>
          <w:spacing w:val="-4"/>
          <w:szCs w:val="20"/>
        </w:rPr>
        <w:t xml:space="preserve"> e</w:t>
      </w:r>
      <w:r w:rsidRPr="003C1CCF">
        <w:rPr>
          <w:rFonts w:cs="Arial"/>
          <w:spacing w:val="-7"/>
          <w:szCs w:val="20"/>
        </w:rPr>
        <w:t>v</w:t>
      </w:r>
      <w:r w:rsidRPr="003C1CCF">
        <w:rPr>
          <w:rFonts w:cs="Arial"/>
          <w:spacing w:val="-4"/>
          <w:szCs w:val="20"/>
        </w:rPr>
        <w:t>a</w:t>
      </w:r>
      <w:r w:rsidRPr="003C1CCF">
        <w:rPr>
          <w:rFonts w:cs="Arial"/>
          <w:spacing w:val="-2"/>
          <w:szCs w:val="20"/>
        </w:rPr>
        <w:t>po</w:t>
      </w:r>
      <w:r w:rsidRPr="003C1CCF">
        <w:rPr>
          <w:rFonts w:cs="Arial"/>
          <w:spacing w:val="2"/>
          <w:szCs w:val="20"/>
        </w:rPr>
        <w:t>r</w:t>
      </w:r>
      <w:r w:rsidRPr="003C1CCF">
        <w:rPr>
          <w:rFonts w:cs="Arial"/>
          <w:spacing w:val="-4"/>
          <w:szCs w:val="20"/>
        </w:rPr>
        <w:t>a</w:t>
      </w:r>
      <w:r w:rsidRPr="003C1CCF">
        <w:rPr>
          <w:rFonts w:cs="Arial"/>
          <w:szCs w:val="20"/>
        </w:rPr>
        <w:t>t</w:t>
      </w:r>
      <w:r w:rsidRPr="003C1CCF">
        <w:rPr>
          <w:rFonts w:cs="Arial"/>
          <w:spacing w:val="-2"/>
          <w:szCs w:val="20"/>
        </w:rPr>
        <w:t>o</w:t>
      </w:r>
      <w:r w:rsidRPr="003C1CCF">
        <w:rPr>
          <w:rFonts w:cs="Arial"/>
          <w:szCs w:val="20"/>
        </w:rPr>
        <w:t>r</w:t>
      </w:r>
      <w:r w:rsidRPr="003C1CCF">
        <w:rPr>
          <w:rFonts w:cs="Arial"/>
          <w:spacing w:val="13"/>
          <w:szCs w:val="20"/>
        </w:rPr>
        <w:t xml:space="preserve"> </w:t>
      </w:r>
      <w:r w:rsidRPr="003C1CCF">
        <w:rPr>
          <w:rFonts w:cs="Arial"/>
          <w:spacing w:val="-7"/>
          <w:szCs w:val="20"/>
        </w:rPr>
        <w:t>f</w:t>
      </w:r>
      <w:r w:rsidRPr="003C1CCF">
        <w:rPr>
          <w:rFonts w:cs="Arial"/>
          <w:spacing w:val="-4"/>
          <w:szCs w:val="20"/>
        </w:rPr>
        <w:t>a</w:t>
      </w:r>
      <w:r w:rsidRPr="003C1CCF">
        <w:rPr>
          <w:rFonts w:cs="Arial"/>
          <w:szCs w:val="20"/>
        </w:rPr>
        <w:t>n</w:t>
      </w:r>
      <w:r w:rsidRPr="003C1CCF">
        <w:rPr>
          <w:rFonts w:cs="Arial"/>
          <w:spacing w:val="9"/>
          <w:szCs w:val="20"/>
        </w:rPr>
        <w:t xml:space="preserve"> </w:t>
      </w:r>
      <w:r w:rsidRPr="003C1CCF">
        <w:rPr>
          <w:rFonts w:cs="Arial"/>
          <w:spacing w:val="-4"/>
          <w:szCs w:val="20"/>
        </w:rPr>
        <w:t>ca</w:t>
      </w:r>
      <w:r w:rsidRPr="003C1CCF">
        <w:rPr>
          <w:rFonts w:cs="Arial"/>
          <w:szCs w:val="20"/>
        </w:rPr>
        <w:t>l</w:t>
      </w:r>
      <w:r w:rsidRPr="003C1CCF">
        <w:rPr>
          <w:rFonts w:cs="Arial"/>
          <w:spacing w:val="-4"/>
          <w:szCs w:val="20"/>
        </w:rPr>
        <w:t>c</w:t>
      </w:r>
      <w:r w:rsidRPr="003C1CCF">
        <w:rPr>
          <w:rFonts w:cs="Arial"/>
          <w:spacing w:val="-2"/>
          <w:szCs w:val="20"/>
        </w:rPr>
        <w:t>u</w:t>
      </w:r>
      <w:r w:rsidRPr="003C1CCF">
        <w:rPr>
          <w:rFonts w:cs="Arial"/>
          <w:szCs w:val="20"/>
        </w:rPr>
        <w:t>l</w:t>
      </w:r>
      <w:r w:rsidRPr="003C1CCF">
        <w:rPr>
          <w:rFonts w:cs="Arial"/>
          <w:spacing w:val="-4"/>
          <w:szCs w:val="20"/>
        </w:rPr>
        <w:t>a</w:t>
      </w:r>
      <w:r w:rsidRPr="003C1CCF">
        <w:rPr>
          <w:rFonts w:cs="Arial"/>
          <w:szCs w:val="20"/>
        </w:rPr>
        <w:t>t</w:t>
      </w:r>
      <w:r w:rsidRPr="003C1CCF">
        <w:rPr>
          <w:rFonts w:cs="Arial"/>
          <w:spacing w:val="-4"/>
          <w:szCs w:val="20"/>
        </w:rPr>
        <w:t>e</w:t>
      </w:r>
      <w:r w:rsidRPr="003C1CCF">
        <w:rPr>
          <w:rFonts w:cs="Arial"/>
          <w:szCs w:val="20"/>
        </w:rPr>
        <w:t>d</w:t>
      </w:r>
      <w:r w:rsidRPr="003C1CCF">
        <w:rPr>
          <w:rFonts w:cs="Arial"/>
          <w:spacing w:val="6"/>
          <w:szCs w:val="20"/>
        </w:rPr>
        <w:t xml:space="preserve"> </w:t>
      </w:r>
      <w:r w:rsidRPr="003C1CCF">
        <w:rPr>
          <w:rFonts w:cs="Arial"/>
          <w:spacing w:val="-7"/>
          <w:szCs w:val="20"/>
        </w:rPr>
        <w:t>f</w:t>
      </w:r>
      <w:r w:rsidRPr="003C1CCF">
        <w:rPr>
          <w:rFonts w:cs="Arial"/>
          <w:spacing w:val="2"/>
          <w:szCs w:val="20"/>
        </w:rPr>
        <w:t>r</w:t>
      </w:r>
      <w:r w:rsidRPr="003C1CCF">
        <w:rPr>
          <w:rFonts w:cs="Arial"/>
          <w:spacing w:val="-2"/>
          <w:szCs w:val="20"/>
        </w:rPr>
        <w:t>o</w:t>
      </w:r>
      <w:r w:rsidRPr="003C1CCF">
        <w:rPr>
          <w:rFonts w:cs="Arial"/>
          <w:szCs w:val="20"/>
        </w:rPr>
        <w:t xml:space="preserve">m </w:t>
      </w:r>
      <w:r w:rsidRPr="003C1CCF">
        <w:rPr>
          <w:rFonts w:cs="Arial"/>
          <w:spacing w:val="-4"/>
          <w:szCs w:val="20"/>
        </w:rPr>
        <w:t>e</w:t>
      </w:r>
      <w:r w:rsidRPr="003C1CCF">
        <w:rPr>
          <w:rFonts w:cs="Arial"/>
          <w:spacing w:val="-2"/>
          <w:szCs w:val="20"/>
        </w:rPr>
        <w:t>q</w:t>
      </w:r>
      <w:r w:rsidRPr="003C1CCF">
        <w:rPr>
          <w:rFonts w:cs="Arial"/>
          <w:spacing w:val="3"/>
          <w:szCs w:val="20"/>
        </w:rPr>
        <w:t>u</w:t>
      </w:r>
      <w:r w:rsidRPr="003C1CCF">
        <w:rPr>
          <w:rFonts w:cs="Arial"/>
          <w:szCs w:val="20"/>
        </w:rPr>
        <w:t>i</w:t>
      </w:r>
      <w:r w:rsidRPr="003C1CCF">
        <w:rPr>
          <w:rFonts w:cs="Arial"/>
          <w:spacing w:val="-7"/>
          <w:szCs w:val="20"/>
        </w:rPr>
        <w:t>pm</w:t>
      </w:r>
      <w:r w:rsidRPr="003C1CCF">
        <w:rPr>
          <w:rFonts w:cs="Arial"/>
          <w:spacing w:val="-4"/>
          <w:szCs w:val="20"/>
        </w:rPr>
        <w:t>e</w:t>
      </w:r>
      <w:r w:rsidRPr="003C1CCF">
        <w:rPr>
          <w:rFonts w:cs="Arial"/>
          <w:spacing w:val="3"/>
          <w:szCs w:val="20"/>
        </w:rPr>
        <w:t>n</w:t>
      </w:r>
      <w:r w:rsidRPr="003C1CCF">
        <w:rPr>
          <w:rFonts w:cs="Arial"/>
          <w:szCs w:val="20"/>
        </w:rPr>
        <w:t>t</w:t>
      </w:r>
      <w:r w:rsidRPr="003C1CCF">
        <w:rPr>
          <w:rFonts w:cs="Arial"/>
          <w:spacing w:val="8"/>
          <w:szCs w:val="20"/>
        </w:rPr>
        <w:t xml:space="preserve"> </w:t>
      </w:r>
      <w:r w:rsidRPr="003C1CCF">
        <w:rPr>
          <w:rFonts w:cs="Arial"/>
          <w:spacing w:val="3"/>
          <w:szCs w:val="20"/>
        </w:rPr>
        <w:t>n</w:t>
      </w:r>
      <w:r w:rsidRPr="003C1CCF">
        <w:rPr>
          <w:rFonts w:cs="Arial"/>
          <w:spacing w:val="-4"/>
          <w:szCs w:val="20"/>
        </w:rPr>
        <w:t>a</w:t>
      </w:r>
      <w:r w:rsidRPr="003C1CCF">
        <w:rPr>
          <w:rFonts w:cs="Arial"/>
          <w:spacing w:val="-7"/>
          <w:szCs w:val="20"/>
        </w:rPr>
        <w:t>m</w:t>
      </w:r>
      <w:r w:rsidRPr="003C1CCF">
        <w:rPr>
          <w:rFonts w:cs="Arial"/>
          <w:spacing w:val="-4"/>
          <w:szCs w:val="20"/>
        </w:rPr>
        <w:t>e</w:t>
      </w:r>
      <w:r w:rsidRPr="003C1CCF">
        <w:rPr>
          <w:rFonts w:cs="Arial"/>
          <w:spacing w:val="-2"/>
          <w:szCs w:val="20"/>
        </w:rPr>
        <w:t>p</w:t>
      </w:r>
      <w:r w:rsidRPr="003C1CCF">
        <w:rPr>
          <w:rFonts w:cs="Arial"/>
          <w:szCs w:val="20"/>
        </w:rPr>
        <w:t>l</w:t>
      </w:r>
      <w:r w:rsidRPr="003C1CCF">
        <w:rPr>
          <w:rFonts w:cs="Arial"/>
          <w:spacing w:val="-4"/>
          <w:szCs w:val="20"/>
        </w:rPr>
        <w:t>a</w:t>
      </w:r>
      <w:r w:rsidRPr="003C1CCF">
        <w:rPr>
          <w:rFonts w:cs="Arial"/>
          <w:szCs w:val="20"/>
        </w:rPr>
        <w:t>te</w:t>
      </w:r>
      <w:r w:rsidRPr="003C1CCF">
        <w:rPr>
          <w:rFonts w:cs="Arial"/>
          <w:spacing w:val="4"/>
          <w:szCs w:val="20"/>
        </w:rPr>
        <w:t xml:space="preserve"> </w:t>
      </w:r>
      <w:r w:rsidRPr="003C1CCF">
        <w:rPr>
          <w:rFonts w:cs="Arial"/>
          <w:spacing w:val="3"/>
          <w:w w:val="101"/>
          <w:szCs w:val="20"/>
        </w:rPr>
        <w:t>d</w:t>
      </w:r>
      <w:r w:rsidRPr="003C1CCF">
        <w:rPr>
          <w:rFonts w:cs="Arial"/>
          <w:spacing w:val="-4"/>
          <w:w w:val="102"/>
          <w:szCs w:val="20"/>
        </w:rPr>
        <w:t>a</w:t>
      </w:r>
      <w:r w:rsidRPr="003C1CCF">
        <w:rPr>
          <w:rFonts w:cs="Arial"/>
          <w:w w:val="102"/>
          <w:szCs w:val="20"/>
        </w:rPr>
        <w:t xml:space="preserve">ta </w:t>
      </w:r>
      <w:r w:rsidRPr="003C1CCF">
        <w:rPr>
          <w:rFonts w:cs="Arial"/>
          <w:spacing w:val="-4"/>
          <w:szCs w:val="20"/>
        </w:rPr>
        <w:t>a</w:t>
      </w:r>
      <w:r w:rsidRPr="003C1CCF">
        <w:rPr>
          <w:rFonts w:cs="Arial"/>
          <w:spacing w:val="-2"/>
          <w:szCs w:val="20"/>
        </w:rPr>
        <w:t>n</w:t>
      </w:r>
      <w:r w:rsidRPr="003C1CCF">
        <w:rPr>
          <w:rFonts w:cs="Arial"/>
          <w:szCs w:val="20"/>
        </w:rPr>
        <w:t>d</w:t>
      </w:r>
      <w:r w:rsidRPr="003C1CCF">
        <w:rPr>
          <w:rFonts w:cs="Arial"/>
          <w:spacing w:val="9"/>
          <w:szCs w:val="20"/>
        </w:rPr>
        <w:t xml:space="preserve"> </w:t>
      </w:r>
      <w:r w:rsidRPr="003C1CCF">
        <w:rPr>
          <w:rFonts w:cs="Arial"/>
          <w:spacing w:val="-4"/>
          <w:szCs w:val="20"/>
        </w:rPr>
        <w:t>e</w:t>
      </w:r>
      <w:r w:rsidRPr="003C1CCF">
        <w:rPr>
          <w:rFonts w:cs="Arial"/>
          <w:spacing w:val="-1"/>
          <w:szCs w:val="20"/>
        </w:rPr>
        <w:t>s</w:t>
      </w:r>
      <w:r w:rsidRPr="003C1CCF">
        <w:rPr>
          <w:rFonts w:cs="Arial"/>
          <w:spacing w:val="-5"/>
          <w:szCs w:val="20"/>
        </w:rPr>
        <w:t>t</w:t>
      </w:r>
      <w:r w:rsidRPr="003C1CCF">
        <w:rPr>
          <w:rFonts w:cs="Arial"/>
          <w:szCs w:val="20"/>
        </w:rPr>
        <w:t>i</w:t>
      </w:r>
      <w:r w:rsidRPr="003C1CCF">
        <w:rPr>
          <w:rFonts w:cs="Arial"/>
          <w:spacing w:val="-7"/>
          <w:szCs w:val="20"/>
        </w:rPr>
        <w:t>m</w:t>
      </w:r>
      <w:r w:rsidRPr="003C1CCF">
        <w:rPr>
          <w:rFonts w:cs="Arial"/>
          <w:spacing w:val="-4"/>
          <w:szCs w:val="20"/>
        </w:rPr>
        <w:t>a</w:t>
      </w:r>
      <w:r w:rsidRPr="003C1CCF">
        <w:rPr>
          <w:rFonts w:cs="Arial"/>
          <w:szCs w:val="20"/>
        </w:rPr>
        <w:t>t</w:t>
      </w:r>
      <w:r w:rsidRPr="003C1CCF">
        <w:rPr>
          <w:rFonts w:cs="Arial"/>
          <w:spacing w:val="-4"/>
          <w:szCs w:val="20"/>
        </w:rPr>
        <w:t>e</w:t>
      </w:r>
      <w:r w:rsidRPr="003C1CCF">
        <w:rPr>
          <w:rFonts w:cs="Arial"/>
          <w:szCs w:val="20"/>
        </w:rPr>
        <w:t>d</w:t>
      </w:r>
      <w:r w:rsidRPr="003C1CCF">
        <w:rPr>
          <w:rFonts w:cs="Arial"/>
          <w:spacing w:val="6"/>
          <w:szCs w:val="20"/>
        </w:rPr>
        <w:t xml:space="preserve"> </w:t>
      </w:r>
      <w:r w:rsidRPr="003C1CCF">
        <w:rPr>
          <w:rFonts w:cs="Arial"/>
          <w:spacing w:val="-2"/>
          <w:szCs w:val="20"/>
        </w:rPr>
        <w:t>po</w:t>
      </w:r>
      <w:r w:rsidRPr="003C1CCF">
        <w:rPr>
          <w:rFonts w:cs="Arial"/>
          <w:spacing w:val="-4"/>
          <w:szCs w:val="20"/>
        </w:rPr>
        <w:t>we</w:t>
      </w:r>
      <w:r w:rsidRPr="003C1CCF">
        <w:rPr>
          <w:rFonts w:cs="Arial"/>
          <w:szCs w:val="20"/>
        </w:rPr>
        <w:t>r</w:t>
      </w:r>
      <w:r w:rsidRPr="003C1CCF">
        <w:rPr>
          <w:rFonts w:cs="Arial"/>
          <w:spacing w:val="3"/>
          <w:szCs w:val="20"/>
        </w:rPr>
        <w:t xml:space="preserve"> </w:t>
      </w:r>
      <w:r w:rsidRPr="003C1CCF">
        <w:rPr>
          <w:rFonts w:cs="Arial"/>
          <w:spacing w:val="-7"/>
          <w:w w:val="101"/>
          <w:szCs w:val="20"/>
        </w:rPr>
        <w:t>f</w:t>
      </w:r>
      <w:r w:rsidRPr="003C1CCF">
        <w:rPr>
          <w:rFonts w:cs="Arial"/>
          <w:spacing w:val="-4"/>
          <w:w w:val="102"/>
          <w:szCs w:val="20"/>
        </w:rPr>
        <w:t>ac</w:t>
      </w:r>
      <w:r w:rsidRPr="003C1CCF">
        <w:rPr>
          <w:rFonts w:cs="Arial"/>
          <w:w w:val="102"/>
          <w:szCs w:val="20"/>
        </w:rPr>
        <w:t>t</w:t>
      </w:r>
      <w:r w:rsidRPr="003C1CCF">
        <w:rPr>
          <w:rFonts w:cs="Arial"/>
          <w:spacing w:val="-2"/>
          <w:w w:val="101"/>
          <w:szCs w:val="20"/>
        </w:rPr>
        <w:t>o</w:t>
      </w:r>
      <w:r w:rsidRPr="003C1CCF">
        <w:rPr>
          <w:rFonts w:cs="Arial"/>
          <w:spacing w:val="2"/>
          <w:w w:val="101"/>
          <w:szCs w:val="20"/>
        </w:rPr>
        <w:t>r</w:t>
      </w:r>
      <w:r w:rsidRPr="003C1CCF">
        <w:rPr>
          <w:rFonts w:cs="Arial"/>
          <w:w w:val="102"/>
          <w:szCs w:val="20"/>
        </w:rPr>
        <w:t>/</w:t>
      </w:r>
      <w:r w:rsidRPr="003C1CCF">
        <w:rPr>
          <w:rFonts w:cs="Arial"/>
          <w:spacing w:val="-4"/>
          <w:w w:val="102"/>
          <w:szCs w:val="20"/>
        </w:rPr>
        <w:t>a</w:t>
      </w:r>
      <w:r w:rsidRPr="003C1CCF">
        <w:rPr>
          <w:rFonts w:cs="Arial"/>
          <w:spacing w:val="3"/>
          <w:w w:val="101"/>
          <w:szCs w:val="20"/>
        </w:rPr>
        <w:t>d</w:t>
      </w:r>
      <w:r w:rsidRPr="003C1CCF">
        <w:rPr>
          <w:rFonts w:cs="Arial"/>
          <w:spacing w:val="-5"/>
          <w:w w:val="102"/>
          <w:szCs w:val="20"/>
        </w:rPr>
        <w:t>j</w:t>
      </w:r>
      <w:r w:rsidRPr="003C1CCF">
        <w:rPr>
          <w:rFonts w:cs="Arial"/>
          <w:spacing w:val="3"/>
          <w:w w:val="101"/>
          <w:szCs w:val="20"/>
        </w:rPr>
        <w:t>u</w:t>
      </w:r>
      <w:r w:rsidRPr="003C1CCF">
        <w:rPr>
          <w:rFonts w:cs="Arial"/>
          <w:spacing w:val="-6"/>
          <w:w w:val="101"/>
          <w:szCs w:val="20"/>
        </w:rPr>
        <w:t>s</w:t>
      </w:r>
      <w:r w:rsidRPr="003C1CCF">
        <w:rPr>
          <w:rFonts w:cs="Arial"/>
          <w:w w:val="102"/>
          <w:szCs w:val="20"/>
        </w:rPr>
        <w:t>t</w:t>
      </w:r>
      <w:r w:rsidRPr="003C1CCF">
        <w:rPr>
          <w:rFonts w:cs="Arial"/>
          <w:spacing w:val="-7"/>
          <w:w w:val="102"/>
          <w:szCs w:val="20"/>
        </w:rPr>
        <w:t>m</w:t>
      </w:r>
      <w:r w:rsidRPr="003C1CCF">
        <w:rPr>
          <w:rFonts w:cs="Arial"/>
          <w:spacing w:val="-4"/>
          <w:w w:val="102"/>
          <w:szCs w:val="20"/>
        </w:rPr>
        <w:t>e</w:t>
      </w:r>
      <w:r w:rsidRPr="003C1CCF">
        <w:rPr>
          <w:rFonts w:cs="Arial"/>
          <w:spacing w:val="3"/>
          <w:w w:val="101"/>
          <w:szCs w:val="20"/>
        </w:rPr>
        <w:t>n</w:t>
      </w:r>
      <w:r w:rsidRPr="003C1CCF">
        <w:rPr>
          <w:rFonts w:cs="Arial"/>
          <w:spacing w:val="-5"/>
          <w:w w:val="102"/>
          <w:szCs w:val="20"/>
        </w:rPr>
        <w:t>t</w:t>
      </w:r>
      <w:r w:rsidR="00DE25FF">
        <w:rPr>
          <w:rFonts w:cs="Arial"/>
          <w:spacing w:val="-5"/>
          <w:w w:val="102"/>
          <w:szCs w:val="20"/>
        </w:rPr>
        <w:t xml:space="preserve">. See </w:t>
      </w:r>
      <w:r w:rsidR="007A1FB6">
        <w:rPr>
          <w:rFonts w:cs="Arial"/>
          <w:spacing w:val="-5"/>
          <w:w w:val="102"/>
          <w:szCs w:val="20"/>
        </w:rPr>
        <w:fldChar w:fldCharType="begin"/>
      </w:r>
      <w:r w:rsidR="00DE25FF">
        <w:rPr>
          <w:rFonts w:cs="Arial"/>
          <w:spacing w:val="-5"/>
          <w:w w:val="102"/>
          <w:szCs w:val="20"/>
        </w:rPr>
        <w:instrText xml:space="preserve"> REF _Ref308699510 \h </w:instrText>
      </w:r>
      <w:r w:rsidR="007A1FB6">
        <w:rPr>
          <w:rFonts w:cs="Arial"/>
          <w:spacing w:val="-5"/>
          <w:w w:val="102"/>
          <w:szCs w:val="20"/>
        </w:rPr>
      </w:r>
      <w:r w:rsidR="007A1FB6">
        <w:rPr>
          <w:rFonts w:cs="Arial"/>
          <w:spacing w:val="-5"/>
          <w:w w:val="102"/>
          <w:szCs w:val="20"/>
        </w:rPr>
        <w:fldChar w:fldCharType="separate"/>
      </w:r>
      <w:r w:rsidR="00C0292F">
        <w:t xml:space="preserve">Table </w:t>
      </w:r>
      <w:r w:rsidR="00C0292F">
        <w:rPr>
          <w:noProof/>
        </w:rPr>
        <w:t>3</w:t>
      </w:r>
      <w:r w:rsidR="00C0292F">
        <w:noBreakHyphen/>
      </w:r>
      <w:r w:rsidR="00C0292F">
        <w:rPr>
          <w:noProof/>
        </w:rPr>
        <w:t>83</w:t>
      </w:r>
      <w:r w:rsidR="00C0292F">
        <w:t>: Evaporator Fan Controller Calculations Assumptions</w:t>
      </w:r>
      <w:r w:rsidR="007A1FB6">
        <w:rPr>
          <w:rFonts w:cs="Arial"/>
          <w:spacing w:val="-5"/>
          <w:w w:val="102"/>
          <w:szCs w:val="20"/>
        </w:rPr>
        <w:fldChar w:fldCharType="end"/>
      </w:r>
      <w:r w:rsidR="00DE25FF">
        <w:rPr>
          <w:rFonts w:cs="Arial"/>
          <w:spacing w:val="-5"/>
          <w:w w:val="102"/>
          <w:szCs w:val="20"/>
        </w:rPr>
        <w:t xml:space="preserve"> for power factor value.</w:t>
      </w:r>
    </w:p>
    <w:p w:rsidR="00B20792" w:rsidRPr="003C1CCF" w:rsidRDefault="00B20792" w:rsidP="00B20792">
      <w:pPr>
        <w:pStyle w:val="Equation"/>
        <w:rPr>
          <w:rFonts w:cs="Arial"/>
          <w:szCs w:val="20"/>
        </w:rPr>
      </w:pPr>
      <w:r>
        <w:rPr>
          <w:rFonts w:cs="Arial"/>
          <w:spacing w:val="-4"/>
          <w:w w:val="101"/>
          <w:szCs w:val="20"/>
        </w:rPr>
        <w:tab/>
      </w:r>
      <w:r w:rsidRPr="003C1CCF">
        <w:rPr>
          <w:rFonts w:cs="Arial"/>
          <w:spacing w:val="-4"/>
          <w:w w:val="101"/>
          <w:szCs w:val="20"/>
        </w:rPr>
        <w:t>%</w:t>
      </w:r>
      <w:r w:rsidRPr="003C1CCF">
        <w:rPr>
          <w:rFonts w:cs="Arial"/>
          <w:spacing w:val="1"/>
          <w:w w:val="101"/>
          <w:szCs w:val="20"/>
        </w:rPr>
        <w:t>O</w:t>
      </w:r>
      <w:r w:rsidRPr="003C1CCF">
        <w:rPr>
          <w:rFonts w:cs="Arial"/>
          <w:spacing w:val="-3"/>
          <w:w w:val="101"/>
          <w:szCs w:val="20"/>
        </w:rPr>
        <w:t>f</w:t>
      </w:r>
      <w:r w:rsidRPr="003C1CCF">
        <w:rPr>
          <w:rFonts w:cs="Arial"/>
          <w:w w:val="101"/>
          <w:szCs w:val="20"/>
        </w:rPr>
        <w:t>f</w:t>
      </w:r>
      <w:r>
        <w:rPr>
          <w:rFonts w:cs="Arial"/>
          <w:w w:val="101"/>
          <w:szCs w:val="20"/>
        </w:rPr>
        <w:tab/>
        <w:t>=</w:t>
      </w:r>
      <w:r w:rsidRPr="003C1CCF">
        <w:rPr>
          <w:rFonts w:cs="Arial"/>
          <w:w w:val="101"/>
          <w:szCs w:val="20"/>
        </w:rPr>
        <w:t xml:space="preserve"> </w:t>
      </w:r>
      <w:r w:rsidRPr="003C1CCF">
        <w:rPr>
          <w:rFonts w:cs="Arial"/>
          <w:szCs w:val="20"/>
        </w:rPr>
        <w:t>P</w:t>
      </w:r>
      <w:r w:rsidRPr="003C1CCF">
        <w:rPr>
          <w:rFonts w:cs="Arial"/>
          <w:spacing w:val="-4"/>
          <w:szCs w:val="20"/>
        </w:rPr>
        <w:t>e</w:t>
      </w:r>
      <w:r w:rsidRPr="003C1CCF">
        <w:rPr>
          <w:rFonts w:cs="Arial"/>
          <w:spacing w:val="2"/>
          <w:szCs w:val="20"/>
        </w:rPr>
        <w:t>r</w:t>
      </w:r>
      <w:r w:rsidRPr="003C1CCF">
        <w:rPr>
          <w:rFonts w:cs="Arial"/>
          <w:spacing w:val="-4"/>
          <w:szCs w:val="20"/>
        </w:rPr>
        <w:t>ce</w:t>
      </w:r>
      <w:r w:rsidRPr="003C1CCF">
        <w:rPr>
          <w:rFonts w:cs="Arial"/>
          <w:spacing w:val="-2"/>
          <w:szCs w:val="20"/>
        </w:rPr>
        <w:t>n</w:t>
      </w:r>
      <w:r w:rsidRPr="003C1CCF">
        <w:rPr>
          <w:rFonts w:cs="Arial"/>
          <w:szCs w:val="20"/>
        </w:rPr>
        <w:t>t</w:t>
      </w:r>
      <w:r w:rsidRPr="003C1CCF">
        <w:rPr>
          <w:rFonts w:cs="Arial"/>
          <w:spacing w:val="11"/>
          <w:szCs w:val="20"/>
        </w:rPr>
        <w:t xml:space="preserve"> </w:t>
      </w:r>
      <w:r w:rsidRPr="003C1CCF">
        <w:rPr>
          <w:rFonts w:cs="Arial"/>
          <w:spacing w:val="-2"/>
          <w:szCs w:val="20"/>
        </w:rPr>
        <w:t>o</w:t>
      </w:r>
      <w:r w:rsidRPr="003C1CCF">
        <w:rPr>
          <w:rFonts w:cs="Arial"/>
          <w:szCs w:val="20"/>
        </w:rPr>
        <w:t>f</w:t>
      </w:r>
      <w:r w:rsidRPr="003C1CCF">
        <w:rPr>
          <w:rFonts w:cs="Arial"/>
          <w:spacing w:val="-4"/>
          <w:szCs w:val="20"/>
        </w:rPr>
        <w:t xml:space="preserve"> a</w:t>
      </w:r>
      <w:r w:rsidRPr="003C1CCF">
        <w:rPr>
          <w:rFonts w:cs="Arial"/>
          <w:spacing w:val="-2"/>
          <w:szCs w:val="20"/>
        </w:rPr>
        <w:t>nn</w:t>
      </w:r>
      <w:r w:rsidRPr="003C1CCF">
        <w:rPr>
          <w:rFonts w:cs="Arial"/>
          <w:spacing w:val="3"/>
          <w:szCs w:val="20"/>
        </w:rPr>
        <w:t>u</w:t>
      </w:r>
      <w:r w:rsidRPr="003C1CCF">
        <w:rPr>
          <w:rFonts w:cs="Arial"/>
          <w:spacing w:val="-4"/>
          <w:szCs w:val="20"/>
        </w:rPr>
        <w:t>a</w:t>
      </w:r>
      <w:r w:rsidRPr="003C1CCF">
        <w:rPr>
          <w:rFonts w:cs="Arial"/>
          <w:szCs w:val="20"/>
        </w:rPr>
        <w:t>l</w:t>
      </w:r>
      <w:r w:rsidRPr="003C1CCF">
        <w:rPr>
          <w:rFonts w:cs="Arial"/>
          <w:spacing w:val="-2"/>
          <w:szCs w:val="20"/>
        </w:rPr>
        <w:t xml:space="preserve"> </w:t>
      </w:r>
      <w:r w:rsidRPr="003C1CCF">
        <w:rPr>
          <w:rFonts w:cs="Arial"/>
          <w:spacing w:val="3"/>
          <w:szCs w:val="20"/>
        </w:rPr>
        <w:t>h</w:t>
      </w:r>
      <w:r w:rsidRPr="003C1CCF">
        <w:rPr>
          <w:rFonts w:cs="Arial"/>
          <w:spacing w:val="-7"/>
          <w:szCs w:val="20"/>
        </w:rPr>
        <w:t>o</w:t>
      </w:r>
      <w:r w:rsidRPr="003C1CCF">
        <w:rPr>
          <w:rFonts w:cs="Arial"/>
          <w:spacing w:val="-2"/>
          <w:szCs w:val="20"/>
        </w:rPr>
        <w:t>u</w:t>
      </w:r>
      <w:r w:rsidRPr="003C1CCF">
        <w:rPr>
          <w:rFonts w:cs="Arial"/>
          <w:spacing w:val="2"/>
          <w:szCs w:val="20"/>
        </w:rPr>
        <w:t>r</w:t>
      </w:r>
      <w:r w:rsidRPr="003C1CCF">
        <w:rPr>
          <w:rFonts w:cs="Arial"/>
          <w:szCs w:val="20"/>
        </w:rPr>
        <w:t>s</w:t>
      </w:r>
      <w:r w:rsidRPr="003C1CCF">
        <w:rPr>
          <w:rFonts w:cs="Arial"/>
          <w:spacing w:val="-2"/>
          <w:szCs w:val="20"/>
        </w:rPr>
        <w:t xml:space="preserve"> </w:t>
      </w:r>
      <w:r w:rsidRPr="003C1CCF">
        <w:rPr>
          <w:rFonts w:cs="Arial"/>
          <w:spacing w:val="-5"/>
          <w:szCs w:val="20"/>
        </w:rPr>
        <w:t>t</w:t>
      </w:r>
      <w:r w:rsidRPr="003C1CCF">
        <w:rPr>
          <w:rFonts w:cs="Arial"/>
          <w:spacing w:val="3"/>
          <w:szCs w:val="20"/>
        </w:rPr>
        <w:t>h</w:t>
      </w:r>
      <w:r w:rsidRPr="003C1CCF">
        <w:rPr>
          <w:rFonts w:cs="Arial"/>
          <w:spacing w:val="-4"/>
          <w:szCs w:val="20"/>
        </w:rPr>
        <w:t>a</w:t>
      </w:r>
      <w:r w:rsidRPr="003C1CCF">
        <w:rPr>
          <w:rFonts w:cs="Arial"/>
          <w:szCs w:val="20"/>
        </w:rPr>
        <w:t>t</w:t>
      </w:r>
      <w:r w:rsidRPr="003C1CCF">
        <w:rPr>
          <w:rFonts w:cs="Arial"/>
          <w:spacing w:val="2"/>
          <w:szCs w:val="20"/>
        </w:rPr>
        <w:t xml:space="preserve"> </w:t>
      </w:r>
      <w:r w:rsidRPr="003C1CCF">
        <w:rPr>
          <w:rFonts w:cs="Arial"/>
          <w:spacing w:val="-5"/>
          <w:szCs w:val="20"/>
        </w:rPr>
        <w:t>t</w:t>
      </w:r>
      <w:r w:rsidRPr="003C1CCF">
        <w:rPr>
          <w:rFonts w:cs="Arial"/>
          <w:spacing w:val="3"/>
          <w:szCs w:val="20"/>
        </w:rPr>
        <w:t>h</w:t>
      </w:r>
      <w:r w:rsidRPr="003C1CCF">
        <w:rPr>
          <w:rFonts w:cs="Arial"/>
          <w:szCs w:val="20"/>
        </w:rPr>
        <w:t>e</w:t>
      </w:r>
      <w:r w:rsidRPr="003C1CCF">
        <w:rPr>
          <w:rFonts w:cs="Arial"/>
          <w:spacing w:val="3"/>
          <w:szCs w:val="20"/>
        </w:rPr>
        <w:t xml:space="preserve"> </w:t>
      </w:r>
      <w:r w:rsidRPr="003C1CCF">
        <w:rPr>
          <w:rFonts w:cs="Arial"/>
          <w:spacing w:val="-4"/>
          <w:szCs w:val="20"/>
        </w:rPr>
        <w:t>e</w:t>
      </w:r>
      <w:r w:rsidRPr="003C1CCF">
        <w:rPr>
          <w:rFonts w:cs="Arial"/>
          <w:spacing w:val="-7"/>
          <w:szCs w:val="20"/>
        </w:rPr>
        <w:t>v</w:t>
      </w:r>
      <w:r w:rsidRPr="003C1CCF">
        <w:rPr>
          <w:rFonts w:cs="Arial"/>
          <w:spacing w:val="-4"/>
          <w:szCs w:val="20"/>
        </w:rPr>
        <w:t>a</w:t>
      </w:r>
      <w:r w:rsidRPr="003C1CCF">
        <w:rPr>
          <w:rFonts w:cs="Arial"/>
          <w:spacing w:val="-2"/>
          <w:szCs w:val="20"/>
        </w:rPr>
        <w:t>po</w:t>
      </w:r>
      <w:r w:rsidRPr="003C1CCF">
        <w:rPr>
          <w:rFonts w:cs="Arial"/>
          <w:spacing w:val="2"/>
          <w:szCs w:val="20"/>
        </w:rPr>
        <w:t>r</w:t>
      </w:r>
      <w:r w:rsidRPr="003C1CCF">
        <w:rPr>
          <w:rFonts w:cs="Arial"/>
          <w:spacing w:val="-4"/>
          <w:szCs w:val="20"/>
        </w:rPr>
        <w:t>a</w:t>
      </w:r>
      <w:r w:rsidRPr="003C1CCF">
        <w:rPr>
          <w:rFonts w:cs="Arial"/>
          <w:szCs w:val="20"/>
        </w:rPr>
        <w:t>t</w:t>
      </w:r>
      <w:r w:rsidRPr="003C1CCF">
        <w:rPr>
          <w:rFonts w:cs="Arial"/>
          <w:spacing w:val="-2"/>
          <w:szCs w:val="20"/>
        </w:rPr>
        <w:t>o</w:t>
      </w:r>
      <w:r w:rsidRPr="003C1CCF">
        <w:rPr>
          <w:rFonts w:cs="Arial"/>
          <w:szCs w:val="20"/>
        </w:rPr>
        <w:t>r</w:t>
      </w:r>
      <w:r w:rsidRPr="003C1CCF">
        <w:rPr>
          <w:rFonts w:cs="Arial"/>
          <w:spacing w:val="8"/>
          <w:szCs w:val="20"/>
        </w:rPr>
        <w:t xml:space="preserve"> </w:t>
      </w:r>
      <w:r w:rsidRPr="003C1CCF">
        <w:rPr>
          <w:rFonts w:cs="Arial"/>
          <w:szCs w:val="20"/>
        </w:rPr>
        <w:t>is</w:t>
      </w:r>
      <w:r w:rsidRPr="003C1CCF">
        <w:rPr>
          <w:rFonts w:cs="Arial"/>
          <w:spacing w:val="-1"/>
          <w:szCs w:val="20"/>
        </w:rPr>
        <w:t xml:space="preserve"> </w:t>
      </w:r>
      <w:r w:rsidRPr="003C1CCF">
        <w:rPr>
          <w:rFonts w:cs="Arial"/>
          <w:spacing w:val="-5"/>
          <w:szCs w:val="20"/>
        </w:rPr>
        <w:t>t</w:t>
      </w:r>
      <w:r w:rsidRPr="003C1CCF">
        <w:rPr>
          <w:rFonts w:cs="Arial"/>
          <w:spacing w:val="-2"/>
          <w:szCs w:val="20"/>
        </w:rPr>
        <w:t>u</w:t>
      </w:r>
      <w:r w:rsidRPr="003C1CCF">
        <w:rPr>
          <w:rFonts w:cs="Arial"/>
          <w:spacing w:val="-3"/>
          <w:szCs w:val="20"/>
        </w:rPr>
        <w:t>r</w:t>
      </w:r>
      <w:r w:rsidRPr="003C1CCF">
        <w:rPr>
          <w:rFonts w:cs="Arial"/>
          <w:spacing w:val="3"/>
          <w:szCs w:val="20"/>
        </w:rPr>
        <w:t>n</w:t>
      </w:r>
      <w:r w:rsidRPr="003C1CCF">
        <w:rPr>
          <w:rFonts w:cs="Arial"/>
          <w:spacing w:val="-8"/>
          <w:szCs w:val="20"/>
        </w:rPr>
        <w:t>e</w:t>
      </w:r>
      <w:r w:rsidRPr="003C1CCF">
        <w:rPr>
          <w:rFonts w:cs="Arial"/>
          <w:szCs w:val="20"/>
        </w:rPr>
        <w:t>d</w:t>
      </w:r>
      <w:r w:rsidRPr="003C1CCF">
        <w:rPr>
          <w:rFonts w:cs="Arial"/>
          <w:spacing w:val="11"/>
          <w:szCs w:val="20"/>
        </w:rPr>
        <w:t xml:space="preserve"> </w:t>
      </w:r>
      <w:r w:rsidRPr="003C1CCF">
        <w:rPr>
          <w:rFonts w:cs="Arial"/>
          <w:spacing w:val="-2"/>
          <w:szCs w:val="20"/>
        </w:rPr>
        <w:t>o</w:t>
      </w:r>
      <w:r w:rsidRPr="003C1CCF">
        <w:rPr>
          <w:rFonts w:cs="Arial"/>
          <w:spacing w:val="-7"/>
          <w:szCs w:val="20"/>
        </w:rPr>
        <w:t>ff</w:t>
      </w:r>
    </w:p>
    <w:p w:rsidR="00B20792" w:rsidRPr="003C1CCF" w:rsidRDefault="00B20792" w:rsidP="00B20792">
      <w:pPr>
        <w:pStyle w:val="Equation"/>
        <w:rPr>
          <w:rFonts w:cs="Arial"/>
          <w:szCs w:val="20"/>
        </w:rPr>
      </w:pPr>
      <w:r>
        <w:rPr>
          <w:rFonts w:cs="Arial"/>
          <w:spacing w:val="-2"/>
          <w:w w:val="101"/>
          <w:szCs w:val="20"/>
        </w:rPr>
        <w:tab/>
      </w:r>
      <w:r w:rsidRPr="003C1CCF">
        <w:rPr>
          <w:rFonts w:cs="Arial"/>
          <w:spacing w:val="-2"/>
          <w:w w:val="101"/>
          <w:szCs w:val="20"/>
        </w:rPr>
        <w:t>0</w:t>
      </w:r>
      <w:r w:rsidRPr="003C1CCF">
        <w:rPr>
          <w:rFonts w:cs="Arial"/>
          <w:spacing w:val="-3"/>
          <w:w w:val="101"/>
          <w:szCs w:val="20"/>
        </w:rPr>
        <w:t>.</w:t>
      </w:r>
      <w:r w:rsidRPr="003C1CCF">
        <w:rPr>
          <w:rFonts w:cs="Arial"/>
          <w:spacing w:val="-2"/>
          <w:w w:val="101"/>
          <w:szCs w:val="20"/>
        </w:rPr>
        <w:t>2</w:t>
      </w:r>
      <w:r w:rsidRPr="003C1CCF">
        <w:rPr>
          <w:rFonts w:cs="Arial"/>
          <w:w w:val="101"/>
          <w:szCs w:val="20"/>
        </w:rPr>
        <w:t xml:space="preserve">8 </w:t>
      </w:r>
      <w:r>
        <w:rPr>
          <w:rFonts w:cs="Arial"/>
          <w:w w:val="101"/>
          <w:szCs w:val="20"/>
        </w:rPr>
        <w:tab/>
        <w:t xml:space="preserve">= </w:t>
      </w:r>
      <w:r w:rsidRPr="003C1CCF">
        <w:rPr>
          <w:rFonts w:cs="Arial"/>
          <w:spacing w:val="-1"/>
          <w:szCs w:val="20"/>
        </w:rPr>
        <w:t>C</w:t>
      </w:r>
      <w:r w:rsidRPr="003C1CCF">
        <w:rPr>
          <w:rFonts w:cs="Arial"/>
          <w:spacing w:val="-7"/>
          <w:szCs w:val="20"/>
        </w:rPr>
        <w:t>o</w:t>
      </w:r>
      <w:r w:rsidRPr="003C1CCF">
        <w:rPr>
          <w:rFonts w:cs="Arial"/>
          <w:spacing w:val="3"/>
          <w:szCs w:val="20"/>
        </w:rPr>
        <w:t>n</w:t>
      </w:r>
      <w:r w:rsidRPr="003C1CCF">
        <w:rPr>
          <w:rFonts w:cs="Arial"/>
          <w:spacing w:val="-7"/>
          <w:szCs w:val="20"/>
        </w:rPr>
        <w:t>v</w:t>
      </w:r>
      <w:r w:rsidRPr="003C1CCF">
        <w:rPr>
          <w:rFonts w:cs="Arial"/>
          <w:spacing w:val="-4"/>
          <w:szCs w:val="20"/>
        </w:rPr>
        <w:t>e</w:t>
      </w:r>
      <w:r w:rsidRPr="003C1CCF">
        <w:rPr>
          <w:rFonts w:cs="Arial"/>
          <w:spacing w:val="2"/>
          <w:szCs w:val="20"/>
        </w:rPr>
        <w:t>r</w:t>
      </w:r>
      <w:r w:rsidRPr="003C1CCF">
        <w:rPr>
          <w:rFonts w:cs="Arial"/>
          <w:spacing w:val="-1"/>
          <w:szCs w:val="20"/>
        </w:rPr>
        <w:t>s</w:t>
      </w:r>
      <w:r w:rsidRPr="003C1CCF">
        <w:rPr>
          <w:rFonts w:cs="Arial"/>
          <w:szCs w:val="20"/>
        </w:rPr>
        <w:t>i</w:t>
      </w:r>
      <w:r w:rsidRPr="003C1CCF">
        <w:rPr>
          <w:rFonts w:cs="Arial"/>
          <w:spacing w:val="-7"/>
          <w:szCs w:val="20"/>
        </w:rPr>
        <w:t>o</w:t>
      </w:r>
      <w:r w:rsidRPr="003C1CCF">
        <w:rPr>
          <w:rFonts w:cs="Arial"/>
          <w:szCs w:val="20"/>
        </w:rPr>
        <w:t>n</w:t>
      </w:r>
      <w:r w:rsidRPr="003C1CCF">
        <w:rPr>
          <w:rFonts w:cs="Arial"/>
          <w:spacing w:val="14"/>
          <w:szCs w:val="20"/>
        </w:rPr>
        <w:t xml:space="preserve"> </w:t>
      </w:r>
      <w:r w:rsidRPr="003C1CCF">
        <w:rPr>
          <w:rFonts w:cs="Arial"/>
          <w:spacing w:val="-2"/>
          <w:szCs w:val="20"/>
        </w:rPr>
        <w:t>o</w:t>
      </w:r>
      <w:r w:rsidRPr="003C1CCF">
        <w:rPr>
          <w:rFonts w:cs="Arial"/>
          <w:szCs w:val="20"/>
        </w:rPr>
        <w:t>f</w:t>
      </w:r>
      <w:r w:rsidRPr="003C1CCF">
        <w:rPr>
          <w:rFonts w:cs="Arial"/>
          <w:spacing w:val="-4"/>
          <w:szCs w:val="20"/>
        </w:rPr>
        <w:t xml:space="preserve"> </w:t>
      </w:r>
      <w:r w:rsidRPr="003C1CCF">
        <w:rPr>
          <w:rFonts w:cs="Arial"/>
          <w:spacing w:val="-2"/>
          <w:szCs w:val="20"/>
        </w:rPr>
        <w:t>k</w:t>
      </w:r>
      <w:r w:rsidRPr="003C1CCF">
        <w:rPr>
          <w:rFonts w:cs="Arial"/>
          <w:szCs w:val="20"/>
        </w:rPr>
        <w:t>W</w:t>
      </w:r>
      <w:r w:rsidRPr="003C1CCF">
        <w:rPr>
          <w:rFonts w:cs="Arial"/>
          <w:spacing w:val="2"/>
          <w:szCs w:val="20"/>
        </w:rPr>
        <w:t xml:space="preserve"> </w:t>
      </w:r>
      <w:r w:rsidRPr="003C1CCF">
        <w:rPr>
          <w:rFonts w:cs="Arial"/>
          <w:szCs w:val="20"/>
        </w:rPr>
        <w:t>to</w:t>
      </w:r>
      <w:r w:rsidRPr="003C1CCF">
        <w:rPr>
          <w:rFonts w:cs="Arial"/>
          <w:spacing w:val="-2"/>
          <w:szCs w:val="20"/>
        </w:rPr>
        <w:t xml:space="preserve"> </w:t>
      </w:r>
      <w:r w:rsidRPr="003C1CCF">
        <w:rPr>
          <w:rFonts w:cs="Arial"/>
          <w:szCs w:val="20"/>
        </w:rPr>
        <w:t>t</w:t>
      </w:r>
      <w:r w:rsidRPr="003C1CCF">
        <w:rPr>
          <w:rFonts w:cs="Arial"/>
          <w:spacing w:val="-7"/>
          <w:szCs w:val="20"/>
        </w:rPr>
        <w:t>o</w:t>
      </w:r>
      <w:r w:rsidRPr="003C1CCF">
        <w:rPr>
          <w:rFonts w:cs="Arial"/>
          <w:spacing w:val="-2"/>
          <w:szCs w:val="20"/>
        </w:rPr>
        <w:t>n</w:t>
      </w:r>
      <w:r w:rsidRPr="003C1CCF">
        <w:rPr>
          <w:rFonts w:cs="Arial"/>
          <w:spacing w:val="-1"/>
          <w:szCs w:val="20"/>
        </w:rPr>
        <w:t>s</w:t>
      </w:r>
      <w:r w:rsidRPr="003C1CCF">
        <w:rPr>
          <w:rFonts w:cs="Arial"/>
          <w:szCs w:val="20"/>
        </w:rPr>
        <w:t>:</w:t>
      </w:r>
      <w:r w:rsidRPr="003C1CCF">
        <w:rPr>
          <w:rFonts w:cs="Arial"/>
          <w:spacing w:val="1"/>
          <w:szCs w:val="20"/>
        </w:rPr>
        <w:t xml:space="preserve"> </w:t>
      </w:r>
      <w:r w:rsidRPr="003C1CCF">
        <w:rPr>
          <w:rFonts w:cs="Arial"/>
          <w:spacing w:val="-2"/>
          <w:szCs w:val="20"/>
        </w:rPr>
        <w:t>3</w:t>
      </w:r>
      <w:r w:rsidRPr="003C1CCF">
        <w:rPr>
          <w:rFonts w:cs="Arial"/>
          <w:spacing w:val="-3"/>
          <w:szCs w:val="20"/>
        </w:rPr>
        <w:t>,</w:t>
      </w:r>
      <w:r w:rsidRPr="003C1CCF">
        <w:rPr>
          <w:rFonts w:cs="Arial"/>
          <w:spacing w:val="-2"/>
          <w:szCs w:val="20"/>
        </w:rPr>
        <w:t>41</w:t>
      </w:r>
      <w:r w:rsidRPr="003C1CCF">
        <w:rPr>
          <w:rFonts w:cs="Arial"/>
          <w:szCs w:val="20"/>
        </w:rPr>
        <w:t>3</w:t>
      </w:r>
      <w:r w:rsidRPr="003C1CCF">
        <w:rPr>
          <w:rFonts w:cs="Arial"/>
          <w:spacing w:val="2"/>
          <w:szCs w:val="20"/>
        </w:rPr>
        <w:t xml:space="preserve"> </w:t>
      </w:r>
      <w:r w:rsidRPr="003C1CCF">
        <w:rPr>
          <w:rFonts w:cs="Arial"/>
          <w:spacing w:val="-1"/>
          <w:szCs w:val="20"/>
        </w:rPr>
        <w:t>B</w:t>
      </w:r>
      <w:r w:rsidRPr="003C1CCF">
        <w:rPr>
          <w:rFonts w:cs="Arial"/>
          <w:spacing w:val="-5"/>
          <w:szCs w:val="20"/>
        </w:rPr>
        <w:t>t</w:t>
      </w:r>
      <w:r w:rsidRPr="003C1CCF">
        <w:rPr>
          <w:rFonts w:cs="Arial"/>
          <w:spacing w:val="-2"/>
          <w:szCs w:val="20"/>
        </w:rPr>
        <w:t>uh</w:t>
      </w:r>
      <w:r w:rsidRPr="003C1CCF">
        <w:rPr>
          <w:rFonts w:cs="Arial"/>
          <w:szCs w:val="20"/>
        </w:rPr>
        <w:t>/</w:t>
      </w:r>
      <w:r w:rsidRPr="003C1CCF">
        <w:rPr>
          <w:rFonts w:cs="Arial"/>
          <w:spacing w:val="-7"/>
          <w:szCs w:val="20"/>
        </w:rPr>
        <w:t>k</w:t>
      </w:r>
      <w:r w:rsidRPr="003C1CCF">
        <w:rPr>
          <w:rFonts w:cs="Arial"/>
          <w:szCs w:val="20"/>
        </w:rPr>
        <w:t>W</w:t>
      </w:r>
      <w:r w:rsidRPr="003C1CCF">
        <w:rPr>
          <w:rFonts w:cs="Arial"/>
          <w:spacing w:val="7"/>
          <w:szCs w:val="20"/>
        </w:rPr>
        <w:t xml:space="preserve"> </w:t>
      </w:r>
      <w:r w:rsidRPr="003C1CCF">
        <w:rPr>
          <w:rFonts w:cs="Arial"/>
          <w:spacing w:val="-2"/>
          <w:szCs w:val="20"/>
        </w:rPr>
        <w:t>d</w:t>
      </w:r>
      <w:r w:rsidRPr="003C1CCF">
        <w:rPr>
          <w:rFonts w:cs="Arial"/>
          <w:szCs w:val="20"/>
        </w:rPr>
        <w:t>i</w:t>
      </w:r>
      <w:r w:rsidRPr="003C1CCF">
        <w:rPr>
          <w:rFonts w:cs="Arial"/>
          <w:spacing w:val="-7"/>
          <w:szCs w:val="20"/>
        </w:rPr>
        <w:t>v</w:t>
      </w:r>
      <w:r w:rsidRPr="003C1CCF">
        <w:rPr>
          <w:rFonts w:cs="Arial"/>
          <w:szCs w:val="20"/>
        </w:rPr>
        <w:t>i</w:t>
      </w:r>
      <w:r w:rsidRPr="003C1CCF">
        <w:rPr>
          <w:rFonts w:cs="Arial"/>
          <w:spacing w:val="3"/>
          <w:szCs w:val="20"/>
        </w:rPr>
        <w:t>d</w:t>
      </w:r>
      <w:r w:rsidRPr="003C1CCF">
        <w:rPr>
          <w:rFonts w:cs="Arial"/>
          <w:spacing w:val="-8"/>
          <w:szCs w:val="20"/>
        </w:rPr>
        <w:t>e</w:t>
      </w:r>
      <w:r w:rsidRPr="003C1CCF">
        <w:rPr>
          <w:rFonts w:cs="Arial"/>
          <w:szCs w:val="20"/>
        </w:rPr>
        <w:t>d</w:t>
      </w:r>
      <w:r w:rsidRPr="003C1CCF">
        <w:rPr>
          <w:rFonts w:cs="Arial"/>
          <w:spacing w:val="14"/>
          <w:szCs w:val="20"/>
        </w:rPr>
        <w:t xml:space="preserve"> </w:t>
      </w:r>
      <w:r w:rsidRPr="003C1CCF">
        <w:rPr>
          <w:rFonts w:cs="Arial"/>
          <w:spacing w:val="-2"/>
          <w:szCs w:val="20"/>
        </w:rPr>
        <w:t>b</w:t>
      </w:r>
      <w:r w:rsidRPr="003C1CCF">
        <w:rPr>
          <w:rFonts w:cs="Arial"/>
          <w:szCs w:val="20"/>
        </w:rPr>
        <w:t>y</w:t>
      </w:r>
      <w:r w:rsidRPr="003C1CCF">
        <w:rPr>
          <w:rFonts w:cs="Arial"/>
          <w:spacing w:val="-8"/>
          <w:szCs w:val="20"/>
        </w:rPr>
        <w:t xml:space="preserve"> </w:t>
      </w:r>
      <w:r w:rsidRPr="003C1CCF">
        <w:rPr>
          <w:rFonts w:cs="Arial"/>
          <w:spacing w:val="-2"/>
          <w:szCs w:val="20"/>
        </w:rPr>
        <w:t>12</w:t>
      </w:r>
      <w:r w:rsidRPr="003C1CCF">
        <w:rPr>
          <w:rFonts w:cs="Arial"/>
          <w:spacing w:val="-3"/>
          <w:szCs w:val="20"/>
        </w:rPr>
        <w:t>,</w:t>
      </w:r>
      <w:r w:rsidRPr="003C1CCF">
        <w:rPr>
          <w:rFonts w:cs="Arial"/>
          <w:spacing w:val="-2"/>
          <w:szCs w:val="20"/>
        </w:rPr>
        <w:t>00</w:t>
      </w:r>
      <w:r w:rsidRPr="003C1CCF">
        <w:rPr>
          <w:rFonts w:cs="Arial"/>
          <w:szCs w:val="20"/>
        </w:rPr>
        <w:t>0</w:t>
      </w:r>
      <w:r w:rsidRPr="003C1CCF">
        <w:rPr>
          <w:rFonts w:cs="Arial"/>
          <w:spacing w:val="2"/>
          <w:szCs w:val="20"/>
        </w:rPr>
        <w:t xml:space="preserve"> </w:t>
      </w:r>
      <w:r w:rsidRPr="003C1CCF">
        <w:rPr>
          <w:rFonts w:cs="Arial"/>
          <w:spacing w:val="-1"/>
          <w:w w:val="102"/>
          <w:szCs w:val="20"/>
        </w:rPr>
        <w:t>B</w:t>
      </w:r>
      <w:r w:rsidRPr="003C1CCF">
        <w:rPr>
          <w:rFonts w:cs="Arial"/>
          <w:spacing w:val="-5"/>
          <w:w w:val="102"/>
          <w:szCs w:val="20"/>
        </w:rPr>
        <w:t>t</w:t>
      </w:r>
      <w:r w:rsidRPr="003C1CCF">
        <w:rPr>
          <w:rFonts w:cs="Arial"/>
          <w:spacing w:val="-2"/>
          <w:w w:val="101"/>
          <w:szCs w:val="20"/>
        </w:rPr>
        <w:t>uh</w:t>
      </w:r>
      <w:r w:rsidRPr="003C1CCF">
        <w:rPr>
          <w:rFonts w:cs="Arial"/>
          <w:w w:val="102"/>
          <w:szCs w:val="20"/>
        </w:rPr>
        <w:t>/t</w:t>
      </w:r>
      <w:r w:rsidRPr="003C1CCF">
        <w:rPr>
          <w:rFonts w:cs="Arial"/>
          <w:spacing w:val="-7"/>
          <w:w w:val="101"/>
          <w:szCs w:val="20"/>
        </w:rPr>
        <w:t>o</w:t>
      </w:r>
      <w:r w:rsidRPr="003C1CCF">
        <w:rPr>
          <w:rFonts w:cs="Arial"/>
          <w:spacing w:val="-2"/>
          <w:w w:val="101"/>
          <w:szCs w:val="20"/>
        </w:rPr>
        <w:t>n</w:t>
      </w:r>
    </w:p>
    <w:p w:rsidR="00B20792" w:rsidRPr="003C1CCF" w:rsidRDefault="00B20792" w:rsidP="00B20792">
      <w:pPr>
        <w:pStyle w:val="Equation"/>
        <w:rPr>
          <w:rFonts w:cs="Arial"/>
          <w:spacing w:val="-2"/>
          <w:w w:val="101"/>
          <w:szCs w:val="20"/>
        </w:rPr>
      </w:pPr>
      <w:r>
        <w:rPr>
          <w:rFonts w:cs="Arial"/>
          <w:spacing w:val="2"/>
          <w:w w:val="102"/>
          <w:position w:val="1"/>
          <w:szCs w:val="20"/>
        </w:rPr>
        <w:tab/>
      </w:r>
      <w:r w:rsidRPr="003C1CCF">
        <w:rPr>
          <w:rFonts w:cs="Arial"/>
          <w:spacing w:val="2"/>
          <w:w w:val="102"/>
          <w:position w:val="1"/>
          <w:szCs w:val="20"/>
        </w:rPr>
        <w:t>E</w:t>
      </w:r>
      <w:r w:rsidRPr="003C1CCF">
        <w:rPr>
          <w:rFonts w:cs="Arial"/>
          <w:spacing w:val="-3"/>
          <w:w w:val="101"/>
          <w:position w:val="1"/>
          <w:szCs w:val="20"/>
        </w:rPr>
        <w:t>f</w:t>
      </w:r>
      <w:r w:rsidRPr="003C1CCF">
        <w:rPr>
          <w:rFonts w:cs="Arial"/>
          <w:spacing w:val="-8"/>
          <w:w w:val="101"/>
          <w:position w:val="1"/>
          <w:szCs w:val="20"/>
        </w:rPr>
        <w:t>f</w:t>
      </w:r>
      <w:r w:rsidRPr="003C1CCF">
        <w:rPr>
          <w:rFonts w:cs="Arial"/>
          <w:spacing w:val="-3"/>
          <w:position w:val="-2"/>
          <w:szCs w:val="20"/>
          <w:vertAlign w:val="subscript"/>
        </w:rPr>
        <w:t>R</w:t>
      </w:r>
      <w:r w:rsidRPr="003C1CCF">
        <w:rPr>
          <w:rFonts w:cs="Arial"/>
          <w:position w:val="-2"/>
          <w:szCs w:val="20"/>
          <w:vertAlign w:val="subscript"/>
        </w:rPr>
        <w:t xml:space="preserve">S </w:t>
      </w:r>
      <w:r>
        <w:rPr>
          <w:rFonts w:cs="Arial"/>
          <w:position w:val="-2"/>
          <w:szCs w:val="20"/>
        </w:rPr>
        <w:tab/>
        <w:t xml:space="preserve">= </w:t>
      </w:r>
      <w:r w:rsidRPr="003C1CCF">
        <w:rPr>
          <w:rFonts w:cs="Arial"/>
          <w:spacing w:val="2"/>
          <w:szCs w:val="20"/>
        </w:rPr>
        <w:t>E</w:t>
      </w:r>
      <w:r w:rsidRPr="003C1CCF">
        <w:rPr>
          <w:rFonts w:cs="Arial"/>
          <w:spacing w:val="-3"/>
          <w:szCs w:val="20"/>
        </w:rPr>
        <w:t>f</w:t>
      </w:r>
      <w:r w:rsidRPr="003C1CCF">
        <w:rPr>
          <w:rFonts w:cs="Arial"/>
          <w:spacing w:val="-7"/>
          <w:szCs w:val="20"/>
        </w:rPr>
        <w:t>f</w:t>
      </w:r>
      <w:r w:rsidRPr="003C1CCF">
        <w:rPr>
          <w:rFonts w:cs="Arial"/>
          <w:szCs w:val="20"/>
        </w:rPr>
        <w:t>i</w:t>
      </w:r>
      <w:r w:rsidRPr="003C1CCF">
        <w:rPr>
          <w:rFonts w:cs="Arial"/>
          <w:spacing w:val="-4"/>
          <w:szCs w:val="20"/>
        </w:rPr>
        <w:t>c</w:t>
      </w:r>
      <w:r w:rsidRPr="003C1CCF">
        <w:rPr>
          <w:rFonts w:cs="Arial"/>
          <w:szCs w:val="20"/>
        </w:rPr>
        <w:t>i</w:t>
      </w:r>
      <w:r w:rsidRPr="003C1CCF">
        <w:rPr>
          <w:rFonts w:cs="Arial"/>
          <w:spacing w:val="-4"/>
          <w:szCs w:val="20"/>
        </w:rPr>
        <w:t>e</w:t>
      </w:r>
      <w:r w:rsidRPr="003C1CCF">
        <w:rPr>
          <w:rFonts w:cs="Arial"/>
          <w:spacing w:val="3"/>
          <w:szCs w:val="20"/>
        </w:rPr>
        <w:t>n</w:t>
      </w:r>
      <w:r w:rsidRPr="003C1CCF">
        <w:rPr>
          <w:rFonts w:cs="Arial"/>
          <w:spacing w:val="-4"/>
          <w:szCs w:val="20"/>
        </w:rPr>
        <w:t>c</w:t>
      </w:r>
      <w:r w:rsidRPr="003C1CCF">
        <w:rPr>
          <w:rFonts w:cs="Arial"/>
          <w:szCs w:val="20"/>
        </w:rPr>
        <w:t>y</w:t>
      </w:r>
      <w:r w:rsidRPr="003C1CCF">
        <w:rPr>
          <w:rFonts w:cs="Arial"/>
          <w:spacing w:val="4"/>
          <w:szCs w:val="20"/>
        </w:rPr>
        <w:t xml:space="preserve"> </w:t>
      </w:r>
      <w:r w:rsidRPr="003C1CCF">
        <w:rPr>
          <w:rFonts w:cs="Arial"/>
          <w:spacing w:val="-2"/>
          <w:szCs w:val="20"/>
        </w:rPr>
        <w:t>o</w:t>
      </w:r>
      <w:r w:rsidRPr="003C1CCF">
        <w:rPr>
          <w:rFonts w:cs="Arial"/>
          <w:szCs w:val="20"/>
        </w:rPr>
        <w:t>f</w:t>
      </w:r>
      <w:r w:rsidRPr="003C1CCF">
        <w:rPr>
          <w:rFonts w:cs="Arial"/>
          <w:spacing w:val="-4"/>
          <w:szCs w:val="20"/>
        </w:rPr>
        <w:t xml:space="preserve"> </w:t>
      </w:r>
      <w:r w:rsidRPr="003C1CCF">
        <w:rPr>
          <w:rFonts w:cs="Arial"/>
          <w:spacing w:val="5"/>
          <w:szCs w:val="20"/>
        </w:rPr>
        <w:t>t</w:t>
      </w:r>
      <w:r w:rsidRPr="003C1CCF">
        <w:rPr>
          <w:rFonts w:cs="Arial"/>
          <w:spacing w:val="-7"/>
          <w:szCs w:val="20"/>
        </w:rPr>
        <w:t>y</w:t>
      </w:r>
      <w:r w:rsidRPr="003C1CCF">
        <w:rPr>
          <w:rFonts w:cs="Arial"/>
          <w:spacing w:val="-2"/>
          <w:szCs w:val="20"/>
        </w:rPr>
        <w:t>p</w:t>
      </w:r>
      <w:r w:rsidRPr="003C1CCF">
        <w:rPr>
          <w:rFonts w:cs="Arial"/>
          <w:szCs w:val="20"/>
        </w:rPr>
        <w:t>i</w:t>
      </w:r>
      <w:r w:rsidRPr="003C1CCF">
        <w:rPr>
          <w:rFonts w:cs="Arial"/>
          <w:spacing w:val="-4"/>
          <w:szCs w:val="20"/>
        </w:rPr>
        <w:t>ca</w:t>
      </w:r>
      <w:r w:rsidRPr="003C1CCF">
        <w:rPr>
          <w:rFonts w:cs="Arial"/>
          <w:szCs w:val="20"/>
        </w:rPr>
        <w:t>l</w:t>
      </w:r>
      <w:r w:rsidRPr="003C1CCF">
        <w:rPr>
          <w:rFonts w:cs="Arial"/>
          <w:spacing w:val="6"/>
          <w:szCs w:val="20"/>
        </w:rPr>
        <w:t xml:space="preserve"> </w:t>
      </w:r>
      <w:r w:rsidRPr="003C1CCF">
        <w:rPr>
          <w:rFonts w:cs="Arial"/>
          <w:spacing w:val="2"/>
          <w:szCs w:val="20"/>
        </w:rPr>
        <w:t>r</w:t>
      </w:r>
      <w:r w:rsidRPr="003C1CCF">
        <w:rPr>
          <w:rFonts w:cs="Arial"/>
          <w:spacing w:val="-4"/>
          <w:szCs w:val="20"/>
        </w:rPr>
        <w:t>e</w:t>
      </w:r>
      <w:r w:rsidRPr="003C1CCF">
        <w:rPr>
          <w:rFonts w:cs="Arial"/>
          <w:spacing w:val="-7"/>
          <w:szCs w:val="20"/>
        </w:rPr>
        <w:t>f</w:t>
      </w:r>
      <w:r w:rsidRPr="003C1CCF">
        <w:rPr>
          <w:rFonts w:cs="Arial"/>
          <w:spacing w:val="2"/>
          <w:szCs w:val="20"/>
        </w:rPr>
        <w:t>r</w:t>
      </w:r>
      <w:r w:rsidRPr="003C1CCF">
        <w:rPr>
          <w:rFonts w:cs="Arial"/>
          <w:szCs w:val="20"/>
        </w:rPr>
        <w:t>i</w:t>
      </w:r>
      <w:r w:rsidRPr="003C1CCF">
        <w:rPr>
          <w:rFonts w:cs="Arial"/>
          <w:spacing w:val="-2"/>
          <w:szCs w:val="20"/>
        </w:rPr>
        <w:t>g</w:t>
      </w:r>
      <w:r w:rsidRPr="003C1CCF">
        <w:rPr>
          <w:rFonts w:cs="Arial"/>
          <w:spacing w:val="-4"/>
          <w:szCs w:val="20"/>
        </w:rPr>
        <w:t>e</w:t>
      </w:r>
      <w:r w:rsidRPr="003C1CCF">
        <w:rPr>
          <w:rFonts w:cs="Arial"/>
          <w:spacing w:val="2"/>
          <w:szCs w:val="20"/>
        </w:rPr>
        <w:t>r</w:t>
      </w:r>
      <w:r w:rsidRPr="003C1CCF">
        <w:rPr>
          <w:rFonts w:cs="Arial"/>
          <w:spacing w:val="-4"/>
          <w:szCs w:val="20"/>
        </w:rPr>
        <w:t>a</w:t>
      </w:r>
      <w:r w:rsidRPr="003C1CCF">
        <w:rPr>
          <w:rFonts w:cs="Arial"/>
          <w:szCs w:val="20"/>
        </w:rPr>
        <w:t>ti</w:t>
      </w:r>
      <w:r w:rsidRPr="003C1CCF">
        <w:rPr>
          <w:rFonts w:cs="Arial"/>
          <w:spacing w:val="-7"/>
          <w:szCs w:val="20"/>
        </w:rPr>
        <w:t>o</w:t>
      </w:r>
      <w:r w:rsidRPr="003C1CCF">
        <w:rPr>
          <w:rFonts w:cs="Arial"/>
          <w:szCs w:val="20"/>
        </w:rPr>
        <w:t>n</w:t>
      </w:r>
      <w:r w:rsidRPr="003C1CCF">
        <w:rPr>
          <w:rFonts w:cs="Arial"/>
          <w:spacing w:val="11"/>
          <w:szCs w:val="20"/>
        </w:rPr>
        <w:t xml:space="preserve"> </w:t>
      </w:r>
      <w:r w:rsidRPr="003C1CCF">
        <w:rPr>
          <w:rFonts w:cs="Arial"/>
          <w:spacing w:val="-1"/>
          <w:szCs w:val="20"/>
        </w:rPr>
        <w:t>s</w:t>
      </w:r>
      <w:r w:rsidRPr="003C1CCF">
        <w:rPr>
          <w:rFonts w:cs="Arial"/>
          <w:spacing w:val="-7"/>
          <w:szCs w:val="20"/>
        </w:rPr>
        <w:t>y</w:t>
      </w:r>
      <w:r w:rsidRPr="003C1CCF">
        <w:rPr>
          <w:rFonts w:cs="Arial"/>
          <w:spacing w:val="-1"/>
          <w:szCs w:val="20"/>
        </w:rPr>
        <w:t>s</w:t>
      </w:r>
      <w:r w:rsidRPr="003C1CCF">
        <w:rPr>
          <w:rFonts w:cs="Arial"/>
          <w:szCs w:val="20"/>
        </w:rPr>
        <w:t>t</w:t>
      </w:r>
      <w:r w:rsidRPr="003C1CCF">
        <w:rPr>
          <w:rFonts w:cs="Arial"/>
          <w:spacing w:val="-4"/>
          <w:szCs w:val="20"/>
        </w:rPr>
        <w:t>e</w:t>
      </w:r>
      <w:r w:rsidRPr="003C1CCF">
        <w:rPr>
          <w:rFonts w:cs="Arial"/>
          <w:spacing w:val="-7"/>
          <w:szCs w:val="20"/>
        </w:rPr>
        <w:t>m</w:t>
      </w:r>
    </w:p>
    <w:p w:rsidR="00B20792" w:rsidRPr="00B20792" w:rsidRDefault="00B20792" w:rsidP="00B20792">
      <w:pPr>
        <w:pStyle w:val="Equation"/>
      </w:pPr>
      <w:r>
        <w:rPr>
          <w:rFonts w:cs="Arial"/>
          <w:spacing w:val="-2"/>
          <w:w w:val="101"/>
          <w:position w:val="1"/>
          <w:szCs w:val="20"/>
        </w:rPr>
        <w:tab/>
      </w:r>
      <w:r w:rsidRPr="003C1CCF">
        <w:rPr>
          <w:rFonts w:cs="Arial"/>
          <w:spacing w:val="-2"/>
          <w:w w:val="101"/>
          <w:position w:val="1"/>
          <w:szCs w:val="20"/>
        </w:rPr>
        <w:t>k</w:t>
      </w:r>
      <w:r w:rsidRPr="003C1CCF">
        <w:rPr>
          <w:rFonts w:cs="Arial"/>
          <w:spacing w:val="-1"/>
          <w:w w:val="102"/>
          <w:position w:val="1"/>
          <w:szCs w:val="20"/>
        </w:rPr>
        <w:t>W</w:t>
      </w:r>
      <w:r w:rsidRPr="003C1CCF">
        <w:rPr>
          <w:rFonts w:cs="Arial"/>
          <w:spacing w:val="-3"/>
          <w:position w:val="-2"/>
          <w:szCs w:val="20"/>
          <w:vertAlign w:val="subscript"/>
        </w:rPr>
        <w:t>C</w:t>
      </w:r>
      <w:r w:rsidRPr="003C1CCF">
        <w:rPr>
          <w:rFonts w:cs="Arial"/>
          <w:position w:val="-2"/>
          <w:szCs w:val="20"/>
          <w:vertAlign w:val="subscript"/>
        </w:rPr>
        <w:t xml:space="preserve">P </w:t>
      </w:r>
      <w:r>
        <w:rPr>
          <w:rFonts w:cs="Arial"/>
          <w:position w:val="-2"/>
          <w:szCs w:val="20"/>
        </w:rPr>
        <w:tab/>
        <w:t xml:space="preserve">= </w:t>
      </w:r>
      <w:r w:rsidRPr="003C1CCF">
        <w:rPr>
          <w:rFonts w:cs="Arial"/>
          <w:spacing w:val="-7"/>
          <w:szCs w:val="20"/>
        </w:rPr>
        <w:t>T</w:t>
      </w:r>
      <w:r w:rsidRPr="003C1CCF">
        <w:rPr>
          <w:rFonts w:cs="Arial"/>
          <w:spacing w:val="-2"/>
          <w:szCs w:val="20"/>
        </w:rPr>
        <w:t>o</w:t>
      </w:r>
      <w:r w:rsidRPr="003C1CCF">
        <w:rPr>
          <w:rFonts w:cs="Arial"/>
          <w:szCs w:val="20"/>
        </w:rPr>
        <w:t>t</w:t>
      </w:r>
      <w:r w:rsidRPr="003C1CCF">
        <w:rPr>
          <w:rFonts w:cs="Arial"/>
          <w:spacing w:val="-4"/>
          <w:szCs w:val="20"/>
        </w:rPr>
        <w:t>a</w:t>
      </w:r>
      <w:r w:rsidRPr="003C1CCF">
        <w:rPr>
          <w:rFonts w:cs="Arial"/>
          <w:szCs w:val="20"/>
        </w:rPr>
        <w:t>l</w:t>
      </w:r>
      <w:r w:rsidRPr="003C1CCF">
        <w:rPr>
          <w:rFonts w:cs="Arial"/>
          <w:spacing w:val="8"/>
          <w:szCs w:val="20"/>
        </w:rPr>
        <w:t xml:space="preserve"> </w:t>
      </w:r>
      <w:r w:rsidRPr="003C1CCF">
        <w:rPr>
          <w:rFonts w:cs="Arial"/>
          <w:spacing w:val="-2"/>
          <w:szCs w:val="20"/>
        </w:rPr>
        <w:t>po</w:t>
      </w:r>
      <w:r w:rsidRPr="003C1CCF">
        <w:rPr>
          <w:rFonts w:cs="Arial"/>
          <w:spacing w:val="-4"/>
          <w:szCs w:val="20"/>
        </w:rPr>
        <w:t>we</w:t>
      </w:r>
      <w:r w:rsidRPr="003C1CCF">
        <w:rPr>
          <w:rFonts w:cs="Arial"/>
          <w:szCs w:val="20"/>
        </w:rPr>
        <w:t>r</w:t>
      </w:r>
      <w:r w:rsidRPr="003C1CCF">
        <w:rPr>
          <w:rFonts w:cs="Arial"/>
          <w:spacing w:val="3"/>
          <w:szCs w:val="20"/>
        </w:rPr>
        <w:t xml:space="preserve"> d</w:t>
      </w:r>
      <w:r w:rsidRPr="003C1CCF">
        <w:rPr>
          <w:rFonts w:cs="Arial"/>
          <w:spacing w:val="-4"/>
          <w:szCs w:val="20"/>
        </w:rPr>
        <w:t>e</w:t>
      </w:r>
      <w:r w:rsidRPr="003C1CCF">
        <w:rPr>
          <w:rFonts w:cs="Arial"/>
          <w:spacing w:val="-7"/>
          <w:szCs w:val="20"/>
        </w:rPr>
        <w:t>m</w:t>
      </w:r>
      <w:r w:rsidRPr="003C1CCF">
        <w:rPr>
          <w:rFonts w:cs="Arial"/>
          <w:spacing w:val="-4"/>
          <w:szCs w:val="20"/>
        </w:rPr>
        <w:t>a</w:t>
      </w:r>
      <w:r w:rsidRPr="003C1CCF">
        <w:rPr>
          <w:rFonts w:cs="Arial"/>
          <w:spacing w:val="-2"/>
          <w:szCs w:val="20"/>
        </w:rPr>
        <w:t>n</w:t>
      </w:r>
      <w:r w:rsidRPr="003C1CCF">
        <w:rPr>
          <w:rFonts w:cs="Arial"/>
          <w:szCs w:val="20"/>
        </w:rPr>
        <w:t>d</w:t>
      </w:r>
      <w:r w:rsidRPr="003C1CCF">
        <w:rPr>
          <w:rFonts w:cs="Arial"/>
          <w:spacing w:val="10"/>
          <w:szCs w:val="20"/>
        </w:rPr>
        <w:t xml:space="preserve"> </w:t>
      </w:r>
      <w:r w:rsidRPr="003C1CCF">
        <w:rPr>
          <w:rFonts w:cs="Arial"/>
          <w:spacing w:val="-2"/>
          <w:szCs w:val="20"/>
        </w:rPr>
        <w:t>o</w:t>
      </w:r>
      <w:r w:rsidRPr="003C1CCF">
        <w:rPr>
          <w:rFonts w:cs="Arial"/>
          <w:szCs w:val="20"/>
        </w:rPr>
        <w:t>f</w:t>
      </w:r>
      <w:r w:rsidRPr="003C1CCF">
        <w:rPr>
          <w:rFonts w:cs="Arial"/>
          <w:spacing w:val="-4"/>
          <w:szCs w:val="20"/>
        </w:rPr>
        <w:t xml:space="preserve"> c</w:t>
      </w:r>
      <w:r w:rsidRPr="003C1CCF">
        <w:rPr>
          <w:rFonts w:cs="Arial"/>
          <w:spacing w:val="-2"/>
          <w:szCs w:val="20"/>
        </w:rPr>
        <w:t>o</w:t>
      </w:r>
      <w:r w:rsidRPr="003C1CCF">
        <w:rPr>
          <w:rFonts w:cs="Arial"/>
          <w:spacing w:val="-7"/>
          <w:szCs w:val="20"/>
        </w:rPr>
        <w:t>m</w:t>
      </w:r>
      <w:r w:rsidRPr="003C1CCF">
        <w:rPr>
          <w:rFonts w:cs="Arial"/>
          <w:spacing w:val="-2"/>
          <w:szCs w:val="20"/>
        </w:rPr>
        <w:t>p</w:t>
      </w:r>
      <w:r w:rsidRPr="003C1CCF">
        <w:rPr>
          <w:rFonts w:cs="Arial"/>
          <w:spacing w:val="2"/>
          <w:szCs w:val="20"/>
        </w:rPr>
        <w:t>r</w:t>
      </w:r>
      <w:r w:rsidRPr="003C1CCF">
        <w:rPr>
          <w:rFonts w:cs="Arial"/>
          <w:spacing w:val="-4"/>
          <w:szCs w:val="20"/>
        </w:rPr>
        <w:t>e</w:t>
      </w:r>
      <w:r w:rsidRPr="003C1CCF">
        <w:rPr>
          <w:rFonts w:cs="Arial"/>
          <w:spacing w:val="-1"/>
          <w:szCs w:val="20"/>
        </w:rPr>
        <w:t>ss</w:t>
      </w:r>
      <w:r w:rsidRPr="003C1CCF">
        <w:rPr>
          <w:rFonts w:cs="Arial"/>
          <w:spacing w:val="-2"/>
          <w:szCs w:val="20"/>
        </w:rPr>
        <w:t>o</w:t>
      </w:r>
      <w:r w:rsidRPr="003C1CCF">
        <w:rPr>
          <w:rFonts w:cs="Arial"/>
          <w:szCs w:val="20"/>
        </w:rPr>
        <w:t>r</w:t>
      </w:r>
      <w:r w:rsidRPr="003C1CCF">
        <w:rPr>
          <w:rFonts w:cs="Arial"/>
          <w:spacing w:val="9"/>
          <w:szCs w:val="20"/>
        </w:rPr>
        <w:t xml:space="preserve"> </w:t>
      </w:r>
      <w:r w:rsidRPr="003C1CCF">
        <w:rPr>
          <w:rFonts w:cs="Arial"/>
          <w:spacing w:val="-7"/>
          <w:szCs w:val="20"/>
        </w:rPr>
        <w:t>m</w:t>
      </w:r>
      <w:r w:rsidRPr="003C1CCF">
        <w:rPr>
          <w:rFonts w:cs="Arial"/>
          <w:spacing w:val="-2"/>
          <w:szCs w:val="20"/>
        </w:rPr>
        <w:t>o</w:t>
      </w:r>
      <w:r w:rsidRPr="003C1CCF">
        <w:rPr>
          <w:rFonts w:cs="Arial"/>
          <w:szCs w:val="20"/>
        </w:rPr>
        <w:t>t</w:t>
      </w:r>
      <w:r w:rsidRPr="003C1CCF">
        <w:rPr>
          <w:rFonts w:cs="Arial"/>
          <w:spacing w:val="-7"/>
          <w:szCs w:val="20"/>
        </w:rPr>
        <w:t>o</w:t>
      </w:r>
      <w:r w:rsidRPr="003C1CCF">
        <w:rPr>
          <w:rFonts w:cs="Arial"/>
          <w:szCs w:val="20"/>
        </w:rPr>
        <w:t>r</w:t>
      </w:r>
      <w:r w:rsidRPr="003C1CCF">
        <w:rPr>
          <w:rFonts w:cs="Arial"/>
          <w:spacing w:val="11"/>
          <w:szCs w:val="20"/>
        </w:rPr>
        <w:t xml:space="preserve"> </w:t>
      </w:r>
      <w:r w:rsidRPr="003C1CCF">
        <w:rPr>
          <w:rFonts w:cs="Arial"/>
          <w:spacing w:val="-8"/>
          <w:szCs w:val="20"/>
        </w:rPr>
        <w:t>a</w:t>
      </w:r>
      <w:r w:rsidRPr="003C1CCF">
        <w:rPr>
          <w:rFonts w:cs="Arial"/>
          <w:spacing w:val="-2"/>
          <w:szCs w:val="20"/>
        </w:rPr>
        <w:t>n</w:t>
      </w:r>
      <w:r w:rsidRPr="003C1CCF">
        <w:rPr>
          <w:rFonts w:cs="Arial"/>
          <w:szCs w:val="20"/>
        </w:rPr>
        <w:t>d</w:t>
      </w:r>
      <w:r w:rsidRPr="003C1CCF">
        <w:rPr>
          <w:rFonts w:cs="Arial"/>
          <w:spacing w:val="9"/>
          <w:szCs w:val="20"/>
        </w:rPr>
        <w:t xml:space="preserve"> </w:t>
      </w:r>
      <w:r w:rsidRPr="003C1CCF">
        <w:rPr>
          <w:rFonts w:cs="Arial"/>
          <w:spacing w:val="-4"/>
          <w:szCs w:val="20"/>
        </w:rPr>
        <w:t>c</w:t>
      </w:r>
      <w:r w:rsidRPr="003C1CCF">
        <w:rPr>
          <w:rFonts w:cs="Arial"/>
          <w:spacing w:val="-7"/>
          <w:szCs w:val="20"/>
        </w:rPr>
        <w:t>o</w:t>
      </w:r>
      <w:r w:rsidRPr="003C1CCF">
        <w:rPr>
          <w:rFonts w:cs="Arial"/>
          <w:spacing w:val="-2"/>
          <w:szCs w:val="20"/>
        </w:rPr>
        <w:t>n</w:t>
      </w:r>
      <w:r w:rsidRPr="003C1CCF">
        <w:rPr>
          <w:rFonts w:cs="Arial"/>
          <w:spacing w:val="3"/>
          <w:szCs w:val="20"/>
        </w:rPr>
        <w:t>d</w:t>
      </w:r>
      <w:r w:rsidRPr="003C1CCF">
        <w:rPr>
          <w:rFonts w:cs="Arial"/>
          <w:spacing w:val="-8"/>
          <w:szCs w:val="20"/>
        </w:rPr>
        <w:t>e</w:t>
      </w:r>
      <w:r w:rsidRPr="003C1CCF">
        <w:rPr>
          <w:rFonts w:cs="Arial"/>
          <w:spacing w:val="3"/>
          <w:szCs w:val="20"/>
        </w:rPr>
        <w:t>n</w:t>
      </w:r>
      <w:r w:rsidRPr="003C1CCF">
        <w:rPr>
          <w:rFonts w:cs="Arial"/>
          <w:spacing w:val="-6"/>
          <w:szCs w:val="20"/>
        </w:rPr>
        <w:t>s</w:t>
      </w:r>
      <w:r w:rsidRPr="003C1CCF">
        <w:rPr>
          <w:rFonts w:cs="Arial"/>
          <w:spacing w:val="-4"/>
          <w:szCs w:val="20"/>
        </w:rPr>
        <w:t>e</w:t>
      </w:r>
      <w:r w:rsidRPr="003C1CCF">
        <w:rPr>
          <w:rFonts w:cs="Arial"/>
          <w:szCs w:val="20"/>
        </w:rPr>
        <w:t>r</w:t>
      </w:r>
      <w:r w:rsidRPr="003C1CCF">
        <w:rPr>
          <w:rFonts w:cs="Arial"/>
          <w:spacing w:val="13"/>
          <w:szCs w:val="20"/>
        </w:rPr>
        <w:t xml:space="preserve"> </w:t>
      </w:r>
      <w:r w:rsidRPr="003C1CCF">
        <w:rPr>
          <w:rFonts w:cs="Arial"/>
          <w:spacing w:val="-7"/>
          <w:szCs w:val="20"/>
        </w:rPr>
        <w:t>f</w:t>
      </w:r>
      <w:r w:rsidRPr="003C1CCF">
        <w:rPr>
          <w:rFonts w:cs="Arial"/>
          <w:spacing w:val="-4"/>
          <w:szCs w:val="20"/>
        </w:rPr>
        <w:t>a</w:t>
      </w:r>
      <w:r w:rsidRPr="003C1CCF">
        <w:rPr>
          <w:rFonts w:cs="Arial"/>
          <w:szCs w:val="20"/>
        </w:rPr>
        <w:t>n</w:t>
      </w:r>
      <w:r w:rsidRPr="003C1CCF">
        <w:rPr>
          <w:rFonts w:cs="Arial"/>
          <w:spacing w:val="9"/>
          <w:szCs w:val="20"/>
        </w:rPr>
        <w:t xml:space="preserve"> </w:t>
      </w:r>
      <w:r w:rsidRPr="00B20792">
        <w:t>calculated from nameplate data and estimated power factor</w:t>
      </w:r>
      <w:r w:rsidR="00DE25FF">
        <w:t xml:space="preserve">. </w:t>
      </w:r>
      <w:r w:rsidR="00DE25FF">
        <w:rPr>
          <w:rFonts w:cs="Arial"/>
          <w:spacing w:val="-5"/>
          <w:w w:val="102"/>
          <w:szCs w:val="20"/>
        </w:rPr>
        <w:t xml:space="preserve">See </w:t>
      </w:r>
      <w:r w:rsidR="007A1FB6">
        <w:rPr>
          <w:rFonts w:cs="Arial"/>
          <w:spacing w:val="-5"/>
          <w:w w:val="102"/>
          <w:szCs w:val="20"/>
        </w:rPr>
        <w:fldChar w:fldCharType="begin"/>
      </w:r>
      <w:r w:rsidR="00DE25FF">
        <w:rPr>
          <w:rFonts w:cs="Arial"/>
          <w:spacing w:val="-5"/>
          <w:w w:val="102"/>
          <w:szCs w:val="20"/>
        </w:rPr>
        <w:instrText xml:space="preserve"> REF _Ref308699510 \h </w:instrText>
      </w:r>
      <w:r w:rsidR="007A1FB6">
        <w:rPr>
          <w:rFonts w:cs="Arial"/>
          <w:spacing w:val="-5"/>
          <w:w w:val="102"/>
          <w:szCs w:val="20"/>
        </w:rPr>
      </w:r>
      <w:r w:rsidR="007A1FB6">
        <w:rPr>
          <w:rFonts w:cs="Arial"/>
          <w:spacing w:val="-5"/>
          <w:w w:val="102"/>
          <w:szCs w:val="20"/>
        </w:rPr>
        <w:fldChar w:fldCharType="separate"/>
      </w:r>
      <w:r w:rsidR="00C0292F">
        <w:t xml:space="preserve">Table </w:t>
      </w:r>
      <w:r w:rsidR="00C0292F">
        <w:rPr>
          <w:noProof/>
        </w:rPr>
        <w:t>3</w:t>
      </w:r>
      <w:r w:rsidR="00C0292F">
        <w:noBreakHyphen/>
      </w:r>
      <w:r w:rsidR="00C0292F">
        <w:rPr>
          <w:noProof/>
        </w:rPr>
        <w:t>83</w:t>
      </w:r>
      <w:r w:rsidR="00C0292F">
        <w:t>: Evaporator Fan Controller Calculations Assumptions</w:t>
      </w:r>
      <w:r w:rsidR="007A1FB6">
        <w:rPr>
          <w:rFonts w:cs="Arial"/>
          <w:spacing w:val="-5"/>
          <w:w w:val="102"/>
          <w:szCs w:val="20"/>
        </w:rPr>
        <w:fldChar w:fldCharType="end"/>
      </w:r>
      <w:r w:rsidR="00DE25FF">
        <w:rPr>
          <w:rFonts w:cs="Arial"/>
          <w:spacing w:val="-5"/>
          <w:w w:val="102"/>
          <w:szCs w:val="20"/>
        </w:rPr>
        <w:t xml:space="preserve"> for power factor value.</w:t>
      </w:r>
    </w:p>
    <w:p w:rsidR="00B20792" w:rsidRPr="003C1CCF" w:rsidRDefault="00B20792" w:rsidP="00B20792">
      <w:pPr>
        <w:pStyle w:val="Equation"/>
        <w:rPr>
          <w:rFonts w:cs="Arial"/>
          <w:szCs w:val="20"/>
        </w:rPr>
      </w:pPr>
      <w:r>
        <w:rPr>
          <w:rFonts w:cs="Arial"/>
          <w:spacing w:val="-8"/>
          <w:w w:val="101"/>
          <w:szCs w:val="20"/>
        </w:rPr>
        <w:tab/>
      </w:r>
      <w:r w:rsidRPr="003C1CCF">
        <w:rPr>
          <w:rFonts w:cs="Arial"/>
          <w:spacing w:val="-8"/>
          <w:w w:val="101"/>
          <w:szCs w:val="20"/>
        </w:rPr>
        <w:t>H</w:t>
      </w:r>
      <w:r w:rsidRPr="003C1CCF">
        <w:rPr>
          <w:rFonts w:cs="Arial"/>
          <w:spacing w:val="-2"/>
          <w:w w:val="101"/>
          <w:szCs w:val="20"/>
        </w:rPr>
        <w:t>o</w:t>
      </w:r>
      <w:r w:rsidRPr="003C1CCF">
        <w:rPr>
          <w:rFonts w:cs="Arial"/>
          <w:spacing w:val="3"/>
          <w:w w:val="101"/>
          <w:szCs w:val="20"/>
        </w:rPr>
        <w:t>u</w:t>
      </w:r>
      <w:r w:rsidRPr="003C1CCF">
        <w:rPr>
          <w:rFonts w:cs="Arial"/>
          <w:spacing w:val="2"/>
          <w:w w:val="101"/>
          <w:szCs w:val="20"/>
        </w:rPr>
        <w:t>r</w:t>
      </w:r>
      <w:r w:rsidRPr="003C1CCF">
        <w:rPr>
          <w:rFonts w:cs="Arial"/>
          <w:spacing w:val="-1"/>
          <w:w w:val="101"/>
          <w:szCs w:val="20"/>
        </w:rPr>
        <w:t>s</w:t>
      </w:r>
      <w:r w:rsidRPr="003C1CCF">
        <w:rPr>
          <w:rFonts w:cs="Arial"/>
          <w:spacing w:val="-3"/>
          <w:position w:val="-3"/>
          <w:szCs w:val="20"/>
          <w:vertAlign w:val="subscript"/>
        </w:rPr>
        <w:t>C</w:t>
      </w:r>
      <w:r w:rsidRPr="003C1CCF">
        <w:rPr>
          <w:rFonts w:cs="Arial"/>
          <w:position w:val="-3"/>
          <w:szCs w:val="20"/>
          <w:vertAlign w:val="subscript"/>
        </w:rPr>
        <w:t>P</w:t>
      </w:r>
      <w:r w:rsidRPr="003C1CCF">
        <w:rPr>
          <w:rFonts w:cs="Arial"/>
          <w:position w:val="-3"/>
          <w:szCs w:val="20"/>
        </w:rPr>
        <w:t xml:space="preserve"> </w:t>
      </w:r>
      <w:r>
        <w:rPr>
          <w:rFonts w:cs="Arial"/>
          <w:position w:val="-3"/>
          <w:szCs w:val="20"/>
        </w:rPr>
        <w:tab/>
        <w:t xml:space="preserve">= </w:t>
      </w:r>
      <w:r w:rsidRPr="003C1CCF">
        <w:rPr>
          <w:rFonts w:cs="Arial"/>
          <w:spacing w:val="-3"/>
          <w:szCs w:val="20"/>
        </w:rPr>
        <w:t>E</w:t>
      </w:r>
      <w:r w:rsidRPr="003C1CCF">
        <w:rPr>
          <w:rFonts w:cs="Arial"/>
          <w:spacing w:val="-2"/>
          <w:szCs w:val="20"/>
        </w:rPr>
        <w:t>q</w:t>
      </w:r>
      <w:r w:rsidRPr="003C1CCF">
        <w:rPr>
          <w:rFonts w:cs="Arial"/>
          <w:spacing w:val="3"/>
          <w:szCs w:val="20"/>
        </w:rPr>
        <w:t>u</w:t>
      </w:r>
      <w:r w:rsidRPr="003C1CCF">
        <w:rPr>
          <w:rFonts w:cs="Arial"/>
          <w:szCs w:val="20"/>
        </w:rPr>
        <w:t>i</w:t>
      </w:r>
      <w:r w:rsidRPr="003C1CCF">
        <w:rPr>
          <w:rFonts w:cs="Arial"/>
          <w:spacing w:val="-7"/>
          <w:szCs w:val="20"/>
        </w:rPr>
        <w:t>v</w:t>
      </w:r>
      <w:r w:rsidRPr="003C1CCF">
        <w:rPr>
          <w:rFonts w:cs="Arial"/>
          <w:spacing w:val="-4"/>
          <w:szCs w:val="20"/>
        </w:rPr>
        <w:t>a</w:t>
      </w:r>
      <w:r w:rsidRPr="003C1CCF">
        <w:rPr>
          <w:rFonts w:cs="Arial"/>
          <w:szCs w:val="20"/>
        </w:rPr>
        <w:t>l</w:t>
      </w:r>
      <w:r w:rsidRPr="003C1CCF">
        <w:rPr>
          <w:rFonts w:cs="Arial"/>
          <w:spacing w:val="-4"/>
          <w:szCs w:val="20"/>
        </w:rPr>
        <w:t>e</w:t>
      </w:r>
      <w:r w:rsidRPr="003C1CCF">
        <w:rPr>
          <w:rFonts w:cs="Arial"/>
          <w:spacing w:val="3"/>
          <w:szCs w:val="20"/>
        </w:rPr>
        <w:t>n</w:t>
      </w:r>
      <w:r w:rsidRPr="003C1CCF">
        <w:rPr>
          <w:rFonts w:cs="Arial"/>
          <w:szCs w:val="20"/>
        </w:rPr>
        <w:t>t</w:t>
      </w:r>
      <w:r w:rsidRPr="003C1CCF">
        <w:rPr>
          <w:rFonts w:cs="Arial"/>
          <w:spacing w:val="8"/>
          <w:szCs w:val="20"/>
        </w:rPr>
        <w:t xml:space="preserve"> </w:t>
      </w:r>
      <w:r w:rsidRPr="003C1CCF">
        <w:rPr>
          <w:rFonts w:cs="Arial"/>
          <w:spacing w:val="-8"/>
          <w:szCs w:val="20"/>
        </w:rPr>
        <w:t>a</w:t>
      </w:r>
      <w:r w:rsidRPr="003C1CCF">
        <w:rPr>
          <w:rFonts w:cs="Arial"/>
          <w:spacing w:val="-2"/>
          <w:szCs w:val="20"/>
        </w:rPr>
        <w:t>nn</w:t>
      </w:r>
      <w:r w:rsidRPr="003C1CCF">
        <w:rPr>
          <w:rFonts w:cs="Arial"/>
          <w:spacing w:val="3"/>
          <w:szCs w:val="20"/>
        </w:rPr>
        <w:t>u</w:t>
      </w:r>
      <w:r w:rsidRPr="003C1CCF">
        <w:rPr>
          <w:rFonts w:cs="Arial"/>
          <w:spacing w:val="-4"/>
          <w:szCs w:val="20"/>
        </w:rPr>
        <w:t>a</w:t>
      </w:r>
      <w:r w:rsidRPr="003C1CCF">
        <w:rPr>
          <w:rFonts w:cs="Arial"/>
          <w:szCs w:val="20"/>
        </w:rPr>
        <w:t>l</w:t>
      </w:r>
      <w:r w:rsidRPr="003C1CCF">
        <w:rPr>
          <w:rFonts w:cs="Arial"/>
          <w:spacing w:val="8"/>
          <w:szCs w:val="20"/>
        </w:rPr>
        <w:t xml:space="preserve"> </w:t>
      </w:r>
      <w:r w:rsidRPr="003C1CCF">
        <w:rPr>
          <w:rFonts w:cs="Arial"/>
          <w:spacing w:val="-7"/>
          <w:szCs w:val="20"/>
        </w:rPr>
        <w:t>f</w:t>
      </w:r>
      <w:r w:rsidRPr="003C1CCF">
        <w:rPr>
          <w:rFonts w:cs="Arial"/>
          <w:spacing w:val="-2"/>
          <w:szCs w:val="20"/>
        </w:rPr>
        <w:t>u</w:t>
      </w:r>
      <w:r w:rsidRPr="003C1CCF">
        <w:rPr>
          <w:rFonts w:cs="Arial"/>
          <w:szCs w:val="20"/>
        </w:rPr>
        <w:t>ll</w:t>
      </w:r>
      <w:r w:rsidRPr="003C1CCF">
        <w:rPr>
          <w:rFonts w:cs="Arial"/>
          <w:spacing w:val="1"/>
          <w:szCs w:val="20"/>
        </w:rPr>
        <w:t xml:space="preserve"> </w:t>
      </w:r>
      <w:r w:rsidRPr="003C1CCF">
        <w:rPr>
          <w:rFonts w:cs="Arial"/>
          <w:szCs w:val="20"/>
        </w:rPr>
        <w:t>l</w:t>
      </w:r>
      <w:r w:rsidRPr="003C1CCF">
        <w:rPr>
          <w:rFonts w:cs="Arial"/>
          <w:spacing w:val="-2"/>
          <w:szCs w:val="20"/>
        </w:rPr>
        <w:t>o</w:t>
      </w:r>
      <w:r w:rsidRPr="003C1CCF">
        <w:rPr>
          <w:rFonts w:cs="Arial"/>
          <w:spacing w:val="-4"/>
          <w:szCs w:val="20"/>
        </w:rPr>
        <w:t>a</w:t>
      </w:r>
      <w:r w:rsidRPr="003C1CCF">
        <w:rPr>
          <w:rFonts w:cs="Arial"/>
          <w:szCs w:val="20"/>
        </w:rPr>
        <w:t>d</w:t>
      </w:r>
      <w:r w:rsidRPr="003C1CCF">
        <w:rPr>
          <w:rFonts w:cs="Arial"/>
          <w:spacing w:val="1"/>
          <w:szCs w:val="20"/>
        </w:rPr>
        <w:t xml:space="preserve"> </w:t>
      </w:r>
      <w:r w:rsidRPr="003C1CCF">
        <w:rPr>
          <w:rFonts w:cs="Arial"/>
          <w:spacing w:val="3"/>
          <w:szCs w:val="20"/>
        </w:rPr>
        <w:t>h</w:t>
      </w:r>
      <w:r w:rsidRPr="003C1CCF">
        <w:rPr>
          <w:rFonts w:cs="Arial"/>
          <w:spacing w:val="-7"/>
          <w:szCs w:val="20"/>
        </w:rPr>
        <w:t>o</w:t>
      </w:r>
      <w:r w:rsidRPr="003C1CCF">
        <w:rPr>
          <w:rFonts w:cs="Arial"/>
          <w:spacing w:val="-2"/>
          <w:szCs w:val="20"/>
        </w:rPr>
        <w:t>u</w:t>
      </w:r>
      <w:r w:rsidRPr="003C1CCF">
        <w:rPr>
          <w:rFonts w:cs="Arial"/>
          <w:spacing w:val="2"/>
          <w:szCs w:val="20"/>
        </w:rPr>
        <w:t>r</w:t>
      </w:r>
      <w:r w:rsidRPr="003C1CCF">
        <w:rPr>
          <w:rFonts w:cs="Arial"/>
          <w:szCs w:val="20"/>
        </w:rPr>
        <w:t>s</w:t>
      </w:r>
      <w:r w:rsidRPr="003C1CCF">
        <w:rPr>
          <w:rFonts w:cs="Arial"/>
          <w:spacing w:val="-2"/>
          <w:szCs w:val="20"/>
        </w:rPr>
        <w:t xml:space="preserve"> o</w:t>
      </w:r>
      <w:r w:rsidRPr="003C1CCF">
        <w:rPr>
          <w:rFonts w:cs="Arial"/>
          <w:szCs w:val="20"/>
        </w:rPr>
        <w:t>f</w:t>
      </w:r>
      <w:r w:rsidRPr="003C1CCF">
        <w:rPr>
          <w:rFonts w:cs="Arial"/>
          <w:spacing w:val="-4"/>
          <w:szCs w:val="20"/>
        </w:rPr>
        <w:t xml:space="preserve"> c</w:t>
      </w:r>
      <w:r w:rsidRPr="003C1CCF">
        <w:rPr>
          <w:rFonts w:cs="Arial"/>
          <w:spacing w:val="-2"/>
          <w:szCs w:val="20"/>
        </w:rPr>
        <w:t>o</w:t>
      </w:r>
      <w:r w:rsidRPr="003C1CCF">
        <w:rPr>
          <w:rFonts w:cs="Arial"/>
          <w:spacing w:val="-7"/>
          <w:szCs w:val="20"/>
        </w:rPr>
        <w:t>m</w:t>
      </w:r>
      <w:r w:rsidRPr="003C1CCF">
        <w:rPr>
          <w:rFonts w:cs="Arial"/>
          <w:spacing w:val="-2"/>
          <w:szCs w:val="20"/>
        </w:rPr>
        <w:t>p</w:t>
      </w:r>
      <w:r w:rsidRPr="003C1CCF">
        <w:rPr>
          <w:rFonts w:cs="Arial"/>
          <w:spacing w:val="2"/>
          <w:szCs w:val="20"/>
        </w:rPr>
        <w:t>r</w:t>
      </w:r>
      <w:r w:rsidRPr="003C1CCF">
        <w:rPr>
          <w:rFonts w:cs="Arial"/>
          <w:spacing w:val="-4"/>
          <w:szCs w:val="20"/>
        </w:rPr>
        <w:t>e</w:t>
      </w:r>
      <w:r w:rsidRPr="003C1CCF">
        <w:rPr>
          <w:rFonts w:cs="Arial"/>
          <w:spacing w:val="-1"/>
          <w:szCs w:val="20"/>
        </w:rPr>
        <w:t>ss</w:t>
      </w:r>
      <w:r w:rsidRPr="003C1CCF">
        <w:rPr>
          <w:rFonts w:cs="Arial"/>
          <w:spacing w:val="-2"/>
          <w:szCs w:val="20"/>
        </w:rPr>
        <w:t>o</w:t>
      </w:r>
      <w:r w:rsidRPr="003C1CCF">
        <w:rPr>
          <w:rFonts w:cs="Arial"/>
          <w:szCs w:val="20"/>
        </w:rPr>
        <w:t>r</w:t>
      </w:r>
      <w:r w:rsidRPr="003C1CCF">
        <w:rPr>
          <w:rFonts w:cs="Arial"/>
          <w:spacing w:val="14"/>
          <w:szCs w:val="20"/>
        </w:rPr>
        <w:t xml:space="preserve"> </w:t>
      </w:r>
      <w:r w:rsidRPr="003C1CCF">
        <w:rPr>
          <w:rFonts w:cs="Arial"/>
          <w:spacing w:val="-7"/>
          <w:w w:val="101"/>
          <w:szCs w:val="20"/>
        </w:rPr>
        <w:t>o</w:t>
      </w:r>
      <w:r w:rsidRPr="003C1CCF">
        <w:rPr>
          <w:rFonts w:cs="Arial"/>
          <w:spacing w:val="-2"/>
          <w:w w:val="101"/>
          <w:szCs w:val="20"/>
        </w:rPr>
        <w:t>p</w:t>
      </w:r>
      <w:r w:rsidRPr="003C1CCF">
        <w:rPr>
          <w:rFonts w:cs="Arial"/>
          <w:spacing w:val="-4"/>
          <w:w w:val="102"/>
          <w:szCs w:val="20"/>
        </w:rPr>
        <w:t>e</w:t>
      </w:r>
      <w:r w:rsidRPr="003C1CCF">
        <w:rPr>
          <w:rFonts w:cs="Arial"/>
          <w:spacing w:val="2"/>
          <w:w w:val="101"/>
          <w:szCs w:val="20"/>
        </w:rPr>
        <w:t>r</w:t>
      </w:r>
      <w:r w:rsidRPr="003C1CCF">
        <w:rPr>
          <w:rFonts w:cs="Arial"/>
          <w:spacing w:val="-4"/>
          <w:w w:val="102"/>
          <w:szCs w:val="20"/>
        </w:rPr>
        <w:t>a</w:t>
      </w:r>
      <w:r w:rsidRPr="003C1CCF">
        <w:rPr>
          <w:rFonts w:cs="Arial"/>
          <w:w w:val="102"/>
          <w:szCs w:val="20"/>
        </w:rPr>
        <w:t>t</w:t>
      </w:r>
      <w:r w:rsidRPr="003C1CCF">
        <w:rPr>
          <w:rFonts w:cs="Arial"/>
          <w:spacing w:val="-5"/>
          <w:w w:val="102"/>
          <w:szCs w:val="20"/>
        </w:rPr>
        <w:t>i</w:t>
      </w:r>
      <w:r w:rsidRPr="003C1CCF">
        <w:rPr>
          <w:rFonts w:cs="Arial"/>
          <w:spacing w:val="-2"/>
          <w:w w:val="101"/>
          <w:szCs w:val="20"/>
        </w:rPr>
        <w:t>on</w:t>
      </w:r>
      <w:r>
        <w:rPr>
          <w:rStyle w:val="FootnoteReference"/>
          <w:spacing w:val="-2"/>
          <w:w w:val="101"/>
          <w:szCs w:val="20"/>
        </w:rPr>
        <w:footnoteReference w:id="226"/>
      </w:r>
    </w:p>
    <w:p w:rsidR="00B20792" w:rsidRDefault="00B20792" w:rsidP="00B20792">
      <w:pPr>
        <w:pStyle w:val="Equation"/>
      </w:pPr>
      <w:r>
        <w:rPr>
          <w:rFonts w:cs="Arial"/>
          <w:spacing w:val="3"/>
          <w:szCs w:val="20"/>
        </w:rPr>
        <w:tab/>
      </w:r>
      <w:r w:rsidRPr="003C1CCF">
        <w:rPr>
          <w:rFonts w:cs="Arial"/>
          <w:spacing w:val="3"/>
          <w:szCs w:val="20"/>
        </w:rPr>
        <w:t>5</w:t>
      </w:r>
      <w:r w:rsidRPr="003C1CCF">
        <w:rPr>
          <w:rFonts w:cs="Arial"/>
          <w:szCs w:val="20"/>
        </w:rPr>
        <w:t xml:space="preserve">% </w:t>
      </w:r>
      <w:r>
        <w:rPr>
          <w:rFonts w:cs="Arial"/>
          <w:szCs w:val="20"/>
        </w:rPr>
        <w:tab/>
        <w:t xml:space="preserve">= </w:t>
      </w:r>
      <w:r w:rsidRPr="003C1CCF">
        <w:rPr>
          <w:rFonts w:cs="Arial"/>
          <w:spacing w:val="-1"/>
          <w:szCs w:val="20"/>
        </w:rPr>
        <w:t>R</w:t>
      </w:r>
      <w:r w:rsidRPr="003C1CCF">
        <w:rPr>
          <w:rFonts w:cs="Arial"/>
          <w:spacing w:val="-4"/>
          <w:szCs w:val="20"/>
        </w:rPr>
        <w:t>e</w:t>
      </w:r>
      <w:r w:rsidRPr="003C1CCF">
        <w:rPr>
          <w:rFonts w:cs="Arial"/>
          <w:spacing w:val="-2"/>
          <w:szCs w:val="20"/>
        </w:rPr>
        <w:t>d</w:t>
      </w:r>
      <w:r w:rsidRPr="003C1CCF">
        <w:rPr>
          <w:rFonts w:cs="Arial"/>
          <w:spacing w:val="3"/>
          <w:szCs w:val="20"/>
        </w:rPr>
        <w:t>u</w:t>
      </w:r>
      <w:r w:rsidRPr="003C1CCF">
        <w:rPr>
          <w:rFonts w:cs="Arial"/>
          <w:spacing w:val="-4"/>
          <w:szCs w:val="20"/>
        </w:rPr>
        <w:t>c</w:t>
      </w:r>
      <w:r w:rsidRPr="003C1CCF">
        <w:rPr>
          <w:rFonts w:cs="Arial"/>
          <w:spacing w:val="-8"/>
          <w:szCs w:val="20"/>
        </w:rPr>
        <w:t>e</w:t>
      </w:r>
      <w:r w:rsidRPr="003C1CCF">
        <w:rPr>
          <w:rFonts w:cs="Arial"/>
          <w:szCs w:val="20"/>
        </w:rPr>
        <w:t>d</w:t>
      </w:r>
      <w:r w:rsidRPr="003C1CCF">
        <w:rPr>
          <w:rFonts w:cs="Arial"/>
          <w:spacing w:val="7"/>
          <w:szCs w:val="20"/>
        </w:rPr>
        <w:t xml:space="preserve"> </w:t>
      </w:r>
      <w:r w:rsidRPr="003C1CCF">
        <w:rPr>
          <w:rFonts w:cs="Arial"/>
          <w:spacing w:val="-3"/>
          <w:szCs w:val="20"/>
        </w:rPr>
        <w:t>r</w:t>
      </w:r>
      <w:r w:rsidRPr="003C1CCF">
        <w:rPr>
          <w:rFonts w:cs="Arial"/>
          <w:spacing w:val="-2"/>
          <w:szCs w:val="20"/>
        </w:rPr>
        <w:t>u</w:t>
      </w:r>
      <w:r w:rsidRPr="003C1CCF">
        <w:rPr>
          <w:rFonts w:cs="Arial"/>
          <w:spacing w:val="3"/>
          <w:szCs w:val="20"/>
        </w:rPr>
        <w:t>n</w:t>
      </w:r>
      <w:r w:rsidRPr="003C1CCF">
        <w:rPr>
          <w:rFonts w:cs="Arial"/>
          <w:spacing w:val="-7"/>
          <w:szCs w:val="20"/>
        </w:rPr>
        <w:t>-</w:t>
      </w:r>
      <w:r w:rsidRPr="003C1CCF">
        <w:rPr>
          <w:rFonts w:cs="Arial"/>
          <w:szCs w:val="20"/>
        </w:rPr>
        <w:t>ti</w:t>
      </w:r>
      <w:r w:rsidRPr="003C1CCF">
        <w:rPr>
          <w:rFonts w:cs="Arial"/>
          <w:spacing w:val="-7"/>
          <w:szCs w:val="20"/>
        </w:rPr>
        <w:t>m</w:t>
      </w:r>
      <w:r w:rsidRPr="003C1CCF">
        <w:rPr>
          <w:rFonts w:cs="Arial"/>
          <w:szCs w:val="20"/>
        </w:rPr>
        <w:t>e</w:t>
      </w:r>
      <w:r w:rsidRPr="003C1CCF">
        <w:rPr>
          <w:rFonts w:cs="Arial"/>
          <w:spacing w:val="2"/>
          <w:szCs w:val="20"/>
        </w:rPr>
        <w:t xml:space="preserve"> </w:t>
      </w:r>
      <w:r w:rsidRPr="003C1CCF">
        <w:rPr>
          <w:rFonts w:cs="Arial"/>
          <w:spacing w:val="-2"/>
          <w:szCs w:val="20"/>
        </w:rPr>
        <w:t>o</w:t>
      </w:r>
      <w:r w:rsidRPr="003C1CCF">
        <w:rPr>
          <w:rFonts w:cs="Arial"/>
          <w:szCs w:val="20"/>
        </w:rPr>
        <w:t>f</w:t>
      </w:r>
      <w:r w:rsidRPr="003C1CCF">
        <w:rPr>
          <w:rFonts w:cs="Arial"/>
          <w:spacing w:val="-4"/>
          <w:szCs w:val="20"/>
        </w:rPr>
        <w:t xml:space="preserve"> c</w:t>
      </w:r>
      <w:r w:rsidRPr="003C1CCF">
        <w:rPr>
          <w:rFonts w:cs="Arial"/>
          <w:spacing w:val="3"/>
          <w:szCs w:val="20"/>
        </w:rPr>
        <w:t>o</w:t>
      </w:r>
      <w:r w:rsidRPr="003C1CCF">
        <w:rPr>
          <w:rFonts w:cs="Arial"/>
          <w:spacing w:val="-7"/>
          <w:szCs w:val="20"/>
        </w:rPr>
        <w:t>m</w:t>
      </w:r>
      <w:r w:rsidRPr="003C1CCF">
        <w:rPr>
          <w:rFonts w:cs="Arial"/>
          <w:spacing w:val="-2"/>
          <w:szCs w:val="20"/>
        </w:rPr>
        <w:t>p</w:t>
      </w:r>
      <w:r w:rsidRPr="003C1CCF">
        <w:rPr>
          <w:rFonts w:cs="Arial"/>
          <w:spacing w:val="2"/>
          <w:szCs w:val="20"/>
        </w:rPr>
        <w:t>r</w:t>
      </w:r>
      <w:r w:rsidRPr="003C1CCF">
        <w:rPr>
          <w:rFonts w:cs="Arial"/>
          <w:spacing w:val="-4"/>
          <w:szCs w:val="20"/>
        </w:rPr>
        <w:t>e</w:t>
      </w:r>
      <w:r w:rsidRPr="003C1CCF">
        <w:rPr>
          <w:rFonts w:cs="Arial"/>
          <w:spacing w:val="-1"/>
          <w:szCs w:val="20"/>
        </w:rPr>
        <w:t>ss</w:t>
      </w:r>
      <w:r w:rsidRPr="003C1CCF">
        <w:rPr>
          <w:rFonts w:cs="Arial"/>
          <w:spacing w:val="-2"/>
          <w:szCs w:val="20"/>
        </w:rPr>
        <w:t>o</w:t>
      </w:r>
      <w:r w:rsidRPr="003C1CCF">
        <w:rPr>
          <w:rFonts w:cs="Arial"/>
          <w:szCs w:val="20"/>
        </w:rPr>
        <w:t>r</w:t>
      </w:r>
      <w:r w:rsidRPr="003C1CCF">
        <w:rPr>
          <w:rFonts w:cs="Arial"/>
          <w:spacing w:val="9"/>
          <w:szCs w:val="20"/>
        </w:rPr>
        <w:t xml:space="preserve"> </w:t>
      </w:r>
      <w:r w:rsidRPr="003C1CCF">
        <w:rPr>
          <w:rFonts w:cs="Arial"/>
          <w:spacing w:val="-4"/>
          <w:szCs w:val="20"/>
        </w:rPr>
        <w:t>a</w:t>
      </w:r>
      <w:r w:rsidRPr="003C1CCF">
        <w:rPr>
          <w:rFonts w:cs="Arial"/>
          <w:spacing w:val="-2"/>
          <w:szCs w:val="20"/>
        </w:rPr>
        <w:t>n</w:t>
      </w:r>
      <w:r w:rsidRPr="003C1CCF">
        <w:rPr>
          <w:rFonts w:cs="Arial"/>
          <w:szCs w:val="20"/>
        </w:rPr>
        <w:t>d</w:t>
      </w:r>
      <w:r w:rsidRPr="003C1CCF">
        <w:rPr>
          <w:rFonts w:cs="Arial"/>
          <w:spacing w:val="4"/>
          <w:szCs w:val="20"/>
        </w:rPr>
        <w:t xml:space="preserve"> </w:t>
      </w:r>
      <w:r w:rsidRPr="003C1CCF">
        <w:rPr>
          <w:rFonts w:cs="Arial"/>
          <w:spacing w:val="-4"/>
          <w:szCs w:val="20"/>
        </w:rPr>
        <w:t>e</w:t>
      </w:r>
      <w:r w:rsidRPr="003C1CCF">
        <w:rPr>
          <w:rFonts w:cs="Arial"/>
          <w:spacing w:val="-7"/>
          <w:szCs w:val="20"/>
        </w:rPr>
        <w:t>v</w:t>
      </w:r>
      <w:r w:rsidRPr="003C1CCF">
        <w:rPr>
          <w:rFonts w:cs="Arial"/>
          <w:spacing w:val="-4"/>
          <w:szCs w:val="20"/>
        </w:rPr>
        <w:t>a</w:t>
      </w:r>
      <w:r w:rsidRPr="003C1CCF">
        <w:rPr>
          <w:rFonts w:cs="Arial"/>
          <w:spacing w:val="-2"/>
          <w:szCs w:val="20"/>
        </w:rPr>
        <w:t>po</w:t>
      </w:r>
      <w:r w:rsidRPr="003C1CCF">
        <w:rPr>
          <w:rFonts w:cs="Arial"/>
          <w:spacing w:val="2"/>
          <w:szCs w:val="20"/>
        </w:rPr>
        <w:t>r</w:t>
      </w:r>
      <w:r w:rsidRPr="003C1CCF">
        <w:rPr>
          <w:rFonts w:cs="Arial"/>
          <w:spacing w:val="-4"/>
          <w:szCs w:val="20"/>
        </w:rPr>
        <w:t>a</w:t>
      </w:r>
      <w:r w:rsidRPr="003C1CCF">
        <w:rPr>
          <w:rFonts w:cs="Arial"/>
          <w:szCs w:val="20"/>
        </w:rPr>
        <w:t>t</w:t>
      </w:r>
      <w:r w:rsidRPr="003C1CCF">
        <w:rPr>
          <w:rFonts w:cs="Arial"/>
          <w:spacing w:val="-2"/>
          <w:szCs w:val="20"/>
        </w:rPr>
        <w:t>o</w:t>
      </w:r>
      <w:r w:rsidRPr="003C1CCF">
        <w:rPr>
          <w:rFonts w:cs="Arial"/>
          <w:szCs w:val="20"/>
        </w:rPr>
        <w:t>r</w:t>
      </w:r>
      <w:r w:rsidRPr="003C1CCF">
        <w:rPr>
          <w:rFonts w:cs="Arial"/>
          <w:spacing w:val="3"/>
          <w:szCs w:val="20"/>
        </w:rPr>
        <w:t xml:space="preserve"> </w:t>
      </w:r>
      <w:r w:rsidRPr="003C1CCF">
        <w:rPr>
          <w:rFonts w:cs="Arial"/>
          <w:spacing w:val="-2"/>
          <w:szCs w:val="20"/>
        </w:rPr>
        <w:t>d</w:t>
      </w:r>
      <w:r w:rsidRPr="003C1CCF">
        <w:rPr>
          <w:rFonts w:cs="Arial"/>
          <w:spacing w:val="3"/>
          <w:szCs w:val="20"/>
        </w:rPr>
        <w:t>u</w:t>
      </w:r>
      <w:r w:rsidRPr="003C1CCF">
        <w:rPr>
          <w:rFonts w:cs="Arial"/>
          <w:szCs w:val="20"/>
        </w:rPr>
        <w:t>e</w:t>
      </w:r>
      <w:r w:rsidRPr="003C1CCF">
        <w:rPr>
          <w:rFonts w:cs="Arial"/>
          <w:spacing w:val="2"/>
          <w:szCs w:val="20"/>
        </w:rPr>
        <w:t xml:space="preserve"> </w:t>
      </w:r>
      <w:r w:rsidRPr="003C1CCF">
        <w:rPr>
          <w:rFonts w:cs="Arial"/>
          <w:szCs w:val="20"/>
        </w:rPr>
        <w:t>to</w:t>
      </w:r>
      <w:r w:rsidRPr="003C1CCF">
        <w:rPr>
          <w:rFonts w:cs="Arial"/>
          <w:spacing w:val="-7"/>
          <w:szCs w:val="20"/>
        </w:rPr>
        <w:t xml:space="preserve"> </w:t>
      </w:r>
      <w:r w:rsidRPr="003C1CCF">
        <w:rPr>
          <w:rFonts w:cs="Arial"/>
          <w:spacing w:val="-4"/>
          <w:szCs w:val="20"/>
        </w:rPr>
        <w:t>e</w:t>
      </w:r>
      <w:r w:rsidRPr="003C1CCF">
        <w:rPr>
          <w:rFonts w:cs="Arial"/>
          <w:szCs w:val="20"/>
        </w:rPr>
        <w:t>l</w:t>
      </w:r>
      <w:r w:rsidRPr="003C1CCF">
        <w:rPr>
          <w:rFonts w:cs="Arial"/>
          <w:spacing w:val="-4"/>
          <w:szCs w:val="20"/>
        </w:rPr>
        <w:t>ec</w:t>
      </w:r>
      <w:r w:rsidRPr="003C1CCF">
        <w:rPr>
          <w:rFonts w:cs="Arial"/>
          <w:szCs w:val="20"/>
        </w:rPr>
        <w:t>t</w:t>
      </w:r>
      <w:r w:rsidRPr="003C1CCF">
        <w:rPr>
          <w:rFonts w:cs="Arial"/>
          <w:spacing w:val="2"/>
          <w:szCs w:val="20"/>
        </w:rPr>
        <w:t>r</w:t>
      </w:r>
      <w:r w:rsidRPr="003C1CCF">
        <w:rPr>
          <w:rFonts w:cs="Arial"/>
          <w:spacing w:val="-2"/>
          <w:szCs w:val="20"/>
        </w:rPr>
        <w:t>on</w:t>
      </w:r>
      <w:r w:rsidRPr="003C1CCF">
        <w:rPr>
          <w:rFonts w:cs="Arial"/>
          <w:szCs w:val="20"/>
        </w:rPr>
        <w:t>ic</w:t>
      </w:r>
      <w:r w:rsidRPr="003C1CCF">
        <w:rPr>
          <w:rFonts w:cs="Arial"/>
          <w:spacing w:val="4"/>
          <w:szCs w:val="20"/>
        </w:rPr>
        <w:t xml:space="preserve"> </w:t>
      </w:r>
      <w:r w:rsidRPr="003C1CCF">
        <w:rPr>
          <w:rFonts w:cs="Arial"/>
          <w:spacing w:val="-4"/>
          <w:w w:val="102"/>
          <w:szCs w:val="20"/>
        </w:rPr>
        <w:t>c</w:t>
      </w:r>
      <w:r w:rsidRPr="003C1CCF">
        <w:rPr>
          <w:rFonts w:cs="Arial"/>
          <w:spacing w:val="-7"/>
          <w:w w:val="101"/>
          <w:szCs w:val="20"/>
        </w:rPr>
        <w:t>o</w:t>
      </w:r>
      <w:r w:rsidRPr="003C1CCF">
        <w:rPr>
          <w:rFonts w:cs="Arial"/>
          <w:spacing w:val="3"/>
          <w:w w:val="101"/>
          <w:szCs w:val="20"/>
        </w:rPr>
        <w:t>n</w:t>
      </w:r>
      <w:r w:rsidRPr="003C1CCF">
        <w:rPr>
          <w:rFonts w:cs="Arial"/>
          <w:spacing w:val="-5"/>
          <w:w w:val="102"/>
          <w:szCs w:val="20"/>
        </w:rPr>
        <w:t>t</w:t>
      </w:r>
      <w:r w:rsidRPr="003C1CCF">
        <w:rPr>
          <w:rFonts w:cs="Arial"/>
          <w:spacing w:val="2"/>
          <w:w w:val="101"/>
          <w:szCs w:val="20"/>
        </w:rPr>
        <w:t>r</w:t>
      </w:r>
      <w:r w:rsidRPr="003C1CCF">
        <w:rPr>
          <w:rFonts w:cs="Arial"/>
          <w:spacing w:val="-2"/>
          <w:w w:val="101"/>
          <w:szCs w:val="20"/>
        </w:rPr>
        <w:t>o</w:t>
      </w:r>
      <w:r w:rsidRPr="003C1CCF">
        <w:rPr>
          <w:rFonts w:cs="Arial"/>
          <w:w w:val="102"/>
          <w:szCs w:val="20"/>
        </w:rPr>
        <w:t>l</w:t>
      </w:r>
      <w:r w:rsidRPr="003C1CCF">
        <w:rPr>
          <w:rFonts w:cs="Arial"/>
          <w:spacing w:val="-6"/>
          <w:w w:val="101"/>
          <w:szCs w:val="20"/>
        </w:rPr>
        <w:t>s</w:t>
      </w:r>
      <w:r>
        <w:rPr>
          <w:rStyle w:val="FootnoteReference"/>
          <w:spacing w:val="-6"/>
          <w:w w:val="101"/>
          <w:szCs w:val="20"/>
        </w:rPr>
        <w:footnoteReference w:id="227"/>
      </w:r>
    </w:p>
    <w:p w:rsidR="00B20792" w:rsidRPr="001C4AD5" w:rsidRDefault="00B20792" w:rsidP="00B20792">
      <w:pPr>
        <w:pStyle w:val="StyleCaptionCentered"/>
      </w:pPr>
      <w:bookmarkStart w:id="1288" w:name="_Ref308699510"/>
      <w:bookmarkStart w:id="1289" w:name="_Toc310875635"/>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83</w:t>
      </w:r>
      <w:r w:rsidR="00274AB1">
        <w:rPr>
          <w:noProof/>
        </w:rPr>
        <w:fldChar w:fldCharType="end"/>
      </w:r>
      <w:r>
        <w:t>: Evaporator Fan Controller Calculations Assumptions</w:t>
      </w:r>
      <w:bookmarkEnd w:id="1288"/>
      <w:bookmarkEnd w:id="1289"/>
      <w:r>
        <w:t xml:space="preserve"> </w:t>
      </w:r>
    </w:p>
    <w:tbl>
      <w:tblPr>
        <w:tblW w:w="5000" w:type="pct"/>
        <w:jc w:val="center"/>
        <w:tblCellMar>
          <w:left w:w="115" w:type="dxa"/>
          <w:right w:w="115" w:type="dxa"/>
        </w:tblCellMar>
        <w:tblLook w:val="00A0" w:firstRow="1" w:lastRow="0" w:firstColumn="1" w:lastColumn="0" w:noHBand="0" w:noVBand="0"/>
      </w:tblPr>
      <w:tblGrid>
        <w:gridCol w:w="2274"/>
        <w:gridCol w:w="1352"/>
        <w:gridCol w:w="3126"/>
        <w:gridCol w:w="2118"/>
      </w:tblGrid>
      <w:tr w:rsidR="00B20792" w:rsidRPr="007A61B2" w:rsidTr="00871FA2">
        <w:trPr>
          <w:trHeight w:val="374"/>
          <w:jc w:val="center"/>
        </w:trPr>
        <w:tc>
          <w:tcPr>
            <w:tcW w:w="1282" w:type="pct"/>
            <w:tcBorders>
              <w:top w:val="single" w:sz="8" w:space="0" w:color="auto"/>
              <w:left w:val="single" w:sz="8" w:space="0" w:color="auto"/>
              <w:bottom w:val="single" w:sz="8" w:space="0" w:color="auto"/>
              <w:right w:val="single" w:sz="8" w:space="0" w:color="auto"/>
            </w:tcBorders>
            <w:shd w:val="clear" w:color="auto" w:fill="BFBFBF"/>
          </w:tcPr>
          <w:p w:rsidR="00B20792" w:rsidRPr="001D6512" w:rsidRDefault="00B20792" w:rsidP="00B20792">
            <w:pPr>
              <w:pStyle w:val="TableCell"/>
              <w:spacing w:before="60" w:after="60"/>
              <w:rPr>
                <w:rFonts w:cs="Arial"/>
                <w:b/>
                <w:szCs w:val="18"/>
              </w:rPr>
            </w:pPr>
            <w:r w:rsidRPr="001D6512">
              <w:rPr>
                <w:rFonts w:cs="Arial"/>
                <w:b/>
                <w:szCs w:val="18"/>
              </w:rPr>
              <w:t>Component</w:t>
            </w:r>
          </w:p>
        </w:tc>
        <w:tc>
          <w:tcPr>
            <w:tcW w:w="762" w:type="pct"/>
            <w:tcBorders>
              <w:top w:val="single" w:sz="8" w:space="0" w:color="auto"/>
              <w:left w:val="nil"/>
              <w:bottom w:val="single" w:sz="8" w:space="0" w:color="auto"/>
              <w:right w:val="single" w:sz="8" w:space="0" w:color="auto"/>
            </w:tcBorders>
            <w:shd w:val="clear" w:color="auto" w:fill="BFBFBF"/>
          </w:tcPr>
          <w:p w:rsidR="00B20792" w:rsidRPr="001D6512" w:rsidRDefault="00B20792" w:rsidP="00B20792">
            <w:pPr>
              <w:pStyle w:val="TableCell"/>
              <w:spacing w:before="60" w:after="60"/>
              <w:rPr>
                <w:rFonts w:cs="Arial"/>
                <w:b/>
                <w:szCs w:val="18"/>
              </w:rPr>
            </w:pPr>
            <w:r w:rsidRPr="001D6512">
              <w:rPr>
                <w:rFonts w:cs="Arial"/>
                <w:b/>
                <w:szCs w:val="18"/>
              </w:rPr>
              <w:t>Type</w:t>
            </w:r>
          </w:p>
        </w:tc>
        <w:tc>
          <w:tcPr>
            <w:tcW w:w="1762" w:type="pct"/>
            <w:tcBorders>
              <w:top w:val="single" w:sz="8" w:space="0" w:color="auto"/>
              <w:left w:val="nil"/>
              <w:bottom w:val="single" w:sz="8" w:space="0" w:color="auto"/>
              <w:right w:val="single" w:sz="8" w:space="0" w:color="auto"/>
            </w:tcBorders>
            <w:shd w:val="clear" w:color="auto" w:fill="BFBFBF"/>
          </w:tcPr>
          <w:p w:rsidR="00B20792" w:rsidRPr="001D6512" w:rsidRDefault="00B20792" w:rsidP="00B20792">
            <w:pPr>
              <w:pStyle w:val="TableCell"/>
              <w:spacing w:before="60" w:after="60"/>
              <w:rPr>
                <w:rFonts w:cs="Arial"/>
                <w:b/>
                <w:szCs w:val="18"/>
              </w:rPr>
            </w:pPr>
            <w:r w:rsidRPr="001D6512">
              <w:rPr>
                <w:rFonts w:cs="Arial"/>
                <w:b/>
                <w:szCs w:val="18"/>
              </w:rPr>
              <w:t>Value</w:t>
            </w:r>
          </w:p>
        </w:tc>
        <w:tc>
          <w:tcPr>
            <w:tcW w:w="1194" w:type="pct"/>
            <w:tcBorders>
              <w:top w:val="single" w:sz="8" w:space="0" w:color="auto"/>
              <w:left w:val="nil"/>
              <w:bottom w:val="single" w:sz="8" w:space="0" w:color="auto"/>
              <w:right w:val="single" w:sz="8" w:space="0" w:color="auto"/>
            </w:tcBorders>
            <w:shd w:val="clear" w:color="auto" w:fill="BFBFBF"/>
          </w:tcPr>
          <w:p w:rsidR="00B20792" w:rsidRPr="001D6512" w:rsidRDefault="00B20792" w:rsidP="00B20792">
            <w:pPr>
              <w:pStyle w:val="TableCell"/>
              <w:spacing w:before="60" w:after="60"/>
              <w:rPr>
                <w:rFonts w:cs="Arial"/>
                <w:b/>
                <w:szCs w:val="18"/>
              </w:rPr>
            </w:pPr>
            <w:r w:rsidRPr="001D6512">
              <w:rPr>
                <w:rFonts w:cs="Arial"/>
                <w:b/>
                <w:szCs w:val="18"/>
              </w:rPr>
              <w:t>Source</w:t>
            </w:r>
          </w:p>
        </w:tc>
      </w:tr>
      <w:tr w:rsidR="00B20792" w:rsidRPr="007A61B2" w:rsidTr="00871FA2">
        <w:trPr>
          <w:trHeight w:val="374"/>
          <w:jc w:val="center"/>
        </w:trPr>
        <w:tc>
          <w:tcPr>
            <w:tcW w:w="1282" w:type="pct"/>
            <w:tcBorders>
              <w:top w:val="single" w:sz="8" w:space="0" w:color="auto"/>
              <w:left w:val="single" w:sz="8" w:space="0" w:color="auto"/>
              <w:bottom w:val="single" w:sz="8" w:space="0" w:color="auto"/>
              <w:right w:val="single" w:sz="8" w:space="0" w:color="auto"/>
            </w:tcBorders>
          </w:tcPr>
          <w:p w:rsidR="00B20792" w:rsidRPr="001D6512" w:rsidRDefault="00B20792" w:rsidP="00B20792">
            <w:pPr>
              <w:pStyle w:val="TableCell"/>
              <w:spacing w:before="60" w:after="60"/>
              <w:rPr>
                <w:rFonts w:cs="Arial"/>
                <w:szCs w:val="18"/>
              </w:rPr>
            </w:pPr>
            <w:r w:rsidRPr="001D6512">
              <w:rPr>
                <w:rFonts w:cs="Arial"/>
                <w:spacing w:val="-2"/>
                <w:w w:val="101"/>
                <w:szCs w:val="18"/>
              </w:rPr>
              <w:t>Power Factor: k</w:t>
            </w:r>
            <w:r w:rsidRPr="001D6512">
              <w:rPr>
                <w:rFonts w:cs="Arial"/>
                <w:spacing w:val="-1"/>
                <w:w w:val="102"/>
                <w:szCs w:val="18"/>
              </w:rPr>
              <w:t>W</w:t>
            </w:r>
            <w:r w:rsidRPr="001D6512">
              <w:rPr>
                <w:rFonts w:cs="Arial"/>
                <w:spacing w:val="-2"/>
                <w:position w:val="-2"/>
                <w:szCs w:val="18"/>
                <w:vertAlign w:val="subscript"/>
              </w:rPr>
              <w:t>F</w:t>
            </w:r>
            <w:r w:rsidRPr="001D6512">
              <w:rPr>
                <w:rFonts w:cs="Arial"/>
                <w:spacing w:val="-5"/>
                <w:w w:val="101"/>
                <w:position w:val="-2"/>
                <w:szCs w:val="18"/>
                <w:vertAlign w:val="subscript"/>
              </w:rPr>
              <w:t>a</w:t>
            </w:r>
            <w:r w:rsidRPr="001D6512">
              <w:rPr>
                <w:rFonts w:cs="Arial"/>
                <w:position w:val="-2"/>
                <w:szCs w:val="18"/>
                <w:vertAlign w:val="subscript"/>
              </w:rPr>
              <w:t>n</w:t>
            </w:r>
          </w:p>
        </w:tc>
        <w:tc>
          <w:tcPr>
            <w:tcW w:w="762" w:type="pct"/>
            <w:tcBorders>
              <w:top w:val="single" w:sz="8" w:space="0" w:color="auto"/>
              <w:left w:val="nil"/>
              <w:bottom w:val="single" w:sz="8" w:space="0" w:color="auto"/>
              <w:right w:val="single" w:sz="8" w:space="0" w:color="auto"/>
            </w:tcBorders>
          </w:tcPr>
          <w:p w:rsidR="00B20792" w:rsidRPr="001D6512" w:rsidRDefault="00B20792" w:rsidP="00B20792">
            <w:pPr>
              <w:pStyle w:val="TableCell"/>
              <w:spacing w:before="60" w:after="60"/>
              <w:rPr>
                <w:rFonts w:cs="Arial"/>
                <w:szCs w:val="18"/>
              </w:rPr>
            </w:pPr>
            <w:r w:rsidRPr="001D6512">
              <w:rPr>
                <w:rFonts w:cs="Arial"/>
                <w:szCs w:val="18"/>
              </w:rPr>
              <w:t>Fixed</w:t>
            </w:r>
          </w:p>
        </w:tc>
        <w:tc>
          <w:tcPr>
            <w:tcW w:w="1762" w:type="pct"/>
            <w:tcBorders>
              <w:top w:val="single" w:sz="8" w:space="0" w:color="auto"/>
              <w:left w:val="nil"/>
              <w:bottom w:val="single" w:sz="8" w:space="0" w:color="auto"/>
              <w:right w:val="single" w:sz="8" w:space="0" w:color="auto"/>
            </w:tcBorders>
          </w:tcPr>
          <w:p w:rsidR="00B20792" w:rsidRPr="001D6512" w:rsidRDefault="00B20792" w:rsidP="00B20792">
            <w:pPr>
              <w:pStyle w:val="TableCell"/>
              <w:spacing w:before="60" w:after="60"/>
              <w:rPr>
                <w:rFonts w:cs="Arial"/>
                <w:szCs w:val="18"/>
              </w:rPr>
            </w:pPr>
            <w:r w:rsidRPr="001D6512">
              <w:rPr>
                <w:rFonts w:cs="Arial"/>
                <w:spacing w:val="-2"/>
                <w:szCs w:val="18"/>
              </w:rPr>
              <w:t>Default: 0</w:t>
            </w:r>
            <w:r w:rsidRPr="001D6512">
              <w:rPr>
                <w:rFonts w:cs="Arial"/>
                <w:spacing w:val="-3"/>
                <w:szCs w:val="18"/>
              </w:rPr>
              <w:t>.</w:t>
            </w:r>
            <w:r w:rsidRPr="001D6512">
              <w:rPr>
                <w:rFonts w:cs="Arial"/>
                <w:spacing w:val="-2"/>
                <w:szCs w:val="18"/>
              </w:rPr>
              <w:t>5</w:t>
            </w:r>
            <w:r w:rsidRPr="001D6512">
              <w:rPr>
                <w:rFonts w:cs="Arial"/>
                <w:szCs w:val="18"/>
              </w:rPr>
              <w:t>5</w:t>
            </w:r>
          </w:p>
        </w:tc>
        <w:tc>
          <w:tcPr>
            <w:tcW w:w="1194" w:type="pct"/>
            <w:tcBorders>
              <w:top w:val="single" w:sz="8" w:space="0" w:color="auto"/>
              <w:left w:val="nil"/>
              <w:bottom w:val="single" w:sz="8" w:space="0" w:color="auto"/>
              <w:right w:val="single" w:sz="8" w:space="0" w:color="auto"/>
            </w:tcBorders>
          </w:tcPr>
          <w:p w:rsidR="00B20792" w:rsidRPr="001D6512" w:rsidRDefault="00B20792" w:rsidP="00B20792">
            <w:pPr>
              <w:pStyle w:val="TableCell"/>
              <w:spacing w:before="60" w:after="60"/>
              <w:rPr>
                <w:rFonts w:cs="Arial"/>
                <w:szCs w:val="18"/>
              </w:rPr>
            </w:pPr>
            <w:r w:rsidRPr="001D6512">
              <w:rPr>
                <w:rFonts w:cs="Arial"/>
                <w:szCs w:val="18"/>
              </w:rPr>
              <w:t>1</w:t>
            </w:r>
          </w:p>
        </w:tc>
      </w:tr>
      <w:tr w:rsidR="00B20792" w:rsidRPr="007A61B2" w:rsidTr="00871FA2">
        <w:trPr>
          <w:trHeight w:val="374"/>
          <w:jc w:val="center"/>
        </w:trPr>
        <w:tc>
          <w:tcPr>
            <w:tcW w:w="1282" w:type="pct"/>
            <w:tcBorders>
              <w:top w:val="single" w:sz="8" w:space="0" w:color="auto"/>
              <w:left w:val="single" w:sz="8" w:space="0" w:color="auto"/>
              <w:bottom w:val="single" w:sz="8" w:space="0" w:color="auto"/>
              <w:right w:val="single" w:sz="8" w:space="0" w:color="auto"/>
            </w:tcBorders>
          </w:tcPr>
          <w:p w:rsidR="00B20792" w:rsidRPr="001D6512" w:rsidRDefault="00B20792" w:rsidP="00B20792">
            <w:pPr>
              <w:pStyle w:val="TableCell"/>
              <w:spacing w:before="60" w:after="60"/>
              <w:rPr>
                <w:rFonts w:cs="Arial"/>
                <w:szCs w:val="18"/>
              </w:rPr>
            </w:pPr>
            <w:r w:rsidRPr="001D6512">
              <w:rPr>
                <w:rFonts w:cs="Arial"/>
                <w:spacing w:val="-4"/>
                <w:w w:val="101"/>
                <w:szCs w:val="18"/>
              </w:rPr>
              <w:t>%</w:t>
            </w:r>
            <w:r w:rsidRPr="001D6512">
              <w:rPr>
                <w:rFonts w:cs="Arial"/>
                <w:spacing w:val="1"/>
                <w:w w:val="101"/>
                <w:szCs w:val="18"/>
              </w:rPr>
              <w:t>O</w:t>
            </w:r>
            <w:r w:rsidRPr="001D6512">
              <w:rPr>
                <w:rFonts w:cs="Arial"/>
                <w:spacing w:val="-3"/>
                <w:w w:val="101"/>
                <w:szCs w:val="18"/>
              </w:rPr>
              <w:t>f</w:t>
            </w:r>
            <w:r w:rsidRPr="001D6512">
              <w:rPr>
                <w:rFonts w:cs="Arial"/>
                <w:w w:val="101"/>
                <w:szCs w:val="18"/>
              </w:rPr>
              <w:t>f</w:t>
            </w:r>
          </w:p>
        </w:tc>
        <w:tc>
          <w:tcPr>
            <w:tcW w:w="762" w:type="pct"/>
            <w:tcBorders>
              <w:top w:val="single" w:sz="8" w:space="0" w:color="auto"/>
              <w:left w:val="nil"/>
              <w:bottom w:val="single" w:sz="8" w:space="0" w:color="auto"/>
              <w:right w:val="single" w:sz="8" w:space="0" w:color="auto"/>
            </w:tcBorders>
          </w:tcPr>
          <w:p w:rsidR="00B20792" w:rsidRPr="001D6512" w:rsidRDefault="00B20792" w:rsidP="00B20792">
            <w:pPr>
              <w:pStyle w:val="TableCell"/>
              <w:spacing w:before="60" w:after="60"/>
              <w:rPr>
                <w:rFonts w:cs="Arial"/>
                <w:szCs w:val="18"/>
              </w:rPr>
            </w:pPr>
            <w:r w:rsidRPr="001D6512">
              <w:rPr>
                <w:rFonts w:cs="Arial"/>
                <w:szCs w:val="18"/>
              </w:rPr>
              <w:t>Fixed</w:t>
            </w:r>
          </w:p>
        </w:tc>
        <w:tc>
          <w:tcPr>
            <w:tcW w:w="1762" w:type="pct"/>
            <w:tcBorders>
              <w:top w:val="single" w:sz="8" w:space="0" w:color="auto"/>
              <w:left w:val="nil"/>
              <w:bottom w:val="single" w:sz="8" w:space="0" w:color="auto"/>
              <w:right w:val="single" w:sz="8" w:space="0" w:color="auto"/>
            </w:tcBorders>
          </w:tcPr>
          <w:p w:rsidR="00B20792" w:rsidRPr="001D6512" w:rsidRDefault="00B20792" w:rsidP="00B20792">
            <w:pPr>
              <w:pStyle w:val="TableCell"/>
              <w:spacing w:before="60" w:after="60"/>
              <w:rPr>
                <w:rFonts w:cs="Arial"/>
                <w:szCs w:val="18"/>
              </w:rPr>
            </w:pPr>
            <w:r w:rsidRPr="001D6512">
              <w:rPr>
                <w:rFonts w:cs="Arial"/>
                <w:spacing w:val="-2"/>
                <w:w w:val="101"/>
                <w:szCs w:val="18"/>
              </w:rPr>
              <w:t>Default: 4</w:t>
            </w:r>
            <w:r w:rsidRPr="001D6512">
              <w:rPr>
                <w:rFonts w:cs="Arial"/>
                <w:spacing w:val="3"/>
                <w:w w:val="101"/>
                <w:szCs w:val="18"/>
              </w:rPr>
              <w:t>6</w:t>
            </w:r>
            <w:r w:rsidRPr="001D6512">
              <w:rPr>
                <w:rFonts w:cs="Arial"/>
                <w:spacing w:val="-9"/>
                <w:w w:val="101"/>
                <w:szCs w:val="18"/>
              </w:rPr>
              <w:t>%</w:t>
            </w:r>
          </w:p>
        </w:tc>
        <w:tc>
          <w:tcPr>
            <w:tcW w:w="1194" w:type="pct"/>
            <w:tcBorders>
              <w:top w:val="single" w:sz="8" w:space="0" w:color="auto"/>
              <w:left w:val="nil"/>
              <w:bottom w:val="single" w:sz="8" w:space="0" w:color="auto"/>
              <w:right w:val="single" w:sz="8" w:space="0" w:color="auto"/>
            </w:tcBorders>
          </w:tcPr>
          <w:p w:rsidR="00B20792" w:rsidRPr="001D6512" w:rsidRDefault="00B20792" w:rsidP="00B20792">
            <w:pPr>
              <w:pStyle w:val="TableCell"/>
              <w:spacing w:before="60" w:after="60"/>
              <w:rPr>
                <w:rFonts w:cs="Arial"/>
                <w:szCs w:val="18"/>
              </w:rPr>
            </w:pPr>
            <w:r w:rsidRPr="001D6512">
              <w:rPr>
                <w:rFonts w:cs="Arial"/>
                <w:szCs w:val="18"/>
              </w:rPr>
              <w:t>2</w:t>
            </w:r>
          </w:p>
        </w:tc>
      </w:tr>
      <w:tr w:rsidR="00B20792" w:rsidRPr="007A61B2" w:rsidTr="00871FA2">
        <w:trPr>
          <w:trHeight w:val="374"/>
          <w:jc w:val="center"/>
        </w:trPr>
        <w:tc>
          <w:tcPr>
            <w:tcW w:w="1282" w:type="pct"/>
            <w:tcBorders>
              <w:top w:val="single" w:sz="8" w:space="0" w:color="auto"/>
              <w:left w:val="single" w:sz="8" w:space="0" w:color="auto"/>
              <w:bottom w:val="single" w:sz="8" w:space="0" w:color="auto"/>
              <w:right w:val="single" w:sz="8" w:space="0" w:color="auto"/>
            </w:tcBorders>
          </w:tcPr>
          <w:p w:rsidR="00B20792" w:rsidRPr="001D6512" w:rsidRDefault="00B20792" w:rsidP="00B20792">
            <w:pPr>
              <w:pStyle w:val="TableCell"/>
              <w:spacing w:before="60" w:after="60"/>
              <w:rPr>
                <w:rFonts w:cs="Arial"/>
                <w:szCs w:val="18"/>
              </w:rPr>
            </w:pPr>
            <w:r w:rsidRPr="001D6512">
              <w:rPr>
                <w:rFonts w:cs="Arial"/>
                <w:spacing w:val="2"/>
                <w:w w:val="102"/>
                <w:position w:val="1"/>
                <w:szCs w:val="18"/>
              </w:rPr>
              <w:t>E</w:t>
            </w:r>
            <w:r w:rsidRPr="001D6512">
              <w:rPr>
                <w:rFonts w:cs="Arial"/>
                <w:spacing w:val="-3"/>
                <w:w w:val="101"/>
                <w:position w:val="1"/>
                <w:szCs w:val="18"/>
              </w:rPr>
              <w:t>f</w:t>
            </w:r>
            <w:r w:rsidRPr="001D6512">
              <w:rPr>
                <w:rFonts w:cs="Arial"/>
                <w:spacing w:val="-8"/>
                <w:w w:val="101"/>
                <w:position w:val="1"/>
                <w:szCs w:val="18"/>
              </w:rPr>
              <w:t>f</w:t>
            </w:r>
            <w:r w:rsidRPr="001D6512">
              <w:rPr>
                <w:rFonts w:cs="Arial"/>
                <w:spacing w:val="-3"/>
                <w:position w:val="-2"/>
                <w:szCs w:val="18"/>
                <w:vertAlign w:val="subscript"/>
              </w:rPr>
              <w:t>R</w:t>
            </w:r>
            <w:r w:rsidRPr="001D6512">
              <w:rPr>
                <w:rFonts w:cs="Arial"/>
                <w:position w:val="-2"/>
                <w:szCs w:val="18"/>
                <w:vertAlign w:val="subscript"/>
              </w:rPr>
              <w:t>S</w:t>
            </w:r>
          </w:p>
        </w:tc>
        <w:tc>
          <w:tcPr>
            <w:tcW w:w="762" w:type="pct"/>
            <w:tcBorders>
              <w:top w:val="single" w:sz="8" w:space="0" w:color="auto"/>
              <w:left w:val="nil"/>
              <w:bottom w:val="single" w:sz="8" w:space="0" w:color="auto"/>
              <w:right w:val="single" w:sz="8" w:space="0" w:color="auto"/>
            </w:tcBorders>
          </w:tcPr>
          <w:p w:rsidR="00B20792" w:rsidRPr="001D6512" w:rsidRDefault="00B20792" w:rsidP="00B20792">
            <w:pPr>
              <w:pStyle w:val="TableCell"/>
              <w:spacing w:before="60" w:after="60"/>
              <w:rPr>
                <w:rFonts w:cs="Arial"/>
                <w:szCs w:val="18"/>
              </w:rPr>
            </w:pPr>
            <w:r w:rsidRPr="001D6512">
              <w:rPr>
                <w:rFonts w:cs="Arial"/>
                <w:szCs w:val="18"/>
              </w:rPr>
              <w:t>Fixed</w:t>
            </w:r>
          </w:p>
        </w:tc>
        <w:tc>
          <w:tcPr>
            <w:tcW w:w="1762" w:type="pct"/>
            <w:tcBorders>
              <w:top w:val="single" w:sz="8" w:space="0" w:color="auto"/>
              <w:left w:val="nil"/>
              <w:bottom w:val="single" w:sz="8" w:space="0" w:color="auto"/>
              <w:right w:val="single" w:sz="8" w:space="0" w:color="auto"/>
            </w:tcBorders>
          </w:tcPr>
          <w:p w:rsidR="00B20792" w:rsidRPr="001D6512" w:rsidRDefault="00B20792" w:rsidP="00B20792">
            <w:pPr>
              <w:pStyle w:val="TableCell"/>
              <w:spacing w:before="60" w:after="60"/>
              <w:rPr>
                <w:rFonts w:cs="Arial"/>
                <w:szCs w:val="18"/>
              </w:rPr>
            </w:pPr>
            <w:r w:rsidRPr="001D6512">
              <w:rPr>
                <w:rFonts w:cs="Arial"/>
                <w:spacing w:val="-2"/>
                <w:szCs w:val="18"/>
              </w:rPr>
              <w:t>Default: 1</w:t>
            </w:r>
            <w:r w:rsidRPr="001D6512">
              <w:rPr>
                <w:rFonts w:cs="Arial"/>
                <w:spacing w:val="-3"/>
                <w:szCs w:val="18"/>
              </w:rPr>
              <w:t>.</w:t>
            </w:r>
            <w:r w:rsidRPr="001D6512">
              <w:rPr>
                <w:rFonts w:cs="Arial"/>
                <w:szCs w:val="18"/>
              </w:rPr>
              <w:t>6</w:t>
            </w:r>
            <w:r w:rsidRPr="001D6512">
              <w:rPr>
                <w:rFonts w:cs="Arial"/>
                <w:spacing w:val="7"/>
                <w:szCs w:val="18"/>
              </w:rPr>
              <w:t xml:space="preserve"> </w:t>
            </w:r>
            <w:r w:rsidRPr="001D6512">
              <w:rPr>
                <w:rFonts w:cs="Arial"/>
                <w:spacing w:val="-7"/>
                <w:w w:val="101"/>
                <w:szCs w:val="18"/>
              </w:rPr>
              <w:t>k</w:t>
            </w:r>
            <w:r w:rsidRPr="001D6512">
              <w:rPr>
                <w:rFonts w:cs="Arial"/>
                <w:spacing w:val="-1"/>
                <w:w w:val="102"/>
                <w:szCs w:val="18"/>
              </w:rPr>
              <w:t>W</w:t>
            </w:r>
            <w:r w:rsidRPr="001D6512">
              <w:rPr>
                <w:rFonts w:cs="Arial"/>
                <w:spacing w:val="-5"/>
                <w:w w:val="102"/>
                <w:szCs w:val="18"/>
              </w:rPr>
              <w:t>/</w:t>
            </w:r>
            <w:r w:rsidRPr="001D6512">
              <w:rPr>
                <w:rFonts w:cs="Arial"/>
                <w:w w:val="102"/>
                <w:szCs w:val="18"/>
              </w:rPr>
              <w:t>t</w:t>
            </w:r>
            <w:r w:rsidRPr="001D6512">
              <w:rPr>
                <w:rFonts w:cs="Arial"/>
                <w:spacing w:val="-7"/>
                <w:w w:val="101"/>
                <w:szCs w:val="18"/>
              </w:rPr>
              <w:t>o</w:t>
            </w:r>
            <w:r w:rsidRPr="001D6512">
              <w:rPr>
                <w:rFonts w:cs="Arial"/>
                <w:spacing w:val="-2"/>
                <w:w w:val="101"/>
                <w:szCs w:val="18"/>
              </w:rPr>
              <w:t>n</w:t>
            </w:r>
          </w:p>
        </w:tc>
        <w:tc>
          <w:tcPr>
            <w:tcW w:w="1194" w:type="pct"/>
            <w:tcBorders>
              <w:top w:val="single" w:sz="8" w:space="0" w:color="auto"/>
              <w:left w:val="nil"/>
              <w:bottom w:val="single" w:sz="8" w:space="0" w:color="auto"/>
              <w:right w:val="single" w:sz="8" w:space="0" w:color="auto"/>
            </w:tcBorders>
          </w:tcPr>
          <w:p w:rsidR="00B20792" w:rsidRPr="001D6512" w:rsidRDefault="00B20792" w:rsidP="00B20792">
            <w:pPr>
              <w:pStyle w:val="TableCell"/>
              <w:spacing w:before="60" w:after="60"/>
              <w:rPr>
                <w:rFonts w:cs="Arial"/>
                <w:szCs w:val="18"/>
              </w:rPr>
            </w:pPr>
            <w:r w:rsidRPr="001D6512">
              <w:rPr>
                <w:rFonts w:cs="Arial"/>
                <w:szCs w:val="18"/>
              </w:rPr>
              <w:t>3</w:t>
            </w:r>
          </w:p>
        </w:tc>
      </w:tr>
      <w:tr w:rsidR="00B20792" w:rsidRPr="007A61B2" w:rsidTr="00871FA2">
        <w:trPr>
          <w:trHeight w:val="374"/>
          <w:jc w:val="center"/>
        </w:trPr>
        <w:tc>
          <w:tcPr>
            <w:tcW w:w="1282" w:type="pct"/>
            <w:tcBorders>
              <w:top w:val="single" w:sz="8" w:space="0" w:color="auto"/>
              <w:left w:val="single" w:sz="8" w:space="0" w:color="auto"/>
              <w:bottom w:val="single" w:sz="8" w:space="0" w:color="auto"/>
              <w:right w:val="single" w:sz="8" w:space="0" w:color="auto"/>
            </w:tcBorders>
          </w:tcPr>
          <w:p w:rsidR="00B20792" w:rsidRPr="001D6512" w:rsidRDefault="00B20792" w:rsidP="00B20792">
            <w:pPr>
              <w:pStyle w:val="TableCell"/>
              <w:spacing w:before="60" w:after="60"/>
              <w:rPr>
                <w:rFonts w:cs="Arial"/>
                <w:szCs w:val="18"/>
              </w:rPr>
            </w:pPr>
            <w:r w:rsidRPr="001D6512">
              <w:rPr>
                <w:rFonts w:cs="Arial"/>
                <w:spacing w:val="-2"/>
                <w:w w:val="101"/>
                <w:szCs w:val="18"/>
              </w:rPr>
              <w:t xml:space="preserve">Power Factor: </w:t>
            </w:r>
            <w:r w:rsidRPr="001D6512">
              <w:rPr>
                <w:rFonts w:cs="Arial"/>
                <w:spacing w:val="-2"/>
                <w:w w:val="101"/>
                <w:position w:val="1"/>
                <w:sz w:val="20"/>
              </w:rPr>
              <w:t>k</w:t>
            </w:r>
            <w:r w:rsidRPr="001D6512">
              <w:rPr>
                <w:rFonts w:cs="Arial"/>
                <w:spacing w:val="-1"/>
                <w:w w:val="102"/>
                <w:position w:val="1"/>
                <w:sz w:val="20"/>
              </w:rPr>
              <w:t>W</w:t>
            </w:r>
            <w:r w:rsidRPr="001D6512">
              <w:rPr>
                <w:rFonts w:cs="Arial"/>
                <w:spacing w:val="-3"/>
                <w:position w:val="-2"/>
                <w:sz w:val="20"/>
                <w:vertAlign w:val="subscript"/>
              </w:rPr>
              <w:t>C</w:t>
            </w:r>
            <w:r w:rsidRPr="001D6512">
              <w:rPr>
                <w:rFonts w:cs="Arial"/>
                <w:position w:val="-2"/>
                <w:sz w:val="20"/>
                <w:vertAlign w:val="subscript"/>
              </w:rPr>
              <w:t>P</w:t>
            </w:r>
          </w:p>
        </w:tc>
        <w:tc>
          <w:tcPr>
            <w:tcW w:w="762" w:type="pct"/>
            <w:tcBorders>
              <w:top w:val="single" w:sz="8" w:space="0" w:color="auto"/>
              <w:left w:val="nil"/>
              <w:bottom w:val="single" w:sz="8" w:space="0" w:color="auto"/>
              <w:right w:val="single" w:sz="8" w:space="0" w:color="auto"/>
            </w:tcBorders>
          </w:tcPr>
          <w:p w:rsidR="00B20792" w:rsidRPr="001D6512" w:rsidRDefault="00B20792" w:rsidP="00B20792">
            <w:pPr>
              <w:pStyle w:val="TableCell"/>
              <w:spacing w:before="60" w:after="60"/>
              <w:rPr>
                <w:rFonts w:cs="Arial"/>
                <w:szCs w:val="18"/>
              </w:rPr>
            </w:pPr>
            <w:r w:rsidRPr="001D6512">
              <w:rPr>
                <w:rFonts w:cs="Arial"/>
                <w:szCs w:val="18"/>
              </w:rPr>
              <w:t>Fixed</w:t>
            </w:r>
          </w:p>
        </w:tc>
        <w:tc>
          <w:tcPr>
            <w:tcW w:w="1762" w:type="pct"/>
            <w:tcBorders>
              <w:top w:val="single" w:sz="8" w:space="0" w:color="auto"/>
              <w:left w:val="nil"/>
              <w:bottom w:val="single" w:sz="8" w:space="0" w:color="auto"/>
              <w:right w:val="single" w:sz="8" w:space="0" w:color="auto"/>
            </w:tcBorders>
          </w:tcPr>
          <w:p w:rsidR="00B20792" w:rsidRPr="001D6512" w:rsidRDefault="00B20792" w:rsidP="00B20792">
            <w:pPr>
              <w:pStyle w:val="TableCell"/>
              <w:spacing w:before="60" w:after="60"/>
              <w:rPr>
                <w:rFonts w:cs="Arial"/>
                <w:szCs w:val="18"/>
              </w:rPr>
            </w:pPr>
            <w:r w:rsidRPr="001D6512">
              <w:rPr>
                <w:rFonts w:cs="Arial"/>
                <w:spacing w:val="-2"/>
                <w:position w:val="-1"/>
                <w:szCs w:val="18"/>
              </w:rPr>
              <w:t>Default: 0</w:t>
            </w:r>
            <w:r w:rsidRPr="001D6512">
              <w:rPr>
                <w:rFonts w:cs="Arial"/>
                <w:spacing w:val="-3"/>
                <w:position w:val="-1"/>
                <w:szCs w:val="18"/>
              </w:rPr>
              <w:t>.</w:t>
            </w:r>
            <w:r w:rsidRPr="001D6512">
              <w:rPr>
                <w:rFonts w:cs="Arial"/>
                <w:spacing w:val="-2"/>
                <w:position w:val="-1"/>
                <w:szCs w:val="18"/>
              </w:rPr>
              <w:t>8</w:t>
            </w:r>
            <w:r w:rsidRPr="001D6512">
              <w:rPr>
                <w:rFonts w:cs="Arial"/>
                <w:position w:val="-1"/>
                <w:szCs w:val="18"/>
              </w:rPr>
              <w:t>5</w:t>
            </w:r>
          </w:p>
        </w:tc>
        <w:tc>
          <w:tcPr>
            <w:tcW w:w="1194" w:type="pct"/>
            <w:tcBorders>
              <w:top w:val="single" w:sz="8" w:space="0" w:color="auto"/>
              <w:left w:val="nil"/>
              <w:bottom w:val="single" w:sz="8" w:space="0" w:color="auto"/>
              <w:right w:val="single" w:sz="8" w:space="0" w:color="auto"/>
            </w:tcBorders>
          </w:tcPr>
          <w:p w:rsidR="00B20792" w:rsidRPr="001D6512" w:rsidRDefault="00B20792" w:rsidP="00B20792">
            <w:pPr>
              <w:pStyle w:val="TableCell"/>
              <w:spacing w:before="60" w:after="60"/>
              <w:rPr>
                <w:rFonts w:cs="Arial"/>
                <w:szCs w:val="18"/>
              </w:rPr>
            </w:pPr>
            <w:r w:rsidRPr="001D6512">
              <w:rPr>
                <w:rFonts w:cs="Arial"/>
                <w:szCs w:val="18"/>
              </w:rPr>
              <w:t>4</w:t>
            </w:r>
          </w:p>
        </w:tc>
      </w:tr>
      <w:tr w:rsidR="00B20792" w:rsidRPr="007A61B2" w:rsidTr="00871FA2">
        <w:trPr>
          <w:trHeight w:val="374"/>
          <w:jc w:val="center"/>
        </w:trPr>
        <w:tc>
          <w:tcPr>
            <w:tcW w:w="1282" w:type="pct"/>
            <w:tcBorders>
              <w:top w:val="single" w:sz="8" w:space="0" w:color="auto"/>
              <w:left w:val="single" w:sz="8" w:space="0" w:color="auto"/>
              <w:bottom w:val="single" w:sz="8" w:space="0" w:color="auto"/>
              <w:right w:val="single" w:sz="8" w:space="0" w:color="auto"/>
            </w:tcBorders>
          </w:tcPr>
          <w:p w:rsidR="00B20792" w:rsidRPr="001D6512" w:rsidRDefault="00B20792" w:rsidP="00B20792">
            <w:pPr>
              <w:pStyle w:val="TableCell"/>
              <w:spacing w:before="60" w:after="60"/>
              <w:rPr>
                <w:rFonts w:cs="Arial"/>
                <w:szCs w:val="18"/>
              </w:rPr>
            </w:pPr>
            <w:r w:rsidRPr="001D6512">
              <w:rPr>
                <w:rFonts w:cs="Arial"/>
                <w:spacing w:val="-8"/>
                <w:w w:val="101"/>
                <w:szCs w:val="18"/>
              </w:rPr>
              <w:t>H</w:t>
            </w:r>
            <w:r w:rsidRPr="001D6512">
              <w:rPr>
                <w:rFonts w:cs="Arial"/>
                <w:spacing w:val="-2"/>
                <w:w w:val="101"/>
                <w:szCs w:val="18"/>
              </w:rPr>
              <w:t>o</w:t>
            </w:r>
            <w:r w:rsidRPr="001D6512">
              <w:rPr>
                <w:rFonts w:cs="Arial"/>
                <w:spacing w:val="3"/>
                <w:w w:val="101"/>
                <w:szCs w:val="18"/>
              </w:rPr>
              <w:t>u</w:t>
            </w:r>
            <w:r w:rsidRPr="001D6512">
              <w:rPr>
                <w:rFonts w:cs="Arial"/>
                <w:spacing w:val="2"/>
                <w:w w:val="101"/>
                <w:szCs w:val="18"/>
              </w:rPr>
              <w:t>r</w:t>
            </w:r>
            <w:r w:rsidRPr="001D6512">
              <w:rPr>
                <w:rFonts w:cs="Arial"/>
                <w:spacing w:val="-1"/>
                <w:w w:val="101"/>
                <w:szCs w:val="18"/>
              </w:rPr>
              <w:t>s</w:t>
            </w:r>
            <w:r w:rsidRPr="001D6512">
              <w:rPr>
                <w:rFonts w:cs="Arial"/>
                <w:spacing w:val="-3"/>
                <w:position w:val="-3"/>
                <w:szCs w:val="18"/>
                <w:vertAlign w:val="subscript"/>
              </w:rPr>
              <w:t>C</w:t>
            </w:r>
            <w:r w:rsidRPr="001D6512">
              <w:rPr>
                <w:rFonts w:cs="Arial"/>
                <w:position w:val="-3"/>
                <w:szCs w:val="18"/>
                <w:vertAlign w:val="subscript"/>
              </w:rPr>
              <w:t>P</w:t>
            </w:r>
          </w:p>
        </w:tc>
        <w:tc>
          <w:tcPr>
            <w:tcW w:w="762" w:type="pct"/>
            <w:tcBorders>
              <w:top w:val="single" w:sz="8" w:space="0" w:color="auto"/>
              <w:left w:val="nil"/>
              <w:bottom w:val="single" w:sz="8" w:space="0" w:color="auto"/>
              <w:right w:val="single" w:sz="8" w:space="0" w:color="auto"/>
            </w:tcBorders>
          </w:tcPr>
          <w:p w:rsidR="00B20792" w:rsidRPr="001D6512" w:rsidRDefault="00B20792" w:rsidP="00B20792">
            <w:pPr>
              <w:pStyle w:val="TableCell"/>
              <w:spacing w:before="60" w:after="60"/>
              <w:rPr>
                <w:rFonts w:cs="Arial"/>
                <w:szCs w:val="18"/>
              </w:rPr>
            </w:pPr>
            <w:r w:rsidRPr="001D6512">
              <w:rPr>
                <w:rFonts w:cs="Arial"/>
                <w:szCs w:val="18"/>
              </w:rPr>
              <w:t>Variable</w:t>
            </w:r>
          </w:p>
        </w:tc>
        <w:tc>
          <w:tcPr>
            <w:tcW w:w="1762" w:type="pct"/>
            <w:tcBorders>
              <w:top w:val="single" w:sz="8" w:space="0" w:color="auto"/>
              <w:left w:val="nil"/>
              <w:bottom w:val="single" w:sz="8" w:space="0" w:color="auto"/>
              <w:right w:val="single" w:sz="8" w:space="0" w:color="auto"/>
            </w:tcBorders>
          </w:tcPr>
          <w:p w:rsidR="00B20792" w:rsidRPr="001D6512" w:rsidRDefault="00B20792" w:rsidP="00B20792">
            <w:pPr>
              <w:pStyle w:val="TableCell"/>
              <w:spacing w:before="60" w:after="60"/>
              <w:rPr>
                <w:rFonts w:cs="Arial"/>
                <w:szCs w:val="18"/>
              </w:rPr>
            </w:pPr>
            <w:r w:rsidRPr="001D6512">
              <w:rPr>
                <w:rFonts w:cs="Arial"/>
                <w:szCs w:val="18"/>
              </w:rPr>
              <w:t>EDC Data Gathering</w:t>
            </w:r>
          </w:p>
        </w:tc>
        <w:tc>
          <w:tcPr>
            <w:tcW w:w="1194" w:type="pct"/>
            <w:tcBorders>
              <w:top w:val="single" w:sz="8" w:space="0" w:color="auto"/>
              <w:left w:val="nil"/>
              <w:bottom w:val="single" w:sz="8" w:space="0" w:color="auto"/>
              <w:right w:val="single" w:sz="8" w:space="0" w:color="auto"/>
            </w:tcBorders>
          </w:tcPr>
          <w:p w:rsidR="00B20792" w:rsidRPr="001D6512" w:rsidRDefault="00B20792" w:rsidP="00B20792">
            <w:pPr>
              <w:pStyle w:val="TableCell"/>
              <w:spacing w:before="60" w:after="60"/>
              <w:rPr>
                <w:rFonts w:cs="Arial"/>
                <w:szCs w:val="18"/>
              </w:rPr>
            </w:pPr>
            <w:r w:rsidRPr="001D6512">
              <w:rPr>
                <w:rFonts w:cs="Arial"/>
                <w:szCs w:val="18"/>
              </w:rPr>
              <w:t>EDC Data Gathering</w:t>
            </w:r>
          </w:p>
        </w:tc>
      </w:tr>
      <w:tr w:rsidR="00B20792" w:rsidRPr="007A61B2" w:rsidTr="00871FA2">
        <w:trPr>
          <w:trHeight w:val="374"/>
          <w:jc w:val="center"/>
        </w:trPr>
        <w:tc>
          <w:tcPr>
            <w:tcW w:w="1282" w:type="pct"/>
            <w:tcBorders>
              <w:top w:val="single" w:sz="8" w:space="0" w:color="auto"/>
              <w:left w:val="single" w:sz="8" w:space="0" w:color="auto"/>
              <w:bottom w:val="single" w:sz="8" w:space="0" w:color="auto"/>
              <w:right w:val="single" w:sz="8" w:space="0" w:color="auto"/>
            </w:tcBorders>
          </w:tcPr>
          <w:p w:rsidR="00B20792" w:rsidRPr="001D6512" w:rsidRDefault="00B20792" w:rsidP="00B20792">
            <w:pPr>
              <w:pStyle w:val="TableCell"/>
              <w:spacing w:before="60" w:after="60"/>
              <w:rPr>
                <w:rFonts w:cs="Arial"/>
                <w:spacing w:val="-8"/>
                <w:w w:val="101"/>
                <w:szCs w:val="18"/>
              </w:rPr>
            </w:pPr>
            <w:r w:rsidRPr="001D6512">
              <w:rPr>
                <w:rFonts w:cs="Arial"/>
                <w:spacing w:val="-2"/>
                <w:w w:val="101"/>
                <w:szCs w:val="18"/>
              </w:rPr>
              <w:t>k</w:t>
            </w:r>
            <w:r w:rsidRPr="001D6512">
              <w:rPr>
                <w:rFonts w:cs="Arial"/>
                <w:spacing w:val="-1"/>
                <w:w w:val="102"/>
                <w:szCs w:val="18"/>
              </w:rPr>
              <w:t>W</w:t>
            </w:r>
            <w:r w:rsidRPr="001D6512">
              <w:rPr>
                <w:rFonts w:cs="Arial"/>
                <w:spacing w:val="-2"/>
                <w:position w:val="-2"/>
                <w:szCs w:val="18"/>
                <w:vertAlign w:val="subscript"/>
              </w:rPr>
              <w:t>F</w:t>
            </w:r>
            <w:r w:rsidRPr="001D6512">
              <w:rPr>
                <w:rFonts w:cs="Arial"/>
                <w:spacing w:val="-5"/>
                <w:w w:val="101"/>
                <w:position w:val="-2"/>
                <w:szCs w:val="18"/>
                <w:vertAlign w:val="subscript"/>
              </w:rPr>
              <w:t>a</w:t>
            </w:r>
            <w:r w:rsidRPr="001D6512">
              <w:rPr>
                <w:rFonts w:cs="Arial"/>
                <w:position w:val="-2"/>
                <w:szCs w:val="18"/>
                <w:vertAlign w:val="subscript"/>
              </w:rPr>
              <w:t>n</w:t>
            </w:r>
          </w:p>
        </w:tc>
        <w:tc>
          <w:tcPr>
            <w:tcW w:w="762" w:type="pct"/>
            <w:tcBorders>
              <w:top w:val="single" w:sz="8" w:space="0" w:color="auto"/>
              <w:left w:val="nil"/>
              <w:bottom w:val="single" w:sz="8" w:space="0" w:color="auto"/>
              <w:right w:val="single" w:sz="8" w:space="0" w:color="auto"/>
            </w:tcBorders>
          </w:tcPr>
          <w:p w:rsidR="00B20792" w:rsidRPr="001D6512" w:rsidRDefault="00B20792" w:rsidP="00B20792">
            <w:pPr>
              <w:pStyle w:val="TableCell"/>
              <w:spacing w:before="60" w:after="60"/>
              <w:rPr>
                <w:rFonts w:cs="Arial"/>
                <w:szCs w:val="18"/>
              </w:rPr>
            </w:pPr>
            <w:r w:rsidRPr="001D6512">
              <w:rPr>
                <w:rFonts w:cs="Arial"/>
                <w:szCs w:val="18"/>
              </w:rPr>
              <w:t>Variable</w:t>
            </w:r>
          </w:p>
        </w:tc>
        <w:tc>
          <w:tcPr>
            <w:tcW w:w="1762" w:type="pct"/>
            <w:tcBorders>
              <w:top w:val="single" w:sz="8" w:space="0" w:color="auto"/>
              <w:left w:val="nil"/>
              <w:bottom w:val="single" w:sz="8" w:space="0" w:color="auto"/>
              <w:right w:val="single" w:sz="8" w:space="0" w:color="auto"/>
            </w:tcBorders>
          </w:tcPr>
          <w:p w:rsidR="00B20792" w:rsidRPr="001D6512" w:rsidRDefault="00B20792" w:rsidP="00B20792">
            <w:pPr>
              <w:pStyle w:val="TableCell"/>
              <w:spacing w:before="60" w:after="60"/>
              <w:rPr>
                <w:rFonts w:cs="Arial"/>
                <w:szCs w:val="18"/>
              </w:rPr>
            </w:pPr>
            <w:r w:rsidRPr="001D6512">
              <w:rPr>
                <w:rFonts w:cs="Arial"/>
                <w:szCs w:val="18"/>
              </w:rPr>
              <w:t>EDC Data Gathering</w:t>
            </w:r>
            <w:r w:rsidRPr="001D6512">
              <w:rPr>
                <w:rStyle w:val="FootnoteReference"/>
                <w:szCs w:val="18"/>
              </w:rPr>
              <w:footnoteReference w:id="228"/>
            </w:r>
          </w:p>
        </w:tc>
        <w:tc>
          <w:tcPr>
            <w:tcW w:w="1194" w:type="pct"/>
            <w:tcBorders>
              <w:top w:val="single" w:sz="8" w:space="0" w:color="auto"/>
              <w:left w:val="nil"/>
              <w:bottom w:val="single" w:sz="8" w:space="0" w:color="auto"/>
              <w:right w:val="single" w:sz="8" w:space="0" w:color="auto"/>
            </w:tcBorders>
          </w:tcPr>
          <w:p w:rsidR="00B20792" w:rsidRPr="001D6512" w:rsidRDefault="00B20792" w:rsidP="00B20792">
            <w:pPr>
              <w:pStyle w:val="TableCell"/>
              <w:spacing w:before="60" w:after="60"/>
              <w:rPr>
                <w:rFonts w:cs="Arial"/>
                <w:szCs w:val="18"/>
              </w:rPr>
            </w:pPr>
            <w:r w:rsidRPr="001D6512">
              <w:rPr>
                <w:rFonts w:cs="Arial"/>
                <w:szCs w:val="18"/>
              </w:rPr>
              <w:t>EDC Data Gathering</w:t>
            </w:r>
          </w:p>
        </w:tc>
      </w:tr>
    </w:tbl>
    <w:p w:rsidR="00B20792" w:rsidRPr="001C4AD5" w:rsidRDefault="00B20792" w:rsidP="00B20792">
      <w:pPr>
        <w:spacing w:after="0"/>
      </w:pPr>
    </w:p>
    <w:p w:rsidR="00B20792" w:rsidRPr="001D7420" w:rsidRDefault="00B20792" w:rsidP="00B20792">
      <w:pPr>
        <w:keepNext/>
        <w:rPr>
          <w:b/>
        </w:rPr>
      </w:pPr>
      <w:r w:rsidRPr="001D7420">
        <w:rPr>
          <w:b/>
        </w:rPr>
        <w:t>Sources:</w:t>
      </w:r>
      <w:r>
        <w:rPr>
          <w:b/>
        </w:rPr>
        <w:t xml:space="preserve"> </w:t>
      </w:r>
    </w:p>
    <w:p w:rsidR="00FF3B39" w:rsidRPr="0053432F" w:rsidRDefault="00B20792" w:rsidP="0053432F">
      <w:pPr>
        <w:pStyle w:val="source1"/>
        <w:numPr>
          <w:ilvl w:val="0"/>
          <w:numId w:val="128"/>
        </w:numPr>
        <w:rPr>
          <w:spacing w:val="-7"/>
          <w:w w:val="101"/>
          <w:position w:val="-1"/>
        </w:rPr>
      </w:pPr>
      <w:r w:rsidRPr="0053432F">
        <w:rPr>
          <w:spacing w:val="-2"/>
          <w:position w:val="-1"/>
        </w:rPr>
        <w:t>C</w:t>
      </w:r>
      <w:r w:rsidRPr="0053432F">
        <w:rPr>
          <w:position w:val="-1"/>
        </w:rPr>
        <w:t>o</w:t>
      </w:r>
      <w:r w:rsidRPr="0053432F">
        <w:rPr>
          <w:spacing w:val="-2"/>
          <w:position w:val="-1"/>
        </w:rPr>
        <w:t>ns</w:t>
      </w:r>
      <w:r w:rsidRPr="0053432F">
        <w:rPr>
          <w:spacing w:val="1"/>
          <w:position w:val="-1"/>
        </w:rPr>
        <w:t>e</w:t>
      </w:r>
      <w:r w:rsidRPr="0053432F">
        <w:rPr>
          <w:spacing w:val="-5"/>
          <w:position w:val="-1"/>
        </w:rPr>
        <w:t>r</w:t>
      </w:r>
      <w:r w:rsidRPr="0053432F">
        <w:rPr>
          <w:spacing w:val="-9"/>
          <w:position w:val="-1"/>
        </w:rPr>
        <w:t>v</w:t>
      </w:r>
      <w:r w:rsidRPr="0053432F">
        <w:rPr>
          <w:spacing w:val="1"/>
          <w:position w:val="-1"/>
        </w:rPr>
        <w:t>a</w:t>
      </w:r>
      <w:r w:rsidRPr="0053432F">
        <w:rPr>
          <w:spacing w:val="2"/>
          <w:position w:val="-1"/>
        </w:rPr>
        <w:t>t</w:t>
      </w:r>
      <w:r w:rsidRPr="0053432F">
        <w:rPr>
          <w:spacing w:val="-5"/>
          <w:position w:val="-1"/>
        </w:rPr>
        <w:t>i</w:t>
      </w:r>
      <w:r w:rsidRPr="0053432F">
        <w:rPr>
          <w:spacing w:val="1"/>
          <w:position w:val="-1"/>
        </w:rPr>
        <w:t>v</w:t>
      </w:r>
      <w:r w:rsidRPr="0053432F">
        <w:rPr>
          <w:spacing w:val="2"/>
          <w:position w:val="-1"/>
        </w:rPr>
        <w:t xml:space="preserve">e </w:t>
      </w:r>
      <w:r w:rsidRPr="0053432F">
        <w:rPr>
          <w:spacing w:val="-5"/>
          <w:position w:val="-1"/>
        </w:rPr>
        <w:t>v</w:t>
      </w:r>
      <w:r w:rsidRPr="0053432F">
        <w:rPr>
          <w:spacing w:val="1"/>
          <w:position w:val="-1"/>
        </w:rPr>
        <w:t>a</w:t>
      </w:r>
      <w:r w:rsidRPr="0053432F">
        <w:rPr>
          <w:spacing w:val="5"/>
          <w:position w:val="-1"/>
        </w:rPr>
        <w:t>l</w:t>
      </w:r>
      <w:r w:rsidRPr="0053432F">
        <w:rPr>
          <w:spacing w:val="-5"/>
          <w:position w:val="-1"/>
        </w:rPr>
        <w:t>u</w:t>
      </w:r>
      <w:r w:rsidRPr="0053432F">
        <w:rPr>
          <w:spacing w:val="1"/>
          <w:position w:val="-1"/>
        </w:rPr>
        <w:t>e</w:t>
      </w:r>
      <w:r w:rsidRPr="0053432F">
        <w:rPr>
          <w:spacing w:val="2"/>
          <w:position w:val="-1"/>
        </w:rPr>
        <w:t xml:space="preserve"> </w:t>
      </w:r>
      <w:r w:rsidRPr="0053432F">
        <w:rPr>
          <w:spacing w:val="-5"/>
          <w:position w:val="-1"/>
        </w:rPr>
        <w:t>b</w:t>
      </w:r>
      <w:r w:rsidRPr="0053432F">
        <w:rPr>
          <w:spacing w:val="1"/>
          <w:position w:val="-1"/>
        </w:rPr>
        <w:t>a</w:t>
      </w:r>
      <w:r w:rsidRPr="0053432F">
        <w:rPr>
          <w:spacing w:val="5"/>
          <w:position w:val="-1"/>
        </w:rPr>
        <w:t>s</w:t>
      </w:r>
      <w:r w:rsidRPr="0053432F">
        <w:rPr>
          <w:spacing w:val="1"/>
          <w:position w:val="-1"/>
        </w:rPr>
        <w:t>ed</w:t>
      </w:r>
      <w:r w:rsidRPr="0053432F">
        <w:rPr>
          <w:spacing w:val="-9"/>
          <w:position w:val="-1"/>
        </w:rPr>
        <w:t xml:space="preserve"> </w:t>
      </w:r>
      <w:r w:rsidRPr="0053432F">
        <w:rPr>
          <w:spacing w:val="1"/>
          <w:position w:val="-1"/>
        </w:rPr>
        <w:t>o</w:t>
      </w:r>
      <w:r w:rsidRPr="0053432F">
        <w:rPr>
          <w:position w:val="-1"/>
        </w:rPr>
        <w:t>n</w:t>
      </w:r>
      <w:r w:rsidRPr="0053432F">
        <w:rPr>
          <w:spacing w:val="4"/>
          <w:position w:val="-1"/>
        </w:rPr>
        <w:t xml:space="preserve"> </w:t>
      </w:r>
      <w:r w:rsidRPr="0053432F">
        <w:rPr>
          <w:spacing w:val="-5"/>
          <w:position w:val="-1"/>
        </w:rPr>
        <w:t>1</w:t>
      </w:r>
      <w:r w:rsidRPr="0053432F">
        <w:rPr>
          <w:position w:val="-1"/>
        </w:rPr>
        <w:t>5</w:t>
      </w:r>
      <w:r w:rsidRPr="0053432F">
        <w:rPr>
          <w:spacing w:val="4"/>
          <w:position w:val="-1"/>
        </w:rPr>
        <w:t xml:space="preserve"> </w:t>
      </w:r>
      <w:r w:rsidRPr="0053432F">
        <w:rPr>
          <w:spacing w:val="-5"/>
          <w:position w:val="-1"/>
        </w:rPr>
        <w:t>y</w:t>
      </w:r>
      <w:r w:rsidRPr="0053432F">
        <w:rPr>
          <w:spacing w:val="1"/>
          <w:position w:val="-1"/>
        </w:rPr>
        <w:t>e</w:t>
      </w:r>
      <w:r w:rsidRPr="0053432F">
        <w:rPr>
          <w:spacing w:val="4"/>
          <w:position w:val="-1"/>
        </w:rPr>
        <w:t>a</w:t>
      </w:r>
      <w:r w:rsidRPr="0053432F">
        <w:rPr>
          <w:spacing w:val="-5"/>
          <w:position w:val="-1"/>
        </w:rPr>
        <w:t>r</w:t>
      </w:r>
      <w:r w:rsidRPr="0053432F">
        <w:rPr>
          <w:spacing w:val="1"/>
          <w:position w:val="-1"/>
        </w:rPr>
        <w:t>s</w:t>
      </w:r>
      <w:r w:rsidRPr="0053432F">
        <w:rPr>
          <w:spacing w:val="-4"/>
          <w:position w:val="-1"/>
        </w:rPr>
        <w:t xml:space="preserve"> </w:t>
      </w:r>
      <w:r w:rsidRPr="0053432F">
        <w:rPr>
          <w:spacing w:val="2"/>
          <w:position w:val="-1"/>
        </w:rPr>
        <w:t>o</w:t>
      </w:r>
      <w:r w:rsidRPr="0053432F">
        <w:rPr>
          <w:position w:val="-1"/>
        </w:rPr>
        <w:t>f</w:t>
      </w:r>
      <w:r w:rsidRPr="0053432F">
        <w:rPr>
          <w:spacing w:val="-5"/>
          <w:position w:val="-1"/>
        </w:rPr>
        <w:t xml:space="preserve"> </w:t>
      </w:r>
      <w:r w:rsidRPr="0053432F">
        <w:rPr>
          <w:spacing w:val="-2"/>
          <w:position w:val="-1"/>
        </w:rPr>
        <w:t>NR</w:t>
      </w:r>
      <w:r w:rsidRPr="0053432F">
        <w:rPr>
          <w:spacing w:val="2"/>
          <w:position w:val="-1"/>
        </w:rPr>
        <w:t>M</w:t>
      </w:r>
      <w:r w:rsidRPr="0053432F">
        <w:rPr>
          <w:spacing w:val="-2"/>
          <w:position w:val="-1"/>
        </w:rPr>
        <w:t xml:space="preserve"> f</w:t>
      </w:r>
      <w:r w:rsidRPr="0053432F">
        <w:rPr>
          <w:spacing w:val="2"/>
          <w:position w:val="-1"/>
        </w:rPr>
        <w:t>i</w:t>
      </w:r>
      <w:r w:rsidRPr="0053432F">
        <w:rPr>
          <w:spacing w:val="-4"/>
          <w:position w:val="-1"/>
        </w:rPr>
        <w:t>e</w:t>
      </w:r>
      <w:r w:rsidRPr="0053432F">
        <w:rPr>
          <w:spacing w:val="-3"/>
          <w:position w:val="-1"/>
        </w:rPr>
        <w:t>l</w:t>
      </w:r>
      <w:r w:rsidRPr="0053432F">
        <w:rPr>
          <w:spacing w:val="2"/>
          <w:position w:val="-1"/>
        </w:rPr>
        <w:t>d</w:t>
      </w:r>
      <w:r w:rsidRPr="0053432F">
        <w:rPr>
          <w:spacing w:val="-4"/>
          <w:position w:val="-1"/>
        </w:rPr>
        <w:t xml:space="preserve"> </w:t>
      </w:r>
      <w:r w:rsidRPr="0053432F">
        <w:rPr>
          <w:spacing w:val="2"/>
          <w:position w:val="-1"/>
        </w:rPr>
        <w:t>o</w:t>
      </w:r>
      <w:r w:rsidRPr="0053432F">
        <w:rPr>
          <w:position w:val="-1"/>
        </w:rPr>
        <w:t>b</w:t>
      </w:r>
      <w:r w:rsidRPr="0053432F">
        <w:rPr>
          <w:spacing w:val="-1"/>
          <w:position w:val="-1"/>
        </w:rPr>
        <w:t>s</w:t>
      </w:r>
      <w:r w:rsidRPr="0053432F">
        <w:rPr>
          <w:spacing w:val="1"/>
          <w:position w:val="-1"/>
        </w:rPr>
        <w:t>e</w:t>
      </w:r>
      <w:r w:rsidRPr="0053432F">
        <w:rPr>
          <w:spacing w:val="2"/>
          <w:position w:val="-1"/>
        </w:rPr>
        <w:t>r</w:t>
      </w:r>
      <w:r w:rsidRPr="0053432F">
        <w:rPr>
          <w:spacing w:val="-9"/>
          <w:position w:val="-1"/>
        </w:rPr>
        <w:t>v</w:t>
      </w:r>
      <w:r w:rsidRPr="0053432F">
        <w:rPr>
          <w:spacing w:val="1"/>
          <w:position w:val="-1"/>
        </w:rPr>
        <w:t>a</w:t>
      </w:r>
      <w:r w:rsidRPr="0053432F">
        <w:rPr>
          <w:spacing w:val="2"/>
          <w:position w:val="-1"/>
        </w:rPr>
        <w:t>t</w:t>
      </w:r>
      <w:r w:rsidRPr="0053432F">
        <w:rPr>
          <w:spacing w:val="-5"/>
          <w:position w:val="-1"/>
        </w:rPr>
        <w:t>i</w:t>
      </w:r>
      <w:r w:rsidRPr="0053432F">
        <w:rPr>
          <w:spacing w:val="1"/>
          <w:position w:val="-1"/>
        </w:rPr>
        <w:t>o</w:t>
      </w:r>
      <w:r w:rsidRPr="0053432F">
        <w:rPr>
          <w:spacing w:val="2"/>
          <w:position w:val="-1"/>
        </w:rPr>
        <w:t>ns</w:t>
      </w:r>
      <w:r w:rsidRPr="0053432F">
        <w:rPr>
          <w:spacing w:val="-4"/>
          <w:position w:val="-1"/>
        </w:rPr>
        <w:t xml:space="preserve"> </w:t>
      </w:r>
      <w:r w:rsidRPr="0053432F">
        <w:rPr>
          <w:spacing w:val="-5"/>
          <w:position w:val="-1"/>
        </w:rPr>
        <w:t>an</w:t>
      </w:r>
      <w:r w:rsidRPr="0053432F">
        <w:rPr>
          <w:spacing w:val="-4"/>
          <w:position w:val="-1"/>
        </w:rPr>
        <w:t>d</w:t>
      </w:r>
      <w:r w:rsidRPr="0053432F">
        <w:rPr>
          <w:spacing w:val="1"/>
          <w:position w:val="-1"/>
        </w:rPr>
        <w:t xml:space="preserve"> </w:t>
      </w:r>
      <w:r w:rsidRPr="0053432F">
        <w:rPr>
          <w:spacing w:val="-5"/>
          <w:w w:val="101"/>
          <w:position w:val="-1"/>
        </w:rPr>
        <w:t>ex</w:t>
      </w:r>
      <w:r w:rsidRPr="0053432F">
        <w:rPr>
          <w:spacing w:val="4"/>
          <w:w w:val="101"/>
          <w:position w:val="-1"/>
        </w:rPr>
        <w:t>p</w:t>
      </w:r>
      <w:r w:rsidRPr="0053432F">
        <w:rPr>
          <w:spacing w:val="1"/>
          <w:w w:val="101"/>
          <w:position w:val="-1"/>
        </w:rPr>
        <w:t>e</w:t>
      </w:r>
      <w:r w:rsidRPr="0053432F">
        <w:rPr>
          <w:spacing w:val="-5"/>
          <w:w w:val="101"/>
          <w:position w:val="-1"/>
        </w:rPr>
        <w:t>r</w:t>
      </w:r>
      <w:r w:rsidRPr="0053432F">
        <w:rPr>
          <w:spacing w:val="-3"/>
          <w:w w:val="101"/>
          <w:position w:val="-1"/>
        </w:rPr>
        <w:t>i</w:t>
      </w:r>
      <w:r w:rsidRPr="0053432F">
        <w:rPr>
          <w:spacing w:val="1"/>
          <w:w w:val="101"/>
          <w:position w:val="-1"/>
        </w:rPr>
        <w:t>e</w:t>
      </w:r>
      <w:r w:rsidRPr="0053432F">
        <w:rPr>
          <w:spacing w:val="2"/>
          <w:w w:val="101"/>
          <w:position w:val="-1"/>
        </w:rPr>
        <w:t>n</w:t>
      </w:r>
      <w:r w:rsidRPr="0053432F">
        <w:rPr>
          <w:spacing w:val="-3"/>
          <w:w w:val="101"/>
          <w:position w:val="-1"/>
        </w:rPr>
        <w:t>c</w:t>
      </w:r>
      <w:r w:rsidRPr="0053432F">
        <w:rPr>
          <w:spacing w:val="1"/>
          <w:w w:val="101"/>
          <w:position w:val="-1"/>
        </w:rPr>
        <w:t xml:space="preserve">e, </w:t>
      </w:r>
    </w:p>
    <w:p w:rsidR="00B20792" w:rsidRPr="0053432F" w:rsidRDefault="00B20792" w:rsidP="0053432F">
      <w:pPr>
        <w:pStyle w:val="source1"/>
        <w:numPr>
          <w:ilvl w:val="0"/>
          <w:numId w:val="128"/>
        </w:numPr>
        <w:rPr>
          <w:spacing w:val="-7"/>
          <w:w w:val="101"/>
          <w:position w:val="-1"/>
        </w:rPr>
      </w:pPr>
      <w:r w:rsidRPr="0053432F">
        <w:rPr>
          <w:spacing w:val="-5"/>
          <w:w w:val="101"/>
          <w:position w:val="-1"/>
        </w:rPr>
        <w:t>S</w:t>
      </w:r>
      <w:r w:rsidRPr="0053432F">
        <w:rPr>
          <w:spacing w:val="1"/>
          <w:w w:val="101"/>
          <w:position w:val="-1"/>
        </w:rPr>
        <w:t>el</w:t>
      </w:r>
      <w:r w:rsidRPr="0053432F">
        <w:rPr>
          <w:spacing w:val="4"/>
          <w:position w:val="-1"/>
        </w:rPr>
        <w:t>e</w:t>
      </w:r>
      <w:r w:rsidRPr="0053432F">
        <w:rPr>
          <w:spacing w:val="-4"/>
          <w:position w:val="-1"/>
        </w:rPr>
        <w:t>c</w:t>
      </w:r>
      <w:r w:rsidRPr="0053432F">
        <w:rPr>
          <w:spacing w:val="2"/>
          <w:position w:val="-1"/>
        </w:rPr>
        <w:t>t</w:t>
      </w:r>
      <w:r w:rsidRPr="0053432F">
        <w:rPr>
          <w:spacing w:val="1"/>
          <w:position w:val="-1"/>
        </w:rPr>
        <w:t xml:space="preserve"> </w:t>
      </w:r>
      <w:r w:rsidRPr="0053432F">
        <w:rPr>
          <w:spacing w:val="-4"/>
          <w:position w:val="-1"/>
        </w:rPr>
        <w:t>E</w:t>
      </w:r>
      <w:r w:rsidRPr="0053432F">
        <w:rPr>
          <w:spacing w:val="-5"/>
          <w:position w:val="-1"/>
        </w:rPr>
        <w:t>n</w:t>
      </w:r>
      <w:r w:rsidRPr="0053432F">
        <w:rPr>
          <w:spacing w:val="-4"/>
          <w:position w:val="-1"/>
        </w:rPr>
        <w:t>e</w:t>
      </w:r>
      <w:r w:rsidRPr="0053432F">
        <w:rPr>
          <w:spacing w:val="4"/>
          <w:position w:val="-1"/>
        </w:rPr>
        <w:t>r</w:t>
      </w:r>
      <w:r w:rsidRPr="0053432F">
        <w:rPr>
          <w:spacing w:val="-5"/>
          <w:position w:val="-1"/>
        </w:rPr>
        <w:t>g</w:t>
      </w:r>
      <w:r w:rsidRPr="0053432F">
        <w:rPr>
          <w:spacing w:val="1"/>
          <w:position w:val="-1"/>
        </w:rPr>
        <w:t>y</w:t>
      </w:r>
      <w:r w:rsidRPr="0053432F">
        <w:rPr>
          <w:spacing w:val="2"/>
          <w:position w:val="-1"/>
        </w:rPr>
        <w:t xml:space="preserve"> </w:t>
      </w:r>
      <w:r w:rsidRPr="0053432F">
        <w:rPr>
          <w:spacing w:val="-5"/>
          <w:position w:val="-1"/>
        </w:rPr>
        <w:t>(</w:t>
      </w:r>
      <w:r w:rsidRPr="0053432F">
        <w:rPr>
          <w:position w:val="-1"/>
        </w:rPr>
        <w:t>2</w:t>
      </w:r>
      <w:r w:rsidRPr="0053432F">
        <w:rPr>
          <w:spacing w:val="-1"/>
          <w:position w:val="-1"/>
        </w:rPr>
        <w:t>0</w:t>
      </w:r>
      <w:r w:rsidRPr="0053432F">
        <w:rPr>
          <w:spacing w:val="2"/>
          <w:position w:val="-1"/>
        </w:rPr>
        <w:t>0</w:t>
      </w:r>
      <w:r w:rsidRPr="0053432F">
        <w:rPr>
          <w:position w:val="-1"/>
        </w:rPr>
        <w:t>4</w:t>
      </w:r>
      <w:r w:rsidRPr="0053432F">
        <w:rPr>
          <w:spacing w:val="-3"/>
          <w:position w:val="-1"/>
        </w:rPr>
        <w:t>)</w:t>
      </w:r>
      <w:r w:rsidRPr="0053432F">
        <w:rPr>
          <w:spacing w:val="-5"/>
          <w:position w:val="-1"/>
        </w:rPr>
        <w:t>.</w:t>
      </w:r>
      <w:r w:rsidRPr="0053432F">
        <w:rPr>
          <w:spacing w:val="50"/>
          <w:position w:val="-1"/>
        </w:rPr>
        <w:t xml:space="preserve"> </w:t>
      </w:r>
      <w:r w:rsidRPr="0053432F">
        <w:rPr>
          <w:i/>
          <w:iCs/>
          <w:spacing w:val="-3"/>
          <w:position w:val="-1"/>
        </w:rPr>
        <w:t>Analysis</w:t>
      </w:r>
      <w:r w:rsidRPr="0053432F">
        <w:rPr>
          <w:i/>
          <w:iCs/>
          <w:spacing w:val="-4"/>
          <w:position w:val="-1"/>
        </w:rPr>
        <w:t xml:space="preserve"> </w:t>
      </w:r>
      <w:r w:rsidRPr="0053432F">
        <w:rPr>
          <w:i/>
          <w:iCs/>
          <w:spacing w:val="2"/>
          <w:position w:val="-1"/>
        </w:rPr>
        <w:t>o</w:t>
      </w:r>
      <w:r w:rsidRPr="0053432F">
        <w:rPr>
          <w:i/>
          <w:iCs/>
          <w:position w:val="-1"/>
        </w:rPr>
        <w:t>f</w:t>
      </w:r>
      <w:r w:rsidRPr="0053432F">
        <w:rPr>
          <w:i/>
          <w:iCs/>
          <w:spacing w:val="-5"/>
          <w:position w:val="-1"/>
        </w:rPr>
        <w:t xml:space="preserve"> </w:t>
      </w:r>
      <w:r w:rsidRPr="0053432F">
        <w:rPr>
          <w:i/>
          <w:iCs/>
          <w:spacing w:val="-2"/>
          <w:position w:val="-1"/>
        </w:rPr>
        <w:t>C</w:t>
      </w:r>
      <w:r w:rsidRPr="0053432F">
        <w:rPr>
          <w:i/>
          <w:iCs/>
          <w:position w:val="-1"/>
        </w:rPr>
        <w:t>o</w:t>
      </w:r>
      <w:r w:rsidRPr="0053432F">
        <w:rPr>
          <w:i/>
          <w:iCs/>
          <w:spacing w:val="2"/>
          <w:position w:val="-1"/>
        </w:rPr>
        <w:t>o</w:t>
      </w:r>
      <w:r w:rsidRPr="0053432F">
        <w:rPr>
          <w:i/>
          <w:iCs/>
          <w:spacing w:val="-2"/>
          <w:position w:val="-1"/>
        </w:rPr>
        <w:t>l</w:t>
      </w:r>
      <w:r w:rsidRPr="0053432F">
        <w:rPr>
          <w:i/>
          <w:iCs/>
          <w:spacing w:val="1"/>
          <w:position w:val="-1"/>
        </w:rPr>
        <w:t>e</w:t>
      </w:r>
      <w:r w:rsidRPr="0053432F">
        <w:rPr>
          <w:i/>
          <w:iCs/>
          <w:spacing w:val="-5"/>
          <w:position w:val="-1"/>
        </w:rPr>
        <w:t>r</w:t>
      </w:r>
      <w:r w:rsidRPr="0053432F">
        <w:rPr>
          <w:i/>
          <w:iCs/>
          <w:spacing w:val="2"/>
          <w:position w:val="-1"/>
        </w:rPr>
        <w:t xml:space="preserve"> </w:t>
      </w:r>
      <w:r w:rsidRPr="0053432F">
        <w:rPr>
          <w:i/>
          <w:iCs/>
          <w:spacing w:val="1"/>
          <w:position w:val="-1"/>
        </w:rPr>
        <w:t>C</w:t>
      </w:r>
      <w:r w:rsidRPr="0053432F">
        <w:rPr>
          <w:i/>
          <w:iCs/>
          <w:position w:val="-1"/>
        </w:rPr>
        <w:t>o</w:t>
      </w:r>
      <w:r w:rsidRPr="0053432F">
        <w:rPr>
          <w:i/>
          <w:iCs/>
          <w:spacing w:val="-5"/>
          <w:position w:val="-1"/>
        </w:rPr>
        <w:t>n</w:t>
      </w:r>
      <w:r w:rsidRPr="0053432F">
        <w:rPr>
          <w:i/>
          <w:iCs/>
          <w:spacing w:val="-6"/>
          <w:position w:val="-1"/>
        </w:rPr>
        <w:t>t</w:t>
      </w:r>
      <w:r w:rsidRPr="0053432F">
        <w:rPr>
          <w:i/>
          <w:iCs/>
          <w:spacing w:val="-4"/>
          <w:position w:val="-1"/>
        </w:rPr>
        <w:t>r</w:t>
      </w:r>
      <w:r w:rsidRPr="0053432F">
        <w:rPr>
          <w:i/>
          <w:iCs/>
          <w:spacing w:val="-5"/>
          <w:position w:val="-1"/>
        </w:rPr>
        <w:t>o</w:t>
      </w:r>
      <w:r w:rsidRPr="0053432F">
        <w:rPr>
          <w:i/>
          <w:iCs/>
          <w:spacing w:val="2"/>
          <w:position w:val="-1"/>
        </w:rPr>
        <w:t>l</w:t>
      </w:r>
      <w:r w:rsidRPr="0053432F">
        <w:rPr>
          <w:i/>
          <w:iCs/>
          <w:spacing w:val="-4"/>
          <w:position w:val="-1"/>
        </w:rPr>
        <w:t xml:space="preserve"> </w:t>
      </w:r>
      <w:r w:rsidRPr="0053432F">
        <w:rPr>
          <w:i/>
          <w:iCs/>
          <w:spacing w:val="-1"/>
          <w:position w:val="-1"/>
        </w:rPr>
        <w:t>E</w:t>
      </w:r>
      <w:r w:rsidRPr="0053432F">
        <w:rPr>
          <w:i/>
          <w:iCs/>
          <w:position w:val="-1"/>
        </w:rPr>
        <w:t>n</w:t>
      </w:r>
      <w:r w:rsidRPr="0053432F">
        <w:rPr>
          <w:i/>
          <w:iCs/>
          <w:spacing w:val="1"/>
          <w:position w:val="-1"/>
        </w:rPr>
        <w:t>e</w:t>
      </w:r>
      <w:r w:rsidRPr="0053432F">
        <w:rPr>
          <w:i/>
          <w:iCs/>
          <w:spacing w:val="-1"/>
          <w:position w:val="-1"/>
        </w:rPr>
        <w:t>r</w:t>
      </w:r>
      <w:r w:rsidRPr="0053432F">
        <w:rPr>
          <w:i/>
          <w:iCs/>
          <w:position w:val="-1"/>
        </w:rPr>
        <w:t>g</w:t>
      </w:r>
      <w:r w:rsidRPr="0053432F">
        <w:rPr>
          <w:i/>
          <w:iCs/>
          <w:spacing w:val="1"/>
          <w:position w:val="-1"/>
        </w:rPr>
        <w:t>y</w:t>
      </w:r>
      <w:r w:rsidRPr="0053432F">
        <w:rPr>
          <w:i/>
          <w:iCs/>
          <w:spacing w:val="-4"/>
          <w:position w:val="-1"/>
        </w:rPr>
        <w:t xml:space="preserve"> </w:t>
      </w:r>
      <w:r w:rsidRPr="0053432F">
        <w:rPr>
          <w:i/>
          <w:iCs/>
          <w:spacing w:val="-2"/>
          <w:position w:val="-1"/>
        </w:rPr>
        <w:t>C</w:t>
      </w:r>
      <w:r w:rsidRPr="0053432F">
        <w:rPr>
          <w:i/>
          <w:iCs/>
          <w:position w:val="-1"/>
        </w:rPr>
        <w:t>on</w:t>
      </w:r>
      <w:r w:rsidRPr="0053432F">
        <w:rPr>
          <w:i/>
          <w:iCs/>
          <w:spacing w:val="-2"/>
          <w:position w:val="-1"/>
        </w:rPr>
        <w:t>s</w:t>
      </w:r>
      <w:r w:rsidRPr="0053432F">
        <w:rPr>
          <w:i/>
          <w:iCs/>
          <w:spacing w:val="1"/>
          <w:position w:val="-1"/>
        </w:rPr>
        <w:t>e</w:t>
      </w:r>
      <w:r w:rsidRPr="0053432F">
        <w:rPr>
          <w:i/>
          <w:iCs/>
          <w:spacing w:val="-4"/>
          <w:position w:val="-1"/>
        </w:rPr>
        <w:t>rv</w:t>
      </w:r>
      <w:r w:rsidRPr="0053432F">
        <w:rPr>
          <w:i/>
          <w:iCs/>
          <w:spacing w:val="1"/>
          <w:position w:val="-1"/>
        </w:rPr>
        <w:t>a</w:t>
      </w:r>
      <w:r w:rsidRPr="0053432F">
        <w:rPr>
          <w:i/>
          <w:iCs/>
          <w:spacing w:val="-4"/>
          <w:position w:val="-1"/>
        </w:rPr>
        <w:t>ti</w:t>
      </w:r>
      <w:r w:rsidRPr="0053432F">
        <w:rPr>
          <w:i/>
          <w:iCs/>
          <w:position w:val="-1"/>
        </w:rPr>
        <w:t>o</w:t>
      </w:r>
      <w:r w:rsidRPr="0053432F">
        <w:rPr>
          <w:i/>
          <w:iCs/>
          <w:spacing w:val="2"/>
          <w:position w:val="-1"/>
        </w:rPr>
        <w:t>n</w:t>
      </w:r>
      <w:r w:rsidRPr="0053432F">
        <w:rPr>
          <w:i/>
          <w:iCs/>
          <w:spacing w:val="-3"/>
          <w:position w:val="-1"/>
        </w:rPr>
        <w:t xml:space="preserve"> M</w:t>
      </w:r>
      <w:r w:rsidRPr="0053432F">
        <w:rPr>
          <w:i/>
          <w:iCs/>
          <w:spacing w:val="1"/>
          <w:position w:val="-1"/>
        </w:rPr>
        <w:t>e</w:t>
      </w:r>
      <w:r w:rsidRPr="0053432F">
        <w:rPr>
          <w:i/>
          <w:iCs/>
          <w:spacing w:val="-1"/>
          <w:position w:val="-1"/>
        </w:rPr>
        <w:t>a</w:t>
      </w:r>
      <w:r w:rsidRPr="0053432F">
        <w:rPr>
          <w:i/>
          <w:iCs/>
          <w:spacing w:val="-3"/>
          <w:position w:val="-1"/>
        </w:rPr>
        <w:t>s</w:t>
      </w:r>
      <w:r w:rsidRPr="0053432F">
        <w:rPr>
          <w:i/>
          <w:iCs/>
          <w:spacing w:val="1"/>
          <w:position w:val="-1"/>
        </w:rPr>
        <w:t>u</w:t>
      </w:r>
      <w:r w:rsidRPr="0053432F">
        <w:rPr>
          <w:i/>
          <w:iCs/>
          <w:spacing w:val="-4"/>
          <w:position w:val="-1"/>
        </w:rPr>
        <w:t>res.</w:t>
      </w:r>
      <w:r w:rsidRPr="0053432F">
        <w:rPr>
          <w:i/>
          <w:iCs/>
          <w:spacing w:val="1"/>
          <w:position w:val="-1"/>
        </w:rPr>
        <w:t xml:space="preserve"> </w:t>
      </w:r>
      <w:r w:rsidRPr="0053432F">
        <w:rPr>
          <w:i/>
          <w:iCs/>
          <w:spacing w:val="-4"/>
          <w:position w:val="-1"/>
        </w:rPr>
        <w:t xml:space="preserve"> </w:t>
      </w:r>
      <w:r w:rsidRPr="0053432F">
        <w:rPr>
          <w:i/>
          <w:iCs/>
          <w:spacing w:val="4"/>
          <w:position w:val="-1"/>
        </w:rPr>
        <w:t>P</w:t>
      </w:r>
      <w:r w:rsidRPr="0053432F">
        <w:rPr>
          <w:i/>
          <w:iCs/>
          <w:spacing w:val="-3"/>
          <w:position w:val="-1"/>
        </w:rPr>
        <w:t>r</w:t>
      </w:r>
      <w:r w:rsidRPr="0053432F">
        <w:rPr>
          <w:i/>
          <w:iCs/>
          <w:spacing w:val="1"/>
          <w:position w:val="-1"/>
        </w:rPr>
        <w:t>e</w:t>
      </w:r>
      <w:r w:rsidRPr="0053432F">
        <w:rPr>
          <w:spacing w:val="4"/>
          <w:position w:val="-1"/>
        </w:rPr>
        <w:t>p</w:t>
      </w:r>
      <w:r w:rsidRPr="0053432F">
        <w:rPr>
          <w:spacing w:val="-3"/>
          <w:position w:val="-1"/>
        </w:rPr>
        <w:t>a</w:t>
      </w:r>
      <w:r w:rsidRPr="0053432F">
        <w:rPr>
          <w:spacing w:val="1"/>
          <w:position w:val="-1"/>
        </w:rPr>
        <w:t>re</w:t>
      </w:r>
      <w:r w:rsidRPr="0053432F">
        <w:rPr>
          <w:spacing w:val="-4"/>
          <w:position w:val="-1"/>
        </w:rPr>
        <w:t>d</w:t>
      </w:r>
      <w:r w:rsidRPr="0053432F">
        <w:rPr>
          <w:spacing w:val="2"/>
          <w:position w:val="-1"/>
        </w:rPr>
        <w:t xml:space="preserve"> </w:t>
      </w:r>
      <w:r w:rsidRPr="0053432F">
        <w:rPr>
          <w:spacing w:val="1"/>
          <w:position w:val="-1"/>
        </w:rPr>
        <w:t>f</w:t>
      </w:r>
      <w:r w:rsidRPr="0053432F">
        <w:rPr>
          <w:position w:val="-1"/>
        </w:rPr>
        <w:t>o</w:t>
      </w:r>
      <w:r w:rsidRPr="0053432F">
        <w:rPr>
          <w:spacing w:val="-1"/>
          <w:position w:val="-1"/>
        </w:rPr>
        <w:t>r</w:t>
      </w:r>
      <w:r w:rsidRPr="0053432F">
        <w:rPr>
          <w:spacing w:val="-3"/>
          <w:position w:val="-1"/>
        </w:rPr>
        <w:t xml:space="preserve"> </w:t>
      </w:r>
      <w:r w:rsidRPr="0053432F">
        <w:rPr>
          <w:spacing w:val="-7"/>
          <w:w w:val="101"/>
          <w:position w:val="-1"/>
        </w:rPr>
        <w:t>N</w:t>
      </w:r>
      <w:r w:rsidRPr="0053432F">
        <w:rPr>
          <w:spacing w:val="4"/>
          <w:w w:val="101"/>
          <w:position w:val="-1"/>
        </w:rPr>
        <w:t>S</w:t>
      </w:r>
      <w:r w:rsidRPr="0053432F">
        <w:rPr>
          <w:spacing w:val="1"/>
          <w:w w:val="101"/>
          <w:position w:val="-1"/>
        </w:rPr>
        <w:t>T</w:t>
      </w:r>
      <w:r w:rsidRPr="0053432F">
        <w:rPr>
          <w:spacing w:val="-7"/>
          <w:w w:val="101"/>
          <w:position w:val="-1"/>
        </w:rPr>
        <w:t>A</w:t>
      </w:r>
      <w:r w:rsidRPr="0053432F">
        <w:rPr>
          <w:spacing w:val="4"/>
          <w:w w:val="101"/>
          <w:position w:val="-1"/>
        </w:rPr>
        <w:t>R</w:t>
      </w:r>
      <w:r w:rsidRPr="0053432F">
        <w:rPr>
          <w:spacing w:val="-1"/>
          <w:w w:val="101"/>
          <w:position w:val="-1"/>
        </w:rPr>
        <w:t xml:space="preserve">. </w:t>
      </w:r>
    </w:p>
    <w:p w:rsidR="00B20792" w:rsidRPr="00275016" w:rsidRDefault="00B20792" w:rsidP="00B20792">
      <w:pPr>
        <w:pStyle w:val="source1"/>
      </w:pPr>
      <w:r w:rsidRPr="00A719FA">
        <w:rPr>
          <w:spacing w:val="-2"/>
          <w:w w:val="101"/>
          <w:position w:val="-1"/>
        </w:rPr>
        <w:t>E</w:t>
      </w:r>
      <w:r w:rsidRPr="00A719FA">
        <w:rPr>
          <w:spacing w:val="-9"/>
          <w:w w:val="101"/>
          <w:position w:val="-1"/>
        </w:rPr>
        <w:t>s</w:t>
      </w:r>
      <w:r w:rsidRPr="00275016">
        <w:rPr>
          <w:spacing w:val="2"/>
          <w:position w:val="-1"/>
        </w:rPr>
        <w:t>t</w:t>
      </w:r>
      <w:r w:rsidRPr="00275016">
        <w:rPr>
          <w:spacing w:val="7"/>
          <w:position w:val="-1"/>
        </w:rPr>
        <w:t>i</w:t>
      </w:r>
      <w:r w:rsidRPr="00275016">
        <w:rPr>
          <w:spacing w:val="-12"/>
          <w:position w:val="-1"/>
        </w:rPr>
        <w:t>m</w:t>
      </w:r>
      <w:r w:rsidRPr="00275016">
        <w:rPr>
          <w:spacing w:val="1"/>
          <w:position w:val="-1"/>
        </w:rPr>
        <w:t>a</w:t>
      </w:r>
      <w:r w:rsidRPr="00275016">
        <w:rPr>
          <w:spacing w:val="2"/>
          <w:position w:val="-1"/>
        </w:rPr>
        <w:t>t</w:t>
      </w:r>
      <w:r w:rsidRPr="00275016">
        <w:rPr>
          <w:spacing w:val="1"/>
          <w:position w:val="-1"/>
        </w:rPr>
        <w:t>e</w:t>
      </w:r>
      <w:r w:rsidRPr="00275016">
        <w:rPr>
          <w:position w:val="-1"/>
        </w:rPr>
        <w:t>d</w:t>
      </w:r>
      <w:r w:rsidRPr="00275016">
        <w:rPr>
          <w:spacing w:val="-1"/>
          <w:position w:val="-1"/>
        </w:rPr>
        <w:t xml:space="preserve"> </w:t>
      </w:r>
      <w:r w:rsidRPr="00275016">
        <w:rPr>
          <w:spacing w:val="1"/>
          <w:position w:val="-1"/>
        </w:rPr>
        <w:t>a</w:t>
      </w:r>
      <w:r w:rsidRPr="00275016">
        <w:rPr>
          <w:spacing w:val="-5"/>
          <w:position w:val="-1"/>
        </w:rPr>
        <w:t>v</w:t>
      </w:r>
      <w:r w:rsidRPr="00275016">
        <w:rPr>
          <w:spacing w:val="1"/>
          <w:position w:val="-1"/>
        </w:rPr>
        <w:t>e</w:t>
      </w:r>
      <w:r w:rsidRPr="00275016">
        <w:rPr>
          <w:spacing w:val="2"/>
          <w:position w:val="-1"/>
        </w:rPr>
        <w:t>r</w:t>
      </w:r>
      <w:r w:rsidRPr="00275016">
        <w:rPr>
          <w:spacing w:val="1"/>
          <w:position w:val="-1"/>
        </w:rPr>
        <w:t>a</w:t>
      </w:r>
      <w:r w:rsidRPr="00275016">
        <w:rPr>
          <w:spacing w:val="-5"/>
          <w:position w:val="-1"/>
        </w:rPr>
        <w:t>g</w:t>
      </w:r>
      <w:r w:rsidRPr="00275016">
        <w:rPr>
          <w:position w:val="-1"/>
        </w:rPr>
        <w:t xml:space="preserve">e </w:t>
      </w:r>
      <w:r w:rsidRPr="00275016">
        <w:rPr>
          <w:spacing w:val="2"/>
          <w:position w:val="-1"/>
        </w:rPr>
        <w:t>r</w:t>
      </w:r>
      <w:r w:rsidRPr="00275016">
        <w:rPr>
          <w:spacing w:val="1"/>
          <w:position w:val="-1"/>
        </w:rPr>
        <w:t>e</w:t>
      </w:r>
      <w:r w:rsidRPr="00275016">
        <w:rPr>
          <w:spacing w:val="-3"/>
          <w:position w:val="-1"/>
        </w:rPr>
        <w:t>fr</w:t>
      </w:r>
      <w:r w:rsidRPr="00275016">
        <w:rPr>
          <w:spacing w:val="2"/>
          <w:position w:val="-1"/>
        </w:rPr>
        <w:t>i</w:t>
      </w:r>
      <w:r w:rsidRPr="00275016">
        <w:rPr>
          <w:spacing w:val="-5"/>
          <w:position w:val="-1"/>
        </w:rPr>
        <w:t>g</w:t>
      </w:r>
      <w:r w:rsidRPr="00275016">
        <w:rPr>
          <w:spacing w:val="1"/>
          <w:position w:val="-1"/>
        </w:rPr>
        <w:t>e</w:t>
      </w:r>
      <w:r w:rsidRPr="00275016">
        <w:rPr>
          <w:spacing w:val="2"/>
          <w:position w:val="-1"/>
        </w:rPr>
        <w:t>r</w:t>
      </w:r>
      <w:r w:rsidRPr="00275016">
        <w:rPr>
          <w:spacing w:val="-4"/>
          <w:position w:val="-1"/>
        </w:rPr>
        <w:t>a</w:t>
      </w:r>
      <w:r w:rsidRPr="00275016">
        <w:rPr>
          <w:spacing w:val="-3"/>
          <w:position w:val="-1"/>
        </w:rPr>
        <w:t>t</w:t>
      </w:r>
      <w:r w:rsidRPr="00275016">
        <w:rPr>
          <w:spacing w:val="2"/>
          <w:position w:val="-1"/>
        </w:rPr>
        <w:t>i</w:t>
      </w:r>
      <w:r w:rsidRPr="00275016">
        <w:rPr>
          <w:position w:val="-1"/>
        </w:rPr>
        <w:t>on</w:t>
      </w:r>
      <w:r w:rsidRPr="00275016">
        <w:rPr>
          <w:spacing w:val="-1"/>
          <w:position w:val="-1"/>
        </w:rPr>
        <w:t xml:space="preserve"> </w:t>
      </w:r>
      <w:r w:rsidRPr="00275016">
        <w:rPr>
          <w:spacing w:val="1"/>
          <w:position w:val="-1"/>
        </w:rPr>
        <w:t>e</w:t>
      </w:r>
      <w:r w:rsidRPr="00275016">
        <w:rPr>
          <w:spacing w:val="-3"/>
          <w:position w:val="-1"/>
        </w:rPr>
        <w:t>ff</w:t>
      </w:r>
      <w:r w:rsidRPr="00275016">
        <w:rPr>
          <w:spacing w:val="2"/>
          <w:position w:val="-1"/>
        </w:rPr>
        <w:t>i</w:t>
      </w:r>
      <w:r w:rsidRPr="00275016">
        <w:rPr>
          <w:spacing w:val="-4"/>
          <w:position w:val="-1"/>
        </w:rPr>
        <w:t>c</w:t>
      </w:r>
      <w:r w:rsidRPr="00275016">
        <w:rPr>
          <w:spacing w:val="2"/>
          <w:position w:val="-1"/>
        </w:rPr>
        <w:t>i</w:t>
      </w:r>
      <w:r w:rsidRPr="00275016">
        <w:rPr>
          <w:spacing w:val="1"/>
          <w:position w:val="-1"/>
        </w:rPr>
        <w:t>e</w:t>
      </w:r>
      <w:r w:rsidRPr="00275016">
        <w:rPr>
          <w:spacing w:val="-5"/>
          <w:position w:val="-1"/>
        </w:rPr>
        <w:t>n</w:t>
      </w:r>
      <w:r w:rsidRPr="00275016">
        <w:rPr>
          <w:spacing w:val="1"/>
          <w:position w:val="-1"/>
        </w:rPr>
        <w:t>c</w:t>
      </w:r>
      <w:r w:rsidRPr="00275016">
        <w:rPr>
          <w:position w:val="-1"/>
        </w:rPr>
        <w:t>y</w:t>
      </w:r>
      <w:r w:rsidRPr="00275016">
        <w:rPr>
          <w:spacing w:val="-1"/>
          <w:position w:val="-1"/>
        </w:rPr>
        <w:t xml:space="preserve"> </w:t>
      </w:r>
      <w:r w:rsidRPr="00275016">
        <w:rPr>
          <w:spacing w:val="-3"/>
          <w:position w:val="-1"/>
        </w:rPr>
        <w:t>f</w:t>
      </w:r>
      <w:r w:rsidRPr="00275016">
        <w:rPr>
          <w:position w:val="-1"/>
        </w:rPr>
        <w:t>or</w:t>
      </w:r>
      <w:r w:rsidRPr="00275016">
        <w:rPr>
          <w:spacing w:val="6"/>
          <w:position w:val="-1"/>
        </w:rPr>
        <w:t xml:space="preserve"> </w:t>
      </w:r>
      <w:r w:rsidRPr="00275016">
        <w:rPr>
          <w:spacing w:val="-4"/>
          <w:position w:val="-1"/>
        </w:rPr>
        <w:t>s</w:t>
      </w:r>
      <w:r w:rsidRPr="00275016">
        <w:rPr>
          <w:spacing w:val="-12"/>
          <w:position w:val="-1"/>
        </w:rPr>
        <w:t>m</w:t>
      </w:r>
      <w:r w:rsidRPr="00275016">
        <w:rPr>
          <w:spacing w:val="1"/>
          <w:position w:val="-1"/>
        </w:rPr>
        <w:t>a</w:t>
      </w:r>
      <w:r w:rsidRPr="00275016">
        <w:rPr>
          <w:spacing w:val="2"/>
          <w:position w:val="-1"/>
        </w:rPr>
        <w:t>l</w:t>
      </w:r>
      <w:r w:rsidRPr="00275016">
        <w:rPr>
          <w:position w:val="-1"/>
        </w:rPr>
        <w:t>l</w:t>
      </w:r>
      <w:r w:rsidRPr="00275016">
        <w:rPr>
          <w:spacing w:val="6"/>
          <w:position w:val="-1"/>
        </w:rPr>
        <w:t xml:space="preserve"> </w:t>
      </w:r>
      <w:r w:rsidRPr="00275016">
        <w:rPr>
          <w:position w:val="-1"/>
        </w:rPr>
        <w:t>b</w:t>
      </w:r>
      <w:r w:rsidRPr="00275016">
        <w:rPr>
          <w:spacing w:val="-5"/>
          <w:position w:val="-1"/>
        </w:rPr>
        <w:t>u</w:t>
      </w:r>
      <w:r w:rsidRPr="00275016">
        <w:rPr>
          <w:spacing w:val="-9"/>
          <w:position w:val="-1"/>
        </w:rPr>
        <w:t>s</w:t>
      </w:r>
      <w:r w:rsidRPr="00275016">
        <w:rPr>
          <w:spacing w:val="7"/>
          <w:position w:val="-1"/>
        </w:rPr>
        <w:t>i</w:t>
      </w:r>
      <w:r w:rsidRPr="00275016">
        <w:rPr>
          <w:spacing w:val="-5"/>
          <w:position w:val="-1"/>
        </w:rPr>
        <w:t>n</w:t>
      </w:r>
      <w:r w:rsidRPr="00275016">
        <w:rPr>
          <w:spacing w:val="5"/>
          <w:position w:val="-1"/>
        </w:rPr>
        <w:t>e</w:t>
      </w:r>
      <w:r w:rsidRPr="00275016">
        <w:rPr>
          <w:spacing w:val="-4"/>
          <w:position w:val="-1"/>
        </w:rPr>
        <w:t>s</w:t>
      </w:r>
      <w:r w:rsidRPr="00275016">
        <w:rPr>
          <w:position w:val="-1"/>
        </w:rPr>
        <w:t>s</w:t>
      </w:r>
      <w:r w:rsidRPr="00275016">
        <w:rPr>
          <w:spacing w:val="-5"/>
          <w:position w:val="-1"/>
        </w:rPr>
        <w:t xml:space="preserve"> </w:t>
      </w:r>
      <w:r w:rsidRPr="00275016">
        <w:rPr>
          <w:spacing w:val="1"/>
          <w:w w:val="101"/>
          <w:position w:val="-1"/>
        </w:rPr>
        <w:t>c</w:t>
      </w:r>
      <w:r w:rsidRPr="00275016">
        <w:rPr>
          <w:w w:val="101"/>
          <w:position w:val="-1"/>
        </w:rPr>
        <w:t>u</w:t>
      </w:r>
      <w:r w:rsidRPr="00275016">
        <w:rPr>
          <w:spacing w:val="-9"/>
          <w:w w:val="101"/>
          <w:position w:val="-1"/>
        </w:rPr>
        <w:t>s</w:t>
      </w:r>
      <w:r w:rsidRPr="00275016">
        <w:rPr>
          <w:spacing w:val="2"/>
          <w:w w:val="101"/>
          <w:position w:val="-1"/>
        </w:rPr>
        <w:t>t</w:t>
      </w:r>
      <w:r w:rsidRPr="00275016">
        <w:rPr>
          <w:spacing w:val="5"/>
          <w:w w:val="101"/>
          <w:position w:val="-1"/>
        </w:rPr>
        <w:t>o</w:t>
      </w:r>
      <w:r w:rsidRPr="00275016">
        <w:rPr>
          <w:spacing w:val="-8"/>
          <w:w w:val="101"/>
          <w:position w:val="-1"/>
        </w:rPr>
        <w:t>m</w:t>
      </w:r>
      <w:r w:rsidRPr="00275016">
        <w:rPr>
          <w:spacing w:val="1"/>
          <w:w w:val="101"/>
          <w:position w:val="-1"/>
        </w:rPr>
        <w:t>e</w:t>
      </w:r>
      <w:r w:rsidRPr="00275016">
        <w:rPr>
          <w:spacing w:val="6"/>
          <w:w w:val="101"/>
          <w:position w:val="-1"/>
        </w:rPr>
        <w:t>r</w:t>
      </w:r>
      <w:r w:rsidRPr="00275016">
        <w:rPr>
          <w:spacing w:val="-9"/>
          <w:w w:val="101"/>
          <w:position w:val="-1"/>
        </w:rPr>
        <w:t>s</w:t>
      </w:r>
      <w:r w:rsidRPr="00275016">
        <w:rPr>
          <w:w w:val="101"/>
          <w:position w:val="-1"/>
        </w:rPr>
        <w:t xml:space="preserve">, Massachusetts </w:t>
      </w:r>
      <w:r>
        <w:rPr>
          <w:w w:val="101"/>
          <w:position w:val="-1"/>
        </w:rPr>
        <w:t>Technical Reference Manual</w:t>
      </w:r>
    </w:p>
    <w:p w:rsidR="00B20792" w:rsidRPr="00275016" w:rsidRDefault="00B20792" w:rsidP="00B20792">
      <w:pPr>
        <w:pStyle w:val="source1"/>
      </w:pPr>
      <w:r w:rsidRPr="00275016">
        <w:rPr>
          <w:spacing w:val="-1"/>
        </w:rPr>
        <w:t>T</w:t>
      </w:r>
      <w:r w:rsidRPr="00275016">
        <w:rPr>
          <w:spacing w:val="-5"/>
        </w:rPr>
        <w:t>h</w:t>
      </w:r>
      <w:r w:rsidRPr="00275016">
        <w:rPr>
          <w:spacing w:val="2"/>
        </w:rPr>
        <w:t>i</w:t>
      </w:r>
      <w:r w:rsidRPr="00275016">
        <w:t>s</w:t>
      </w:r>
      <w:r w:rsidRPr="00275016">
        <w:rPr>
          <w:spacing w:val="-5"/>
        </w:rPr>
        <w:t xml:space="preserve"> v</w:t>
      </w:r>
      <w:r w:rsidRPr="00275016">
        <w:rPr>
          <w:spacing w:val="1"/>
        </w:rPr>
        <w:t>a</w:t>
      </w:r>
      <w:r w:rsidRPr="00275016">
        <w:rPr>
          <w:spacing w:val="2"/>
        </w:rPr>
        <w:t>l</w:t>
      </w:r>
      <w:r w:rsidRPr="00275016">
        <w:rPr>
          <w:spacing w:val="-5"/>
        </w:rPr>
        <w:t>u</w:t>
      </w:r>
      <w:r w:rsidRPr="00275016">
        <w:t>e</w:t>
      </w:r>
      <w:r w:rsidRPr="00275016">
        <w:rPr>
          <w:spacing w:val="5"/>
        </w:rPr>
        <w:t xml:space="preserve"> </w:t>
      </w:r>
      <w:r w:rsidRPr="00275016">
        <w:rPr>
          <w:spacing w:val="2"/>
        </w:rPr>
        <w:t>i</w:t>
      </w:r>
      <w:r w:rsidRPr="00275016">
        <w:t>s</w:t>
      </w:r>
      <w:r w:rsidRPr="00275016">
        <w:rPr>
          <w:spacing w:val="-5"/>
        </w:rPr>
        <w:t xml:space="preserve"> </w:t>
      </w:r>
      <w:r w:rsidRPr="00275016">
        <w:rPr>
          <w:spacing w:val="1"/>
        </w:rPr>
        <w:t>a</w:t>
      </w:r>
      <w:r w:rsidRPr="00275016">
        <w:t>n</w:t>
      </w:r>
      <w:r w:rsidRPr="00275016">
        <w:rPr>
          <w:spacing w:val="-1"/>
        </w:rPr>
        <w:t xml:space="preserve"> </w:t>
      </w:r>
      <w:r w:rsidRPr="00275016">
        <w:rPr>
          <w:spacing w:val="1"/>
        </w:rPr>
        <w:t>e</w:t>
      </w:r>
      <w:r w:rsidRPr="00275016">
        <w:rPr>
          <w:spacing w:val="-9"/>
        </w:rPr>
        <w:t>s</w:t>
      </w:r>
      <w:r w:rsidRPr="00275016">
        <w:rPr>
          <w:spacing w:val="2"/>
        </w:rPr>
        <w:t>t</w:t>
      </w:r>
      <w:r w:rsidRPr="00275016">
        <w:rPr>
          <w:spacing w:val="7"/>
        </w:rPr>
        <w:t>i</w:t>
      </w:r>
      <w:r w:rsidRPr="00275016">
        <w:rPr>
          <w:spacing w:val="-12"/>
        </w:rPr>
        <w:t>m</w:t>
      </w:r>
      <w:r w:rsidRPr="00275016">
        <w:rPr>
          <w:spacing w:val="1"/>
        </w:rPr>
        <w:t>a</w:t>
      </w:r>
      <w:r w:rsidRPr="00275016">
        <w:rPr>
          <w:spacing w:val="2"/>
        </w:rPr>
        <w:t>t</w:t>
      </w:r>
      <w:r w:rsidRPr="00275016">
        <w:t>e</w:t>
      </w:r>
      <w:r w:rsidRPr="00275016">
        <w:rPr>
          <w:spacing w:val="5"/>
        </w:rPr>
        <w:t xml:space="preserve"> </w:t>
      </w:r>
      <w:r w:rsidRPr="00275016">
        <w:t xml:space="preserve">by </w:t>
      </w:r>
      <w:r w:rsidRPr="00275016">
        <w:rPr>
          <w:spacing w:val="-2"/>
        </w:rPr>
        <w:t>NR</w:t>
      </w:r>
      <w:r w:rsidRPr="00275016">
        <w:t xml:space="preserve">M </w:t>
      </w:r>
      <w:r w:rsidRPr="00275016">
        <w:rPr>
          <w:spacing w:val="-5"/>
        </w:rPr>
        <w:t>b</w:t>
      </w:r>
      <w:r w:rsidRPr="00275016">
        <w:rPr>
          <w:spacing w:val="1"/>
        </w:rPr>
        <w:t>a</w:t>
      </w:r>
      <w:r w:rsidRPr="00275016">
        <w:rPr>
          <w:spacing w:val="-9"/>
        </w:rPr>
        <w:t>s</w:t>
      </w:r>
      <w:r w:rsidRPr="00275016">
        <w:rPr>
          <w:spacing w:val="1"/>
        </w:rPr>
        <w:t>e</w:t>
      </w:r>
      <w:r w:rsidRPr="00275016">
        <w:t>d</w:t>
      </w:r>
      <w:r w:rsidRPr="00275016">
        <w:rPr>
          <w:spacing w:val="4"/>
        </w:rPr>
        <w:t xml:space="preserve"> </w:t>
      </w:r>
      <w:r w:rsidRPr="00275016">
        <w:t xml:space="preserve">on </w:t>
      </w:r>
      <w:r w:rsidRPr="00275016">
        <w:rPr>
          <w:spacing w:val="-5"/>
        </w:rPr>
        <w:t>h</w:t>
      </w:r>
      <w:r w:rsidRPr="00275016">
        <w:t>u</w:t>
      </w:r>
      <w:r w:rsidRPr="00275016">
        <w:rPr>
          <w:spacing w:val="-5"/>
        </w:rPr>
        <w:t>n</w:t>
      </w:r>
      <w:r w:rsidRPr="00275016">
        <w:t>d</w:t>
      </w:r>
      <w:r w:rsidRPr="00275016">
        <w:rPr>
          <w:spacing w:val="2"/>
        </w:rPr>
        <w:t>r</w:t>
      </w:r>
      <w:r w:rsidRPr="00275016">
        <w:rPr>
          <w:spacing w:val="1"/>
        </w:rPr>
        <w:t>e</w:t>
      </w:r>
      <w:r w:rsidRPr="00275016">
        <w:t>ds</w:t>
      </w:r>
      <w:r w:rsidRPr="00275016">
        <w:rPr>
          <w:spacing w:val="-5"/>
        </w:rPr>
        <w:t xml:space="preserve"> </w:t>
      </w:r>
      <w:r w:rsidRPr="00275016">
        <w:t>of</w:t>
      </w:r>
      <w:r w:rsidRPr="00275016">
        <w:rPr>
          <w:spacing w:val="2"/>
        </w:rPr>
        <w:t xml:space="preserve"> </w:t>
      </w:r>
      <w:r w:rsidRPr="00275016">
        <w:t>do</w:t>
      </w:r>
      <w:r w:rsidRPr="00275016">
        <w:rPr>
          <w:spacing w:val="-2"/>
        </w:rPr>
        <w:t>w</w:t>
      </w:r>
      <w:r w:rsidRPr="00275016">
        <w:rPr>
          <w:spacing w:val="-5"/>
        </w:rPr>
        <w:t>n</w:t>
      </w:r>
      <w:r w:rsidRPr="00275016">
        <w:rPr>
          <w:spacing w:val="2"/>
        </w:rPr>
        <w:t>l</w:t>
      </w:r>
      <w:r w:rsidRPr="00275016">
        <w:t>o</w:t>
      </w:r>
      <w:r w:rsidRPr="00275016">
        <w:rPr>
          <w:spacing w:val="1"/>
        </w:rPr>
        <w:t>a</w:t>
      </w:r>
      <w:r w:rsidRPr="00275016">
        <w:t>ds</w:t>
      </w:r>
      <w:r w:rsidRPr="00275016">
        <w:rPr>
          <w:spacing w:val="1"/>
        </w:rPr>
        <w:t xml:space="preserve"> </w:t>
      </w:r>
      <w:r w:rsidRPr="00275016">
        <w:t>of</w:t>
      </w:r>
      <w:r w:rsidRPr="00275016">
        <w:rPr>
          <w:spacing w:val="2"/>
        </w:rPr>
        <w:t xml:space="preserve"> </w:t>
      </w:r>
      <w:r w:rsidRPr="00275016">
        <w:rPr>
          <w:spacing w:val="-5"/>
        </w:rPr>
        <w:t>h</w:t>
      </w:r>
      <w:r w:rsidRPr="00275016">
        <w:t>o</w:t>
      </w:r>
      <w:r w:rsidRPr="00275016">
        <w:rPr>
          <w:spacing w:val="-5"/>
        </w:rPr>
        <w:t>u</w:t>
      </w:r>
      <w:r w:rsidRPr="00275016">
        <w:rPr>
          <w:spacing w:val="2"/>
        </w:rPr>
        <w:t>r</w:t>
      </w:r>
      <w:r w:rsidRPr="00275016">
        <w:t>s</w:t>
      </w:r>
      <w:r w:rsidRPr="00275016">
        <w:rPr>
          <w:spacing w:val="-5"/>
        </w:rPr>
        <w:t xml:space="preserve"> </w:t>
      </w:r>
      <w:r w:rsidRPr="00275016">
        <w:t>of</w:t>
      </w:r>
      <w:r w:rsidRPr="00275016">
        <w:rPr>
          <w:spacing w:val="2"/>
        </w:rPr>
        <w:t xml:space="preserve"> </w:t>
      </w:r>
      <w:r w:rsidRPr="00275016">
        <w:t>u</w:t>
      </w:r>
      <w:r w:rsidRPr="00275016">
        <w:rPr>
          <w:spacing w:val="-9"/>
        </w:rPr>
        <w:t>s</w:t>
      </w:r>
      <w:r w:rsidRPr="00275016">
        <w:t>e</w:t>
      </w:r>
      <w:r w:rsidRPr="00275016">
        <w:rPr>
          <w:spacing w:val="5"/>
        </w:rPr>
        <w:t xml:space="preserve"> </w:t>
      </w:r>
      <w:r w:rsidRPr="00275016">
        <w:t>d</w:t>
      </w:r>
      <w:r w:rsidRPr="00275016">
        <w:rPr>
          <w:spacing w:val="1"/>
        </w:rPr>
        <w:t>a</w:t>
      </w:r>
      <w:r w:rsidRPr="00275016">
        <w:rPr>
          <w:spacing w:val="2"/>
        </w:rPr>
        <w:t>t</w:t>
      </w:r>
      <w:r w:rsidRPr="00275016">
        <w:t xml:space="preserve">a </w:t>
      </w:r>
      <w:r w:rsidRPr="00275016">
        <w:rPr>
          <w:spacing w:val="-3"/>
        </w:rPr>
        <w:t>f</w:t>
      </w:r>
      <w:r>
        <w:t>ro</w:t>
      </w:r>
      <w:r w:rsidRPr="00275016">
        <w:t>m</w:t>
      </w:r>
      <w:r w:rsidRPr="00275016">
        <w:rPr>
          <w:spacing w:val="-8"/>
        </w:rPr>
        <w:t xml:space="preserve"> </w:t>
      </w:r>
      <w:r w:rsidRPr="00275016">
        <w:rPr>
          <w:spacing w:val="2"/>
        </w:rPr>
        <w:t>t</w:t>
      </w:r>
      <w:r w:rsidRPr="00275016">
        <w:rPr>
          <w:spacing w:val="-5"/>
        </w:rPr>
        <w:t>h</w:t>
      </w:r>
      <w:r w:rsidRPr="00275016">
        <w:t>e</w:t>
      </w:r>
      <w:r w:rsidRPr="00275016">
        <w:rPr>
          <w:spacing w:val="5"/>
        </w:rPr>
        <w:t xml:space="preserve"> </w:t>
      </w:r>
      <w:r w:rsidRPr="00275016">
        <w:rPr>
          <w:spacing w:val="1"/>
          <w:w w:val="101"/>
        </w:rPr>
        <w:t>e</w:t>
      </w:r>
      <w:r w:rsidRPr="00275016">
        <w:rPr>
          <w:spacing w:val="2"/>
          <w:w w:val="101"/>
        </w:rPr>
        <w:t>l</w:t>
      </w:r>
      <w:r w:rsidRPr="00275016">
        <w:rPr>
          <w:spacing w:val="-4"/>
          <w:w w:val="101"/>
        </w:rPr>
        <w:t>e</w:t>
      </w:r>
      <w:r w:rsidRPr="00275016">
        <w:rPr>
          <w:spacing w:val="1"/>
          <w:w w:val="101"/>
        </w:rPr>
        <w:t>c</w:t>
      </w:r>
      <w:r w:rsidRPr="00275016">
        <w:rPr>
          <w:spacing w:val="-3"/>
          <w:w w:val="101"/>
        </w:rPr>
        <w:t>t</w:t>
      </w:r>
      <w:r w:rsidRPr="00275016">
        <w:rPr>
          <w:spacing w:val="2"/>
          <w:w w:val="101"/>
        </w:rPr>
        <w:t>r</w:t>
      </w:r>
      <w:r w:rsidRPr="00275016">
        <w:rPr>
          <w:w w:val="101"/>
        </w:rPr>
        <w:t>o</w:t>
      </w:r>
      <w:r w:rsidRPr="00275016">
        <w:rPr>
          <w:spacing w:val="-5"/>
          <w:w w:val="101"/>
        </w:rPr>
        <w:t>n</w:t>
      </w:r>
      <w:r w:rsidRPr="00275016">
        <w:rPr>
          <w:spacing w:val="2"/>
          <w:w w:val="101"/>
        </w:rPr>
        <w:t>i</w:t>
      </w:r>
      <w:r w:rsidRPr="00275016">
        <w:rPr>
          <w:w w:val="101"/>
        </w:rPr>
        <w:t>c</w:t>
      </w:r>
      <w:r w:rsidRPr="00275016">
        <w:rPr>
          <w:spacing w:val="-1"/>
        </w:rPr>
        <w:t xml:space="preserve"> </w:t>
      </w:r>
      <w:r w:rsidRPr="00275016">
        <w:rPr>
          <w:spacing w:val="-4"/>
          <w:w w:val="101"/>
        </w:rPr>
        <w:t>c</w:t>
      </w:r>
      <w:r w:rsidRPr="00275016">
        <w:rPr>
          <w:w w:val="101"/>
        </w:rPr>
        <w:t>o</w:t>
      </w:r>
      <w:r w:rsidRPr="00275016">
        <w:rPr>
          <w:spacing w:val="-5"/>
          <w:w w:val="101"/>
        </w:rPr>
        <w:t>n</w:t>
      </w:r>
      <w:r w:rsidRPr="00275016">
        <w:rPr>
          <w:spacing w:val="2"/>
          <w:w w:val="101"/>
        </w:rPr>
        <w:t>tr</w:t>
      </w:r>
      <w:r w:rsidRPr="00275016">
        <w:rPr>
          <w:spacing w:val="-5"/>
          <w:w w:val="101"/>
        </w:rPr>
        <w:t>o</w:t>
      </w:r>
      <w:r w:rsidRPr="00275016">
        <w:rPr>
          <w:spacing w:val="2"/>
          <w:w w:val="101"/>
        </w:rPr>
        <w:t>l</w:t>
      </w:r>
      <w:r w:rsidRPr="00275016">
        <w:rPr>
          <w:spacing w:val="-3"/>
          <w:w w:val="101"/>
        </w:rPr>
        <w:t>l</w:t>
      </w:r>
      <w:r w:rsidRPr="00275016">
        <w:rPr>
          <w:spacing w:val="1"/>
          <w:w w:val="101"/>
        </w:rPr>
        <w:t>e</w:t>
      </w:r>
      <w:r w:rsidRPr="00275016">
        <w:rPr>
          <w:spacing w:val="-3"/>
          <w:w w:val="101"/>
        </w:rPr>
        <w:t>r</w:t>
      </w:r>
    </w:p>
    <w:p w:rsidR="00B20792" w:rsidRDefault="00B20792" w:rsidP="00871FA2">
      <w:pPr>
        <w:pStyle w:val="Heading3"/>
      </w:pPr>
      <w:r>
        <w:t>Measure Life</w:t>
      </w:r>
    </w:p>
    <w:p w:rsidR="00B20792" w:rsidRDefault="00B20792" w:rsidP="00B20792">
      <w:pPr>
        <w:rPr>
          <w:rFonts w:cs="Arial"/>
        </w:rPr>
      </w:pPr>
      <w:r>
        <w:rPr>
          <w:rFonts w:eastAsia="Calibri"/>
        </w:rPr>
        <w:t xml:space="preserve">The expected measure life is </w:t>
      </w:r>
      <w:r w:rsidRPr="00831F02">
        <w:rPr>
          <w:rFonts w:eastAsia="Calibri"/>
        </w:rPr>
        <w:t>10 years</w:t>
      </w:r>
      <w:r w:rsidRPr="00831F02">
        <w:rPr>
          <w:rStyle w:val="FootnoteReference"/>
          <w:rFonts w:ascii="Times-Roman" w:eastAsia="Calibri" w:hAnsi="Times-Roman"/>
          <w:sz w:val="22"/>
          <w:szCs w:val="22"/>
        </w:rPr>
        <w:footnoteReference w:id="229"/>
      </w:r>
      <w:r>
        <w:rPr>
          <w:rFonts w:eastAsia="Calibri"/>
        </w:rPr>
        <w:t xml:space="preserve">. </w:t>
      </w:r>
    </w:p>
    <w:p w:rsidR="00B20792" w:rsidRPr="008F3946" w:rsidRDefault="00B20792" w:rsidP="00B20792">
      <w:pPr>
        <w:pStyle w:val="Heading2"/>
        <w:rPr>
          <w:rFonts w:cs="Arial"/>
        </w:rPr>
      </w:pPr>
      <w:r>
        <w:br w:type="page"/>
      </w:r>
      <w:bookmarkStart w:id="1290" w:name="_Toc310875466"/>
      <w:r>
        <w:rPr>
          <w:rFonts w:cs="Arial"/>
        </w:rPr>
        <w:t xml:space="preserve">ENERGY STAR </w:t>
      </w:r>
      <w:r w:rsidRPr="001B7A30">
        <w:rPr>
          <w:rFonts w:cs="Arial"/>
        </w:rPr>
        <w:t>Clothes Washer</w:t>
      </w:r>
      <w:bookmarkEnd w:id="1290"/>
      <w:r w:rsidRPr="001B7A30">
        <w:rPr>
          <w:rFonts w:cs="Arial"/>
        </w:rPr>
        <w:t xml:space="preserve">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5440"/>
      </w:tblGrid>
      <w:tr w:rsidR="00B20792" w:rsidRPr="00DC57D4" w:rsidTr="00B20792">
        <w:trPr>
          <w:jc w:val="center"/>
        </w:trPr>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B20792" w:rsidRPr="001D6512" w:rsidRDefault="00B20792" w:rsidP="00B20792">
            <w:pPr>
              <w:pStyle w:val="TableCell"/>
              <w:spacing w:before="60" w:after="60"/>
              <w:rPr>
                <w:b/>
              </w:rPr>
            </w:pPr>
            <w:r w:rsidRPr="001D6512">
              <w:rPr>
                <w:b/>
              </w:rPr>
              <w:t>Measure Name</w:t>
            </w:r>
          </w:p>
        </w:tc>
        <w:tc>
          <w:tcPr>
            <w:tcW w:w="459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B20792" w:rsidRPr="001D6512" w:rsidRDefault="00B20792" w:rsidP="00B20792">
            <w:pPr>
              <w:pStyle w:val="TableCell"/>
              <w:spacing w:before="60" w:after="60"/>
              <w:rPr>
                <w:b/>
              </w:rPr>
            </w:pPr>
            <w:r w:rsidRPr="001D6512">
              <w:rPr>
                <w:b/>
              </w:rPr>
              <w:t>Clothes Washer</w:t>
            </w:r>
          </w:p>
        </w:tc>
      </w:tr>
      <w:tr w:rsidR="00B20792" w:rsidRPr="00DC57D4" w:rsidTr="00B20792">
        <w:trPr>
          <w:jc w:val="center"/>
        </w:trPr>
        <w:tc>
          <w:tcPr>
            <w:tcW w:w="2700" w:type="dxa"/>
          </w:tcPr>
          <w:p w:rsidR="00B20792" w:rsidRPr="001D6512" w:rsidRDefault="00B20792" w:rsidP="00B20792">
            <w:pPr>
              <w:pStyle w:val="TableCell"/>
              <w:spacing w:before="60" w:after="60"/>
            </w:pPr>
            <w:r w:rsidRPr="001D6512">
              <w:t>Target Sector</w:t>
            </w:r>
          </w:p>
        </w:tc>
        <w:tc>
          <w:tcPr>
            <w:tcW w:w="4590" w:type="dxa"/>
          </w:tcPr>
          <w:p w:rsidR="00B20792" w:rsidRPr="001D6512" w:rsidRDefault="00B20792" w:rsidP="00B20792">
            <w:pPr>
              <w:pStyle w:val="TableCell"/>
              <w:spacing w:before="60" w:after="60"/>
            </w:pPr>
            <w:r w:rsidRPr="001D6512">
              <w:t>Multifamily Common Area Laundry</w:t>
            </w:r>
          </w:p>
        </w:tc>
      </w:tr>
      <w:tr w:rsidR="00B20792" w:rsidRPr="00DC57D4" w:rsidTr="00B20792">
        <w:trPr>
          <w:jc w:val="center"/>
        </w:trPr>
        <w:tc>
          <w:tcPr>
            <w:tcW w:w="2700" w:type="dxa"/>
          </w:tcPr>
          <w:p w:rsidR="00B20792" w:rsidRPr="001D6512" w:rsidRDefault="00B20792" w:rsidP="00B20792">
            <w:pPr>
              <w:pStyle w:val="TableCell"/>
              <w:spacing w:before="60" w:after="60"/>
            </w:pPr>
            <w:r w:rsidRPr="001D6512">
              <w:t>Measure Unit</w:t>
            </w:r>
          </w:p>
        </w:tc>
        <w:tc>
          <w:tcPr>
            <w:tcW w:w="4590" w:type="dxa"/>
          </w:tcPr>
          <w:p w:rsidR="00B20792" w:rsidRPr="001D6512" w:rsidRDefault="00B20792" w:rsidP="00B20792">
            <w:pPr>
              <w:pStyle w:val="TableCell"/>
              <w:spacing w:before="60" w:after="60"/>
            </w:pPr>
            <w:r w:rsidRPr="001D6512">
              <w:t>Per Washing Machine</w:t>
            </w:r>
          </w:p>
        </w:tc>
      </w:tr>
      <w:tr w:rsidR="00B20792" w:rsidRPr="00DC57D4" w:rsidTr="00B20792">
        <w:trPr>
          <w:jc w:val="center"/>
        </w:trPr>
        <w:tc>
          <w:tcPr>
            <w:tcW w:w="2700" w:type="dxa"/>
          </w:tcPr>
          <w:p w:rsidR="00B20792" w:rsidRPr="001D6512" w:rsidRDefault="00B20792" w:rsidP="00B20792">
            <w:pPr>
              <w:pStyle w:val="TableCell"/>
              <w:spacing w:before="60" w:after="60"/>
            </w:pPr>
            <w:r w:rsidRPr="001D6512">
              <w:t>Unit Energy Savings</w:t>
            </w:r>
          </w:p>
        </w:tc>
        <w:tc>
          <w:tcPr>
            <w:tcW w:w="4590" w:type="dxa"/>
          </w:tcPr>
          <w:p w:rsidR="00B20792" w:rsidRPr="001D6512" w:rsidRDefault="00B20792" w:rsidP="00B20792">
            <w:pPr>
              <w:pStyle w:val="TableCell"/>
              <w:spacing w:before="60" w:after="60"/>
            </w:pPr>
            <w:r w:rsidRPr="001D6512">
              <w:rPr>
                <w:rFonts w:cs="Arial"/>
                <w:szCs w:val="18"/>
              </w:rPr>
              <w:t xml:space="preserve">See </w:t>
            </w:r>
            <w:r w:rsidR="00274AB1">
              <w:fldChar w:fldCharType="begin"/>
            </w:r>
            <w:r w:rsidR="00274AB1">
              <w:instrText xml:space="preserve"> REF _Ref297018634 \h  \* MERGEFORMAT </w:instrText>
            </w:r>
            <w:r w:rsidR="00274AB1">
              <w:fldChar w:fldCharType="separate"/>
            </w:r>
            <w:r w:rsidR="00C0292F" w:rsidRPr="00C0292F">
              <w:rPr>
                <w:rFonts w:cs="Arial"/>
                <w:szCs w:val="18"/>
              </w:rPr>
              <w:t>Table 3</w:t>
            </w:r>
            <w:r w:rsidR="00C0292F" w:rsidRPr="00C0292F">
              <w:rPr>
                <w:rFonts w:cs="Arial"/>
                <w:szCs w:val="18"/>
              </w:rPr>
              <w:noBreakHyphen/>
              <w:t xml:space="preserve">85: </w:t>
            </w:r>
            <w:r w:rsidR="00C0292F">
              <w:t>Deemed</w:t>
            </w:r>
            <w:r w:rsidR="00C0292F" w:rsidRPr="00D4673F">
              <w:t xml:space="preserve"> Savings for </w:t>
            </w:r>
            <w:r w:rsidR="00C0292F">
              <w:t>ENERGY STAR</w:t>
            </w:r>
            <w:r w:rsidR="00C0292F" w:rsidRPr="00D4673F">
              <w:t xml:space="preserve"> </w:t>
            </w:r>
            <w:r w:rsidR="00C0292F">
              <w:t>Clothes</w:t>
            </w:r>
            <w:r w:rsidR="00C0292F" w:rsidRPr="00D4673F">
              <w:t xml:space="preserve"> Wash</w:t>
            </w:r>
            <w:r w:rsidR="00C0292F">
              <w:t>er</w:t>
            </w:r>
            <w:r w:rsidR="00274AB1">
              <w:fldChar w:fldCharType="end"/>
            </w:r>
          </w:p>
        </w:tc>
      </w:tr>
      <w:tr w:rsidR="00B20792" w:rsidRPr="00DC57D4" w:rsidTr="00B20792">
        <w:trPr>
          <w:jc w:val="center"/>
        </w:trPr>
        <w:tc>
          <w:tcPr>
            <w:tcW w:w="2700" w:type="dxa"/>
          </w:tcPr>
          <w:p w:rsidR="00B20792" w:rsidRPr="001D6512" w:rsidRDefault="00B20792" w:rsidP="00B20792">
            <w:pPr>
              <w:pStyle w:val="TableCell"/>
              <w:spacing w:before="60" w:after="60"/>
            </w:pPr>
            <w:r w:rsidRPr="001D6512">
              <w:t>Unit Peak Demand Reduction</w:t>
            </w:r>
          </w:p>
        </w:tc>
        <w:tc>
          <w:tcPr>
            <w:tcW w:w="4590" w:type="dxa"/>
          </w:tcPr>
          <w:p w:rsidR="00B20792" w:rsidRPr="001D6512" w:rsidRDefault="00B20792" w:rsidP="00B20792">
            <w:pPr>
              <w:pStyle w:val="TableCell"/>
              <w:spacing w:before="60" w:after="60"/>
            </w:pPr>
            <w:r w:rsidRPr="001D6512">
              <w:rPr>
                <w:rFonts w:cs="Arial"/>
                <w:szCs w:val="18"/>
              </w:rPr>
              <w:t xml:space="preserve">See </w:t>
            </w:r>
            <w:r w:rsidR="00274AB1">
              <w:fldChar w:fldCharType="begin"/>
            </w:r>
            <w:r w:rsidR="00274AB1">
              <w:instrText xml:space="preserve"> REF _Ref297018634 \h  \* MERGEFORMAT </w:instrText>
            </w:r>
            <w:r w:rsidR="00274AB1">
              <w:fldChar w:fldCharType="separate"/>
            </w:r>
            <w:r w:rsidR="00C0292F" w:rsidRPr="00C0292F">
              <w:rPr>
                <w:rFonts w:cs="Arial"/>
                <w:szCs w:val="18"/>
              </w:rPr>
              <w:t>Table 3</w:t>
            </w:r>
            <w:r w:rsidR="00C0292F" w:rsidRPr="00C0292F">
              <w:rPr>
                <w:rFonts w:cs="Arial"/>
                <w:szCs w:val="18"/>
              </w:rPr>
              <w:noBreakHyphen/>
              <w:t xml:space="preserve">85: </w:t>
            </w:r>
            <w:r w:rsidR="00C0292F">
              <w:t>Deemed</w:t>
            </w:r>
            <w:r w:rsidR="00C0292F" w:rsidRPr="00D4673F">
              <w:t xml:space="preserve"> Savings for </w:t>
            </w:r>
            <w:r w:rsidR="00C0292F">
              <w:t>ENERGY STAR</w:t>
            </w:r>
            <w:r w:rsidR="00C0292F" w:rsidRPr="00D4673F">
              <w:t xml:space="preserve"> </w:t>
            </w:r>
            <w:r w:rsidR="00C0292F">
              <w:t>Clothes</w:t>
            </w:r>
            <w:r w:rsidR="00C0292F" w:rsidRPr="00D4673F">
              <w:t xml:space="preserve"> Wash</w:t>
            </w:r>
            <w:r w:rsidR="00C0292F">
              <w:t>er</w:t>
            </w:r>
            <w:r w:rsidR="00274AB1">
              <w:fldChar w:fldCharType="end"/>
            </w:r>
          </w:p>
        </w:tc>
      </w:tr>
      <w:tr w:rsidR="00B20792" w:rsidRPr="00DC57D4" w:rsidTr="00B20792">
        <w:trPr>
          <w:jc w:val="center"/>
        </w:trPr>
        <w:tc>
          <w:tcPr>
            <w:tcW w:w="2700" w:type="dxa"/>
          </w:tcPr>
          <w:p w:rsidR="00B20792" w:rsidRPr="001D6512" w:rsidRDefault="00B20792" w:rsidP="00B20792">
            <w:pPr>
              <w:pStyle w:val="TableCell"/>
              <w:spacing w:before="60" w:after="60"/>
            </w:pPr>
            <w:r w:rsidRPr="001D6512">
              <w:t>Measure Life</w:t>
            </w:r>
          </w:p>
        </w:tc>
        <w:tc>
          <w:tcPr>
            <w:tcW w:w="4590" w:type="dxa"/>
          </w:tcPr>
          <w:p w:rsidR="00B20792" w:rsidRPr="001D6512" w:rsidRDefault="00B20792" w:rsidP="00B20792">
            <w:pPr>
              <w:pStyle w:val="TableCell"/>
              <w:spacing w:before="60" w:after="60"/>
            </w:pPr>
            <w:r w:rsidRPr="001D6512">
              <w:t>10 years</w:t>
            </w:r>
          </w:p>
        </w:tc>
      </w:tr>
    </w:tbl>
    <w:p w:rsidR="00B20792" w:rsidRPr="008F3946" w:rsidRDefault="00B20792" w:rsidP="00B20792">
      <w:pPr>
        <w:pStyle w:val="BodyText"/>
      </w:pPr>
    </w:p>
    <w:p w:rsidR="00B20792" w:rsidRDefault="00B20792" w:rsidP="00F05DC2">
      <w:r w:rsidRPr="00AE14BA">
        <w:t xml:space="preserve">This </w:t>
      </w:r>
      <w:r>
        <w:t xml:space="preserve">protocol </w:t>
      </w:r>
      <w:r w:rsidRPr="00AE14BA">
        <w:t>d</w:t>
      </w:r>
      <w:r>
        <w:t>iscusses</w:t>
      </w:r>
      <w:r w:rsidRPr="00AE14BA">
        <w:t xml:space="preserve"> the calculation</w:t>
      </w:r>
      <w:r>
        <w:t xml:space="preserve"> methodology and the</w:t>
      </w:r>
      <w:r w:rsidRPr="00AE14BA">
        <w:t xml:space="preserve"> assumptions </w:t>
      </w:r>
      <w:r>
        <w:t xml:space="preserve">regarding baseline equipment, efficient equipment, and usage patterns used to estimate </w:t>
      </w:r>
      <w:r w:rsidRPr="00AE14BA">
        <w:t>annual energy savings</w:t>
      </w:r>
      <w:r>
        <w:t xml:space="preserve"> expected from the replacement of a standard clothes washer</w:t>
      </w:r>
      <w:r w:rsidRPr="00AE14BA">
        <w:t xml:space="preserve"> with </w:t>
      </w:r>
      <w:r>
        <w:t xml:space="preserve">an ENERGY STAR clothes washer with a minimum </w:t>
      </w:r>
      <w:r w:rsidRPr="00E60F98">
        <w:t>Modified Energy Factor (MEF)</w:t>
      </w:r>
      <w:r>
        <w:t xml:space="preserve"> of </w:t>
      </w:r>
      <w:r w:rsidRPr="00E60F98">
        <w:rPr>
          <w:u w:val="single"/>
        </w:rPr>
        <w:t>&gt;</w:t>
      </w:r>
      <w:r>
        <w:t xml:space="preserve">2.0 </w:t>
      </w:r>
      <w:r w:rsidRPr="00E60F98">
        <w:t>(ft</w:t>
      </w:r>
      <w:r w:rsidRPr="00E60F98">
        <w:rPr>
          <w:vertAlign w:val="superscript"/>
        </w:rPr>
        <w:t>3</w:t>
      </w:r>
      <w:r>
        <w:t xml:space="preserve"> ×cycle)/ (kWh). </w:t>
      </w:r>
      <w:r w:rsidRPr="00E60F98">
        <w:t xml:space="preserve">The Federal efficiency standard is </w:t>
      </w:r>
      <w:r w:rsidRPr="00E60F98">
        <w:rPr>
          <w:u w:val="single"/>
        </w:rPr>
        <w:t>&gt;</w:t>
      </w:r>
      <w:r w:rsidRPr="00E60F98">
        <w:t>1.26 (ft</w:t>
      </w:r>
      <w:r w:rsidRPr="00E60F98">
        <w:rPr>
          <w:vertAlign w:val="superscript"/>
        </w:rPr>
        <w:t>3</w:t>
      </w:r>
      <w:r w:rsidRPr="00E60F98">
        <w:t xml:space="preserve"> ×cycle)/ (kWh)</w:t>
      </w:r>
      <w:r>
        <w:rPr>
          <w:rStyle w:val="FootnoteReference"/>
        </w:rPr>
        <w:footnoteReference w:id="230"/>
      </w:r>
      <w:r w:rsidRPr="00E60F98">
        <w:t>.</w:t>
      </w:r>
      <w:r>
        <w:t xml:space="preserve"> </w:t>
      </w:r>
    </w:p>
    <w:p w:rsidR="00B20792" w:rsidRPr="00C465DB" w:rsidRDefault="00B20792" w:rsidP="00871FA2">
      <w:pPr>
        <w:pStyle w:val="Heading3"/>
      </w:pPr>
      <w:r>
        <w:t>Eligibility</w:t>
      </w:r>
    </w:p>
    <w:p w:rsidR="00B20792" w:rsidRPr="001B7A30" w:rsidRDefault="00B20792" w:rsidP="00F05DC2">
      <w:r w:rsidRPr="001B7A30">
        <w:t xml:space="preserve">This </w:t>
      </w:r>
      <w:r>
        <w:t>protocol</w:t>
      </w:r>
      <w:r w:rsidRPr="001B7A30">
        <w:t xml:space="preserve"> documents the energy savings attributed to efficient clothes washers meeting </w:t>
      </w:r>
      <w:r w:rsidR="000A34BC">
        <w:t xml:space="preserve">ENERGY STAR or </w:t>
      </w:r>
      <w:r w:rsidRPr="001B7A30">
        <w:t>CEE Tier 1 standards or better in small commercial applications.</w:t>
      </w:r>
      <w:r>
        <w:t xml:space="preserve"> </w:t>
      </w:r>
      <w:r w:rsidRPr="001B7A30">
        <w:t xml:space="preserve">This protocol is limited to clothes washers in laundry rooms in multifamily establishments. </w:t>
      </w:r>
    </w:p>
    <w:p w:rsidR="00B20792" w:rsidRPr="00C465DB" w:rsidRDefault="00B20792" w:rsidP="00871FA2">
      <w:pPr>
        <w:pStyle w:val="Heading3"/>
      </w:pPr>
      <w:r>
        <w:t>Algorithms</w:t>
      </w:r>
    </w:p>
    <w:p w:rsidR="00B20792" w:rsidRPr="00C06784" w:rsidRDefault="00B20792" w:rsidP="00B20792">
      <w:pPr>
        <w:spacing w:before="120"/>
        <w:jc w:val="both"/>
      </w:pPr>
      <w:r w:rsidRPr="00C06784">
        <w:t xml:space="preserve">The energy savings and demand reduction </w:t>
      </w:r>
      <w:r>
        <w:t xml:space="preserve">are </w:t>
      </w:r>
      <w:r w:rsidRPr="00C06784">
        <w:t>obtain</w:t>
      </w:r>
      <w:r>
        <w:t>ed</w:t>
      </w:r>
      <w:r w:rsidRPr="00C06784">
        <w:t xml:space="preserve"> thro</w:t>
      </w:r>
      <w:r>
        <w:t>ugh the following calculations:</w:t>
      </w:r>
    </w:p>
    <w:p w:rsidR="0071135C" w:rsidRPr="0071135C" w:rsidRDefault="0071135C" w:rsidP="00B20792">
      <w:pPr>
        <w:spacing w:before="120"/>
        <w:jc w:val="both"/>
        <w:rPr>
          <w:i/>
          <w:vertAlign w:val="subscript"/>
        </w:rPr>
      </w:pPr>
      <w:r w:rsidRPr="0071135C">
        <w:rPr>
          <w:rStyle w:val="st"/>
          <w:i/>
        </w:rPr>
        <w:t>ΔkWh</w:t>
      </w:r>
      <w:r w:rsidRPr="0071135C">
        <w:rPr>
          <w:rStyle w:val="st"/>
          <w:i/>
        </w:rPr>
        <w:tab/>
      </w:r>
      <w:r w:rsidRPr="0071135C">
        <w:rPr>
          <w:rStyle w:val="st"/>
          <w:i/>
        </w:rPr>
        <w:tab/>
      </w:r>
      <w:r w:rsidRPr="0071135C">
        <w:rPr>
          <w:rStyle w:val="st"/>
          <w:i/>
        </w:rPr>
        <w:tab/>
        <w:t>= ΔkWh</w:t>
      </w:r>
      <w:r w:rsidRPr="0071135C">
        <w:rPr>
          <w:rStyle w:val="st"/>
          <w:i/>
          <w:vertAlign w:val="subscript"/>
        </w:rPr>
        <w:t>load</w:t>
      </w:r>
      <w:r w:rsidRPr="0071135C">
        <w:rPr>
          <w:rStyle w:val="st"/>
          <w:i/>
        </w:rPr>
        <w:t xml:space="preserve"> X Loads </w:t>
      </w:r>
    </w:p>
    <w:p w:rsidR="0071135C" w:rsidRPr="0071135C" w:rsidRDefault="0071135C" w:rsidP="00B20792">
      <w:pPr>
        <w:spacing w:before="120"/>
        <w:jc w:val="both"/>
        <w:rPr>
          <w:i/>
        </w:rPr>
      </w:pPr>
      <w:r w:rsidRPr="0071135C">
        <w:rPr>
          <w:rStyle w:val="st"/>
          <w:i/>
        </w:rPr>
        <w:t>ΔkW</w:t>
      </w:r>
      <w:r w:rsidRPr="0071135C">
        <w:rPr>
          <w:rStyle w:val="st"/>
          <w:i/>
          <w:vertAlign w:val="subscript"/>
        </w:rPr>
        <w:t>peak</w:t>
      </w:r>
      <w:r w:rsidRPr="0071135C">
        <w:rPr>
          <w:rStyle w:val="st"/>
          <w:i/>
          <w:vertAlign w:val="subscript"/>
        </w:rPr>
        <w:tab/>
      </w:r>
      <w:r w:rsidRPr="0071135C">
        <w:rPr>
          <w:rStyle w:val="st"/>
          <w:i/>
          <w:vertAlign w:val="subscript"/>
        </w:rPr>
        <w:tab/>
      </w:r>
      <w:r w:rsidRPr="0071135C">
        <w:rPr>
          <w:rStyle w:val="st"/>
          <w:i/>
          <w:vertAlign w:val="subscript"/>
        </w:rPr>
        <w:tab/>
      </w:r>
      <w:r w:rsidRPr="0071135C">
        <w:rPr>
          <w:rStyle w:val="st"/>
          <w:i/>
        </w:rPr>
        <w:t>= kWh Savings X UF</w:t>
      </w:r>
    </w:p>
    <w:p w:rsidR="00B20792" w:rsidRPr="003C7C58" w:rsidRDefault="003C7C58" w:rsidP="00B20792">
      <w:pPr>
        <w:pStyle w:val="BodyText"/>
        <w:rPr>
          <w:rFonts w:eastAsia="Calibri" w:cs="Arial"/>
        </w:rPr>
      </w:pPr>
      <m:oMathPara>
        <m:oMath>
          <m:r>
            <w:rPr>
              <w:rFonts w:ascii="Cambria Math" w:hAnsi="Cambria Math" w:cs="Arial"/>
            </w:rPr>
            <m:t>∆kWh                                =</m:t>
          </m:r>
          <m:f>
            <m:fPr>
              <m:ctrlPr>
                <w:rPr>
                  <w:rFonts w:ascii="Cambria Math" w:hAnsi="Cambria Math" w:cs="Arial"/>
                  <w:i/>
                </w:rPr>
              </m:ctrlPr>
            </m:fPr>
            <m:num>
              <m:r>
                <w:rPr>
                  <w:rFonts w:ascii="Cambria Math" w:hAnsi="Cambria Math" w:cs="Arial"/>
                </w:rPr>
                <m:t>Loads×Vol</m:t>
              </m:r>
            </m:num>
            <m:den>
              <m:sSub>
                <m:sSubPr>
                  <m:ctrlPr>
                    <w:rPr>
                      <w:rFonts w:ascii="Cambria Math" w:hAnsi="Cambria Math" w:cs="Arial"/>
                      <w:i/>
                    </w:rPr>
                  </m:ctrlPr>
                </m:sSubPr>
                <m:e>
                  <m:r>
                    <w:rPr>
                      <w:rFonts w:ascii="Cambria Math" w:hAnsi="Cambria Math" w:cs="Arial"/>
                    </w:rPr>
                    <m:t>MEF</m:t>
                  </m:r>
                </m:e>
                <m:sub>
                  <m:r>
                    <w:rPr>
                      <w:rFonts w:ascii="Cambria Math" w:hAnsi="Cambria Math" w:cs="Arial"/>
                    </w:rPr>
                    <m:t>B</m:t>
                  </m:r>
                </m:sub>
              </m:sSub>
            </m:den>
          </m:f>
          <m:r>
            <w:rPr>
              <w:rFonts w:ascii="Cambria Math" w:hAnsi="Cambria Math" w:cs="Arial"/>
            </w:rPr>
            <m:t>-</m:t>
          </m:r>
          <m:f>
            <m:fPr>
              <m:ctrlPr>
                <w:rPr>
                  <w:rFonts w:ascii="Cambria Math" w:hAnsi="Cambria Math" w:cs="Arial"/>
                  <w:i/>
                </w:rPr>
              </m:ctrlPr>
            </m:fPr>
            <m:num>
              <m:r>
                <w:rPr>
                  <w:rFonts w:ascii="Cambria Math" w:hAnsi="Cambria Math" w:cs="Arial"/>
                </w:rPr>
                <m:t>Loads ×Vol</m:t>
              </m:r>
            </m:num>
            <m:den>
              <m:sSub>
                <m:sSubPr>
                  <m:ctrlPr>
                    <w:rPr>
                      <w:rFonts w:ascii="Cambria Math" w:hAnsi="Cambria Math" w:cs="Arial"/>
                      <w:i/>
                    </w:rPr>
                  </m:ctrlPr>
                </m:sSubPr>
                <m:e>
                  <m:r>
                    <w:rPr>
                      <w:rFonts w:ascii="Cambria Math" w:hAnsi="Cambria Math" w:cs="Arial"/>
                    </w:rPr>
                    <m:t>MEF</m:t>
                  </m:r>
                </m:e>
                <m:sub>
                  <m:r>
                    <w:rPr>
                      <w:rFonts w:ascii="Cambria Math" w:hAnsi="Cambria Math" w:cs="Arial"/>
                    </w:rPr>
                    <m:t>P</m:t>
                  </m:r>
                </m:sub>
              </m:sSub>
            </m:den>
          </m:f>
        </m:oMath>
      </m:oMathPara>
    </w:p>
    <w:p w:rsidR="00B20792" w:rsidRPr="003C7C58" w:rsidRDefault="00274AB1" w:rsidP="00B20792">
      <w:pPr>
        <w:pStyle w:val="BodyText"/>
        <w:rPr>
          <w:rFonts w:ascii="Arial Narrow" w:eastAsia="Calibri" w:hAnsi="Times New Roman" w:cs="Arial"/>
        </w:rPr>
      </w:pPr>
      <m:oMathPara>
        <m:oMath>
          <m:sSub>
            <m:sSubPr>
              <m:ctrlPr>
                <w:rPr>
                  <w:rFonts w:ascii="Cambria Math" w:hAnsi="Cambria Math"/>
                  <w:i/>
                </w:rPr>
              </m:ctrlPr>
            </m:sSubPr>
            <m:e>
              <m:r>
                <w:rPr>
                  <w:rFonts w:ascii="Cambria Math" w:hAnsi="Cambria Math"/>
                </w:rPr>
                <m:t>∆kW</m:t>
              </m:r>
            </m:e>
            <m:sub>
              <m:r>
                <w:rPr>
                  <w:rFonts w:ascii="Cambria Math" w:hAnsi="Cambria Math"/>
                </w:rPr>
                <m:t>peak</m:t>
              </m:r>
            </m:sub>
          </m:sSub>
          <m:r>
            <w:rPr>
              <w:rFonts w:ascii="Cambria Math" w:hAnsi="Cambria Math"/>
            </w:rPr>
            <m:t xml:space="preserve">                =kWh Savings×UF</m:t>
          </m:r>
        </m:oMath>
      </m:oMathPara>
    </w:p>
    <w:p w:rsidR="00B20792" w:rsidRPr="00552F30" w:rsidRDefault="00B20792" w:rsidP="00B20792">
      <w:pPr>
        <w:spacing w:before="120"/>
        <w:jc w:val="both"/>
      </w:pPr>
      <w:r w:rsidRPr="00552F30">
        <w:t>The utilization factor, (UF) is equal to the average energy usage between noon and 8PM on summer weekdays to the annual energy usage.</w:t>
      </w:r>
      <w:r>
        <w:t xml:space="preserve"> </w:t>
      </w:r>
      <w:r w:rsidRPr="00552F30">
        <w:t>The utilization rate is derived as follows:</w:t>
      </w:r>
    </w:p>
    <w:p w:rsidR="00B20792" w:rsidRPr="00552F30" w:rsidRDefault="00B20792" w:rsidP="0005632A">
      <w:pPr>
        <w:numPr>
          <w:ilvl w:val="0"/>
          <w:numId w:val="92"/>
        </w:numPr>
        <w:overflowPunct/>
        <w:autoSpaceDE/>
        <w:autoSpaceDN/>
        <w:adjustRightInd/>
        <w:spacing w:before="120" w:after="0" w:line="240" w:lineRule="auto"/>
        <w:jc w:val="both"/>
        <w:textAlignment w:val="auto"/>
      </w:pPr>
      <w:r w:rsidRPr="00552F30">
        <w:t>Obtain normalized, hourly load shape data for residential clothes washing</w:t>
      </w:r>
    </w:p>
    <w:p w:rsidR="00B20792" w:rsidRPr="00552F30" w:rsidRDefault="00B20792" w:rsidP="0005632A">
      <w:pPr>
        <w:numPr>
          <w:ilvl w:val="0"/>
          <w:numId w:val="92"/>
        </w:numPr>
        <w:overflowPunct/>
        <w:autoSpaceDE/>
        <w:autoSpaceDN/>
        <w:adjustRightInd/>
        <w:spacing w:before="120" w:after="0" w:line="240" w:lineRule="auto"/>
        <w:jc w:val="both"/>
        <w:textAlignment w:val="auto"/>
      </w:pPr>
      <w:r w:rsidRPr="00552F30">
        <w:t>Smooth the load shape by replacing each hourly value with a 5-hour average centered about that hour.</w:t>
      </w:r>
      <w:r>
        <w:t xml:space="preserve"> </w:t>
      </w:r>
      <w:r w:rsidRPr="00552F30">
        <w:t>This step is necessary because the best available load shape data exhibits erratic behavior commonly associated with metering of small samples.</w:t>
      </w:r>
      <w:r>
        <w:t xml:space="preserve"> </w:t>
      </w:r>
      <w:r w:rsidRPr="00552F30">
        <w:t>The smoothing out effectively simulates diversification.</w:t>
      </w:r>
    </w:p>
    <w:p w:rsidR="00B20792" w:rsidRPr="00552F30" w:rsidRDefault="00B20792" w:rsidP="0005632A">
      <w:pPr>
        <w:numPr>
          <w:ilvl w:val="0"/>
          <w:numId w:val="92"/>
        </w:numPr>
        <w:overflowPunct/>
        <w:autoSpaceDE/>
        <w:autoSpaceDN/>
        <w:adjustRightInd/>
        <w:spacing w:before="120" w:after="0" w:line="240" w:lineRule="auto"/>
        <w:jc w:val="both"/>
        <w:textAlignment w:val="auto"/>
      </w:pPr>
      <w:r w:rsidRPr="00552F30">
        <w:t>Take the UF to be the average of all load shape elements corresponding to the hours between noon and 8PM on weekdays from June to September.</w:t>
      </w:r>
    </w:p>
    <w:p w:rsidR="00B20792" w:rsidRPr="00552F30" w:rsidRDefault="00B20792" w:rsidP="00B20792">
      <w:pPr>
        <w:overflowPunct/>
        <w:autoSpaceDE/>
        <w:autoSpaceDN/>
        <w:adjustRightInd/>
        <w:spacing w:before="120" w:after="0" w:line="240" w:lineRule="auto"/>
        <w:jc w:val="both"/>
        <w:textAlignment w:val="auto"/>
      </w:pPr>
    </w:p>
    <w:p w:rsidR="00C0292F" w:rsidRDefault="00B20792" w:rsidP="00C0292F">
      <w:r w:rsidRPr="00552F30">
        <w:t xml:space="preserve">The value is the June-September, weekday noon to 8PM average of the normalized load shape values associated with residential clothes washers in PG&amp;E service territory (northern CA).  Although Northern CA is far from PA, the load shape data is the best available at the time and the temporal dependence washer usage is not expected to have a strong geographical dependency. </w:t>
      </w:r>
      <w:r w:rsidR="007A1FB6">
        <w:fldChar w:fldCharType="begin"/>
      </w:r>
      <w:r>
        <w:instrText xml:space="preserve"> REF _Ref297018676 \h  \* MERGEFORMAT </w:instrText>
      </w:r>
      <w:r w:rsidR="007A1FB6">
        <w:fldChar w:fldCharType="separate"/>
      </w:r>
    </w:p>
    <w:p w:rsidR="00C0292F" w:rsidRDefault="00C0292F" w:rsidP="00C0292F">
      <w:r>
        <w:t xml:space="preserve">Figure </w:t>
      </w:r>
      <w:r>
        <w:rPr>
          <w:noProof/>
        </w:rPr>
        <w:t>3</w:t>
      </w:r>
      <w:r>
        <w:rPr>
          <w:noProof/>
        </w:rPr>
        <w:noBreakHyphen/>
        <w:t>1</w:t>
      </w:r>
      <w:r>
        <w:t>: Utilization factor for a sample week in July</w:t>
      </w:r>
    </w:p>
    <w:p w:rsidR="00B20792" w:rsidRDefault="007A1FB6" w:rsidP="00F05DC2">
      <w:r>
        <w:fldChar w:fldCharType="end"/>
      </w:r>
      <w:r w:rsidR="00274AB1">
        <w:fldChar w:fldCharType="begin"/>
      </w:r>
      <w:r w:rsidR="00274AB1">
        <w:instrText xml:space="preserve"> REF _Ref302741083 \h  \* MERGEFORMAT </w:instrText>
      </w:r>
      <w:r w:rsidR="00274AB1">
        <w:fldChar w:fldCharType="separate"/>
      </w:r>
      <w:r w:rsidR="00C0292F">
        <w:t xml:space="preserve">Figure </w:t>
      </w:r>
      <w:r w:rsidR="00C0292F">
        <w:rPr>
          <w:noProof/>
        </w:rPr>
        <w:t>3</w:t>
      </w:r>
      <w:r w:rsidR="00C0292F">
        <w:rPr>
          <w:noProof/>
        </w:rPr>
        <w:noBreakHyphen/>
        <w:t>1</w:t>
      </w:r>
      <w:r w:rsidR="00274AB1">
        <w:fldChar w:fldCharType="end"/>
      </w:r>
      <w:r w:rsidR="00B20792" w:rsidRPr="00552F30">
        <w:t xml:space="preserve"> shows the utilization factor for each hour of a sample week in July</w:t>
      </w:r>
      <w:r w:rsidR="00B20792">
        <w:t>.</w:t>
      </w:r>
      <w:r w:rsidR="00B20792" w:rsidRPr="004A6F5C">
        <w:t xml:space="preserve"> </w:t>
      </w:r>
      <w:r w:rsidR="00B20792" w:rsidRPr="00552F30">
        <w:t xml:space="preserve">Because the load shape data derived from monitoring of in-house clothes washers is being imputed </w:t>
      </w:r>
      <w:r w:rsidR="00B20792">
        <w:t>to</w:t>
      </w:r>
      <w:r w:rsidR="00B20792" w:rsidRPr="00552F30">
        <w:t xml:space="preserve"> multifamily laundry room washers (which have higher utilization rates – </w:t>
      </w:r>
      <w:r w:rsidR="002809AF">
        <w:t>950</w:t>
      </w:r>
      <w:r w:rsidR="00B20792">
        <w:t xml:space="preserve"> loads/year compared to 392), </w:t>
      </w:r>
      <w:r w:rsidR="00B20792" w:rsidRPr="00552F30">
        <w:t>it is important to check that the resulting minutes of usage p</w:t>
      </w:r>
      <w:r w:rsidR="00B20792" w:rsidRPr="008430C5">
        <w:t>er hour is significantly smaller than 60. If the minutes of usage per hour approach 60, then it should</w:t>
      </w:r>
      <w:r w:rsidR="00B20792" w:rsidRPr="00552F30">
        <w:t xml:space="preserve"> be assumed that the load shape for multi-family laundry room clothes washers must be different than the load shap</w:t>
      </w:r>
      <w:r w:rsidR="00B20792">
        <w:t xml:space="preserve">e for in-house clothes washers. </w:t>
      </w:r>
      <w:r w:rsidR="00B20792" w:rsidRPr="00552F30">
        <w:t>The maximum utilization per hour is 36.2 minutes</w:t>
      </w:r>
      <w:r w:rsidR="00B20792">
        <w:t>.</w:t>
      </w:r>
    </w:p>
    <w:p w:rsidR="00B20792" w:rsidRDefault="002C3BC5" w:rsidP="00B20792">
      <w:pPr>
        <w:pStyle w:val="BodyText"/>
        <w:keepNext/>
        <w:jc w:val="center"/>
      </w:pPr>
      <w:r>
        <w:rPr>
          <w:noProof/>
          <w:sz w:val="22"/>
          <w:szCs w:val="22"/>
        </w:rPr>
        <w:drawing>
          <wp:inline distT="0" distB="0" distL="0" distR="0">
            <wp:extent cx="6096000" cy="3276600"/>
            <wp:effectExtent l="0" t="0" r="0" b="0"/>
            <wp:docPr id="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096000" cy="3276600"/>
                    </a:xfrm>
                    <a:prstGeom prst="rect">
                      <a:avLst/>
                    </a:prstGeom>
                    <a:noFill/>
                    <a:ln>
                      <a:noFill/>
                    </a:ln>
                  </pic:spPr>
                </pic:pic>
              </a:graphicData>
            </a:graphic>
          </wp:inline>
        </w:drawing>
      </w:r>
      <w:bookmarkStart w:id="1291" w:name="_Ref297018676"/>
    </w:p>
    <w:p w:rsidR="00B20792" w:rsidRDefault="00B20792" w:rsidP="00B20792">
      <w:pPr>
        <w:pStyle w:val="Caption"/>
      </w:pPr>
      <w:bookmarkStart w:id="1292" w:name="_Ref302741083"/>
      <w:r>
        <w:t xml:space="preserve">Figure </w:t>
      </w:r>
      <w:r w:rsidR="007A1FB6">
        <w:fldChar w:fldCharType="begin"/>
      </w:r>
      <w:r w:rsidR="008B139C">
        <w:instrText xml:space="preserve"> STYLEREF 1 \s </w:instrText>
      </w:r>
      <w:r w:rsidR="007A1FB6">
        <w:fldChar w:fldCharType="separate"/>
      </w:r>
      <w:r w:rsidR="00C0292F">
        <w:rPr>
          <w:noProof/>
        </w:rPr>
        <w:t>3</w:t>
      </w:r>
      <w:r w:rsidR="007A1FB6">
        <w:fldChar w:fldCharType="end"/>
      </w:r>
      <w:r w:rsidR="008B139C">
        <w:noBreakHyphen/>
      </w:r>
      <w:r w:rsidR="007A1FB6">
        <w:fldChar w:fldCharType="begin"/>
      </w:r>
      <w:r w:rsidR="008B139C">
        <w:instrText xml:space="preserve"> SEQ Figure \* ARABIC \s 1 </w:instrText>
      </w:r>
      <w:r w:rsidR="007A1FB6">
        <w:fldChar w:fldCharType="separate"/>
      </w:r>
      <w:r w:rsidR="00C0292F">
        <w:rPr>
          <w:noProof/>
        </w:rPr>
        <w:t>1</w:t>
      </w:r>
      <w:r w:rsidR="007A1FB6">
        <w:fldChar w:fldCharType="end"/>
      </w:r>
      <w:bookmarkEnd w:id="1292"/>
      <w:r>
        <w:t>: Utilization factor for a sample week in July</w:t>
      </w:r>
      <w:r>
        <w:rPr>
          <w:rStyle w:val="FootnoteReference"/>
        </w:rPr>
        <w:footnoteReference w:id="231"/>
      </w:r>
    </w:p>
    <w:bookmarkEnd w:id="1291"/>
    <w:p w:rsidR="00B20792" w:rsidRPr="00EE43AC" w:rsidRDefault="00B20792" w:rsidP="00B20792">
      <w:pPr>
        <w:pStyle w:val="BodyText"/>
        <w:jc w:val="center"/>
      </w:pPr>
    </w:p>
    <w:p w:rsidR="00B20792" w:rsidRPr="00C465DB" w:rsidRDefault="00B20792" w:rsidP="00871FA2">
      <w:pPr>
        <w:pStyle w:val="Heading3"/>
      </w:pPr>
      <w:r>
        <w:t>Definition of Terms</w:t>
      </w:r>
    </w:p>
    <w:p w:rsidR="00B20792" w:rsidRPr="00552F30" w:rsidRDefault="00B20792" w:rsidP="00B20792">
      <w:pPr>
        <w:pStyle w:val="BodyText"/>
        <w:keepNext/>
      </w:pPr>
      <w:r>
        <w:t xml:space="preserve">The parameters in the above equation are listed in </w:t>
      </w:r>
      <w:r w:rsidR="007A1FB6">
        <w:fldChar w:fldCharType="begin"/>
      </w:r>
      <w:r>
        <w:instrText xml:space="preserve"> REF _Ref297018755 \h </w:instrText>
      </w:r>
      <w:r w:rsidR="007A1FB6">
        <w:fldChar w:fldCharType="separate"/>
      </w:r>
      <w:r w:rsidR="00C0292F">
        <w:t xml:space="preserve">Table </w:t>
      </w:r>
      <w:r w:rsidR="00C0292F">
        <w:rPr>
          <w:noProof/>
        </w:rPr>
        <w:t>3</w:t>
      </w:r>
      <w:r w:rsidR="00C0292F">
        <w:noBreakHyphen/>
      </w:r>
      <w:r w:rsidR="00C0292F">
        <w:rPr>
          <w:noProof/>
        </w:rPr>
        <w:t>84</w:t>
      </w:r>
      <w:r w:rsidR="00C0292F">
        <w:t xml:space="preserve">: </w:t>
      </w:r>
      <w:r w:rsidR="00C0292F" w:rsidRPr="0063004F">
        <w:t>Commercial Clothes Washer Calculation Assumptions</w:t>
      </w:r>
      <w:r w:rsidR="007A1FB6">
        <w:fldChar w:fldCharType="end"/>
      </w:r>
      <w:r>
        <w:rPr>
          <w:b/>
        </w:rPr>
        <w:t xml:space="preserve"> </w:t>
      </w:r>
      <w:r>
        <w:t>below.</w:t>
      </w:r>
    </w:p>
    <w:p w:rsidR="00B20792" w:rsidRDefault="00B20792" w:rsidP="00B20792">
      <w:pPr>
        <w:pStyle w:val="Caption"/>
      </w:pPr>
      <w:bookmarkStart w:id="1293" w:name="_Ref297018755"/>
      <w:bookmarkStart w:id="1294" w:name="_Toc310875636"/>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w:instrText>
      </w:r>
      <w:r w:rsidR="00274AB1">
        <w:instrText xml:space="preserve">IC \s 1 </w:instrText>
      </w:r>
      <w:r w:rsidR="00274AB1">
        <w:fldChar w:fldCharType="separate"/>
      </w:r>
      <w:r w:rsidR="00C0292F">
        <w:rPr>
          <w:noProof/>
        </w:rPr>
        <w:t>84</w:t>
      </w:r>
      <w:r w:rsidR="00274AB1">
        <w:rPr>
          <w:noProof/>
        </w:rPr>
        <w:fldChar w:fldCharType="end"/>
      </w:r>
      <w:r>
        <w:t xml:space="preserve">: </w:t>
      </w:r>
      <w:r w:rsidRPr="0063004F">
        <w:t>Commercial Clothes Washer Calculation Assumptions</w:t>
      </w:r>
      <w:bookmarkEnd w:id="1293"/>
      <w:bookmarkEnd w:id="129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7"/>
        <w:gridCol w:w="1350"/>
        <w:gridCol w:w="1621"/>
        <w:gridCol w:w="1998"/>
      </w:tblGrid>
      <w:tr w:rsidR="00B20792" w:rsidRPr="006E0899" w:rsidTr="00871FA2">
        <w:trPr>
          <w:trHeight w:val="374"/>
          <w:jc w:val="center"/>
        </w:trPr>
        <w:tc>
          <w:tcPr>
            <w:tcW w:w="2195" w:type="pct"/>
            <w:shd w:val="clear" w:color="auto" w:fill="BFBFBF"/>
          </w:tcPr>
          <w:p w:rsidR="00B20792" w:rsidRPr="001D6512" w:rsidRDefault="00B20792" w:rsidP="00B20792">
            <w:pPr>
              <w:pStyle w:val="TableCell"/>
              <w:spacing w:before="60" w:after="60"/>
              <w:rPr>
                <w:rFonts w:cs="Arial"/>
                <w:b/>
              </w:rPr>
            </w:pPr>
            <w:r w:rsidRPr="001D6512">
              <w:rPr>
                <w:rFonts w:cs="Arial"/>
                <w:b/>
              </w:rPr>
              <w:t>Component</w:t>
            </w:r>
          </w:p>
        </w:tc>
        <w:tc>
          <w:tcPr>
            <w:tcW w:w="762" w:type="pct"/>
            <w:shd w:val="clear" w:color="auto" w:fill="BFBFBF"/>
          </w:tcPr>
          <w:p w:rsidR="00B20792" w:rsidRPr="001D6512" w:rsidRDefault="00B20792" w:rsidP="00B20792">
            <w:pPr>
              <w:pStyle w:val="TableCell"/>
              <w:spacing w:before="60" w:after="60"/>
              <w:rPr>
                <w:rFonts w:cs="Arial"/>
                <w:b/>
              </w:rPr>
            </w:pPr>
            <w:r w:rsidRPr="001D6512">
              <w:rPr>
                <w:rFonts w:cs="Arial"/>
                <w:b/>
              </w:rPr>
              <w:t>Type</w:t>
            </w:r>
          </w:p>
        </w:tc>
        <w:tc>
          <w:tcPr>
            <w:tcW w:w="915" w:type="pct"/>
            <w:shd w:val="clear" w:color="auto" w:fill="BFBFBF"/>
          </w:tcPr>
          <w:p w:rsidR="00B20792" w:rsidRPr="001D6512" w:rsidRDefault="00B20792" w:rsidP="00B20792">
            <w:pPr>
              <w:pStyle w:val="TableCell"/>
              <w:spacing w:before="60" w:after="60"/>
              <w:rPr>
                <w:rFonts w:cs="Arial"/>
                <w:b/>
              </w:rPr>
            </w:pPr>
            <w:r w:rsidRPr="001D6512">
              <w:rPr>
                <w:rFonts w:cs="Arial"/>
                <w:b/>
              </w:rPr>
              <w:t>Values</w:t>
            </w:r>
          </w:p>
        </w:tc>
        <w:tc>
          <w:tcPr>
            <w:tcW w:w="1128" w:type="pct"/>
            <w:shd w:val="clear" w:color="auto" w:fill="BFBFBF"/>
          </w:tcPr>
          <w:p w:rsidR="00B20792" w:rsidRPr="001D6512" w:rsidRDefault="00B20792" w:rsidP="00B20792">
            <w:pPr>
              <w:pStyle w:val="TableCell"/>
              <w:spacing w:before="60" w:after="60"/>
              <w:rPr>
                <w:rFonts w:cs="Arial"/>
                <w:b/>
              </w:rPr>
            </w:pPr>
            <w:r w:rsidRPr="001D6512">
              <w:rPr>
                <w:rFonts w:cs="Arial"/>
                <w:b/>
              </w:rPr>
              <w:t xml:space="preserve">Source </w:t>
            </w:r>
          </w:p>
        </w:tc>
      </w:tr>
      <w:tr w:rsidR="00B20792" w:rsidRPr="006E0899" w:rsidTr="00871FA2">
        <w:trPr>
          <w:trHeight w:val="374"/>
          <w:jc w:val="center"/>
        </w:trPr>
        <w:tc>
          <w:tcPr>
            <w:tcW w:w="2195" w:type="pct"/>
            <w:shd w:val="clear" w:color="auto" w:fill="auto"/>
          </w:tcPr>
          <w:p w:rsidR="00B20792" w:rsidRPr="001D6512" w:rsidRDefault="00B20792" w:rsidP="00B20792">
            <w:pPr>
              <w:pStyle w:val="TableCell"/>
              <w:spacing w:before="60" w:after="60"/>
              <w:rPr>
                <w:rFonts w:cs="Arial"/>
              </w:rPr>
            </w:pPr>
            <w:r w:rsidRPr="001D6512">
              <w:rPr>
                <w:rFonts w:cs="Arial"/>
                <w:szCs w:val="18"/>
              </w:rPr>
              <w:t>MEF</w:t>
            </w:r>
            <w:r w:rsidRPr="001D6512">
              <w:rPr>
                <w:rFonts w:cs="Arial"/>
                <w:szCs w:val="18"/>
                <w:vertAlign w:val="subscript"/>
              </w:rPr>
              <w:t xml:space="preserve">B, </w:t>
            </w:r>
            <w:r w:rsidRPr="001D6512">
              <w:rPr>
                <w:rFonts w:cs="Arial"/>
                <w:szCs w:val="18"/>
              </w:rPr>
              <w:t>Base Federal Standard Modified Energy Factor</w:t>
            </w:r>
          </w:p>
        </w:tc>
        <w:tc>
          <w:tcPr>
            <w:tcW w:w="762" w:type="pct"/>
            <w:shd w:val="clear" w:color="auto" w:fill="auto"/>
          </w:tcPr>
          <w:p w:rsidR="00B20792" w:rsidRPr="001D6512" w:rsidRDefault="00B20792" w:rsidP="00B20792">
            <w:pPr>
              <w:pStyle w:val="TableCell"/>
              <w:spacing w:before="60" w:after="60"/>
              <w:rPr>
                <w:rFonts w:cs="Arial"/>
              </w:rPr>
            </w:pPr>
            <w:r w:rsidRPr="001D6512">
              <w:rPr>
                <w:rFonts w:cs="Arial"/>
              </w:rPr>
              <w:t>Fixed</w:t>
            </w:r>
          </w:p>
        </w:tc>
        <w:tc>
          <w:tcPr>
            <w:tcW w:w="915" w:type="pct"/>
            <w:shd w:val="clear" w:color="auto" w:fill="auto"/>
          </w:tcPr>
          <w:p w:rsidR="00B20792" w:rsidRPr="001D6512" w:rsidRDefault="00B20792" w:rsidP="00B20792">
            <w:pPr>
              <w:pStyle w:val="TableCell"/>
              <w:spacing w:before="60" w:after="60"/>
              <w:rPr>
                <w:rFonts w:cs="Arial"/>
              </w:rPr>
            </w:pPr>
            <w:r w:rsidRPr="001D6512">
              <w:rPr>
                <w:rFonts w:cs="Arial"/>
                <w:szCs w:val="18"/>
              </w:rPr>
              <w:t>1.26</w:t>
            </w:r>
            <w:r w:rsidRPr="001D6512">
              <w:rPr>
                <w:rStyle w:val="FootnoteReference"/>
                <w:szCs w:val="18"/>
              </w:rPr>
              <w:footnoteReference w:id="232"/>
            </w:r>
          </w:p>
        </w:tc>
        <w:tc>
          <w:tcPr>
            <w:tcW w:w="1128" w:type="pct"/>
            <w:shd w:val="clear" w:color="auto" w:fill="auto"/>
          </w:tcPr>
          <w:p w:rsidR="00B20792" w:rsidRPr="001D6512" w:rsidRDefault="00B20792" w:rsidP="00B20792">
            <w:pPr>
              <w:pStyle w:val="TableCell"/>
              <w:spacing w:before="60" w:after="60"/>
              <w:rPr>
                <w:rFonts w:cs="Arial"/>
              </w:rPr>
            </w:pPr>
            <w:r w:rsidRPr="001D6512">
              <w:rPr>
                <w:rFonts w:cs="Arial"/>
              </w:rPr>
              <w:t>1</w:t>
            </w:r>
          </w:p>
        </w:tc>
      </w:tr>
      <w:tr w:rsidR="00B20792" w:rsidRPr="006E0899" w:rsidTr="00871FA2">
        <w:trPr>
          <w:trHeight w:val="374"/>
          <w:jc w:val="center"/>
        </w:trPr>
        <w:tc>
          <w:tcPr>
            <w:tcW w:w="2195" w:type="pct"/>
            <w:shd w:val="clear" w:color="auto" w:fill="auto"/>
          </w:tcPr>
          <w:p w:rsidR="00B20792" w:rsidRPr="001D6512" w:rsidRDefault="00B20792" w:rsidP="00B20792">
            <w:pPr>
              <w:pStyle w:val="TableCell"/>
              <w:spacing w:before="60" w:after="60"/>
              <w:rPr>
                <w:rFonts w:cs="Arial"/>
              </w:rPr>
            </w:pPr>
            <w:r w:rsidRPr="001D6512">
              <w:rPr>
                <w:rFonts w:cs="Arial"/>
                <w:szCs w:val="18"/>
              </w:rPr>
              <w:t>MEF</w:t>
            </w:r>
            <w:r w:rsidRPr="001D6512">
              <w:rPr>
                <w:rFonts w:cs="Arial"/>
                <w:szCs w:val="18"/>
                <w:vertAlign w:val="subscript"/>
              </w:rPr>
              <w:t xml:space="preserve">P, </w:t>
            </w:r>
            <w:r w:rsidRPr="001D6512">
              <w:rPr>
                <w:rFonts w:cs="Arial"/>
                <w:szCs w:val="18"/>
              </w:rPr>
              <w:t>Modified Energy Factor of Qualified Washing Machine (Name Plate)</w:t>
            </w:r>
          </w:p>
        </w:tc>
        <w:tc>
          <w:tcPr>
            <w:tcW w:w="762" w:type="pct"/>
            <w:shd w:val="clear" w:color="auto" w:fill="auto"/>
          </w:tcPr>
          <w:p w:rsidR="00B20792" w:rsidRPr="001D6512" w:rsidRDefault="00B20792" w:rsidP="00B20792">
            <w:pPr>
              <w:pStyle w:val="TableCell"/>
              <w:spacing w:before="60" w:after="60"/>
              <w:rPr>
                <w:rFonts w:cs="Arial"/>
              </w:rPr>
            </w:pPr>
            <w:r w:rsidRPr="001D6512">
              <w:rPr>
                <w:rFonts w:cs="Arial"/>
              </w:rPr>
              <w:t>Variable</w:t>
            </w:r>
          </w:p>
        </w:tc>
        <w:tc>
          <w:tcPr>
            <w:tcW w:w="915" w:type="pct"/>
            <w:shd w:val="clear" w:color="auto" w:fill="auto"/>
          </w:tcPr>
          <w:p w:rsidR="00B20792" w:rsidRPr="001D6512" w:rsidRDefault="00B20792" w:rsidP="00B20792">
            <w:pPr>
              <w:pStyle w:val="TableCell"/>
              <w:spacing w:before="60" w:after="60"/>
              <w:rPr>
                <w:rFonts w:cs="Arial"/>
                <w:szCs w:val="18"/>
              </w:rPr>
            </w:pPr>
            <w:r w:rsidRPr="001D6512">
              <w:rPr>
                <w:rFonts w:cs="Arial"/>
                <w:szCs w:val="18"/>
              </w:rPr>
              <w:t>Nameplate</w:t>
            </w:r>
          </w:p>
          <w:p w:rsidR="00B20792" w:rsidRPr="001D6512" w:rsidRDefault="00B20792" w:rsidP="00B20792">
            <w:pPr>
              <w:pStyle w:val="TableCell"/>
              <w:spacing w:before="60" w:after="60"/>
              <w:rPr>
                <w:rFonts w:cs="Arial"/>
                <w:szCs w:val="18"/>
              </w:rPr>
            </w:pPr>
            <w:r w:rsidRPr="001D6512">
              <w:rPr>
                <w:rFonts w:cs="Arial"/>
                <w:szCs w:val="18"/>
              </w:rPr>
              <w:t>Tier 1: ≥2.00</w:t>
            </w:r>
          </w:p>
          <w:p w:rsidR="00B20792" w:rsidRPr="001D6512" w:rsidRDefault="00B20792" w:rsidP="00B20792">
            <w:pPr>
              <w:pStyle w:val="TableCell"/>
              <w:spacing w:before="60" w:after="60"/>
              <w:rPr>
                <w:rFonts w:cs="Arial"/>
                <w:szCs w:val="18"/>
              </w:rPr>
            </w:pPr>
            <w:r w:rsidRPr="001D6512">
              <w:rPr>
                <w:rFonts w:cs="Arial"/>
                <w:szCs w:val="18"/>
              </w:rPr>
              <w:t>Tier 2: ≥2.20</w:t>
            </w:r>
          </w:p>
          <w:p w:rsidR="00B20792" w:rsidRPr="001D6512" w:rsidRDefault="00B20792" w:rsidP="00B20792">
            <w:pPr>
              <w:pStyle w:val="TableCell"/>
              <w:spacing w:before="60" w:after="60"/>
              <w:rPr>
                <w:rFonts w:cs="Arial"/>
              </w:rPr>
            </w:pPr>
            <w:r w:rsidRPr="001D6512">
              <w:rPr>
                <w:rFonts w:cs="Arial"/>
                <w:szCs w:val="18"/>
              </w:rPr>
              <w:t>Tier 3: ≥2.40</w:t>
            </w:r>
          </w:p>
        </w:tc>
        <w:tc>
          <w:tcPr>
            <w:tcW w:w="1128" w:type="pct"/>
            <w:shd w:val="clear" w:color="auto" w:fill="auto"/>
          </w:tcPr>
          <w:p w:rsidR="00B20792" w:rsidRPr="001D6512" w:rsidRDefault="00B20792" w:rsidP="00B20792">
            <w:pPr>
              <w:pStyle w:val="TableCell"/>
              <w:spacing w:before="60" w:after="60"/>
              <w:rPr>
                <w:rFonts w:cs="Arial"/>
              </w:rPr>
            </w:pPr>
            <w:r w:rsidRPr="001D6512">
              <w:rPr>
                <w:rFonts w:cs="Arial"/>
              </w:rPr>
              <w:t>1</w:t>
            </w:r>
          </w:p>
        </w:tc>
      </w:tr>
      <w:tr w:rsidR="00B20792" w:rsidRPr="006E0899" w:rsidTr="00871FA2">
        <w:trPr>
          <w:trHeight w:val="374"/>
          <w:jc w:val="center"/>
        </w:trPr>
        <w:tc>
          <w:tcPr>
            <w:tcW w:w="2195" w:type="pct"/>
            <w:shd w:val="clear" w:color="auto" w:fill="auto"/>
          </w:tcPr>
          <w:p w:rsidR="00B20792" w:rsidRPr="001D6512" w:rsidRDefault="0071135C" w:rsidP="00B20792">
            <w:pPr>
              <w:pStyle w:val="TableCell"/>
              <w:spacing w:before="60" w:after="60"/>
              <w:rPr>
                <w:rFonts w:cs="Arial"/>
              </w:rPr>
            </w:pPr>
            <w:r w:rsidRPr="001D6512">
              <w:rPr>
                <w:rStyle w:val="st"/>
              </w:rPr>
              <w:t>ΔkWh</w:t>
            </w:r>
            <w:r w:rsidRPr="001D6512">
              <w:rPr>
                <w:rStyle w:val="st"/>
                <w:vertAlign w:val="subscript"/>
              </w:rPr>
              <w:t>load</w:t>
            </w:r>
            <w:r w:rsidR="001C4301" w:rsidRPr="001D6512">
              <w:rPr>
                <w:rStyle w:val="FootnoteReference"/>
              </w:rPr>
              <w:footnoteReference w:id="233"/>
            </w:r>
            <w:r w:rsidRPr="001D6512">
              <w:rPr>
                <w:rStyle w:val="st"/>
                <w:vertAlign w:val="subscript"/>
              </w:rPr>
              <w:t xml:space="preserve"> </w:t>
            </w:r>
            <w:r w:rsidRPr="001D6512">
              <w:rPr>
                <w:rStyle w:val="st"/>
              </w:rPr>
              <w:t>, Difference in Electricity Consumption per Load of Laundry between Baseline and Efficient Equipment</w:t>
            </w:r>
            <w:r w:rsidRPr="001D6512">
              <w:rPr>
                <w:rStyle w:val="st"/>
                <w:vertAlign w:val="subscript"/>
              </w:rPr>
              <w:t xml:space="preserve">     </w:t>
            </w:r>
          </w:p>
        </w:tc>
        <w:tc>
          <w:tcPr>
            <w:tcW w:w="762" w:type="pct"/>
            <w:shd w:val="clear" w:color="auto" w:fill="auto"/>
          </w:tcPr>
          <w:p w:rsidR="00B20792" w:rsidRPr="001D6512" w:rsidRDefault="0071135C" w:rsidP="0053432F">
            <w:pPr>
              <w:pStyle w:val="TableCell"/>
              <w:spacing w:before="60" w:after="60"/>
              <w:rPr>
                <w:rFonts w:cs="Arial"/>
              </w:rPr>
            </w:pPr>
            <w:r w:rsidRPr="001D6512">
              <w:rPr>
                <w:rFonts w:cs="Arial"/>
              </w:rPr>
              <w:t>Fixed</w:t>
            </w:r>
          </w:p>
        </w:tc>
        <w:tc>
          <w:tcPr>
            <w:tcW w:w="915" w:type="pct"/>
            <w:shd w:val="clear" w:color="auto" w:fill="auto"/>
          </w:tcPr>
          <w:p w:rsidR="00970C33" w:rsidRPr="001D6512" w:rsidRDefault="00970C33" w:rsidP="00B20792">
            <w:pPr>
              <w:pStyle w:val="TableCell"/>
              <w:spacing w:before="60" w:after="60"/>
              <w:rPr>
                <w:rFonts w:cs="Arial"/>
                <w:szCs w:val="18"/>
              </w:rPr>
            </w:pPr>
          </w:p>
          <w:p w:rsidR="00B20792" w:rsidRPr="001D6512" w:rsidRDefault="00970C33" w:rsidP="00B20792">
            <w:pPr>
              <w:pStyle w:val="TableCell"/>
              <w:spacing w:before="60" w:after="60"/>
              <w:rPr>
                <w:rFonts w:cs="Arial"/>
              </w:rPr>
            </w:pPr>
            <w:r w:rsidRPr="001D6512">
              <w:rPr>
                <w:rFonts w:cs="Arial"/>
                <w:szCs w:val="18"/>
              </w:rPr>
              <w:t>Table 3-85</w:t>
            </w:r>
          </w:p>
        </w:tc>
        <w:tc>
          <w:tcPr>
            <w:tcW w:w="1128" w:type="pct"/>
            <w:shd w:val="clear" w:color="auto" w:fill="auto"/>
          </w:tcPr>
          <w:p w:rsidR="00B20792" w:rsidRPr="001D6512" w:rsidRDefault="00970C33" w:rsidP="0053432F">
            <w:pPr>
              <w:pStyle w:val="TableCell"/>
              <w:spacing w:before="60" w:after="60"/>
              <w:rPr>
                <w:rFonts w:cs="Arial"/>
              </w:rPr>
            </w:pPr>
            <w:r w:rsidRPr="001D6512">
              <w:rPr>
                <w:rFonts w:cs="Arial"/>
              </w:rPr>
              <w:t>2</w:t>
            </w:r>
          </w:p>
        </w:tc>
      </w:tr>
      <w:tr w:rsidR="00B20792" w:rsidRPr="006E0899" w:rsidTr="00871FA2">
        <w:trPr>
          <w:trHeight w:val="374"/>
          <w:jc w:val="center"/>
        </w:trPr>
        <w:tc>
          <w:tcPr>
            <w:tcW w:w="2195" w:type="pct"/>
            <w:shd w:val="clear" w:color="auto" w:fill="auto"/>
          </w:tcPr>
          <w:p w:rsidR="00B20792" w:rsidRPr="001D6512" w:rsidRDefault="00B20792" w:rsidP="00B20792">
            <w:pPr>
              <w:pStyle w:val="TableCell"/>
              <w:spacing w:before="60" w:after="60"/>
              <w:rPr>
                <w:rFonts w:cs="Arial"/>
              </w:rPr>
            </w:pPr>
            <w:r w:rsidRPr="001D6512">
              <w:rPr>
                <w:rFonts w:cs="Arial"/>
                <w:szCs w:val="18"/>
              </w:rPr>
              <w:t>Loads, Number of Loads per Year</w:t>
            </w:r>
          </w:p>
        </w:tc>
        <w:tc>
          <w:tcPr>
            <w:tcW w:w="762" w:type="pct"/>
            <w:shd w:val="clear" w:color="auto" w:fill="auto"/>
          </w:tcPr>
          <w:p w:rsidR="00B20792" w:rsidRPr="001D6512" w:rsidRDefault="00B20792" w:rsidP="00B20792">
            <w:pPr>
              <w:pStyle w:val="TableCell"/>
              <w:spacing w:before="60" w:after="60"/>
              <w:rPr>
                <w:rFonts w:cs="Arial"/>
              </w:rPr>
            </w:pPr>
            <w:r w:rsidRPr="001D6512">
              <w:rPr>
                <w:rFonts w:cs="Arial"/>
              </w:rPr>
              <w:t>Fixed</w:t>
            </w:r>
          </w:p>
        </w:tc>
        <w:tc>
          <w:tcPr>
            <w:tcW w:w="915" w:type="pct"/>
            <w:shd w:val="clear" w:color="auto" w:fill="auto"/>
          </w:tcPr>
          <w:p w:rsidR="00B20792" w:rsidRPr="001D6512" w:rsidRDefault="00B20792" w:rsidP="00B20792">
            <w:pPr>
              <w:pStyle w:val="TableCell"/>
              <w:spacing w:before="60" w:after="60"/>
              <w:rPr>
                <w:rFonts w:cs="Arial"/>
              </w:rPr>
            </w:pPr>
            <w:r w:rsidRPr="001D6512">
              <w:rPr>
                <w:rFonts w:cs="Arial"/>
                <w:szCs w:val="18"/>
              </w:rPr>
              <w:t>950 loads</w:t>
            </w:r>
          </w:p>
        </w:tc>
        <w:tc>
          <w:tcPr>
            <w:tcW w:w="1128" w:type="pct"/>
            <w:shd w:val="clear" w:color="auto" w:fill="auto"/>
          </w:tcPr>
          <w:p w:rsidR="00B20792" w:rsidRPr="001D6512" w:rsidRDefault="00B20792" w:rsidP="00B20792">
            <w:pPr>
              <w:pStyle w:val="TableCell"/>
              <w:spacing w:before="60" w:after="60"/>
              <w:rPr>
                <w:rFonts w:cs="Arial"/>
              </w:rPr>
            </w:pPr>
            <w:r w:rsidRPr="001D6512">
              <w:rPr>
                <w:rFonts w:cs="Arial"/>
              </w:rPr>
              <w:t>2</w:t>
            </w:r>
          </w:p>
        </w:tc>
      </w:tr>
      <w:tr w:rsidR="00B20792" w:rsidRPr="006E0899" w:rsidTr="00871FA2">
        <w:trPr>
          <w:trHeight w:val="374"/>
          <w:jc w:val="center"/>
        </w:trPr>
        <w:tc>
          <w:tcPr>
            <w:tcW w:w="2195" w:type="pct"/>
            <w:shd w:val="clear" w:color="auto" w:fill="auto"/>
          </w:tcPr>
          <w:p w:rsidR="00B20792" w:rsidRPr="001D6512" w:rsidRDefault="00B20792" w:rsidP="00B20792">
            <w:pPr>
              <w:pStyle w:val="TableCell"/>
              <w:spacing w:before="60" w:after="60"/>
              <w:rPr>
                <w:rFonts w:cs="Arial"/>
              </w:rPr>
            </w:pPr>
            <w:r w:rsidRPr="001D6512">
              <w:rPr>
                <w:rFonts w:cs="Arial"/>
                <w:szCs w:val="18"/>
              </w:rPr>
              <w:t>UF, Utilization Factor</w:t>
            </w:r>
          </w:p>
        </w:tc>
        <w:tc>
          <w:tcPr>
            <w:tcW w:w="762" w:type="pct"/>
            <w:shd w:val="clear" w:color="auto" w:fill="auto"/>
          </w:tcPr>
          <w:p w:rsidR="00B20792" w:rsidRPr="001D6512" w:rsidRDefault="00B20792" w:rsidP="00B20792">
            <w:pPr>
              <w:pStyle w:val="TableCell"/>
              <w:spacing w:before="60" w:after="60"/>
              <w:rPr>
                <w:rFonts w:cs="Arial"/>
              </w:rPr>
            </w:pPr>
            <w:r w:rsidRPr="001D6512">
              <w:rPr>
                <w:rFonts w:cs="Arial"/>
              </w:rPr>
              <w:t>Fixed</w:t>
            </w:r>
          </w:p>
        </w:tc>
        <w:tc>
          <w:tcPr>
            <w:tcW w:w="915" w:type="pct"/>
            <w:shd w:val="clear" w:color="auto" w:fill="auto"/>
          </w:tcPr>
          <w:p w:rsidR="00B20792" w:rsidRPr="001D6512" w:rsidRDefault="00B20792" w:rsidP="00B20792">
            <w:pPr>
              <w:pStyle w:val="TableCell"/>
              <w:spacing w:before="60" w:after="60"/>
              <w:rPr>
                <w:rFonts w:cs="Arial"/>
              </w:rPr>
            </w:pPr>
            <w:r w:rsidRPr="001D6512">
              <w:rPr>
                <w:rFonts w:cs="Arial"/>
                <w:szCs w:val="18"/>
              </w:rPr>
              <w:t>0.0002382</w:t>
            </w:r>
          </w:p>
        </w:tc>
        <w:tc>
          <w:tcPr>
            <w:tcW w:w="1128" w:type="pct"/>
            <w:shd w:val="clear" w:color="auto" w:fill="auto"/>
          </w:tcPr>
          <w:p w:rsidR="00B20792" w:rsidRPr="001D6512" w:rsidRDefault="00B20792" w:rsidP="00B20792">
            <w:pPr>
              <w:pStyle w:val="TableCell"/>
              <w:spacing w:before="60" w:after="60"/>
              <w:rPr>
                <w:rFonts w:cs="Arial"/>
              </w:rPr>
            </w:pPr>
            <w:r w:rsidRPr="001D6512">
              <w:rPr>
                <w:rFonts w:cs="Arial"/>
              </w:rPr>
              <w:t>3</w:t>
            </w:r>
          </w:p>
        </w:tc>
      </w:tr>
    </w:tbl>
    <w:p w:rsidR="00B20792" w:rsidRDefault="00B20792" w:rsidP="00B20792">
      <w:pPr>
        <w:pStyle w:val="BodyText"/>
        <w:rPr>
          <w:b/>
        </w:rPr>
      </w:pPr>
    </w:p>
    <w:p w:rsidR="00B20792" w:rsidRPr="00E912F1" w:rsidRDefault="00B20792" w:rsidP="00B20792">
      <w:pPr>
        <w:pStyle w:val="BodyText"/>
        <w:rPr>
          <w:b/>
        </w:rPr>
      </w:pPr>
      <w:r w:rsidRPr="00E912F1">
        <w:rPr>
          <w:b/>
        </w:rPr>
        <w:t>Sources:</w:t>
      </w:r>
    </w:p>
    <w:p w:rsidR="00B20792" w:rsidRPr="00B20792" w:rsidRDefault="00B20792" w:rsidP="0005632A">
      <w:pPr>
        <w:pStyle w:val="source1"/>
        <w:numPr>
          <w:ilvl w:val="0"/>
          <w:numId w:val="93"/>
        </w:numPr>
        <w:rPr>
          <w:rFonts w:cs="Times New Roman"/>
        </w:rPr>
      </w:pPr>
      <w:r w:rsidRPr="00B20792">
        <w:rPr>
          <w:rFonts w:cs="Times New Roman"/>
        </w:rPr>
        <w:t>Consortium for Energy Efficiency: http://www.cee1.org/resid/seha/rwsh/reswash_specs.pdf</w:t>
      </w:r>
    </w:p>
    <w:p w:rsidR="00B20792" w:rsidRPr="008029D4" w:rsidRDefault="00B20792" w:rsidP="0005632A">
      <w:pPr>
        <w:pStyle w:val="source1"/>
        <w:numPr>
          <w:ilvl w:val="0"/>
          <w:numId w:val="27"/>
        </w:numPr>
        <w:rPr>
          <w:rStyle w:val="Hyperlink"/>
        </w:rPr>
      </w:pPr>
      <w:r w:rsidRPr="008029D4">
        <w:rPr>
          <w:rStyle w:val="Hyperlink"/>
        </w:rPr>
        <w:t xml:space="preserve">ENERGY STAR calculator for Commercial Clothes Washers, Multi-Family Laundry Association, </w:t>
      </w:r>
      <w:r w:rsidR="00970C33">
        <w:rPr>
          <w:rStyle w:val="Hyperlink"/>
        </w:rPr>
        <w:t>July</w:t>
      </w:r>
      <w:r w:rsidRPr="008029D4">
        <w:rPr>
          <w:rStyle w:val="Hyperlink"/>
        </w:rPr>
        <w:t xml:space="preserve"> 20</w:t>
      </w:r>
      <w:r w:rsidR="00970C33">
        <w:rPr>
          <w:rStyle w:val="Hyperlink"/>
        </w:rPr>
        <w:t>11</w:t>
      </w:r>
    </w:p>
    <w:p w:rsidR="00B20792" w:rsidRPr="005922F0" w:rsidRDefault="00B20792" w:rsidP="0005632A">
      <w:pPr>
        <w:pStyle w:val="source1"/>
        <w:numPr>
          <w:ilvl w:val="0"/>
          <w:numId w:val="27"/>
        </w:numPr>
        <w:rPr>
          <w:rFonts w:cs="Times New Roman"/>
        </w:rPr>
      </w:pPr>
      <w:r w:rsidRPr="009E4E23">
        <w:rPr>
          <w:rFonts w:cs="Times New Roman"/>
        </w:rPr>
        <w:t xml:space="preserve">Annual hourly load shapes taken from Energy Environment and Economics (E3), Resviewer2: </w:t>
      </w:r>
      <w:hyperlink r:id="rId53" w:history="1">
        <w:r w:rsidRPr="009E4E23">
          <w:t>http://www.ethree.com/cpuc_cee_tools.html</w:t>
        </w:r>
      </w:hyperlink>
      <w:r w:rsidRPr="009E4E23">
        <w:rPr>
          <w:rFonts w:cs="Times New Roman"/>
        </w:rPr>
        <w:t>.  The average normalized usage for the hours noon to 8 PM, Monday through Friday, June 1 to September 30 is 0.000243</w:t>
      </w:r>
    </w:p>
    <w:p w:rsidR="00B20792" w:rsidRPr="00C465DB" w:rsidRDefault="00B20792" w:rsidP="00871FA2">
      <w:pPr>
        <w:pStyle w:val="Heading3"/>
      </w:pPr>
      <w:r w:rsidRPr="00837206">
        <w:t>Deemed Savings</w:t>
      </w:r>
    </w:p>
    <w:p w:rsidR="00B20792" w:rsidRPr="003B1EA8" w:rsidRDefault="00B20792" w:rsidP="00F05DC2">
      <w:r w:rsidRPr="003B1EA8">
        <w:t xml:space="preserve">The deemed savings for the installation of a washing machine with a MEF of </w:t>
      </w:r>
      <w:r>
        <w:t>2.</w:t>
      </w:r>
      <w:r w:rsidRPr="003B1EA8">
        <w:t xml:space="preserve">0 or higher, is </w:t>
      </w:r>
      <w:r w:rsidR="00C131CF">
        <w:t>dependent on the energy source for washer</w:t>
      </w:r>
      <w:r w:rsidRPr="003B1EA8">
        <w:t xml:space="preserve">. The table below shows savings for washing machines </w:t>
      </w:r>
      <w:r w:rsidR="00970C33">
        <w:t>for different combinations of water heater and dryer types.The values are based on the difference between the average of all qualified models and the average of all unqualified models.</w:t>
      </w:r>
    </w:p>
    <w:p w:rsidR="00B20792" w:rsidRDefault="00B20792" w:rsidP="00B20792">
      <w:pPr>
        <w:pStyle w:val="Caption"/>
      </w:pPr>
      <w:bookmarkStart w:id="1295" w:name="_Ref297018634"/>
      <w:bookmarkStart w:id="1296" w:name="_Toc310875637"/>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85</w:t>
      </w:r>
      <w:r w:rsidR="00274AB1">
        <w:rPr>
          <w:noProof/>
        </w:rPr>
        <w:fldChar w:fldCharType="end"/>
      </w:r>
      <w:r>
        <w:t xml:space="preserve">: </w:t>
      </w:r>
      <w:r w:rsidR="00C131CF">
        <w:t>Deemed</w:t>
      </w:r>
      <w:r w:rsidRPr="00D4673F">
        <w:t xml:space="preserve"> Savings for </w:t>
      </w:r>
      <w:r w:rsidR="00C131CF">
        <w:t>ENERGY STAR</w:t>
      </w:r>
      <w:r w:rsidRPr="00D4673F">
        <w:t xml:space="preserve"> </w:t>
      </w:r>
      <w:r w:rsidR="00C131CF">
        <w:t>Clothes</w:t>
      </w:r>
      <w:r w:rsidRPr="00D4673F">
        <w:t xml:space="preserve"> Wash</w:t>
      </w:r>
      <w:r w:rsidR="00C131CF">
        <w:t>er</w:t>
      </w:r>
      <w:bookmarkEnd w:id="1295"/>
      <w:bookmarkEnd w:id="129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20"/>
        <w:gridCol w:w="990"/>
        <w:gridCol w:w="1080"/>
        <w:gridCol w:w="1583"/>
        <w:gridCol w:w="1583"/>
      </w:tblGrid>
      <w:tr w:rsidR="0053432F" w:rsidTr="0053432F">
        <w:trPr>
          <w:trHeight w:val="374"/>
        </w:trPr>
        <w:tc>
          <w:tcPr>
            <w:tcW w:w="2043" w:type="pct"/>
            <w:shd w:val="clear" w:color="auto" w:fill="D9D9D9"/>
          </w:tcPr>
          <w:p w:rsidR="0053432F" w:rsidRDefault="0053432F" w:rsidP="00B20792">
            <w:pPr>
              <w:keepNext/>
              <w:spacing w:before="60" w:after="60"/>
              <w:rPr>
                <w:b/>
                <w:color w:val="000000"/>
                <w:sz w:val="18"/>
                <w:szCs w:val="18"/>
              </w:rPr>
            </w:pPr>
            <w:r>
              <w:rPr>
                <w:b/>
                <w:color w:val="000000"/>
                <w:sz w:val="18"/>
                <w:szCs w:val="18"/>
              </w:rPr>
              <w:t>Fuel Source</w:t>
            </w:r>
          </w:p>
        </w:tc>
        <w:tc>
          <w:tcPr>
            <w:tcW w:w="559" w:type="pct"/>
            <w:shd w:val="clear" w:color="auto" w:fill="D9D9D9"/>
          </w:tcPr>
          <w:p w:rsidR="0053432F" w:rsidRDefault="0053432F" w:rsidP="00B20792">
            <w:pPr>
              <w:keepNext/>
              <w:spacing w:before="60" w:after="60"/>
              <w:rPr>
                <w:b/>
                <w:color w:val="000000"/>
                <w:sz w:val="18"/>
                <w:szCs w:val="18"/>
              </w:rPr>
            </w:pPr>
            <w:r w:rsidRPr="003B1EA8">
              <w:rPr>
                <w:b/>
                <w:color w:val="000000"/>
                <w:sz w:val="18"/>
                <w:szCs w:val="18"/>
              </w:rPr>
              <w:t>Cycles/</w:t>
            </w:r>
            <w:r>
              <w:rPr>
                <w:b/>
                <w:color w:val="000000"/>
                <w:sz w:val="18"/>
                <w:szCs w:val="18"/>
              </w:rPr>
              <w:br/>
            </w:r>
            <w:r w:rsidRPr="003B1EA8">
              <w:rPr>
                <w:b/>
                <w:color w:val="000000"/>
                <w:sz w:val="18"/>
                <w:szCs w:val="18"/>
              </w:rPr>
              <w:t>Year</w:t>
            </w:r>
          </w:p>
        </w:tc>
        <w:tc>
          <w:tcPr>
            <w:tcW w:w="610" w:type="pct"/>
            <w:shd w:val="clear" w:color="auto" w:fill="D9D9D9"/>
          </w:tcPr>
          <w:p w:rsidR="0053432F" w:rsidRPr="0053432F" w:rsidRDefault="0053432F" w:rsidP="0053432F">
            <w:pPr>
              <w:keepNext/>
              <w:spacing w:before="60" w:after="60"/>
              <w:rPr>
                <w:b/>
                <w:color w:val="000000"/>
                <w:sz w:val="18"/>
                <w:szCs w:val="18"/>
              </w:rPr>
            </w:pPr>
            <w:r w:rsidRPr="0053432F">
              <w:rPr>
                <w:rStyle w:val="st"/>
                <w:b/>
              </w:rPr>
              <w:t>ΔkWh</w:t>
            </w:r>
            <w:r w:rsidRPr="0053432F">
              <w:rPr>
                <w:rStyle w:val="st"/>
                <w:b/>
                <w:vertAlign w:val="subscript"/>
              </w:rPr>
              <w:t>load</w:t>
            </w:r>
          </w:p>
        </w:tc>
        <w:tc>
          <w:tcPr>
            <w:tcW w:w="894" w:type="pct"/>
            <w:shd w:val="clear" w:color="auto" w:fill="D9D9D9"/>
          </w:tcPr>
          <w:p w:rsidR="0053432F" w:rsidRDefault="0053432F" w:rsidP="00B20792">
            <w:pPr>
              <w:keepNext/>
              <w:spacing w:before="60" w:after="60"/>
              <w:rPr>
                <w:b/>
                <w:color w:val="000000"/>
                <w:sz w:val="18"/>
                <w:szCs w:val="18"/>
              </w:rPr>
            </w:pPr>
            <w:r>
              <w:rPr>
                <w:b/>
                <w:color w:val="000000"/>
                <w:sz w:val="18"/>
                <w:szCs w:val="18"/>
              </w:rPr>
              <w:t xml:space="preserve">Energy </w:t>
            </w:r>
            <w:r w:rsidRPr="003B1EA8">
              <w:rPr>
                <w:b/>
                <w:color w:val="000000"/>
                <w:sz w:val="18"/>
                <w:szCs w:val="18"/>
              </w:rPr>
              <w:t>Savings</w:t>
            </w:r>
            <w:r>
              <w:rPr>
                <w:b/>
                <w:color w:val="000000"/>
                <w:sz w:val="18"/>
                <w:szCs w:val="18"/>
              </w:rPr>
              <w:t xml:space="preserve"> (</w:t>
            </w:r>
            <w:r w:rsidRPr="003B1EA8">
              <w:rPr>
                <w:b/>
                <w:color w:val="000000"/>
                <w:sz w:val="18"/>
                <w:szCs w:val="18"/>
              </w:rPr>
              <w:t>kWh</w:t>
            </w:r>
            <w:r>
              <w:rPr>
                <w:b/>
                <w:color w:val="000000"/>
                <w:sz w:val="18"/>
                <w:szCs w:val="18"/>
              </w:rPr>
              <w:t>)</w:t>
            </w:r>
          </w:p>
        </w:tc>
        <w:tc>
          <w:tcPr>
            <w:tcW w:w="895" w:type="pct"/>
            <w:shd w:val="clear" w:color="auto" w:fill="D9D9D9"/>
          </w:tcPr>
          <w:p w:rsidR="0053432F" w:rsidRDefault="0053432F" w:rsidP="00B20792">
            <w:pPr>
              <w:keepNext/>
              <w:spacing w:before="60" w:after="60"/>
              <w:rPr>
                <w:b/>
                <w:color w:val="000000"/>
                <w:sz w:val="18"/>
                <w:szCs w:val="18"/>
              </w:rPr>
            </w:pPr>
            <w:r>
              <w:rPr>
                <w:b/>
                <w:color w:val="000000"/>
                <w:sz w:val="18"/>
                <w:szCs w:val="18"/>
              </w:rPr>
              <w:t xml:space="preserve">Demand </w:t>
            </w:r>
            <w:r w:rsidRPr="003B1EA8">
              <w:rPr>
                <w:b/>
                <w:color w:val="000000"/>
                <w:sz w:val="18"/>
                <w:szCs w:val="18"/>
              </w:rPr>
              <w:t>Reduction</w:t>
            </w:r>
            <w:r>
              <w:rPr>
                <w:b/>
                <w:color w:val="000000"/>
                <w:sz w:val="18"/>
                <w:szCs w:val="18"/>
              </w:rPr>
              <w:t xml:space="preserve"> (</w:t>
            </w:r>
            <w:r w:rsidRPr="003B1EA8">
              <w:rPr>
                <w:b/>
                <w:color w:val="000000"/>
                <w:sz w:val="18"/>
                <w:szCs w:val="18"/>
              </w:rPr>
              <w:t>kW</w:t>
            </w:r>
            <w:r>
              <w:rPr>
                <w:b/>
                <w:color w:val="000000"/>
                <w:sz w:val="18"/>
                <w:szCs w:val="18"/>
              </w:rPr>
              <w:t>)</w:t>
            </w:r>
          </w:p>
        </w:tc>
      </w:tr>
      <w:tr w:rsidR="0053432F" w:rsidTr="0053432F">
        <w:trPr>
          <w:trHeight w:val="374"/>
        </w:trPr>
        <w:tc>
          <w:tcPr>
            <w:tcW w:w="2043" w:type="pct"/>
          </w:tcPr>
          <w:p w:rsidR="0053432F" w:rsidRDefault="0053432F" w:rsidP="00B20792">
            <w:pPr>
              <w:keepNext/>
              <w:spacing w:before="60" w:after="60"/>
              <w:rPr>
                <w:color w:val="000000"/>
                <w:sz w:val="18"/>
                <w:szCs w:val="18"/>
              </w:rPr>
            </w:pPr>
            <w:r w:rsidRPr="00970C33">
              <w:rPr>
                <w:color w:val="000000"/>
                <w:sz w:val="18"/>
                <w:szCs w:val="18"/>
              </w:rPr>
              <w:t xml:space="preserve"> Electric Hot Water Heater</w:t>
            </w:r>
            <w:r>
              <w:rPr>
                <w:color w:val="000000"/>
                <w:sz w:val="18"/>
                <w:szCs w:val="18"/>
              </w:rPr>
              <w:t xml:space="preserve">, </w:t>
            </w:r>
            <w:r w:rsidRPr="00970C33">
              <w:rPr>
                <w:color w:val="000000"/>
                <w:sz w:val="18"/>
                <w:szCs w:val="18"/>
              </w:rPr>
              <w:t xml:space="preserve"> Electric Dryer</w:t>
            </w:r>
          </w:p>
        </w:tc>
        <w:tc>
          <w:tcPr>
            <w:tcW w:w="559" w:type="pct"/>
          </w:tcPr>
          <w:p w:rsidR="0053432F" w:rsidRDefault="0053432F" w:rsidP="00B20792">
            <w:pPr>
              <w:keepNext/>
              <w:spacing w:before="60" w:after="60"/>
              <w:rPr>
                <w:color w:val="000000"/>
                <w:sz w:val="18"/>
                <w:szCs w:val="18"/>
              </w:rPr>
            </w:pPr>
            <w:r>
              <w:rPr>
                <w:color w:val="000000"/>
                <w:sz w:val="18"/>
                <w:szCs w:val="18"/>
              </w:rPr>
              <w:t>950</w:t>
            </w:r>
          </w:p>
        </w:tc>
        <w:tc>
          <w:tcPr>
            <w:tcW w:w="610" w:type="pct"/>
          </w:tcPr>
          <w:p w:rsidR="0053432F" w:rsidRDefault="0053432F" w:rsidP="0053432F">
            <w:pPr>
              <w:keepNext/>
              <w:spacing w:before="60" w:after="60"/>
              <w:rPr>
                <w:color w:val="000000"/>
                <w:sz w:val="18"/>
                <w:szCs w:val="18"/>
              </w:rPr>
            </w:pPr>
            <w:r>
              <w:rPr>
                <w:color w:val="000000"/>
                <w:sz w:val="18"/>
                <w:szCs w:val="18"/>
              </w:rPr>
              <w:t>0.57</w:t>
            </w:r>
          </w:p>
        </w:tc>
        <w:tc>
          <w:tcPr>
            <w:tcW w:w="894" w:type="pct"/>
            <w:vAlign w:val="bottom"/>
          </w:tcPr>
          <w:p w:rsidR="0053432F" w:rsidRDefault="0053432F" w:rsidP="0053432F">
            <w:pPr>
              <w:keepNext/>
              <w:spacing w:before="60" w:after="60"/>
              <w:rPr>
                <w:color w:val="000000"/>
                <w:sz w:val="18"/>
                <w:szCs w:val="18"/>
              </w:rPr>
            </w:pPr>
            <w:r>
              <w:rPr>
                <w:rFonts w:cs="Arial"/>
              </w:rPr>
              <w:t>541</w:t>
            </w:r>
          </w:p>
        </w:tc>
        <w:tc>
          <w:tcPr>
            <w:tcW w:w="895" w:type="pct"/>
            <w:vAlign w:val="bottom"/>
          </w:tcPr>
          <w:p w:rsidR="0053432F" w:rsidRDefault="00D74AE2" w:rsidP="00B20792">
            <w:pPr>
              <w:keepNext/>
              <w:spacing w:before="60" w:after="60"/>
              <w:rPr>
                <w:color w:val="000000"/>
                <w:sz w:val="18"/>
                <w:szCs w:val="18"/>
              </w:rPr>
            </w:pPr>
            <w:r w:rsidRPr="00D74AE2">
              <w:t>0.</w:t>
            </w:r>
            <w:r w:rsidR="0053432F">
              <w:rPr>
                <w:rFonts w:cs="Arial"/>
              </w:rPr>
              <w:t>129</w:t>
            </w:r>
          </w:p>
        </w:tc>
      </w:tr>
      <w:tr w:rsidR="0053432F" w:rsidTr="0053432F">
        <w:trPr>
          <w:trHeight w:val="374"/>
        </w:trPr>
        <w:tc>
          <w:tcPr>
            <w:tcW w:w="2043" w:type="pct"/>
          </w:tcPr>
          <w:p w:rsidR="0053432F" w:rsidRDefault="0053432F" w:rsidP="00B20792">
            <w:pPr>
              <w:spacing w:before="60" w:after="60"/>
              <w:rPr>
                <w:color w:val="000000"/>
                <w:sz w:val="18"/>
                <w:szCs w:val="18"/>
              </w:rPr>
            </w:pPr>
            <w:r w:rsidRPr="005F3FBB">
              <w:rPr>
                <w:color w:val="000000"/>
                <w:sz w:val="18"/>
                <w:szCs w:val="18"/>
              </w:rPr>
              <w:t>Electric Hot Water Heater</w:t>
            </w:r>
            <w:r>
              <w:rPr>
                <w:color w:val="000000"/>
                <w:sz w:val="18"/>
                <w:szCs w:val="18"/>
              </w:rPr>
              <w:t>, Gas</w:t>
            </w:r>
            <w:r w:rsidRPr="005F3FBB">
              <w:rPr>
                <w:color w:val="000000"/>
                <w:sz w:val="18"/>
                <w:szCs w:val="18"/>
              </w:rPr>
              <w:t xml:space="preserve"> Dryer</w:t>
            </w:r>
          </w:p>
        </w:tc>
        <w:tc>
          <w:tcPr>
            <w:tcW w:w="559" w:type="pct"/>
          </w:tcPr>
          <w:p w:rsidR="0053432F" w:rsidRDefault="0053432F" w:rsidP="00B20792">
            <w:pPr>
              <w:spacing w:before="60" w:after="60"/>
              <w:rPr>
                <w:color w:val="000000"/>
                <w:sz w:val="18"/>
                <w:szCs w:val="18"/>
              </w:rPr>
            </w:pPr>
            <w:r>
              <w:rPr>
                <w:color w:val="000000"/>
                <w:sz w:val="18"/>
                <w:szCs w:val="18"/>
              </w:rPr>
              <w:t>950</w:t>
            </w:r>
          </w:p>
        </w:tc>
        <w:tc>
          <w:tcPr>
            <w:tcW w:w="610" w:type="pct"/>
          </w:tcPr>
          <w:p w:rsidR="0053432F" w:rsidRDefault="0053432F" w:rsidP="0053432F">
            <w:pPr>
              <w:spacing w:before="60" w:after="60"/>
              <w:rPr>
                <w:color w:val="000000"/>
                <w:sz w:val="18"/>
                <w:szCs w:val="18"/>
              </w:rPr>
            </w:pPr>
            <w:r>
              <w:rPr>
                <w:color w:val="000000"/>
                <w:sz w:val="18"/>
                <w:szCs w:val="18"/>
              </w:rPr>
              <w:t>0.36</w:t>
            </w:r>
          </w:p>
        </w:tc>
        <w:tc>
          <w:tcPr>
            <w:tcW w:w="894" w:type="pct"/>
            <w:vAlign w:val="bottom"/>
          </w:tcPr>
          <w:p w:rsidR="0053432F" w:rsidRDefault="0053432F" w:rsidP="0053432F">
            <w:pPr>
              <w:spacing w:before="60" w:after="60"/>
              <w:rPr>
                <w:color w:val="000000"/>
                <w:sz w:val="18"/>
                <w:szCs w:val="18"/>
              </w:rPr>
            </w:pPr>
            <w:r>
              <w:rPr>
                <w:rFonts w:cs="Arial"/>
              </w:rPr>
              <w:t>342</w:t>
            </w:r>
          </w:p>
        </w:tc>
        <w:tc>
          <w:tcPr>
            <w:tcW w:w="895" w:type="pct"/>
            <w:vAlign w:val="bottom"/>
          </w:tcPr>
          <w:p w:rsidR="0053432F" w:rsidRDefault="00D74AE2" w:rsidP="00B20792">
            <w:pPr>
              <w:spacing w:before="60" w:after="60"/>
              <w:rPr>
                <w:color w:val="000000"/>
                <w:sz w:val="18"/>
                <w:szCs w:val="18"/>
              </w:rPr>
            </w:pPr>
            <w:r w:rsidRPr="00D74AE2">
              <w:t>0.</w:t>
            </w:r>
            <w:r w:rsidR="0053432F">
              <w:rPr>
                <w:rFonts w:cs="Arial"/>
              </w:rPr>
              <w:t>081</w:t>
            </w:r>
          </w:p>
        </w:tc>
      </w:tr>
      <w:tr w:rsidR="0053432F" w:rsidTr="0053432F">
        <w:trPr>
          <w:trHeight w:val="374"/>
        </w:trPr>
        <w:tc>
          <w:tcPr>
            <w:tcW w:w="2043" w:type="pct"/>
          </w:tcPr>
          <w:p w:rsidR="0053432F" w:rsidRDefault="0053432F" w:rsidP="00B20792">
            <w:pPr>
              <w:spacing w:before="60" w:after="60"/>
              <w:rPr>
                <w:color w:val="000000"/>
                <w:sz w:val="18"/>
                <w:szCs w:val="18"/>
              </w:rPr>
            </w:pPr>
            <w:r w:rsidRPr="005F3FBB">
              <w:rPr>
                <w:color w:val="000000"/>
                <w:sz w:val="18"/>
                <w:szCs w:val="18"/>
              </w:rPr>
              <w:t>Electric Hot Water Heater</w:t>
            </w:r>
            <w:r>
              <w:rPr>
                <w:color w:val="000000"/>
                <w:sz w:val="18"/>
                <w:szCs w:val="18"/>
              </w:rPr>
              <w:t>, No</w:t>
            </w:r>
            <w:r w:rsidRPr="005F3FBB">
              <w:rPr>
                <w:color w:val="000000"/>
                <w:sz w:val="18"/>
                <w:szCs w:val="18"/>
              </w:rPr>
              <w:t xml:space="preserve"> Dryer</w:t>
            </w:r>
          </w:p>
        </w:tc>
        <w:tc>
          <w:tcPr>
            <w:tcW w:w="559" w:type="pct"/>
          </w:tcPr>
          <w:p w:rsidR="0053432F" w:rsidRDefault="0053432F" w:rsidP="0053432F">
            <w:pPr>
              <w:spacing w:before="60" w:after="60"/>
              <w:rPr>
                <w:color w:val="000000"/>
                <w:sz w:val="18"/>
                <w:szCs w:val="18"/>
              </w:rPr>
            </w:pPr>
            <w:r>
              <w:rPr>
                <w:color w:val="000000"/>
                <w:sz w:val="18"/>
                <w:szCs w:val="18"/>
              </w:rPr>
              <w:t>950</w:t>
            </w:r>
          </w:p>
        </w:tc>
        <w:tc>
          <w:tcPr>
            <w:tcW w:w="610" w:type="pct"/>
          </w:tcPr>
          <w:p w:rsidR="0053432F" w:rsidRDefault="0053432F" w:rsidP="0053432F">
            <w:pPr>
              <w:spacing w:before="60" w:after="60"/>
              <w:rPr>
                <w:color w:val="000000"/>
                <w:sz w:val="18"/>
                <w:szCs w:val="18"/>
              </w:rPr>
            </w:pPr>
            <w:r>
              <w:rPr>
                <w:color w:val="000000"/>
                <w:sz w:val="18"/>
                <w:szCs w:val="18"/>
              </w:rPr>
              <w:t>0.36</w:t>
            </w:r>
          </w:p>
        </w:tc>
        <w:tc>
          <w:tcPr>
            <w:tcW w:w="894" w:type="pct"/>
            <w:vAlign w:val="bottom"/>
          </w:tcPr>
          <w:p w:rsidR="0053432F" w:rsidRDefault="0053432F" w:rsidP="0053432F">
            <w:pPr>
              <w:spacing w:before="60" w:after="60"/>
              <w:rPr>
                <w:color w:val="000000"/>
                <w:sz w:val="18"/>
                <w:szCs w:val="18"/>
              </w:rPr>
            </w:pPr>
            <w:r>
              <w:rPr>
                <w:rFonts w:cs="Arial"/>
              </w:rPr>
              <w:t>342</w:t>
            </w:r>
          </w:p>
        </w:tc>
        <w:tc>
          <w:tcPr>
            <w:tcW w:w="895" w:type="pct"/>
            <w:vAlign w:val="bottom"/>
          </w:tcPr>
          <w:p w:rsidR="0053432F" w:rsidRDefault="00D74AE2" w:rsidP="00B20792">
            <w:pPr>
              <w:spacing w:before="60" w:after="60"/>
              <w:rPr>
                <w:color w:val="000000"/>
                <w:sz w:val="18"/>
                <w:szCs w:val="18"/>
              </w:rPr>
            </w:pPr>
            <w:r w:rsidRPr="00D74AE2">
              <w:t>0.</w:t>
            </w:r>
            <w:r w:rsidR="0053432F">
              <w:rPr>
                <w:rFonts w:cs="Arial"/>
              </w:rPr>
              <w:t>081</w:t>
            </w:r>
          </w:p>
        </w:tc>
      </w:tr>
      <w:tr w:rsidR="0053432F" w:rsidTr="0053432F">
        <w:trPr>
          <w:trHeight w:val="374"/>
        </w:trPr>
        <w:tc>
          <w:tcPr>
            <w:tcW w:w="2043" w:type="pct"/>
          </w:tcPr>
          <w:p w:rsidR="00F042B1" w:rsidRPr="003B1EA8" w:rsidDel="00970C33" w:rsidRDefault="00F042B1" w:rsidP="00970C33">
            <w:pPr>
              <w:spacing w:before="60" w:after="60"/>
              <w:rPr>
                <w:color w:val="000000"/>
                <w:sz w:val="18"/>
                <w:szCs w:val="18"/>
              </w:rPr>
            </w:pPr>
            <w:r>
              <w:rPr>
                <w:color w:val="000000"/>
                <w:sz w:val="18"/>
                <w:szCs w:val="18"/>
              </w:rPr>
              <w:t>Gas</w:t>
            </w:r>
            <w:r w:rsidRPr="005F3FBB">
              <w:rPr>
                <w:color w:val="000000"/>
                <w:sz w:val="18"/>
                <w:szCs w:val="18"/>
              </w:rPr>
              <w:t xml:space="preserve"> Hot Water Heater, </w:t>
            </w:r>
            <w:r>
              <w:rPr>
                <w:color w:val="000000"/>
                <w:sz w:val="18"/>
                <w:szCs w:val="18"/>
              </w:rPr>
              <w:t>Gas</w:t>
            </w:r>
            <w:r w:rsidRPr="005F3FBB">
              <w:rPr>
                <w:color w:val="000000"/>
                <w:sz w:val="18"/>
                <w:szCs w:val="18"/>
              </w:rPr>
              <w:t xml:space="preserve"> Dryer</w:t>
            </w:r>
          </w:p>
        </w:tc>
        <w:tc>
          <w:tcPr>
            <w:tcW w:w="559" w:type="pct"/>
          </w:tcPr>
          <w:p w:rsidR="00F042B1" w:rsidRDefault="00F042B1" w:rsidP="00B20792">
            <w:pPr>
              <w:spacing w:before="60" w:after="60"/>
              <w:rPr>
                <w:color w:val="000000"/>
                <w:sz w:val="18"/>
                <w:szCs w:val="18"/>
              </w:rPr>
            </w:pPr>
            <w:r w:rsidRPr="00C33049">
              <w:rPr>
                <w:color w:val="000000"/>
                <w:sz w:val="18"/>
                <w:szCs w:val="18"/>
              </w:rPr>
              <w:t>950</w:t>
            </w:r>
          </w:p>
        </w:tc>
        <w:tc>
          <w:tcPr>
            <w:tcW w:w="610" w:type="pct"/>
          </w:tcPr>
          <w:p w:rsidR="00F042B1" w:rsidRDefault="00F042B1" w:rsidP="00B20792">
            <w:pPr>
              <w:spacing w:before="60" w:after="60"/>
              <w:rPr>
                <w:color w:val="000000"/>
                <w:sz w:val="18"/>
                <w:szCs w:val="18"/>
              </w:rPr>
            </w:pPr>
            <w:r>
              <w:rPr>
                <w:color w:val="000000"/>
                <w:sz w:val="18"/>
                <w:szCs w:val="18"/>
              </w:rPr>
              <w:t>0.06</w:t>
            </w:r>
          </w:p>
        </w:tc>
        <w:tc>
          <w:tcPr>
            <w:tcW w:w="894" w:type="pct"/>
            <w:vAlign w:val="bottom"/>
          </w:tcPr>
          <w:p w:rsidR="00F042B1" w:rsidRDefault="00F042B1" w:rsidP="00F042B1">
            <w:pPr>
              <w:spacing w:before="60" w:after="60"/>
              <w:rPr>
                <w:color w:val="000000"/>
                <w:sz w:val="18"/>
                <w:szCs w:val="18"/>
              </w:rPr>
            </w:pPr>
            <w:r>
              <w:rPr>
                <w:rFonts w:cs="Arial"/>
              </w:rPr>
              <w:t>57</w:t>
            </w:r>
          </w:p>
        </w:tc>
        <w:tc>
          <w:tcPr>
            <w:tcW w:w="895" w:type="pct"/>
            <w:vAlign w:val="bottom"/>
          </w:tcPr>
          <w:p w:rsidR="00F042B1" w:rsidRDefault="00F042B1" w:rsidP="00F042B1">
            <w:pPr>
              <w:spacing w:before="60" w:after="60"/>
              <w:rPr>
                <w:color w:val="000000"/>
                <w:sz w:val="18"/>
                <w:szCs w:val="18"/>
              </w:rPr>
            </w:pPr>
            <w:r>
              <w:rPr>
                <w:rFonts w:cs="Arial"/>
              </w:rPr>
              <w:t>0.013</w:t>
            </w:r>
          </w:p>
        </w:tc>
      </w:tr>
      <w:tr w:rsidR="0053432F" w:rsidTr="0053432F">
        <w:trPr>
          <w:trHeight w:val="374"/>
        </w:trPr>
        <w:tc>
          <w:tcPr>
            <w:tcW w:w="2043" w:type="pct"/>
          </w:tcPr>
          <w:p w:rsidR="00F042B1" w:rsidRPr="003B1EA8" w:rsidDel="00970C33" w:rsidRDefault="00F042B1" w:rsidP="00B20792">
            <w:pPr>
              <w:spacing w:before="60" w:after="60"/>
              <w:rPr>
                <w:color w:val="000000"/>
                <w:sz w:val="18"/>
                <w:szCs w:val="18"/>
              </w:rPr>
            </w:pPr>
            <w:r>
              <w:rPr>
                <w:color w:val="000000"/>
                <w:sz w:val="18"/>
                <w:szCs w:val="18"/>
              </w:rPr>
              <w:t>Gas</w:t>
            </w:r>
            <w:r w:rsidRPr="005F3FBB">
              <w:rPr>
                <w:color w:val="000000"/>
                <w:sz w:val="18"/>
                <w:szCs w:val="18"/>
              </w:rPr>
              <w:t xml:space="preserve"> Hot Water Heater, Electric Dryer</w:t>
            </w:r>
          </w:p>
        </w:tc>
        <w:tc>
          <w:tcPr>
            <w:tcW w:w="559" w:type="pct"/>
          </w:tcPr>
          <w:p w:rsidR="00F042B1" w:rsidRDefault="00F042B1" w:rsidP="00B20792">
            <w:pPr>
              <w:spacing w:before="60" w:after="60"/>
              <w:rPr>
                <w:color w:val="000000"/>
                <w:sz w:val="18"/>
                <w:szCs w:val="18"/>
              </w:rPr>
            </w:pPr>
            <w:r w:rsidRPr="00C33049">
              <w:rPr>
                <w:color w:val="000000"/>
                <w:sz w:val="18"/>
                <w:szCs w:val="18"/>
              </w:rPr>
              <w:t>950</w:t>
            </w:r>
          </w:p>
        </w:tc>
        <w:tc>
          <w:tcPr>
            <w:tcW w:w="610" w:type="pct"/>
          </w:tcPr>
          <w:p w:rsidR="00F042B1" w:rsidRDefault="00F042B1" w:rsidP="00B20792">
            <w:pPr>
              <w:spacing w:before="60" w:after="60"/>
              <w:rPr>
                <w:color w:val="000000"/>
                <w:sz w:val="18"/>
                <w:szCs w:val="18"/>
              </w:rPr>
            </w:pPr>
            <w:r>
              <w:rPr>
                <w:color w:val="000000"/>
                <w:sz w:val="18"/>
                <w:szCs w:val="18"/>
              </w:rPr>
              <w:t>0.25</w:t>
            </w:r>
          </w:p>
        </w:tc>
        <w:tc>
          <w:tcPr>
            <w:tcW w:w="894" w:type="pct"/>
            <w:vAlign w:val="bottom"/>
          </w:tcPr>
          <w:p w:rsidR="00F042B1" w:rsidRDefault="00F042B1" w:rsidP="00F042B1">
            <w:pPr>
              <w:spacing w:before="60" w:after="60"/>
              <w:rPr>
                <w:color w:val="000000"/>
                <w:sz w:val="18"/>
                <w:szCs w:val="18"/>
              </w:rPr>
            </w:pPr>
            <w:r>
              <w:rPr>
                <w:rFonts w:cs="Arial"/>
              </w:rPr>
              <w:t>237</w:t>
            </w:r>
          </w:p>
        </w:tc>
        <w:tc>
          <w:tcPr>
            <w:tcW w:w="895" w:type="pct"/>
            <w:vAlign w:val="bottom"/>
          </w:tcPr>
          <w:p w:rsidR="00F042B1" w:rsidRDefault="00F042B1" w:rsidP="00F042B1">
            <w:pPr>
              <w:spacing w:before="60" w:after="60"/>
              <w:rPr>
                <w:color w:val="000000"/>
                <w:sz w:val="18"/>
                <w:szCs w:val="18"/>
              </w:rPr>
            </w:pPr>
            <w:r>
              <w:rPr>
                <w:rFonts w:cs="Arial"/>
              </w:rPr>
              <w:t>0.056</w:t>
            </w:r>
          </w:p>
        </w:tc>
      </w:tr>
      <w:tr w:rsidR="0053432F" w:rsidTr="0053432F">
        <w:trPr>
          <w:trHeight w:val="374"/>
        </w:trPr>
        <w:tc>
          <w:tcPr>
            <w:tcW w:w="2043" w:type="pct"/>
          </w:tcPr>
          <w:p w:rsidR="00F042B1" w:rsidRPr="003B1EA8" w:rsidDel="00970C33" w:rsidRDefault="00F042B1" w:rsidP="00970C33">
            <w:pPr>
              <w:spacing w:before="60" w:after="60"/>
              <w:rPr>
                <w:color w:val="000000"/>
                <w:sz w:val="18"/>
                <w:szCs w:val="18"/>
              </w:rPr>
            </w:pPr>
            <w:r>
              <w:rPr>
                <w:color w:val="000000"/>
                <w:sz w:val="18"/>
                <w:szCs w:val="18"/>
              </w:rPr>
              <w:t>Gas</w:t>
            </w:r>
            <w:r w:rsidRPr="005F3FBB">
              <w:rPr>
                <w:color w:val="000000"/>
                <w:sz w:val="18"/>
                <w:szCs w:val="18"/>
              </w:rPr>
              <w:t xml:space="preserve"> Hot Water Heater, </w:t>
            </w:r>
            <w:r>
              <w:rPr>
                <w:color w:val="000000"/>
                <w:sz w:val="18"/>
                <w:szCs w:val="18"/>
              </w:rPr>
              <w:t>No</w:t>
            </w:r>
            <w:r w:rsidRPr="005F3FBB">
              <w:rPr>
                <w:color w:val="000000"/>
                <w:sz w:val="18"/>
                <w:szCs w:val="18"/>
              </w:rPr>
              <w:t xml:space="preserve"> Dryer</w:t>
            </w:r>
          </w:p>
        </w:tc>
        <w:tc>
          <w:tcPr>
            <w:tcW w:w="559" w:type="pct"/>
          </w:tcPr>
          <w:p w:rsidR="00F042B1" w:rsidRDefault="00F042B1" w:rsidP="00B20792">
            <w:pPr>
              <w:spacing w:before="60" w:after="60"/>
              <w:rPr>
                <w:color w:val="000000"/>
                <w:sz w:val="18"/>
                <w:szCs w:val="18"/>
              </w:rPr>
            </w:pPr>
            <w:r w:rsidRPr="00C33049">
              <w:rPr>
                <w:color w:val="000000"/>
                <w:sz w:val="18"/>
                <w:szCs w:val="18"/>
              </w:rPr>
              <w:t>950</w:t>
            </w:r>
          </w:p>
        </w:tc>
        <w:tc>
          <w:tcPr>
            <w:tcW w:w="610" w:type="pct"/>
          </w:tcPr>
          <w:p w:rsidR="00F042B1" w:rsidRDefault="00F042B1" w:rsidP="00B20792">
            <w:pPr>
              <w:spacing w:before="60" w:after="60"/>
              <w:rPr>
                <w:color w:val="000000"/>
                <w:sz w:val="18"/>
                <w:szCs w:val="18"/>
              </w:rPr>
            </w:pPr>
            <w:r>
              <w:rPr>
                <w:color w:val="000000"/>
                <w:sz w:val="18"/>
                <w:szCs w:val="18"/>
              </w:rPr>
              <w:t>0.06</w:t>
            </w:r>
          </w:p>
        </w:tc>
        <w:tc>
          <w:tcPr>
            <w:tcW w:w="894" w:type="pct"/>
            <w:vAlign w:val="bottom"/>
          </w:tcPr>
          <w:p w:rsidR="00F042B1" w:rsidRDefault="00F042B1" w:rsidP="00B20792">
            <w:pPr>
              <w:spacing w:before="60" w:after="60"/>
              <w:rPr>
                <w:color w:val="000000"/>
                <w:sz w:val="18"/>
                <w:szCs w:val="18"/>
              </w:rPr>
            </w:pPr>
            <w:r>
              <w:rPr>
                <w:rFonts w:cs="Arial"/>
              </w:rPr>
              <w:t>57</w:t>
            </w:r>
          </w:p>
        </w:tc>
        <w:tc>
          <w:tcPr>
            <w:tcW w:w="895" w:type="pct"/>
            <w:vAlign w:val="bottom"/>
          </w:tcPr>
          <w:p w:rsidR="00F042B1" w:rsidRDefault="00F042B1" w:rsidP="00F042B1">
            <w:pPr>
              <w:spacing w:before="60" w:after="60"/>
              <w:rPr>
                <w:color w:val="000000"/>
                <w:sz w:val="18"/>
                <w:szCs w:val="18"/>
              </w:rPr>
            </w:pPr>
            <w:r>
              <w:rPr>
                <w:rFonts w:cs="Arial"/>
              </w:rPr>
              <w:t>0.013</w:t>
            </w:r>
          </w:p>
        </w:tc>
      </w:tr>
    </w:tbl>
    <w:p w:rsidR="00B20792" w:rsidRPr="003B1EA8" w:rsidRDefault="00B20792" w:rsidP="00B20792">
      <w:pPr>
        <w:pStyle w:val="BodyText"/>
      </w:pPr>
    </w:p>
    <w:p w:rsidR="00B20792" w:rsidRPr="00C465DB" w:rsidRDefault="00B20792" w:rsidP="00871FA2">
      <w:pPr>
        <w:pStyle w:val="Heading3"/>
      </w:pPr>
      <w:r w:rsidRPr="00837206">
        <w:t>Measure Life</w:t>
      </w:r>
    </w:p>
    <w:p w:rsidR="00B20792" w:rsidRPr="00C201A6" w:rsidRDefault="00B20792" w:rsidP="00B20792">
      <w:pPr>
        <w:spacing w:before="120"/>
        <w:jc w:val="both"/>
      </w:pPr>
      <w:r w:rsidRPr="00C201A6">
        <w:t>The Database for Energy Efficiency Resources estimates the measure life at 1</w:t>
      </w:r>
      <w:r>
        <w:t>0</w:t>
      </w:r>
      <w:r w:rsidRPr="00C201A6">
        <w:t xml:space="preserve"> years</w:t>
      </w:r>
      <w:r>
        <w:rPr>
          <w:rStyle w:val="FootnoteReference"/>
        </w:rPr>
        <w:footnoteReference w:id="234"/>
      </w:r>
      <w:r w:rsidRPr="00C201A6">
        <w:t>.</w:t>
      </w:r>
      <w:r>
        <w:t xml:space="preserve"> </w:t>
      </w:r>
    </w:p>
    <w:p w:rsidR="00B20792" w:rsidRPr="00C465DB" w:rsidRDefault="00B20792" w:rsidP="00871FA2">
      <w:pPr>
        <w:pStyle w:val="Heading3"/>
      </w:pPr>
      <w:r w:rsidRPr="00837206">
        <w:t>Evaluation Protocols</w:t>
      </w:r>
    </w:p>
    <w:p w:rsidR="00B20792" w:rsidRDefault="00B20792" w:rsidP="00B20792">
      <w:pPr>
        <w:pStyle w:val="BodyText"/>
      </w:pPr>
      <w:r w:rsidRPr="00C201A6">
        <w:t>The most appropriate evaluation protocol for this measure is verification of installation coupled with assignmen</w:t>
      </w:r>
      <w:r>
        <w:t>t of stipulated energy savings.</w:t>
      </w:r>
    </w:p>
    <w:p w:rsidR="00B20792" w:rsidRPr="008E4ED6" w:rsidRDefault="00B20792" w:rsidP="00B20792">
      <w:pPr>
        <w:pStyle w:val="Heading2"/>
        <w:rPr>
          <w:rFonts w:cs="Arial"/>
        </w:rPr>
      </w:pPr>
      <w:r>
        <w:br w:type="page"/>
      </w:r>
      <w:bookmarkStart w:id="1297" w:name="_Toc310875467"/>
      <w:r w:rsidRPr="00E65B4C">
        <w:rPr>
          <w:rFonts w:cs="Arial"/>
        </w:rPr>
        <w:t>Electric Resistance Water Heaters</w:t>
      </w:r>
      <w:bookmarkEnd w:id="1297"/>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5440"/>
      </w:tblGrid>
      <w:tr w:rsidR="00B20792" w:rsidRPr="00DC57D4" w:rsidTr="00B20792">
        <w:trPr>
          <w:jc w:val="center"/>
        </w:trPr>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B20792" w:rsidRPr="001D6512" w:rsidRDefault="00B20792" w:rsidP="00B20792">
            <w:pPr>
              <w:pStyle w:val="TableCell"/>
              <w:spacing w:before="60" w:after="60"/>
              <w:rPr>
                <w:b/>
              </w:rPr>
            </w:pPr>
            <w:r w:rsidRPr="001D6512">
              <w:rPr>
                <w:b/>
              </w:rPr>
              <w:t>Measure Name</w:t>
            </w:r>
          </w:p>
        </w:tc>
        <w:tc>
          <w:tcPr>
            <w:tcW w:w="459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B20792" w:rsidRPr="001D6512" w:rsidRDefault="00B20792" w:rsidP="00B20792">
            <w:pPr>
              <w:pStyle w:val="TableCell"/>
              <w:spacing w:before="60" w:after="60"/>
              <w:rPr>
                <w:b/>
              </w:rPr>
            </w:pPr>
            <w:r w:rsidRPr="001D6512">
              <w:rPr>
                <w:b/>
              </w:rPr>
              <w:t>Efficient Electric Water Heaters</w:t>
            </w:r>
          </w:p>
        </w:tc>
      </w:tr>
      <w:tr w:rsidR="00B20792" w:rsidRPr="00DC57D4" w:rsidTr="00B20792">
        <w:trPr>
          <w:jc w:val="center"/>
        </w:trPr>
        <w:tc>
          <w:tcPr>
            <w:tcW w:w="2700" w:type="dxa"/>
          </w:tcPr>
          <w:p w:rsidR="00B20792" w:rsidRPr="001D6512" w:rsidRDefault="00B20792" w:rsidP="00B20792">
            <w:pPr>
              <w:pStyle w:val="TableCell"/>
              <w:spacing w:before="60" w:after="60"/>
            </w:pPr>
            <w:r w:rsidRPr="001D6512">
              <w:t>Target Sector</w:t>
            </w:r>
          </w:p>
        </w:tc>
        <w:tc>
          <w:tcPr>
            <w:tcW w:w="4590" w:type="dxa"/>
          </w:tcPr>
          <w:p w:rsidR="00B20792" w:rsidRPr="001D6512" w:rsidRDefault="00B20792" w:rsidP="00B20792">
            <w:pPr>
              <w:pStyle w:val="TableCell"/>
              <w:spacing w:before="60" w:after="60"/>
            </w:pPr>
            <w:r w:rsidRPr="001D6512">
              <w:t>Small Commercial Establishments</w:t>
            </w:r>
          </w:p>
        </w:tc>
      </w:tr>
      <w:tr w:rsidR="00B20792" w:rsidRPr="00DC57D4" w:rsidTr="00B20792">
        <w:trPr>
          <w:jc w:val="center"/>
        </w:trPr>
        <w:tc>
          <w:tcPr>
            <w:tcW w:w="2700" w:type="dxa"/>
          </w:tcPr>
          <w:p w:rsidR="00B20792" w:rsidRPr="001D6512" w:rsidRDefault="00B20792" w:rsidP="00B20792">
            <w:pPr>
              <w:pStyle w:val="TableCell"/>
              <w:spacing w:before="60" w:after="60"/>
            </w:pPr>
            <w:r w:rsidRPr="001D6512">
              <w:t>Measure Unit</w:t>
            </w:r>
          </w:p>
        </w:tc>
        <w:tc>
          <w:tcPr>
            <w:tcW w:w="4590" w:type="dxa"/>
          </w:tcPr>
          <w:p w:rsidR="00B20792" w:rsidRPr="001D6512" w:rsidRDefault="00B20792" w:rsidP="00B20792">
            <w:pPr>
              <w:pStyle w:val="TableCell"/>
              <w:spacing w:before="60" w:after="60"/>
            </w:pPr>
            <w:r w:rsidRPr="001D6512">
              <w:t>Water Heater</w:t>
            </w:r>
          </w:p>
        </w:tc>
      </w:tr>
      <w:tr w:rsidR="00B20792" w:rsidRPr="00DC57D4" w:rsidTr="00B20792">
        <w:trPr>
          <w:jc w:val="center"/>
        </w:trPr>
        <w:tc>
          <w:tcPr>
            <w:tcW w:w="2700" w:type="dxa"/>
          </w:tcPr>
          <w:p w:rsidR="00B20792" w:rsidRPr="001D6512" w:rsidRDefault="00B20792" w:rsidP="00B20792">
            <w:pPr>
              <w:pStyle w:val="TableCell"/>
              <w:spacing w:before="60" w:after="60"/>
            </w:pPr>
            <w:r w:rsidRPr="001D6512">
              <w:t>Unit Energy Savings</w:t>
            </w:r>
          </w:p>
        </w:tc>
        <w:tc>
          <w:tcPr>
            <w:tcW w:w="4590" w:type="dxa"/>
          </w:tcPr>
          <w:p w:rsidR="00B20792" w:rsidRPr="001D6512" w:rsidRDefault="00B20792" w:rsidP="00B20792">
            <w:pPr>
              <w:pStyle w:val="TableCell"/>
              <w:spacing w:before="60" w:after="60"/>
            </w:pPr>
            <w:r w:rsidRPr="001D6512">
              <w:t>Varies</w:t>
            </w:r>
          </w:p>
        </w:tc>
      </w:tr>
      <w:tr w:rsidR="00B20792" w:rsidRPr="00DC57D4" w:rsidTr="00B20792">
        <w:trPr>
          <w:jc w:val="center"/>
        </w:trPr>
        <w:tc>
          <w:tcPr>
            <w:tcW w:w="2700" w:type="dxa"/>
          </w:tcPr>
          <w:p w:rsidR="00B20792" w:rsidRPr="001D6512" w:rsidRDefault="00B20792" w:rsidP="00B20792">
            <w:pPr>
              <w:pStyle w:val="TableCell"/>
              <w:spacing w:before="60" w:after="60"/>
            </w:pPr>
            <w:r w:rsidRPr="001D6512">
              <w:t>Unit Peak Demand Reduction</w:t>
            </w:r>
          </w:p>
        </w:tc>
        <w:tc>
          <w:tcPr>
            <w:tcW w:w="4590" w:type="dxa"/>
          </w:tcPr>
          <w:p w:rsidR="00B20792" w:rsidRPr="001D6512" w:rsidRDefault="00B20792" w:rsidP="00B20792">
            <w:pPr>
              <w:pStyle w:val="TableCell"/>
              <w:spacing w:before="60" w:after="60"/>
            </w:pPr>
            <w:r w:rsidRPr="001D6512">
              <w:t>Varies</w:t>
            </w:r>
          </w:p>
        </w:tc>
      </w:tr>
      <w:tr w:rsidR="00B20792" w:rsidRPr="00DC57D4" w:rsidTr="00B20792">
        <w:trPr>
          <w:jc w:val="center"/>
        </w:trPr>
        <w:tc>
          <w:tcPr>
            <w:tcW w:w="2700" w:type="dxa"/>
          </w:tcPr>
          <w:p w:rsidR="00B20792" w:rsidRPr="001D6512" w:rsidRDefault="00B20792" w:rsidP="00B20792">
            <w:pPr>
              <w:pStyle w:val="TableCell"/>
              <w:spacing w:before="60" w:after="60"/>
            </w:pPr>
            <w:r w:rsidRPr="001D6512">
              <w:t>Measure Life</w:t>
            </w:r>
          </w:p>
        </w:tc>
        <w:tc>
          <w:tcPr>
            <w:tcW w:w="4590" w:type="dxa"/>
          </w:tcPr>
          <w:p w:rsidR="00B20792" w:rsidRPr="001D6512" w:rsidRDefault="00B20792" w:rsidP="00B20792">
            <w:pPr>
              <w:pStyle w:val="TableCell"/>
              <w:spacing w:before="60" w:after="60"/>
            </w:pPr>
            <w:r w:rsidRPr="001D6512">
              <w:t>15 years</w:t>
            </w:r>
          </w:p>
        </w:tc>
      </w:tr>
    </w:tbl>
    <w:p w:rsidR="00B20792" w:rsidRDefault="00B20792" w:rsidP="00B20792">
      <w:pPr>
        <w:pStyle w:val="BodyText"/>
      </w:pPr>
    </w:p>
    <w:p w:rsidR="00B20792" w:rsidRPr="001D75B9" w:rsidRDefault="00B20792" w:rsidP="00F05DC2">
      <w:r w:rsidRPr="002C59AA">
        <w:t>Efficient electric resistance water heaters use resistive heating coils to heat the water. Premium efficiency models primarily generally use increased tank insulation to achieve energy factors of 0.93 to 0.96.</w:t>
      </w:r>
      <w:r>
        <w:t xml:space="preserve">  </w:t>
      </w:r>
    </w:p>
    <w:p w:rsidR="00B20792" w:rsidRPr="00C465DB" w:rsidRDefault="00B20792" w:rsidP="00871FA2">
      <w:pPr>
        <w:pStyle w:val="Heading3"/>
      </w:pPr>
      <w:r>
        <w:t>Eligibility</w:t>
      </w:r>
    </w:p>
    <w:p w:rsidR="00B20792" w:rsidRPr="00E441BB" w:rsidRDefault="00B20792" w:rsidP="00F05DC2">
      <w:r>
        <w:t>This protocol</w:t>
      </w:r>
      <w:r w:rsidRPr="00D74EB9">
        <w:t xml:space="preserve"> documents the energy savings attributed to efficient electric resistance water heaters with </w:t>
      </w:r>
      <w:r>
        <w:t xml:space="preserve">a minimum </w:t>
      </w:r>
      <w:r w:rsidRPr="00D74EB9">
        <w:t>energy factor of 0.</w:t>
      </w:r>
      <w:r>
        <w:t>93 compared to a baseline electric resistance water heater with an energy factor of 0.90</w:t>
      </w:r>
      <w:r w:rsidR="00D40AA7">
        <w:t>4</w:t>
      </w:r>
      <w:r>
        <w:t>.</w:t>
      </w:r>
      <w:r w:rsidRPr="00D74EB9">
        <w:t xml:space="preserve"> </w:t>
      </w:r>
      <w:r>
        <w:t>H</w:t>
      </w:r>
      <w:r w:rsidRPr="00D74EB9">
        <w:t>owever, other energy factors are accommodated with the partially deemed scheme.  The target sector includes domestic hot water applications in small commercial settings such as small retail establishments, small offices, small clinics, and small lodging establishments such as small motels.</w:t>
      </w:r>
    </w:p>
    <w:p w:rsidR="00B20792" w:rsidRPr="00C465DB" w:rsidRDefault="00B20792" w:rsidP="00871FA2">
      <w:pPr>
        <w:pStyle w:val="Heading3"/>
      </w:pPr>
      <w:r>
        <w:t>Algorithms</w:t>
      </w:r>
    </w:p>
    <w:p w:rsidR="00B20792" w:rsidRPr="006D6804" w:rsidRDefault="00B20792" w:rsidP="00F05DC2">
      <w:r w:rsidRPr="00D12308">
        <w:t>The energy savings calculation utilizes average performance data for available premium and standard electric resistance water heaters and typical hot water usages. The energy savings are obtained through the following formula:</w:t>
      </w:r>
    </w:p>
    <w:p w:rsidR="00B20792" w:rsidRPr="003C7C58" w:rsidRDefault="003C7C58" w:rsidP="00B20792">
      <w:pPr>
        <w:pStyle w:val="Equation"/>
        <w:ind w:left="0" w:firstLine="0"/>
        <w:rPr>
          <w:i w:val="0"/>
        </w:rPr>
      </w:pPr>
      <m:oMathPara>
        <m:oMath>
          <m:r>
            <m:rPr>
              <m:nor/>
            </m:rPr>
            <w:rPr>
              <w:rFonts w:cs="Arial"/>
            </w:rPr>
            <w:sym w:font="Symbol" w:char="F044"/>
          </m:r>
          <m:r>
            <m:rPr>
              <m:nor/>
            </m:rPr>
            <w:rPr>
              <w:rFonts w:cs="Arial"/>
            </w:rPr>
            <m:t xml:space="preserve">kWh </m:t>
          </m:r>
          <m:r>
            <m:rPr>
              <m:nor/>
            </m:rPr>
            <w:rPr>
              <w:rFonts w:cs="Arial"/>
              <w:iCs/>
            </w:rPr>
            <m:t xml:space="preserve">                                          </m:t>
          </m:r>
          <m:r>
            <m:rPr>
              <m:nor/>
            </m:rPr>
            <w:rPr>
              <w:rFonts w:cs="Arial"/>
            </w:rPr>
            <m:t xml:space="preserve">=   </m:t>
          </m:r>
          <m:f>
            <m:fPr>
              <m:ctrlPr>
                <w:rPr>
                  <w:rFonts w:ascii="Cambria Math" w:hAnsi="Cambria Math" w:cs="Arial"/>
                </w:rPr>
              </m:ctrlPr>
            </m:fPr>
            <m:num>
              <m:d>
                <m:dPr>
                  <m:begChr m:val="{"/>
                  <m:endChr m:val="}"/>
                  <m:ctrlPr>
                    <w:rPr>
                      <w:rFonts w:ascii="Cambria Math" w:hAnsi="Cambria Math" w:cs="Arial"/>
                    </w:rPr>
                  </m:ctrlPr>
                </m:dPr>
                <m:e>
                  <m:d>
                    <m:dPr>
                      <m:ctrlPr>
                        <w:rPr>
                          <w:rFonts w:ascii="Cambria Math" w:hAnsi="Cambria Math" w:cs="Arial"/>
                        </w:rPr>
                      </m:ctrlPr>
                    </m:dPr>
                    <m:e>
                      <m:f>
                        <m:fPr>
                          <m:ctrlPr>
                            <w:rPr>
                              <w:rFonts w:ascii="Cambria Math" w:hAnsi="Cambria Math" w:cs="Arial"/>
                            </w:rPr>
                          </m:ctrlPr>
                        </m:fPr>
                        <m:num>
                          <m:r>
                            <m:rPr>
                              <m:nor/>
                            </m:rPr>
                            <w:rPr>
                              <w:rFonts w:cs="Arial"/>
                            </w:rPr>
                            <m:t>1</m:t>
                          </m:r>
                        </m:num>
                        <m:den>
                          <m:sSub>
                            <m:sSubPr>
                              <m:ctrlPr>
                                <w:rPr>
                                  <w:rFonts w:ascii="Cambria Math" w:hAnsi="Cambria Math" w:cs="Arial"/>
                                </w:rPr>
                              </m:ctrlPr>
                            </m:sSubPr>
                            <m:e>
                              <m:r>
                                <m:rPr>
                                  <m:nor/>
                                </m:rPr>
                                <w:rPr>
                                  <w:rFonts w:cs="Arial"/>
                                  <w:iCs/>
                                </w:rPr>
                                <m:t>EF</m:t>
                              </m:r>
                            </m:e>
                            <m:sub>
                              <m:r>
                                <m:rPr>
                                  <m:nor/>
                                </m:rPr>
                                <w:rPr>
                                  <w:rFonts w:cs="Arial"/>
                                  <w:iCs/>
                                </w:rPr>
                                <m:t>Base</m:t>
                              </m:r>
                            </m:sub>
                          </m:sSub>
                        </m:den>
                      </m:f>
                      <m:r>
                        <m:rPr>
                          <m:nor/>
                        </m:rPr>
                        <w:rPr>
                          <w:rFonts w:cs="Arial"/>
                        </w:rPr>
                        <m:t>-</m:t>
                      </m:r>
                      <m:f>
                        <m:fPr>
                          <m:ctrlPr>
                            <w:rPr>
                              <w:rFonts w:ascii="Cambria Math" w:hAnsi="Cambria Math" w:cs="Arial"/>
                            </w:rPr>
                          </m:ctrlPr>
                        </m:fPr>
                        <m:num>
                          <m:r>
                            <m:rPr>
                              <m:nor/>
                            </m:rPr>
                            <w:rPr>
                              <w:rFonts w:cs="Arial"/>
                            </w:rPr>
                            <m:t>1</m:t>
                          </m:r>
                        </m:num>
                        <m:den>
                          <m:sSub>
                            <m:sSubPr>
                              <m:ctrlPr>
                                <w:rPr>
                                  <w:rFonts w:ascii="Cambria Math" w:hAnsi="Cambria Math" w:cs="Arial"/>
                                </w:rPr>
                              </m:ctrlPr>
                            </m:sSubPr>
                            <m:e>
                              <m:r>
                                <m:rPr>
                                  <m:nor/>
                                </m:rPr>
                                <w:rPr>
                                  <w:rFonts w:cs="Arial"/>
                                  <w:iCs/>
                                </w:rPr>
                                <m:t>EF</m:t>
                              </m:r>
                            </m:e>
                            <m:sub>
                              <m:r>
                                <m:rPr>
                                  <m:nor/>
                                </m:rPr>
                                <w:rPr>
                                  <w:rFonts w:cs="Arial"/>
                                  <w:iCs/>
                                </w:rPr>
                                <m:t>Proposed</m:t>
                              </m:r>
                            </m:sub>
                          </m:sSub>
                        </m:den>
                      </m:f>
                    </m:e>
                  </m:d>
                  <m:r>
                    <w:rPr>
                      <w:rFonts w:ascii="Cambria Math" w:hAnsi="Cambria Math" w:cs="Arial"/>
                    </w:rPr>
                    <m:t>×Load×(T</m:t>
                  </m:r>
                  <m:r>
                    <w:rPr>
                      <w:rFonts w:ascii="Cambria Math" w:hAnsi="Cambria Math" w:cs="Arial"/>
                      <w:vertAlign w:val="subscript"/>
                    </w:rPr>
                    <m:t>hot</m:t>
                  </m:r>
                  <m:r>
                    <w:rPr>
                      <w:rFonts w:ascii="Cambria Math" w:hAnsi="Cambria Math" w:cs="Arial"/>
                    </w:rPr>
                    <m:t xml:space="preserve"> –T</m:t>
                  </m:r>
                  <m:r>
                    <w:rPr>
                      <w:rFonts w:ascii="Cambria Math" w:hAnsi="Cambria Math" w:cs="Arial"/>
                      <w:vertAlign w:val="subscript"/>
                    </w:rPr>
                    <m:t>cold</m:t>
                  </m:r>
                  <m:r>
                    <w:rPr>
                      <w:rFonts w:ascii="Cambria Math" w:hAnsi="Cambria Math" w:cs="Arial"/>
                    </w:rPr>
                    <m:t>)</m:t>
                  </m:r>
                </m:e>
              </m:d>
            </m:num>
            <m:den>
              <m:r>
                <m:rPr>
                  <m:nor/>
                </m:rPr>
                <w:rPr>
                  <w:rFonts w:cs="Arial"/>
                </w:rPr>
                <m:t>3413</m:t>
              </m:r>
              <m:f>
                <m:fPr>
                  <m:ctrlPr>
                    <w:rPr>
                      <w:rFonts w:ascii="Cambria Math" w:hAnsi="Cambria Math" w:cs="Arial"/>
                    </w:rPr>
                  </m:ctrlPr>
                </m:fPr>
                <m:num>
                  <m:r>
                    <m:rPr>
                      <m:nor/>
                    </m:rPr>
                    <w:rPr>
                      <w:rFonts w:cs="Arial"/>
                      <w:iCs/>
                    </w:rPr>
                    <m:t>Btu</m:t>
                  </m:r>
                </m:num>
                <m:den>
                  <m:r>
                    <m:rPr>
                      <m:nor/>
                    </m:rPr>
                    <w:rPr>
                      <w:rFonts w:cs="Arial"/>
                      <w:iCs/>
                    </w:rPr>
                    <m:t>kWh</m:t>
                  </m:r>
                </m:den>
              </m:f>
            </m:den>
          </m:f>
        </m:oMath>
      </m:oMathPara>
    </w:p>
    <w:p w:rsidR="00B20792" w:rsidRPr="003C7C58" w:rsidRDefault="003C7C58" w:rsidP="00B20792">
      <w:pPr>
        <w:pStyle w:val="Equation"/>
        <w:ind w:left="0" w:firstLine="0"/>
        <w:rPr>
          <w:rFonts w:cs="Arial"/>
          <w:i w:val="0"/>
          <w:szCs w:val="20"/>
        </w:rPr>
      </w:pPr>
      <m:oMathPara>
        <m:oMath>
          <m:r>
            <m:rPr>
              <m:nor/>
            </m:rPr>
            <w:rPr>
              <w:rFonts w:cs="Arial"/>
            </w:rPr>
            <w:sym w:font="Symbol" w:char="F044"/>
          </m:r>
          <m:r>
            <m:rPr>
              <m:nor/>
            </m:rPr>
            <w:rPr>
              <w:rFonts w:cs="Arial"/>
            </w:rPr>
            <m:t xml:space="preserve">kWh </m:t>
          </m:r>
          <m:r>
            <m:rPr>
              <m:nor/>
            </m:rPr>
            <w:rPr>
              <w:rFonts w:cs="Arial"/>
              <w:iCs/>
            </w:rPr>
            <m:t xml:space="preserve">                                          </m:t>
          </m:r>
          <m:r>
            <m:rPr>
              <m:nor/>
            </m:rPr>
            <w:rPr>
              <w:rFonts w:cs="Arial"/>
            </w:rPr>
            <m:t xml:space="preserve">=   </m:t>
          </m:r>
          <m:f>
            <m:fPr>
              <m:ctrlPr>
                <w:rPr>
                  <w:rFonts w:ascii="Cambria Math" w:hAnsi="Cambria Math" w:cs="Arial"/>
                </w:rPr>
              </m:ctrlPr>
            </m:fPr>
            <m:num>
              <m:d>
                <m:dPr>
                  <m:begChr m:val="{"/>
                  <m:endChr m:val="}"/>
                  <m:ctrlPr>
                    <w:rPr>
                      <w:rFonts w:ascii="Cambria Math" w:hAnsi="Cambria Math" w:cs="Arial"/>
                    </w:rPr>
                  </m:ctrlPr>
                </m:dPr>
                <m:e>
                  <m:d>
                    <m:dPr>
                      <m:ctrlPr>
                        <w:rPr>
                          <w:rFonts w:ascii="Cambria Math" w:hAnsi="Cambria Math" w:cs="Arial"/>
                        </w:rPr>
                      </m:ctrlPr>
                    </m:dPr>
                    <m:e>
                      <m:f>
                        <m:fPr>
                          <m:ctrlPr>
                            <w:rPr>
                              <w:rFonts w:ascii="Cambria Math" w:hAnsi="Cambria Math" w:cs="Arial"/>
                            </w:rPr>
                          </m:ctrlPr>
                        </m:fPr>
                        <m:num>
                          <m:r>
                            <m:rPr>
                              <m:nor/>
                            </m:rPr>
                            <w:rPr>
                              <w:rFonts w:cs="Arial"/>
                            </w:rPr>
                            <m:t>1</m:t>
                          </m:r>
                        </m:num>
                        <m:den>
                          <m:sSub>
                            <m:sSubPr>
                              <m:ctrlPr>
                                <w:rPr>
                                  <w:rFonts w:ascii="Cambria Math" w:hAnsi="Cambria Math" w:cs="Arial"/>
                                </w:rPr>
                              </m:ctrlPr>
                            </m:sSubPr>
                            <m:e>
                              <m:r>
                                <m:rPr>
                                  <m:nor/>
                                </m:rPr>
                                <w:rPr>
                                  <w:rFonts w:cs="Arial"/>
                                  <w:iCs/>
                                </w:rPr>
                                <m:t>EF</m:t>
                              </m:r>
                            </m:e>
                            <m:sub>
                              <m:r>
                                <m:rPr>
                                  <m:nor/>
                                </m:rPr>
                                <w:rPr>
                                  <w:rFonts w:cs="Arial"/>
                                  <w:iCs/>
                                </w:rPr>
                                <m:t>Base</m:t>
                              </m:r>
                            </m:sub>
                          </m:sSub>
                        </m:den>
                      </m:f>
                      <m:r>
                        <m:rPr>
                          <m:nor/>
                        </m:rPr>
                        <w:rPr>
                          <w:rFonts w:cs="Arial"/>
                        </w:rPr>
                        <m:t>-</m:t>
                      </m:r>
                      <m:f>
                        <m:fPr>
                          <m:ctrlPr>
                            <w:rPr>
                              <w:rFonts w:ascii="Cambria Math" w:hAnsi="Cambria Math" w:cs="Arial"/>
                            </w:rPr>
                          </m:ctrlPr>
                        </m:fPr>
                        <m:num>
                          <m:r>
                            <m:rPr>
                              <m:nor/>
                            </m:rPr>
                            <w:rPr>
                              <w:rFonts w:cs="Arial"/>
                            </w:rPr>
                            <m:t>1</m:t>
                          </m:r>
                        </m:num>
                        <m:den>
                          <m:sSub>
                            <m:sSubPr>
                              <m:ctrlPr>
                                <w:rPr>
                                  <w:rFonts w:ascii="Cambria Math" w:hAnsi="Cambria Math" w:cs="Arial"/>
                                </w:rPr>
                              </m:ctrlPr>
                            </m:sSubPr>
                            <m:e>
                              <m:r>
                                <m:rPr>
                                  <m:nor/>
                                </m:rPr>
                                <w:rPr>
                                  <w:rFonts w:cs="Arial"/>
                                  <w:iCs/>
                                </w:rPr>
                                <m:t>EF</m:t>
                              </m:r>
                            </m:e>
                            <m:sub>
                              <m:r>
                                <m:rPr>
                                  <m:nor/>
                                </m:rPr>
                                <w:rPr>
                                  <w:rFonts w:cs="Arial"/>
                                  <w:iCs/>
                                </w:rPr>
                                <m:t>Proposed</m:t>
                              </m:r>
                            </m:sub>
                          </m:sSub>
                        </m:den>
                      </m:f>
                    </m:e>
                  </m:d>
                  <m:r>
                    <w:rPr>
                      <w:rFonts w:ascii="Cambria Math" w:hAnsi="Cambria Math" w:cs="Arial"/>
                    </w:rPr>
                    <m:t>×Load×(T</m:t>
                  </m:r>
                  <m:r>
                    <w:rPr>
                      <w:rFonts w:ascii="Cambria Math" w:hAnsi="Cambria Math" w:cs="Arial"/>
                      <w:vertAlign w:val="subscript"/>
                    </w:rPr>
                    <m:t>hot</m:t>
                  </m:r>
                  <m:r>
                    <w:rPr>
                      <w:rFonts w:ascii="Cambria Math" w:hAnsi="Cambria Math" w:cs="Arial"/>
                    </w:rPr>
                    <m:t xml:space="preserve"> –T</m:t>
                  </m:r>
                  <m:r>
                    <w:rPr>
                      <w:rFonts w:ascii="Cambria Math" w:hAnsi="Cambria Math" w:cs="Arial"/>
                      <w:vertAlign w:val="subscript"/>
                    </w:rPr>
                    <m:t>cold</m:t>
                  </m:r>
                  <m:r>
                    <w:rPr>
                      <w:rFonts w:ascii="Cambria Math" w:hAnsi="Cambria Math" w:cs="Arial"/>
                    </w:rPr>
                    <m:t>)</m:t>
                  </m:r>
                </m:e>
              </m:d>
            </m:num>
            <m:den>
              <m:r>
                <m:rPr>
                  <m:nor/>
                </m:rPr>
                <w:rPr>
                  <w:rFonts w:cs="Arial"/>
                </w:rPr>
                <m:t>3413</m:t>
              </m:r>
              <m:f>
                <m:fPr>
                  <m:ctrlPr>
                    <w:rPr>
                      <w:rFonts w:ascii="Cambria Math" w:hAnsi="Cambria Math" w:cs="Arial"/>
                    </w:rPr>
                  </m:ctrlPr>
                </m:fPr>
                <m:num>
                  <m:r>
                    <m:rPr>
                      <m:nor/>
                    </m:rPr>
                    <w:rPr>
                      <w:rFonts w:cs="Arial"/>
                      <w:iCs/>
                    </w:rPr>
                    <m:t>Btu</m:t>
                  </m:r>
                </m:num>
                <m:den>
                  <m:r>
                    <m:rPr>
                      <m:nor/>
                    </m:rPr>
                    <w:rPr>
                      <w:rFonts w:cs="Arial"/>
                      <w:iCs/>
                    </w:rPr>
                    <m:t>kWh</m:t>
                  </m:r>
                </m:den>
              </m:f>
            </m:den>
          </m:f>
        </m:oMath>
      </m:oMathPara>
    </w:p>
    <w:p w:rsidR="00B20792" w:rsidRPr="00B04BCE" w:rsidRDefault="00B20792" w:rsidP="00B20792">
      <w:pPr>
        <w:pStyle w:val="BodyText"/>
        <w:rPr>
          <w:rFonts w:cs="Arial"/>
        </w:rPr>
      </w:pPr>
      <w:r w:rsidRPr="00D74EB9">
        <w:rPr>
          <w:rFonts w:cs="Arial"/>
        </w:rPr>
        <w:t>For efficient resistive water heaters, demand savings result primarily from reduction in standby losses. The demand reduction is taken as the annual energy savings multiplied by the ratio of the average energy usage during noon and 8 PM on summer weekdays to the total annual energy usage.</w:t>
      </w:r>
    </w:p>
    <w:p w:rsidR="00B20792" w:rsidRPr="00CF6038" w:rsidRDefault="00B20792" w:rsidP="00B20792">
      <w:pPr>
        <w:pStyle w:val="Equation"/>
        <w:rPr>
          <w:rFonts w:cs="Arial"/>
          <w:szCs w:val="20"/>
        </w:rPr>
      </w:pPr>
      <w:r w:rsidRPr="00B35835">
        <w:rPr>
          <w:rFonts w:cs="Arial"/>
          <w:szCs w:val="20"/>
        </w:rPr>
        <w:sym w:font="Symbol" w:char="F044"/>
      </w:r>
      <w:r w:rsidRPr="00B35835">
        <w:rPr>
          <w:rFonts w:cs="Arial"/>
          <w:szCs w:val="20"/>
        </w:rPr>
        <w:t>kW</w:t>
      </w:r>
      <w:r w:rsidRPr="00B35835">
        <w:rPr>
          <w:rFonts w:cs="Arial"/>
          <w:szCs w:val="20"/>
          <w:vertAlign w:val="subscript"/>
        </w:rPr>
        <w:t>peak</w:t>
      </w:r>
      <w:r w:rsidRPr="00B35835">
        <w:rPr>
          <w:rFonts w:cs="Arial"/>
          <w:szCs w:val="20"/>
        </w:rPr>
        <w:tab/>
      </w:r>
      <w:r>
        <w:rPr>
          <w:rFonts w:cs="Arial"/>
          <w:szCs w:val="20"/>
        </w:rPr>
        <w:tab/>
      </w:r>
      <w:r w:rsidRPr="00B35835">
        <w:rPr>
          <w:rFonts w:cs="Arial"/>
          <w:szCs w:val="20"/>
        </w:rPr>
        <w:t>= EnergyToDemandFactor × Energy Savings</w:t>
      </w:r>
      <w:r>
        <w:rPr>
          <w:rFonts w:cs="Arial"/>
          <w:szCs w:val="20"/>
        </w:rPr>
        <w:t xml:space="preserve"> </w:t>
      </w:r>
      <w:r w:rsidRPr="00B35835">
        <w:rPr>
          <w:rFonts w:cs="Arial"/>
          <w:szCs w:val="20"/>
        </w:rPr>
        <w:t>×</w:t>
      </w:r>
      <w:r>
        <w:rPr>
          <w:rFonts w:cs="Arial"/>
          <w:szCs w:val="20"/>
        </w:rPr>
        <w:t xml:space="preserve"> ResistiveDiscountFactor</w:t>
      </w:r>
    </w:p>
    <w:p w:rsidR="00B20792" w:rsidRPr="002E6E9C" w:rsidRDefault="00B20792" w:rsidP="00B20792">
      <w:pPr>
        <w:pStyle w:val="BodyText"/>
      </w:pPr>
      <w:r w:rsidRPr="002E6E9C">
        <w:t>The Energy to Demand Factor is defined below:</w:t>
      </w:r>
    </w:p>
    <w:p w:rsidR="00B20792" w:rsidRPr="003C7C58" w:rsidRDefault="003C7C58" w:rsidP="00B20792">
      <w:pPr>
        <w:pStyle w:val="Equation"/>
        <w:ind w:left="0" w:firstLine="0"/>
        <w:rPr>
          <w:i w:val="0"/>
          <w:szCs w:val="20"/>
        </w:rPr>
      </w:pPr>
      <m:oMathPara>
        <m:oMath>
          <m:r>
            <m:rPr>
              <m:nor/>
            </m:rPr>
            <m:t>EnergyToDemandFactor</m:t>
          </m:r>
          <m:r>
            <m:rPr>
              <m:nor/>
            </m:rPr>
            <w:rPr>
              <w:rFonts w:ascii="Cambria Math"/>
            </w:rPr>
            <m:t xml:space="preserve">                   </m:t>
          </m:r>
          <m:r>
            <m:rPr>
              <m:nor/>
            </m:rPr>
            <m:t>=</m:t>
          </m:r>
          <m:r>
            <m:rPr>
              <m:nor/>
            </m:rPr>
            <w:rPr>
              <w:rFonts w:ascii="Cambria Math"/>
            </w:rPr>
            <m:t xml:space="preserve">  </m:t>
          </m:r>
          <m:f>
            <m:fPr>
              <m:ctrlPr>
                <w:rPr>
                  <w:rFonts w:ascii="Cambria Math" w:hAnsi="Cambria Math"/>
                </w:rPr>
              </m:ctrlPr>
            </m:fPr>
            <m:num>
              <m:sSub>
                <m:sSubPr>
                  <m:ctrlPr>
                    <w:rPr>
                      <w:rFonts w:ascii="Cambria Math" w:hAnsi="Cambria Math"/>
                    </w:rPr>
                  </m:ctrlPr>
                </m:sSubPr>
                <m:e>
                  <m:r>
                    <m:rPr>
                      <m:nor/>
                    </m:rPr>
                    <m:t>Average Usage</m:t>
                  </m:r>
                </m:e>
                <m:sub>
                  <m:r>
                    <m:rPr>
                      <m:nor/>
                    </m:rPr>
                    <m:t>Summer WD Noon-8</m:t>
                  </m:r>
                </m:sub>
              </m:sSub>
            </m:num>
            <m:den>
              <m:r>
                <m:rPr>
                  <m:nor/>
                </m:rPr>
                <w:rPr>
                  <w:rFonts w:hAnsi="Cambria Math"/>
                </w:rPr>
                <m:t>Annual</m:t>
              </m:r>
              <m:r>
                <m:rPr>
                  <m:nor/>
                </m:rPr>
                <m:t xml:space="preserve"> </m:t>
              </m:r>
              <m:r>
                <m:rPr>
                  <m:nor/>
                </m:rPr>
                <w:rPr>
                  <w:rFonts w:hAnsi="Cambria Math"/>
                </w:rPr>
                <m:t>Energy Usage</m:t>
              </m:r>
            </m:den>
          </m:f>
        </m:oMath>
      </m:oMathPara>
    </w:p>
    <w:p w:rsidR="00B20792" w:rsidRPr="00A42737" w:rsidRDefault="00B20792" w:rsidP="00B20792">
      <w:pPr>
        <w:keepNext/>
        <w:tabs>
          <w:tab w:val="left" w:pos="720"/>
        </w:tabs>
        <w:spacing w:before="120"/>
        <w:jc w:val="both"/>
        <w:rPr>
          <w:rFonts w:cs="Arial"/>
          <w:b/>
        </w:rPr>
      </w:pPr>
      <w:r w:rsidRPr="00A42737">
        <w:rPr>
          <w:rFonts w:cs="Arial"/>
          <w:b/>
        </w:rPr>
        <w:t>Loads</w:t>
      </w:r>
    </w:p>
    <w:p w:rsidR="00C0292F" w:rsidRPr="00D74EB9" w:rsidRDefault="00B20792" w:rsidP="00F05DC2">
      <w:r w:rsidRPr="00D74EB9">
        <w:t>The annual loads are taken from data from the DEER database</w:t>
      </w:r>
      <w:r>
        <w:rPr>
          <w:rStyle w:val="FootnoteReference"/>
        </w:rPr>
        <w:footnoteReference w:id="235"/>
      </w:r>
      <w:r w:rsidRPr="00D74EB9">
        <w:t xml:space="preserve">.  The DEER database has data for gas energy usage for the domestic hot water end use for various small commercial buildings.  The loads are averaged over all 16 climate zones and all six vintage types in the DEER database. </w:t>
      </w:r>
      <w:r w:rsidR="00470FDF">
        <w:t xml:space="preserve">Finally, the loads are converted to average annual gallons of use using the algorithm below. </w:t>
      </w:r>
      <w:r w:rsidRPr="00D74EB9">
        <w:t xml:space="preserve">The loads are summarized in </w:t>
      </w:r>
      <w:r w:rsidR="007A1FB6">
        <w:fldChar w:fldCharType="begin"/>
      </w:r>
      <w:r>
        <w:instrText xml:space="preserve"> REF _Ref302741173 \h </w:instrText>
      </w:r>
      <w:r w:rsidR="00F05DC2">
        <w:instrText xml:space="preserve"> \* MERGEFORMAT </w:instrText>
      </w:r>
      <w:r w:rsidR="007A1FB6">
        <w:fldChar w:fldCharType="separate"/>
      </w:r>
      <w:r w:rsidR="00C0292F" w:rsidRPr="00C0292F">
        <w:t xml:space="preserve">HW </w:t>
      </w:r>
      <w:r w:rsidR="00C0292F" w:rsidRPr="00C0292F">
        <w:rPr>
          <w:noProof/>
        </w:rPr>
        <w:t>(</w:t>
      </w:r>
      <m:oMath>
        <m:r>
          <m:rPr>
            <m:nor/>
          </m:rPr>
          <w:rPr>
            <w:rFonts w:ascii="Cambria Math" w:cs="Arial"/>
            <w:i/>
          </w:rPr>
          <m:t>Gallons)</m:t>
        </m:r>
        <m:r>
          <m:rPr>
            <m:nor/>
          </m:rPr>
          <w:rPr>
            <w:rFonts w:cs="Arial"/>
            <w:i/>
            <w:iCs/>
          </w:rPr>
          <m:t xml:space="preserve">                         </m:t>
        </m:r>
        <m:r>
          <m:rPr>
            <m:nor/>
          </m:rPr>
          <w:rPr>
            <w:rFonts w:cs="Arial"/>
            <w:i/>
          </w:rPr>
          <m:t xml:space="preserve">=   </m:t>
        </m:r>
        <m:f>
          <m:fPr>
            <m:ctrlPr>
              <w:rPr>
                <w:rFonts w:ascii="Cambria Math" w:hAnsi="Cambria Math" w:cs="Arial"/>
                <w:i/>
              </w:rPr>
            </m:ctrlPr>
          </m:fPr>
          <m:num>
            <m:d>
              <m:dPr>
                <m:begChr m:val=""/>
                <m:endChr m:val=""/>
                <m:grow m:val="0"/>
                <m:ctrlPr>
                  <w:rPr>
                    <w:rFonts w:ascii="Cambria Math" w:hAnsi="Cambria Math" w:cs="Arial"/>
                    <w:i/>
                  </w:rPr>
                </m:ctrlPr>
              </m:dPr>
              <m:e>
                <m:r>
                  <m:rPr>
                    <m:sty m:val="p"/>
                  </m:rPr>
                  <w:rPr>
                    <w:rFonts w:ascii="Cambria Math" w:hAnsi="Cambria Math" w:cs="Arial"/>
                  </w:rPr>
                  <m:t>Load×</m:t>
                </m:r>
                <m:sSub>
                  <m:sSubPr>
                    <m:ctrlPr>
                      <w:rPr>
                        <w:rFonts w:ascii="Cambria Math" w:hAnsi="Cambria Math" w:cs="Arial"/>
                        <w:i/>
                      </w:rPr>
                    </m:ctrlPr>
                  </m:sSubPr>
                  <m:e>
                    <m:r>
                      <m:rPr>
                        <m:nor/>
                      </m:rPr>
                      <w:rPr>
                        <w:rFonts w:cs="Arial"/>
                        <w:i/>
                        <w:iCs/>
                      </w:rPr>
                      <m:t>EF</m:t>
                    </m:r>
                    <m:ctrlPr>
                      <w:rPr>
                        <w:rFonts w:ascii="Cambria Math" w:hAnsi="Cambria Math" w:cs="Arial"/>
                        <w:i/>
                        <w:iCs/>
                      </w:rPr>
                    </m:ctrlPr>
                  </m:e>
                  <m:sub>
                    <m:r>
                      <m:rPr>
                        <m:nor/>
                      </m:rPr>
                      <w:rPr>
                        <w:rFonts w:cs="Arial"/>
                        <w:i/>
                        <w:iCs/>
                      </w:rPr>
                      <m:t>NG, Base</m:t>
                    </m:r>
                  </m:sub>
                </m:sSub>
                <m:r>
                  <m:rPr>
                    <m:sty m:val="p"/>
                  </m:rPr>
                  <w:rPr>
                    <w:rFonts w:ascii="Cambria Math" w:hAnsi="Cambria Math" w:cs="Arial"/>
                  </w:rPr>
                  <m:t xml:space="preserve"> X 1000 </m:t>
                </m:r>
                <m:f>
                  <m:fPr>
                    <m:ctrlPr>
                      <w:rPr>
                        <w:rFonts w:ascii="Cambria Math" w:hAnsi="Cambria Math" w:cs="Arial"/>
                        <w:i/>
                      </w:rPr>
                    </m:ctrlPr>
                  </m:fPr>
                  <m:num>
                    <m:r>
                      <m:rPr>
                        <m:nor/>
                      </m:rPr>
                      <w:rPr>
                        <w:rFonts w:cs="Arial"/>
                        <w:i/>
                        <w:iCs/>
                      </w:rPr>
                      <m:t>Btu</m:t>
                    </m:r>
                    <m:ctrlPr>
                      <w:rPr>
                        <w:rFonts w:ascii="Cambria Math" w:hAnsi="Cambria Math" w:cs="Arial"/>
                        <w:i/>
                        <w:iCs/>
                      </w:rPr>
                    </m:ctrlPr>
                  </m:num>
                  <m:den>
                    <m:r>
                      <m:rPr>
                        <m:nor/>
                      </m:rPr>
                      <w:rPr>
                        <w:rFonts w:cs="Arial"/>
                        <w:i/>
                        <w:iCs/>
                      </w:rPr>
                      <m:t>kBtu</m:t>
                    </m:r>
                  </m:den>
                </m:f>
                <m:r>
                  <m:rPr>
                    <m:sty m:val="p"/>
                  </m:rPr>
                  <w:rPr>
                    <w:rFonts w:ascii="Cambria Math" w:hAnsi="Cambria Math" w:cs="Arial"/>
                  </w:rPr>
                  <m:t xml:space="preserve"> X Typical SF</m:t>
                </m:r>
              </m:e>
            </m:d>
          </m:num>
          <m:den>
            <m:r>
              <m:rPr>
                <m:sty m:val="p"/>
              </m:rPr>
              <w:rPr>
                <w:rFonts w:ascii="Cambria Math" w:hAnsi="Cambria Math" w:cs="Arial"/>
              </w:rPr>
              <m:t xml:space="preserve">8.3 </m:t>
            </m:r>
            <m:f>
              <m:fPr>
                <m:ctrlPr>
                  <w:rPr>
                    <w:rFonts w:ascii="Cambria Math" w:hAnsi="Cambria Math" w:cs="Arial"/>
                    <w:i/>
                  </w:rPr>
                </m:ctrlPr>
              </m:fPr>
              <m:num>
                <m:r>
                  <m:rPr>
                    <m:nor/>
                  </m:rPr>
                  <w:rPr>
                    <w:rFonts w:cs="Arial"/>
                    <w:i/>
                    <w:iCs/>
                  </w:rPr>
                  <m:t>lb</m:t>
                </m:r>
                <m:ctrlPr>
                  <w:rPr>
                    <w:rFonts w:ascii="Cambria Math" w:hAnsi="Cambria Math" w:cs="Arial"/>
                    <w:i/>
                    <w:iCs/>
                  </w:rPr>
                </m:ctrlPr>
              </m:num>
              <m:den>
                <m:r>
                  <m:rPr>
                    <m:nor/>
                  </m:rPr>
                  <w:rPr>
                    <w:rFonts w:cs="Arial"/>
                    <w:i/>
                    <w:iCs/>
                  </w:rPr>
                  <m:t>gal</m:t>
                </m:r>
              </m:den>
            </m:f>
            <m:r>
              <m:rPr>
                <m:sty m:val="p"/>
              </m:rPr>
              <w:rPr>
                <w:rFonts w:ascii="Cambria Math" w:hAnsi="Cambria Math" w:cs="Arial"/>
              </w:rPr>
              <m:t xml:space="preserve"> X </m:t>
            </m:r>
            <m:d>
              <m:dPr>
                <m:ctrlPr>
                  <w:rPr>
                    <w:rFonts w:ascii="Cambria Math" w:hAnsi="Cambria Math" w:cs="Arial"/>
                    <w:i/>
                  </w:rPr>
                </m:ctrlPr>
              </m:dPr>
              <m:e>
                <m:r>
                  <m:rPr>
                    <m:sty m:val="p"/>
                  </m:rPr>
                  <w:rPr>
                    <w:rFonts w:ascii="Cambria Math" w:hAnsi="Cambria Math" w:cs="Arial"/>
                  </w:rPr>
                  <m:t>Thot –Tcold</m:t>
                </m:r>
              </m:e>
            </m:d>
            <m:r>
              <m:rPr>
                <m:sty m:val="p"/>
              </m:rPr>
              <w:rPr>
                <w:rFonts w:ascii="Cambria Math" w:hAnsi="Cambria Math" w:cs="Arial"/>
              </w:rPr>
              <m:t xml:space="preserve"> X 1000 SF</m:t>
            </m:r>
          </m:den>
        </m:f>
      </m:oMath>
    </w:p>
    <w:p w:rsidR="00B20792" w:rsidRPr="00D74EB9" w:rsidRDefault="00C0292F" w:rsidP="00F05DC2">
      <w:proofErr w:type="gramStart"/>
      <w:r>
        <w:t xml:space="preserve">Table </w:t>
      </w:r>
      <w:r>
        <w:rPr>
          <w:noProof/>
        </w:rPr>
        <w:t>3</w:t>
      </w:r>
      <w:r>
        <w:rPr>
          <w:noProof/>
        </w:rPr>
        <w:noBreakHyphen/>
        <w:t>86</w:t>
      </w:r>
      <w:r w:rsidR="007A1FB6">
        <w:fldChar w:fldCharType="end"/>
      </w:r>
      <w:r w:rsidR="00B20792" w:rsidRPr="00D74EB9">
        <w:t>.</w:t>
      </w:r>
      <w:proofErr w:type="gramEnd"/>
      <w:r w:rsidR="00B20792" w:rsidRPr="00D74EB9">
        <w:t xml:space="preserve">  </w:t>
      </w:r>
    </w:p>
    <w:p w:rsidR="004A4DD1" w:rsidRPr="00D74EB9" w:rsidRDefault="003C7C58" w:rsidP="00F05DC2">
      <w:bookmarkStart w:id="1298" w:name="_Ref302741173"/>
      <w:bookmarkStart w:id="1299" w:name="_Ref297023119"/>
      <m:oMathPara>
        <m:oMath>
          <m:r>
            <m:rPr>
              <m:nor/>
            </m:rPr>
            <w:rPr>
              <w:rFonts w:ascii="Cambria Math" w:cs="Arial"/>
              <w:i/>
            </w:rPr>
            <m:t>HW (Gallons)</m:t>
          </m:r>
          <m:r>
            <m:rPr>
              <m:nor/>
            </m:rPr>
            <w:rPr>
              <w:rFonts w:cs="Arial"/>
              <w:i/>
              <w:iCs/>
            </w:rPr>
            <m:t xml:space="preserve">                         </m:t>
          </m:r>
          <m:r>
            <m:rPr>
              <m:nor/>
            </m:rPr>
            <w:rPr>
              <w:rFonts w:cs="Arial"/>
              <w:i/>
            </w:rPr>
            <m:t xml:space="preserve">=   </m:t>
          </m:r>
          <m:f>
            <m:fPr>
              <m:ctrlPr>
                <w:rPr>
                  <w:rFonts w:ascii="Cambria Math" w:hAnsi="Cambria Math" w:cs="Arial"/>
                  <w:i/>
                </w:rPr>
              </m:ctrlPr>
            </m:fPr>
            <m:num>
              <m:d>
                <m:dPr>
                  <m:begChr m:val=""/>
                  <m:endChr m:val=""/>
                  <m:grow m:val="0"/>
                  <m:ctrlPr>
                    <w:rPr>
                      <w:rFonts w:ascii="Cambria Math" w:hAnsi="Cambria Math" w:cs="Arial"/>
                      <w:i/>
                    </w:rPr>
                  </m:ctrlPr>
                </m:dPr>
                <m:e>
                  <m:r>
                    <w:rPr>
                      <w:rFonts w:ascii="Cambria Math" w:hAnsi="Cambria Math" w:cs="Arial"/>
                    </w:rPr>
                    <m:t>Load×</m:t>
                  </m:r>
                  <m:sSub>
                    <m:sSubPr>
                      <m:ctrlPr>
                        <w:rPr>
                          <w:rFonts w:ascii="Cambria Math" w:hAnsi="Cambria Math" w:cs="Arial"/>
                          <w:i/>
                        </w:rPr>
                      </m:ctrlPr>
                    </m:sSubPr>
                    <m:e>
                      <m:r>
                        <m:rPr>
                          <m:nor/>
                        </m:rPr>
                        <w:rPr>
                          <w:rFonts w:cs="Arial"/>
                          <w:i/>
                          <w:iCs/>
                        </w:rPr>
                        <m:t>EF</m:t>
                      </m:r>
                    </m:e>
                    <m:sub>
                      <m:r>
                        <m:rPr>
                          <m:nor/>
                        </m:rPr>
                        <w:rPr>
                          <w:rFonts w:cs="Arial"/>
                          <w:i/>
                          <w:iCs/>
                        </w:rPr>
                        <m:t>NG, Base</m:t>
                      </m:r>
                    </m:sub>
                  </m:sSub>
                  <m:r>
                    <w:rPr>
                      <w:rFonts w:ascii="Cambria Math" w:hAnsi="Cambria Math" w:cs="Arial"/>
                    </w:rPr>
                    <m:t xml:space="preserve"> X 1000 </m:t>
                  </m:r>
                  <m:f>
                    <m:fPr>
                      <m:ctrlPr>
                        <w:rPr>
                          <w:rFonts w:ascii="Cambria Math" w:hAnsi="Cambria Math" w:cs="Arial"/>
                          <w:i/>
                        </w:rPr>
                      </m:ctrlPr>
                    </m:fPr>
                    <m:num>
                      <m:r>
                        <m:rPr>
                          <m:nor/>
                        </m:rPr>
                        <w:rPr>
                          <w:rFonts w:cs="Arial"/>
                          <w:i/>
                          <w:iCs/>
                        </w:rPr>
                        <m:t>Btu</m:t>
                      </m:r>
                    </m:num>
                    <m:den>
                      <m:r>
                        <m:rPr>
                          <m:nor/>
                        </m:rPr>
                        <w:rPr>
                          <w:rFonts w:ascii="Cambria Math" w:cs="Arial"/>
                          <w:i/>
                          <w:iCs/>
                        </w:rPr>
                        <m:t>k</m:t>
                      </m:r>
                      <m:r>
                        <m:rPr>
                          <m:nor/>
                        </m:rPr>
                        <w:rPr>
                          <w:rFonts w:cs="Arial"/>
                          <w:i/>
                          <w:iCs/>
                        </w:rPr>
                        <m:t>Btu</m:t>
                      </m:r>
                    </m:den>
                  </m:f>
                  <m:r>
                    <w:rPr>
                      <w:rFonts w:ascii="Cambria Math" w:hAnsi="Cambria Math" w:cs="Arial"/>
                    </w:rPr>
                    <m:t xml:space="preserve"> X Typical SF</m:t>
                  </m:r>
                </m:e>
              </m:d>
            </m:num>
            <m:den>
              <m:r>
                <w:rPr>
                  <w:rFonts w:ascii="Cambria Math" w:hAnsi="Cambria Math" w:cs="Arial"/>
                </w:rPr>
                <m:t xml:space="preserve">8.3 </m:t>
              </m:r>
              <m:f>
                <m:fPr>
                  <m:ctrlPr>
                    <w:rPr>
                      <w:rFonts w:ascii="Cambria Math" w:hAnsi="Cambria Math" w:cs="Arial"/>
                      <w:i/>
                    </w:rPr>
                  </m:ctrlPr>
                </m:fPr>
                <m:num>
                  <m:r>
                    <m:rPr>
                      <m:nor/>
                    </m:rPr>
                    <w:rPr>
                      <w:rFonts w:cs="Arial"/>
                      <w:i/>
                      <w:iCs/>
                    </w:rPr>
                    <m:t>lb</m:t>
                  </m:r>
                </m:num>
                <m:den>
                  <m:r>
                    <m:rPr>
                      <m:nor/>
                    </m:rPr>
                    <w:rPr>
                      <w:rFonts w:ascii="Cambria Math" w:cs="Arial"/>
                      <w:i/>
                      <w:iCs/>
                    </w:rPr>
                    <m:t>gal</m:t>
                  </m:r>
                </m:den>
              </m:f>
              <m:r>
                <w:rPr>
                  <w:rFonts w:ascii="Cambria Math" w:hAnsi="Cambria Math" w:cs="Arial"/>
                </w:rPr>
                <m:t xml:space="preserve"> X </m:t>
              </m:r>
              <m:d>
                <m:dPr>
                  <m:ctrlPr>
                    <w:rPr>
                      <w:rFonts w:ascii="Cambria Math" w:hAnsi="Cambria Math" w:cs="Arial"/>
                      <w:i/>
                    </w:rPr>
                  </m:ctrlPr>
                </m:dPr>
                <m:e>
                  <m:r>
                    <w:rPr>
                      <w:rFonts w:ascii="Cambria Math" w:hAnsi="Cambria Math" w:cs="Arial"/>
                    </w:rPr>
                    <m:t>T</m:t>
                  </m:r>
                  <m:r>
                    <w:rPr>
                      <w:rFonts w:ascii="Cambria Math" w:hAnsi="Cambria Math" w:cs="Arial"/>
                      <w:vertAlign w:val="subscript"/>
                    </w:rPr>
                    <m:t>hot</m:t>
                  </m:r>
                  <m:r>
                    <w:rPr>
                      <w:rFonts w:ascii="Cambria Math" w:hAnsi="Cambria Math" w:cs="Arial"/>
                    </w:rPr>
                    <m:t xml:space="preserve"> –T</m:t>
                  </m:r>
                  <m:r>
                    <w:rPr>
                      <w:rFonts w:ascii="Cambria Math" w:hAnsi="Cambria Math" w:cs="Arial"/>
                      <w:vertAlign w:val="subscript"/>
                    </w:rPr>
                    <m:t>cold</m:t>
                  </m:r>
                </m:e>
              </m:d>
              <m:r>
                <w:rPr>
                  <w:rFonts w:ascii="Cambria Math" w:hAnsi="Cambria Math" w:cs="Arial"/>
                </w:rPr>
                <m:t xml:space="preserve"> X 1000 SF</m:t>
              </m:r>
            </m:den>
          </m:f>
        </m:oMath>
      </m:oMathPara>
    </w:p>
    <w:p w:rsidR="00B20792" w:rsidRDefault="00B20792" w:rsidP="00B20792">
      <w:pPr>
        <w:pStyle w:val="Caption"/>
      </w:pPr>
      <w:bookmarkStart w:id="1300" w:name="_Toc310875638"/>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86</w:t>
      </w:r>
      <w:r w:rsidR="00274AB1">
        <w:rPr>
          <w:noProof/>
        </w:rPr>
        <w:fldChar w:fldCharType="end"/>
      </w:r>
      <w:bookmarkEnd w:id="1298"/>
      <w:r>
        <w:t xml:space="preserve">: </w:t>
      </w:r>
      <w:r w:rsidRPr="007D7C98">
        <w:t>Typical water heating loads.</w:t>
      </w:r>
      <w:bookmarkEnd w:id="1299"/>
      <w:bookmarkEnd w:id="130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2469"/>
        <w:gridCol w:w="2467"/>
        <w:gridCol w:w="2467"/>
      </w:tblGrid>
      <w:tr w:rsidR="00B20792" w:rsidRPr="00DC57D4" w:rsidTr="00B20792">
        <w:trPr>
          <w:trHeight w:val="374"/>
          <w:jc w:val="center"/>
        </w:trPr>
        <w:tc>
          <w:tcPr>
            <w:tcW w:w="820" w:type="pct"/>
            <w:tcBorders>
              <w:top w:val="single" w:sz="4" w:space="0" w:color="auto"/>
              <w:left w:val="single" w:sz="4" w:space="0" w:color="auto"/>
              <w:bottom w:val="single" w:sz="4" w:space="0" w:color="auto"/>
              <w:right w:val="single" w:sz="4" w:space="0" w:color="auto"/>
              <w:tl2br w:val="nil"/>
              <w:tr2bl w:val="nil"/>
            </w:tcBorders>
            <w:shd w:val="clear" w:color="auto" w:fill="BFBFBF"/>
          </w:tcPr>
          <w:p w:rsidR="00B20792" w:rsidRPr="001D6512" w:rsidRDefault="00B20792" w:rsidP="00B20792">
            <w:pPr>
              <w:pStyle w:val="TableCell"/>
              <w:spacing w:before="60" w:after="60"/>
              <w:rPr>
                <w:b/>
              </w:rPr>
            </w:pPr>
            <w:r w:rsidRPr="001D6512">
              <w:rPr>
                <w:rFonts w:cs="Arial"/>
                <w:b/>
                <w:color w:val="000000"/>
                <w:szCs w:val="18"/>
              </w:rPr>
              <w:t>Building Type</w:t>
            </w:r>
          </w:p>
        </w:tc>
        <w:tc>
          <w:tcPr>
            <w:tcW w:w="1394" w:type="pct"/>
            <w:tcBorders>
              <w:top w:val="single" w:sz="4" w:space="0" w:color="auto"/>
              <w:left w:val="single" w:sz="4" w:space="0" w:color="auto"/>
              <w:bottom w:val="single" w:sz="4" w:space="0" w:color="auto"/>
              <w:right w:val="single" w:sz="4" w:space="0" w:color="auto"/>
              <w:tl2br w:val="nil"/>
              <w:tr2bl w:val="nil"/>
            </w:tcBorders>
            <w:shd w:val="clear" w:color="auto" w:fill="BFBFBF"/>
          </w:tcPr>
          <w:p w:rsidR="00B20792" w:rsidRPr="001D6512" w:rsidRDefault="00B20792" w:rsidP="00B20792">
            <w:pPr>
              <w:pStyle w:val="TableCell"/>
              <w:spacing w:before="60" w:after="60"/>
              <w:rPr>
                <w:b/>
              </w:rPr>
            </w:pPr>
            <w:r w:rsidRPr="001D6512">
              <w:rPr>
                <w:rFonts w:cs="Arial"/>
                <w:b/>
                <w:color w:val="000000"/>
                <w:szCs w:val="18"/>
              </w:rPr>
              <w:t>Typical Square Footage</w:t>
            </w:r>
          </w:p>
        </w:tc>
        <w:tc>
          <w:tcPr>
            <w:tcW w:w="1393" w:type="pct"/>
            <w:tcBorders>
              <w:top w:val="single" w:sz="4" w:space="0" w:color="auto"/>
              <w:left w:val="single" w:sz="4" w:space="0" w:color="auto"/>
              <w:bottom w:val="single" w:sz="4" w:space="0" w:color="auto"/>
              <w:right w:val="single" w:sz="4" w:space="0" w:color="auto"/>
              <w:tl2br w:val="nil"/>
              <w:tr2bl w:val="nil"/>
            </w:tcBorders>
            <w:shd w:val="clear" w:color="auto" w:fill="BFBFBF"/>
          </w:tcPr>
          <w:p w:rsidR="00B20792" w:rsidRPr="001D6512" w:rsidRDefault="00F37249" w:rsidP="00B20792">
            <w:pPr>
              <w:pStyle w:val="TableCell"/>
              <w:spacing w:before="60" w:after="60"/>
              <w:rPr>
                <w:b/>
              </w:rPr>
            </w:pPr>
            <w:r w:rsidRPr="001D6512">
              <w:rPr>
                <w:rFonts w:cs="Arial"/>
                <w:b/>
                <w:color w:val="000000"/>
                <w:szCs w:val="18"/>
              </w:rPr>
              <w:t xml:space="preserve">Average </w:t>
            </w:r>
            <w:r w:rsidR="00B20792" w:rsidRPr="001D6512">
              <w:rPr>
                <w:rFonts w:cs="Arial"/>
                <w:b/>
                <w:color w:val="000000"/>
                <w:szCs w:val="18"/>
              </w:rPr>
              <w:t>Annual Load In kBTU</w:t>
            </w:r>
          </w:p>
        </w:tc>
        <w:tc>
          <w:tcPr>
            <w:tcW w:w="1393" w:type="pct"/>
            <w:tcBorders>
              <w:top w:val="single" w:sz="4" w:space="0" w:color="auto"/>
              <w:left w:val="single" w:sz="4" w:space="0" w:color="auto"/>
              <w:bottom w:val="single" w:sz="4" w:space="0" w:color="auto"/>
              <w:right w:val="single" w:sz="4" w:space="0" w:color="auto"/>
              <w:tl2br w:val="nil"/>
              <w:tr2bl w:val="nil"/>
            </w:tcBorders>
            <w:shd w:val="clear" w:color="auto" w:fill="BFBFBF"/>
          </w:tcPr>
          <w:p w:rsidR="00B20792" w:rsidRPr="001D6512" w:rsidRDefault="00A15A70" w:rsidP="0053432F">
            <w:pPr>
              <w:pStyle w:val="TableCell"/>
              <w:spacing w:before="60" w:after="60"/>
              <w:rPr>
                <w:b/>
              </w:rPr>
            </w:pPr>
            <w:r w:rsidRPr="001D6512">
              <w:rPr>
                <w:rFonts w:cs="Arial"/>
                <w:b/>
                <w:color w:val="000000"/>
                <w:szCs w:val="18"/>
              </w:rPr>
              <w:t>Average Annual Use, Gallons</w:t>
            </w:r>
          </w:p>
        </w:tc>
      </w:tr>
      <w:tr w:rsidR="00B20792" w:rsidRPr="00DC57D4" w:rsidTr="008C2989">
        <w:trPr>
          <w:trHeight w:val="374"/>
          <w:jc w:val="center"/>
        </w:trPr>
        <w:tc>
          <w:tcPr>
            <w:tcW w:w="820" w:type="pct"/>
            <w:vAlign w:val="center"/>
          </w:tcPr>
          <w:p w:rsidR="00B20792" w:rsidRPr="001D6512" w:rsidRDefault="00B20792" w:rsidP="00B20792">
            <w:pPr>
              <w:pStyle w:val="Title"/>
              <w:spacing w:before="60" w:after="60"/>
              <w:jc w:val="left"/>
              <w:rPr>
                <w:rFonts w:ascii="Arial" w:hAnsi="Arial" w:cs="Arial"/>
                <w:b w:val="0"/>
                <w:sz w:val="18"/>
                <w:szCs w:val="18"/>
              </w:rPr>
            </w:pPr>
            <w:r w:rsidRPr="001D6512">
              <w:rPr>
                <w:rFonts w:ascii="Arial" w:hAnsi="Arial" w:cs="Arial"/>
                <w:b w:val="0"/>
                <w:color w:val="000000"/>
                <w:sz w:val="18"/>
                <w:szCs w:val="18"/>
              </w:rPr>
              <w:t>Motel</w:t>
            </w:r>
          </w:p>
        </w:tc>
        <w:tc>
          <w:tcPr>
            <w:tcW w:w="1394" w:type="pct"/>
            <w:vAlign w:val="center"/>
          </w:tcPr>
          <w:p w:rsidR="00B20792" w:rsidRPr="001D6512" w:rsidRDefault="00B20792" w:rsidP="00B20792">
            <w:pPr>
              <w:pStyle w:val="Title"/>
              <w:spacing w:before="60" w:after="60"/>
              <w:jc w:val="left"/>
              <w:rPr>
                <w:rFonts w:ascii="Arial" w:hAnsi="Arial" w:cs="Arial"/>
                <w:b w:val="0"/>
                <w:sz w:val="18"/>
                <w:szCs w:val="18"/>
              </w:rPr>
            </w:pPr>
            <w:r w:rsidRPr="001D6512">
              <w:rPr>
                <w:rFonts w:ascii="Arial" w:hAnsi="Arial" w:cs="Arial"/>
                <w:b w:val="0"/>
                <w:color w:val="000000"/>
                <w:sz w:val="18"/>
                <w:szCs w:val="18"/>
              </w:rPr>
              <w:t xml:space="preserve">30,000  </w:t>
            </w:r>
          </w:p>
        </w:tc>
        <w:tc>
          <w:tcPr>
            <w:tcW w:w="1393" w:type="pct"/>
            <w:vAlign w:val="center"/>
          </w:tcPr>
          <w:p w:rsidR="00B20792" w:rsidRPr="001D6512" w:rsidRDefault="00A15A70" w:rsidP="00941160">
            <w:pPr>
              <w:pStyle w:val="Title"/>
              <w:spacing w:before="60" w:after="60"/>
              <w:jc w:val="left"/>
              <w:rPr>
                <w:rFonts w:ascii="Arial" w:hAnsi="Arial" w:cs="Arial"/>
                <w:b w:val="0"/>
                <w:sz w:val="18"/>
                <w:szCs w:val="18"/>
              </w:rPr>
            </w:pPr>
            <w:r w:rsidRPr="001D6512">
              <w:rPr>
                <w:rFonts w:ascii="Arial" w:hAnsi="Arial" w:cs="Arial"/>
                <w:b w:val="0"/>
                <w:color w:val="000000"/>
                <w:sz w:val="18"/>
                <w:szCs w:val="18"/>
              </w:rPr>
              <w:t>2,963</w:t>
            </w:r>
          </w:p>
        </w:tc>
        <w:tc>
          <w:tcPr>
            <w:tcW w:w="1393" w:type="pct"/>
            <w:vAlign w:val="bottom"/>
          </w:tcPr>
          <w:p w:rsidR="00B20792" w:rsidRPr="00941160" w:rsidRDefault="00A15A70" w:rsidP="0053432F">
            <w:pPr>
              <w:pStyle w:val="Title"/>
              <w:spacing w:before="60" w:after="60"/>
              <w:jc w:val="left"/>
              <w:rPr>
                <w:rFonts w:ascii="Arial" w:hAnsi="Arial" w:cs="Arial"/>
                <w:b w:val="0"/>
                <w:sz w:val="18"/>
                <w:szCs w:val="18"/>
              </w:rPr>
            </w:pPr>
            <w:r w:rsidRPr="00941160">
              <w:rPr>
                <w:rFonts w:ascii="Arial" w:hAnsi="Arial" w:cs="Arial"/>
                <w:b w:val="0"/>
                <w:color w:val="000000"/>
                <w:sz w:val="18"/>
                <w:szCs w:val="18"/>
              </w:rPr>
              <w:t>97,870</w:t>
            </w:r>
          </w:p>
        </w:tc>
      </w:tr>
      <w:tr w:rsidR="00B20792" w:rsidRPr="00DC57D4" w:rsidTr="008C2989">
        <w:trPr>
          <w:trHeight w:val="374"/>
          <w:jc w:val="center"/>
        </w:trPr>
        <w:tc>
          <w:tcPr>
            <w:tcW w:w="820" w:type="pct"/>
            <w:vAlign w:val="center"/>
          </w:tcPr>
          <w:p w:rsidR="00B20792" w:rsidRPr="001D6512" w:rsidRDefault="00B20792" w:rsidP="00B20792">
            <w:pPr>
              <w:pStyle w:val="Title"/>
              <w:spacing w:before="60" w:after="60"/>
              <w:jc w:val="left"/>
              <w:rPr>
                <w:rFonts w:ascii="Arial" w:hAnsi="Arial" w:cs="Arial"/>
                <w:b w:val="0"/>
                <w:color w:val="000000"/>
                <w:sz w:val="18"/>
                <w:szCs w:val="18"/>
              </w:rPr>
            </w:pPr>
            <w:r w:rsidRPr="001D6512">
              <w:rPr>
                <w:rFonts w:ascii="Arial" w:hAnsi="Arial" w:cs="Arial"/>
                <w:b w:val="0"/>
                <w:color w:val="000000"/>
                <w:sz w:val="18"/>
                <w:szCs w:val="18"/>
              </w:rPr>
              <w:t>Small Office</w:t>
            </w:r>
          </w:p>
        </w:tc>
        <w:tc>
          <w:tcPr>
            <w:tcW w:w="1394" w:type="pct"/>
            <w:vAlign w:val="center"/>
          </w:tcPr>
          <w:p w:rsidR="00B20792" w:rsidRPr="001D6512" w:rsidRDefault="00B20792" w:rsidP="00B20792">
            <w:pPr>
              <w:pStyle w:val="Title"/>
              <w:spacing w:before="60" w:after="60"/>
              <w:jc w:val="left"/>
              <w:rPr>
                <w:rFonts w:ascii="Arial" w:hAnsi="Arial" w:cs="Arial"/>
                <w:b w:val="0"/>
                <w:color w:val="000000"/>
                <w:sz w:val="18"/>
                <w:szCs w:val="18"/>
              </w:rPr>
            </w:pPr>
            <w:r w:rsidRPr="001D6512">
              <w:rPr>
                <w:rFonts w:ascii="Arial" w:hAnsi="Arial" w:cs="Arial"/>
                <w:b w:val="0"/>
                <w:color w:val="000000"/>
                <w:sz w:val="18"/>
                <w:szCs w:val="18"/>
              </w:rPr>
              <w:t>10,000</w:t>
            </w:r>
          </w:p>
        </w:tc>
        <w:tc>
          <w:tcPr>
            <w:tcW w:w="1393" w:type="pct"/>
            <w:vAlign w:val="center"/>
          </w:tcPr>
          <w:p w:rsidR="00B20792" w:rsidRPr="001D6512" w:rsidRDefault="00A15A70" w:rsidP="00941160">
            <w:pPr>
              <w:pStyle w:val="Title"/>
              <w:spacing w:before="60" w:after="60"/>
              <w:jc w:val="left"/>
              <w:rPr>
                <w:rFonts w:ascii="Arial" w:hAnsi="Arial" w:cs="Arial"/>
                <w:b w:val="0"/>
                <w:color w:val="000000"/>
                <w:sz w:val="18"/>
                <w:szCs w:val="18"/>
              </w:rPr>
            </w:pPr>
            <w:r w:rsidRPr="001D6512">
              <w:rPr>
                <w:rFonts w:ascii="Arial" w:hAnsi="Arial" w:cs="Arial"/>
                <w:b w:val="0"/>
                <w:color w:val="000000"/>
                <w:sz w:val="18"/>
                <w:szCs w:val="18"/>
              </w:rPr>
              <w:t>2,214</w:t>
            </w:r>
          </w:p>
        </w:tc>
        <w:tc>
          <w:tcPr>
            <w:tcW w:w="1393" w:type="pct"/>
            <w:vAlign w:val="bottom"/>
          </w:tcPr>
          <w:p w:rsidR="00B20792" w:rsidRPr="00941160" w:rsidRDefault="00A15A70" w:rsidP="0053432F">
            <w:pPr>
              <w:pStyle w:val="Title"/>
              <w:spacing w:before="60" w:after="60"/>
              <w:jc w:val="left"/>
              <w:rPr>
                <w:rFonts w:ascii="Arial" w:hAnsi="Arial" w:cs="Arial"/>
                <w:b w:val="0"/>
                <w:color w:val="000000"/>
                <w:sz w:val="18"/>
                <w:szCs w:val="18"/>
              </w:rPr>
            </w:pPr>
            <w:r w:rsidRPr="00941160">
              <w:rPr>
                <w:rFonts w:ascii="Arial" w:hAnsi="Arial" w:cs="Arial"/>
                <w:b w:val="0"/>
                <w:color w:val="000000"/>
                <w:sz w:val="18"/>
                <w:szCs w:val="18"/>
              </w:rPr>
              <w:t>24,377</w:t>
            </w:r>
          </w:p>
        </w:tc>
      </w:tr>
      <w:tr w:rsidR="00B20792" w:rsidRPr="00DC57D4" w:rsidTr="008C2989">
        <w:trPr>
          <w:trHeight w:val="374"/>
          <w:jc w:val="center"/>
        </w:trPr>
        <w:tc>
          <w:tcPr>
            <w:tcW w:w="820" w:type="pct"/>
            <w:vAlign w:val="center"/>
          </w:tcPr>
          <w:p w:rsidR="00B20792" w:rsidRPr="001D6512" w:rsidRDefault="00B20792" w:rsidP="00B20792">
            <w:pPr>
              <w:pStyle w:val="Title"/>
              <w:spacing w:before="60" w:after="60"/>
              <w:jc w:val="left"/>
              <w:rPr>
                <w:rFonts w:ascii="Arial" w:hAnsi="Arial" w:cs="Arial"/>
                <w:b w:val="0"/>
                <w:color w:val="000000"/>
                <w:sz w:val="18"/>
                <w:szCs w:val="18"/>
              </w:rPr>
            </w:pPr>
            <w:r w:rsidRPr="001D6512">
              <w:rPr>
                <w:rFonts w:ascii="Arial" w:hAnsi="Arial" w:cs="Arial"/>
                <w:b w:val="0"/>
                <w:color w:val="000000"/>
                <w:sz w:val="18"/>
                <w:szCs w:val="18"/>
              </w:rPr>
              <w:t>Small Retail</w:t>
            </w:r>
          </w:p>
        </w:tc>
        <w:tc>
          <w:tcPr>
            <w:tcW w:w="1394" w:type="pct"/>
            <w:vAlign w:val="center"/>
          </w:tcPr>
          <w:p w:rsidR="00B20792" w:rsidRPr="001D6512" w:rsidRDefault="00B20792" w:rsidP="00B20792">
            <w:pPr>
              <w:pStyle w:val="Title"/>
              <w:spacing w:before="60" w:after="60"/>
              <w:jc w:val="left"/>
              <w:rPr>
                <w:rFonts w:ascii="Arial" w:hAnsi="Arial" w:cs="Arial"/>
                <w:b w:val="0"/>
                <w:color w:val="000000"/>
                <w:sz w:val="18"/>
                <w:szCs w:val="18"/>
              </w:rPr>
            </w:pPr>
            <w:r w:rsidRPr="001D6512">
              <w:rPr>
                <w:rFonts w:ascii="Arial" w:hAnsi="Arial" w:cs="Arial"/>
                <w:b w:val="0"/>
                <w:color w:val="000000"/>
                <w:sz w:val="18"/>
                <w:szCs w:val="18"/>
              </w:rPr>
              <w:t>7,000</w:t>
            </w:r>
          </w:p>
        </w:tc>
        <w:tc>
          <w:tcPr>
            <w:tcW w:w="1393" w:type="pct"/>
            <w:vAlign w:val="center"/>
          </w:tcPr>
          <w:p w:rsidR="00B20792" w:rsidRPr="001D6512" w:rsidRDefault="00A15A70" w:rsidP="00941160">
            <w:pPr>
              <w:pStyle w:val="Title"/>
              <w:spacing w:before="60" w:after="60"/>
              <w:jc w:val="left"/>
              <w:rPr>
                <w:rFonts w:ascii="Arial" w:hAnsi="Arial" w:cs="Arial"/>
                <w:b w:val="0"/>
                <w:color w:val="000000"/>
                <w:sz w:val="18"/>
                <w:szCs w:val="18"/>
              </w:rPr>
            </w:pPr>
            <w:r w:rsidRPr="001D6512">
              <w:rPr>
                <w:rFonts w:ascii="Arial" w:hAnsi="Arial" w:cs="Arial"/>
                <w:b w:val="0"/>
                <w:color w:val="000000"/>
                <w:sz w:val="18"/>
                <w:szCs w:val="18"/>
              </w:rPr>
              <w:t>1,451</w:t>
            </w:r>
          </w:p>
        </w:tc>
        <w:tc>
          <w:tcPr>
            <w:tcW w:w="1393" w:type="pct"/>
            <w:vAlign w:val="bottom"/>
          </w:tcPr>
          <w:p w:rsidR="00B20792" w:rsidRPr="00941160" w:rsidRDefault="00A15A70" w:rsidP="0053432F">
            <w:pPr>
              <w:pStyle w:val="Title"/>
              <w:spacing w:before="60" w:after="60"/>
              <w:jc w:val="left"/>
              <w:rPr>
                <w:rFonts w:ascii="Arial" w:hAnsi="Arial" w:cs="Arial"/>
                <w:b w:val="0"/>
                <w:color w:val="000000"/>
                <w:sz w:val="18"/>
                <w:szCs w:val="18"/>
              </w:rPr>
            </w:pPr>
            <w:r w:rsidRPr="00941160">
              <w:rPr>
                <w:rFonts w:ascii="Arial" w:hAnsi="Arial" w:cs="Arial"/>
                <w:b w:val="0"/>
                <w:color w:val="000000"/>
                <w:sz w:val="18"/>
                <w:szCs w:val="18"/>
              </w:rPr>
              <w:t>11,183</w:t>
            </w:r>
          </w:p>
        </w:tc>
      </w:tr>
    </w:tbl>
    <w:p w:rsidR="00B20792" w:rsidRDefault="00B20792" w:rsidP="00B20792">
      <w:pPr>
        <w:tabs>
          <w:tab w:val="left" w:pos="720"/>
        </w:tabs>
        <w:spacing w:before="120"/>
        <w:jc w:val="both"/>
        <w:rPr>
          <w:rFonts w:cs="Arial"/>
        </w:rPr>
      </w:pPr>
    </w:p>
    <w:p w:rsidR="00B20792" w:rsidRPr="00A42737" w:rsidRDefault="00B20792" w:rsidP="00B20792">
      <w:pPr>
        <w:tabs>
          <w:tab w:val="left" w:pos="720"/>
        </w:tabs>
        <w:spacing w:before="120"/>
        <w:jc w:val="both"/>
        <w:rPr>
          <w:rFonts w:cs="Arial"/>
          <w:b/>
        </w:rPr>
      </w:pPr>
      <w:r w:rsidRPr="00A42737">
        <w:rPr>
          <w:rFonts w:cs="Arial"/>
          <w:b/>
        </w:rPr>
        <w:t xml:space="preserve">Energy to Demand Factor </w:t>
      </w:r>
    </w:p>
    <w:p w:rsidR="00B20792" w:rsidRPr="001C39C9" w:rsidRDefault="00B20792" w:rsidP="00F05DC2">
      <w:r w:rsidRPr="00D74EB9">
        <w:t>The ratio of the average energy usage during noon and 8 PM on summer weekdays to the total annual energy usage is taken from usage profile data collected for commercial water heaters</w:t>
      </w:r>
      <w:r>
        <w:t xml:space="preserve"> in CA</w:t>
      </w:r>
      <w:r>
        <w:rPr>
          <w:rStyle w:val="FootnoteReference"/>
        </w:rPr>
        <w:footnoteReference w:id="236"/>
      </w:r>
      <w:r w:rsidRPr="00D74EB9">
        <w:t>.  The usage profiles are shown in</w:t>
      </w:r>
      <w:r>
        <w:t xml:space="preserve"> </w:t>
      </w:r>
      <w:r w:rsidR="00274AB1">
        <w:fldChar w:fldCharType="begin"/>
      </w:r>
      <w:r w:rsidR="00274AB1">
        <w:instrText xml:space="preserve"> REF </w:instrText>
      </w:r>
      <w:r w:rsidR="00274AB1">
        <w:instrText xml:space="preserve">_Ref302741190 \h  \* MERGEFORMAT </w:instrText>
      </w:r>
      <w:r w:rsidR="00274AB1">
        <w:fldChar w:fldCharType="separate"/>
      </w:r>
      <w:r w:rsidR="00C0292F">
        <w:t xml:space="preserve">Figure </w:t>
      </w:r>
      <w:r w:rsidR="00C0292F">
        <w:rPr>
          <w:noProof/>
        </w:rPr>
        <w:t>3</w:t>
      </w:r>
      <w:r w:rsidR="00C0292F">
        <w:rPr>
          <w:noProof/>
        </w:rPr>
        <w:noBreakHyphen/>
        <w:t>2</w:t>
      </w:r>
      <w:r w:rsidR="00274AB1">
        <w:fldChar w:fldCharType="end"/>
      </w:r>
      <w:r w:rsidRPr="00D74EB9">
        <w:t>.</w:t>
      </w:r>
      <w:r>
        <w:t xml:space="preserve"> </w:t>
      </w:r>
      <w:r w:rsidRPr="00D74EB9">
        <w:t>To ensure that the load shape data derived from observations in CA can be applied to PA, we compared the annual energy usage to peak demand factors for two disparate climate zones in CA.</w:t>
      </w:r>
      <w:r>
        <w:t xml:space="preserve"> </w:t>
      </w:r>
      <w:r w:rsidRPr="00D74EB9">
        <w:t>The results, shown in</w:t>
      </w:r>
      <w:r>
        <w:t xml:space="preserve"> </w:t>
      </w:r>
      <w:r w:rsidR="00274AB1">
        <w:fldChar w:fldCharType="begin"/>
      </w:r>
      <w:r w:rsidR="00274AB1">
        <w:instrText xml:space="preserve"> REF _Ref302741191 \h  \* MERGEFORMAT </w:instrText>
      </w:r>
      <w:r w:rsidR="00274AB1">
        <w:fldChar w:fldCharType="separate"/>
      </w:r>
      <w:r w:rsidR="00C0292F">
        <w:t xml:space="preserve">Figure </w:t>
      </w:r>
      <w:r w:rsidR="00C0292F">
        <w:rPr>
          <w:noProof/>
        </w:rPr>
        <w:t>3</w:t>
      </w:r>
      <w:r w:rsidR="00C0292F">
        <w:rPr>
          <w:noProof/>
        </w:rPr>
        <w:noBreakHyphen/>
        <w:t>3</w:t>
      </w:r>
      <w:r w:rsidR="00274AB1">
        <w:fldChar w:fldCharType="end"/>
      </w:r>
      <w:r>
        <w:t>,</w:t>
      </w:r>
      <w:r w:rsidRPr="00D74EB9">
        <w:t xml:space="preserve"> indicate that the ratio of peak demand to annual energy usage is not strongly influenced by climate.</w:t>
      </w:r>
      <w:r>
        <w:t xml:space="preserve"> </w:t>
      </w:r>
      <w:r w:rsidRPr="00D74EB9">
        <w:t>Also, though the actual usage profiles may be different, the average usage between noon and 8 PM on summer weekdays is quite similar for al building types. The close level of agreement between disparate climate zones and building types suggest that the results will carry over to Pennsylvania</w:t>
      </w:r>
      <w:r>
        <w:rPr>
          <w:rStyle w:val="FootnoteReference"/>
        </w:rPr>
        <w:footnoteReference w:id="237"/>
      </w:r>
      <w:r w:rsidRPr="00D74EB9">
        <w:t>.</w:t>
      </w:r>
    </w:p>
    <w:p w:rsidR="00B20792" w:rsidRDefault="002C3BC5" w:rsidP="00B20792">
      <w:pPr>
        <w:pStyle w:val="BodyTextIndent2"/>
        <w:keepNext/>
        <w:spacing w:before="240"/>
        <w:ind w:left="0"/>
      </w:pPr>
      <w:r>
        <w:rPr>
          <w:rFonts w:cs="Arial"/>
          <w:b/>
          <w:noProof/>
        </w:rPr>
        <w:drawing>
          <wp:inline distT="0" distB="0" distL="0" distR="0">
            <wp:extent cx="5486400" cy="235267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486400" cy="2352675"/>
                    </a:xfrm>
                    <a:prstGeom prst="rect">
                      <a:avLst/>
                    </a:prstGeom>
                    <a:noFill/>
                    <a:ln>
                      <a:noFill/>
                    </a:ln>
                  </pic:spPr>
                </pic:pic>
              </a:graphicData>
            </a:graphic>
          </wp:inline>
        </w:drawing>
      </w:r>
    </w:p>
    <w:p w:rsidR="00B20792" w:rsidRDefault="00B20792" w:rsidP="00B20792">
      <w:pPr>
        <w:pStyle w:val="Caption"/>
      </w:pPr>
      <w:bookmarkStart w:id="1301" w:name="_Ref302741190"/>
      <w:bookmarkStart w:id="1302" w:name="_Ref297023225"/>
      <w:r>
        <w:t xml:space="preserve">Figure </w:t>
      </w:r>
      <w:r w:rsidR="007A1FB6">
        <w:fldChar w:fldCharType="begin"/>
      </w:r>
      <w:r w:rsidR="008B139C">
        <w:instrText xml:space="preserve"> STYLEREF 1 \s </w:instrText>
      </w:r>
      <w:r w:rsidR="007A1FB6">
        <w:fldChar w:fldCharType="separate"/>
      </w:r>
      <w:r w:rsidR="00C0292F">
        <w:rPr>
          <w:noProof/>
        </w:rPr>
        <w:t>3</w:t>
      </w:r>
      <w:r w:rsidR="007A1FB6">
        <w:fldChar w:fldCharType="end"/>
      </w:r>
      <w:r w:rsidR="008B139C">
        <w:noBreakHyphen/>
      </w:r>
      <w:r w:rsidR="007A1FB6">
        <w:fldChar w:fldCharType="begin"/>
      </w:r>
      <w:r w:rsidR="008B139C">
        <w:instrText xml:space="preserve"> SEQ Figure \* ARABIC \s 1 </w:instrText>
      </w:r>
      <w:r w:rsidR="007A1FB6">
        <w:fldChar w:fldCharType="separate"/>
      </w:r>
      <w:r w:rsidR="00C0292F">
        <w:rPr>
          <w:noProof/>
        </w:rPr>
        <w:t>2</w:t>
      </w:r>
      <w:r w:rsidR="007A1FB6">
        <w:fldChar w:fldCharType="end"/>
      </w:r>
      <w:bookmarkEnd w:id="1301"/>
      <w:r>
        <w:t xml:space="preserve">: </w:t>
      </w:r>
      <w:r w:rsidRPr="004E3CF4">
        <w:t>Load shapes for hot water in four commercial building types</w:t>
      </w:r>
      <w:bookmarkEnd w:id="1302"/>
    </w:p>
    <w:p w:rsidR="00B20792" w:rsidRPr="00B20792" w:rsidRDefault="00B20792" w:rsidP="00B20792"/>
    <w:p w:rsidR="00B20792" w:rsidRDefault="002C3BC5" w:rsidP="00B20792">
      <w:pPr>
        <w:keepNext/>
        <w:tabs>
          <w:tab w:val="left" w:pos="720"/>
        </w:tabs>
        <w:spacing w:before="120"/>
        <w:jc w:val="both"/>
      </w:pPr>
      <w:r>
        <w:rPr>
          <w:rFonts w:cs="Arial"/>
          <w:b/>
          <w:noProof/>
        </w:rPr>
        <w:drawing>
          <wp:inline distT="0" distB="0" distL="0" distR="0">
            <wp:extent cx="5486400" cy="290512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86400" cy="2905125"/>
                    </a:xfrm>
                    <a:prstGeom prst="rect">
                      <a:avLst/>
                    </a:prstGeom>
                    <a:noFill/>
                    <a:ln>
                      <a:noFill/>
                    </a:ln>
                  </pic:spPr>
                </pic:pic>
              </a:graphicData>
            </a:graphic>
          </wp:inline>
        </w:drawing>
      </w:r>
    </w:p>
    <w:p w:rsidR="00B20792" w:rsidRDefault="00B20792" w:rsidP="00B20792">
      <w:pPr>
        <w:pStyle w:val="Caption"/>
      </w:pPr>
      <w:bookmarkStart w:id="1303" w:name="_Ref302741191"/>
      <w:bookmarkStart w:id="1304" w:name="_Ref297023239"/>
      <w:r>
        <w:t xml:space="preserve">Figure </w:t>
      </w:r>
      <w:r w:rsidR="007A1FB6">
        <w:fldChar w:fldCharType="begin"/>
      </w:r>
      <w:r w:rsidR="008B139C">
        <w:instrText xml:space="preserve"> STYLEREF 1 \s </w:instrText>
      </w:r>
      <w:r w:rsidR="007A1FB6">
        <w:fldChar w:fldCharType="separate"/>
      </w:r>
      <w:r w:rsidR="00C0292F">
        <w:rPr>
          <w:noProof/>
        </w:rPr>
        <w:t>3</w:t>
      </w:r>
      <w:r w:rsidR="007A1FB6">
        <w:fldChar w:fldCharType="end"/>
      </w:r>
      <w:r w:rsidR="008B139C">
        <w:noBreakHyphen/>
      </w:r>
      <w:r w:rsidR="007A1FB6">
        <w:fldChar w:fldCharType="begin"/>
      </w:r>
      <w:r w:rsidR="008B139C">
        <w:instrText xml:space="preserve"> SEQ Figure \* ARABIC \s 1 </w:instrText>
      </w:r>
      <w:r w:rsidR="007A1FB6">
        <w:fldChar w:fldCharType="separate"/>
      </w:r>
      <w:r w:rsidR="00C0292F">
        <w:rPr>
          <w:noProof/>
        </w:rPr>
        <w:t>3</w:t>
      </w:r>
      <w:r w:rsidR="007A1FB6">
        <w:fldChar w:fldCharType="end"/>
      </w:r>
      <w:bookmarkEnd w:id="1303"/>
      <w:r>
        <w:t xml:space="preserve">: </w:t>
      </w:r>
      <w:r w:rsidRPr="00794000">
        <w:t>Energy to demand factors for four commercial building types</w:t>
      </w:r>
      <w:bookmarkEnd w:id="1304"/>
    </w:p>
    <w:p w:rsidR="00B20792" w:rsidRDefault="00B20792" w:rsidP="00B20792">
      <w:pPr>
        <w:tabs>
          <w:tab w:val="left" w:pos="720"/>
        </w:tabs>
        <w:spacing w:before="120"/>
        <w:jc w:val="both"/>
        <w:rPr>
          <w:sz w:val="22"/>
        </w:rPr>
      </w:pPr>
    </w:p>
    <w:p w:rsidR="00B20792" w:rsidRPr="00C465DB" w:rsidRDefault="00B20792" w:rsidP="00871FA2">
      <w:pPr>
        <w:pStyle w:val="Heading3"/>
      </w:pPr>
      <w:r>
        <w:t>Definition of Terms</w:t>
      </w:r>
    </w:p>
    <w:p w:rsidR="00B20792" w:rsidRDefault="00B20792" w:rsidP="00B20792">
      <w:pPr>
        <w:pStyle w:val="BodyText"/>
        <w:keepNext/>
      </w:pPr>
      <w:r>
        <w:t xml:space="preserve">The parameters in the above equation are listed in </w:t>
      </w:r>
      <w:r w:rsidR="007A1FB6">
        <w:fldChar w:fldCharType="begin"/>
      </w:r>
      <w:r>
        <w:instrText xml:space="preserve"> REF _Ref302741252 \h </w:instrText>
      </w:r>
      <w:r w:rsidR="007A1FB6">
        <w:fldChar w:fldCharType="separate"/>
      </w:r>
      <w:r w:rsidR="00C0292F">
        <w:t xml:space="preserve">Table </w:t>
      </w:r>
      <w:r w:rsidR="00C0292F">
        <w:rPr>
          <w:noProof/>
        </w:rPr>
        <w:t>3</w:t>
      </w:r>
      <w:r w:rsidR="00C0292F">
        <w:noBreakHyphen/>
      </w:r>
      <w:r w:rsidR="00C0292F">
        <w:rPr>
          <w:noProof/>
        </w:rPr>
        <w:t>87</w:t>
      </w:r>
      <w:r w:rsidR="007A1FB6">
        <w:fldChar w:fldCharType="end"/>
      </w:r>
      <w:r>
        <w:t>.</w:t>
      </w:r>
    </w:p>
    <w:p w:rsidR="00B20792" w:rsidRDefault="00B20792" w:rsidP="00B20792">
      <w:pPr>
        <w:pStyle w:val="Caption"/>
      </w:pPr>
      <w:bookmarkStart w:id="1305" w:name="_Ref302741252"/>
      <w:bookmarkStart w:id="1306" w:name="_Ref297024807"/>
      <w:bookmarkStart w:id="1307" w:name="_Toc310875639"/>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w:instrText>
      </w:r>
      <w:r w:rsidR="00274AB1">
        <w:instrText xml:space="preserve">EQ Table \* ARABIC \s 1 </w:instrText>
      </w:r>
      <w:r w:rsidR="00274AB1">
        <w:fldChar w:fldCharType="separate"/>
      </w:r>
      <w:r w:rsidR="00C0292F">
        <w:rPr>
          <w:noProof/>
        </w:rPr>
        <w:t>87</w:t>
      </w:r>
      <w:r w:rsidR="00274AB1">
        <w:rPr>
          <w:noProof/>
        </w:rPr>
        <w:fldChar w:fldCharType="end"/>
      </w:r>
      <w:bookmarkEnd w:id="1305"/>
      <w:r>
        <w:t xml:space="preserve">: </w:t>
      </w:r>
      <w:r w:rsidRPr="00B04D67">
        <w:t>Electric Resistance Water Heater Calculation Assumptions</w:t>
      </w:r>
      <w:bookmarkEnd w:id="1306"/>
      <w:bookmarkEnd w:id="130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261"/>
        <w:gridCol w:w="1709"/>
        <w:gridCol w:w="1638"/>
      </w:tblGrid>
      <w:tr w:rsidR="00B20792" w:rsidRPr="006E0899" w:rsidTr="00B20792">
        <w:trPr>
          <w:trHeight w:val="374"/>
          <w:jc w:val="center"/>
        </w:trPr>
        <w:tc>
          <w:tcPr>
            <w:tcW w:w="2398" w:type="pct"/>
            <w:shd w:val="clear" w:color="auto" w:fill="BFBFBF"/>
          </w:tcPr>
          <w:p w:rsidR="00B20792" w:rsidRPr="001D6512" w:rsidRDefault="00B20792" w:rsidP="00B20792">
            <w:pPr>
              <w:pStyle w:val="TableCell"/>
              <w:spacing w:before="60" w:after="60"/>
              <w:rPr>
                <w:rFonts w:cs="Arial"/>
                <w:b/>
              </w:rPr>
            </w:pPr>
            <w:r w:rsidRPr="001D6512">
              <w:rPr>
                <w:rFonts w:cs="Arial"/>
                <w:b/>
              </w:rPr>
              <w:t>Component</w:t>
            </w:r>
          </w:p>
        </w:tc>
        <w:tc>
          <w:tcPr>
            <w:tcW w:w="712" w:type="pct"/>
            <w:shd w:val="clear" w:color="auto" w:fill="BFBFBF"/>
          </w:tcPr>
          <w:p w:rsidR="00B20792" w:rsidRPr="001D6512" w:rsidRDefault="00B20792" w:rsidP="00B20792">
            <w:pPr>
              <w:pStyle w:val="TableCell"/>
              <w:spacing w:before="60" w:after="60"/>
              <w:rPr>
                <w:rFonts w:cs="Arial"/>
                <w:b/>
              </w:rPr>
            </w:pPr>
            <w:r w:rsidRPr="001D6512">
              <w:rPr>
                <w:rFonts w:cs="Arial"/>
                <w:b/>
              </w:rPr>
              <w:t>Type</w:t>
            </w:r>
          </w:p>
        </w:tc>
        <w:tc>
          <w:tcPr>
            <w:tcW w:w="965" w:type="pct"/>
            <w:shd w:val="clear" w:color="auto" w:fill="BFBFBF"/>
          </w:tcPr>
          <w:p w:rsidR="00B20792" w:rsidRPr="001D6512" w:rsidRDefault="00B20792" w:rsidP="00B20792">
            <w:pPr>
              <w:pStyle w:val="TableCell"/>
              <w:spacing w:before="60" w:after="60"/>
              <w:rPr>
                <w:rFonts w:cs="Arial"/>
                <w:b/>
              </w:rPr>
            </w:pPr>
            <w:r w:rsidRPr="001D6512">
              <w:rPr>
                <w:rFonts w:cs="Arial"/>
                <w:b/>
              </w:rPr>
              <w:t>Values</w:t>
            </w:r>
          </w:p>
        </w:tc>
        <w:tc>
          <w:tcPr>
            <w:tcW w:w="925" w:type="pct"/>
            <w:shd w:val="clear" w:color="auto" w:fill="BFBFBF"/>
          </w:tcPr>
          <w:p w:rsidR="00B20792" w:rsidRPr="001D6512" w:rsidRDefault="00B20792" w:rsidP="00B20792">
            <w:pPr>
              <w:pStyle w:val="TableCell"/>
              <w:spacing w:before="60" w:after="60"/>
              <w:rPr>
                <w:rFonts w:cs="Arial"/>
                <w:b/>
              </w:rPr>
            </w:pPr>
            <w:r w:rsidRPr="001D6512">
              <w:rPr>
                <w:rFonts w:cs="Arial"/>
                <w:b/>
              </w:rPr>
              <w:t xml:space="preserve">Source </w:t>
            </w:r>
          </w:p>
        </w:tc>
      </w:tr>
      <w:tr w:rsidR="00B20792" w:rsidRPr="006E0899" w:rsidTr="00B20792">
        <w:trPr>
          <w:trHeight w:val="374"/>
          <w:jc w:val="center"/>
        </w:trPr>
        <w:tc>
          <w:tcPr>
            <w:tcW w:w="2398" w:type="pct"/>
            <w:shd w:val="clear" w:color="auto" w:fill="auto"/>
          </w:tcPr>
          <w:p w:rsidR="00B20792" w:rsidRPr="001D6512" w:rsidRDefault="00B20792" w:rsidP="00B20792">
            <w:pPr>
              <w:pStyle w:val="TableCell"/>
              <w:spacing w:before="60" w:after="60"/>
              <w:rPr>
                <w:rFonts w:cs="Arial"/>
              </w:rPr>
            </w:pPr>
            <w:r w:rsidRPr="001D6512">
              <w:rPr>
                <w:rFonts w:cs="Arial"/>
              </w:rPr>
              <w:t>EF</w:t>
            </w:r>
            <w:r w:rsidRPr="001D6512">
              <w:rPr>
                <w:rFonts w:cs="Arial"/>
                <w:vertAlign w:val="subscript"/>
              </w:rPr>
              <w:t>base</w:t>
            </w:r>
            <w:r w:rsidRPr="001D6512">
              <w:rPr>
                <w:rFonts w:cs="Arial"/>
              </w:rPr>
              <w:t>, Energy Factor of baseline water heater</w:t>
            </w:r>
          </w:p>
        </w:tc>
        <w:tc>
          <w:tcPr>
            <w:tcW w:w="712" w:type="pct"/>
            <w:shd w:val="clear" w:color="auto" w:fill="auto"/>
          </w:tcPr>
          <w:p w:rsidR="00B20792" w:rsidRPr="001D6512" w:rsidRDefault="00B20792" w:rsidP="00B20792">
            <w:pPr>
              <w:pStyle w:val="TableCell"/>
              <w:spacing w:before="60" w:after="60"/>
              <w:rPr>
                <w:rFonts w:cs="Arial"/>
              </w:rPr>
            </w:pPr>
            <w:r w:rsidRPr="001D6512">
              <w:rPr>
                <w:rFonts w:cs="Arial"/>
              </w:rPr>
              <w:t>Fixed</w:t>
            </w:r>
          </w:p>
        </w:tc>
        <w:tc>
          <w:tcPr>
            <w:tcW w:w="965" w:type="pct"/>
            <w:shd w:val="clear" w:color="auto" w:fill="auto"/>
          </w:tcPr>
          <w:p w:rsidR="00B20792" w:rsidRPr="001D6512" w:rsidRDefault="00B20792" w:rsidP="00941160">
            <w:pPr>
              <w:pStyle w:val="TableCell"/>
              <w:spacing w:before="60" w:after="60"/>
              <w:rPr>
                <w:rFonts w:cs="Arial"/>
              </w:rPr>
            </w:pPr>
            <w:r w:rsidRPr="001D6512">
              <w:rPr>
                <w:rFonts w:cs="Arial"/>
              </w:rPr>
              <w:t>0.90</w:t>
            </w:r>
            <w:r w:rsidR="00CB1CAE" w:rsidRPr="001D6512">
              <w:rPr>
                <w:rFonts w:cs="Arial"/>
              </w:rPr>
              <w:t>4</w:t>
            </w:r>
          </w:p>
        </w:tc>
        <w:tc>
          <w:tcPr>
            <w:tcW w:w="925" w:type="pct"/>
            <w:shd w:val="clear" w:color="auto" w:fill="auto"/>
          </w:tcPr>
          <w:p w:rsidR="00B20792" w:rsidRPr="001D6512" w:rsidRDefault="00B20792" w:rsidP="00B20792">
            <w:pPr>
              <w:pStyle w:val="TableCell"/>
              <w:spacing w:before="60" w:after="60"/>
              <w:rPr>
                <w:rFonts w:cs="Arial"/>
                <w:szCs w:val="18"/>
              </w:rPr>
            </w:pPr>
            <w:r w:rsidRPr="001D6512">
              <w:rPr>
                <w:rFonts w:cs="Arial"/>
                <w:szCs w:val="18"/>
              </w:rPr>
              <w:t>1</w:t>
            </w:r>
          </w:p>
        </w:tc>
      </w:tr>
      <w:tr w:rsidR="00B20792" w:rsidRPr="006E0899" w:rsidTr="00B20792">
        <w:trPr>
          <w:trHeight w:val="374"/>
          <w:jc w:val="center"/>
        </w:trPr>
        <w:tc>
          <w:tcPr>
            <w:tcW w:w="2398" w:type="pct"/>
            <w:shd w:val="clear" w:color="auto" w:fill="auto"/>
          </w:tcPr>
          <w:p w:rsidR="00B20792" w:rsidRPr="001D6512" w:rsidRDefault="00B20792" w:rsidP="00B20792">
            <w:pPr>
              <w:pStyle w:val="TableCell"/>
              <w:spacing w:before="60" w:after="60"/>
              <w:rPr>
                <w:rFonts w:cs="Arial"/>
              </w:rPr>
            </w:pPr>
            <w:r w:rsidRPr="001D6512">
              <w:rPr>
                <w:rFonts w:cs="Arial"/>
              </w:rPr>
              <w:t>EF</w:t>
            </w:r>
            <w:r w:rsidRPr="001D6512">
              <w:rPr>
                <w:rFonts w:cs="Arial"/>
                <w:vertAlign w:val="subscript"/>
              </w:rPr>
              <w:t>proposed</w:t>
            </w:r>
            <w:r w:rsidRPr="001D6512">
              <w:rPr>
                <w:rFonts w:cs="Arial"/>
              </w:rPr>
              <w:t>, Energy Factor of proposed efficient water heater</w:t>
            </w:r>
          </w:p>
        </w:tc>
        <w:tc>
          <w:tcPr>
            <w:tcW w:w="712" w:type="pct"/>
            <w:shd w:val="clear" w:color="auto" w:fill="auto"/>
          </w:tcPr>
          <w:p w:rsidR="00B20792" w:rsidRPr="001D6512" w:rsidRDefault="00B20792" w:rsidP="00B20792">
            <w:pPr>
              <w:pStyle w:val="TableCell"/>
              <w:spacing w:before="60" w:after="60"/>
              <w:rPr>
                <w:rFonts w:cs="Arial"/>
              </w:rPr>
            </w:pPr>
            <w:r w:rsidRPr="001D6512">
              <w:rPr>
                <w:rFonts w:cs="Arial"/>
              </w:rPr>
              <w:t>Variable</w:t>
            </w:r>
          </w:p>
        </w:tc>
        <w:tc>
          <w:tcPr>
            <w:tcW w:w="965" w:type="pct"/>
            <w:shd w:val="clear" w:color="auto" w:fill="auto"/>
          </w:tcPr>
          <w:p w:rsidR="00B20792" w:rsidRPr="001D6512" w:rsidRDefault="00B20792" w:rsidP="00B20792">
            <w:pPr>
              <w:pStyle w:val="TableCell"/>
              <w:spacing w:before="60" w:after="60"/>
              <w:rPr>
                <w:rFonts w:cs="Arial"/>
              </w:rPr>
            </w:pPr>
            <w:r w:rsidRPr="001D6512">
              <w:rPr>
                <w:rFonts w:cs="Arial"/>
              </w:rPr>
              <w:t>≥0.93</w:t>
            </w:r>
          </w:p>
        </w:tc>
        <w:tc>
          <w:tcPr>
            <w:tcW w:w="925" w:type="pct"/>
            <w:shd w:val="clear" w:color="auto" w:fill="auto"/>
          </w:tcPr>
          <w:p w:rsidR="00B20792" w:rsidRPr="001D6512" w:rsidRDefault="00B20792" w:rsidP="00B20792">
            <w:pPr>
              <w:pStyle w:val="TableCell"/>
              <w:spacing w:before="60" w:after="60"/>
              <w:rPr>
                <w:rFonts w:cs="Arial"/>
                <w:szCs w:val="18"/>
              </w:rPr>
            </w:pPr>
            <w:r w:rsidRPr="001D6512">
              <w:rPr>
                <w:rFonts w:cs="Arial"/>
                <w:szCs w:val="18"/>
              </w:rPr>
              <w:t>Program Design</w:t>
            </w:r>
          </w:p>
        </w:tc>
      </w:tr>
      <w:tr w:rsidR="00B20792" w:rsidRPr="006E0899" w:rsidTr="00B20792">
        <w:trPr>
          <w:trHeight w:val="374"/>
          <w:jc w:val="center"/>
        </w:trPr>
        <w:tc>
          <w:tcPr>
            <w:tcW w:w="2398" w:type="pct"/>
            <w:shd w:val="clear" w:color="auto" w:fill="auto"/>
          </w:tcPr>
          <w:p w:rsidR="00B20792" w:rsidRPr="001D6512" w:rsidRDefault="00B20792" w:rsidP="0053432F">
            <w:pPr>
              <w:pStyle w:val="TableCell"/>
              <w:spacing w:before="60" w:after="60"/>
              <w:rPr>
                <w:rFonts w:cs="Arial"/>
              </w:rPr>
            </w:pPr>
            <w:r w:rsidRPr="001D6512">
              <w:rPr>
                <w:rFonts w:cs="Arial"/>
              </w:rPr>
              <w:t xml:space="preserve">Load, </w:t>
            </w:r>
            <w:r w:rsidR="00F37249" w:rsidRPr="001D6512">
              <w:rPr>
                <w:rFonts w:cs="Arial"/>
              </w:rPr>
              <w:t xml:space="preserve">Average </w:t>
            </w:r>
            <w:r w:rsidR="0053432F">
              <w:rPr>
                <w:rFonts w:cs="Arial"/>
              </w:rPr>
              <w:t>a</w:t>
            </w:r>
            <w:r w:rsidRPr="001D6512">
              <w:rPr>
                <w:rFonts w:cs="Arial"/>
              </w:rPr>
              <w:t xml:space="preserve">nnual Load in </w:t>
            </w:r>
            <w:r w:rsidR="00F37249" w:rsidRPr="001D6512">
              <w:rPr>
                <w:rFonts w:cs="Arial"/>
              </w:rPr>
              <w:t>k</w:t>
            </w:r>
            <w:r w:rsidRPr="001D6512">
              <w:rPr>
                <w:rFonts w:cs="Arial"/>
              </w:rPr>
              <w:t>BTU</w:t>
            </w:r>
          </w:p>
        </w:tc>
        <w:tc>
          <w:tcPr>
            <w:tcW w:w="712" w:type="pct"/>
            <w:shd w:val="clear" w:color="auto" w:fill="auto"/>
          </w:tcPr>
          <w:p w:rsidR="00B20792" w:rsidRPr="001D6512" w:rsidRDefault="00B20792" w:rsidP="00B20792">
            <w:pPr>
              <w:pStyle w:val="TableCell"/>
              <w:spacing w:before="60" w:after="60"/>
              <w:rPr>
                <w:rFonts w:cs="Arial"/>
              </w:rPr>
            </w:pPr>
            <w:r w:rsidRPr="001D6512">
              <w:rPr>
                <w:rFonts w:cs="Arial"/>
              </w:rPr>
              <w:t>Fixed</w:t>
            </w:r>
          </w:p>
        </w:tc>
        <w:tc>
          <w:tcPr>
            <w:tcW w:w="965" w:type="pct"/>
            <w:shd w:val="clear" w:color="auto" w:fill="auto"/>
          </w:tcPr>
          <w:p w:rsidR="00B20792" w:rsidRPr="001D6512" w:rsidRDefault="00B20792" w:rsidP="00B20792">
            <w:pPr>
              <w:pStyle w:val="TableCell"/>
              <w:spacing w:before="60" w:after="60"/>
              <w:rPr>
                <w:rFonts w:cs="Arial"/>
              </w:rPr>
            </w:pPr>
            <w:r w:rsidRPr="001D6512">
              <w:rPr>
                <w:rFonts w:cs="Arial"/>
              </w:rPr>
              <w:t>Varies</w:t>
            </w:r>
          </w:p>
        </w:tc>
        <w:tc>
          <w:tcPr>
            <w:tcW w:w="925" w:type="pct"/>
            <w:shd w:val="clear" w:color="auto" w:fill="auto"/>
          </w:tcPr>
          <w:p w:rsidR="00B20792" w:rsidRPr="001D6512" w:rsidRDefault="00B20792" w:rsidP="00B20792">
            <w:pPr>
              <w:pStyle w:val="TableCell"/>
              <w:spacing w:before="60" w:after="60"/>
              <w:rPr>
                <w:rFonts w:cs="Arial"/>
                <w:szCs w:val="18"/>
              </w:rPr>
            </w:pPr>
            <w:r w:rsidRPr="001D6512">
              <w:rPr>
                <w:rStyle w:val="EndnoteReference"/>
                <w:szCs w:val="18"/>
              </w:rPr>
              <w:t xml:space="preserve"> </w:t>
            </w:r>
            <w:r w:rsidRPr="001D6512">
              <w:rPr>
                <w:rFonts w:cs="Arial"/>
                <w:szCs w:val="18"/>
              </w:rPr>
              <w:t>DEER Database</w:t>
            </w:r>
          </w:p>
        </w:tc>
      </w:tr>
      <w:tr w:rsidR="00B20792" w:rsidRPr="006E0899" w:rsidTr="00B20792">
        <w:trPr>
          <w:trHeight w:val="374"/>
          <w:jc w:val="center"/>
        </w:trPr>
        <w:tc>
          <w:tcPr>
            <w:tcW w:w="2398" w:type="pct"/>
            <w:shd w:val="clear" w:color="auto" w:fill="auto"/>
          </w:tcPr>
          <w:p w:rsidR="00B20792" w:rsidRPr="001D6512" w:rsidRDefault="00B20792" w:rsidP="00B20792">
            <w:pPr>
              <w:pStyle w:val="TableCell"/>
              <w:spacing w:before="60" w:after="60"/>
              <w:rPr>
                <w:rFonts w:cs="Arial"/>
              </w:rPr>
            </w:pPr>
            <w:r w:rsidRPr="001D6512">
              <w:rPr>
                <w:rFonts w:cs="Arial"/>
              </w:rPr>
              <w:t>T</w:t>
            </w:r>
            <w:r w:rsidRPr="001D6512">
              <w:rPr>
                <w:rFonts w:cs="Arial"/>
                <w:vertAlign w:val="subscript"/>
              </w:rPr>
              <w:t>hot</w:t>
            </w:r>
            <w:r w:rsidRPr="001D6512">
              <w:rPr>
                <w:rFonts w:cs="Arial"/>
              </w:rPr>
              <w:t>, Temperature of hot water</w:t>
            </w:r>
          </w:p>
        </w:tc>
        <w:tc>
          <w:tcPr>
            <w:tcW w:w="712" w:type="pct"/>
            <w:shd w:val="clear" w:color="auto" w:fill="auto"/>
          </w:tcPr>
          <w:p w:rsidR="00B20792" w:rsidRPr="001D6512" w:rsidRDefault="00B20792" w:rsidP="00B20792">
            <w:pPr>
              <w:pStyle w:val="TableCell"/>
              <w:spacing w:before="60" w:after="60"/>
              <w:rPr>
                <w:rFonts w:cs="Arial"/>
              </w:rPr>
            </w:pPr>
            <w:r w:rsidRPr="001D6512">
              <w:rPr>
                <w:rFonts w:cs="Arial"/>
              </w:rPr>
              <w:t>Fixed</w:t>
            </w:r>
          </w:p>
        </w:tc>
        <w:tc>
          <w:tcPr>
            <w:tcW w:w="965" w:type="pct"/>
            <w:shd w:val="clear" w:color="auto" w:fill="auto"/>
          </w:tcPr>
          <w:p w:rsidR="00B20792" w:rsidRPr="001D6512" w:rsidRDefault="00B20792" w:rsidP="00B20792">
            <w:pPr>
              <w:pStyle w:val="TableCell"/>
              <w:spacing w:before="60" w:after="60"/>
              <w:rPr>
                <w:rFonts w:cs="Arial"/>
              </w:rPr>
            </w:pPr>
            <w:r w:rsidRPr="001D6512">
              <w:rPr>
                <w:rFonts w:cs="Arial"/>
              </w:rPr>
              <w:t>120 °F</w:t>
            </w:r>
          </w:p>
        </w:tc>
        <w:tc>
          <w:tcPr>
            <w:tcW w:w="925" w:type="pct"/>
            <w:shd w:val="clear" w:color="auto" w:fill="auto"/>
          </w:tcPr>
          <w:p w:rsidR="00B20792" w:rsidRPr="001D6512" w:rsidRDefault="00B20792" w:rsidP="00B20792">
            <w:pPr>
              <w:pStyle w:val="TableCell"/>
              <w:spacing w:before="60" w:after="60"/>
              <w:rPr>
                <w:rFonts w:cs="Arial"/>
                <w:szCs w:val="18"/>
              </w:rPr>
            </w:pPr>
            <w:r w:rsidRPr="001D6512">
              <w:rPr>
                <w:rFonts w:cs="Arial"/>
                <w:szCs w:val="18"/>
              </w:rPr>
              <w:t>2</w:t>
            </w:r>
          </w:p>
        </w:tc>
      </w:tr>
      <w:tr w:rsidR="00B20792" w:rsidRPr="006E0899" w:rsidTr="00B20792">
        <w:trPr>
          <w:trHeight w:val="374"/>
          <w:jc w:val="center"/>
        </w:trPr>
        <w:tc>
          <w:tcPr>
            <w:tcW w:w="2398" w:type="pct"/>
            <w:shd w:val="clear" w:color="auto" w:fill="auto"/>
          </w:tcPr>
          <w:p w:rsidR="00B20792" w:rsidRPr="001D6512" w:rsidRDefault="00B20792" w:rsidP="00B20792">
            <w:pPr>
              <w:pStyle w:val="TableCell"/>
              <w:spacing w:before="60" w:after="60"/>
              <w:rPr>
                <w:rFonts w:cs="Arial"/>
              </w:rPr>
            </w:pPr>
            <w:r w:rsidRPr="001D6512">
              <w:rPr>
                <w:rFonts w:cs="Arial"/>
              </w:rPr>
              <w:t>T</w:t>
            </w:r>
            <w:r w:rsidRPr="001D6512">
              <w:rPr>
                <w:rFonts w:cs="Arial"/>
                <w:vertAlign w:val="subscript"/>
              </w:rPr>
              <w:t>cold</w:t>
            </w:r>
            <w:r w:rsidRPr="001D6512">
              <w:rPr>
                <w:rFonts w:cs="Arial"/>
              </w:rPr>
              <w:t>, Temperature of cold water supply</w:t>
            </w:r>
          </w:p>
        </w:tc>
        <w:tc>
          <w:tcPr>
            <w:tcW w:w="712" w:type="pct"/>
            <w:shd w:val="clear" w:color="auto" w:fill="auto"/>
          </w:tcPr>
          <w:p w:rsidR="00B20792" w:rsidRPr="001D6512" w:rsidRDefault="00B20792" w:rsidP="00B20792">
            <w:pPr>
              <w:pStyle w:val="TableCell"/>
              <w:spacing w:before="60" w:after="60"/>
              <w:rPr>
                <w:rFonts w:cs="Arial"/>
              </w:rPr>
            </w:pPr>
            <w:r w:rsidRPr="001D6512">
              <w:rPr>
                <w:rFonts w:cs="Arial"/>
              </w:rPr>
              <w:t>Fixed</w:t>
            </w:r>
          </w:p>
        </w:tc>
        <w:tc>
          <w:tcPr>
            <w:tcW w:w="965" w:type="pct"/>
            <w:shd w:val="clear" w:color="auto" w:fill="auto"/>
          </w:tcPr>
          <w:p w:rsidR="00B20792" w:rsidRPr="001D6512" w:rsidRDefault="00B20792" w:rsidP="00B20792">
            <w:pPr>
              <w:pStyle w:val="TableCell"/>
              <w:spacing w:before="60" w:after="60"/>
              <w:rPr>
                <w:rFonts w:cs="Arial"/>
              </w:rPr>
            </w:pPr>
            <w:r w:rsidRPr="001D6512">
              <w:rPr>
                <w:rFonts w:cs="Arial"/>
              </w:rPr>
              <w:t>55 °F</w:t>
            </w:r>
          </w:p>
        </w:tc>
        <w:tc>
          <w:tcPr>
            <w:tcW w:w="925" w:type="pct"/>
            <w:shd w:val="clear" w:color="auto" w:fill="auto"/>
          </w:tcPr>
          <w:p w:rsidR="00B20792" w:rsidRPr="001D6512" w:rsidRDefault="00B20792" w:rsidP="00B20792">
            <w:pPr>
              <w:pStyle w:val="TableCell"/>
              <w:spacing w:before="60" w:after="60"/>
              <w:rPr>
                <w:rFonts w:cs="Arial"/>
                <w:szCs w:val="18"/>
              </w:rPr>
            </w:pPr>
            <w:r w:rsidRPr="001D6512">
              <w:rPr>
                <w:rFonts w:cs="Arial"/>
                <w:szCs w:val="18"/>
              </w:rPr>
              <w:t>3</w:t>
            </w:r>
          </w:p>
        </w:tc>
      </w:tr>
      <w:tr w:rsidR="00B20792" w:rsidRPr="006E0899" w:rsidTr="00B20792">
        <w:trPr>
          <w:trHeight w:val="374"/>
          <w:jc w:val="center"/>
        </w:trPr>
        <w:tc>
          <w:tcPr>
            <w:tcW w:w="2398" w:type="pct"/>
            <w:shd w:val="clear" w:color="auto" w:fill="auto"/>
          </w:tcPr>
          <w:p w:rsidR="00B20792" w:rsidRPr="001D6512" w:rsidRDefault="00B20792" w:rsidP="00B20792">
            <w:pPr>
              <w:pStyle w:val="TableCell"/>
              <w:spacing w:before="60" w:after="60"/>
              <w:rPr>
                <w:rFonts w:cs="Arial"/>
              </w:rPr>
            </w:pPr>
            <w:r w:rsidRPr="001D6512">
              <w:rPr>
                <w:rFonts w:cs="Arial"/>
              </w:rPr>
              <w:t>EnergyToDemandFactor</w:t>
            </w:r>
          </w:p>
        </w:tc>
        <w:tc>
          <w:tcPr>
            <w:tcW w:w="712" w:type="pct"/>
            <w:shd w:val="clear" w:color="auto" w:fill="auto"/>
          </w:tcPr>
          <w:p w:rsidR="00B20792" w:rsidRPr="001D6512" w:rsidRDefault="00B20792" w:rsidP="00B20792">
            <w:pPr>
              <w:pStyle w:val="TableCell"/>
              <w:spacing w:before="60" w:after="60"/>
              <w:rPr>
                <w:rFonts w:cs="Arial"/>
              </w:rPr>
            </w:pPr>
            <w:r w:rsidRPr="001D6512">
              <w:rPr>
                <w:rFonts w:cs="Arial"/>
              </w:rPr>
              <w:t>Fixed</w:t>
            </w:r>
          </w:p>
        </w:tc>
        <w:tc>
          <w:tcPr>
            <w:tcW w:w="965" w:type="pct"/>
            <w:shd w:val="clear" w:color="auto" w:fill="auto"/>
          </w:tcPr>
          <w:p w:rsidR="00B20792" w:rsidRPr="001D6512" w:rsidRDefault="00B20792" w:rsidP="00B20792">
            <w:pPr>
              <w:pStyle w:val="TableCell"/>
              <w:spacing w:before="60" w:after="60"/>
              <w:rPr>
                <w:rFonts w:cs="Arial"/>
              </w:rPr>
            </w:pPr>
            <w:r w:rsidRPr="001D6512">
              <w:rPr>
                <w:rFonts w:cs="Arial"/>
              </w:rPr>
              <w:t>0.0001916</w:t>
            </w:r>
          </w:p>
        </w:tc>
        <w:tc>
          <w:tcPr>
            <w:tcW w:w="925" w:type="pct"/>
            <w:shd w:val="clear" w:color="auto" w:fill="auto"/>
          </w:tcPr>
          <w:p w:rsidR="00B20792" w:rsidRPr="001D6512" w:rsidRDefault="00B20792" w:rsidP="00B20792">
            <w:pPr>
              <w:pStyle w:val="TableCell"/>
              <w:spacing w:before="60" w:after="60"/>
              <w:rPr>
                <w:rFonts w:cs="Arial"/>
                <w:szCs w:val="18"/>
              </w:rPr>
            </w:pPr>
            <w:r w:rsidRPr="001D6512">
              <w:rPr>
                <w:rFonts w:cs="Arial"/>
                <w:szCs w:val="18"/>
              </w:rPr>
              <w:t>4</w:t>
            </w:r>
          </w:p>
        </w:tc>
      </w:tr>
      <w:tr w:rsidR="001565D8" w:rsidRPr="006E0899" w:rsidTr="00B20792">
        <w:trPr>
          <w:trHeight w:val="374"/>
          <w:jc w:val="center"/>
        </w:trPr>
        <w:tc>
          <w:tcPr>
            <w:tcW w:w="2398" w:type="pct"/>
            <w:shd w:val="clear" w:color="auto" w:fill="auto"/>
          </w:tcPr>
          <w:p w:rsidR="001565D8" w:rsidRPr="001D6512" w:rsidRDefault="001565D8" w:rsidP="00BF1235">
            <w:pPr>
              <w:pStyle w:val="TableCell"/>
              <w:spacing w:before="60" w:after="60"/>
              <w:rPr>
                <w:rFonts w:cs="Arial"/>
              </w:rPr>
            </w:pPr>
            <w:r w:rsidRPr="001D6512">
              <w:rPr>
                <w:rFonts w:cs="Arial"/>
              </w:rPr>
              <w:t xml:space="preserve">HW, </w:t>
            </w:r>
            <w:r w:rsidR="00BF1235" w:rsidRPr="001D6512">
              <w:rPr>
                <w:rFonts w:cs="Arial"/>
              </w:rPr>
              <w:t>Average a</w:t>
            </w:r>
            <w:r w:rsidRPr="001D6512">
              <w:rPr>
                <w:rFonts w:cs="Arial"/>
              </w:rPr>
              <w:t>nnual gallons</w:t>
            </w:r>
            <w:r w:rsidR="00BF1235" w:rsidRPr="001D6512">
              <w:rPr>
                <w:rFonts w:cs="Arial"/>
              </w:rPr>
              <w:t xml:space="preserve"> of Use</w:t>
            </w:r>
          </w:p>
        </w:tc>
        <w:tc>
          <w:tcPr>
            <w:tcW w:w="712" w:type="pct"/>
            <w:shd w:val="clear" w:color="auto" w:fill="auto"/>
          </w:tcPr>
          <w:p w:rsidR="001565D8" w:rsidRPr="001D6512" w:rsidRDefault="00696FC3" w:rsidP="00B20792">
            <w:pPr>
              <w:pStyle w:val="TableCell"/>
              <w:spacing w:before="60" w:after="60"/>
              <w:rPr>
                <w:rFonts w:cs="Arial"/>
              </w:rPr>
            </w:pPr>
            <w:r w:rsidRPr="001D6512">
              <w:rPr>
                <w:rFonts w:cs="Arial"/>
              </w:rPr>
              <w:t>Fixed</w:t>
            </w:r>
          </w:p>
        </w:tc>
        <w:tc>
          <w:tcPr>
            <w:tcW w:w="965" w:type="pct"/>
            <w:shd w:val="clear" w:color="auto" w:fill="auto"/>
          </w:tcPr>
          <w:p w:rsidR="001565D8" w:rsidRPr="001D6512" w:rsidRDefault="00696FC3" w:rsidP="00B20792">
            <w:pPr>
              <w:pStyle w:val="TableCell"/>
              <w:spacing w:before="60" w:after="60"/>
              <w:rPr>
                <w:rFonts w:cs="Arial"/>
              </w:rPr>
            </w:pPr>
            <w:r w:rsidRPr="001D6512">
              <w:rPr>
                <w:rFonts w:cs="Arial"/>
              </w:rPr>
              <w:t>Varies</w:t>
            </w:r>
          </w:p>
        </w:tc>
        <w:tc>
          <w:tcPr>
            <w:tcW w:w="925" w:type="pct"/>
            <w:shd w:val="clear" w:color="auto" w:fill="auto"/>
          </w:tcPr>
          <w:p w:rsidR="001565D8" w:rsidRPr="001D6512" w:rsidRDefault="00696FC3" w:rsidP="00B20792">
            <w:pPr>
              <w:pStyle w:val="TableCell"/>
              <w:spacing w:before="60" w:after="60"/>
              <w:rPr>
                <w:rFonts w:cs="Arial"/>
                <w:szCs w:val="18"/>
              </w:rPr>
            </w:pPr>
            <w:r w:rsidRPr="001D6512">
              <w:rPr>
                <w:rFonts w:cs="Arial"/>
                <w:szCs w:val="18"/>
              </w:rPr>
              <w:t>See Table 3-86</w:t>
            </w:r>
          </w:p>
        </w:tc>
      </w:tr>
      <w:tr w:rsidR="00696FC3" w:rsidRPr="006E0899" w:rsidTr="00B20792">
        <w:trPr>
          <w:trHeight w:val="374"/>
          <w:jc w:val="center"/>
        </w:trPr>
        <w:tc>
          <w:tcPr>
            <w:tcW w:w="2398" w:type="pct"/>
            <w:shd w:val="clear" w:color="auto" w:fill="auto"/>
          </w:tcPr>
          <w:p w:rsidR="00696FC3" w:rsidRPr="001D6512" w:rsidRDefault="00696FC3" w:rsidP="00895BEC">
            <w:pPr>
              <w:pStyle w:val="TableCell"/>
              <w:spacing w:before="60" w:after="60"/>
              <w:rPr>
                <w:rFonts w:cs="Arial"/>
              </w:rPr>
            </w:pPr>
            <w:r w:rsidRPr="001D6512">
              <w:rPr>
                <w:rFonts w:cs="Arial"/>
              </w:rPr>
              <w:t>EF</w:t>
            </w:r>
            <w:r w:rsidR="00895BEC" w:rsidRPr="001D6512">
              <w:rPr>
                <w:rFonts w:cs="Arial"/>
                <w:vertAlign w:val="subscript"/>
              </w:rPr>
              <w:t>NG,</w:t>
            </w:r>
            <w:r w:rsidRPr="001D6512">
              <w:rPr>
                <w:rFonts w:cs="Arial"/>
                <w:vertAlign w:val="subscript"/>
              </w:rPr>
              <w:t xml:space="preserve"> base</w:t>
            </w:r>
            <w:r w:rsidRPr="001D6512">
              <w:rPr>
                <w:rFonts w:cs="Arial"/>
              </w:rPr>
              <w:t xml:space="preserve">, Energy Factor of baseline </w:t>
            </w:r>
            <w:r w:rsidR="00895BEC" w:rsidRPr="001D6512">
              <w:rPr>
                <w:rFonts w:cs="Arial"/>
              </w:rPr>
              <w:t xml:space="preserve">gas </w:t>
            </w:r>
            <w:r w:rsidRPr="001D6512">
              <w:rPr>
                <w:rFonts w:cs="Arial"/>
              </w:rPr>
              <w:t>water heater</w:t>
            </w:r>
          </w:p>
        </w:tc>
        <w:tc>
          <w:tcPr>
            <w:tcW w:w="712" w:type="pct"/>
            <w:shd w:val="clear" w:color="auto" w:fill="auto"/>
          </w:tcPr>
          <w:p w:rsidR="00696FC3" w:rsidRPr="001D6512" w:rsidRDefault="00895BEC" w:rsidP="00B20792">
            <w:pPr>
              <w:pStyle w:val="TableCell"/>
              <w:spacing w:before="60" w:after="60"/>
              <w:rPr>
                <w:rFonts w:cs="Arial"/>
              </w:rPr>
            </w:pPr>
            <w:r w:rsidRPr="001D6512">
              <w:rPr>
                <w:rFonts w:cs="Arial"/>
              </w:rPr>
              <w:t>Fixed</w:t>
            </w:r>
          </w:p>
        </w:tc>
        <w:tc>
          <w:tcPr>
            <w:tcW w:w="965" w:type="pct"/>
            <w:shd w:val="clear" w:color="auto" w:fill="auto"/>
          </w:tcPr>
          <w:p w:rsidR="00696FC3" w:rsidRPr="001D6512" w:rsidRDefault="00895BEC" w:rsidP="00B20792">
            <w:pPr>
              <w:pStyle w:val="TableCell"/>
              <w:spacing w:before="60" w:after="60"/>
              <w:rPr>
                <w:rFonts w:cs="Arial"/>
              </w:rPr>
            </w:pPr>
            <w:r w:rsidRPr="001D6512">
              <w:rPr>
                <w:rFonts w:cs="Arial"/>
              </w:rPr>
              <w:t>0.594</w:t>
            </w:r>
          </w:p>
        </w:tc>
        <w:tc>
          <w:tcPr>
            <w:tcW w:w="925" w:type="pct"/>
            <w:shd w:val="clear" w:color="auto" w:fill="auto"/>
          </w:tcPr>
          <w:p w:rsidR="00696FC3" w:rsidRPr="001D6512" w:rsidRDefault="00895BEC" w:rsidP="00B20792">
            <w:pPr>
              <w:pStyle w:val="TableCell"/>
              <w:spacing w:before="60" w:after="60"/>
              <w:rPr>
                <w:rFonts w:cs="Arial"/>
                <w:szCs w:val="18"/>
              </w:rPr>
            </w:pPr>
            <w:r w:rsidRPr="001D6512">
              <w:rPr>
                <w:rFonts w:cs="Arial"/>
                <w:szCs w:val="18"/>
              </w:rPr>
              <w:t>5</w:t>
            </w:r>
          </w:p>
        </w:tc>
      </w:tr>
      <w:tr w:rsidR="00453A93" w:rsidRPr="006E0899" w:rsidTr="00B20792">
        <w:trPr>
          <w:trHeight w:val="374"/>
          <w:jc w:val="center"/>
        </w:trPr>
        <w:tc>
          <w:tcPr>
            <w:tcW w:w="2398" w:type="pct"/>
            <w:shd w:val="clear" w:color="auto" w:fill="auto"/>
          </w:tcPr>
          <w:p w:rsidR="00453A93" w:rsidRPr="001D6512" w:rsidRDefault="00453A93" w:rsidP="00895BEC">
            <w:pPr>
              <w:pStyle w:val="TableCell"/>
              <w:spacing w:before="60" w:after="60"/>
              <w:rPr>
                <w:rFonts w:cs="Arial"/>
              </w:rPr>
            </w:pPr>
            <w:r w:rsidRPr="001D6512">
              <w:rPr>
                <w:rFonts w:cs="Arial"/>
              </w:rPr>
              <w:t>ResistiveDiscountFactor</w:t>
            </w:r>
          </w:p>
        </w:tc>
        <w:tc>
          <w:tcPr>
            <w:tcW w:w="712" w:type="pct"/>
            <w:shd w:val="clear" w:color="auto" w:fill="auto"/>
          </w:tcPr>
          <w:p w:rsidR="00453A93" w:rsidRPr="001D6512" w:rsidRDefault="00453A93" w:rsidP="00B20792">
            <w:pPr>
              <w:pStyle w:val="TableCell"/>
              <w:spacing w:before="60" w:after="60"/>
              <w:rPr>
                <w:rFonts w:cs="Arial"/>
              </w:rPr>
            </w:pPr>
            <w:r w:rsidRPr="001D6512">
              <w:rPr>
                <w:rFonts w:cs="Arial"/>
              </w:rPr>
              <w:t>Fixed</w:t>
            </w:r>
          </w:p>
        </w:tc>
        <w:tc>
          <w:tcPr>
            <w:tcW w:w="965" w:type="pct"/>
            <w:shd w:val="clear" w:color="auto" w:fill="auto"/>
          </w:tcPr>
          <w:p w:rsidR="00453A93" w:rsidRPr="001D6512" w:rsidRDefault="00453A93" w:rsidP="00B20792">
            <w:pPr>
              <w:pStyle w:val="TableCell"/>
              <w:spacing w:before="60" w:after="60"/>
              <w:rPr>
                <w:rFonts w:cs="Arial"/>
              </w:rPr>
            </w:pPr>
            <w:r w:rsidRPr="001D6512">
              <w:rPr>
                <w:rFonts w:cs="Arial"/>
              </w:rPr>
              <w:t>1.0</w:t>
            </w:r>
          </w:p>
        </w:tc>
        <w:tc>
          <w:tcPr>
            <w:tcW w:w="925" w:type="pct"/>
            <w:shd w:val="clear" w:color="auto" w:fill="auto"/>
          </w:tcPr>
          <w:p w:rsidR="00453A93" w:rsidRPr="001D6512" w:rsidRDefault="00453A93" w:rsidP="00B20792">
            <w:pPr>
              <w:pStyle w:val="TableCell"/>
              <w:spacing w:before="60" w:after="60"/>
              <w:rPr>
                <w:rFonts w:cs="Arial"/>
                <w:szCs w:val="18"/>
              </w:rPr>
            </w:pPr>
            <w:r w:rsidRPr="001D6512">
              <w:rPr>
                <w:rFonts w:cs="Arial"/>
                <w:szCs w:val="18"/>
              </w:rPr>
              <w:t>6</w:t>
            </w:r>
          </w:p>
        </w:tc>
      </w:tr>
    </w:tbl>
    <w:p w:rsidR="00B20792" w:rsidRPr="00D605FC" w:rsidRDefault="00B20792" w:rsidP="00B20792">
      <w:pPr>
        <w:pStyle w:val="BodyText"/>
        <w:rPr>
          <w:b/>
        </w:rPr>
      </w:pPr>
    </w:p>
    <w:p w:rsidR="00B20792" w:rsidRPr="00E912F1" w:rsidRDefault="00B20792" w:rsidP="00B20792">
      <w:pPr>
        <w:pStyle w:val="BodyText"/>
        <w:rPr>
          <w:b/>
        </w:rPr>
      </w:pPr>
      <w:r w:rsidRPr="00E912F1">
        <w:rPr>
          <w:b/>
        </w:rPr>
        <w:t>Sources:</w:t>
      </w:r>
    </w:p>
    <w:p w:rsidR="00B20792" w:rsidRDefault="00B20792" w:rsidP="0005632A">
      <w:pPr>
        <w:pStyle w:val="source1"/>
        <w:numPr>
          <w:ilvl w:val="0"/>
          <w:numId w:val="94"/>
        </w:numPr>
      </w:pPr>
      <w:r>
        <w:t>Federal Standards are 0.97 -0.00132 x Rated Storage in Gallons.  For a 50-gallon tank this is approximately 0.90.  “</w:t>
      </w:r>
      <w:r w:rsidRPr="00EB3EEB">
        <w:t>Energy Conservation Program: Energy Conservation Standards for Residential Water Heaters, Direct Heating Equipment, and Pool Heaters</w:t>
      </w:r>
      <w:r>
        <w:t xml:space="preserve">” US Dept of Energy </w:t>
      </w:r>
      <w:r w:rsidRPr="00EB3EEB">
        <w:t xml:space="preserve">Docket Number: </w:t>
      </w:r>
      <w:r w:rsidRPr="00B37050">
        <w:t>EE–2006–BT-STD–0129</w:t>
      </w:r>
      <w:r>
        <w:t>, p. 30</w:t>
      </w:r>
    </w:p>
    <w:p w:rsidR="00B20792" w:rsidRDefault="00B20792" w:rsidP="0005632A">
      <w:pPr>
        <w:pStyle w:val="source1"/>
        <w:numPr>
          <w:ilvl w:val="0"/>
          <w:numId w:val="27"/>
        </w:numPr>
      </w:pPr>
      <w:r>
        <w:t>Many states have plumbing codes that limit shower and bathtub water temperature to 120 °F.</w:t>
      </w:r>
    </w:p>
    <w:p w:rsidR="00B20792" w:rsidRDefault="00B20792" w:rsidP="0005632A">
      <w:pPr>
        <w:pStyle w:val="source1"/>
        <w:numPr>
          <w:ilvl w:val="0"/>
          <w:numId w:val="27"/>
        </w:numPr>
      </w:pPr>
      <w:r>
        <w:t>Mid-Atlantic TRM, footnote #24</w:t>
      </w:r>
    </w:p>
    <w:p w:rsidR="00B20792" w:rsidRPr="00E912F1" w:rsidRDefault="00B20792" w:rsidP="0005632A">
      <w:pPr>
        <w:pStyle w:val="source1"/>
        <w:numPr>
          <w:ilvl w:val="0"/>
          <w:numId w:val="27"/>
        </w:numPr>
      </w:pPr>
      <w:r>
        <w:t xml:space="preserve">The load shapes can be accessed online: </w:t>
      </w:r>
      <w:hyperlink r:id="rId56" w:history="1">
        <w:r w:rsidRPr="00AC5C1F">
          <w:rPr>
            <w:rStyle w:val="Hyperlink"/>
          </w:rPr>
          <w:t>http://www.ethree.com/CPUC/PG&amp;ENonResViewer.zip</w:t>
        </w:r>
      </w:hyperlink>
      <w:r>
        <w:t xml:space="preserve"> </w:t>
      </w:r>
    </w:p>
    <w:p w:rsidR="00895BEC" w:rsidRPr="00453A93" w:rsidRDefault="00895BEC" w:rsidP="00895BEC">
      <w:pPr>
        <w:pStyle w:val="source1"/>
        <w:numPr>
          <w:ilvl w:val="0"/>
          <w:numId w:val="27"/>
        </w:numPr>
      </w:pPr>
      <w:r w:rsidRPr="00895BEC">
        <w:rPr>
          <w:rFonts w:ascii="Helvetica" w:hAnsi="Helvetica" w:cs="Helvetica"/>
        </w:rPr>
        <w:t>Federal Standards are 0.67 -0.0019 x Rated Storage in Gallons. For a 40-gallon tank</w:t>
      </w:r>
      <w:r>
        <w:rPr>
          <w:rFonts w:ascii="Helvetica" w:hAnsi="Helvetica" w:cs="Helvetica"/>
        </w:rPr>
        <w:t xml:space="preserve"> </w:t>
      </w:r>
      <w:r w:rsidRPr="00895BEC">
        <w:rPr>
          <w:rFonts w:ascii="Helvetica" w:hAnsi="Helvetica" w:cs="Helvetica"/>
        </w:rPr>
        <w:t>this is 0.594. “Energy Conservation Program: Energy Conservation Standards for</w:t>
      </w:r>
      <w:r>
        <w:rPr>
          <w:rFonts w:ascii="Helvetica" w:hAnsi="Helvetica" w:cs="Helvetica"/>
        </w:rPr>
        <w:t xml:space="preserve"> </w:t>
      </w:r>
      <w:r w:rsidRPr="00895BEC">
        <w:rPr>
          <w:rFonts w:ascii="Helvetica" w:hAnsi="Helvetica" w:cs="Helvetica"/>
        </w:rPr>
        <w:t>Residential Water Heaters, Direct Heating Equipment, and Pool Heaters” US Dept of</w:t>
      </w:r>
      <w:r>
        <w:t xml:space="preserve"> </w:t>
      </w:r>
      <w:r w:rsidRPr="00895BEC">
        <w:rPr>
          <w:rFonts w:ascii="Helvetica" w:hAnsi="Helvetica" w:cs="Helvetica"/>
        </w:rPr>
        <w:t xml:space="preserve">Energy Docket Number: </w:t>
      </w:r>
      <w:r w:rsidRPr="00895BEC">
        <w:rPr>
          <w:rFonts w:ascii="Helvetica-Bold" w:hAnsi="Helvetica-Bold" w:cs="Helvetica-Bold"/>
          <w:b/>
          <w:bCs/>
        </w:rPr>
        <w:t xml:space="preserve">EE–2006–BT-STD–0129, </w:t>
      </w:r>
      <w:r w:rsidRPr="00895BEC">
        <w:rPr>
          <w:rFonts w:ascii="Helvetica" w:hAnsi="Helvetica" w:cs="Helvetica"/>
        </w:rPr>
        <w:t>p. 30</w:t>
      </w:r>
    </w:p>
    <w:p w:rsidR="00453A93" w:rsidRPr="00E912F1" w:rsidRDefault="00453A93" w:rsidP="00895BEC">
      <w:pPr>
        <w:pStyle w:val="source1"/>
        <w:numPr>
          <w:ilvl w:val="0"/>
          <w:numId w:val="27"/>
        </w:numPr>
      </w:pPr>
      <w:r>
        <w:rPr>
          <w:rFonts w:ascii="Helvetica" w:hAnsi="Helvetica" w:cs="Helvetica"/>
        </w:rPr>
        <w:t>Engineering Estimate</w:t>
      </w:r>
      <w:r w:rsidR="000E4853">
        <w:rPr>
          <w:rFonts w:ascii="Helvetica" w:hAnsi="Helvetica" w:cs="Helvetica"/>
        </w:rPr>
        <w:t xml:space="preserve">. </w:t>
      </w:r>
      <w:r w:rsidR="008A1EFA">
        <w:rPr>
          <w:rFonts w:ascii="Helvetica" w:hAnsi="Helvetica" w:cs="Helvetica"/>
        </w:rPr>
        <w:t>No discount factor is needed because this measure is already an electric resisitance water heater system.</w:t>
      </w:r>
      <w:r>
        <w:rPr>
          <w:rFonts w:ascii="Helvetica" w:hAnsi="Helvetica" w:cs="Helvetica"/>
        </w:rPr>
        <w:t xml:space="preserve">  </w:t>
      </w:r>
    </w:p>
    <w:p w:rsidR="00B20792" w:rsidRPr="00C465DB" w:rsidRDefault="00B20792" w:rsidP="00871FA2">
      <w:pPr>
        <w:pStyle w:val="Heading3"/>
      </w:pPr>
      <w:r w:rsidRPr="00837206">
        <w:t>Deemed Savings</w:t>
      </w:r>
    </w:p>
    <w:p w:rsidR="00B20792" w:rsidRPr="00F76C5E" w:rsidRDefault="00B20792" w:rsidP="00B20792">
      <w:pPr>
        <w:pStyle w:val="BodyText"/>
      </w:pPr>
      <w:r w:rsidRPr="00D74EB9">
        <w:rPr>
          <w:rFonts w:cs="Arial"/>
        </w:rPr>
        <w:t>The deemed savings for the installation of efficient electric water heaters in various applications are listed below</w:t>
      </w:r>
      <w:r>
        <w:t>.</w:t>
      </w:r>
    </w:p>
    <w:p w:rsidR="00B20792" w:rsidRDefault="00B20792" w:rsidP="00B20792">
      <w:pPr>
        <w:pStyle w:val="Caption"/>
      </w:pPr>
      <w:bookmarkStart w:id="1308" w:name="_Toc310875640"/>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88</w:t>
      </w:r>
      <w:r w:rsidR="00274AB1">
        <w:rPr>
          <w:noProof/>
        </w:rPr>
        <w:fldChar w:fldCharType="end"/>
      </w:r>
      <w:r>
        <w:t xml:space="preserve">: </w:t>
      </w:r>
      <w:r w:rsidRPr="00FD0331">
        <w:t>Energy Savings and Demand Reductions</w:t>
      </w:r>
      <w:bookmarkEnd w:id="1308"/>
    </w:p>
    <w:tbl>
      <w:tblPr>
        <w:tblW w:w="5000" w:type="pct"/>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20" w:firstRow="1" w:lastRow="0" w:firstColumn="0" w:lastColumn="0" w:noHBand="0" w:noVBand="1"/>
      </w:tblPr>
      <w:tblGrid>
        <w:gridCol w:w="1772"/>
        <w:gridCol w:w="1936"/>
        <w:gridCol w:w="1606"/>
        <w:gridCol w:w="1771"/>
        <w:gridCol w:w="1771"/>
      </w:tblGrid>
      <w:tr w:rsidR="00B20792" w:rsidRPr="006E0899" w:rsidTr="00A15A70">
        <w:trPr>
          <w:trHeight w:val="374"/>
        </w:trPr>
        <w:tc>
          <w:tcPr>
            <w:tcW w:w="1000" w:type="pct"/>
            <w:tcBorders>
              <w:top w:val="single" w:sz="8" w:space="0" w:color="404040"/>
              <w:left w:val="single" w:sz="8" w:space="0" w:color="404040"/>
              <w:bottom w:val="single" w:sz="8" w:space="0" w:color="404040"/>
              <w:right w:val="single" w:sz="8" w:space="0" w:color="404040"/>
            </w:tcBorders>
            <w:shd w:val="clear" w:color="auto" w:fill="BFBFBF"/>
          </w:tcPr>
          <w:p w:rsidR="00B20792" w:rsidRPr="001D6512" w:rsidRDefault="00B20792" w:rsidP="00B20792">
            <w:pPr>
              <w:pStyle w:val="TableCell"/>
              <w:spacing w:before="60" w:after="60"/>
              <w:rPr>
                <w:b/>
                <w:bCs/>
                <w:szCs w:val="18"/>
              </w:rPr>
            </w:pPr>
            <w:r w:rsidRPr="001D6512">
              <w:rPr>
                <w:b/>
                <w:bCs/>
                <w:szCs w:val="18"/>
              </w:rPr>
              <w:t>Building Type</w:t>
            </w:r>
          </w:p>
        </w:tc>
        <w:tc>
          <w:tcPr>
            <w:tcW w:w="1093" w:type="pct"/>
            <w:tcBorders>
              <w:top w:val="single" w:sz="8" w:space="0" w:color="404040"/>
              <w:left w:val="single" w:sz="8" w:space="0" w:color="404040"/>
              <w:bottom w:val="single" w:sz="8" w:space="0" w:color="404040"/>
              <w:right w:val="single" w:sz="8" w:space="0" w:color="404040"/>
            </w:tcBorders>
            <w:shd w:val="clear" w:color="auto" w:fill="BFBFBF"/>
          </w:tcPr>
          <w:p w:rsidR="00B20792" w:rsidRPr="001D6512" w:rsidRDefault="00A15A70" w:rsidP="00B20792">
            <w:pPr>
              <w:pStyle w:val="TableCell"/>
              <w:spacing w:before="60" w:after="60"/>
              <w:rPr>
                <w:b/>
                <w:bCs/>
                <w:szCs w:val="18"/>
              </w:rPr>
            </w:pPr>
            <w:r w:rsidRPr="001D6512">
              <w:rPr>
                <w:rFonts w:cs="Arial"/>
                <w:b/>
                <w:color w:val="000000"/>
                <w:szCs w:val="18"/>
              </w:rPr>
              <w:t xml:space="preserve">Average </w:t>
            </w:r>
            <w:r w:rsidR="00D74AE2" w:rsidRPr="00D74AE2">
              <w:rPr>
                <w:b/>
              </w:rPr>
              <w:t xml:space="preserve">Annual </w:t>
            </w:r>
            <w:r w:rsidRPr="001D6512">
              <w:rPr>
                <w:rFonts w:cs="Arial"/>
                <w:b/>
                <w:color w:val="000000"/>
                <w:szCs w:val="18"/>
              </w:rPr>
              <w:t>Use, Gallons</w:t>
            </w:r>
          </w:p>
        </w:tc>
        <w:tc>
          <w:tcPr>
            <w:tcW w:w="907" w:type="pct"/>
            <w:tcBorders>
              <w:top w:val="single" w:sz="8" w:space="0" w:color="404040"/>
              <w:left w:val="single" w:sz="8" w:space="0" w:color="404040"/>
              <w:bottom w:val="single" w:sz="8" w:space="0" w:color="404040"/>
              <w:right w:val="single" w:sz="8" w:space="0" w:color="404040"/>
            </w:tcBorders>
            <w:shd w:val="clear" w:color="auto" w:fill="BFBFBF"/>
          </w:tcPr>
          <w:p w:rsidR="00B20792" w:rsidRPr="001D6512" w:rsidRDefault="00B20792" w:rsidP="00B20792">
            <w:pPr>
              <w:pStyle w:val="TableCell"/>
              <w:spacing w:before="60" w:after="60"/>
              <w:rPr>
                <w:b/>
                <w:bCs/>
                <w:szCs w:val="18"/>
              </w:rPr>
            </w:pPr>
            <w:r w:rsidRPr="001D6512">
              <w:rPr>
                <w:b/>
                <w:bCs/>
                <w:szCs w:val="18"/>
              </w:rPr>
              <w:t>EF</w:t>
            </w:r>
          </w:p>
        </w:tc>
        <w:tc>
          <w:tcPr>
            <w:tcW w:w="1000" w:type="pct"/>
            <w:tcBorders>
              <w:top w:val="single" w:sz="8" w:space="0" w:color="404040"/>
              <w:left w:val="single" w:sz="8" w:space="0" w:color="404040"/>
              <w:bottom w:val="single" w:sz="8" w:space="0" w:color="404040"/>
              <w:right w:val="single" w:sz="8" w:space="0" w:color="404040"/>
            </w:tcBorders>
            <w:shd w:val="clear" w:color="auto" w:fill="BFBFBF"/>
          </w:tcPr>
          <w:p w:rsidR="00B20792" w:rsidRPr="001D6512" w:rsidRDefault="00B20792" w:rsidP="00B20792">
            <w:pPr>
              <w:pStyle w:val="TableCell"/>
              <w:spacing w:before="60" w:after="60"/>
              <w:rPr>
                <w:b/>
                <w:bCs/>
                <w:szCs w:val="18"/>
              </w:rPr>
            </w:pPr>
            <w:r w:rsidRPr="001D6512">
              <w:rPr>
                <w:b/>
                <w:bCs/>
                <w:szCs w:val="18"/>
              </w:rPr>
              <w:t>Energy Savings (kWh)</w:t>
            </w:r>
          </w:p>
        </w:tc>
        <w:tc>
          <w:tcPr>
            <w:tcW w:w="1000" w:type="pct"/>
            <w:tcBorders>
              <w:top w:val="single" w:sz="8" w:space="0" w:color="404040"/>
              <w:left w:val="single" w:sz="8" w:space="0" w:color="404040"/>
              <w:bottom w:val="single" w:sz="8" w:space="0" w:color="404040"/>
              <w:right w:val="single" w:sz="8" w:space="0" w:color="404040"/>
            </w:tcBorders>
            <w:shd w:val="clear" w:color="auto" w:fill="BFBFBF"/>
          </w:tcPr>
          <w:p w:rsidR="00B20792" w:rsidRPr="001D6512" w:rsidRDefault="00B20792" w:rsidP="00B20792">
            <w:pPr>
              <w:pStyle w:val="TableCell"/>
              <w:spacing w:before="60" w:after="60"/>
              <w:rPr>
                <w:b/>
                <w:bCs/>
                <w:szCs w:val="18"/>
              </w:rPr>
            </w:pPr>
            <w:r w:rsidRPr="001D6512">
              <w:rPr>
                <w:b/>
                <w:bCs/>
                <w:szCs w:val="18"/>
              </w:rPr>
              <w:t>Demand Reduction (kW)</w:t>
            </w:r>
          </w:p>
        </w:tc>
      </w:tr>
      <w:tr w:rsidR="00B20792" w:rsidRPr="006E0899" w:rsidTr="00A15A70">
        <w:trPr>
          <w:trHeight w:val="374"/>
        </w:trPr>
        <w:tc>
          <w:tcPr>
            <w:tcW w:w="1000" w:type="pct"/>
            <w:tcBorders>
              <w:top w:val="single" w:sz="8" w:space="0" w:color="404040"/>
              <w:left w:val="single" w:sz="8" w:space="0" w:color="404040"/>
              <w:bottom w:val="single" w:sz="8" w:space="0" w:color="404040"/>
              <w:right w:val="single" w:sz="8" w:space="0" w:color="404040"/>
            </w:tcBorders>
            <w:shd w:val="clear" w:color="auto" w:fill="FFFFFF"/>
            <w:vAlign w:val="center"/>
          </w:tcPr>
          <w:p w:rsidR="00B20792" w:rsidRPr="001D6512" w:rsidRDefault="00B20792" w:rsidP="00B20792">
            <w:pPr>
              <w:pStyle w:val="TableCell"/>
              <w:spacing w:before="60" w:after="60"/>
              <w:rPr>
                <w:color w:val="000000"/>
                <w:szCs w:val="18"/>
              </w:rPr>
            </w:pPr>
            <w:r w:rsidRPr="001D6512">
              <w:rPr>
                <w:rFonts w:cs="Arial"/>
                <w:color w:val="000000"/>
                <w:szCs w:val="18"/>
              </w:rPr>
              <w:t>Motel</w:t>
            </w:r>
          </w:p>
        </w:tc>
        <w:tc>
          <w:tcPr>
            <w:tcW w:w="1093" w:type="pct"/>
            <w:tcBorders>
              <w:top w:val="single" w:sz="8" w:space="0" w:color="404040"/>
              <w:left w:val="single" w:sz="8" w:space="0" w:color="404040"/>
              <w:bottom w:val="single" w:sz="8" w:space="0" w:color="404040"/>
              <w:right w:val="single" w:sz="8" w:space="0" w:color="404040"/>
            </w:tcBorders>
            <w:shd w:val="clear" w:color="auto" w:fill="FFFFFF"/>
            <w:vAlign w:val="bottom"/>
          </w:tcPr>
          <w:p w:rsidR="00B20792" w:rsidRPr="001D6512" w:rsidRDefault="00A15A70" w:rsidP="00941160">
            <w:pPr>
              <w:pStyle w:val="TableCell"/>
              <w:spacing w:before="60" w:after="60"/>
              <w:jc w:val="right"/>
              <w:rPr>
                <w:color w:val="000000"/>
                <w:szCs w:val="18"/>
              </w:rPr>
            </w:pPr>
            <w:r w:rsidRPr="001D6512">
              <w:rPr>
                <w:rFonts w:ascii="Calibri" w:hAnsi="Calibri" w:cs="Calibri"/>
                <w:color w:val="000000"/>
                <w:sz w:val="22"/>
                <w:szCs w:val="22"/>
              </w:rPr>
              <w:t>97,870</w:t>
            </w:r>
          </w:p>
        </w:tc>
        <w:tc>
          <w:tcPr>
            <w:tcW w:w="907" w:type="pct"/>
            <w:tcBorders>
              <w:top w:val="single" w:sz="8" w:space="0" w:color="404040"/>
              <w:left w:val="single" w:sz="8" w:space="0" w:color="404040"/>
              <w:bottom w:val="single" w:sz="8" w:space="0" w:color="404040"/>
              <w:right w:val="single" w:sz="8" w:space="0" w:color="404040"/>
            </w:tcBorders>
            <w:shd w:val="clear" w:color="auto" w:fill="FFFFFF"/>
            <w:vAlign w:val="center"/>
          </w:tcPr>
          <w:p w:rsidR="00B20792" w:rsidRPr="001D6512" w:rsidRDefault="00B20792" w:rsidP="00B20792">
            <w:pPr>
              <w:pStyle w:val="TableCell"/>
              <w:spacing w:before="60" w:after="60"/>
              <w:jc w:val="right"/>
              <w:rPr>
                <w:color w:val="000000"/>
                <w:szCs w:val="18"/>
              </w:rPr>
            </w:pPr>
            <w:r w:rsidRPr="001D6512">
              <w:rPr>
                <w:rFonts w:cs="Arial"/>
                <w:color w:val="000000"/>
                <w:sz w:val="20"/>
              </w:rPr>
              <w:t>0.95</w:t>
            </w:r>
          </w:p>
        </w:tc>
        <w:tc>
          <w:tcPr>
            <w:tcW w:w="1000" w:type="pct"/>
            <w:tcBorders>
              <w:top w:val="single" w:sz="8" w:space="0" w:color="404040"/>
              <w:left w:val="single" w:sz="8" w:space="0" w:color="404040"/>
              <w:bottom w:val="single" w:sz="8" w:space="0" w:color="404040"/>
              <w:right w:val="single" w:sz="8" w:space="0" w:color="404040"/>
            </w:tcBorders>
            <w:shd w:val="clear" w:color="auto" w:fill="FFFFFF"/>
            <w:vAlign w:val="center"/>
          </w:tcPr>
          <w:p w:rsidR="00B20792" w:rsidRPr="001D6512" w:rsidRDefault="00A15A70" w:rsidP="00941160">
            <w:pPr>
              <w:pStyle w:val="TableCell"/>
              <w:spacing w:before="60" w:after="60"/>
              <w:jc w:val="right"/>
              <w:rPr>
                <w:color w:val="000000"/>
                <w:szCs w:val="18"/>
              </w:rPr>
            </w:pPr>
            <w:r w:rsidRPr="001D6512">
              <w:rPr>
                <w:rFonts w:cs="Arial"/>
                <w:color w:val="000000"/>
                <w:sz w:val="20"/>
              </w:rPr>
              <w:t>829</w:t>
            </w:r>
          </w:p>
        </w:tc>
        <w:tc>
          <w:tcPr>
            <w:tcW w:w="1000" w:type="pct"/>
            <w:tcBorders>
              <w:top w:val="single" w:sz="8" w:space="0" w:color="404040"/>
              <w:left w:val="single" w:sz="8" w:space="0" w:color="404040"/>
              <w:bottom w:val="single" w:sz="8" w:space="0" w:color="404040"/>
              <w:right w:val="single" w:sz="8" w:space="0" w:color="404040"/>
            </w:tcBorders>
            <w:shd w:val="clear" w:color="auto" w:fill="FFFFFF"/>
            <w:vAlign w:val="center"/>
          </w:tcPr>
          <w:p w:rsidR="00184796" w:rsidRDefault="00A15A70">
            <w:pPr>
              <w:pStyle w:val="TableCell"/>
              <w:spacing w:before="60" w:after="60"/>
              <w:jc w:val="right"/>
              <w:rPr>
                <w:rFonts w:eastAsia="Arial Unicode MS" w:cs="Arial"/>
                <w:i/>
                <w:iCs/>
                <w:color w:val="000000"/>
                <w:szCs w:val="18"/>
              </w:rPr>
            </w:pPr>
            <w:r w:rsidRPr="001D6512">
              <w:rPr>
                <w:rFonts w:cs="Arial"/>
                <w:color w:val="000000"/>
                <w:sz w:val="20"/>
              </w:rPr>
              <w:t>0.16</w:t>
            </w:r>
          </w:p>
        </w:tc>
      </w:tr>
      <w:tr w:rsidR="00B20792" w:rsidRPr="006E0899" w:rsidTr="00A15A70">
        <w:trPr>
          <w:trHeight w:val="374"/>
        </w:trPr>
        <w:tc>
          <w:tcPr>
            <w:tcW w:w="1000" w:type="pct"/>
            <w:tcBorders>
              <w:top w:val="single" w:sz="8" w:space="0" w:color="404040"/>
              <w:left w:val="single" w:sz="8" w:space="0" w:color="404040"/>
              <w:bottom w:val="single" w:sz="8" w:space="0" w:color="404040"/>
              <w:right w:val="single" w:sz="8" w:space="0" w:color="404040"/>
            </w:tcBorders>
            <w:shd w:val="clear" w:color="auto" w:fill="auto"/>
            <w:vAlign w:val="center"/>
          </w:tcPr>
          <w:p w:rsidR="00B20792" w:rsidRPr="001D6512" w:rsidRDefault="00B20792" w:rsidP="00B20792">
            <w:pPr>
              <w:pStyle w:val="TableCell"/>
              <w:spacing w:before="60" w:after="60"/>
              <w:rPr>
                <w:color w:val="000000"/>
                <w:szCs w:val="18"/>
              </w:rPr>
            </w:pPr>
            <w:r w:rsidRPr="001D6512">
              <w:rPr>
                <w:rFonts w:cs="Arial"/>
                <w:color w:val="000000"/>
                <w:szCs w:val="18"/>
              </w:rPr>
              <w:t>Small Office</w:t>
            </w:r>
          </w:p>
        </w:tc>
        <w:tc>
          <w:tcPr>
            <w:tcW w:w="1093" w:type="pct"/>
            <w:tcBorders>
              <w:top w:val="single" w:sz="8" w:space="0" w:color="404040"/>
              <w:left w:val="single" w:sz="8" w:space="0" w:color="404040"/>
              <w:bottom w:val="single" w:sz="8" w:space="0" w:color="404040"/>
              <w:right w:val="single" w:sz="8" w:space="0" w:color="404040"/>
            </w:tcBorders>
            <w:shd w:val="clear" w:color="auto" w:fill="auto"/>
            <w:vAlign w:val="bottom"/>
          </w:tcPr>
          <w:p w:rsidR="00B20792" w:rsidRPr="001D6512" w:rsidRDefault="00A15A70" w:rsidP="00941160">
            <w:pPr>
              <w:pStyle w:val="TableCell"/>
              <w:spacing w:before="60" w:after="60"/>
              <w:jc w:val="right"/>
              <w:rPr>
                <w:color w:val="000000"/>
                <w:szCs w:val="18"/>
              </w:rPr>
            </w:pPr>
            <w:r w:rsidRPr="001D6512">
              <w:rPr>
                <w:rFonts w:ascii="Calibri" w:hAnsi="Calibri" w:cs="Calibri"/>
                <w:color w:val="000000"/>
                <w:sz w:val="22"/>
                <w:szCs w:val="22"/>
              </w:rPr>
              <w:t>24,377</w:t>
            </w:r>
          </w:p>
        </w:tc>
        <w:tc>
          <w:tcPr>
            <w:tcW w:w="907" w:type="pct"/>
            <w:tcBorders>
              <w:top w:val="single" w:sz="8" w:space="0" w:color="404040"/>
              <w:left w:val="single" w:sz="8" w:space="0" w:color="404040"/>
              <w:bottom w:val="single" w:sz="8" w:space="0" w:color="404040"/>
              <w:right w:val="single" w:sz="8" w:space="0" w:color="404040"/>
            </w:tcBorders>
            <w:shd w:val="clear" w:color="auto" w:fill="auto"/>
            <w:vAlign w:val="center"/>
          </w:tcPr>
          <w:p w:rsidR="00B20792" w:rsidRPr="001D6512" w:rsidRDefault="00B20792" w:rsidP="00B20792">
            <w:pPr>
              <w:pStyle w:val="TableCell"/>
              <w:spacing w:before="60" w:after="60"/>
              <w:jc w:val="right"/>
              <w:rPr>
                <w:color w:val="000000"/>
                <w:szCs w:val="18"/>
              </w:rPr>
            </w:pPr>
            <w:r w:rsidRPr="001D6512">
              <w:rPr>
                <w:rFonts w:cs="Arial"/>
                <w:color w:val="000000"/>
                <w:sz w:val="20"/>
              </w:rPr>
              <w:t>0.95</w:t>
            </w:r>
          </w:p>
        </w:tc>
        <w:tc>
          <w:tcPr>
            <w:tcW w:w="1000" w:type="pct"/>
            <w:tcBorders>
              <w:top w:val="single" w:sz="8" w:space="0" w:color="404040"/>
              <w:left w:val="single" w:sz="8" w:space="0" w:color="404040"/>
              <w:bottom w:val="single" w:sz="8" w:space="0" w:color="404040"/>
              <w:right w:val="single" w:sz="8" w:space="0" w:color="404040"/>
            </w:tcBorders>
            <w:vAlign w:val="center"/>
          </w:tcPr>
          <w:p w:rsidR="00B20792" w:rsidRPr="001D6512" w:rsidRDefault="00A15A70" w:rsidP="002379FB">
            <w:pPr>
              <w:pStyle w:val="TableCell"/>
              <w:spacing w:before="60" w:after="60"/>
              <w:jc w:val="right"/>
              <w:rPr>
                <w:color w:val="000000"/>
                <w:szCs w:val="18"/>
              </w:rPr>
            </w:pPr>
            <w:r w:rsidRPr="001D6512">
              <w:rPr>
                <w:rFonts w:cs="Arial"/>
                <w:color w:val="000000"/>
                <w:sz w:val="20"/>
              </w:rPr>
              <w:t>207</w:t>
            </w:r>
          </w:p>
        </w:tc>
        <w:tc>
          <w:tcPr>
            <w:tcW w:w="1000" w:type="pct"/>
            <w:tcBorders>
              <w:top w:val="single" w:sz="8" w:space="0" w:color="404040"/>
              <w:left w:val="single" w:sz="8" w:space="0" w:color="404040"/>
              <w:bottom w:val="single" w:sz="8" w:space="0" w:color="404040"/>
              <w:right w:val="single" w:sz="8" w:space="0" w:color="404040"/>
            </w:tcBorders>
            <w:vAlign w:val="center"/>
          </w:tcPr>
          <w:p w:rsidR="00B20792" w:rsidRPr="001D6512" w:rsidRDefault="00B20792" w:rsidP="00941160">
            <w:pPr>
              <w:pStyle w:val="TableCell"/>
              <w:spacing w:before="60" w:after="60"/>
              <w:jc w:val="right"/>
              <w:rPr>
                <w:color w:val="000000"/>
                <w:szCs w:val="18"/>
              </w:rPr>
            </w:pPr>
            <w:r w:rsidRPr="001D6512">
              <w:rPr>
                <w:rFonts w:cs="Arial"/>
                <w:color w:val="000000"/>
                <w:sz w:val="20"/>
              </w:rPr>
              <w:t xml:space="preserve">                0.</w:t>
            </w:r>
            <w:r w:rsidR="00A15A70" w:rsidRPr="001D6512">
              <w:rPr>
                <w:rFonts w:cs="Arial"/>
                <w:color w:val="000000"/>
                <w:sz w:val="20"/>
              </w:rPr>
              <w:t>04</w:t>
            </w:r>
          </w:p>
        </w:tc>
      </w:tr>
      <w:tr w:rsidR="00B20792" w:rsidRPr="006E0899" w:rsidTr="00A15A70">
        <w:trPr>
          <w:trHeight w:val="374"/>
        </w:trPr>
        <w:tc>
          <w:tcPr>
            <w:tcW w:w="1000" w:type="pct"/>
            <w:tcBorders>
              <w:top w:val="single" w:sz="8" w:space="0" w:color="404040"/>
              <w:left w:val="single" w:sz="8" w:space="0" w:color="404040"/>
              <w:bottom w:val="single" w:sz="8" w:space="0" w:color="404040"/>
              <w:right w:val="single" w:sz="8" w:space="0" w:color="404040"/>
            </w:tcBorders>
            <w:shd w:val="clear" w:color="auto" w:fill="FFFFFF"/>
            <w:vAlign w:val="center"/>
          </w:tcPr>
          <w:p w:rsidR="00B20792" w:rsidRPr="001D6512" w:rsidRDefault="00B20792" w:rsidP="00B20792">
            <w:pPr>
              <w:pStyle w:val="TableCell"/>
              <w:spacing w:before="60" w:after="60"/>
              <w:rPr>
                <w:color w:val="000000"/>
                <w:szCs w:val="18"/>
              </w:rPr>
            </w:pPr>
            <w:r w:rsidRPr="001D6512">
              <w:rPr>
                <w:rFonts w:cs="Arial"/>
                <w:color w:val="000000"/>
                <w:szCs w:val="18"/>
              </w:rPr>
              <w:t>Small Retail</w:t>
            </w:r>
          </w:p>
        </w:tc>
        <w:tc>
          <w:tcPr>
            <w:tcW w:w="1093" w:type="pct"/>
            <w:tcBorders>
              <w:top w:val="single" w:sz="8" w:space="0" w:color="404040"/>
              <w:left w:val="single" w:sz="8" w:space="0" w:color="404040"/>
              <w:bottom w:val="single" w:sz="8" w:space="0" w:color="404040"/>
              <w:right w:val="single" w:sz="8" w:space="0" w:color="404040"/>
            </w:tcBorders>
            <w:shd w:val="clear" w:color="auto" w:fill="FFFFFF"/>
            <w:vAlign w:val="bottom"/>
          </w:tcPr>
          <w:p w:rsidR="00B20792" w:rsidRPr="001D6512" w:rsidRDefault="00A15A70" w:rsidP="00941160">
            <w:pPr>
              <w:pStyle w:val="TableCell"/>
              <w:spacing w:before="60" w:after="60"/>
              <w:jc w:val="right"/>
              <w:rPr>
                <w:color w:val="000000"/>
                <w:szCs w:val="18"/>
              </w:rPr>
            </w:pPr>
            <w:r w:rsidRPr="001D6512">
              <w:rPr>
                <w:rFonts w:ascii="Calibri" w:hAnsi="Calibri" w:cs="Calibri"/>
                <w:color w:val="000000"/>
                <w:sz w:val="22"/>
                <w:szCs w:val="22"/>
              </w:rPr>
              <w:t>11,183</w:t>
            </w:r>
          </w:p>
        </w:tc>
        <w:tc>
          <w:tcPr>
            <w:tcW w:w="907" w:type="pct"/>
            <w:tcBorders>
              <w:top w:val="single" w:sz="8" w:space="0" w:color="404040"/>
              <w:left w:val="single" w:sz="8" w:space="0" w:color="404040"/>
              <w:bottom w:val="single" w:sz="8" w:space="0" w:color="404040"/>
              <w:right w:val="single" w:sz="8" w:space="0" w:color="404040"/>
            </w:tcBorders>
            <w:shd w:val="clear" w:color="auto" w:fill="FFFFFF"/>
            <w:vAlign w:val="center"/>
          </w:tcPr>
          <w:p w:rsidR="00B20792" w:rsidRPr="001D6512" w:rsidRDefault="00B20792" w:rsidP="00B20792">
            <w:pPr>
              <w:pStyle w:val="TableCell"/>
              <w:spacing w:before="60" w:after="60"/>
              <w:jc w:val="right"/>
              <w:rPr>
                <w:color w:val="000000"/>
                <w:szCs w:val="18"/>
              </w:rPr>
            </w:pPr>
            <w:r w:rsidRPr="001D6512">
              <w:rPr>
                <w:rFonts w:cs="Arial"/>
                <w:color w:val="000000"/>
                <w:sz w:val="20"/>
              </w:rPr>
              <w:t>0.95</w:t>
            </w:r>
          </w:p>
        </w:tc>
        <w:tc>
          <w:tcPr>
            <w:tcW w:w="1000" w:type="pct"/>
            <w:tcBorders>
              <w:top w:val="single" w:sz="8" w:space="0" w:color="404040"/>
              <w:left w:val="single" w:sz="8" w:space="0" w:color="404040"/>
              <w:bottom w:val="single" w:sz="8" w:space="0" w:color="404040"/>
              <w:right w:val="single" w:sz="8" w:space="0" w:color="404040"/>
            </w:tcBorders>
            <w:shd w:val="clear" w:color="auto" w:fill="FFFFFF"/>
            <w:vAlign w:val="center"/>
          </w:tcPr>
          <w:p w:rsidR="00B20792" w:rsidRPr="001D6512" w:rsidRDefault="00B20792" w:rsidP="00941160">
            <w:pPr>
              <w:pStyle w:val="TableCell"/>
              <w:spacing w:before="60" w:after="60"/>
              <w:jc w:val="right"/>
              <w:rPr>
                <w:color w:val="000000"/>
                <w:szCs w:val="18"/>
              </w:rPr>
            </w:pPr>
            <w:r w:rsidRPr="001D6512">
              <w:rPr>
                <w:rFonts w:cs="Arial"/>
                <w:color w:val="000000"/>
                <w:sz w:val="20"/>
              </w:rPr>
              <w:t xml:space="preserve">           </w:t>
            </w:r>
            <w:r w:rsidR="00A15A70" w:rsidRPr="001D6512">
              <w:rPr>
                <w:rFonts w:cs="Arial"/>
                <w:color w:val="000000"/>
                <w:sz w:val="20"/>
              </w:rPr>
              <w:t>95</w:t>
            </w:r>
          </w:p>
        </w:tc>
        <w:tc>
          <w:tcPr>
            <w:tcW w:w="1000" w:type="pct"/>
            <w:tcBorders>
              <w:top w:val="single" w:sz="8" w:space="0" w:color="404040"/>
              <w:left w:val="single" w:sz="8" w:space="0" w:color="404040"/>
              <w:bottom w:val="single" w:sz="8" w:space="0" w:color="404040"/>
              <w:right w:val="single" w:sz="8" w:space="0" w:color="404040"/>
            </w:tcBorders>
            <w:shd w:val="clear" w:color="auto" w:fill="FFFFFF"/>
            <w:vAlign w:val="center"/>
          </w:tcPr>
          <w:p w:rsidR="00B20792" w:rsidRPr="001D6512" w:rsidRDefault="00B20792" w:rsidP="00941160">
            <w:pPr>
              <w:pStyle w:val="TableCell"/>
              <w:spacing w:before="60" w:after="60"/>
              <w:jc w:val="right"/>
              <w:rPr>
                <w:color w:val="000000"/>
                <w:szCs w:val="18"/>
              </w:rPr>
            </w:pPr>
            <w:r w:rsidRPr="001D6512">
              <w:rPr>
                <w:rFonts w:cs="Arial"/>
                <w:color w:val="000000"/>
                <w:sz w:val="20"/>
              </w:rPr>
              <w:t xml:space="preserve">                0.02</w:t>
            </w:r>
          </w:p>
        </w:tc>
      </w:tr>
    </w:tbl>
    <w:p w:rsidR="00B20792" w:rsidRPr="002D0ECD" w:rsidRDefault="00B20792" w:rsidP="00B20792">
      <w:pPr>
        <w:pStyle w:val="BodyText"/>
      </w:pPr>
    </w:p>
    <w:p w:rsidR="00B20792" w:rsidRPr="00C465DB" w:rsidRDefault="00B20792" w:rsidP="00871FA2">
      <w:pPr>
        <w:pStyle w:val="Heading3"/>
      </w:pPr>
      <w:r w:rsidRPr="00837206">
        <w:t>Measure Life</w:t>
      </w:r>
    </w:p>
    <w:p w:rsidR="00B20792" w:rsidRPr="000D0DB1" w:rsidRDefault="00B20792" w:rsidP="00B20792">
      <w:pPr>
        <w:spacing w:before="120"/>
        <w:jc w:val="both"/>
        <w:rPr>
          <w:rFonts w:cs="Arial"/>
        </w:rPr>
      </w:pPr>
      <w:r>
        <w:t>According to an October 2008 report for the CA Database for Energy Efficiency Resources, an</w:t>
      </w:r>
      <w:r w:rsidRPr="00837206">
        <w:t xml:space="preserve"> electric water heater’s lifespan is </w:t>
      </w:r>
      <w:r w:rsidRPr="00B36E89">
        <w:rPr>
          <w:rFonts w:cs="Arial"/>
        </w:rPr>
        <w:t>15 years</w:t>
      </w:r>
      <w:r w:rsidRPr="00B36E89">
        <w:rPr>
          <w:rStyle w:val="FootnoteReference"/>
        </w:rPr>
        <w:footnoteReference w:id="238"/>
      </w:r>
      <w:r>
        <w:rPr>
          <w:rFonts w:cs="Arial"/>
        </w:rPr>
        <w:t>.</w:t>
      </w:r>
    </w:p>
    <w:p w:rsidR="00B20792" w:rsidRPr="00C465DB" w:rsidRDefault="00B20792" w:rsidP="00871FA2">
      <w:pPr>
        <w:pStyle w:val="Heading3"/>
      </w:pPr>
      <w:r w:rsidRPr="00837206">
        <w:t>Evaluation Protocols</w:t>
      </w:r>
    </w:p>
    <w:p w:rsidR="00B20792" w:rsidRPr="00D74EB9" w:rsidRDefault="00B20792" w:rsidP="00B20792">
      <w:pPr>
        <w:spacing w:before="120"/>
        <w:jc w:val="both"/>
        <w:rPr>
          <w:rFonts w:cs="Arial"/>
        </w:rPr>
      </w:pPr>
      <w:r w:rsidRPr="00D74EB9">
        <w:rPr>
          <w:rFonts w:cs="Arial"/>
        </w:rPr>
        <w:t>The most appropriate evaluation protocol for this measure is verification of installation coupled with assignment of stipulated energy savings.</w:t>
      </w:r>
    </w:p>
    <w:p w:rsidR="00B20792" w:rsidRPr="003D1B6F" w:rsidRDefault="00B20792" w:rsidP="00B20792">
      <w:pPr>
        <w:pStyle w:val="Heading2"/>
        <w:rPr>
          <w:rFonts w:cs="Arial"/>
        </w:rPr>
      </w:pPr>
      <w:r>
        <w:br w:type="page"/>
      </w:r>
      <w:r w:rsidRPr="002E515C">
        <w:rPr>
          <w:rFonts w:cs="Arial"/>
        </w:rPr>
        <w:t xml:space="preserve"> </w:t>
      </w:r>
      <w:bookmarkStart w:id="1309" w:name="_Toc310875468"/>
      <w:r w:rsidRPr="002E515C">
        <w:rPr>
          <w:rFonts w:cs="Arial"/>
        </w:rPr>
        <w:t>Heat Pump Water Heaters</w:t>
      </w:r>
      <w:bookmarkEnd w:id="1309"/>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5440"/>
      </w:tblGrid>
      <w:tr w:rsidR="00B20792" w:rsidRPr="00DC57D4" w:rsidTr="00B20792">
        <w:trPr>
          <w:jc w:val="center"/>
        </w:trPr>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B20792" w:rsidRPr="001D6512" w:rsidRDefault="00B20792" w:rsidP="00B20792">
            <w:pPr>
              <w:pStyle w:val="TableCell"/>
              <w:spacing w:before="60" w:after="60"/>
              <w:rPr>
                <w:b/>
              </w:rPr>
            </w:pPr>
            <w:r w:rsidRPr="001D6512">
              <w:rPr>
                <w:b/>
              </w:rPr>
              <w:t>Measure Name</w:t>
            </w:r>
          </w:p>
        </w:tc>
        <w:tc>
          <w:tcPr>
            <w:tcW w:w="459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B20792" w:rsidRPr="001D6512" w:rsidRDefault="00B20792" w:rsidP="00B20792">
            <w:pPr>
              <w:pStyle w:val="TableCell"/>
              <w:spacing w:before="60" w:after="60"/>
              <w:rPr>
                <w:b/>
              </w:rPr>
            </w:pPr>
            <w:r w:rsidRPr="001D6512">
              <w:rPr>
                <w:b/>
              </w:rPr>
              <w:t>Heat Pump Water Heaters</w:t>
            </w:r>
          </w:p>
        </w:tc>
      </w:tr>
      <w:tr w:rsidR="00B20792" w:rsidRPr="00DC57D4" w:rsidTr="00B20792">
        <w:trPr>
          <w:jc w:val="center"/>
        </w:trPr>
        <w:tc>
          <w:tcPr>
            <w:tcW w:w="2700" w:type="dxa"/>
          </w:tcPr>
          <w:p w:rsidR="00B20792" w:rsidRPr="001D6512" w:rsidRDefault="00B20792" w:rsidP="00B20792">
            <w:pPr>
              <w:pStyle w:val="TableCell"/>
              <w:spacing w:before="60" w:after="60"/>
            </w:pPr>
            <w:r w:rsidRPr="001D6512">
              <w:t>Target Sector</w:t>
            </w:r>
          </w:p>
        </w:tc>
        <w:tc>
          <w:tcPr>
            <w:tcW w:w="4590" w:type="dxa"/>
          </w:tcPr>
          <w:p w:rsidR="00B20792" w:rsidRPr="001D6512" w:rsidRDefault="00B20792" w:rsidP="00B20792">
            <w:pPr>
              <w:pStyle w:val="TableCell"/>
              <w:spacing w:before="60" w:after="60"/>
            </w:pPr>
            <w:r w:rsidRPr="001D6512">
              <w:t>Commercial Establishments</w:t>
            </w:r>
          </w:p>
        </w:tc>
      </w:tr>
      <w:tr w:rsidR="00B20792" w:rsidRPr="00DC57D4" w:rsidTr="00B20792">
        <w:trPr>
          <w:jc w:val="center"/>
        </w:trPr>
        <w:tc>
          <w:tcPr>
            <w:tcW w:w="2700" w:type="dxa"/>
          </w:tcPr>
          <w:p w:rsidR="00B20792" w:rsidRPr="001D6512" w:rsidRDefault="00B20792" w:rsidP="00B20792">
            <w:pPr>
              <w:pStyle w:val="TableCell"/>
              <w:spacing w:before="60" w:after="60"/>
            </w:pPr>
            <w:r w:rsidRPr="001D6512">
              <w:t>Measure Unit</w:t>
            </w:r>
          </w:p>
        </w:tc>
        <w:tc>
          <w:tcPr>
            <w:tcW w:w="4590" w:type="dxa"/>
          </w:tcPr>
          <w:p w:rsidR="00B20792" w:rsidRPr="001D6512" w:rsidRDefault="00B20792" w:rsidP="00B20792">
            <w:pPr>
              <w:pStyle w:val="TableCell"/>
              <w:spacing w:before="60" w:after="60"/>
            </w:pPr>
            <w:r w:rsidRPr="001D6512">
              <w:t>Water Heater</w:t>
            </w:r>
          </w:p>
        </w:tc>
      </w:tr>
      <w:tr w:rsidR="00B20792" w:rsidRPr="00DC57D4" w:rsidTr="00B20792">
        <w:trPr>
          <w:jc w:val="center"/>
        </w:trPr>
        <w:tc>
          <w:tcPr>
            <w:tcW w:w="2700" w:type="dxa"/>
          </w:tcPr>
          <w:p w:rsidR="00B20792" w:rsidRPr="001D6512" w:rsidRDefault="00B20792" w:rsidP="00B20792">
            <w:pPr>
              <w:pStyle w:val="TableCell"/>
              <w:spacing w:before="60" w:after="60"/>
            </w:pPr>
            <w:r w:rsidRPr="001D6512">
              <w:t>Unit Energy Savings</w:t>
            </w:r>
          </w:p>
        </w:tc>
        <w:tc>
          <w:tcPr>
            <w:tcW w:w="4590" w:type="dxa"/>
          </w:tcPr>
          <w:p w:rsidR="00B20792" w:rsidRPr="001D6512" w:rsidRDefault="00B20792" w:rsidP="00B20792">
            <w:pPr>
              <w:pStyle w:val="TableCell"/>
              <w:spacing w:before="60" w:after="60"/>
            </w:pPr>
            <w:r w:rsidRPr="001D6512">
              <w:t>Varies</w:t>
            </w:r>
          </w:p>
        </w:tc>
      </w:tr>
      <w:tr w:rsidR="00B20792" w:rsidRPr="00DC57D4" w:rsidTr="00B20792">
        <w:trPr>
          <w:jc w:val="center"/>
        </w:trPr>
        <w:tc>
          <w:tcPr>
            <w:tcW w:w="2700" w:type="dxa"/>
          </w:tcPr>
          <w:p w:rsidR="00B20792" w:rsidRPr="001D6512" w:rsidRDefault="00B20792" w:rsidP="00B20792">
            <w:pPr>
              <w:pStyle w:val="TableCell"/>
              <w:spacing w:before="60" w:after="60"/>
            </w:pPr>
            <w:r w:rsidRPr="001D6512">
              <w:t>Unit Peak Demand Reduction</w:t>
            </w:r>
          </w:p>
        </w:tc>
        <w:tc>
          <w:tcPr>
            <w:tcW w:w="4590" w:type="dxa"/>
          </w:tcPr>
          <w:p w:rsidR="00B20792" w:rsidRPr="001D6512" w:rsidRDefault="00B20792" w:rsidP="00B20792">
            <w:pPr>
              <w:pStyle w:val="TableCell"/>
              <w:spacing w:before="60" w:after="60"/>
            </w:pPr>
            <w:r w:rsidRPr="001D6512">
              <w:t>Varies</w:t>
            </w:r>
          </w:p>
        </w:tc>
      </w:tr>
      <w:tr w:rsidR="00B20792" w:rsidRPr="00DC57D4" w:rsidTr="00B20792">
        <w:trPr>
          <w:jc w:val="center"/>
        </w:trPr>
        <w:tc>
          <w:tcPr>
            <w:tcW w:w="2700" w:type="dxa"/>
          </w:tcPr>
          <w:p w:rsidR="00B20792" w:rsidRPr="001D6512" w:rsidRDefault="00B20792" w:rsidP="00B20792">
            <w:pPr>
              <w:pStyle w:val="TableCell"/>
              <w:spacing w:before="60" w:after="60"/>
            </w:pPr>
            <w:r w:rsidRPr="001D6512">
              <w:t>Measure Life</w:t>
            </w:r>
          </w:p>
        </w:tc>
        <w:tc>
          <w:tcPr>
            <w:tcW w:w="4590" w:type="dxa"/>
          </w:tcPr>
          <w:p w:rsidR="00B20792" w:rsidRPr="001D6512" w:rsidRDefault="00B20792" w:rsidP="00B20792">
            <w:pPr>
              <w:pStyle w:val="TableCell"/>
              <w:spacing w:before="60" w:after="60"/>
            </w:pPr>
            <w:r w:rsidRPr="001D6512">
              <w:t>10 years</w:t>
            </w:r>
          </w:p>
        </w:tc>
      </w:tr>
    </w:tbl>
    <w:p w:rsidR="00B20792" w:rsidRDefault="00B20792" w:rsidP="00B20792">
      <w:pPr>
        <w:pStyle w:val="BodyText"/>
      </w:pPr>
    </w:p>
    <w:p w:rsidR="00B20792" w:rsidRPr="001D75B9" w:rsidRDefault="00B20792" w:rsidP="00B20792">
      <w:r w:rsidRPr="00377254">
        <w:t>Heat Pump Water Heaters take heat from the surrounding air and transfer it to the water in the tank, unlike conventional electrical water heaters which use resistive heating coils to heat the water.</w:t>
      </w:r>
      <w:r>
        <w:t xml:space="preserve">  </w:t>
      </w:r>
    </w:p>
    <w:p w:rsidR="00B20792" w:rsidRPr="00C465DB" w:rsidRDefault="00B20792" w:rsidP="00871FA2">
      <w:pPr>
        <w:pStyle w:val="Heading3"/>
      </w:pPr>
      <w:r>
        <w:t>Eligibility</w:t>
      </w:r>
    </w:p>
    <w:p w:rsidR="00B20792" w:rsidRPr="004F06AE" w:rsidRDefault="00B20792" w:rsidP="00B20792">
      <w:r w:rsidRPr="004F06AE">
        <w:t xml:space="preserve">This protocol documents the energy savings attributed to heat pump water heaters with Energy Factors </w:t>
      </w:r>
      <w:r>
        <w:t xml:space="preserve">of </w:t>
      </w:r>
      <w:r w:rsidRPr="004F06AE">
        <w:t>2.2</w:t>
      </w:r>
      <w:r>
        <w:t>.</w:t>
      </w:r>
      <w:r w:rsidRPr="004F06AE">
        <w:t xml:space="preserve"> </w:t>
      </w:r>
      <w:r>
        <w:t>H</w:t>
      </w:r>
      <w:r w:rsidRPr="004F06AE">
        <w:t>owever, other energy factors are accommodated with the partially deemed scheme.  The target sector includes domestic hot water applications in small commercial settings such as small retail establishments, small offices, small clinics, and small lodging establishments such as small motels.  The measure described here involves a direct retrofit of a resistive electric water heater with a heat pump water heater.  It does not cover systems where the heat pump is a pre-heater or is combined with other water heating sources.  More complicated installations can be treated as custom projects.</w:t>
      </w:r>
    </w:p>
    <w:p w:rsidR="00B20792" w:rsidRPr="00C465DB" w:rsidRDefault="00B20792" w:rsidP="00871FA2">
      <w:pPr>
        <w:pStyle w:val="Heading3"/>
      </w:pPr>
      <w:r>
        <w:t>Algorithms</w:t>
      </w:r>
    </w:p>
    <w:p w:rsidR="00B20792" w:rsidRPr="00D16AA7" w:rsidRDefault="00B20792" w:rsidP="00B20792">
      <w:r w:rsidRPr="0018460E">
        <w:t>The energy savings calculation utilizes average performance data for available heat pump and standard electric resistance water heaters and typical hot water usages. The energy savings are obtained through the following formula</w:t>
      </w:r>
      <w:r>
        <w:t>:</w:t>
      </w:r>
    </w:p>
    <w:p w:rsidR="00B20792" w:rsidRPr="003C7C58" w:rsidRDefault="003C7C58" w:rsidP="00B20792">
      <w:pPr>
        <w:pStyle w:val="Equation"/>
        <w:ind w:left="0" w:firstLine="0"/>
      </w:pPr>
      <m:oMathPara>
        <m:oMath>
          <m:r>
            <m:rPr>
              <m:nor/>
            </m:rPr>
            <w:rPr>
              <w:rFonts w:cs="Arial"/>
            </w:rPr>
            <w:sym w:font="Symbol" w:char="F044"/>
          </m:r>
          <m:r>
            <m:rPr>
              <m:nor/>
            </m:rPr>
            <w:rPr>
              <w:rFonts w:cs="Arial"/>
            </w:rPr>
            <m:t xml:space="preserve">kWh </m:t>
          </m:r>
          <m:r>
            <m:rPr>
              <m:nor/>
            </m:rPr>
            <w:rPr>
              <w:rFonts w:cs="Arial"/>
              <w:iCs/>
            </w:rPr>
            <m:t xml:space="preserve">                                          </m:t>
          </m:r>
          <m:r>
            <m:rPr>
              <m:nor/>
            </m:rPr>
            <w:rPr>
              <w:rFonts w:cs="Arial"/>
            </w:rPr>
            <m:t xml:space="preserve">=   </m:t>
          </m:r>
          <m:f>
            <m:fPr>
              <m:ctrlPr>
                <w:rPr>
                  <w:rFonts w:ascii="Cambria Math" w:hAnsi="Cambria Math" w:cs="Arial"/>
                </w:rPr>
              </m:ctrlPr>
            </m:fPr>
            <m:num>
              <m:d>
                <m:dPr>
                  <m:begChr m:val="{"/>
                  <m:endChr m:val="}"/>
                  <m:ctrlPr>
                    <w:rPr>
                      <w:rFonts w:ascii="Cambria Math" w:hAnsi="Cambria Math" w:cs="Arial"/>
                    </w:rPr>
                  </m:ctrlPr>
                </m:dPr>
                <m:e>
                  <m:d>
                    <m:dPr>
                      <m:ctrlPr>
                        <w:rPr>
                          <w:rFonts w:ascii="Cambria Math" w:hAnsi="Cambria Math" w:cs="Arial"/>
                        </w:rPr>
                      </m:ctrlPr>
                    </m:dPr>
                    <m:e>
                      <m:f>
                        <m:fPr>
                          <m:ctrlPr>
                            <w:rPr>
                              <w:rFonts w:ascii="Cambria Math" w:hAnsi="Cambria Math" w:cs="Arial"/>
                            </w:rPr>
                          </m:ctrlPr>
                        </m:fPr>
                        <m:num>
                          <m:r>
                            <m:rPr>
                              <m:nor/>
                            </m:rPr>
                            <w:rPr>
                              <w:rFonts w:cs="Arial"/>
                            </w:rPr>
                            <m:t>1</m:t>
                          </m:r>
                        </m:num>
                        <m:den>
                          <m:sSub>
                            <m:sSubPr>
                              <m:ctrlPr>
                                <w:rPr>
                                  <w:rFonts w:ascii="Cambria Math" w:hAnsi="Cambria Math" w:cs="Arial"/>
                                </w:rPr>
                              </m:ctrlPr>
                            </m:sSubPr>
                            <m:e>
                              <m:r>
                                <m:rPr>
                                  <m:nor/>
                                </m:rPr>
                                <w:rPr>
                                  <w:rFonts w:cs="Arial"/>
                                  <w:iCs/>
                                </w:rPr>
                                <m:t>EF</m:t>
                              </m:r>
                            </m:e>
                            <m:sub>
                              <m:r>
                                <m:rPr>
                                  <m:nor/>
                                </m:rPr>
                                <w:rPr>
                                  <w:rFonts w:cs="Arial"/>
                                  <w:iCs/>
                                </w:rPr>
                                <m:t>Base</m:t>
                              </m:r>
                            </m:sub>
                          </m:sSub>
                        </m:den>
                      </m:f>
                      <m:r>
                        <m:rPr>
                          <m:nor/>
                        </m:rPr>
                        <w:rPr>
                          <w:rFonts w:cs="Arial"/>
                        </w:rPr>
                        <m:t>-(</m:t>
                      </m:r>
                      <m:f>
                        <m:fPr>
                          <m:ctrlPr>
                            <w:rPr>
                              <w:rFonts w:ascii="Cambria Math" w:hAnsi="Cambria Math" w:cs="Arial"/>
                            </w:rPr>
                          </m:ctrlPr>
                        </m:fPr>
                        <m:num>
                          <m:r>
                            <m:rPr>
                              <m:nor/>
                            </m:rPr>
                            <w:rPr>
                              <w:rFonts w:cs="Arial"/>
                            </w:rPr>
                            <m:t>1</m:t>
                          </m:r>
                        </m:num>
                        <m:den>
                          <m:sSub>
                            <m:sSubPr>
                              <m:ctrlPr>
                                <w:rPr>
                                  <w:rFonts w:ascii="Cambria Math" w:hAnsi="Cambria Math" w:cs="Arial"/>
                                </w:rPr>
                              </m:ctrlPr>
                            </m:sSubPr>
                            <m:e>
                              <m:r>
                                <m:rPr>
                                  <m:nor/>
                                </m:rPr>
                                <w:rPr>
                                  <w:rFonts w:cs="Arial"/>
                                  <w:iCs/>
                                </w:rPr>
                                <m:t>EF</m:t>
                              </m:r>
                            </m:e>
                            <m:sub>
                              <m:r>
                                <m:rPr>
                                  <m:nor/>
                                </m:rPr>
                                <w:rPr>
                                  <w:rFonts w:cs="Arial"/>
                                  <w:iCs/>
                                </w:rPr>
                                <m:t>Proposed</m:t>
                              </m:r>
                            </m:sub>
                          </m:sSub>
                        </m:den>
                      </m:f>
                      <m:r>
                        <w:rPr>
                          <w:rFonts w:ascii="Cambria Math" w:hAnsi="Cambria Math" w:cs="Arial"/>
                        </w:rPr>
                        <m:t xml:space="preserve">× </m:t>
                      </m:r>
                      <m:f>
                        <m:fPr>
                          <m:ctrlPr>
                            <w:rPr>
                              <w:rFonts w:ascii="Cambria Math" w:hAnsi="Cambria Math" w:cs="Arial"/>
                            </w:rPr>
                          </m:ctrlPr>
                        </m:fPr>
                        <m:num>
                          <m:r>
                            <m:rPr>
                              <m:nor/>
                            </m:rPr>
                            <w:rPr>
                              <w:rFonts w:cs="Arial"/>
                            </w:rPr>
                            <m:t>1</m:t>
                          </m:r>
                        </m:num>
                        <m:den>
                          <m:sSub>
                            <m:sSubPr>
                              <m:ctrlPr>
                                <w:rPr>
                                  <w:rFonts w:ascii="Cambria Math" w:hAnsi="Cambria Math" w:cs="Arial"/>
                                </w:rPr>
                              </m:ctrlPr>
                            </m:sSubPr>
                            <m:e>
                              <m:r>
                                <m:rPr>
                                  <m:nor/>
                                </m:rPr>
                                <w:rPr>
                                  <w:rFonts w:cs="Arial"/>
                                  <w:iCs/>
                                </w:rPr>
                                <m:t>F</m:t>
                              </m:r>
                            </m:e>
                            <m:sub>
                              <m:r>
                                <m:rPr>
                                  <m:nor/>
                                </m:rPr>
                                <w:rPr>
                                  <w:rFonts w:cs="Arial"/>
                                  <w:iCs/>
                                </w:rPr>
                                <m:t>Adjust</m:t>
                              </m:r>
                            </m:sub>
                          </m:sSub>
                        </m:den>
                      </m:f>
                      <m:r>
                        <w:rPr>
                          <w:rFonts w:ascii="Cambria Math" w:hAnsi="Cambria Math" w:cs="Arial"/>
                        </w:rPr>
                        <m:t>)</m:t>
                      </m:r>
                    </m:e>
                  </m:d>
                  <m:r>
                    <w:rPr>
                      <w:rFonts w:ascii="Cambria Math" w:hAnsi="Cambria Math" w:cs="Arial"/>
                    </w:rPr>
                    <m:t>×Load×(T</m:t>
                  </m:r>
                  <m:r>
                    <w:rPr>
                      <w:rFonts w:ascii="Cambria Math" w:hAnsi="Cambria Math" w:cs="Arial"/>
                      <w:vertAlign w:val="subscript"/>
                    </w:rPr>
                    <m:t>hot</m:t>
                  </m:r>
                  <m:r>
                    <w:rPr>
                      <w:rFonts w:ascii="Cambria Math" w:hAnsi="Cambria Math" w:cs="Arial"/>
                    </w:rPr>
                    <m:t xml:space="preserve"> –T</m:t>
                  </m:r>
                  <m:r>
                    <w:rPr>
                      <w:rFonts w:ascii="Cambria Math" w:hAnsi="Cambria Math" w:cs="Arial"/>
                      <w:vertAlign w:val="subscript"/>
                    </w:rPr>
                    <m:t>cold</m:t>
                  </m:r>
                  <m:r>
                    <w:rPr>
                      <w:rFonts w:ascii="Cambria Math" w:hAnsi="Cambria Math" w:cs="Arial"/>
                    </w:rPr>
                    <m:t>)</m:t>
                  </m:r>
                </m:e>
              </m:d>
            </m:num>
            <m:den>
              <m:r>
                <m:rPr>
                  <m:nor/>
                </m:rPr>
                <w:rPr>
                  <w:rFonts w:cs="Arial"/>
                </w:rPr>
                <m:t>3413</m:t>
              </m:r>
              <m:f>
                <m:fPr>
                  <m:ctrlPr>
                    <w:rPr>
                      <w:rFonts w:ascii="Cambria Math" w:hAnsi="Cambria Math" w:cs="Arial"/>
                    </w:rPr>
                  </m:ctrlPr>
                </m:fPr>
                <m:num>
                  <m:r>
                    <m:rPr>
                      <m:nor/>
                    </m:rPr>
                    <w:rPr>
                      <w:rFonts w:cs="Arial"/>
                      <w:iCs/>
                    </w:rPr>
                    <m:t>Btu</m:t>
                  </m:r>
                </m:num>
                <m:den>
                  <m:r>
                    <m:rPr>
                      <m:nor/>
                    </m:rPr>
                    <w:rPr>
                      <w:rFonts w:cs="Arial"/>
                      <w:iCs/>
                    </w:rPr>
                    <m:t>kWh</m:t>
                  </m:r>
                </m:den>
              </m:f>
            </m:den>
          </m:f>
        </m:oMath>
      </m:oMathPara>
    </w:p>
    <w:p w:rsidR="00B20792" w:rsidRPr="003C7C58" w:rsidRDefault="003C7C58" w:rsidP="00B20792">
      <w:pPr>
        <w:pStyle w:val="Equation"/>
        <w:ind w:left="0" w:firstLine="0"/>
        <w:rPr>
          <w:rFonts w:cs="Arial"/>
          <w:szCs w:val="20"/>
        </w:rPr>
      </w:pPr>
      <m:oMathPara>
        <m:oMath>
          <m:r>
            <m:rPr>
              <m:nor/>
            </m:rPr>
            <w:rPr>
              <w:rFonts w:cs="Arial"/>
            </w:rPr>
            <w:sym w:font="Symbol" w:char="F044"/>
          </m:r>
          <m:r>
            <m:rPr>
              <m:nor/>
            </m:rPr>
            <w:rPr>
              <w:rFonts w:cs="Arial"/>
            </w:rPr>
            <m:t xml:space="preserve">kWh </m:t>
          </m:r>
          <m:r>
            <m:rPr>
              <m:nor/>
            </m:rPr>
            <w:rPr>
              <w:rFonts w:cs="Arial"/>
              <w:iCs/>
            </w:rPr>
            <m:t xml:space="preserve">                                          </m:t>
          </m:r>
          <m:r>
            <m:rPr>
              <m:nor/>
            </m:rPr>
            <w:rPr>
              <w:rFonts w:cs="Arial"/>
            </w:rPr>
            <m:t xml:space="preserve">=   </m:t>
          </m:r>
          <m:f>
            <m:fPr>
              <m:ctrlPr>
                <w:rPr>
                  <w:rFonts w:ascii="Cambria Math" w:hAnsi="Cambria Math" w:cs="Arial"/>
                </w:rPr>
              </m:ctrlPr>
            </m:fPr>
            <m:num>
              <m:d>
                <m:dPr>
                  <m:begChr m:val="{"/>
                  <m:endChr m:val="}"/>
                  <m:ctrlPr>
                    <w:rPr>
                      <w:rFonts w:ascii="Cambria Math" w:hAnsi="Cambria Math" w:cs="Arial"/>
                    </w:rPr>
                  </m:ctrlPr>
                </m:dPr>
                <m:e>
                  <m:d>
                    <m:dPr>
                      <m:ctrlPr>
                        <w:rPr>
                          <w:rFonts w:ascii="Cambria Math" w:hAnsi="Cambria Math" w:cs="Arial"/>
                        </w:rPr>
                      </m:ctrlPr>
                    </m:dPr>
                    <m:e>
                      <m:f>
                        <m:fPr>
                          <m:ctrlPr>
                            <w:rPr>
                              <w:rFonts w:ascii="Cambria Math" w:hAnsi="Cambria Math" w:cs="Arial"/>
                            </w:rPr>
                          </m:ctrlPr>
                        </m:fPr>
                        <m:num>
                          <m:r>
                            <m:rPr>
                              <m:nor/>
                            </m:rPr>
                            <w:rPr>
                              <w:rFonts w:cs="Arial"/>
                            </w:rPr>
                            <m:t>1</m:t>
                          </m:r>
                        </m:num>
                        <m:den>
                          <m:sSub>
                            <m:sSubPr>
                              <m:ctrlPr>
                                <w:rPr>
                                  <w:rFonts w:ascii="Cambria Math" w:hAnsi="Cambria Math" w:cs="Arial"/>
                                </w:rPr>
                              </m:ctrlPr>
                            </m:sSubPr>
                            <m:e>
                              <m:r>
                                <m:rPr>
                                  <m:nor/>
                                </m:rPr>
                                <w:rPr>
                                  <w:rFonts w:cs="Arial"/>
                                  <w:iCs/>
                                </w:rPr>
                                <m:t>EF</m:t>
                              </m:r>
                            </m:e>
                            <m:sub>
                              <m:r>
                                <m:rPr>
                                  <m:nor/>
                                </m:rPr>
                                <w:rPr>
                                  <w:rFonts w:cs="Arial"/>
                                  <w:iCs/>
                                </w:rPr>
                                <m:t>Base</m:t>
                              </m:r>
                            </m:sub>
                          </m:sSub>
                        </m:den>
                      </m:f>
                      <m:r>
                        <m:rPr>
                          <m:nor/>
                        </m:rPr>
                        <w:rPr>
                          <w:rFonts w:cs="Arial"/>
                        </w:rPr>
                        <m:t>-(</m:t>
                      </m:r>
                      <m:f>
                        <m:fPr>
                          <m:ctrlPr>
                            <w:rPr>
                              <w:rFonts w:ascii="Cambria Math" w:hAnsi="Cambria Math" w:cs="Arial"/>
                            </w:rPr>
                          </m:ctrlPr>
                        </m:fPr>
                        <m:num>
                          <m:r>
                            <m:rPr>
                              <m:nor/>
                            </m:rPr>
                            <w:rPr>
                              <w:rFonts w:cs="Arial"/>
                            </w:rPr>
                            <m:t>1</m:t>
                          </m:r>
                        </m:num>
                        <m:den>
                          <m:sSub>
                            <m:sSubPr>
                              <m:ctrlPr>
                                <w:rPr>
                                  <w:rFonts w:ascii="Cambria Math" w:hAnsi="Cambria Math" w:cs="Arial"/>
                                </w:rPr>
                              </m:ctrlPr>
                            </m:sSubPr>
                            <m:e>
                              <m:r>
                                <m:rPr>
                                  <m:nor/>
                                </m:rPr>
                                <w:rPr>
                                  <w:rFonts w:cs="Arial"/>
                                  <w:iCs/>
                                </w:rPr>
                                <m:t>EF</m:t>
                              </m:r>
                            </m:e>
                            <m:sub>
                              <m:r>
                                <m:rPr>
                                  <m:nor/>
                                </m:rPr>
                                <w:rPr>
                                  <w:rFonts w:cs="Arial"/>
                                  <w:iCs/>
                                </w:rPr>
                                <m:t>Proposed</m:t>
                              </m:r>
                            </m:sub>
                          </m:sSub>
                        </m:den>
                      </m:f>
                      <m:r>
                        <w:rPr>
                          <w:rFonts w:ascii="Cambria Math" w:hAnsi="Cambria Math" w:cs="Arial"/>
                        </w:rPr>
                        <m:t xml:space="preserve">× </m:t>
                      </m:r>
                      <m:f>
                        <m:fPr>
                          <m:ctrlPr>
                            <w:rPr>
                              <w:rFonts w:ascii="Cambria Math" w:hAnsi="Cambria Math" w:cs="Arial"/>
                            </w:rPr>
                          </m:ctrlPr>
                        </m:fPr>
                        <m:num>
                          <m:r>
                            <m:rPr>
                              <m:nor/>
                            </m:rPr>
                            <w:rPr>
                              <w:rFonts w:cs="Arial"/>
                            </w:rPr>
                            <m:t>1</m:t>
                          </m:r>
                        </m:num>
                        <m:den>
                          <m:sSub>
                            <m:sSubPr>
                              <m:ctrlPr>
                                <w:rPr>
                                  <w:rFonts w:ascii="Cambria Math" w:hAnsi="Cambria Math" w:cs="Arial"/>
                                </w:rPr>
                              </m:ctrlPr>
                            </m:sSubPr>
                            <m:e>
                              <m:r>
                                <m:rPr>
                                  <m:nor/>
                                </m:rPr>
                                <w:rPr>
                                  <w:rFonts w:cs="Arial"/>
                                  <w:iCs/>
                                </w:rPr>
                                <m:t>F</m:t>
                              </m:r>
                            </m:e>
                            <m:sub>
                              <m:r>
                                <m:rPr>
                                  <m:nor/>
                                </m:rPr>
                                <w:rPr>
                                  <w:rFonts w:cs="Arial"/>
                                  <w:iCs/>
                                </w:rPr>
                                <m:t>Adjust</m:t>
                              </m:r>
                            </m:sub>
                          </m:sSub>
                        </m:den>
                      </m:f>
                      <m:r>
                        <w:rPr>
                          <w:rFonts w:ascii="Cambria Math" w:hAnsi="Cambria Math" w:cs="Arial"/>
                        </w:rPr>
                        <m:t>)</m:t>
                      </m:r>
                    </m:e>
                  </m:d>
                  <m:r>
                    <w:rPr>
                      <w:rFonts w:ascii="Cambria Math" w:hAnsi="Cambria Math" w:cs="Arial"/>
                    </w:rPr>
                    <m:t>×Load×(T</m:t>
                  </m:r>
                  <m:r>
                    <w:rPr>
                      <w:rFonts w:ascii="Cambria Math" w:hAnsi="Cambria Math" w:cs="Arial"/>
                      <w:vertAlign w:val="subscript"/>
                    </w:rPr>
                    <m:t>hot</m:t>
                  </m:r>
                  <m:r>
                    <w:rPr>
                      <w:rFonts w:ascii="Cambria Math" w:hAnsi="Cambria Math" w:cs="Arial"/>
                    </w:rPr>
                    <m:t xml:space="preserve"> –T</m:t>
                  </m:r>
                  <m:r>
                    <w:rPr>
                      <w:rFonts w:ascii="Cambria Math" w:hAnsi="Cambria Math" w:cs="Arial"/>
                      <w:vertAlign w:val="subscript"/>
                    </w:rPr>
                    <m:t>cold</m:t>
                  </m:r>
                  <m:r>
                    <w:rPr>
                      <w:rFonts w:ascii="Cambria Math" w:hAnsi="Cambria Math" w:cs="Arial"/>
                    </w:rPr>
                    <m:t>)</m:t>
                  </m:r>
                </m:e>
              </m:d>
            </m:num>
            <m:den>
              <m:r>
                <m:rPr>
                  <m:nor/>
                </m:rPr>
                <w:rPr>
                  <w:rFonts w:cs="Arial"/>
                </w:rPr>
                <m:t>3413</m:t>
              </m:r>
              <m:f>
                <m:fPr>
                  <m:ctrlPr>
                    <w:rPr>
                      <w:rFonts w:ascii="Cambria Math" w:hAnsi="Cambria Math" w:cs="Arial"/>
                    </w:rPr>
                  </m:ctrlPr>
                </m:fPr>
                <m:num>
                  <m:r>
                    <m:rPr>
                      <m:nor/>
                    </m:rPr>
                    <w:rPr>
                      <w:rFonts w:cs="Arial"/>
                      <w:iCs/>
                    </w:rPr>
                    <m:t>Btu</m:t>
                  </m:r>
                </m:num>
                <m:den>
                  <m:r>
                    <m:rPr>
                      <m:nor/>
                    </m:rPr>
                    <w:rPr>
                      <w:rFonts w:cs="Arial"/>
                      <w:iCs/>
                    </w:rPr>
                    <m:t>kWh</m:t>
                  </m:r>
                </m:den>
              </m:f>
            </m:den>
          </m:f>
        </m:oMath>
      </m:oMathPara>
    </w:p>
    <w:p w:rsidR="00B20792" w:rsidRPr="00163EF1" w:rsidRDefault="00B20792" w:rsidP="00B20792">
      <w:r w:rsidRPr="00163EF1">
        <w:t>For heat pump water heaters, demand savings result primarily from a reduced connected load. The demand reduction is taken as the annual energy savings multiplied by the ratio of the average energy usage during noon and 8PM on summer weekdays to the total annual energy usage</w:t>
      </w:r>
      <w:r>
        <w:t xml:space="preserve">. </w:t>
      </w:r>
    </w:p>
    <w:p w:rsidR="00B20792" w:rsidRPr="00CF6038" w:rsidRDefault="00B20792" w:rsidP="00B20792">
      <w:pPr>
        <w:pStyle w:val="Equation"/>
        <w:rPr>
          <w:rFonts w:cs="Arial"/>
          <w:szCs w:val="20"/>
        </w:rPr>
      </w:pPr>
      <w:r w:rsidRPr="00B35835">
        <w:rPr>
          <w:rFonts w:cs="Arial"/>
          <w:szCs w:val="20"/>
        </w:rPr>
        <w:sym w:font="Symbol" w:char="F044"/>
      </w:r>
      <w:r w:rsidRPr="00B35835">
        <w:rPr>
          <w:rFonts w:cs="Arial"/>
          <w:szCs w:val="20"/>
        </w:rPr>
        <w:t>kW</w:t>
      </w:r>
      <w:r w:rsidRPr="00B35835">
        <w:rPr>
          <w:rFonts w:cs="Arial"/>
          <w:szCs w:val="20"/>
          <w:vertAlign w:val="subscript"/>
        </w:rPr>
        <w:t>peak</w:t>
      </w:r>
      <w:r w:rsidRPr="00B35835">
        <w:rPr>
          <w:rFonts w:cs="Arial"/>
          <w:szCs w:val="20"/>
        </w:rPr>
        <w:tab/>
      </w:r>
      <w:r>
        <w:rPr>
          <w:rFonts w:cs="Arial"/>
          <w:szCs w:val="20"/>
        </w:rPr>
        <w:tab/>
      </w:r>
      <w:r w:rsidRPr="00B35835">
        <w:rPr>
          <w:rFonts w:cs="Arial"/>
          <w:szCs w:val="20"/>
        </w:rPr>
        <w:t>= EnergyToDemandFactor × Energy Savings</w:t>
      </w:r>
      <w:r>
        <w:rPr>
          <w:rFonts w:cs="Arial"/>
          <w:szCs w:val="20"/>
        </w:rPr>
        <w:t xml:space="preserve"> </w:t>
      </w:r>
      <w:r w:rsidRPr="00B35835">
        <w:rPr>
          <w:rFonts w:cs="Arial"/>
          <w:szCs w:val="20"/>
        </w:rPr>
        <w:t>×</w:t>
      </w:r>
      <w:r>
        <w:rPr>
          <w:rFonts w:cs="Arial"/>
          <w:szCs w:val="20"/>
        </w:rPr>
        <w:t xml:space="preserve"> ResistiveDiscountFactor</w:t>
      </w:r>
    </w:p>
    <w:p w:rsidR="00B20792" w:rsidRPr="002E6E9C" w:rsidRDefault="00B20792" w:rsidP="00B20792">
      <w:pPr>
        <w:pStyle w:val="BodyText"/>
      </w:pPr>
      <w:r w:rsidRPr="002E6E9C">
        <w:t>The Energy to Demand Factor is defined below:</w:t>
      </w:r>
    </w:p>
    <w:p w:rsidR="00B20792" w:rsidRPr="003C7C58" w:rsidRDefault="003C7C58" w:rsidP="00B20792">
      <w:pPr>
        <w:pStyle w:val="Equation"/>
        <w:ind w:left="0" w:firstLine="0"/>
        <w:rPr>
          <w:i w:val="0"/>
          <w:szCs w:val="20"/>
        </w:rPr>
      </w:pPr>
      <m:oMathPara>
        <m:oMath>
          <m:r>
            <m:rPr>
              <m:nor/>
            </m:rPr>
            <m:t>EnergyToDemandFactor</m:t>
          </m:r>
          <m:r>
            <m:rPr>
              <m:nor/>
            </m:rPr>
            <w:rPr>
              <w:rFonts w:ascii="Cambria Math"/>
            </w:rPr>
            <m:t xml:space="preserve">                   </m:t>
          </m:r>
          <m:r>
            <m:rPr>
              <m:nor/>
            </m:rPr>
            <m:t>=</m:t>
          </m:r>
          <m:r>
            <m:rPr>
              <m:nor/>
            </m:rPr>
            <w:rPr>
              <w:rFonts w:ascii="Cambria Math"/>
            </w:rPr>
            <m:t xml:space="preserve">  </m:t>
          </m:r>
          <m:f>
            <m:fPr>
              <m:ctrlPr>
                <w:rPr>
                  <w:rFonts w:ascii="Cambria Math" w:hAnsi="Cambria Math"/>
                </w:rPr>
              </m:ctrlPr>
            </m:fPr>
            <m:num>
              <m:sSub>
                <m:sSubPr>
                  <m:ctrlPr>
                    <w:rPr>
                      <w:rFonts w:ascii="Cambria Math" w:hAnsi="Cambria Math"/>
                    </w:rPr>
                  </m:ctrlPr>
                </m:sSubPr>
                <m:e>
                  <m:r>
                    <m:rPr>
                      <m:nor/>
                    </m:rPr>
                    <m:t>Average Usage</m:t>
                  </m:r>
                </m:e>
                <m:sub>
                  <m:r>
                    <m:rPr>
                      <m:nor/>
                    </m:rPr>
                    <m:t>Summer WD Noon-8</m:t>
                  </m:r>
                </m:sub>
              </m:sSub>
            </m:num>
            <m:den>
              <m:r>
                <m:rPr>
                  <m:nor/>
                </m:rPr>
                <w:rPr>
                  <w:rFonts w:hAnsi="Cambria Math"/>
                </w:rPr>
                <m:t>Annual</m:t>
              </m:r>
              <m:r>
                <m:rPr>
                  <m:nor/>
                </m:rPr>
                <m:t xml:space="preserve"> </m:t>
              </m:r>
              <m:r>
                <m:rPr>
                  <m:nor/>
                </m:rPr>
                <w:rPr>
                  <w:rFonts w:hAnsi="Cambria Math"/>
                </w:rPr>
                <m:t>Energy Usage</m:t>
              </m:r>
            </m:den>
          </m:f>
        </m:oMath>
      </m:oMathPara>
    </w:p>
    <w:p w:rsidR="00B20792" w:rsidRPr="00E00B8E" w:rsidRDefault="00B20792" w:rsidP="00F05DC2">
      <w:pPr>
        <w:pStyle w:val="Heading4"/>
      </w:pPr>
      <w:r w:rsidRPr="00E00B8E">
        <w:t>Loads</w:t>
      </w:r>
    </w:p>
    <w:p w:rsidR="00C0292F" w:rsidRPr="00D74EB9" w:rsidRDefault="00B20792" w:rsidP="00F05DC2">
      <w:r w:rsidRPr="00D74EB9">
        <w:t>The annual loads are taken from data from the DEER database</w:t>
      </w:r>
      <w:r>
        <w:rPr>
          <w:rStyle w:val="FootnoteReference"/>
        </w:rPr>
        <w:footnoteReference w:id="239"/>
      </w:r>
      <w:r w:rsidRPr="00D74EB9">
        <w:t xml:space="preserve">.  The DEER database has data for gas energy usage for the domestic hot water end use for various small commercial buildings.  The loads are averaged over all 16 climate zones and all six vintage types in the DEER database. </w:t>
      </w:r>
      <w:r w:rsidR="00A15A70">
        <w:t xml:space="preserve">Finally, the loads are converted to average annual gallons of use using the algorithm below. </w:t>
      </w:r>
      <w:r w:rsidRPr="00D74EB9">
        <w:t xml:space="preserve"> The loads are summarized in </w:t>
      </w:r>
      <w:r w:rsidR="007A1FB6">
        <w:fldChar w:fldCharType="begin"/>
      </w:r>
      <w:r w:rsidR="00871FA2">
        <w:instrText xml:space="preserve"> REF _Ref302741173 \h </w:instrText>
      </w:r>
      <w:r w:rsidR="007A1FB6">
        <w:fldChar w:fldCharType="separate"/>
      </w:r>
      <m:oMath>
        <m:r>
          <m:rPr>
            <m:nor/>
          </m:rPr>
          <w:rPr>
            <w:rFonts w:ascii="Cambria Math" w:cs="Arial"/>
            <w:i/>
          </w:rPr>
          <m:t>HW (Gallons)</m:t>
        </m:r>
        <m:r>
          <m:rPr>
            <m:nor/>
          </m:rPr>
          <w:rPr>
            <w:rFonts w:cs="Arial"/>
            <w:i/>
            <w:iCs/>
          </w:rPr>
          <m:t xml:space="preserve">                         </m:t>
        </m:r>
        <m:r>
          <m:rPr>
            <m:nor/>
          </m:rPr>
          <w:rPr>
            <w:rFonts w:cs="Arial"/>
            <w:i/>
          </w:rPr>
          <m:t xml:space="preserve">=   </m:t>
        </m:r>
        <m:f>
          <m:fPr>
            <m:ctrlPr>
              <w:rPr>
                <w:rFonts w:ascii="Cambria Math" w:hAnsi="Cambria Math" w:cs="Arial"/>
                <w:i/>
              </w:rPr>
            </m:ctrlPr>
          </m:fPr>
          <m:num>
            <m:d>
              <m:dPr>
                <m:begChr m:val=""/>
                <m:endChr m:val=""/>
                <m:grow m:val="0"/>
                <m:ctrlPr>
                  <w:rPr>
                    <w:rFonts w:ascii="Cambria Math" w:hAnsi="Cambria Math" w:cs="Arial"/>
                    <w:i/>
                  </w:rPr>
                </m:ctrlPr>
              </m:dPr>
              <m:e>
                <m:r>
                  <m:rPr>
                    <m:sty m:val="p"/>
                  </m:rPr>
                  <w:rPr>
                    <w:rFonts w:ascii="Cambria Math" w:hAnsi="Cambria Math" w:cs="Arial"/>
                  </w:rPr>
                  <m:t>Load×</m:t>
                </m:r>
                <m:sSub>
                  <m:sSubPr>
                    <m:ctrlPr>
                      <w:rPr>
                        <w:rFonts w:ascii="Cambria Math" w:hAnsi="Cambria Math" w:cs="Arial"/>
                        <w:i/>
                      </w:rPr>
                    </m:ctrlPr>
                  </m:sSubPr>
                  <m:e>
                    <m:r>
                      <m:rPr>
                        <m:nor/>
                      </m:rPr>
                      <w:rPr>
                        <w:rFonts w:cs="Arial"/>
                        <w:i/>
                        <w:iCs/>
                      </w:rPr>
                      <m:t>EF</m:t>
                    </m:r>
                  </m:e>
                  <m:sub>
                    <m:r>
                      <m:rPr>
                        <m:nor/>
                      </m:rPr>
                      <w:rPr>
                        <w:rFonts w:cs="Arial"/>
                        <w:i/>
                        <w:iCs/>
                      </w:rPr>
                      <m:t>NG, Base</m:t>
                    </m:r>
                  </m:sub>
                </m:sSub>
                <m:r>
                  <m:rPr>
                    <m:sty m:val="p"/>
                  </m:rPr>
                  <w:rPr>
                    <w:rFonts w:ascii="Cambria Math" w:hAnsi="Cambria Math" w:cs="Arial"/>
                  </w:rPr>
                  <m:t xml:space="preserve"> X 1000 </m:t>
                </m:r>
                <m:f>
                  <m:fPr>
                    <m:ctrlPr>
                      <w:rPr>
                        <w:rFonts w:ascii="Cambria Math" w:hAnsi="Cambria Math" w:cs="Arial"/>
                        <w:i/>
                      </w:rPr>
                    </m:ctrlPr>
                  </m:fPr>
                  <m:num>
                    <m:r>
                      <m:rPr>
                        <m:nor/>
                      </m:rPr>
                      <w:rPr>
                        <w:rFonts w:cs="Arial"/>
                        <w:i/>
                        <w:iCs/>
                      </w:rPr>
                      <m:t>Btu</m:t>
                    </m:r>
                  </m:num>
                  <m:den>
                    <m:r>
                      <m:rPr>
                        <m:nor/>
                      </m:rPr>
                      <w:rPr>
                        <w:rFonts w:ascii="Cambria Math" w:cs="Arial"/>
                        <w:i/>
                        <w:iCs/>
                      </w:rPr>
                      <m:t>k</m:t>
                    </m:r>
                    <m:r>
                      <m:rPr>
                        <m:nor/>
                      </m:rPr>
                      <w:rPr>
                        <w:rFonts w:cs="Arial"/>
                        <w:i/>
                        <w:iCs/>
                      </w:rPr>
                      <m:t>Btu</m:t>
                    </m:r>
                  </m:den>
                </m:f>
                <m:r>
                  <m:rPr>
                    <m:sty m:val="p"/>
                  </m:rPr>
                  <w:rPr>
                    <w:rFonts w:ascii="Cambria Math" w:hAnsi="Cambria Math" w:cs="Arial"/>
                  </w:rPr>
                  <m:t xml:space="preserve"> X Typical SF</m:t>
                </m:r>
              </m:e>
            </m:d>
          </m:num>
          <m:den>
            <m:r>
              <m:rPr>
                <m:sty m:val="p"/>
              </m:rPr>
              <w:rPr>
                <w:rFonts w:ascii="Cambria Math" w:hAnsi="Cambria Math" w:cs="Arial"/>
              </w:rPr>
              <m:t xml:space="preserve">8.3 </m:t>
            </m:r>
            <m:f>
              <m:fPr>
                <m:ctrlPr>
                  <w:rPr>
                    <w:rFonts w:ascii="Cambria Math" w:hAnsi="Cambria Math" w:cs="Arial"/>
                    <w:i/>
                  </w:rPr>
                </m:ctrlPr>
              </m:fPr>
              <m:num>
                <m:r>
                  <m:rPr>
                    <m:nor/>
                  </m:rPr>
                  <w:rPr>
                    <w:rFonts w:cs="Arial"/>
                    <w:i/>
                    <w:iCs/>
                  </w:rPr>
                  <m:t>lb</m:t>
                </m:r>
              </m:num>
              <m:den>
                <m:r>
                  <m:rPr>
                    <m:nor/>
                  </m:rPr>
                  <w:rPr>
                    <w:rFonts w:ascii="Cambria Math" w:cs="Arial"/>
                    <w:i/>
                    <w:iCs/>
                  </w:rPr>
                  <m:t>gal</m:t>
                </m:r>
              </m:den>
            </m:f>
            <m:r>
              <m:rPr>
                <m:sty m:val="p"/>
              </m:rPr>
              <w:rPr>
                <w:rFonts w:ascii="Cambria Math" w:hAnsi="Cambria Math" w:cs="Arial"/>
              </w:rPr>
              <m:t xml:space="preserve"> X </m:t>
            </m:r>
            <m:d>
              <m:dPr>
                <m:ctrlPr>
                  <w:rPr>
                    <w:rFonts w:ascii="Cambria Math" w:hAnsi="Cambria Math" w:cs="Arial"/>
                    <w:i/>
                  </w:rPr>
                </m:ctrlPr>
              </m:dPr>
              <m:e>
                <m:r>
                  <m:rPr>
                    <m:sty m:val="p"/>
                  </m:rPr>
                  <w:rPr>
                    <w:rFonts w:ascii="Cambria Math" w:hAnsi="Cambria Math" w:cs="Arial"/>
                  </w:rPr>
                  <m:t>T</m:t>
                </m:r>
                <m:r>
                  <m:rPr>
                    <m:sty m:val="p"/>
                  </m:rPr>
                  <w:rPr>
                    <w:rFonts w:ascii="Cambria Math" w:hAnsi="Cambria Math" w:cs="Arial"/>
                    <w:vertAlign w:val="subscript"/>
                  </w:rPr>
                  <m:t>hot</m:t>
                </m:r>
                <m:r>
                  <m:rPr>
                    <m:sty m:val="p"/>
                  </m:rPr>
                  <w:rPr>
                    <w:rFonts w:ascii="Cambria Math" w:hAnsi="Cambria Math" w:cs="Arial"/>
                  </w:rPr>
                  <m:t xml:space="preserve"> –T</m:t>
                </m:r>
                <m:r>
                  <m:rPr>
                    <m:sty m:val="p"/>
                  </m:rPr>
                  <w:rPr>
                    <w:rFonts w:ascii="Cambria Math" w:hAnsi="Cambria Math" w:cs="Arial"/>
                    <w:vertAlign w:val="subscript"/>
                  </w:rPr>
                  <m:t>cold</m:t>
                </m:r>
              </m:e>
            </m:d>
            <m:r>
              <m:rPr>
                <m:sty m:val="p"/>
              </m:rPr>
              <w:rPr>
                <w:rFonts w:ascii="Cambria Math" w:hAnsi="Cambria Math" w:cs="Arial"/>
              </w:rPr>
              <m:t xml:space="preserve"> X 1000 SF</m:t>
            </m:r>
          </m:den>
        </m:f>
      </m:oMath>
    </w:p>
    <w:p w:rsidR="00B20792" w:rsidRPr="00D74EB9" w:rsidRDefault="00C0292F" w:rsidP="00B20792">
      <w:proofErr w:type="gramStart"/>
      <w:r>
        <w:t xml:space="preserve">Table </w:t>
      </w:r>
      <w:r>
        <w:rPr>
          <w:noProof/>
        </w:rPr>
        <w:t>3</w:t>
      </w:r>
      <w:r>
        <w:noBreakHyphen/>
      </w:r>
      <w:r>
        <w:rPr>
          <w:noProof/>
        </w:rPr>
        <w:t>86</w:t>
      </w:r>
      <w:r w:rsidR="007A1FB6">
        <w:fldChar w:fldCharType="end"/>
      </w:r>
      <w:r w:rsidR="00871FA2">
        <w:t xml:space="preserve"> </w:t>
      </w:r>
      <w:r w:rsidR="00B20792" w:rsidRPr="00D74EB9">
        <w:t>below.</w:t>
      </w:r>
      <w:proofErr w:type="gramEnd"/>
      <w:r w:rsidR="00B20792" w:rsidRPr="00D74EB9">
        <w:t xml:space="preserve">  </w:t>
      </w:r>
    </w:p>
    <w:p w:rsidR="004A4DD1" w:rsidRPr="00DE6C20" w:rsidRDefault="003C7C58" w:rsidP="00DE6C20">
      <w:pPr>
        <w:tabs>
          <w:tab w:val="left" w:pos="720"/>
        </w:tabs>
        <w:spacing w:before="120"/>
        <w:jc w:val="both"/>
        <w:rPr>
          <w:rFonts w:cs="Arial"/>
          <w:b/>
        </w:rPr>
      </w:pPr>
      <m:oMathPara>
        <m:oMath>
          <m:r>
            <m:rPr>
              <m:nor/>
            </m:rPr>
            <w:rPr>
              <w:rFonts w:ascii="Cambria Math" w:cs="Arial"/>
              <w:i/>
            </w:rPr>
            <m:t>HW (Gallons)</m:t>
          </m:r>
          <m:r>
            <m:rPr>
              <m:nor/>
            </m:rPr>
            <w:rPr>
              <w:rFonts w:cs="Arial"/>
              <w:i/>
              <w:iCs/>
            </w:rPr>
            <m:t xml:space="preserve">                         </m:t>
          </m:r>
          <m:r>
            <m:rPr>
              <m:nor/>
            </m:rPr>
            <w:rPr>
              <w:rFonts w:cs="Arial"/>
              <w:i/>
            </w:rPr>
            <m:t xml:space="preserve">=   </m:t>
          </m:r>
          <m:f>
            <m:fPr>
              <m:ctrlPr>
                <w:rPr>
                  <w:rFonts w:ascii="Cambria Math" w:hAnsi="Cambria Math" w:cs="Arial"/>
                  <w:i/>
                </w:rPr>
              </m:ctrlPr>
            </m:fPr>
            <m:num>
              <m:d>
                <m:dPr>
                  <m:begChr m:val=""/>
                  <m:endChr m:val=""/>
                  <m:grow m:val="0"/>
                  <m:ctrlPr>
                    <w:rPr>
                      <w:rFonts w:ascii="Cambria Math" w:hAnsi="Cambria Math" w:cs="Arial"/>
                      <w:i/>
                    </w:rPr>
                  </m:ctrlPr>
                </m:dPr>
                <m:e>
                  <m:r>
                    <w:rPr>
                      <w:rFonts w:ascii="Cambria Math" w:hAnsi="Cambria Math" w:cs="Arial"/>
                    </w:rPr>
                    <m:t>Load×</m:t>
                  </m:r>
                  <m:sSub>
                    <m:sSubPr>
                      <m:ctrlPr>
                        <w:rPr>
                          <w:rFonts w:ascii="Cambria Math" w:hAnsi="Cambria Math" w:cs="Arial"/>
                          <w:i/>
                        </w:rPr>
                      </m:ctrlPr>
                    </m:sSubPr>
                    <m:e>
                      <m:r>
                        <m:rPr>
                          <m:nor/>
                        </m:rPr>
                        <w:rPr>
                          <w:rFonts w:cs="Arial"/>
                          <w:i/>
                          <w:iCs/>
                        </w:rPr>
                        <m:t>EF</m:t>
                      </m:r>
                    </m:e>
                    <m:sub>
                      <m:r>
                        <m:rPr>
                          <m:nor/>
                        </m:rPr>
                        <w:rPr>
                          <w:rFonts w:cs="Arial"/>
                          <w:i/>
                          <w:iCs/>
                        </w:rPr>
                        <m:t>NG, Base</m:t>
                      </m:r>
                    </m:sub>
                  </m:sSub>
                  <m:r>
                    <w:rPr>
                      <w:rFonts w:ascii="Cambria Math" w:hAnsi="Cambria Math" w:cs="Arial"/>
                    </w:rPr>
                    <m:t xml:space="preserve"> X 1000 </m:t>
                  </m:r>
                  <m:f>
                    <m:fPr>
                      <m:ctrlPr>
                        <w:rPr>
                          <w:rFonts w:ascii="Cambria Math" w:hAnsi="Cambria Math" w:cs="Arial"/>
                          <w:i/>
                        </w:rPr>
                      </m:ctrlPr>
                    </m:fPr>
                    <m:num>
                      <m:r>
                        <m:rPr>
                          <m:nor/>
                        </m:rPr>
                        <w:rPr>
                          <w:rFonts w:cs="Arial"/>
                          <w:i/>
                          <w:iCs/>
                        </w:rPr>
                        <m:t>Btu</m:t>
                      </m:r>
                    </m:num>
                    <m:den>
                      <m:r>
                        <m:rPr>
                          <m:nor/>
                        </m:rPr>
                        <w:rPr>
                          <w:rFonts w:ascii="Cambria Math" w:cs="Arial"/>
                          <w:i/>
                          <w:iCs/>
                        </w:rPr>
                        <m:t>k</m:t>
                      </m:r>
                      <m:r>
                        <m:rPr>
                          <m:nor/>
                        </m:rPr>
                        <w:rPr>
                          <w:rFonts w:cs="Arial"/>
                          <w:i/>
                          <w:iCs/>
                        </w:rPr>
                        <m:t>Btu</m:t>
                      </m:r>
                    </m:den>
                  </m:f>
                  <m:r>
                    <w:rPr>
                      <w:rFonts w:ascii="Cambria Math" w:hAnsi="Cambria Math" w:cs="Arial"/>
                    </w:rPr>
                    <m:t xml:space="preserve"> X Typical SF</m:t>
                  </m:r>
                </m:e>
              </m:d>
            </m:num>
            <m:den>
              <m:r>
                <w:rPr>
                  <w:rFonts w:ascii="Cambria Math" w:hAnsi="Cambria Math" w:cs="Arial"/>
                </w:rPr>
                <m:t xml:space="preserve">8.3 </m:t>
              </m:r>
              <m:f>
                <m:fPr>
                  <m:ctrlPr>
                    <w:rPr>
                      <w:rFonts w:ascii="Cambria Math" w:hAnsi="Cambria Math" w:cs="Arial"/>
                      <w:i/>
                    </w:rPr>
                  </m:ctrlPr>
                </m:fPr>
                <m:num>
                  <m:r>
                    <m:rPr>
                      <m:nor/>
                    </m:rPr>
                    <w:rPr>
                      <w:rFonts w:cs="Arial"/>
                      <w:i/>
                      <w:iCs/>
                    </w:rPr>
                    <m:t>lb</m:t>
                  </m:r>
                </m:num>
                <m:den>
                  <m:r>
                    <m:rPr>
                      <m:nor/>
                    </m:rPr>
                    <w:rPr>
                      <w:rFonts w:ascii="Cambria Math" w:cs="Arial"/>
                      <w:i/>
                      <w:iCs/>
                    </w:rPr>
                    <m:t>gal</m:t>
                  </m:r>
                </m:den>
              </m:f>
              <m:r>
                <w:rPr>
                  <w:rFonts w:ascii="Cambria Math" w:hAnsi="Cambria Math" w:cs="Arial"/>
                </w:rPr>
                <m:t xml:space="preserve"> X </m:t>
              </m:r>
              <m:d>
                <m:dPr>
                  <m:ctrlPr>
                    <w:rPr>
                      <w:rFonts w:ascii="Cambria Math" w:hAnsi="Cambria Math" w:cs="Arial"/>
                      <w:i/>
                    </w:rPr>
                  </m:ctrlPr>
                </m:dPr>
                <m:e>
                  <m:r>
                    <w:rPr>
                      <w:rFonts w:ascii="Cambria Math" w:hAnsi="Cambria Math" w:cs="Arial"/>
                    </w:rPr>
                    <m:t>T</m:t>
                  </m:r>
                  <m:r>
                    <w:rPr>
                      <w:rFonts w:ascii="Cambria Math" w:hAnsi="Cambria Math" w:cs="Arial"/>
                      <w:vertAlign w:val="subscript"/>
                    </w:rPr>
                    <m:t>hot</m:t>
                  </m:r>
                  <m:r>
                    <w:rPr>
                      <w:rFonts w:ascii="Cambria Math" w:hAnsi="Cambria Math" w:cs="Arial"/>
                    </w:rPr>
                    <m:t xml:space="preserve"> –T</m:t>
                  </m:r>
                  <m:r>
                    <w:rPr>
                      <w:rFonts w:ascii="Cambria Math" w:hAnsi="Cambria Math" w:cs="Arial"/>
                      <w:vertAlign w:val="subscript"/>
                    </w:rPr>
                    <m:t>cold</m:t>
                  </m:r>
                </m:e>
              </m:d>
              <m:r>
                <w:rPr>
                  <w:rFonts w:ascii="Cambria Math" w:hAnsi="Cambria Math" w:cs="Arial"/>
                </w:rPr>
                <m:t xml:space="preserve"> X 1000 SF</m:t>
              </m:r>
            </m:den>
          </m:f>
        </m:oMath>
      </m:oMathPara>
    </w:p>
    <w:p w:rsidR="00B20792" w:rsidRDefault="00B20792" w:rsidP="00B20792">
      <w:pPr>
        <w:pStyle w:val="Caption"/>
      </w:pPr>
      <w:bookmarkStart w:id="1310" w:name="_Toc310875641"/>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w:instrText>
      </w:r>
      <w:r w:rsidR="00274AB1">
        <w:instrText xml:space="preserve">e \* ARABIC \s 1 </w:instrText>
      </w:r>
      <w:r w:rsidR="00274AB1">
        <w:fldChar w:fldCharType="separate"/>
      </w:r>
      <w:r w:rsidR="00C0292F">
        <w:rPr>
          <w:noProof/>
        </w:rPr>
        <w:t>89</w:t>
      </w:r>
      <w:r w:rsidR="00274AB1">
        <w:rPr>
          <w:noProof/>
        </w:rPr>
        <w:fldChar w:fldCharType="end"/>
      </w:r>
      <w:r>
        <w:t xml:space="preserve">: </w:t>
      </w:r>
      <w:r w:rsidRPr="007D7C98">
        <w:t>Typical water heating loads</w:t>
      </w:r>
      <w:bookmarkEnd w:id="13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2469"/>
        <w:gridCol w:w="2467"/>
        <w:gridCol w:w="2467"/>
      </w:tblGrid>
      <w:tr w:rsidR="00B20792" w:rsidRPr="00DC57D4" w:rsidTr="00B20792">
        <w:trPr>
          <w:trHeight w:val="374"/>
          <w:jc w:val="center"/>
        </w:trPr>
        <w:tc>
          <w:tcPr>
            <w:tcW w:w="820" w:type="pct"/>
            <w:tcBorders>
              <w:top w:val="single" w:sz="4" w:space="0" w:color="auto"/>
              <w:left w:val="single" w:sz="4" w:space="0" w:color="auto"/>
              <w:bottom w:val="single" w:sz="4" w:space="0" w:color="auto"/>
              <w:right w:val="single" w:sz="4" w:space="0" w:color="auto"/>
              <w:tl2br w:val="nil"/>
              <w:tr2bl w:val="nil"/>
            </w:tcBorders>
            <w:shd w:val="clear" w:color="auto" w:fill="BFBFBF"/>
          </w:tcPr>
          <w:p w:rsidR="00B20792" w:rsidRPr="001D6512" w:rsidRDefault="00B20792" w:rsidP="00B20792">
            <w:pPr>
              <w:pStyle w:val="TableCell"/>
              <w:spacing w:before="60" w:after="60"/>
              <w:rPr>
                <w:b/>
              </w:rPr>
            </w:pPr>
            <w:r w:rsidRPr="001D6512">
              <w:rPr>
                <w:rFonts w:cs="Arial"/>
                <w:b/>
                <w:color w:val="000000"/>
                <w:szCs w:val="18"/>
              </w:rPr>
              <w:t>Building Type</w:t>
            </w:r>
          </w:p>
        </w:tc>
        <w:tc>
          <w:tcPr>
            <w:tcW w:w="1394" w:type="pct"/>
            <w:tcBorders>
              <w:top w:val="single" w:sz="4" w:space="0" w:color="auto"/>
              <w:left w:val="single" w:sz="4" w:space="0" w:color="auto"/>
              <w:bottom w:val="single" w:sz="4" w:space="0" w:color="auto"/>
              <w:right w:val="single" w:sz="4" w:space="0" w:color="auto"/>
              <w:tl2br w:val="nil"/>
              <w:tr2bl w:val="nil"/>
            </w:tcBorders>
            <w:shd w:val="clear" w:color="auto" w:fill="BFBFBF"/>
          </w:tcPr>
          <w:p w:rsidR="00B20792" w:rsidRPr="001D6512" w:rsidRDefault="00B20792" w:rsidP="00B20792">
            <w:pPr>
              <w:pStyle w:val="TableCell"/>
              <w:spacing w:before="60" w:after="60"/>
              <w:rPr>
                <w:b/>
              </w:rPr>
            </w:pPr>
            <w:r w:rsidRPr="001D6512">
              <w:rPr>
                <w:rFonts w:cs="Arial"/>
                <w:b/>
                <w:color w:val="000000"/>
                <w:szCs w:val="18"/>
              </w:rPr>
              <w:t>Typical Square Footage</w:t>
            </w:r>
          </w:p>
        </w:tc>
        <w:tc>
          <w:tcPr>
            <w:tcW w:w="1393" w:type="pct"/>
            <w:tcBorders>
              <w:top w:val="single" w:sz="4" w:space="0" w:color="auto"/>
              <w:left w:val="single" w:sz="4" w:space="0" w:color="auto"/>
              <w:bottom w:val="single" w:sz="4" w:space="0" w:color="auto"/>
              <w:right w:val="single" w:sz="4" w:space="0" w:color="auto"/>
              <w:tl2br w:val="nil"/>
              <w:tr2bl w:val="nil"/>
            </w:tcBorders>
            <w:shd w:val="clear" w:color="auto" w:fill="BFBFBF"/>
          </w:tcPr>
          <w:p w:rsidR="00B20792" w:rsidRPr="001D6512" w:rsidRDefault="00F31240" w:rsidP="00B20792">
            <w:pPr>
              <w:pStyle w:val="TableCell"/>
              <w:spacing w:before="60" w:after="60"/>
              <w:rPr>
                <w:b/>
              </w:rPr>
            </w:pPr>
            <w:r w:rsidRPr="001D6512">
              <w:rPr>
                <w:rFonts w:cs="Arial"/>
                <w:b/>
                <w:color w:val="000000"/>
                <w:szCs w:val="18"/>
              </w:rPr>
              <w:t xml:space="preserve">Average </w:t>
            </w:r>
            <w:r w:rsidR="00B20792" w:rsidRPr="001D6512">
              <w:rPr>
                <w:rFonts w:cs="Arial"/>
                <w:b/>
                <w:color w:val="000000"/>
                <w:szCs w:val="18"/>
              </w:rPr>
              <w:t xml:space="preserve">Annual Load In </w:t>
            </w:r>
            <w:r w:rsidRPr="001D6512">
              <w:rPr>
                <w:rFonts w:cs="Arial"/>
                <w:b/>
                <w:color w:val="000000"/>
                <w:szCs w:val="18"/>
              </w:rPr>
              <w:t>kBTU</w:t>
            </w:r>
          </w:p>
        </w:tc>
        <w:tc>
          <w:tcPr>
            <w:tcW w:w="1393" w:type="pct"/>
            <w:tcBorders>
              <w:top w:val="single" w:sz="4" w:space="0" w:color="auto"/>
              <w:left w:val="single" w:sz="4" w:space="0" w:color="auto"/>
              <w:bottom w:val="single" w:sz="4" w:space="0" w:color="auto"/>
              <w:right w:val="single" w:sz="4" w:space="0" w:color="auto"/>
              <w:tl2br w:val="nil"/>
              <w:tr2bl w:val="nil"/>
            </w:tcBorders>
            <w:shd w:val="clear" w:color="auto" w:fill="BFBFBF"/>
          </w:tcPr>
          <w:p w:rsidR="00B20792" w:rsidRPr="001D6512" w:rsidRDefault="00F31240" w:rsidP="002379FB">
            <w:pPr>
              <w:pStyle w:val="TableCell"/>
              <w:spacing w:before="60" w:after="60"/>
              <w:rPr>
                <w:b/>
              </w:rPr>
            </w:pPr>
            <w:r w:rsidRPr="001D6512">
              <w:rPr>
                <w:rFonts w:cs="Arial"/>
                <w:b/>
                <w:color w:val="000000"/>
                <w:szCs w:val="18"/>
              </w:rPr>
              <w:t>Average Annual Use, Gallons</w:t>
            </w:r>
          </w:p>
        </w:tc>
      </w:tr>
      <w:tr w:rsidR="00B20792" w:rsidRPr="00DC57D4" w:rsidTr="008C2989">
        <w:trPr>
          <w:trHeight w:val="374"/>
          <w:jc w:val="center"/>
        </w:trPr>
        <w:tc>
          <w:tcPr>
            <w:tcW w:w="820" w:type="pct"/>
            <w:vAlign w:val="center"/>
          </w:tcPr>
          <w:p w:rsidR="00B20792" w:rsidRPr="001D6512" w:rsidRDefault="00B20792" w:rsidP="00B20792">
            <w:pPr>
              <w:pStyle w:val="Title"/>
              <w:jc w:val="left"/>
              <w:rPr>
                <w:rFonts w:ascii="Arial" w:hAnsi="Arial" w:cs="Arial"/>
                <w:b w:val="0"/>
                <w:sz w:val="18"/>
                <w:szCs w:val="18"/>
              </w:rPr>
            </w:pPr>
            <w:r w:rsidRPr="001D6512">
              <w:rPr>
                <w:rFonts w:ascii="Arial" w:hAnsi="Arial" w:cs="Arial"/>
                <w:b w:val="0"/>
                <w:color w:val="000000"/>
                <w:sz w:val="18"/>
                <w:szCs w:val="18"/>
              </w:rPr>
              <w:t>Motel</w:t>
            </w:r>
          </w:p>
        </w:tc>
        <w:tc>
          <w:tcPr>
            <w:tcW w:w="1394" w:type="pct"/>
            <w:vAlign w:val="center"/>
          </w:tcPr>
          <w:p w:rsidR="00B20792" w:rsidRPr="001D6512" w:rsidRDefault="00B20792" w:rsidP="00B20792">
            <w:pPr>
              <w:pStyle w:val="Title"/>
              <w:jc w:val="left"/>
              <w:rPr>
                <w:rFonts w:ascii="Arial" w:hAnsi="Arial" w:cs="Arial"/>
                <w:b w:val="0"/>
                <w:sz w:val="18"/>
                <w:szCs w:val="18"/>
              </w:rPr>
            </w:pPr>
            <w:r w:rsidRPr="001D6512">
              <w:rPr>
                <w:rFonts w:ascii="Arial" w:hAnsi="Arial" w:cs="Arial"/>
                <w:b w:val="0"/>
                <w:color w:val="000000"/>
                <w:sz w:val="18"/>
                <w:szCs w:val="18"/>
              </w:rPr>
              <w:t xml:space="preserve">30,000 </w:t>
            </w:r>
          </w:p>
        </w:tc>
        <w:tc>
          <w:tcPr>
            <w:tcW w:w="1393" w:type="pct"/>
            <w:vAlign w:val="center"/>
          </w:tcPr>
          <w:p w:rsidR="00B20792" w:rsidRPr="001D6512" w:rsidRDefault="00F31240" w:rsidP="002379FB">
            <w:pPr>
              <w:pStyle w:val="Title"/>
              <w:jc w:val="left"/>
              <w:rPr>
                <w:rFonts w:ascii="Arial" w:hAnsi="Arial" w:cs="Arial"/>
                <w:b w:val="0"/>
                <w:sz w:val="18"/>
                <w:szCs w:val="18"/>
              </w:rPr>
            </w:pPr>
            <w:r w:rsidRPr="001D6512">
              <w:rPr>
                <w:rFonts w:ascii="Arial" w:hAnsi="Arial" w:cs="Arial"/>
                <w:b w:val="0"/>
                <w:color w:val="000000"/>
                <w:sz w:val="18"/>
                <w:szCs w:val="18"/>
              </w:rPr>
              <w:t>2,963</w:t>
            </w:r>
          </w:p>
        </w:tc>
        <w:tc>
          <w:tcPr>
            <w:tcW w:w="1393" w:type="pct"/>
            <w:vAlign w:val="bottom"/>
          </w:tcPr>
          <w:p w:rsidR="00B20792" w:rsidRPr="002E7C54" w:rsidRDefault="00F31240" w:rsidP="002379FB">
            <w:pPr>
              <w:pStyle w:val="Title"/>
              <w:jc w:val="left"/>
              <w:rPr>
                <w:rFonts w:ascii="Arial" w:hAnsi="Arial" w:cs="Arial"/>
                <w:b w:val="0"/>
                <w:sz w:val="18"/>
                <w:szCs w:val="18"/>
              </w:rPr>
            </w:pPr>
            <w:r w:rsidRPr="002E7C54">
              <w:rPr>
                <w:rFonts w:ascii="Calibri" w:hAnsi="Calibri" w:cs="Calibri"/>
                <w:b w:val="0"/>
                <w:color w:val="000000"/>
                <w:sz w:val="22"/>
                <w:szCs w:val="22"/>
              </w:rPr>
              <w:t>97,870</w:t>
            </w:r>
          </w:p>
        </w:tc>
      </w:tr>
      <w:tr w:rsidR="00B20792" w:rsidRPr="00DC57D4" w:rsidTr="008C2989">
        <w:trPr>
          <w:trHeight w:val="374"/>
          <w:jc w:val="center"/>
        </w:trPr>
        <w:tc>
          <w:tcPr>
            <w:tcW w:w="820" w:type="pct"/>
            <w:vAlign w:val="center"/>
          </w:tcPr>
          <w:p w:rsidR="00B20792" w:rsidRPr="001D6512" w:rsidRDefault="00B20792" w:rsidP="00B20792">
            <w:pPr>
              <w:pStyle w:val="Title"/>
              <w:jc w:val="left"/>
              <w:rPr>
                <w:rFonts w:ascii="Arial" w:hAnsi="Arial" w:cs="Arial"/>
                <w:b w:val="0"/>
                <w:color w:val="000000"/>
                <w:sz w:val="18"/>
                <w:szCs w:val="18"/>
              </w:rPr>
            </w:pPr>
            <w:r w:rsidRPr="001D6512">
              <w:rPr>
                <w:rFonts w:ascii="Arial" w:hAnsi="Arial" w:cs="Arial"/>
                <w:b w:val="0"/>
                <w:color w:val="000000"/>
                <w:sz w:val="18"/>
                <w:szCs w:val="18"/>
              </w:rPr>
              <w:t>Small Office</w:t>
            </w:r>
          </w:p>
        </w:tc>
        <w:tc>
          <w:tcPr>
            <w:tcW w:w="1394" w:type="pct"/>
            <w:vAlign w:val="center"/>
          </w:tcPr>
          <w:p w:rsidR="00B20792" w:rsidRPr="001D6512" w:rsidRDefault="00B20792" w:rsidP="00B20792">
            <w:pPr>
              <w:pStyle w:val="Title"/>
              <w:jc w:val="left"/>
              <w:rPr>
                <w:rFonts w:ascii="Arial" w:hAnsi="Arial" w:cs="Arial"/>
                <w:b w:val="0"/>
                <w:color w:val="000000"/>
                <w:sz w:val="18"/>
                <w:szCs w:val="18"/>
              </w:rPr>
            </w:pPr>
            <w:r w:rsidRPr="001D6512">
              <w:rPr>
                <w:rFonts w:ascii="Arial" w:hAnsi="Arial" w:cs="Arial"/>
                <w:b w:val="0"/>
                <w:color w:val="000000"/>
                <w:sz w:val="18"/>
                <w:szCs w:val="18"/>
              </w:rPr>
              <w:t>10,000</w:t>
            </w:r>
          </w:p>
        </w:tc>
        <w:tc>
          <w:tcPr>
            <w:tcW w:w="1393" w:type="pct"/>
            <w:vAlign w:val="center"/>
          </w:tcPr>
          <w:p w:rsidR="00B20792" w:rsidRPr="001D6512" w:rsidRDefault="00F31240" w:rsidP="002379FB">
            <w:pPr>
              <w:pStyle w:val="Title"/>
              <w:jc w:val="left"/>
              <w:rPr>
                <w:rFonts w:ascii="Arial" w:hAnsi="Arial" w:cs="Arial"/>
                <w:b w:val="0"/>
                <w:color w:val="000000"/>
                <w:sz w:val="18"/>
                <w:szCs w:val="18"/>
              </w:rPr>
            </w:pPr>
            <w:r w:rsidRPr="001D6512">
              <w:rPr>
                <w:rFonts w:ascii="Arial" w:hAnsi="Arial" w:cs="Arial"/>
                <w:b w:val="0"/>
                <w:color w:val="000000"/>
                <w:sz w:val="18"/>
                <w:szCs w:val="18"/>
              </w:rPr>
              <w:t>2,214</w:t>
            </w:r>
          </w:p>
        </w:tc>
        <w:tc>
          <w:tcPr>
            <w:tcW w:w="1393" w:type="pct"/>
            <w:vAlign w:val="bottom"/>
          </w:tcPr>
          <w:p w:rsidR="00B20792" w:rsidRPr="002E7C54" w:rsidRDefault="00F31240" w:rsidP="002379FB">
            <w:pPr>
              <w:pStyle w:val="Title"/>
              <w:jc w:val="left"/>
              <w:rPr>
                <w:rFonts w:ascii="Arial" w:hAnsi="Arial" w:cs="Arial"/>
                <w:b w:val="0"/>
                <w:color w:val="000000"/>
                <w:sz w:val="18"/>
                <w:szCs w:val="18"/>
              </w:rPr>
            </w:pPr>
            <w:r w:rsidRPr="002E7C54">
              <w:rPr>
                <w:rFonts w:ascii="Calibri" w:hAnsi="Calibri" w:cs="Calibri"/>
                <w:b w:val="0"/>
                <w:color w:val="000000"/>
                <w:sz w:val="22"/>
                <w:szCs w:val="22"/>
              </w:rPr>
              <w:t>24,377</w:t>
            </w:r>
          </w:p>
        </w:tc>
      </w:tr>
      <w:tr w:rsidR="00B20792" w:rsidRPr="00DC57D4" w:rsidTr="008C2989">
        <w:trPr>
          <w:trHeight w:val="374"/>
          <w:jc w:val="center"/>
        </w:trPr>
        <w:tc>
          <w:tcPr>
            <w:tcW w:w="820" w:type="pct"/>
            <w:vAlign w:val="center"/>
          </w:tcPr>
          <w:p w:rsidR="00B20792" w:rsidRPr="001D6512" w:rsidRDefault="00B20792" w:rsidP="00B20792">
            <w:pPr>
              <w:pStyle w:val="Title"/>
              <w:jc w:val="left"/>
              <w:rPr>
                <w:rFonts w:ascii="Arial" w:hAnsi="Arial" w:cs="Arial"/>
                <w:b w:val="0"/>
                <w:color w:val="000000"/>
                <w:sz w:val="18"/>
                <w:szCs w:val="18"/>
              </w:rPr>
            </w:pPr>
            <w:r w:rsidRPr="001D6512">
              <w:rPr>
                <w:rFonts w:ascii="Arial" w:hAnsi="Arial" w:cs="Arial"/>
                <w:b w:val="0"/>
                <w:color w:val="000000"/>
                <w:sz w:val="18"/>
                <w:szCs w:val="18"/>
              </w:rPr>
              <w:t>Small Retail</w:t>
            </w:r>
          </w:p>
        </w:tc>
        <w:tc>
          <w:tcPr>
            <w:tcW w:w="1394" w:type="pct"/>
            <w:vAlign w:val="center"/>
          </w:tcPr>
          <w:p w:rsidR="00B20792" w:rsidRPr="001D6512" w:rsidRDefault="00B20792" w:rsidP="00B20792">
            <w:pPr>
              <w:pStyle w:val="Title"/>
              <w:jc w:val="left"/>
              <w:rPr>
                <w:rFonts w:ascii="Arial" w:hAnsi="Arial" w:cs="Arial"/>
                <w:b w:val="0"/>
                <w:color w:val="000000"/>
                <w:sz w:val="18"/>
                <w:szCs w:val="18"/>
              </w:rPr>
            </w:pPr>
            <w:r w:rsidRPr="001D6512">
              <w:rPr>
                <w:rFonts w:ascii="Arial" w:hAnsi="Arial" w:cs="Arial"/>
                <w:b w:val="0"/>
                <w:color w:val="000000"/>
                <w:sz w:val="18"/>
                <w:szCs w:val="18"/>
              </w:rPr>
              <w:t>7,000</w:t>
            </w:r>
          </w:p>
        </w:tc>
        <w:tc>
          <w:tcPr>
            <w:tcW w:w="1393" w:type="pct"/>
            <w:vAlign w:val="center"/>
          </w:tcPr>
          <w:p w:rsidR="00B20792" w:rsidRPr="001D6512" w:rsidRDefault="00F31240" w:rsidP="002379FB">
            <w:pPr>
              <w:pStyle w:val="Title"/>
              <w:jc w:val="left"/>
              <w:rPr>
                <w:rFonts w:ascii="Arial" w:hAnsi="Arial" w:cs="Arial"/>
                <w:b w:val="0"/>
                <w:color w:val="000000"/>
                <w:sz w:val="18"/>
                <w:szCs w:val="18"/>
              </w:rPr>
            </w:pPr>
            <w:r w:rsidRPr="001D6512">
              <w:rPr>
                <w:rFonts w:ascii="Arial" w:hAnsi="Arial" w:cs="Arial"/>
                <w:b w:val="0"/>
                <w:color w:val="000000"/>
                <w:sz w:val="18"/>
                <w:szCs w:val="18"/>
              </w:rPr>
              <w:t>1,451</w:t>
            </w:r>
          </w:p>
        </w:tc>
        <w:tc>
          <w:tcPr>
            <w:tcW w:w="1393" w:type="pct"/>
            <w:vAlign w:val="bottom"/>
          </w:tcPr>
          <w:p w:rsidR="00B20792" w:rsidRPr="002E7C54" w:rsidRDefault="00F31240" w:rsidP="002379FB">
            <w:pPr>
              <w:pStyle w:val="Title"/>
              <w:jc w:val="left"/>
              <w:rPr>
                <w:rFonts w:ascii="Arial" w:hAnsi="Arial" w:cs="Arial"/>
                <w:b w:val="0"/>
                <w:color w:val="000000"/>
                <w:sz w:val="18"/>
                <w:szCs w:val="18"/>
              </w:rPr>
            </w:pPr>
            <w:r w:rsidRPr="002E7C54">
              <w:rPr>
                <w:rFonts w:ascii="Calibri" w:hAnsi="Calibri" w:cs="Calibri"/>
                <w:b w:val="0"/>
                <w:color w:val="000000"/>
                <w:sz w:val="22"/>
                <w:szCs w:val="22"/>
              </w:rPr>
              <w:t>11,183</w:t>
            </w:r>
          </w:p>
        </w:tc>
      </w:tr>
    </w:tbl>
    <w:p w:rsidR="00B20792" w:rsidRPr="00E00B8E" w:rsidRDefault="00B20792" w:rsidP="00F05DC2">
      <w:pPr>
        <w:pStyle w:val="Heading4"/>
      </w:pPr>
      <w:r w:rsidRPr="00E00B8E">
        <w:t>Energy to Demand Factor</w:t>
      </w:r>
    </w:p>
    <w:p w:rsidR="00B20792" w:rsidRDefault="00B20792" w:rsidP="00B20792">
      <w:r w:rsidRPr="00D74EB9">
        <w:t>The ratio of the average energy usage during noon and 8 PM on summer weekdays to the total annual energy usage is taken from usage profile data collected for commercial water heaters</w:t>
      </w:r>
      <w:r>
        <w:t xml:space="preserve"> in CA</w:t>
      </w:r>
      <w:r>
        <w:rPr>
          <w:rStyle w:val="FootnoteReference"/>
        </w:rPr>
        <w:footnoteReference w:id="240"/>
      </w:r>
      <w:r w:rsidRPr="00D74EB9">
        <w:t>.  The usage profiles are shown in</w:t>
      </w:r>
      <w:r>
        <w:t xml:space="preserve"> </w:t>
      </w:r>
      <w:r w:rsidR="00274AB1">
        <w:fldChar w:fldCharType="begin"/>
      </w:r>
      <w:r w:rsidR="00274AB1">
        <w:instrText xml:space="preserve"> REF _Ref302741376 \h  </w:instrText>
      </w:r>
      <w:r w:rsidR="00274AB1">
        <w:instrText xml:space="preserve">\* MERGEFORMAT </w:instrText>
      </w:r>
      <w:r w:rsidR="00274AB1">
        <w:fldChar w:fldCharType="separate"/>
      </w:r>
      <w:r w:rsidR="00C0292F">
        <w:t xml:space="preserve">Figure </w:t>
      </w:r>
      <w:r w:rsidR="00C0292F">
        <w:rPr>
          <w:noProof/>
        </w:rPr>
        <w:t>3</w:t>
      </w:r>
      <w:r w:rsidR="00C0292F">
        <w:rPr>
          <w:noProof/>
        </w:rPr>
        <w:noBreakHyphen/>
        <w:t>4</w:t>
      </w:r>
      <w:r w:rsidR="00274AB1">
        <w:fldChar w:fldCharType="end"/>
      </w:r>
      <w:r w:rsidRPr="00D74EB9">
        <w:t>.</w:t>
      </w:r>
      <w:r>
        <w:t xml:space="preserve"> </w:t>
      </w:r>
      <w:r w:rsidRPr="00D74EB9">
        <w:t>To ensure that the load shape data derived from observations in CA can be applied to PA, we compared the annual energy usage to peak demand factors for two disparate climate zones in CA.</w:t>
      </w:r>
      <w:r>
        <w:t xml:space="preserve"> </w:t>
      </w:r>
      <w:r w:rsidRPr="00D74EB9">
        <w:t>The results, shown in</w:t>
      </w:r>
      <w:r>
        <w:t xml:space="preserve"> </w:t>
      </w:r>
      <w:r w:rsidR="00274AB1">
        <w:fldChar w:fldCharType="begin"/>
      </w:r>
      <w:r w:rsidR="00274AB1">
        <w:instrText xml:space="preserve"> REF _Ref302741381 \h  \* MERGEFORMAT </w:instrText>
      </w:r>
      <w:r w:rsidR="00274AB1">
        <w:fldChar w:fldCharType="separate"/>
      </w:r>
      <w:r w:rsidR="00C0292F">
        <w:t xml:space="preserve">Figure </w:t>
      </w:r>
      <w:r w:rsidR="00C0292F">
        <w:rPr>
          <w:noProof/>
        </w:rPr>
        <w:t>3</w:t>
      </w:r>
      <w:r w:rsidR="00C0292F">
        <w:rPr>
          <w:noProof/>
        </w:rPr>
        <w:noBreakHyphen/>
        <w:t>5</w:t>
      </w:r>
      <w:r w:rsidR="00274AB1">
        <w:fldChar w:fldCharType="end"/>
      </w:r>
      <w:r>
        <w:t>,</w:t>
      </w:r>
      <w:r w:rsidRPr="00D74EB9">
        <w:t xml:space="preserve"> indicate that the ratio of peak demand to annual energy usage is not strongly influenced by climate.</w:t>
      </w:r>
      <w:r>
        <w:t xml:space="preserve"> </w:t>
      </w:r>
      <w:r w:rsidRPr="00D74EB9">
        <w:t>Also, though the actual usage profiles may be different, the average usage between noon and 8 PM on summer weekdays is quite similar for al building types. The close level of agreement between disparate climate zones and building types suggest that the results will carry over to Pennsylvania</w:t>
      </w:r>
      <w:r>
        <w:rPr>
          <w:rStyle w:val="FootnoteReference"/>
        </w:rPr>
        <w:footnoteReference w:id="241"/>
      </w:r>
      <w:r w:rsidRPr="00D74EB9">
        <w:t>.</w:t>
      </w:r>
    </w:p>
    <w:p w:rsidR="00B20792" w:rsidRPr="001C39C9" w:rsidRDefault="00B20792" w:rsidP="00B20792">
      <w:pPr>
        <w:tabs>
          <w:tab w:val="left" w:pos="720"/>
        </w:tabs>
        <w:spacing w:before="120"/>
        <w:jc w:val="both"/>
        <w:rPr>
          <w:rFonts w:cs="Arial"/>
        </w:rPr>
      </w:pPr>
    </w:p>
    <w:p w:rsidR="00B20792" w:rsidRDefault="002C3BC5" w:rsidP="00B20792">
      <w:pPr>
        <w:pStyle w:val="BodyTextIndent2"/>
        <w:keepNext/>
        <w:spacing w:before="240"/>
        <w:ind w:left="0"/>
      </w:pPr>
      <w:r>
        <w:rPr>
          <w:rFonts w:cs="Arial"/>
          <w:b/>
          <w:noProof/>
        </w:rPr>
        <w:drawing>
          <wp:inline distT="0" distB="0" distL="0" distR="0">
            <wp:extent cx="5486400" cy="2352675"/>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486400" cy="2352675"/>
                    </a:xfrm>
                    <a:prstGeom prst="rect">
                      <a:avLst/>
                    </a:prstGeom>
                    <a:noFill/>
                    <a:ln>
                      <a:noFill/>
                    </a:ln>
                  </pic:spPr>
                </pic:pic>
              </a:graphicData>
            </a:graphic>
          </wp:inline>
        </w:drawing>
      </w:r>
    </w:p>
    <w:p w:rsidR="00B20792" w:rsidRDefault="00B20792" w:rsidP="00B20792">
      <w:pPr>
        <w:pStyle w:val="Caption"/>
      </w:pPr>
      <w:bookmarkStart w:id="1311" w:name="_Ref302741376"/>
      <w:r>
        <w:t xml:space="preserve">Figure </w:t>
      </w:r>
      <w:r w:rsidR="007A1FB6">
        <w:fldChar w:fldCharType="begin"/>
      </w:r>
      <w:r w:rsidR="008B139C">
        <w:instrText xml:space="preserve"> STYLEREF 1 \s </w:instrText>
      </w:r>
      <w:r w:rsidR="007A1FB6">
        <w:fldChar w:fldCharType="separate"/>
      </w:r>
      <w:r w:rsidR="00C0292F">
        <w:rPr>
          <w:noProof/>
        </w:rPr>
        <w:t>3</w:t>
      </w:r>
      <w:r w:rsidR="007A1FB6">
        <w:fldChar w:fldCharType="end"/>
      </w:r>
      <w:r w:rsidR="008B139C">
        <w:noBreakHyphen/>
      </w:r>
      <w:r w:rsidR="007A1FB6">
        <w:fldChar w:fldCharType="begin"/>
      </w:r>
      <w:r w:rsidR="008B139C">
        <w:instrText xml:space="preserve"> SEQ Figure \* ARABIC \s 1 </w:instrText>
      </w:r>
      <w:r w:rsidR="007A1FB6">
        <w:fldChar w:fldCharType="separate"/>
      </w:r>
      <w:r w:rsidR="00C0292F">
        <w:rPr>
          <w:noProof/>
        </w:rPr>
        <w:t>4</w:t>
      </w:r>
      <w:r w:rsidR="007A1FB6">
        <w:fldChar w:fldCharType="end"/>
      </w:r>
      <w:bookmarkEnd w:id="1311"/>
      <w:r>
        <w:t xml:space="preserve">: </w:t>
      </w:r>
      <w:r w:rsidRPr="004E3CF4">
        <w:t>Load shapes for hot water in four commercial building types</w:t>
      </w:r>
    </w:p>
    <w:p w:rsidR="00F05DC2" w:rsidRPr="00F05DC2" w:rsidRDefault="00F05DC2" w:rsidP="00F05DC2"/>
    <w:p w:rsidR="00B20792" w:rsidRDefault="002C3BC5" w:rsidP="00B20792">
      <w:pPr>
        <w:keepNext/>
        <w:tabs>
          <w:tab w:val="left" w:pos="720"/>
        </w:tabs>
        <w:spacing w:before="120"/>
        <w:jc w:val="both"/>
      </w:pPr>
      <w:r>
        <w:rPr>
          <w:rFonts w:cs="Arial"/>
          <w:b/>
          <w:noProof/>
        </w:rPr>
        <w:drawing>
          <wp:inline distT="0" distB="0" distL="0" distR="0">
            <wp:extent cx="5486400" cy="2905125"/>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86400" cy="2905125"/>
                    </a:xfrm>
                    <a:prstGeom prst="rect">
                      <a:avLst/>
                    </a:prstGeom>
                    <a:noFill/>
                    <a:ln>
                      <a:noFill/>
                    </a:ln>
                  </pic:spPr>
                </pic:pic>
              </a:graphicData>
            </a:graphic>
          </wp:inline>
        </w:drawing>
      </w:r>
    </w:p>
    <w:p w:rsidR="00B20792" w:rsidRDefault="00B20792" w:rsidP="00B20792">
      <w:pPr>
        <w:pStyle w:val="Caption"/>
      </w:pPr>
      <w:bookmarkStart w:id="1312" w:name="_Ref302741381"/>
      <w:r>
        <w:t xml:space="preserve">Figure </w:t>
      </w:r>
      <w:r w:rsidR="007A1FB6">
        <w:fldChar w:fldCharType="begin"/>
      </w:r>
      <w:r w:rsidR="008B139C">
        <w:instrText xml:space="preserve"> STYLEREF 1 \s </w:instrText>
      </w:r>
      <w:r w:rsidR="007A1FB6">
        <w:fldChar w:fldCharType="separate"/>
      </w:r>
      <w:r w:rsidR="00C0292F">
        <w:rPr>
          <w:noProof/>
        </w:rPr>
        <w:t>3</w:t>
      </w:r>
      <w:r w:rsidR="007A1FB6">
        <w:fldChar w:fldCharType="end"/>
      </w:r>
      <w:r w:rsidR="008B139C">
        <w:noBreakHyphen/>
      </w:r>
      <w:r w:rsidR="007A1FB6">
        <w:fldChar w:fldCharType="begin"/>
      </w:r>
      <w:r w:rsidR="008B139C">
        <w:instrText xml:space="preserve"> SEQ Figure \* ARABIC \s 1 </w:instrText>
      </w:r>
      <w:r w:rsidR="007A1FB6">
        <w:fldChar w:fldCharType="separate"/>
      </w:r>
      <w:r w:rsidR="00C0292F">
        <w:rPr>
          <w:noProof/>
        </w:rPr>
        <w:t>5</w:t>
      </w:r>
      <w:r w:rsidR="007A1FB6">
        <w:fldChar w:fldCharType="end"/>
      </w:r>
      <w:bookmarkEnd w:id="1312"/>
      <w:r>
        <w:t xml:space="preserve">: </w:t>
      </w:r>
      <w:r w:rsidRPr="00794000">
        <w:t>Energy to demand factors for four commercial building types</w:t>
      </w:r>
    </w:p>
    <w:p w:rsidR="00B20792" w:rsidRDefault="00B20792" w:rsidP="00F05DC2">
      <w:pPr>
        <w:pStyle w:val="Heading4"/>
      </w:pPr>
      <w:r w:rsidRPr="0018460E">
        <w:t>Resistive Heating Discount Factor</w:t>
      </w:r>
    </w:p>
    <w:p w:rsidR="00B20792" w:rsidRPr="00215AC7" w:rsidRDefault="00B20792" w:rsidP="00B20792">
      <w:r w:rsidRPr="00215AC7">
        <w:t xml:space="preserve">The resistive heating discount factor is an attempt to account for possible increased reliance on back-up resistive heating elements during peak usage conditions.  Although a brief literature review failed to find data that may lead to a quantitative adjustment, two elements of the demand reduction calculation are worth considering.  </w:t>
      </w:r>
    </w:p>
    <w:p w:rsidR="00B20792" w:rsidRPr="0018460E" w:rsidRDefault="00B20792" w:rsidP="0005632A">
      <w:pPr>
        <w:numPr>
          <w:ilvl w:val="0"/>
          <w:numId w:val="95"/>
        </w:numPr>
        <w:spacing w:after="60"/>
        <w:rPr>
          <w:rFonts w:cs="Arial"/>
        </w:rPr>
      </w:pPr>
      <w:r w:rsidRPr="0018460E">
        <w:rPr>
          <w:rFonts w:cs="Arial"/>
        </w:rPr>
        <w:t xml:space="preserve">The hot water temperature in this calculation is somewhat conservative at 120 °F.  </w:t>
      </w:r>
    </w:p>
    <w:p w:rsidR="00B20792" w:rsidRPr="0018460E" w:rsidRDefault="00B20792" w:rsidP="0005632A">
      <w:pPr>
        <w:numPr>
          <w:ilvl w:val="0"/>
          <w:numId w:val="95"/>
        </w:numPr>
        <w:spacing w:after="60"/>
        <w:rPr>
          <w:rFonts w:cs="Arial"/>
        </w:rPr>
      </w:pPr>
      <w:r w:rsidRPr="0018460E">
        <w:rPr>
          <w:rFonts w:cs="Arial"/>
        </w:rPr>
        <w:t>The peak usage window is eight hours long.</w:t>
      </w:r>
    </w:p>
    <w:p w:rsidR="00B20792" w:rsidRPr="0018460E" w:rsidRDefault="00B20792" w:rsidP="0005632A">
      <w:pPr>
        <w:numPr>
          <w:ilvl w:val="0"/>
          <w:numId w:val="95"/>
        </w:numPr>
        <w:spacing w:after="60"/>
        <w:rPr>
          <w:rFonts w:cs="Arial"/>
        </w:rPr>
      </w:pPr>
      <w:r w:rsidRPr="0018460E">
        <w:rPr>
          <w:rFonts w:cs="Arial"/>
        </w:rPr>
        <w:t>In conditioned space, heat pump capacity is somewhat higher in the peak summer window.</w:t>
      </w:r>
    </w:p>
    <w:p w:rsidR="00B20792" w:rsidRPr="00467E21" w:rsidRDefault="00B20792" w:rsidP="0005632A">
      <w:pPr>
        <w:numPr>
          <w:ilvl w:val="0"/>
          <w:numId w:val="95"/>
        </w:numPr>
        <w:spacing w:after="60"/>
        <w:rPr>
          <w:rFonts w:cs="Arial"/>
        </w:rPr>
      </w:pPr>
      <w:r w:rsidRPr="0018460E">
        <w:rPr>
          <w:rFonts w:cs="Arial"/>
        </w:rPr>
        <w:t>In unconditioned space, heat pump capacity is dramatically higher in the peak summer window.</w:t>
      </w:r>
    </w:p>
    <w:p w:rsidR="00B20792" w:rsidRPr="00215AC7" w:rsidRDefault="00B20792" w:rsidP="00B20792">
      <w:pPr>
        <w:rPr>
          <w:rFonts w:cs="Arial"/>
        </w:rPr>
      </w:pPr>
      <w:r w:rsidRPr="00215AC7">
        <w:rPr>
          <w:rFonts w:cs="Arial"/>
        </w:rPr>
        <w:t>Under these operating conditions, one would expect a properly sized heat pump water heater with adequate storage capacity to require minimal reliance on resistive heating elements.</w:t>
      </w:r>
      <w:r>
        <w:rPr>
          <w:rFonts w:cs="Arial"/>
        </w:rPr>
        <w:t xml:space="preserve"> </w:t>
      </w:r>
      <w:r w:rsidRPr="00215AC7">
        <w:rPr>
          <w:rFonts w:cs="Arial"/>
        </w:rPr>
        <w:t>A resistive heating discount factor of 0.9, corresponding to a 10% reduction in COP during peak times, is therefore taken as a conservative estimation for this adjustment.</w:t>
      </w:r>
    </w:p>
    <w:p w:rsidR="00B20792" w:rsidRPr="0018460E" w:rsidRDefault="00B20792" w:rsidP="00F05DC2">
      <w:pPr>
        <w:pStyle w:val="Heading4"/>
      </w:pPr>
      <w:r w:rsidRPr="0018460E">
        <w:t>Heat Pump COP Adjustment Factor</w:t>
      </w:r>
    </w:p>
    <w:p w:rsidR="00B20792" w:rsidRPr="0018460E" w:rsidRDefault="00B20792" w:rsidP="0026770C">
      <w:r w:rsidRPr="0018460E">
        <w:t>The Energy Factors are determined from a DOE testing procedure that is carried out at 56 °F wetbulb temperature. However, the average wetbulb temperature in PA is closer to 45 °F</w:t>
      </w:r>
      <w:r>
        <w:rPr>
          <w:rStyle w:val="FootnoteReference"/>
        </w:rPr>
        <w:footnoteReference w:id="242"/>
      </w:r>
      <w:r w:rsidRPr="0018460E">
        <w:t xml:space="preserve">, while the average wetbulb temperature in conditioned typically ranges from 50 °F to 80 °F.  The heat pump performance is temperature dependent.  </w:t>
      </w:r>
      <w:r w:rsidR="007A1FB6">
        <w:fldChar w:fldCharType="begin"/>
      </w:r>
      <w:r w:rsidR="0026770C">
        <w:instrText xml:space="preserve"> REF _Ref302742662 \h </w:instrText>
      </w:r>
      <w:r w:rsidR="007A1FB6">
        <w:fldChar w:fldCharType="separate"/>
      </w:r>
      <w:r w:rsidR="00C0292F">
        <w:t xml:space="preserve">Figure </w:t>
      </w:r>
      <w:r w:rsidR="00C0292F">
        <w:rPr>
          <w:noProof/>
        </w:rPr>
        <w:t>3</w:t>
      </w:r>
      <w:r w:rsidR="00C0292F">
        <w:noBreakHyphen/>
      </w:r>
      <w:r w:rsidR="00C0292F">
        <w:rPr>
          <w:noProof/>
        </w:rPr>
        <w:t>6</w:t>
      </w:r>
      <w:r w:rsidR="007A1FB6">
        <w:fldChar w:fldCharType="end"/>
      </w:r>
      <w:r w:rsidR="0026770C">
        <w:t xml:space="preserve"> </w:t>
      </w:r>
      <w:r w:rsidRPr="0018460E">
        <w:t>below shows relative coefficient of performance (COP) compared to the COP at rated conditions</w:t>
      </w:r>
      <w:r>
        <w:rPr>
          <w:rStyle w:val="FootnoteReference"/>
        </w:rPr>
        <w:footnoteReference w:id="243"/>
      </w:r>
      <w:r w:rsidRPr="0018460E">
        <w:t>.</w:t>
      </w:r>
      <w:r>
        <w:t xml:space="preserve"> </w:t>
      </w:r>
      <w:r w:rsidRPr="0018460E">
        <w:t>According to the plotted profile, the following adjustments are recommended.</w:t>
      </w:r>
    </w:p>
    <w:p w:rsidR="00B20792" w:rsidRDefault="00B20792" w:rsidP="00B20792">
      <w:pPr>
        <w:pStyle w:val="Caption"/>
      </w:pPr>
      <w:bookmarkStart w:id="1313" w:name="_Toc310875642"/>
      <w:r>
        <w:t xml:space="preserve">Table </w:t>
      </w:r>
      <w:r w:rsidR="00274AB1">
        <w:fldChar w:fldCharType="begin"/>
      </w:r>
      <w:r w:rsidR="00274AB1">
        <w:instrText xml:space="preserve"> STYLEREF </w:instrText>
      </w:r>
      <w:r w:rsidR="00274AB1">
        <w:instrText xml:space="preserve">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90</w:t>
      </w:r>
      <w:r w:rsidR="00274AB1">
        <w:rPr>
          <w:noProof/>
        </w:rPr>
        <w:fldChar w:fldCharType="end"/>
      </w:r>
      <w:r>
        <w:t xml:space="preserve">: </w:t>
      </w:r>
      <w:r w:rsidRPr="003B4389">
        <w:t>COP Adjustment Factors</w:t>
      </w:r>
      <w:bookmarkEnd w:id="1313"/>
    </w:p>
    <w:tbl>
      <w:tblPr>
        <w:tblW w:w="36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1899"/>
        <w:gridCol w:w="2339"/>
      </w:tblGrid>
      <w:tr w:rsidR="00B20792" w:rsidRPr="00DC57D4" w:rsidTr="00B20792">
        <w:trPr>
          <w:trHeight w:val="374"/>
          <w:jc w:val="center"/>
        </w:trPr>
        <w:tc>
          <w:tcPr>
            <w:tcW w:w="1748" w:type="pct"/>
            <w:tcBorders>
              <w:top w:val="single" w:sz="4" w:space="0" w:color="auto"/>
              <w:left w:val="single" w:sz="4" w:space="0" w:color="auto"/>
              <w:bottom w:val="single" w:sz="4" w:space="0" w:color="auto"/>
              <w:right w:val="single" w:sz="4" w:space="0" w:color="auto"/>
              <w:tl2br w:val="nil"/>
              <w:tr2bl w:val="nil"/>
            </w:tcBorders>
            <w:shd w:val="clear" w:color="auto" w:fill="BFBFBF"/>
          </w:tcPr>
          <w:p w:rsidR="00B20792" w:rsidRPr="001D6512" w:rsidRDefault="00B20792" w:rsidP="00B20792">
            <w:pPr>
              <w:pStyle w:val="TableCell"/>
              <w:spacing w:before="60" w:after="60"/>
              <w:rPr>
                <w:b/>
                <w:szCs w:val="18"/>
              </w:rPr>
            </w:pPr>
            <w:r w:rsidRPr="001D6512">
              <w:rPr>
                <w:rFonts w:cs="Arial"/>
                <w:b/>
                <w:szCs w:val="18"/>
              </w:rPr>
              <w:t>Heat Pump Placement</w:t>
            </w:r>
          </w:p>
        </w:tc>
        <w:tc>
          <w:tcPr>
            <w:tcW w:w="1457" w:type="pct"/>
            <w:tcBorders>
              <w:top w:val="single" w:sz="4" w:space="0" w:color="auto"/>
              <w:left w:val="single" w:sz="4" w:space="0" w:color="auto"/>
              <w:bottom w:val="single" w:sz="4" w:space="0" w:color="auto"/>
              <w:right w:val="single" w:sz="4" w:space="0" w:color="auto"/>
              <w:tl2br w:val="nil"/>
              <w:tr2bl w:val="nil"/>
            </w:tcBorders>
            <w:shd w:val="clear" w:color="auto" w:fill="BFBFBF"/>
          </w:tcPr>
          <w:p w:rsidR="00B20792" w:rsidRPr="001D6512" w:rsidRDefault="00B20792" w:rsidP="00B20792">
            <w:pPr>
              <w:pStyle w:val="TableCell"/>
              <w:spacing w:before="60" w:after="60"/>
              <w:rPr>
                <w:b/>
                <w:szCs w:val="18"/>
              </w:rPr>
            </w:pPr>
            <w:r w:rsidRPr="001D6512">
              <w:rPr>
                <w:rFonts w:cs="Arial"/>
                <w:b/>
                <w:szCs w:val="18"/>
              </w:rPr>
              <w:t>Typical WB Temperature °F</w:t>
            </w:r>
          </w:p>
        </w:tc>
        <w:tc>
          <w:tcPr>
            <w:tcW w:w="1795" w:type="pct"/>
            <w:tcBorders>
              <w:top w:val="single" w:sz="4" w:space="0" w:color="auto"/>
              <w:left w:val="single" w:sz="4" w:space="0" w:color="auto"/>
              <w:bottom w:val="single" w:sz="4" w:space="0" w:color="auto"/>
              <w:right w:val="single" w:sz="4" w:space="0" w:color="auto"/>
              <w:tl2br w:val="nil"/>
              <w:tr2bl w:val="nil"/>
            </w:tcBorders>
            <w:shd w:val="clear" w:color="auto" w:fill="BFBFBF"/>
          </w:tcPr>
          <w:p w:rsidR="00B20792" w:rsidRPr="001D6512" w:rsidRDefault="00B20792" w:rsidP="00B20792">
            <w:pPr>
              <w:pStyle w:val="TableCell"/>
              <w:spacing w:before="60" w:after="60"/>
              <w:rPr>
                <w:b/>
                <w:szCs w:val="18"/>
              </w:rPr>
            </w:pPr>
            <w:r w:rsidRPr="001D6512">
              <w:rPr>
                <w:rFonts w:cs="Arial"/>
                <w:b/>
                <w:szCs w:val="18"/>
              </w:rPr>
              <w:t>COP Adjustment Factor</w:t>
            </w:r>
          </w:p>
        </w:tc>
      </w:tr>
      <w:tr w:rsidR="00B20792" w:rsidRPr="00DC57D4" w:rsidTr="00B20792">
        <w:trPr>
          <w:trHeight w:val="374"/>
          <w:jc w:val="center"/>
        </w:trPr>
        <w:tc>
          <w:tcPr>
            <w:tcW w:w="1748" w:type="pct"/>
            <w:vAlign w:val="center"/>
          </w:tcPr>
          <w:p w:rsidR="00B20792" w:rsidRPr="001D6512" w:rsidRDefault="00B20792" w:rsidP="00B20792">
            <w:pPr>
              <w:pStyle w:val="Title"/>
              <w:jc w:val="left"/>
              <w:rPr>
                <w:rFonts w:ascii="Arial" w:hAnsi="Arial" w:cs="Arial"/>
                <w:b w:val="0"/>
                <w:sz w:val="18"/>
                <w:szCs w:val="18"/>
              </w:rPr>
            </w:pPr>
            <w:r w:rsidRPr="001D6512">
              <w:rPr>
                <w:rFonts w:ascii="Arial" w:hAnsi="Arial" w:cs="Arial"/>
                <w:b w:val="0"/>
                <w:sz w:val="18"/>
                <w:szCs w:val="18"/>
              </w:rPr>
              <w:t>Unconditioned Space</w:t>
            </w:r>
          </w:p>
        </w:tc>
        <w:tc>
          <w:tcPr>
            <w:tcW w:w="1457" w:type="pct"/>
          </w:tcPr>
          <w:p w:rsidR="00B20792" w:rsidRPr="001D6512" w:rsidRDefault="00B20792" w:rsidP="00B20792">
            <w:pPr>
              <w:pStyle w:val="TableCell"/>
              <w:spacing w:before="60" w:after="60"/>
              <w:rPr>
                <w:color w:val="000000"/>
              </w:rPr>
            </w:pPr>
            <w:r w:rsidRPr="001D6512">
              <w:rPr>
                <w:color w:val="000000"/>
              </w:rPr>
              <w:t>44</w:t>
            </w:r>
          </w:p>
        </w:tc>
        <w:tc>
          <w:tcPr>
            <w:tcW w:w="1795" w:type="pct"/>
          </w:tcPr>
          <w:p w:rsidR="00B20792" w:rsidRPr="001D6512" w:rsidRDefault="00B20792" w:rsidP="00B20792">
            <w:pPr>
              <w:pStyle w:val="TableCell"/>
              <w:spacing w:before="60" w:after="60"/>
              <w:rPr>
                <w:color w:val="000000"/>
              </w:rPr>
            </w:pPr>
            <w:r w:rsidRPr="001D6512">
              <w:rPr>
                <w:color w:val="000000"/>
              </w:rPr>
              <w:t xml:space="preserve"> 0.80 </w:t>
            </w:r>
          </w:p>
        </w:tc>
      </w:tr>
      <w:tr w:rsidR="00B20792" w:rsidRPr="00DC57D4" w:rsidTr="00B20792">
        <w:trPr>
          <w:trHeight w:val="374"/>
          <w:jc w:val="center"/>
        </w:trPr>
        <w:tc>
          <w:tcPr>
            <w:tcW w:w="1748" w:type="pct"/>
            <w:vAlign w:val="center"/>
          </w:tcPr>
          <w:p w:rsidR="00B20792" w:rsidRPr="001D6512" w:rsidRDefault="00B20792" w:rsidP="00B20792">
            <w:pPr>
              <w:pStyle w:val="Title"/>
              <w:jc w:val="left"/>
              <w:rPr>
                <w:rFonts w:ascii="Arial" w:hAnsi="Arial" w:cs="Arial"/>
                <w:b w:val="0"/>
                <w:color w:val="000000"/>
                <w:sz w:val="18"/>
                <w:szCs w:val="18"/>
              </w:rPr>
            </w:pPr>
            <w:r w:rsidRPr="001D6512">
              <w:rPr>
                <w:rFonts w:ascii="Arial" w:hAnsi="Arial" w:cs="Arial"/>
                <w:b w:val="0"/>
                <w:sz w:val="18"/>
                <w:szCs w:val="18"/>
              </w:rPr>
              <w:t>Conditioned Space</w:t>
            </w:r>
          </w:p>
        </w:tc>
        <w:tc>
          <w:tcPr>
            <w:tcW w:w="1457" w:type="pct"/>
          </w:tcPr>
          <w:p w:rsidR="00B20792" w:rsidRPr="001D6512" w:rsidRDefault="00B20792" w:rsidP="00B20792">
            <w:pPr>
              <w:pStyle w:val="TableCell"/>
              <w:spacing w:before="60" w:after="60"/>
              <w:rPr>
                <w:color w:val="000000"/>
              </w:rPr>
            </w:pPr>
            <w:r w:rsidRPr="001D6512">
              <w:rPr>
                <w:color w:val="000000"/>
              </w:rPr>
              <w:t>63</w:t>
            </w:r>
          </w:p>
        </w:tc>
        <w:tc>
          <w:tcPr>
            <w:tcW w:w="1795" w:type="pct"/>
          </w:tcPr>
          <w:p w:rsidR="00B20792" w:rsidRPr="001D6512" w:rsidRDefault="00B20792" w:rsidP="00B20792">
            <w:pPr>
              <w:pStyle w:val="TableCell"/>
              <w:spacing w:before="60" w:after="60"/>
              <w:rPr>
                <w:color w:val="000000"/>
              </w:rPr>
            </w:pPr>
            <w:r w:rsidRPr="001D6512">
              <w:rPr>
                <w:color w:val="000000"/>
              </w:rPr>
              <w:t xml:space="preserve">1.09 </w:t>
            </w:r>
          </w:p>
        </w:tc>
      </w:tr>
      <w:tr w:rsidR="00B20792" w:rsidRPr="00DC57D4" w:rsidTr="00B20792">
        <w:trPr>
          <w:trHeight w:val="374"/>
          <w:jc w:val="center"/>
        </w:trPr>
        <w:tc>
          <w:tcPr>
            <w:tcW w:w="1748" w:type="pct"/>
            <w:vAlign w:val="center"/>
          </w:tcPr>
          <w:p w:rsidR="00B20792" w:rsidRPr="001D6512" w:rsidRDefault="00B20792" w:rsidP="00B20792">
            <w:pPr>
              <w:pStyle w:val="Title"/>
              <w:jc w:val="left"/>
              <w:rPr>
                <w:rFonts w:ascii="Arial" w:hAnsi="Arial" w:cs="Arial"/>
                <w:b w:val="0"/>
                <w:color w:val="000000"/>
                <w:sz w:val="18"/>
                <w:szCs w:val="18"/>
              </w:rPr>
            </w:pPr>
            <w:r w:rsidRPr="001D6512">
              <w:rPr>
                <w:rFonts w:ascii="Arial" w:hAnsi="Arial" w:cs="Arial"/>
                <w:b w:val="0"/>
                <w:sz w:val="18"/>
                <w:szCs w:val="18"/>
              </w:rPr>
              <w:t>Kitchen</w:t>
            </w:r>
          </w:p>
        </w:tc>
        <w:tc>
          <w:tcPr>
            <w:tcW w:w="1457" w:type="pct"/>
          </w:tcPr>
          <w:p w:rsidR="00B20792" w:rsidRPr="001D6512" w:rsidRDefault="00B20792" w:rsidP="00B20792">
            <w:pPr>
              <w:pStyle w:val="TableCell"/>
              <w:spacing w:before="60" w:after="60"/>
              <w:rPr>
                <w:color w:val="000000"/>
              </w:rPr>
            </w:pPr>
            <w:r w:rsidRPr="001D6512">
              <w:rPr>
                <w:color w:val="000000"/>
              </w:rPr>
              <w:t>80</w:t>
            </w:r>
          </w:p>
        </w:tc>
        <w:tc>
          <w:tcPr>
            <w:tcW w:w="1795" w:type="pct"/>
          </w:tcPr>
          <w:p w:rsidR="00B20792" w:rsidRPr="001D6512" w:rsidRDefault="00B20792" w:rsidP="00B20792">
            <w:pPr>
              <w:pStyle w:val="TableCell"/>
              <w:spacing w:before="60" w:after="60"/>
              <w:rPr>
                <w:color w:val="000000"/>
              </w:rPr>
            </w:pPr>
            <w:r w:rsidRPr="001D6512">
              <w:rPr>
                <w:color w:val="000000"/>
              </w:rPr>
              <w:t xml:space="preserve">1.30 </w:t>
            </w:r>
          </w:p>
        </w:tc>
      </w:tr>
    </w:tbl>
    <w:p w:rsidR="00B20792" w:rsidRPr="0018460E" w:rsidRDefault="00B20792" w:rsidP="00B20792">
      <w:pPr>
        <w:tabs>
          <w:tab w:val="left" w:pos="720"/>
        </w:tabs>
        <w:spacing w:before="240"/>
        <w:jc w:val="both"/>
        <w:rPr>
          <w:rFonts w:cs="Arial"/>
          <w:b/>
        </w:rPr>
      </w:pPr>
    </w:p>
    <w:p w:rsidR="00B20792" w:rsidRDefault="002C3BC5" w:rsidP="00B20792">
      <w:pPr>
        <w:keepNext/>
        <w:tabs>
          <w:tab w:val="left" w:pos="720"/>
        </w:tabs>
        <w:spacing w:before="120"/>
        <w:jc w:val="both"/>
      </w:pPr>
      <w:r>
        <w:rPr>
          <w:rFonts w:cs="Arial"/>
          <w:noProof/>
        </w:rPr>
        <w:drawing>
          <wp:inline distT="0" distB="0" distL="0" distR="0">
            <wp:extent cx="5467350" cy="2828925"/>
            <wp:effectExtent l="0" t="0" r="0" b="9525"/>
            <wp:docPr id="1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67350" cy="2828925"/>
                    </a:xfrm>
                    <a:prstGeom prst="rect">
                      <a:avLst/>
                    </a:prstGeom>
                    <a:noFill/>
                    <a:ln>
                      <a:noFill/>
                    </a:ln>
                  </pic:spPr>
                </pic:pic>
              </a:graphicData>
            </a:graphic>
          </wp:inline>
        </w:drawing>
      </w:r>
    </w:p>
    <w:p w:rsidR="00B20792" w:rsidRDefault="00B20792" w:rsidP="00B20792">
      <w:pPr>
        <w:pStyle w:val="Caption"/>
        <w:rPr>
          <w:sz w:val="22"/>
        </w:rPr>
      </w:pPr>
      <w:bookmarkStart w:id="1314" w:name="_Ref302742662"/>
      <w:bookmarkStart w:id="1315" w:name="_Ref297042429"/>
      <w:r>
        <w:t xml:space="preserve">Figure </w:t>
      </w:r>
      <w:r w:rsidR="007A1FB6">
        <w:fldChar w:fldCharType="begin"/>
      </w:r>
      <w:r w:rsidR="008B139C">
        <w:instrText xml:space="preserve"> STYLEREF 1 \s </w:instrText>
      </w:r>
      <w:r w:rsidR="007A1FB6">
        <w:fldChar w:fldCharType="separate"/>
      </w:r>
      <w:r w:rsidR="00C0292F">
        <w:rPr>
          <w:noProof/>
        </w:rPr>
        <w:t>3</w:t>
      </w:r>
      <w:r w:rsidR="007A1FB6">
        <w:fldChar w:fldCharType="end"/>
      </w:r>
      <w:r w:rsidR="008B139C">
        <w:noBreakHyphen/>
      </w:r>
      <w:r w:rsidR="007A1FB6">
        <w:fldChar w:fldCharType="begin"/>
      </w:r>
      <w:r w:rsidR="008B139C">
        <w:instrText xml:space="preserve"> SEQ Figure \* ARABIC \s 1 </w:instrText>
      </w:r>
      <w:r w:rsidR="007A1FB6">
        <w:fldChar w:fldCharType="separate"/>
      </w:r>
      <w:r w:rsidR="00C0292F">
        <w:rPr>
          <w:noProof/>
        </w:rPr>
        <w:t>6</w:t>
      </w:r>
      <w:r w:rsidR="007A1FB6">
        <w:fldChar w:fldCharType="end"/>
      </w:r>
      <w:bookmarkEnd w:id="1314"/>
      <w:r>
        <w:t xml:space="preserve">: </w:t>
      </w:r>
      <w:r w:rsidRPr="00E1698A">
        <w:t>Dependence of COP on outdoor wetbulb temperature.</w:t>
      </w:r>
      <w:bookmarkEnd w:id="1315"/>
    </w:p>
    <w:p w:rsidR="00B20792" w:rsidRPr="00C465DB" w:rsidRDefault="00B20792" w:rsidP="00871FA2">
      <w:pPr>
        <w:pStyle w:val="Heading3"/>
      </w:pPr>
      <w:r>
        <w:t>Definition of Terms</w:t>
      </w:r>
    </w:p>
    <w:p w:rsidR="00B20792" w:rsidRDefault="00B20792" w:rsidP="00F05DC2">
      <w:r>
        <w:t xml:space="preserve">The parameters in the above equation are listed in </w:t>
      </w:r>
      <w:r w:rsidR="007A1FB6">
        <w:fldChar w:fldCharType="begin"/>
      </w:r>
      <w:r w:rsidR="00F05DC2">
        <w:instrText xml:space="preserve"> REF _Ref302741478 \h </w:instrText>
      </w:r>
      <w:r w:rsidR="007A1FB6">
        <w:fldChar w:fldCharType="separate"/>
      </w:r>
      <w:r w:rsidR="00C0292F">
        <w:t xml:space="preserve">Table </w:t>
      </w:r>
      <w:r w:rsidR="00C0292F">
        <w:rPr>
          <w:noProof/>
        </w:rPr>
        <w:t>3</w:t>
      </w:r>
      <w:r w:rsidR="00C0292F">
        <w:noBreakHyphen/>
      </w:r>
      <w:r w:rsidR="00C0292F">
        <w:rPr>
          <w:noProof/>
        </w:rPr>
        <w:t>91</w:t>
      </w:r>
      <w:r w:rsidR="007A1FB6">
        <w:fldChar w:fldCharType="end"/>
      </w:r>
      <w:r>
        <w:t>.</w:t>
      </w:r>
    </w:p>
    <w:p w:rsidR="00B20792" w:rsidRDefault="00B20792" w:rsidP="00B20792">
      <w:pPr>
        <w:pStyle w:val="Caption"/>
      </w:pPr>
      <w:bookmarkStart w:id="1316" w:name="_Ref302741478"/>
      <w:bookmarkStart w:id="1317" w:name="_Ref297042519"/>
      <w:bookmarkStart w:id="1318" w:name="_Toc310875643"/>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91</w:t>
      </w:r>
      <w:r w:rsidR="00274AB1">
        <w:rPr>
          <w:noProof/>
        </w:rPr>
        <w:fldChar w:fldCharType="end"/>
      </w:r>
      <w:bookmarkEnd w:id="1316"/>
      <w:r>
        <w:t xml:space="preserve">: </w:t>
      </w:r>
      <w:r w:rsidRPr="00DF5457">
        <w:t>Electric Resistance Water Heater Calculation Assumptions</w:t>
      </w:r>
      <w:bookmarkEnd w:id="1317"/>
      <w:bookmarkEnd w:id="13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261"/>
        <w:gridCol w:w="1709"/>
        <w:gridCol w:w="1638"/>
      </w:tblGrid>
      <w:tr w:rsidR="00B20792" w:rsidRPr="006E0899" w:rsidTr="00B20792">
        <w:trPr>
          <w:trHeight w:val="374"/>
          <w:jc w:val="center"/>
        </w:trPr>
        <w:tc>
          <w:tcPr>
            <w:tcW w:w="2398" w:type="pct"/>
            <w:shd w:val="clear" w:color="auto" w:fill="BFBFBF"/>
          </w:tcPr>
          <w:p w:rsidR="00B20792" w:rsidRPr="001D6512" w:rsidRDefault="00B20792" w:rsidP="00B20792">
            <w:pPr>
              <w:pStyle w:val="TableCell"/>
              <w:spacing w:before="60" w:after="60"/>
              <w:rPr>
                <w:rFonts w:cs="Arial"/>
                <w:b/>
              </w:rPr>
            </w:pPr>
            <w:r w:rsidRPr="001D6512">
              <w:rPr>
                <w:rFonts w:cs="Arial"/>
                <w:b/>
              </w:rPr>
              <w:t>Component</w:t>
            </w:r>
          </w:p>
        </w:tc>
        <w:tc>
          <w:tcPr>
            <w:tcW w:w="712" w:type="pct"/>
            <w:shd w:val="clear" w:color="auto" w:fill="BFBFBF"/>
          </w:tcPr>
          <w:p w:rsidR="00B20792" w:rsidRPr="001D6512" w:rsidRDefault="00B20792" w:rsidP="00B20792">
            <w:pPr>
              <w:pStyle w:val="TableCell"/>
              <w:spacing w:before="60" w:after="60"/>
              <w:rPr>
                <w:rFonts w:cs="Arial"/>
                <w:b/>
              </w:rPr>
            </w:pPr>
            <w:r w:rsidRPr="001D6512">
              <w:rPr>
                <w:rFonts w:cs="Arial"/>
                <w:b/>
              </w:rPr>
              <w:t>Type</w:t>
            </w:r>
          </w:p>
        </w:tc>
        <w:tc>
          <w:tcPr>
            <w:tcW w:w="965" w:type="pct"/>
            <w:shd w:val="clear" w:color="auto" w:fill="BFBFBF"/>
          </w:tcPr>
          <w:p w:rsidR="00B20792" w:rsidRPr="001D6512" w:rsidRDefault="00B20792" w:rsidP="00B20792">
            <w:pPr>
              <w:pStyle w:val="TableCell"/>
              <w:spacing w:before="60" w:after="60"/>
              <w:rPr>
                <w:rFonts w:cs="Arial"/>
                <w:b/>
              </w:rPr>
            </w:pPr>
            <w:r w:rsidRPr="001D6512">
              <w:rPr>
                <w:rFonts w:cs="Arial"/>
                <w:b/>
              </w:rPr>
              <w:t>Values</w:t>
            </w:r>
          </w:p>
        </w:tc>
        <w:tc>
          <w:tcPr>
            <w:tcW w:w="925" w:type="pct"/>
            <w:shd w:val="clear" w:color="auto" w:fill="BFBFBF"/>
          </w:tcPr>
          <w:p w:rsidR="00B20792" w:rsidRPr="001D6512" w:rsidRDefault="00B20792" w:rsidP="00B20792">
            <w:pPr>
              <w:pStyle w:val="TableCell"/>
              <w:spacing w:before="60" w:after="60"/>
              <w:rPr>
                <w:rFonts w:cs="Arial"/>
                <w:b/>
              </w:rPr>
            </w:pPr>
            <w:r w:rsidRPr="001D6512">
              <w:rPr>
                <w:rFonts w:cs="Arial"/>
                <w:b/>
              </w:rPr>
              <w:t xml:space="preserve">Source </w:t>
            </w:r>
          </w:p>
        </w:tc>
      </w:tr>
      <w:tr w:rsidR="00B20792" w:rsidRPr="006E0899" w:rsidTr="00B20792">
        <w:trPr>
          <w:trHeight w:val="374"/>
          <w:jc w:val="center"/>
        </w:trPr>
        <w:tc>
          <w:tcPr>
            <w:tcW w:w="2398" w:type="pct"/>
            <w:shd w:val="clear" w:color="auto" w:fill="auto"/>
          </w:tcPr>
          <w:p w:rsidR="00B20792" w:rsidRPr="001D6512" w:rsidRDefault="00B20792" w:rsidP="00B20792">
            <w:pPr>
              <w:pStyle w:val="TableCell"/>
              <w:spacing w:before="60" w:after="60"/>
              <w:rPr>
                <w:rFonts w:cs="Arial"/>
                <w:szCs w:val="18"/>
              </w:rPr>
            </w:pPr>
            <w:r w:rsidRPr="001D6512">
              <w:rPr>
                <w:rFonts w:cs="Arial"/>
                <w:szCs w:val="18"/>
              </w:rPr>
              <w:t>EF</w:t>
            </w:r>
            <w:r w:rsidRPr="001D6512">
              <w:rPr>
                <w:rFonts w:cs="Arial"/>
                <w:szCs w:val="18"/>
                <w:vertAlign w:val="subscript"/>
              </w:rPr>
              <w:t>base</w:t>
            </w:r>
            <w:r w:rsidRPr="001D6512">
              <w:rPr>
                <w:rFonts w:cs="Arial"/>
                <w:szCs w:val="18"/>
              </w:rPr>
              <w:t>, Energy Factor of baseline water heater</w:t>
            </w:r>
          </w:p>
        </w:tc>
        <w:tc>
          <w:tcPr>
            <w:tcW w:w="712" w:type="pct"/>
            <w:shd w:val="clear" w:color="auto" w:fill="auto"/>
          </w:tcPr>
          <w:p w:rsidR="00B20792" w:rsidRPr="001D6512" w:rsidRDefault="00B20792" w:rsidP="00B20792">
            <w:pPr>
              <w:pStyle w:val="TableCell"/>
              <w:spacing w:before="60" w:after="60"/>
              <w:rPr>
                <w:rFonts w:cs="Arial"/>
                <w:szCs w:val="18"/>
              </w:rPr>
            </w:pPr>
            <w:r w:rsidRPr="001D6512">
              <w:rPr>
                <w:rFonts w:cs="Arial"/>
                <w:szCs w:val="18"/>
              </w:rPr>
              <w:t>Fixed</w:t>
            </w:r>
          </w:p>
        </w:tc>
        <w:tc>
          <w:tcPr>
            <w:tcW w:w="965" w:type="pct"/>
            <w:shd w:val="clear" w:color="auto" w:fill="auto"/>
          </w:tcPr>
          <w:p w:rsidR="00B20792" w:rsidRPr="001D6512" w:rsidRDefault="00B20792" w:rsidP="00B20792">
            <w:pPr>
              <w:pStyle w:val="TableCell"/>
              <w:spacing w:before="60" w:after="60"/>
              <w:rPr>
                <w:rFonts w:cs="Arial"/>
                <w:szCs w:val="18"/>
              </w:rPr>
            </w:pPr>
            <w:r w:rsidRPr="001D6512">
              <w:rPr>
                <w:rFonts w:cs="Arial"/>
                <w:szCs w:val="18"/>
              </w:rPr>
              <w:t>0.90</w:t>
            </w:r>
            <w:r w:rsidR="00F21553" w:rsidRPr="001D6512">
              <w:rPr>
                <w:rFonts w:cs="Arial"/>
                <w:szCs w:val="18"/>
              </w:rPr>
              <w:t>4</w:t>
            </w:r>
          </w:p>
        </w:tc>
        <w:tc>
          <w:tcPr>
            <w:tcW w:w="925" w:type="pct"/>
            <w:shd w:val="clear" w:color="auto" w:fill="auto"/>
          </w:tcPr>
          <w:p w:rsidR="00B20792" w:rsidRPr="001D6512" w:rsidRDefault="00B20792" w:rsidP="00B20792">
            <w:pPr>
              <w:pStyle w:val="TableCell"/>
              <w:spacing w:before="60" w:after="60"/>
              <w:rPr>
                <w:rFonts w:cs="Arial"/>
                <w:szCs w:val="18"/>
              </w:rPr>
            </w:pPr>
            <w:r w:rsidRPr="001D6512">
              <w:rPr>
                <w:rFonts w:cs="Arial"/>
                <w:szCs w:val="18"/>
              </w:rPr>
              <w:t>1</w:t>
            </w:r>
          </w:p>
        </w:tc>
      </w:tr>
      <w:tr w:rsidR="00B20792" w:rsidRPr="006E0899" w:rsidTr="00B20792">
        <w:trPr>
          <w:trHeight w:val="374"/>
          <w:jc w:val="center"/>
        </w:trPr>
        <w:tc>
          <w:tcPr>
            <w:tcW w:w="2398" w:type="pct"/>
            <w:shd w:val="clear" w:color="auto" w:fill="auto"/>
          </w:tcPr>
          <w:p w:rsidR="00B20792" w:rsidRPr="001D6512" w:rsidRDefault="00B20792" w:rsidP="00B20792">
            <w:pPr>
              <w:pStyle w:val="TableCell"/>
              <w:spacing w:before="60" w:after="60"/>
              <w:rPr>
                <w:rFonts w:cs="Arial"/>
                <w:szCs w:val="18"/>
              </w:rPr>
            </w:pPr>
            <w:r w:rsidRPr="001D6512">
              <w:rPr>
                <w:rFonts w:cs="Arial"/>
                <w:szCs w:val="18"/>
              </w:rPr>
              <w:t>EF</w:t>
            </w:r>
            <w:r w:rsidRPr="001D6512">
              <w:rPr>
                <w:rFonts w:cs="Arial"/>
                <w:szCs w:val="18"/>
                <w:vertAlign w:val="subscript"/>
              </w:rPr>
              <w:t>proposed</w:t>
            </w:r>
            <w:r w:rsidRPr="001D6512">
              <w:rPr>
                <w:rFonts w:cs="Arial"/>
                <w:szCs w:val="18"/>
              </w:rPr>
              <w:t>, Energy Factor of proposed efficient water heater</w:t>
            </w:r>
          </w:p>
        </w:tc>
        <w:tc>
          <w:tcPr>
            <w:tcW w:w="712" w:type="pct"/>
            <w:shd w:val="clear" w:color="auto" w:fill="auto"/>
          </w:tcPr>
          <w:p w:rsidR="00B20792" w:rsidRPr="001D6512" w:rsidRDefault="00B20792" w:rsidP="00B20792">
            <w:pPr>
              <w:pStyle w:val="TableCell"/>
              <w:spacing w:before="60" w:after="60"/>
              <w:rPr>
                <w:rFonts w:cs="Arial"/>
                <w:szCs w:val="18"/>
              </w:rPr>
            </w:pPr>
            <w:r w:rsidRPr="001D6512">
              <w:rPr>
                <w:rFonts w:cs="Arial"/>
                <w:szCs w:val="18"/>
              </w:rPr>
              <w:t>Variable</w:t>
            </w:r>
          </w:p>
        </w:tc>
        <w:tc>
          <w:tcPr>
            <w:tcW w:w="965" w:type="pct"/>
            <w:shd w:val="clear" w:color="auto" w:fill="auto"/>
          </w:tcPr>
          <w:p w:rsidR="00B20792" w:rsidRPr="001D6512" w:rsidRDefault="0026770C" w:rsidP="00B20792">
            <w:pPr>
              <w:pStyle w:val="TableCell"/>
              <w:spacing w:before="60" w:after="60"/>
              <w:rPr>
                <w:rFonts w:cs="Arial"/>
                <w:szCs w:val="18"/>
              </w:rPr>
            </w:pPr>
            <w:r w:rsidRPr="001D6512">
              <w:rPr>
                <w:rFonts w:cs="Arial"/>
                <w:szCs w:val="18"/>
              </w:rPr>
              <w:t>Nameplate</w:t>
            </w:r>
          </w:p>
        </w:tc>
        <w:tc>
          <w:tcPr>
            <w:tcW w:w="925" w:type="pct"/>
            <w:shd w:val="clear" w:color="auto" w:fill="auto"/>
          </w:tcPr>
          <w:p w:rsidR="00B20792" w:rsidRPr="001D6512" w:rsidRDefault="0026770C" w:rsidP="00B20792">
            <w:pPr>
              <w:pStyle w:val="TableCell"/>
              <w:spacing w:before="60" w:after="60"/>
              <w:rPr>
                <w:rFonts w:cs="Arial"/>
                <w:szCs w:val="18"/>
              </w:rPr>
            </w:pPr>
            <w:r w:rsidRPr="001D6512">
              <w:rPr>
                <w:rFonts w:cs="Arial"/>
                <w:szCs w:val="18"/>
              </w:rPr>
              <w:t>EDC Data Gathering</w:t>
            </w:r>
          </w:p>
        </w:tc>
      </w:tr>
      <w:tr w:rsidR="00B20792" w:rsidRPr="006E0899" w:rsidTr="00B20792">
        <w:trPr>
          <w:trHeight w:val="374"/>
          <w:jc w:val="center"/>
        </w:trPr>
        <w:tc>
          <w:tcPr>
            <w:tcW w:w="2398" w:type="pct"/>
            <w:shd w:val="clear" w:color="auto" w:fill="auto"/>
          </w:tcPr>
          <w:p w:rsidR="00B20792" w:rsidRPr="001D6512" w:rsidRDefault="00B20792" w:rsidP="00B20792">
            <w:pPr>
              <w:pStyle w:val="TableCell"/>
              <w:spacing w:before="60" w:after="60"/>
              <w:rPr>
                <w:rFonts w:cs="Arial"/>
                <w:szCs w:val="18"/>
              </w:rPr>
            </w:pPr>
            <w:r w:rsidRPr="001D6512">
              <w:rPr>
                <w:rFonts w:cs="Arial"/>
                <w:szCs w:val="18"/>
              </w:rPr>
              <w:t xml:space="preserve">Load, </w:t>
            </w:r>
            <w:r w:rsidR="00A15A70" w:rsidRPr="001D6512">
              <w:rPr>
                <w:rFonts w:cs="Arial"/>
              </w:rPr>
              <w:t>Average annual Load in kBTU</w:t>
            </w:r>
          </w:p>
        </w:tc>
        <w:tc>
          <w:tcPr>
            <w:tcW w:w="712" w:type="pct"/>
            <w:shd w:val="clear" w:color="auto" w:fill="auto"/>
          </w:tcPr>
          <w:p w:rsidR="00B20792" w:rsidRPr="001D6512" w:rsidRDefault="00B20792" w:rsidP="00B20792">
            <w:pPr>
              <w:pStyle w:val="TableCell"/>
              <w:spacing w:before="60" w:after="60"/>
              <w:rPr>
                <w:rFonts w:cs="Arial"/>
                <w:szCs w:val="18"/>
              </w:rPr>
            </w:pPr>
            <w:r w:rsidRPr="001D6512">
              <w:rPr>
                <w:rFonts w:cs="Arial"/>
                <w:szCs w:val="18"/>
              </w:rPr>
              <w:t>Fixed</w:t>
            </w:r>
          </w:p>
        </w:tc>
        <w:tc>
          <w:tcPr>
            <w:tcW w:w="965" w:type="pct"/>
            <w:shd w:val="clear" w:color="auto" w:fill="auto"/>
          </w:tcPr>
          <w:p w:rsidR="00B20792" w:rsidRPr="001D6512" w:rsidRDefault="00B20792" w:rsidP="00B20792">
            <w:pPr>
              <w:pStyle w:val="TableCell"/>
              <w:spacing w:before="60" w:after="60"/>
              <w:rPr>
                <w:rFonts w:cs="Arial"/>
                <w:szCs w:val="18"/>
              </w:rPr>
            </w:pPr>
            <w:r w:rsidRPr="001D6512">
              <w:rPr>
                <w:rFonts w:cs="Arial"/>
                <w:szCs w:val="18"/>
              </w:rPr>
              <w:t>Varies</w:t>
            </w:r>
          </w:p>
        </w:tc>
        <w:tc>
          <w:tcPr>
            <w:tcW w:w="925" w:type="pct"/>
            <w:shd w:val="clear" w:color="auto" w:fill="auto"/>
          </w:tcPr>
          <w:p w:rsidR="00B20792" w:rsidRPr="001D6512" w:rsidRDefault="0026770C" w:rsidP="00B20792">
            <w:pPr>
              <w:pStyle w:val="TableCell"/>
              <w:spacing w:before="60" w:after="60"/>
              <w:rPr>
                <w:rFonts w:cs="Arial"/>
                <w:szCs w:val="18"/>
              </w:rPr>
            </w:pPr>
            <w:r w:rsidRPr="001D6512">
              <w:rPr>
                <w:rFonts w:cs="Arial"/>
                <w:szCs w:val="18"/>
              </w:rPr>
              <w:t>5</w:t>
            </w:r>
          </w:p>
        </w:tc>
      </w:tr>
      <w:tr w:rsidR="00B20792" w:rsidRPr="006E0899" w:rsidTr="00B20792">
        <w:trPr>
          <w:trHeight w:val="374"/>
          <w:jc w:val="center"/>
        </w:trPr>
        <w:tc>
          <w:tcPr>
            <w:tcW w:w="2398" w:type="pct"/>
            <w:shd w:val="clear" w:color="auto" w:fill="auto"/>
          </w:tcPr>
          <w:p w:rsidR="00B20792" w:rsidRPr="001D6512" w:rsidRDefault="00B20792" w:rsidP="00B20792">
            <w:pPr>
              <w:pStyle w:val="TableCell"/>
              <w:spacing w:before="60" w:after="60"/>
              <w:rPr>
                <w:rFonts w:cs="Arial"/>
                <w:szCs w:val="18"/>
              </w:rPr>
            </w:pPr>
            <w:r w:rsidRPr="001D6512">
              <w:rPr>
                <w:rFonts w:cs="Arial"/>
                <w:szCs w:val="18"/>
              </w:rPr>
              <w:t>T</w:t>
            </w:r>
            <w:r w:rsidRPr="001D6512">
              <w:rPr>
                <w:rFonts w:cs="Arial"/>
                <w:szCs w:val="18"/>
                <w:vertAlign w:val="subscript"/>
              </w:rPr>
              <w:t>hot</w:t>
            </w:r>
            <w:r w:rsidRPr="001D6512">
              <w:rPr>
                <w:rFonts w:cs="Arial"/>
                <w:szCs w:val="18"/>
              </w:rPr>
              <w:t>, Temperature of hot water</w:t>
            </w:r>
          </w:p>
        </w:tc>
        <w:tc>
          <w:tcPr>
            <w:tcW w:w="712" w:type="pct"/>
            <w:shd w:val="clear" w:color="auto" w:fill="auto"/>
          </w:tcPr>
          <w:p w:rsidR="00B20792" w:rsidRPr="001D6512" w:rsidRDefault="00B20792" w:rsidP="00B20792">
            <w:pPr>
              <w:pStyle w:val="TableCell"/>
              <w:spacing w:before="60" w:after="60"/>
              <w:rPr>
                <w:rFonts w:cs="Arial"/>
                <w:szCs w:val="18"/>
              </w:rPr>
            </w:pPr>
            <w:r w:rsidRPr="001D6512">
              <w:rPr>
                <w:rFonts w:cs="Arial"/>
                <w:szCs w:val="18"/>
              </w:rPr>
              <w:t>Fixed</w:t>
            </w:r>
          </w:p>
        </w:tc>
        <w:tc>
          <w:tcPr>
            <w:tcW w:w="965" w:type="pct"/>
            <w:shd w:val="clear" w:color="auto" w:fill="auto"/>
          </w:tcPr>
          <w:p w:rsidR="00B20792" w:rsidRPr="001D6512" w:rsidRDefault="00B20792" w:rsidP="00B20792">
            <w:pPr>
              <w:pStyle w:val="TableCell"/>
              <w:spacing w:before="60" w:after="60"/>
              <w:rPr>
                <w:rFonts w:cs="Arial"/>
                <w:szCs w:val="18"/>
              </w:rPr>
            </w:pPr>
            <w:r w:rsidRPr="001D6512">
              <w:rPr>
                <w:rFonts w:cs="Arial"/>
                <w:szCs w:val="18"/>
              </w:rPr>
              <w:t>120 °F</w:t>
            </w:r>
          </w:p>
        </w:tc>
        <w:tc>
          <w:tcPr>
            <w:tcW w:w="925" w:type="pct"/>
            <w:shd w:val="clear" w:color="auto" w:fill="auto"/>
          </w:tcPr>
          <w:p w:rsidR="00B20792" w:rsidRPr="001D6512" w:rsidRDefault="00B20792" w:rsidP="00B20792">
            <w:pPr>
              <w:pStyle w:val="TableCell"/>
              <w:spacing w:before="60" w:after="60"/>
              <w:rPr>
                <w:rFonts w:cs="Arial"/>
                <w:szCs w:val="18"/>
              </w:rPr>
            </w:pPr>
            <w:r w:rsidRPr="001D6512">
              <w:rPr>
                <w:rFonts w:cs="Arial"/>
                <w:szCs w:val="18"/>
              </w:rPr>
              <w:t>2</w:t>
            </w:r>
          </w:p>
        </w:tc>
      </w:tr>
      <w:tr w:rsidR="00B20792" w:rsidRPr="006E0899" w:rsidTr="00B20792">
        <w:trPr>
          <w:trHeight w:val="374"/>
          <w:jc w:val="center"/>
        </w:trPr>
        <w:tc>
          <w:tcPr>
            <w:tcW w:w="2398" w:type="pct"/>
            <w:shd w:val="clear" w:color="auto" w:fill="auto"/>
          </w:tcPr>
          <w:p w:rsidR="00B20792" w:rsidRPr="001D6512" w:rsidRDefault="00B20792" w:rsidP="00B20792">
            <w:pPr>
              <w:pStyle w:val="TableCell"/>
              <w:spacing w:before="60" w:after="60"/>
              <w:rPr>
                <w:rFonts w:cs="Arial"/>
                <w:szCs w:val="18"/>
              </w:rPr>
            </w:pPr>
            <w:r w:rsidRPr="001D6512">
              <w:rPr>
                <w:rFonts w:cs="Arial"/>
                <w:szCs w:val="18"/>
              </w:rPr>
              <w:t>T</w:t>
            </w:r>
            <w:r w:rsidRPr="001D6512">
              <w:rPr>
                <w:rFonts w:cs="Arial"/>
                <w:szCs w:val="18"/>
                <w:vertAlign w:val="subscript"/>
              </w:rPr>
              <w:t>cold</w:t>
            </w:r>
            <w:r w:rsidRPr="001D6512">
              <w:rPr>
                <w:rFonts w:cs="Arial"/>
                <w:szCs w:val="18"/>
              </w:rPr>
              <w:t>, Temperature of cold water supply</w:t>
            </w:r>
          </w:p>
        </w:tc>
        <w:tc>
          <w:tcPr>
            <w:tcW w:w="712" w:type="pct"/>
            <w:shd w:val="clear" w:color="auto" w:fill="auto"/>
          </w:tcPr>
          <w:p w:rsidR="00B20792" w:rsidRPr="001D6512" w:rsidRDefault="00B20792" w:rsidP="00B20792">
            <w:pPr>
              <w:pStyle w:val="TableCell"/>
              <w:spacing w:before="60" w:after="60"/>
              <w:rPr>
                <w:rFonts w:cs="Arial"/>
                <w:szCs w:val="18"/>
              </w:rPr>
            </w:pPr>
            <w:r w:rsidRPr="001D6512">
              <w:rPr>
                <w:rFonts w:cs="Arial"/>
                <w:szCs w:val="18"/>
              </w:rPr>
              <w:t>Fixed</w:t>
            </w:r>
          </w:p>
        </w:tc>
        <w:tc>
          <w:tcPr>
            <w:tcW w:w="965" w:type="pct"/>
            <w:shd w:val="clear" w:color="auto" w:fill="auto"/>
          </w:tcPr>
          <w:p w:rsidR="00B20792" w:rsidRPr="001D6512" w:rsidRDefault="00B20792" w:rsidP="00B20792">
            <w:pPr>
              <w:pStyle w:val="TableCell"/>
              <w:spacing w:before="60" w:after="60"/>
              <w:rPr>
                <w:rFonts w:cs="Arial"/>
                <w:szCs w:val="18"/>
              </w:rPr>
            </w:pPr>
            <w:r w:rsidRPr="001D6512">
              <w:rPr>
                <w:rFonts w:cs="Arial"/>
                <w:szCs w:val="18"/>
              </w:rPr>
              <w:t>55 °F</w:t>
            </w:r>
          </w:p>
        </w:tc>
        <w:tc>
          <w:tcPr>
            <w:tcW w:w="925" w:type="pct"/>
            <w:shd w:val="clear" w:color="auto" w:fill="auto"/>
          </w:tcPr>
          <w:p w:rsidR="00B20792" w:rsidRPr="001D6512" w:rsidRDefault="00B20792" w:rsidP="00B20792">
            <w:pPr>
              <w:pStyle w:val="TableCell"/>
              <w:spacing w:before="60" w:after="60"/>
              <w:rPr>
                <w:rFonts w:cs="Arial"/>
                <w:szCs w:val="18"/>
              </w:rPr>
            </w:pPr>
            <w:r w:rsidRPr="001D6512">
              <w:rPr>
                <w:rFonts w:cs="Arial"/>
                <w:szCs w:val="18"/>
              </w:rPr>
              <w:t>3</w:t>
            </w:r>
          </w:p>
        </w:tc>
      </w:tr>
      <w:tr w:rsidR="00B20792" w:rsidRPr="006E0899" w:rsidTr="00B20792">
        <w:trPr>
          <w:trHeight w:val="374"/>
          <w:jc w:val="center"/>
        </w:trPr>
        <w:tc>
          <w:tcPr>
            <w:tcW w:w="2398" w:type="pct"/>
            <w:shd w:val="clear" w:color="auto" w:fill="auto"/>
          </w:tcPr>
          <w:p w:rsidR="00B20792" w:rsidRPr="001D6512" w:rsidRDefault="00B20792" w:rsidP="00B20792">
            <w:pPr>
              <w:pStyle w:val="TableCell"/>
              <w:spacing w:before="60" w:after="60"/>
              <w:rPr>
                <w:rFonts w:cs="Arial"/>
                <w:szCs w:val="18"/>
              </w:rPr>
            </w:pPr>
            <w:r w:rsidRPr="001D6512">
              <w:rPr>
                <w:rFonts w:cs="Arial"/>
                <w:szCs w:val="18"/>
              </w:rPr>
              <w:t>EnergyToDemandFactor</w:t>
            </w:r>
          </w:p>
        </w:tc>
        <w:tc>
          <w:tcPr>
            <w:tcW w:w="712" w:type="pct"/>
            <w:shd w:val="clear" w:color="auto" w:fill="auto"/>
          </w:tcPr>
          <w:p w:rsidR="00B20792" w:rsidRPr="001D6512" w:rsidRDefault="00B20792" w:rsidP="00B20792">
            <w:pPr>
              <w:pStyle w:val="TableCell"/>
              <w:spacing w:before="60" w:after="60"/>
              <w:rPr>
                <w:rFonts w:cs="Arial"/>
                <w:szCs w:val="18"/>
              </w:rPr>
            </w:pPr>
            <w:r w:rsidRPr="001D6512">
              <w:rPr>
                <w:rFonts w:cs="Arial"/>
                <w:szCs w:val="18"/>
              </w:rPr>
              <w:t>Fixed</w:t>
            </w:r>
          </w:p>
        </w:tc>
        <w:tc>
          <w:tcPr>
            <w:tcW w:w="965" w:type="pct"/>
            <w:shd w:val="clear" w:color="auto" w:fill="auto"/>
          </w:tcPr>
          <w:p w:rsidR="00B20792" w:rsidRPr="001D6512" w:rsidRDefault="00B20792" w:rsidP="00B20792">
            <w:pPr>
              <w:pStyle w:val="TableCell"/>
              <w:spacing w:before="60" w:after="60"/>
              <w:rPr>
                <w:rFonts w:cs="Arial"/>
                <w:szCs w:val="18"/>
              </w:rPr>
            </w:pPr>
            <w:r w:rsidRPr="001D6512">
              <w:rPr>
                <w:rFonts w:cs="Arial"/>
                <w:szCs w:val="18"/>
              </w:rPr>
              <w:t>0.0001916</w:t>
            </w:r>
          </w:p>
        </w:tc>
        <w:tc>
          <w:tcPr>
            <w:tcW w:w="925" w:type="pct"/>
            <w:shd w:val="clear" w:color="auto" w:fill="auto"/>
          </w:tcPr>
          <w:p w:rsidR="00B20792" w:rsidRPr="001D6512" w:rsidRDefault="00453A93" w:rsidP="002379FB">
            <w:pPr>
              <w:pStyle w:val="TableCell"/>
              <w:spacing w:before="60" w:after="60"/>
              <w:rPr>
                <w:rFonts w:cs="Arial"/>
                <w:szCs w:val="18"/>
              </w:rPr>
            </w:pPr>
            <w:r w:rsidRPr="001D6512">
              <w:rPr>
                <w:rFonts w:cs="Arial"/>
                <w:szCs w:val="18"/>
              </w:rPr>
              <w:t>4</w:t>
            </w:r>
          </w:p>
        </w:tc>
      </w:tr>
      <w:tr w:rsidR="00B20792" w:rsidRPr="006E0899" w:rsidTr="00B20792">
        <w:trPr>
          <w:trHeight w:val="374"/>
          <w:jc w:val="center"/>
        </w:trPr>
        <w:tc>
          <w:tcPr>
            <w:tcW w:w="2398" w:type="pct"/>
            <w:shd w:val="clear" w:color="auto" w:fill="auto"/>
          </w:tcPr>
          <w:p w:rsidR="00B20792" w:rsidRPr="001D6512" w:rsidRDefault="00B20792" w:rsidP="00B20792">
            <w:pPr>
              <w:pStyle w:val="TableCell"/>
              <w:spacing w:before="60" w:after="60"/>
              <w:rPr>
                <w:rFonts w:cs="Arial"/>
                <w:szCs w:val="18"/>
              </w:rPr>
            </w:pPr>
            <w:r w:rsidRPr="001D6512">
              <w:rPr>
                <w:szCs w:val="18"/>
              </w:rPr>
              <w:t>F</w:t>
            </w:r>
            <w:r w:rsidRPr="001D6512">
              <w:rPr>
                <w:szCs w:val="18"/>
                <w:vertAlign w:val="subscript"/>
              </w:rPr>
              <w:t>Adjust</w:t>
            </w:r>
            <w:r w:rsidRPr="001D6512">
              <w:rPr>
                <w:szCs w:val="18"/>
              </w:rPr>
              <w:t>, COP Adjustment factor</w:t>
            </w:r>
          </w:p>
        </w:tc>
        <w:tc>
          <w:tcPr>
            <w:tcW w:w="712" w:type="pct"/>
            <w:shd w:val="clear" w:color="auto" w:fill="auto"/>
          </w:tcPr>
          <w:p w:rsidR="00B20792" w:rsidRPr="001D6512" w:rsidRDefault="00B20792" w:rsidP="00B20792">
            <w:pPr>
              <w:pStyle w:val="TableCell"/>
              <w:spacing w:before="60" w:after="60"/>
              <w:rPr>
                <w:rFonts w:cs="Arial"/>
                <w:szCs w:val="18"/>
              </w:rPr>
            </w:pPr>
            <w:r w:rsidRPr="001D6512">
              <w:rPr>
                <w:szCs w:val="18"/>
              </w:rPr>
              <w:t>Fixed</w:t>
            </w:r>
          </w:p>
        </w:tc>
        <w:tc>
          <w:tcPr>
            <w:tcW w:w="965" w:type="pct"/>
            <w:shd w:val="clear" w:color="auto" w:fill="auto"/>
          </w:tcPr>
          <w:p w:rsidR="00B20792" w:rsidRDefault="00B20792" w:rsidP="00B20792">
            <w:pPr>
              <w:spacing w:before="60" w:after="60"/>
              <w:rPr>
                <w:sz w:val="18"/>
                <w:szCs w:val="18"/>
              </w:rPr>
            </w:pPr>
            <w:r w:rsidRPr="00A4359D">
              <w:rPr>
                <w:sz w:val="18"/>
                <w:szCs w:val="18"/>
              </w:rPr>
              <w:t>0.80 if outdoor</w:t>
            </w:r>
          </w:p>
          <w:p w:rsidR="00B20792" w:rsidRDefault="00B20792" w:rsidP="00B20792">
            <w:pPr>
              <w:spacing w:before="60" w:after="60"/>
              <w:rPr>
                <w:sz w:val="18"/>
                <w:szCs w:val="18"/>
              </w:rPr>
            </w:pPr>
            <w:r w:rsidRPr="00A4359D">
              <w:rPr>
                <w:sz w:val="18"/>
                <w:szCs w:val="18"/>
              </w:rPr>
              <w:t>1.09 if indoor</w:t>
            </w:r>
          </w:p>
          <w:p w:rsidR="00B20792" w:rsidRPr="001D6512" w:rsidRDefault="00B20792" w:rsidP="00B20792">
            <w:pPr>
              <w:pStyle w:val="TableCell"/>
              <w:spacing w:before="60" w:after="60"/>
              <w:rPr>
                <w:rFonts w:cs="Arial"/>
                <w:szCs w:val="18"/>
              </w:rPr>
            </w:pPr>
            <w:r w:rsidRPr="001D6512">
              <w:rPr>
                <w:szCs w:val="18"/>
              </w:rPr>
              <w:t>1.30  if in kitchen</w:t>
            </w:r>
          </w:p>
        </w:tc>
        <w:tc>
          <w:tcPr>
            <w:tcW w:w="925" w:type="pct"/>
            <w:shd w:val="clear" w:color="auto" w:fill="auto"/>
          </w:tcPr>
          <w:p w:rsidR="00B20792" w:rsidRPr="001D6512" w:rsidRDefault="00B20792" w:rsidP="00B20792">
            <w:pPr>
              <w:pStyle w:val="TableCell"/>
              <w:spacing w:before="60" w:after="60"/>
              <w:rPr>
                <w:rFonts w:cs="Arial"/>
                <w:szCs w:val="18"/>
              </w:rPr>
            </w:pPr>
            <w:r w:rsidRPr="001D6512">
              <w:rPr>
                <w:rFonts w:cs="Arial"/>
                <w:szCs w:val="18"/>
              </w:rPr>
              <w:t>4</w:t>
            </w:r>
          </w:p>
        </w:tc>
      </w:tr>
      <w:tr w:rsidR="00B20792" w:rsidRPr="006E0899" w:rsidTr="00B20792">
        <w:trPr>
          <w:trHeight w:val="374"/>
          <w:jc w:val="center"/>
        </w:trPr>
        <w:tc>
          <w:tcPr>
            <w:tcW w:w="2398" w:type="pct"/>
            <w:shd w:val="clear" w:color="auto" w:fill="auto"/>
          </w:tcPr>
          <w:p w:rsidR="00B20792" w:rsidRPr="001D6512" w:rsidRDefault="00B20792" w:rsidP="00B20792">
            <w:pPr>
              <w:pStyle w:val="TableCell"/>
              <w:spacing w:before="60" w:after="60"/>
              <w:rPr>
                <w:rFonts w:cs="Arial"/>
                <w:szCs w:val="18"/>
              </w:rPr>
            </w:pPr>
            <w:r w:rsidRPr="001D6512">
              <w:rPr>
                <w:szCs w:val="18"/>
              </w:rPr>
              <w:t>ResistiveDiscountFactor</w:t>
            </w:r>
          </w:p>
        </w:tc>
        <w:tc>
          <w:tcPr>
            <w:tcW w:w="712" w:type="pct"/>
            <w:shd w:val="clear" w:color="auto" w:fill="auto"/>
          </w:tcPr>
          <w:p w:rsidR="00B20792" w:rsidRPr="001D6512" w:rsidRDefault="00B20792" w:rsidP="00B20792">
            <w:pPr>
              <w:pStyle w:val="TableCell"/>
              <w:spacing w:before="60" w:after="60"/>
              <w:rPr>
                <w:rFonts w:cs="Arial"/>
                <w:szCs w:val="18"/>
              </w:rPr>
            </w:pPr>
            <w:r w:rsidRPr="001D6512">
              <w:rPr>
                <w:szCs w:val="18"/>
              </w:rPr>
              <w:t>Fixed</w:t>
            </w:r>
          </w:p>
        </w:tc>
        <w:tc>
          <w:tcPr>
            <w:tcW w:w="965" w:type="pct"/>
            <w:shd w:val="clear" w:color="auto" w:fill="auto"/>
          </w:tcPr>
          <w:p w:rsidR="00B20792" w:rsidRPr="001D6512" w:rsidRDefault="00B20792" w:rsidP="00B20792">
            <w:pPr>
              <w:pStyle w:val="TableCell"/>
              <w:spacing w:before="60" w:after="60"/>
              <w:rPr>
                <w:rFonts w:cs="Arial"/>
                <w:szCs w:val="18"/>
              </w:rPr>
            </w:pPr>
            <w:r w:rsidRPr="001D6512">
              <w:rPr>
                <w:szCs w:val="18"/>
              </w:rPr>
              <w:t>0.90</w:t>
            </w:r>
          </w:p>
        </w:tc>
        <w:tc>
          <w:tcPr>
            <w:tcW w:w="925" w:type="pct"/>
            <w:shd w:val="clear" w:color="auto" w:fill="auto"/>
          </w:tcPr>
          <w:p w:rsidR="00B20792" w:rsidRPr="001D6512" w:rsidRDefault="0026770C" w:rsidP="00B20792">
            <w:pPr>
              <w:pStyle w:val="TableCell"/>
              <w:spacing w:before="60" w:after="60"/>
              <w:rPr>
                <w:rFonts w:cs="Arial"/>
                <w:szCs w:val="18"/>
              </w:rPr>
            </w:pPr>
            <w:r w:rsidRPr="001D6512">
              <w:rPr>
                <w:szCs w:val="18"/>
              </w:rPr>
              <w:t>6</w:t>
            </w:r>
          </w:p>
        </w:tc>
      </w:tr>
      <w:tr w:rsidR="00A15A70" w:rsidRPr="006E0899" w:rsidTr="00B20792">
        <w:trPr>
          <w:trHeight w:val="374"/>
          <w:jc w:val="center"/>
        </w:trPr>
        <w:tc>
          <w:tcPr>
            <w:tcW w:w="2398" w:type="pct"/>
            <w:shd w:val="clear" w:color="auto" w:fill="auto"/>
          </w:tcPr>
          <w:p w:rsidR="00A15A70" w:rsidRPr="001D6512" w:rsidRDefault="00A15A70" w:rsidP="00B20792">
            <w:pPr>
              <w:pStyle w:val="TableCell"/>
              <w:spacing w:before="60" w:after="60"/>
              <w:rPr>
                <w:szCs w:val="18"/>
              </w:rPr>
            </w:pPr>
            <w:r w:rsidRPr="001D6512">
              <w:rPr>
                <w:rFonts w:cs="Arial"/>
              </w:rPr>
              <w:t>HW, Average annual gallons of Use</w:t>
            </w:r>
          </w:p>
        </w:tc>
        <w:tc>
          <w:tcPr>
            <w:tcW w:w="712" w:type="pct"/>
            <w:shd w:val="clear" w:color="auto" w:fill="auto"/>
          </w:tcPr>
          <w:p w:rsidR="00A15A70" w:rsidRPr="001D6512" w:rsidRDefault="00A15A70" w:rsidP="00B20792">
            <w:pPr>
              <w:pStyle w:val="TableCell"/>
              <w:spacing w:before="60" w:after="60"/>
              <w:rPr>
                <w:szCs w:val="18"/>
              </w:rPr>
            </w:pPr>
            <w:r w:rsidRPr="001D6512">
              <w:rPr>
                <w:rFonts w:cs="Arial"/>
              </w:rPr>
              <w:t>Fixed</w:t>
            </w:r>
          </w:p>
        </w:tc>
        <w:tc>
          <w:tcPr>
            <w:tcW w:w="965" w:type="pct"/>
            <w:shd w:val="clear" w:color="auto" w:fill="auto"/>
          </w:tcPr>
          <w:p w:rsidR="00A15A70" w:rsidRPr="001D6512" w:rsidRDefault="00A15A70" w:rsidP="00B20792">
            <w:pPr>
              <w:pStyle w:val="TableCell"/>
              <w:spacing w:before="60" w:after="60"/>
              <w:rPr>
                <w:szCs w:val="18"/>
              </w:rPr>
            </w:pPr>
            <w:r w:rsidRPr="001D6512">
              <w:rPr>
                <w:rFonts w:cs="Arial"/>
              </w:rPr>
              <w:t>Varies</w:t>
            </w:r>
          </w:p>
        </w:tc>
        <w:tc>
          <w:tcPr>
            <w:tcW w:w="925" w:type="pct"/>
            <w:shd w:val="clear" w:color="auto" w:fill="auto"/>
          </w:tcPr>
          <w:p w:rsidR="00A15A70" w:rsidRPr="001D6512" w:rsidRDefault="00A15A70" w:rsidP="00A15A70">
            <w:pPr>
              <w:pStyle w:val="TableCell"/>
              <w:spacing w:before="60" w:after="60"/>
              <w:rPr>
                <w:szCs w:val="18"/>
              </w:rPr>
            </w:pPr>
            <w:r w:rsidRPr="001D6512">
              <w:rPr>
                <w:rFonts w:cs="Arial"/>
                <w:szCs w:val="18"/>
              </w:rPr>
              <w:t>See Table 3-89</w:t>
            </w:r>
          </w:p>
        </w:tc>
      </w:tr>
      <w:tr w:rsidR="00A15A70" w:rsidRPr="006E0899" w:rsidTr="00B20792">
        <w:trPr>
          <w:trHeight w:val="374"/>
          <w:jc w:val="center"/>
        </w:trPr>
        <w:tc>
          <w:tcPr>
            <w:tcW w:w="2398" w:type="pct"/>
            <w:shd w:val="clear" w:color="auto" w:fill="auto"/>
          </w:tcPr>
          <w:p w:rsidR="00A15A70" w:rsidRPr="001D6512" w:rsidRDefault="00A15A70" w:rsidP="00B20792">
            <w:pPr>
              <w:pStyle w:val="TableCell"/>
              <w:spacing w:before="60" w:after="60"/>
              <w:rPr>
                <w:szCs w:val="18"/>
              </w:rPr>
            </w:pPr>
            <w:r w:rsidRPr="001D6512">
              <w:rPr>
                <w:rFonts w:cs="Arial"/>
              </w:rPr>
              <w:t>EF</w:t>
            </w:r>
            <w:r w:rsidRPr="001D6512">
              <w:rPr>
                <w:rFonts w:cs="Arial"/>
                <w:vertAlign w:val="subscript"/>
              </w:rPr>
              <w:t>NG, base</w:t>
            </w:r>
            <w:r w:rsidRPr="001D6512">
              <w:rPr>
                <w:rFonts w:cs="Arial"/>
              </w:rPr>
              <w:t>, Energy Factor of baseline gas water heater</w:t>
            </w:r>
          </w:p>
        </w:tc>
        <w:tc>
          <w:tcPr>
            <w:tcW w:w="712" w:type="pct"/>
            <w:shd w:val="clear" w:color="auto" w:fill="auto"/>
          </w:tcPr>
          <w:p w:rsidR="00A15A70" w:rsidRPr="001D6512" w:rsidRDefault="00A15A70" w:rsidP="00B20792">
            <w:pPr>
              <w:pStyle w:val="TableCell"/>
              <w:spacing w:before="60" w:after="60"/>
              <w:rPr>
                <w:szCs w:val="18"/>
              </w:rPr>
            </w:pPr>
            <w:r w:rsidRPr="001D6512">
              <w:rPr>
                <w:rFonts w:cs="Arial"/>
              </w:rPr>
              <w:t>Fixed</w:t>
            </w:r>
          </w:p>
        </w:tc>
        <w:tc>
          <w:tcPr>
            <w:tcW w:w="965" w:type="pct"/>
            <w:shd w:val="clear" w:color="auto" w:fill="auto"/>
          </w:tcPr>
          <w:p w:rsidR="00A15A70" w:rsidRPr="001D6512" w:rsidRDefault="00A15A70" w:rsidP="00B20792">
            <w:pPr>
              <w:pStyle w:val="TableCell"/>
              <w:spacing w:before="60" w:after="60"/>
              <w:rPr>
                <w:szCs w:val="18"/>
              </w:rPr>
            </w:pPr>
            <w:r w:rsidRPr="001D6512">
              <w:rPr>
                <w:rFonts w:cs="Arial"/>
              </w:rPr>
              <w:t>0.594</w:t>
            </w:r>
          </w:p>
        </w:tc>
        <w:tc>
          <w:tcPr>
            <w:tcW w:w="925" w:type="pct"/>
            <w:shd w:val="clear" w:color="auto" w:fill="auto"/>
          </w:tcPr>
          <w:p w:rsidR="00A15A70" w:rsidRPr="001D6512" w:rsidRDefault="00A15A70" w:rsidP="00B20792">
            <w:pPr>
              <w:pStyle w:val="TableCell"/>
              <w:spacing w:before="60" w:after="60"/>
              <w:rPr>
                <w:szCs w:val="18"/>
              </w:rPr>
            </w:pPr>
            <w:r w:rsidRPr="001D6512">
              <w:rPr>
                <w:rFonts w:cs="Arial"/>
                <w:szCs w:val="18"/>
              </w:rPr>
              <w:t>7</w:t>
            </w:r>
          </w:p>
        </w:tc>
      </w:tr>
    </w:tbl>
    <w:p w:rsidR="00B20792" w:rsidRPr="00D605FC" w:rsidRDefault="00B20792" w:rsidP="00B20792">
      <w:pPr>
        <w:pStyle w:val="BodyText"/>
        <w:rPr>
          <w:b/>
        </w:rPr>
      </w:pPr>
    </w:p>
    <w:p w:rsidR="00B20792" w:rsidRPr="0028227D" w:rsidRDefault="00B20792" w:rsidP="00F05DC2">
      <w:pPr>
        <w:pStyle w:val="BodyText"/>
        <w:keepNext/>
        <w:rPr>
          <w:b/>
        </w:rPr>
      </w:pPr>
      <w:r w:rsidRPr="00E912F1">
        <w:rPr>
          <w:b/>
        </w:rPr>
        <w:t>Sources:</w:t>
      </w:r>
    </w:p>
    <w:p w:rsidR="00B20792" w:rsidRDefault="00B20792" w:rsidP="0005632A">
      <w:pPr>
        <w:pStyle w:val="source1"/>
        <w:keepNext/>
        <w:numPr>
          <w:ilvl w:val="0"/>
          <w:numId w:val="96"/>
        </w:numPr>
      </w:pPr>
      <w:r>
        <w:t>Federal Standards are 0.97 -0.00132 x Rated Storage in Gallons.  For a 50-gallon tank this is approximately 0.90.  “</w:t>
      </w:r>
      <w:r w:rsidRPr="00EB3EEB">
        <w:t xml:space="preserve">Energy Conservation Program: Energy Conservation Standards for Residential </w:t>
      </w:r>
      <w:r w:rsidRPr="00DE6B3E">
        <w:t>Water Heaters, Direct Heating Equipment, and Pool Heaters” US Dept of Energy Docket Number: EE–2006–BT-STD–0129</w:t>
      </w:r>
      <w:r>
        <w:t>, p. 30</w:t>
      </w:r>
    </w:p>
    <w:p w:rsidR="00B20792" w:rsidRDefault="00B20792" w:rsidP="0005632A">
      <w:pPr>
        <w:pStyle w:val="source1"/>
        <w:numPr>
          <w:ilvl w:val="0"/>
          <w:numId w:val="27"/>
        </w:numPr>
      </w:pPr>
      <w:r>
        <w:t>Many states have plumbing codes that limit shower and bathtub water temperature to 120 °F.</w:t>
      </w:r>
      <w:r w:rsidRPr="00E912F1">
        <w:t xml:space="preserve"> </w:t>
      </w:r>
    </w:p>
    <w:p w:rsidR="00B20792" w:rsidRDefault="00B20792" w:rsidP="0005632A">
      <w:pPr>
        <w:pStyle w:val="source1"/>
        <w:numPr>
          <w:ilvl w:val="0"/>
          <w:numId w:val="27"/>
        </w:numPr>
      </w:pPr>
      <w:r>
        <w:t>Mid-Atlantic TRM, footnote #24</w:t>
      </w:r>
    </w:p>
    <w:p w:rsidR="00B20792" w:rsidRDefault="00B20792" w:rsidP="0005632A">
      <w:pPr>
        <w:pStyle w:val="source1"/>
        <w:numPr>
          <w:ilvl w:val="0"/>
          <w:numId w:val="27"/>
        </w:numPr>
      </w:pPr>
      <w:r>
        <w:t>The load shapes can be accessed online:</w:t>
      </w:r>
      <w:r w:rsidR="0026770C">
        <w:t xml:space="preserve"> </w:t>
      </w:r>
      <w:hyperlink r:id="rId58" w:history="1">
        <w:r w:rsidR="0026770C" w:rsidRPr="0064429E">
          <w:rPr>
            <w:rStyle w:val="Hyperlink"/>
          </w:rPr>
          <w:t>http://www.ethree.com/CPUC/PG&amp;ENonResViewer.zip</w:t>
        </w:r>
      </w:hyperlink>
      <w:r>
        <w:t xml:space="preserve"> </w:t>
      </w:r>
    </w:p>
    <w:p w:rsidR="0026770C" w:rsidRDefault="0026770C" w:rsidP="0005632A">
      <w:pPr>
        <w:pStyle w:val="source1"/>
        <w:numPr>
          <w:ilvl w:val="0"/>
          <w:numId w:val="27"/>
        </w:numPr>
      </w:pPr>
      <w:r>
        <w:t>DEER Database</w:t>
      </w:r>
    </w:p>
    <w:p w:rsidR="0026770C" w:rsidRPr="00E912F1" w:rsidRDefault="0026770C" w:rsidP="0005632A">
      <w:pPr>
        <w:pStyle w:val="source1"/>
        <w:numPr>
          <w:ilvl w:val="0"/>
          <w:numId w:val="27"/>
        </w:numPr>
      </w:pPr>
      <w:r>
        <w:t>Engineering Estimate</w:t>
      </w:r>
    </w:p>
    <w:p w:rsidR="00A15A70" w:rsidRPr="00E912F1" w:rsidRDefault="00A15A70" w:rsidP="00A15A70">
      <w:pPr>
        <w:pStyle w:val="source1"/>
        <w:numPr>
          <w:ilvl w:val="0"/>
          <w:numId w:val="27"/>
        </w:numPr>
      </w:pPr>
      <w:r w:rsidRPr="00895BEC">
        <w:rPr>
          <w:rFonts w:ascii="Helvetica" w:hAnsi="Helvetica" w:cs="Helvetica"/>
        </w:rPr>
        <w:t>Federal Standards are 0.67 -0.0019 x Rated Storage in Gallons. For a 40-gallon tank</w:t>
      </w:r>
      <w:r>
        <w:rPr>
          <w:rFonts w:ascii="Helvetica" w:hAnsi="Helvetica" w:cs="Helvetica"/>
        </w:rPr>
        <w:t xml:space="preserve"> </w:t>
      </w:r>
      <w:r w:rsidRPr="00895BEC">
        <w:rPr>
          <w:rFonts w:ascii="Helvetica" w:hAnsi="Helvetica" w:cs="Helvetica"/>
        </w:rPr>
        <w:t>this is 0.594. “Energy Conservation Program: Energy Conservation Standards for</w:t>
      </w:r>
      <w:r>
        <w:rPr>
          <w:rFonts w:ascii="Helvetica" w:hAnsi="Helvetica" w:cs="Helvetica"/>
        </w:rPr>
        <w:t xml:space="preserve"> </w:t>
      </w:r>
      <w:r w:rsidRPr="00895BEC">
        <w:rPr>
          <w:rFonts w:ascii="Helvetica" w:hAnsi="Helvetica" w:cs="Helvetica"/>
        </w:rPr>
        <w:t>Residential Water Heaters, Direct Heating Equipment, and Pool Heaters” US Dept of</w:t>
      </w:r>
      <w:r>
        <w:t xml:space="preserve"> </w:t>
      </w:r>
      <w:r w:rsidRPr="00895BEC">
        <w:rPr>
          <w:rFonts w:ascii="Helvetica" w:hAnsi="Helvetica" w:cs="Helvetica"/>
        </w:rPr>
        <w:t xml:space="preserve">Energy Docket Number: </w:t>
      </w:r>
      <w:r w:rsidRPr="00895BEC">
        <w:rPr>
          <w:rFonts w:ascii="Helvetica-Bold" w:hAnsi="Helvetica-Bold" w:cs="Helvetica-Bold"/>
          <w:b/>
          <w:bCs/>
        </w:rPr>
        <w:t xml:space="preserve">EE–2006–BT-STD–0129, </w:t>
      </w:r>
      <w:r w:rsidRPr="00895BEC">
        <w:rPr>
          <w:rFonts w:ascii="Helvetica" w:hAnsi="Helvetica" w:cs="Helvetica"/>
        </w:rPr>
        <w:t>p. 30</w:t>
      </w:r>
    </w:p>
    <w:p w:rsidR="00A15A70" w:rsidRPr="00E912F1" w:rsidRDefault="00A15A70" w:rsidP="00A15A70">
      <w:pPr>
        <w:pStyle w:val="source1"/>
        <w:numPr>
          <w:ilvl w:val="0"/>
          <w:numId w:val="0"/>
        </w:numPr>
      </w:pPr>
    </w:p>
    <w:p w:rsidR="00B20792" w:rsidRPr="00C465DB" w:rsidRDefault="00B20792" w:rsidP="00871FA2">
      <w:pPr>
        <w:pStyle w:val="Heading3"/>
      </w:pPr>
      <w:r w:rsidRPr="00837206">
        <w:t>Deemed Savings</w:t>
      </w:r>
    </w:p>
    <w:p w:rsidR="00B20792" w:rsidRPr="00F76C5E" w:rsidRDefault="00B20792" w:rsidP="00B20792">
      <w:pPr>
        <w:pStyle w:val="BodyText"/>
      </w:pPr>
      <w:r w:rsidRPr="00D74EB9">
        <w:rPr>
          <w:rFonts w:cs="Arial"/>
        </w:rPr>
        <w:t xml:space="preserve">The deemed savings for the installation of </w:t>
      </w:r>
      <w:r>
        <w:rPr>
          <w:rFonts w:cs="Arial"/>
        </w:rPr>
        <w:t xml:space="preserve">heat pump </w:t>
      </w:r>
      <w:r w:rsidRPr="00D74EB9">
        <w:rPr>
          <w:rFonts w:cs="Arial"/>
        </w:rPr>
        <w:t>electric water heaters in various applications are listed below</w:t>
      </w:r>
      <w:r>
        <w:t>.</w:t>
      </w:r>
    </w:p>
    <w:p w:rsidR="00B20792" w:rsidRDefault="00B20792" w:rsidP="00B20792">
      <w:pPr>
        <w:pStyle w:val="Caption"/>
      </w:pPr>
      <w:bookmarkStart w:id="1319" w:name="_Toc310875644"/>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92</w:t>
      </w:r>
      <w:r w:rsidR="00274AB1">
        <w:rPr>
          <w:noProof/>
        </w:rPr>
        <w:fldChar w:fldCharType="end"/>
      </w:r>
      <w:r>
        <w:t xml:space="preserve">: </w:t>
      </w:r>
      <w:r w:rsidRPr="00FD0331">
        <w:t>Energy Savings and Demand Reductions</w:t>
      </w:r>
      <w:bookmarkEnd w:id="1319"/>
    </w:p>
    <w:tbl>
      <w:tblPr>
        <w:tblW w:w="5000" w:type="pct"/>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20" w:firstRow="1" w:lastRow="0" w:firstColumn="0" w:lastColumn="0" w:noHBand="0" w:noVBand="1"/>
      </w:tblPr>
      <w:tblGrid>
        <w:gridCol w:w="1160"/>
        <w:gridCol w:w="1367"/>
        <w:gridCol w:w="1488"/>
        <w:gridCol w:w="1102"/>
        <w:gridCol w:w="1206"/>
        <w:gridCol w:w="1380"/>
        <w:gridCol w:w="1153"/>
      </w:tblGrid>
      <w:tr w:rsidR="002C3BC5" w:rsidRPr="006E0899" w:rsidTr="00F31240">
        <w:trPr>
          <w:trHeight w:val="374"/>
        </w:trPr>
        <w:tc>
          <w:tcPr>
            <w:tcW w:w="655" w:type="pct"/>
            <w:tcBorders>
              <w:top w:val="single" w:sz="8" w:space="0" w:color="404040"/>
              <w:left w:val="single" w:sz="8" w:space="0" w:color="404040"/>
              <w:bottom w:val="single" w:sz="8" w:space="0" w:color="404040"/>
              <w:right w:val="single" w:sz="8" w:space="0" w:color="404040"/>
            </w:tcBorders>
            <w:shd w:val="clear" w:color="auto" w:fill="BFBFBF"/>
          </w:tcPr>
          <w:p w:rsidR="00B20792" w:rsidRPr="001D6512" w:rsidRDefault="00B20792" w:rsidP="00B20792">
            <w:pPr>
              <w:pStyle w:val="TableCell"/>
              <w:spacing w:before="60" w:after="60"/>
              <w:rPr>
                <w:rFonts w:cs="Arial"/>
                <w:b/>
                <w:bCs/>
                <w:szCs w:val="18"/>
              </w:rPr>
            </w:pPr>
            <w:r w:rsidRPr="001D6512">
              <w:rPr>
                <w:rFonts w:cs="Arial"/>
                <w:b/>
                <w:bCs/>
                <w:szCs w:val="18"/>
              </w:rPr>
              <w:t>Building Type</w:t>
            </w:r>
          </w:p>
        </w:tc>
        <w:tc>
          <w:tcPr>
            <w:tcW w:w="772" w:type="pct"/>
            <w:tcBorders>
              <w:top w:val="single" w:sz="8" w:space="0" w:color="404040"/>
              <w:left w:val="single" w:sz="8" w:space="0" w:color="404040"/>
              <w:bottom w:val="single" w:sz="8" w:space="0" w:color="404040"/>
              <w:right w:val="single" w:sz="8" w:space="0" w:color="404040"/>
            </w:tcBorders>
            <w:shd w:val="clear" w:color="auto" w:fill="BFBFBF"/>
          </w:tcPr>
          <w:p w:rsidR="00B20792" w:rsidRPr="001D6512" w:rsidRDefault="00B20792" w:rsidP="00B20792">
            <w:pPr>
              <w:pStyle w:val="TableCell"/>
              <w:spacing w:before="60" w:after="60"/>
              <w:rPr>
                <w:rFonts w:cs="Arial"/>
                <w:b/>
                <w:bCs/>
                <w:szCs w:val="18"/>
              </w:rPr>
            </w:pPr>
            <w:r w:rsidRPr="001D6512">
              <w:rPr>
                <w:rFonts w:cs="Arial"/>
                <w:b/>
                <w:color w:val="000000"/>
                <w:szCs w:val="18"/>
              </w:rPr>
              <w:t>Location Installed</w:t>
            </w:r>
          </w:p>
        </w:tc>
        <w:tc>
          <w:tcPr>
            <w:tcW w:w="840" w:type="pct"/>
            <w:tcBorders>
              <w:top w:val="single" w:sz="8" w:space="0" w:color="404040"/>
              <w:left w:val="single" w:sz="8" w:space="0" w:color="404040"/>
              <w:bottom w:val="single" w:sz="8" w:space="0" w:color="404040"/>
              <w:right w:val="single" w:sz="8" w:space="0" w:color="404040"/>
            </w:tcBorders>
            <w:shd w:val="clear" w:color="auto" w:fill="BFBFBF"/>
          </w:tcPr>
          <w:p w:rsidR="00B20792" w:rsidRPr="001D6512" w:rsidRDefault="00F31240" w:rsidP="00B20792">
            <w:pPr>
              <w:pStyle w:val="TableCell"/>
              <w:spacing w:before="60" w:after="60"/>
              <w:rPr>
                <w:rFonts w:cs="Arial"/>
                <w:b/>
                <w:bCs/>
                <w:szCs w:val="18"/>
              </w:rPr>
            </w:pPr>
            <w:r w:rsidRPr="001D6512">
              <w:rPr>
                <w:rFonts w:cs="Arial"/>
                <w:b/>
                <w:color w:val="000000"/>
                <w:szCs w:val="18"/>
              </w:rPr>
              <w:t xml:space="preserve">Average </w:t>
            </w:r>
            <w:r w:rsidR="00B20792" w:rsidRPr="001D6512">
              <w:rPr>
                <w:rFonts w:cs="Arial"/>
                <w:b/>
                <w:color w:val="000000"/>
                <w:szCs w:val="18"/>
              </w:rPr>
              <w:t xml:space="preserve">Annual </w:t>
            </w:r>
            <w:r w:rsidRPr="001D6512">
              <w:rPr>
                <w:rFonts w:cs="Arial"/>
                <w:b/>
                <w:color w:val="000000"/>
                <w:szCs w:val="18"/>
              </w:rPr>
              <w:t>Use, Gallons</w:t>
            </w:r>
          </w:p>
        </w:tc>
        <w:tc>
          <w:tcPr>
            <w:tcW w:w="622" w:type="pct"/>
            <w:tcBorders>
              <w:top w:val="single" w:sz="8" w:space="0" w:color="404040"/>
              <w:left w:val="single" w:sz="8" w:space="0" w:color="404040"/>
              <w:bottom w:val="single" w:sz="8" w:space="0" w:color="404040"/>
              <w:right w:val="single" w:sz="8" w:space="0" w:color="404040"/>
            </w:tcBorders>
            <w:shd w:val="clear" w:color="auto" w:fill="BFBFBF"/>
          </w:tcPr>
          <w:p w:rsidR="00B20792" w:rsidRPr="001D6512" w:rsidRDefault="00B20792" w:rsidP="00B20792">
            <w:pPr>
              <w:pStyle w:val="TableCell"/>
              <w:spacing w:before="60" w:after="60"/>
              <w:rPr>
                <w:rFonts w:cs="Arial"/>
                <w:b/>
                <w:bCs/>
                <w:szCs w:val="18"/>
              </w:rPr>
            </w:pPr>
            <w:r w:rsidRPr="001D6512">
              <w:rPr>
                <w:rFonts w:cs="Arial"/>
                <w:b/>
                <w:color w:val="000000"/>
                <w:szCs w:val="18"/>
              </w:rPr>
              <w:t>EF</w:t>
            </w:r>
          </w:p>
        </w:tc>
        <w:tc>
          <w:tcPr>
            <w:tcW w:w="681" w:type="pct"/>
            <w:tcBorders>
              <w:top w:val="single" w:sz="8" w:space="0" w:color="404040"/>
              <w:left w:val="single" w:sz="8" w:space="0" w:color="404040"/>
              <w:bottom w:val="single" w:sz="8" w:space="0" w:color="404040"/>
              <w:right w:val="single" w:sz="8" w:space="0" w:color="404040"/>
            </w:tcBorders>
            <w:shd w:val="clear" w:color="auto" w:fill="BFBFBF"/>
          </w:tcPr>
          <w:p w:rsidR="00B20792" w:rsidRPr="001D6512" w:rsidRDefault="00B20792" w:rsidP="00B20792">
            <w:pPr>
              <w:pStyle w:val="TableCell"/>
              <w:spacing w:before="60" w:after="60"/>
              <w:rPr>
                <w:rFonts w:cs="Arial"/>
                <w:b/>
                <w:bCs/>
                <w:szCs w:val="18"/>
              </w:rPr>
            </w:pPr>
            <w:r w:rsidRPr="001D6512">
              <w:rPr>
                <w:rFonts w:cs="Arial"/>
                <w:b/>
                <w:color w:val="000000"/>
                <w:szCs w:val="18"/>
              </w:rPr>
              <w:t>COP Adjustment Factor</w:t>
            </w:r>
          </w:p>
        </w:tc>
        <w:tc>
          <w:tcPr>
            <w:tcW w:w="779" w:type="pct"/>
            <w:tcBorders>
              <w:top w:val="single" w:sz="8" w:space="0" w:color="404040"/>
              <w:left w:val="single" w:sz="8" w:space="0" w:color="404040"/>
              <w:bottom w:val="single" w:sz="8" w:space="0" w:color="404040"/>
              <w:right w:val="single" w:sz="8" w:space="0" w:color="404040"/>
            </w:tcBorders>
            <w:shd w:val="clear" w:color="auto" w:fill="BFBFBF"/>
          </w:tcPr>
          <w:p w:rsidR="00B20792" w:rsidRPr="001D6512" w:rsidRDefault="00B20792" w:rsidP="00B20792">
            <w:pPr>
              <w:pStyle w:val="TableCell"/>
              <w:spacing w:before="60" w:after="60"/>
              <w:rPr>
                <w:rFonts w:cs="Arial"/>
                <w:b/>
                <w:bCs/>
                <w:szCs w:val="18"/>
              </w:rPr>
            </w:pPr>
            <w:r w:rsidRPr="001D6512">
              <w:rPr>
                <w:rFonts w:cs="Arial"/>
                <w:b/>
                <w:bCs/>
                <w:szCs w:val="18"/>
              </w:rPr>
              <w:t>Energy Savings (kWh)</w:t>
            </w:r>
          </w:p>
        </w:tc>
        <w:tc>
          <w:tcPr>
            <w:tcW w:w="652" w:type="pct"/>
            <w:tcBorders>
              <w:top w:val="single" w:sz="8" w:space="0" w:color="404040"/>
              <w:left w:val="single" w:sz="8" w:space="0" w:color="404040"/>
              <w:bottom w:val="single" w:sz="8" w:space="0" w:color="404040"/>
              <w:right w:val="single" w:sz="8" w:space="0" w:color="404040"/>
            </w:tcBorders>
            <w:shd w:val="clear" w:color="auto" w:fill="BFBFBF"/>
          </w:tcPr>
          <w:p w:rsidR="00B20792" w:rsidRPr="001D6512" w:rsidRDefault="00B20792" w:rsidP="00B20792">
            <w:pPr>
              <w:pStyle w:val="TableCell"/>
              <w:spacing w:before="60" w:after="60"/>
              <w:rPr>
                <w:rFonts w:cs="Arial"/>
                <w:b/>
                <w:bCs/>
                <w:szCs w:val="18"/>
              </w:rPr>
            </w:pPr>
            <w:r w:rsidRPr="001D6512">
              <w:rPr>
                <w:rFonts w:cs="Arial"/>
                <w:b/>
                <w:bCs/>
                <w:szCs w:val="18"/>
              </w:rPr>
              <w:t>Demand Reduction (kW)</w:t>
            </w:r>
          </w:p>
        </w:tc>
      </w:tr>
      <w:tr w:rsidR="002C3BC5" w:rsidRPr="006E0899" w:rsidTr="00F31240">
        <w:trPr>
          <w:trHeight w:val="374"/>
        </w:trPr>
        <w:tc>
          <w:tcPr>
            <w:tcW w:w="655"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B20792" w:rsidP="00B20792">
            <w:pPr>
              <w:pStyle w:val="TableCell"/>
              <w:spacing w:before="60" w:after="60"/>
              <w:rPr>
                <w:rFonts w:cs="Arial"/>
                <w:color w:val="000000"/>
                <w:szCs w:val="18"/>
              </w:rPr>
            </w:pPr>
            <w:r w:rsidRPr="001D6512">
              <w:rPr>
                <w:rFonts w:cs="Arial"/>
                <w:color w:val="000000"/>
                <w:szCs w:val="18"/>
              </w:rPr>
              <w:t>Motel</w:t>
            </w:r>
          </w:p>
        </w:tc>
        <w:tc>
          <w:tcPr>
            <w:tcW w:w="772"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B20792" w:rsidP="00B20792">
            <w:pPr>
              <w:pStyle w:val="TableCell"/>
              <w:spacing w:before="60" w:after="60"/>
              <w:rPr>
                <w:rFonts w:cs="Arial"/>
                <w:color w:val="000000"/>
                <w:szCs w:val="18"/>
              </w:rPr>
            </w:pPr>
            <w:r w:rsidRPr="001D6512">
              <w:rPr>
                <w:rFonts w:cs="Arial"/>
                <w:color w:val="000000"/>
                <w:szCs w:val="18"/>
              </w:rPr>
              <w:t>Unconditioned Space</w:t>
            </w:r>
          </w:p>
        </w:tc>
        <w:tc>
          <w:tcPr>
            <w:tcW w:w="840" w:type="pct"/>
            <w:tcBorders>
              <w:top w:val="single" w:sz="8" w:space="0" w:color="404040"/>
              <w:left w:val="single" w:sz="8" w:space="0" w:color="404040"/>
              <w:bottom w:val="single" w:sz="8" w:space="0" w:color="404040"/>
              <w:right w:val="single" w:sz="8" w:space="0" w:color="404040"/>
            </w:tcBorders>
            <w:shd w:val="clear" w:color="auto" w:fill="FFFFFF"/>
            <w:vAlign w:val="bottom"/>
          </w:tcPr>
          <w:p w:rsidR="00B20792" w:rsidRPr="001D6512" w:rsidRDefault="00F31240" w:rsidP="002379FB">
            <w:pPr>
              <w:pStyle w:val="TableCell"/>
              <w:spacing w:before="60" w:after="60"/>
              <w:jc w:val="right"/>
              <w:rPr>
                <w:rFonts w:cs="Arial"/>
                <w:color w:val="000000"/>
                <w:szCs w:val="18"/>
              </w:rPr>
            </w:pPr>
            <w:r w:rsidRPr="001D6512">
              <w:rPr>
                <w:rFonts w:ascii="Calibri" w:hAnsi="Calibri" w:cs="Calibri"/>
                <w:color w:val="000000"/>
                <w:sz w:val="22"/>
                <w:szCs w:val="22"/>
              </w:rPr>
              <w:t>97,870</w:t>
            </w:r>
          </w:p>
        </w:tc>
        <w:tc>
          <w:tcPr>
            <w:tcW w:w="622"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B20792" w:rsidP="00B20792">
            <w:pPr>
              <w:pStyle w:val="TableCell"/>
              <w:spacing w:before="60" w:after="60"/>
              <w:jc w:val="right"/>
              <w:rPr>
                <w:rFonts w:cs="Arial"/>
                <w:color w:val="000000"/>
                <w:szCs w:val="18"/>
              </w:rPr>
            </w:pPr>
            <w:r w:rsidRPr="001D6512">
              <w:rPr>
                <w:rFonts w:cs="Arial"/>
                <w:color w:val="000000"/>
                <w:szCs w:val="18"/>
              </w:rPr>
              <w:t>2.2</w:t>
            </w:r>
          </w:p>
        </w:tc>
        <w:tc>
          <w:tcPr>
            <w:tcW w:w="681"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B20792" w:rsidP="00B20792">
            <w:pPr>
              <w:pStyle w:val="TableCell"/>
              <w:spacing w:before="60" w:after="60"/>
              <w:jc w:val="right"/>
              <w:rPr>
                <w:rFonts w:cs="Arial"/>
                <w:color w:val="000000"/>
                <w:szCs w:val="18"/>
              </w:rPr>
            </w:pPr>
            <w:r w:rsidRPr="001D6512">
              <w:rPr>
                <w:rFonts w:cs="Arial"/>
                <w:color w:val="000000"/>
                <w:szCs w:val="18"/>
              </w:rPr>
              <w:t xml:space="preserve">0.80        </w:t>
            </w:r>
          </w:p>
        </w:tc>
        <w:tc>
          <w:tcPr>
            <w:tcW w:w="779" w:type="pct"/>
            <w:tcBorders>
              <w:top w:val="single" w:sz="8" w:space="0" w:color="404040"/>
              <w:left w:val="single" w:sz="8" w:space="0" w:color="404040"/>
              <w:bottom w:val="single" w:sz="8" w:space="0" w:color="404040"/>
              <w:right w:val="single" w:sz="8" w:space="0" w:color="404040"/>
            </w:tcBorders>
            <w:shd w:val="clear" w:color="auto" w:fill="FFFFFF"/>
            <w:vAlign w:val="bottom"/>
          </w:tcPr>
          <w:p w:rsidR="00B20792" w:rsidRPr="001D6512" w:rsidRDefault="00D74AE2" w:rsidP="00B20792">
            <w:pPr>
              <w:pStyle w:val="TableCell"/>
              <w:spacing w:before="60" w:after="60"/>
              <w:jc w:val="right"/>
              <w:rPr>
                <w:rFonts w:cs="Arial"/>
                <w:color w:val="000000"/>
                <w:szCs w:val="18"/>
              </w:rPr>
            </w:pPr>
            <w:r w:rsidRPr="00D74AE2">
              <w:rPr>
                <w:color w:val="000000"/>
              </w:rPr>
              <w:t>8,</w:t>
            </w:r>
            <w:r w:rsidR="00F31240" w:rsidRPr="001D6512">
              <w:rPr>
                <w:rFonts w:ascii="Calibri" w:hAnsi="Calibri" w:cs="Calibri"/>
                <w:color w:val="000000"/>
                <w:sz w:val="22"/>
                <w:szCs w:val="22"/>
              </w:rPr>
              <w:t>324</w:t>
            </w:r>
          </w:p>
        </w:tc>
        <w:tc>
          <w:tcPr>
            <w:tcW w:w="652" w:type="pct"/>
            <w:tcBorders>
              <w:top w:val="single" w:sz="8" w:space="0" w:color="404040"/>
              <w:left w:val="single" w:sz="8" w:space="0" w:color="404040"/>
              <w:bottom w:val="single" w:sz="8" w:space="0" w:color="404040"/>
              <w:right w:val="single" w:sz="8" w:space="0" w:color="404040"/>
            </w:tcBorders>
            <w:shd w:val="clear" w:color="auto" w:fill="FFFFFF"/>
            <w:vAlign w:val="bottom"/>
          </w:tcPr>
          <w:p w:rsidR="00B20792" w:rsidRPr="001D6512" w:rsidRDefault="00D74AE2" w:rsidP="00B20792">
            <w:pPr>
              <w:pStyle w:val="TableCell"/>
              <w:spacing w:before="60" w:after="60"/>
              <w:jc w:val="right"/>
              <w:rPr>
                <w:rFonts w:cs="Arial"/>
                <w:color w:val="000000"/>
                <w:szCs w:val="18"/>
              </w:rPr>
            </w:pPr>
            <w:r w:rsidRPr="00D74AE2">
              <w:rPr>
                <w:color w:val="000000"/>
              </w:rPr>
              <w:t>1.</w:t>
            </w:r>
            <w:r w:rsidR="00F31240" w:rsidRPr="001D6512">
              <w:rPr>
                <w:rFonts w:ascii="Calibri" w:hAnsi="Calibri" w:cs="Calibri"/>
                <w:color w:val="000000"/>
                <w:sz w:val="22"/>
                <w:szCs w:val="22"/>
              </w:rPr>
              <w:t>44</w:t>
            </w:r>
          </w:p>
        </w:tc>
      </w:tr>
      <w:tr w:rsidR="00B20792" w:rsidRPr="006E0899" w:rsidTr="00F31240">
        <w:trPr>
          <w:trHeight w:val="374"/>
        </w:trPr>
        <w:tc>
          <w:tcPr>
            <w:tcW w:w="655" w:type="pct"/>
            <w:tcBorders>
              <w:top w:val="single" w:sz="8" w:space="0" w:color="404040"/>
              <w:left w:val="single" w:sz="8" w:space="0" w:color="404040"/>
              <w:bottom w:val="single" w:sz="8" w:space="0" w:color="404040"/>
              <w:right w:val="single" w:sz="8" w:space="0" w:color="404040"/>
            </w:tcBorders>
            <w:shd w:val="clear" w:color="auto" w:fill="auto"/>
          </w:tcPr>
          <w:p w:rsidR="00B20792" w:rsidRPr="001D6512" w:rsidRDefault="00B20792" w:rsidP="00B20792">
            <w:pPr>
              <w:pStyle w:val="TableCell"/>
              <w:spacing w:before="60" w:after="60"/>
              <w:rPr>
                <w:rFonts w:cs="Arial"/>
                <w:color w:val="000000"/>
                <w:szCs w:val="18"/>
              </w:rPr>
            </w:pPr>
            <w:r w:rsidRPr="001D6512">
              <w:rPr>
                <w:rFonts w:cs="Arial"/>
                <w:color w:val="000000"/>
                <w:szCs w:val="18"/>
              </w:rPr>
              <w:t>Motel</w:t>
            </w:r>
          </w:p>
        </w:tc>
        <w:tc>
          <w:tcPr>
            <w:tcW w:w="772" w:type="pct"/>
            <w:tcBorders>
              <w:top w:val="single" w:sz="8" w:space="0" w:color="404040"/>
              <w:left w:val="single" w:sz="8" w:space="0" w:color="404040"/>
              <w:bottom w:val="single" w:sz="8" w:space="0" w:color="404040"/>
              <w:right w:val="single" w:sz="8" w:space="0" w:color="404040"/>
            </w:tcBorders>
            <w:shd w:val="clear" w:color="auto" w:fill="auto"/>
          </w:tcPr>
          <w:p w:rsidR="00B20792" w:rsidRPr="001D6512" w:rsidRDefault="00B20792" w:rsidP="00B20792">
            <w:pPr>
              <w:pStyle w:val="TableCell"/>
              <w:spacing w:before="60" w:after="60"/>
              <w:rPr>
                <w:rFonts w:cs="Arial"/>
                <w:color w:val="000000"/>
                <w:szCs w:val="18"/>
              </w:rPr>
            </w:pPr>
            <w:r w:rsidRPr="001D6512">
              <w:rPr>
                <w:rFonts w:cs="Arial"/>
                <w:color w:val="000000"/>
                <w:szCs w:val="18"/>
              </w:rPr>
              <w:t>Conditioned Space</w:t>
            </w:r>
          </w:p>
        </w:tc>
        <w:tc>
          <w:tcPr>
            <w:tcW w:w="840" w:type="pct"/>
            <w:tcBorders>
              <w:top w:val="single" w:sz="8" w:space="0" w:color="404040"/>
              <w:left w:val="single" w:sz="8" w:space="0" w:color="404040"/>
              <w:bottom w:val="single" w:sz="8" w:space="0" w:color="404040"/>
              <w:right w:val="single" w:sz="8" w:space="0" w:color="404040"/>
            </w:tcBorders>
            <w:shd w:val="clear" w:color="auto" w:fill="auto"/>
            <w:vAlign w:val="bottom"/>
          </w:tcPr>
          <w:p w:rsidR="00B20792" w:rsidRPr="001D6512" w:rsidRDefault="00F31240" w:rsidP="002379FB">
            <w:pPr>
              <w:pStyle w:val="TableCell"/>
              <w:spacing w:before="60" w:after="60"/>
              <w:jc w:val="right"/>
              <w:rPr>
                <w:rFonts w:cs="Arial"/>
                <w:color w:val="000000"/>
                <w:szCs w:val="18"/>
              </w:rPr>
            </w:pPr>
            <w:r w:rsidRPr="001D6512">
              <w:rPr>
                <w:rFonts w:ascii="Calibri" w:hAnsi="Calibri" w:cs="Calibri"/>
                <w:color w:val="000000"/>
                <w:sz w:val="22"/>
                <w:szCs w:val="22"/>
              </w:rPr>
              <w:t>97,870</w:t>
            </w:r>
          </w:p>
        </w:tc>
        <w:tc>
          <w:tcPr>
            <w:tcW w:w="622" w:type="pct"/>
            <w:tcBorders>
              <w:top w:val="single" w:sz="8" w:space="0" w:color="404040"/>
              <w:left w:val="single" w:sz="8" w:space="0" w:color="404040"/>
              <w:bottom w:val="single" w:sz="8" w:space="0" w:color="404040"/>
              <w:right w:val="single" w:sz="8" w:space="0" w:color="404040"/>
            </w:tcBorders>
          </w:tcPr>
          <w:p w:rsidR="00B20792" w:rsidRPr="001D6512" w:rsidRDefault="00B20792" w:rsidP="00B20792">
            <w:pPr>
              <w:pStyle w:val="TableCell"/>
              <w:spacing w:before="60" w:after="60"/>
              <w:jc w:val="right"/>
              <w:rPr>
                <w:rFonts w:cs="Arial"/>
                <w:color w:val="000000"/>
                <w:szCs w:val="18"/>
              </w:rPr>
            </w:pPr>
            <w:r w:rsidRPr="001D6512">
              <w:rPr>
                <w:rFonts w:cs="Arial"/>
                <w:color w:val="000000"/>
                <w:szCs w:val="18"/>
              </w:rPr>
              <w:t>2.2</w:t>
            </w:r>
          </w:p>
        </w:tc>
        <w:tc>
          <w:tcPr>
            <w:tcW w:w="681" w:type="pct"/>
            <w:tcBorders>
              <w:top w:val="single" w:sz="8" w:space="0" w:color="404040"/>
              <w:left w:val="single" w:sz="8" w:space="0" w:color="404040"/>
              <w:bottom w:val="single" w:sz="8" w:space="0" w:color="404040"/>
              <w:right w:val="single" w:sz="8" w:space="0" w:color="404040"/>
            </w:tcBorders>
          </w:tcPr>
          <w:p w:rsidR="00B20792" w:rsidRPr="001D6512" w:rsidRDefault="00B20792" w:rsidP="00B20792">
            <w:pPr>
              <w:pStyle w:val="TableCell"/>
              <w:spacing w:before="60" w:after="60"/>
              <w:jc w:val="right"/>
              <w:rPr>
                <w:rFonts w:cs="Arial"/>
                <w:color w:val="000000"/>
                <w:szCs w:val="18"/>
              </w:rPr>
            </w:pPr>
            <w:r w:rsidRPr="001D6512">
              <w:rPr>
                <w:rFonts w:cs="Arial"/>
                <w:color w:val="000000"/>
                <w:szCs w:val="18"/>
              </w:rPr>
              <w:t>1.09</w:t>
            </w:r>
          </w:p>
        </w:tc>
        <w:tc>
          <w:tcPr>
            <w:tcW w:w="779" w:type="pct"/>
            <w:tcBorders>
              <w:top w:val="single" w:sz="8" w:space="0" w:color="404040"/>
              <w:left w:val="single" w:sz="8" w:space="0" w:color="404040"/>
              <w:bottom w:val="single" w:sz="8" w:space="0" w:color="404040"/>
              <w:right w:val="single" w:sz="8" w:space="0" w:color="404040"/>
            </w:tcBorders>
            <w:vAlign w:val="bottom"/>
          </w:tcPr>
          <w:p w:rsidR="00B20792" w:rsidRPr="001D6512" w:rsidRDefault="00F31240" w:rsidP="002379FB">
            <w:pPr>
              <w:pStyle w:val="TableCell"/>
              <w:spacing w:before="60" w:after="60"/>
              <w:jc w:val="right"/>
              <w:rPr>
                <w:rFonts w:cs="Arial"/>
                <w:color w:val="000000"/>
                <w:szCs w:val="18"/>
              </w:rPr>
            </w:pPr>
            <w:r w:rsidRPr="001D6512">
              <w:rPr>
                <w:rFonts w:ascii="Calibri" w:hAnsi="Calibri" w:cs="Calibri"/>
                <w:color w:val="000000"/>
                <w:sz w:val="22"/>
                <w:szCs w:val="22"/>
              </w:rPr>
              <w:t>10,662</w:t>
            </w:r>
          </w:p>
        </w:tc>
        <w:tc>
          <w:tcPr>
            <w:tcW w:w="652" w:type="pct"/>
            <w:tcBorders>
              <w:top w:val="single" w:sz="8" w:space="0" w:color="404040"/>
              <w:left w:val="single" w:sz="8" w:space="0" w:color="404040"/>
              <w:bottom w:val="single" w:sz="8" w:space="0" w:color="404040"/>
              <w:right w:val="single" w:sz="8" w:space="0" w:color="404040"/>
            </w:tcBorders>
            <w:vAlign w:val="bottom"/>
          </w:tcPr>
          <w:p w:rsidR="00B20792" w:rsidRPr="001D6512" w:rsidRDefault="00D74AE2" w:rsidP="00B20792">
            <w:pPr>
              <w:pStyle w:val="TableCell"/>
              <w:spacing w:before="60" w:after="60"/>
              <w:jc w:val="right"/>
              <w:rPr>
                <w:rFonts w:cs="Arial"/>
                <w:color w:val="000000"/>
                <w:szCs w:val="18"/>
              </w:rPr>
            </w:pPr>
            <w:r w:rsidRPr="00D74AE2">
              <w:rPr>
                <w:color w:val="000000"/>
              </w:rPr>
              <w:t>1.</w:t>
            </w:r>
            <w:r w:rsidR="00F31240" w:rsidRPr="001D6512">
              <w:rPr>
                <w:rFonts w:ascii="Calibri" w:hAnsi="Calibri" w:cs="Calibri"/>
                <w:color w:val="000000"/>
                <w:sz w:val="22"/>
                <w:szCs w:val="22"/>
              </w:rPr>
              <w:t>84</w:t>
            </w:r>
          </w:p>
        </w:tc>
      </w:tr>
      <w:tr w:rsidR="002C3BC5" w:rsidRPr="006E0899" w:rsidTr="00F31240">
        <w:trPr>
          <w:trHeight w:val="374"/>
        </w:trPr>
        <w:tc>
          <w:tcPr>
            <w:tcW w:w="655"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B20792" w:rsidP="00B20792">
            <w:pPr>
              <w:pStyle w:val="TableCell"/>
              <w:spacing w:before="60" w:after="60"/>
              <w:rPr>
                <w:rFonts w:cs="Arial"/>
                <w:color w:val="000000"/>
                <w:szCs w:val="18"/>
              </w:rPr>
            </w:pPr>
            <w:r w:rsidRPr="001D6512">
              <w:rPr>
                <w:rFonts w:cs="Arial"/>
                <w:color w:val="000000"/>
                <w:szCs w:val="18"/>
              </w:rPr>
              <w:t>Motel</w:t>
            </w:r>
          </w:p>
        </w:tc>
        <w:tc>
          <w:tcPr>
            <w:tcW w:w="772"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B20792" w:rsidP="00B20792">
            <w:pPr>
              <w:pStyle w:val="TableCell"/>
              <w:spacing w:before="60" w:after="60"/>
              <w:rPr>
                <w:rFonts w:cs="Arial"/>
                <w:color w:val="000000"/>
                <w:szCs w:val="18"/>
              </w:rPr>
            </w:pPr>
            <w:r w:rsidRPr="001D6512">
              <w:rPr>
                <w:rFonts w:cs="Arial"/>
                <w:color w:val="000000"/>
                <w:szCs w:val="18"/>
              </w:rPr>
              <w:t>Kitchen</w:t>
            </w:r>
          </w:p>
        </w:tc>
        <w:tc>
          <w:tcPr>
            <w:tcW w:w="840" w:type="pct"/>
            <w:tcBorders>
              <w:top w:val="single" w:sz="8" w:space="0" w:color="404040"/>
              <w:left w:val="single" w:sz="8" w:space="0" w:color="404040"/>
              <w:bottom w:val="single" w:sz="8" w:space="0" w:color="404040"/>
              <w:right w:val="single" w:sz="8" w:space="0" w:color="404040"/>
            </w:tcBorders>
            <w:shd w:val="clear" w:color="auto" w:fill="FFFFFF"/>
            <w:vAlign w:val="bottom"/>
          </w:tcPr>
          <w:p w:rsidR="00B20792" w:rsidRPr="001D6512" w:rsidRDefault="00F31240" w:rsidP="002379FB">
            <w:pPr>
              <w:pStyle w:val="TableCell"/>
              <w:spacing w:before="60" w:after="60"/>
              <w:jc w:val="right"/>
              <w:rPr>
                <w:rFonts w:cs="Arial"/>
                <w:color w:val="000000"/>
                <w:szCs w:val="18"/>
              </w:rPr>
            </w:pPr>
            <w:r w:rsidRPr="001D6512">
              <w:rPr>
                <w:rFonts w:ascii="Calibri" w:hAnsi="Calibri" w:cs="Calibri"/>
                <w:color w:val="000000"/>
                <w:sz w:val="22"/>
                <w:szCs w:val="22"/>
              </w:rPr>
              <w:t>97,870</w:t>
            </w:r>
          </w:p>
        </w:tc>
        <w:tc>
          <w:tcPr>
            <w:tcW w:w="622"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B20792" w:rsidP="00B20792">
            <w:pPr>
              <w:pStyle w:val="TableCell"/>
              <w:spacing w:before="60" w:after="60"/>
              <w:jc w:val="right"/>
              <w:rPr>
                <w:rFonts w:cs="Arial"/>
                <w:color w:val="000000"/>
                <w:szCs w:val="18"/>
              </w:rPr>
            </w:pPr>
            <w:r w:rsidRPr="001D6512">
              <w:rPr>
                <w:rFonts w:cs="Arial"/>
                <w:color w:val="000000"/>
                <w:szCs w:val="18"/>
              </w:rPr>
              <w:t>2.2</w:t>
            </w:r>
          </w:p>
        </w:tc>
        <w:tc>
          <w:tcPr>
            <w:tcW w:w="681"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B20792" w:rsidP="00B20792">
            <w:pPr>
              <w:pStyle w:val="TableCell"/>
              <w:spacing w:before="60" w:after="60"/>
              <w:jc w:val="right"/>
              <w:rPr>
                <w:rFonts w:cs="Arial"/>
                <w:color w:val="000000"/>
                <w:szCs w:val="18"/>
              </w:rPr>
            </w:pPr>
            <w:r w:rsidRPr="001D6512">
              <w:rPr>
                <w:rFonts w:cs="Arial"/>
                <w:color w:val="000000"/>
                <w:szCs w:val="18"/>
              </w:rPr>
              <w:t>1.30</w:t>
            </w:r>
          </w:p>
        </w:tc>
        <w:tc>
          <w:tcPr>
            <w:tcW w:w="779" w:type="pct"/>
            <w:tcBorders>
              <w:top w:val="single" w:sz="8" w:space="0" w:color="404040"/>
              <w:left w:val="single" w:sz="8" w:space="0" w:color="404040"/>
              <w:bottom w:val="single" w:sz="8" w:space="0" w:color="404040"/>
              <w:right w:val="single" w:sz="8" w:space="0" w:color="404040"/>
            </w:tcBorders>
            <w:shd w:val="clear" w:color="auto" w:fill="FFFFFF"/>
            <w:vAlign w:val="bottom"/>
          </w:tcPr>
          <w:p w:rsidR="00B20792" w:rsidRPr="001D6512" w:rsidRDefault="00F31240" w:rsidP="002379FB">
            <w:pPr>
              <w:pStyle w:val="TableCell"/>
              <w:spacing w:before="60" w:after="60"/>
              <w:jc w:val="right"/>
              <w:rPr>
                <w:rFonts w:cs="Arial"/>
                <w:color w:val="000000"/>
                <w:szCs w:val="18"/>
              </w:rPr>
            </w:pPr>
            <w:r w:rsidRPr="001D6512">
              <w:rPr>
                <w:rFonts w:ascii="Calibri" w:hAnsi="Calibri" w:cs="Calibri"/>
                <w:color w:val="000000"/>
                <w:sz w:val="22"/>
                <w:szCs w:val="22"/>
              </w:rPr>
              <w:t>11,704</w:t>
            </w:r>
          </w:p>
        </w:tc>
        <w:tc>
          <w:tcPr>
            <w:tcW w:w="652" w:type="pct"/>
            <w:tcBorders>
              <w:top w:val="single" w:sz="8" w:space="0" w:color="404040"/>
              <w:left w:val="single" w:sz="8" w:space="0" w:color="404040"/>
              <w:bottom w:val="single" w:sz="8" w:space="0" w:color="404040"/>
              <w:right w:val="single" w:sz="8" w:space="0" w:color="404040"/>
            </w:tcBorders>
            <w:shd w:val="clear" w:color="auto" w:fill="FFFFFF"/>
            <w:vAlign w:val="bottom"/>
          </w:tcPr>
          <w:p w:rsidR="00B20792" w:rsidRPr="001D6512" w:rsidRDefault="00D74AE2" w:rsidP="00B20792">
            <w:pPr>
              <w:pStyle w:val="TableCell"/>
              <w:spacing w:before="60" w:after="60"/>
              <w:jc w:val="right"/>
              <w:rPr>
                <w:rFonts w:cs="Arial"/>
                <w:color w:val="000000"/>
                <w:szCs w:val="18"/>
              </w:rPr>
            </w:pPr>
            <w:r w:rsidRPr="00D74AE2">
              <w:rPr>
                <w:color w:val="000000"/>
              </w:rPr>
              <w:t>2.</w:t>
            </w:r>
            <w:r w:rsidR="00F31240" w:rsidRPr="001D6512">
              <w:rPr>
                <w:rFonts w:ascii="Calibri" w:hAnsi="Calibri" w:cs="Calibri"/>
                <w:color w:val="000000"/>
                <w:sz w:val="22"/>
                <w:szCs w:val="22"/>
              </w:rPr>
              <w:t>02</w:t>
            </w:r>
          </w:p>
        </w:tc>
      </w:tr>
      <w:tr w:rsidR="002C3BC5" w:rsidRPr="006E0899" w:rsidTr="00F31240">
        <w:trPr>
          <w:trHeight w:val="374"/>
        </w:trPr>
        <w:tc>
          <w:tcPr>
            <w:tcW w:w="655"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B20792" w:rsidP="00B20792">
            <w:pPr>
              <w:pStyle w:val="TableCell"/>
              <w:spacing w:before="60" w:after="60"/>
              <w:rPr>
                <w:rFonts w:cs="Arial"/>
                <w:color w:val="000000"/>
                <w:szCs w:val="18"/>
              </w:rPr>
            </w:pPr>
            <w:r w:rsidRPr="001D6512">
              <w:rPr>
                <w:rFonts w:cs="Arial"/>
                <w:color w:val="000000"/>
                <w:szCs w:val="18"/>
              </w:rPr>
              <w:t>Small Office</w:t>
            </w:r>
          </w:p>
        </w:tc>
        <w:tc>
          <w:tcPr>
            <w:tcW w:w="772"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B20792" w:rsidP="00B20792">
            <w:pPr>
              <w:pStyle w:val="TableCell"/>
              <w:spacing w:before="60" w:after="60"/>
              <w:rPr>
                <w:rFonts w:cs="Arial"/>
                <w:color w:val="000000"/>
                <w:szCs w:val="18"/>
              </w:rPr>
            </w:pPr>
            <w:r w:rsidRPr="001D6512">
              <w:rPr>
                <w:rFonts w:cs="Arial"/>
                <w:color w:val="000000"/>
                <w:szCs w:val="18"/>
              </w:rPr>
              <w:t>Unconditioned Space</w:t>
            </w:r>
          </w:p>
        </w:tc>
        <w:tc>
          <w:tcPr>
            <w:tcW w:w="840"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F31240" w:rsidP="002379FB">
            <w:pPr>
              <w:pStyle w:val="TableCell"/>
              <w:spacing w:before="60" w:after="60"/>
              <w:jc w:val="right"/>
              <w:rPr>
                <w:rFonts w:cs="Arial"/>
                <w:color w:val="000000"/>
                <w:szCs w:val="18"/>
              </w:rPr>
            </w:pPr>
            <w:r w:rsidRPr="001D6512">
              <w:rPr>
                <w:rFonts w:ascii="Calibri" w:hAnsi="Calibri" w:cs="Calibri"/>
                <w:color w:val="000000"/>
                <w:sz w:val="22"/>
                <w:szCs w:val="22"/>
              </w:rPr>
              <w:t>24,377</w:t>
            </w:r>
          </w:p>
        </w:tc>
        <w:tc>
          <w:tcPr>
            <w:tcW w:w="622"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B20792" w:rsidP="00B20792">
            <w:pPr>
              <w:pStyle w:val="TableCell"/>
              <w:spacing w:before="60" w:after="60"/>
              <w:jc w:val="right"/>
              <w:rPr>
                <w:rFonts w:cs="Arial"/>
                <w:color w:val="000000"/>
                <w:szCs w:val="18"/>
              </w:rPr>
            </w:pPr>
            <w:r w:rsidRPr="001D6512">
              <w:rPr>
                <w:rFonts w:cs="Arial"/>
                <w:color w:val="000000"/>
                <w:szCs w:val="18"/>
              </w:rPr>
              <w:t>2.2</w:t>
            </w:r>
          </w:p>
        </w:tc>
        <w:tc>
          <w:tcPr>
            <w:tcW w:w="681"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B20792" w:rsidP="00B20792">
            <w:pPr>
              <w:pStyle w:val="TableCell"/>
              <w:spacing w:before="60" w:after="60"/>
              <w:jc w:val="right"/>
              <w:rPr>
                <w:rFonts w:cs="Arial"/>
                <w:color w:val="000000"/>
                <w:szCs w:val="18"/>
              </w:rPr>
            </w:pPr>
            <w:r w:rsidRPr="001D6512">
              <w:rPr>
                <w:rFonts w:cs="Arial"/>
                <w:color w:val="000000"/>
                <w:szCs w:val="18"/>
              </w:rPr>
              <w:t>0.80</w:t>
            </w:r>
          </w:p>
        </w:tc>
        <w:tc>
          <w:tcPr>
            <w:tcW w:w="779" w:type="pct"/>
            <w:tcBorders>
              <w:top w:val="single" w:sz="8" w:space="0" w:color="404040"/>
              <w:left w:val="single" w:sz="8" w:space="0" w:color="404040"/>
              <w:bottom w:val="single" w:sz="8" w:space="0" w:color="404040"/>
              <w:right w:val="single" w:sz="8" w:space="0" w:color="404040"/>
            </w:tcBorders>
            <w:shd w:val="clear" w:color="auto" w:fill="FFFFFF"/>
            <w:vAlign w:val="bottom"/>
          </w:tcPr>
          <w:p w:rsidR="00B20792" w:rsidRPr="001D6512" w:rsidRDefault="00D74AE2" w:rsidP="00B20792">
            <w:pPr>
              <w:pStyle w:val="TableCell"/>
              <w:spacing w:before="60" w:after="60"/>
              <w:jc w:val="right"/>
              <w:rPr>
                <w:rFonts w:cs="Arial"/>
                <w:color w:val="000000"/>
                <w:szCs w:val="18"/>
              </w:rPr>
            </w:pPr>
            <w:r w:rsidRPr="00D74AE2">
              <w:rPr>
                <w:color w:val="000000"/>
              </w:rPr>
              <w:t>2,</w:t>
            </w:r>
            <w:r w:rsidR="00F31240" w:rsidRPr="001D6512">
              <w:rPr>
                <w:rFonts w:ascii="Calibri" w:hAnsi="Calibri" w:cs="Calibri"/>
                <w:color w:val="000000"/>
                <w:sz w:val="22"/>
                <w:szCs w:val="22"/>
              </w:rPr>
              <w:t>073</w:t>
            </w:r>
          </w:p>
        </w:tc>
        <w:tc>
          <w:tcPr>
            <w:tcW w:w="652" w:type="pct"/>
            <w:tcBorders>
              <w:top w:val="single" w:sz="8" w:space="0" w:color="404040"/>
              <w:left w:val="single" w:sz="8" w:space="0" w:color="404040"/>
              <w:bottom w:val="single" w:sz="8" w:space="0" w:color="404040"/>
              <w:right w:val="single" w:sz="8" w:space="0" w:color="404040"/>
            </w:tcBorders>
            <w:shd w:val="clear" w:color="auto" w:fill="FFFFFF"/>
            <w:vAlign w:val="bottom"/>
          </w:tcPr>
          <w:p w:rsidR="00B20792" w:rsidRPr="001D6512" w:rsidRDefault="00D74AE2" w:rsidP="00B20792">
            <w:pPr>
              <w:pStyle w:val="TableCell"/>
              <w:spacing w:before="60" w:after="60"/>
              <w:jc w:val="right"/>
              <w:rPr>
                <w:rFonts w:cs="Arial"/>
                <w:color w:val="000000"/>
                <w:szCs w:val="18"/>
              </w:rPr>
            </w:pPr>
            <w:r w:rsidRPr="00D74AE2">
              <w:rPr>
                <w:color w:val="000000"/>
              </w:rPr>
              <w:t>0.</w:t>
            </w:r>
            <w:r w:rsidR="00F31240" w:rsidRPr="001D6512">
              <w:rPr>
                <w:rFonts w:ascii="Calibri" w:hAnsi="Calibri" w:cs="Calibri"/>
                <w:color w:val="000000"/>
                <w:sz w:val="22"/>
                <w:szCs w:val="22"/>
              </w:rPr>
              <w:t>36</w:t>
            </w:r>
          </w:p>
        </w:tc>
      </w:tr>
      <w:tr w:rsidR="002C3BC5" w:rsidRPr="006E0899" w:rsidTr="00F31240">
        <w:trPr>
          <w:trHeight w:val="374"/>
        </w:trPr>
        <w:tc>
          <w:tcPr>
            <w:tcW w:w="655"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B20792" w:rsidP="00B20792">
            <w:pPr>
              <w:pStyle w:val="TableCell"/>
              <w:spacing w:before="60" w:after="60"/>
              <w:rPr>
                <w:rFonts w:cs="Arial"/>
                <w:color w:val="000000"/>
                <w:szCs w:val="18"/>
              </w:rPr>
            </w:pPr>
            <w:r w:rsidRPr="001D6512">
              <w:rPr>
                <w:rFonts w:cs="Arial"/>
                <w:color w:val="000000"/>
                <w:szCs w:val="18"/>
              </w:rPr>
              <w:t>Small Office</w:t>
            </w:r>
          </w:p>
        </w:tc>
        <w:tc>
          <w:tcPr>
            <w:tcW w:w="772"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B20792" w:rsidP="00B20792">
            <w:pPr>
              <w:pStyle w:val="TableCell"/>
              <w:spacing w:before="60" w:after="60"/>
              <w:rPr>
                <w:rFonts w:cs="Arial"/>
                <w:color w:val="000000"/>
                <w:szCs w:val="18"/>
              </w:rPr>
            </w:pPr>
            <w:r w:rsidRPr="001D6512">
              <w:rPr>
                <w:rFonts w:cs="Arial"/>
                <w:color w:val="000000"/>
                <w:szCs w:val="18"/>
              </w:rPr>
              <w:t>Conditioned Space</w:t>
            </w:r>
          </w:p>
        </w:tc>
        <w:tc>
          <w:tcPr>
            <w:tcW w:w="840"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F31240" w:rsidP="002379FB">
            <w:pPr>
              <w:pStyle w:val="TableCell"/>
              <w:spacing w:before="60" w:after="60"/>
              <w:jc w:val="right"/>
              <w:rPr>
                <w:rFonts w:cs="Arial"/>
                <w:color w:val="000000"/>
                <w:szCs w:val="18"/>
              </w:rPr>
            </w:pPr>
            <w:r w:rsidRPr="001D6512">
              <w:rPr>
                <w:rFonts w:ascii="Calibri" w:hAnsi="Calibri" w:cs="Calibri"/>
                <w:color w:val="000000"/>
                <w:sz w:val="22"/>
                <w:szCs w:val="22"/>
              </w:rPr>
              <w:t>24,377</w:t>
            </w:r>
          </w:p>
        </w:tc>
        <w:tc>
          <w:tcPr>
            <w:tcW w:w="622"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B20792" w:rsidP="00B20792">
            <w:pPr>
              <w:pStyle w:val="TableCell"/>
              <w:spacing w:before="60" w:after="60"/>
              <w:jc w:val="right"/>
              <w:rPr>
                <w:rFonts w:cs="Arial"/>
                <w:color w:val="000000"/>
                <w:szCs w:val="18"/>
              </w:rPr>
            </w:pPr>
            <w:r w:rsidRPr="001D6512">
              <w:rPr>
                <w:rFonts w:cs="Arial"/>
                <w:color w:val="000000"/>
                <w:szCs w:val="18"/>
              </w:rPr>
              <w:t>2.2</w:t>
            </w:r>
          </w:p>
        </w:tc>
        <w:tc>
          <w:tcPr>
            <w:tcW w:w="681"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B20792" w:rsidP="00B20792">
            <w:pPr>
              <w:pStyle w:val="TableCell"/>
              <w:spacing w:before="60" w:after="60"/>
              <w:jc w:val="right"/>
              <w:rPr>
                <w:rFonts w:cs="Arial"/>
                <w:color w:val="000000"/>
                <w:szCs w:val="18"/>
              </w:rPr>
            </w:pPr>
            <w:r w:rsidRPr="001D6512">
              <w:rPr>
                <w:rFonts w:cs="Arial"/>
                <w:color w:val="000000"/>
                <w:szCs w:val="18"/>
              </w:rPr>
              <w:t>1.09</w:t>
            </w:r>
          </w:p>
        </w:tc>
        <w:tc>
          <w:tcPr>
            <w:tcW w:w="779" w:type="pct"/>
            <w:tcBorders>
              <w:top w:val="single" w:sz="8" w:space="0" w:color="404040"/>
              <w:left w:val="single" w:sz="8" w:space="0" w:color="404040"/>
              <w:bottom w:val="single" w:sz="8" w:space="0" w:color="404040"/>
              <w:right w:val="single" w:sz="8" w:space="0" w:color="404040"/>
            </w:tcBorders>
            <w:shd w:val="clear" w:color="auto" w:fill="FFFFFF"/>
            <w:vAlign w:val="bottom"/>
          </w:tcPr>
          <w:p w:rsidR="00B20792" w:rsidRPr="001D6512" w:rsidRDefault="00D74AE2" w:rsidP="00B20792">
            <w:pPr>
              <w:pStyle w:val="TableCell"/>
              <w:spacing w:before="60" w:after="60"/>
              <w:jc w:val="right"/>
              <w:rPr>
                <w:rFonts w:cs="Arial"/>
                <w:color w:val="000000"/>
                <w:szCs w:val="18"/>
              </w:rPr>
            </w:pPr>
            <w:r w:rsidRPr="00D74AE2">
              <w:rPr>
                <w:color w:val="000000"/>
              </w:rPr>
              <w:t>2,</w:t>
            </w:r>
            <w:r w:rsidR="00F31240" w:rsidRPr="001D6512">
              <w:rPr>
                <w:rFonts w:ascii="Calibri" w:hAnsi="Calibri" w:cs="Calibri"/>
                <w:color w:val="000000"/>
                <w:sz w:val="22"/>
                <w:szCs w:val="22"/>
              </w:rPr>
              <w:t>656</w:t>
            </w:r>
          </w:p>
        </w:tc>
        <w:tc>
          <w:tcPr>
            <w:tcW w:w="652" w:type="pct"/>
            <w:tcBorders>
              <w:top w:val="single" w:sz="8" w:space="0" w:color="404040"/>
              <w:left w:val="single" w:sz="8" w:space="0" w:color="404040"/>
              <w:bottom w:val="single" w:sz="8" w:space="0" w:color="404040"/>
              <w:right w:val="single" w:sz="8" w:space="0" w:color="404040"/>
            </w:tcBorders>
            <w:shd w:val="clear" w:color="auto" w:fill="FFFFFF"/>
            <w:vAlign w:val="bottom"/>
          </w:tcPr>
          <w:p w:rsidR="00B20792" w:rsidRPr="001D6512" w:rsidRDefault="00D74AE2" w:rsidP="00B20792">
            <w:pPr>
              <w:pStyle w:val="TableCell"/>
              <w:spacing w:before="60" w:after="60"/>
              <w:jc w:val="right"/>
              <w:rPr>
                <w:rFonts w:cs="Arial"/>
                <w:color w:val="000000"/>
                <w:szCs w:val="18"/>
              </w:rPr>
            </w:pPr>
            <w:r w:rsidRPr="00D74AE2">
              <w:rPr>
                <w:color w:val="000000"/>
              </w:rPr>
              <w:t>0.</w:t>
            </w:r>
            <w:r w:rsidR="00F31240" w:rsidRPr="001D6512">
              <w:rPr>
                <w:rFonts w:ascii="Calibri" w:hAnsi="Calibri" w:cs="Calibri"/>
                <w:color w:val="000000"/>
                <w:sz w:val="22"/>
                <w:szCs w:val="22"/>
              </w:rPr>
              <w:t>46</w:t>
            </w:r>
          </w:p>
        </w:tc>
      </w:tr>
      <w:tr w:rsidR="002C3BC5" w:rsidRPr="006E0899" w:rsidTr="00F31240">
        <w:trPr>
          <w:trHeight w:val="374"/>
        </w:trPr>
        <w:tc>
          <w:tcPr>
            <w:tcW w:w="655"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B20792" w:rsidP="00B20792">
            <w:pPr>
              <w:pStyle w:val="TableCell"/>
              <w:spacing w:before="60" w:after="60"/>
              <w:rPr>
                <w:rFonts w:cs="Arial"/>
                <w:color w:val="000000"/>
                <w:szCs w:val="18"/>
              </w:rPr>
            </w:pPr>
            <w:r w:rsidRPr="001D6512">
              <w:rPr>
                <w:rFonts w:cs="Arial"/>
                <w:color w:val="000000"/>
                <w:szCs w:val="18"/>
              </w:rPr>
              <w:t>Small Office</w:t>
            </w:r>
          </w:p>
        </w:tc>
        <w:tc>
          <w:tcPr>
            <w:tcW w:w="772"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B20792" w:rsidP="00B20792">
            <w:pPr>
              <w:pStyle w:val="TableCell"/>
              <w:spacing w:before="60" w:after="60"/>
              <w:rPr>
                <w:rFonts w:cs="Arial"/>
                <w:color w:val="000000"/>
                <w:szCs w:val="18"/>
              </w:rPr>
            </w:pPr>
            <w:r w:rsidRPr="001D6512">
              <w:rPr>
                <w:rFonts w:cs="Arial"/>
                <w:color w:val="000000"/>
                <w:szCs w:val="18"/>
              </w:rPr>
              <w:t>Kitchen</w:t>
            </w:r>
          </w:p>
        </w:tc>
        <w:tc>
          <w:tcPr>
            <w:tcW w:w="840"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F31240" w:rsidP="002379FB">
            <w:pPr>
              <w:pStyle w:val="TableCell"/>
              <w:spacing w:before="60" w:after="60"/>
              <w:jc w:val="right"/>
              <w:rPr>
                <w:rFonts w:cs="Arial"/>
                <w:color w:val="000000"/>
                <w:szCs w:val="18"/>
              </w:rPr>
            </w:pPr>
            <w:r w:rsidRPr="001D6512">
              <w:rPr>
                <w:rFonts w:ascii="Calibri" w:hAnsi="Calibri" w:cs="Calibri"/>
                <w:color w:val="000000"/>
                <w:sz w:val="22"/>
                <w:szCs w:val="22"/>
              </w:rPr>
              <w:t>24,377</w:t>
            </w:r>
          </w:p>
        </w:tc>
        <w:tc>
          <w:tcPr>
            <w:tcW w:w="622"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B20792" w:rsidP="00B20792">
            <w:pPr>
              <w:pStyle w:val="TableCell"/>
              <w:spacing w:before="60" w:after="60"/>
              <w:jc w:val="right"/>
              <w:rPr>
                <w:rFonts w:cs="Arial"/>
                <w:color w:val="000000"/>
                <w:szCs w:val="18"/>
              </w:rPr>
            </w:pPr>
            <w:r w:rsidRPr="001D6512">
              <w:rPr>
                <w:rFonts w:cs="Arial"/>
                <w:color w:val="000000"/>
                <w:szCs w:val="18"/>
              </w:rPr>
              <w:t>2.2</w:t>
            </w:r>
          </w:p>
        </w:tc>
        <w:tc>
          <w:tcPr>
            <w:tcW w:w="681"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B20792" w:rsidP="00B20792">
            <w:pPr>
              <w:pStyle w:val="TableCell"/>
              <w:spacing w:before="60" w:after="60"/>
              <w:jc w:val="right"/>
              <w:rPr>
                <w:rFonts w:cs="Arial"/>
                <w:color w:val="000000"/>
                <w:szCs w:val="18"/>
              </w:rPr>
            </w:pPr>
            <w:r w:rsidRPr="001D6512">
              <w:rPr>
                <w:rFonts w:cs="Arial"/>
                <w:color w:val="000000"/>
                <w:szCs w:val="18"/>
              </w:rPr>
              <w:t>1.30</w:t>
            </w:r>
          </w:p>
        </w:tc>
        <w:tc>
          <w:tcPr>
            <w:tcW w:w="779" w:type="pct"/>
            <w:tcBorders>
              <w:top w:val="single" w:sz="8" w:space="0" w:color="404040"/>
              <w:left w:val="single" w:sz="8" w:space="0" w:color="404040"/>
              <w:bottom w:val="single" w:sz="8" w:space="0" w:color="404040"/>
              <w:right w:val="single" w:sz="8" w:space="0" w:color="404040"/>
            </w:tcBorders>
            <w:shd w:val="clear" w:color="auto" w:fill="FFFFFF"/>
            <w:vAlign w:val="bottom"/>
          </w:tcPr>
          <w:p w:rsidR="00B20792" w:rsidRPr="001D6512" w:rsidRDefault="00F31240" w:rsidP="002379FB">
            <w:pPr>
              <w:pStyle w:val="TableCell"/>
              <w:spacing w:before="60" w:after="60"/>
              <w:jc w:val="right"/>
              <w:rPr>
                <w:rFonts w:cs="Arial"/>
                <w:color w:val="000000"/>
                <w:szCs w:val="18"/>
              </w:rPr>
            </w:pPr>
            <w:r w:rsidRPr="001D6512">
              <w:rPr>
                <w:rFonts w:ascii="Calibri" w:hAnsi="Calibri" w:cs="Calibri"/>
                <w:color w:val="000000"/>
                <w:sz w:val="22"/>
                <w:szCs w:val="22"/>
              </w:rPr>
              <w:t>2,915</w:t>
            </w:r>
          </w:p>
        </w:tc>
        <w:tc>
          <w:tcPr>
            <w:tcW w:w="652" w:type="pct"/>
            <w:tcBorders>
              <w:top w:val="single" w:sz="8" w:space="0" w:color="404040"/>
              <w:left w:val="single" w:sz="8" w:space="0" w:color="404040"/>
              <w:bottom w:val="single" w:sz="8" w:space="0" w:color="404040"/>
              <w:right w:val="single" w:sz="8" w:space="0" w:color="404040"/>
            </w:tcBorders>
            <w:shd w:val="clear" w:color="auto" w:fill="FFFFFF"/>
            <w:vAlign w:val="bottom"/>
          </w:tcPr>
          <w:p w:rsidR="00B20792" w:rsidRPr="001D6512" w:rsidRDefault="00D74AE2" w:rsidP="00B20792">
            <w:pPr>
              <w:pStyle w:val="TableCell"/>
              <w:spacing w:before="60" w:after="60"/>
              <w:jc w:val="right"/>
              <w:rPr>
                <w:rFonts w:cs="Arial"/>
                <w:color w:val="000000"/>
                <w:szCs w:val="18"/>
              </w:rPr>
            </w:pPr>
            <w:r w:rsidRPr="00D74AE2">
              <w:rPr>
                <w:color w:val="000000"/>
              </w:rPr>
              <w:t>0.</w:t>
            </w:r>
            <w:r w:rsidR="00F31240" w:rsidRPr="001D6512">
              <w:rPr>
                <w:rFonts w:ascii="Calibri" w:hAnsi="Calibri" w:cs="Calibri"/>
                <w:color w:val="000000"/>
                <w:sz w:val="22"/>
                <w:szCs w:val="22"/>
              </w:rPr>
              <w:t>50</w:t>
            </w:r>
          </w:p>
        </w:tc>
      </w:tr>
      <w:tr w:rsidR="002C3BC5" w:rsidRPr="006E0899" w:rsidTr="00F31240">
        <w:trPr>
          <w:trHeight w:val="374"/>
        </w:trPr>
        <w:tc>
          <w:tcPr>
            <w:tcW w:w="655"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B20792" w:rsidP="00B20792">
            <w:pPr>
              <w:pStyle w:val="TableCell"/>
              <w:spacing w:before="60" w:after="60"/>
              <w:rPr>
                <w:rFonts w:cs="Arial"/>
                <w:color w:val="000000"/>
                <w:szCs w:val="18"/>
              </w:rPr>
            </w:pPr>
            <w:r w:rsidRPr="001D6512">
              <w:rPr>
                <w:rFonts w:cs="Arial"/>
                <w:color w:val="000000"/>
                <w:szCs w:val="18"/>
              </w:rPr>
              <w:t>Small Retail</w:t>
            </w:r>
          </w:p>
        </w:tc>
        <w:tc>
          <w:tcPr>
            <w:tcW w:w="772"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B20792" w:rsidP="00B20792">
            <w:pPr>
              <w:pStyle w:val="TableCell"/>
              <w:spacing w:before="60" w:after="60"/>
              <w:rPr>
                <w:rFonts w:cs="Arial"/>
                <w:color w:val="000000"/>
                <w:szCs w:val="18"/>
              </w:rPr>
            </w:pPr>
            <w:r w:rsidRPr="001D6512">
              <w:rPr>
                <w:rFonts w:cs="Arial"/>
                <w:color w:val="000000"/>
                <w:szCs w:val="18"/>
              </w:rPr>
              <w:t>Unconditioned Space</w:t>
            </w:r>
          </w:p>
        </w:tc>
        <w:tc>
          <w:tcPr>
            <w:tcW w:w="840"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F31240" w:rsidP="002379FB">
            <w:pPr>
              <w:pStyle w:val="TableCell"/>
              <w:spacing w:before="60" w:after="60"/>
              <w:jc w:val="right"/>
              <w:rPr>
                <w:rFonts w:cs="Arial"/>
                <w:color w:val="000000"/>
                <w:szCs w:val="18"/>
              </w:rPr>
            </w:pPr>
            <w:r w:rsidRPr="001D6512">
              <w:rPr>
                <w:rFonts w:ascii="Calibri" w:hAnsi="Calibri" w:cs="Calibri"/>
                <w:color w:val="000000"/>
                <w:sz w:val="22"/>
                <w:szCs w:val="22"/>
              </w:rPr>
              <w:t>11,183</w:t>
            </w:r>
          </w:p>
        </w:tc>
        <w:tc>
          <w:tcPr>
            <w:tcW w:w="622" w:type="pct"/>
            <w:tcBorders>
              <w:top w:val="single" w:sz="8" w:space="0" w:color="404040"/>
              <w:left w:val="single" w:sz="8" w:space="0" w:color="404040"/>
              <w:bottom w:val="single" w:sz="8" w:space="0" w:color="404040"/>
              <w:right w:val="single" w:sz="8" w:space="0" w:color="404040"/>
            </w:tcBorders>
            <w:shd w:val="clear" w:color="auto" w:fill="FFFFFF"/>
          </w:tcPr>
          <w:p w:rsidR="00B20792" w:rsidRDefault="00B20792" w:rsidP="00B20792">
            <w:pPr>
              <w:spacing w:before="60" w:after="60"/>
              <w:jc w:val="right"/>
              <w:rPr>
                <w:rFonts w:cs="Arial"/>
                <w:sz w:val="18"/>
                <w:szCs w:val="18"/>
              </w:rPr>
            </w:pPr>
            <w:r w:rsidRPr="005C0502">
              <w:rPr>
                <w:rFonts w:cs="Arial"/>
                <w:color w:val="000000"/>
                <w:sz w:val="18"/>
                <w:szCs w:val="18"/>
              </w:rPr>
              <w:t>2.2</w:t>
            </w:r>
          </w:p>
        </w:tc>
        <w:tc>
          <w:tcPr>
            <w:tcW w:w="681"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B20792" w:rsidP="00B20792">
            <w:pPr>
              <w:pStyle w:val="TableCell"/>
              <w:spacing w:before="60" w:after="60"/>
              <w:jc w:val="right"/>
              <w:rPr>
                <w:rFonts w:cs="Arial"/>
                <w:color w:val="000000"/>
                <w:szCs w:val="18"/>
              </w:rPr>
            </w:pPr>
            <w:r w:rsidRPr="001D6512">
              <w:rPr>
                <w:rFonts w:cs="Arial"/>
                <w:color w:val="000000"/>
                <w:szCs w:val="18"/>
              </w:rPr>
              <w:t>0.80</w:t>
            </w:r>
          </w:p>
        </w:tc>
        <w:tc>
          <w:tcPr>
            <w:tcW w:w="779" w:type="pct"/>
            <w:tcBorders>
              <w:top w:val="single" w:sz="8" w:space="0" w:color="404040"/>
              <w:left w:val="single" w:sz="8" w:space="0" w:color="404040"/>
              <w:bottom w:val="single" w:sz="8" w:space="0" w:color="404040"/>
              <w:right w:val="single" w:sz="8" w:space="0" w:color="404040"/>
            </w:tcBorders>
            <w:shd w:val="clear" w:color="auto" w:fill="FFFFFF"/>
            <w:vAlign w:val="bottom"/>
          </w:tcPr>
          <w:p w:rsidR="00B20792" w:rsidRPr="001D6512" w:rsidRDefault="00F31240" w:rsidP="002379FB">
            <w:pPr>
              <w:pStyle w:val="TableCell"/>
              <w:spacing w:before="60" w:after="60"/>
              <w:jc w:val="right"/>
              <w:rPr>
                <w:rFonts w:cs="Arial"/>
                <w:color w:val="000000"/>
                <w:szCs w:val="18"/>
              </w:rPr>
            </w:pPr>
            <w:r w:rsidRPr="001D6512">
              <w:rPr>
                <w:rFonts w:ascii="Calibri" w:hAnsi="Calibri" w:cs="Calibri"/>
                <w:color w:val="000000"/>
                <w:sz w:val="22"/>
                <w:szCs w:val="22"/>
              </w:rPr>
              <w:t>951</w:t>
            </w:r>
          </w:p>
        </w:tc>
        <w:tc>
          <w:tcPr>
            <w:tcW w:w="652" w:type="pct"/>
            <w:tcBorders>
              <w:top w:val="single" w:sz="8" w:space="0" w:color="404040"/>
              <w:left w:val="single" w:sz="8" w:space="0" w:color="404040"/>
              <w:bottom w:val="single" w:sz="8" w:space="0" w:color="404040"/>
              <w:right w:val="single" w:sz="8" w:space="0" w:color="404040"/>
            </w:tcBorders>
            <w:shd w:val="clear" w:color="auto" w:fill="FFFFFF"/>
            <w:vAlign w:val="bottom"/>
          </w:tcPr>
          <w:p w:rsidR="00B20792" w:rsidRPr="001D6512" w:rsidRDefault="00D74AE2" w:rsidP="00B20792">
            <w:pPr>
              <w:pStyle w:val="TableCell"/>
              <w:spacing w:before="60" w:after="60"/>
              <w:jc w:val="right"/>
              <w:rPr>
                <w:rFonts w:cs="Arial"/>
                <w:color w:val="000000"/>
                <w:szCs w:val="18"/>
              </w:rPr>
            </w:pPr>
            <w:r w:rsidRPr="00D74AE2">
              <w:rPr>
                <w:color w:val="000000"/>
              </w:rPr>
              <w:t>0.</w:t>
            </w:r>
            <w:r w:rsidR="00F31240" w:rsidRPr="001D6512">
              <w:rPr>
                <w:rFonts w:ascii="Calibri" w:hAnsi="Calibri" w:cs="Calibri"/>
                <w:color w:val="000000"/>
                <w:sz w:val="22"/>
                <w:szCs w:val="22"/>
              </w:rPr>
              <w:t>16</w:t>
            </w:r>
          </w:p>
        </w:tc>
      </w:tr>
      <w:tr w:rsidR="002C3BC5" w:rsidRPr="006E0899" w:rsidTr="00F31240">
        <w:trPr>
          <w:trHeight w:val="374"/>
        </w:trPr>
        <w:tc>
          <w:tcPr>
            <w:tcW w:w="655" w:type="pct"/>
            <w:tcBorders>
              <w:top w:val="single" w:sz="8" w:space="0" w:color="404040"/>
              <w:left w:val="single" w:sz="8" w:space="0" w:color="404040"/>
              <w:bottom w:val="single" w:sz="8" w:space="0" w:color="404040"/>
              <w:right w:val="single" w:sz="8" w:space="0" w:color="404040"/>
            </w:tcBorders>
            <w:shd w:val="clear" w:color="auto" w:fill="FFFFFF"/>
          </w:tcPr>
          <w:p w:rsidR="00B20792" w:rsidRDefault="00B20792" w:rsidP="00B20792">
            <w:pPr>
              <w:spacing w:before="60" w:after="60"/>
              <w:rPr>
                <w:rFonts w:cs="Arial"/>
                <w:sz w:val="18"/>
                <w:szCs w:val="18"/>
              </w:rPr>
            </w:pPr>
            <w:r w:rsidRPr="005C0502">
              <w:rPr>
                <w:rFonts w:cs="Arial"/>
                <w:color w:val="000000"/>
                <w:sz w:val="18"/>
                <w:szCs w:val="18"/>
              </w:rPr>
              <w:t>Small Retail</w:t>
            </w:r>
          </w:p>
        </w:tc>
        <w:tc>
          <w:tcPr>
            <w:tcW w:w="772"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B20792" w:rsidP="00B20792">
            <w:pPr>
              <w:pStyle w:val="TableCell"/>
              <w:spacing w:before="60" w:after="60"/>
              <w:rPr>
                <w:rFonts w:cs="Arial"/>
                <w:color w:val="000000"/>
                <w:szCs w:val="18"/>
              </w:rPr>
            </w:pPr>
            <w:r w:rsidRPr="001D6512">
              <w:rPr>
                <w:rFonts w:cs="Arial"/>
                <w:color w:val="000000"/>
                <w:szCs w:val="18"/>
              </w:rPr>
              <w:t>Conditioned Space</w:t>
            </w:r>
          </w:p>
        </w:tc>
        <w:tc>
          <w:tcPr>
            <w:tcW w:w="840" w:type="pct"/>
            <w:tcBorders>
              <w:top w:val="single" w:sz="8" w:space="0" w:color="404040"/>
              <w:left w:val="single" w:sz="8" w:space="0" w:color="404040"/>
              <w:bottom w:val="single" w:sz="8" w:space="0" w:color="404040"/>
              <w:right w:val="single" w:sz="8" w:space="0" w:color="404040"/>
            </w:tcBorders>
            <w:shd w:val="clear" w:color="auto" w:fill="FFFFFF"/>
          </w:tcPr>
          <w:p w:rsidR="00B20792" w:rsidRDefault="00F31240" w:rsidP="002379FB">
            <w:pPr>
              <w:spacing w:before="60" w:after="60"/>
              <w:jc w:val="right"/>
              <w:rPr>
                <w:rFonts w:cs="Arial"/>
                <w:sz w:val="18"/>
                <w:szCs w:val="18"/>
              </w:rPr>
            </w:pPr>
            <w:r>
              <w:rPr>
                <w:rFonts w:ascii="Calibri" w:hAnsi="Calibri" w:cs="Calibri"/>
                <w:color w:val="000000"/>
                <w:sz w:val="22"/>
                <w:szCs w:val="22"/>
              </w:rPr>
              <w:t>11,183</w:t>
            </w:r>
          </w:p>
        </w:tc>
        <w:tc>
          <w:tcPr>
            <w:tcW w:w="622" w:type="pct"/>
            <w:tcBorders>
              <w:top w:val="single" w:sz="8" w:space="0" w:color="404040"/>
              <w:left w:val="single" w:sz="8" w:space="0" w:color="404040"/>
              <w:bottom w:val="single" w:sz="8" w:space="0" w:color="404040"/>
              <w:right w:val="single" w:sz="8" w:space="0" w:color="404040"/>
            </w:tcBorders>
            <w:shd w:val="clear" w:color="auto" w:fill="FFFFFF"/>
          </w:tcPr>
          <w:p w:rsidR="00B20792" w:rsidRDefault="00B20792" w:rsidP="00B20792">
            <w:pPr>
              <w:spacing w:before="60" w:after="60"/>
              <w:jc w:val="right"/>
              <w:rPr>
                <w:rFonts w:cs="Arial"/>
                <w:sz w:val="18"/>
                <w:szCs w:val="18"/>
              </w:rPr>
            </w:pPr>
            <w:r w:rsidRPr="005C0502">
              <w:rPr>
                <w:rFonts w:cs="Arial"/>
                <w:color w:val="000000"/>
                <w:sz w:val="18"/>
                <w:szCs w:val="18"/>
              </w:rPr>
              <w:t>2.2</w:t>
            </w:r>
          </w:p>
        </w:tc>
        <w:tc>
          <w:tcPr>
            <w:tcW w:w="681"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B20792" w:rsidP="00B20792">
            <w:pPr>
              <w:pStyle w:val="TableCell"/>
              <w:spacing w:before="60" w:after="60"/>
              <w:jc w:val="right"/>
              <w:rPr>
                <w:rFonts w:cs="Arial"/>
                <w:color w:val="000000"/>
                <w:szCs w:val="18"/>
              </w:rPr>
            </w:pPr>
            <w:r w:rsidRPr="001D6512">
              <w:rPr>
                <w:rFonts w:cs="Arial"/>
                <w:color w:val="000000"/>
                <w:szCs w:val="18"/>
              </w:rPr>
              <w:t>1.09</w:t>
            </w:r>
          </w:p>
        </w:tc>
        <w:tc>
          <w:tcPr>
            <w:tcW w:w="779" w:type="pct"/>
            <w:tcBorders>
              <w:top w:val="single" w:sz="8" w:space="0" w:color="404040"/>
              <w:left w:val="single" w:sz="8" w:space="0" w:color="404040"/>
              <w:bottom w:val="single" w:sz="8" w:space="0" w:color="404040"/>
              <w:right w:val="single" w:sz="8" w:space="0" w:color="404040"/>
            </w:tcBorders>
            <w:shd w:val="clear" w:color="auto" w:fill="FFFFFF"/>
            <w:vAlign w:val="bottom"/>
          </w:tcPr>
          <w:p w:rsidR="00B20792" w:rsidRPr="001D6512" w:rsidRDefault="00D74AE2" w:rsidP="00B20792">
            <w:pPr>
              <w:pStyle w:val="TableCell"/>
              <w:spacing w:before="60" w:after="60"/>
              <w:jc w:val="right"/>
              <w:rPr>
                <w:rFonts w:cs="Arial"/>
                <w:color w:val="000000"/>
                <w:szCs w:val="18"/>
              </w:rPr>
            </w:pPr>
            <w:r w:rsidRPr="00D74AE2">
              <w:rPr>
                <w:color w:val="000000"/>
              </w:rPr>
              <w:t>1,</w:t>
            </w:r>
            <w:r w:rsidR="00F31240" w:rsidRPr="001D6512">
              <w:rPr>
                <w:rFonts w:ascii="Calibri" w:hAnsi="Calibri" w:cs="Calibri"/>
                <w:color w:val="000000"/>
                <w:sz w:val="22"/>
                <w:szCs w:val="22"/>
              </w:rPr>
              <w:t>218</w:t>
            </w:r>
          </w:p>
        </w:tc>
        <w:tc>
          <w:tcPr>
            <w:tcW w:w="652" w:type="pct"/>
            <w:tcBorders>
              <w:top w:val="single" w:sz="8" w:space="0" w:color="404040"/>
              <w:left w:val="single" w:sz="8" w:space="0" w:color="404040"/>
              <w:bottom w:val="single" w:sz="8" w:space="0" w:color="404040"/>
              <w:right w:val="single" w:sz="8" w:space="0" w:color="404040"/>
            </w:tcBorders>
            <w:shd w:val="clear" w:color="auto" w:fill="FFFFFF"/>
            <w:vAlign w:val="bottom"/>
          </w:tcPr>
          <w:p w:rsidR="00B20792" w:rsidRPr="001D6512" w:rsidRDefault="00D74AE2" w:rsidP="00B20792">
            <w:pPr>
              <w:pStyle w:val="TableCell"/>
              <w:spacing w:before="60" w:after="60"/>
              <w:jc w:val="right"/>
              <w:rPr>
                <w:rFonts w:cs="Arial"/>
                <w:color w:val="000000"/>
                <w:szCs w:val="18"/>
              </w:rPr>
            </w:pPr>
            <w:r w:rsidRPr="00D74AE2">
              <w:rPr>
                <w:color w:val="000000"/>
              </w:rPr>
              <w:t>0.</w:t>
            </w:r>
            <w:r w:rsidR="00F31240" w:rsidRPr="001D6512">
              <w:rPr>
                <w:rFonts w:ascii="Calibri" w:hAnsi="Calibri" w:cs="Calibri"/>
                <w:color w:val="000000"/>
                <w:sz w:val="22"/>
                <w:szCs w:val="22"/>
              </w:rPr>
              <w:t>21</w:t>
            </w:r>
          </w:p>
        </w:tc>
      </w:tr>
      <w:tr w:rsidR="002C3BC5" w:rsidRPr="006E0899" w:rsidTr="00F31240">
        <w:trPr>
          <w:trHeight w:val="374"/>
        </w:trPr>
        <w:tc>
          <w:tcPr>
            <w:tcW w:w="655" w:type="pct"/>
            <w:tcBorders>
              <w:top w:val="single" w:sz="8" w:space="0" w:color="404040"/>
              <w:left w:val="single" w:sz="8" w:space="0" w:color="404040"/>
              <w:bottom w:val="single" w:sz="8" w:space="0" w:color="404040"/>
              <w:right w:val="single" w:sz="8" w:space="0" w:color="404040"/>
            </w:tcBorders>
            <w:shd w:val="clear" w:color="auto" w:fill="FFFFFF"/>
          </w:tcPr>
          <w:p w:rsidR="00B20792" w:rsidRDefault="00B20792" w:rsidP="00B20792">
            <w:pPr>
              <w:spacing w:before="60" w:after="60"/>
              <w:rPr>
                <w:rFonts w:cs="Arial"/>
                <w:sz w:val="18"/>
                <w:szCs w:val="18"/>
              </w:rPr>
            </w:pPr>
            <w:r w:rsidRPr="005C0502">
              <w:rPr>
                <w:rFonts w:cs="Arial"/>
                <w:color w:val="000000"/>
                <w:sz w:val="18"/>
                <w:szCs w:val="18"/>
              </w:rPr>
              <w:t>Small Retail</w:t>
            </w:r>
          </w:p>
        </w:tc>
        <w:tc>
          <w:tcPr>
            <w:tcW w:w="772"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B20792" w:rsidP="00B20792">
            <w:pPr>
              <w:pStyle w:val="TableCell"/>
              <w:spacing w:before="60" w:after="60"/>
              <w:rPr>
                <w:rFonts w:cs="Arial"/>
                <w:color w:val="000000"/>
                <w:szCs w:val="18"/>
              </w:rPr>
            </w:pPr>
            <w:r w:rsidRPr="001D6512">
              <w:rPr>
                <w:rFonts w:cs="Arial"/>
                <w:color w:val="000000"/>
                <w:szCs w:val="18"/>
              </w:rPr>
              <w:t>Kitchen</w:t>
            </w:r>
          </w:p>
        </w:tc>
        <w:tc>
          <w:tcPr>
            <w:tcW w:w="840" w:type="pct"/>
            <w:tcBorders>
              <w:top w:val="single" w:sz="8" w:space="0" w:color="404040"/>
              <w:left w:val="single" w:sz="8" w:space="0" w:color="404040"/>
              <w:bottom w:val="single" w:sz="8" w:space="0" w:color="404040"/>
              <w:right w:val="single" w:sz="8" w:space="0" w:color="404040"/>
            </w:tcBorders>
            <w:shd w:val="clear" w:color="auto" w:fill="FFFFFF"/>
          </w:tcPr>
          <w:p w:rsidR="00B20792" w:rsidRDefault="00F31240" w:rsidP="002379FB">
            <w:pPr>
              <w:spacing w:before="60" w:after="60"/>
              <w:jc w:val="right"/>
              <w:rPr>
                <w:rFonts w:cs="Arial"/>
                <w:sz w:val="18"/>
                <w:szCs w:val="18"/>
              </w:rPr>
            </w:pPr>
            <w:r>
              <w:rPr>
                <w:rFonts w:ascii="Calibri" w:hAnsi="Calibri" w:cs="Calibri"/>
                <w:color w:val="000000"/>
                <w:sz w:val="22"/>
                <w:szCs w:val="22"/>
              </w:rPr>
              <w:t>11,183</w:t>
            </w:r>
          </w:p>
        </w:tc>
        <w:tc>
          <w:tcPr>
            <w:tcW w:w="622" w:type="pct"/>
            <w:tcBorders>
              <w:top w:val="single" w:sz="8" w:space="0" w:color="404040"/>
              <w:left w:val="single" w:sz="8" w:space="0" w:color="404040"/>
              <w:bottom w:val="single" w:sz="8" w:space="0" w:color="404040"/>
              <w:right w:val="single" w:sz="8" w:space="0" w:color="404040"/>
            </w:tcBorders>
            <w:shd w:val="clear" w:color="auto" w:fill="FFFFFF"/>
          </w:tcPr>
          <w:p w:rsidR="00B20792" w:rsidRDefault="00B20792" w:rsidP="00B20792">
            <w:pPr>
              <w:spacing w:before="60" w:after="60"/>
              <w:jc w:val="right"/>
              <w:rPr>
                <w:rFonts w:cs="Arial"/>
                <w:sz w:val="18"/>
                <w:szCs w:val="18"/>
              </w:rPr>
            </w:pPr>
            <w:r w:rsidRPr="005C0502">
              <w:rPr>
                <w:rFonts w:cs="Arial"/>
                <w:color w:val="000000"/>
                <w:sz w:val="18"/>
                <w:szCs w:val="18"/>
              </w:rPr>
              <w:t>2.2</w:t>
            </w:r>
          </w:p>
        </w:tc>
        <w:tc>
          <w:tcPr>
            <w:tcW w:w="681" w:type="pct"/>
            <w:tcBorders>
              <w:top w:val="single" w:sz="8" w:space="0" w:color="404040"/>
              <w:left w:val="single" w:sz="8" w:space="0" w:color="404040"/>
              <w:bottom w:val="single" w:sz="8" w:space="0" w:color="404040"/>
              <w:right w:val="single" w:sz="8" w:space="0" w:color="404040"/>
            </w:tcBorders>
            <w:shd w:val="clear" w:color="auto" w:fill="FFFFFF"/>
          </w:tcPr>
          <w:p w:rsidR="00B20792" w:rsidRPr="001D6512" w:rsidRDefault="00B20792" w:rsidP="00B20792">
            <w:pPr>
              <w:pStyle w:val="TableCell"/>
              <w:spacing w:before="60" w:after="60"/>
              <w:jc w:val="right"/>
              <w:rPr>
                <w:rFonts w:cs="Arial"/>
                <w:color w:val="000000"/>
                <w:szCs w:val="18"/>
              </w:rPr>
            </w:pPr>
            <w:r w:rsidRPr="001D6512">
              <w:rPr>
                <w:rFonts w:cs="Arial"/>
                <w:color w:val="000000"/>
                <w:szCs w:val="18"/>
              </w:rPr>
              <w:t>1.30</w:t>
            </w:r>
          </w:p>
        </w:tc>
        <w:tc>
          <w:tcPr>
            <w:tcW w:w="779" w:type="pct"/>
            <w:tcBorders>
              <w:top w:val="single" w:sz="8" w:space="0" w:color="404040"/>
              <w:left w:val="single" w:sz="8" w:space="0" w:color="404040"/>
              <w:bottom w:val="single" w:sz="8" w:space="0" w:color="404040"/>
              <w:right w:val="single" w:sz="8" w:space="0" w:color="404040"/>
            </w:tcBorders>
            <w:shd w:val="clear" w:color="auto" w:fill="FFFFFF"/>
            <w:vAlign w:val="bottom"/>
          </w:tcPr>
          <w:p w:rsidR="00B20792" w:rsidRPr="001D6512" w:rsidRDefault="00D74AE2" w:rsidP="00B20792">
            <w:pPr>
              <w:pStyle w:val="TableCell"/>
              <w:spacing w:before="60" w:after="60"/>
              <w:jc w:val="right"/>
              <w:rPr>
                <w:rFonts w:cs="Arial"/>
                <w:color w:val="000000"/>
                <w:szCs w:val="18"/>
              </w:rPr>
            </w:pPr>
            <w:r w:rsidRPr="00D74AE2">
              <w:rPr>
                <w:color w:val="000000"/>
              </w:rPr>
              <w:t>1,</w:t>
            </w:r>
            <w:r w:rsidR="00F31240" w:rsidRPr="001D6512">
              <w:rPr>
                <w:rFonts w:ascii="Calibri" w:hAnsi="Calibri" w:cs="Calibri"/>
                <w:color w:val="000000"/>
                <w:sz w:val="22"/>
                <w:szCs w:val="22"/>
              </w:rPr>
              <w:t>338</w:t>
            </w:r>
          </w:p>
        </w:tc>
        <w:tc>
          <w:tcPr>
            <w:tcW w:w="652" w:type="pct"/>
            <w:tcBorders>
              <w:top w:val="single" w:sz="8" w:space="0" w:color="404040"/>
              <w:left w:val="single" w:sz="8" w:space="0" w:color="404040"/>
              <w:bottom w:val="single" w:sz="8" w:space="0" w:color="404040"/>
              <w:right w:val="single" w:sz="8" w:space="0" w:color="404040"/>
            </w:tcBorders>
            <w:shd w:val="clear" w:color="auto" w:fill="FFFFFF"/>
            <w:vAlign w:val="bottom"/>
          </w:tcPr>
          <w:p w:rsidR="00B20792" w:rsidRPr="001D6512" w:rsidRDefault="00D74AE2" w:rsidP="00B20792">
            <w:pPr>
              <w:pStyle w:val="TableCell"/>
              <w:spacing w:before="60" w:after="60"/>
              <w:jc w:val="right"/>
              <w:rPr>
                <w:rFonts w:cs="Arial"/>
                <w:color w:val="000000"/>
                <w:szCs w:val="18"/>
              </w:rPr>
            </w:pPr>
            <w:r w:rsidRPr="00D74AE2">
              <w:rPr>
                <w:color w:val="000000"/>
              </w:rPr>
              <w:t>0.</w:t>
            </w:r>
            <w:r w:rsidR="00F31240" w:rsidRPr="001D6512">
              <w:rPr>
                <w:rFonts w:ascii="Calibri" w:hAnsi="Calibri" w:cs="Calibri"/>
                <w:color w:val="000000"/>
                <w:sz w:val="22"/>
                <w:szCs w:val="22"/>
              </w:rPr>
              <w:t>23</w:t>
            </w:r>
          </w:p>
        </w:tc>
      </w:tr>
    </w:tbl>
    <w:p w:rsidR="00B20792" w:rsidRPr="002D0ECD" w:rsidRDefault="00B20792" w:rsidP="00B20792">
      <w:pPr>
        <w:pStyle w:val="BodyText"/>
      </w:pPr>
    </w:p>
    <w:p w:rsidR="00B20792" w:rsidRPr="00C465DB" w:rsidRDefault="00B20792" w:rsidP="00871FA2">
      <w:pPr>
        <w:pStyle w:val="Heading3"/>
      </w:pPr>
      <w:r w:rsidRPr="00837206">
        <w:t>Measure Life</w:t>
      </w:r>
    </w:p>
    <w:p w:rsidR="00B20792" w:rsidRPr="000D0DB1" w:rsidRDefault="00B20792" w:rsidP="00B20792">
      <w:pPr>
        <w:spacing w:before="120"/>
        <w:jc w:val="both"/>
        <w:rPr>
          <w:rFonts w:cs="Arial"/>
        </w:rPr>
      </w:pPr>
      <w:r w:rsidRPr="0018460E">
        <w:rPr>
          <w:rFonts w:cs="Arial"/>
        </w:rPr>
        <w:t xml:space="preserve">According to an October 2008 report for the CA Database for Energy Efficiency Resources, an electric water heater’s lifespan is </w:t>
      </w:r>
      <w:r w:rsidRPr="005C7C86">
        <w:rPr>
          <w:rFonts w:cs="Arial"/>
        </w:rPr>
        <w:t>10 years</w:t>
      </w:r>
      <w:r w:rsidRPr="005C7C86">
        <w:rPr>
          <w:rStyle w:val="FootnoteReference"/>
        </w:rPr>
        <w:footnoteReference w:id="244"/>
      </w:r>
      <w:r w:rsidRPr="0018460E">
        <w:rPr>
          <w:rFonts w:cs="Arial"/>
        </w:rPr>
        <w:t>.</w:t>
      </w:r>
    </w:p>
    <w:p w:rsidR="00B20792" w:rsidRPr="00C465DB" w:rsidRDefault="00B20792" w:rsidP="00871FA2">
      <w:pPr>
        <w:pStyle w:val="Heading3"/>
      </w:pPr>
      <w:r w:rsidRPr="00837206">
        <w:t>Evaluation Protocols</w:t>
      </w:r>
    </w:p>
    <w:p w:rsidR="00F05DC2" w:rsidRDefault="00B20792" w:rsidP="00F05DC2">
      <w:r w:rsidRPr="00D74EB9">
        <w:t>The most appropriate evaluation protocol for this measure is verification of installation coupled with assignment of stipulated energy savings.</w:t>
      </w:r>
    </w:p>
    <w:p w:rsidR="00F05DC2" w:rsidRPr="001C4AD5" w:rsidRDefault="00B20792" w:rsidP="00F05DC2">
      <w:pPr>
        <w:pStyle w:val="Heading2"/>
      </w:pPr>
      <w:r>
        <w:br w:type="page"/>
      </w:r>
      <w:bookmarkStart w:id="1320" w:name="_Toc310875469"/>
      <w:r w:rsidR="00F05DC2">
        <w:t>LED Channel Signage</w:t>
      </w:r>
      <w:bookmarkEnd w:id="1320"/>
    </w:p>
    <w:p w:rsidR="00F05DC2" w:rsidRDefault="00F05DC2" w:rsidP="002F26F8">
      <w:r w:rsidRPr="00FE6E15">
        <w:t>Channel signage refers to the illuminated signs found inside and outside shopping malls to identify store names. Typically these signs are constructed from sheet metal sides forming the shape of letters and a translucent plastic lens. Luminance is most commonly provided by single or double strip neon lamps, powered by neon sign transformers. Retrofit kits are available to upgrade existing signage from neon to LED light sources, substantially reducing the electrical power and energy required for equivalent sign luminance. Red, green, blue, yellow, and white LEDs are available, but at higher cost than red. Red is the most common color and the most cost-effective to retrofit, currently comprising approximately 80% of the market.</w:t>
      </w:r>
      <w:r>
        <w:t xml:space="preserve">   </w:t>
      </w:r>
    </w:p>
    <w:p w:rsidR="00F05DC2" w:rsidRDefault="00F05DC2" w:rsidP="00871FA2">
      <w:pPr>
        <w:pStyle w:val="Heading3"/>
      </w:pPr>
      <w:r>
        <w:t>Eligibility Requirements</w:t>
      </w:r>
    </w:p>
    <w:p w:rsidR="00F05DC2" w:rsidRDefault="00F05DC2" w:rsidP="00F05DC2">
      <w:r>
        <w:t>This measure must replace incandescent-lighted or neon-lighted channel letter signs. Retrofit kits or complete replacement LED signs are eligible. Replacement signs cannot use more than 20%</w:t>
      </w:r>
      <w:r>
        <w:rPr>
          <w:rStyle w:val="FootnoteReference"/>
        </w:rPr>
        <w:footnoteReference w:id="245"/>
      </w:r>
      <w:r>
        <w:t xml:space="preserve"> of the actual input power of the sign that is replaced. Measure the length of the sign as follows:</w:t>
      </w:r>
    </w:p>
    <w:p w:rsidR="00F05DC2" w:rsidRDefault="00F05DC2" w:rsidP="0005632A">
      <w:pPr>
        <w:pStyle w:val="ListParagraph"/>
        <w:numPr>
          <w:ilvl w:val="0"/>
          <w:numId w:val="97"/>
        </w:numPr>
        <w:spacing w:after="200"/>
        <w:contextualSpacing/>
      </w:pPr>
      <w:r>
        <w:t>Measure the length of each individual letter at the centerline. Do not measure the distance between letters.</w:t>
      </w:r>
    </w:p>
    <w:p w:rsidR="00F05DC2" w:rsidRPr="00D453EF" w:rsidRDefault="00F05DC2" w:rsidP="0005632A">
      <w:pPr>
        <w:pStyle w:val="ListParagraph"/>
        <w:numPr>
          <w:ilvl w:val="0"/>
          <w:numId w:val="97"/>
        </w:numPr>
        <w:spacing w:after="200"/>
        <w:contextualSpacing/>
      </w:pPr>
      <w:r>
        <w:t>Add up the measurements of each individual letter to get the length of the entire sign being replaced.</w:t>
      </w:r>
    </w:p>
    <w:p w:rsidR="00F05DC2" w:rsidRPr="001C4AD5" w:rsidRDefault="00F05DC2" w:rsidP="00871FA2">
      <w:pPr>
        <w:pStyle w:val="Heading3"/>
      </w:pPr>
      <w:r w:rsidRPr="001C4AD5">
        <w:t>Algorithms</w:t>
      </w:r>
    </w:p>
    <w:p w:rsidR="00F05DC2" w:rsidRPr="002A2F87" w:rsidRDefault="00F05DC2" w:rsidP="00F05DC2">
      <w:r w:rsidRPr="002A2F87">
        <w:t>The savings are calculated using the equations below and the assumptions in Table 1-1.</w:t>
      </w:r>
    </w:p>
    <w:p w:rsidR="00F05DC2" w:rsidRPr="00F5204A" w:rsidRDefault="00F05DC2" w:rsidP="00F05DC2">
      <w:pPr>
        <w:pStyle w:val="Equation"/>
        <w:keepNext/>
        <w:rPr>
          <w:rFonts w:cs="Arial"/>
          <w:szCs w:val="20"/>
        </w:rPr>
      </w:pPr>
      <w:r w:rsidRPr="00F5204A">
        <w:rPr>
          <w:rFonts w:cs="Arial"/>
          <w:szCs w:val="20"/>
        </w:rPr>
        <w:sym w:font="Symbol" w:char="F044"/>
      </w:r>
      <w:r w:rsidRPr="00F5204A">
        <w:rPr>
          <w:rFonts w:cs="Arial"/>
          <w:szCs w:val="20"/>
        </w:rPr>
        <w:t>kW</w:t>
      </w:r>
      <w:r w:rsidRPr="00F5204A">
        <w:rPr>
          <w:rFonts w:cs="Arial"/>
          <w:szCs w:val="20"/>
        </w:rPr>
        <w:tab/>
      </w:r>
      <w:r w:rsidRPr="00F5204A">
        <w:rPr>
          <w:rFonts w:cs="Arial"/>
          <w:szCs w:val="20"/>
        </w:rPr>
        <w:tab/>
        <w:t xml:space="preserve"> = kW</w:t>
      </w:r>
      <w:r w:rsidRPr="00F5204A">
        <w:rPr>
          <w:rFonts w:cs="Arial"/>
          <w:szCs w:val="20"/>
          <w:vertAlign w:val="subscript"/>
        </w:rPr>
        <w:t>base</w:t>
      </w:r>
      <w:r w:rsidRPr="00F5204A">
        <w:rPr>
          <w:rFonts w:cs="Arial"/>
          <w:szCs w:val="20"/>
        </w:rPr>
        <w:t xml:space="preserve"> - kW</w:t>
      </w:r>
      <w:r w:rsidRPr="00F5204A">
        <w:rPr>
          <w:rFonts w:cs="Arial"/>
          <w:szCs w:val="20"/>
          <w:vertAlign w:val="subscript"/>
        </w:rPr>
        <w:t>ee</w:t>
      </w:r>
    </w:p>
    <w:p w:rsidR="00F05DC2" w:rsidRDefault="00F05DC2" w:rsidP="00F05DC2">
      <w:pPr>
        <w:pStyle w:val="Equation"/>
        <w:keepNext/>
        <w:rPr>
          <w:rFonts w:cs="Arial"/>
          <w:szCs w:val="20"/>
        </w:rPr>
      </w:pPr>
      <w:r w:rsidRPr="00F5204A">
        <w:rPr>
          <w:rFonts w:cs="Arial"/>
          <w:szCs w:val="20"/>
        </w:rPr>
        <w:t>kW</w:t>
      </w:r>
      <w:r w:rsidRPr="0048500C">
        <w:rPr>
          <w:rFonts w:cs="Arial"/>
          <w:szCs w:val="20"/>
          <w:vertAlign w:val="subscript"/>
        </w:rPr>
        <w:t>base</w:t>
      </w:r>
      <w:r w:rsidRPr="00F5204A">
        <w:rPr>
          <w:rFonts w:cs="Arial"/>
          <w:szCs w:val="20"/>
        </w:rPr>
        <w:tab/>
      </w:r>
      <w:r w:rsidRPr="00F5204A">
        <w:rPr>
          <w:rFonts w:cs="Arial"/>
          <w:szCs w:val="20"/>
        </w:rPr>
        <w:tab/>
        <w:t xml:space="preserve"> = </w:t>
      </w:r>
      <w:r w:rsidRPr="00A43F4B">
        <w:rPr>
          <w:rFonts w:cs="Arial"/>
          <w:szCs w:val="20"/>
        </w:rPr>
        <w:t>kW</w:t>
      </w:r>
      <w:r w:rsidRPr="00A43F4B">
        <w:rPr>
          <w:rFonts w:cs="Arial"/>
          <w:szCs w:val="20"/>
          <w:vertAlign w:val="subscript"/>
        </w:rPr>
        <w:t>N</w:t>
      </w:r>
      <w:r>
        <w:rPr>
          <w:rFonts w:cs="Arial"/>
          <w:szCs w:val="20"/>
        </w:rPr>
        <w:t xml:space="preserve">/ft </w:t>
      </w:r>
      <w:r w:rsidRPr="00A43F4B">
        <w:rPr>
          <w:rFonts w:cs="Arial"/>
          <w:szCs w:val="20"/>
        </w:rPr>
        <w:t xml:space="preserve">X </w:t>
      </w:r>
      <w:r>
        <w:rPr>
          <w:rFonts w:cs="Arial"/>
          <w:szCs w:val="20"/>
        </w:rPr>
        <w:t>Q</w:t>
      </w:r>
      <w:r w:rsidR="00B444CD">
        <w:rPr>
          <w:rFonts w:cs="Arial"/>
          <w:szCs w:val="20"/>
        </w:rPr>
        <w:t xml:space="preserve"> X N</w:t>
      </w:r>
    </w:p>
    <w:p w:rsidR="00F05DC2" w:rsidRDefault="00F05DC2" w:rsidP="00F05DC2">
      <w:pPr>
        <w:pStyle w:val="Equation"/>
        <w:keepNext/>
        <w:rPr>
          <w:rFonts w:cs="Arial"/>
          <w:szCs w:val="20"/>
          <w:vertAlign w:val="subscript"/>
        </w:rPr>
      </w:pPr>
      <w:r w:rsidRPr="00F5204A">
        <w:rPr>
          <w:rFonts w:cs="Arial"/>
          <w:szCs w:val="20"/>
        </w:rPr>
        <w:t>kW</w:t>
      </w:r>
      <w:r w:rsidRPr="0048500C">
        <w:rPr>
          <w:rFonts w:cs="Arial"/>
          <w:szCs w:val="20"/>
          <w:vertAlign w:val="subscript"/>
        </w:rPr>
        <w:t>ee</w:t>
      </w:r>
      <w:r w:rsidRPr="00A43F4B">
        <w:rPr>
          <w:rFonts w:cs="Arial"/>
          <w:szCs w:val="20"/>
        </w:rPr>
        <w:t xml:space="preserve"> </w:t>
      </w:r>
      <w:r>
        <w:rPr>
          <w:rFonts w:cs="Arial"/>
          <w:szCs w:val="20"/>
        </w:rPr>
        <w:tab/>
      </w:r>
      <w:r>
        <w:rPr>
          <w:rFonts w:cs="Arial"/>
          <w:szCs w:val="20"/>
        </w:rPr>
        <w:tab/>
      </w:r>
      <w:r w:rsidRPr="00F5204A">
        <w:rPr>
          <w:rFonts w:cs="Arial"/>
          <w:szCs w:val="20"/>
        </w:rPr>
        <w:t xml:space="preserve">= </w:t>
      </w:r>
      <w:r w:rsidRPr="00A43F4B">
        <w:rPr>
          <w:rFonts w:cs="Arial"/>
          <w:szCs w:val="20"/>
        </w:rPr>
        <w:t>kW</w:t>
      </w:r>
      <w:r w:rsidRPr="00A43F4B">
        <w:rPr>
          <w:rFonts w:cs="Arial"/>
          <w:szCs w:val="20"/>
          <w:vertAlign w:val="subscript"/>
        </w:rPr>
        <w:t>LED</w:t>
      </w:r>
      <w:r>
        <w:rPr>
          <w:rFonts w:cs="Arial"/>
          <w:szCs w:val="20"/>
        </w:rPr>
        <w:t>/ft</w:t>
      </w:r>
      <w:r w:rsidRPr="00A43F4B">
        <w:rPr>
          <w:rFonts w:cs="Arial"/>
          <w:szCs w:val="20"/>
        </w:rPr>
        <w:t xml:space="preserve"> X </w:t>
      </w:r>
      <w:r>
        <w:rPr>
          <w:rFonts w:cs="Arial"/>
          <w:szCs w:val="20"/>
        </w:rPr>
        <w:t>Q</w:t>
      </w:r>
      <w:r w:rsidR="00B444CD">
        <w:rPr>
          <w:rFonts w:cs="Arial"/>
          <w:szCs w:val="20"/>
        </w:rPr>
        <w:t xml:space="preserve"> X N</w:t>
      </w:r>
    </w:p>
    <w:p w:rsidR="00F05DC2" w:rsidRPr="00F5204A" w:rsidRDefault="00F05DC2" w:rsidP="00F05DC2">
      <w:pPr>
        <w:pStyle w:val="Equation"/>
        <w:keepNext/>
        <w:rPr>
          <w:rFonts w:cs="Arial"/>
          <w:szCs w:val="20"/>
        </w:rPr>
      </w:pPr>
      <w:r w:rsidRPr="00F5204A">
        <w:rPr>
          <w:rFonts w:cs="Arial"/>
          <w:szCs w:val="20"/>
        </w:rPr>
        <w:sym w:font="Symbol" w:char="F044"/>
      </w:r>
      <w:r w:rsidRPr="00F5204A">
        <w:rPr>
          <w:rFonts w:cs="Arial"/>
          <w:szCs w:val="20"/>
        </w:rPr>
        <w:t>kW</w:t>
      </w:r>
      <w:r w:rsidRPr="00F5204A">
        <w:rPr>
          <w:rFonts w:cs="Arial"/>
          <w:szCs w:val="20"/>
          <w:vertAlign w:val="subscript"/>
        </w:rPr>
        <w:t>peak</w:t>
      </w:r>
      <w:r w:rsidRPr="00F5204A">
        <w:rPr>
          <w:rFonts w:cs="Arial"/>
          <w:szCs w:val="20"/>
          <w:vertAlign w:val="subscript"/>
        </w:rPr>
        <w:tab/>
      </w:r>
      <w:r w:rsidRPr="00F5204A">
        <w:rPr>
          <w:rFonts w:cs="Arial"/>
          <w:szCs w:val="20"/>
        </w:rPr>
        <w:tab/>
        <w:t xml:space="preserve">= </w:t>
      </w:r>
      <w:r w:rsidRPr="00F5204A">
        <w:rPr>
          <w:rFonts w:cs="Arial"/>
          <w:szCs w:val="20"/>
        </w:rPr>
        <w:sym w:font="Symbol" w:char="F044"/>
      </w:r>
      <w:r w:rsidRPr="00F5204A">
        <w:rPr>
          <w:rFonts w:cs="Arial"/>
          <w:szCs w:val="20"/>
        </w:rPr>
        <w:t xml:space="preserve">kW X CF X (1+IF demand) </w:t>
      </w:r>
    </w:p>
    <w:p w:rsidR="00F05DC2" w:rsidRPr="00F5204A" w:rsidRDefault="00F05DC2" w:rsidP="00F05DC2">
      <w:pPr>
        <w:pStyle w:val="Equation"/>
        <w:keepNext/>
        <w:rPr>
          <w:rFonts w:cs="Arial"/>
          <w:szCs w:val="20"/>
        </w:rPr>
      </w:pPr>
      <w:r w:rsidRPr="00F5204A">
        <w:rPr>
          <w:rFonts w:cs="Arial"/>
          <w:szCs w:val="20"/>
        </w:rPr>
        <w:sym w:font="Symbol" w:char="F044"/>
      </w:r>
      <w:r w:rsidRPr="00F5204A">
        <w:rPr>
          <w:rFonts w:cs="Arial"/>
          <w:szCs w:val="20"/>
        </w:rPr>
        <w:t>kWh</w:t>
      </w:r>
      <w:r w:rsidRPr="00F5204A">
        <w:rPr>
          <w:rFonts w:cs="Arial"/>
          <w:szCs w:val="20"/>
        </w:rPr>
        <w:tab/>
      </w:r>
      <w:r w:rsidRPr="00F5204A">
        <w:rPr>
          <w:rFonts w:cs="Arial"/>
          <w:szCs w:val="20"/>
        </w:rPr>
        <w:tab/>
        <w:t>= [kW</w:t>
      </w:r>
      <w:r w:rsidRPr="00F5204A">
        <w:rPr>
          <w:rFonts w:cs="Arial"/>
          <w:szCs w:val="20"/>
          <w:vertAlign w:val="subscript"/>
        </w:rPr>
        <w:t>base</w:t>
      </w:r>
      <w:r w:rsidRPr="00F5204A">
        <w:rPr>
          <w:rFonts w:cs="Arial"/>
          <w:szCs w:val="20"/>
        </w:rPr>
        <w:t xml:space="preserve"> X(1+IF energy) X EFLH] – [kW</w:t>
      </w:r>
      <w:r w:rsidRPr="00F5204A">
        <w:rPr>
          <w:rFonts w:cs="Arial"/>
          <w:szCs w:val="20"/>
          <w:vertAlign w:val="subscript"/>
        </w:rPr>
        <w:t>ee</w:t>
      </w:r>
      <w:r w:rsidRPr="00F5204A">
        <w:rPr>
          <w:rFonts w:cs="Arial"/>
          <w:szCs w:val="20"/>
        </w:rPr>
        <w:t xml:space="preserve"> X(1+IF energy) X EFLH X (1 – SVG)]</w:t>
      </w:r>
    </w:p>
    <w:p w:rsidR="00F05DC2" w:rsidRDefault="00F05DC2" w:rsidP="00871FA2">
      <w:pPr>
        <w:pStyle w:val="Heading3"/>
      </w:pPr>
      <w:r w:rsidRPr="001C4AD5">
        <w:t xml:space="preserve">Definition of </w:t>
      </w:r>
      <w:r>
        <w:t>Terms</w:t>
      </w:r>
    </w:p>
    <w:p w:rsidR="00F05DC2" w:rsidRDefault="00F05DC2" w:rsidP="00F05DC2">
      <w:pPr>
        <w:pStyle w:val="Equation"/>
        <w:rPr>
          <w:rFonts w:cs="Arial"/>
          <w:szCs w:val="20"/>
        </w:rPr>
      </w:pPr>
      <w:r>
        <w:rPr>
          <w:rFonts w:cs="Arial"/>
          <w:szCs w:val="20"/>
        </w:rPr>
        <w:tab/>
      </w:r>
      <w:r w:rsidRPr="006C130B">
        <w:rPr>
          <w:rFonts w:cs="Arial"/>
          <w:i w:val="0"/>
          <w:szCs w:val="20"/>
        </w:rPr>
        <w:t>ΔkWh</w:t>
      </w:r>
      <w:r w:rsidRPr="00A43F4B">
        <w:rPr>
          <w:rFonts w:cs="Arial"/>
          <w:szCs w:val="20"/>
        </w:rPr>
        <w:t xml:space="preserve"> </w:t>
      </w:r>
      <w:r>
        <w:rPr>
          <w:rFonts w:cs="Arial"/>
          <w:szCs w:val="20"/>
        </w:rPr>
        <w:tab/>
      </w:r>
      <w:r w:rsidRPr="00A43F4B">
        <w:rPr>
          <w:rFonts w:cs="Arial"/>
          <w:szCs w:val="20"/>
        </w:rPr>
        <w:t xml:space="preserve">= </w:t>
      </w:r>
      <w:r>
        <w:rPr>
          <w:rFonts w:cs="Arial"/>
          <w:szCs w:val="20"/>
        </w:rPr>
        <w:t>Annual energy savings (kWh/ft)</w:t>
      </w:r>
    </w:p>
    <w:p w:rsidR="00F05DC2" w:rsidRDefault="00F05DC2" w:rsidP="00F05DC2">
      <w:pPr>
        <w:pStyle w:val="Equation"/>
        <w:rPr>
          <w:rFonts w:cs="Arial"/>
          <w:szCs w:val="20"/>
        </w:rPr>
      </w:pPr>
      <w:r>
        <w:rPr>
          <w:rFonts w:cs="Arial"/>
          <w:szCs w:val="20"/>
        </w:rPr>
        <w:tab/>
      </w:r>
      <w:r w:rsidRPr="00F5204A">
        <w:rPr>
          <w:rFonts w:cs="Arial"/>
          <w:szCs w:val="20"/>
        </w:rPr>
        <w:sym w:font="Symbol" w:char="F044"/>
      </w:r>
      <w:r w:rsidRPr="00F5204A">
        <w:rPr>
          <w:rFonts w:cs="Arial"/>
          <w:szCs w:val="20"/>
        </w:rPr>
        <w:t xml:space="preserve">kW </w:t>
      </w:r>
      <w:r w:rsidRPr="00F5204A">
        <w:rPr>
          <w:rFonts w:cs="Arial"/>
          <w:szCs w:val="20"/>
        </w:rPr>
        <w:tab/>
        <w:t>= Change in connected load from baseline (pre-retrofit) to installed (</w:t>
      </w:r>
      <w:r>
        <w:rPr>
          <w:rFonts w:cs="Arial"/>
          <w:szCs w:val="20"/>
        </w:rPr>
        <w:t>post-retrofit) lighting level (kW/ft of sign)</w:t>
      </w:r>
    </w:p>
    <w:p w:rsidR="00F05DC2" w:rsidRPr="00A43F4B" w:rsidRDefault="00F05DC2" w:rsidP="00F05DC2">
      <w:pPr>
        <w:pStyle w:val="Equation"/>
        <w:rPr>
          <w:rFonts w:cs="Arial"/>
          <w:szCs w:val="20"/>
        </w:rPr>
      </w:pPr>
      <w:r>
        <w:rPr>
          <w:rFonts w:cs="Arial"/>
          <w:szCs w:val="20"/>
        </w:rPr>
        <w:tab/>
      </w:r>
      <w:r w:rsidRPr="00A43F4B">
        <w:rPr>
          <w:rFonts w:cs="Arial"/>
          <w:szCs w:val="20"/>
        </w:rPr>
        <w:t>kW</w:t>
      </w:r>
      <w:r w:rsidRPr="00A43F4B">
        <w:rPr>
          <w:rFonts w:cs="Arial"/>
          <w:szCs w:val="20"/>
          <w:vertAlign w:val="subscript"/>
        </w:rPr>
        <w:t>N</w:t>
      </w:r>
      <w:r w:rsidRPr="00A43F4B">
        <w:rPr>
          <w:rFonts w:cs="Arial"/>
          <w:szCs w:val="20"/>
        </w:rPr>
        <w:t>/</w:t>
      </w:r>
      <w:r>
        <w:rPr>
          <w:rFonts w:cs="Arial"/>
          <w:szCs w:val="20"/>
        </w:rPr>
        <w:t>ft</w:t>
      </w:r>
      <w:r w:rsidRPr="00A43F4B">
        <w:rPr>
          <w:rFonts w:cs="Arial"/>
          <w:szCs w:val="20"/>
        </w:rPr>
        <w:t xml:space="preserve"> </w:t>
      </w:r>
      <w:r w:rsidRPr="00A43F4B">
        <w:rPr>
          <w:rFonts w:cs="Arial"/>
          <w:szCs w:val="20"/>
        </w:rPr>
        <w:tab/>
        <w:t>= kW of the baseline (neon) lighting per foot</w:t>
      </w:r>
      <w:r>
        <w:rPr>
          <w:rFonts w:cs="Arial"/>
          <w:szCs w:val="20"/>
        </w:rPr>
        <w:t xml:space="preserve"> (kW</w:t>
      </w:r>
      <w:r w:rsidRPr="00F36BEB">
        <w:rPr>
          <w:rFonts w:cs="Arial"/>
          <w:szCs w:val="20"/>
          <w:vertAlign w:val="subscript"/>
        </w:rPr>
        <w:t>N</w:t>
      </w:r>
      <w:r>
        <w:rPr>
          <w:rFonts w:cs="Arial"/>
          <w:szCs w:val="20"/>
        </w:rPr>
        <w:t>/ft)</w:t>
      </w:r>
    </w:p>
    <w:p w:rsidR="00F05DC2" w:rsidRPr="00A43F4B" w:rsidRDefault="00F05DC2" w:rsidP="00F05DC2">
      <w:pPr>
        <w:pStyle w:val="Equation"/>
        <w:rPr>
          <w:rFonts w:cs="Arial"/>
          <w:szCs w:val="20"/>
        </w:rPr>
      </w:pPr>
      <w:r w:rsidRPr="00A43F4B">
        <w:rPr>
          <w:rFonts w:cs="Arial"/>
          <w:szCs w:val="20"/>
        </w:rPr>
        <w:tab/>
        <w:t>kW</w:t>
      </w:r>
      <w:r w:rsidRPr="00A43F4B">
        <w:rPr>
          <w:rFonts w:cs="Arial"/>
          <w:szCs w:val="20"/>
          <w:vertAlign w:val="subscript"/>
        </w:rPr>
        <w:t>LED</w:t>
      </w:r>
      <w:r w:rsidRPr="00A43F4B">
        <w:rPr>
          <w:rFonts w:cs="Arial"/>
          <w:szCs w:val="20"/>
        </w:rPr>
        <w:t>/</w:t>
      </w:r>
      <w:r>
        <w:rPr>
          <w:rFonts w:cs="Arial"/>
          <w:szCs w:val="20"/>
        </w:rPr>
        <w:t>ft</w:t>
      </w:r>
      <w:r w:rsidRPr="00A43F4B">
        <w:rPr>
          <w:rFonts w:cs="Arial"/>
          <w:szCs w:val="20"/>
        </w:rPr>
        <w:t xml:space="preserve"> </w:t>
      </w:r>
      <w:r w:rsidRPr="00A43F4B">
        <w:rPr>
          <w:rFonts w:cs="Arial"/>
          <w:szCs w:val="20"/>
        </w:rPr>
        <w:tab/>
        <w:t xml:space="preserve">= kW </w:t>
      </w:r>
      <w:r w:rsidRPr="00F5204A">
        <w:rPr>
          <w:rFonts w:cs="Arial"/>
          <w:szCs w:val="20"/>
        </w:rPr>
        <w:t>of post-retrofit or energy-efficient lighting system</w:t>
      </w:r>
      <w:r w:rsidRPr="00A43F4B">
        <w:rPr>
          <w:rFonts w:cs="Arial"/>
          <w:szCs w:val="20"/>
        </w:rPr>
        <w:t xml:space="preserve"> (LED) lighting per foot</w:t>
      </w:r>
      <w:r>
        <w:rPr>
          <w:rFonts w:cs="Arial"/>
          <w:szCs w:val="20"/>
        </w:rPr>
        <w:t xml:space="preserve"> (kW</w:t>
      </w:r>
      <w:r w:rsidRPr="00F36BEB">
        <w:rPr>
          <w:rFonts w:cs="Arial"/>
          <w:szCs w:val="20"/>
          <w:vertAlign w:val="subscript"/>
        </w:rPr>
        <w:t>LED</w:t>
      </w:r>
      <w:r>
        <w:rPr>
          <w:rFonts w:cs="Arial"/>
          <w:szCs w:val="20"/>
        </w:rPr>
        <w:t xml:space="preserve">/ft) </w:t>
      </w:r>
    </w:p>
    <w:p w:rsidR="00F05DC2" w:rsidRDefault="00F05DC2" w:rsidP="00F05DC2">
      <w:pPr>
        <w:pStyle w:val="Equation"/>
        <w:rPr>
          <w:rFonts w:cs="Arial"/>
          <w:szCs w:val="20"/>
        </w:rPr>
      </w:pPr>
      <w:r w:rsidRPr="00A43F4B">
        <w:rPr>
          <w:rFonts w:cs="Arial"/>
          <w:szCs w:val="20"/>
        </w:rPr>
        <w:tab/>
        <w:t>L</w:t>
      </w:r>
      <w:r w:rsidRPr="00A43F4B">
        <w:rPr>
          <w:rFonts w:cs="Arial"/>
          <w:szCs w:val="20"/>
        </w:rPr>
        <w:tab/>
        <w:t xml:space="preserve">= </w:t>
      </w:r>
      <w:r>
        <w:rPr>
          <w:rFonts w:cs="Arial"/>
          <w:szCs w:val="20"/>
        </w:rPr>
        <w:t>length</w:t>
      </w:r>
      <w:r w:rsidRPr="00A43F4B">
        <w:rPr>
          <w:rFonts w:cs="Arial"/>
          <w:szCs w:val="20"/>
        </w:rPr>
        <w:t xml:space="preserve"> of </w:t>
      </w:r>
      <w:r>
        <w:rPr>
          <w:rFonts w:cs="Arial"/>
          <w:szCs w:val="20"/>
        </w:rPr>
        <w:t xml:space="preserve">the </w:t>
      </w:r>
      <w:r w:rsidRPr="00A43F4B">
        <w:rPr>
          <w:rFonts w:cs="Arial"/>
          <w:szCs w:val="20"/>
        </w:rPr>
        <w:t>sign (feet)</w:t>
      </w:r>
    </w:p>
    <w:p w:rsidR="00184796" w:rsidRDefault="00F05DC2">
      <w:pPr>
        <w:ind w:left="2880" w:hanging="2160"/>
        <w:rPr>
          <w:rFonts w:ascii="Times New Roman" w:hAnsi="Times New Roman"/>
          <w:sz w:val="24"/>
        </w:rPr>
      </w:pPr>
      <w:r>
        <w:rPr>
          <w:rFonts w:cs="Arial"/>
        </w:rPr>
        <w:tab/>
        <w:t>Q</w:t>
      </w:r>
      <w:r>
        <w:rPr>
          <w:rStyle w:val="FootnoteReference"/>
        </w:rPr>
        <w:footnoteReference w:id="246"/>
      </w:r>
      <w:r>
        <w:rPr>
          <w:rFonts w:cs="Arial"/>
        </w:rPr>
        <w:tab/>
        <w:t xml:space="preserve">= </w:t>
      </w:r>
      <w:r w:rsidRPr="00137109">
        <w:t xml:space="preserve">Average Stroke Length per Letter </w:t>
      </w:r>
      <w:r w:rsidR="00D74AE2" w:rsidRPr="00D74AE2">
        <w:rPr>
          <w:i/>
        </w:rPr>
        <w:t>Width (</w:t>
      </w:r>
      <w:r w:rsidRPr="00F36BEB">
        <w:t>Avg. feet/letter width)</w:t>
      </w:r>
      <w:r w:rsidR="00F614F5" w:rsidRPr="00230964">
        <w:rPr>
          <w:rFonts w:eastAsia="Calibri" w:cs="Arial"/>
          <w:i/>
        </w:rPr>
        <w:t xml:space="preserve"> , i.e. average length of neon (ft) / letter width (ft)</w:t>
      </w:r>
    </w:p>
    <w:p w:rsidR="00F614F5" w:rsidRDefault="00F614F5" w:rsidP="00F614F5">
      <w:pPr>
        <w:pStyle w:val="Equation"/>
        <w:rPr>
          <w:rFonts w:cs="Arial"/>
          <w:szCs w:val="20"/>
        </w:rPr>
      </w:pPr>
      <w:r>
        <w:rPr>
          <w:rFonts w:cs="Arial"/>
          <w:szCs w:val="20"/>
        </w:rPr>
        <w:tab/>
        <w:t>N</w:t>
      </w:r>
      <w:r>
        <w:rPr>
          <w:rFonts w:cs="Arial"/>
          <w:szCs w:val="20"/>
        </w:rPr>
        <w:tab/>
        <w:t>= Number of Letters in the sign</w:t>
      </w:r>
    </w:p>
    <w:p w:rsidR="00F05DC2" w:rsidRPr="00F5204A" w:rsidRDefault="00F05DC2" w:rsidP="00F05DC2">
      <w:pPr>
        <w:pStyle w:val="Equation"/>
        <w:rPr>
          <w:rFonts w:cs="Arial"/>
          <w:szCs w:val="20"/>
        </w:rPr>
      </w:pPr>
      <w:r>
        <w:rPr>
          <w:rFonts w:cs="Arial"/>
          <w:szCs w:val="20"/>
        </w:rPr>
        <w:tab/>
      </w:r>
      <w:r w:rsidRPr="00F5204A">
        <w:rPr>
          <w:rFonts w:cs="Arial"/>
          <w:szCs w:val="20"/>
        </w:rPr>
        <w:t xml:space="preserve">CF </w:t>
      </w:r>
      <w:r w:rsidRPr="00F5204A">
        <w:rPr>
          <w:rFonts w:cs="Arial"/>
          <w:szCs w:val="20"/>
        </w:rPr>
        <w:tab/>
        <w:t xml:space="preserve">= </w:t>
      </w:r>
      <w:r w:rsidR="008A1EFA" w:rsidRPr="00165C8E">
        <w:rPr>
          <w:rFonts w:cs="Arial"/>
          <w:szCs w:val="20"/>
        </w:rPr>
        <w:t>Demand Coincidence Factor (See Section 1.4)</w:t>
      </w:r>
      <w:r w:rsidRPr="00F5204A">
        <w:rPr>
          <w:rFonts w:cs="Arial"/>
          <w:szCs w:val="20"/>
        </w:rPr>
        <w:tab/>
        <w:t>EFLH</w:t>
      </w:r>
      <w:r w:rsidRPr="00F5204A">
        <w:rPr>
          <w:rFonts w:cs="Arial"/>
          <w:szCs w:val="20"/>
        </w:rPr>
        <w:tab/>
        <w:t>= Equivalent Full Load Hours – the average annual operating hours of the baseline lighting equipment, which if applied to full connected load will yield annual energy use.</w:t>
      </w:r>
      <w:r>
        <w:rPr>
          <w:rFonts w:cs="Arial"/>
          <w:szCs w:val="20"/>
        </w:rPr>
        <w:t xml:space="preserve">   </w:t>
      </w:r>
    </w:p>
    <w:p w:rsidR="00F05DC2" w:rsidRPr="00F5204A" w:rsidRDefault="00F05DC2" w:rsidP="00F05DC2">
      <w:pPr>
        <w:pStyle w:val="Equation"/>
        <w:rPr>
          <w:rFonts w:cs="Arial"/>
          <w:szCs w:val="20"/>
        </w:rPr>
      </w:pPr>
      <w:r w:rsidRPr="00F5204A">
        <w:rPr>
          <w:rFonts w:cs="Arial"/>
          <w:szCs w:val="20"/>
        </w:rPr>
        <w:tab/>
        <w:t xml:space="preserve">IF demand </w:t>
      </w:r>
      <w:r w:rsidRPr="00F5204A">
        <w:rPr>
          <w:rFonts w:cs="Arial"/>
          <w:szCs w:val="20"/>
        </w:rPr>
        <w:tab/>
        <w:t xml:space="preserve">= Interactive HVAC Demand Factor – applies to C&amp;I interior lighting in space that has air conditioning or refrigeration only.  This represents the secondary demand savings in cooling required which results from decreased indoor lighting wattage. </w:t>
      </w:r>
    </w:p>
    <w:p w:rsidR="00F05DC2" w:rsidRPr="00F5204A" w:rsidRDefault="00F05DC2" w:rsidP="00F05DC2">
      <w:pPr>
        <w:pStyle w:val="Equation"/>
        <w:rPr>
          <w:rFonts w:cs="Arial"/>
          <w:szCs w:val="20"/>
        </w:rPr>
      </w:pPr>
      <w:r w:rsidRPr="00F5204A">
        <w:rPr>
          <w:rFonts w:cs="Arial"/>
          <w:szCs w:val="20"/>
        </w:rPr>
        <w:tab/>
        <w:t xml:space="preserve">IF energy </w:t>
      </w:r>
      <w:r w:rsidRPr="00F5204A">
        <w:rPr>
          <w:rFonts w:cs="Arial"/>
          <w:szCs w:val="20"/>
        </w:rPr>
        <w:tab/>
        <w:t>= Interactive HVAC Energy Factor – applies to C&amp;I interior lighting in space that has air conditioning or refrigeration only.  This represents the secondary energy savings in cooling required which results from decreased indoor lighting wattage.</w:t>
      </w:r>
    </w:p>
    <w:p w:rsidR="00F05DC2" w:rsidRDefault="00F05DC2" w:rsidP="00F05DC2">
      <w:pPr>
        <w:pStyle w:val="Equation"/>
        <w:rPr>
          <w:rFonts w:cs="Arial"/>
          <w:szCs w:val="20"/>
        </w:rPr>
      </w:pPr>
      <w:r>
        <w:rPr>
          <w:rFonts w:cs="Arial"/>
          <w:szCs w:val="20"/>
        </w:rPr>
        <w:tab/>
      </w:r>
      <w:r w:rsidRPr="00F5204A">
        <w:rPr>
          <w:rFonts w:cs="Arial"/>
          <w:szCs w:val="20"/>
        </w:rPr>
        <w:t xml:space="preserve">SVG </w:t>
      </w:r>
      <w:r w:rsidRPr="00F5204A">
        <w:rPr>
          <w:rFonts w:cs="Arial"/>
          <w:szCs w:val="20"/>
        </w:rPr>
        <w:tab/>
        <w:t>= The percent of time that lights are off due to lighting controls relative to the baseline controls system (typically manual switch).</w:t>
      </w:r>
    </w:p>
    <w:p w:rsidR="00F05DC2" w:rsidRDefault="00F05DC2" w:rsidP="00F05DC2">
      <w:pPr>
        <w:pStyle w:val="Equation"/>
        <w:rPr>
          <w:rFonts w:cs="Arial"/>
          <w:szCs w:val="20"/>
        </w:rPr>
      </w:pPr>
    </w:p>
    <w:p w:rsidR="00F05DC2" w:rsidRPr="00A43F4B" w:rsidRDefault="00F05DC2" w:rsidP="00F05DC2">
      <w:pPr>
        <w:pStyle w:val="Equation"/>
        <w:rPr>
          <w:rFonts w:cs="Arial"/>
          <w:szCs w:val="20"/>
        </w:rPr>
      </w:pPr>
    </w:p>
    <w:p w:rsidR="00F05DC2" w:rsidRPr="001C4AD5" w:rsidRDefault="00F05DC2" w:rsidP="00F05DC2">
      <w:pPr>
        <w:pStyle w:val="StyleCaptionCentered"/>
      </w:pPr>
      <w:bookmarkStart w:id="1321" w:name="_Toc310875645"/>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93</w:t>
      </w:r>
      <w:r w:rsidR="00274AB1">
        <w:rPr>
          <w:noProof/>
        </w:rPr>
        <w:fldChar w:fldCharType="end"/>
      </w:r>
      <w:r>
        <w:t>: LED Channel Signage Calculation Assumptions</w:t>
      </w:r>
      <w:bookmarkEnd w:id="1321"/>
    </w:p>
    <w:tbl>
      <w:tblPr>
        <w:tblW w:w="5000" w:type="pct"/>
        <w:jc w:val="center"/>
        <w:tblCellMar>
          <w:left w:w="115" w:type="dxa"/>
          <w:right w:w="115" w:type="dxa"/>
        </w:tblCellMar>
        <w:tblLook w:val="00A0" w:firstRow="1" w:lastRow="0" w:firstColumn="1" w:lastColumn="0" w:noHBand="0" w:noVBand="0"/>
      </w:tblPr>
      <w:tblGrid>
        <w:gridCol w:w="1713"/>
        <w:gridCol w:w="1221"/>
        <w:gridCol w:w="3816"/>
        <w:gridCol w:w="2120"/>
      </w:tblGrid>
      <w:tr w:rsidR="00F05DC2" w:rsidRPr="00A43F4B" w:rsidTr="0026770C">
        <w:trPr>
          <w:trHeight w:val="374"/>
          <w:jc w:val="center"/>
        </w:trPr>
        <w:tc>
          <w:tcPr>
            <w:tcW w:w="966" w:type="pct"/>
            <w:tcBorders>
              <w:top w:val="single" w:sz="8" w:space="0" w:color="auto"/>
              <w:left w:val="single" w:sz="8" w:space="0" w:color="auto"/>
              <w:bottom w:val="single" w:sz="8" w:space="0" w:color="auto"/>
              <w:right w:val="single" w:sz="8" w:space="0" w:color="auto"/>
            </w:tcBorders>
            <w:shd w:val="clear" w:color="auto" w:fill="BFBFBF"/>
          </w:tcPr>
          <w:p w:rsidR="00F05DC2" w:rsidRPr="001D6512" w:rsidRDefault="00F05DC2" w:rsidP="0026770C">
            <w:pPr>
              <w:pStyle w:val="TableCell"/>
              <w:spacing w:before="60" w:after="60"/>
              <w:rPr>
                <w:rFonts w:cs="Arial"/>
                <w:b/>
                <w:sz w:val="20"/>
              </w:rPr>
            </w:pPr>
            <w:r w:rsidRPr="001D6512">
              <w:rPr>
                <w:rFonts w:cs="Arial"/>
                <w:b/>
                <w:sz w:val="20"/>
              </w:rPr>
              <w:t>Component</w:t>
            </w:r>
          </w:p>
        </w:tc>
        <w:tc>
          <w:tcPr>
            <w:tcW w:w="688" w:type="pct"/>
            <w:tcBorders>
              <w:top w:val="single" w:sz="8" w:space="0" w:color="auto"/>
              <w:left w:val="nil"/>
              <w:bottom w:val="single" w:sz="8" w:space="0" w:color="auto"/>
              <w:right w:val="single" w:sz="8" w:space="0" w:color="auto"/>
            </w:tcBorders>
            <w:shd w:val="clear" w:color="auto" w:fill="BFBFBF"/>
          </w:tcPr>
          <w:p w:rsidR="00F05DC2" w:rsidRPr="001D6512" w:rsidRDefault="00F05DC2" w:rsidP="0026770C">
            <w:pPr>
              <w:pStyle w:val="TableCell"/>
              <w:spacing w:before="60" w:after="60"/>
              <w:rPr>
                <w:rFonts w:cs="Arial"/>
                <w:b/>
                <w:sz w:val="20"/>
              </w:rPr>
            </w:pPr>
            <w:r w:rsidRPr="001D6512">
              <w:rPr>
                <w:rFonts w:cs="Arial"/>
                <w:b/>
                <w:sz w:val="20"/>
              </w:rPr>
              <w:t>Type</w:t>
            </w:r>
          </w:p>
        </w:tc>
        <w:tc>
          <w:tcPr>
            <w:tcW w:w="2151" w:type="pct"/>
            <w:tcBorders>
              <w:top w:val="single" w:sz="8" w:space="0" w:color="auto"/>
              <w:left w:val="nil"/>
              <w:bottom w:val="single" w:sz="8" w:space="0" w:color="auto"/>
              <w:right w:val="single" w:sz="8" w:space="0" w:color="auto"/>
            </w:tcBorders>
            <w:shd w:val="clear" w:color="auto" w:fill="BFBFBF"/>
          </w:tcPr>
          <w:p w:rsidR="00F05DC2" w:rsidRPr="001D6512" w:rsidRDefault="00F05DC2" w:rsidP="0026770C">
            <w:pPr>
              <w:pStyle w:val="TableCell"/>
              <w:spacing w:before="60" w:after="60"/>
              <w:rPr>
                <w:rFonts w:cs="Arial"/>
                <w:b/>
                <w:sz w:val="20"/>
              </w:rPr>
            </w:pPr>
            <w:r w:rsidRPr="001D6512">
              <w:rPr>
                <w:rFonts w:cs="Arial"/>
                <w:b/>
                <w:sz w:val="20"/>
              </w:rPr>
              <w:t>Value</w:t>
            </w:r>
          </w:p>
        </w:tc>
        <w:tc>
          <w:tcPr>
            <w:tcW w:w="1195" w:type="pct"/>
            <w:tcBorders>
              <w:top w:val="single" w:sz="8" w:space="0" w:color="auto"/>
              <w:left w:val="nil"/>
              <w:bottom w:val="single" w:sz="8" w:space="0" w:color="auto"/>
              <w:right w:val="single" w:sz="8" w:space="0" w:color="auto"/>
            </w:tcBorders>
            <w:shd w:val="clear" w:color="auto" w:fill="BFBFBF"/>
          </w:tcPr>
          <w:p w:rsidR="00F05DC2" w:rsidRPr="001D6512" w:rsidRDefault="00F05DC2" w:rsidP="0026770C">
            <w:pPr>
              <w:pStyle w:val="TableCell"/>
              <w:spacing w:before="60" w:after="60"/>
              <w:rPr>
                <w:rFonts w:cs="Arial"/>
                <w:b/>
                <w:sz w:val="20"/>
              </w:rPr>
            </w:pPr>
            <w:r w:rsidRPr="001D6512">
              <w:rPr>
                <w:rFonts w:cs="Arial"/>
                <w:b/>
                <w:sz w:val="20"/>
              </w:rPr>
              <w:t>Source</w:t>
            </w:r>
          </w:p>
        </w:tc>
      </w:tr>
      <w:tr w:rsidR="00F05DC2" w:rsidRPr="00A43F4B" w:rsidTr="0026770C">
        <w:trPr>
          <w:trHeight w:val="374"/>
          <w:jc w:val="center"/>
        </w:trPr>
        <w:tc>
          <w:tcPr>
            <w:tcW w:w="966" w:type="pct"/>
            <w:tcBorders>
              <w:top w:val="single" w:sz="8" w:space="0" w:color="auto"/>
              <w:left w:val="single" w:sz="8" w:space="0" w:color="auto"/>
              <w:bottom w:val="single" w:sz="8" w:space="0" w:color="auto"/>
              <w:right w:val="single" w:sz="8" w:space="0" w:color="auto"/>
            </w:tcBorders>
          </w:tcPr>
          <w:p w:rsidR="00F05DC2" w:rsidRPr="001D6512" w:rsidRDefault="00F05DC2" w:rsidP="0026770C">
            <w:pPr>
              <w:pStyle w:val="TableCell"/>
              <w:spacing w:before="60" w:after="60"/>
              <w:rPr>
                <w:rFonts w:cs="Arial"/>
                <w:sz w:val="20"/>
              </w:rPr>
            </w:pPr>
            <w:r w:rsidRPr="001D6512">
              <w:rPr>
                <w:rFonts w:cs="Arial"/>
                <w:sz w:val="20"/>
              </w:rPr>
              <w:t>kW</w:t>
            </w:r>
            <w:r w:rsidRPr="001D6512">
              <w:rPr>
                <w:rFonts w:cs="Arial"/>
                <w:sz w:val="20"/>
                <w:vertAlign w:val="subscript"/>
              </w:rPr>
              <w:t>N</w:t>
            </w:r>
            <w:r w:rsidRPr="001D6512">
              <w:rPr>
                <w:rFonts w:cs="Arial"/>
                <w:sz w:val="20"/>
              </w:rPr>
              <w:t>/ft</w:t>
            </w:r>
          </w:p>
        </w:tc>
        <w:tc>
          <w:tcPr>
            <w:tcW w:w="688" w:type="pct"/>
            <w:tcBorders>
              <w:top w:val="single" w:sz="8" w:space="0" w:color="auto"/>
              <w:left w:val="nil"/>
              <w:bottom w:val="single" w:sz="8" w:space="0" w:color="auto"/>
              <w:right w:val="single" w:sz="8" w:space="0" w:color="auto"/>
            </w:tcBorders>
          </w:tcPr>
          <w:p w:rsidR="00F05DC2" w:rsidRPr="001D6512" w:rsidRDefault="00F05DC2" w:rsidP="0026770C">
            <w:pPr>
              <w:pStyle w:val="TableCell"/>
              <w:spacing w:before="60" w:after="60"/>
              <w:rPr>
                <w:rFonts w:cs="Arial"/>
                <w:sz w:val="20"/>
              </w:rPr>
            </w:pPr>
            <w:r w:rsidRPr="001D6512">
              <w:rPr>
                <w:rFonts w:cs="Arial"/>
                <w:sz w:val="20"/>
              </w:rPr>
              <w:t>Variable</w:t>
            </w:r>
          </w:p>
        </w:tc>
        <w:tc>
          <w:tcPr>
            <w:tcW w:w="2151" w:type="pct"/>
            <w:tcBorders>
              <w:top w:val="single" w:sz="8" w:space="0" w:color="auto"/>
              <w:left w:val="nil"/>
              <w:bottom w:val="single" w:sz="8" w:space="0" w:color="auto"/>
              <w:right w:val="single" w:sz="8" w:space="0" w:color="auto"/>
            </w:tcBorders>
          </w:tcPr>
          <w:p w:rsidR="00F05DC2" w:rsidRPr="001D6512" w:rsidRDefault="00F05DC2" w:rsidP="0026770C">
            <w:pPr>
              <w:pStyle w:val="TableCell"/>
              <w:spacing w:before="60" w:after="60"/>
              <w:rPr>
                <w:rFonts w:cs="Arial"/>
                <w:sz w:val="20"/>
              </w:rPr>
            </w:pPr>
            <w:r w:rsidRPr="001D6512">
              <w:rPr>
                <w:rFonts w:cs="Arial"/>
                <w:sz w:val="20"/>
              </w:rPr>
              <w:t>EDC Data Gathering</w:t>
            </w:r>
          </w:p>
          <w:p w:rsidR="00F05DC2" w:rsidRPr="001D6512" w:rsidRDefault="00F05DC2" w:rsidP="0026770C">
            <w:pPr>
              <w:pStyle w:val="TableCell"/>
              <w:spacing w:before="60" w:after="60"/>
              <w:rPr>
                <w:rFonts w:cs="Arial"/>
                <w:sz w:val="20"/>
              </w:rPr>
            </w:pPr>
            <w:r w:rsidRPr="001D6512">
              <w:rPr>
                <w:rFonts w:cs="Arial"/>
                <w:sz w:val="20"/>
              </w:rPr>
              <w:t>Default: 0.00457</w:t>
            </w:r>
            <w:r w:rsidRPr="001D6512">
              <w:rPr>
                <w:rStyle w:val="FootnoteReference"/>
                <w:sz w:val="20"/>
              </w:rPr>
              <w:footnoteReference w:id="247"/>
            </w:r>
          </w:p>
        </w:tc>
        <w:tc>
          <w:tcPr>
            <w:tcW w:w="1195" w:type="pct"/>
            <w:tcBorders>
              <w:top w:val="single" w:sz="8" w:space="0" w:color="auto"/>
              <w:left w:val="nil"/>
              <w:bottom w:val="single" w:sz="8" w:space="0" w:color="auto"/>
              <w:right w:val="single" w:sz="8" w:space="0" w:color="auto"/>
            </w:tcBorders>
          </w:tcPr>
          <w:p w:rsidR="00F05DC2" w:rsidRPr="001D6512" w:rsidRDefault="00F05DC2" w:rsidP="0026770C">
            <w:pPr>
              <w:pStyle w:val="TableCell"/>
              <w:spacing w:before="60" w:after="60"/>
              <w:rPr>
                <w:rFonts w:cs="Arial"/>
                <w:sz w:val="20"/>
              </w:rPr>
            </w:pPr>
            <w:r w:rsidRPr="001D6512">
              <w:rPr>
                <w:rFonts w:cs="Arial"/>
                <w:sz w:val="20"/>
              </w:rPr>
              <w:t>EDC Data Gathering</w:t>
            </w:r>
          </w:p>
        </w:tc>
      </w:tr>
      <w:tr w:rsidR="00F05DC2" w:rsidRPr="00A43F4B" w:rsidTr="0026770C">
        <w:trPr>
          <w:trHeight w:val="374"/>
          <w:jc w:val="center"/>
        </w:trPr>
        <w:tc>
          <w:tcPr>
            <w:tcW w:w="966" w:type="pct"/>
            <w:tcBorders>
              <w:top w:val="single" w:sz="8" w:space="0" w:color="auto"/>
              <w:left w:val="single" w:sz="8" w:space="0" w:color="auto"/>
              <w:bottom w:val="single" w:sz="8" w:space="0" w:color="auto"/>
              <w:right w:val="single" w:sz="8" w:space="0" w:color="auto"/>
            </w:tcBorders>
          </w:tcPr>
          <w:p w:rsidR="00F05DC2" w:rsidRPr="001D6512" w:rsidRDefault="00F05DC2" w:rsidP="0026770C">
            <w:pPr>
              <w:pStyle w:val="TableCell"/>
              <w:spacing w:before="60" w:after="60"/>
              <w:rPr>
                <w:rFonts w:cs="Arial"/>
                <w:sz w:val="20"/>
              </w:rPr>
            </w:pPr>
            <w:r w:rsidRPr="001D6512">
              <w:rPr>
                <w:rFonts w:cs="Arial"/>
                <w:sz w:val="20"/>
              </w:rPr>
              <w:t>kW</w:t>
            </w:r>
            <w:r w:rsidRPr="001D6512">
              <w:rPr>
                <w:rFonts w:cs="Arial"/>
                <w:sz w:val="20"/>
                <w:vertAlign w:val="subscript"/>
              </w:rPr>
              <w:t>LED</w:t>
            </w:r>
            <w:r w:rsidRPr="001D6512">
              <w:rPr>
                <w:rFonts w:cs="Arial"/>
                <w:sz w:val="20"/>
              </w:rPr>
              <w:t>/ft</w:t>
            </w:r>
          </w:p>
        </w:tc>
        <w:tc>
          <w:tcPr>
            <w:tcW w:w="688" w:type="pct"/>
            <w:tcBorders>
              <w:top w:val="single" w:sz="8" w:space="0" w:color="auto"/>
              <w:left w:val="nil"/>
              <w:bottom w:val="single" w:sz="8" w:space="0" w:color="auto"/>
              <w:right w:val="single" w:sz="8" w:space="0" w:color="auto"/>
            </w:tcBorders>
          </w:tcPr>
          <w:p w:rsidR="00F05DC2" w:rsidRPr="001D6512" w:rsidRDefault="00F05DC2" w:rsidP="0026770C">
            <w:pPr>
              <w:pStyle w:val="TableCell"/>
              <w:spacing w:before="60" w:after="60"/>
              <w:rPr>
                <w:rFonts w:cs="Arial"/>
                <w:sz w:val="20"/>
              </w:rPr>
            </w:pPr>
            <w:r w:rsidRPr="001D6512">
              <w:rPr>
                <w:rFonts w:cs="Arial"/>
                <w:sz w:val="20"/>
              </w:rPr>
              <w:t>Variable</w:t>
            </w:r>
          </w:p>
        </w:tc>
        <w:tc>
          <w:tcPr>
            <w:tcW w:w="2151" w:type="pct"/>
            <w:tcBorders>
              <w:top w:val="single" w:sz="8" w:space="0" w:color="auto"/>
              <w:left w:val="nil"/>
              <w:bottom w:val="single" w:sz="8" w:space="0" w:color="auto"/>
              <w:right w:val="single" w:sz="8" w:space="0" w:color="auto"/>
            </w:tcBorders>
          </w:tcPr>
          <w:p w:rsidR="00F05DC2" w:rsidRPr="001D6512" w:rsidRDefault="00F05DC2" w:rsidP="0026770C">
            <w:pPr>
              <w:pStyle w:val="TableCell"/>
              <w:spacing w:before="60" w:after="60"/>
              <w:rPr>
                <w:rFonts w:cs="Arial"/>
                <w:sz w:val="20"/>
              </w:rPr>
            </w:pPr>
            <w:r w:rsidRPr="001D6512">
              <w:rPr>
                <w:rFonts w:cs="Arial"/>
                <w:sz w:val="20"/>
              </w:rPr>
              <w:t>EDC Data Gathering</w:t>
            </w:r>
          </w:p>
          <w:p w:rsidR="00F05DC2" w:rsidRPr="001D6512" w:rsidRDefault="00F05DC2" w:rsidP="0026770C">
            <w:pPr>
              <w:pStyle w:val="TableCell"/>
              <w:spacing w:before="60" w:after="60"/>
              <w:rPr>
                <w:rFonts w:cs="Arial"/>
                <w:sz w:val="20"/>
              </w:rPr>
            </w:pPr>
            <w:r w:rsidRPr="001D6512">
              <w:rPr>
                <w:rFonts w:cs="Arial"/>
                <w:sz w:val="20"/>
              </w:rPr>
              <w:t>Default: 0.00136</w:t>
            </w:r>
            <w:r w:rsidRPr="001D6512">
              <w:rPr>
                <w:rStyle w:val="FootnoteReference"/>
                <w:sz w:val="20"/>
              </w:rPr>
              <w:footnoteReference w:id="248"/>
            </w:r>
          </w:p>
        </w:tc>
        <w:tc>
          <w:tcPr>
            <w:tcW w:w="1195" w:type="pct"/>
            <w:tcBorders>
              <w:top w:val="single" w:sz="8" w:space="0" w:color="auto"/>
              <w:left w:val="nil"/>
              <w:bottom w:val="single" w:sz="8" w:space="0" w:color="auto"/>
              <w:right w:val="single" w:sz="8" w:space="0" w:color="auto"/>
            </w:tcBorders>
          </w:tcPr>
          <w:p w:rsidR="00F05DC2" w:rsidRPr="001D6512" w:rsidRDefault="00F05DC2" w:rsidP="0026770C">
            <w:pPr>
              <w:pStyle w:val="TableCell"/>
              <w:spacing w:before="60" w:after="60"/>
              <w:rPr>
                <w:rFonts w:cs="Arial"/>
                <w:sz w:val="20"/>
              </w:rPr>
            </w:pPr>
            <w:r w:rsidRPr="001D6512">
              <w:rPr>
                <w:rFonts w:cs="Arial"/>
                <w:sz w:val="20"/>
              </w:rPr>
              <w:t>EDC Data Gathering</w:t>
            </w:r>
          </w:p>
        </w:tc>
      </w:tr>
      <w:tr w:rsidR="00F05DC2" w:rsidRPr="00A43F4B" w:rsidTr="0026770C">
        <w:trPr>
          <w:trHeight w:val="374"/>
          <w:jc w:val="center"/>
        </w:trPr>
        <w:tc>
          <w:tcPr>
            <w:tcW w:w="966" w:type="pct"/>
            <w:tcBorders>
              <w:top w:val="single" w:sz="8" w:space="0" w:color="auto"/>
              <w:left w:val="single" w:sz="8" w:space="0" w:color="auto"/>
              <w:bottom w:val="single" w:sz="8" w:space="0" w:color="auto"/>
              <w:right w:val="single" w:sz="8" w:space="0" w:color="auto"/>
            </w:tcBorders>
          </w:tcPr>
          <w:p w:rsidR="00F05DC2" w:rsidRPr="001D6512" w:rsidRDefault="00F05DC2" w:rsidP="0026770C">
            <w:pPr>
              <w:pStyle w:val="TableCell"/>
              <w:spacing w:before="60" w:after="60"/>
              <w:rPr>
                <w:rFonts w:cs="Arial"/>
                <w:sz w:val="20"/>
              </w:rPr>
            </w:pPr>
            <w:r w:rsidRPr="001D6512">
              <w:rPr>
                <w:rFonts w:cs="Arial"/>
                <w:sz w:val="20"/>
              </w:rPr>
              <w:t>Q</w:t>
            </w:r>
          </w:p>
        </w:tc>
        <w:tc>
          <w:tcPr>
            <w:tcW w:w="688" w:type="pct"/>
            <w:tcBorders>
              <w:top w:val="single" w:sz="8" w:space="0" w:color="auto"/>
              <w:left w:val="nil"/>
              <w:bottom w:val="single" w:sz="8" w:space="0" w:color="auto"/>
              <w:right w:val="single" w:sz="8" w:space="0" w:color="auto"/>
            </w:tcBorders>
          </w:tcPr>
          <w:p w:rsidR="00F05DC2" w:rsidRPr="001D6512" w:rsidRDefault="00F05DC2" w:rsidP="0026770C">
            <w:pPr>
              <w:pStyle w:val="TableCell"/>
              <w:spacing w:before="60" w:after="60"/>
              <w:rPr>
                <w:rFonts w:cs="Arial"/>
                <w:sz w:val="20"/>
              </w:rPr>
            </w:pPr>
            <w:r w:rsidRPr="001D6512">
              <w:rPr>
                <w:rFonts w:cs="Arial"/>
                <w:sz w:val="20"/>
              </w:rPr>
              <w:t>Fixed</w:t>
            </w:r>
          </w:p>
        </w:tc>
        <w:tc>
          <w:tcPr>
            <w:tcW w:w="2151" w:type="pct"/>
            <w:tcBorders>
              <w:top w:val="single" w:sz="8" w:space="0" w:color="auto"/>
              <w:left w:val="nil"/>
              <w:bottom w:val="single" w:sz="8" w:space="0" w:color="auto"/>
              <w:right w:val="single" w:sz="8" w:space="0" w:color="auto"/>
            </w:tcBorders>
          </w:tcPr>
          <w:p w:rsidR="00F05DC2" w:rsidRPr="001D6512" w:rsidRDefault="00F05DC2" w:rsidP="0026770C">
            <w:pPr>
              <w:pStyle w:val="TableCell"/>
              <w:spacing w:before="60" w:after="60"/>
              <w:rPr>
                <w:rFonts w:cs="Arial"/>
                <w:sz w:val="20"/>
              </w:rPr>
            </w:pPr>
            <w:r w:rsidRPr="001D6512">
              <w:rPr>
                <w:rFonts w:cs="Arial"/>
                <w:sz w:val="20"/>
              </w:rPr>
              <w:t xml:space="preserve">5.20  </w:t>
            </w:r>
          </w:p>
        </w:tc>
        <w:tc>
          <w:tcPr>
            <w:tcW w:w="1195" w:type="pct"/>
            <w:tcBorders>
              <w:top w:val="single" w:sz="8" w:space="0" w:color="auto"/>
              <w:left w:val="nil"/>
              <w:bottom w:val="single" w:sz="8" w:space="0" w:color="auto"/>
              <w:right w:val="single" w:sz="8" w:space="0" w:color="auto"/>
            </w:tcBorders>
          </w:tcPr>
          <w:p w:rsidR="00F05DC2" w:rsidRPr="001D6512" w:rsidRDefault="00F05DC2" w:rsidP="0026770C">
            <w:pPr>
              <w:pStyle w:val="TableCell"/>
              <w:spacing w:before="60" w:after="60"/>
              <w:rPr>
                <w:rFonts w:cs="Arial"/>
                <w:sz w:val="20"/>
              </w:rPr>
            </w:pPr>
            <w:r w:rsidRPr="001D6512">
              <w:rPr>
                <w:rFonts w:cs="Arial"/>
                <w:sz w:val="20"/>
              </w:rPr>
              <w:t>1</w:t>
            </w:r>
          </w:p>
        </w:tc>
      </w:tr>
      <w:tr w:rsidR="00F05DC2" w:rsidRPr="00A43F4B" w:rsidTr="0026770C">
        <w:trPr>
          <w:trHeight w:val="374"/>
          <w:jc w:val="center"/>
        </w:trPr>
        <w:tc>
          <w:tcPr>
            <w:tcW w:w="966" w:type="pct"/>
            <w:tcBorders>
              <w:top w:val="single" w:sz="8" w:space="0" w:color="auto"/>
              <w:left w:val="single" w:sz="8" w:space="0" w:color="auto"/>
              <w:bottom w:val="single" w:sz="8" w:space="0" w:color="auto"/>
              <w:right w:val="single" w:sz="8" w:space="0" w:color="auto"/>
            </w:tcBorders>
          </w:tcPr>
          <w:p w:rsidR="00F05DC2" w:rsidRPr="001D6512" w:rsidRDefault="00F05DC2" w:rsidP="0026770C">
            <w:pPr>
              <w:pStyle w:val="TableCell"/>
              <w:spacing w:before="60" w:after="60"/>
              <w:rPr>
                <w:rFonts w:cs="Arial"/>
                <w:sz w:val="20"/>
              </w:rPr>
            </w:pPr>
            <w:r w:rsidRPr="001D6512">
              <w:rPr>
                <w:rFonts w:cs="Arial"/>
                <w:sz w:val="20"/>
              </w:rPr>
              <w:t>CF</w:t>
            </w:r>
          </w:p>
        </w:tc>
        <w:tc>
          <w:tcPr>
            <w:tcW w:w="688" w:type="pct"/>
            <w:tcBorders>
              <w:top w:val="single" w:sz="8" w:space="0" w:color="auto"/>
              <w:left w:val="nil"/>
              <w:bottom w:val="single" w:sz="8" w:space="0" w:color="auto"/>
              <w:right w:val="single" w:sz="8" w:space="0" w:color="auto"/>
            </w:tcBorders>
          </w:tcPr>
          <w:p w:rsidR="00F05DC2" w:rsidRPr="001D6512" w:rsidRDefault="00F05DC2" w:rsidP="0026770C">
            <w:pPr>
              <w:pStyle w:val="TableCell"/>
              <w:spacing w:before="60" w:after="60"/>
              <w:rPr>
                <w:rFonts w:cs="Arial"/>
                <w:sz w:val="20"/>
              </w:rPr>
            </w:pPr>
            <w:r w:rsidRPr="001D6512">
              <w:rPr>
                <w:rFonts w:cs="Arial"/>
                <w:sz w:val="20"/>
              </w:rPr>
              <w:t>Fixed</w:t>
            </w:r>
          </w:p>
        </w:tc>
        <w:tc>
          <w:tcPr>
            <w:tcW w:w="2151" w:type="pct"/>
            <w:tcBorders>
              <w:top w:val="single" w:sz="8" w:space="0" w:color="auto"/>
              <w:left w:val="nil"/>
              <w:bottom w:val="single" w:sz="8" w:space="0" w:color="auto"/>
              <w:right w:val="single" w:sz="8" w:space="0" w:color="auto"/>
            </w:tcBorders>
          </w:tcPr>
          <w:p w:rsidR="00F05DC2" w:rsidRPr="001D6512" w:rsidRDefault="00F05DC2" w:rsidP="0026770C">
            <w:pPr>
              <w:pStyle w:val="TableCell"/>
              <w:spacing w:before="60" w:after="60"/>
              <w:rPr>
                <w:rFonts w:cs="Arial"/>
                <w:sz w:val="20"/>
              </w:rPr>
            </w:pPr>
            <w:r w:rsidRPr="001D6512">
              <w:rPr>
                <w:rFonts w:cs="Arial"/>
                <w:sz w:val="20"/>
              </w:rPr>
              <w:t>See Table 3-6</w:t>
            </w:r>
          </w:p>
        </w:tc>
        <w:tc>
          <w:tcPr>
            <w:tcW w:w="1195" w:type="pct"/>
            <w:tcBorders>
              <w:top w:val="single" w:sz="8" w:space="0" w:color="auto"/>
              <w:left w:val="nil"/>
              <w:bottom w:val="single" w:sz="8" w:space="0" w:color="auto"/>
              <w:right w:val="single" w:sz="8" w:space="0" w:color="auto"/>
            </w:tcBorders>
          </w:tcPr>
          <w:p w:rsidR="00F05DC2" w:rsidRPr="001D6512" w:rsidRDefault="00F05DC2" w:rsidP="0026770C">
            <w:pPr>
              <w:pStyle w:val="TableCell"/>
              <w:spacing w:before="60" w:after="60"/>
              <w:rPr>
                <w:rFonts w:cs="Arial"/>
                <w:sz w:val="20"/>
              </w:rPr>
            </w:pPr>
            <w:r w:rsidRPr="001D6512">
              <w:rPr>
                <w:rFonts w:cs="Arial"/>
                <w:sz w:val="20"/>
              </w:rPr>
              <w:t>Table 3-6</w:t>
            </w:r>
          </w:p>
        </w:tc>
      </w:tr>
      <w:tr w:rsidR="00F05DC2" w:rsidRPr="00A43F4B" w:rsidTr="0026770C">
        <w:trPr>
          <w:trHeight w:val="374"/>
          <w:jc w:val="center"/>
        </w:trPr>
        <w:tc>
          <w:tcPr>
            <w:tcW w:w="966" w:type="pct"/>
            <w:tcBorders>
              <w:top w:val="single" w:sz="8" w:space="0" w:color="auto"/>
              <w:left w:val="single" w:sz="8" w:space="0" w:color="auto"/>
              <w:bottom w:val="single" w:sz="8" w:space="0" w:color="auto"/>
              <w:right w:val="single" w:sz="8" w:space="0" w:color="auto"/>
            </w:tcBorders>
          </w:tcPr>
          <w:p w:rsidR="00F05DC2" w:rsidRPr="001D6512" w:rsidRDefault="00F05DC2" w:rsidP="0026770C">
            <w:pPr>
              <w:pStyle w:val="TableCell"/>
              <w:spacing w:before="60" w:after="60"/>
              <w:rPr>
                <w:rFonts w:cs="Arial"/>
                <w:sz w:val="20"/>
              </w:rPr>
            </w:pPr>
            <w:r w:rsidRPr="001D6512">
              <w:rPr>
                <w:rFonts w:cs="Arial"/>
                <w:sz w:val="20"/>
              </w:rPr>
              <w:t>EFLH</w:t>
            </w:r>
          </w:p>
        </w:tc>
        <w:tc>
          <w:tcPr>
            <w:tcW w:w="688" w:type="pct"/>
            <w:tcBorders>
              <w:top w:val="single" w:sz="8" w:space="0" w:color="auto"/>
              <w:left w:val="nil"/>
              <w:bottom w:val="single" w:sz="8" w:space="0" w:color="auto"/>
              <w:right w:val="single" w:sz="8" w:space="0" w:color="auto"/>
            </w:tcBorders>
          </w:tcPr>
          <w:p w:rsidR="00F05DC2" w:rsidRPr="001D6512" w:rsidRDefault="00F05DC2" w:rsidP="0026770C">
            <w:pPr>
              <w:pStyle w:val="TableCell"/>
              <w:spacing w:before="60" w:after="60"/>
              <w:rPr>
                <w:rFonts w:cs="Arial"/>
                <w:sz w:val="20"/>
              </w:rPr>
            </w:pPr>
            <w:r w:rsidRPr="001D6512">
              <w:rPr>
                <w:rFonts w:cs="Arial"/>
                <w:sz w:val="20"/>
              </w:rPr>
              <w:t>Fixed</w:t>
            </w:r>
          </w:p>
        </w:tc>
        <w:tc>
          <w:tcPr>
            <w:tcW w:w="2151" w:type="pct"/>
            <w:tcBorders>
              <w:top w:val="single" w:sz="8" w:space="0" w:color="auto"/>
              <w:left w:val="nil"/>
              <w:bottom w:val="single" w:sz="8" w:space="0" w:color="auto"/>
              <w:right w:val="single" w:sz="8" w:space="0" w:color="auto"/>
            </w:tcBorders>
          </w:tcPr>
          <w:p w:rsidR="00F05DC2" w:rsidRPr="001D6512" w:rsidRDefault="00F05DC2" w:rsidP="0026770C">
            <w:pPr>
              <w:pStyle w:val="TableCell"/>
              <w:spacing w:before="60" w:after="60"/>
              <w:rPr>
                <w:rFonts w:cs="Arial"/>
                <w:sz w:val="20"/>
              </w:rPr>
            </w:pPr>
            <w:r w:rsidRPr="001D6512">
              <w:rPr>
                <w:rFonts w:cs="Arial"/>
                <w:sz w:val="20"/>
              </w:rPr>
              <w:t xml:space="preserve">EDC Data Gathering </w:t>
            </w:r>
          </w:p>
          <w:p w:rsidR="00F05DC2" w:rsidRPr="001D6512" w:rsidRDefault="00F05DC2" w:rsidP="0026770C">
            <w:pPr>
              <w:pStyle w:val="TableCell"/>
              <w:spacing w:before="60" w:after="60"/>
              <w:rPr>
                <w:rFonts w:cs="Arial"/>
                <w:sz w:val="20"/>
              </w:rPr>
            </w:pPr>
            <w:r w:rsidRPr="001D6512">
              <w:rPr>
                <w:rFonts w:cs="Arial"/>
                <w:sz w:val="20"/>
              </w:rPr>
              <w:t>Default: See Table 3-6</w:t>
            </w:r>
          </w:p>
        </w:tc>
        <w:tc>
          <w:tcPr>
            <w:tcW w:w="1195" w:type="pct"/>
            <w:tcBorders>
              <w:top w:val="single" w:sz="8" w:space="0" w:color="auto"/>
              <w:left w:val="nil"/>
              <w:bottom w:val="single" w:sz="8" w:space="0" w:color="auto"/>
              <w:right w:val="single" w:sz="8" w:space="0" w:color="auto"/>
            </w:tcBorders>
          </w:tcPr>
          <w:p w:rsidR="00F05DC2" w:rsidRPr="001D6512" w:rsidRDefault="00F05DC2" w:rsidP="0026770C">
            <w:pPr>
              <w:pStyle w:val="TableCell"/>
              <w:spacing w:before="60" w:after="60"/>
              <w:rPr>
                <w:rFonts w:cs="Arial"/>
                <w:sz w:val="20"/>
              </w:rPr>
            </w:pPr>
            <w:r w:rsidRPr="001D6512">
              <w:rPr>
                <w:rFonts w:cs="Arial"/>
                <w:sz w:val="20"/>
              </w:rPr>
              <w:t>EDC Data Gathering</w:t>
            </w:r>
          </w:p>
          <w:p w:rsidR="00F05DC2" w:rsidRPr="001D6512" w:rsidRDefault="00F05DC2" w:rsidP="0026770C">
            <w:pPr>
              <w:pStyle w:val="TableCell"/>
              <w:spacing w:before="60" w:after="60"/>
              <w:rPr>
                <w:rFonts w:cs="Arial"/>
                <w:sz w:val="20"/>
              </w:rPr>
            </w:pPr>
            <w:r w:rsidRPr="001D6512">
              <w:rPr>
                <w:rFonts w:cs="Arial"/>
                <w:sz w:val="20"/>
              </w:rPr>
              <w:t>Table 3-6</w:t>
            </w:r>
          </w:p>
        </w:tc>
      </w:tr>
      <w:tr w:rsidR="00F05DC2" w:rsidRPr="00A43F4B" w:rsidTr="0026770C">
        <w:trPr>
          <w:trHeight w:val="374"/>
          <w:jc w:val="center"/>
        </w:trPr>
        <w:tc>
          <w:tcPr>
            <w:tcW w:w="966" w:type="pct"/>
            <w:tcBorders>
              <w:top w:val="single" w:sz="8" w:space="0" w:color="auto"/>
              <w:left w:val="single" w:sz="8" w:space="0" w:color="auto"/>
              <w:bottom w:val="single" w:sz="8" w:space="0" w:color="auto"/>
              <w:right w:val="single" w:sz="8" w:space="0" w:color="auto"/>
            </w:tcBorders>
          </w:tcPr>
          <w:p w:rsidR="00F05DC2" w:rsidRPr="001D6512" w:rsidRDefault="00F05DC2" w:rsidP="0026770C">
            <w:pPr>
              <w:pStyle w:val="TableCell"/>
              <w:spacing w:before="60" w:after="60"/>
              <w:rPr>
                <w:rFonts w:cs="Arial"/>
                <w:sz w:val="20"/>
              </w:rPr>
            </w:pPr>
            <w:r w:rsidRPr="001D6512">
              <w:rPr>
                <w:rFonts w:cs="Arial"/>
                <w:sz w:val="20"/>
              </w:rPr>
              <w:t>IF</w:t>
            </w:r>
            <w:r w:rsidRPr="001D6512">
              <w:rPr>
                <w:rFonts w:cs="Arial"/>
                <w:sz w:val="20"/>
                <w:vertAlign w:val="subscript"/>
              </w:rPr>
              <w:t>demand</w:t>
            </w:r>
          </w:p>
        </w:tc>
        <w:tc>
          <w:tcPr>
            <w:tcW w:w="688" w:type="pct"/>
            <w:tcBorders>
              <w:top w:val="single" w:sz="8" w:space="0" w:color="auto"/>
              <w:left w:val="nil"/>
              <w:bottom w:val="single" w:sz="8" w:space="0" w:color="auto"/>
              <w:right w:val="single" w:sz="8" w:space="0" w:color="auto"/>
            </w:tcBorders>
          </w:tcPr>
          <w:p w:rsidR="00F05DC2" w:rsidRPr="001D6512" w:rsidRDefault="00F05DC2" w:rsidP="0026770C">
            <w:pPr>
              <w:pStyle w:val="TableCell"/>
              <w:spacing w:before="60" w:after="60"/>
              <w:rPr>
                <w:rFonts w:cs="Arial"/>
                <w:sz w:val="20"/>
              </w:rPr>
            </w:pPr>
            <w:r w:rsidRPr="001D6512">
              <w:rPr>
                <w:rFonts w:cs="Arial"/>
                <w:sz w:val="20"/>
              </w:rPr>
              <w:t>Fixed</w:t>
            </w:r>
          </w:p>
        </w:tc>
        <w:tc>
          <w:tcPr>
            <w:tcW w:w="2151" w:type="pct"/>
            <w:tcBorders>
              <w:top w:val="single" w:sz="8" w:space="0" w:color="auto"/>
              <w:left w:val="nil"/>
              <w:bottom w:val="single" w:sz="8" w:space="0" w:color="auto"/>
              <w:right w:val="single" w:sz="8" w:space="0" w:color="auto"/>
            </w:tcBorders>
          </w:tcPr>
          <w:p w:rsidR="00F05DC2" w:rsidRPr="001D6512" w:rsidRDefault="00F05DC2" w:rsidP="0026770C">
            <w:pPr>
              <w:pStyle w:val="TableCell"/>
              <w:spacing w:before="60" w:after="60"/>
              <w:rPr>
                <w:rFonts w:cs="Arial"/>
                <w:sz w:val="20"/>
              </w:rPr>
            </w:pPr>
            <w:r w:rsidRPr="001D6512">
              <w:rPr>
                <w:rFonts w:cs="Arial"/>
                <w:sz w:val="20"/>
              </w:rPr>
              <w:t>See Table 3-7</w:t>
            </w:r>
          </w:p>
        </w:tc>
        <w:tc>
          <w:tcPr>
            <w:tcW w:w="1195" w:type="pct"/>
            <w:tcBorders>
              <w:top w:val="single" w:sz="8" w:space="0" w:color="auto"/>
              <w:left w:val="nil"/>
              <w:bottom w:val="single" w:sz="8" w:space="0" w:color="auto"/>
              <w:right w:val="single" w:sz="8" w:space="0" w:color="auto"/>
            </w:tcBorders>
          </w:tcPr>
          <w:p w:rsidR="00F05DC2" w:rsidRPr="001D6512" w:rsidRDefault="00F05DC2" w:rsidP="0026770C">
            <w:pPr>
              <w:pStyle w:val="TableCell"/>
              <w:spacing w:before="60" w:after="60"/>
              <w:rPr>
                <w:rFonts w:cs="Arial"/>
                <w:sz w:val="20"/>
              </w:rPr>
            </w:pPr>
            <w:r w:rsidRPr="001D6512">
              <w:rPr>
                <w:rFonts w:cs="Arial"/>
                <w:sz w:val="20"/>
              </w:rPr>
              <w:t>Table 3-7</w:t>
            </w:r>
          </w:p>
        </w:tc>
      </w:tr>
      <w:tr w:rsidR="00F05DC2" w:rsidRPr="00A43F4B" w:rsidTr="0026770C">
        <w:trPr>
          <w:trHeight w:val="374"/>
          <w:jc w:val="center"/>
        </w:trPr>
        <w:tc>
          <w:tcPr>
            <w:tcW w:w="966" w:type="pct"/>
            <w:tcBorders>
              <w:top w:val="single" w:sz="8" w:space="0" w:color="auto"/>
              <w:left w:val="single" w:sz="8" w:space="0" w:color="auto"/>
              <w:bottom w:val="single" w:sz="8" w:space="0" w:color="auto"/>
              <w:right w:val="single" w:sz="8" w:space="0" w:color="auto"/>
            </w:tcBorders>
          </w:tcPr>
          <w:p w:rsidR="00F05DC2" w:rsidRPr="001D6512" w:rsidRDefault="00F05DC2" w:rsidP="0026770C">
            <w:pPr>
              <w:pStyle w:val="TableCell"/>
              <w:spacing w:before="60" w:after="60"/>
              <w:rPr>
                <w:rFonts w:cs="Arial"/>
                <w:sz w:val="20"/>
              </w:rPr>
            </w:pPr>
            <w:r w:rsidRPr="001D6512">
              <w:rPr>
                <w:rFonts w:cs="Arial"/>
                <w:sz w:val="20"/>
              </w:rPr>
              <w:t>IF</w:t>
            </w:r>
            <w:r w:rsidRPr="001D6512">
              <w:rPr>
                <w:rFonts w:cs="Arial"/>
                <w:sz w:val="20"/>
                <w:vertAlign w:val="subscript"/>
              </w:rPr>
              <w:t>energy</w:t>
            </w:r>
          </w:p>
        </w:tc>
        <w:tc>
          <w:tcPr>
            <w:tcW w:w="688" w:type="pct"/>
            <w:tcBorders>
              <w:top w:val="single" w:sz="8" w:space="0" w:color="auto"/>
              <w:left w:val="nil"/>
              <w:bottom w:val="single" w:sz="8" w:space="0" w:color="auto"/>
              <w:right w:val="single" w:sz="8" w:space="0" w:color="auto"/>
            </w:tcBorders>
          </w:tcPr>
          <w:p w:rsidR="00F05DC2" w:rsidRPr="001D6512" w:rsidRDefault="00F05DC2" w:rsidP="0026770C">
            <w:pPr>
              <w:pStyle w:val="TableCell"/>
              <w:spacing w:before="60" w:after="60"/>
              <w:rPr>
                <w:rFonts w:cs="Arial"/>
                <w:sz w:val="20"/>
              </w:rPr>
            </w:pPr>
            <w:r w:rsidRPr="001D6512">
              <w:rPr>
                <w:rFonts w:cs="Arial"/>
                <w:sz w:val="20"/>
              </w:rPr>
              <w:t>Fixed</w:t>
            </w:r>
          </w:p>
        </w:tc>
        <w:tc>
          <w:tcPr>
            <w:tcW w:w="2151" w:type="pct"/>
            <w:tcBorders>
              <w:top w:val="single" w:sz="8" w:space="0" w:color="auto"/>
              <w:left w:val="nil"/>
              <w:bottom w:val="single" w:sz="8" w:space="0" w:color="auto"/>
              <w:right w:val="single" w:sz="8" w:space="0" w:color="auto"/>
            </w:tcBorders>
          </w:tcPr>
          <w:p w:rsidR="00F05DC2" w:rsidRPr="001D6512" w:rsidRDefault="00F05DC2" w:rsidP="0026770C">
            <w:pPr>
              <w:pStyle w:val="TableCell"/>
              <w:spacing w:before="60" w:after="60"/>
              <w:rPr>
                <w:rFonts w:cs="Arial"/>
                <w:sz w:val="20"/>
              </w:rPr>
            </w:pPr>
            <w:r w:rsidRPr="001D6512">
              <w:rPr>
                <w:rFonts w:cs="Arial"/>
                <w:sz w:val="20"/>
              </w:rPr>
              <w:t>See Table 3-7</w:t>
            </w:r>
          </w:p>
        </w:tc>
        <w:tc>
          <w:tcPr>
            <w:tcW w:w="1195" w:type="pct"/>
            <w:tcBorders>
              <w:top w:val="single" w:sz="8" w:space="0" w:color="auto"/>
              <w:left w:val="nil"/>
              <w:bottom w:val="single" w:sz="8" w:space="0" w:color="auto"/>
              <w:right w:val="single" w:sz="8" w:space="0" w:color="auto"/>
            </w:tcBorders>
          </w:tcPr>
          <w:p w:rsidR="00F05DC2" w:rsidRPr="001D6512" w:rsidRDefault="00F05DC2" w:rsidP="0026770C">
            <w:pPr>
              <w:pStyle w:val="TableCell"/>
              <w:spacing w:before="60" w:after="60"/>
              <w:rPr>
                <w:rFonts w:cs="Arial"/>
                <w:sz w:val="20"/>
              </w:rPr>
            </w:pPr>
            <w:r w:rsidRPr="001D6512">
              <w:rPr>
                <w:rFonts w:cs="Arial"/>
                <w:sz w:val="20"/>
              </w:rPr>
              <w:t>Table 3-7</w:t>
            </w:r>
          </w:p>
        </w:tc>
      </w:tr>
      <w:tr w:rsidR="00B444CD" w:rsidRPr="00A43F4B" w:rsidTr="0026770C">
        <w:trPr>
          <w:trHeight w:val="374"/>
          <w:jc w:val="center"/>
        </w:trPr>
        <w:tc>
          <w:tcPr>
            <w:tcW w:w="966" w:type="pct"/>
            <w:tcBorders>
              <w:top w:val="single" w:sz="8" w:space="0" w:color="auto"/>
              <w:left w:val="single" w:sz="8" w:space="0" w:color="auto"/>
              <w:bottom w:val="single" w:sz="8" w:space="0" w:color="auto"/>
              <w:right w:val="single" w:sz="8" w:space="0" w:color="auto"/>
            </w:tcBorders>
          </w:tcPr>
          <w:p w:rsidR="00B444CD" w:rsidRPr="001D6512" w:rsidRDefault="00B444CD" w:rsidP="0026770C">
            <w:pPr>
              <w:pStyle w:val="TableCell"/>
              <w:spacing w:before="60" w:after="60"/>
              <w:rPr>
                <w:rFonts w:cs="Arial"/>
                <w:sz w:val="20"/>
              </w:rPr>
            </w:pPr>
            <w:r w:rsidRPr="001D6512">
              <w:rPr>
                <w:rFonts w:cs="Arial"/>
                <w:sz w:val="20"/>
              </w:rPr>
              <w:t>N</w:t>
            </w:r>
          </w:p>
        </w:tc>
        <w:tc>
          <w:tcPr>
            <w:tcW w:w="688" w:type="pct"/>
            <w:tcBorders>
              <w:top w:val="single" w:sz="8" w:space="0" w:color="auto"/>
              <w:left w:val="nil"/>
              <w:bottom w:val="single" w:sz="8" w:space="0" w:color="auto"/>
              <w:right w:val="single" w:sz="8" w:space="0" w:color="auto"/>
            </w:tcBorders>
          </w:tcPr>
          <w:p w:rsidR="00B444CD" w:rsidRPr="001D6512" w:rsidRDefault="00B444CD" w:rsidP="0026770C">
            <w:pPr>
              <w:pStyle w:val="TableCell"/>
              <w:spacing w:before="60" w:after="60"/>
              <w:rPr>
                <w:rFonts w:cs="Arial"/>
                <w:sz w:val="20"/>
              </w:rPr>
            </w:pPr>
            <w:r w:rsidRPr="001D6512">
              <w:rPr>
                <w:rFonts w:cs="Arial"/>
                <w:sz w:val="20"/>
              </w:rPr>
              <w:t>Variable</w:t>
            </w:r>
          </w:p>
        </w:tc>
        <w:tc>
          <w:tcPr>
            <w:tcW w:w="2151" w:type="pct"/>
            <w:tcBorders>
              <w:top w:val="single" w:sz="8" w:space="0" w:color="auto"/>
              <w:left w:val="nil"/>
              <w:bottom w:val="single" w:sz="8" w:space="0" w:color="auto"/>
              <w:right w:val="single" w:sz="8" w:space="0" w:color="auto"/>
            </w:tcBorders>
          </w:tcPr>
          <w:p w:rsidR="00B444CD" w:rsidRPr="001D6512" w:rsidRDefault="00B444CD" w:rsidP="0026770C">
            <w:pPr>
              <w:pStyle w:val="TableCell"/>
              <w:spacing w:before="60" w:after="60"/>
              <w:rPr>
                <w:rFonts w:cs="Arial"/>
                <w:sz w:val="20"/>
              </w:rPr>
            </w:pPr>
            <w:r w:rsidRPr="001D6512">
              <w:rPr>
                <w:rFonts w:cs="Arial"/>
                <w:sz w:val="20"/>
              </w:rPr>
              <w:t>EDC Data Gathering</w:t>
            </w:r>
          </w:p>
        </w:tc>
        <w:tc>
          <w:tcPr>
            <w:tcW w:w="1195" w:type="pct"/>
            <w:tcBorders>
              <w:top w:val="single" w:sz="8" w:space="0" w:color="auto"/>
              <w:left w:val="nil"/>
              <w:bottom w:val="single" w:sz="8" w:space="0" w:color="auto"/>
              <w:right w:val="single" w:sz="8" w:space="0" w:color="auto"/>
            </w:tcBorders>
          </w:tcPr>
          <w:p w:rsidR="00B444CD" w:rsidRPr="001D6512" w:rsidRDefault="00B444CD" w:rsidP="0026770C">
            <w:pPr>
              <w:pStyle w:val="TableCell"/>
              <w:spacing w:before="60" w:after="60"/>
              <w:rPr>
                <w:rFonts w:cs="Arial"/>
                <w:sz w:val="20"/>
              </w:rPr>
            </w:pPr>
            <w:r w:rsidRPr="001D6512">
              <w:rPr>
                <w:rFonts w:cs="Arial"/>
                <w:sz w:val="20"/>
              </w:rPr>
              <w:t>EDC Data Gathering</w:t>
            </w:r>
          </w:p>
        </w:tc>
      </w:tr>
    </w:tbl>
    <w:p w:rsidR="00F05DC2" w:rsidRPr="001C4AD5" w:rsidRDefault="00F05DC2" w:rsidP="00F05DC2">
      <w:pPr>
        <w:spacing w:after="0"/>
      </w:pPr>
    </w:p>
    <w:p w:rsidR="00F05DC2" w:rsidRPr="001D7420" w:rsidRDefault="00F05DC2" w:rsidP="00F05DC2">
      <w:pPr>
        <w:keepNext/>
        <w:rPr>
          <w:b/>
        </w:rPr>
      </w:pPr>
      <w:r w:rsidRPr="001D7420">
        <w:rPr>
          <w:b/>
        </w:rPr>
        <w:t>Sources:</w:t>
      </w:r>
    </w:p>
    <w:p w:rsidR="00F05DC2" w:rsidRDefault="00F05DC2" w:rsidP="0005632A">
      <w:pPr>
        <w:pStyle w:val="source1"/>
        <w:numPr>
          <w:ilvl w:val="0"/>
          <w:numId w:val="98"/>
        </w:numPr>
      </w:pPr>
      <w:r w:rsidRPr="00A43F4B">
        <w:t xml:space="preserve">Southern California Edison Company, </w:t>
      </w:r>
      <w:r w:rsidRPr="00F05DC2">
        <w:rPr>
          <w:i/>
        </w:rPr>
        <w:t>LED Channel Letter Signage (Red)</w:t>
      </w:r>
      <w:r w:rsidRPr="00A43F4B">
        <w:t>, Work Paper WPSCNRLG0052, Revision 1.</w:t>
      </w:r>
    </w:p>
    <w:p w:rsidR="00F05DC2" w:rsidRDefault="00F05DC2" w:rsidP="00871FA2">
      <w:pPr>
        <w:pStyle w:val="Heading3"/>
      </w:pPr>
      <w:r>
        <w:t>Measure Life</w:t>
      </w:r>
    </w:p>
    <w:p w:rsidR="00F05DC2" w:rsidRPr="00735EA4" w:rsidRDefault="00F05DC2" w:rsidP="00F05DC2">
      <w:r w:rsidRPr="007E78A9">
        <w:rPr>
          <w:bCs/>
          <w:szCs w:val="26"/>
        </w:rPr>
        <w:t>Expected measure life is 1</w:t>
      </w:r>
      <w:r>
        <w:rPr>
          <w:bCs/>
          <w:szCs w:val="26"/>
        </w:rPr>
        <w:t>5</w:t>
      </w:r>
      <w:r w:rsidRPr="007E78A9">
        <w:rPr>
          <w:bCs/>
          <w:szCs w:val="26"/>
        </w:rPr>
        <w:t xml:space="preserve"> years</w:t>
      </w:r>
      <w:r w:rsidRPr="007E78A9">
        <w:rPr>
          <w:rStyle w:val="FootnoteReference"/>
          <w:bCs/>
          <w:szCs w:val="26"/>
        </w:rPr>
        <w:footnoteReference w:id="249"/>
      </w:r>
      <w:r w:rsidRPr="007E78A9">
        <w:rPr>
          <w:bCs/>
          <w:szCs w:val="26"/>
        </w:rPr>
        <w:t>.</w:t>
      </w:r>
    </w:p>
    <w:p w:rsidR="00F05DC2" w:rsidRPr="001C4AD5" w:rsidRDefault="00F05DC2" w:rsidP="00F05DC2">
      <w:pPr>
        <w:pStyle w:val="Heading2"/>
      </w:pPr>
      <w:r>
        <w:br w:type="page"/>
      </w:r>
      <w:bookmarkStart w:id="1322" w:name="_Toc310875470"/>
      <w:r w:rsidRPr="00DF2D45">
        <w:t>Low Flow Pre-Rinse Sprayers</w:t>
      </w:r>
      <w:bookmarkEnd w:id="1322"/>
      <w: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1"/>
        <w:gridCol w:w="5255"/>
      </w:tblGrid>
      <w:tr w:rsidR="00F05DC2" w:rsidRPr="006E0899" w:rsidTr="0026770C">
        <w:trPr>
          <w:jc w:val="center"/>
        </w:trPr>
        <w:tc>
          <w:tcPr>
            <w:tcW w:w="2033" w:type="pct"/>
            <w:shd w:val="clear" w:color="auto" w:fill="BFBFBF"/>
            <w:vAlign w:val="center"/>
          </w:tcPr>
          <w:p w:rsidR="00F05DC2" w:rsidRPr="001D6512" w:rsidRDefault="00F05DC2" w:rsidP="0026770C">
            <w:pPr>
              <w:pStyle w:val="TableCell"/>
              <w:spacing w:before="60" w:after="60"/>
              <w:rPr>
                <w:b/>
              </w:rPr>
            </w:pPr>
            <w:r w:rsidRPr="001D6512">
              <w:rPr>
                <w:b/>
              </w:rPr>
              <w:t>Measure Name</w:t>
            </w:r>
          </w:p>
        </w:tc>
        <w:tc>
          <w:tcPr>
            <w:tcW w:w="2967" w:type="pct"/>
            <w:shd w:val="clear" w:color="auto" w:fill="BFBFBF"/>
            <w:vAlign w:val="center"/>
          </w:tcPr>
          <w:p w:rsidR="00F05DC2" w:rsidRPr="001D6512" w:rsidRDefault="00F05DC2" w:rsidP="0026770C">
            <w:pPr>
              <w:pStyle w:val="TableCell"/>
              <w:spacing w:before="60" w:after="60"/>
              <w:rPr>
                <w:b/>
              </w:rPr>
            </w:pPr>
            <w:r w:rsidRPr="001D6512">
              <w:rPr>
                <w:b/>
              </w:rPr>
              <w:t xml:space="preserve">Low Flow Pre-Rinse Sprayers </w:t>
            </w:r>
          </w:p>
        </w:tc>
      </w:tr>
      <w:tr w:rsidR="00F05DC2" w:rsidRPr="006E0899" w:rsidTr="0026770C">
        <w:trPr>
          <w:jc w:val="center"/>
        </w:trPr>
        <w:tc>
          <w:tcPr>
            <w:tcW w:w="2033" w:type="pct"/>
            <w:shd w:val="clear" w:color="auto" w:fill="auto"/>
            <w:vAlign w:val="center"/>
          </w:tcPr>
          <w:p w:rsidR="00F05DC2" w:rsidRPr="001D6512" w:rsidRDefault="00F05DC2" w:rsidP="0026770C">
            <w:pPr>
              <w:pStyle w:val="TableCell"/>
              <w:spacing w:before="60" w:after="60"/>
            </w:pPr>
            <w:r w:rsidRPr="001D6512">
              <w:t>Target Sector</w:t>
            </w:r>
          </w:p>
        </w:tc>
        <w:tc>
          <w:tcPr>
            <w:tcW w:w="2967" w:type="pct"/>
            <w:shd w:val="clear" w:color="auto" w:fill="auto"/>
            <w:vAlign w:val="center"/>
          </w:tcPr>
          <w:p w:rsidR="00F05DC2" w:rsidRPr="001D6512" w:rsidRDefault="00F05DC2" w:rsidP="0026770C">
            <w:pPr>
              <w:pStyle w:val="TableCell"/>
              <w:spacing w:before="60" w:after="60"/>
            </w:pPr>
            <w:r w:rsidRPr="001D6512">
              <w:t>Commercial Kitchens</w:t>
            </w:r>
          </w:p>
        </w:tc>
      </w:tr>
      <w:tr w:rsidR="00F05DC2" w:rsidRPr="006E0899" w:rsidTr="0026770C">
        <w:trPr>
          <w:jc w:val="center"/>
        </w:trPr>
        <w:tc>
          <w:tcPr>
            <w:tcW w:w="2033" w:type="pct"/>
            <w:shd w:val="clear" w:color="auto" w:fill="auto"/>
            <w:vAlign w:val="center"/>
          </w:tcPr>
          <w:p w:rsidR="00F05DC2" w:rsidRPr="001D6512" w:rsidRDefault="00F05DC2" w:rsidP="0026770C">
            <w:pPr>
              <w:pStyle w:val="TableCell"/>
              <w:spacing w:before="60" w:after="60"/>
            </w:pPr>
            <w:r w:rsidRPr="001D6512">
              <w:t>Measure Unit</w:t>
            </w:r>
          </w:p>
        </w:tc>
        <w:tc>
          <w:tcPr>
            <w:tcW w:w="2967" w:type="pct"/>
            <w:shd w:val="clear" w:color="auto" w:fill="auto"/>
            <w:vAlign w:val="center"/>
          </w:tcPr>
          <w:p w:rsidR="00F05DC2" w:rsidRPr="001D6512" w:rsidRDefault="00F05DC2" w:rsidP="0026770C">
            <w:pPr>
              <w:pStyle w:val="TableCell"/>
              <w:spacing w:before="60" w:after="60"/>
            </w:pPr>
            <w:r w:rsidRPr="001D6512">
              <w:t>Pre Rinse Sprayer</w:t>
            </w:r>
          </w:p>
        </w:tc>
      </w:tr>
      <w:tr w:rsidR="00F05DC2" w:rsidRPr="006E0899" w:rsidTr="0026770C">
        <w:trPr>
          <w:jc w:val="center"/>
        </w:trPr>
        <w:tc>
          <w:tcPr>
            <w:tcW w:w="2033" w:type="pct"/>
            <w:shd w:val="clear" w:color="auto" w:fill="auto"/>
            <w:vAlign w:val="center"/>
          </w:tcPr>
          <w:p w:rsidR="00F05DC2" w:rsidRPr="001D6512" w:rsidRDefault="00F05DC2" w:rsidP="0026770C">
            <w:pPr>
              <w:pStyle w:val="TableCell"/>
              <w:spacing w:before="60" w:after="60"/>
            </w:pPr>
            <w:r w:rsidRPr="001D6512">
              <w:t>Unit Energy Savings</w:t>
            </w:r>
          </w:p>
        </w:tc>
        <w:tc>
          <w:tcPr>
            <w:tcW w:w="2967" w:type="pct"/>
            <w:shd w:val="clear" w:color="auto" w:fill="auto"/>
            <w:vAlign w:val="center"/>
          </w:tcPr>
          <w:p w:rsidR="00F05DC2" w:rsidRPr="001D6512" w:rsidRDefault="00F05DC2" w:rsidP="0026770C">
            <w:pPr>
              <w:pStyle w:val="TableCell"/>
              <w:spacing w:before="60" w:after="60"/>
            </w:pPr>
            <w:r w:rsidRPr="001D6512">
              <w:t xml:space="preserve">Groceries: </w:t>
            </w:r>
            <w:r w:rsidR="005232B0" w:rsidRPr="001D6512">
              <w:t>151</w:t>
            </w:r>
            <w:r w:rsidRPr="001D6512">
              <w:t xml:space="preserve">152 kWh; Non-Groceries: </w:t>
            </w:r>
            <w:r w:rsidR="005232B0" w:rsidRPr="001D6512">
              <w:t>1,222</w:t>
            </w:r>
            <w:r w:rsidRPr="001D6512">
              <w:t>227 kWh</w:t>
            </w:r>
          </w:p>
        </w:tc>
      </w:tr>
      <w:tr w:rsidR="00F05DC2" w:rsidRPr="006E0899" w:rsidTr="0026770C">
        <w:trPr>
          <w:jc w:val="center"/>
        </w:trPr>
        <w:tc>
          <w:tcPr>
            <w:tcW w:w="2033" w:type="pct"/>
            <w:shd w:val="clear" w:color="auto" w:fill="auto"/>
            <w:vAlign w:val="center"/>
          </w:tcPr>
          <w:p w:rsidR="00F05DC2" w:rsidRPr="001D6512" w:rsidRDefault="00F05DC2" w:rsidP="0026770C">
            <w:pPr>
              <w:pStyle w:val="TableCell"/>
              <w:spacing w:before="60" w:after="60"/>
            </w:pPr>
            <w:r w:rsidRPr="001D6512">
              <w:t>Unit Peak Demand Reduction</w:t>
            </w:r>
          </w:p>
        </w:tc>
        <w:tc>
          <w:tcPr>
            <w:tcW w:w="2967" w:type="pct"/>
            <w:shd w:val="clear" w:color="auto" w:fill="auto"/>
            <w:vAlign w:val="center"/>
          </w:tcPr>
          <w:p w:rsidR="00F05DC2" w:rsidRPr="001D6512" w:rsidRDefault="00F05DC2" w:rsidP="0026770C">
            <w:pPr>
              <w:pStyle w:val="TableCell"/>
              <w:spacing w:before="60" w:after="60"/>
            </w:pPr>
            <w:r w:rsidRPr="001D6512">
              <w:t xml:space="preserve">Groceries: 0.03kW; Non-Groceries: </w:t>
            </w:r>
            <w:r w:rsidR="005232B0" w:rsidRPr="001D6512">
              <w:t>0.23</w:t>
            </w:r>
            <w:r w:rsidRPr="001D6512">
              <w:t>22 kW</w:t>
            </w:r>
          </w:p>
        </w:tc>
      </w:tr>
      <w:tr w:rsidR="00F05DC2" w:rsidRPr="006E0899" w:rsidTr="0026770C">
        <w:trPr>
          <w:jc w:val="center"/>
        </w:trPr>
        <w:tc>
          <w:tcPr>
            <w:tcW w:w="2033" w:type="pct"/>
            <w:shd w:val="clear" w:color="auto" w:fill="auto"/>
            <w:vAlign w:val="center"/>
          </w:tcPr>
          <w:p w:rsidR="00F05DC2" w:rsidRPr="001D6512" w:rsidRDefault="00F05DC2" w:rsidP="0026770C">
            <w:pPr>
              <w:pStyle w:val="TableCell"/>
              <w:spacing w:before="60" w:after="60"/>
            </w:pPr>
            <w:r w:rsidRPr="001D6512">
              <w:t>Measure Life</w:t>
            </w:r>
          </w:p>
        </w:tc>
        <w:tc>
          <w:tcPr>
            <w:tcW w:w="2967" w:type="pct"/>
            <w:shd w:val="clear" w:color="auto" w:fill="auto"/>
            <w:vAlign w:val="center"/>
          </w:tcPr>
          <w:p w:rsidR="00F05DC2" w:rsidRPr="001D6512" w:rsidRDefault="00F05DC2" w:rsidP="0026770C">
            <w:pPr>
              <w:pStyle w:val="TableCell"/>
              <w:spacing w:before="60" w:after="60"/>
            </w:pPr>
            <w:r w:rsidRPr="001D6512">
              <w:t>5 years</w:t>
            </w:r>
          </w:p>
        </w:tc>
      </w:tr>
    </w:tbl>
    <w:p w:rsidR="00F05DC2" w:rsidRDefault="00F05DC2" w:rsidP="00F05DC2">
      <w:pPr>
        <w:rPr>
          <w:highlight w:val="yellow"/>
        </w:rPr>
      </w:pPr>
    </w:p>
    <w:p w:rsidR="00F05DC2" w:rsidRDefault="00F05DC2" w:rsidP="00F05DC2">
      <w:r w:rsidRPr="007D34C5">
        <w:rPr>
          <w:rFonts w:cs="Arial"/>
        </w:rPr>
        <w:t>This protocol documents the energy savings and demand reductions attribut</w:t>
      </w:r>
      <w:r>
        <w:rPr>
          <w:rFonts w:cs="Arial"/>
        </w:rPr>
        <w:t>ed</w:t>
      </w:r>
      <w:r w:rsidRPr="007D34C5">
        <w:rPr>
          <w:rFonts w:cs="Arial"/>
        </w:rPr>
        <w:t xml:space="preserve"> to efficient low flow pre-rinse sprayers in grocery and non-grocery (primarily food service) applications.</w:t>
      </w:r>
      <w:r>
        <w:rPr>
          <w:rFonts w:cs="Arial"/>
        </w:rPr>
        <w:t xml:space="preserve"> </w:t>
      </w:r>
      <w:r w:rsidRPr="007D34C5">
        <w:rPr>
          <w:rFonts w:cs="Arial"/>
        </w:rPr>
        <w:t>The most likely areas of application are kitchens in restaurants and hotels. Only premises with electric water heating may qualify for this incentive.</w:t>
      </w:r>
      <w:r>
        <w:rPr>
          <w:rFonts w:cs="Arial"/>
        </w:rPr>
        <w:t xml:space="preserve">  </w:t>
      </w:r>
      <w:r>
        <w:t xml:space="preserve">Low flow pre-rinse sprayers reduce hot water usage and save energy associated with water heating. The maximum flow rate of qualifying pre-rinse sprayers is 1.6 gpm. </w:t>
      </w:r>
    </w:p>
    <w:p w:rsidR="00F05DC2" w:rsidRPr="001C4AD5" w:rsidRDefault="00F05DC2" w:rsidP="00871FA2">
      <w:pPr>
        <w:pStyle w:val="Heading3"/>
      </w:pPr>
      <w:r w:rsidRPr="001C4AD5">
        <w:t>Algorithms</w:t>
      </w:r>
    </w:p>
    <w:p w:rsidR="00F05DC2" w:rsidRPr="007D34C5" w:rsidRDefault="00F05DC2" w:rsidP="00F05DC2">
      <w:pPr>
        <w:spacing w:before="120"/>
        <w:jc w:val="both"/>
        <w:rPr>
          <w:rFonts w:cs="Arial"/>
        </w:rPr>
      </w:pPr>
      <w:r w:rsidRPr="007D34C5">
        <w:rPr>
          <w:rFonts w:cs="Arial"/>
        </w:rPr>
        <w:t>The energy savings and demand reduction are calculated through the protocols documented below.</w:t>
      </w:r>
    </w:p>
    <w:p w:rsidR="00F05DC2" w:rsidRPr="005F1D85" w:rsidRDefault="00F05DC2" w:rsidP="00F05DC2">
      <w:pPr>
        <w:pStyle w:val="Equation"/>
        <w:ind w:left="3600" w:hanging="3600"/>
        <w:rPr>
          <w:rFonts w:cs="Arial"/>
          <w:b/>
          <w:szCs w:val="20"/>
        </w:rPr>
      </w:pPr>
      <w:r w:rsidRPr="00AA2C40">
        <w:rPr>
          <w:rFonts w:cs="Arial"/>
          <w:szCs w:val="20"/>
        </w:rPr>
        <w:sym w:font="Symbol" w:char="F044"/>
      </w:r>
      <w:r w:rsidRPr="00AA2C40">
        <w:rPr>
          <w:rFonts w:cs="Arial"/>
          <w:szCs w:val="20"/>
        </w:rPr>
        <w:t>kWh</w:t>
      </w:r>
      <w:r w:rsidRPr="005F1D85">
        <w:rPr>
          <w:rFonts w:cs="Arial"/>
          <w:szCs w:val="20"/>
        </w:rPr>
        <w:t xml:space="preserve"> for Non-Groceries</w:t>
      </w:r>
      <w:r>
        <w:rPr>
          <w:rFonts w:cs="Arial"/>
          <w:b/>
          <w:szCs w:val="20"/>
        </w:rPr>
        <w:tab/>
      </w:r>
      <w:r w:rsidRPr="005F1D85">
        <w:rPr>
          <w:rFonts w:cs="Arial"/>
          <w:b/>
          <w:szCs w:val="20"/>
        </w:rPr>
        <w:t xml:space="preserve">= </w:t>
      </w:r>
      <w:r w:rsidRPr="005F1D85">
        <w:rPr>
          <w:rFonts w:cs="Arial"/>
          <w:szCs w:val="20"/>
        </w:rPr>
        <w:t>((F</w:t>
      </w:r>
      <w:r w:rsidRPr="005F1D85">
        <w:rPr>
          <w:rFonts w:cs="Arial"/>
          <w:szCs w:val="20"/>
          <w:vertAlign w:val="subscript"/>
        </w:rPr>
        <w:t>BNG</w:t>
      </w:r>
      <w:r w:rsidRPr="005F1D85">
        <w:rPr>
          <w:rFonts w:cs="Arial"/>
          <w:color w:val="000000"/>
          <w:szCs w:val="20"/>
        </w:rPr>
        <w:t>×</w:t>
      </w:r>
      <w:r w:rsidRPr="005F1D85">
        <w:rPr>
          <w:rFonts w:cs="Arial"/>
          <w:szCs w:val="20"/>
        </w:rPr>
        <w:t>U</w:t>
      </w:r>
      <w:r w:rsidRPr="005F1D85">
        <w:rPr>
          <w:rFonts w:cs="Arial"/>
          <w:szCs w:val="20"/>
          <w:vertAlign w:val="subscript"/>
        </w:rPr>
        <w:t>BNG</w:t>
      </w:r>
      <w:r w:rsidRPr="005F1D85">
        <w:rPr>
          <w:rFonts w:cs="Arial"/>
          <w:szCs w:val="20"/>
        </w:rPr>
        <w:t>)-(F</w:t>
      </w:r>
      <w:r w:rsidRPr="005F1D85">
        <w:rPr>
          <w:rFonts w:cs="Arial"/>
          <w:szCs w:val="20"/>
          <w:vertAlign w:val="subscript"/>
        </w:rPr>
        <w:t>PNG</w:t>
      </w:r>
      <w:r w:rsidRPr="005F1D85">
        <w:rPr>
          <w:rFonts w:cs="Arial"/>
          <w:color w:val="000000"/>
          <w:szCs w:val="20"/>
        </w:rPr>
        <w:t>×</w:t>
      </w:r>
      <w:r w:rsidRPr="005F1D85">
        <w:rPr>
          <w:rFonts w:cs="Arial"/>
          <w:szCs w:val="20"/>
        </w:rPr>
        <w:t>U</w:t>
      </w:r>
      <w:r w:rsidRPr="005F1D85">
        <w:rPr>
          <w:rFonts w:cs="Arial"/>
          <w:szCs w:val="20"/>
          <w:vertAlign w:val="subscript"/>
        </w:rPr>
        <w:t>PNG</w:t>
      </w:r>
      <w:r w:rsidRPr="005F1D85">
        <w:rPr>
          <w:rFonts w:cs="Arial"/>
          <w:szCs w:val="20"/>
        </w:rPr>
        <w:t>))</w:t>
      </w:r>
      <w:r w:rsidRPr="005F1D85">
        <w:rPr>
          <w:rFonts w:cs="Arial"/>
          <w:color w:val="000000"/>
          <w:szCs w:val="20"/>
        </w:rPr>
        <w:t xml:space="preserve"> ×</w:t>
      </w:r>
      <w:r w:rsidR="00126575">
        <w:rPr>
          <w:rFonts w:cs="Arial"/>
          <w:color w:val="000000"/>
          <w:szCs w:val="20"/>
        </w:rPr>
        <w:t xml:space="preserve"> </w:t>
      </w:r>
      <w:r w:rsidRPr="005F1D85">
        <w:rPr>
          <w:rFonts w:cs="Arial"/>
          <w:szCs w:val="20"/>
        </w:rPr>
        <w:t>365</w:t>
      </w:r>
      <w:r w:rsidR="00126575">
        <w:rPr>
          <w:rFonts w:cs="Arial"/>
          <w:szCs w:val="20"/>
        </w:rPr>
        <w:t xml:space="preserve"> </w:t>
      </w:r>
      <w:r w:rsidRPr="005F1D85">
        <w:rPr>
          <w:rFonts w:cs="Arial"/>
          <w:color w:val="000000"/>
          <w:szCs w:val="20"/>
        </w:rPr>
        <w:t>×</w:t>
      </w:r>
      <w:r w:rsidR="00126575">
        <w:rPr>
          <w:rFonts w:cs="Arial"/>
          <w:color w:val="000000"/>
          <w:szCs w:val="20"/>
        </w:rPr>
        <w:t xml:space="preserve"> </w:t>
      </w:r>
      <w:r w:rsidR="001C3A51">
        <w:rPr>
          <w:rFonts w:cs="Arial"/>
          <w:color w:val="000000"/>
          <w:szCs w:val="20"/>
        </w:rPr>
        <w:t>8.33</w:t>
      </w:r>
      <w:r w:rsidR="00126575">
        <w:rPr>
          <w:rFonts w:cs="Arial"/>
          <w:color w:val="000000"/>
          <w:szCs w:val="20"/>
        </w:rPr>
        <w:t xml:space="preserve"> </w:t>
      </w:r>
      <w:r w:rsidR="001C3A51">
        <w:rPr>
          <w:rFonts w:cs="Arial"/>
          <w:color w:val="000000"/>
          <w:szCs w:val="20"/>
        </w:rPr>
        <w:t>x</w:t>
      </w:r>
      <w:r w:rsidRPr="005F1D85" w:rsidDel="00F817E9">
        <w:rPr>
          <w:rFonts w:cs="Arial"/>
          <w:color w:val="000000"/>
          <w:szCs w:val="20"/>
        </w:rPr>
        <w:t xml:space="preserve"> </w:t>
      </w:r>
      <w:r w:rsidRPr="005F1D85">
        <w:rPr>
          <w:rFonts w:cs="Arial"/>
          <w:color w:val="000000"/>
          <w:szCs w:val="20"/>
        </w:rPr>
        <w:t>(T</w:t>
      </w:r>
      <w:r w:rsidR="001C3A51">
        <w:rPr>
          <w:rFonts w:cs="Arial"/>
          <w:color w:val="000000"/>
          <w:szCs w:val="20"/>
          <w:vertAlign w:val="subscript"/>
        </w:rPr>
        <w:t>H</w:t>
      </w:r>
      <w:r w:rsidRPr="005F1D85">
        <w:rPr>
          <w:rFonts w:cs="Arial"/>
          <w:color w:val="000000"/>
          <w:szCs w:val="20"/>
          <w:vertAlign w:val="subscript"/>
        </w:rPr>
        <w:t>NG</w:t>
      </w:r>
      <w:r w:rsidRPr="005F1D85">
        <w:rPr>
          <w:rFonts w:cs="Arial"/>
          <w:szCs w:val="20"/>
        </w:rPr>
        <w:t>)</w:t>
      </w:r>
      <w:r w:rsidRPr="005F1D85">
        <w:rPr>
          <w:rFonts w:cs="Arial"/>
          <w:color w:val="000000"/>
          <w:szCs w:val="20"/>
        </w:rPr>
        <w:t>×</w:t>
      </w:r>
      <w:r w:rsidRPr="005F1D85" w:rsidDel="00F817E9">
        <w:rPr>
          <w:rFonts w:cs="Arial"/>
          <w:color w:val="000000"/>
          <w:szCs w:val="20"/>
        </w:rPr>
        <w:t xml:space="preserve"> </w:t>
      </w:r>
      <w:r w:rsidRPr="005F1D85">
        <w:rPr>
          <w:rFonts w:cs="Arial"/>
          <w:color w:val="000000"/>
          <w:szCs w:val="20"/>
        </w:rPr>
        <w:t>(T</w:t>
      </w:r>
      <w:r w:rsidRPr="005F1D85">
        <w:rPr>
          <w:rFonts w:cs="Arial"/>
          <w:color w:val="000000"/>
          <w:szCs w:val="20"/>
          <w:vertAlign w:val="subscript"/>
        </w:rPr>
        <w:t>MNG</w:t>
      </w:r>
      <w:r w:rsidRPr="005F1D85">
        <w:rPr>
          <w:rFonts w:cs="Arial"/>
          <w:color w:val="000000"/>
          <w:szCs w:val="20"/>
        </w:rPr>
        <w:t>-T</w:t>
      </w:r>
      <w:r w:rsidRPr="005F1D85">
        <w:rPr>
          <w:rFonts w:cs="Arial"/>
          <w:color w:val="000000"/>
          <w:szCs w:val="20"/>
          <w:vertAlign w:val="subscript"/>
        </w:rPr>
        <w:t>C</w:t>
      </w:r>
      <w:r w:rsidRPr="005F1D85">
        <w:rPr>
          <w:rFonts w:cs="Arial"/>
          <w:color w:val="000000"/>
          <w:szCs w:val="20"/>
        </w:rPr>
        <w:t xml:space="preserve">) </w:t>
      </w:r>
      <w:r w:rsidR="001C3A51">
        <w:rPr>
          <w:rFonts w:cs="Arial"/>
          <w:color w:val="000000"/>
          <w:szCs w:val="20"/>
        </w:rPr>
        <w:t xml:space="preserve">/ </w:t>
      </w:r>
      <w:r w:rsidRPr="005F1D85">
        <w:rPr>
          <w:rFonts w:cs="Arial"/>
          <w:color w:val="000000"/>
          <w:szCs w:val="20"/>
        </w:rPr>
        <w:t>×</w:t>
      </w:r>
      <w:r w:rsidR="001C3A51">
        <w:rPr>
          <w:rFonts w:cs="Arial"/>
          <w:color w:val="000000"/>
          <w:szCs w:val="20"/>
          <w:vertAlign w:val="superscript"/>
        </w:rPr>
        <w:t xml:space="preserve"> </w:t>
      </w:r>
      <w:r w:rsidR="001C3A51">
        <w:rPr>
          <w:rFonts w:cs="Arial"/>
          <w:color w:val="000000"/>
          <w:szCs w:val="20"/>
        </w:rPr>
        <w:t>(EF x 3413 Btu/kWh)</w:t>
      </w:r>
    </w:p>
    <w:p w:rsidR="00F05DC2" w:rsidRPr="005F1D85" w:rsidRDefault="00F05DC2" w:rsidP="00F05DC2">
      <w:pPr>
        <w:pStyle w:val="Equation"/>
        <w:rPr>
          <w:rFonts w:cs="Arial"/>
          <w:szCs w:val="20"/>
        </w:rPr>
      </w:pPr>
      <w:r w:rsidRPr="00AA2C40">
        <w:rPr>
          <w:rFonts w:cs="Arial"/>
          <w:szCs w:val="20"/>
        </w:rPr>
        <w:sym w:font="Symbol" w:char="F044"/>
      </w:r>
      <w:r w:rsidRPr="00AA2C40">
        <w:rPr>
          <w:rFonts w:cs="Arial"/>
          <w:szCs w:val="20"/>
        </w:rPr>
        <w:t>kWh</w:t>
      </w:r>
      <w:r>
        <w:rPr>
          <w:rFonts w:cs="Arial"/>
          <w:szCs w:val="20"/>
        </w:rPr>
        <w:t xml:space="preserve"> for Groceries</w:t>
      </w:r>
      <w:r>
        <w:rPr>
          <w:rFonts w:cs="Arial"/>
          <w:szCs w:val="20"/>
        </w:rPr>
        <w:tab/>
      </w:r>
      <w:r w:rsidRPr="005F1D85">
        <w:rPr>
          <w:rFonts w:cs="Arial"/>
          <w:szCs w:val="20"/>
        </w:rPr>
        <w:t>= ((F</w:t>
      </w:r>
      <w:r w:rsidRPr="005F1D85">
        <w:rPr>
          <w:rFonts w:cs="Arial"/>
          <w:szCs w:val="20"/>
          <w:vertAlign w:val="subscript"/>
        </w:rPr>
        <w:t>BG</w:t>
      </w:r>
      <w:r w:rsidRPr="005F1D85">
        <w:rPr>
          <w:rFonts w:cs="Arial"/>
          <w:color w:val="000000"/>
          <w:szCs w:val="20"/>
        </w:rPr>
        <w:t>×</w:t>
      </w:r>
      <w:r w:rsidRPr="005F1D85">
        <w:rPr>
          <w:rFonts w:cs="Arial"/>
          <w:szCs w:val="20"/>
        </w:rPr>
        <w:t>U</w:t>
      </w:r>
      <w:r w:rsidRPr="005F1D85">
        <w:rPr>
          <w:rFonts w:cs="Arial"/>
          <w:szCs w:val="20"/>
          <w:vertAlign w:val="subscript"/>
        </w:rPr>
        <w:t>BG</w:t>
      </w:r>
      <w:r w:rsidRPr="005F1D85">
        <w:rPr>
          <w:rFonts w:cs="Arial"/>
          <w:szCs w:val="20"/>
        </w:rPr>
        <w:t>)-(F</w:t>
      </w:r>
      <w:r w:rsidRPr="005F1D85">
        <w:rPr>
          <w:rFonts w:cs="Arial"/>
          <w:szCs w:val="20"/>
          <w:vertAlign w:val="subscript"/>
        </w:rPr>
        <w:t>PG</w:t>
      </w:r>
      <w:r w:rsidRPr="005F1D85">
        <w:rPr>
          <w:rFonts w:cs="Arial"/>
          <w:color w:val="000000"/>
          <w:szCs w:val="20"/>
        </w:rPr>
        <w:t>×</w:t>
      </w:r>
      <w:r w:rsidRPr="005F1D85">
        <w:rPr>
          <w:rFonts w:cs="Arial"/>
          <w:szCs w:val="20"/>
        </w:rPr>
        <w:t>U</w:t>
      </w:r>
      <w:r w:rsidRPr="005F1D85">
        <w:rPr>
          <w:rFonts w:cs="Arial"/>
          <w:szCs w:val="20"/>
          <w:vertAlign w:val="subscript"/>
        </w:rPr>
        <w:t>PG</w:t>
      </w:r>
      <w:r w:rsidRPr="005F1D85">
        <w:rPr>
          <w:rFonts w:cs="Arial"/>
          <w:szCs w:val="20"/>
        </w:rPr>
        <w:t>))</w:t>
      </w:r>
      <w:r w:rsidRPr="005F1D85">
        <w:rPr>
          <w:rFonts w:cs="Arial"/>
          <w:color w:val="000000"/>
          <w:szCs w:val="20"/>
        </w:rPr>
        <w:t xml:space="preserve"> ×</w:t>
      </w:r>
      <w:r w:rsidR="00126575">
        <w:rPr>
          <w:rFonts w:cs="Arial"/>
          <w:color w:val="000000"/>
          <w:szCs w:val="20"/>
        </w:rPr>
        <w:t xml:space="preserve"> </w:t>
      </w:r>
      <w:r w:rsidRPr="005F1D85">
        <w:rPr>
          <w:rFonts w:cs="Arial"/>
          <w:szCs w:val="20"/>
        </w:rPr>
        <w:t>365</w:t>
      </w:r>
      <w:r w:rsidR="00126575">
        <w:rPr>
          <w:rFonts w:cs="Arial"/>
          <w:szCs w:val="20"/>
        </w:rPr>
        <w:t xml:space="preserve"> </w:t>
      </w:r>
      <w:r w:rsidRPr="005F1D85">
        <w:rPr>
          <w:rFonts w:cs="Arial"/>
          <w:color w:val="000000"/>
          <w:szCs w:val="20"/>
        </w:rPr>
        <w:t>×</w:t>
      </w:r>
      <w:r w:rsidR="00126575">
        <w:rPr>
          <w:rFonts w:cs="Arial"/>
          <w:color w:val="000000"/>
          <w:szCs w:val="20"/>
        </w:rPr>
        <w:t xml:space="preserve"> </w:t>
      </w:r>
      <w:r w:rsidR="001C3A51">
        <w:rPr>
          <w:rFonts w:cs="Arial"/>
          <w:color w:val="000000"/>
          <w:szCs w:val="20"/>
        </w:rPr>
        <w:t>8.33</w:t>
      </w:r>
      <w:r w:rsidR="00126575">
        <w:rPr>
          <w:rFonts w:cs="Arial"/>
          <w:color w:val="000000"/>
          <w:szCs w:val="20"/>
        </w:rPr>
        <w:t xml:space="preserve"> </w:t>
      </w:r>
      <w:r w:rsidR="001C3A51">
        <w:rPr>
          <w:rFonts w:cs="Arial"/>
          <w:color w:val="000000"/>
          <w:szCs w:val="20"/>
        </w:rPr>
        <w:t>x</w:t>
      </w:r>
      <w:r w:rsidR="00126575">
        <w:rPr>
          <w:rFonts w:cs="Arial"/>
          <w:color w:val="000000"/>
          <w:szCs w:val="20"/>
        </w:rPr>
        <w:t xml:space="preserve"> </w:t>
      </w:r>
      <w:r w:rsidRPr="005F1D85">
        <w:rPr>
          <w:rFonts w:cs="Arial"/>
          <w:color w:val="000000"/>
          <w:szCs w:val="20"/>
        </w:rPr>
        <w:t>(T</w:t>
      </w:r>
      <w:r w:rsidR="001C3A51">
        <w:rPr>
          <w:rFonts w:cs="Arial"/>
          <w:color w:val="000000"/>
          <w:szCs w:val="20"/>
          <w:vertAlign w:val="subscript"/>
        </w:rPr>
        <w:t>H</w:t>
      </w:r>
      <w:r w:rsidRPr="005F1D85">
        <w:rPr>
          <w:rFonts w:cs="Arial"/>
          <w:color w:val="000000"/>
          <w:szCs w:val="20"/>
          <w:vertAlign w:val="subscript"/>
        </w:rPr>
        <w:t>G</w:t>
      </w:r>
      <w:r w:rsidRPr="005F1D85">
        <w:rPr>
          <w:rFonts w:cs="Arial"/>
          <w:szCs w:val="20"/>
        </w:rPr>
        <w:t>)</w:t>
      </w:r>
      <w:r w:rsidRPr="005F1D85">
        <w:rPr>
          <w:rFonts w:cs="Arial"/>
          <w:color w:val="000000"/>
          <w:szCs w:val="20"/>
        </w:rPr>
        <w:t>×</w:t>
      </w:r>
      <w:r w:rsidRPr="005F1D85" w:rsidDel="00F817E9">
        <w:rPr>
          <w:rFonts w:cs="Arial"/>
          <w:color w:val="000000"/>
          <w:szCs w:val="20"/>
        </w:rPr>
        <w:t xml:space="preserve"> </w:t>
      </w:r>
      <w:r w:rsidRPr="005F1D85">
        <w:rPr>
          <w:rFonts w:cs="Arial"/>
          <w:color w:val="000000"/>
          <w:szCs w:val="20"/>
        </w:rPr>
        <w:t>(T</w:t>
      </w:r>
      <w:r w:rsidRPr="005F1D85">
        <w:rPr>
          <w:rFonts w:cs="Arial"/>
          <w:color w:val="000000"/>
          <w:szCs w:val="20"/>
          <w:vertAlign w:val="subscript"/>
        </w:rPr>
        <w:t>MG</w:t>
      </w:r>
      <w:r w:rsidRPr="005F1D85">
        <w:rPr>
          <w:rFonts w:cs="Arial"/>
          <w:color w:val="000000"/>
          <w:szCs w:val="20"/>
        </w:rPr>
        <w:t>-T</w:t>
      </w:r>
      <w:r w:rsidRPr="005F1D85">
        <w:rPr>
          <w:rFonts w:cs="Arial"/>
          <w:color w:val="000000"/>
          <w:szCs w:val="20"/>
          <w:vertAlign w:val="subscript"/>
        </w:rPr>
        <w:t>C</w:t>
      </w:r>
      <w:r w:rsidRPr="005F1D85">
        <w:rPr>
          <w:rFonts w:cs="Arial"/>
          <w:color w:val="000000"/>
          <w:szCs w:val="20"/>
        </w:rPr>
        <w:t xml:space="preserve">) </w:t>
      </w:r>
      <w:r w:rsidR="001C3A51">
        <w:rPr>
          <w:rFonts w:cs="Arial"/>
          <w:color w:val="000000"/>
          <w:szCs w:val="20"/>
        </w:rPr>
        <w:t>/ (EF x 3413 Btu/kWh)</w:t>
      </w:r>
      <w:r w:rsidRPr="005F1D85">
        <w:rPr>
          <w:rFonts w:cs="Arial"/>
          <w:color w:val="000000"/>
          <w:szCs w:val="20"/>
        </w:rPr>
        <w:t>×</w:t>
      </w:r>
    </w:p>
    <w:p w:rsidR="00F05DC2" w:rsidRDefault="00F05DC2" w:rsidP="00F05DC2">
      <w:pPr>
        <w:rPr>
          <w:rFonts w:cs="Arial"/>
        </w:rPr>
      </w:pPr>
      <w:r w:rsidRPr="005F1D85">
        <w:rPr>
          <w:rFonts w:cs="Arial"/>
        </w:rPr>
        <w:t>The demand reduction is taken as the annual energy savings multiplied by the ratio of the average energy usage during noon and 8PM on summer weekdays to the total annual energy usage.</w:t>
      </w:r>
    </w:p>
    <w:p w:rsidR="00F05DC2" w:rsidRDefault="00F05DC2" w:rsidP="00F05DC2">
      <w:pPr>
        <w:pStyle w:val="Equation"/>
        <w:rPr>
          <w:rFonts w:cs="Arial"/>
          <w:szCs w:val="20"/>
        </w:rPr>
      </w:pPr>
      <w:r w:rsidRPr="00AA2C40">
        <w:rPr>
          <w:rFonts w:cs="Arial"/>
          <w:szCs w:val="20"/>
        </w:rPr>
        <w:sym w:font="Symbol" w:char="F044"/>
      </w:r>
      <w:r w:rsidRPr="00AA2C40">
        <w:rPr>
          <w:rFonts w:cs="Arial"/>
          <w:szCs w:val="20"/>
        </w:rPr>
        <w:t>kW</w:t>
      </w:r>
      <w:r w:rsidRPr="00AA2C40">
        <w:rPr>
          <w:rFonts w:cs="Arial"/>
          <w:szCs w:val="20"/>
          <w:vertAlign w:val="subscript"/>
        </w:rPr>
        <w:t>peak</w:t>
      </w:r>
      <w:r w:rsidRPr="00AA2C40">
        <w:rPr>
          <w:rFonts w:cs="Arial"/>
          <w:szCs w:val="20"/>
        </w:rPr>
        <w:t xml:space="preserve"> </w:t>
      </w:r>
      <w:r w:rsidRPr="00AA2C40">
        <w:rPr>
          <w:rFonts w:cs="Arial"/>
          <w:szCs w:val="20"/>
        </w:rPr>
        <w:tab/>
        <w:t>=</w:t>
      </w:r>
      <w:r>
        <w:rPr>
          <w:rFonts w:cs="Arial"/>
          <w:szCs w:val="20"/>
        </w:rPr>
        <w:t xml:space="preserve"> </w:t>
      </w:r>
      <w:r w:rsidRPr="00AA2C40">
        <w:rPr>
          <w:rFonts w:cs="Arial"/>
          <w:szCs w:val="20"/>
        </w:rPr>
        <w:t>EnergyToDemandFactor</w:t>
      </w:r>
      <w:r>
        <w:rPr>
          <w:rFonts w:cs="Arial"/>
          <w:szCs w:val="20"/>
        </w:rPr>
        <w:t xml:space="preserve"> </w:t>
      </w:r>
      <w:r w:rsidRPr="00AA2C40">
        <w:rPr>
          <w:rFonts w:cs="Arial"/>
          <w:szCs w:val="20"/>
        </w:rPr>
        <w:t>×</w:t>
      </w:r>
      <w:r>
        <w:rPr>
          <w:rFonts w:cs="Arial"/>
          <w:szCs w:val="20"/>
        </w:rPr>
        <w:t xml:space="preserve"> </w:t>
      </w:r>
      <w:r w:rsidRPr="00AA2C40">
        <w:rPr>
          <w:rFonts w:cs="Arial"/>
          <w:szCs w:val="20"/>
        </w:rPr>
        <w:t>Energy Savings</w:t>
      </w:r>
    </w:p>
    <w:p w:rsidR="00F05DC2" w:rsidRDefault="00F05DC2" w:rsidP="00F05DC2">
      <w:pPr>
        <w:pStyle w:val="BodyText"/>
      </w:pPr>
      <w:r w:rsidRPr="002E6E9C">
        <w:t>The Energy to Demand Factor is defined below:</w:t>
      </w:r>
    </w:p>
    <w:p w:rsidR="00F05DC2" w:rsidRPr="003C7C58" w:rsidRDefault="003C7C58" w:rsidP="0026770C">
      <w:pPr>
        <w:pStyle w:val="BodyText"/>
        <w:ind w:firstLine="720"/>
      </w:pPr>
      <m:oMathPara>
        <m:oMath>
          <m:r>
            <m:rPr>
              <m:nor/>
            </m:rPr>
            <m:t>EnergyToDemandFactor</m:t>
          </m:r>
          <m:r>
            <m:rPr>
              <m:nor/>
            </m:rPr>
            <w:rPr>
              <w:rFonts w:ascii="Cambria Math"/>
            </w:rPr>
            <m:t xml:space="preserve">               </m:t>
          </m:r>
          <m:r>
            <m:rPr>
              <m:nor/>
            </m:rPr>
            <m:t>=</m:t>
          </m:r>
          <m:r>
            <m:rPr>
              <m:nor/>
            </m:rPr>
            <w:rPr>
              <w:rFonts w:ascii="Cambria Math"/>
            </w:rPr>
            <m:t xml:space="preserve"> </m:t>
          </m:r>
          <m:f>
            <m:fPr>
              <m:ctrlPr>
                <w:rPr>
                  <w:rFonts w:ascii="Cambria Math" w:hAnsi="Cambria Math"/>
                </w:rPr>
              </m:ctrlPr>
            </m:fPr>
            <m:num>
              <m:sSub>
                <m:sSubPr>
                  <m:ctrlPr>
                    <w:rPr>
                      <w:rFonts w:ascii="Cambria Math" w:hAnsi="Cambria Math"/>
                    </w:rPr>
                  </m:ctrlPr>
                </m:sSubPr>
                <m:e>
                  <m:r>
                    <m:rPr>
                      <m:nor/>
                    </m:rPr>
                    <m:t>Average Usage</m:t>
                  </m:r>
                </m:e>
                <m:sub>
                  <m:r>
                    <m:rPr>
                      <m:nor/>
                    </m:rPr>
                    <m:t>Summer WD Noon-8</m:t>
                  </m:r>
                </m:sub>
              </m:sSub>
            </m:num>
            <m:den>
              <m:r>
                <m:rPr>
                  <m:nor/>
                </m:rPr>
                <m:t>Annual Energy Usage</m:t>
              </m:r>
            </m:den>
          </m:f>
        </m:oMath>
      </m:oMathPara>
    </w:p>
    <w:p w:rsidR="00F05DC2" w:rsidRDefault="00F05DC2" w:rsidP="00F05DC2">
      <w:r w:rsidRPr="007D34C5">
        <w:t>The ratio of the average energy usage during noon and 8 PM on summer weekdays to the total annual energy usage is taken from usage profile data collected fo</w:t>
      </w:r>
      <w:r>
        <w:t>r commercial water heaters in CA</w:t>
      </w:r>
      <w:r w:rsidRPr="007D34C5">
        <w:t>.</w:t>
      </w:r>
      <w:r>
        <w:t xml:space="preserve"> </w:t>
      </w:r>
      <w:r w:rsidRPr="007D34C5">
        <w:t xml:space="preserve">The usage profiles are shown </w:t>
      </w:r>
      <w:r w:rsidRPr="00F05DC2">
        <w:rPr>
          <w:rFonts w:cs="Arial"/>
        </w:rPr>
        <w:t xml:space="preserve">in </w:t>
      </w:r>
      <w:r w:rsidR="00274AB1">
        <w:fldChar w:fldCharType="begin"/>
      </w:r>
      <w:r w:rsidR="00274AB1">
        <w:instrText xml:space="preserve"> REF _Ref302742015 \h  \* MERGEF</w:instrText>
      </w:r>
      <w:r w:rsidR="00274AB1">
        <w:instrText xml:space="preserve">ORMAT </w:instrText>
      </w:r>
      <w:r w:rsidR="00274AB1">
        <w:fldChar w:fldCharType="separate"/>
      </w:r>
      <w:r w:rsidR="00C0292F" w:rsidRPr="00C0292F">
        <w:rPr>
          <w:rFonts w:cs="Arial"/>
        </w:rPr>
        <w:t xml:space="preserve">Figure </w:t>
      </w:r>
      <w:r w:rsidR="00C0292F" w:rsidRPr="00C0292F">
        <w:rPr>
          <w:rFonts w:cs="Arial"/>
          <w:noProof/>
        </w:rPr>
        <w:t>3</w:t>
      </w:r>
      <w:r w:rsidR="00C0292F" w:rsidRPr="00C0292F">
        <w:rPr>
          <w:rFonts w:cs="Arial"/>
          <w:noProof/>
        </w:rPr>
        <w:noBreakHyphen/>
        <w:t>7</w:t>
      </w:r>
      <w:r w:rsidR="00274AB1">
        <w:fldChar w:fldCharType="end"/>
      </w:r>
      <w:r w:rsidRPr="00F05DC2">
        <w:rPr>
          <w:rFonts w:cs="Arial"/>
        </w:rPr>
        <w:t xml:space="preserve">. To ensure that the load shape data derived from observations in CA can be applied to PA, we compared the annual energy usage to peak demand factors for two disparate climate zones in CA. The results, shown in </w:t>
      </w:r>
      <w:r w:rsidR="00274AB1">
        <w:fldChar w:fldCharType="begin"/>
      </w:r>
      <w:r w:rsidR="00274AB1">
        <w:instrText xml:space="preserve"> REF _Ref302742022 \h  \* MERGEFORMAT </w:instrText>
      </w:r>
      <w:r w:rsidR="00274AB1">
        <w:fldChar w:fldCharType="separate"/>
      </w:r>
      <w:r w:rsidR="00C0292F" w:rsidRPr="00C0292F">
        <w:rPr>
          <w:rFonts w:cs="Arial"/>
        </w:rPr>
        <w:t xml:space="preserve">Figure </w:t>
      </w:r>
      <w:r w:rsidR="00C0292F" w:rsidRPr="00C0292F">
        <w:rPr>
          <w:rFonts w:cs="Arial"/>
          <w:noProof/>
        </w:rPr>
        <w:t>3</w:t>
      </w:r>
      <w:r w:rsidR="00C0292F" w:rsidRPr="00C0292F">
        <w:rPr>
          <w:rFonts w:cs="Arial"/>
          <w:noProof/>
        </w:rPr>
        <w:noBreakHyphen/>
        <w:t>8</w:t>
      </w:r>
      <w:r w:rsidR="00274AB1">
        <w:fldChar w:fldCharType="end"/>
      </w:r>
      <w:r w:rsidRPr="007D34C5">
        <w:t>, indicate that the ratio of peak demand to annual energy usage is not strongly influenced by climate.  Also, though the actual usage profiles may be different, the average usage between noon and 8 PM on summer weekdays is quite similar for al building types. The close level of agreement between disparate climate zones and building types suggest that the results will carry over to Pennsylvania</w:t>
      </w:r>
      <w:r>
        <w:rPr>
          <w:rStyle w:val="FootnoteReference"/>
        </w:rPr>
        <w:footnoteReference w:id="250"/>
      </w:r>
      <w:r>
        <w:t>.</w:t>
      </w:r>
    </w:p>
    <w:p w:rsidR="00F05DC2" w:rsidRDefault="002C3BC5" w:rsidP="00F05DC2">
      <w:pPr>
        <w:pStyle w:val="BodyTextIndent2"/>
        <w:spacing w:before="240"/>
        <w:ind w:left="0"/>
      </w:pPr>
      <w:r>
        <w:rPr>
          <w:rFonts w:cs="Arial"/>
          <w:b/>
          <w:noProof/>
        </w:rPr>
        <w:drawing>
          <wp:inline distT="0" distB="0" distL="0" distR="0">
            <wp:extent cx="5467350" cy="297180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467350" cy="2971800"/>
                    </a:xfrm>
                    <a:prstGeom prst="rect">
                      <a:avLst/>
                    </a:prstGeom>
                    <a:noFill/>
                    <a:ln>
                      <a:noFill/>
                    </a:ln>
                  </pic:spPr>
                </pic:pic>
              </a:graphicData>
            </a:graphic>
          </wp:inline>
        </w:drawing>
      </w:r>
    </w:p>
    <w:p w:rsidR="00F05DC2" w:rsidRPr="000E183A" w:rsidRDefault="00F05DC2" w:rsidP="00F05DC2">
      <w:pPr>
        <w:pStyle w:val="Caption"/>
        <w:keepNext w:val="0"/>
      </w:pPr>
      <w:bookmarkStart w:id="1323" w:name="_Ref302742015"/>
      <w:bookmarkStart w:id="1324" w:name="_Ref297113709"/>
      <w:r w:rsidRPr="000E183A">
        <w:t xml:space="preserve">Figure </w:t>
      </w:r>
      <w:r w:rsidR="007A1FB6">
        <w:fldChar w:fldCharType="begin"/>
      </w:r>
      <w:r w:rsidR="008B139C">
        <w:instrText xml:space="preserve"> STYLEREF 1 \s </w:instrText>
      </w:r>
      <w:r w:rsidR="007A1FB6">
        <w:fldChar w:fldCharType="separate"/>
      </w:r>
      <w:r w:rsidR="00C0292F">
        <w:rPr>
          <w:noProof/>
        </w:rPr>
        <w:t>3</w:t>
      </w:r>
      <w:r w:rsidR="007A1FB6">
        <w:fldChar w:fldCharType="end"/>
      </w:r>
      <w:r w:rsidR="008B139C">
        <w:noBreakHyphen/>
      </w:r>
      <w:r w:rsidR="007A1FB6">
        <w:fldChar w:fldCharType="begin"/>
      </w:r>
      <w:r w:rsidR="008B139C">
        <w:instrText xml:space="preserve"> SEQ Figure \* ARABIC \s 1 </w:instrText>
      </w:r>
      <w:r w:rsidR="007A1FB6">
        <w:fldChar w:fldCharType="separate"/>
      </w:r>
      <w:r w:rsidR="00C0292F">
        <w:rPr>
          <w:noProof/>
        </w:rPr>
        <w:t>7</w:t>
      </w:r>
      <w:r w:rsidR="007A1FB6">
        <w:fldChar w:fldCharType="end"/>
      </w:r>
      <w:bookmarkEnd w:id="1323"/>
      <w:r w:rsidRPr="000E183A">
        <w:t>: Load shapes for hot water in four commercial building types</w:t>
      </w:r>
      <w:bookmarkEnd w:id="1324"/>
    </w:p>
    <w:p w:rsidR="00F05DC2" w:rsidRPr="007D34C5" w:rsidRDefault="00F05DC2" w:rsidP="00F05DC2">
      <w:pPr>
        <w:pStyle w:val="Caption"/>
        <w:keepNext w:val="0"/>
        <w:rPr>
          <w:rFonts w:cs="Arial"/>
          <w:b w:val="0"/>
        </w:rPr>
      </w:pPr>
    </w:p>
    <w:p w:rsidR="00F05DC2" w:rsidRDefault="002C3BC5" w:rsidP="0026770C">
      <w:pPr>
        <w:keepNext/>
        <w:tabs>
          <w:tab w:val="left" w:pos="720"/>
        </w:tabs>
        <w:spacing w:before="120"/>
        <w:jc w:val="both"/>
      </w:pPr>
      <w:r>
        <w:rPr>
          <w:rFonts w:cs="Arial"/>
          <w:b/>
          <w:noProof/>
        </w:rPr>
        <w:drawing>
          <wp:inline distT="0" distB="0" distL="0" distR="0">
            <wp:extent cx="5467350" cy="306705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67350" cy="3067050"/>
                    </a:xfrm>
                    <a:prstGeom prst="rect">
                      <a:avLst/>
                    </a:prstGeom>
                    <a:noFill/>
                    <a:ln>
                      <a:noFill/>
                    </a:ln>
                  </pic:spPr>
                </pic:pic>
              </a:graphicData>
            </a:graphic>
          </wp:inline>
        </w:drawing>
      </w:r>
    </w:p>
    <w:p w:rsidR="00F05DC2" w:rsidRPr="000E183A" w:rsidRDefault="00F05DC2" w:rsidP="00F05DC2">
      <w:pPr>
        <w:pStyle w:val="Caption"/>
        <w:keepNext w:val="0"/>
      </w:pPr>
      <w:bookmarkStart w:id="1325" w:name="_Ref302742022"/>
      <w:bookmarkStart w:id="1326" w:name="_Ref297113751"/>
      <w:r w:rsidRPr="000E183A">
        <w:t xml:space="preserve">Figure </w:t>
      </w:r>
      <w:r w:rsidR="007A1FB6">
        <w:fldChar w:fldCharType="begin"/>
      </w:r>
      <w:r w:rsidR="008B139C">
        <w:instrText xml:space="preserve"> STYLEREF 1 \s </w:instrText>
      </w:r>
      <w:r w:rsidR="007A1FB6">
        <w:fldChar w:fldCharType="separate"/>
      </w:r>
      <w:r w:rsidR="00C0292F">
        <w:rPr>
          <w:noProof/>
        </w:rPr>
        <w:t>3</w:t>
      </w:r>
      <w:r w:rsidR="007A1FB6">
        <w:fldChar w:fldCharType="end"/>
      </w:r>
      <w:r w:rsidR="008B139C">
        <w:noBreakHyphen/>
      </w:r>
      <w:r w:rsidR="007A1FB6">
        <w:fldChar w:fldCharType="begin"/>
      </w:r>
      <w:r w:rsidR="008B139C">
        <w:instrText xml:space="preserve"> SEQ Figure \* ARABIC \s 1 </w:instrText>
      </w:r>
      <w:r w:rsidR="007A1FB6">
        <w:fldChar w:fldCharType="separate"/>
      </w:r>
      <w:r w:rsidR="00C0292F">
        <w:rPr>
          <w:noProof/>
        </w:rPr>
        <w:t>8</w:t>
      </w:r>
      <w:r w:rsidR="007A1FB6">
        <w:fldChar w:fldCharType="end"/>
      </w:r>
      <w:bookmarkEnd w:id="1325"/>
      <w:r w:rsidRPr="000E183A">
        <w:t>: Energy to demand factors for four commercial building types.</w:t>
      </w:r>
      <w:bookmarkEnd w:id="1326"/>
    </w:p>
    <w:p w:rsidR="00F05DC2" w:rsidRDefault="00F05DC2" w:rsidP="00871FA2">
      <w:pPr>
        <w:pStyle w:val="Heading3"/>
      </w:pPr>
      <w:r w:rsidRPr="001C4AD5">
        <w:t xml:space="preserve">Definition of </w:t>
      </w:r>
      <w:r>
        <w:t>Terms</w:t>
      </w:r>
    </w:p>
    <w:p w:rsidR="00F05DC2" w:rsidRDefault="00F05DC2" w:rsidP="00F05DC2">
      <w:r w:rsidRPr="007D34C5">
        <w:t xml:space="preserve">The parameters in the above equation are listed </w:t>
      </w:r>
      <w:r w:rsidRPr="00F05DC2">
        <w:rPr>
          <w:rFonts w:cs="Arial"/>
        </w:rPr>
        <w:t xml:space="preserve">in </w:t>
      </w:r>
      <w:r w:rsidR="00274AB1">
        <w:fldChar w:fldCharType="begin"/>
      </w:r>
      <w:r w:rsidR="00274AB1">
        <w:instrText xml:space="preserve"> REF _Ref302741948 \h  \* MERGEFORMAT </w:instrText>
      </w:r>
      <w:r w:rsidR="00274AB1">
        <w:fldChar w:fldCharType="separate"/>
      </w:r>
      <w:r w:rsidR="00C0292F" w:rsidRPr="00C0292F">
        <w:rPr>
          <w:rFonts w:cs="Arial"/>
        </w:rPr>
        <w:t xml:space="preserve">Table </w:t>
      </w:r>
      <w:r w:rsidR="00C0292F" w:rsidRPr="00C0292F">
        <w:rPr>
          <w:rFonts w:cs="Arial"/>
          <w:noProof/>
        </w:rPr>
        <w:t>3</w:t>
      </w:r>
      <w:r w:rsidR="00C0292F" w:rsidRPr="00C0292F">
        <w:rPr>
          <w:rFonts w:cs="Arial"/>
          <w:noProof/>
        </w:rPr>
        <w:noBreakHyphen/>
        <w:t>94</w:t>
      </w:r>
      <w:r w:rsidR="00274AB1">
        <w:fldChar w:fldCharType="end"/>
      </w:r>
      <w:r>
        <w:t xml:space="preserve"> </w:t>
      </w:r>
      <w:r w:rsidRPr="007D34C5">
        <w:t>below.</w:t>
      </w:r>
      <w:r>
        <w:t xml:space="preserve"> </w:t>
      </w:r>
      <w:r w:rsidRPr="007D34C5">
        <w:t xml:space="preserve">The values for all parameters except incoming water temperature are taken from impact evaluation of the 2004-2005 California Urban Water council Pre-Rinse Spray Valve Installation Program. </w:t>
      </w:r>
    </w:p>
    <w:p w:rsidR="00F05DC2" w:rsidRDefault="00F05DC2" w:rsidP="00F05DC2">
      <w:pPr>
        <w:spacing w:before="120" w:after="0"/>
        <w:jc w:val="both"/>
        <w:rPr>
          <w:rFonts w:cs="Arial"/>
        </w:rPr>
      </w:pPr>
    </w:p>
    <w:p w:rsidR="00F05DC2" w:rsidRPr="003C1CCF" w:rsidRDefault="00F05DC2" w:rsidP="00F05DC2">
      <w:pPr>
        <w:pStyle w:val="Equation"/>
        <w:rPr>
          <w:rFonts w:cs="Arial"/>
          <w:w w:val="101"/>
          <w:szCs w:val="20"/>
        </w:rPr>
      </w:pPr>
      <w:r>
        <w:rPr>
          <w:rFonts w:cs="Arial"/>
          <w:spacing w:val="-1"/>
          <w:position w:val="1"/>
          <w:szCs w:val="20"/>
        </w:rPr>
        <w:tab/>
      </w:r>
      <w:r w:rsidRPr="00F1561D">
        <w:rPr>
          <w:rFonts w:cs="Arial"/>
          <w:spacing w:val="-1"/>
          <w:position w:val="1"/>
          <w:szCs w:val="20"/>
        </w:rPr>
        <w:t>F</w:t>
      </w:r>
      <w:r w:rsidRPr="00F1561D">
        <w:rPr>
          <w:rFonts w:cs="Arial"/>
          <w:spacing w:val="-1"/>
          <w:position w:val="1"/>
          <w:szCs w:val="20"/>
          <w:vertAlign w:val="subscript"/>
        </w:rPr>
        <w:t>BNG</w:t>
      </w:r>
      <w:r w:rsidRPr="00F1561D">
        <w:rPr>
          <w:rFonts w:cs="Arial"/>
          <w:spacing w:val="-1"/>
          <w:position w:val="1"/>
          <w:szCs w:val="20"/>
        </w:rPr>
        <w:t xml:space="preserve"> </w:t>
      </w:r>
      <w:r w:rsidRPr="00F1561D">
        <w:rPr>
          <w:rFonts w:cs="Arial"/>
          <w:spacing w:val="-1"/>
          <w:position w:val="1"/>
          <w:szCs w:val="20"/>
        </w:rPr>
        <w:tab/>
        <w:t>= Baseline Flow Rate of Sprayer for Non-Grocery Applications</w:t>
      </w:r>
    </w:p>
    <w:p w:rsidR="00F05DC2" w:rsidRPr="00F1561D" w:rsidRDefault="00F05DC2" w:rsidP="00F05DC2">
      <w:pPr>
        <w:pStyle w:val="Equation"/>
        <w:rPr>
          <w:rFonts w:cs="Arial"/>
          <w:spacing w:val="-1"/>
          <w:position w:val="1"/>
          <w:szCs w:val="20"/>
        </w:rPr>
      </w:pPr>
      <w:r>
        <w:rPr>
          <w:rFonts w:cs="Arial"/>
          <w:spacing w:val="-1"/>
          <w:position w:val="1"/>
          <w:szCs w:val="20"/>
        </w:rPr>
        <w:tab/>
      </w:r>
      <w:r w:rsidRPr="00F1561D">
        <w:rPr>
          <w:rFonts w:cs="Arial"/>
          <w:spacing w:val="-1"/>
          <w:position w:val="1"/>
          <w:szCs w:val="20"/>
        </w:rPr>
        <w:t>F</w:t>
      </w:r>
      <w:r w:rsidRPr="004F50C8">
        <w:rPr>
          <w:rFonts w:cs="Arial"/>
          <w:spacing w:val="-1"/>
          <w:position w:val="1"/>
          <w:szCs w:val="20"/>
          <w:vertAlign w:val="subscript"/>
        </w:rPr>
        <w:t>PNG</w:t>
      </w:r>
      <w:r w:rsidRPr="00F1561D">
        <w:rPr>
          <w:rFonts w:cs="Arial"/>
          <w:spacing w:val="-1"/>
          <w:position w:val="1"/>
          <w:szCs w:val="20"/>
        </w:rPr>
        <w:tab/>
        <w:t>= Post Measure Flow Rate of Sprayer for Non-Grocery Applications</w:t>
      </w:r>
    </w:p>
    <w:p w:rsidR="00F05DC2" w:rsidRPr="00F1561D" w:rsidRDefault="00F05DC2" w:rsidP="00F05DC2">
      <w:pPr>
        <w:pStyle w:val="Equation"/>
        <w:rPr>
          <w:rFonts w:cs="Arial"/>
          <w:spacing w:val="-1"/>
          <w:position w:val="1"/>
          <w:szCs w:val="20"/>
        </w:rPr>
      </w:pPr>
      <w:r w:rsidRPr="00F1561D">
        <w:rPr>
          <w:rFonts w:cs="Arial"/>
          <w:spacing w:val="-1"/>
          <w:position w:val="1"/>
          <w:szCs w:val="20"/>
        </w:rPr>
        <w:tab/>
        <w:t>U</w:t>
      </w:r>
      <w:r w:rsidRPr="004F50C8">
        <w:rPr>
          <w:rFonts w:cs="Arial"/>
          <w:spacing w:val="-1"/>
          <w:position w:val="1"/>
          <w:szCs w:val="20"/>
          <w:vertAlign w:val="subscript"/>
        </w:rPr>
        <w:t>BNG</w:t>
      </w:r>
      <w:r w:rsidRPr="00F1561D">
        <w:rPr>
          <w:rFonts w:cs="Arial"/>
          <w:spacing w:val="-1"/>
          <w:position w:val="1"/>
          <w:szCs w:val="20"/>
        </w:rPr>
        <w:tab/>
        <w:t>= Baseline Water Usage Duration for Non-Grocery Applications</w:t>
      </w:r>
    </w:p>
    <w:p w:rsidR="00F05DC2" w:rsidRPr="00F1561D" w:rsidRDefault="00F05DC2" w:rsidP="00F05DC2">
      <w:pPr>
        <w:pStyle w:val="Equation"/>
        <w:rPr>
          <w:rFonts w:cs="Arial"/>
          <w:spacing w:val="-1"/>
          <w:position w:val="1"/>
          <w:szCs w:val="20"/>
        </w:rPr>
      </w:pPr>
      <w:r w:rsidRPr="00F1561D">
        <w:rPr>
          <w:rFonts w:cs="Arial"/>
          <w:spacing w:val="-1"/>
          <w:position w:val="1"/>
          <w:szCs w:val="20"/>
        </w:rPr>
        <w:tab/>
        <w:t>U</w:t>
      </w:r>
      <w:r w:rsidRPr="004F50C8">
        <w:rPr>
          <w:rFonts w:cs="Arial"/>
          <w:spacing w:val="-1"/>
          <w:position w:val="1"/>
          <w:szCs w:val="20"/>
          <w:vertAlign w:val="subscript"/>
        </w:rPr>
        <w:t>PNG</w:t>
      </w:r>
      <w:r w:rsidRPr="00F1561D">
        <w:rPr>
          <w:rFonts w:cs="Arial"/>
          <w:spacing w:val="-1"/>
          <w:position w:val="1"/>
          <w:szCs w:val="20"/>
        </w:rPr>
        <w:tab/>
        <w:t>= Post Measure Water Usage Duration for Non-Grocery Applications</w:t>
      </w:r>
    </w:p>
    <w:p w:rsidR="00F05DC2" w:rsidRPr="00F1561D" w:rsidRDefault="00F05DC2" w:rsidP="00F05DC2">
      <w:pPr>
        <w:pStyle w:val="Equation"/>
        <w:rPr>
          <w:rFonts w:cs="Arial"/>
          <w:spacing w:val="-1"/>
          <w:position w:val="1"/>
          <w:szCs w:val="20"/>
        </w:rPr>
      </w:pPr>
      <w:r w:rsidRPr="00F1561D">
        <w:rPr>
          <w:rFonts w:cs="Arial"/>
          <w:spacing w:val="-1"/>
          <w:position w:val="1"/>
          <w:szCs w:val="20"/>
        </w:rPr>
        <w:tab/>
        <w:t>F</w:t>
      </w:r>
      <w:r w:rsidRPr="004F50C8">
        <w:rPr>
          <w:rFonts w:cs="Arial"/>
          <w:spacing w:val="-1"/>
          <w:position w:val="1"/>
          <w:szCs w:val="20"/>
          <w:vertAlign w:val="subscript"/>
        </w:rPr>
        <w:t>BG</w:t>
      </w:r>
      <w:r>
        <w:rPr>
          <w:rFonts w:cs="Arial"/>
          <w:spacing w:val="-1"/>
          <w:position w:val="1"/>
          <w:szCs w:val="20"/>
        </w:rPr>
        <w:tab/>
      </w:r>
      <w:r w:rsidRPr="00F1561D">
        <w:rPr>
          <w:rFonts w:cs="Arial"/>
          <w:spacing w:val="-1"/>
          <w:position w:val="1"/>
          <w:szCs w:val="20"/>
        </w:rPr>
        <w:t>= Baseline Flow Rate of Sprayer for Grocery Applications</w:t>
      </w:r>
    </w:p>
    <w:p w:rsidR="00F05DC2" w:rsidRPr="00F1561D" w:rsidRDefault="00F05DC2" w:rsidP="00F05DC2">
      <w:pPr>
        <w:pStyle w:val="Equation"/>
        <w:rPr>
          <w:rFonts w:cs="Arial"/>
          <w:spacing w:val="-1"/>
          <w:position w:val="1"/>
          <w:szCs w:val="20"/>
        </w:rPr>
      </w:pPr>
      <w:r w:rsidRPr="00F1561D">
        <w:rPr>
          <w:rFonts w:cs="Arial"/>
          <w:spacing w:val="-1"/>
          <w:position w:val="1"/>
          <w:szCs w:val="20"/>
        </w:rPr>
        <w:tab/>
        <w:t>F</w:t>
      </w:r>
      <w:r w:rsidRPr="004F50C8">
        <w:rPr>
          <w:rFonts w:cs="Arial"/>
          <w:spacing w:val="-1"/>
          <w:position w:val="1"/>
          <w:szCs w:val="20"/>
          <w:vertAlign w:val="subscript"/>
        </w:rPr>
        <w:t>PG</w:t>
      </w:r>
      <w:r>
        <w:rPr>
          <w:rFonts w:cs="Arial"/>
          <w:spacing w:val="-1"/>
          <w:position w:val="1"/>
          <w:szCs w:val="20"/>
        </w:rPr>
        <w:tab/>
      </w:r>
      <w:r w:rsidRPr="00F1561D">
        <w:rPr>
          <w:rFonts w:cs="Arial"/>
          <w:spacing w:val="-1"/>
          <w:position w:val="1"/>
          <w:szCs w:val="20"/>
        </w:rPr>
        <w:t>= Post Measure Flow Rate of Sprayer for Grocery Applications</w:t>
      </w:r>
    </w:p>
    <w:p w:rsidR="00F05DC2" w:rsidRPr="00F1561D" w:rsidRDefault="00F05DC2" w:rsidP="00F05DC2">
      <w:pPr>
        <w:pStyle w:val="Equation"/>
        <w:rPr>
          <w:rFonts w:cs="Arial"/>
          <w:spacing w:val="-1"/>
          <w:position w:val="1"/>
          <w:szCs w:val="20"/>
        </w:rPr>
      </w:pPr>
      <w:r w:rsidRPr="00F1561D">
        <w:rPr>
          <w:rFonts w:cs="Arial"/>
          <w:spacing w:val="-1"/>
          <w:position w:val="1"/>
          <w:szCs w:val="20"/>
        </w:rPr>
        <w:tab/>
        <w:t>U</w:t>
      </w:r>
      <w:r w:rsidRPr="004F50C8">
        <w:rPr>
          <w:rFonts w:cs="Arial"/>
          <w:spacing w:val="-1"/>
          <w:position w:val="1"/>
          <w:szCs w:val="20"/>
          <w:vertAlign w:val="subscript"/>
        </w:rPr>
        <w:t>BG</w:t>
      </w:r>
      <w:r>
        <w:rPr>
          <w:rFonts w:cs="Arial"/>
          <w:spacing w:val="-1"/>
          <w:position w:val="1"/>
          <w:szCs w:val="20"/>
        </w:rPr>
        <w:tab/>
      </w:r>
      <w:r w:rsidRPr="00F1561D">
        <w:rPr>
          <w:rFonts w:cs="Arial"/>
          <w:spacing w:val="-1"/>
          <w:position w:val="1"/>
          <w:szCs w:val="20"/>
        </w:rPr>
        <w:t>= Baseline Water Usage Duration for Grocery Applications</w:t>
      </w:r>
    </w:p>
    <w:p w:rsidR="00F05DC2" w:rsidRPr="00F1561D" w:rsidRDefault="00F05DC2" w:rsidP="00F05DC2">
      <w:pPr>
        <w:pStyle w:val="Equation"/>
        <w:rPr>
          <w:rFonts w:cs="Arial"/>
          <w:spacing w:val="-1"/>
          <w:position w:val="1"/>
          <w:szCs w:val="20"/>
        </w:rPr>
      </w:pPr>
      <w:r>
        <w:rPr>
          <w:rFonts w:cs="Arial"/>
          <w:spacing w:val="-1"/>
          <w:position w:val="1"/>
          <w:szCs w:val="20"/>
        </w:rPr>
        <w:tab/>
      </w:r>
      <w:r w:rsidRPr="00F1561D">
        <w:rPr>
          <w:rFonts w:cs="Arial"/>
          <w:spacing w:val="-1"/>
          <w:position w:val="1"/>
          <w:szCs w:val="20"/>
        </w:rPr>
        <w:t>U</w:t>
      </w:r>
      <w:r w:rsidRPr="004F50C8">
        <w:rPr>
          <w:rFonts w:cs="Arial"/>
          <w:spacing w:val="-1"/>
          <w:position w:val="1"/>
          <w:szCs w:val="20"/>
          <w:vertAlign w:val="subscript"/>
        </w:rPr>
        <w:t>PG</w:t>
      </w:r>
      <w:r>
        <w:rPr>
          <w:rFonts w:cs="Arial"/>
          <w:spacing w:val="-1"/>
          <w:position w:val="1"/>
          <w:szCs w:val="20"/>
        </w:rPr>
        <w:tab/>
      </w:r>
      <w:r w:rsidRPr="00F1561D">
        <w:rPr>
          <w:rFonts w:cs="Arial"/>
          <w:spacing w:val="-1"/>
          <w:position w:val="1"/>
          <w:szCs w:val="20"/>
        </w:rPr>
        <w:t>= Post Measure Water Usage Duration for Grocery Applications</w:t>
      </w:r>
    </w:p>
    <w:p w:rsidR="00F05DC2" w:rsidRPr="00F1561D" w:rsidRDefault="00F05DC2" w:rsidP="00F05DC2">
      <w:pPr>
        <w:pStyle w:val="Equation"/>
        <w:rPr>
          <w:rFonts w:cs="Arial"/>
          <w:spacing w:val="-1"/>
          <w:position w:val="1"/>
          <w:szCs w:val="20"/>
        </w:rPr>
      </w:pPr>
      <w:r>
        <w:rPr>
          <w:rFonts w:cs="Arial"/>
          <w:spacing w:val="-1"/>
          <w:position w:val="1"/>
          <w:szCs w:val="20"/>
        </w:rPr>
        <w:tab/>
      </w:r>
      <w:r w:rsidRPr="00F1561D">
        <w:rPr>
          <w:rFonts w:cs="Arial"/>
          <w:spacing w:val="-1"/>
          <w:position w:val="1"/>
          <w:szCs w:val="20"/>
        </w:rPr>
        <w:t>T</w:t>
      </w:r>
      <w:r w:rsidRPr="004F50C8">
        <w:rPr>
          <w:rFonts w:cs="Arial"/>
          <w:spacing w:val="-1"/>
          <w:position w:val="1"/>
          <w:szCs w:val="20"/>
          <w:vertAlign w:val="subscript"/>
        </w:rPr>
        <w:t>HNG</w:t>
      </w:r>
      <w:r>
        <w:rPr>
          <w:rFonts w:cs="Arial"/>
          <w:spacing w:val="-1"/>
          <w:position w:val="1"/>
          <w:szCs w:val="20"/>
        </w:rPr>
        <w:tab/>
      </w:r>
      <w:r w:rsidRPr="00F1561D">
        <w:rPr>
          <w:rFonts w:cs="Arial"/>
          <w:spacing w:val="-1"/>
          <w:position w:val="1"/>
          <w:szCs w:val="20"/>
        </w:rPr>
        <w:t xml:space="preserve">= Temperature </w:t>
      </w:r>
      <w:r w:rsidR="00E354E3">
        <w:rPr>
          <w:rFonts w:cs="Arial"/>
          <w:spacing w:val="-1"/>
          <w:position w:val="1"/>
          <w:szCs w:val="20"/>
        </w:rPr>
        <w:t xml:space="preserve">of </w:t>
      </w:r>
      <w:r w:rsidR="002379FB">
        <w:rPr>
          <w:rFonts w:cs="Arial"/>
          <w:spacing w:val="-1"/>
          <w:position w:val="1"/>
          <w:szCs w:val="20"/>
        </w:rPr>
        <w:t xml:space="preserve">hot </w:t>
      </w:r>
      <w:r w:rsidR="00E354E3">
        <w:rPr>
          <w:rFonts w:cs="Arial"/>
          <w:spacing w:val="-1"/>
          <w:position w:val="1"/>
          <w:szCs w:val="20"/>
        </w:rPr>
        <w:t xml:space="preserve">water coming from the spray nozzle </w:t>
      </w:r>
      <w:r w:rsidRPr="00F1561D">
        <w:rPr>
          <w:rFonts w:cs="Arial"/>
          <w:spacing w:val="-1"/>
          <w:position w:val="1"/>
          <w:szCs w:val="20"/>
        </w:rPr>
        <w:t>for Non-Grocery Application</w:t>
      </w:r>
    </w:p>
    <w:p w:rsidR="00F05DC2" w:rsidRPr="00F1561D" w:rsidRDefault="00F05DC2" w:rsidP="00F05DC2">
      <w:pPr>
        <w:pStyle w:val="Equation"/>
        <w:rPr>
          <w:rFonts w:cs="Arial"/>
          <w:spacing w:val="-1"/>
          <w:position w:val="1"/>
          <w:szCs w:val="20"/>
        </w:rPr>
      </w:pPr>
      <w:r>
        <w:rPr>
          <w:rFonts w:cs="Arial"/>
          <w:spacing w:val="-1"/>
          <w:position w:val="1"/>
          <w:szCs w:val="20"/>
        </w:rPr>
        <w:tab/>
      </w:r>
      <w:r w:rsidRPr="00F1561D">
        <w:rPr>
          <w:rFonts w:cs="Arial"/>
          <w:spacing w:val="-1"/>
          <w:position w:val="1"/>
          <w:szCs w:val="20"/>
        </w:rPr>
        <w:t>T</w:t>
      </w:r>
      <w:r w:rsidRPr="004F50C8">
        <w:rPr>
          <w:rFonts w:cs="Arial"/>
          <w:spacing w:val="-1"/>
          <w:position w:val="1"/>
          <w:szCs w:val="20"/>
          <w:vertAlign w:val="subscript"/>
        </w:rPr>
        <w:t>C</w:t>
      </w:r>
      <w:r>
        <w:rPr>
          <w:rFonts w:cs="Arial"/>
          <w:spacing w:val="-1"/>
          <w:position w:val="1"/>
          <w:szCs w:val="20"/>
        </w:rPr>
        <w:tab/>
      </w:r>
      <w:r w:rsidRPr="00F1561D">
        <w:rPr>
          <w:rFonts w:cs="Arial"/>
          <w:spacing w:val="-1"/>
          <w:position w:val="1"/>
          <w:szCs w:val="20"/>
        </w:rPr>
        <w:t xml:space="preserve">= </w:t>
      </w:r>
      <w:r w:rsidR="00E354E3">
        <w:rPr>
          <w:rFonts w:cs="Arial"/>
          <w:spacing w:val="-1"/>
          <w:position w:val="1"/>
          <w:szCs w:val="20"/>
        </w:rPr>
        <w:t xml:space="preserve">Incoming </w:t>
      </w:r>
      <w:r w:rsidR="002379FB">
        <w:rPr>
          <w:rFonts w:cs="Arial"/>
          <w:spacing w:val="-1"/>
          <w:position w:val="1"/>
          <w:szCs w:val="20"/>
        </w:rPr>
        <w:t xml:space="preserve">cold </w:t>
      </w:r>
      <w:r w:rsidRPr="00F1561D">
        <w:rPr>
          <w:rFonts w:cs="Arial"/>
          <w:spacing w:val="-1"/>
          <w:position w:val="1"/>
          <w:szCs w:val="20"/>
        </w:rPr>
        <w:t xml:space="preserve">water </w:t>
      </w:r>
      <w:r w:rsidR="002379FB">
        <w:rPr>
          <w:rFonts w:cs="Arial"/>
          <w:spacing w:val="-1"/>
          <w:position w:val="1"/>
          <w:szCs w:val="20"/>
        </w:rPr>
        <w:t>t</w:t>
      </w:r>
      <w:r w:rsidRPr="00F1561D">
        <w:rPr>
          <w:rFonts w:cs="Arial"/>
          <w:spacing w:val="-1"/>
          <w:position w:val="1"/>
          <w:szCs w:val="20"/>
        </w:rPr>
        <w:t xml:space="preserve">emperature for </w:t>
      </w:r>
      <w:r w:rsidR="00E354E3" w:rsidRPr="00F1561D">
        <w:rPr>
          <w:rFonts w:cs="Arial"/>
          <w:spacing w:val="-1"/>
          <w:position w:val="1"/>
          <w:szCs w:val="20"/>
        </w:rPr>
        <w:t xml:space="preserve">Grocery </w:t>
      </w:r>
      <w:r w:rsidR="00E354E3">
        <w:rPr>
          <w:rFonts w:cs="Arial"/>
          <w:spacing w:val="-1"/>
          <w:position w:val="1"/>
          <w:szCs w:val="20"/>
        </w:rPr>
        <w:t xml:space="preserve">and </w:t>
      </w:r>
      <w:r w:rsidRPr="00F1561D">
        <w:rPr>
          <w:rFonts w:cs="Arial"/>
          <w:spacing w:val="-1"/>
          <w:position w:val="1"/>
          <w:szCs w:val="20"/>
        </w:rPr>
        <w:t>Non-Grocery Application</w:t>
      </w:r>
    </w:p>
    <w:p w:rsidR="00F05DC2" w:rsidRPr="00F1561D" w:rsidRDefault="00F05DC2" w:rsidP="00F05DC2">
      <w:pPr>
        <w:pStyle w:val="Equation"/>
        <w:rPr>
          <w:rFonts w:cs="Arial"/>
          <w:spacing w:val="-1"/>
          <w:position w:val="1"/>
          <w:szCs w:val="20"/>
        </w:rPr>
      </w:pPr>
      <w:r>
        <w:rPr>
          <w:rFonts w:cs="Arial"/>
          <w:spacing w:val="-1"/>
          <w:position w:val="1"/>
          <w:szCs w:val="20"/>
        </w:rPr>
        <w:tab/>
      </w:r>
      <w:r w:rsidRPr="00F1561D">
        <w:rPr>
          <w:rFonts w:cs="Arial"/>
          <w:spacing w:val="-1"/>
          <w:position w:val="1"/>
          <w:szCs w:val="20"/>
        </w:rPr>
        <w:t>T</w:t>
      </w:r>
      <w:r w:rsidRPr="004F50C8">
        <w:rPr>
          <w:rFonts w:cs="Arial"/>
          <w:spacing w:val="-1"/>
          <w:position w:val="1"/>
          <w:szCs w:val="20"/>
          <w:vertAlign w:val="subscript"/>
        </w:rPr>
        <w:t>HG</w:t>
      </w:r>
      <w:r>
        <w:rPr>
          <w:rFonts w:cs="Arial"/>
          <w:spacing w:val="-1"/>
          <w:position w:val="1"/>
          <w:szCs w:val="20"/>
        </w:rPr>
        <w:tab/>
      </w:r>
      <w:r w:rsidRPr="00F1561D">
        <w:rPr>
          <w:rFonts w:cs="Arial"/>
          <w:spacing w:val="-1"/>
          <w:position w:val="1"/>
          <w:szCs w:val="20"/>
        </w:rPr>
        <w:t xml:space="preserve">= Temperature </w:t>
      </w:r>
      <w:r w:rsidR="00E354E3">
        <w:rPr>
          <w:rFonts w:cs="Arial"/>
          <w:spacing w:val="-1"/>
          <w:position w:val="1"/>
          <w:szCs w:val="20"/>
        </w:rPr>
        <w:t xml:space="preserve">of </w:t>
      </w:r>
      <w:r w:rsidR="002379FB">
        <w:rPr>
          <w:rFonts w:cs="Arial"/>
          <w:spacing w:val="-1"/>
          <w:position w:val="1"/>
          <w:szCs w:val="20"/>
        </w:rPr>
        <w:t xml:space="preserve">hot </w:t>
      </w:r>
      <w:r w:rsidR="00E354E3">
        <w:rPr>
          <w:rFonts w:cs="Arial"/>
          <w:spacing w:val="-1"/>
          <w:position w:val="1"/>
          <w:szCs w:val="20"/>
        </w:rPr>
        <w:t>water coming from the spray nozzle</w:t>
      </w:r>
      <w:r w:rsidRPr="00F1561D">
        <w:rPr>
          <w:rFonts w:cs="Arial"/>
          <w:spacing w:val="-1"/>
          <w:position w:val="1"/>
          <w:szCs w:val="20"/>
        </w:rPr>
        <w:t xml:space="preserve"> for Grocery Application</w:t>
      </w:r>
    </w:p>
    <w:p w:rsidR="00F05DC2" w:rsidRPr="00F1561D" w:rsidRDefault="00F05DC2" w:rsidP="00F05DC2">
      <w:pPr>
        <w:pStyle w:val="Equation"/>
        <w:rPr>
          <w:rFonts w:cs="Arial"/>
          <w:spacing w:val="-1"/>
          <w:position w:val="1"/>
          <w:szCs w:val="20"/>
        </w:rPr>
      </w:pPr>
      <w:r>
        <w:rPr>
          <w:rFonts w:cs="Arial"/>
          <w:spacing w:val="-1"/>
          <w:position w:val="1"/>
          <w:szCs w:val="20"/>
        </w:rPr>
        <w:tab/>
      </w:r>
      <w:r w:rsidR="001C3A51">
        <w:rPr>
          <w:rFonts w:cs="Arial"/>
          <w:spacing w:val="-1"/>
          <w:position w:val="1"/>
          <w:szCs w:val="20"/>
        </w:rPr>
        <w:t>EF</w:t>
      </w:r>
      <w:r>
        <w:rPr>
          <w:rFonts w:cs="Arial"/>
          <w:spacing w:val="-1"/>
          <w:position w:val="1"/>
          <w:szCs w:val="20"/>
        </w:rPr>
        <w:tab/>
      </w:r>
      <w:r w:rsidRPr="00F1561D">
        <w:rPr>
          <w:rFonts w:cs="Arial"/>
          <w:spacing w:val="-1"/>
          <w:position w:val="1"/>
          <w:szCs w:val="20"/>
        </w:rPr>
        <w:t xml:space="preserve">= </w:t>
      </w:r>
      <w:r w:rsidR="002379FB">
        <w:rPr>
          <w:rFonts w:cs="Arial"/>
          <w:spacing w:val="-1"/>
          <w:position w:val="1"/>
          <w:szCs w:val="20"/>
        </w:rPr>
        <w:t xml:space="preserve">Energy Factor of existing </w:t>
      </w:r>
      <w:r w:rsidRPr="00F1561D">
        <w:rPr>
          <w:rFonts w:cs="Arial"/>
          <w:spacing w:val="-1"/>
          <w:position w:val="1"/>
          <w:szCs w:val="20"/>
        </w:rPr>
        <w:t>Electric Water Heater</w:t>
      </w:r>
      <w:r w:rsidR="00E354E3">
        <w:rPr>
          <w:rFonts w:cs="Arial"/>
          <w:spacing w:val="-1"/>
          <w:position w:val="1"/>
          <w:szCs w:val="20"/>
        </w:rPr>
        <w:t xml:space="preserve"> System</w:t>
      </w:r>
    </w:p>
    <w:p w:rsidR="00F05DC2" w:rsidRDefault="00F05DC2" w:rsidP="00F05DC2">
      <w:pPr>
        <w:spacing w:after="0"/>
      </w:pPr>
    </w:p>
    <w:p w:rsidR="00F05DC2" w:rsidRPr="004E1BBC" w:rsidRDefault="00F05DC2" w:rsidP="00F05DC2">
      <w:pPr>
        <w:pStyle w:val="Caption"/>
      </w:pPr>
      <w:bookmarkStart w:id="1327" w:name="_Ref302741948"/>
      <w:bookmarkStart w:id="1328" w:name="_Ref297113814"/>
      <w:bookmarkStart w:id="1329" w:name="_Toc310875646"/>
      <w:r w:rsidRPr="004E1BBC">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94</w:t>
      </w:r>
      <w:r w:rsidR="00274AB1">
        <w:rPr>
          <w:noProof/>
        </w:rPr>
        <w:fldChar w:fldCharType="end"/>
      </w:r>
      <w:bookmarkEnd w:id="1327"/>
      <w:r w:rsidRPr="004E1BBC">
        <w:t>: Low Flow Pre-Rinse Sprayer Calculations Assumptions</w:t>
      </w:r>
      <w:bookmarkEnd w:id="1328"/>
      <w:bookmarkEnd w:id="1329"/>
      <w: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99"/>
        <w:gridCol w:w="1800"/>
        <w:gridCol w:w="2428"/>
        <w:gridCol w:w="1729"/>
      </w:tblGrid>
      <w:tr w:rsidR="00F05DC2" w:rsidRPr="00345A60" w:rsidTr="001C3A51">
        <w:trPr>
          <w:trHeight w:val="374"/>
        </w:trPr>
        <w:tc>
          <w:tcPr>
            <w:tcW w:w="1637" w:type="pct"/>
            <w:shd w:val="clear" w:color="auto" w:fill="BFBFBF"/>
          </w:tcPr>
          <w:p w:rsidR="00F05DC2" w:rsidRPr="00345A60" w:rsidRDefault="00F05DC2" w:rsidP="0026770C">
            <w:pPr>
              <w:tabs>
                <w:tab w:val="left" w:pos="720"/>
              </w:tabs>
              <w:spacing w:before="120"/>
              <w:rPr>
                <w:rFonts w:cs="Arial"/>
                <w:b/>
                <w:sz w:val="18"/>
                <w:szCs w:val="18"/>
              </w:rPr>
            </w:pPr>
            <w:r w:rsidRPr="00345A60">
              <w:rPr>
                <w:rFonts w:cs="Arial"/>
                <w:b/>
                <w:sz w:val="18"/>
                <w:szCs w:val="18"/>
              </w:rPr>
              <w:t>Description</w:t>
            </w:r>
          </w:p>
        </w:tc>
        <w:tc>
          <w:tcPr>
            <w:tcW w:w="1016" w:type="pct"/>
            <w:shd w:val="clear" w:color="auto" w:fill="BFBFBF"/>
          </w:tcPr>
          <w:p w:rsidR="00F05DC2" w:rsidRPr="00345A60" w:rsidRDefault="00F05DC2" w:rsidP="0026770C">
            <w:pPr>
              <w:tabs>
                <w:tab w:val="left" w:pos="720"/>
              </w:tabs>
              <w:spacing w:before="120"/>
              <w:rPr>
                <w:rFonts w:cs="Arial"/>
                <w:b/>
                <w:sz w:val="18"/>
                <w:szCs w:val="18"/>
              </w:rPr>
            </w:pPr>
            <w:r w:rsidRPr="00345A60">
              <w:rPr>
                <w:rFonts w:cs="Arial"/>
                <w:b/>
                <w:sz w:val="18"/>
                <w:szCs w:val="18"/>
              </w:rPr>
              <w:t>Type</w:t>
            </w:r>
          </w:p>
        </w:tc>
        <w:tc>
          <w:tcPr>
            <w:tcW w:w="1371" w:type="pct"/>
            <w:shd w:val="clear" w:color="auto" w:fill="BFBFBF"/>
          </w:tcPr>
          <w:p w:rsidR="00F05DC2" w:rsidRPr="00345A60" w:rsidRDefault="00F05DC2" w:rsidP="0026770C">
            <w:pPr>
              <w:tabs>
                <w:tab w:val="left" w:pos="720"/>
              </w:tabs>
              <w:spacing w:before="120"/>
              <w:rPr>
                <w:rFonts w:cs="Arial"/>
                <w:b/>
                <w:sz w:val="18"/>
                <w:szCs w:val="18"/>
              </w:rPr>
            </w:pPr>
            <w:r w:rsidRPr="00345A60">
              <w:rPr>
                <w:rFonts w:cs="Arial"/>
                <w:b/>
                <w:sz w:val="18"/>
                <w:szCs w:val="18"/>
              </w:rPr>
              <w:t xml:space="preserve">Value </w:t>
            </w:r>
          </w:p>
        </w:tc>
        <w:tc>
          <w:tcPr>
            <w:tcW w:w="976" w:type="pct"/>
            <w:shd w:val="clear" w:color="auto" w:fill="BFBFBF"/>
          </w:tcPr>
          <w:p w:rsidR="00F05DC2" w:rsidRPr="00345A60" w:rsidRDefault="00F05DC2" w:rsidP="0026770C">
            <w:pPr>
              <w:tabs>
                <w:tab w:val="left" w:pos="720"/>
              </w:tabs>
              <w:spacing w:before="120"/>
              <w:rPr>
                <w:rFonts w:cs="Arial"/>
                <w:b/>
                <w:sz w:val="18"/>
                <w:szCs w:val="18"/>
              </w:rPr>
            </w:pPr>
            <w:r w:rsidRPr="00345A60">
              <w:rPr>
                <w:rFonts w:cs="Arial"/>
                <w:b/>
                <w:sz w:val="18"/>
                <w:szCs w:val="18"/>
              </w:rPr>
              <w:t>Source</w:t>
            </w:r>
          </w:p>
        </w:tc>
      </w:tr>
      <w:tr w:rsidR="00F05DC2" w:rsidRPr="00345A60" w:rsidTr="001C3A51">
        <w:trPr>
          <w:trHeight w:val="374"/>
        </w:trPr>
        <w:tc>
          <w:tcPr>
            <w:tcW w:w="1637" w:type="pct"/>
          </w:tcPr>
          <w:p w:rsidR="00F05DC2" w:rsidRPr="00F1561D" w:rsidRDefault="00F05DC2" w:rsidP="0026770C">
            <w:pPr>
              <w:tabs>
                <w:tab w:val="left" w:pos="720"/>
              </w:tabs>
              <w:spacing w:before="60" w:after="60"/>
              <w:rPr>
                <w:rFonts w:cs="Arial"/>
                <w:color w:val="000000"/>
                <w:sz w:val="18"/>
                <w:szCs w:val="18"/>
              </w:rPr>
            </w:pPr>
            <w:r w:rsidRPr="00F1561D">
              <w:rPr>
                <w:rFonts w:cs="Arial"/>
                <w:color w:val="000000"/>
                <w:sz w:val="18"/>
                <w:szCs w:val="18"/>
              </w:rPr>
              <w:t>F</w:t>
            </w:r>
            <w:r w:rsidRPr="00F1561D">
              <w:rPr>
                <w:rFonts w:cs="Arial"/>
                <w:color w:val="000000"/>
                <w:sz w:val="18"/>
                <w:szCs w:val="18"/>
                <w:vertAlign w:val="subscript"/>
              </w:rPr>
              <w:t>BNG</w:t>
            </w:r>
          </w:p>
        </w:tc>
        <w:tc>
          <w:tcPr>
            <w:tcW w:w="1016" w:type="pct"/>
          </w:tcPr>
          <w:p w:rsidR="00F05DC2" w:rsidRPr="00345A60" w:rsidRDefault="00F05DC2" w:rsidP="0026770C">
            <w:pPr>
              <w:tabs>
                <w:tab w:val="left" w:pos="720"/>
              </w:tabs>
              <w:spacing w:before="60" w:after="60"/>
              <w:rPr>
                <w:rFonts w:cs="Arial"/>
                <w:sz w:val="18"/>
                <w:szCs w:val="18"/>
              </w:rPr>
            </w:pPr>
            <w:r w:rsidRPr="00345A60">
              <w:rPr>
                <w:rFonts w:cs="Arial"/>
                <w:sz w:val="18"/>
                <w:szCs w:val="18"/>
              </w:rPr>
              <w:t>Fixed</w:t>
            </w:r>
          </w:p>
        </w:tc>
        <w:tc>
          <w:tcPr>
            <w:tcW w:w="1371" w:type="pct"/>
          </w:tcPr>
          <w:p w:rsidR="00F05DC2" w:rsidRPr="00345A60" w:rsidRDefault="00F05DC2" w:rsidP="0026770C">
            <w:pPr>
              <w:tabs>
                <w:tab w:val="left" w:pos="720"/>
              </w:tabs>
              <w:spacing w:before="60" w:after="60"/>
              <w:rPr>
                <w:rFonts w:cs="Arial"/>
                <w:sz w:val="18"/>
                <w:szCs w:val="18"/>
              </w:rPr>
            </w:pPr>
            <w:r w:rsidRPr="00345A60">
              <w:rPr>
                <w:rFonts w:cs="Arial"/>
                <w:sz w:val="18"/>
                <w:szCs w:val="18"/>
              </w:rPr>
              <w:t>2.25 gpm</w:t>
            </w:r>
          </w:p>
        </w:tc>
        <w:tc>
          <w:tcPr>
            <w:tcW w:w="976" w:type="pct"/>
          </w:tcPr>
          <w:p w:rsidR="00F05DC2" w:rsidRPr="00345A60" w:rsidRDefault="00F05DC2" w:rsidP="0026770C">
            <w:pPr>
              <w:tabs>
                <w:tab w:val="left" w:pos="720"/>
              </w:tabs>
              <w:spacing w:before="60" w:after="60"/>
              <w:rPr>
                <w:rFonts w:cs="Arial"/>
                <w:sz w:val="18"/>
                <w:szCs w:val="18"/>
              </w:rPr>
            </w:pPr>
            <w:r>
              <w:rPr>
                <w:rFonts w:cs="Arial"/>
                <w:sz w:val="18"/>
                <w:szCs w:val="18"/>
              </w:rPr>
              <w:t>1</w:t>
            </w:r>
          </w:p>
        </w:tc>
      </w:tr>
      <w:tr w:rsidR="00F05DC2" w:rsidRPr="00345A60" w:rsidTr="001C3A51">
        <w:trPr>
          <w:trHeight w:val="374"/>
        </w:trPr>
        <w:tc>
          <w:tcPr>
            <w:tcW w:w="1637" w:type="pct"/>
          </w:tcPr>
          <w:p w:rsidR="00F05DC2" w:rsidRPr="00F1561D" w:rsidRDefault="00F05DC2" w:rsidP="0026770C">
            <w:pPr>
              <w:tabs>
                <w:tab w:val="left" w:pos="720"/>
              </w:tabs>
              <w:spacing w:before="60" w:after="60"/>
              <w:rPr>
                <w:rFonts w:cs="Arial"/>
                <w:color w:val="000000"/>
                <w:sz w:val="18"/>
                <w:szCs w:val="18"/>
              </w:rPr>
            </w:pPr>
            <w:r w:rsidRPr="00F1561D">
              <w:rPr>
                <w:rFonts w:cs="Arial"/>
                <w:color w:val="000000"/>
                <w:sz w:val="18"/>
                <w:szCs w:val="18"/>
              </w:rPr>
              <w:t>F</w:t>
            </w:r>
            <w:r w:rsidRPr="00F1561D">
              <w:rPr>
                <w:rFonts w:cs="Arial"/>
                <w:color w:val="000000"/>
                <w:sz w:val="18"/>
                <w:szCs w:val="18"/>
                <w:vertAlign w:val="subscript"/>
              </w:rPr>
              <w:t>PNG</w:t>
            </w:r>
            <w:r w:rsidRPr="00F1561D">
              <w:rPr>
                <w:rFonts w:cs="Arial"/>
                <w:color w:val="000000"/>
                <w:sz w:val="18"/>
                <w:szCs w:val="18"/>
              </w:rPr>
              <w:t xml:space="preserve"> </w:t>
            </w:r>
          </w:p>
        </w:tc>
        <w:tc>
          <w:tcPr>
            <w:tcW w:w="1016" w:type="pct"/>
          </w:tcPr>
          <w:p w:rsidR="00F05DC2" w:rsidRPr="00345A60" w:rsidRDefault="00F05DC2" w:rsidP="0026770C">
            <w:pPr>
              <w:tabs>
                <w:tab w:val="left" w:pos="720"/>
              </w:tabs>
              <w:spacing w:before="60" w:after="60"/>
              <w:rPr>
                <w:rFonts w:cs="Arial"/>
                <w:sz w:val="18"/>
                <w:szCs w:val="18"/>
              </w:rPr>
            </w:pPr>
            <w:r w:rsidRPr="00345A60">
              <w:rPr>
                <w:rFonts w:cs="Arial"/>
                <w:sz w:val="18"/>
                <w:szCs w:val="18"/>
              </w:rPr>
              <w:t>Fixed</w:t>
            </w:r>
          </w:p>
        </w:tc>
        <w:tc>
          <w:tcPr>
            <w:tcW w:w="1371" w:type="pct"/>
          </w:tcPr>
          <w:p w:rsidR="00F05DC2" w:rsidRPr="00345A60" w:rsidRDefault="00F05DC2" w:rsidP="0026770C">
            <w:pPr>
              <w:tabs>
                <w:tab w:val="left" w:pos="720"/>
              </w:tabs>
              <w:spacing w:before="60" w:after="60"/>
              <w:rPr>
                <w:rFonts w:cs="Arial"/>
                <w:sz w:val="18"/>
                <w:szCs w:val="18"/>
              </w:rPr>
            </w:pPr>
            <w:r w:rsidRPr="00345A60">
              <w:rPr>
                <w:rFonts w:cs="Arial"/>
                <w:sz w:val="18"/>
                <w:szCs w:val="18"/>
              </w:rPr>
              <w:t>1.12 gpm</w:t>
            </w:r>
          </w:p>
        </w:tc>
        <w:tc>
          <w:tcPr>
            <w:tcW w:w="976" w:type="pct"/>
          </w:tcPr>
          <w:p w:rsidR="00F05DC2" w:rsidRPr="00345A60" w:rsidRDefault="00F05DC2" w:rsidP="0026770C">
            <w:pPr>
              <w:tabs>
                <w:tab w:val="left" w:pos="720"/>
              </w:tabs>
              <w:spacing w:before="60" w:after="60"/>
              <w:rPr>
                <w:rFonts w:cs="Arial"/>
                <w:sz w:val="18"/>
                <w:szCs w:val="18"/>
              </w:rPr>
            </w:pPr>
            <w:r>
              <w:rPr>
                <w:rFonts w:cs="Arial"/>
                <w:sz w:val="18"/>
                <w:szCs w:val="18"/>
              </w:rPr>
              <w:t>1</w:t>
            </w:r>
          </w:p>
        </w:tc>
      </w:tr>
      <w:tr w:rsidR="00F05DC2" w:rsidRPr="00345A60" w:rsidTr="001C3A51">
        <w:trPr>
          <w:trHeight w:val="374"/>
        </w:trPr>
        <w:tc>
          <w:tcPr>
            <w:tcW w:w="1637" w:type="pct"/>
          </w:tcPr>
          <w:p w:rsidR="00F05DC2" w:rsidRPr="00F1561D" w:rsidRDefault="00F05DC2" w:rsidP="0026770C">
            <w:pPr>
              <w:tabs>
                <w:tab w:val="left" w:pos="720"/>
              </w:tabs>
              <w:spacing w:before="60" w:after="60"/>
              <w:rPr>
                <w:rFonts w:cs="Arial"/>
                <w:color w:val="000000"/>
                <w:sz w:val="18"/>
                <w:szCs w:val="18"/>
              </w:rPr>
            </w:pPr>
            <w:r w:rsidRPr="00F1561D">
              <w:rPr>
                <w:rFonts w:cs="Arial"/>
                <w:color w:val="000000"/>
                <w:sz w:val="18"/>
                <w:szCs w:val="18"/>
              </w:rPr>
              <w:t>U</w:t>
            </w:r>
            <w:r w:rsidRPr="00F1561D">
              <w:rPr>
                <w:rFonts w:cs="Arial"/>
                <w:color w:val="000000"/>
                <w:sz w:val="18"/>
                <w:szCs w:val="18"/>
                <w:vertAlign w:val="subscript"/>
              </w:rPr>
              <w:t>BNG</w:t>
            </w:r>
            <w:r w:rsidRPr="00F1561D">
              <w:rPr>
                <w:rFonts w:cs="Arial"/>
                <w:color w:val="000000"/>
                <w:sz w:val="18"/>
                <w:szCs w:val="18"/>
              </w:rPr>
              <w:t xml:space="preserve"> </w:t>
            </w:r>
          </w:p>
        </w:tc>
        <w:tc>
          <w:tcPr>
            <w:tcW w:w="1016" w:type="pct"/>
          </w:tcPr>
          <w:p w:rsidR="00F05DC2" w:rsidRPr="00345A60" w:rsidRDefault="00F05DC2" w:rsidP="0026770C">
            <w:pPr>
              <w:tabs>
                <w:tab w:val="left" w:pos="720"/>
              </w:tabs>
              <w:spacing w:before="60" w:after="60"/>
              <w:rPr>
                <w:rFonts w:cs="Arial"/>
                <w:sz w:val="18"/>
                <w:szCs w:val="18"/>
              </w:rPr>
            </w:pPr>
            <w:r w:rsidRPr="00345A60">
              <w:rPr>
                <w:rFonts w:cs="Arial"/>
                <w:sz w:val="18"/>
                <w:szCs w:val="18"/>
              </w:rPr>
              <w:t>Fixed</w:t>
            </w:r>
          </w:p>
        </w:tc>
        <w:tc>
          <w:tcPr>
            <w:tcW w:w="1371" w:type="pct"/>
          </w:tcPr>
          <w:p w:rsidR="00F05DC2" w:rsidRPr="00345A60" w:rsidRDefault="00F05DC2" w:rsidP="0026770C">
            <w:pPr>
              <w:tabs>
                <w:tab w:val="left" w:pos="720"/>
              </w:tabs>
              <w:spacing w:before="60" w:after="60"/>
              <w:rPr>
                <w:rFonts w:cs="Arial"/>
                <w:sz w:val="18"/>
                <w:szCs w:val="18"/>
              </w:rPr>
            </w:pPr>
            <w:r w:rsidRPr="00345A60">
              <w:rPr>
                <w:rFonts w:cs="Arial"/>
                <w:sz w:val="18"/>
                <w:szCs w:val="18"/>
              </w:rPr>
              <w:t>32.4min/day</w:t>
            </w:r>
          </w:p>
        </w:tc>
        <w:tc>
          <w:tcPr>
            <w:tcW w:w="976" w:type="pct"/>
          </w:tcPr>
          <w:p w:rsidR="00F05DC2" w:rsidRPr="00345A60" w:rsidRDefault="00F05DC2" w:rsidP="0026770C">
            <w:pPr>
              <w:tabs>
                <w:tab w:val="left" w:pos="720"/>
              </w:tabs>
              <w:spacing w:before="60" w:after="60"/>
              <w:rPr>
                <w:rFonts w:cs="Arial"/>
                <w:sz w:val="18"/>
                <w:szCs w:val="18"/>
              </w:rPr>
            </w:pPr>
            <w:r>
              <w:rPr>
                <w:rFonts w:cs="Arial"/>
                <w:sz w:val="18"/>
                <w:szCs w:val="18"/>
              </w:rPr>
              <w:t>2</w:t>
            </w:r>
          </w:p>
        </w:tc>
      </w:tr>
      <w:tr w:rsidR="00F05DC2" w:rsidRPr="00345A60" w:rsidTr="001C3A51">
        <w:trPr>
          <w:trHeight w:val="374"/>
        </w:trPr>
        <w:tc>
          <w:tcPr>
            <w:tcW w:w="1637" w:type="pct"/>
          </w:tcPr>
          <w:p w:rsidR="00F05DC2" w:rsidRPr="00F1561D" w:rsidRDefault="00F05DC2" w:rsidP="0026770C">
            <w:pPr>
              <w:tabs>
                <w:tab w:val="left" w:pos="720"/>
              </w:tabs>
              <w:spacing w:before="60" w:after="60"/>
              <w:rPr>
                <w:rFonts w:cs="Arial"/>
                <w:color w:val="000000"/>
                <w:sz w:val="18"/>
                <w:szCs w:val="18"/>
              </w:rPr>
            </w:pPr>
            <w:r w:rsidRPr="00F1561D">
              <w:rPr>
                <w:rFonts w:cs="Arial"/>
                <w:color w:val="000000"/>
                <w:sz w:val="18"/>
                <w:szCs w:val="18"/>
              </w:rPr>
              <w:t>U</w:t>
            </w:r>
            <w:r w:rsidRPr="00F1561D">
              <w:rPr>
                <w:rFonts w:cs="Arial"/>
                <w:color w:val="000000"/>
                <w:sz w:val="18"/>
                <w:szCs w:val="18"/>
                <w:vertAlign w:val="subscript"/>
              </w:rPr>
              <w:t>PNG</w:t>
            </w:r>
          </w:p>
        </w:tc>
        <w:tc>
          <w:tcPr>
            <w:tcW w:w="1016" w:type="pct"/>
          </w:tcPr>
          <w:p w:rsidR="00F05DC2" w:rsidRPr="00345A60" w:rsidRDefault="00F05DC2" w:rsidP="0026770C">
            <w:pPr>
              <w:tabs>
                <w:tab w:val="left" w:pos="720"/>
              </w:tabs>
              <w:spacing w:before="60" w:after="60"/>
              <w:rPr>
                <w:rFonts w:cs="Arial"/>
                <w:sz w:val="18"/>
                <w:szCs w:val="18"/>
              </w:rPr>
            </w:pPr>
            <w:r w:rsidRPr="00345A60">
              <w:rPr>
                <w:rFonts w:cs="Arial"/>
                <w:sz w:val="18"/>
                <w:szCs w:val="18"/>
              </w:rPr>
              <w:t>Fixed</w:t>
            </w:r>
          </w:p>
        </w:tc>
        <w:tc>
          <w:tcPr>
            <w:tcW w:w="1371" w:type="pct"/>
          </w:tcPr>
          <w:p w:rsidR="00F05DC2" w:rsidRPr="00345A60" w:rsidRDefault="00F05DC2" w:rsidP="0026770C">
            <w:pPr>
              <w:tabs>
                <w:tab w:val="left" w:pos="720"/>
              </w:tabs>
              <w:spacing w:before="60" w:after="60"/>
              <w:rPr>
                <w:rFonts w:cs="Arial"/>
                <w:sz w:val="18"/>
                <w:szCs w:val="18"/>
              </w:rPr>
            </w:pPr>
            <w:r w:rsidRPr="00345A60">
              <w:rPr>
                <w:rFonts w:cs="Arial"/>
                <w:sz w:val="18"/>
                <w:szCs w:val="18"/>
              </w:rPr>
              <w:t>43.8 min/day</w:t>
            </w:r>
          </w:p>
        </w:tc>
        <w:tc>
          <w:tcPr>
            <w:tcW w:w="976" w:type="pct"/>
          </w:tcPr>
          <w:p w:rsidR="00F05DC2" w:rsidRPr="00345A60" w:rsidRDefault="00F05DC2" w:rsidP="0026770C">
            <w:pPr>
              <w:tabs>
                <w:tab w:val="left" w:pos="720"/>
              </w:tabs>
              <w:spacing w:before="60" w:after="60"/>
              <w:rPr>
                <w:rFonts w:cs="Arial"/>
                <w:sz w:val="18"/>
                <w:szCs w:val="18"/>
              </w:rPr>
            </w:pPr>
            <w:r>
              <w:rPr>
                <w:rFonts w:cs="Arial"/>
                <w:sz w:val="18"/>
                <w:szCs w:val="18"/>
              </w:rPr>
              <w:t>2</w:t>
            </w:r>
          </w:p>
        </w:tc>
      </w:tr>
      <w:tr w:rsidR="00F05DC2" w:rsidRPr="00345A60" w:rsidTr="001C3A51">
        <w:trPr>
          <w:trHeight w:val="374"/>
        </w:trPr>
        <w:tc>
          <w:tcPr>
            <w:tcW w:w="1637" w:type="pct"/>
          </w:tcPr>
          <w:p w:rsidR="00F05DC2" w:rsidRPr="00F1561D" w:rsidRDefault="00F05DC2" w:rsidP="0026770C">
            <w:pPr>
              <w:tabs>
                <w:tab w:val="left" w:pos="720"/>
              </w:tabs>
              <w:spacing w:before="60" w:after="60"/>
              <w:rPr>
                <w:rFonts w:cs="Arial"/>
                <w:color w:val="000000"/>
                <w:sz w:val="18"/>
                <w:szCs w:val="18"/>
              </w:rPr>
            </w:pPr>
            <w:r w:rsidRPr="00F1561D">
              <w:rPr>
                <w:rFonts w:cs="Arial"/>
                <w:color w:val="000000"/>
                <w:sz w:val="18"/>
                <w:szCs w:val="18"/>
              </w:rPr>
              <w:t>F</w:t>
            </w:r>
            <w:r w:rsidRPr="00F1561D">
              <w:rPr>
                <w:rFonts w:cs="Arial"/>
                <w:color w:val="000000"/>
                <w:sz w:val="18"/>
                <w:szCs w:val="18"/>
                <w:vertAlign w:val="subscript"/>
              </w:rPr>
              <w:t>BG</w:t>
            </w:r>
          </w:p>
        </w:tc>
        <w:tc>
          <w:tcPr>
            <w:tcW w:w="1016" w:type="pct"/>
          </w:tcPr>
          <w:p w:rsidR="00F05DC2" w:rsidRPr="00345A60" w:rsidRDefault="00F05DC2" w:rsidP="0026770C">
            <w:pPr>
              <w:tabs>
                <w:tab w:val="left" w:pos="720"/>
              </w:tabs>
              <w:spacing w:before="60" w:after="60"/>
              <w:rPr>
                <w:rFonts w:cs="Arial"/>
                <w:sz w:val="18"/>
                <w:szCs w:val="18"/>
              </w:rPr>
            </w:pPr>
            <w:r w:rsidRPr="00345A60">
              <w:rPr>
                <w:rFonts w:cs="Arial"/>
                <w:sz w:val="18"/>
                <w:szCs w:val="18"/>
              </w:rPr>
              <w:t>Fixed</w:t>
            </w:r>
          </w:p>
        </w:tc>
        <w:tc>
          <w:tcPr>
            <w:tcW w:w="1371" w:type="pct"/>
          </w:tcPr>
          <w:p w:rsidR="00F05DC2" w:rsidRPr="00345A60" w:rsidDel="00F817E9" w:rsidRDefault="00F05DC2" w:rsidP="0026770C">
            <w:pPr>
              <w:tabs>
                <w:tab w:val="left" w:pos="720"/>
              </w:tabs>
              <w:spacing w:before="60" w:after="60"/>
              <w:rPr>
                <w:rFonts w:cs="Arial"/>
                <w:sz w:val="18"/>
                <w:szCs w:val="18"/>
              </w:rPr>
            </w:pPr>
            <w:r w:rsidRPr="00345A60">
              <w:rPr>
                <w:rFonts w:cs="Arial"/>
                <w:sz w:val="18"/>
                <w:szCs w:val="18"/>
              </w:rPr>
              <w:t>2.15 gpm</w:t>
            </w:r>
          </w:p>
        </w:tc>
        <w:tc>
          <w:tcPr>
            <w:tcW w:w="976" w:type="pct"/>
          </w:tcPr>
          <w:p w:rsidR="00F05DC2" w:rsidRPr="00345A60" w:rsidRDefault="00F05DC2" w:rsidP="0026770C">
            <w:pPr>
              <w:tabs>
                <w:tab w:val="left" w:pos="720"/>
              </w:tabs>
              <w:spacing w:before="60" w:after="60"/>
              <w:rPr>
                <w:rFonts w:cs="Arial"/>
                <w:sz w:val="18"/>
                <w:szCs w:val="18"/>
              </w:rPr>
            </w:pPr>
            <w:r>
              <w:rPr>
                <w:rFonts w:cs="Arial"/>
                <w:sz w:val="18"/>
                <w:szCs w:val="18"/>
              </w:rPr>
              <w:t>1</w:t>
            </w:r>
          </w:p>
        </w:tc>
      </w:tr>
      <w:tr w:rsidR="00F05DC2" w:rsidRPr="00345A60" w:rsidTr="001C3A51">
        <w:trPr>
          <w:trHeight w:val="374"/>
        </w:trPr>
        <w:tc>
          <w:tcPr>
            <w:tcW w:w="1637" w:type="pct"/>
          </w:tcPr>
          <w:p w:rsidR="00F05DC2" w:rsidRPr="00F1561D" w:rsidRDefault="00F05DC2" w:rsidP="0026770C">
            <w:pPr>
              <w:tabs>
                <w:tab w:val="left" w:pos="720"/>
              </w:tabs>
              <w:spacing w:before="60" w:after="60"/>
              <w:rPr>
                <w:rFonts w:cs="Arial"/>
                <w:color w:val="000000"/>
                <w:sz w:val="18"/>
                <w:szCs w:val="18"/>
              </w:rPr>
            </w:pPr>
            <w:r w:rsidRPr="00F1561D">
              <w:rPr>
                <w:rFonts w:cs="Arial"/>
                <w:color w:val="000000"/>
                <w:sz w:val="18"/>
                <w:szCs w:val="18"/>
              </w:rPr>
              <w:t>F</w:t>
            </w:r>
            <w:r w:rsidRPr="00F1561D">
              <w:rPr>
                <w:rFonts w:cs="Arial"/>
                <w:color w:val="000000"/>
                <w:sz w:val="18"/>
                <w:szCs w:val="18"/>
                <w:vertAlign w:val="subscript"/>
              </w:rPr>
              <w:t>PG</w:t>
            </w:r>
            <w:r w:rsidRPr="00F1561D">
              <w:rPr>
                <w:rFonts w:cs="Arial"/>
                <w:color w:val="000000"/>
                <w:sz w:val="18"/>
                <w:szCs w:val="18"/>
              </w:rPr>
              <w:t xml:space="preserve"> </w:t>
            </w:r>
          </w:p>
        </w:tc>
        <w:tc>
          <w:tcPr>
            <w:tcW w:w="1016" w:type="pct"/>
          </w:tcPr>
          <w:p w:rsidR="00F05DC2" w:rsidRPr="00345A60" w:rsidRDefault="00F05DC2" w:rsidP="0026770C">
            <w:pPr>
              <w:tabs>
                <w:tab w:val="left" w:pos="720"/>
              </w:tabs>
              <w:spacing w:before="60" w:after="60"/>
              <w:rPr>
                <w:rFonts w:cs="Arial"/>
                <w:sz w:val="18"/>
                <w:szCs w:val="18"/>
              </w:rPr>
            </w:pPr>
            <w:r w:rsidRPr="00345A60">
              <w:rPr>
                <w:rFonts w:cs="Arial"/>
                <w:sz w:val="18"/>
                <w:szCs w:val="18"/>
              </w:rPr>
              <w:t>Fixed</w:t>
            </w:r>
          </w:p>
        </w:tc>
        <w:tc>
          <w:tcPr>
            <w:tcW w:w="1371" w:type="pct"/>
          </w:tcPr>
          <w:p w:rsidR="00F05DC2" w:rsidRPr="00345A60" w:rsidDel="00F817E9" w:rsidRDefault="00F05DC2" w:rsidP="0026770C">
            <w:pPr>
              <w:tabs>
                <w:tab w:val="left" w:pos="720"/>
              </w:tabs>
              <w:spacing w:before="60" w:after="60"/>
              <w:rPr>
                <w:rFonts w:cs="Arial"/>
                <w:sz w:val="18"/>
                <w:szCs w:val="18"/>
              </w:rPr>
            </w:pPr>
            <w:r w:rsidRPr="00345A60">
              <w:rPr>
                <w:rFonts w:cs="Arial"/>
                <w:sz w:val="18"/>
                <w:szCs w:val="18"/>
              </w:rPr>
              <w:t>1.12 gpm</w:t>
            </w:r>
          </w:p>
        </w:tc>
        <w:tc>
          <w:tcPr>
            <w:tcW w:w="976" w:type="pct"/>
          </w:tcPr>
          <w:p w:rsidR="00F05DC2" w:rsidRPr="00345A60" w:rsidRDefault="00F05DC2" w:rsidP="0026770C">
            <w:pPr>
              <w:tabs>
                <w:tab w:val="left" w:pos="720"/>
              </w:tabs>
              <w:spacing w:before="60" w:after="60"/>
              <w:rPr>
                <w:rFonts w:cs="Arial"/>
                <w:sz w:val="18"/>
                <w:szCs w:val="18"/>
              </w:rPr>
            </w:pPr>
            <w:r>
              <w:rPr>
                <w:rFonts w:cs="Arial"/>
                <w:sz w:val="18"/>
                <w:szCs w:val="18"/>
              </w:rPr>
              <w:t>1</w:t>
            </w:r>
          </w:p>
        </w:tc>
      </w:tr>
      <w:tr w:rsidR="00F05DC2" w:rsidRPr="00345A60" w:rsidTr="001C3A51">
        <w:trPr>
          <w:trHeight w:val="374"/>
        </w:trPr>
        <w:tc>
          <w:tcPr>
            <w:tcW w:w="1637" w:type="pct"/>
          </w:tcPr>
          <w:p w:rsidR="00F05DC2" w:rsidRPr="00F1561D" w:rsidRDefault="00F05DC2" w:rsidP="0026770C">
            <w:pPr>
              <w:tabs>
                <w:tab w:val="left" w:pos="720"/>
              </w:tabs>
              <w:spacing w:before="60" w:after="60"/>
              <w:rPr>
                <w:rFonts w:cs="Arial"/>
                <w:color w:val="000000"/>
                <w:sz w:val="18"/>
                <w:szCs w:val="18"/>
              </w:rPr>
            </w:pPr>
            <w:r w:rsidRPr="00F1561D">
              <w:rPr>
                <w:rFonts w:cs="Arial"/>
                <w:color w:val="000000"/>
                <w:sz w:val="18"/>
                <w:szCs w:val="18"/>
              </w:rPr>
              <w:t>U</w:t>
            </w:r>
            <w:r w:rsidRPr="00F1561D">
              <w:rPr>
                <w:rFonts w:cs="Arial"/>
                <w:color w:val="000000"/>
                <w:sz w:val="18"/>
                <w:szCs w:val="18"/>
                <w:vertAlign w:val="subscript"/>
              </w:rPr>
              <w:t>BG</w:t>
            </w:r>
          </w:p>
        </w:tc>
        <w:tc>
          <w:tcPr>
            <w:tcW w:w="1016" w:type="pct"/>
          </w:tcPr>
          <w:p w:rsidR="00F05DC2" w:rsidRPr="00345A60" w:rsidRDefault="00F05DC2" w:rsidP="0026770C">
            <w:pPr>
              <w:tabs>
                <w:tab w:val="left" w:pos="720"/>
              </w:tabs>
              <w:spacing w:before="60" w:after="60"/>
              <w:rPr>
                <w:rFonts w:cs="Arial"/>
                <w:sz w:val="18"/>
                <w:szCs w:val="18"/>
              </w:rPr>
            </w:pPr>
            <w:r w:rsidRPr="00345A60">
              <w:rPr>
                <w:rFonts w:cs="Arial"/>
                <w:sz w:val="18"/>
                <w:szCs w:val="18"/>
              </w:rPr>
              <w:t>Fixed</w:t>
            </w:r>
          </w:p>
        </w:tc>
        <w:tc>
          <w:tcPr>
            <w:tcW w:w="1371" w:type="pct"/>
          </w:tcPr>
          <w:p w:rsidR="00F05DC2" w:rsidRPr="00345A60" w:rsidDel="00F817E9" w:rsidRDefault="00F05DC2" w:rsidP="0026770C">
            <w:pPr>
              <w:tabs>
                <w:tab w:val="left" w:pos="720"/>
              </w:tabs>
              <w:spacing w:before="60" w:after="60"/>
              <w:rPr>
                <w:rFonts w:cs="Arial"/>
                <w:sz w:val="18"/>
                <w:szCs w:val="18"/>
              </w:rPr>
            </w:pPr>
            <w:r w:rsidRPr="00345A60">
              <w:rPr>
                <w:rFonts w:cs="Arial"/>
                <w:sz w:val="18"/>
                <w:szCs w:val="18"/>
              </w:rPr>
              <w:t>4.8 min/day</w:t>
            </w:r>
          </w:p>
        </w:tc>
        <w:tc>
          <w:tcPr>
            <w:tcW w:w="976" w:type="pct"/>
          </w:tcPr>
          <w:p w:rsidR="00F05DC2" w:rsidRPr="00345A60" w:rsidRDefault="00F05DC2" w:rsidP="0026770C">
            <w:pPr>
              <w:tabs>
                <w:tab w:val="left" w:pos="720"/>
              </w:tabs>
              <w:spacing w:before="60" w:after="60"/>
              <w:rPr>
                <w:rFonts w:cs="Arial"/>
                <w:sz w:val="18"/>
                <w:szCs w:val="18"/>
              </w:rPr>
            </w:pPr>
            <w:r>
              <w:rPr>
                <w:rFonts w:cs="Arial"/>
                <w:sz w:val="18"/>
                <w:szCs w:val="18"/>
              </w:rPr>
              <w:t>2</w:t>
            </w:r>
          </w:p>
        </w:tc>
      </w:tr>
      <w:tr w:rsidR="00F05DC2" w:rsidRPr="00345A60" w:rsidTr="001C3A51">
        <w:trPr>
          <w:trHeight w:val="374"/>
        </w:trPr>
        <w:tc>
          <w:tcPr>
            <w:tcW w:w="1637" w:type="pct"/>
          </w:tcPr>
          <w:p w:rsidR="00F05DC2" w:rsidRPr="00F1561D" w:rsidRDefault="00F05DC2" w:rsidP="0026770C">
            <w:pPr>
              <w:tabs>
                <w:tab w:val="left" w:pos="720"/>
              </w:tabs>
              <w:spacing w:before="60" w:after="60"/>
              <w:rPr>
                <w:rFonts w:cs="Arial"/>
                <w:color w:val="000000"/>
                <w:sz w:val="18"/>
                <w:szCs w:val="18"/>
              </w:rPr>
            </w:pPr>
            <w:r w:rsidRPr="00F1561D">
              <w:rPr>
                <w:rFonts w:cs="Arial"/>
                <w:color w:val="000000"/>
                <w:sz w:val="18"/>
                <w:szCs w:val="18"/>
              </w:rPr>
              <w:t>U</w:t>
            </w:r>
            <w:r w:rsidRPr="00F1561D">
              <w:rPr>
                <w:rFonts w:cs="Arial"/>
                <w:color w:val="000000"/>
                <w:sz w:val="18"/>
                <w:szCs w:val="18"/>
                <w:vertAlign w:val="subscript"/>
              </w:rPr>
              <w:t>PG</w:t>
            </w:r>
          </w:p>
        </w:tc>
        <w:tc>
          <w:tcPr>
            <w:tcW w:w="1016" w:type="pct"/>
          </w:tcPr>
          <w:p w:rsidR="00F05DC2" w:rsidRPr="00345A60" w:rsidRDefault="00F05DC2" w:rsidP="0026770C">
            <w:pPr>
              <w:tabs>
                <w:tab w:val="left" w:pos="720"/>
              </w:tabs>
              <w:spacing w:before="60" w:after="60"/>
              <w:rPr>
                <w:rFonts w:cs="Arial"/>
                <w:sz w:val="18"/>
                <w:szCs w:val="18"/>
              </w:rPr>
            </w:pPr>
            <w:r w:rsidRPr="00345A60">
              <w:rPr>
                <w:rFonts w:cs="Arial"/>
                <w:sz w:val="18"/>
                <w:szCs w:val="18"/>
              </w:rPr>
              <w:t>Fixed</w:t>
            </w:r>
          </w:p>
        </w:tc>
        <w:tc>
          <w:tcPr>
            <w:tcW w:w="1371" w:type="pct"/>
          </w:tcPr>
          <w:p w:rsidR="00F05DC2" w:rsidRPr="00345A60" w:rsidDel="00F817E9" w:rsidRDefault="00F05DC2" w:rsidP="0026770C">
            <w:pPr>
              <w:tabs>
                <w:tab w:val="left" w:pos="720"/>
              </w:tabs>
              <w:spacing w:before="60" w:after="60"/>
              <w:rPr>
                <w:rFonts w:cs="Arial"/>
                <w:sz w:val="18"/>
                <w:szCs w:val="18"/>
              </w:rPr>
            </w:pPr>
            <w:r w:rsidRPr="00345A60">
              <w:rPr>
                <w:rFonts w:cs="Arial"/>
                <w:sz w:val="18"/>
                <w:szCs w:val="18"/>
              </w:rPr>
              <w:t>6 min/day</w:t>
            </w:r>
          </w:p>
        </w:tc>
        <w:tc>
          <w:tcPr>
            <w:tcW w:w="976" w:type="pct"/>
          </w:tcPr>
          <w:p w:rsidR="00F05DC2" w:rsidRPr="00345A60" w:rsidRDefault="00F05DC2" w:rsidP="0026770C">
            <w:pPr>
              <w:tabs>
                <w:tab w:val="left" w:pos="720"/>
              </w:tabs>
              <w:spacing w:before="60" w:after="60"/>
              <w:rPr>
                <w:rFonts w:cs="Arial"/>
                <w:sz w:val="18"/>
                <w:szCs w:val="18"/>
              </w:rPr>
            </w:pPr>
            <w:r>
              <w:rPr>
                <w:rFonts w:cs="Arial"/>
                <w:sz w:val="18"/>
                <w:szCs w:val="18"/>
              </w:rPr>
              <w:t>2</w:t>
            </w:r>
          </w:p>
        </w:tc>
      </w:tr>
      <w:tr w:rsidR="00F05DC2" w:rsidRPr="00345A60" w:rsidTr="001C3A51">
        <w:trPr>
          <w:trHeight w:val="374"/>
        </w:trPr>
        <w:tc>
          <w:tcPr>
            <w:tcW w:w="1637" w:type="pct"/>
          </w:tcPr>
          <w:p w:rsidR="00F05DC2" w:rsidRPr="00F1561D" w:rsidRDefault="00F05DC2" w:rsidP="0026770C">
            <w:pPr>
              <w:tabs>
                <w:tab w:val="left" w:pos="720"/>
              </w:tabs>
              <w:spacing w:before="60" w:after="60"/>
              <w:rPr>
                <w:rFonts w:cs="Arial"/>
                <w:color w:val="000000"/>
                <w:sz w:val="18"/>
                <w:szCs w:val="18"/>
              </w:rPr>
            </w:pPr>
            <w:r w:rsidRPr="00F1561D">
              <w:rPr>
                <w:rFonts w:cs="Arial"/>
                <w:color w:val="000000"/>
                <w:sz w:val="18"/>
                <w:szCs w:val="18"/>
              </w:rPr>
              <w:t>T</w:t>
            </w:r>
            <w:r w:rsidRPr="00F1561D">
              <w:rPr>
                <w:rFonts w:cs="Arial"/>
                <w:color w:val="000000"/>
                <w:sz w:val="18"/>
                <w:szCs w:val="18"/>
                <w:vertAlign w:val="subscript"/>
              </w:rPr>
              <w:t>HNG</w:t>
            </w:r>
          </w:p>
        </w:tc>
        <w:tc>
          <w:tcPr>
            <w:tcW w:w="1016" w:type="pct"/>
          </w:tcPr>
          <w:p w:rsidR="00F05DC2" w:rsidRPr="00345A60" w:rsidRDefault="00F05DC2" w:rsidP="0026770C">
            <w:pPr>
              <w:tabs>
                <w:tab w:val="left" w:pos="720"/>
              </w:tabs>
              <w:spacing w:before="60" w:after="60"/>
              <w:rPr>
                <w:rFonts w:cs="Arial"/>
                <w:sz w:val="18"/>
                <w:szCs w:val="18"/>
              </w:rPr>
            </w:pPr>
            <w:r w:rsidRPr="00345A60">
              <w:rPr>
                <w:rFonts w:cs="Arial"/>
                <w:sz w:val="18"/>
                <w:szCs w:val="18"/>
              </w:rPr>
              <w:t>Fixed</w:t>
            </w:r>
          </w:p>
        </w:tc>
        <w:tc>
          <w:tcPr>
            <w:tcW w:w="1371" w:type="pct"/>
          </w:tcPr>
          <w:p w:rsidR="00F05DC2" w:rsidRPr="00345A60" w:rsidRDefault="00E354E3" w:rsidP="002379FB">
            <w:pPr>
              <w:tabs>
                <w:tab w:val="left" w:pos="720"/>
              </w:tabs>
              <w:spacing w:before="60" w:after="60"/>
              <w:rPr>
                <w:rFonts w:cs="Arial"/>
                <w:sz w:val="18"/>
                <w:szCs w:val="18"/>
              </w:rPr>
            </w:pPr>
            <w:r>
              <w:rPr>
                <w:rFonts w:cs="Arial"/>
                <w:sz w:val="18"/>
                <w:szCs w:val="18"/>
              </w:rPr>
              <w:t>107</w:t>
            </w:r>
            <w:r w:rsidR="00F05DC2" w:rsidRPr="00345A60">
              <w:rPr>
                <w:rFonts w:cs="Arial"/>
                <w:sz w:val="18"/>
                <w:szCs w:val="18"/>
              </w:rPr>
              <w:t>ºF</w:t>
            </w:r>
          </w:p>
        </w:tc>
        <w:tc>
          <w:tcPr>
            <w:tcW w:w="976" w:type="pct"/>
          </w:tcPr>
          <w:p w:rsidR="00F05DC2" w:rsidRPr="00345A60" w:rsidRDefault="00F05DC2" w:rsidP="0026770C">
            <w:pPr>
              <w:tabs>
                <w:tab w:val="left" w:pos="720"/>
              </w:tabs>
              <w:spacing w:before="60" w:after="60"/>
              <w:rPr>
                <w:rFonts w:cs="Arial"/>
                <w:sz w:val="18"/>
                <w:szCs w:val="18"/>
              </w:rPr>
            </w:pPr>
            <w:r>
              <w:rPr>
                <w:rFonts w:cs="Arial"/>
                <w:sz w:val="18"/>
                <w:szCs w:val="18"/>
              </w:rPr>
              <w:t>3</w:t>
            </w:r>
          </w:p>
        </w:tc>
      </w:tr>
      <w:tr w:rsidR="00F05DC2" w:rsidRPr="00345A60" w:rsidTr="001C3A51">
        <w:trPr>
          <w:trHeight w:val="374"/>
        </w:trPr>
        <w:tc>
          <w:tcPr>
            <w:tcW w:w="1637" w:type="pct"/>
          </w:tcPr>
          <w:p w:rsidR="00F05DC2" w:rsidRPr="00F1561D" w:rsidDel="00F817E9" w:rsidRDefault="00F05DC2" w:rsidP="0026770C">
            <w:pPr>
              <w:tabs>
                <w:tab w:val="left" w:pos="720"/>
              </w:tabs>
              <w:spacing w:before="60" w:after="60"/>
              <w:rPr>
                <w:rFonts w:cs="Arial"/>
                <w:color w:val="000000"/>
                <w:sz w:val="18"/>
                <w:szCs w:val="18"/>
              </w:rPr>
            </w:pPr>
            <w:r w:rsidRPr="00F1561D">
              <w:rPr>
                <w:rFonts w:cs="Arial"/>
                <w:color w:val="000000"/>
                <w:sz w:val="18"/>
                <w:szCs w:val="18"/>
              </w:rPr>
              <w:t>T</w:t>
            </w:r>
            <w:r w:rsidRPr="00F1561D">
              <w:rPr>
                <w:rFonts w:cs="Arial"/>
                <w:color w:val="000000"/>
                <w:sz w:val="18"/>
                <w:szCs w:val="18"/>
                <w:vertAlign w:val="subscript"/>
              </w:rPr>
              <w:t>C</w:t>
            </w:r>
          </w:p>
        </w:tc>
        <w:tc>
          <w:tcPr>
            <w:tcW w:w="1016" w:type="pct"/>
          </w:tcPr>
          <w:p w:rsidR="00F05DC2" w:rsidRPr="00345A60" w:rsidRDefault="00F05DC2" w:rsidP="0026770C">
            <w:pPr>
              <w:tabs>
                <w:tab w:val="left" w:pos="720"/>
              </w:tabs>
              <w:spacing w:before="60" w:after="60"/>
              <w:rPr>
                <w:rFonts w:cs="Arial"/>
                <w:sz w:val="18"/>
                <w:szCs w:val="18"/>
              </w:rPr>
            </w:pPr>
            <w:r w:rsidRPr="00345A60">
              <w:rPr>
                <w:rFonts w:cs="Arial"/>
                <w:sz w:val="18"/>
                <w:szCs w:val="18"/>
              </w:rPr>
              <w:t>Fixed</w:t>
            </w:r>
          </w:p>
        </w:tc>
        <w:tc>
          <w:tcPr>
            <w:tcW w:w="1371" w:type="pct"/>
          </w:tcPr>
          <w:p w:rsidR="00F05DC2" w:rsidRPr="00345A60" w:rsidRDefault="00E354E3" w:rsidP="002379FB">
            <w:pPr>
              <w:tabs>
                <w:tab w:val="left" w:pos="720"/>
              </w:tabs>
              <w:spacing w:before="60" w:after="60"/>
              <w:rPr>
                <w:rFonts w:cs="Arial"/>
                <w:sz w:val="18"/>
                <w:szCs w:val="18"/>
              </w:rPr>
            </w:pPr>
            <w:r>
              <w:rPr>
                <w:rFonts w:cs="Arial"/>
                <w:sz w:val="18"/>
                <w:szCs w:val="18"/>
              </w:rPr>
              <w:t>55</w:t>
            </w:r>
            <w:r w:rsidR="00F05DC2" w:rsidRPr="00345A60">
              <w:rPr>
                <w:rFonts w:cs="Arial"/>
                <w:sz w:val="18"/>
                <w:szCs w:val="18"/>
              </w:rPr>
              <w:t>ºF</w:t>
            </w:r>
          </w:p>
        </w:tc>
        <w:tc>
          <w:tcPr>
            <w:tcW w:w="976" w:type="pct"/>
          </w:tcPr>
          <w:p w:rsidR="00F05DC2" w:rsidRPr="00345A60" w:rsidRDefault="00E354E3" w:rsidP="00BF4B7B">
            <w:pPr>
              <w:tabs>
                <w:tab w:val="left" w:pos="720"/>
              </w:tabs>
              <w:spacing w:before="60" w:after="60"/>
              <w:rPr>
                <w:rFonts w:cs="Arial"/>
                <w:sz w:val="18"/>
                <w:szCs w:val="18"/>
              </w:rPr>
            </w:pPr>
            <w:r>
              <w:rPr>
                <w:rFonts w:cs="Arial"/>
                <w:sz w:val="18"/>
                <w:szCs w:val="18"/>
              </w:rPr>
              <w:t>6</w:t>
            </w:r>
          </w:p>
        </w:tc>
      </w:tr>
      <w:tr w:rsidR="00F05DC2" w:rsidRPr="00345A60" w:rsidTr="001C3A51">
        <w:trPr>
          <w:trHeight w:val="374"/>
        </w:trPr>
        <w:tc>
          <w:tcPr>
            <w:tcW w:w="1637" w:type="pct"/>
          </w:tcPr>
          <w:p w:rsidR="00F05DC2" w:rsidRPr="00F1561D" w:rsidRDefault="00F05DC2" w:rsidP="0026770C">
            <w:pPr>
              <w:tabs>
                <w:tab w:val="left" w:pos="720"/>
              </w:tabs>
              <w:spacing w:before="60" w:after="60"/>
              <w:rPr>
                <w:rFonts w:cs="Arial"/>
                <w:color w:val="000000"/>
                <w:sz w:val="18"/>
                <w:szCs w:val="18"/>
              </w:rPr>
            </w:pPr>
            <w:r w:rsidRPr="00F1561D">
              <w:rPr>
                <w:rFonts w:cs="Arial"/>
                <w:color w:val="000000"/>
                <w:sz w:val="18"/>
                <w:szCs w:val="18"/>
              </w:rPr>
              <w:t>T</w:t>
            </w:r>
            <w:r w:rsidRPr="00F1561D">
              <w:rPr>
                <w:rFonts w:cs="Arial"/>
                <w:color w:val="000000"/>
                <w:sz w:val="18"/>
                <w:szCs w:val="18"/>
                <w:vertAlign w:val="subscript"/>
              </w:rPr>
              <w:t>HG</w:t>
            </w:r>
          </w:p>
        </w:tc>
        <w:tc>
          <w:tcPr>
            <w:tcW w:w="1016" w:type="pct"/>
          </w:tcPr>
          <w:p w:rsidR="00F05DC2" w:rsidRPr="00345A60" w:rsidRDefault="00F05DC2" w:rsidP="0026770C">
            <w:pPr>
              <w:tabs>
                <w:tab w:val="left" w:pos="720"/>
              </w:tabs>
              <w:spacing w:before="60" w:after="60"/>
              <w:rPr>
                <w:rFonts w:cs="Arial"/>
                <w:sz w:val="18"/>
                <w:szCs w:val="18"/>
              </w:rPr>
            </w:pPr>
            <w:r w:rsidRPr="00345A60">
              <w:rPr>
                <w:rFonts w:cs="Arial"/>
                <w:sz w:val="18"/>
                <w:szCs w:val="18"/>
              </w:rPr>
              <w:t>Fixed</w:t>
            </w:r>
          </w:p>
        </w:tc>
        <w:tc>
          <w:tcPr>
            <w:tcW w:w="1371" w:type="pct"/>
          </w:tcPr>
          <w:p w:rsidR="00F05DC2" w:rsidRPr="00345A60" w:rsidRDefault="00E354E3" w:rsidP="002379FB">
            <w:pPr>
              <w:tabs>
                <w:tab w:val="left" w:pos="720"/>
              </w:tabs>
              <w:spacing w:before="60" w:after="60"/>
              <w:rPr>
                <w:rFonts w:cs="Arial"/>
                <w:sz w:val="18"/>
                <w:szCs w:val="18"/>
              </w:rPr>
            </w:pPr>
            <w:r>
              <w:rPr>
                <w:rFonts w:cs="Arial"/>
                <w:sz w:val="18"/>
                <w:szCs w:val="18"/>
              </w:rPr>
              <w:t>97.6</w:t>
            </w:r>
            <w:r w:rsidR="00F05DC2" w:rsidRPr="00345A60">
              <w:rPr>
                <w:rFonts w:cs="Arial"/>
                <w:sz w:val="18"/>
                <w:szCs w:val="18"/>
              </w:rPr>
              <w:t>ºF</w:t>
            </w:r>
          </w:p>
        </w:tc>
        <w:tc>
          <w:tcPr>
            <w:tcW w:w="976" w:type="pct"/>
          </w:tcPr>
          <w:p w:rsidR="00F05DC2" w:rsidRPr="00345A60" w:rsidRDefault="00F05DC2" w:rsidP="0026770C">
            <w:pPr>
              <w:tabs>
                <w:tab w:val="left" w:pos="720"/>
              </w:tabs>
              <w:spacing w:before="60" w:after="60"/>
              <w:rPr>
                <w:rFonts w:cs="Arial"/>
                <w:sz w:val="18"/>
                <w:szCs w:val="18"/>
              </w:rPr>
            </w:pPr>
            <w:r>
              <w:rPr>
                <w:rFonts w:cs="Arial"/>
                <w:sz w:val="18"/>
                <w:szCs w:val="18"/>
              </w:rPr>
              <w:t>3</w:t>
            </w:r>
          </w:p>
        </w:tc>
      </w:tr>
      <w:tr w:rsidR="00F05DC2" w:rsidRPr="00345A60" w:rsidTr="001C3A51">
        <w:trPr>
          <w:trHeight w:val="374"/>
        </w:trPr>
        <w:tc>
          <w:tcPr>
            <w:tcW w:w="1637" w:type="pct"/>
          </w:tcPr>
          <w:p w:rsidR="00F05DC2" w:rsidRPr="00F1561D" w:rsidRDefault="001C3A51" w:rsidP="00BF4B7B">
            <w:pPr>
              <w:tabs>
                <w:tab w:val="left" w:pos="720"/>
              </w:tabs>
              <w:spacing w:before="60" w:after="60"/>
              <w:rPr>
                <w:rFonts w:cs="Arial"/>
                <w:color w:val="000000"/>
                <w:sz w:val="18"/>
                <w:szCs w:val="18"/>
              </w:rPr>
            </w:pPr>
            <w:r>
              <w:rPr>
                <w:rFonts w:cs="Arial"/>
                <w:color w:val="000000"/>
                <w:sz w:val="18"/>
                <w:szCs w:val="18"/>
              </w:rPr>
              <w:t>EF</w:t>
            </w:r>
          </w:p>
        </w:tc>
        <w:tc>
          <w:tcPr>
            <w:tcW w:w="1016" w:type="pct"/>
          </w:tcPr>
          <w:p w:rsidR="00F05DC2" w:rsidRPr="00345A60" w:rsidRDefault="00F05DC2" w:rsidP="0026770C">
            <w:pPr>
              <w:tabs>
                <w:tab w:val="left" w:pos="720"/>
              </w:tabs>
              <w:spacing w:before="60" w:after="60"/>
              <w:rPr>
                <w:rFonts w:cs="Arial"/>
                <w:sz w:val="18"/>
                <w:szCs w:val="18"/>
              </w:rPr>
            </w:pPr>
            <w:r w:rsidRPr="00345A60">
              <w:rPr>
                <w:rFonts w:cs="Arial"/>
                <w:sz w:val="18"/>
                <w:szCs w:val="18"/>
              </w:rPr>
              <w:t>Fixed</w:t>
            </w:r>
          </w:p>
        </w:tc>
        <w:tc>
          <w:tcPr>
            <w:tcW w:w="1371" w:type="pct"/>
          </w:tcPr>
          <w:p w:rsidR="00F05DC2" w:rsidRPr="00345A60" w:rsidRDefault="00F05DC2" w:rsidP="00BF4B7B">
            <w:pPr>
              <w:tabs>
                <w:tab w:val="left" w:pos="720"/>
              </w:tabs>
              <w:spacing w:before="60" w:after="60"/>
              <w:rPr>
                <w:rFonts w:cs="Arial"/>
                <w:sz w:val="18"/>
                <w:szCs w:val="18"/>
              </w:rPr>
            </w:pPr>
            <w:r w:rsidRPr="00345A60">
              <w:rPr>
                <w:rFonts w:cs="Arial"/>
                <w:sz w:val="18"/>
                <w:szCs w:val="18"/>
              </w:rPr>
              <w:t>0.90</w:t>
            </w:r>
            <w:r w:rsidR="00EC152D">
              <w:rPr>
                <w:rFonts w:cs="Arial"/>
                <w:sz w:val="18"/>
                <w:szCs w:val="18"/>
              </w:rPr>
              <w:t>4</w:t>
            </w:r>
          </w:p>
        </w:tc>
        <w:tc>
          <w:tcPr>
            <w:tcW w:w="976" w:type="pct"/>
          </w:tcPr>
          <w:p w:rsidR="00F05DC2" w:rsidRPr="00345A60" w:rsidRDefault="007043AB" w:rsidP="00BF4B7B">
            <w:pPr>
              <w:tabs>
                <w:tab w:val="left" w:pos="720"/>
              </w:tabs>
              <w:spacing w:before="60" w:after="60"/>
              <w:rPr>
                <w:rFonts w:cs="Arial"/>
                <w:sz w:val="18"/>
                <w:szCs w:val="18"/>
              </w:rPr>
            </w:pPr>
            <w:r>
              <w:rPr>
                <w:rFonts w:cs="Arial"/>
                <w:sz w:val="18"/>
                <w:szCs w:val="18"/>
              </w:rPr>
              <w:t>4</w:t>
            </w:r>
          </w:p>
        </w:tc>
      </w:tr>
      <w:tr w:rsidR="00F05DC2" w:rsidRPr="00345A60" w:rsidTr="001C3A51">
        <w:trPr>
          <w:trHeight w:val="374"/>
        </w:trPr>
        <w:tc>
          <w:tcPr>
            <w:tcW w:w="1637" w:type="pct"/>
          </w:tcPr>
          <w:p w:rsidR="00F05DC2" w:rsidRPr="00345A60" w:rsidRDefault="00F05DC2" w:rsidP="0026770C">
            <w:pPr>
              <w:tabs>
                <w:tab w:val="left" w:pos="720"/>
              </w:tabs>
              <w:spacing w:before="60" w:after="60"/>
              <w:rPr>
                <w:rFonts w:cs="Arial"/>
                <w:color w:val="000000"/>
                <w:sz w:val="18"/>
                <w:szCs w:val="18"/>
              </w:rPr>
            </w:pPr>
            <w:r w:rsidRPr="00345A60">
              <w:rPr>
                <w:rFonts w:cs="Arial"/>
                <w:color w:val="000000"/>
                <w:sz w:val="18"/>
                <w:szCs w:val="18"/>
              </w:rPr>
              <w:t>EnergyToDemandFactor</w:t>
            </w:r>
          </w:p>
        </w:tc>
        <w:tc>
          <w:tcPr>
            <w:tcW w:w="1016" w:type="pct"/>
          </w:tcPr>
          <w:p w:rsidR="00F05DC2" w:rsidRPr="00345A60" w:rsidRDefault="00F05DC2" w:rsidP="0026770C">
            <w:pPr>
              <w:tabs>
                <w:tab w:val="left" w:pos="720"/>
              </w:tabs>
              <w:spacing w:before="60" w:after="60"/>
              <w:rPr>
                <w:rFonts w:cs="Arial"/>
                <w:sz w:val="18"/>
                <w:szCs w:val="18"/>
              </w:rPr>
            </w:pPr>
            <w:r w:rsidRPr="00345A60">
              <w:rPr>
                <w:rFonts w:cs="Arial"/>
                <w:sz w:val="18"/>
                <w:szCs w:val="18"/>
              </w:rPr>
              <w:t>Fixed</w:t>
            </w:r>
          </w:p>
        </w:tc>
        <w:tc>
          <w:tcPr>
            <w:tcW w:w="1371" w:type="pct"/>
          </w:tcPr>
          <w:p w:rsidR="00F05DC2" w:rsidRPr="00345A60" w:rsidRDefault="00D74AE2" w:rsidP="0026770C">
            <w:pPr>
              <w:spacing w:before="60" w:after="60"/>
              <w:rPr>
                <w:rFonts w:cs="Arial"/>
                <w:sz w:val="18"/>
                <w:szCs w:val="18"/>
              </w:rPr>
            </w:pPr>
            <w:r w:rsidRPr="00D74AE2">
              <w:rPr>
                <w:sz w:val="18"/>
              </w:rPr>
              <w:t>0.</w:t>
            </w:r>
            <w:r w:rsidR="006E717D" w:rsidRPr="00A4359D">
              <w:rPr>
                <w:rFonts w:cs="Arial"/>
                <w:szCs w:val="18"/>
              </w:rPr>
              <w:t>0001916</w:t>
            </w:r>
          </w:p>
        </w:tc>
        <w:tc>
          <w:tcPr>
            <w:tcW w:w="976" w:type="pct"/>
          </w:tcPr>
          <w:p w:rsidR="00F05DC2" w:rsidRPr="00345A60" w:rsidRDefault="007043AB" w:rsidP="00BF4B7B">
            <w:pPr>
              <w:tabs>
                <w:tab w:val="left" w:pos="720"/>
              </w:tabs>
              <w:spacing w:before="60" w:after="60"/>
              <w:rPr>
                <w:rStyle w:val="EndnoteReference"/>
                <w:rFonts w:cs="Arial"/>
                <w:sz w:val="18"/>
                <w:szCs w:val="18"/>
              </w:rPr>
            </w:pPr>
            <w:r>
              <w:rPr>
                <w:rFonts w:cs="Arial"/>
                <w:sz w:val="18"/>
                <w:szCs w:val="18"/>
              </w:rPr>
              <w:t>5</w:t>
            </w:r>
          </w:p>
        </w:tc>
      </w:tr>
    </w:tbl>
    <w:p w:rsidR="00F05DC2" w:rsidRPr="001C4AD5" w:rsidRDefault="00F05DC2" w:rsidP="00F05DC2">
      <w:pPr>
        <w:spacing w:after="0"/>
        <w:ind w:left="475" w:hanging="475"/>
      </w:pPr>
    </w:p>
    <w:p w:rsidR="00F05DC2" w:rsidRPr="001D7420" w:rsidRDefault="00F05DC2" w:rsidP="00F05DC2">
      <w:pPr>
        <w:keepNext/>
        <w:rPr>
          <w:b/>
        </w:rPr>
      </w:pPr>
      <w:r w:rsidRPr="001D7420">
        <w:rPr>
          <w:b/>
        </w:rPr>
        <w:t>Sources:</w:t>
      </w:r>
    </w:p>
    <w:p w:rsidR="00F05DC2" w:rsidRDefault="00F05DC2" w:rsidP="0005632A">
      <w:pPr>
        <w:pStyle w:val="source1"/>
        <w:numPr>
          <w:ilvl w:val="0"/>
          <w:numId w:val="99"/>
        </w:numPr>
      </w:pPr>
      <w:r w:rsidRPr="00F05DC2">
        <w:rPr>
          <w:i/>
        </w:rPr>
        <w:t xml:space="preserve">Impact and Process Evaluation Final Report for California Urban Water Conservation Council 2004-5 Pre-Rinse Spray Valve Installation Program (Phase 2), </w:t>
      </w:r>
      <w:r>
        <w:t xml:space="preserve">SBW Consulting, 2007, Table 3-4, p. 23   </w:t>
      </w:r>
    </w:p>
    <w:p w:rsidR="00F05DC2" w:rsidRDefault="00F05DC2" w:rsidP="00F05DC2">
      <w:pPr>
        <w:pStyle w:val="source1"/>
      </w:pPr>
      <w:r w:rsidRPr="00445702">
        <w:rPr>
          <w:i/>
        </w:rPr>
        <w:t>Impact and Process Evaluation Final Report for California Urban Water Conservation Council 2004-5 Pre-Rinse Spray Valve Installation Program (Phase 2)</w:t>
      </w:r>
      <w:r>
        <w:rPr>
          <w:i/>
        </w:rPr>
        <w:t xml:space="preserve">, </w:t>
      </w:r>
      <w:r>
        <w:t>SBW Consulting, 2007, Table 3-6, p. 24</w:t>
      </w:r>
    </w:p>
    <w:p w:rsidR="00F05DC2" w:rsidRDefault="00F05DC2" w:rsidP="00F05DC2">
      <w:pPr>
        <w:pStyle w:val="source1"/>
      </w:pPr>
      <w:r w:rsidRPr="00445702">
        <w:rPr>
          <w:i/>
        </w:rPr>
        <w:t>Impact and Process Evaluation Final Report for California Urban Water Conservation Council 2004-5 Pre-Rinse Spray Valve Installation Program (Phase 2)</w:t>
      </w:r>
      <w:r>
        <w:rPr>
          <w:i/>
        </w:rPr>
        <w:t xml:space="preserve">, </w:t>
      </w:r>
      <w:r>
        <w:t>SBW Consulting, 2007, Table 3-5, p. 23</w:t>
      </w:r>
    </w:p>
    <w:p w:rsidR="00F05DC2" w:rsidRDefault="00F05DC2" w:rsidP="00F05DC2">
      <w:pPr>
        <w:pStyle w:val="source1"/>
      </w:pPr>
      <w:r>
        <w:t>Federal Standards are 0.97 -0.00132 x Rated Storage in Gallons.  For a 50-gallon tank this is approximately 0.90.  “</w:t>
      </w:r>
      <w:r w:rsidRPr="00EB3EEB">
        <w:t xml:space="preserve">Energy Conservation Program: Energy Conservation Standards for Residential Water </w:t>
      </w:r>
      <w:r w:rsidRPr="00932A7E">
        <w:t>Heaters, Direct Heating Equipment, and Pool Heaters” US Dept</w:t>
      </w:r>
      <w:r>
        <w:t>.</w:t>
      </w:r>
      <w:r w:rsidRPr="00932A7E">
        <w:t xml:space="preserve"> of Energy Docket Number: EE–2006–BT-STD–0129</w:t>
      </w:r>
      <w:r>
        <w:t>, p. 30</w:t>
      </w:r>
    </w:p>
    <w:p w:rsidR="00F05DC2" w:rsidRDefault="00F05DC2" w:rsidP="00F05DC2">
      <w:pPr>
        <w:pStyle w:val="source1"/>
      </w:pPr>
      <w:r>
        <w:t xml:space="preserve">The load shapes can be accessed online: </w:t>
      </w:r>
      <w:hyperlink r:id="rId59" w:history="1">
        <w:r w:rsidRPr="00AC5C1F">
          <w:rPr>
            <w:rStyle w:val="Hyperlink"/>
          </w:rPr>
          <w:t>http://www.ethree.com/CPUC/PG&amp;ENonResViewer.zip</w:t>
        </w:r>
      </w:hyperlink>
      <w:r>
        <w:t xml:space="preserve">  </w:t>
      </w:r>
    </w:p>
    <w:p w:rsidR="00E354E3" w:rsidRDefault="00E354E3" w:rsidP="00E354E3">
      <w:pPr>
        <w:pStyle w:val="source1"/>
      </w:pPr>
      <w:r>
        <w:t>Mid-Atlantic TRM, footnote #24</w:t>
      </w:r>
    </w:p>
    <w:p w:rsidR="00E354E3" w:rsidRDefault="00E354E3" w:rsidP="00E354E3">
      <w:pPr>
        <w:pStyle w:val="source1"/>
        <w:numPr>
          <w:ilvl w:val="0"/>
          <w:numId w:val="0"/>
        </w:numPr>
        <w:ind w:left="810" w:hanging="360"/>
      </w:pPr>
    </w:p>
    <w:p w:rsidR="00F05DC2" w:rsidRDefault="00F05DC2" w:rsidP="00871FA2">
      <w:pPr>
        <w:pStyle w:val="Heading3"/>
      </w:pPr>
      <w:r>
        <w:t xml:space="preserve">Deemed Savings </w:t>
      </w:r>
    </w:p>
    <w:p w:rsidR="00F05DC2" w:rsidRDefault="00F05DC2" w:rsidP="00F05DC2">
      <w:r w:rsidRPr="007D34C5">
        <w:t xml:space="preserve">The deemed energy savings for the installation of a low flow pre-rinse sprayer compared to a standard efficiency sprayer </w:t>
      </w:r>
      <w:r w:rsidRPr="00956057">
        <w:t>is 152 kWh/year for pre-rinse sprayers installed in grocery stores  and 1227kWh/year for pre-rinse sprayers installed in non-groceries building types</w:t>
      </w:r>
      <w:r w:rsidRPr="007D34C5">
        <w:rPr>
          <w:b/>
        </w:rPr>
        <w:t xml:space="preserve"> </w:t>
      </w:r>
      <w:r w:rsidRPr="007D34C5">
        <w:t>s</w:t>
      </w:r>
      <w:r w:rsidRPr="00956057">
        <w:t xml:space="preserve">uch as restaurants. The </w:t>
      </w:r>
      <w:r w:rsidRPr="00786B7F">
        <w:t>deemed demand reductions for the installation of a low flow pre-rinse sprayer compared to a standard efficiency sprayer is 0.029 kW for pre-rinse sprayers installed in grocery stores  and 0.238 kW for pre-rinse sprayers installed in non-groceries building types such as restaurants.</w:t>
      </w:r>
      <w:r w:rsidRPr="00956057">
        <w:t xml:space="preserve"> </w:t>
      </w:r>
    </w:p>
    <w:p w:rsidR="00F05DC2" w:rsidRDefault="00F05DC2" w:rsidP="00871FA2">
      <w:pPr>
        <w:pStyle w:val="Heading3"/>
      </w:pPr>
      <w:r>
        <w:t>Measure Life</w:t>
      </w:r>
    </w:p>
    <w:p w:rsidR="00F05DC2" w:rsidRDefault="00F05DC2" w:rsidP="00F05DC2">
      <w:pPr>
        <w:spacing w:before="120" w:after="120"/>
        <w:jc w:val="both"/>
        <w:rPr>
          <w:rFonts w:cs="Arial"/>
        </w:rPr>
      </w:pPr>
      <w:r w:rsidRPr="007D34C5">
        <w:rPr>
          <w:rFonts w:cs="Arial"/>
        </w:rPr>
        <w:t xml:space="preserve">The effective life for this measure is </w:t>
      </w:r>
      <w:r>
        <w:rPr>
          <w:rFonts w:cs="Arial"/>
        </w:rPr>
        <w:t>5 years</w:t>
      </w:r>
      <w:r>
        <w:rPr>
          <w:rStyle w:val="FootnoteReference"/>
        </w:rPr>
        <w:footnoteReference w:id="251"/>
      </w:r>
      <w:r w:rsidRPr="007D34C5">
        <w:rPr>
          <w:rFonts w:cs="Arial"/>
        </w:rPr>
        <w:t>.</w:t>
      </w:r>
      <w:r>
        <w:rPr>
          <w:rFonts w:cs="Arial"/>
        </w:rPr>
        <w:t xml:space="preserve"> </w:t>
      </w:r>
    </w:p>
    <w:p w:rsidR="00F05DC2" w:rsidRDefault="00F05DC2" w:rsidP="00871FA2">
      <w:pPr>
        <w:pStyle w:val="Heading3"/>
      </w:pPr>
      <w:r>
        <w:t>Evaluation Protocol</w:t>
      </w:r>
    </w:p>
    <w:p w:rsidR="00F05DC2" w:rsidRPr="007D34C5" w:rsidRDefault="00F05DC2" w:rsidP="00F05DC2">
      <w:pPr>
        <w:rPr>
          <w:b/>
        </w:rPr>
      </w:pPr>
      <w:r w:rsidRPr="007D34C5">
        <w:t>The most appropriate evaluation protocol for this measure is verification of installation coupled with assignment of stipulated energy savings.</w:t>
      </w:r>
    </w:p>
    <w:p w:rsidR="0026770C" w:rsidRPr="001C4AD5" w:rsidRDefault="0026770C" w:rsidP="0026770C">
      <w:pPr>
        <w:pStyle w:val="Heading2"/>
      </w:pPr>
      <w:r>
        <w:br w:type="page"/>
      </w:r>
      <w:bookmarkStart w:id="1330" w:name="_Toc310875471"/>
      <w:r>
        <w:t>Sm</w:t>
      </w:r>
      <w:r w:rsidRPr="006351C1">
        <w:t>all C/I HVAC Refrigerant Charge Correction</w:t>
      </w:r>
      <w:bookmarkEnd w:id="133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1"/>
        <w:gridCol w:w="5255"/>
      </w:tblGrid>
      <w:tr w:rsidR="0026770C" w:rsidRPr="006E0899" w:rsidTr="0026770C">
        <w:trPr>
          <w:jc w:val="center"/>
        </w:trPr>
        <w:tc>
          <w:tcPr>
            <w:tcW w:w="2033" w:type="pct"/>
            <w:shd w:val="clear" w:color="auto" w:fill="BFBFBF"/>
            <w:vAlign w:val="center"/>
          </w:tcPr>
          <w:p w:rsidR="0026770C" w:rsidRPr="001D6512" w:rsidRDefault="0026770C" w:rsidP="0026770C">
            <w:pPr>
              <w:pStyle w:val="TableCell"/>
              <w:spacing w:before="60" w:after="60"/>
              <w:rPr>
                <w:b/>
              </w:rPr>
            </w:pPr>
            <w:r w:rsidRPr="001D6512">
              <w:rPr>
                <w:b/>
              </w:rPr>
              <w:t>Measure Name</w:t>
            </w:r>
          </w:p>
        </w:tc>
        <w:tc>
          <w:tcPr>
            <w:tcW w:w="2967" w:type="pct"/>
            <w:shd w:val="clear" w:color="auto" w:fill="BFBFBF"/>
            <w:vAlign w:val="center"/>
          </w:tcPr>
          <w:p w:rsidR="0026770C" w:rsidRPr="001D6512" w:rsidRDefault="0026770C" w:rsidP="0026770C">
            <w:pPr>
              <w:pStyle w:val="TableCell"/>
              <w:spacing w:before="60" w:after="60"/>
              <w:rPr>
                <w:b/>
              </w:rPr>
            </w:pPr>
            <w:r w:rsidRPr="001D6512">
              <w:rPr>
                <w:b/>
              </w:rPr>
              <w:t xml:space="preserve">Refrigerant Charge Correction </w:t>
            </w:r>
          </w:p>
        </w:tc>
      </w:tr>
      <w:tr w:rsidR="0026770C" w:rsidRPr="006E0899" w:rsidTr="0026770C">
        <w:trPr>
          <w:jc w:val="center"/>
        </w:trPr>
        <w:tc>
          <w:tcPr>
            <w:tcW w:w="2033" w:type="pct"/>
            <w:shd w:val="clear" w:color="auto" w:fill="auto"/>
            <w:vAlign w:val="center"/>
          </w:tcPr>
          <w:p w:rsidR="0026770C" w:rsidRPr="001D6512" w:rsidRDefault="0026770C" w:rsidP="0026770C">
            <w:pPr>
              <w:pStyle w:val="TableCell"/>
              <w:spacing w:before="60" w:after="60"/>
            </w:pPr>
            <w:r w:rsidRPr="001D6512">
              <w:t>Target Sector</w:t>
            </w:r>
          </w:p>
        </w:tc>
        <w:tc>
          <w:tcPr>
            <w:tcW w:w="2967" w:type="pct"/>
            <w:shd w:val="clear" w:color="auto" w:fill="auto"/>
            <w:vAlign w:val="center"/>
          </w:tcPr>
          <w:p w:rsidR="0026770C" w:rsidRPr="001D6512" w:rsidRDefault="0026770C" w:rsidP="0026770C">
            <w:pPr>
              <w:pStyle w:val="TableCell"/>
              <w:spacing w:before="60" w:after="60"/>
            </w:pPr>
            <w:r w:rsidRPr="001D6512">
              <w:t>Small C/I HVAC</w:t>
            </w:r>
          </w:p>
        </w:tc>
      </w:tr>
      <w:tr w:rsidR="0026770C" w:rsidRPr="006E0899" w:rsidTr="0026770C">
        <w:trPr>
          <w:jc w:val="center"/>
        </w:trPr>
        <w:tc>
          <w:tcPr>
            <w:tcW w:w="2033" w:type="pct"/>
            <w:shd w:val="clear" w:color="auto" w:fill="auto"/>
            <w:vAlign w:val="center"/>
          </w:tcPr>
          <w:p w:rsidR="0026770C" w:rsidRPr="001D6512" w:rsidRDefault="0026770C" w:rsidP="0026770C">
            <w:pPr>
              <w:pStyle w:val="TableCell"/>
              <w:spacing w:before="60" w:after="60"/>
            </w:pPr>
            <w:r w:rsidRPr="001D6512">
              <w:t>Measure Unit</w:t>
            </w:r>
          </w:p>
        </w:tc>
        <w:tc>
          <w:tcPr>
            <w:tcW w:w="2967" w:type="pct"/>
            <w:shd w:val="clear" w:color="auto" w:fill="auto"/>
            <w:vAlign w:val="center"/>
          </w:tcPr>
          <w:p w:rsidR="0026770C" w:rsidRPr="001D6512" w:rsidRDefault="0026770C" w:rsidP="0026770C">
            <w:pPr>
              <w:pStyle w:val="TableCell"/>
              <w:spacing w:before="60" w:after="60"/>
            </w:pPr>
            <w:r w:rsidRPr="001D6512">
              <w:t>Tons of Refrigeration Capacity</w:t>
            </w:r>
          </w:p>
        </w:tc>
      </w:tr>
      <w:tr w:rsidR="0026770C" w:rsidRPr="006E0899" w:rsidTr="0026770C">
        <w:trPr>
          <w:jc w:val="center"/>
        </w:trPr>
        <w:tc>
          <w:tcPr>
            <w:tcW w:w="2033" w:type="pct"/>
            <w:shd w:val="clear" w:color="auto" w:fill="auto"/>
            <w:vAlign w:val="center"/>
          </w:tcPr>
          <w:p w:rsidR="0026770C" w:rsidRPr="001D6512" w:rsidRDefault="0026770C" w:rsidP="0026770C">
            <w:pPr>
              <w:pStyle w:val="TableCell"/>
              <w:spacing w:before="60" w:after="60"/>
            </w:pPr>
            <w:r w:rsidRPr="001D6512">
              <w:t>Unit Energy Savings</w:t>
            </w:r>
          </w:p>
        </w:tc>
        <w:tc>
          <w:tcPr>
            <w:tcW w:w="2967" w:type="pct"/>
            <w:shd w:val="clear" w:color="auto" w:fill="auto"/>
            <w:vAlign w:val="center"/>
          </w:tcPr>
          <w:p w:rsidR="0026770C" w:rsidRPr="001D6512" w:rsidRDefault="0026770C" w:rsidP="0026770C">
            <w:pPr>
              <w:pStyle w:val="TableCell"/>
              <w:spacing w:before="60" w:after="60"/>
            </w:pPr>
            <w:r w:rsidRPr="001D6512">
              <w:t>Varies</w:t>
            </w:r>
          </w:p>
        </w:tc>
      </w:tr>
      <w:tr w:rsidR="0026770C" w:rsidRPr="006E0899" w:rsidTr="0026770C">
        <w:trPr>
          <w:jc w:val="center"/>
        </w:trPr>
        <w:tc>
          <w:tcPr>
            <w:tcW w:w="2033" w:type="pct"/>
            <w:shd w:val="clear" w:color="auto" w:fill="auto"/>
            <w:vAlign w:val="center"/>
          </w:tcPr>
          <w:p w:rsidR="0026770C" w:rsidRPr="001D6512" w:rsidRDefault="0026770C" w:rsidP="0026770C">
            <w:pPr>
              <w:pStyle w:val="TableCell"/>
              <w:spacing w:before="60" w:after="60"/>
            </w:pPr>
            <w:r w:rsidRPr="001D6512">
              <w:t>Unit Peak Demand Reduction</w:t>
            </w:r>
          </w:p>
        </w:tc>
        <w:tc>
          <w:tcPr>
            <w:tcW w:w="2967" w:type="pct"/>
            <w:shd w:val="clear" w:color="auto" w:fill="auto"/>
            <w:vAlign w:val="center"/>
          </w:tcPr>
          <w:p w:rsidR="0026770C" w:rsidRPr="001D6512" w:rsidRDefault="0026770C" w:rsidP="0026770C">
            <w:pPr>
              <w:pStyle w:val="TableCell"/>
              <w:spacing w:before="60" w:after="60"/>
            </w:pPr>
            <w:r w:rsidRPr="001D6512">
              <w:t>Varies</w:t>
            </w:r>
          </w:p>
        </w:tc>
      </w:tr>
      <w:tr w:rsidR="0026770C" w:rsidRPr="006E0899" w:rsidTr="0026770C">
        <w:trPr>
          <w:jc w:val="center"/>
        </w:trPr>
        <w:tc>
          <w:tcPr>
            <w:tcW w:w="2033" w:type="pct"/>
            <w:shd w:val="clear" w:color="auto" w:fill="auto"/>
            <w:vAlign w:val="center"/>
          </w:tcPr>
          <w:p w:rsidR="0026770C" w:rsidRPr="001D6512" w:rsidRDefault="0026770C" w:rsidP="0026770C">
            <w:pPr>
              <w:pStyle w:val="TableCell"/>
              <w:spacing w:before="60" w:after="60"/>
            </w:pPr>
            <w:r w:rsidRPr="001D6512">
              <w:t>Measure Life</w:t>
            </w:r>
          </w:p>
        </w:tc>
        <w:tc>
          <w:tcPr>
            <w:tcW w:w="2967" w:type="pct"/>
            <w:shd w:val="clear" w:color="auto" w:fill="auto"/>
            <w:vAlign w:val="center"/>
          </w:tcPr>
          <w:p w:rsidR="0026770C" w:rsidRPr="001D6512" w:rsidRDefault="0026770C" w:rsidP="0026770C">
            <w:pPr>
              <w:pStyle w:val="TableCell"/>
              <w:spacing w:before="60" w:after="60"/>
            </w:pPr>
            <w:r w:rsidRPr="001D6512">
              <w:t>10 years</w:t>
            </w:r>
          </w:p>
        </w:tc>
      </w:tr>
    </w:tbl>
    <w:p w:rsidR="0026770C" w:rsidRDefault="0026770C" w:rsidP="0026770C">
      <w:pPr>
        <w:rPr>
          <w:highlight w:val="yellow"/>
        </w:rPr>
      </w:pPr>
    </w:p>
    <w:p w:rsidR="0026770C" w:rsidRDefault="0026770C" w:rsidP="0026770C">
      <w:r w:rsidRPr="004E1CF4">
        <w:t xml:space="preserve">This </w:t>
      </w:r>
      <w:r>
        <w:t>protocol</w:t>
      </w:r>
      <w:r w:rsidRPr="004E1CF4">
        <w:t xml:space="preserve"> describes the assumptions and algorithms used to quantify energy savings for refrigerant charging on packaged AC units and heat pumps operating in small commercial applications.</w:t>
      </w:r>
      <w:r>
        <w:t xml:space="preserve"> </w:t>
      </w:r>
      <w:r w:rsidRPr="004E1CF4">
        <w:t>The protocol herein describes a partially deemed energy savings and demand reduction estimation.</w:t>
      </w:r>
    </w:p>
    <w:p w:rsidR="0026770C" w:rsidRPr="009252D4" w:rsidRDefault="0026770C" w:rsidP="00871FA2">
      <w:pPr>
        <w:pStyle w:val="Heading3"/>
      </w:pPr>
      <w:r w:rsidRPr="009252D4">
        <w:t>Eligibility</w:t>
      </w:r>
    </w:p>
    <w:p w:rsidR="0026770C" w:rsidRPr="004E1CF4" w:rsidRDefault="0026770C" w:rsidP="0026770C">
      <w:r w:rsidRPr="004E1CF4">
        <w:t xml:space="preserve">This protocol is applicable for small commercial and industrial customers, and applies to documented tune-ups for package or split systems up to 20 tons.  </w:t>
      </w:r>
    </w:p>
    <w:p w:rsidR="0026770C" w:rsidRPr="001C4AD5" w:rsidRDefault="0026770C" w:rsidP="00871FA2">
      <w:pPr>
        <w:pStyle w:val="Heading3"/>
      </w:pPr>
      <w:r w:rsidRPr="001C4AD5">
        <w:t>Algorithms</w:t>
      </w:r>
    </w:p>
    <w:p w:rsidR="0026770C" w:rsidRPr="00D640A2" w:rsidRDefault="0026770C" w:rsidP="0026770C">
      <w:r w:rsidRPr="004E1CF4">
        <w:t xml:space="preserve">This section describes the process of creating energy savings and demand reduction calculations.  </w:t>
      </w:r>
      <w:r>
        <w:t xml:space="preserve"> </w:t>
      </w:r>
    </w:p>
    <w:p w:rsidR="0026770C" w:rsidRPr="00301BA1" w:rsidRDefault="0026770C" w:rsidP="0026770C">
      <w:pPr>
        <w:pStyle w:val="Heading4"/>
      </w:pPr>
      <w:r w:rsidRPr="00301BA1">
        <w:t>For Cooling:</w:t>
      </w:r>
    </w:p>
    <w:p w:rsidR="0026770C" w:rsidRPr="00301BA1" w:rsidRDefault="0026770C" w:rsidP="0026770C">
      <w:pPr>
        <w:pStyle w:val="Equation"/>
        <w:rPr>
          <w:rFonts w:cs="Arial"/>
          <w:szCs w:val="20"/>
        </w:rPr>
      </w:pPr>
      <w:r w:rsidRPr="00301BA1">
        <w:rPr>
          <w:rFonts w:cs="Arial"/>
          <w:szCs w:val="20"/>
        </w:rPr>
        <w:sym w:font="Symbol" w:char="F044"/>
      </w:r>
      <w:r w:rsidRPr="00301BA1">
        <w:rPr>
          <w:rFonts w:cs="Arial"/>
          <w:szCs w:val="20"/>
        </w:rPr>
        <w:t xml:space="preserve">kWh </w:t>
      </w:r>
      <w:r>
        <w:rPr>
          <w:rFonts w:cs="Arial"/>
          <w:szCs w:val="20"/>
        </w:rPr>
        <w:tab/>
      </w:r>
      <w:r>
        <w:rPr>
          <w:rFonts w:cs="Arial"/>
          <w:szCs w:val="20"/>
        </w:rPr>
        <w:tab/>
      </w:r>
      <w:r w:rsidRPr="00301BA1">
        <w:rPr>
          <w:rFonts w:cs="Arial"/>
          <w:szCs w:val="20"/>
        </w:rPr>
        <w:t>=  (EFLH</w:t>
      </w:r>
      <w:r w:rsidRPr="00301BA1">
        <w:rPr>
          <w:rFonts w:cs="Arial"/>
          <w:szCs w:val="20"/>
          <w:vertAlign w:val="subscript"/>
        </w:rPr>
        <w:t>C</w:t>
      </w:r>
      <w:r w:rsidRPr="00301BA1">
        <w:rPr>
          <w:rFonts w:cs="Arial"/>
          <w:szCs w:val="20"/>
        </w:rPr>
        <w:t xml:space="preserve"> ×CAP</w:t>
      </w:r>
      <w:r w:rsidR="00CF22E4">
        <w:rPr>
          <w:rFonts w:cs="Arial"/>
          <w:szCs w:val="20"/>
        </w:rPr>
        <w:t>Y</w:t>
      </w:r>
      <w:r w:rsidRPr="00301BA1">
        <w:rPr>
          <w:rFonts w:cs="Arial"/>
          <w:szCs w:val="20"/>
          <w:vertAlign w:val="subscript"/>
        </w:rPr>
        <w:t>C</w:t>
      </w:r>
      <w:r w:rsidRPr="00301BA1">
        <w:rPr>
          <w:rFonts w:cs="Arial"/>
          <w:szCs w:val="20"/>
        </w:rPr>
        <w:t>CAP</w:t>
      </w:r>
      <w:r w:rsidRPr="00301BA1">
        <w:rPr>
          <w:rFonts w:cs="Arial"/>
          <w:szCs w:val="20"/>
          <w:vertAlign w:val="subscript"/>
        </w:rPr>
        <w:t>C</w:t>
      </w:r>
      <w:r w:rsidRPr="00301BA1">
        <w:rPr>
          <w:rFonts w:cs="Arial"/>
          <w:szCs w:val="20"/>
        </w:rPr>
        <w:t xml:space="preserve">/1000 )× (1/[EER×RCF]-1/EER) </w:t>
      </w:r>
    </w:p>
    <w:p w:rsidR="0026770C" w:rsidRPr="00301BA1" w:rsidRDefault="0026770C" w:rsidP="0026770C">
      <w:pPr>
        <w:pStyle w:val="Equation"/>
        <w:rPr>
          <w:rFonts w:cs="Arial"/>
          <w:szCs w:val="20"/>
        </w:rPr>
      </w:pPr>
      <w:r w:rsidRPr="00301BA1">
        <w:rPr>
          <w:rFonts w:cs="Arial"/>
          <w:szCs w:val="20"/>
        </w:rPr>
        <w:sym w:font="Symbol" w:char="F044"/>
      </w:r>
      <w:r w:rsidRPr="00301BA1">
        <w:rPr>
          <w:rFonts w:cs="Arial"/>
          <w:szCs w:val="20"/>
        </w:rPr>
        <w:t>kW</w:t>
      </w:r>
      <w:r w:rsidRPr="00301BA1">
        <w:rPr>
          <w:rFonts w:cs="Arial"/>
          <w:szCs w:val="20"/>
          <w:vertAlign w:val="subscript"/>
        </w:rPr>
        <w:t>peak</w:t>
      </w:r>
      <w:r w:rsidRPr="00301BA1">
        <w:rPr>
          <w:rFonts w:cs="Arial"/>
          <w:szCs w:val="20"/>
        </w:rPr>
        <w:t xml:space="preserve"> </w:t>
      </w:r>
      <w:r>
        <w:rPr>
          <w:rFonts w:cs="Arial"/>
          <w:szCs w:val="20"/>
        </w:rPr>
        <w:tab/>
      </w:r>
      <w:r w:rsidRPr="00301BA1">
        <w:rPr>
          <w:rFonts w:cs="Arial"/>
          <w:szCs w:val="20"/>
        </w:rPr>
        <w:t>=  (CF × CAP</w:t>
      </w:r>
      <w:r w:rsidR="00CF22E4">
        <w:rPr>
          <w:rFonts w:cs="Arial"/>
          <w:szCs w:val="20"/>
        </w:rPr>
        <w:t>Y</w:t>
      </w:r>
      <w:r w:rsidRPr="00301BA1">
        <w:rPr>
          <w:rFonts w:cs="Arial"/>
          <w:szCs w:val="20"/>
          <w:vertAlign w:val="subscript"/>
        </w:rPr>
        <w:t>C</w:t>
      </w:r>
      <w:r w:rsidRPr="00301BA1">
        <w:rPr>
          <w:rFonts w:cs="Arial"/>
          <w:szCs w:val="20"/>
        </w:rPr>
        <w:t>CAP</w:t>
      </w:r>
      <w:r w:rsidRPr="00301BA1">
        <w:rPr>
          <w:rFonts w:cs="Arial"/>
          <w:szCs w:val="20"/>
          <w:vertAlign w:val="subscript"/>
        </w:rPr>
        <w:t>C</w:t>
      </w:r>
      <w:r w:rsidRPr="00301BA1">
        <w:rPr>
          <w:rFonts w:cs="Arial"/>
          <w:szCs w:val="20"/>
        </w:rPr>
        <w:t xml:space="preserve">/1000 ) × (1/[EER×RCF]-1/EER) </w:t>
      </w:r>
    </w:p>
    <w:p w:rsidR="0026770C" w:rsidRPr="00301BA1" w:rsidRDefault="0026770C" w:rsidP="0026770C">
      <w:pPr>
        <w:pStyle w:val="Heading4"/>
      </w:pPr>
      <w:r w:rsidRPr="00301BA1">
        <w:t>Additional Heating Savings for Heat Pumps:</w:t>
      </w:r>
    </w:p>
    <w:p w:rsidR="0026770C" w:rsidRPr="00301BA1" w:rsidRDefault="0026770C" w:rsidP="0026770C">
      <w:pPr>
        <w:pStyle w:val="Equation"/>
        <w:rPr>
          <w:rFonts w:cs="Arial"/>
          <w:szCs w:val="20"/>
        </w:rPr>
      </w:pPr>
      <w:r w:rsidRPr="00301BA1">
        <w:rPr>
          <w:rFonts w:cs="Arial"/>
          <w:szCs w:val="20"/>
        </w:rPr>
        <w:sym w:font="Symbol" w:char="F044"/>
      </w:r>
      <w:r w:rsidRPr="00301BA1">
        <w:rPr>
          <w:rFonts w:cs="Arial"/>
          <w:szCs w:val="20"/>
        </w:rPr>
        <w:t xml:space="preserve">kWh </w:t>
      </w:r>
      <w:r>
        <w:rPr>
          <w:rFonts w:cs="Arial"/>
          <w:szCs w:val="20"/>
        </w:rPr>
        <w:tab/>
      </w:r>
      <w:r>
        <w:rPr>
          <w:rFonts w:cs="Arial"/>
          <w:szCs w:val="20"/>
        </w:rPr>
        <w:tab/>
      </w:r>
      <w:r w:rsidRPr="00301BA1">
        <w:rPr>
          <w:rFonts w:cs="Arial"/>
          <w:szCs w:val="20"/>
        </w:rPr>
        <w:t>=  (EFLH</w:t>
      </w:r>
      <w:r w:rsidRPr="00767204">
        <w:rPr>
          <w:rFonts w:cs="Arial"/>
          <w:szCs w:val="20"/>
          <w:vertAlign w:val="subscript"/>
        </w:rPr>
        <w:t>MH</w:t>
      </w:r>
      <w:r w:rsidRPr="00301BA1">
        <w:rPr>
          <w:rFonts w:cs="Arial"/>
          <w:szCs w:val="20"/>
        </w:rPr>
        <w:t xml:space="preserve"> ×CAP</w:t>
      </w:r>
      <w:r w:rsidR="00CF22E4">
        <w:rPr>
          <w:rFonts w:cs="Arial"/>
          <w:szCs w:val="20"/>
        </w:rPr>
        <w:t>Y</w:t>
      </w:r>
      <w:r w:rsidRPr="00767204">
        <w:rPr>
          <w:rFonts w:cs="Arial"/>
          <w:szCs w:val="20"/>
          <w:vertAlign w:val="subscript"/>
        </w:rPr>
        <w:t>H</w:t>
      </w:r>
      <w:r w:rsidRPr="00301BA1">
        <w:rPr>
          <w:rFonts w:cs="Arial"/>
          <w:szCs w:val="20"/>
        </w:rPr>
        <w:t>CAP</w:t>
      </w:r>
      <w:r w:rsidRPr="00767204">
        <w:rPr>
          <w:rFonts w:cs="Arial"/>
          <w:szCs w:val="20"/>
          <w:vertAlign w:val="subscript"/>
        </w:rPr>
        <w:t>H</w:t>
      </w:r>
      <w:r w:rsidRPr="00301BA1">
        <w:rPr>
          <w:rFonts w:cs="Arial"/>
          <w:szCs w:val="20"/>
        </w:rPr>
        <w:t xml:space="preserve">/1000 )× (1/[HSPF×RCF]-1/HSPF) </w:t>
      </w:r>
    </w:p>
    <w:p w:rsidR="0026770C" w:rsidRDefault="0026770C" w:rsidP="00871FA2">
      <w:pPr>
        <w:pStyle w:val="Heading3"/>
      </w:pPr>
      <w:r w:rsidRPr="001C4AD5">
        <w:t xml:space="preserve">Definition of </w:t>
      </w:r>
      <w:r>
        <w:t>Terms</w:t>
      </w:r>
    </w:p>
    <w:p w:rsidR="0026770C" w:rsidRPr="00884338" w:rsidRDefault="0026770C" w:rsidP="0026770C">
      <w:pPr>
        <w:pStyle w:val="Equation"/>
        <w:ind w:left="3600"/>
        <w:rPr>
          <w:rFonts w:cs="Arial"/>
          <w:szCs w:val="20"/>
        </w:rPr>
      </w:pPr>
      <w:r w:rsidRPr="00884338">
        <w:rPr>
          <w:rFonts w:cs="Arial"/>
          <w:szCs w:val="20"/>
        </w:rPr>
        <w:t>CAPY</w:t>
      </w:r>
      <w:r w:rsidRPr="00884338">
        <w:rPr>
          <w:rFonts w:cs="Arial"/>
          <w:szCs w:val="20"/>
          <w:vertAlign w:val="subscript"/>
        </w:rPr>
        <w:t>C</w:t>
      </w:r>
      <w:r w:rsidRPr="00884338">
        <w:rPr>
          <w:rFonts w:cs="Arial"/>
          <w:szCs w:val="20"/>
        </w:rPr>
        <w:t xml:space="preserve"> </w:t>
      </w:r>
      <w:r>
        <w:rPr>
          <w:rFonts w:cs="Arial"/>
          <w:szCs w:val="20"/>
        </w:rPr>
        <w:tab/>
        <w:t xml:space="preserve">= </w:t>
      </w:r>
      <w:r w:rsidRPr="00884338">
        <w:rPr>
          <w:rFonts w:cs="Arial"/>
          <w:szCs w:val="20"/>
        </w:rPr>
        <w:t>Unit Capacity, in Btu/h</w:t>
      </w:r>
      <w:r w:rsidR="00CF22E4">
        <w:rPr>
          <w:rFonts w:cs="Arial"/>
          <w:szCs w:val="20"/>
        </w:rPr>
        <w:t xml:space="preserve"> for cooling</w:t>
      </w:r>
    </w:p>
    <w:p w:rsidR="0026770C" w:rsidRPr="00884338" w:rsidRDefault="00CF22E4" w:rsidP="0026770C">
      <w:pPr>
        <w:pStyle w:val="Equation"/>
        <w:ind w:left="3600"/>
        <w:rPr>
          <w:rFonts w:cs="Arial"/>
          <w:szCs w:val="20"/>
        </w:rPr>
      </w:pPr>
      <w:r w:rsidRPr="00884338">
        <w:rPr>
          <w:rFonts w:cs="Arial"/>
          <w:szCs w:val="20"/>
        </w:rPr>
        <w:t>CAPY</w:t>
      </w:r>
      <w:r>
        <w:rPr>
          <w:rFonts w:cs="Arial"/>
          <w:szCs w:val="20"/>
          <w:vertAlign w:val="subscript"/>
        </w:rPr>
        <w:t>H</w:t>
      </w:r>
      <w:r w:rsidR="0026770C">
        <w:rPr>
          <w:rFonts w:cs="Arial"/>
          <w:szCs w:val="20"/>
        </w:rPr>
        <w:tab/>
        <w:t>=</w:t>
      </w:r>
      <w:r w:rsidR="0026770C" w:rsidRPr="00884338">
        <w:rPr>
          <w:rFonts w:cs="Arial"/>
          <w:szCs w:val="20"/>
        </w:rPr>
        <w:t xml:space="preserve"> Unit Capacity, in Btu/h</w:t>
      </w:r>
      <w:r>
        <w:rPr>
          <w:rFonts w:cs="Arial"/>
          <w:szCs w:val="20"/>
        </w:rPr>
        <w:t xml:space="preserve"> for heating  </w:t>
      </w:r>
    </w:p>
    <w:p w:rsidR="0026770C" w:rsidRPr="00884338" w:rsidRDefault="0026770C" w:rsidP="0026770C">
      <w:pPr>
        <w:pStyle w:val="Equation"/>
        <w:ind w:left="3600"/>
        <w:rPr>
          <w:rFonts w:cs="Arial"/>
          <w:szCs w:val="20"/>
        </w:rPr>
      </w:pPr>
      <w:r w:rsidRPr="00884338">
        <w:rPr>
          <w:rFonts w:cs="Arial"/>
          <w:szCs w:val="20"/>
        </w:rPr>
        <w:t>EER</w:t>
      </w:r>
      <w:r>
        <w:rPr>
          <w:rFonts w:cs="Arial"/>
          <w:szCs w:val="20"/>
        </w:rPr>
        <w:tab/>
        <w:t>=</w:t>
      </w:r>
      <w:r w:rsidRPr="00884338">
        <w:rPr>
          <w:rFonts w:cs="Arial"/>
          <w:szCs w:val="20"/>
        </w:rPr>
        <w:t xml:space="preserve"> Energy Efficiency Ratio</w:t>
      </w:r>
    </w:p>
    <w:p w:rsidR="0026770C" w:rsidRPr="00884338" w:rsidRDefault="0026770C" w:rsidP="0026770C">
      <w:pPr>
        <w:pStyle w:val="Equation"/>
        <w:ind w:left="3600"/>
        <w:rPr>
          <w:rFonts w:cs="Arial"/>
          <w:szCs w:val="20"/>
        </w:rPr>
      </w:pPr>
      <w:r w:rsidRPr="00884338">
        <w:rPr>
          <w:rFonts w:cs="Arial"/>
          <w:szCs w:val="20"/>
        </w:rPr>
        <w:t xml:space="preserve">HSPF </w:t>
      </w:r>
      <w:r>
        <w:rPr>
          <w:rFonts w:cs="Arial"/>
          <w:szCs w:val="20"/>
        </w:rPr>
        <w:tab/>
        <w:t xml:space="preserve">= </w:t>
      </w:r>
      <w:r w:rsidRPr="00884338">
        <w:rPr>
          <w:rFonts w:cs="Arial"/>
          <w:szCs w:val="20"/>
        </w:rPr>
        <w:t>Heating Seasonal Performance Factor</w:t>
      </w:r>
    </w:p>
    <w:p w:rsidR="0026770C" w:rsidRPr="00884338" w:rsidRDefault="0026770C" w:rsidP="0026770C">
      <w:pPr>
        <w:pStyle w:val="Equation"/>
        <w:ind w:left="3600"/>
        <w:rPr>
          <w:rFonts w:cs="Arial"/>
          <w:szCs w:val="20"/>
        </w:rPr>
      </w:pPr>
      <w:r w:rsidRPr="00884338">
        <w:rPr>
          <w:rFonts w:cs="Arial"/>
          <w:szCs w:val="20"/>
        </w:rPr>
        <w:t>EFLH</w:t>
      </w:r>
      <w:r w:rsidRPr="00884338">
        <w:rPr>
          <w:rFonts w:cs="Arial"/>
          <w:szCs w:val="20"/>
          <w:vertAlign w:val="subscript"/>
        </w:rPr>
        <w:t>C</w:t>
      </w:r>
      <w:r w:rsidRPr="00884338">
        <w:rPr>
          <w:rFonts w:cs="Arial"/>
          <w:szCs w:val="20"/>
        </w:rPr>
        <w:t xml:space="preserve"> </w:t>
      </w:r>
      <w:r>
        <w:rPr>
          <w:rFonts w:cs="Arial"/>
          <w:szCs w:val="20"/>
        </w:rPr>
        <w:tab/>
        <w:t xml:space="preserve">= </w:t>
      </w:r>
      <w:r w:rsidRPr="00884338">
        <w:rPr>
          <w:rFonts w:cs="Arial"/>
          <w:szCs w:val="20"/>
        </w:rPr>
        <w:t>Equivalent Full-Load Hours for Mechanical Cooling</w:t>
      </w:r>
    </w:p>
    <w:p w:rsidR="0026770C" w:rsidRPr="00884338" w:rsidRDefault="0026770C" w:rsidP="0026770C">
      <w:pPr>
        <w:pStyle w:val="Equation"/>
        <w:ind w:left="3600"/>
        <w:rPr>
          <w:rFonts w:cs="Arial"/>
          <w:szCs w:val="20"/>
        </w:rPr>
      </w:pPr>
      <w:r w:rsidRPr="00884338">
        <w:rPr>
          <w:rFonts w:cs="Arial"/>
          <w:szCs w:val="20"/>
        </w:rPr>
        <w:t>EFLH</w:t>
      </w:r>
      <w:r w:rsidR="00CF22E4">
        <w:rPr>
          <w:rFonts w:cs="Arial"/>
          <w:szCs w:val="20"/>
          <w:vertAlign w:val="subscript"/>
        </w:rPr>
        <w:t>MH</w:t>
      </w:r>
      <w:r>
        <w:rPr>
          <w:rFonts w:cs="Arial"/>
          <w:szCs w:val="20"/>
          <w:vertAlign w:val="subscript"/>
        </w:rPr>
        <w:tab/>
      </w:r>
      <w:r>
        <w:rPr>
          <w:rFonts w:cs="Arial"/>
          <w:szCs w:val="20"/>
        </w:rPr>
        <w:t>=</w:t>
      </w:r>
      <w:r w:rsidRPr="00884338">
        <w:rPr>
          <w:rFonts w:cs="Arial"/>
          <w:szCs w:val="20"/>
        </w:rPr>
        <w:t xml:space="preserve"> Equivalent Full-Load Hours for Mechanical Heating</w:t>
      </w:r>
      <w:r w:rsidRPr="007D5CB5">
        <w:rPr>
          <w:rStyle w:val="FootnoteReference"/>
          <w:rFonts w:cs="Arial"/>
          <w:sz w:val="18"/>
          <w:szCs w:val="18"/>
        </w:rPr>
        <w:footnoteReference w:id="252"/>
      </w:r>
      <w:r w:rsidRPr="00884338">
        <w:rPr>
          <w:rFonts w:cs="Arial"/>
          <w:szCs w:val="20"/>
        </w:rPr>
        <w:t xml:space="preserve"> </w:t>
      </w:r>
    </w:p>
    <w:p w:rsidR="0026770C" w:rsidRPr="00884338" w:rsidRDefault="0026770C" w:rsidP="0026770C">
      <w:pPr>
        <w:pStyle w:val="Equation"/>
        <w:ind w:left="3600"/>
        <w:rPr>
          <w:rFonts w:cs="Arial"/>
          <w:szCs w:val="20"/>
        </w:rPr>
      </w:pPr>
      <w:r w:rsidRPr="00884338">
        <w:rPr>
          <w:rFonts w:cs="Arial"/>
          <w:szCs w:val="20"/>
        </w:rPr>
        <w:t xml:space="preserve">RCF </w:t>
      </w:r>
      <w:r>
        <w:rPr>
          <w:rFonts w:cs="Arial"/>
          <w:szCs w:val="20"/>
        </w:rPr>
        <w:tab/>
        <w:t xml:space="preserve">= </w:t>
      </w:r>
      <w:r w:rsidRPr="00884338">
        <w:rPr>
          <w:rFonts w:cs="Arial"/>
          <w:szCs w:val="20"/>
        </w:rPr>
        <w:t xml:space="preserve">COP Degradation Factor for Cooling </w:t>
      </w:r>
    </w:p>
    <w:p w:rsidR="0026770C" w:rsidRPr="00884338" w:rsidRDefault="0026770C" w:rsidP="0026770C">
      <w:pPr>
        <w:pStyle w:val="Equation"/>
        <w:ind w:left="3600"/>
        <w:rPr>
          <w:rFonts w:cs="Arial"/>
          <w:szCs w:val="20"/>
        </w:rPr>
      </w:pPr>
      <w:r w:rsidRPr="00884338">
        <w:rPr>
          <w:rFonts w:cs="Arial"/>
          <w:szCs w:val="20"/>
        </w:rPr>
        <w:t>CF</w:t>
      </w:r>
      <w:r>
        <w:rPr>
          <w:rFonts w:cs="Arial"/>
          <w:szCs w:val="20"/>
        </w:rPr>
        <w:tab/>
        <w:t xml:space="preserve">= </w:t>
      </w:r>
      <w:r w:rsidR="008A1EFA" w:rsidRPr="00165C8E">
        <w:rPr>
          <w:rFonts w:cs="Arial"/>
          <w:szCs w:val="20"/>
        </w:rPr>
        <w:t>Demand Coincidence Factor (See Section 1.4)</w:t>
      </w:r>
    </w:p>
    <w:p w:rsidR="0026770C" w:rsidRPr="004E1CF4" w:rsidRDefault="0026770C" w:rsidP="0026770C">
      <w:r>
        <w:t xml:space="preserve">The values and sources are listed in </w:t>
      </w:r>
      <w:r w:rsidR="007A1FB6">
        <w:fldChar w:fldCharType="begin"/>
      </w:r>
      <w:r>
        <w:instrText xml:space="preserve"> REF _Ref302742524 \h </w:instrText>
      </w:r>
      <w:r w:rsidR="007A1FB6">
        <w:fldChar w:fldCharType="separate"/>
      </w:r>
      <w:r w:rsidR="00C0292F">
        <w:t xml:space="preserve">Table </w:t>
      </w:r>
      <w:r w:rsidR="00C0292F">
        <w:rPr>
          <w:noProof/>
        </w:rPr>
        <w:t>3</w:t>
      </w:r>
      <w:r w:rsidR="00C0292F">
        <w:noBreakHyphen/>
      </w:r>
      <w:r w:rsidR="00C0292F">
        <w:rPr>
          <w:noProof/>
        </w:rPr>
        <w:t>95</w:t>
      </w:r>
      <w:r w:rsidR="007A1FB6">
        <w:fldChar w:fldCharType="end"/>
      </w:r>
      <w:r w:rsidRPr="004E1CF4">
        <w:t>.</w:t>
      </w:r>
    </w:p>
    <w:p w:rsidR="0026770C" w:rsidRPr="001C4AD5" w:rsidRDefault="0026770C" w:rsidP="0026770C">
      <w:pPr>
        <w:pStyle w:val="StyleCaptionCentered"/>
      </w:pPr>
      <w:bookmarkStart w:id="1331" w:name="_Ref302742524"/>
      <w:bookmarkStart w:id="1332" w:name="_Toc310875647"/>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95</w:t>
      </w:r>
      <w:r w:rsidR="00274AB1">
        <w:rPr>
          <w:noProof/>
        </w:rPr>
        <w:fldChar w:fldCharType="end"/>
      </w:r>
      <w:bookmarkEnd w:id="1331"/>
      <w:r>
        <w:t xml:space="preserve">: </w:t>
      </w:r>
      <w:r w:rsidRPr="00F22516">
        <w:t xml:space="preserve">Refrigerant Charge Correction Calculations </w:t>
      </w:r>
      <w:r>
        <w:t>Assumptions</w:t>
      </w:r>
      <w:bookmarkEnd w:id="133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350"/>
        <w:gridCol w:w="3330"/>
        <w:gridCol w:w="2448"/>
      </w:tblGrid>
      <w:tr w:rsidR="0026770C" w:rsidRPr="007D5CB5" w:rsidTr="0026770C">
        <w:trPr>
          <w:trHeight w:val="374"/>
        </w:trPr>
        <w:tc>
          <w:tcPr>
            <w:tcW w:w="976" w:type="pct"/>
            <w:shd w:val="clear" w:color="auto" w:fill="BFBFBF"/>
          </w:tcPr>
          <w:p w:rsidR="0026770C" w:rsidRPr="007D5CB5" w:rsidRDefault="0026770C" w:rsidP="0026770C">
            <w:pPr>
              <w:tabs>
                <w:tab w:val="left" w:pos="720"/>
              </w:tabs>
              <w:spacing w:before="60" w:after="60"/>
              <w:rPr>
                <w:rFonts w:cs="Arial"/>
                <w:b/>
                <w:sz w:val="18"/>
                <w:szCs w:val="18"/>
              </w:rPr>
            </w:pPr>
            <w:r w:rsidRPr="007D5CB5">
              <w:rPr>
                <w:rFonts w:cs="Arial"/>
                <w:b/>
                <w:sz w:val="18"/>
                <w:szCs w:val="18"/>
              </w:rPr>
              <w:t>Component</w:t>
            </w:r>
          </w:p>
        </w:tc>
        <w:tc>
          <w:tcPr>
            <w:tcW w:w="762" w:type="pct"/>
            <w:shd w:val="clear" w:color="auto" w:fill="BFBFBF"/>
          </w:tcPr>
          <w:p w:rsidR="0026770C" w:rsidRPr="007D5CB5" w:rsidRDefault="0026770C" w:rsidP="0026770C">
            <w:pPr>
              <w:tabs>
                <w:tab w:val="left" w:pos="720"/>
              </w:tabs>
              <w:spacing w:before="60" w:after="60"/>
              <w:rPr>
                <w:rFonts w:cs="Arial"/>
                <w:b/>
                <w:sz w:val="18"/>
                <w:szCs w:val="18"/>
              </w:rPr>
            </w:pPr>
            <w:r w:rsidRPr="007D5CB5">
              <w:rPr>
                <w:rFonts w:cs="Arial"/>
                <w:b/>
                <w:sz w:val="18"/>
                <w:szCs w:val="18"/>
              </w:rPr>
              <w:t>Type</w:t>
            </w:r>
          </w:p>
        </w:tc>
        <w:tc>
          <w:tcPr>
            <w:tcW w:w="1880" w:type="pct"/>
            <w:shd w:val="clear" w:color="auto" w:fill="BFBFBF"/>
          </w:tcPr>
          <w:p w:rsidR="0026770C" w:rsidRPr="007D5CB5" w:rsidRDefault="0026770C" w:rsidP="0026770C">
            <w:pPr>
              <w:tabs>
                <w:tab w:val="left" w:pos="720"/>
              </w:tabs>
              <w:spacing w:before="60" w:after="60"/>
              <w:rPr>
                <w:rFonts w:cs="Arial"/>
                <w:b/>
                <w:sz w:val="18"/>
                <w:szCs w:val="18"/>
              </w:rPr>
            </w:pPr>
            <w:r w:rsidRPr="007D5CB5">
              <w:rPr>
                <w:rFonts w:cs="Arial"/>
                <w:b/>
                <w:sz w:val="18"/>
                <w:szCs w:val="18"/>
              </w:rPr>
              <w:t>Value</w:t>
            </w:r>
          </w:p>
        </w:tc>
        <w:tc>
          <w:tcPr>
            <w:tcW w:w="1382" w:type="pct"/>
            <w:shd w:val="clear" w:color="auto" w:fill="BFBFBF"/>
          </w:tcPr>
          <w:p w:rsidR="0026770C" w:rsidRPr="007D5CB5" w:rsidRDefault="0026770C" w:rsidP="0026770C">
            <w:pPr>
              <w:tabs>
                <w:tab w:val="left" w:pos="720"/>
              </w:tabs>
              <w:spacing w:before="60" w:after="60"/>
              <w:rPr>
                <w:rFonts w:cs="Arial"/>
                <w:b/>
                <w:sz w:val="18"/>
                <w:szCs w:val="18"/>
              </w:rPr>
            </w:pPr>
            <w:r w:rsidRPr="007D5CB5">
              <w:rPr>
                <w:rFonts w:cs="Arial"/>
                <w:b/>
                <w:sz w:val="18"/>
                <w:szCs w:val="18"/>
              </w:rPr>
              <w:t xml:space="preserve">Source     </w:t>
            </w:r>
          </w:p>
        </w:tc>
      </w:tr>
      <w:tr w:rsidR="0026770C" w:rsidRPr="007D5CB5" w:rsidTr="0026770C">
        <w:trPr>
          <w:trHeight w:val="374"/>
        </w:trPr>
        <w:tc>
          <w:tcPr>
            <w:tcW w:w="976" w:type="pct"/>
          </w:tcPr>
          <w:p w:rsidR="0026770C" w:rsidRPr="00DA6340" w:rsidRDefault="0026770C" w:rsidP="0026770C">
            <w:pPr>
              <w:tabs>
                <w:tab w:val="left" w:pos="720"/>
              </w:tabs>
              <w:spacing w:before="60" w:after="60"/>
              <w:rPr>
                <w:rFonts w:cs="Arial"/>
                <w:sz w:val="18"/>
                <w:szCs w:val="18"/>
              </w:rPr>
            </w:pPr>
            <w:r w:rsidRPr="00DA6340">
              <w:rPr>
                <w:rFonts w:cs="Arial"/>
                <w:sz w:val="18"/>
                <w:szCs w:val="18"/>
              </w:rPr>
              <w:t>CAPY</w:t>
            </w:r>
            <w:r w:rsidRPr="00DA6340">
              <w:rPr>
                <w:rFonts w:cs="Arial"/>
                <w:sz w:val="18"/>
                <w:szCs w:val="18"/>
                <w:vertAlign w:val="subscript"/>
              </w:rPr>
              <w:t>C</w:t>
            </w:r>
          </w:p>
        </w:tc>
        <w:tc>
          <w:tcPr>
            <w:tcW w:w="762" w:type="pct"/>
          </w:tcPr>
          <w:p w:rsidR="0026770C" w:rsidRPr="007D5CB5" w:rsidRDefault="0026770C" w:rsidP="0026770C">
            <w:pPr>
              <w:tabs>
                <w:tab w:val="left" w:pos="720"/>
              </w:tabs>
              <w:spacing w:before="60" w:after="60"/>
              <w:rPr>
                <w:rFonts w:cs="Arial"/>
                <w:sz w:val="18"/>
                <w:szCs w:val="18"/>
              </w:rPr>
            </w:pPr>
            <w:r w:rsidRPr="007D5CB5">
              <w:rPr>
                <w:rFonts w:cs="Arial"/>
                <w:sz w:val="18"/>
                <w:szCs w:val="18"/>
              </w:rPr>
              <w:t>Variable</w:t>
            </w:r>
          </w:p>
        </w:tc>
        <w:tc>
          <w:tcPr>
            <w:tcW w:w="1880" w:type="pct"/>
            <w:vAlign w:val="center"/>
          </w:tcPr>
          <w:p w:rsidR="0026770C" w:rsidRPr="007D5CB5" w:rsidRDefault="0026770C" w:rsidP="0026770C">
            <w:pPr>
              <w:tabs>
                <w:tab w:val="left" w:pos="720"/>
              </w:tabs>
              <w:spacing w:before="60" w:after="60"/>
              <w:rPr>
                <w:rFonts w:cs="Arial"/>
                <w:sz w:val="18"/>
                <w:szCs w:val="18"/>
              </w:rPr>
            </w:pPr>
            <w:r w:rsidRPr="00877D9B">
              <w:t>Nameplate</w:t>
            </w:r>
          </w:p>
        </w:tc>
        <w:tc>
          <w:tcPr>
            <w:tcW w:w="1382" w:type="pct"/>
            <w:vAlign w:val="center"/>
          </w:tcPr>
          <w:p w:rsidR="0026770C" w:rsidRPr="007D5CB5" w:rsidRDefault="0026770C" w:rsidP="0026770C">
            <w:pPr>
              <w:tabs>
                <w:tab w:val="left" w:pos="720"/>
              </w:tabs>
              <w:spacing w:before="60" w:after="60"/>
              <w:rPr>
                <w:rFonts w:cs="Arial"/>
                <w:sz w:val="18"/>
                <w:szCs w:val="18"/>
              </w:rPr>
            </w:pPr>
            <w:r w:rsidRPr="00877D9B">
              <w:t>EDC Data Gathering</w:t>
            </w:r>
          </w:p>
        </w:tc>
      </w:tr>
      <w:tr w:rsidR="0026770C" w:rsidRPr="007D5CB5" w:rsidTr="0026770C">
        <w:trPr>
          <w:trHeight w:val="374"/>
        </w:trPr>
        <w:tc>
          <w:tcPr>
            <w:tcW w:w="976" w:type="pct"/>
          </w:tcPr>
          <w:p w:rsidR="0026770C" w:rsidRPr="00DA6340" w:rsidRDefault="0026770C" w:rsidP="0026770C">
            <w:pPr>
              <w:tabs>
                <w:tab w:val="left" w:pos="720"/>
              </w:tabs>
              <w:spacing w:before="60" w:after="60"/>
              <w:rPr>
                <w:rFonts w:cs="Arial"/>
                <w:sz w:val="18"/>
                <w:szCs w:val="18"/>
              </w:rPr>
            </w:pPr>
            <w:r w:rsidRPr="00DA6340">
              <w:rPr>
                <w:rFonts w:cs="Arial"/>
                <w:sz w:val="18"/>
                <w:szCs w:val="18"/>
              </w:rPr>
              <w:t>CAPY</w:t>
            </w:r>
            <w:r w:rsidRPr="00DA6340">
              <w:rPr>
                <w:rFonts w:cs="Arial"/>
                <w:sz w:val="18"/>
                <w:szCs w:val="18"/>
                <w:vertAlign w:val="subscript"/>
              </w:rPr>
              <w:t>H</w:t>
            </w:r>
          </w:p>
        </w:tc>
        <w:tc>
          <w:tcPr>
            <w:tcW w:w="762" w:type="pct"/>
          </w:tcPr>
          <w:p w:rsidR="0026770C" w:rsidRPr="007D5CB5" w:rsidRDefault="0026770C" w:rsidP="0026770C">
            <w:pPr>
              <w:tabs>
                <w:tab w:val="left" w:pos="720"/>
              </w:tabs>
              <w:spacing w:before="60" w:after="60"/>
              <w:rPr>
                <w:rFonts w:cs="Arial"/>
                <w:sz w:val="18"/>
                <w:szCs w:val="18"/>
              </w:rPr>
            </w:pPr>
            <w:r w:rsidRPr="007D5CB5">
              <w:rPr>
                <w:rFonts w:cs="Arial"/>
                <w:sz w:val="18"/>
                <w:szCs w:val="18"/>
              </w:rPr>
              <w:t>Variable</w:t>
            </w:r>
          </w:p>
        </w:tc>
        <w:tc>
          <w:tcPr>
            <w:tcW w:w="1880" w:type="pct"/>
            <w:vAlign w:val="center"/>
          </w:tcPr>
          <w:p w:rsidR="0026770C" w:rsidRPr="007D5CB5" w:rsidRDefault="0026770C" w:rsidP="0026770C">
            <w:pPr>
              <w:tabs>
                <w:tab w:val="left" w:pos="720"/>
              </w:tabs>
              <w:spacing w:before="60" w:after="60"/>
              <w:rPr>
                <w:rFonts w:cs="Arial"/>
                <w:sz w:val="18"/>
                <w:szCs w:val="18"/>
              </w:rPr>
            </w:pPr>
            <w:r w:rsidRPr="00877D9B">
              <w:t>Nameplate</w:t>
            </w:r>
          </w:p>
        </w:tc>
        <w:tc>
          <w:tcPr>
            <w:tcW w:w="1382" w:type="pct"/>
            <w:vAlign w:val="center"/>
          </w:tcPr>
          <w:p w:rsidR="0026770C" w:rsidRPr="007D5CB5" w:rsidRDefault="0026770C" w:rsidP="0026770C">
            <w:pPr>
              <w:tabs>
                <w:tab w:val="left" w:pos="720"/>
              </w:tabs>
              <w:spacing w:before="60" w:after="60"/>
              <w:rPr>
                <w:rFonts w:cs="Arial"/>
                <w:sz w:val="18"/>
                <w:szCs w:val="18"/>
              </w:rPr>
            </w:pPr>
            <w:r w:rsidRPr="00877D9B">
              <w:t>EDC Data Gathering</w:t>
            </w:r>
          </w:p>
        </w:tc>
      </w:tr>
      <w:tr w:rsidR="0026770C" w:rsidRPr="007D5CB5" w:rsidTr="0026770C">
        <w:trPr>
          <w:trHeight w:val="374"/>
        </w:trPr>
        <w:tc>
          <w:tcPr>
            <w:tcW w:w="976" w:type="pct"/>
          </w:tcPr>
          <w:p w:rsidR="0026770C" w:rsidRPr="00DA6340" w:rsidRDefault="0026770C" w:rsidP="0026770C">
            <w:pPr>
              <w:tabs>
                <w:tab w:val="left" w:pos="720"/>
              </w:tabs>
              <w:spacing w:before="60" w:after="60"/>
              <w:rPr>
                <w:rFonts w:cs="Arial"/>
                <w:sz w:val="18"/>
                <w:szCs w:val="18"/>
              </w:rPr>
            </w:pPr>
            <w:r w:rsidRPr="00DA6340">
              <w:rPr>
                <w:rFonts w:cs="Arial"/>
                <w:sz w:val="18"/>
                <w:szCs w:val="18"/>
              </w:rPr>
              <w:t>EER</w:t>
            </w:r>
          </w:p>
        </w:tc>
        <w:tc>
          <w:tcPr>
            <w:tcW w:w="762" w:type="pct"/>
          </w:tcPr>
          <w:p w:rsidR="0026770C" w:rsidRPr="007D5CB5" w:rsidRDefault="0026770C" w:rsidP="0026770C">
            <w:pPr>
              <w:tabs>
                <w:tab w:val="left" w:pos="720"/>
              </w:tabs>
              <w:spacing w:before="60" w:after="60"/>
              <w:rPr>
                <w:rFonts w:cs="Arial"/>
                <w:sz w:val="18"/>
                <w:szCs w:val="18"/>
              </w:rPr>
            </w:pPr>
            <w:r w:rsidRPr="007D5CB5">
              <w:rPr>
                <w:rFonts w:cs="Arial"/>
                <w:sz w:val="18"/>
                <w:szCs w:val="18"/>
              </w:rPr>
              <w:t>Variable</w:t>
            </w:r>
          </w:p>
        </w:tc>
        <w:tc>
          <w:tcPr>
            <w:tcW w:w="1880" w:type="pct"/>
          </w:tcPr>
          <w:p w:rsidR="0026770C" w:rsidRDefault="0026770C" w:rsidP="0026770C">
            <w:pPr>
              <w:tabs>
                <w:tab w:val="left" w:pos="720"/>
              </w:tabs>
              <w:spacing w:before="60" w:after="60"/>
              <w:rPr>
                <w:rFonts w:cs="Arial"/>
                <w:sz w:val="18"/>
                <w:szCs w:val="18"/>
              </w:rPr>
            </w:pPr>
            <w:r>
              <w:rPr>
                <w:rFonts w:cs="Arial"/>
                <w:sz w:val="18"/>
                <w:szCs w:val="18"/>
              </w:rPr>
              <w:t>Nameplate</w:t>
            </w:r>
          </w:p>
          <w:p w:rsidR="0026770C" w:rsidRPr="007D5CB5" w:rsidRDefault="0026770C" w:rsidP="0026770C">
            <w:pPr>
              <w:tabs>
                <w:tab w:val="left" w:pos="720"/>
              </w:tabs>
              <w:spacing w:before="60" w:after="60"/>
              <w:rPr>
                <w:rFonts w:cs="Arial"/>
                <w:sz w:val="18"/>
                <w:szCs w:val="18"/>
              </w:rPr>
            </w:pPr>
            <w:r w:rsidRPr="007D5CB5">
              <w:rPr>
                <w:rFonts w:cs="Arial"/>
                <w:sz w:val="18"/>
                <w:szCs w:val="18"/>
              </w:rPr>
              <w:t>Default</w:t>
            </w:r>
            <w:r>
              <w:rPr>
                <w:rFonts w:cs="Arial"/>
                <w:sz w:val="18"/>
                <w:szCs w:val="18"/>
              </w:rPr>
              <w:t>:</w:t>
            </w:r>
            <w:r w:rsidRPr="007D5CB5">
              <w:rPr>
                <w:rFonts w:cs="Arial"/>
                <w:sz w:val="18"/>
                <w:szCs w:val="18"/>
              </w:rPr>
              <w:t xml:space="preserve"> 9.0</w:t>
            </w:r>
          </w:p>
        </w:tc>
        <w:tc>
          <w:tcPr>
            <w:tcW w:w="1382" w:type="pct"/>
          </w:tcPr>
          <w:p w:rsidR="0026770C" w:rsidRPr="007D5CB5" w:rsidRDefault="0026770C" w:rsidP="0026770C">
            <w:pPr>
              <w:tabs>
                <w:tab w:val="left" w:pos="720"/>
              </w:tabs>
              <w:spacing w:before="60" w:after="60"/>
              <w:rPr>
                <w:rFonts w:cs="Arial"/>
                <w:sz w:val="18"/>
                <w:szCs w:val="18"/>
              </w:rPr>
            </w:pPr>
            <w:r w:rsidRPr="00877D9B">
              <w:t>EDC Data Gathering</w:t>
            </w:r>
          </w:p>
        </w:tc>
      </w:tr>
      <w:tr w:rsidR="0026770C" w:rsidRPr="007D5CB5" w:rsidTr="0026770C">
        <w:trPr>
          <w:trHeight w:val="374"/>
        </w:trPr>
        <w:tc>
          <w:tcPr>
            <w:tcW w:w="976" w:type="pct"/>
          </w:tcPr>
          <w:p w:rsidR="0026770C" w:rsidRPr="00DA6340" w:rsidRDefault="0026770C" w:rsidP="0026770C">
            <w:pPr>
              <w:tabs>
                <w:tab w:val="left" w:pos="720"/>
              </w:tabs>
              <w:spacing w:before="60" w:after="60"/>
              <w:rPr>
                <w:rFonts w:cs="Arial"/>
                <w:sz w:val="18"/>
                <w:szCs w:val="18"/>
              </w:rPr>
            </w:pPr>
            <w:r w:rsidRPr="00DA6340">
              <w:rPr>
                <w:rFonts w:cs="Arial"/>
                <w:sz w:val="18"/>
                <w:szCs w:val="18"/>
              </w:rPr>
              <w:t>HSPF</w:t>
            </w:r>
          </w:p>
        </w:tc>
        <w:tc>
          <w:tcPr>
            <w:tcW w:w="762" w:type="pct"/>
          </w:tcPr>
          <w:p w:rsidR="0026770C" w:rsidRPr="007D5CB5" w:rsidRDefault="0026770C" w:rsidP="0026770C">
            <w:pPr>
              <w:tabs>
                <w:tab w:val="left" w:pos="720"/>
              </w:tabs>
              <w:spacing w:before="60" w:after="60"/>
              <w:rPr>
                <w:rFonts w:cs="Arial"/>
                <w:sz w:val="18"/>
                <w:szCs w:val="18"/>
              </w:rPr>
            </w:pPr>
            <w:r w:rsidRPr="007D5CB5">
              <w:rPr>
                <w:rFonts w:cs="Arial"/>
                <w:sz w:val="18"/>
                <w:szCs w:val="18"/>
              </w:rPr>
              <w:t xml:space="preserve">Variable </w:t>
            </w:r>
          </w:p>
        </w:tc>
        <w:tc>
          <w:tcPr>
            <w:tcW w:w="1880" w:type="pct"/>
          </w:tcPr>
          <w:p w:rsidR="0026770C" w:rsidRPr="007D5CB5" w:rsidRDefault="0026770C" w:rsidP="0026770C">
            <w:pPr>
              <w:tabs>
                <w:tab w:val="left" w:pos="720"/>
              </w:tabs>
              <w:spacing w:before="60" w:after="60"/>
              <w:rPr>
                <w:rFonts w:cs="Arial"/>
                <w:sz w:val="18"/>
                <w:szCs w:val="18"/>
              </w:rPr>
            </w:pPr>
            <w:r w:rsidRPr="007D5CB5">
              <w:rPr>
                <w:rFonts w:cs="Arial"/>
                <w:sz w:val="18"/>
                <w:szCs w:val="18"/>
              </w:rPr>
              <w:t>Default</w:t>
            </w:r>
            <w:r>
              <w:rPr>
                <w:rFonts w:cs="Arial"/>
                <w:sz w:val="18"/>
                <w:szCs w:val="18"/>
              </w:rPr>
              <w:t>:</w:t>
            </w:r>
            <w:r w:rsidRPr="007D5CB5">
              <w:rPr>
                <w:rFonts w:cs="Arial"/>
                <w:sz w:val="18"/>
                <w:szCs w:val="18"/>
              </w:rPr>
              <w:t xml:space="preserve"> 7.0</w:t>
            </w:r>
          </w:p>
        </w:tc>
        <w:tc>
          <w:tcPr>
            <w:tcW w:w="1382" w:type="pct"/>
          </w:tcPr>
          <w:p w:rsidR="0026770C" w:rsidRPr="007D5CB5" w:rsidRDefault="0026770C" w:rsidP="0026770C">
            <w:pPr>
              <w:tabs>
                <w:tab w:val="left" w:pos="720"/>
              </w:tabs>
              <w:spacing w:before="60" w:after="60"/>
              <w:rPr>
                <w:rFonts w:cs="Arial"/>
                <w:sz w:val="18"/>
                <w:szCs w:val="18"/>
              </w:rPr>
            </w:pPr>
            <w:r w:rsidRPr="00877D9B">
              <w:t>EDC Data Gathering</w:t>
            </w:r>
          </w:p>
        </w:tc>
      </w:tr>
      <w:tr w:rsidR="0026770C" w:rsidRPr="007D5CB5" w:rsidTr="0026770C">
        <w:trPr>
          <w:trHeight w:val="374"/>
        </w:trPr>
        <w:tc>
          <w:tcPr>
            <w:tcW w:w="976" w:type="pct"/>
          </w:tcPr>
          <w:p w:rsidR="0026770C" w:rsidRPr="00DA6340" w:rsidRDefault="0026770C" w:rsidP="0026770C">
            <w:pPr>
              <w:tabs>
                <w:tab w:val="left" w:pos="720"/>
              </w:tabs>
              <w:spacing w:before="60" w:after="60"/>
              <w:rPr>
                <w:rFonts w:cs="Arial"/>
                <w:sz w:val="18"/>
                <w:szCs w:val="18"/>
              </w:rPr>
            </w:pPr>
            <w:r w:rsidRPr="00DA6340">
              <w:rPr>
                <w:rFonts w:cs="Arial"/>
                <w:sz w:val="18"/>
                <w:szCs w:val="18"/>
              </w:rPr>
              <w:t>EFLH</w:t>
            </w:r>
            <w:r w:rsidRPr="00DA6340">
              <w:rPr>
                <w:rFonts w:cs="Arial"/>
                <w:sz w:val="18"/>
                <w:szCs w:val="18"/>
              </w:rPr>
              <w:softHyphen/>
            </w:r>
            <w:r w:rsidRPr="00DA6340">
              <w:rPr>
                <w:rFonts w:cs="Arial"/>
                <w:sz w:val="18"/>
                <w:szCs w:val="18"/>
                <w:vertAlign w:val="subscript"/>
              </w:rPr>
              <w:t>C</w:t>
            </w:r>
          </w:p>
        </w:tc>
        <w:tc>
          <w:tcPr>
            <w:tcW w:w="762" w:type="pct"/>
          </w:tcPr>
          <w:p w:rsidR="0026770C" w:rsidRPr="007D5CB5" w:rsidRDefault="0026770C" w:rsidP="0026770C">
            <w:pPr>
              <w:tabs>
                <w:tab w:val="left" w:pos="720"/>
              </w:tabs>
              <w:spacing w:before="60" w:after="60"/>
              <w:rPr>
                <w:rFonts w:cs="Arial"/>
                <w:sz w:val="18"/>
                <w:szCs w:val="18"/>
              </w:rPr>
            </w:pPr>
            <w:r w:rsidRPr="007D5CB5">
              <w:rPr>
                <w:rFonts w:cs="Arial"/>
                <w:sz w:val="18"/>
                <w:szCs w:val="18"/>
              </w:rPr>
              <w:t xml:space="preserve">Variable </w:t>
            </w:r>
          </w:p>
        </w:tc>
        <w:tc>
          <w:tcPr>
            <w:tcW w:w="1880" w:type="pct"/>
          </w:tcPr>
          <w:p w:rsidR="0026770C" w:rsidRPr="007D5CB5" w:rsidRDefault="0026770C" w:rsidP="0026770C">
            <w:pPr>
              <w:tabs>
                <w:tab w:val="left" w:pos="720"/>
              </w:tabs>
              <w:spacing w:before="60" w:after="60"/>
              <w:rPr>
                <w:rFonts w:cs="Arial"/>
                <w:sz w:val="18"/>
                <w:szCs w:val="18"/>
              </w:rPr>
            </w:pPr>
            <w:r>
              <w:rPr>
                <w:rFonts w:cs="Arial"/>
                <w:sz w:val="18"/>
                <w:szCs w:val="18"/>
              </w:rPr>
              <w:t>Table 3-22 and Table 3-23 in 2011 PA TRM</w:t>
            </w:r>
          </w:p>
        </w:tc>
        <w:tc>
          <w:tcPr>
            <w:tcW w:w="1382" w:type="pct"/>
          </w:tcPr>
          <w:p w:rsidR="0026770C" w:rsidRPr="007D5CB5" w:rsidRDefault="0026770C" w:rsidP="0026770C">
            <w:pPr>
              <w:spacing w:before="60" w:after="60"/>
              <w:rPr>
                <w:rFonts w:cs="Arial"/>
                <w:sz w:val="18"/>
                <w:szCs w:val="18"/>
              </w:rPr>
            </w:pPr>
            <w:r>
              <w:rPr>
                <w:rFonts w:cs="Arial"/>
                <w:sz w:val="18"/>
                <w:szCs w:val="18"/>
              </w:rPr>
              <w:t xml:space="preserve">2011 PA TRM </w:t>
            </w:r>
          </w:p>
        </w:tc>
      </w:tr>
      <w:tr w:rsidR="0026770C" w:rsidRPr="007D5CB5" w:rsidTr="0026770C">
        <w:trPr>
          <w:trHeight w:val="374"/>
        </w:trPr>
        <w:tc>
          <w:tcPr>
            <w:tcW w:w="976" w:type="pct"/>
          </w:tcPr>
          <w:p w:rsidR="0026770C" w:rsidRPr="00DA6340" w:rsidRDefault="0026770C" w:rsidP="002379FB">
            <w:pPr>
              <w:tabs>
                <w:tab w:val="left" w:pos="720"/>
              </w:tabs>
              <w:spacing w:before="60" w:after="60"/>
              <w:rPr>
                <w:rFonts w:cs="Arial"/>
                <w:sz w:val="18"/>
                <w:szCs w:val="18"/>
              </w:rPr>
            </w:pPr>
            <w:r w:rsidRPr="00DA6340">
              <w:rPr>
                <w:rFonts w:cs="Arial"/>
                <w:sz w:val="18"/>
                <w:szCs w:val="18"/>
              </w:rPr>
              <w:t>EFLH</w:t>
            </w:r>
            <w:r w:rsidRPr="00DA6340">
              <w:rPr>
                <w:rFonts w:cs="Arial"/>
                <w:sz w:val="18"/>
                <w:szCs w:val="18"/>
              </w:rPr>
              <w:softHyphen/>
            </w:r>
            <w:r w:rsidR="00244D78">
              <w:rPr>
                <w:rFonts w:cs="Arial"/>
                <w:sz w:val="18"/>
                <w:szCs w:val="18"/>
                <w:vertAlign w:val="subscript"/>
              </w:rPr>
              <w:t>MH</w:t>
            </w:r>
          </w:p>
        </w:tc>
        <w:tc>
          <w:tcPr>
            <w:tcW w:w="762" w:type="pct"/>
          </w:tcPr>
          <w:p w:rsidR="0026770C" w:rsidRPr="007D5CB5" w:rsidRDefault="0026770C" w:rsidP="0026770C">
            <w:pPr>
              <w:tabs>
                <w:tab w:val="left" w:pos="720"/>
              </w:tabs>
              <w:spacing w:before="60" w:after="60"/>
              <w:rPr>
                <w:rFonts w:cs="Arial"/>
                <w:sz w:val="18"/>
                <w:szCs w:val="18"/>
              </w:rPr>
            </w:pPr>
            <w:r w:rsidRPr="007D5CB5">
              <w:rPr>
                <w:rFonts w:cs="Arial"/>
                <w:sz w:val="18"/>
                <w:szCs w:val="18"/>
              </w:rPr>
              <w:t>Variable</w:t>
            </w:r>
          </w:p>
        </w:tc>
        <w:tc>
          <w:tcPr>
            <w:tcW w:w="1880" w:type="pct"/>
          </w:tcPr>
          <w:p w:rsidR="0026770C" w:rsidRPr="007D5CB5" w:rsidRDefault="0026770C" w:rsidP="002379FB">
            <w:pPr>
              <w:tabs>
                <w:tab w:val="left" w:pos="720"/>
              </w:tabs>
              <w:spacing w:before="60" w:after="60"/>
              <w:rPr>
                <w:rFonts w:cs="Arial"/>
                <w:sz w:val="18"/>
                <w:szCs w:val="18"/>
              </w:rPr>
            </w:pPr>
            <w:r w:rsidRPr="007D5CB5">
              <w:rPr>
                <w:rFonts w:cs="Arial"/>
                <w:sz w:val="18"/>
                <w:szCs w:val="18"/>
              </w:rPr>
              <w:t>Take EFLH</w:t>
            </w:r>
            <w:r w:rsidRPr="007D5CB5">
              <w:rPr>
                <w:rFonts w:cs="Arial"/>
                <w:sz w:val="18"/>
                <w:szCs w:val="18"/>
                <w:vertAlign w:val="subscript"/>
              </w:rPr>
              <w:t>HM</w:t>
            </w:r>
            <w:r w:rsidRPr="007D5CB5">
              <w:rPr>
                <w:rFonts w:cs="Arial"/>
                <w:sz w:val="18"/>
                <w:szCs w:val="18"/>
              </w:rPr>
              <w:t xml:space="preserve"> as </w:t>
            </w:r>
            <w:r w:rsidR="00203A27">
              <w:rPr>
                <w:rFonts w:cs="Arial"/>
                <w:sz w:val="18"/>
                <w:szCs w:val="18"/>
              </w:rPr>
              <w:t>7</w:t>
            </w:r>
            <w:r w:rsidRPr="007D5CB5">
              <w:rPr>
                <w:rFonts w:cs="Arial"/>
                <w:sz w:val="18"/>
                <w:szCs w:val="18"/>
              </w:rPr>
              <w:t>0% of the listed EFLH</w:t>
            </w:r>
            <w:r w:rsidRPr="007D5CB5">
              <w:rPr>
                <w:rFonts w:cs="Arial"/>
                <w:sz w:val="18"/>
                <w:szCs w:val="18"/>
                <w:vertAlign w:val="subscript"/>
              </w:rPr>
              <w:t xml:space="preserve">H </w:t>
            </w:r>
            <w:r w:rsidRPr="007D5CB5">
              <w:rPr>
                <w:rFonts w:cs="Arial"/>
                <w:sz w:val="18"/>
                <w:szCs w:val="18"/>
              </w:rPr>
              <w:t xml:space="preserve">in </w:t>
            </w:r>
            <w:r>
              <w:rPr>
                <w:rFonts w:cs="Arial"/>
                <w:sz w:val="18"/>
                <w:szCs w:val="18"/>
              </w:rPr>
              <w:t>Table 3-22</w:t>
            </w:r>
            <w:r w:rsidRPr="007D5CB5">
              <w:rPr>
                <w:rFonts w:cs="Arial"/>
                <w:sz w:val="18"/>
                <w:szCs w:val="18"/>
              </w:rPr>
              <w:t xml:space="preserve"> and </w:t>
            </w:r>
            <w:r>
              <w:rPr>
                <w:rFonts w:cs="Arial"/>
                <w:sz w:val="18"/>
                <w:szCs w:val="18"/>
              </w:rPr>
              <w:t>3-23</w:t>
            </w:r>
          </w:p>
        </w:tc>
        <w:tc>
          <w:tcPr>
            <w:tcW w:w="1382" w:type="pct"/>
          </w:tcPr>
          <w:p w:rsidR="0026770C" w:rsidRPr="007D5CB5" w:rsidRDefault="0026770C" w:rsidP="0026770C">
            <w:pPr>
              <w:spacing w:before="60" w:after="60"/>
              <w:rPr>
                <w:rFonts w:cs="Arial"/>
                <w:sz w:val="18"/>
                <w:szCs w:val="18"/>
              </w:rPr>
            </w:pPr>
            <w:r>
              <w:rPr>
                <w:rFonts w:cs="Arial"/>
                <w:sz w:val="18"/>
                <w:szCs w:val="18"/>
              </w:rPr>
              <w:t>2</w:t>
            </w:r>
          </w:p>
        </w:tc>
      </w:tr>
      <w:tr w:rsidR="0026770C" w:rsidRPr="007D5CB5" w:rsidTr="0026770C">
        <w:trPr>
          <w:trHeight w:val="374"/>
        </w:trPr>
        <w:tc>
          <w:tcPr>
            <w:tcW w:w="976" w:type="pct"/>
          </w:tcPr>
          <w:p w:rsidR="0026770C" w:rsidRPr="00DA6340" w:rsidRDefault="0026770C" w:rsidP="0026770C">
            <w:pPr>
              <w:tabs>
                <w:tab w:val="left" w:pos="720"/>
              </w:tabs>
              <w:spacing w:before="60" w:after="60"/>
              <w:rPr>
                <w:rFonts w:cs="Arial"/>
                <w:sz w:val="18"/>
                <w:szCs w:val="18"/>
              </w:rPr>
            </w:pPr>
            <w:r w:rsidRPr="00DA6340">
              <w:rPr>
                <w:rFonts w:cs="Arial"/>
                <w:sz w:val="18"/>
                <w:szCs w:val="18"/>
              </w:rPr>
              <w:t>RCF</w:t>
            </w:r>
          </w:p>
        </w:tc>
        <w:tc>
          <w:tcPr>
            <w:tcW w:w="762" w:type="pct"/>
          </w:tcPr>
          <w:p w:rsidR="0026770C" w:rsidRPr="0026770C" w:rsidRDefault="0026770C" w:rsidP="0026770C">
            <w:pPr>
              <w:tabs>
                <w:tab w:val="left" w:pos="720"/>
              </w:tabs>
              <w:spacing w:before="60" w:after="60"/>
              <w:rPr>
                <w:rFonts w:cs="Arial"/>
                <w:sz w:val="18"/>
                <w:szCs w:val="18"/>
              </w:rPr>
            </w:pPr>
            <w:r w:rsidRPr="0026770C">
              <w:rPr>
                <w:rFonts w:cs="Arial"/>
                <w:sz w:val="18"/>
                <w:szCs w:val="18"/>
              </w:rPr>
              <w:t>Variable</w:t>
            </w:r>
          </w:p>
        </w:tc>
        <w:tc>
          <w:tcPr>
            <w:tcW w:w="1880" w:type="pct"/>
          </w:tcPr>
          <w:p w:rsidR="0026770C" w:rsidRPr="0026770C" w:rsidRDefault="0026770C" w:rsidP="0026770C">
            <w:pPr>
              <w:tabs>
                <w:tab w:val="left" w:pos="720"/>
              </w:tabs>
              <w:spacing w:before="60" w:after="60"/>
              <w:rPr>
                <w:rFonts w:cs="Arial"/>
                <w:sz w:val="18"/>
                <w:szCs w:val="18"/>
              </w:rPr>
            </w:pPr>
            <w:r w:rsidRPr="0026770C">
              <w:rPr>
                <w:rFonts w:cs="Arial"/>
                <w:sz w:val="18"/>
                <w:szCs w:val="18"/>
              </w:rPr>
              <w:t xml:space="preserve">See </w:t>
            </w:r>
            <w:r w:rsidR="00274AB1">
              <w:fldChar w:fldCharType="begin"/>
            </w:r>
            <w:r w:rsidR="00274AB1">
              <w:instrText xml:space="preserve"> REF _Ref302742531 \h  \* MERGEFORMAT </w:instrText>
            </w:r>
            <w:r w:rsidR="00274AB1">
              <w:fldChar w:fldCharType="separate"/>
            </w:r>
            <w:r w:rsidR="00C0292F" w:rsidRPr="00C0292F">
              <w:rPr>
                <w:rFonts w:cs="Arial"/>
              </w:rPr>
              <w:t>Table 3</w:t>
            </w:r>
            <w:r w:rsidR="00C0292F" w:rsidRPr="00C0292F">
              <w:rPr>
                <w:rFonts w:cs="Arial"/>
              </w:rPr>
              <w:noBreakHyphen/>
              <w:t>96</w:t>
            </w:r>
            <w:r w:rsidR="00274AB1">
              <w:fldChar w:fldCharType="end"/>
            </w:r>
          </w:p>
        </w:tc>
        <w:tc>
          <w:tcPr>
            <w:tcW w:w="1382" w:type="pct"/>
          </w:tcPr>
          <w:p w:rsidR="0026770C" w:rsidRPr="007D5CB5" w:rsidRDefault="0026770C" w:rsidP="0026770C">
            <w:pPr>
              <w:tabs>
                <w:tab w:val="left" w:pos="720"/>
              </w:tabs>
              <w:spacing w:before="60" w:after="60"/>
              <w:rPr>
                <w:rFonts w:cs="Arial"/>
                <w:sz w:val="18"/>
                <w:szCs w:val="18"/>
              </w:rPr>
            </w:pPr>
            <w:r>
              <w:rPr>
                <w:rFonts w:cs="Arial"/>
                <w:sz w:val="18"/>
                <w:szCs w:val="18"/>
              </w:rPr>
              <w:t>1</w:t>
            </w:r>
          </w:p>
        </w:tc>
      </w:tr>
      <w:tr w:rsidR="0026770C" w:rsidRPr="007D5CB5" w:rsidTr="0026770C">
        <w:trPr>
          <w:trHeight w:val="374"/>
        </w:trPr>
        <w:tc>
          <w:tcPr>
            <w:tcW w:w="976" w:type="pct"/>
          </w:tcPr>
          <w:p w:rsidR="0026770C" w:rsidRPr="00DA6340" w:rsidRDefault="0026770C" w:rsidP="0026770C">
            <w:pPr>
              <w:tabs>
                <w:tab w:val="left" w:pos="720"/>
              </w:tabs>
              <w:spacing w:before="60" w:after="60"/>
              <w:rPr>
                <w:rFonts w:cs="Arial"/>
                <w:sz w:val="18"/>
                <w:szCs w:val="18"/>
              </w:rPr>
            </w:pPr>
            <w:r w:rsidRPr="00DA6340">
              <w:rPr>
                <w:rFonts w:cs="Arial"/>
                <w:sz w:val="18"/>
                <w:szCs w:val="18"/>
              </w:rPr>
              <w:t>CF</w:t>
            </w:r>
          </w:p>
        </w:tc>
        <w:tc>
          <w:tcPr>
            <w:tcW w:w="762" w:type="pct"/>
          </w:tcPr>
          <w:p w:rsidR="0026770C" w:rsidRPr="007D5CB5" w:rsidRDefault="0026770C" w:rsidP="0026770C">
            <w:pPr>
              <w:tabs>
                <w:tab w:val="left" w:pos="720"/>
              </w:tabs>
              <w:spacing w:before="60" w:after="60"/>
              <w:rPr>
                <w:rFonts w:cs="Arial"/>
                <w:sz w:val="18"/>
                <w:szCs w:val="18"/>
              </w:rPr>
            </w:pPr>
            <w:r w:rsidRPr="007D5CB5">
              <w:rPr>
                <w:rFonts w:cs="Arial"/>
                <w:sz w:val="18"/>
                <w:szCs w:val="18"/>
              </w:rPr>
              <w:t>Fixed</w:t>
            </w:r>
          </w:p>
        </w:tc>
        <w:tc>
          <w:tcPr>
            <w:tcW w:w="1880" w:type="pct"/>
          </w:tcPr>
          <w:p w:rsidR="0026770C" w:rsidRPr="007D5CB5" w:rsidRDefault="0026770C" w:rsidP="0026770C">
            <w:pPr>
              <w:tabs>
                <w:tab w:val="left" w:pos="720"/>
              </w:tabs>
              <w:spacing w:before="60" w:after="60"/>
              <w:rPr>
                <w:rFonts w:cs="Arial"/>
                <w:sz w:val="18"/>
                <w:szCs w:val="18"/>
              </w:rPr>
            </w:pPr>
            <w:r>
              <w:rPr>
                <w:rFonts w:cs="Arial"/>
                <w:sz w:val="18"/>
                <w:szCs w:val="18"/>
              </w:rPr>
              <w:t>67%</w:t>
            </w:r>
          </w:p>
        </w:tc>
        <w:tc>
          <w:tcPr>
            <w:tcW w:w="1382" w:type="pct"/>
          </w:tcPr>
          <w:p w:rsidR="0026770C" w:rsidRPr="007D5CB5" w:rsidRDefault="0026770C" w:rsidP="0026770C">
            <w:pPr>
              <w:tabs>
                <w:tab w:val="left" w:pos="720"/>
              </w:tabs>
              <w:spacing w:before="60" w:after="60"/>
              <w:rPr>
                <w:rFonts w:cs="Arial"/>
                <w:sz w:val="18"/>
                <w:szCs w:val="18"/>
              </w:rPr>
            </w:pPr>
            <w:r w:rsidRPr="007D5CB5">
              <w:rPr>
                <w:rFonts w:cs="Arial"/>
                <w:sz w:val="18"/>
                <w:szCs w:val="18"/>
              </w:rPr>
              <w:t xml:space="preserve">Table </w:t>
            </w:r>
            <w:r>
              <w:rPr>
                <w:rFonts w:cs="Arial"/>
                <w:sz w:val="18"/>
                <w:szCs w:val="18"/>
              </w:rPr>
              <w:t>3</w:t>
            </w:r>
            <w:r w:rsidRPr="007D5CB5">
              <w:rPr>
                <w:rFonts w:cs="Arial"/>
                <w:sz w:val="18"/>
                <w:szCs w:val="18"/>
              </w:rPr>
              <w:t>-</w:t>
            </w:r>
            <w:r>
              <w:rPr>
                <w:rFonts w:cs="Arial"/>
                <w:sz w:val="18"/>
                <w:szCs w:val="18"/>
              </w:rPr>
              <w:t xml:space="preserve">20 in 2011  </w:t>
            </w:r>
            <w:r w:rsidRPr="007D5CB5">
              <w:rPr>
                <w:rFonts w:cs="Arial"/>
                <w:sz w:val="18"/>
                <w:szCs w:val="18"/>
              </w:rPr>
              <w:t>PA TRM</w:t>
            </w:r>
          </w:p>
        </w:tc>
      </w:tr>
    </w:tbl>
    <w:p w:rsidR="0026770C" w:rsidRDefault="0026770C" w:rsidP="0026770C">
      <w:pPr>
        <w:keepNext/>
        <w:rPr>
          <w:b/>
        </w:rPr>
      </w:pPr>
    </w:p>
    <w:p w:rsidR="0026770C" w:rsidRPr="001D7420" w:rsidRDefault="0026770C" w:rsidP="0026770C">
      <w:pPr>
        <w:keepNext/>
        <w:rPr>
          <w:b/>
        </w:rPr>
      </w:pPr>
      <w:r w:rsidRPr="001D7420">
        <w:rPr>
          <w:b/>
        </w:rPr>
        <w:t>Sources:</w:t>
      </w:r>
    </w:p>
    <w:p w:rsidR="0026770C" w:rsidRPr="0026770C" w:rsidRDefault="0026770C" w:rsidP="0005632A">
      <w:pPr>
        <w:pStyle w:val="source1"/>
        <w:numPr>
          <w:ilvl w:val="0"/>
          <w:numId w:val="100"/>
        </w:numPr>
      </w:pPr>
      <w:r w:rsidRPr="0026770C">
        <w:t xml:space="preserve"> CA 2003 RTU Survey</w:t>
      </w:r>
    </w:p>
    <w:p w:rsidR="0026770C" w:rsidRPr="0026770C" w:rsidRDefault="0026770C" w:rsidP="0026770C">
      <w:pPr>
        <w:pStyle w:val="source1"/>
      </w:pPr>
      <w:r w:rsidRPr="0026770C">
        <w:rPr>
          <w:szCs w:val="18"/>
        </w:rPr>
        <w:t>Assumes 70% of heating is done by compressor, 30% by fan and supplemental resistive heat</w:t>
      </w:r>
    </w:p>
    <w:p w:rsidR="0026770C" w:rsidRPr="00F45CF4" w:rsidRDefault="0026770C" w:rsidP="0026770C">
      <w:pPr>
        <w:pStyle w:val="source1"/>
        <w:numPr>
          <w:ilvl w:val="0"/>
          <w:numId w:val="0"/>
        </w:numPr>
        <w:ind w:left="720"/>
      </w:pPr>
    </w:p>
    <w:p w:rsidR="0026770C" w:rsidRPr="00F45CF4" w:rsidRDefault="0026770C" w:rsidP="0026770C">
      <w:pPr>
        <w:pStyle w:val="Caption"/>
      </w:pPr>
      <w:bookmarkStart w:id="1333" w:name="_Ref302742531"/>
      <w:bookmarkStart w:id="1334" w:name="_Ref297122588"/>
      <w:bookmarkStart w:id="1335" w:name="_Toc310875648"/>
      <w:r w:rsidRPr="00F45CF4">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96</w:t>
      </w:r>
      <w:r w:rsidR="00274AB1">
        <w:rPr>
          <w:noProof/>
        </w:rPr>
        <w:fldChar w:fldCharType="end"/>
      </w:r>
      <w:bookmarkEnd w:id="1333"/>
      <w:r w:rsidRPr="00F45CF4">
        <w:t>: Refrigerant charge correction COP degradation factor (RCF) for various relative charge adjustments for both TXV metered and non-TXV units.</w:t>
      </w:r>
      <w:r w:rsidR="00D13C6A">
        <w:rPr>
          <w:rStyle w:val="FootnoteReference"/>
        </w:rPr>
        <w:footnoteReference w:id="253"/>
      </w:r>
      <w:r w:rsidRPr="00F45CF4">
        <w:t>.</w:t>
      </w:r>
      <w:bookmarkEnd w:id="1334"/>
      <w:bookmarkEnd w:id="1335"/>
    </w:p>
    <w:tbl>
      <w:tblPr>
        <w:tblW w:w="52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7"/>
        <w:gridCol w:w="812"/>
        <w:gridCol w:w="994"/>
        <w:gridCol w:w="1371"/>
        <w:gridCol w:w="700"/>
        <w:gridCol w:w="988"/>
        <w:gridCol w:w="1261"/>
        <w:gridCol w:w="717"/>
        <w:gridCol w:w="988"/>
      </w:tblGrid>
      <w:tr w:rsidR="0026770C" w:rsidRPr="00BC499E" w:rsidTr="0026770C">
        <w:trPr>
          <w:trHeight w:val="374"/>
        </w:trPr>
        <w:tc>
          <w:tcPr>
            <w:tcW w:w="784" w:type="pct"/>
            <w:shd w:val="clear" w:color="auto" w:fill="BFBFBF"/>
            <w:noWrap/>
            <w:hideMark/>
          </w:tcPr>
          <w:p w:rsidR="0026770C" w:rsidRPr="006647E4" w:rsidRDefault="0026770C" w:rsidP="0026770C">
            <w:pPr>
              <w:keepNext/>
              <w:spacing w:before="60" w:after="60"/>
              <w:rPr>
                <w:rFonts w:cs="Arial"/>
                <w:b/>
                <w:sz w:val="18"/>
                <w:szCs w:val="18"/>
              </w:rPr>
            </w:pPr>
            <w:r w:rsidRPr="006647E4">
              <w:rPr>
                <w:rFonts w:cs="Arial"/>
                <w:b/>
                <w:sz w:val="18"/>
                <w:szCs w:val="18"/>
              </w:rPr>
              <w:t>% of nameplate charge added (removed)</w:t>
            </w:r>
          </w:p>
        </w:tc>
        <w:tc>
          <w:tcPr>
            <w:tcW w:w="437" w:type="pct"/>
            <w:shd w:val="clear" w:color="auto" w:fill="BFBFBF"/>
            <w:noWrap/>
            <w:hideMark/>
          </w:tcPr>
          <w:p w:rsidR="0026770C" w:rsidRPr="006647E4" w:rsidRDefault="0026770C" w:rsidP="0026770C">
            <w:pPr>
              <w:keepNext/>
              <w:spacing w:before="60" w:after="60"/>
              <w:rPr>
                <w:rFonts w:cs="Arial"/>
                <w:b/>
                <w:sz w:val="18"/>
                <w:szCs w:val="18"/>
              </w:rPr>
            </w:pPr>
            <w:r w:rsidRPr="006647E4">
              <w:rPr>
                <w:rFonts w:cs="Arial"/>
                <w:b/>
                <w:sz w:val="18"/>
                <w:szCs w:val="18"/>
              </w:rPr>
              <w:t>RCF (TXV)</w:t>
            </w:r>
          </w:p>
        </w:tc>
        <w:tc>
          <w:tcPr>
            <w:tcW w:w="535" w:type="pct"/>
            <w:tcBorders>
              <w:right w:val="double" w:sz="4" w:space="0" w:color="auto"/>
            </w:tcBorders>
            <w:shd w:val="clear" w:color="auto" w:fill="BFBFBF"/>
            <w:noWrap/>
            <w:hideMark/>
          </w:tcPr>
          <w:p w:rsidR="0026770C" w:rsidRPr="006647E4" w:rsidRDefault="0026770C" w:rsidP="0026770C">
            <w:pPr>
              <w:keepNext/>
              <w:spacing w:before="60" w:after="60"/>
              <w:rPr>
                <w:rFonts w:cs="Arial"/>
                <w:b/>
                <w:sz w:val="18"/>
                <w:szCs w:val="18"/>
              </w:rPr>
            </w:pPr>
            <w:r w:rsidRPr="006647E4">
              <w:rPr>
                <w:rFonts w:cs="Arial"/>
                <w:b/>
                <w:sz w:val="18"/>
                <w:szCs w:val="18"/>
              </w:rPr>
              <w:t>RCF (Orifice)</w:t>
            </w:r>
          </w:p>
        </w:tc>
        <w:tc>
          <w:tcPr>
            <w:tcW w:w="738" w:type="pct"/>
            <w:tcBorders>
              <w:left w:val="double" w:sz="4" w:space="0" w:color="auto"/>
            </w:tcBorders>
            <w:shd w:val="clear" w:color="auto" w:fill="BFBFBF"/>
            <w:noWrap/>
            <w:hideMark/>
          </w:tcPr>
          <w:p w:rsidR="0026770C" w:rsidRPr="006647E4" w:rsidRDefault="0026770C" w:rsidP="0026770C">
            <w:pPr>
              <w:keepNext/>
              <w:spacing w:before="60" w:after="60"/>
              <w:rPr>
                <w:rFonts w:cs="Arial"/>
                <w:b/>
                <w:sz w:val="18"/>
                <w:szCs w:val="18"/>
              </w:rPr>
            </w:pPr>
            <w:r w:rsidRPr="006647E4">
              <w:rPr>
                <w:rFonts w:cs="Arial"/>
                <w:b/>
                <w:sz w:val="18"/>
                <w:szCs w:val="18"/>
              </w:rPr>
              <w:t>% of nameplate charge added (removed)</w:t>
            </w:r>
          </w:p>
        </w:tc>
        <w:tc>
          <w:tcPr>
            <w:tcW w:w="377" w:type="pct"/>
            <w:shd w:val="clear" w:color="auto" w:fill="BFBFBF"/>
            <w:noWrap/>
            <w:hideMark/>
          </w:tcPr>
          <w:p w:rsidR="0026770C" w:rsidRPr="006647E4" w:rsidRDefault="0026770C" w:rsidP="0026770C">
            <w:pPr>
              <w:keepNext/>
              <w:spacing w:before="60" w:after="60"/>
              <w:rPr>
                <w:rFonts w:cs="Arial"/>
                <w:b/>
                <w:sz w:val="18"/>
                <w:szCs w:val="18"/>
              </w:rPr>
            </w:pPr>
            <w:r w:rsidRPr="006647E4">
              <w:rPr>
                <w:rFonts w:cs="Arial"/>
                <w:b/>
                <w:sz w:val="18"/>
                <w:szCs w:val="18"/>
              </w:rPr>
              <w:t>RCF (TXV)</w:t>
            </w:r>
          </w:p>
        </w:tc>
        <w:tc>
          <w:tcPr>
            <w:tcW w:w="532" w:type="pct"/>
            <w:tcBorders>
              <w:right w:val="double" w:sz="4" w:space="0" w:color="auto"/>
            </w:tcBorders>
            <w:shd w:val="clear" w:color="auto" w:fill="BFBFBF"/>
            <w:noWrap/>
            <w:hideMark/>
          </w:tcPr>
          <w:p w:rsidR="0026770C" w:rsidRPr="006647E4" w:rsidRDefault="0026770C" w:rsidP="0026770C">
            <w:pPr>
              <w:keepNext/>
              <w:spacing w:before="60" w:after="60"/>
              <w:rPr>
                <w:rFonts w:cs="Arial"/>
                <w:b/>
                <w:sz w:val="18"/>
                <w:szCs w:val="18"/>
              </w:rPr>
            </w:pPr>
            <w:r w:rsidRPr="006647E4">
              <w:rPr>
                <w:rFonts w:cs="Arial"/>
                <w:b/>
                <w:sz w:val="18"/>
                <w:szCs w:val="18"/>
              </w:rPr>
              <w:t>RCF (Orifice)</w:t>
            </w:r>
          </w:p>
        </w:tc>
        <w:tc>
          <w:tcPr>
            <w:tcW w:w="679" w:type="pct"/>
            <w:tcBorders>
              <w:left w:val="double" w:sz="4" w:space="0" w:color="auto"/>
            </w:tcBorders>
            <w:shd w:val="clear" w:color="auto" w:fill="BFBFBF"/>
            <w:noWrap/>
            <w:hideMark/>
          </w:tcPr>
          <w:p w:rsidR="0026770C" w:rsidRPr="006647E4" w:rsidRDefault="0026770C" w:rsidP="0026770C">
            <w:pPr>
              <w:keepNext/>
              <w:spacing w:before="60" w:after="60"/>
              <w:rPr>
                <w:rFonts w:cs="Arial"/>
                <w:b/>
                <w:sz w:val="18"/>
                <w:szCs w:val="18"/>
              </w:rPr>
            </w:pPr>
            <w:r w:rsidRPr="006647E4">
              <w:rPr>
                <w:rFonts w:cs="Arial"/>
                <w:b/>
                <w:sz w:val="18"/>
                <w:szCs w:val="18"/>
              </w:rPr>
              <w:t>% of nameplate charge added (removed)</w:t>
            </w:r>
          </w:p>
        </w:tc>
        <w:tc>
          <w:tcPr>
            <w:tcW w:w="386" w:type="pct"/>
            <w:shd w:val="clear" w:color="auto" w:fill="BFBFBF"/>
            <w:noWrap/>
            <w:hideMark/>
          </w:tcPr>
          <w:p w:rsidR="0026770C" w:rsidRPr="006647E4" w:rsidRDefault="0026770C" w:rsidP="0026770C">
            <w:pPr>
              <w:keepNext/>
              <w:spacing w:before="60" w:after="60"/>
              <w:rPr>
                <w:rFonts w:cs="Arial"/>
                <w:b/>
                <w:sz w:val="18"/>
                <w:szCs w:val="18"/>
              </w:rPr>
            </w:pPr>
            <w:r w:rsidRPr="006647E4">
              <w:rPr>
                <w:rFonts w:cs="Arial"/>
                <w:b/>
                <w:sz w:val="18"/>
                <w:szCs w:val="18"/>
              </w:rPr>
              <w:t>RCF (TXV)</w:t>
            </w:r>
          </w:p>
        </w:tc>
        <w:tc>
          <w:tcPr>
            <w:tcW w:w="532" w:type="pct"/>
            <w:shd w:val="clear" w:color="auto" w:fill="BFBFBF"/>
            <w:noWrap/>
            <w:hideMark/>
          </w:tcPr>
          <w:p w:rsidR="0026770C" w:rsidRPr="006647E4" w:rsidRDefault="0026770C" w:rsidP="0026770C">
            <w:pPr>
              <w:keepNext/>
              <w:spacing w:before="60" w:after="60"/>
              <w:rPr>
                <w:rFonts w:cs="Arial"/>
                <w:b/>
                <w:sz w:val="18"/>
                <w:szCs w:val="18"/>
              </w:rPr>
            </w:pPr>
            <w:r w:rsidRPr="006647E4">
              <w:rPr>
                <w:rFonts w:cs="Arial"/>
                <w:b/>
                <w:sz w:val="18"/>
                <w:szCs w:val="18"/>
              </w:rPr>
              <w:t>RCF (Orifice)</w:t>
            </w:r>
          </w:p>
        </w:tc>
      </w:tr>
      <w:tr w:rsidR="0026770C" w:rsidRPr="00BC499E" w:rsidTr="0026770C">
        <w:trPr>
          <w:trHeight w:val="305"/>
        </w:trPr>
        <w:tc>
          <w:tcPr>
            <w:tcW w:w="784" w:type="pct"/>
            <w:noWrap/>
            <w:hideMark/>
          </w:tcPr>
          <w:p w:rsidR="0026770C" w:rsidRPr="00BC499E" w:rsidRDefault="0026770C" w:rsidP="0026770C">
            <w:pPr>
              <w:keepNext/>
              <w:spacing w:before="60" w:after="60"/>
              <w:rPr>
                <w:rFonts w:cs="Arial"/>
                <w:sz w:val="18"/>
                <w:szCs w:val="18"/>
              </w:rPr>
            </w:pPr>
            <w:r w:rsidRPr="00BC499E">
              <w:rPr>
                <w:rFonts w:cs="Arial"/>
                <w:sz w:val="18"/>
                <w:szCs w:val="18"/>
              </w:rPr>
              <w:t xml:space="preserve">60% </w:t>
            </w:r>
          </w:p>
        </w:tc>
        <w:tc>
          <w:tcPr>
            <w:tcW w:w="437" w:type="pct"/>
            <w:noWrap/>
            <w:hideMark/>
          </w:tcPr>
          <w:p w:rsidR="0026770C" w:rsidRPr="00BC499E" w:rsidRDefault="0026770C" w:rsidP="0026770C">
            <w:pPr>
              <w:keepNext/>
              <w:spacing w:before="60" w:after="60"/>
              <w:rPr>
                <w:rFonts w:cs="Arial"/>
                <w:sz w:val="18"/>
                <w:szCs w:val="18"/>
              </w:rPr>
            </w:pPr>
            <w:r w:rsidRPr="00BC499E">
              <w:rPr>
                <w:rFonts w:cs="Arial"/>
                <w:sz w:val="18"/>
                <w:szCs w:val="18"/>
              </w:rPr>
              <w:t xml:space="preserve">68% </w:t>
            </w:r>
          </w:p>
        </w:tc>
        <w:tc>
          <w:tcPr>
            <w:tcW w:w="535" w:type="pct"/>
            <w:tcBorders>
              <w:right w:val="double" w:sz="4" w:space="0" w:color="auto"/>
            </w:tcBorders>
            <w:noWrap/>
            <w:hideMark/>
          </w:tcPr>
          <w:p w:rsidR="0026770C" w:rsidRPr="00BC499E" w:rsidRDefault="0026770C" w:rsidP="0026770C">
            <w:pPr>
              <w:keepNext/>
              <w:spacing w:before="60" w:after="60"/>
              <w:rPr>
                <w:rFonts w:cs="Arial"/>
                <w:sz w:val="18"/>
                <w:szCs w:val="18"/>
              </w:rPr>
            </w:pPr>
            <w:r w:rsidRPr="00BC499E">
              <w:rPr>
                <w:rFonts w:cs="Arial"/>
                <w:sz w:val="18"/>
                <w:szCs w:val="18"/>
              </w:rPr>
              <w:t xml:space="preserve">13% </w:t>
            </w:r>
          </w:p>
        </w:tc>
        <w:tc>
          <w:tcPr>
            <w:tcW w:w="738" w:type="pct"/>
            <w:tcBorders>
              <w:left w:val="double" w:sz="4" w:space="0" w:color="auto"/>
            </w:tcBorders>
            <w:noWrap/>
            <w:hideMark/>
          </w:tcPr>
          <w:p w:rsidR="0026770C" w:rsidRPr="00BC499E" w:rsidRDefault="0026770C" w:rsidP="0026770C">
            <w:pPr>
              <w:keepNext/>
              <w:spacing w:before="60" w:after="60"/>
              <w:rPr>
                <w:rFonts w:cs="Arial"/>
                <w:sz w:val="18"/>
                <w:szCs w:val="18"/>
              </w:rPr>
            </w:pPr>
            <w:r w:rsidRPr="00BC499E">
              <w:rPr>
                <w:rFonts w:cs="Arial"/>
                <w:sz w:val="18"/>
                <w:szCs w:val="18"/>
              </w:rPr>
              <w:t xml:space="preserve">28% </w:t>
            </w:r>
          </w:p>
        </w:tc>
        <w:tc>
          <w:tcPr>
            <w:tcW w:w="377" w:type="pct"/>
            <w:noWrap/>
            <w:hideMark/>
          </w:tcPr>
          <w:p w:rsidR="0026770C" w:rsidRPr="00BC499E" w:rsidRDefault="0026770C" w:rsidP="0026770C">
            <w:pPr>
              <w:keepNext/>
              <w:spacing w:before="60" w:after="60"/>
              <w:rPr>
                <w:rFonts w:cs="Arial"/>
                <w:sz w:val="18"/>
                <w:szCs w:val="18"/>
              </w:rPr>
            </w:pPr>
            <w:r w:rsidRPr="00BC499E">
              <w:rPr>
                <w:rFonts w:cs="Arial"/>
                <w:sz w:val="18"/>
                <w:szCs w:val="18"/>
              </w:rPr>
              <w:t xml:space="preserve">95% </w:t>
            </w:r>
          </w:p>
        </w:tc>
        <w:tc>
          <w:tcPr>
            <w:tcW w:w="532" w:type="pct"/>
            <w:tcBorders>
              <w:right w:val="double" w:sz="4" w:space="0" w:color="auto"/>
            </w:tcBorders>
            <w:noWrap/>
            <w:hideMark/>
          </w:tcPr>
          <w:p w:rsidR="0026770C" w:rsidRPr="00BC499E" w:rsidRDefault="0026770C" w:rsidP="0026770C">
            <w:pPr>
              <w:keepNext/>
              <w:spacing w:before="60" w:after="60"/>
              <w:rPr>
                <w:rFonts w:cs="Arial"/>
                <w:sz w:val="18"/>
                <w:szCs w:val="18"/>
              </w:rPr>
            </w:pPr>
            <w:r w:rsidRPr="00BC499E">
              <w:rPr>
                <w:rFonts w:cs="Arial"/>
                <w:sz w:val="18"/>
                <w:szCs w:val="18"/>
              </w:rPr>
              <w:t xml:space="preserve">83% </w:t>
            </w:r>
          </w:p>
        </w:tc>
        <w:tc>
          <w:tcPr>
            <w:tcW w:w="679" w:type="pct"/>
            <w:tcBorders>
              <w:left w:val="double" w:sz="4" w:space="0" w:color="auto"/>
            </w:tcBorders>
            <w:noWrap/>
            <w:hideMark/>
          </w:tcPr>
          <w:p w:rsidR="0026770C" w:rsidRPr="00BC499E" w:rsidRDefault="0026770C" w:rsidP="0026770C">
            <w:pPr>
              <w:keepNext/>
              <w:spacing w:before="60" w:after="60"/>
              <w:rPr>
                <w:rFonts w:cs="Arial"/>
                <w:sz w:val="18"/>
                <w:szCs w:val="18"/>
              </w:rPr>
            </w:pPr>
            <w:r w:rsidRPr="00BC499E">
              <w:rPr>
                <w:rFonts w:cs="Arial"/>
                <w:sz w:val="18"/>
                <w:szCs w:val="18"/>
              </w:rPr>
              <w:t>(4%)</w:t>
            </w:r>
          </w:p>
        </w:tc>
        <w:tc>
          <w:tcPr>
            <w:tcW w:w="386" w:type="pct"/>
            <w:noWrap/>
            <w:hideMark/>
          </w:tcPr>
          <w:p w:rsidR="0026770C" w:rsidRPr="00BC499E" w:rsidRDefault="0026770C" w:rsidP="0026770C">
            <w:pPr>
              <w:keepNext/>
              <w:spacing w:before="60" w:after="60"/>
              <w:rPr>
                <w:rFonts w:cs="Arial"/>
                <w:sz w:val="18"/>
                <w:szCs w:val="18"/>
              </w:rPr>
            </w:pPr>
            <w:r w:rsidRPr="00BC499E">
              <w:rPr>
                <w:rFonts w:cs="Arial"/>
                <w:sz w:val="18"/>
                <w:szCs w:val="18"/>
              </w:rPr>
              <w:t xml:space="preserve">100% </w:t>
            </w:r>
          </w:p>
        </w:tc>
        <w:tc>
          <w:tcPr>
            <w:tcW w:w="532" w:type="pct"/>
            <w:noWrap/>
            <w:hideMark/>
          </w:tcPr>
          <w:p w:rsidR="0026770C" w:rsidRPr="00BC499E" w:rsidRDefault="0026770C" w:rsidP="0026770C">
            <w:pPr>
              <w:keepNext/>
              <w:spacing w:before="60" w:after="60"/>
              <w:rPr>
                <w:rFonts w:cs="Arial"/>
                <w:sz w:val="18"/>
                <w:szCs w:val="18"/>
              </w:rPr>
            </w:pPr>
            <w:r w:rsidRPr="00BC499E">
              <w:rPr>
                <w:rFonts w:cs="Arial"/>
                <w:sz w:val="18"/>
                <w:szCs w:val="18"/>
              </w:rPr>
              <w:t xml:space="preserve">100%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59%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70%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16%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27% </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96%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84%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(5%)</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100%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99%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58%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71%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19%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26% </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96%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85%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(6%)</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100%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99%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57%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72%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22%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25% </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97%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87%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(7%)</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99%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99%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56%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73%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25%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24% </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97%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88%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(8%)</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99%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99%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55%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74%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28%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23% </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97%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89%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(9%)</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99%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98%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54%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76%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31%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22% </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98%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90%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(10%)</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99%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98%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53%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77%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33%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21% </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98%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91%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(11%)</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99%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97%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52%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78%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36%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20% </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98%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92%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(12%)</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99%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97%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51%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79%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39%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19% </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98%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92%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(13%)</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99%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96%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50%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80%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41%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18% </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99%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93%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(14%)</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98%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96%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49%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81%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44%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17% </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99%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94%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(15%)</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98%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95%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48%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82%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46%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16% </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99%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95%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(16%)</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98%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95%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47%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83%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48%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15% </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99%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95%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(17%)</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98%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94%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46%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84%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51%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14% </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99%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96%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(18%)</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98%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93%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45%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85%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53%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13% </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100%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97%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(19%)</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98%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93%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44%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86%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55%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12% </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100%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97%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(20%)</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97%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92%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43%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86%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57%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11% </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100%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98%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(21%)</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97%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91%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42%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87%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60%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10% </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100%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98%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(22%)</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97%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90%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41%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88%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62%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9% </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100%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98%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(23%)</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97%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90%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40%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89%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64%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8% </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100%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99%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(24%)</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97%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89%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39%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89%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65%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7% </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100%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99%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(25%)</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96%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88%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38%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90%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67%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6% </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100%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99%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(26%)</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96%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87%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37%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91%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69%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5% </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100%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100%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(27%)</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96%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86%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36%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91%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71%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4% </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100%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100%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(28%)</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96%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85%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35%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92%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73%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3% </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100%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100%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(29%)</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95%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84%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34%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92%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74%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2% </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100%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100%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(30%)</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95%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83%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33%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93%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76%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1% </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100%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100%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(31%)</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95%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82%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32%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94%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77%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(0%)</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100%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100%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(32%)</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95%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81%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31%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94%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79%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(1%)</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100%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100%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(33%)</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95%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80%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30%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95%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80%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(2%)</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100%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100%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(34%)</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94%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78% </w:t>
            </w:r>
          </w:p>
        </w:tc>
      </w:tr>
      <w:tr w:rsidR="0026770C" w:rsidRPr="00BC499E" w:rsidTr="0026770C">
        <w:trPr>
          <w:trHeight w:val="374"/>
        </w:trPr>
        <w:tc>
          <w:tcPr>
            <w:tcW w:w="784"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29% </w:t>
            </w:r>
          </w:p>
        </w:tc>
        <w:tc>
          <w:tcPr>
            <w:tcW w:w="43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95% </w:t>
            </w:r>
          </w:p>
        </w:tc>
        <w:tc>
          <w:tcPr>
            <w:tcW w:w="535"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82% </w:t>
            </w:r>
          </w:p>
        </w:tc>
        <w:tc>
          <w:tcPr>
            <w:tcW w:w="738"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(3%)</w:t>
            </w:r>
          </w:p>
        </w:tc>
        <w:tc>
          <w:tcPr>
            <w:tcW w:w="377"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100% </w:t>
            </w:r>
          </w:p>
        </w:tc>
        <w:tc>
          <w:tcPr>
            <w:tcW w:w="532" w:type="pct"/>
            <w:tcBorders>
              <w:righ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 xml:space="preserve">100% </w:t>
            </w:r>
          </w:p>
        </w:tc>
        <w:tc>
          <w:tcPr>
            <w:tcW w:w="679" w:type="pct"/>
            <w:tcBorders>
              <w:left w:val="double" w:sz="4" w:space="0" w:color="auto"/>
            </w:tcBorders>
            <w:noWrap/>
            <w:hideMark/>
          </w:tcPr>
          <w:p w:rsidR="0026770C" w:rsidRPr="00BC499E" w:rsidRDefault="0026770C" w:rsidP="0026770C">
            <w:pPr>
              <w:spacing w:before="60" w:after="60"/>
              <w:rPr>
                <w:rFonts w:cs="Arial"/>
                <w:sz w:val="18"/>
                <w:szCs w:val="18"/>
              </w:rPr>
            </w:pPr>
            <w:r w:rsidRPr="00BC499E">
              <w:rPr>
                <w:rFonts w:cs="Arial"/>
                <w:sz w:val="18"/>
                <w:szCs w:val="18"/>
              </w:rPr>
              <w:t>(35%)</w:t>
            </w:r>
          </w:p>
        </w:tc>
        <w:tc>
          <w:tcPr>
            <w:tcW w:w="386"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94% </w:t>
            </w:r>
          </w:p>
        </w:tc>
        <w:tc>
          <w:tcPr>
            <w:tcW w:w="532" w:type="pct"/>
            <w:noWrap/>
            <w:hideMark/>
          </w:tcPr>
          <w:p w:rsidR="0026770C" w:rsidRPr="00BC499E" w:rsidRDefault="0026770C" w:rsidP="0026770C">
            <w:pPr>
              <w:spacing w:before="60" w:after="60"/>
              <w:rPr>
                <w:rFonts w:cs="Arial"/>
                <w:sz w:val="18"/>
                <w:szCs w:val="18"/>
              </w:rPr>
            </w:pPr>
            <w:r w:rsidRPr="00BC499E">
              <w:rPr>
                <w:rFonts w:cs="Arial"/>
                <w:sz w:val="18"/>
                <w:szCs w:val="18"/>
              </w:rPr>
              <w:t xml:space="preserve">77% </w:t>
            </w:r>
          </w:p>
        </w:tc>
      </w:tr>
    </w:tbl>
    <w:p w:rsidR="0026770C" w:rsidRPr="0014465E" w:rsidRDefault="0026770C" w:rsidP="00871FA2">
      <w:pPr>
        <w:pStyle w:val="Heading3"/>
      </w:pPr>
      <w:r w:rsidRPr="0014465E">
        <w:t>Measure Life</w:t>
      </w:r>
    </w:p>
    <w:p w:rsidR="0026770C" w:rsidRPr="00C567FD" w:rsidRDefault="0026770C" w:rsidP="0026770C">
      <w:pPr>
        <w:rPr>
          <w:rFonts w:cs="Arial"/>
        </w:rPr>
      </w:pPr>
      <w:r>
        <w:rPr>
          <w:rFonts w:cs="Arial"/>
        </w:rPr>
        <w:t xml:space="preserve">According to the </w:t>
      </w:r>
      <w:r w:rsidRPr="0014465E">
        <w:rPr>
          <w:rFonts w:cs="Arial"/>
        </w:rPr>
        <w:t>2008 Database for Energy Efficiency Resources (DEER) EUL listin</w:t>
      </w:r>
      <w:r>
        <w:rPr>
          <w:rFonts w:cs="Arial"/>
        </w:rPr>
        <w:t xml:space="preserve">g, </w:t>
      </w:r>
      <w:r w:rsidRPr="0014465E">
        <w:rPr>
          <w:rFonts w:cs="Arial"/>
        </w:rPr>
        <w:t xml:space="preserve"> </w:t>
      </w:r>
      <w:r>
        <w:rPr>
          <w:rFonts w:cs="Arial"/>
        </w:rPr>
        <w:t>t</w:t>
      </w:r>
      <w:r w:rsidRPr="0014465E">
        <w:rPr>
          <w:rFonts w:cs="Arial"/>
        </w:rPr>
        <w:t xml:space="preserve">he measure life for refrigerant charging is </w:t>
      </w:r>
      <w:r w:rsidRPr="000B6292">
        <w:rPr>
          <w:rFonts w:cs="Arial"/>
          <w:b/>
        </w:rPr>
        <w:t>10 years</w:t>
      </w:r>
      <w:r>
        <w:rPr>
          <w:rStyle w:val="FootnoteReference"/>
          <w:b/>
        </w:rPr>
        <w:footnoteReference w:id="254"/>
      </w:r>
      <w:r>
        <w:rPr>
          <w:rFonts w:cs="Arial"/>
        </w:rPr>
        <w:t>.</w:t>
      </w:r>
      <w:r w:rsidRPr="0014465E">
        <w:rPr>
          <w:rFonts w:cs="Arial"/>
        </w:rPr>
        <w:t xml:space="preserve">  </w:t>
      </w:r>
    </w:p>
    <w:p w:rsidR="0026770C" w:rsidRPr="00C70327" w:rsidRDefault="0026770C" w:rsidP="0026770C">
      <w:pPr>
        <w:pStyle w:val="Heading2"/>
      </w:pPr>
      <w:r>
        <w:br w:type="page"/>
      </w:r>
      <w:bookmarkStart w:id="1336" w:name="_Toc310875472"/>
      <w:r w:rsidR="00500CAF">
        <w:t xml:space="preserve">Refrigeration – Special Doors with Low or </w:t>
      </w:r>
      <w:r w:rsidRPr="00C70327">
        <w:t>No Anti-Sweat Heat for Low Temp Case</w:t>
      </w:r>
      <w:bookmarkEnd w:id="1336"/>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5440"/>
      </w:tblGrid>
      <w:tr w:rsidR="0026770C" w:rsidRPr="00C70327" w:rsidTr="0026770C">
        <w:trPr>
          <w:jc w:val="center"/>
        </w:trPr>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26770C" w:rsidRPr="001D6512" w:rsidRDefault="0026770C" w:rsidP="0026770C">
            <w:pPr>
              <w:pStyle w:val="TableCell"/>
              <w:spacing w:before="60" w:after="60"/>
              <w:rPr>
                <w:b/>
              </w:rPr>
            </w:pPr>
            <w:r w:rsidRPr="001D6512">
              <w:rPr>
                <w:b/>
              </w:rPr>
              <w:t>Measure Name</w:t>
            </w:r>
          </w:p>
        </w:tc>
        <w:tc>
          <w:tcPr>
            <w:tcW w:w="459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26770C" w:rsidRPr="001D6512" w:rsidRDefault="00500CAF" w:rsidP="00500CAF">
            <w:pPr>
              <w:pStyle w:val="TableCell"/>
              <w:spacing w:before="60" w:after="60"/>
              <w:rPr>
                <w:b/>
              </w:rPr>
            </w:pPr>
            <w:r w:rsidRPr="001D6512">
              <w:rPr>
                <w:b/>
              </w:rPr>
              <w:t xml:space="preserve">Special Doors with </w:t>
            </w:r>
            <w:r w:rsidR="0026770C" w:rsidRPr="001D6512">
              <w:rPr>
                <w:b/>
              </w:rPr>
              <w:t>Low</w:t>
            </w:r>
            <w:r w:rsidRPr="001D6512">
              <w:rPr>
                <w:b/>
              </w:rPr>
              <w:t xml:space="preserve"> or </w:t>
            </w:r>
            <w:r w:rsidR="0026770C" w:rsidRPr="001D6512">
              <w:rPr>
                <w:b/>
              </w:rPr>
              <w:t>No Anti-Sweat Heat for Low Temp Case</w:t>
            </w:r>
          </w:p>
        </w:tc>
      </w:tr>
      <w:tr w:rsidR="0026770C" w:rsidRPr="00C70327" w:rsidTr="0026770C">
        <w:trPr>
          <w:jc w:val="center"/>
        </w:trPr>
        <w:tc>
          <w:tcPr>
            <w:tcW w:w="2700" w:type="dxa"/>
          </w:tcPr>
          <w:p w:rsidR="0026770C" w:rsidRPr="001D6512" w:rsidRDefault="0026770C" w:rsidP="0026770C">
            <w:pPr>
              <w:pStyle w:val="TableCell"/>
              <w:spacing w:before="60" w:after="60"/>
            </w:pPr>
            <w:r w:rsidRPr="001D6512">
              <w:t>Target Sector</w:t>
            </w:r>
          </w:p>
        </w:tc>
        <w:tc>
          <w:tcPr>
            <w:tcW w:w="4590" w:type="dxa"/>
          </w:tcPr>
          <w:p w:rsidR="0026770C" w:rsidRPr="001D6512" w:rsidRDefault="0026770C" w:rsidP="0026770C">
            <w:pPr>
              <w:pStyle w:val="TableCell"/>
              <w:spacing w:before="60" w:after="60"/>
            </w:pPr>
            <w:r w:rsidRPr="001D6512">
              <w:t>Commercial Refrigeration</w:t>
            </w:r>
          </w:p>
        </w:tc>
      </w:tr>
      <w:tr w:rsidR="0026770C" w:rsidRPr="00C70327" w:rsidTr="0026770C">
        <w:trPr>
          <w:jc w:val="center"/>
        </w:trPr>
        <w:tc>
          <w:tcPr>
            <w:tcW w:w="2700" w:type="dxa"/>
          </w:tcPr>
          <w:p w:rsidR="0026770C" w:rsidRPr="001D6512" w:rsidRDefault="0026770C" w:rsidP="0026770C">
            <w:pPr>
              <w:pStyle w:val="TableCell"/>
              <w:spacing w:before="60" w:after="60"/>
            </w:pPr>
            <w:r w:rsidRPr="001D6512">
              <w:t>Measure Unit</w:t>
            </w:r>
          </w:p>
        </w:tc>
        <w:tc>
          <w:tcPr>
            <w:tcW w:w="4590" w:type="dxa"/>
          </w:tcPr>
          <w:p w:rsidR="0026770C" w:rsidRPr="001D6512" w:rsidRDefault="0026770C" w:rsidP="0026770C">
            <w:pPr>
              <w:pStyle w:val="TableCell"/>
              <w:spacing w:before="60" w:after="60"/>
            </w:pPr>
            <w:r w:rsidRPr="001D6512">
              <w:t>Display Cases</w:t>
            </w:r>
          </w:p>
        </w:tc>
      </w:tr>
      <w:tr w:rsidR="0026770C" w:rsidRPr="00C70327" w:rsidTr="0026770C">
        <w:trPr>
          <w:jc w:val="center"/>
        </w:trPr>
        <w:tc>
          <w:tcPr>
            <w:tcW w:w="2700" w:type="dxa"/>
          </w:tcPr>
          <w:p w:rsidR="0026770C" w:rsidRPr="001D6512" w:rsidRDefault="0026770C" w:rsidP="0026770C">
            <w:pPr>
              <w:pStyle w:val="TableCell"/>
              <w:spacing w:before="60" w:after="60"/>
            </w:pPr>
            <w:r w:rsidRPr="001D6512">
              <w:t>Unit Energy Savings</w:t>
            </w:r>
          </w:p>
        </w:tc>
        <w:tc>
          <w:tcPr>
            <w:tcW w:w="4590" w:type="dxa"/>
          </w:tcPr>
          <w:p w:rsidR="0026770C" w:rsidRPr="001D6512" w:rsidRDefault="0026770C" w:rsidP="0026770C">
            <w:pPr>
              <w:pStyle w:val="TableCell"/>
              <w:spacing w:before="60" w:after="60"/>
            </w:pPr>
            <w:r w:rsidRPr="001D6512">
              <w:t>Variable</w:t>
            </w:r>
          </w:p>
        </w:tc>
      </w:tr>
      <w:tr w:rsidR="0026770C" w:rsidRPr="00C70327" w:rsidTr="0026770C">
        <w:trPr>
          <w:jc w:val="center"/>
        </w:trPr>
        <w:tc>
          <w:tcPr>
            <w:tcW w:w="2700" w:type="dxa"/>
          </w:tcPr>
          <w:p w:rsidR="0026770C" w:rsidRPr="001D6512" w:rsidRDefault="0026770C" w:rsidP="0026770C">
            <w:pPr>
              <w:pStyle w:val="TableCell"/>
              <w:spacing w:before="60" w:after="60"/>
            </w:pPr>
            <w:r w:rsidRPr="001D6512">
              <w:t>Unit Peak Demand Reduction</w:t>
            </w:r>
          </w:p>
        </w:tc>
        <w:tc>
          <w:tcPr>
            <w:tcW w:w="4590" w:type="dxa"/>
          </w:tcPr>
          <w:p w:rsidR="0026770C" w:rsidRPr="001D6512" w:rsidRDefault="0026770C" w:rsidP="0026770C">
            <w:pPr>
              <w:pStyle w:val="TableCell"/>
              <w:spacing w:before="60" w:after="60"/>
            </w:pPr>
            <w:r w:rsidRPr="001D6512">
              <w:t>Variable</w:t>
            </w:r>
          </w:p>
        </w:tc>
      </w:tr>
      <w:tr w:rsidR="0026770C" w:rsidRPr="00C70327" w:rsidTr="0026770C">
        <w:trPr>
          <w:jc w:val="center"/>
        </w:trPr>
        <w:tc>
          <w:tcPr>
            <w:tcW w:w="2700" w:type="dxa"/>
          </w:tcPr>
          <w:p w:rsidR="0026770C" w:rsidRPr="001D6512" w:rsidRDefault="0026770C" w:rsidP="0026770C">
            <w:pPr>
              <w:pStyle w:val="TableCell"/>
              <w:spacing w:before="60" w:after="60"/>
            </w:pPr>
            <w:r w:rsidRPr="001D6512">
              <w:t>Measure Life</w:t>
            </w:r>
          </w:p>
        </w:tc>
        <w:tc>
          <w:tcPr>
            <w:tcW w:w="4590" w:type="dxa"/>
          </w:tcPr>
          <w:p w:rsidR="0026770C" w:rsidRPr="001D6512" w:rsidRDefault="0026770C" w:rsidP="0026770C">
            <w:pPr>
              <w:pStyle w:val="TableCell"/>
              <w:spacing w:before="60" w:after="60"/>
            </w:pPr>
            <w:r w:rsidRPr="001D6512">
              <w:t>15 years</w:t>
            </w:r>
          </w:p>
        </w:tc>
      </w:tr>
    </w:tbl>
    <w:p w:rsidR="0026770C" w:rsidRPr="00C70327" w:rsidRDefault="0026770C" w:rsidP="0026770C"/>
    <w:p w:rsidR="0026770C" w:rsidRPr="00C70327" w:rsidRDefault="0026770C" w:rsidP="0026770C">
      <w:r w:rsidRPr="00C70327">
        <w:t>Traditional clear glass display case doors consist of two-pane glass (three-pane in low and medium temperature cases), and aluminum doorframes and door rails. Glass heaters may be included to eliminate condensation on the door or glass. The door heaters are traditionally designed to overcome the highest humidity conditions as cases are built for nation-wide applications. New low heat/no heat door designs incorporate heat reflective coatings on the glass, gas inserted between the panes, non-metallic spacers to separate the glass panes, and/or non-metallic frames (such as fiberglass).</w:t>
      </w:r>
    </w:p>
    <w:p w:rsidR="0026770C" w:rsidRPr="00C70327" w:rsidRDefault="0026770C" w:rsidP="0026770C">
      <w:r w:rsidRPr="00C70327">
        <w:t xml:space="preserve">This protocol documents the energy savings attributed to the installation of special glass doors w/low/no anti-sweat heaters for low temp cases. The primary focus of this rebate measure is on new cases to incent customers to specify advanced doors when they are purchasing refrigeration cases. </w:t>
      </w:r>
    </w:p>
    <w:p w:rsidR="0026770C" w:rsidRPr="00C70327" w:rsidRDefault="0026770C" w:rsidP="00871FA2">
      <w:pPr>
        <w:pStyle w:val="Heading3"/>
      </w:pPr>
      <w:r w:rsidRPr="00C70327">
        <w:t xml:space="preserve">Eligibility </w:t>
      </w:r>
    </w:p>
    <w:p w:rsidR="0026770C" w:rsidRPr="00C70327" w:rsidRDefault="0026770C" w:rsidP="0026770C">
      <w:r w:rsidRPr="00C70327">
        <w:t xml:space="preserve">For this measure, a no-heat/low-heat clear glass door must be installed on an upright display case.  It is limited to door heights of 57 inches or more.  Doors must have either heat reflective treated glass, be gas filled, or both.  This measure applies to low temperature cases only—those with a case temperature below 0°F.  Doors must have 3 or more panes.  Total door rail, glass, and frame heater amperage (@ 120 volt) cannot exceed </w:t>
      </w:r>
      <w:r>
        <w:t>0.39</w:t>
      </w:r>
      <w:r>
        <w:rPr>
          <w:rStyle w:val="FootnoteReference"/>
        </w:rPr>
        <w:footnoteReference w:id="255"/>
      </w:r>
      <w:r w:rsidRPr="00C70327">
        <w:t xml:space="preserve"> amps per </w:t>
      </w:r>
      <w:r>
        <w:t xml:space="preserve">linear </w:t>
      </w:r>
      <w:r w:rsidRPr="00C70327">
        <w:t xml:space="preserve">foot for low temperature </w:t>
      </w:r>
      <w:r>
        <w:t xml:space="preserve">display </w:t>
      </w:r>
      <w:r w:rsidRPr="00C70327">
        <w:t xml:space="preserve">cases.  Rebate is based on the door width (not including case frame). </w:t>
      </w:r>
    </w:p>
    <w:p w:rsidR="0026770C" w:rsidRPr="00C70327" w:rsidRDefault="0026770C" w:rsidP="00871FA2">
      <w:pPr>
        <w:pStyle w:val="Heading3"/>
      </w:pPr>
      <w:r w:rsidRPr="00C70327">
        <w:t>Algorithms</w:t>
      </w:r>
    </w:p>
    <w:p w:rsidR="0026770C" w:rsidRPr="00C70327" w:rsidRDefault="0026770C" w:rsidP="0026770C">
      <w:pPr>
        <w:pStyle w:val="BodyText"/>
        <w:rPr>
          <w:bCs/>
        </w:rPr>
      </w:pPr>
      <w:r w:rsidRPr="00C70327">
        <w:t>The energy savings and demand reduction are obtained through the following calculations adopted from California’s Southern California Edison</w:t>
      </w:r>
      <w:r w:rsidRPr="00C70327">
        <w:rPr>
          <w:rStyle w:val="FootnoteReference"/>
        </w:rPr>
        <w:footnoteReference w:id="256"/>
      </w:r>
      <w:r w:rsidRPr="00C70327">
        <w:t>.</w:t>
      </w:r>
      <w:r>
        <w:t xml:space="preserve"> </w:t>
      </w:r>
    </w:p>
    <w:p w:rsidR="0026770C" w:rsidRPr="00C70327" w:rsidRDefault="0026770C" w:rsidP="0026770C">
      <w:pPr>
        <w:pStyle w:val="BodyText"/>
      </w:pPr>
      <w:r w:rsidRPr="00C70327">
        <w:rPr>
          <w:bCs/>
        </w:rPr>
        <w:t>Assumptions: Indoor Dry-Bulb Temperature of 75</w:t>
      </w:r>
      <w:r w:rsidRPr="00C70327">
        <w:rPr>
          <w:bCs/>
          <w:vertAlign w:val="superscript"/>
        </w:rPr>
        <w:t>o</w:t>
      </w:r>
      <w:r w:rsidRPr="00C70327">
        <w:rPr>
          <w:bCs/>
        </w:rPr>
        <w:t xml:space="preserve">F and Relative Humidity of 55%, (4-minute opening intervals for 16-second), neglect heat conduction through doorframe / assembly. </w:t>
      </w:r>
    </w:p>
    <w:p w:rsidR="0026770C" w:rsidRPr="00C70327" w:rsidRDefault="0026770C" w:rsidP="0026770C">
      <w:pPr>
        <w:pStyle w:val="Heading4"/>
      </w:pPr>
      <w:r w:rsidRPr="00C70327">
        <w:t xml:space="preserve">Compressor Savings (excluding condenser): </w:t>
      </w:r>
    </w:p>
    <w:p w:rsidR="0026770C" w:rsidRPr="00C70327" w:rsidRDefault="0026770C" w:rsidP="0026770C">
      <w:pPr>
        <w:pStyle w:val="Equation"/>
        <w:keepNext/>
        <w:rPr>
          <w:rFonts w:cs="Arial"/>
          <w:szCs w:val="20"/>
        </w:rPr>
      </w:pPr>
      <w:r w:rsidRPr="00C70327">
        <w:rPr>
          <w:rFonts w:cs="Arial"/>
          <w:szCs w:val="20"/>
        </w:rPr>
        <w:t>Δ kW</w:t>
      </w:r>
      <w:r w:rsidRPr="00C70327">
        <w:rPr>
          <w:rFonts w:cs="Arial"/>
          <w:szCs w:val="20"/>
          <w:vertAlign w:val="subscript"/>
        </w:rPr>
        <w:t>compressor</w:t>
      </w:r>
      <w:r w:rsidRPr="00C70327">
        <w:rPr>
          <w:rFonts w:cs="Arial"/>
          <w:szCs w:val="20"/>
        </w:rPr>
        <w:t xml:space="preserve"> </w:t>
      </w:r>
      <w:r w:rsidRPr="00C70327">
        <w:rPr>
          <w:rFonts w:cs="Arial"/>
          <w:szCs w:val="20"/>
        </w:rPr>
        <w:tab/>
      </w:r>
      <w:r w:rsidRPr="00C70327">
        <w:rPr>
          <w:rFonts w:cs="Arial"/>
          <w:szCs w:val="20"/>
        </w:rPr>
        <w:tab/>
        <w:t>= [Q-cooling</w:t>
      </w:r>
      <w:r w:rsidRPr="00C70327">
        <w:rPr>
          <w:rFonts w:cs="Arial"/>
          <w:szCs w:val="20"/>
          <w:vertAlign w:val="subscript"/>
        </w:rPr>
        <w:t>svg</w:t>
      </w:r>
      <w:r w:rsidRPr="00C70327">
        <w:rPr>
          <w:rFonts w:cs="Arial"/>
          <w:szCs w:val="20"/>
        </w:rPr>
        <w:t>/EER/1000]</w:t>
      </w:r>
    </w:p>
    <w:p w:rsidR="0026770C" w:rsidRPr="00C70327" w:rsidRDefault="0026770C" w:rsidP="0026770C">
      <w:pPr>
        <w:pStyle w:val="Equation"/>
        <w:keepNext/>
        <w:rPr>
          <w:rFonts w:cs="Arial"/>
          <w:szCs w:val="20"/>
        </w:rPr>
      </w:pPr>
      <w:r w:rsidRPr="00C70327">
        <w:rPr>
          <w:rFonts w:cs="Arial"/>
          <w:szCs w:val="20"/>
        </w:rPr>
        <w:t>Δ kWh</w:t>
      </w:r>
      <w:r w:rsidRPr="00C70327">
        <w:rPr>
          <w:rFonts w:cs="Arial"/>
          <w:szCs w:val="20"/>
          <w:vertAlign w:val="subscript"/>
        </w:rPr>
        <w:t>compressor</w:t>
      </w:r>
      <w:r w:rsidRPr="00C70327">
        <w:rPr>
          <w:rFonts w:cs="Arial"/>
          <w:szCs w:val="20"/>
        </w:rPr>
        <w:t xml:space="preserve"> </w:t>
      </w:r>
      <w:r w:rsidRPr="00C70327">
        <w:rPr>
          <w:rFonts w:cs="Arial"/>
          <w:szCs w:val="20"/>
        </w:rPr>
        <w:tab/>
      </w:r>
      <w:r w:rsidRPr="00C70327">
        <w:rPr>
          <w:rFonts w:cs="Arial"/>
          <w:szCs w:val="20"/>
        </w:rPr>
        <w:tab/>
        <w:t>= Δ kW x EFLH</w:t>
      </w:r>
    </w:p>
    <w:p w:rsidR="0026770C" w:rsidRPr="00C70327" w:rsidRDefault="0026770C" w:rsidP="0026770C">
      <w:pPr>
        <w:pStyle w:val="Equation"/>
        <w:rPr>
          <w:rFonts w:cs="Arial"/>
          <w:szCs w:val="20"/>
        </w:rPr>
      </w:pPr>
      <w:r w:rsidRPr="00C70327">
        <w:rPr>
          <w:rFonts w:cs="Arial"/>
          <w:szCs w:val="20"/>
        </w:rPr>
        <w:t>Q-cooling</w:t>
      </w:r>
      <w:r w:rsidRPr="00C70327">
        <w:rPr>
          <w:rFonts w:cs="Arial"/>
          <w:szCs w:val="20"/>
          <w:vertAlign w:val="subscript"/>
        </w:rPr>
        <w:t>svg</w:t>
      </w:r>
      <w:r w:rsidRPr="00C70327">
        <w:rPr>
          <w:rFonts w:cs="Arial"/>
          <w:szCs w:val="20"/>
        </w:rPr>
        <w:t xml:space="preserve"> </w:t>
      </w:r>
      <w:r w:rsidRPr="00C70327">
        <w:rPr>
          <w:rFonts w:cs="Arial"/>
          <w:szCs w:val="20"/>
        </w:rPr>
        <w:tab/>
        <w:t xml:space="preserve"> </w:t>
      </w:r>
      <w:r w:rsidRPr="00C70327">
        <w:rPr>
          <w:rFonts w:cs="Arial"/>
          <w:szCs w:val="20"/>
        </w:rPr>
        <w:tab/>
        <w:t>= Q-cooling x K-ASH</w:t>
      </w:r>
    </w:p>
    <w:p w:rsidR="0026770C" w:rsidRPr="00C70327" w:rsidRDefault="0026770C" w:rsidP="0026770C">
      <w:pPr>
        <w:pStyle w:val="Heading4"/>
      </w:pPr>
      <w:r w:rsidRPr="00C70327">
        <w:t xml:space="preserve">Anti-Sweat Heater Savings: </w:t>
      </w:r>
    </w:p>
    <w:p w:rsidR="0026770C" w:rsidRPr="00C70327" w:rsidRDefault="0026770C" w:rsidP="0026770C">
      <w:pPr>
        <w:pStyle w:val="Equation"/>
        <w:rPr>
          <w:rFonts w:cs="Arial"/>
          <w:szCs w:val="20"/>
        </w:rPr>
      </w:pPr>
      <w:r w:rsidRPr="00C70327">
        <w:rPr>
          <w:rFonts w:cs="Arial"/>
          <w:szCs w:val="20"/>
        </w:rPr>
        <w:t>Δ kW</w:t>
      </w:r>
      <w:r w:rsidRPr="00C70327">
        <w:rPr>
          <w:rFonts w:cs="Arial"/>
          <w:szCs w:val="20"/>
          <w:vertAlign w:val="subscript"/>
        </w:rPr>
        <w:t>ASH</w:t>
      </w:r>
      <w:r w:rsidRPr="00C70327">
        <w:rPr>
          <w:rFonts w:cs="Arial"/>
          <w:szCs w:val="20"/>
        </w:rPr>
        <w:t xml:space="preserve"> </w:t>
      </w:r>
      <w:r w:rsidRPr="00C70327">
        <w:rPr>
          <w:rFonts w:cs="Arial"/>
          <w:szCs w:val="20"/>
        </w:rPr>
        <w:tab/>
      </w:r>
      <w:r w:rsidRPr="00C70327">
        <w:rPr>
          <w:rFonts w:cs="Arial"/>
          <w:szCs w:val="20"/>
        </w:rPr>
        <w:tab/>
        <w:t xml:space="preserve">= Δ ASH / 1000 </w:t>
      </w:r>
    </w:p>
    <w:p w:rsidR="0026770C" w:rsidRPr="00C70327" w:rsidRDefault="0026770C" w:rsidP="0026770C">
      <w:pPr>
        <w:pStyle w:val="Equation"/>
        <w:rPr>
          <w:rFonts w:cs="Arial"/>
          <w:szCs w:val="20"/>
        </w:rPr>
      </w:pPr>
      <w:r w:rsidRPr="00C70327">
        <w:rPr>
          <w:rFonts w:cs="Arial"/>
          <w:szCs w:val="20"/>
        </w:rPr>
        <w:t>Δ kWh</w:t>
      </w:r>
      <w:r w:rsidRPr="00C70327">
        <w:rPr>
          <w:rFonts w:cs="Arial"/>
          <w:szCs w:val="20"/>
          <w:vertAlign w:val="subscript"/>
        </w:rPr>
        <w:t>ASH</w:t>
      </w:r>
      <w:r w:rsidRPr="00C70327">
        <w:rPr>
          <w:rFonts w:cs="Arial"/>
          <w:szCs w:val="20"/>
        </w:rPr>
        <w:tab/>
      </w:r>
      <w:r w:rsidRPr="00C70327">
        <w:rPr>
          <w:rFonts w:cs="Arial"/>
          <w:szCs w:val="20"/>
        </w:rPr>
        <w:tab/>
        <w:t>= Δ kW</w:t>
      </w:r>
      <w:r w:rsidRPr="00C70327">
        <w:rPr>
          <w:rFonts w:cs="Arial"/>
          <w:szCs w:val="20"/>
          <w:vertAlign w:val="subscript"/>
        </w:rPr>
        <w:t>ASH</w:t>
      </w:r>
      <w:r w:rsidRPr="00C70327">
        <w:rPr>
          <w:rFonts w:cs="Arial"/>
          <w:szCs w:val="20"/>
        </w:rPr>
        <w:t xml:space="preserve"> x t  </w:t>
      </w:r>
    </w:p>
    <w:p w:rsidR="0026770C" w:rsidRPr="00C70327" w:rsidRDefault="0026770C" w:rsidP="00871FA2">
      <w:pPr>
        <w:pStyle w:val="Heading3"/>
      </w:pPr>
      <w:r w:rsidRPr="00C70327">
        <w:t>Definition of Terms</w:t>
      </w:r>
    </w:p>
    <w:p w:rsidR="0026770C" w:rsidRPr="00C70327" w:rsidRDefault="0026770C" w:rsidP="0026770C">
      <w:pPr>
        <w:spacing w:before="120" w:after="120"/>
      </w:pPr>
      <w:r w:rsidRPr="00C70327">
        <w:t>The variables in the above equation are defined below:</w:t>
      </w:r>
    </w:p>
    <w:p w:rsidR="0026770C" w:rsidRPr="00C70327" w:rsidRDefault="0026770C" w:rsidP="0026770C">
      <w:pPr>
        <w:pStyle w:val="Equation"/>
        <w:rPr>
          <w:rFonts w:cs="Arial"/>
          <w:szCs w:val="20"/>
        </w:rPr>
      </w:pPr>
      <w:r w:rsidRPr="00C70327">
        <w:rPr>
          <w:rFonts w:cs="Arial"/>
          <w:szCs w:val="20"/>
        </w:rPr>
        <w:tab/>
        <w:t xml:space="preserve">Q-cooling </w:t>
      </w:r>
      <w:r w:rsidRPr="00C70327">
        <w:rPr>
          <w:rFonts w:cs="Arial"/>
          <w:szCs w:val="20"/>
        </w:rPr>
        <w:tab/>
        <w:t>= Case rating by manufacturer (Btu/hr/door)</w:t>
      </w:r>
    </w:p>
    <w:p w:rsidR="0026770C" w:rsidRPr="00C70327" w:rsidRDefault="0026770C" w:rsidP="0026770C">
      <w:pPr>
        <w:pStyle w:val="Equation"/>
        <w:rPr>
          <w:rFonts w:cs="Arial"/>
          <w:szCs w:val="20"/>
        </w:rPr>
      </w:pPr>
      <w:r w:rsidRPr="00C70327">
        <w:rPr>
          <w:rFonts w:cs="Arial"/>
          <w:szCs w:val="20"/>
        </w:rPr>
        <w:tab/>
        <w:t>Q-cooling</w:t>
      </w:r>
      <w:r w:rsidRPr="00C70327">
        <w:rPr>
          <w:rFonts w:cs="Arial"/>
          <w:szCs w:val="20"/>
          <w:vertAlign w:val="subscript"/>
        </w:rPr>
        <w:t xml:space="preserve">svg </w:t>
      </w:r>
      <w:r w:rsidRPr="00C70327">
        <w:rPr>
          <w:rFonts w:cs="Arial"/>
          <w:szCs w:val="20"/>
        </w:rPr>
        <w:tab/>
        <w:t xml:space="preserve">= Cooling savings (Btu/hr/door)  </w:t>
      </w:r>
    </w:p>
    <w:p w:rsidR="0026770C" w:rsidRPr="00C70327" w:rsidRDefault="0026770C" w:rsidP="0026770C">
      <w:pPr>
        <w:pStyle w:val="Equation"/>
        <w:rPr>
          <w:rFonts w:cs="Arial"/>
          <w:szCs w:val="20"/>
        </w:rPr>
      </w:pPr>
      <w:r w:rsidRPr="00C70327">
        <w:rPr>
          <w:rFonts w:cs="Arial"/>
          <w:szCs w:val="20"/>
        </w:rPr>
        <w:tab/>
        <w:t>Δ kW</w:t>
      </w:r>
      <w:r w:rsidRPr="00C70327">
        <w:rPr>
          <w:rFonts w:cs="Arial"/>
          <w:szCs w:val="20"/>
          <w:vertAlign w:val="subscript"/>
        </w:rPr>
        <w:t>compressor</w:t>
      </w:r>
      <w:r w:rsidRPr="00C70327">
        <w:rPr>
          <w:rFonts w:cs="Arial"/>
          <w:szCs w:val="20"/>
        </w:rPr>
        <w:tab/>
        <w:t xml:space="preserve">= Compressor power savings (kW/door) </w:t>
      </w:r>
    </w:p>
    <w:p w:rsidR="0026770C" w:rsidRPr="00C70327" w:rsidRDefault="0026770C" w:rsidP="0026770C">
      <w:pPr>
        <w:pStyle w:val="Equation"/>
        <w:rPr>
          <w:rFonts w:cs="Arial"/>
          <w:szCs w:val="20"/>
        </w:rPr>
      </w:pPr>
      <w:r w:rsidRPr="00C70327">
        <w:rPr>
          <w:rFonts w:cs="Arial"/>
          <w:szCs w:val="20"/>
        </w:rPr>
        <w:tab/>
        <w:t>Δ kW</w:t>
      </w:r>
      <w:r w:rsidRPr="00C70327">
        <w:rPr>
          <w:rFonts w:cs="Arial"/>
          <w:szCs w:val="20"/>
          <w:vertAlign w:val="subscript"/>
        </w:rPr>
        <w:t xml:space="preserve">ASH </w:t>
      </w:r>
      <w:r w:rsidRPr="00C70327">
        <w:rPr>
          <w:rFonts w:cs="Arial"/>
          <w:szCs w:val="20"/>
          <w:vertAlign w:val="subscript"/>
        </w:rPr>
        <w:tab/>
      </w:r>
      <w:r w:rsidRPr="00C70327">
        <w:rPr>
          <w:rFonts w:cs="Arial"/>
          <w:szCs w:val="20"/>
        </w:rPr>
        <w:t xml:space="preserve">= Reduction due to ASH (kW/door) </w:t>
      </w:r>
      <w:r w:rsidRPr="00C70327">
        <w:rPr>
          <w:rFonts w:cs="Arial"/>
          <w:szCs w:val="20"/>
          <w:vertAlign w:val="subscript"/>
        </w:rPr>
        <w:t xml:space="preserve"> </w:t>
      </w:r>
      <w:r w:rsidRPr="00C70327">
        <w:rPr>
          <w:rFonts w:cs="Arial"/>
          <w:szCs w:val="20"/>
        </w:rPr>
        <w:t xml:space="preserve"> </w:t>
      </w:r>
    </w:p>
    <w:p w:rsidR="0026770C" w:rsidRPr="00C70327" w:rsidRDefault="0026770C" w:rsidP="0026770C">
      <w:pPr>
        <w:pStyle w:val="Equation"/>
        <w:rPr>
          <w:rFonts w:cs="Arial"/>
          <w:szCs w:val="20"/>
        </w:rPr>
      </w:pPr>
      <w:r w:rsidRPr="00C70327">
        <w:rPr>
          <w:rFonts w:cs="Arial"/>
          <w:szCs w:val="20"/>
        </w:rPr>
        <w:tab/>
        <w:t xml:space="preserve">K-ASH </w:t>
      </w:r>
      <w:r w:rsidRPr="00C70327">
        <w:rPr>
          <w:rFonts w:cs="Arial"/>
          <w:szCs w:val="20"/>
        </w:rPr>
        <w:tab/>
        <w:t xml:space="preserve">= % of </w:t>
      </w:r>
      <w:bookmarkStart w:id="1337" w:name="OLE_LINK2"/>
      <w:r w:rsidRPr="00C70327">
        <w:rPr>
          <w:rFonts w:cs="Arial"/>
          <w:szCs w:val="20"/>
        </w:rPr>
        <w:t xml:space="preserve">cooling load reduction due to low anti-sweat heater </w:t>
      </w:r>
      <w:bookmarkEnd w:id="1337"/>
      <w:r w:rsidRPr="00C70327">
        <w:rPr>
          <w:rFonts w:cs="Arial"/>
          <w:szCs w:val="20"/>
        </w:rPr>
        <w:t xml:space="preserve">(Btu/hr/door reduction)  </w:t>
      </w:r>
    </w:p>
    <w:p w:rsidR="0026770C" w:rsidRPr="00C70327" w:rsidRDefault="0026770C" w:rsidP="0026770C">
      <w:pPr>
        <w:pStyle w:val="Equation"/>
        <w:rPr>
          <w:rFonts w:cs="Arial"/>
          <w:szCs w:val="20"/>
        </w:rPr>
      </w:pPr>
      <w:r w:rsidRPr="00C70327">
        <w:rPr>
          <w:rFonts w:cs="Arial"/>
          <w:szCs w:val="20"/>
        </w:rPr>
        <w:tab/>
        <w:t>Δ ASH</w:t>
      </w:r>
      <w:r w:rsidRPr="00C70327">
        <w:rPr>
          <w:rFonts w:cs="Arial"/>
          <w:szCs w:val="20"/>
        </w:rPr>
        <w:tab/>
        <w:t xml:space="preserve">= Reduction in ASH power per door (watts/door)   </w:t>
      </w:r>
    </w:p>
    <w:p w:rsidR="0026770C" w:rsidRPr="00C70327" w:rsidRDefault="0026770C" w:rsidP="0026770C">
      <w:pPr>
        <w:pStyle w:val="Equation"/>
        <w:rPr>
          <w:rFonts w:cs="Arial"/>
          <w:szCs w:val="20"/>
        </w:rPr>
      </w:pPr>
      <w:r w:rsidRPr="00C70327">
        <w:rPr>
          <w:rFonts w:cs="Arial"/>
          <w:szCs w:val="20"/>
        </w:rPr>
        <w:tab/>
        <w:t>Δ kWh</w:t>
      </w:r>
      <w:r w:rsidRPr="00C70327">
        <w:rPr>
          <w:rFonts w:cs="Arial"/>
          <w:szCs w:val="20"/>
          <w:vertAlign w:val="subscript"/>
        </w:rPr>
        <w:t>compressor</w:t>
      </w:r>
      <w:r w:rsidRPr="00C70327">
        <w:rPr>
          <w:rFonts w:cs="Arial"/>
          <w:szCs w:val="20"/>
        </w:rPr>
        <w:tab/>
        <w:t>= Annual compressor energy savings (excluding condenser energy), (kWh/door)</w:t>
      </w:r>
    </w:p>
    <w:p w:rsidR="0026770C" w:rsidRPr="00C70327" w:rsidRDefault="0026770C" w:rsidP="0026770C">
      <w:pPr>
        <w:pStyle w:val="Equation"/>
        <w:rPr>
          <w:rFonts w:cs="Arial"/>
          <w:szCs w:val="20"/>
        </w:rPr>
      </w:pPr>
      <w:r w:rsidRPr="00C70327">
        <w:rPr>
          <w:rFonts w:cs="Arial"/>
          <w:szCs w:val="20"/>
        </w:rPr>
        <w:tab/>
        <w:t>Δ kWh</w:t>
      </w:r>
      <w:r w:rsidRPr="00C70327">
        <w:rPr>
          <w:rFonts w:cs="Arial"/>
          <w:szCs w:val="20"/>
          <w:vertAlign w:val="subscript"/>
        </w:rPr>
        <w:t>ASH</w:t>
      </w:r>
      <w:r w:rsidRPr="00C70327">
        <w:rPr>
          <w:rFonts w:cs="Arial"/>
          <w:szCs w:val="20"/>
          <w:vertAlign w:val="subscript"/>
        </w:rPr>
        <w:tab/>
      </w:r>
      <w:r w:rsidRPr="00C70327">
        <w:rPr>
          <w:rFonts w:cs="Arial"/>
          <w:szCs w:val="20"/>
        </w:rPr>
        <w:t xml:space="preserve">= Annual Reduction in energy (kWh/door) </w:t>
      </w:r>
    </w:p>
    <w:p w:rsidR="0026770C" w:rsidRPr="00C70327" w:rsidRDefault="0026770C" w:rsidP="0026770C">
      <w:pPr>
        <w:pStyle w:val="Equation"/>
        <w:rPr>
          <w:rFonts w:cs="Arial"/>
          <w:szCs w:val="20"/>
        </w:rPr>
      </w:pPr>
      <w:r w:rsidRPr="00C70327">
        <w:rPr>
          <w:rFonts w:cs="Arial"/>
          <w:szCs w:val="20"/>
        </w:rPr>
        <w:tab/>
        <w:t xml:space="preserve">EER </w:t>
      </w:r>
      <w:r w:rsidRPr="00C70327">
        <w:rPr>
          <w:rFonts w:cs="Arial"/>
          <w:szCs w:val="20"/>
        </w:rPr>
        <w:tab/>
        <w:t>= Compressor rating from manufacturer (Btu/hr/Watts)</w:t>
      </w:r>
    </w:p>
    <w:p w:rsidR="0026770C" w:rsidRPr="00C70327" w:rsidRDefault="0026770C" w:rsidP="0026770C">
      <w:pPr>
        <w:pStyle w:val="Equation"/>
        <w:rPr>
          <w:rFonts w:cs="Arial"/>
          <w:szCs w:val="20"/>
        </w:rPr>
      </w:pPr>
      <w:r w:rsidRPr="00C70327">
        <w:rPr>
          <w:rFonts w:cs="Arial"/>
          <w:szCs w:val="20"/>
        </w:rPr>
        <w:tab/>
        <w:t xml:space="preserve">EFLH </w:t>
      </w:r>
      <w:r w:rsidRPr="00C70327">
        <w:rPr>
          <w:rFonts w:cs="Arial"/>
          <w:szCs w:val="20"/>
        </w:rPr>
        <w:tab/>
        <w:t>= Equivalent full load annual operating hours</w:t>
      </w:r>
    </w:p>
    <w:p w:rsidR="0026770C" w:rsidRPr="00C70327" w:rsidRDefault="0026770C" w:rsidP="0026770C">
      <w:pPr>
        <w:pStyle w:val="Equation"/>
        <w:rPr>
          <w:rFonts w:cs="Arial"/>
          <w:szCs w:val="20"/>
        </w:rPr>
      </w:pPr>
      <w:r w:rsidRPr="00C70327">
        <w:rPr>
          <w:rFonts w:cs="Arial"/>
          <w:szCs w:val="20"/>
        </w:rPr>
        <w:tab/>
        <w:t>t</w:t>
      </w:r>
      <w:r w:rsidRPr="00C70327">
        <w:rPr>
          <w:rFonts w:cs="Arial"/>
          <w:szCs w:val="20"/>
        </w:rPr>
        <w:tab/>
        <w:t>= Annual operating hours of Anti-sweat heater</w:t>
      </w:r>
    </w:p>
    <w:p w:rsidR="0026770C" w:rsidRPr="00C70327" w:rsidRDefault="0026770C" w:rsidP="0026770C">
      <w:pPr>
        <w:pStyle w:val="Caption"/>
      </w:pPr>
      <w:bookmarkStart w:id="1338" w:name="_Toc310875649"/>
      <w:r w:rsidRPr="00C70327">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97</w:t>
      </w:r>
      <w:r w:rsidR="00274AB1">
        <w:rPr>
          <w:noProof/>
        </w:rPr>
        <w:fldChar w:fldCharType="end"/>
      </w:r>
      <w:r w:rsidRPr="00C70327">
        <w:t>: Special Doors w</w:t>
      </w:r>
      <w:r w:rsidR="00500CAF">
        <w:t xml:space="preserve">ith </w:t>
      </w:r>
      <w:r w:rsidRPr="00C70327">
        <w:t>Low</w:t>
      </w:r>
      <w:r w:rsidR="00500CAF">
        <w:t xml:space="preserve"> or </w:t>
      </w:r>
      <w:r w:rsidRPr="00C70327">
        <w:t>No Anti-Sweat Heat for Low Temp Case Calculations Assumptions</w:t>
      </w:r>
      <w:bookmarkEnd w:id="133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3"/>
        <w:gridCol w:w="1932"/>
        <w:gridCol w:w="2416"/>
        <w:gridCol w:w="2255"/>
      </w:tblGrid>
      <w:tr w:rsidR="0026770C" w:rsidRPr="00C70327" w:rsidTr="0026770C">
        <w:trPr>
          <w:jc w:val="center"/>
        </w:trPr>
        <w:tc>
          <w:tcPr>
            <w:tcW w:w="1272" w:type="pct"/>
            <w:shd w:val="clear" w:color="auto" w:fill="BFBFBF"/>
          </w:tcPr>
          <w:p w:rsidR="0026770C" w:rsidRPr="001D6512" w:rsidRDefault="0026770C" w:rsidP="0026770C">
            <w:pPr>
              <w:pStyle w:val="TableCell"/>
              <w:spacing w:before="60" w:after="60"/>
              <w:rPr>
                <w:b/>
              </w:rPr>
            </w:pPr>
            <w:r w:rsidRPr="001D6512">
              <w:rPr>
                <w:b/>
              </w:rPr>
              <w:t>Parameter</w:t>
            </w:r>
          </w:p>
        </w:tc>
        <w:tc>
          <w:tcPr>
            <w:tcW w:w="1091" w:type="pct"/>
            <w:shd w:val="clear" w:color="auto" w:fill="BFBFBF"/>
          </w:tcPr>
          <w:p w:rsidR="0026770C" w:rsidRPr="001D6512" w:rsidRDefault="0026770C" w:rsidP="0026770C">
            <w:pPr>
              <w:pStyle w:val="TableCell"/>
              <w:spacing w:before="60" w:after="60"/>
              <w:rPr>
                <w:b/>
              </w:rPr>
            </w:pPr>
            <w:r w:rsidRPr="001D6512">
              <w:rPr>
                <w:b/>
              </w:rPr>
              <w:t>Type</w:t>
            </w:r>
          </w:p>
        </w:tc>
        <w:tc>
          <w:tcPr>
            <w:tcW w:w="1364" w:type="pct"/>
            <w:shd w:val="clear" w:color="auto" w:fill="BFBFBF"/>
          </w:tcPr>
          <w:p w:rsidR="0026770C" w:rsidRPr="001D6512" w:rsidRDefault="0026770C" w:rsidP="0026770C">
            <w:pPr>
              <w:pStyle w:val="TableCell"/>
              <w:spacing w:before="60" w:after="60"/>
              <w:rPr>
                <w:b/>
              </w:rPr>
            </w:pPr>
            <w:r w:rsidRPr="001D6512">
              <w:rPr>
                <w:b/>
              </w:rPr>
              <w:t>Value</w:t>
            </w:r>
          </w:p>
        </w:tc>
        <w:tc>
          <w:tcPr>
            <w:tcW w:w="1273" w:type="pct"/>
            <w:shd w:val="clear" w:color="auto" w:fill="BFBFBF"/>
          </w:tcPr>
          <w:p w:rsidR="0026770C" w:rsidRPr="001D6512" w:rsidRDefault="0026770C" w:rsidP="0026770C">
            <w:pPr>
              <w:pStyle w:val="TableCell"/>
              <w:spacing w:before="60" w:after="60"/>
              <w:rPr>
                <w:b/>
              </w:rPr>
            </w:pPr>
            <w:r w:rsidRPr="001D6512">
              <w:rPr>
                <w:b/>
              </w:rPr>
              <w:t>Source</w:t>
            </w:r>
          </w:p>
        </w:tc>
      </w:tr>
      <w:tr w:rsidR="0026770C" w:rsidRPr="00C70327" w:rsidTr="0026770C">
        <w:trPr>
          <w:jc w:val="center"/>
        </w:trPr>
        <w:tc>
          <w:tcPr>
            <w:tcW w:w="1272" w:type="pct"/>
            <w:vAlign w:val="center"/>
          </w:tcPr>
          <w:p w:rsidR="0026770C" w:rsidRPr="001D6512" w:rsidRDefault="0026770C" w:rsidP="0026770C">
            <w:pPr>
              <w:pStyle w:val="TableCell"/>
              <w:spacing w:before="60" w:after="60"/>
            </w:pPr>
            <w:r w:rsidRPr="001D6512">
              <w:rPr>
                <w:rFonts w:cs="Arial"/>
                <w:sz w:val="20"/>
              </w:rPr>
              <w:t>Q-cooling</w:t>
            </w:r>
          </w:p>
        </w:tc>
        <w:tc>
          <w:tcPr>
            <w:tcW w:w="1091" w:type="pct"/>
          </w:tcPr>
          <w:p w:rsidR="0026770C" w:rsidRPr="001D6512" w:rsidRDefault="0026770C" w:rsidP="0026770C">
            <w:pPr>
              <w:pStyle w:val="TableCell"/>
              <w:spacing w:before="60" w:after="60"/>
            </w:pPr>
            <w:r w:rsidRPr="001D6512">
              <w:t>Variable</w:t>
            </w:r>
          </w:p>
        </w:tc>
        <w:tc>
          <w:tcPr>
            <w:tcW w:w="1364" w:type="pct"/>
            <w:vAlign w:val="center"/>
          </w:tcPr>
          <w:p w:rsidR="0026770C" w:rsidRPr="001D6512" w:rsidRDefault="0026770C" w:rsidP="0026770C">
            <w:pPr>
              <w:pStyle w:val="TableCell"/>
              <w:spacing w:before="60" w:after="60"/>
            </w:pPr>
            <w:r w:rsidRPr="001D6512">
              <w:t xml:space="preserve"> Nameplate</w:t>
            </w:r>
          </w:p>
        </w:tc>
        <w:tc>
          <w:tcPr>
            <w:tcW w:w="1273" w:type="pct"/>
          </w:tcPr>
          <w:p w:rsidR="0026770C" w:rsidRPr="001D6512" w:rsidRDefault="0026770C" w:rsidP="0026770C">
            <w:pPr>
              <w:pStyle w:val="TableCell"/>
              <w:spacing w:before="60" w:after="60"/>
            </w:pPr>
            <w:r w:rsidRPr="001D6512">
              <w:t>EDC Data Gathering</w:t>
            </w:r>
          </w:p>
        </w:tc>
      </w:tr>
      <w:tr w:rsidR="0026770C" w:rsidRPr="00C70327" w:rsidTr="0026770C">
        <w:trPr>
          <w:jc w:val="center"/>
        </w:trPr>
        <w:tc>
          <w:tcPr>
            <w:tcW w:w="1272" w:type="pct"/>
            <w:vAlign w:val="center"/>
          </w:tcPr>
          <w:p w:rsidR="0026770C" w:rsidRPr="001D6512" w:rsidRDefault="0026770C" w:rsidP="0026770C">
            <w:pPr>
              <w:pStyle w:val="TableCell"/>
              <w:spacing w:before="60" w:after="60"/>
              <w:rPr>
                <w:rFonts w:cs="Arial"/>
                <w:sz w:val="20"/>
              </w:rPr>
            </w:pPr>
            <w:r w:rsidRPr="001D6512">
              <w:rPr>
                <w:rFonts w:cs="Arial"/>
                <w:sz w:val="20"/>
              </w:rPr>
              <w:t>K-ASH</w:t>
            </w:r>
          </w:p>
        </w:tc>
        <w:tc>
          <w:tcPr>
            <w:tcW w:w="1091" w:type="pct"/>
          </w:tcPr>
          <w:p w:rsidR="0026770C" w:rsidRPr="001D6512" w:rsidRDefault="0026770C" w:rsidP="0026770C">
            <w:pPr>
              <w:pStyle w:val="TableCell"/>
              <w:spacing w:before="60" w:after="60"/>
            </w:pPr>
            <w:r w:rsidRPr="001D6512">
              <w:t>Fixed</w:t>
            </w:r>
          </w:p>
        </w:tc>
        <w:tc>
          <w:tcPr>
            <w:tcW w:w="1364" w:type="pct"/>
            <w:vAlign w:val="center"/>
          </w:tcPr>
          <w:p w:rsidR="0026770C" w:rsidRPr="001D6512" w:rsidRDefault="0026770C" w:rsidP="0026770C">
            <w:pPr>
              <w:pStyle w:val="TableCell"/>
              <w:spacing w:before="60" w:after="60"/>
            </w:pPr>
            <w:r w:rsidRPr="001D6512">
              <w:rPr>
                <w:rFonts w:cs="Arial"/>
                <w:sz w:val="20"/>
              </w:rPr>
              <w:t>1.5%</w:t>
            </w:r>
          </w:p>
        </w:tc>
        <w:tc>
          <w:tcPr>
            <w:tcW w:w="1273" w:type="pct"/>
          </w:tcPr>
          <w:p w:rsidR="0026770C" w:rsidRPr="001D6512" w:rsidRDefault="0026770C" w:rsidP="0026770C">
            <w:pPr>
              <w:pStyle w:val="TableCell"/>
              <w:spacing w:before="60" w:after="60"/>
            </w:pPr>
            <w:r w:rsidRPr="001D6512">
              <w:t>1</w:t>
            </w:r>
          </w:p>
        </w:tc>
      </w:tr>
      <w:tr w:rsidR="0026770C" w:rsidRPr="00C70327" w:rsidTr="0026770C">
        <w:trPr>
          <w:jc w:val="center"/>
        </w:trPr>
        <w:tc>
          <w:tcPr>
            <w:tcW w:w="1272" w:type="pct"/>
            <w:vAlign w:val="center"/>
          </w:tcPr>
          <w:p w:rsidR="0026770C" w:rsidRPr="001D6512" w:rsidRDefault="0026770C" w:rsidP="0026770C">
            <w:pPr>
              <w:pStyle w:val="TableCell"/>
              <w:spacing w:before="60" w:after="60"/>
              <w:rPr>
                <w:rFonts w:cs="Arial"/>
                <w:sz w:val="20"/>
              </w:rPr>
            </w:pPr>
            <w:r w:rsidRPr="001D6512">
              <w:rPr>
                <w:rFonts w:cs="Arial"/>
                <w:sz w:val="20"/>
              </w:rPr>
              <w:t>EER</w:t>
            </w:r>
          </w:p>
        </w:tc>
        <w:tc>
          <w:tcPr>
            <w:tcW w:w="1091" w:type="pct"/>
          </w:tcPr>
          <w:p w:rsidR="0026770C" w:rsidRPr="001D6512" w:rsidRDefault="0026770C" w:rsidP="0026770C">
            <w:pPr>
              <w:pStyle w:val="TableCell"/>
              <w:spacing w:before="60" w:after="60"/>
            </w:pPr>
            <w:r w:rsidRPr="001D6512">
              <w:t>Variable</w:t>
            </w:r>
          </w:p>
        </w:tc>
        <w:tc>
          <w:tcPr>
            <w:tcW w:w="1364" w:type="pct"/>
            <w:vAlign w:val="center"/>
          </w:tcPr>
          <w:p w:rsidR="0026770C" w:rsidRPr="001D6512" w:rsidRDefault="0026770C" w:rsidP="0026770C">
            <w:pPr>
              <w:pStyle w:val="TableCell"/>
              <w:spacing w:before="60" w:after="60"/>
            </w:pPr>
            <w:r w:rsidRPr="001D6512">
              <w:t xml:space="preserve"> Nameplate</w:t>
            </w:r>
          </w:p>
        </w:tc>
        <w:tc>
          <w:tcPr>
            <w:tcW w:w="1273" w:type="pct"/>
          </w:tcPr>
          <w:p w:rsidR="0026770C" w:rsidRPr="001D6512" w:rsidRDefault="0026770C" w:rsidP="0026770C">
            <w:pPr>
              <w:pStyle w:val="TableCell"/>
              <w:spacing w:before="60" w:after="60"/>
            </w:pPr>
            <w:r w:rsidRPr="001D6512">
              <w:t>EDC Data Gathering</w:t>
            </w:r>
          </w:p>
        </w:tc>
      </w:tr>
      <w:tr w:rsidR="0026770C" w:rsidRPr="00C70327" w:rsidTr="0026770C">
        <w:trPr>
          <w:jc w:val="center"/>
        </w:trPr>
        <w:tc>
          <w:tcPr>
            <w:tcW w:w="1272" w:type="pct"/>
            <w:vAlign w:val="center"/>
          </w:tcPr>
          <w:p w:rsidR="0026770C" w:rsidRPr="001D6512" w:rsidRDefault="0026770C" w:rsidP="0026770C">
            <w:pPr>
              <w:pStyle w:val="TableCell"/>
              <w:spacing w:before="60" w:after="60"/>
              <w:rPr>
                <w:rFonts w:cs="Arial"/>
                <w:sz w:val="20"/>
              </w:rPr>
            </w:pPr>
            <w:r w:rsidRPr="001D6512">
              <w:rPr>
                <w:rFonts w:cs="Arial"/>
                <w:sz w:val="20"/>
              </w:rPr>
              <w:t>EFLH</w:t>
            </w:r>
          </w:p>
        </w:tc>
        <w:tc>
          <w:tcPr>
            <w:tcW w:w="1091" w:type="pct"/>
          </w:tcPr>
          <w:p w:rsidR="0026770C" w:rsidRPr="001D6512" w:rsidRDefault="0026770C" w:rsidP="0026770C">
            <w:pPr>
              <w:pStyle w:val="TableCell"/>
              <w:spacing w:before="60" w:after="60"/>
            </w:pPr>
            <w:r w:rsidRPr="001D6512">
              <w:t>Fixed</w:t>
            </w:r>
          </w:p>
        </w:tc>
        <w:tc>
          <w:tcPr>
            <w:tcW w:w="1364" w:type="pct"/>
            <w:vAlign w:val="center"/>
          </w:tcPr>
          <w:p w:rsidR="0026770C" w:rsidRPr="001D6512" w:rsidRDefault="0026770C" w:rsidP="0026770C">
            <w:pPr>
              <w:pStyle w:val="TableCell"/>
              <w:spacing w:before="60" w:after="60"/>
            </w:pPr>
            <w:r w:rsidRPr="001D6512">
              <w:t>5,700</w:t>
            </w:r>
            <w:r w:rsidRPr="001D6512">
              <w:rPr>
                <w:rStyle w:val="FootnoteReference"/>
              </w:rPr>
              <w:footnoteReference w:id="257"/>
            </w:r>
          </w:p>
        </w:tc>
        <w:tc>
          <w:tcPr>
            <w:tcW w:w="1273" w:type="pct"/>
          </w:tcPr>
          <w:p w:rsidR="0026770C" w:rsidRPr="001D6512" w:rsidRDefault="0026770C" w:rsidP="0026770C">
            <w:pPr>
              <w:pStyle w:val="TableCell"/>
              <w:spacing w:before="60" w:after="60"/>
            </w:pPr>
            <w:r w:rsidRPr="001D6512">
              <w:t>1</w:t>
            </w:r>
          </w:p>
        </w:tc>
      </w:tr>
      <w:tr w:rsidR="0026770C" w:rsidRPr="00C70327" w:rsidTr="0026770C">
        <w:trPr>
          <w:jc w:val="center"/>
        </w:trPr>
        <w:tc>
          <w:tcPr>
            <w:tcW w:w="1272" w:type="pct"/>
            <w:vAlign w:val="center"/>
          </w:tcPr>
          <w:p w:rsidR="0026770C" w:rsidRPr="001D6512" w:rsidRDefault="0026770C" w:rsidP="0026770C">
            <w:pPr>
              <w:pStyle w:val="TableCell"/>
              <w:spacing w:before="60" w:after="60"/>
              <w:rPr>
                <w:rFonts w:cs="Arial"/>
                <w:sz w:val="20"/>
              </w:rPr>
            </w:pPr>
            <w:r w:rsidRPr="001D6512">
              <w:rPr>
                <w:rFonts w:cs="Arial"/>
                <w:sz w:val="20"/>
              </w:rPr>
              <w:t>Δ ASH</w:t>
            </w:r>
          </w:p>
        </w:tc>
        <w:tc>
          <w:tcPr>
            <w:tcW w:w="1091" w:type="pct"/>
          </w:tcPr>
          <w:p w:rsidR="0026770C" w:rsidRPr="001D6512" w:rsidRDefault="0026770C" w:rsidP="0026770C">
            <w:pPr>
              <w:pStyle w:val="TableCell"/>
              <w:spacing w:before="60" w:after="60"/>
            </w:pPr>
            <w:r w:rsidRPr="001D6512">
              <w:t>Fixed</w:t>
            </w:r>
          </w:p>
        </w:tc>
        <w:tc>
          <w:tcPr>
            <w:tcW w:w="1364" w:type="pct"/>
            <w:vAlign w:val="center"/>
          </w:tcPr>
          <w:p w:rsidR="0026770C" w:rsidRPr="001D6512" w:rsidRDefault="0026770C" w:rsidP="0026770C">
            <w:pPr>
              <w:pStyle w:val="TableCell"/>
              <w:spacing w:before="60" w:after="60"/>
            </w:pPr>
            <w:r w:rsidRPr="001D6512">
              <w:t>83</w:t>
            </w:r>
            <w:r w:rsidRPr="001D6512">
              <w:rPr>
                <w:rStyle w:val="FootnoteReference"/>
              </w:rPr>
              <w:footnoteReference w:id="258"/>
            </w:r>
          </w:p>
        </w:tc>
        <w:tc>
          <w:tcPr>
            <w:tcW w:w="1273" w:type="pct"/>
          </w:tcPr>
          <w:p w:rsidR="0026770C" w:rsidRPr="001D6512" w:rsidRDefault="0026770C" w:rsidP="0026770C">
            <w:pPr>
              <w:pStyle w:val="TableCell"/>
              <w:spacing w:before="60" w:after="60"/>
            </w:pPr>
            <w:r w:rsidRPr="001D6512">
              <w:t>1</w:t>
            </w:r>
          </w:p>
        </w:tc>
      </w:tr>
      <w:tr w:rsidR="0026770C" w:rsidRPr="00C70327" w:rsidTr="0026770C">
        <w:trPr>
          <w:jc w:val="center"/>
        </w:trPr>
        <w:tc>
          <w:tcPr>
            <w:tcW w:w="1272" w:type="pct"/>
            <w:vAlign w:val="center"/>
          </w:tcPr>
          <w:p w:rsidR="0026770C" w:rsidRPr="001D6512" w:rsidRDefault="0026770C" w:rsidP="0026770C">
            <w:pPr>
              <w:pStyle w:val="TableCell"/>
              <w:spacing w:before="60" w:after="60"/>
              <w:rPr>
                <w:rFonts w:cs="Arial"/>
                <w:sz w:val="20"/>
              </w:rPr>
            </w:pPr>
            <w:r w:rsidRPr="001D6512">
              <w:rPr>
                <w:rFonts w:cs="Arial"/>
                <w:sz w:val="20"/>
              </w:rPr>
              <w:t>t</w:t>
            </w:r>
          </w:p>
        </w:tc>
        <w:tc>
          <w:tcPr>
            <w:tcW w:w="1091" w:type="pct"/>
          </w:tcPr>
          <w:p w:rsidR="0026770C" w:rsidRPr="001D6512" w:rsidRDefault="0026770C" w:rsidP="0026770C">
            <w:pPr>
              <w:pStyle w:val="TableCell"/>
              <w:spacing w:before="60" w:after="60"/>
            </w:pPr>
            <w:r w:rsidRPr="001D6512">
              <w:t>Fixed</w:t>
            </w:r>
          </w:p>
        </w:tc>
        <w:tc>
          <w:tcPr>
            <w:tcW w:w="1364" w:type="pct"/>
            <w:vAlign w:val="center"/>
          </w:tcPr>
          <w:p w:rsidR="0026770C" w:rsidRPr="001D6512" w:rsidRDefault="0026770C" w:rsidP="0026770C">
            <w:pPr>
              <w:pStyle w:val="TableCell"/>
              <w:spacing w:before="60" w:after="60"/>
            </w:pPr>
            <w:r w:rsidRPr="001D6512">
              <w:t>8,760</w:t>
            </w:r>
          </w:p>
        </w:tc>
        <w:tc>
          <w:tcPr>
            <w:tcW w:w="1273" w:type="pct"/>
          </w:tcPr>
          <w:p w:rsidR="0026770C" w:rsidRPr="001D6512" w:rsidRDefault="0026770C" w:rsidP="0026770C">
            <w:pPr>
              <w:pStyle w:val="TableCell"/>
              <w:spacing w:before="60" w:after="60"/>
            </w:pPr>
            <w:r w:rsidRPr="001D6512">
              <w:t>1</w:t>
            </w:r>
          </w:p>
        </w:tc>
      </w:tr>
    </w:tbl>
    <w:p w:rsidR="0026770C" w:rsidRPr="00C70327" w:rsidRDefault="0026770C" w:rsidP="0026770C">
      <w:pPr>
        <w:spacing w:after="0"/>
      </w:pPr>
    </w:p>
    <w:p w:rsidR="0026770C" w:rsidRPr="00C70327" w:rsidRDefault="0026770C" w:rsidP="0026770C">
      <w:pPr>
        <w:keepNext/>
        <w:rPr>
          <w:b/>
        </w:rPr>
      </w:pPr>
      <w:r w:rsidRPr="00C70327">
        <w:rPr>
          <w:b/>
        </w:rPr>
        <w:t>Sources:</w:t>
      </w:r>
    </w:p>
    <w:p w:rsidR="0026770C" w:rsidRPr="00C70327" w:rsidRDefault="0026770C" w:rsidP="0005632A">
      <w:pPr>
        <w:pStyle w:val="source1"/>
        <w:numPr>
          <w:ilvl w:val="0"/>
          <w:numId w:val="101"/>
        </w:numPr>
      </w:pPr>
      <w:r w:rsidRPr="00C70327">
        <w:t>Southern California Edison. Non-Residential Express 2003 Refrigeration Work Paper. Pg. 27</w:t>
      </w:r>
    </w:p>
    <w:p w:rsidR="0026770C" w:rsidRPr="00C70327" w:rsidRDefault="0026770C" w:rsidP="00871FA2">
      <w:pPr>
        <w:pStyle w:val="Heading3"/>
      </w:pPr>
      <w:r w:rsidRPr="00C70327">
        <w:t>Measure Life</w:t>
      </w:r>
    </w:p>
    <w:p w:rsidR="0026770C" w:rsidRPr="00C70327" w:rsidRDefault="0026770C" w:rsidP="0026770C">
      <w:r w:rsidRPr="00C70327">
        <w:t xml:space="preserve">The expected measure life is </w:t>
      </w:r>
      <w:r w:rsidRPr="00C07E75">
        <w:t>1</w:t>
      </w:r>
      <w:r w:rsidRPr="005E3234">
        <w:t>5 years</w:t>
      </w:r>
      <w:r w:rsidRPr="005E3234">
        <w:rPr>
          <w:rStyle w:val="FootnoteReference"/>
        </w:rPr>
        <w:footnoteReference w:id="259"/>
      </w:r>
      <w:r w:rsidRPr="005E3234">
        <w:t>.</w:t>
      </w:r>
      <w:r w:rsidRPr="00C70327">
        <w:rPr>
          <w:b/>
        </w:rPr>
        <w:t xml:space="preserve"> </w:t>
      </w:r>
    </w:p>
    <w:p w:rsidR="00F06625" w:rsidRPr="00AA7749" w:rsidRDefault="00F06625" w:rsidP="00F05DC2"/>
    <w:p w:rsidR="00D368BF" w:rsidRDefault="00D368BF" w:rsidP="00D368BF">
      <w:pPr>
        <w:pStyle w:val="Heading2"/>
      </w:pPr>
      <w:bookmarkStart w:id="1339" w:name="_Toc276630967"/>
      <w:bookmarkStart w:id="1340" w:name="_Toc276631186"/>
      <w:bookmarkStart w:id="1341" w:name="_Toc276631410"/>
      <w:bookmarkStart w:id="1342" w:name="_Toc276631629"/>
      <w:bookmarkEnd w:id="1339"/>
      <w:bookmarkEnd w:id="1340"/>
      <w:bookmarkEnd w:id="1341"/>
      <w:bookmarkEnd w:id="1342"/>
      <w:r>
        <w:br w:type="page"/>
      </w:r>
      <w:bookmarkStart w:id="1343" w:name="_Toc310875473"/>
      <w:r>
        <w:t>ENERGY STAR Room Air Conditioner</w:t>
      </w:r>
      <w:bookmarkEnd w:id="1343"/>
    </w:p>
    <w:p w:rsidR="00D368BF" w:rsidRPr="00E75089" w:rsidRDefault="00D368BF" w:rsidP="00D368BF">
      <w:r>
        <w:t>This protocol is for ENERGY STAR room air conditioner units installed in small commercial spaces. Only ENERGY STAR units qualify for this protocol.</w:t>
      </w:r>
    </w:p>
    <w:p w:rsidR="00D368BF" w:rsidRPr="00E75089" w:rsidRDefault="00D368BF" w:rsidP="00D368BF">
      <w:pPr>
        <w:pStyle w:val="Heading3"/>
      </w:pPr>
      <w:r w:rsidRPr="00E75089">
        <w:t>Algorithms</w:t>
      </w:r>
    </w:p>
    <w:p w:rsidR="00D368BF" w:rsidRDefault="00D368BF" w:rsidP="00D368BF">
      <w:pPr>
        <w:pStyle w:val="Equation"/>
        <w:rPr>
          <w:rFonts w:cs="Arial"/>
          <w:szCs w:val="20"/>
        </w:rPr>
      </w:pPr>
      <w:r w:rsidRPr="00F5204A">
        <w:rPr>
          <w:rFonts w:cs="Arial"/>
          <w:szCs w:val="20"/>
        </w:rPr>
        <w:sym w:font="Symbol" w:char="F044"/>
      </w:r>
      <w:r w:rsidRPr="00F5204A">
        <w:rPr>
          <w:rFonts w:cs="Arial"/>
          <w:szCs w:val="20"/>
        </w:rPr>
        <w:t>kWh</w:t>
      </w:r>
      <w:r w:rsidRPr="00F5204A">
        <w:rPr>
          <w:rFonts w:cs="Arial"/>
          <w:szCs w:val="20"/>
        </w:rPr>
        <w:tab/>
      </w:r>
      <w:r w:rsidRPr="00F5204A">
        <w:rPr>
          <w:rFonts w:cs="Arial"/>
          <w:szCs w:val="20"/>
        </w:rPr>
        <w:tab/>
        <w:t>= (BtuH</w:t>
      </w:r>
      <w:r w:rsidR="002751ED">
        <w:rPr>
          <w:rFonts w:cs="Arial"/>
          <w:szCs w:val="20"/>
          <w:vertAlign w:val="subscript"/>
        </w:rPr>
        <w:t>cool</w:t>
      </w:r>
      <w:r w:rsidRPr="00F5204A">
        <w:rPr>
          <w:rFonts w:cs="Arial"/>
          <w:szCs w:val="20"/>
        </w:rPr>
        <w:t xml:space="preserve"> / 1000) X (1/EER</w:t>
      </w:r>
      <w:r w:rsidRPr="00F5204A">
        <w:rPr>
          <w:rFonts w:cs="Arial"/>
          <w:szCs w:val="20"/>
          <w:vertAlign w:val="subscript"/>
        </w:rPr>
        <w:t>base</w:t>
      </w:r>
      <w:r w:rsidRPr="00F5204A">
        <w:rPr>
          <w:rFonts w:cs="Arial"/>
          <w:szCs w:val="20"/>
        </w:rPr>
        <w:t xml:space="preserve"> – 1/EER</w:t>
      </w:r>
      <w:r w:rsidRPr="00F5204A">
        <w:rPr>
          <w:rFonts w:cs="Arial"/>
          <w:szCs w:val="20"/>
          <w:vertAlign w:val="subscript"/>
        </w:rPr>
        <w:t>ee</w:t>
      </w:r>
      <w:r w:rsidRPr="00F5204A">
        <w:rPr>
          <w:rFonts w:cs="Arial"/>
          <w:szCs w:val="20"/>
        </w:rPr>
        <w:t>) X EFLH</w:t>
      </w:r>
      <w:r w:rsidRPr="00212DB6">
        <w:rPr>
          <w:rFonts w:cs="Arial"/>
          <w:szCs w:val="20"/>
          <w:vertAlign w:val="subscript"/>
        </w:rPr>
        <w:t>cool</w:t>
      </w:r>
      <w:r w:rsidRPr="00F5204A">
        <w:rPr>
          <w:rFonts w:cs="Arial"/>
          <w:szCs w:val="20"/>
        </w:rPr>
        <w:t xml:space="preserve"> </w:t>
      </w:r>
    </w:p>
    <w:p w:rsidR="00D368BF" w:rsidRPr="00861542" w:rsidRDefault="00D368BF" w:rsidP="00D368BF">
      <w:pPr>
        <w:pStyle w:val="Equation"/>
        <w:rPr>
          <w:rFonts w:cs="Arial"/>
          <w:szCs w:val="20"/>
        </w:rPr>
      </w:pPr>
      <w:r w:rsidRPr="00F5204A">
        <w:rPr>
          <w:rFonts w:cs="Arial"/>
          <w:szCs w:val="20"/>
        </w:rPr>
        <w:sym w:font="Symbol" w:char="F044"/>
      </w:r>
      <w:r w:rsidRPr="00F5204A">
        <w:rPr>
          <w:rFonts w:cs="Arial"/>
          <w:szCs w:val="20"/>
        </w:rPr>
        <w:t>kW</w:t>
      </w:r>
      <w:r w:rsidRPr="00F5204A">
        <w:rPr>
          <w:rFonts w:cs="Arial"/>
          <w:szCs w:val="20"/>
          <w:vertAlign w:val="subscript"/>
        </w:rPr>
        <w:t>peak</w:t>
      </w:r>
      <w:r w:rsidRPr="00F5204A">
        <w:rPr>
          <w:rFonts w:cs="Arial"/>
          <w:szCs w:val="20"/>
          <w:vertAlign w:val="subscript"/>
        </w:rPr>
        <w:tab/>
      </w:r>
      <w:r w:rsidRPr="00F5204A">
        <w:rPr>
          <w:rFonts w:cs="Arial"/>
          <w:szCs w:val="20"/>
        </w:rPr>
        <w:tab/>
        <w:t>= (BtuH</w:t>
      </w:r>
      <w:r w:rsidR="002751ED">
        <w:rPr>
          <w:rFonts w:cs="Arial"/>
          <w:szCs w:val="20"/>
          <w:vertAlign w:val="subscript"/>
        </w:rPr>
        <w:t>cool</w:t>
      </w:r>
      <w:r w:rsidRPr="00F5204A">
        <w:rPr>
          <w:rFonts w:cs="Arial"/>
          <w:szCs w:val="20"/>
        </w:rPr>
        <w:t xml:space="preserve"> / 1000) X (1/EER</w:t>
      </w:r>
      <w:r w:rsidRPr="00F5204A">
        <w:rPr>
          <w:rFonts w:cs="Arial"/>
          <w:szCs w:val="20"/>
          <w:vertAlign w:val="subscript"/>
        </w:rPr>
        <w:t>base</w:t>
      </w:r>
      <w:r w:rsidRPr="00F5204A">
        <w:rPr>
          <w:rFonts w:cs="Arial"/>
          <w:szCs w:val="20"/>
        </w:rPr>
        <w:t xml:space="preserve"> – 1/EER</w:t>
      </w:r>
      <w:r w:rsidRPr="00F5204A">
        <w:rPr>
          <w:rFonts w:cs="Arial"/>
          <w:szCs w:val="20"/>
          <w:vertAlign w:val="subscript"/>
        </w:rPr>
        <w:t>ee</w:t>
      </w:r>
      <w:r w:rsidRPr="00F5204A">
        <w:rPr>
          <w:rFonts w:cs="Arial"/>
          <w:szCs w:val="20"/>
        </w:rPr>
        <w:t xml:space="preserve">) X CF </w:t>
      </w:r>
    </w:p>
    <w:p w:rsidR="00D368BF" w:rsidRPr="00E75089" w:rsidRDefault="00D368BF" w:rsidP="00D368BF">
      <w:pPr>
        <w:pStyle w:val="Heading3"/>
      </w:pPr>
      <w:r w:rsidRPr="00E75089">
        <w:t xml:space="preserve">Definition of </w:t>
      </w:r>
      <w:r>
        <w:t>Terms</w:t>
      </w:r>
    </w:p>
    <w:p w:rsidR="00D368BF" w:rsidRPr="00A41BC2" w:rsidRDefault="00D368BF" w:rsidP="00D368BF">
      <w:pPr>
        <w:pStyle w:val="Equation"/>
        <w:rPr>
          <w:rFonts w:cs="Arial"/>
          <w:szCs w:val="20"/>
        </w:rPr>
      </w:pPr>
      <w:r w:rsidRPr="00F5204A">
        <w:rPr>
          <w:rFonts w:cs="Arial"/>
          <w:szCs w:val="20"/>
        </w:rPr>
        <w:tab/>
        <w:t>BtuH</w:t>
      </w:r>
      <w:r w:rsidRPr="00F5204A">
        <w:rPr>
          <w:rFonts w:cs="Arial"/>
          <w:szCs w:val="20"/>
          <w:vertAlign w:val="subscript"/>
        </w:rPr>
        <w:t>cool</w:t>
      </w:r>
      <w:r w:rsidRPr="00F5204A">
        <w:rPr>
          <w:rFonts w:cs="Arial"/>
          <w:szCs w:val="20"/>
        </w:rPr>
        <w:tab/>
        <w:t>= Rated cooling capacity of the energy efficient unit in BtuH</w:t>
      </w:r>
      <w:r w:rsidRPr="00F5204A">
        <w:rPr>
          <w:rFonts w:cs="Arial"/>
          <w:szCs w:val="20"/>
          <w:vertAlign w:val="subscript"/>
        </w:rPr>
        <w:t>cool</w:t>
      </w:r>
    </w:p>
    <w:p w:rsidR="00D368BF" w:rsidRPr="00F5204A" w:rsidRDefault="00D368BF" w:rsidP="00D368BF">
      <w:pPr>
        <w:pStyle w:val="Equation"/>
        <w:rPr>
          <w:rFonts w:cs="Arial"/>
          <w:szCs w:val="20"/>
        </w:rPr>
      </w:pPr>
      <w:r w:rsidRPr="00F5204A">
        <w:rPr>
          <w:rFonts w:cs="Arial"/>
          <w:szCs w:val="20"/>
        </w:rPr>
        <w:tab/>
        <w:t>EER</w:t>
      </w:r>
      <w:r w:rsidRPr="00F5204A">
        <w:rPr>
          <w:rFonts w:cs="Arial"/>
          <w:szCs w:val="20"/>
          <w:vertAlign w:val="subscript"/>
        </w:rPr>
        <w:t>base</w:t>
      </w:r>
      <w:r w:rsidRPr="00F5204A">
        <w:rPr>
          <w:rFonts w:cs="Arial"/>
          <w:szCs w:val="20"/>
        </w:rPr>
        <w:t xml:space="preserve"> </w:t>
      </w:r>
      <w:r w:rsidRPr="00F5204A">
        <w:rPr>
          <w:rFonts w:cs="Arial"/>
          <w:szCs w:val="20"/>
        </w:rPr>
        <w:tab/>
        <w:t xml:space="preserve">= Efficiency rating of the baseline unit.  </w:t>
      </w:r>
    </w:p>
    <w:p w:rsidR="00D368BF" w:rsidRPr="00D368BF" w:rsidRDefault="00D368BF" w:rsidP="00D368BF">
      <w:pPr>
        <w:pStyle w:val="Equation"/>
        <w:rPr>
          <w:rFonts w:cs="Arial"/>
          <w:szCs w:val="20"/>
        </w:rPr>
      </w:pPr>
      <w:r w:rsidRPr="00F5204A">
        <w:rPr>
          <w:rFonts w:cs="Arial"/>
          <w:szCs w:val="20"/>
        </w:rPr>
        <w:tab/>
        <w:t>EER</w:t>
      </w:r>
      <w:r w:rsidRPr="00F5204A">
        <w:rPr>
          <w:rFonts w:cs="Arial"/>
          <w:szCs w:val="20"/>
          <w:vertAlign w:val="subscript"/>
        </w:rPr>
        <w:t>ee</w:t>
      </w:r>
      <w:r w:rsidRPr="00F5204A">
        <w:rPr>
          <w:rFonts w:cs="Arial"/>
          <w:szCs w:val="20"/>
        </w:rPr>
        <w:t xml:space="preserve"> </w:t>
      </w:r>
      <w:r w:rsidRPr="00F5204A">
        <w:rPr>
          <w:rFonts w:cs="Arial"/>
          <w:szCs w:val="20"/>
        </w:rPr>
        <w:tab/>
        <w:t xml:space="preserve">= Efficiency rating of the energy efficiency unit. </w:t>
      </w:r>
    </w:p>
    <w:p w:rsidR="00D368BF" w:rsidRPr="00F5204A" w:rsidRDefault="00D368BF" w:rsidP="00D368BF">
      <w:pPr>
        <w:pStyle w:val="Equation"/>
        <w:rPr>
          <w:rFonts w:cs="Arial"/>
          <w:szCs w:val="20"/>
        </w:rPr>
      </w:pPr>
      <w:r w:rsidRPr="00F5204A">
        <w:rPr>
          <w:rFonts w:cs="Arial"/>
          <w:szCs w:val="20"/>
        </w:rPr>
        <w:tab/>
        <w:t xml:space="preserve">CF </w:t>
      </w:r>
      <w:r w:rsidRPr="00F5204A">
        <w:rPr>
          <w:rFonts w:cs="Arial"/>
          <w:szCs w:val="20"/>
        </w:rPr>
        <w:tab/>
        <w:t>= Demand Coincidence Factor (See Section 1.4)</w:t>
      </w:r>
    </w:p>
    <w:p w:rsidR="00D368BF" w:rsidRPr="00F5204A" w:rsidRDefault="00D368BF" w:rsidP="00D368BF">
      <w:pPr>
        <w:pStyle w:val="Equation"/>
        <w:rPr>
          <w:rFonts w:cs="Arial"/>
          <w:szCs w:val="20"/>
        </w:rPr>
      </w:pPr>
      <w:r w:rsidRPr="00F5204A">
        <w:rPr>
          <w:rFonts w:cs="Arial"/>
          <w:szCs w:val="20"/>
        </w:rPr>
        <w:tab/>
        <w:t>EFLH</w:t>
      </w:r>
      <w:r w:rsidRPr="00F5204A">
        <w:rPr>
          <w:rFonts w:cs="Arial"/>
          <w:szCs w:val="20"/>
          <w:vertAlign w:val="subscript"/>
        </w:rPr>
        <w:t>cool</w:t>
      </w:r>
      <w:r w:rsidRPr="00F5204A">
        <w:rPr>
          <w:rFonts w:cs="Arial"/>
          <w:szCs w:val="20"/>
        </w:rPr>
        <w:t xml:space="preserve"> </w:t>
      </w:r>
      <w:r w:rsidRPr="00F5204A">
        <w:rPr>
          <w:rFonts w:cs="Arial"/>
          <w:szCs w:val="20"/>
        </w:rPr>
        <w:tab/>
        <w:t>= Equivalent Full Load Hours for the cooling season – The kWh during the entire operating season divided by the kW at design conditions.</w:t>
      </w:r>
    </w:p>
    <w:p w:rsidR="00D368BF" w:rsidRDefault="00D368BF" w:rsidP="002751ED">
      <w:pPr>
        <w:pStyle w:val="StyleCaptionCentered"/>
      </w:pPr>
      <w:bookmarkStart w:id="1344" w:name="_Toc310875650"/>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w:instrText>
      </w:r>
      <w:r w:rsidR="00274AB1">
        <w:instrText xml:space="preserve">BIC \s 1 </w:instrText>
      </w:r>
      <w:r w:rsidR="00274AB1">
        <w:fldChar w:fldCharType="separate"/>
      </w:r>
      <w:r w:rsidR="00C0292F">
        <w:rPr>
          <w:noProof/>
        </w:rPr>
        <w:t>98</w:t>
      </w:r>
      <w:r w:rsidR="00274AB1">
        <w:rPr>
          <w:noProof/>
        </w:rPr>
        <w:fldChar w:fldCharType="end"/>
      </w:r>
      <w:r>
        <w:t>: Variables for HVAC Systems</w:t>
      </w:r>
      <w:bookmarkEnd w:id="13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08"/>
        <w:gridCol w:w="1065"/>
        <w:gridCol w:w="3156"/>
        <w:gridCol w:w="2727"/>
      </w:tblGrid>
      <w:tr w:rsidR="00D368BF" w:rsidRPr="00530167" w:rsidTr="002751ED">
        <w:trPr>
          <w:trHeight w:val="20"/>
          <w:tblHeader/>
          <w:jc w:val="center"/>
        </w:trPr>
        <w:tc>
          <w:tcPr>
            <w:tcW w:w="1908" w:type="dxa"/>
            <w:shd w:val="clear" w:color="auto" w:fill="BFBFBF"/>
            <w:vAlign w:val="center"/>
          </w:tcPr>
          <w:p w:rsidR="00D368BF" w:rsidRPr="001D6512" w:rsidRDefault="00D368BF" w:rsidP="002204F6">
            <w:pPr>
              <w:pStyle w:val="TableCell"/>
              <w:spacing w:before="60" w:after="60"/>
              <w:rPr>
                <w:rFonts w:cs="Arial"/>
                <w:b/>
              </w:rPr>
            </w:pPr>
            <w:r w:rsidRPr="001D6512">
              <w:rPr>
                <w:rFonts w:cs="Arial"/>
                <w:b/>
              </w:rPr>
              <w:t>Component</w:t>
            </w:r>
          </w:p>
        </w:tc>
        <w:tc>
          <w:tcPr>
            <w:tcW w:w="1065" w:type="dxa"/>
            <w:shd w:val="clear" w:color="auto" w:fill="BFBFBF"/>
            <w:vAlign w:val="center"/>
          </w:tcPr>
          <w:p w:rsidR="00D368BF" w:rsidRPr="001D6512" w:rsidRDefault="00D368BF" w:rsidP="002204F6">
            <w:pPr>
              <w:pStyle w:val="TableCell"/>
              <w:spacing w:before="60" w:after="60"/>
              <w:rPr>
                <w:rFonts w:cs="Arial"/>
                <w:b/>
              </w:rPr>
            </w:pPr>
            <w:r w:rsidRPr="001D6512">
              <w:rPr>
                <w:rFonts w:cs="Arial"/>
                <w:b/>
              </w:rPr>
              <w:t>Type</w:t>
            </w:r>
          </w:p>
        </w:tc>
        <w:tc>
          <w:tcPr>
            <w:tcW w:w="3156" w:type="dxa"/>
            <w:shd w:val="clear" w:color="auto" w:fill="BFBFBF"/>
            <w:vAlign w:val="center"/>
          </w:tcPr>
          <w:p w:rsidR="00D368BF" w:rsidRPr="001D6512" w:rsidRDefault="00D368BF" w:rsidP="002204F6">
            <w:pPr>
              <w:pStyle w:val="TableCell"/>
              <w:spacing w:before="60" w:after="60"/>
              <w:rPr>
                <w:rFonts w:cs="Arial"/>
                <w:b/>
              </w:rPr>
            </w:pPr>
            <w:r w:rsidRPr="001D6512">
              <w:rPr>
                <w:rFonts w:cs="Arial"/>
                <w:b/>
              </w:rPr>
              <w:t>Value</w:t>
            </w:r>
          </w:p>
        </w:tc>
        <w:tc>
          <w:tcPr>
            <w:tcW w:w="2727" w:type="dxa"/>
            <w:shd w:val="clear" w:color="auto" w:fill="BFBFBF"/>
            <w:vAlign w:val="center"/>
          </w:tcPr>
          <w:p w:rsidR="00D368BF" w:rsidRPr="001D6512" w:rsidRDefault="00D368BF" w:rsidP="002204F6">
            <w:pPr>
              <w:pStyle w:val="TableCell"/>
              <w:spacing w:before="60" w:after="60"/>
              <w:rPr>
                <w:rFonts w:cs="Arial"/>
                <w:b/>
              </w:rPr>
            </w:pPr>
            <w:r w:rsidRPr="001D6512">
              <w:rPr>
                <w:rFonts w:cs="Arial"/>
                <w:b/>
              </w:rPr>
              <w:t>Source</w:t>
            </w:r>
          </w:p>
        </w:tc>
      </w:tr>
      <w:tr w:rsidR="00D368BF" w:rsidRPr="00530167" w:rsidTr="002751ED">
        <w:trPr>
          <w:trHeight w:val="20"/>
          <w:jc w:val="center"/>
        </w:trPr>
        <w:tc>
          <w:tcPr>
            <w:tcW w:w="1908" w:type="dxa"/>
            <w:vAlign w:val="center"/>
          </w:tcPr>
          <w:p w:rsidR="00D368BF" w:rsidRPr="001D6512" w:rsidRDefault="00D368BF" w:rsidP="002204F6">
            <w:pPr>
              <w:pStyle w:val="TableCell"/>
              <w:spacing w:before="60" w:after="60"/>
              <w:rPr>
                <w:rFonts w:cs="Arial"/>
              </w:rPr>
            </w:pPr>
            <w:r w:rsidRPr="001D6512">
              <w:rPr>
                <w:rFonts w:cs="Arial"/>
              </w:rPr>
              <w:t>BtuH</w:t>
            </w:r>
          </w:p>
        </w:tc>
        <w:tc>
          <w:tcPr>
            <w:tcW w:w="1065" w:type="dxa"/>
            <w:vAlign w:val="center"/>
          </w:tcPr>
          <w:p w:rsidR="00D368BF" w:rsidRPr="001D6512" w:rsidRDefault="00D368BF" w:rsidP="002204F6">
            <w:pPr>
              <w:pStyle w:val="TableCell"/>
              <w:spacing w:before="60" w:after="60"/>
              <w:rPr>
                <w:rFonts w:cs="Arial"/>
              </w:rPr>
            </w:pPr>
            <w:r w:rsidRPr="001D6512">
              <w:rPr>
                <w:rFonts w:cs="Arial"/>
              </w:rPr>
              <w:t>Variable</w:t>
            </w:r>
          </w:p>
        </w:tc>
        <w:tc>
          <w:tcPr>
            <w:tcW w:w="3156" w:type="dxa"/>
            <w:vAlign w:val="center"/>
          </w:tcPr>
          <w:p w:rsidR="00D368BF" w:rsidRPr="001D6512" w:rsidRDefault="00D368BF" w:rsidP="002204F6">
            <w:pPr>
              <w:pStyle w:val="TableCell"/>
              <w:spacing w:before="60" w:after="60"/>
              <w:rPr>
                <w:rFonts w:cs="Arial"/>
              </w:rPr>
            </w:pPr>
            <w:r w:rsidRPr="001D6512">
              <w:rPr>
                <w:rFonts w:cs="Arial"/>
              </w:rPr>
              <w:t>Nameplate data (AHRI or AHAM)</w:t>
            </w:r>
          </w:p>
        </w:tc>
        <w:tc>
          <w:tcPr>
            <w:tcW w:w="2727" w:type="dxa"/>
            <w:vAlign w:val="center"/>
          </w:tcPr>
          <w:p w:rsidR="00D368BF" w:rsidRPr="001D6512" w:rsidRDefault="00D368BF" w:rsidP="002204F6">
            <w:pPr>
              <w:pStyle w:val="TableCell"/>
              <w:spacing w:before="60" w:after="60"/>
              <w:rPr>
                <w:rFonts w:cs="Arial"/>
              </w:rPr>
            </w:pPr>
            <w:r w:rsidRPr="001D6512">
              <w:rPr>
                <w:rFonts w:cs="Arial"/>
              </w:rPr>
              <w:t>EDC’s Data Gathering</w:t>
            </w:r>
          </w:p>
        </w:tc>
      </w:tr>
      <w:tr w:rsidR="00D368BF" w:rsidRPr="00530167" w:rsidTr="002751ED">
        <w:trPr>
          <w:trHeight w:val="20"/>
          <w:jc w:val="center"/>
        </w:trPr>
        <w:tc>
          <w:tcPr>
            <w:tcW w:w="1908" w:type="dxa"/>
            <w:vAlign w:val="center"/>
          </w:tcPr>
          <w:p w:rsidR="00D368BF" w:rsidRPr="001D6512" w:rsidRDefault="00D368BF" w:rsidP="002204F6">
            <w:pPr>
              <w:pStyle w:val="TableCell"/>
              <w:spacing w:before="60" w:after="60"/>
              <w:rPr>
                <w:rFonts w:cs="Arial"/>
              </w:rPr>
            </w:pPr>
            <w:r w:rsidRPr="001D6512">
              <w:rPr>
                <w:rFonts w:cs="Arial"/>
              </w:rPr>
              <w:t>EER</w:t>
            </w:r>
            <w:r w:rsidRPr="001D6512">
              <w:rPr>
                <w:rFonts w:cs="Arial"/>
                <w:vertAlign w:val="subscript"/>
              </w:rPr>
              <w:t>base</w:t>
            </w:r>
          </w:p>
        </w:tc>
        <w:tc>
          <w:tcPr>
            <w:tcW w:w="1065" w:type="dxa"/>
            <w:vAlign w:val="center"/>
          </w:tcPr>
          <w:p w:rsidR="00D368BF" w:rsidRPr="001D6512" w:rsidRDefault="00D368BF" w:rsidP="002204F6">
            <w:pPr>
              <w:pStyle w:val="TableCell"/>
              <w:spacing w:before="60" w:after="60"/>
              <w:rPr>
                <w:rFonts w:cs="Arial"/>
              </w:rPr>
            </w:pPr>
            <w:r w:rsidRPr="001D6512">
              <w:rPr>
                <w:rFonts w:cs="Arial"/>
              </w:rPr>
              <w:t>Variable</w:t>
            </w:r>
          </w:p>
        </w:tc>
        <w:tc>
          <w:tcPr>
            <w:tcW w:w="3156" w:type="dxa"/>
            <w:vAlign w:val="center"/>
          </w:tcPr>
          <w:p w:rsidR="00D368BF" w:rsidRPr="001D6512" w:rsidRDefault="00D368BF" w:rsidP="00D368BF">
            <w:pPr>
              <w:pStyle w:val="TableCell"/>
              <w:spacing w:before="60" w:after="60"/>
              <w:rPr>
                <w:rFonts w:cs="Arial"/>
              </w:rPr>
            </w:pPr>
            <w:r w:rsidRPr="001D6512">
              <w:rPr>
                <w:rFonts w:cs="Arial"/>
              </w:rPr>
              <w:t xml:space="preserve">Default values from </w:t>
            </w:r>
            <w:r w:rsidR="007A1FB6" w:rsidRPr="001D6512">
              <w:fldChar w:fldCharType="begin"/>
            </w:r>
            <w:r w:rsidRPr="001D6512">
              <w:rPr>
                <w:rFonts w:cs="Arial"/>
              </w:rPr>
              <w:instrText xml:space="preserve"> REF _Ref303341030 \h </w:instrText>
            </w:r>
            <w:r w:rsidR="007A1FB6" w:rsidRPr="001D6512">
              <w:fldChar w:fldCharType="separate"/>
            </w:r>
            <w:r w:rsidR="00C0292F">
              <w:t xml:space="preserve">Table </w:t>
            </w:r>
            <w:r w:rsidR="00C0292F">
              <w:rPr>
                <w:noProof/>
              </w:rPr>
              <w:t>3</w:t>
            </w:r>
            <w:r w:rsidR="00C0292F">
              <w:noBreakHyphen/>
            </w:r>
            <w:r w:rsidR="00C0292F">
              <w:rPr>
                <w:noProof/>
              </w:rPr>
              <w:t>99</w:t>
            </w:r>
            <w:r w:rsidR="007A1FB6" w:rsidRPr="001D6512">
              <w:fldChar w:fldCharType="end"/>
            </w:r>
          </w:p>
        </w:tc>
        <w:tc>
          <w:tcPr>
            <w:tcW w:w="2727" w:type="dxa"/>
            <w:vAlign w:val="center"/>
          </w:tcPr>
          <w:p w:rsidR="00D368BF" w:rsidRPr="001D6512" w:rsidRDefault="00D368BF" w:rsidP="002204F6">
            <w:pPr>
              <w:pStyle w:val="TableCell"/>
              <w:spacing w:before="60" w:after="60"/>
              <w:rPr>
                <w:rFonts w:cs="Arial"/>
              </w:rPr>
            </w:pPr>
            <w:r w:rsidRPr="001D6512">
              <w:rPr>
                <w:rFonts w:cs="Arial"/>
              </w:rPr>
              <w:t xml:space="preserve">See </w:t>
            </w:r>
            <w:r w:rsidR="007A1FB6" w:rsidRPr="001D6512">
              <w:fldChar w:fldCharType="begin"/>
            </w:r>
            <w:r w:rsidRPr="001D6512">
              <w:rPr>
                <w:rFonts w:cs="Arial"/>
              </w:rPr>
              <w:instrText xml:space="preserve"> REF _Ref303341030 \h </w:instrText>
            </w:r>
            <w:r w:rsidR="007A1FB6" w:rsidRPr="001D6512">
              <w:fldChar w:fldCharType="separate"/>
            </w:r>
            <w:r w:rsidR="00C0292F">
              <w:t xml:space="preserve">Table </w:t>
            </w:r>
            <w:r w:rsidR="00C0292F">
              <w:rPr>
                <w:noProof/>
              </w:rPr>
              <w:t>3</w:t>
            </w:r>
            <w:r w:rsidR="00C0292F">
              <w:noBreakHyphen/>
            </w:r>
            <w:r w:rsidR="00C0292F">
              <w:rPr>
                <w:noProof/>
              </w:rPr>
              <w:t>99</w:t>
            </w:r>
            <w:r w:rsidR="007A1FB6" w:rsidRPr="001D6512">
              <w:fldChar w:fldCharType="end"/>
            </w:r>
          </w:p>
        </w:tc>
      </w:tr>
      <w:tr w:rsidR="00D368BF" w:rsidRPr="00530167" w:rsidTr="002751ED">
        <w:trPr>
          <w:trHeight w:val="20"/>
          <w:jc w:val="center"/>
        </w:trPr>
        <w:tc>
          <w:tcPr>
            <w:tcW w:w="1908" w:type="dxa"/>
            <w:vAlign w:val="center"/>
          </w:tcPr>
          <w:p w:rsidR="00D368BF" w:rsidRPr="001D6512" w:rsidRDefault="00D368BF" w:rsidP="002204F6">
            <w:pPr>
              <w:pStyle w:val="TableCell"/>
              <w:spacing w:before="60" w:after="60"/>
              <w:rPr>
                <w:rFonts w:cs="Arial"/>
              </w:rPr>
            </w:pPr>
            <w:r w:rsidRPr="001D6512">
              <w:rPr>
                <w:rFonts w:cs="Arial"/>
              </w:rPr>
              <w:t>EER</w:t>
            </w:r>
            <w:r w:rsidRPr="001D6512">
              <w:rPr>
                <w:rFonts w:cs="Arial"/>
                <w:vertAlign w:val="subscript"/>
              </w:rPr>
              <w:t>ee</w:t>
            </w:r>
          </w:p>
        </w:tc>
        <w:tc>
          <w:tcPr>
            <w:tcW w:w="1065" w:type="dxa"/>
            <w:vAlign w:val="center"/>
          </w:tcPr>
          <w:p w:rsidR="00D368BF" w:rsidRPr="001D6512" w:rsidRDefault="00D368BF" w:rsidP="002204F6">
            <w:pPr>
              <w:pStyle w:val="TableCell"/>
              <w:spacing w:before="60" w:after="60"/>
              <w:rPr>
                <w:rFonts w:cs="Arial"/>
              </w:rPr>
            </w:pPr>
            <w:r w:rsidRPr="001D6512">
              <w:rPr>
                <w:rFonts w:cs="Arial"/>
              </w:rPr>
              <w:t>Variable</w:t>
            </w:r>
          </w:p>
        </w:tc>
        <w:tc>
          <w:tcPr>
            <w:tcW w:w="3156" w:type="dxa"/>
            <w:vAlign w:val="center"/>
          </w:tcPr>
          <w:p w:rsidR="00D368BF" w:rsidRPr="001D6512" w:rsidRDefault="00D368BF" w:rsidP="002204F6">
            <w:pPr>
              <w:pStyle w:val="TableCell"/>
              <w:spacing w:before="60" w:after="60"/>
              <w:rPr>
                <w:rFonts w:cs="Arial"/>
              </w:rPr>
            </w:pPr>
            <w:r w:rsidRPr="001D6512">
              <w:rPr>
                <w:rFonts w:cs="Arial"/>
              </w:rPr>
              <w:t>Nameplate data (AHRI or AHAM)</w:t>
            </w:r>
          </w:p>
        </w:tc>
        <w:tc>
          <w:tcPr>
            <w:tcW w:w="2727" w:type="dxa"/>
            <w:vAlign w:val="center"/>
          </w:tcPr>
          <w:p w:rsidR="00D368BF" w:rsidRPr="001D6512" w:rsidRDefault="00D368BF" w:rsidP="002204F6">
            <w:pPr>
              <w:pStyle w:val="TableCell"/>
              <w:spacing w:before="60" w:after="60"/>
              <w:rPr>
                <w:rFonts w:cs="Arial"/>
              </w:rPr>
            </w:pPr>
            <w:r w:rsidRPr="001D6512">
              <w:rPr>
                <w:rFonts w:cs="Arial"/>
              </w:rPr>
              <w:t>EDC’s Data Gathering</w:t>
            </w:r>
          </w:p>
        </w:tc>
      </w:tr>
      <w:tr w:rsidR="00D368BF" w:rsidRPr="00530167" w:rsidTr="002751ED">
        <w:trPr>
          <w:trHeight w:val="20"/>
          <w:jc w:val="center"/>
        </w:trPr>
        <w:tc>
          <w:tcPr>
            <w:tcW w:w="1908" w:type="dxa"/>
            <w:vAlign w:val="center"/>
          </w:tcPr>
          <w:p w:rsidR="00D368BF" w:rsidRPr="001D6512" w:rsidRDefault="00D368BF" w:rsidP="002204F6">
            <w:pPr>
              <w:pStyle w:val="TableCell"/>
              <w:spacing w:before="60" w:after="60"/>
              <w:rPr>
                <w:rFonts w:cs="Arial"/>
              </w:rPr>
            </w:pPr>
            <w:r w:rsidRPr="001D6512">
              <w:rPr>
                <w:rFonts w:cs="Arial"/>
              </w:rPr>
              <w:t>CF</w:t>
            </w:r>
          </w:p>
        </w:tc>
        <w:tc>
          <w:tcPr>
            <w:tcW w:w="1065" w:type="dxa"/>
            <w:vAlign w:val="center"/>
          </w:tcPr>
          <w:p w:rsidR="00D368BF" w:rsidRPr="001D6512" w:rsidRDefault="00D368BF" w:rsidP="002204F6">
            <w:pPr>
              <w:pStyle w:val="TableCell"/>
              <w:spacing w:before="60" w:after="60"/>
              <w:rPr>
                <w:rFonts w:cs="Arial"/>
              </w:rPr>
            </w:pPr>
            <w:r w:rsidRPr="001D6512">
              <w:rPr>
                <w:rFonts w:cs="Arial"/>
              </w:rPr>
              <w:t>Fixed</w:t>
            </w:r>
          </w:p>
        </w:tc>
        <w:tc>
          <w:tcPr>
            <w:tcW w:w="3156" w:type="dxa"/>
            <w:vAlign w:val="center"/>
          </w:tcPr>
          <w:p w:rsidR="00D368BF" w:rsidRPr="001D6512" w:rsidRDefault="00D368BF" w:rsidP="002204F6">
            <w:pPr>
              <w:pStyle w:val="TableCell"/>
              <w:spacing w:before="60" w:after="60"/>
              <w:rPr>
                <w:rFonts w:cs="Arial"/>
              </w:rPr>
            </w:pPr>
            <w:r w:rsidRPr="001D6512">
              <w:rPr>
                <w:rFonts w:cs="Arial"/>
              </w:rPr>
              <w:t>80%</w:t>
            </w:r>
          </w:p>
        </w:tc>
        <w:tc>
          <w:tcPr>
            <w:tcW w:w="2727" w:type="dxa"/>
            <w:vAlign w:val="center"/>
          </w:tcPr>
          <w:p w:rsidR="00D368BF" w:rsidRPr="001D6512" w:rsidRDefault="00D368BF" w:rsidP="002204F6">
            <w:pPr>
              <w:pStyle w:val="TableCell"/>
              <w:spacing w:before="60" w:after="60"/>
              <w:rPr>
                <w:rFonts w:cs="Arial"/>
              </w:rPr>
            </w:pPr>
            <w:r w:rsidRPr="001D6512">
              <w:rPr>
                <w:rFonts w:cs="Arial"/>
              </w:rPr>
              <w:t>2</w:t>
            </w:r>
          </w:p>
        </w:tc>
      </w:tr>
      <w:tr w:rsidR="00D368BF" w:rsidRPr="00530167" w:rsidTr="002751ED">
        <w:trPr>
          <w:trHeight w:val="20"/>
          <w:jc w:val="center"/>
        </w:trPr>
        <w:tc>
          <w:tcPr>
            <w:tcW w:w="1908" w:type="dxa"/>
            <w:vMerge w:val="restart"/>
            <w:vAlign w:val="center"/>
          </w:tcPr>
          <w:p w:rsidR="00D368BF" w:rsidRPr="001D6512" w:rsidRDefault="00D368BF" w:rsidP="002204F6">
            <w:pPr>
              <w:pStyle w:val="TableCell"/>
              <w:spacing w:before="60" w:after="60"/>
              <w:rPr>
                <w:rFonts w:cs="Arial"/>
              </w:rPr>
            </w:pPr>
            <w:r w:rsidRPr="001D6512">
              <w:rPr>
                <w:rFonts w:cs="Arial"/>
              </w:rPr>
              <w:t>EFLH</w:t>
            </w:r>
            <w:r w:rsidRPr="001D6512">
              <w:rPr>
                <w:rFonts w:cs="Arial"/>
                <w:vertAlign w:val="subscript"/>
              </w:rPr>
              <w:t>cool</w:t>
            </w:r>
          </w:p>
        </w:tc>
        <w:tc>
          <w:tcPr>
            <w:tcW w:w="1065" w:type="dxa"/>
            <w:vMerge w:val="restart"/>
            <w:vAlign w:val="center"/>
          </w:tcPr>
          <w:p w:rsidR="00D368BF" w:rsidRPr="001D6512" w:rsidRDefault="00D368BF" w:rsidP="002204F6">
            <w:pPr>
              <w:pStyle w:val="TableCell"/>
              <w:spacing w:before="60" w:after="60"/>
              <w:rPr>
                <w:rFonts w:cs="Arial"/>
              </w:rPr>
            </w:pPr>
            <w:r w:rsidRPr="001D6512">
              <w:rPr>
                <w:rFonts w:cs="Arial"/>
              </w:rPr>
              <w:t>Variable</w:t>
            </w:r>
          </w:p>
        </w:tc>
        <w:tc>
          <w:tcPr>
            <w:tcW w:w="3156" w:type="dxa"/>
            <w:vAlign w:val="center"/>
          </w:tcPr>
          <w:p w:rsidR="00D368BF" w:rsidRPr="001D6512" w:rsidRDefault="00D368BF" w:rsidP="002204F6">
            <w:pPr>
              <w:pStyle w:val="TableCell"/>
              <w:spacing w:before="60" w:after="60"/>
              <w:rPr>
                <w:rFonts w:cs="Arial"/>
              </w:rPr>
            </w:pPr>
            <w:r w:rsidRPr="001D6512">
              <w:rPr>
                <w:rFonts w:cs="Arial"/>
              </w:rPr>
              <w:t>Based on Logging or Modeling</w:t>
            </w:r>
          </w:p>
        </w:tc>
        <w:tc>
          <w:tcPr>
            <w:tcW w:w="2727" w:type="dxa"/>
            <w:vAlign w:val="center"/>
          </w:tcPr>
          <w:p w:rsidR="00D368BF" w:rsidRPr="001D6512" w:rsidRDefault="00D368BF" w:rsidP="002204F6">
            <w:pPr>
              <w:pStyle w:val="TableCell"/>
              <w:spacing w:before="60" w:after="60"/>
              <w:rPr>
                <w:rFonts w:cs="Arial"/>
              </w:rPr>
            </w:pPr>
            <w:r w:rsidRPr="001D6512">
              <w:rPr>
                <w:rFonts w:cs="Arial"/>
              </w:rPr>
              <w:t>EDC’s Data Gathering</w:t>
            </w:r>
            <w:r w:rsidRPr="001D6512" w:rsidDel="007012A0">
              <w:rPr>
                <w:rFonts w:cs="Arial"/>
              </w:rPr>
              <w:t xml:space="preserve"> </w:t>
            </w:r>
          </w:p>
        </w:tc>
      </w:tr>
      <w:tr w:rsidR="00D368BF" w:rsidRPr="00530167" w:rsidTr="002751ED">
        <w:trPr>
          <w:trHeight w:val="20"/>
          <w:jc w:val="center"/>
        </w:trPr>
        <w:tc>
          <w:tcPr>
            <w:tcW w:w="1908" w:type="dxa"/>
            <w:vMerge/>
            <w:tcBorders>
              <w:bottom w:val="single" w:sz="4" w:space="0" w:color="auto"/>
            </w:tcBorders>
            <w:vAlign w:val="center"/>
          </w:tcPr>
          <w:p w:rsidR="00D368BF" w:rsidRPr="001D6512" w:rsidRDefault="00D368BF" w:rsidP="002204F6">
            <w:pPr>
              <w:pStyle w:val="TableCell"/>
              <w:spacing w:before="60" w:after="60"/>
              <w:rPr>
                <w:rFonts w:cs="Arial"/>
              </w:rPr>
            </w:pPr>
          </w:p>
        </w:tc>
        <w:tc>
          <w:tcPr>
            <w:tcW w:w="1065" w:type="dxa"/>
            <w:vMerge/>
            <w:tcBorders>
              <w:bottom w:val="single" w:sz="4" w:space="0" w:color="auto"/>
            </w:tcBorders>
            <w:vAlign w:val="center"/>
          </w:tcPr>
          <w:p w:rsidR="00D368BF" w:rsidRPr="001D6512" w:rsidRDefault="00D368BF" w:rsidP="002204F6">
            <w:pPr>
              <w:pStyle w:val="TableCell"/>
              <w:spacing w:before="60" w:after="60"/>
              <w:rPr>
                <w:rFonts w:cs="Arial"/>
              </w:rPr>
            </w:pPr>
          </w:p>
        </w:tc>
        <w:tc>
          <w:tcPr>
            <w:tcW w:w="3156" w:type="dxa"/>
            <w:tcBorders>
              <w:bottom w:val="single" w:sz="4" w:space="0" w:color="auto"/>
            </w:tcBorders>
            <w:vAlign w:val="center"/>
          </w:tcPr>
          <w:p w:rsidR="00D368BF" w:rsidRPr="001D6512" w:rsidRDefault="00D368BF" w:rsidP="002204F6">
            <w:pPr>
              <w:pStyle w:val="TableCell"/>
              <w:spacing w:before="60" w:after="60"/>
              <w:rPr>
                <w:rFonts w:cs="Arial"/>
              </w:rPr>
            </w:pPr>
            <w:r w:rsidRPr="001D6512">
              <w:rPr>
                <w:rFonts w:cs="Arial"/>
              </w:rPr>
              <w:t xml:space="preserve">Default values from </w:t>
            </w:r>
            <w:r w:rsidR="007A1FB6" w:rsidRPr="001D6512">
              <w:fldChar w:fldCharType="begin"/>
            </w:r>
            <w:r w:rsidRPr="001D6512">
              <w:instrText xml:space="preserve"> REF _Ref303341032 \h </w:instrText>
            </w:r>
            <w:r w:rsidR="007A1FB6" w:rsidRPr="001D6512">
              <w:fldChar w:fldCharType="separate"/>
            </w:r>
            <w:r w:rsidR="00C0292F">
              <w:t xml:space="preserve">Table </w:t>
            </w:r>
            <w:r w:rsidR="00C0292F">
              <w:rPr>
                <w:noProof/>
              </w:rPr>
              <w:t>3</w:t>
            </w:r>
            <w:r w:rsidR="00C0292F">
              <w:noBreakHyphen/>
            </w:r>
            <w:r w:rsidR="00C0292F">
              <w:rPr>
                <w:noProof/>
              </w:rPr>
              <w:t>100</w:t>
            </w:r>
            <w:r w:rsidR="007A1FB6" w:rsidRPr="001D6512">
              <w:fldChar w:fldCharType="end"/>
            </w:r>
          </w:p>
        </w:tc>
        <w:tc>
          <w:tcPr>
            <w:tcW w:w="2727" w:type="dxa"/>
            <w:tcBorders>
              <w:bottom w:val="single" w:sz="4" w:space="0" w:color="auto"/>
            </w:tcBorders>
            <w:vAlign w:val="center"/>
          </w:tcPr>
          <w:p w:rsidR="00D368BF" w:rsidRPr="001D6512" w:rsidRDefault="00D368BF" w:rsidP="002204F6">
            <w:pPr>
              <w:pStyle w:val="TableCell"/>
              <w:spacing w:before="60" w:after="60"/>
              <w:rPr>
                <w:rFonts w:cs="Arial"/>
              </w:rPr>
            </w:pPr>
            <w:r w:rsidRPr="001D6512">
              <w:rPr>
                <w:rFonts w:cs="Arial"/>
              </w:rPr>
              <w:t xml:space="preserve">See </w:t>
            </w:r>
            <w:r w:rsidR="007A1FB6" w:rsidRPr="001D6512">
              <w:fldChar w:fldCharType="begin"/>
            </w:r>
            <w:r w:rsidRPr="001D6512">
              <w:instrText xml:space="preserve"> REF _Ref303341032 \h </w:instrText>
            </w:r>
            <w:r w:rsidR="007A1FB6" w:rsidRPr="001D6512">
              <w:fldChar w:fldCharType="separate"/>
            </w:r>
            <w:r w:rsidR="00C0292F">
              <w:t xml:space="preserve">Table </w:t>
            </w:r>
            <w:r w:rsidR="00C0292F">
              <w:rPr>
                <w:noProof/>
              </w:rPr>
              <w:t>3</w:t>
            </w:r>
            <w:r w:rsidR="00C0292F">
              <w:noBreakHyphen/>
            </w:r>
            <w:r w:rsidR="00C0292F">
              <w:rPr>
                <w:noProof/>
              </w:rPr>
              <w:t>100</w:t>
            </w:r>
            <w:r w:rsidR="007A1FB6" w:rsidRPr="001D6512">
              <w:fldChar w:fldCharType="end"/>
            </w:r>
          </w:p>
        </w:tc>
      </w:tr>
    </w:tbl>
    <w:p w:rsidR="00D368BF" w:rsidRDefault="00D368BF" w:rsidP="00D368BF"/>
    <w:p w:rsidR="00D368BF" w:rsidRPr="00BC5194" w:rsidRDefault="00D368BF" w:rsidP="00D368BF">
      <w:pPr>
        <w:keepNext/>
        <w:rPr>
          <w:b/>
        </w:rPr>
      </w:pPr>
      <w:r w:rsidRPr="00BC5194">
        <w:rPr>
          <w:b/>
        </w:rPr>
        <w:t>Sources:</w:t>
      </w:r>
    </w:p>
    <w:p w:rsidR="00D368BF" w:rsidRDefault="00D368BF" w:rsidP="0005632A">
      <w:pPr>
        <w:numPr>
          <w:ilvl w:val="0"/>
          <w:numId w:val="125"/>
        </w:numPr>
      </w:pPr>
      <w:r>
        <w:t>Average based on coincidence factors from Ohio, New Jersey, Mid-Atlantic, Massachusetts, Connecticut, Illinois, New York, CEE and Minnesota. (74%, 67%, 81%, 94%, 82%, 72%, 100%, 70% and 76% respectively)</w:t>
      </w:r>
    </w:p>
    <w:p w:rsidR="00D368BF" w:rsidRDefault="00D368BF" w:rsidP="00D368BF"/>
    <w:p w:rsidR="00D368BF" w:rsidRDefault="00D368BF" w:rsidP="00D368BF">
      <w:pPr>
        <w:pStyle w:val="Caption"/>
      </w:pPr>
      <w:bookmarkStart w:id="1345" w:name="_Ref303341030"/>
      <w:bookmarkStart w:id="1346" w:name="_Toc310875651"/>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99</w:t>
      </w:r>
      <w:r w:rsidR="00274AB1">
        <w:rPr>
          <w:noProof/>
        </w:rPr>
        <w:fldChar w:fldCharType="end"/>
      </w:r>
      <w:bookmarkEnd w:id="1345"/>
      <w:r>
        <w:t>: Room Air Conditioner Baseline Efficiencies</w:t>
      </w:r>
      <w:r>
        <w:rPr>
          <w:rStyle w:val="FootnoteReference"/>
        </w:rPr>
        <w:footnoteReference w:id="260"/>
      </w:r>
      <w:bookmarkEnd w:id="1346"/>
    </w:p>
    <w:tbl>
      <w:tblPr>
        <w:tblW w:w="5000" w:type="pct"/>
        <w:jc w:val="center"/>
        <w:tblLook w:val="00A0" w:firstRow="1" w:lastRow="0" w:firstColumn="1" w:lastColumn="0" w:noHBand="0" w:noVBand="0"/>
      </w:tblPr>
      <w:tblGrid>
        <w:gridCol w:w="4518"/>
        <w:gridCol w:w="2170"/>
        <w:gridCol w:w="2168"/>
      </w:tblGrid>
      <w:tr w:rsidR="00D368BF" w:rsidRPr="00064E44" w:rsidTr="002204F6">
        <w:trPr>
          <w:trHeight w:val="20"/>
          <w:tblHeader/>
          <w:jc w:val="center"/>
        </w:trPr>
        <w:tc>
          <w:tcPr>
            <w:tcW w:w="2551" w:type="pct"/>
            <w:tcBorders>
              <w:top w:val="single" w:sz="8" w:space="0" w:color="auto"/>
              <w:left w:val="single" w:sz="8" w:space="0" w:color="auto"/>
              <w:bottom w:val="single" w:sz="8" w:space="0" w:color="auto"/>
              <w:right w:val="single" w:sz="8" w:space="0" w:color="000000"/>
            </w:tcBorders>
            <w:shd w:val="clear" w:color="000000" w:fill="BFBFBF"/>
            <w:vAlign w:val="center"/>
          </w:tcPr>
          <w:p w:rsidR="00D368BF" w:rsidRPr="001D6512" w:rsidRDefault="00D368BF" w:rsidP="00D368BF">
            <w:pPr>
              <w:pStyle w:val="TableCell"/>
              <w:spacing w:before="60" w:after="60"/>
              <w:jc w:val="center"/>
              <w:rPr>
                <w:rFonts w:cs="Arial"/>
                <w:b/>
                <w:szCs w:val="18"/>
              </w:rPr>
            </w:pPr>
            <w:r w:rsidRPr="001D6512">
              <w:rPr>
                <w:rFonts w:cs="Arial"/>
                <w:b/>
                <w:szCs w:val="18"/>
              </w:rPr>
              <w:t>Equipment Type and Capacity</w:t>
            </w:r>
          </w:p>
        </w:tc>
        <w:tc>
          <w:tcPr>
            <w:tcW w:w="1225" w:type="pct"/>
            <w:tcBorders>
              <w:top w:val="single" w:sz="8" w:space="0" w:color="auto"/>
              <w:left w:val="nil"/>
              <w:bottom w:val="single" w:sz="8" w:space="0" w:color="auto"/>
              <w:right w:val="single" w:sz="8" w:space="0" w:color="auto"/>
            </w:tcBorders>
            <w:shd w:val="clear" w:color="000000" w:fill="BFBFBF"/>
            <w:vAlign w:val="center"/>
          </w:tcPr>
          <w:p w:rsidR="00D368BF" w:rsidRPr="001D6512" w:rsidRDefault="00D368BF" w:rsidP="00D368BF">
            <w:pPr>
              <w:pStyle w:val="TableCell"/>
              <w:spacing w:before="60" w:after="60"/>
              <w:jc w:val="center"/>
              <w:rPr>
                <w:rFonts w:cs="Arial"/>
                <w:b/>
                <w:szCs w:val="18"/>
              </w:rPr>
            </w:pPr>
            <w:r w:rsidRPr="001D6512">
              <w:rPr>
                <w:rFonts w:cs="Arial"/>
                <w:b/>
                <w:szCs w:val="18"/>
              </w:rPr>
              <w:t>Cooling Baseline</w:t>
            </w:r>
          </w:p>
        </w:tc>
        <w:tc>
          <w:tcPr>
            <w:tcW w:w="1224" w:type="pct"/>
            <w:tcBorders>
              <w:top w:val="single" w:sz="8" w:space="0" w:color="auto"/>
              <w:left w:val="nil"/>
              <w:bottom w:val="single" w:sz="8" w:space="0" w:color="auto"/>
              <w:right w:val="single" w:sz="8" w:space="0" w:color="auto"/>
            </w:tcBorders>
            <w:shd w:val="clear" w:color="000000" w:fill="BFBFBF"/>
            <w:vAlign w:val="center"/>
          </w:tcPr>
          <w:p w:rsidR="00D368BF" w:rsidRPr="001D6512" w:rsidRDefault="00D368BF" w:rsidP="00D368BF">
            <w:pPr>
              <w:pStyle w:val="TableCell"/>
              <w:spacing w:before="60" w:after="60"/>
              <w:jc w:val="center"/>
              <w:rPr>
                <w:rFonts w:cs="Arial"/>
                <w:b/>
                <w:szCs w:val="18"/>
              </w:rPr>
            </w:pPr>
            <w:r w:rsidRPr="001D6512">
              <w:rPr>
                <w:rFonts w:cs="Arial"/>
                <w:b/>
                <w:szCs w:val="18"/>
              </w:rPr>
              <w:t>Heating Baseline</w:t>
            </w:r>
          </w:p>
        </w:tc>
      </w:tr>
      <w:tr w:rsidR="00D368BF" w:rsidRPr="00064E44" w:rsidTr="002204F6">
        <w:trPr>
          <w:trHeight w:val="20"/>
          <w:jc w:val="center"/>
        </w:trPr>
        <w:tc>
          <w:tcPr>
            <w:tcW w:w="5000" w:type="pct"/>
            <w:gridSpan w:val="3"/>
            <w:tcBorders>
              <w:top w:val="single" w:sz="8" w:space="0" w:color="auto"/>
              <w:left w:val="single" w:sz="8" w:space="0" w:color="auto"/>
              <w:bottom w:val="single" w:sz="8" w:space="0" w:color="auto"/>
              <w:right w:val="single" w:sz="8" w:space="0" w:color="auto"/>
            </w:tcBorders>
            <w:shd w:val="clear" w:color="000000" w:fill="D8D8D8"/>
            <w:tcMar>
              <w:left w:w="115" w:type="dxa"/>
              <w:right w:w="115" w:type="dxa"/>
            </w:tcMar>
            <w:vAlign w:val="center"/>
          </w:tcPr>
          <w:p w:rsidR="00D368BF" w:rsidRPr="001D6512" w:rsidRDefault="00D368BF" w:rsidP="00D368BF">
            <w:pPr>
              <w:pStyle w:val="TableCell"/>
              <w:spacing w:before="60" w:after="60"/>
              <w:rPr>
                <w:rFonts w:cs="Arial"/>
                <w:szCs w:val="18"/>
              </w:rPr>
            </w:pPr>
            <w:r w:rsidRPr="001D6512">
              <w:rPr>
                <w:rFonts w:cs="Arial"/>
                <w:szCs w:val="18"/>
              </w:rPr>
              <w:t>Room AC</w:t>
            </w:r>
          </w:p>
        </w:tc>
      </w:tr>
      <w:tr w:rsidR="00D368BF" w:rsidRPr="00064E44" w:rsidTr="002204F6">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D368BF" w:rsidRPr="001D6512" w:rsidRDefault="00D368BF" w:rsidP="00D368BF">
            <w:pPr>
              <w:pStyle w:val="TableCell"/>
              <w:spacing w:before="60" w:after="60"/>
              <w:rPr>
                <w:rFonts w:cs="Arial"/>
                <w:szCs w:val="18"/>
              </w:rPr>
            </w:pPr>
            <w:r w:rsidRPr="001D6512">
              <w:rPr>
                <w:rFonts w:cs="Arial"/>
                <w:szCs w:val="18"/>
              </w:rPr>
              <w:t>&lt; 8,000 BtuH</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D368BF" w:rsidRPr="001D6512" w:rsidRDefault="00D368BF" w:rsidP="00D368BF">
            <w:pPr>
              <w:pStyle w:val="TableCell"/>
              <w:spacing w:before="60" w:after="60"/>
              <w:rPr>
                <w:rFonts w:cs="Arial"/>
                <w:szCs w:val="18"/>
              </w:rPr>
            </w:pPr>
            <w:r>
              <w:rPr>
                <w:rFonts w:cs="Arial"/>
                <w:szCs w:val="18"/>
                <w:lang w:val="de-DE"/>
              </w:rPr>
              <w:t>9.7 EER</w:t>
            </w:r>
          </w:p>
        </w:tc>
        <w:tc>
          <w:tcPr>
            <w:tcW w:w="1224" w:type="pct"/>
            <w:tcBorders>
              <w:top w:val="single" w:sz="8" w:space="0" w:color="auto"/>
              <w:left w:val="nil"/>
              <w:bottom w:val="single" w:sz="8" w:space="0" w:color="auto"/>
              <w:right w:val="single" w:sz="8" w:space="0" w:color="auto"/>
            </w:tcBorders>
            <w:vAlign w:val="center"/>
          </w:tcPr>
          <w:p w:rsidR="00D368BF" w:rsidRPr="001D6512" w:rsidRDefault="00D368BF" w:rsidP="00D368BF">
            <w:pPr>
              <w:pStyle w:val="TableCell"/>
              <w:spacing w:before="60" w:after="60"/>
              <w:rPr>
                <w:rFonts w:cs="Arial"/>
                <w:szCs w:val="18"/>
              </w:rPr>
            </w:pPr>
            <w:r w:rsidRPr="001D6512">
              <w:rPr>
                <w:rFonts w:cs="Arial"/>
                <w:szCs w:val="18"/>
              </w:rPr>
              <w:t>N/A</w:t>
            </w:r>
          </w:p>
        </w:tc>
      </w:tr>
      <w:tr w:rsidR="00D368BF" w:rsidRPr="00064E44" w:rsidTr="002204F6">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D368BF" w:rsidRPr="001D6512" w:rsidRDefault="00D368BF" w:rsidP="00D368BF">
            <w:pPr>
              <w:pStyle w:val="TableCell"/>
              <w:spacing w:before="60" w:after="60"/>
              <w:rPr>
                <w:rFonts w:cs="Arial"/>
                <w:szCs w:val="18"/>
              </w:rPr>
            </w:pPr>
            <w:r w:rsidRPr="001D6512">
              <w:rPr>
                <w:rFonts w:cs="Arial"/>
                <w:szCs w:val="18"/>
                <w:u w:val="single"/>
              </w:rPr>
              <w:t>&gt;</w:t>
            </w:r>
            <w:r w:rsidRPr="001D6512">
              <w:rPr>
                <w:rFonts w:cs="Arial"/>
                <w:szCs w:val="18"/>
              </w:rPr>
              <w:t xml:space="preserve"> 8,000 BtuH and &lt;14,000 BtuH</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D368BF" w:rsidRPr="001D6512" w:rsidRDefault="00D368BF" w:rsidP="00D368BF">
            <w:pPr>
              <w:pStyle w:val="TableCell"/>
              <w:spacing w:before="60" w:after="60"/>
              <w:rPr>
                <w:rFonts w:cs="Arial"/>
                <w:szCs w:val="18"/>
              </w:rPr>
            </w:pPr>
            <w:r>
              <w:rPr>
                <w:rFonts w:cs="Arial"/>
                <w:szCs w:val="18"/>
                <w:lang w:val="de-DE"/>
              </w:rPr>
              <w:t>9.8</w:t>
            </w:r>
            <w:r w:rsidRPr="00064E44">
              <w:rPr>
                <w:rFonts w:cs="Arial"/>
                <w:szCs w:val="18"/>
                <w:lang w:val="de-DE"/>
              </w:rPr>
              <w:t xml:space="preserve"> EER</w:t>
            </w:r>
          </w:p>
        </w:tc>
        <w:tc>
          <w:tcPr>
            <w:tcW w:w="1224" w:type="pct"/>
            <w:tcBorders>
              <w:top w:val="single" w:sz="8" w:space="0" w:color="auto"/>
              <w:left w:val="nil"/>
              <w:bottom w:val="single" w:sz="8" w:space="0" w:color="auto"/>
              <w:right w:val="single" w:sz="8" w:space="0" w:color="auto"/>
            </w:tcBorders>
            <w:vAlign w:val="center"/>
          </w:tcPr>
          <w:p w:rsidR="00D368BF" w:rsidRPr="001D6512" w:rsidRDefault="00D368BF" w:rsidP="00D368BF">
            <w:pPr>
              <w:pStyle w:val="TableCell"/>
              <w:spacing w:before="60" w:after="60"/>
              <w:rPr>
                <w:rFonts w:cs="Arial"/>
                <w:szCs w:val="18"/>
              </w:rPr>
            </w:pPr>
            <w:r w:rsidRPr="001D6512">
              <w:rPr>
                <w:rFonts w:cs="Arial"/>
                <w:szCs w:val="18"/>
              </w:rPr>
              <w:t>N/A</w:t>
            </w:r>
          </w:p>
        </w:tc>
      </w:tr>
      <w:tr w:rsidR="00D368BF" w:rsidRPr="00064E44" w:rsidTr="002204F6">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D368BF" w:rsidRPr="001D6512" w:rsidRDefault="00D368BF" w:rsidP="00D368BF">
            <w:pPr>
              <w:pStyle w:val="TableCell"/>
              <w:spacing w:before="60" w:after="60"/>
              <w:rPr>
                <w:rFonts w:cs="Arial"/>
                <w:szCs w:val="18"/>
              </w:rPr>
            </w:pPr>
            <w:r w:rsidRPr="001D6512">
              <w:rPr>
                <w:rFonts w:cs="Arial"/>
                <w:szCs w:val="18"/>
                <w:u w:val="single"/>
              </w:rPr>
              <w:t>&gt;</w:t>
            </w:r>
            <w:r w:rsidRPr="001D6512">
              <w:rPr>
                <w:rFonts w:cs="Arial"/>
                <w:szCs w:val="18"/>
              </w:rPr>
              <w:t xml:space="preserve"> 14,000 BtuH and &lt; 20,000 BtuH</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D368BF" w:rsidRPr="001D6512" w:rsidRDefault="00D368BF" w:rsidP="00D368BF">
            <w:pPr>
              <w:pStyle w:val="TableCell"/>
              <w:spacing w:before="60" w:after="60"/>
              <w:rPr>
                <w:rFonts w:cs="Arial"/>
                <w:szCs w:val="18"/>
              </w:rPr>
            </w:pPr>
            <w:r>
              <w:rPr>
                <w:rFonts w:cs="Arial"/>
                <w:szCs w:val="18"/>
                <w:lang w:val="de-DE"/>
              </w:rPr>
              <w:t>9.7</w:t>
            </w:r>
            <w:r w:rsidRPr="00064E44">
              <w:rPr>
                <w:rFonts w:cs="Arial"/>
                <w:szCs w:val="18"/>
                <w:lang w:val="de-DE"/>
              </w:rPr>
              <w:t xml:space="preserve"> EER</w:t>
            </w:r>
          </w:p>
        </w:tc>
        <w:tc>
          <w:tcPr>
            <w:tcW w:w="1224" w:type="pct"/>
            <w:tcBorders>
              <w:top w:val="single" w:sz="8" w:space="0" w:color="auto"/>
              <w:left w:val="nil"/>
              <w:bottom w:val="single" w:sz="8" w:space="0" w:color="auto"/>
              <w:right w:val="single" w:sz="8" w:space="0" w:color="auto"/>
            </w:tcBorders>
            <w:vAlign w:val="center"/>
          </w:tcPr>
          <w:p w:rsidR="00D368BF" w:rsidRPr="001D6512" w:rsidRDefault="00D368BF" w:rsidP="00D368BF">
            <w:pPr>
              <w:pStyle w:val="TableCell"/>
              <w:spacing w:before="60" w:after="60"/>
              <w:rPr>
                <w:rFonts w:cs="Arial"/>
                <w:szCs w:val="18"/>
              </w:rPr>
            </w:pPr>
            <w:r w:rsidRPr="001D6512">
              <w:rPr>
                <w:rFonts w:cs="Arial"/>
                <w:szCs w:val="18"/>
              </w:rPr>
              <w:t>N/A</w:t>
            </w:r>
          </w:p>
        </w:tc>
      </w:tr>
      <w:tr w:rsidR="00D368BF" w:rsidRPr="00064E44" w:rsidTr="002204F6">
        <w:trPr>
          <w:trHeight w:val="20"/>
          <w:jc w:val="center"/>
        </w:trPr>
        <w:tc>
          <w:tcPr>
            <w:tcW w:w="2551" w:type="pct"/>
            <w:tcBorders>
              <w:top w:val="single" w:sz="8" w:space="0" w:color="auto"/>
              <w:left w:val="single" w:sz="8" w:space="0" w:color="auto"/>
              <w:bottom w:val="single" w:sz="8" w:space="0" w:color="auto"/>
              <w:right w:val="single" w:sz="8" w:space="0" w:color="auto"/>
            </w:tcBorders>
            <w:tcMar>
              <w:left w:w="115" w:type="dxa"/>
              <w:right w:w="115" w:type="dxa"/>
            </w:tcMar>
            <w:vAlign w:val="center"/>
          </w:tcPr>
          <w:p w:rsidR="00D368BF" w:rsidRPr="001D6512" w:rsidRDefault="00D368BF" w:rsidP="00D368BF">
            <w:pPr>
              <w:pStyle w:val="TableCell"/>
              <w:spacing w:before="60" w:after="60"/>
              <w:rPr>
                <w:rFonts w:cs="Arial"/>
                <w:szCs w:val="18"/>
              </w:rPr>
            </w:pPr>
            <w:r w:rsidRPr="001D6512">
              <w:rPr>
                <w:rFonts w:cs="Arial"/>
                <w:szCs w:val="18"/>
                <w:u w:val="single"/>
              </w:rPr>
              <w:t>&gt;</w:t>
            </w:r>
            <w:r w:rsidRPr="001D6512">
              <w:rPr>
                <w:rFonts w:cs="Arial"/>
                <w:szCs w:val="18"/>
              </w:rPr>
              <w:t xml:space="preserve"> 20,000 BtuH</w:t>
            </w:r>
          </w:p>
        </w:tc>
        <w:tc>
          <w:tcPr>
            <w:tcW w:w="1225" w:type="pct"/>
            <w:tcBorders>
              <w:top w:val="single" w:sz="8" w:space="0" w:color="auto"/>
              <w:left w:val="nil"/>
              <w:bottom w:val="single" w:sz="8" w:space="0" w:color="auto"/>
              <w:right w:val="single" w:sz="8" w:space="0" w:color="auto"/>
            </w:tcBorders>
            <w:tcMar>
              <w:left w:w="115" w:type="dxa"/>
              <w:right w:w="115" w:type="dxa"/>
            </w:tcMar>
            <w:vAlign w:val="center"/>
          </w:tcPr>
          <w:p w:rsidR="00D368BF" w:rsidRPr="001D6512" w:rsidRDefault="00D368BF" w:rsidP="00D368BF">
            <w:pPr>
              <w:pStyle w:val="TableCell"/>
              <w:spacing w:before="60" w:after="60"/>
              <w:rPr>
                <w:rFonts w:cs="Arial"/>
                <w:szCs w:val="18"/>
              </w:rPr>
            </w:pPr>
            <w:r>
              <w:rPr>
                <w:rFonts w:cs="Arial"/>
                <w:szCs w:val="18"/>
                <w:lang w:val="de-DE"/>
              </w:rPr>
              <w:t>8.5</w:t>
            </w:r>
            <w:r w:rsidRPr="00064E44">
              <w:rPr>
                <w:rFonts w:cs="Arial"/>
                <w:szCs w:val="18"/>
                <w:lang w:val="de-DE"/>
              </w:rPr>
              <w:t xml:space="preserve"> EER</w:t>
            </w:r>
          </w:p>
        </w:tc>
        <w:tc>
          <w:tcPr>
            <w:tcW w:w="1224" w:type="pct"/>
            <w:tcBorders>
              <w:top w:val="single" w:sz="8" w:space="0" w:color="auto"/>
              <w:left w:val="nil"/>
              <w:bottom w:val="single" w:sz="8" w:space="0" w:color="auto"/>
              <w:right w:val="single" w:sz="8" w:space="0" w:color="auto"/>
            </w:tcBorders>
            <w:vAlign w:val="center"/>
          </w:tcPr>
          <w:p w:rsidR="00D368BF" w:rsidRPr="001D6512" w:rsidRDefault="00D368BF" w:rsidP="00D368BF">
            <w:pPr>
              <w:pStyle w:val="TableCell"/>
              <w:spacing w:before="60" w:after="60"/>
              <w:rPr>
                <w:rFonts w:cs="Arial"/>
                <w:szCs w:val="18"/>
              </w:rPr>
            </w:pPr>
            <w:r w:rsidRPr="001D6512">
              <w:rPr>
                <w:rFonts w:cs="Arial"/>
                <w:szCs w:val="18"/>
              </w:rPr>
              <w:t>N/A</w:t>
            </w:r>
          </w:p>
        </w:tc>
      </w:tr>
    </w:tbl>
    <w:p w:rsidR="00D368BF" w:rsidRDefault="00D368BF" w:rsidP="00D368BF">
      <w:pPr>
        <w:pStyle w:val="StyleCaptionCentered"/>
        <w:keepNext w:val="0"/>
      </w:pPr>
    </w:p>
    <w:p w:rsidR="00D368BF" w:rsidRPr="00E75089" w:rsidRDefault="00D368BF" w:rsidP="00D368BF">
      <w:pPr>
        <w:pStyle w:val="StyleCaptionCentered"/>
      </w:pPr>
      <w:bookmarkStart w:id="1347" w:name="_Ref303341032"/>
      <w:bookmarkStart w:id="1348" w:name="_Toc310875652"/>
      <w:r>
        <w:t xml:space="preserve">Table </w:t>
      </w:r>
      <w:r w:rsidR="00274AB1">
        <w:fldChar w:fldCharType="begin"/>
      </w:r>
      <w:r w:rsidR="00274AB1">
        <w:instrText xml:space="preserve"> STYLEREF 1 \s </w:instrText>
      </w:r>
      <w:r w:rsidR="00274AB1">
        <w:fldChar w:fldCharType="separate"/>
      </w:r>
      <w:r w:rsidR="00C0292F">
        <w:rPr>
          <w:noProof/>
        </w:rPr>
        <w:t>3</w:t>
      </w:r>
      <w:r w:rsidR="00274AB1">
        <w:rPr>
          <w:noProof/>
        </w:rPr>
        <w:fldChar w:fldCharType="end"/>
      </w:r>
      <w:r w:rsidR="00DE12EC">
        <w:noBreakHyphen/>
      </w:r>
      <w:r w:rsidR="00274AB1">
        <w:fldChar w:fldCharType="begin"/>
      </w:r>
      <w:r w:rsidR="00274AB1">
        <w:instrText xml:space="preserve"> SEQ Table \* ARABIC \s 1 </w:instrText>
      </w:r>
      <w:r w:rsidR="00274AB1">
        <w:fldChar w:fldCharType="separate"/>
      </w:r>
      <w:r w:rsidR="00C0292F">
        <w:rPr>
          <w:noProof/>
        </w:rPr>
        <w:t>100</w:t>
      </w:r>
      <w:r w:rsidR="00274AB1">
        <w:rPr>
          <w:noProof/>
        </w:rPr>
        <w:fldChar w:fldCharType="end"/>
      </w:r>
      <w:bookmarkEnd w:id="1347"/>
      <w:r>
        <w:t>: Cooling EFLH for Pennsylvania Cities</w:t>
      </w:r>
      <w:r>
        <w:rPr>
          <w:rStyle w:val="FootnoteReference"/>
        </w:rPr>
        <w:footnoteReference w:id="261"/>
      </w:r>
      <w:bookmarkEnd w:id="1348"/>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5"/>
        <w:gridCol w:w="810"/>
        <w:gridCol w:w="810"/>
        <w:gridCol w:w="810"/>
        <w:gridCol w:w="810"/>
        <w:gridCol w:w="810"/>
        <w:gridCol w:w="810"/>
        <w:gridCol w:w="810"/>
      </w:tblGrid>
      <w:tr w:rsidR="00D368BF" w:rsidRPr="00861542" w:rsidTr="00D368BF">
        <w:trPr>
          <w:cantSplit/>
          <w:trHeight w:hRule="exact" w:val="1296"/>
          <w:tblHeader/>
        </w:trPr>
        <w:tc>
          <w:tcPr>
            <w:tcW w:w="1834" w:type="pct"/>
            <w:shd w:val="clear" w:color="auto" w:fill="BFBFBF"/>
            <w:vAlign w:val="bottom"/>
          </w:tcPr>
          <w:p w:rsidR="00D368BF" w:rsidRPr="001D6512" w:rsidRDefault="00D368BF" w:rsidP="002204F6">
            <w:pPr>
              <w:pStyle w:val="TableCell"/>
              <w:spacing w:before="60" w:after="60" w:line="240" w:lineRule="auto"/>
              <w:contextualSpacing/>
              <w:rPr>
                <w:rFonts w:cs="Arial"/>
                <w:b/>
                <w:szCs w:val="18"/>
              </w:rPr>
            </w:pPr>
            <w:r w:rsidRPr="001D6512">
              <w:rPr>
                <w:rFonts w:cs="Arial"/>
                <w:b/>
                <w:szCs w:val="18"/>
              </w:rPr>
              <w:t>Space and/or Building Type</w:t>
            </w:r>
          </w:p>
        </w:tc>
        <w:tc>
          <w:tcPr>
            <w:tcW w:w="452" w:type="pct"/>
            <w:shd w:val="clear" w:color="auto" w:fill="BFBFBF"/>
            <w:textDirection w:val="btLr"/>
            <w:vAlign w:val="center"/>
          </w:tcPr>
          <w:p w:rsidR="00D368BF" w:rsidRPr="001D6512" w:rsidRDefault="00D368BF" w:rsidP="002204F6">
            <w:pPr>
              <w:pStyle w:val="TableCell"/>
              <w:spacing w:before="60" w:after="60" w:line="240" w:lineRule="auto"/>
              <w:ind w:left="60"/>
              <w:contextualSpacing/>
              <w:rPr>
                <w:rFonts w:cs="Arial"/>
                <w:b/>
                <w:szCs w:val="18"/>
              </w:rPr>
            </w:pPr>
            <w:r w:rsidRPr="001D6512">
              <w:rPr>
                <w:rFonts w:cs="Arial"/>
                <w:b/>
                <w:szCs w:val="18"/>
              </w:rPr>
              <w:t>Allentown</w:t>
            </w:r>
          </w:p>
        </w:tc>
        <w:tc>
          <w:tcPr>
            <w:tcW w:w="452" w:type="pct"/>
            <w:shd w:val="clear" w:color="auto" w:fill="BFBFBF"/>
            <w:textDirection w:val="btLr"/>
            <w:vAlign w:val="center"/>
          </w:tcPr>
          <w:p w:rsidR="00D368BF" w:rsidRPr="001D6512" w:rsidRDefault="00D368BF" w:rsidP="002204F6">
            <w:pPr>
              <w:pStyle w:val="TableCell"/>
              <w:spacing w:before="60" w:after="60" w:line="240" w:lineRule="auto"/>
              <w:ind w:left="60"/>
              <w:contextualSpacing/>
              <w:rPr>
                <w:rFonts w:cs="Arial"/>
                <w:b/>
                <w:szCs w:val="18"/>
              </w:rPr>
            </w:pPr>
            <w:r w:rsidRPr="001D6512">
              <w:rPr>
                <w:rFonts w:cs="Arial"/>
                <w:b/>
                <w:szCs w:val="18"/>
              </w:rPr>
              <w:t>Erie</w:t>
            </w:r>
          </w:p>
        </w:tc>
        <w:tc>
          <w:tcPr>
            <w:tcW w:w="452" w:type="pct"/>
            <w:shd w:val="clear" w:color="auto" w:fill="BFBFBF"/>
            <w:textDirection w:val="btLr"/>
            <w:vAlign w:val="center"/>
          </w:tcPr>
          <w:p w:rsidR="00D368BF" w:rsidRPr="001D6512" w:rsidRDefault="00D368BF" w:rsidP="002204F6">
            <w:pPr>
              <w:pStyle w:val="TableCell"/>
              <w:spacing w:before="60" w:after="60" w:line="240" w:lineRule="auto"/>
              <w:ind w:left="60"/>
              <w:contextualSpacing/>
              <w:rPr>
                <w:rFonts w:cs="Arial"/>
                <w:b/>
                <w:szCs w:val="18"/>
              </w:rPr>
            </w:pPr>
            <w:r w:rsidRPr="001D6512">
              <w:rPr>
                <w:rFonts w:cs="Arial"/>
                <w:b/>
                <w:szCs w:val="18"/>
              </w:rPr>
              <w:t>Harrisburg</w:t>
            </w:r>
          </w:p>
        </w:tc>
        <w:tc>
          <w:tcPr>
            <w:tcW w:w="452" w:type="pct"/>
            <w:shd w:val="clear" w:color="auto" w:fill="BFBFBF"/>
            <w:textDirection w:val="btLr"/>
            <w:vAlign w:val="center"/>
          </w:tcPr>
          <w:p w:rsidR="00D368BF" w:rsidRPr="001D6512" w:rsidRDefault="00D368BF" w:rsidP="002204F6">
            <w:pPr>
              <w:pStyle w:val="TableCell"/>
              <w:spacing w:before="60" w:after="60" w:line="240" w:lineRule="auto"/>
              <w:ind w:left="60"/>
              <w:contextualSpacing/>
              <w:rPr>
                <w:rFonts w:cs="Arial"/>
                <w:b/>
                <w:szCs w:val="18"/>
              </w:rPr>
            </w:pPr>
            <w:r w:rsidRPr="001D6512">
              <w:rPr>
                <w:rFonts w:cs="Arial"/>
                <w:b/>
                <w:szCs w:val="18"/>
              </w:rPr>
              <w:t>Pittsburgh</w:t>
            </w:r>
          </w:p>
        </w:tc>
        <w:tc>
          <w:tcPr>
            <w:tcW w:w="452" w:type="pct"/>
            <w:shd w:val="clear" w:color="auto" w:fill="BFBFBF"/>
            <w:textDirection w:val="btLr"/>
            <w:vAlign w:val="center"/>
          </w:tcPr>
          <w:p w:rsidR="00D368BF" w:rsidRPr="001D6512" w:rsidRDefault="00D368BF" w:rsidP="002204F6">
            <w:pPr>
              <w:pStyle w:val="TableCell"/>
              <w:spacing w:before="60" w:after="60" w:line="240" w:lineRule="auto"/>
              <w:ind w:left="60"/>
              <w:contextualSpacing/>
              <w:rPr>
                <w:rFonts w:cs="Arial"/>
                <w:b/>
                <w:szCs w:val="18"/>
              </w:rPr>
            </w:pPr>
            <w:r w:rsidRPr="001D6512">
              <w:rPr>
                <w:rFonts w:cs="Arial"/>
                <w:b/>
                <w:szCs w:val="18"/>
              </w:rPr>
              <w:t>Williamsport</w:t>
            </w:r>
          </w:p>
        </w:tc>
        <w:tc>
          <w:tcPr>
            <w:tcW w:w="452" w:type="pct"/>
            <w:shd w:val="clear" w:color="auto" w:fill="BFBFBF"/>
            <w:textDirection w:val="btLr"/>
            <w:vAlign w:val="center"/>
          </w:tcPr>
          <w:p w:rsidR="00D368BF" w:rsidRPr="001D6512" w:rsidRDefault="00D368BF" w:rsidP="002204F6">
            <w:pPr>
              <w:pStyle w:val="TableCell"/>
              <w:spacing w:before="60" w:after="60" w:line="240" w:lineRule="auto"/>
              <w:ind w:left="60"/>
              <w:contextualSpacing/>
              <w:rPr>
                <w:rFonts w:cs="Arial"/>
                <w:b/>
                <w:szCs w:val="18"/>
              </w:rPr>
            </w:pPr>
            <w:r w:rsidRPr="001D6512">
              <w:rPr>
                <w:rFonts w:cs="Arial"/>
                <w:b/>
                <w:szCs w:val="18"/>
              </w:rPr>
              <w:t>Philadelphia</w:t>
            </w:r>
          </w:p>
        </w:tc>
        <w:tc>
          <w:tcPr>
            <w:tcW w:w="452" w:type="pct"/>
            <w:shd w:val="clear" w:color="auto" w:fill="BFBFBF"/>
            <w:textDirection w:val="btLr"/>
            <w:vAlign w:val="center"/>
          </w:tcPr>
          <w:p w:rsidR="00D368BF" w:rsidRPr="001D6512" w:rsidRDefault="00D368BF" w:rsidP="002204F6">
            <w:pPr>
              <w:pStyle w:val="TableCell"/>
              <w:spacing w:before="60" w:after="60" w:line="240" w:lineRule="auto"/>
              <w:ind w:left="60"/>
              <w:rPr>
                <w:rFonts w:cs="Arial"/>
                <w:b/>
                <w:szCs w:val="18"/>
              </w:rPr>
            </w:pPr>
            <w:r w:rsidRPr="001D6512">
              <w:rPr>
                <w:rFonts w:cs="Arial"/>
                <w:b/>
                <w:szCs w:val="18"/>
              </w:rPr>
              <w:t>Scranton</w:t>
            </w:r>
          </w:p>
        </w:tc>
      </w:tr>
      <w:tr w:rsidR="00D368BF" w:rsidRPr="00861542" w:rsidTr="00D368BF">
        <w:trPr>
          <w:trHeight w:val="300"/>
        </w:trPr>
        <w:tc>
          <w:tcPr>
            <w:tcW w:w="1834" w:type="pct"/>
            <w:noWrap/>
          </w:tcPr>
          <w:p w:rsidR="00D368BF" w:rsidRPr="001D6512" w:rsidRDefault="00D368BF" w:rsidP="002204F6">
            <w:pPr>
              <w:pStyle w:val="TableCell"/>
              <w:spacing w:before="60" w:after="60" w:line="240" w:lineRule="auto"/>
              <w:rPr>
                <w:rFonts w:cs="Arial"/>
                <w:color w:val="000000"/>
                <w:szCs w:val="18"/>
              </w:rPr>
            </w:pPr>
            <w:r w:rsidRPr="001D6512">
              <w:rPr>
                <w:rFonts w:cs="Arial"/>
                <w:color w:val="000000"/>
                <w:szCs w:val="18"/>
              </w:rPr>
              <w:t>College: Classes/Administrative</w:t>
            </w:r>
          </w:p>
        </w:tc>
        <w:tc>
          <w:tcPr>
            <w:tcW w:w="452" w:type="pct"/>
            <w:noWrap/>
          </w:tcPr>
          <w:p w:rsidR="00D368BF" w:rsidRPr="001D6512" w:rsidRDefault="00D368BF" w:rsidP="002204F6">
            <w:pPr>
              <w:pStyle w:val="TableCell"/>
              <w:spacing w:before="60" w:after="60" w:line="240" w:lineRule="auto"/>
              <w:jc w:val="right"/>
              <w:rPr>
                <w:rFonts w:cs="Arial"/>
                <w:color w:val="000000"/>
                <w:szCs w:val="18"/>
              </w:rPr>
            </w:pPr>
            <w:r w:rsidRPr="001D6512">
              <w:rPr>
                <w:rFonts w:cs="Arial"/>
                <w:color w:val="000000"/>
                <w:szCs w:val="18"/>
              </w:rPr>
              <w:t>690</w:t>
            </w:r>
          </w:p>
        </w:tc>
        <w:tc>
          <w:tcPr>
            <w:tcW w:w="452" w:type="pct"/>
            <w:noWrap/>
          </w:tcPr>
          <w:p w:rsidR="00D368BF" w:rsidRPr="001D6512" w:rsidRDefault="00D368BF" w:rsidP="002204F6">
            <w:pPr>
              <w:pStyle w:val="TableCell"/>
              <w:spacing w:before="60" w:after="60" w:line="240" w:lineRule="auto"/>
              <w:jc w:val="right"/>
              <w:rPr>
                <w:rFonts w:cs="Arial"/>
                <w:color w:val="000000"/>
                <w:szCs w:val="18"/>
              </w:rPr>
            </w:pPr>
            <w:r w:rsidRPr="001D6512">
              <w:rPr>
                <w:rFonts w:cs="Arial"/>
                <w:color w:val="000000"/>
                <w:szCs w:val="18"/>
              </w:rPr>
              <w:t>380</w:t>
            </w:r>
          </w:p>
        </w:tc>
        <w:tc>
          <w:tcPr>
            <w:tcW w:w="452" w:type="pct"/>
            <w:noWrap/>
          </w:tcPr>
          <w:p w:rsidR="00D368BF" w:rsidRPr="001D6512" w:rsidRDefault="00D368BF" w:rsidP="002204F6">
            <w:pPr>
              <w:pStyle w:val="TableCell"/>
              <w:spacing w:before="60" w:after="60" w:line="240" w:lineRule="auto"/>
              <w:jc w:val="right"/>
              <w:rPr>
                <w:rFonts w:cs="Arial"/>
                <w:color w:val="000000"/>
                <w:szCs w:val="18"/>
              </w:rPr>
            </w:pPr>
            <w:r w:rsidRPr="001D6512">
              <w:rPr>
                <w:rFonts w:cs="Arial"/>
                <w:color w:val="000000"/>
                <w:szCs w:val="18"/>
              </w:rPr>
              <w:t>733</w:t>
            </w:r>
          </w:p>
        </w:tc>
        <w:tc>
          <w:tcPr>
            <w:tcW w:w="452" w:type="pct"/>
            <w:noWrap/>
          </w:tcPr>
          <w:p w:rsidR="00D368BF" w:rsidRPr="001D6512" w:rsidRDefault="00D368BF" w:rsidP="002204F6">
            <w:pPr>
              <w:pStyle w:val="TableCell"/>
              <w:spacing w:before="60" w:after="60" w:line="240" w:lineRule="auto"/>
              <w:jc w:val="right"/>
              <w:rPr>
                <w:rFonts w:cs="Arial"/>
                <w:color w:val="000000"/>
                <w:szCs w:val="18"/>
              </w:rPr>
            </w:pPr>
            <w:r w:rsidRPr="001D6512">
              <w:rPr>
                <w:rFonts w:cs="Arial"/>
                <w:color w:val="000000"/>
                <w:szCs w:val="18"/>
              </w:rPr>
              <w:t>582</w:t>
            </w:r>
          </w:p>
        </w:tc>
        <w:tc>
          <w:tcPr>
            <w:tcW w:w="452" w:type="pct"/>
            <w:noWrap/>
          </w:tcPr>
          <w:p w:rsidR="00D368BF" w:rsidRPr="001D6512" w:rsidRDefault="00D368BF" w:rsidP="002204F6">
            <w:pPr>
              <w:pStyle w:val="TableCell"/>
              <w:spacing w:before="60" w:after="60" w:line="240" w:lineRule="auto"/>
              <w:jc w:val="right"/>
              <w:rPr>
                <w:rFonts w:cs="Arial"/>
                <w:color w:val="000000"/>
                <w:szCs w:val="18"/>
              </w:rPr>
            </w:pPr>
            <w:r w:rsidRPr="001D6512">
              <w:rPr>
                <w:rFonts w:cs="Arial"/>
                <w:color w:val="000000"/>
                <w:szCs w:val="18"/>
              </w:rPr>
              <w:t>520</w:t>
            </w:r>
          </w:p>
        </w:tc>
        <w:tc>
          <w:tcPr>
            <w:tcW w:w="452" w:type="pct"/>
            <w:noWrap/>
          </w:tcPr>
          <w:p w:rsidR="00D368BF" w:rsidRPr="001D6512" w:rsidRDefault="00D368BF" w:rsidP="002204F6">
            <w:pPr>
              <w:pStyle w:val="TableCell"/>
              <w:spacing w:before="60" w:after="60" w:line="240" w:lineRule="auto"/>
              <w:jc w:val="right"/>
              <w:rPr>
                <w:rFonts w:cs="Arial"/>
                <w:color w:val="000000"/>
                <w:szCs w:val="18"/>
              </w:rPr>
            </w:pPr>
            <w:r w:rsidRPr="001D6512">
              <w:rPr>
                <w:rFonts w:cs="Arial"/>
                <w:color w:val="000000"/>
                <w:szCs w:val="18"/>
              </w:rPr>
              <w:t>815</w:t>
            </w:r>
          </w:p>
        </w:tc>
        <w:tc>
          <w:tcPr>
            <w:tcW w:w="452" w:type="pct"/>
          </w:tcPr>
          <w:p w:rsidR="00D368BF" w:rsidRPr="001D6512" w:rsidRDefault="00D368BF" w:rsidP="002204F6">
            <w:pPr>
              <w:pStyle w:val="TableCell"/>
              <w:spacing w:before="60" w:after="60" w:line="240" w:lineRule="auto"/>
              <w:jc w:val="right"/>
              <w:rPr>
                <w:rFonts w:cs="Arial"/>
                <w:color w:val="000000"/>
                <w:szCs w:val="18"/>
              </w:rPr>
            </w:pPr>
            <w:r w:rsidRPr="001D6512">
              <w:rPr>
                <w:rFonts w:cs="Arial"/>
                <w:color w:val="000000"/>
                <w:szCs w:val="18"/>
              </w:rPr>
              <w:t>490</w:t>
            </w:r>
          </w:p>
        </w:tc>
      </w:tr>
      <w:tr w:rsidR="00D368BF" w:rsidRPr="00861542" w:rsidTr="00D368BF">
        <w:trPr>
          <w:trHeight w:val="300"/>
        </w:trPr>
        <w:tc>
          <w:tcPr>
            <w:tcW w:w="1834" w:type="pct"/>
            <w:noWrap/>
          </w:tcPr>
          <w:p w:rsidR="00D368BF" w:rsidRPr="001D6512" w:rsidRDefault="00D368BF" w:rsidP="002204F6">
            <w:pPr>
              <w:pStyle w:val="TableCell"/>
              <w:spacing w:before="60" w:after="60" w:line="240" w:lineRule="auto"/>
              <w:rPr>
                <w:rFonts w:cs="Arial"/>
                <w:color w:val="000000"/>
                <w:szCs w:val="18"/>
              </w:rPr>
            </w:pPr>
            <w:r w:rsidRPr="001D6512">
              <w:rPr>
                <w:rFonts w:cs="Arial"/>
                <w:color w:val="000000"/>
                <w:szCs w:val="18"/>
              </w:rPr>
              <w:t>Convenience Stores</w:t>
            </w:r>
          </w:p>
        </w:tc>
        <w:tc>
          <w:tcPr>
            <w:tcW w:w="452" w:type="pct"/>
            <w:noWrap/>
          </w:tcPr>
          <w:p w:rsidR="00D368BF" w:rsidRPr="001D6512" w:rsidRDefault="00D368BF" w:rsidP="002204F6">
            <w:pPr>
              <w:pStyle w:val="TableCell"/>
              <w:spacing w:before="60" w:after="60" w:line="240" w:lineRule="auto"/>
              <w:jc w:val="right"/>
              <w:rPr>
                <w:rFonts w:cs="Arial"/>
                <w:color w:val="000000"/>
                <w:szCs w:val="18"/>
              </w:rPr>
            </w:pPr>
            <w:r w:rsidRPr="001D6512">
              <w:rPr>
                <w:rFonts w:cs="Arial"/>
                <w:color w:val="000000"/>
                <w:szCs w:val="18"/>
              </w:rPr>
              <w:t>1,216</w:t>
            </w:r>
          </w:p>
        </w:tc>
        <w:tc>
          <w:tcPr>
            <w:tcW w:w="452" w:type="pct"/>
            <w:noWrap/>
          </w:tcPr>
          <w:p w:rsidR="00D368BF" w:rsidRPr="001D6512" w:rsidRDefault="00D368BF" w:rsidP="002204F6">
            <w:pPr>
              <w:pStyle w:val="TableCell"/>
              <w:spacing w:before="60" w:after="60" w:line="240" w:lineRule="auto"/>
              <w:jc w:val="right"/>
              <w:rPr>
                <w:rFonts w:cs="Arial"/>
                <w:color w:val="000000"/>
                <w:szCs w:val="18"/>
              </w:rPr>
            </w:pPr>
            <w:r w:rsidRPr="001D6512">
              <w:rPr>
                <w:rFonts w:cs="Arial"/>
                <w:color w:val="000000"/>
                <w:szCs w:val="18"/>
              </w:rPr>
              <w:t>671</w:t>
            </w:r>
          </w:p>
        </w:tc>
        <w:tc>
          <w:tcPr>
            <w:tcW w:w="452" w:type="pct"/>
            <w:noWrap/>
          </w:tcPr>
          <w:p w:rsidR="00D368BF" w:rsidRPr="001D6512" w:rsidRDefault="00D368BF" w:rsidP="002204F6">
            <w:pPr>
              <w:pStyle w:val="TableCell"/>
              <w:spacing w:before="60" w:after="60" w:line="240" w:lineRule="auto"/>
              <w:jc w:val="right"/>
              <w:rPr>
                <w:rFonts w:cs="Arial"/>
                <w:color w:val="000000"/>
                <w:szCs w:val="18"/>
              </w:rPr>
            </w:pPr>
            <w:r w:rsidRPr="001D6512">
              <w:rPr>
                <w:rFonts w:cs="Arial"/>
                <w:color w:val="000000"/>
                <w:szCs w:val="18"/>
              </w:rPr>
              <w:t>1,293</w:t>
            </w:r>
          </w:p>
        </w:tc>
        <w:tc>
          <w:tcPr>
            <w:tcW w:w="452" w:type="pct"/>
            <w:noWrap/>
          </w:tcPr>
          <w:p w:rsidR="00D368BF" w:rsidRPr="001D6512" w:rsidRDefault="00D368BF" w:rsidP="002204F6">
            <w:pPr>
              <w:pStyle w:val="TableCell"/>
              <w:spacing w:before="60" w:after="60" w:line="240" w:lineRule="auto"/>
              <w:jc w:val="right"/>
              <w:rPr>
                <w:rFonts w:cs="Arial"/>
                <w:color w:val="000000"/>
                <w:szCs w:val="18"/>
              </w:rPr>
            </w:pPr>
            <w:r w:rsidRPr="001D6512">
              <w:rPr>
                <w:rFonts w:cs="Arial"/>
                <w:color w:val="000000"/>
                <w:szCs w:val="18"/>
              </w:rPr>
              <w:t>1,026</w:t>
            </w:r>
          </w:p>
        </w:tc>
        <w:tc>
          <w:tcPr>
            <w:tcW w:w="452" w:type="pct"/>
            <w:noWrap/>
          </w:tcPr>
          <w:p w:rsidR="00D368BF" w:rsidRPr="001D6512" w:rsidRDefault="00D368BF" w:rsidP="002204F6">
            <w:pPr>
              <w:pStyle w:val="TableCell"/>
              <w:spacing w:before="60" w:after="60" w:line="240" w:lineRule="auto"/>
              <w:jc w:val="right"/>
              <w:rPr>
                <w:rFonts w:cs="Arial"/>
                <w:color w:val="000000"/>
                <w:szCs w:val="18"/>
              </w:rPr>
            </w:pPr>
            <w:r w:rsidRPr="001D6512">
              <w:rPr>
                <w:rFonts w:cs="Arial"/>
                <w:color w:val="000000"/>
                <w:szCs w:val="18"/>
              </w:rPr>
              <w:t>917</w:t>
            </w:r>
          </w:p>
        </w:tc>
        <w:tc>
          <w:tcPr>
            <w:tcW w:w="452" w:type="pct"/>
            <w:noWrap/>
          </w:tcPr>
          <w:p w:rsidR="00D368BF" w:rsidRPr="001D6512" w:rsidRDefault="00D368BF" w:rsidP="002204F6">
            <w:pPr>
              <w:pStyle w:val="TableCell"/>
              <w:spacing w:before="60" w:after="60" w:line="240" w:lineRule="auto"/>
              <w:jc w:val="right"/>
              <w:rPr>
                <w:rFonts w:cs="Arial"/>
                <w:color w:val="000000"/>
                <w:szCs w:val="18"/>
              </w:rPr>
            </w:pPr>
            <w:r w:rsidRPr="001D6512">
              <w:rPr>
                <w:rFonts w:cs="Arial"/>
                <w:color w:val="000000"/>
                <w:szCs w:val="18"/>
              </w:rPr>
              <w:t>1,436</w:t>
            </w:r>
          </w:p>
        </w:tc>
        <w:tc>
          <w:tcPr>
            <w:tcW w:w="452" w:type="pct"/>
          </w:tcPr>
          <w:p w:rsidR="00D368BF" w:rsidRPr="001D6512" w:rsidRDefault="00D368BF" w:rsidP="002204F6">
            <w:pPr>
              <w:pStyle w:val="TableCell"/>
              <w:spacing w:before="60" w:after="60" w:line="240" w:lineRule="auto"/>
              <w:jc w:val="right"/>
              <w:rPr>
                <w:rFonts w:cs="Arial"/>
                <w:color w:val="000000"/>
                <w:szCs w:val="18"/>
              </w:rPr>
            </w:pPr>
            <w:r w:rsidRPr="001D6512">
              <w:rPr>
                <w:rFonts w:cs="Arial"/>
                <w:color w:val="000000"/>
                <w:szCs w:val="18"/>
              </w:rPr>
              <w:t>864</w:t>
            </w:r>
          </w:p>
        </w:tc>
      </w:tr>
      <w:tr w:rsidR="00D368BF" w:rsidRPr="00861542" w:rsidTr="00D368BF">
        <w:trPr>
          <w:trHeight w:val="300"/>
        </w:trPr>
        <w:tc>
          <w:tcPr>
            <w:tcW w:w="1834" w:type="pct"/>
            <w:noWrap/>
          </w:tcPr>
          <w:p w:rsidR="00D368BF" w:rsidRPr="001D6512" w:rsidRDefault="00D368BF" w:rsidP="002204F6">
            <w:pPr>
              <w:pStyle w:val="TableCell"/>
              <w:spacing w:before="60" w:after="60" w:line="240" w:lineRule="auto"/>
              <w:rPr>
                <w:rFonts w:cs="Arial"/>
                <w:color w:val="000000"/>
                <w:szCs w:val="18"/>
              </w:rPr>
            </w:pPr>
            <w:r w:rsidRPr="001D6512">
              <w:rPr>
                <w:rFonts w:cs="Arial"/>
                <w:color w:val="000000"/>
                <w:szCs w:val="18"/>
              </w:rPr>
              <w:t>Dining: Bar Lounge/Leisure</w:t>
            </w:r>
          </w:p>
        </w:tc>
        <w:tc>
          <w:tcPr>
            <w:tcW w:w="452" w:type="pct"/>
            <w:noWrap/>
          </w:tcPr>
          <w:p w:rsidR="00D368BF" w:rsidRPr="001D6512" w:rsidRDefault="00D368BF" w:rsidP="002204F6">
            <w:pPr>
              <w:pStyle w:val="TableCell"/>
              <w:spacing w:before="60" w:after="60" w:line="240" w:lineRule="auto"/>
              <w:jc w:val="right"/>
              <w:rPr>
                <w:rFonts w:cs="Arial"/>
                <w:color w:val="000000"/>
                <w:szCs w:val="18"/>
              </w:rPr>
            </w:pPr>
            <w:r w:rsidRPr="001D6512">
              <w:rPr>
                <w:rFonts w:cs="Arial"/>
                <w:color w:val="000000"/>
                <w:szCs w:val="18"/>
              </w:rPr>
              <w:t>912</w:t>
            </w:r>
          </w:p>
        </w:tc>
        <w:tc>
          <w:tcPr>
            <w:tcW w:w="452" w:type="pct"/>
            <w:noWrap/>
          </w:tcPr>
          <w:p w:rsidR="00D368BF" w:rsidRPr="001D6512" w:rsidRDefault="00D368BF" w:rsidP="002204F6">
            <w:pPr>
              <w:pStyle w:val="TableCell"/>
              <w:spacing w:before="60" w:after="60" w:line="240" w:lineRule="auto"/>
              <w:jc w:val="right"/>
              <w:rPr>
                <w:rFonts w:cs="Arial"/>
                <w:color w:val="000000"/>
                <w:szCs w:val="18"/>
              </w:rPr>
            </w:pPr>
            <w:r w:rsidRPr="001D6512">
              <w:rPr>
                <w:rFonts w:cs="Arial"/>
                <w:color w:val="000000"/>
                <w:szCs w:val="18"/>
              </w:rPr>
              <w:t>503</w:t>
            </w:r>
          </w:p>
        </w:tc>
        <w:tc>
          <w:tcPr>
            <w:tcW w:w="452" w:type="pct"/>
            <w:noWrap/>
          </w:tcPr>
          <w:p w:rsidR="00D368BF" w:rsidRPr="001D6512" w:rsidRDefault="00D368BF" w:rsidP="002204F6">
            <w:pPr>
              <w:pStyle w:val="TableCell"/>
              <w:spacing w:before="60" w:after="60" w:line="240" w:lineRule="auto"/>
              <w:jc w:val="right"/>
              <w:rPr>
                <w:rFonts w:cs="Arial"/>
                <w:color w:val="000000"/>
                <w:szCs w:val="18"/>
              </w:rPr>
            </w:pPr>
            <w:r w:rsidRPr="001D6512">
              <w:rPr>
                <w:rFonts w:cs="Arial"/>
                <w:color w:val="000000"/>
                <w:szCs w:val="18"/>
              </w:rPr>
              <w:t>969</w:t>
            </w:r>
          </w:p>
        </w:tc>
        <w:tc>
          <w:tcPr>
            <w:tcW w:w="452" w:type="pct"/>
            <w:noWrap/>
          </w:tcPr>
          <w:p w:rsidR="00D368BF" w:rsidRPr="001D6512" w:rsidRDefault="00D368BF" w:rsidP="002204F6">
            <w:pPr>
              <w:pStyle w:val="TableCell"/>
              <w:spacing w:before="60" w:after="60" w:line="240" w:lineRule="auto"/>
              <w:jc w:val="right"/>
              <w:rPr>
                <w:rFonts w:cs="Arial"/>
                <w:color w:val="000000"/>
                <w:szCs w:val="18"/>
              </w:rPr>
            </w:pPr>
            <w:r w:rsidRPr="001D6512">
              <w:rPr>
                <w:rFonts w:cs="Arial"/>
                <w:color w:val="000000"/>
                <w:szCs w:val="18"/>
              </w:rPr>
              <w:t>769</w:t>
            </w:r>
          </w:p>
        </w:tc>
        <w:tc>
          <w:tcPr>
            <w:tcW w:w="452" w:type="pct"/>
            <w:noWrap/>
          </w:tcPr>
          <w:p w:rsidR="00D368BF" w:rsidRPr="001D6512" w:rsidRDefault="00D368BF" w:rsidP="002204F6">
            <w:pPr>
              <w:pStyle w:val="TableCell"/>
              <w:spacing w:before="60" w:after="60" w:line="240" w:lineRule="auto"/>
              <w:jc w:val="right"/>
              <w:rPr>
                <w:rFonts w:cs="Arial"/>
                <w:color w:val="000000"/>
                <w:szCs w:val="18"/>
              </w:rPr>
            </w:pPr>
            <w:r w:rsidRPr="001D6512">
              <w:rPr>
                <w:rFonts w:cs="Arial"/>
                <w:color w:val="000000"/>
                <w:szCs w:val="18"/>
              </w:rPr>
              <w:t>688</w:t>
            </w:r>
          </w:p>
        </w:tc>
        <w:tc>
          <w:tcPr>
            <w:tcW w:w="452" w:type="pct"/>
            <w:noWrap/>
          </w:tcPr>
          <w:p w:rsidR="00D368BF" w:rsidRPr="001D6512" w:rsidRDefault="00D368BF" w:rsidP="002204F6">
            <w:pPr>
              <w:pStyle w:val="TableCell"/>
              <w:spacing w:before="60" w:after="60" w:line="240" w:lineRule="auto"/>
              <w:jc w:val="right"/>
              <w:rPr>
                <w:rFonts w:cs="Arial"/>
                <w:color w:val="000000"/>
                <w:szCs w:val="18"/>
              </w:rPr>
            </w:pPr>
            <w:r w:rsidRPr="001D6512">
              <w:rPr>
                <w:rFonts w:cs="Arial"/>
                <w:color w:val="000000"/>
                <w:szCs w:val="18"/>
              </w:rPr>
              <w:t>1,077</w:t>
            </w:r>
          </w:p>
        </w:tc>
        <w:tc>
          <w:tcPr>
            <w:tcW w:w="452" w:type="pct"/>
          </w:tcPr>
          <w:p w:rsidR="00D368BF" w:rsidRPr="001D6512" w:rsidRDefault="00D368BF" w:rsidP="002204F6">
            <w:pPr>
              <w:pStyle w:val="TableCell"/>
              <w:spacing w:before="60" w:after="60" w:line="240" w:lineRule="auto"/>
              <w:jc w:val="right"/>
              <w:rPr>
                <w:rFonts w:cs="Arial"/>
                <w:color w:val="000000"/>
                <w:szCs w:val="18"/>
              </w:rPr>
            </w:pPr>
            <w:r w:rsidRPr="001D6512">
              <w:rPr>
                <w:rFonts w:cs="Arial"/>
                <w:color w:val="000000"/>
                <w:szCs w:val="18"/>
              </w:rPr>
              <w:t>648</w:t>
            </w:r>
          </w:p>
        </w:tc>
      </w:tr>
      <w:tr w:rsidR="00D368BF" w:rsidRPr="00861542" w:rsidTr="00D368BF">
        <w:trPr>
          <w:trHeight w:val="300"/>
        </w:trPr>
        <w:tc>
          <w:tcPr>
            <w:tcW w:w="1834" w:type="pct"/>
            <w:noWrap/>
          </w:tcPr>
          <w:p w:rsidR="00D368BF" w:rsidRPr="001D6512" w:rsidRDefault="00D368BF" w:rsidP="002204F6">
            <w:pPr>
              <w:pStyle w:val="TableCell"/>
              <w:keepNext w:val="0"/>
              <w:spacing w:before="60" w:after="60" w:line="240" w:lineRule="auto"/>
              <w:rPr>
                <w:rFonts w:cs="Arial"/>
                <w:color w:val="000000"/>
                <w:szCs w:val="18"/>
              </w:rPr>
            </w:pPr>
            <w:r w:rsidRPr="001D6512">
              <w:rPr>
                <w:rFonts w:cs="Arial"/>
                <w:color w:val="000000"/>
                <w:szCs w:val="18"/>
              </w:rPr>
              <w:t>Dining: Cafeteria / Fast Food</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1,227</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677</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1,304</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1,035</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925</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1,449</w:t>
            </w:r>
          </w:p>
        </w:tc>
        <w:tc>
          <w:tcPr>
            <w:tcW w:w="452" w:type="pct"/>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872</w:t>
            </w:r>
          </w:p>
        </w:tc>
      </w:tr>
      <w:tr w:rsidR="00D368BF" w:rsidRPr="00861542" w:rsidTr="00D368BF">
        <w:trPr>
          <w:trHeight w:val="300"/>
        </w:trPr>
        <w:tc>
          <w:tcPr>
            <w:tcW w:w="1834" w:type="pct"/>
            <w:noWrap/>
          </w:tcPr>
          <w:p w:rsidR="00D368BF" w:rsidRPr="001D6512" w:rsidRDefault="00D368BF" w:rsidP="002204F6">
            <w:pPr>
              <w:pStyle w:val="TableCell"/>
              <w:keepNext w:val="0"/>
              <w:spacing w:before="60" w:after="60" w:line="240" w:lineRule="auto"/>
              <w:rPr>
                <w:rFonts w:cs="Arial"/>
                <w:color w:val="000000"/>
                <w:szCs w:val="18"/>
              </w:rPr>
            </w:pPr>
            <w:r w:rsidRPr="001D6512">
              <w:rPr>
                <w:rFonts w:cs="Arial"/>
                <w:color w:val="000000"/>
                <w:szCs w:val="18"/>
              </w:rPr>
              <w:t>Dining: Restaurants</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912</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503</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969</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769</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688</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1,077</w:t>
            </w:r>
          </w:p>
        </w:tc>
        <w:tc>
          <w:tcPr>
            <w:tcW w:w="452" w:type="pct"/>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648</w:t>
            </w:r>
          </w:p>
        </w:tc>
      </w:tr>
      <w:tr w:rsidR="00D368BF" w:rsidRPr="00861542" w:rsidTr="00D368BF">
        <w:trPr>
          <w:trHeight w:val="300"/>
        </w:trPr>
        <w:tc>
          <w:tcPr>
            <w:tcW w:w="1834" w:type="pct"/>
            <w:noWrap/>
          </w:tcPr>
          <w:p w:rsidR="00D368BF" w:rsidRPr="001D6512" w:rsidRDefault="00D368BF" w:rsidP="002204F6">
            <w:pPr>
              <w:pStyle w:val="TableCell"/>
              <w:keepNext w:val="0"/>
              <w:spacing w:before="60" w:after="60" w:line="240" w:lineRule="auto"/>
              <w:rPr>
                <w:rFonts w:cs="Arial"/>
                <w:color w:val="000000"/>
                <w:szCs w:val="18"/>
              </w:rPr>
            </w:pPr>
            <w:r w:rsidRPr="001D6512">
              <w:rPr>
                <w:rFonts w:cs="Arial"/>
                <w:color w:val="000000"/>
                <w:szCs w:val="18"/>
              </w:rPr>
              <w:t>Lodging: Hotels/Motels/Dormitories</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756</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418</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805</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638</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571</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894</w:t>
            </w:r>
          </w:p>
        </w:tc>
        <w:tc>
          <w:tcPr>
            <w:tcW w:w="452" w:type="pct"/>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538</w:t>
            </w:r>
          </w:p>
        </w:tc>
      </w:tr>
      <w:tr w:rsidR="00D368BF" w:rsidRPr="00861542" w:rsidTr="00D368BF">
        <w:trPr>
          <w:trHeight w:val="300"/>
        </w:trPr>
        <w:tc>
          <w:tcPr>
            <w:tcW w:w="1834" w:type="pct"/>
            <w:noWrap/>
          </w:tcPr>
          <w:p w:rsidR="00D368BF" w:rsidRPr="001D6512" w:rsidRDefault="00D368BF" w:rsidP="002204F6">
            <w:pPr>
              <w:pStyle w:val="TableCell"/>
              <w:keepNext w:val="0"/>
              <w:spacing w:before="60" w:after="60" w:line="240" w:lineRule="auto"/>
              <w:rPr>
                <w:rFonts w:cs="Arial"/>
                <w:color w:val="000000"/>
                <w:szCs w:val="18"/>
              </w:rPr>
            </w:pPr>
            <w:r w:rsidRPr="001D6512">
              <w:rPr>
                <w:rFonts w:cs="Arial"/>
                <w:color w:val="000000"/>
                <w:szCs w:val="18"/>
              </w:rPr>
              <w:t>Lodging: Residential</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757</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418</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805</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638</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571</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894</w:t>
            </w:r>
          </w:p>
        </w:tc>
        <w:tc>
          <w:tcPr>
            <w:tcW w:w="452" w:type="pct"/>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538</w:t>
            </w:r>
          </w:p>
        </w:tc>
      </w:tr>
      <w:tr w:rsidR="00D368BF" w:rsidRPr="00861542" w:rsidTr="00D368BF">
        <w:trPr>
          <w:trHeight w:val="300"/>
        </w:trPr>
        <w:tc>
          <w:tcPr>
            <w:tcW w:w="1834" w:type="pct"/>
            <w:noWrap/>
          </w:tcPr>
          <w:p w:rsidR="00D368BF" w:rsidRPr="001D6512" w:rsidRDefault="00D368BF" w:rsidP="002204F6">
            <w:pPr>
              <w:pStyle w:val="TableCell"/>
              <w:keepNext w:val="0"/>
              <w:spacing w:before="60" w:after="60" w:line="240" w:lineRule="auto"/>
              <w:rPr>
                <w:rFonts w:cs="Arial"/>
                <w:color w:val="000000"/>
                <w:szCs w:val="18"/>
              </w:rPr>
            </w:pPr>
            <w:r w:rsidRPr="001D6512">
              <w:rPr>
                <w:rFonts w:cs="Arial"/>
                <w:color w:val="000000"/>
                <w:szCs w:val="18"/>
              </w:rPr>
              <w:t>Multi-Family (Common Areas)</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1,395</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769</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1,482</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1,176</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1,052</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1,647</w:t>
            </w:r>
          </w:p>
        </w:tc>
        <w:tc>
          <w:tcPr>
            <w:tcW w:w="452" w:type="pct"/>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991</w:t>
            </w:r>
          </w:p>
        </w:tc>
      </w:tr>
      <w:tr w:rsidR="00D368BF" w:rsidRPr="00861542" w:rsidTr="00D368BF">
        <w:trPr>
          <w:trHeight w:val="300"/>
        </w:trPr>
        <w:tc>
          <w:tcPr>
            <w:tcW w:w="1834" w:type="pct"/>
            <w:noWrap/>
          </w:tcPr>
          <w:p w:rsidR="00D368BF" w:rsidRPr="001D6512" w:rsidRDefault="00D368BF" w:rsidP="002204F6">
            <w:pPr>
              <w:pStyle w:val="TableCell"/>
              <w:keepNext w:val="0"/>
              <w:spacing w:before="60" w:after="60" w:line="240" w:lineRule="auto"/>
              <w:rPr>
                <w:rFonts w:cs="Arial"/>
                <w:color w:val="000000"/>
                <w:szCs w:val="18"/>
              </w:rPr>
            </w:pPr>
            <w:r w:rsidRPr="001D6512">
              <w:rPr>
                <w:rFonts w:cs="Arial"/>
                <w:color w:val="000000"/>
                <w:szCs w:val="18"/>
              </w:rPr>
              <w:t>Nursing Homes</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1,141</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630</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1,213</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963</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861</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1,348</w:t>
            </w:r>
          </w:p>
        </w:tc>
        <w:tc>
          <w:tcPr>
            <w:tcW w:w="452" w:type="pct"/>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811</w:t>
            </w:r>
          </w:p>
        </w:tc>
      </w:tr>
      <w:tr w:rsidR="00D368BF" w:rsidRPr="00861542" w:rsidTr="00D368BF">
        <w:trPr>
          <w:trHeight w:val="300"/>
        </w:trPr>
        <w:tc>
          <w:tcPr>
            <w:tcW w:w="1834" w:type="pct"/>
            <w:noWrap/>
          </w:tcPr>
          <w:p w:rsidR="00D368BF" w:rsidRPr="001D6512" w:rsidRDefault="00D368BF" w:rsidP="002204F6">
            <w:pPr>
              <w:pStyle w:val="TableCell"/>
              <w:keepNext w:val="0"/>
              <w:spacing w:before="60" w:after="60" w:line="240" w:lineRule="auto"/>
              <w:rPr>
                <w:rFonts w:cs="Arial"/>
                <w:color w:val="000000"/>
                <w:szCs w:val="18"/>
              </w:rPr>
            </w:pPr>
            <w:r w:rsidRPr="001D6512">
              <w:rPr>
                <w:rFonts w:cs="Arial"/>
                <w:color w:val="000000"/>
                <w:szCs w:val="18"/>
              </w:rPr>
              <w:t>Office: General/Retail</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851</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469</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905</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718</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642</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1,005</w:t>
            </w:r>
          </w:p>
        </w:tc>
        <w:tc>
          <w:tcPr>
            <w:tcW w:w="452" w:type="pct"/>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605</w:t>
            </w:r>
          </w:p>
        </w:tc>
      </w:tr>
      <w:tr w:rsidR="00D368BF" w:rsidRPr="00861542" w:rsidTr="00D368BF">
        <w:trPr>
          <w:trHeight w:val="300"/>
        </w:trPr>
        <w:tc>
          <w:tcPr>
            <w:tcW w:w="1834" w:type="pct"/>
            <w:noWrap/>
          </w:tcPr>
          <w:p w:rsidR="00D368BF" w:rsidRPr="001D6512" w:rsidRDefault="00D368BF" w:rsidP="002204F6">
            <w:pPr>
              <w:pStyle w:val="TableCell"/>
              <w:keepNext w:val="0"/>
              <w:spacing w:before="60" w:after="60" w:line="240" w:lineRule="auto"/>
              <w:rPr>
                <w:rFonts w:cs="Arial"/>
                <w:color w:val="000000"/>
                <w:szCs w:val="18"/>
              </w:rPr>
            </w:pPr>
            <w:r w:rsidRPr="001D6512">
              <w:rPr>
                <w:rFonts w:cs="Arial"/>
                <w:color w:val="000000"/>
                <w:szCs w:val="18"/>
              </w:rPr>
              <w:t>Office: Medical/Banks</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851</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469</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905</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718</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642</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1,005</w:t>
            </w:r>
          </w:p>
        </w:tc>
        <w:tc>
          <w:tcPr>
            <w:tcW w:w="452" w:type="pct"/>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605</w:t>
            </w:r>
          </w:p>
        </w:tc>
      </w:tr>
      <w:tr w:rsidR="00D368BF" w:rsidRPr="00861542" w:rsidTr="00D368BF">
        <w:trPr>
          <w:trHeight w:val="300"/>
        </w:trPr>
        <w:tc>
          <w:tcPr>
            <w:tcW w:w="1834" w:type="pct"/>
            <w:noWrap/>
          </w:tcPr>
          <w:p w:rsidR="00D368BF" w:rsidRPr="001D6512" w:rsidRDefault="00D368BF" w:rsidP="002204F6">
            <w:pPr>
              <w:pStyle w:val="TableCell"/>
              <w:keepNext w:val="0"/>
              <w:spacing w:before="60" w:after="60" w:line="240" w:lineRule="auto"/>
              <w:rPr>
                <w:rFonts w:cs="Arial"/>
                <w:color w:val="000000"/>
                <w:szCs w:val="18"/>
              </w:rPr>
            </w:pPr>
            <w:r w:rsidRPr="001D6512">
              <w:rPr>
                <w:rFonts w:cs="Arial"/>
                <w:color w:val="000000"/>
                <w:szCs w:val="18"/>
              </w:rPr>
              <w:t>Penitentiary</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1,091</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602</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1,160</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920</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823</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1,289</w:t>
            </w:r>
          </w:p>
        </w:tc>
        <w:tc>
          <w:tcPr>
            <w:tcW w:w="452" w:type="pct"/>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775</w:t>
            </w:r>
          </w:p>
        </w:tc>
      </w:tr>
      <w:tr w:rsidR="00D368BF" w:rsidRPr="00861542" w:rsidTr="00D368BF">
        <w:trPr>
          <w:trHeight w:val="300"/>
        </w:trPr>
        <w:tc>
          <w:tcPr>
            <w:tcW w:w="1834" w:type="pct"/>
            <w:noWrap/>
          </w:tcPr>
          <w:p w:rsidR="00D368BF" w:rsidRPr="001D6512" w:rsidRDefault="00D368BF" w:rsidP="002204F6">
            <w:pPr>
              <w:pStyle w:val="TableCell"/>
              <w:keepNext w:val="0"/>
              <w:spacing w:before="60" w:after="60" w:line="240" w:lineRule="auto"/>
              <w:rPr>
                <w:rFonts w:cs="Arial"/>
                <w:color w:val="000000"/>
                <w:szCs w:val="18"/>
              </w:rPr>
            </w:pPr>
            <w:r w:rsidRPr="001D6512">
              <w:rPr>
                <w:rFonts w:cs="Arial"/>
                <w:color w:val="000000"/>
                <w:szCs w:val="18"/>
              </w:rPr>
              <w:t>Police/Fire Stations (24 Hr)</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1,395</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769</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1,482</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1,176</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1,052</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1,647</w:t>
            </w:r>
          </w:p>
        </w:tc>
        <w:tc>
          <w:tcPr>
            <w:tcW w:w="452" w:type="pct"/>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991</w:t>
            </w:r>
          </w:p>
        </w:tc>
      </w:tr>
      <w:tr w:rsidR="00D368BF" w:rsidRPr="00861542" w:rsidTr="00D368BF">
        <w:trPr>
          <w:trHeight w:val="300"/>
        </w:trPr>
        <w:tc>
          <w:tcPr>
            <w:tcW w:w="1834" w:type="pct"/>
            <w:noWrap/>
          </w:tcPr>
          <w:p w:rsidR="00D368BF" w:rsidRPr="001D6512" w:rsidRDefault="00D368BF" w:rsidP="002204F6">
            <w:pPr>
              <w:pStyle w:val="TableCell"/>
              <w:keepNext w:val="0"/>
              <w:spacing w:before="60" w:after="60" w:line="240" w:lineRule="auto"/>
              <w:rPr>
                <w:rFonts w:cs="Arial"/>
                <w:color w:val="000000"/>
                <w:szCs w:val="18"/>
              </w:rPr>
            </w:pPr>
            <w:r w:rsidRPr="001D6512">
              <w:rPr>
                <w:rFonts w:cs="Arial"/>
                <w:color w:val="000000"/>
                <w:szCs w:val="18"/>
              </w:rPr>
              <w:t>Post Office/Town Hall/Court House</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851</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469</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905</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718</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642</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1,005</w:t>
            </w:r>
          </w:p>
        </w:tc>
        <w:tc>
          <w:tcPr>
            <w:tcW w:w="452" w:type="pct"/>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605</w:t>
            </w:r>
          </w:p>
        </w:tc>
      </w:tr>
      <w:tr w:rsidR="00D368BF" w:rsidRPr="00861542" w:rsidTr="00D368BF">
        <w:trPr>
          <w:trHeight w:val="300"/>
        </w:trPr>
        <w:tc>
          <w:tcPr>
            <w:tcW w:w="1834" w:type="pct"/>
            <w:noWrap/>
          </w:tcPr>
          <w:p w:rsidR="00D368BF" w:rsidRPr="001D6512" w:rsidRDefault="00D368BF" w:rsidP="002204F6">
            <w:pPr>
              <w:pStyle w:val="TableCell"/>
              <w:keepNext w:val="0"/>
              <w:spacing w:before="60" w:after="60" w:line="240" w:lineRule="auto"/>
              <w:rPr>
                <w:rFonts w:cs="Arial"/>
                <w:color w:val="000000"/>
                <w:szCs w:val="18"/>
              </w:rPr>
            </w:pPr>
            <w:r w:rsidRPr="001D6512">
              <w:rPr>
                <w:rFonts w:cs="Arial"/>
                <w:color w:val="000000"/>
                <w:szCs w:val="18"/>
              </w:rPr>
              <w:t>Religious Buildings/Church</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602</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332</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640</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508</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454</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711</w:t>
            </w:r>
          </w:p>
        </w:tc>
        <w:tc>
          <w:tcPr>
            <w:tcW w:w="452" w:type="pct"/>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428</w:t>
            </w:r>
          </w:p>
        </w:tc>
      </w:tr>
      <w:tr w:rsidR="00D368BF" w:rsidRPr="00861542" w:rsidTr="00D368BF">
        <w:trPr>
          <w:trHeight w:val="300"/>
        </w:trPr>
        <w:tc>
          <w:tcPr>
            <w:tcW w:w="1834" w:type="pct"/>
            <w:noWrap/>
          </w:tcPr>
          <w:p w:rsidR="00D368BF" w:rsidRPr="001D6512" w:rsidRDefault="00D368BF" w:rsidP="002204F6">
            <w:pPr>
              <w:pStyle w:val="TableCell"/>
              <w:keepNext w:val="0"/>
              <w:spacing w:before="60" w:after="60" w:line="240" w:lineRule="auto"/>
              <w:rPr>
                <w:rFonts w:cs="Arial"/>
                <w:color w:val="000000"/>
                <w:szCs w:val="18"/>
              </w:rPr>
            </w:pPr>
            <w:r w:rsidRPr="001D6512">
              <w:rPr>
                <w:rFonts w:cs="Arial"/>
                <w:color w:val="000000"/>
                <w:szCs w:val="18"/>
              </w:rPr>
              <w:t>Retail</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894</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493</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950</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754</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674</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1,055</w:t>
            </w:r>
          </w:p>
        </w:tc>
        <w:tc>
          <w:tcPr>
            <w:tcW w:w="452" w:type="pct"/>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635</w:t>
            </w:r>
          </w:p>
        </w:tc>
      </w:tr>
      <w:tr w:rsidR="00D368BF" w:rsidRPr="00861542" w:rsidTr="00D368BF">
        <w:trPr>
          <w:trHeight w:val="300"/>
        </w:trPr>
        <w:tc>
          <w:tcPr>
            <w:tcW w:w="1834" w:type="pct"/>
            <w:noWrap/>
          </w:tcPr>
          <w:p w:rsidR="00D368BF" w:rsidRPr="001D6512" w:rsidRDefault="00D368BF" w:rsidP="002204F6">
            <w:pPr>
              <w:pStyle w:val="TableCell"/>
              <w:keepNext w:val="0"/>
              <w:spacing w:before="60" w:after="60" w:line="240" w:lineRule="auto"/>
              <w:rPr>
                <w:rFonts w:cs="Arial"/>
                <w:color w:val="000000"/>
                <w:szCs w:val="18"/>
              </w:rPr>
            </w:pPr>
            <w:r w:rsidRPr="001D6512">
              <w:rPr>
                <w:rFonts w:cs="Arial"/>
                <w:color w:val="000000"/>
                <w:szCs w:val="18"/>
              </w:rPr>
              <w:t>Schools/University</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634</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350</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674</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535</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478</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749</w:t>
            </w:r>
          </w:p>
        </w:tc>
        <w:tc>
          <w:tcPr>
            <w:tcW w:w="452" w:type="pct"/>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451</w:t>
            </w:r>
          </w:p>
        </w:tc>
      </w:tr>
      <w:tr w:rsidR="00D368BF" w:rsidRPr="00861542" w:rsidTr="00D368BF">
        <w:trPr>
          <w:trHeight w:val="300"/>
        </w:trPr>
        <w:tc>
          <w:tcPr>
            <w:tcW w:w="1834" w:type="pct"/>
            <w:noWrap/>
          </w:tcPr>
          <w:p w:rsidR="00D368BF" w:rsidRPr="001D6512" w:rsidRDefault="00D368BF" w:rsidP="002204F6">
            <w:pPr>
              <w:pStyle w:val="TableCell"/>
              <w:keepNext w:val="0"/>
              <w:spacing w:before="60" w:after="60" w:line="240" w:lineRule="auto"/>
              <w:rPr>
                <w:rFonts w:cs="Arial"/>
                <w:color w:val="000000"/>
                <w:szCs w:val="18"/>
              </w:rPr>
            </w:pPr>
            <w:r w:rsidRPr="001D6512">
              <w:rPr>
                <w:rFonts w:cs="Arial"/>
                <w:color w:val="000000"/>
                <w:szCs w:val="18"/>
              </w:rPr>
              <w:t>Warehouses (Not Refrigerated)</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692</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382</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735</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583</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522</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817</w:t>
            </w:r>
          </w:p>
        </w:tc>
        <w:tc>
          <w:tcPr>
            <w:tcW w:w="452" w:type="pct"/>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492</w:t>
            </w:r>
          </w:p>
        </w:tc>
      </w:tr>
      <w:tr w:rsidR="00D368BF" w:rsidRPr="00861542" w:rsidTr="00D368BF">
        <w:trPr>
          <w:trHeight w:val="300"/>
        </w:trPr>
        <w:tc>
          <w:tcPr>
            <w:tcW w:w="1834" w:type="pct"/>
            <w:noWrap/>
          </w:tcPr>
          <w:p w:rsidR="00D368BF" w:rsidRPr="001D6512" w:rsidRDefault="00D368BF" w:rsidP="002204F6">
            <w:pPr>
              <w:pStyle w:val="TableCell"/>
              <w:keepNext w:val="0"/>
              <w:spacing w:before="60" w:after="60" w:line="240" w:lineRule="auto"/>
              <w:rPr>
                <w:rFonts w:cs="Arial"/>
                <w:color w:val="000000"/>
                <w:szCs w:val="18"/>
              </w:rPr>
            </w:pPr>
            <w:r w:rsidRPr="001D6512">
              <w:rPr>
                <w:rFonts w:cs="Arial"/>
                <w:color w:val="000000"/>
                <w:szCs w:val="18"/>
              </w:rPr>
              <w:t>Warehouses (Refrigerated)</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692</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382</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735</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583</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522</w:t>
            </w:r>
          </w:p>
        </w:tc>
        <w:tc>
          <w:tcPr>
            <w:tcW w:w="452" w:type="pct"/>
            <w:noWrap/>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817</w:t>
            </w:r>
          </w:p>
        </w:tc>
        <w:tc>
          <w:tcPr>
            <w:tcW w:w="452" w:type="pct"/>
          </w:tcPr>
          <w:p w:rsidR="00D368BF" w:rsidRPr="001D6512" w:rsidRDefault="00D368BF" w:rsidP="002204F6">
            <w:pPr>
              <w:pStyle w:val="TableCell"/>
              <w:keepNext w:val="0"/>
              <w:spacing w:before="60" w:after="60" w:line="240" w:lineRule="auto"/>
              <w:jc w:val="right"/>
              <w:rPr>
                <w:rFonts w:cs="Arial"/>
                <w:color w:val="000000"/>
                <w:szCs w:val="18"/>
              </w:rPr>
            </w:pPr>
            <w:r w:rsidRPr="001D6512">
              <w:rPr>
                <w:rFonts w:cs="Arial"/>
                <w:color w:val="000000"/>
                <w:szCs w:val="18"/>
              </w:rPr>
              <w:t>492</w:t>
            </w:r>
          </w:p>
        </w:tc>
      </w:tr>
    </w:tbl>
    <w:p w:rsidR="008B139C" w:rsidRDefault="008B139C" w:rsidP="008B139C">
      <w:pPr>
        <w:overflowPunct/>
        <w:autoSpaceDE/>
        <w:autoSpaceDN/>
        <w:adjustRightInd/>
        <w:spacing w:after="0" w:line="240" w:lineRule="auto"/>
        <w:textAlignment w:val="auto"/>
      </w:pPr>
      <w:bookmarkStart w:id="1349" w:name="_Toc283146828"/>
      <w:bookmarkStart w:id="1350" w:name="_Toc283154311"/>
      <w:bookmarkStart w:id="1351" w:name="_Toc283716060"/>
      <w:bookmarkStart w:id="1352" w:name="_Toc283719195"/>
      <w:bookmarkStart w:id="1353" w:name="_Toc283719371"/>
      <w:bookmarkStart w:id="1354" w:name="_Toc283719547"/>
      <w:bookmarkStart w:id="1355" w:name="_Toc283739189"/>
      <w:bookmarkStart w:id="1356" w:name="_Toc283739541"/>
      <w:bookmarkStart w:id="1357" w:name="_Toc283739892"/>
      <w:bookmarkStart w:id="1358" w:name="_Toc283740236"/>
      <w:bookmarkStart w:id="1359" w:name="_Toc283740577"/>
      <w:bookmarkStart w:id="1360" w:name="_Toc283740910"/>
      <w:bookmarkStart w:id="1361" w:name="_Toc283741239"/>
      <w:bookmarkStart w:id="1362" w:name="_Toc283741562"/>
      <w:bookmarkStart w:id="1363" w:name="_Toc283741872"/>
      <w:bookmarkStart w:id="1364" w:name="_Toc283742181"/>
      <w:bookmarkStart w:id="1365" w:name="_Toc283742675"/>
      <w:bookmarkStart w:id="1366" w:name="_Toc283742936"/>
      <w:bookmarkStart w:id="1367" w:name="_Toc283743114"/>
      <w:bookmarkStart w:id="1368" w:name="_Toc283743291"/>
      <w:bookmarkStart w:id="1369" w:name="_Toc283743467"/>
      <w:bookmarkStart w:id="1370" w:name="_Toc283743644"/>
      <w:bookmarkStart w:id="1371" w:name="_Toc283743820"/>
      <w:bookmarkStart w:id="1372" w:name="_Toc275507531"/>
      <w:bookmarkStart w:id="1373" w:name="_Toc275514546"/>
      <w:bookmarkStart w:id="1374" w:name="_Toc275521564"/>
      <w:bookmarkStart w:id="1375" w:name="_Toc275528582"/>
      <w:bookmarkStart w:id="1376" w:name="_Toc275535598"/>
      <w:bookmarkStart w:id="1377" w:name="_Toc275542635"/>
      <w:bookmarkStart w:id="1378" w:name="_Toc275549668"/>
      <w:bookmarkStart w:id="1379" w:name="_Toc275848418"/>
      <w:bookmarkStart w:id="1380" w:name="_Toc275857290"/>
      <w:bookmarkStart w:id="1381" w:name="_Toc275864308"/>
      <w:bookmarkStart w:id="1382" w:name="_Toc275867179"/>
      <w:bookmarkStart w:id="1383" w:name="_Toc275867671"/>
      <w:bookmarkStart w:id="1384" w:name="_Toc275878922"/>
      <w:bookmarkStart w:id="1385" w:name="_Toc275903061"/>
      <w:bookmarkStart w:id="1386" w:name="_Toc275942838"/>
      <w:bookmarkStart w:id="1387" w:name="_Toc275943121"/>
      <w:bookmarkStart w:id="1388" w:name="_Toc275943504"/>
      <w:bookmarkStart w:id="1389" w:name="_Toc276630969"/>
      <w:bookmarkStart w:id="1390" w:name="_Toc276631188"/>
      <w:bookmarkStart w:id="1391" w:name="_Toc276631412"/>
      <w:bookmarkStart w:id="1392" w:name="_Toc276631631"/>
      <w:bookmarkStart w:id="1393" w:name="_Toc283146830"/>
      <w:bookmarkStart w:id="1394" w:name="_Toc283154313"/>
      <w:bookmarkStart w:id="1395" w:name="_Toc283716062"/>
      <w:bookmarkStart w:id="1396" w:name="_Toc283719197"/>
      <w:bookmarkStart w:id="1397" w:name="_Toc283719373"/>
      <w:bookmarkStart w:id="1398" w:name="_Toc283719549"/>
      <w:bookmarkStart w:id="1399" w:name="_Toc283739191"/>
      <w:bookmarkStart w:id="1400" w:name="_Toc283739543"/>
      <w:bookmarkStart w:id="1401" w:name="_Toc283739894"/>
      <w:bookmarkStart w:id="1402" w:name="_Toc283740238"/>
      <w:bookmarkStart w:id="1403" w:name="_Toc283740579"/>
      <w:bookmarkStart w:id="1404" w:name="_Toc283740912"/>
      <w:bookmarkStart w:id="1405" w:name="_Toc283741241"/>
      <w:bookmarkStart w:id="1406" w:name="_Toc283741564"/>
      <w:bookmarkStart w:id="1407" w:name="_Toc283741874"/>
      <w:bookmarkStart w:id="1408" w:name="_Toc283742183"/>
      <w:bookmarkStart w:id="1409" w:name="_Toc283742677"/>
      <w:bookmarkStart w:id="1410" w:name="_Toc283742938"/>
      <w:bookmarkStart w:id="1411" w:name="_Toc283743116"/>
      <w:bookmarkStart w:id="1412" w:name="_Toc283743293"/>
      <w:bookmarkStart w:id="1413" w:name="_Toc283743469"/>
      <w:bookmarkStart w:id="1414" w:name="_Toc283743646"/>
      <w:bookmarkStart w:id="1415" w:name="_Toc283743822"/>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rsidR="008B139C" w:rsidRDefault="008B139C" w:rsidP="008B139C">
      <w:pPr>
        <w:pStyle w:val="Heading1"/>
      </w:pPr>
      <w:r>
        <w:br w:type="page"/>
      </w:r>
      <w:bookmarkStart w:id="1416" w:name="_Toc310875474"/>
      <w:r w:rsidRPr="008B139C">
        <w:t>Demand Response</w:t>
      </w:r>
      <w:bookmarkEnd w:id="1416"/>
    </w:p>
    <w:p w:rsidR="00E25801" w:rsidRPr="00E25801" w:rsidRDefault="00E25801" w:rsidP="00E25801">
      <w:r>
        <w:t>The following sections provide guidance for calculating Act 129 peak load reductions for demand response measures. All references to PJM Business Rules in this section address computation of hourly load reductions during Act 129 load reduction events, rather than other events under PJM programs.</w:t>
      </w:r>
    </w:p>
    <w:p w:rsidR="008B139C" w:rsidRDefault="008B139C" w:rsidP="008B139C">
      <w:pPr>
        <w:pStyle w:val="Heading2"/>
      </w:pPr>
      <w:bookmarkStart w:id="1417" w:name="_Toc310875475"/>
      <w:r w:rsidRPr="00341244">
        <w:t>Determin</w:t>
      </w:r>
      <w:r>
        <w:t>ation of</w:t>
      </w:r>
      <w:r w:rsidRPr="00341244">
        <w:t xml:space="preserve"> Act 129 Peak Load Reductions</w:t>
      </w:r>
      <w:bookmarkEnd w:id="1417"/>
    </w:p>
    <w:p w:rsidR="008B139C" w:rsidRDefault="008B139C" w:rsidP="008B139C">
      <w:pPr>
        <w:pStyle w:val="Heading3"/>
      </w:pPr>
      <w:r>
        <w:t>Step 1a</w:t>
      </w:r>
    </w:p>
    <w:p w:rsidR="00A85623" w:rsidRDefault="008B139C" w:rsidP="008B139C">
      <w:r>
        <w:t>Hourly peak load reductions from demand response (DR) measures for Direct Load Control (DLC) and Load Curtailment (LC) will be determined in accordance with PJM measurement &amp; verification protocols, related business rules, protocol approval processes and settlement clearing due diligence practices</w:t>
      </w:r>
      <w:r>
        <w:rPr>
          <w:rStyle w:val="FootnoteReference"/>
        </w:rPr>
        <w:footnoteReference w:id="262"/>
      </w:r>
      <w:r>
        <w:t xml:space="preserve"> that will be in place during the 2012 summer period (June 1 - September 30, 2012), as verified by the EDC and reviewed by both the EDCs’ independent evaluators and the SWE.  Peak load reductions from critical peak pricing (CPP) programs will be determined consistent with EDC EM&amp;V Plans and consistent with PJM Customer Baseline methods and business rules, as they may be reasonably applied to the CPP programs.  Peak load reductions from DLC, CPP and LC will be determined for each Act 129 DR event hour for June 1, 2012, through September 30, 2012.  When determining customer baselines, Act 129 DR event days and PJM DR event days (e.g., for PJM emergencies and economic events for which participants have settlements) will be excluded</w:t>
      </w:r>
      <w:r w:rsidR="00A85623">
        <w:t xml:space="preserve"> to the extent that they are known</w:t>
      </w:r>
      <w:r>
        <w:t>.</w:t>
      </w:r>
      <w:r w:rsidR="00A85623">
        <w:t xml:space="preserve"> </w:t>
      </w:r>
    </w:p>
    <w:p w:rsidR="008B139C" w:rsidRDefault="00A85623" w:rsidP="008B139C">
      <w:r>
        <w:t xml:space="preserve">Where customer baseline methods using day-of adjustments may produce conservative savings estimates if a customer participates in multiple events with differing starting times within a single day. In these situations where the Act 129 event starts after a PJM event, calculate the day-of adjustments using the first event so as to preserve the intent of the day-of adjustment, </w:t>
      </w:r>
    </w:p>
    <w:p w:rsidR="008B139C" w:rsidRDefault="008B139C" w:rsidP="008B139C">
      <w:pPr>
        <w:pStyle w:val="Heading3"/>
      </w:pPr>
      <w:r>
        <w:t>Step 1b</w:t>
      </w:r>
    </w:p>
    <w:p w:rsidR="008B139C" w:rsidRPr="00BB7135" w:rsidRDefault="008B139C" w:rsidP="008B139C">
      <w:r>
        <w:t>Hourly peak</w:t>
      </w:r>
      <w:r w:rsidRPr="00567B0D">
        <w:t xml:space="preserve"> load reductions from </w:t>
      </w:r>
      <w:r>
        <w:t>energy efficiency (</w:t>
      </w:r>
      <w:r w:rsidRPr="00567B0D">
        <w:t>EE</w:t>
      </w:r>
      <w:r>
        <w:t>)</w:t>
      </w:r>
      <w:r w:rsidRPr="00567B0D">
        <w:t xml:space="preserve"> measures, </w:t>
      </w:r>
      <w:r>
        <w:t xml:space="preserve">CPP programs, conservation voltage control, </w:t>
      </w:r>
      <w:r w:rsidRPr="00567B0D">
        <w:t xml:space="preserve">and DR </w:t>
      </w:r>
      <w:r>
        <w:t>p</w:t>
      </w:r>
      <w:r w:rsidRPr="00567B0D">
        <w:t xml:space="preserve">rograms other than DLC and LC will be determined in accordance with the </w:t>
      </w:r>
      <w:r>
        <w:t>Technical Reference Manual (</w:t>
      </w:r>
      <w:r w:rsidRPr="00567B0D">
        <w:t>TRM</w:t>
      </w:r>
      <w:r>
        <w:t>)</w:t>
      </w:r>
      <w:r w:rsidRPr="00567B0D">
        <w:t xml:space="preserve"> or </w:t>
      </w:r>
      <w:r>
        <w:t xml:space="preserve">a custom measure protocol vetted with the SWE.  Peak load reductions from EE measures installed before June 1, 2012, occur equally in all event hours during the summer of 2012.  Peak load reductions from EE measures installed between June 1, 2012, and September 30, 2012, occur equally in all event hours after the measure’s installation date.  </w:t>
      </w:r>
      <w:r w:rsidRPr="00913AF4">
        <w:rPr>
          <w:i/>
        </w:rPr>
        <w:t>Example: a</w:t>
      </w:r>
      <w:r>
        <w:rPr>
          <w:i/>
        </w:rPr>
        <w:t>n energy efficiency</w:t>
      </w:r>
      <w:r w:rsidRPr="00913AF4">
        <w:rPr>
          <w:i/>
        </w:rPr>
        <w:t xml:space="preserve"> measure installed on </w:t>
      </w:r>
      <w:r>
        <w:rPr>
          <w:i/>
        </w:rPr>
        <w:t>July 5, 2012,</w:t>
      </w:r>
      <w:r w:rsidRPr="00913AF4">
        <w:rPr>
          <w:i/>
        </w:rPr>
        <w:t xml:space="preserve"> will contribute </w:t>
      </w:r>
      <w:r>
        <w:rPr>
          <w:i/>
        </w:rPr>
        <w:t xml:space="preserve">to </w:t>
      </w:r>
      <w:r w:rsidRPr="00913AF4">
        <w:rPr>
          <w:i/>
        </w:rPr>
        <w:t>peak load reduction</w:t>
      </w:r>
      <w:r>
        <w:rPr>
          <w:i/>
        </w:rPr>
        <w:t xml:space="preserve"> event hours</w:t>
      </w:r>
      <w:r w:rsidRPr="00913AF4">
        <w:rPr>
          <w:i/>
        </w:rPr>
        <w:t xml:space="preserve"> from </w:t>
      </w:r>
      <w:r>
        <w:rPr>
          <w:i/>
        </w:rPr>
        <w:t>July 5, 2012,</w:t>
      </w:r>
      <w:r w:rsidRPr="00913AF4">
        <w:rPr>
          <w:i/>
        </w:rPr>
        <w:t xml:space="preserve"> forward</w:t>
      </w:r>
      <w:r>
        <w:rPr>
          <w:i/>
        </w:rPr>
        <w:t>.</w:t>
      </w:r>
    </w:p>
    <w:p w:rsidR="008B139C" w:rsidRDefault="008B139C" w:rsidP="008B139C">
      <w:pPr>
        <w:pStyle w:val="Heading3"/>
      </w:pPr>
      <w:r>
        <w:t>Step 1c</w:t>
      </w:r>
    </w:p>
    <w:p w:rsidR="008B139C" w:rsidRDefault="008B139C" w:rsidP="008B139C">
      <w:r>
        <w:t>The EDC’s independent evaluator and the SWE will verify hourly peak load reductions for DR measures, and values to be applied for EE measures, pricing programs, and conservation voltage control in accordance with the EDC’s approved Evaluation Plan.  For DLC and LC, the verification method is to confirm that the peak load reductions were determined in accordance with PJM protocols,</w:t>
      </w:r>
      <w:r w:rsidRPr="00E16C87">
        <w:t xml:space="preserve"> </w:t>
      </w:r>
      <w:r>
        <w:t>related business rules, protocol approval processes and settlement clearing due diligence practices.  The verification method for other programs will vary according to that program’s evaluation plan and more specific measurement protocols vetted with the SWE, i.e. conservation voltage control.</w:t>
      </w:r>
    </w:p>
    <w:p w:rsidR="008B139C" w:rsidRDefault="008B139C" w:rsidP="008B139C">
      <w:pPr>
        <w:pStyle w:val="Heading3"/>
      </w:pPr>
      <w:r>
        <w:t>Step 1d</w:t>
      </w:r>
    </w:p>
    <w:p w:rsidR="008B139C" w:rsidRDefault="008B139C" w:rsidP="008B139C">
      <w:r>
        <w:t>Total Hourly Act 129 Peak Load Reduction in Each Hour (June 1 - September 30, 2012) = Peak load reductions from LC, CPP, and DLC DR Measures</w:t>
      </w:r>
      <w:r>
        <w:rPr>
          <w:rStyle w:val="FootnoteReference"/>
        </w:rPr>
        <w:footnoteReference w:id="263"/>
      </w:r>
      <w:r>
        <w:t xml:space="preserve"> + Constant Load Reductions from non-dispatchable measures (i.e., peak load reductions from EE measures + peak load reductions from DR programs other than DLC and LC to the extent they either follow PJM economic protocols or protocols otherwise specifically vetted with the SWE + reductions from conservation voltage control, etc.)  An EDC will gross up the Total Hourly Peak Load Reduction in Each Hour (calculated at the customer level) to reflect transmission and distribution losses if the EDC’s peak load reduction targets were determined at the system level. </w:t>
      </w:r>
    </w:p>
    <w:p w:rsidR="008B139C" w:rsidRPr="00341244" w:rsidRDefault="008B139C" w:rsidP="008B139C">
      <w:pPr>
        <w:pStyle w:val="Heading2"/>
      </w:pPr>
      <w:bookmarkStart w:id="1418" w:name="_Toc310875476"/>
      <w:r w:rsidRPr="00341244">
        <w:t xml:space="preserve">Determine the </w:t>
      </w:r>
      <w:r>
        <w:t>“</w:t>
      </w:r>
      <w:r w:rsidRPr="00341244">
        <w:t>Top 100 Hours</w:t>
      </w:r>
      <w:r>
        <w:t>”</w:t>
      </w:r>
      <w:r w:rsidRPr="00341244">
        <w:t xml:space="preserve"> (100 hours of highest peak load)</w:t>
      </w:r>
      <w:bookmarkEnd w:id="1418"/>
    </w:p>
    <w:p w:rsidR="008B139C" w:rsidRDefault="008B139C" w:rsidP="008B139C">
      <w:pPr>
        <w:pStyle w:val="Heading3"/>
      </w:pPr>
      <w:r>
        <w:t>Step 2a</w:t>
      </w:r>
    </w:p>
    <w:p w:rsidR="008B139C" w:rsidRDefault="008B139C" w:rsidP="008B139C">
      <w:r>
        <w:t>The EDC will record actual system load data for every hour from June 1, 2012, through September 30, 2012.</w:t>
      </w:r>
    </w:p>
    <w:p w:rsidR="008B139C" w:rsidRDefault="008B139C" w:rsidP="008B139C">
      <w:pPr>
        <w:pStyle w:val="Heading3"/>
      </w:pPr>
      <w:r>
        <w:t>Step 2b</w:t>
      </w:r>
    </w:p>
    <w:p w:rsidR="008B139C" w:rsidRDefault="008B139C" w:rsidP="008B139C">
      <w:r>
        <w:t>The EDC will reconstruct its system load curve by applying Act 129 “add-backs” (i.e., the Act 129 peak load reductions determined in Step 1d for every hour during the summer of 2012) to represent what the system load would have been if there were no Act 129 peak load reductions.</w:t>
      </w:r>
      <w:r>
        <w:rPr>
          <w:rStyle w:val="FootnoteReference"/>
        </w:rPr>
        <w:footnoteReference w:id="264"/>
      </w:r>
      <w:r>
        <w:t xml:space="preserve">  If the load curve is not reconstructed, the actual load in an event hour will be lower than it would have been without the event, possibly excluding that event hour from the top 100 hours, which would inappropriately undermine assessment of the intended outcome.  The reconstruction will include the following components:</w:t>
      </w:r>
    </w:p>
    <w:p w:rsidR="008B139C" w:rsidRDefault="008B139C" w:rsidP="0005632A">
      <w:pPr>
        <w:numPr>
          <w:ilvl w:val="0"/>
          <w:numId w:val="116"/>
        </w:numPr>
      </w:pPr>
      <w:r>
        <w:t>Add back the Act 129 peak load reductions determined in Step 1d for every hour during the summer of 2012.  The EDCs’ independent evaluators and the SWE may assess the impact of including or excluding add-backs for non-dispatchable measures.</w:t>
      </w:r>
      <w:r>
        <w:rPr>
          <w:rStyle w:val="FootnoteReference"/>
        </w:rPr>
        <w:footnoteReference w:id="265"/>
      </w:r>
      <w:r>
        <w:t xml:space="preserve">  </w:t>
      </w:r>
    </w:p>
    <w:p w:rsidR="008B139C" w:rsidRDefault="008B139C" w:rsidP="0005632A">
      <w:pPr>
        <w:numPr>
          <w:ilvl w:val="0"/>
          <w:numId w:val="116"/>
        </w:numPr>
      </w:pPr>
      <w:r>
        <w:t xml:space="preserve">Each EDC, and the SWE, will determine if pre-cooling and snapback effects from their Act 129 DR programs (increased usage occurring immediately before and immediately after control period) are significant enough to influence whether a non-event hour could become a peak hour if these effects are not addressed in the load reconstruction (by reducing system load in that hour by the magnitude of the snapback or pre-cooling).  Depending on the types of actions that customers take to curtail load, e.g. shutting down air conditioning, failure to address pre-cooling and snapback could cause a non-event hour to become (incorrectly appear to be) a peak hour.  If determined by the EDC, subject to SWE review and recommendation, pre-cooling and snapback information can be used to inform possible future versions of Act 129 EE&amp;C (post-2013).  Act 129 DR compliance for 2012 will not include pre-cooling and snapback in the reconstruction of the system load curve. </w:t>
      </w:r>
    </w:p>
    <w:p w:rsidR="008B139C" w:rsidRDefault="008B139C" w:rsidP="008B139C">
      <w:pPr>
        <w:pStyle w:val="Heading3"/>
      </w:pPr>
      <w:r>
        <w:t>Step 2c</w:t>
      </w:r>
    </w:p>
    <w:p w:rsidR="008B139C" w:rsidRDefault="008B139C" w:rsidP="008B139C">
      <w:r>
        <w:t xml:space="preserve">The </w:t>
      </w:r>
      <w:r w:rsidRPr="00341244">
        <w:t xml:space="preserve">EDC </w:t>
      </w:r>
      <w:r>
        <w:t>will</w:t>
      </w:r>
      <w:r w:rsidRPr="00341244">
        <w:t xml:space="preserve"> identify the 100 specific hours</w:t>
      </w:r>
      <w:r>
        <w:t xml:space="preserve"> (June 1, 2012, through September 30, 2012) </w:t>
      </w:r>
      <w:r w:rsidRPr="00341244">
        <w:t>in the reconstructed load data with the highest load</w:t>
      </w:r>
      <w:r>
        <w:t>.  These are the “Top 100 Hours” (100 hours of highest peak load).</w:t>
      </w:r>
    </w:p>
    <w:p w:rsidR="008B139C" w:rsidRDefault="008B139C" w:rsidP="008B139C">
      <w:pPr>
        <w:pStyle w:val="Heading3"/>
      </w:pPr>
      <w:r>
        <w:t>Step 2d</w:t>
      </w:r>
    </w:p>
    <w:p w:rsidR="008B139C" w:rsidRDefault="008B139C" w:rsidP="008B139C">
      <w:r w:rsidRPr="00341244">
        <w:t xml:space="preserve">The EDC’s independent evaluator </w:t>
      </w:r>
      <w:r>
        <w:t xml:space="preserve">and the SWE </w:t>
      </w:r>
      <w:r w:rsidRPr="00341244">
        <w:t xml:space="preserve">will review records to confirm these are the top 100 hours during </w:t>
      </w:r>
      <w:r>
        <w:t>June 1, 2012, through September 30, 2012</w:t>
      </w:r>
      <w:r w:rsidRPr="00341244">
        <w:t>.</w:t>
      </w:r>
    </w:p>
    <w:p w:rsidR="008B139C" w:rsidRDefault="008B139C" w:rsidP="008B139C">
      <w:pPr>
        <w:pStyle w:val="Heading3"/>
      </w:pPr>
      <w:r>
        <w:t>Step 2 Notes</w:t>
      </w:r>
    </w:p>
    <w:p w:rsidR="008B139C" w:rsidRDefault="008B139C" w:rsidP="008B139C">
      <w:r w:rsidRPr="008B139C">
        <w:rPr>
          <w:b/>
        </w:rPr>
        <w:t>Note 1:</w:t>
      </w:r>
      <w:r>
        <w:t xml:space="preserve"> There is no reason to add back PJM events for the Act 129 load reconstruction.  Not to be confused with “add-backs” for participants in an EDC program who also participate in unrelated PJM DR program/events (“add-backs” for these events will be needed to accurately compute participant baselines).   The Act 129 reconstruction should address Act 129 influences only, not unrelated influences such as unrelated </w:t>
      </w:r>
      <w:smartTag w:uri="urn:schemas-microsoft-com:office:smarttags" w:element="Street">
        <w:smartTag w:uri="urn:schemas-microsoft-com:office:smarttags" w:element="address">
          <w:r>
            <w:t>PJM DR</w:t>
          </w:r>
        </w:smartTag>
      </w:smartTag>
      <w:r>
        <w:t xml:space="preserve"> program participation, thunderstorms, and outages etc.</w:t>
      </w:r>
    </w:p>
    <w:p w:rsidR="008B139C" w:rsidRDefault="008B139C" w:rsidP="008B139C">
      <w:r w:rsidRPr="008B139C">
        <w:rPr>
          <w:b/>
        </w:rPr>
        <w:t>Note 2:</w:t>
      </w:r>
      <w:r w:rsidRPr="002021BB">
        <w:rPr>
          <w:color w:val="1F497D"/>
        </w:rPr>
        <w:t xml:space="preserve"> </w:t>
      </w:r>
      <w:r w:rsidRPr="002021BB">
        <w:t xml:space="preserve">For the purpose of </w:t>
      </w:r>
      <w:r>
        <w:t>c</w:t>
      </w:r>
      <w:r w:rsidRPr="002021BB">
        <w:t>alculating Customer Baselines (CBLs)</w:t>
      </w:r>
      <w:r>
        <w:t>,</w:t>
      </w:r>
      <w:r w:rsidRPr="002021BB">
        <w:t xml:space="preserve"> </w:t>
      </w:r>
      <w:r>
        <w:t>and to ensure the most accurate representation of an Act 129 DR participant’s end-use load pattern is utilized when computing event performance, EDCs shall calculate CBLs per PJM business rules.</w:t>
      </w:r>
    </w:p>
    <w:p w:rsidR="008B139C" w:rsidRDefault="008B139C" w:rsidP="008B139C">
      <w:r w:rsidRPr="008B139C">
        <w:rPr>
          <w:b/>
        </w:rPr>
        <w:t>Note 3:</w:t>
      </w:r>
      <w:r>
        <w:t xml:space="preserve"> For the purpose of calculating CBLs for Act 129 events using PJM economic protocols, any DR events (PJM or Act 129) or outages should be excluded from the baseline calculation.  While unrelated PJM DR events and outages are not relevant in determining the EDCs’ system loads without Act 129, the purpose of calculating a CBL is to accurately estimate what the DR participant’s load would have been if no Act 129 event had been called.  For the purpose of accuracy, this requires utilizing days in the look back window that reflect normal operating demand (weekends/holidays are excluded from a weekday event calculation for the same reason).  To no exclude PJM events and outages from the look back window will lead to demand reduction calculations and EDC system load reconstructions that less accurately reflect what peak demand would have been had there been no Act 129, which, in turn, could skew measured load reductions.</w:t>
      </w:r>
    </w:p>
    <w:p w:rsidR="008B139C" w:rsidRDefault="008B139C" w:rsidP="008B139C">
      <w:pPr>
        <w:pStyle w:val="Heading2"/>
        <w:rPr>
          <w:u w:val="single"/>
        </w:rPr>
      </w:pPr>
      <w:bookmarkStart w:id="1419" w:name="_Toc310875477"/>
      <w:r>
        <w:t xml:space="preserve">Determine the Act 129 </w:t>
      </w:r>
      <w:smartTag w:uri="urn:schemas-microsoft-com:office:smarttags" w:element="place">
        <w:smartTag w:uri="urn:schemas-microsoft-com:office:smarttags" w:element="PlaceName">
          <w:r>
            <w:t>Average</w:t>
          </w:r>
        </w:smartTag>
        <w:r>
          <w:t xml:space="preserve"> </w:t>
        </w:r>
        <w:smartTag w:uri="urn:schemas-microsoft-com:office:smarttags" w:element="PlaceType">
          <w:r>
            <w:t>Peak</w:t>
          </w:r>
        </w:smartTag>
      </w:smartTag>
      <w:r>
        <w:t xml:space="preserve"> Load Reduction During the 100 Peak Hours</w:t>
      </w:r>
      <w:bookmarkEnd w:id="1419"/>
    </w:p>
    <w:p w:rsidR="008B139C" w:rsidRDefault="008B139C" w:rsidP="008B139C">
      <w:pPr>
        <w:pStyle w:val="Heading3"/>
      </w:pPr>
      <w:r>
        <w:t>Step 3a</w:t>
      </w:r>
    </w:p>
    <w:p w:rsidR="008B139C" w:rsidRDefault="008B139C" w:rsidP="008B139C">
      <w:r>
        <w:t>Sum the total Act 129 peak load reductions (determined for each hour in Step 1d) for each of the Top 100 Hours (determined in Step 2c).  This is the Act 129 Total Peak Load Reduction During the Top 100 Hours.</w:t>
      </w:r>
    </w:p>
    <w:p w:rsidR="008B139C" w:rsidRDefault="008B139C" w:rsidP="008B139C">
      <w:pPr>
        <w:pStyle w:val="Heading3"/>
      </w:pPr>
      <w:r>
        <w:t>Step 3b</w:t>
      </w:r>
    </w:p>
    <w:p w:rsidR="008B139C" w:rsidRDefault="008B139C" w:rsidP="008B139C">
      <w:r>
        <w:t xml:space="preserve">Divide the Act 129 Total Peak Load Reductions During the Top 100 Hours (from Step 3a) by 100.  This is The Act 129 Average Peak Load Reduction During the 100 Peak Hours. </w:t>
      </w:r>
    </w:p>
    <w:p w:rsidR="008B139C" w:rsidRPr="008B139C" w:rsidRDefault="008B139C" w:rsidP="008B139C">
      <w:pPr>
        <w:keepNext/>
        <w:rPr>
          <w:i/>
        </w:rPr>
      </w:pPr>
      <w:r w:rsidRPr="008B139C">
        <w:rPr>
          <w:i/>
        </w:rPr>
        <w:t xml:space="preserve">Example: </w:t>
      </w:r>
    </w:p>
    <w:p w:rsidR="008B139C" w:rsidRPr="007D3E05" w:rsidRDefault="008B139C" w:rsidP="008B139C">
      <w:pPr>
        <w:ind w:left="720"/>
        <w:rPr>
          <w:iCs/>
        </w:rPr>
      </w:pPr>
      <w:r w:rsidRPr="00385BA0">
        <w:t xml:space="preserve">90 hours </w:t>
      </w:r>
      <w:r>
        <w:t>in</w:t>
      </w:r>
      <w:r w:rsidRPr="00385BA0">
        <w:t xml:space="preserve"> the “Top 100 Hours” each achieved 115 MW of </w:t>
      </w:r>
      <w:r>
        <w:t xml:space="preserve">Act 129 Peak Load Reduction.  </w:t>
      </w:r>
      <w:r w:rsidRPr="00385BA0">
        <w:t xml:space="preserve"> 10 hours </w:t>
      </w:r>
      <w:r>
        <w:t>in</w:t>
      </w:r>
      <w:r w:rsidRPr="00385BA0">
        <w:t xml:space="preserve"> the “Top 100 Hours” </w:t>
      </w:r>
      <w:r>
        <w:t xml:space="preserve">achieved </w:t>
      </w:r>
      <w:r w:rsidRPr="00385BA0">
        <w:t xml:space="preserve">0 MW of </w:t>
      </w:r>
      <w:r>
        <w:t>Act 129 Peak Load Reduction</w:t>
      </w:r>
      <w:r w:rsidRPr="00385BA0">
        <w:t xml:space="preserve">.  </w:t>
      </w:r>
      <w:r>
        <w:t>Step 3a-- Act 129 Total Peak Load Reductions During the Top 100 Hours  = (90 x 115) + (10 x 0) = 10,350 MW.  Step 3b--Act 129 Average Peak Load Reductions During the 100 Peak Hours = 10,350 MW/100 = 103.5 MW.</w:t>
      </w:r>
    </w:p>
    <w:p w:rsidR="008B139C" w:rsidRDefault="008B139C" w:rsidP="008B139C">
      <w:pPr>
        <w:pStyle w:val="Heading3"/>
      </w:pPr>
      <w:r>
        <w:t>Step 3 Notes</w:t>
      </w:r>
    </w:p>
    <w:p w:rsidR="008B139C" w:rsidRDefault="008B139C" w:rsidP="008B139C">
      <w:pPr>
        <w:rPr>
          <w:iCs/>
        </w:rPr>
      </w:pPr>
      <w:r>
        <w:rPr>
          <w:iCs/>
        </w:rPr>
        <w:t xml:space="preserve">If the EDC’s Act 129 peak load reduction target is 100 MW, then the example above meets (exceeds) the compliance target.  </w:t>
      </w:r>
    </w:p>
    <w:p w:rsidR="008B139C" w:rsidRDefault="008B139C" w:rsidP="008B139C">
      <w:r>
        <w:t xml:space="preserve">There are many other combinations that could produce 100 MW of Act 129 Average Peak Load Reductions During the 100 Peak Hours. For example, compliance with a 100 MW target can be achieved by any of the following:  </w:t>
      </w:r>
    </w:p>
    <w:p w:rsidR="008B139C" w:rsidRDefault="008B139C" w:rsidP="0005632A">
      <w:pPr>
        <w:numPr>
          <w:ilvl w:val="0"/>
          <w:numId w:val="115"/>
        </w:numPr>
        <w:overflowPunct/>
        <w:autoSpaceDE/>
        <w:autoSpaceDN/>
        <w:adjustRightInd/>
        <w:spacing w:after="0" w:line="360" w:lineRule="auto"/>
        <w:ind w:right="-360"/>
        <w:textAlignment w:val="auto"/>
      </w:pPr>
      <w:r>
        <w:t>1,000 MW Act 129 Peak Load Reduction in</w:t>
      </w:r>
      <w:r>
        <w:rPr>
          <w:iCs/>
        </w:rPr>
        <w:t xml:space="preserve"> </w:t>
      </w:r>
      <w:r>
        <w:t>10 of the top 100 hours (the other 90 top hours have 0 MW reduction)</w:t>
      </w:r>
    </w:p>
    <w:p w:rsidR="008B139C" w:rsidRDefault="008B139C" w:rsidP="0005632A">
      <w:pPr>
        <w:numPr>
          <w:ilvl w:val="0"/>
          <w:numId w:val="115"/>
        </w:numPr>
        <w:overflowPunct/>
        <w:autoSpaceDE/>
        <w:autoSpaceDN/>
        <w:adjustRightInd/>
        <w:spacing w:after="0" w:line="360" w:lineRule="auto"/>
        <w:ind w:right="-360"/>
        <w:textAlignment w:val="auto"/>
      </w:pPr>
      <w:r>
        <w:t xml:space="preserve">100 MW </w:t>
      </w:r>
      <w:r w:rsidRPr="007D3E05">
        <w:rPr>
          <w:iCs/>
        </w:rPr>
        <w:t>Act 129 Peak Load Reduction</w:t>
      </w:r>
      <w:r>
        <w:t xml:space="preserve"> in 100 of the top 100 hours </w:t>
      </w:r>
    </w:p>
    <w:p w:rsidR="008B139C" w:rsidRDefault="008B139C" w:rsidP="0005632A">
      <w:pPr>
        <w:numPr>
          <w:ilvl w:val="0"/>
          <w:numId w:val="115"/>
        </w:numPr>
        <w:overflowPunct/>
        <w:autoSpaceDE/>
        <w:autoSpaceDN/>
        <w:adjustRightInd/>
        <w:spacing w:after="0" w:line="360" w:lineRule="auto"/>
        <w:ind w:right="-360"/>
        <w:textAlignment w:val="auto"/>
      </w:pPr>
      <w:r>
        <w:t>200 MW Act 129 Peak Load Reduction in 50 of the top 100 hours (the other 50 top hours have 0 MW reduction)</w:t>
      </w:r>
    </w:p>
    <w:p w:rsidR="008B139C" w:rsidRDefault="008B139C" w:rsidP="0005632A">
      <w:pPr>
        <w:numPr>
          <w:ilvl w:val="0"/>
          <w:numId w:val="115"/>
        </w:numPr>
        <w:overflowPunct/>
        <w:autoSpaceDE/>
        <w:autoSpaceDN/>
        <w:adjustRightInd/>
        <w:spacing w:after="0" w:line="360" w:lineRule="auto"/>
        <w:ind w:right="-360"/>
        <w:textAlignment w:val="auto"/>
      </w:pPr>
      <w:r>
        <w:t>500 MW Act 129 Peak Load Reduction in 20 of the top 100 hours (the other 80 top hours have 0 MW reduction)</w:t>
      </w:r>
    </w:p>
    <w:p w:rsidR="008B139C" w:rsidRDefault="008B139C" w:rsidP="008B139C">
      <w:pPr>
        <w:spacing w:line="360" w:lineRule="auto"/>
        <w:ind w:right="-360"/>
      </w:pPr>
    </w:p>
    <w:p w:rsidR="008B139C" w:rsidRDefault="002C3BC5" w:rsidP="008B139C">
      <w:pPr>
        <w:keepNext/>
        <w:spacing w:after="0" w:line="240" w:lineRule="auto"/>
        <w:ind w:right="-360"/>
        <w:jc w:val="center"/>
      </w:pPr>
      <w:r>
        <w:rPr>
          <w:noProof/>
        </w:rPr>
        <w:drawing>
          <wp:inline distT="0" distB="0" distL="0" distR="0">
            <wp:extent cx="5934075" cy="5305425"/>
            <wp:effectExtent l="0" t="0" r="9525"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934075" cy="5305425"/>
                    </a:xfrm>
                    <a:prstGeom prst="rect">
                      <a:avLst/>
                    </a:prstGeom>
                    <a:noFill/>
                    <a:ln>
                      <a:noFill/>
                    </a:ln>
                  </pic:spPr>
                </pic:pic>
              </a:graphicData>
            </a:graphic>
          </wp:inline>
        </w:drawing>
      </w:r>
    </w:p>
    <w:p w:rsidR="008B139C" w:rsidRDefault="008B139C" w:rsidP="008B139C">
      <w:pPr>
        <w:pStyle w:val="Caption"/>
      </w:pPr>
      <w:r>
        <w:t xml:space="preserve">Figure </w:t>
      </w:r>
      <w:r w:rsidR="007A1FB6">
        <w:fldChar w:fldCharType="begin"/>
      </w:r>
      <w:r>
        <w:instrText xml:space="preserve"> STYLEREF 1 \s </w:instrText>
      </w:r>
      <w:r w:rsidR="007A1FB6">
        <w:fldChar w:fldCharType="separate"/>
      </w:r>
      <w:r w:rsidR="00C0292F">
        <w:rPr>
          <w:noProof/>
        </w:rPr>
        <w:t>4</w:t>
      </w:r>
      <w:r w:rsidR="007A1FB6">
        <w:fldChar w:fldCharType="end"/>
      </w:r>
      <w:r>
        <w:noBreakHyphen/>
      </w:r>
      <w:r w:rsidR="007A1FB6">
        <w:fldChar w:fldCharType="begin"/>
      </w:r>
      <w:r>
        <w:instrText xml:space="preserve"> SEQ Figure \* ARABIC \s 1 </w:instrText>
      </w:r>
      <w:r w:rsidR="007A1FB6">
        <w:fldChar w:fldCharType="separate"/>
      </w:r>
      <w:r w:rsidR="00C0292F">
        <w:rPr>
          <w:noProof/>
        </w:rPr>
        <w:t>1</w:t>
      </w:r>
      <w:r w:rsidR="007A1FB6">
        <w:fldChar w:fldCharType="end"/>
      </w:r>
      <w:r>
        <w:t>: Demand Response Definitions and Calculations</w:t>
      </w:r>
    </w:p>
    <w:p w:rsidR="008B139C" w:rsidRDefault="008B139C" w:rsidP="004F3873">
      <w:pPr>
        <w:keepNext/>
        <w:spacing w:after="0" w:line="240" w:lineRule="auto"/>
        <w:ind w:right="-360"/>
        <w:jc w:val="center"/>
      </w:pPr>
      <w:r>
        <w:br w:type="page"/>
      </w:r>
      <w:r w:rsidR="002C3BC5">
        <w:rPr>
          <w:noProof/>
        </w:rPr>
        <w:drawing>
          <wp:inline distT="0" distB="0" distL="0" distR="0">
            <wp:extent cx="5772150" cy="352425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1" cstate="print">
                      <a:extLst>
                        <a:ext uri="{28A0092B-C50C-407E-A947-70E740481C1C}">
                          <a14:useLocalDpi xmlns:a14="http://schemas.microsoft.com/office/drawing/2010/main" val="0"/>
                        </a:ext>
                      </a:extLst>
                    </a:blip>
                    <a:srcRect t="4338" b="6506"/>
                    <a:stretch>
                      <a:fillRect/>
                    </a:stretch>
                  </pic:blipFill>
                  <pic:spPr bwMode="auto">
                    <a:xfrm>
                      <a:off x="0" y="0"/>
                      <a:ext cx="5772150" cy="3524250"/>
                    </a:xfrm>
                    <a:prstGeom prst="rect">
                      <a:avLst/>
                    </a:prstGeom>
                    <a:noFill/>
                    <a:ln>
                      <a:noFill/>
                    </a:ln>
                  </pic:spPr>
                </pic:pic>
              </a:graphicData>
            </a:graphic>
          </wp:inline>
        </w:drawing>
      </w:r>
    </w:p>
    <w:p w:rsidR="008B139C" w:rsidRDefault="008B139C" w:rsidP="008B139C">
      <w:pPr>
        <w:pStyle w:val="Caption"/>
      </w:pPr>
      <w:r>
        <w:t xml:space="preserve">Figure </w:t>
      </w:r>
      <w:r w:rsidR="007A1FB6">
        <w:fldChar w:fldCharType="begin"/>
      </w:r>
      <w:r>
        <w:instrText xml:space="preserve"> STYLEREF 1 \s </w:instrText>
      </w:r>
      <w:r w:rsidR="007A1FB6">
        <w:fldChar w:fldCharType="separate"/>
      </w:r>
      <w:r w:rsidR="00C0292F">
        <w:rPr>
          <w:noProof/>
        </w:rPr>
        <w:t>4</w:t>
      </w:r>
      <w:r w:rsidR="007A1FB6">
        <w:fldChar w:fldCharType="end"/>
      </w:r>
      <w:r>
        <w:noBreakHyphen/>
      </w:r>
      <w:r w:rsidR="007A1FB6">
        <w:fldChar w:fldCharType="begin"/>
      </w:r>
      <w:r>
        <w:instrText xml:space="preserve"> SEQ Figure \* ARABIC \s 1 </w:instrText>
      </w:r>
      <w:r w:rsidR="007A1FB6">
        <w:fldChar w:fldCharType="separate"/>
      </w:r>
      <w:r w:rsidR="00C0292F">
        <w:rPr>
          <w:noProof/>
        </w:rPr>
        <w:t>2</w:t>
      </w:r>
      <w:r w:rsidR="007A1FB6">
        <w:fldChar w:fldCharType="end"/>
      </w:r>
      <w:r>
        <w:t>: EDC Example Daily Load Curve</w:t>
      </w:r>
    </w:p>
    <w:p w:rsidR="008B139C" w:rsidRDefault="002C3BC5" w:rsidP="004F3873">
      <w:pPr>
        <w:keepNext/>
        <w:spacing w:after="0" w:line="240" w:lineRule="auto"/>
        <w:ind w:right="-360"/>
        <w:jc w:val="center"/>
      </w:pPr>
      <w:r>
        <w:rPr>
          <w:noProof/>
        </w:rPr>
        <w:drawing>
          <wp:inline distT="0" distB="0" distL="0" distR="0">
            <wp:extent cx="5610225" cy="348615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2" cstate="print">
                      <a:extLst>
                        <a:ext uri="{28A0092B-C50C-407E-A947-70E740481C1C}">
                          <a14:useLocalDpi xmlns:a14="http://schemas.microsoft.com/office/drawing/2010/main" val="0"/>
                        </a:ext>
                      </a:extLst>
                    </a:blip>
                    <a:srcRect t="2730" b="6451"/>
                    <a:stretch>
                      <a:fillRect/>
                    </a:stretch>
                  </pic:blipFill>
                  <pic:spPr bwMode="auto">
                    <a:xfrm>
                      <a:off x="0" y="0"/>
                      <a:ext cx="5610225" cy="3486150"/>
                    </a:xfrm>
                    <a:prstGeom prst="rect">
                      <a:avLst/>
                    </a:prstGeom>
                    <a:noFill/>
                    <a:ln>
                      <a:noFill/>
                    </a:ln>
                  </pic:spPr>
                </pic:pic>
              </a:graphicData>
            </a:graphic>
          </wp:inline>
        </w:drawing>
      </w:r>
    </w:p>
    <w:p w:rsidR="008B139C" w:rsidRDefault="008B139C" w:rsidP="008B139C">
      <w:pPr>
        <w:pStyle w:val="Caption"/>
      </w:pPr>
      <w:r>
        <w:t xml:space="preserve">Figure </w:t>
      </w:r>
      <w:r w:rsidR="007A1FB6">
        <w:fldChar w:fldCharType="begin"/>
      </w:r>
      <w:r>
        <w:instrText xml:space="preserve"> STYLEREF 1 \s </w:instrText>
      </w:r>
      <w:r w:rsidR="007A1FB6">
        <w:fldChar w:fldCharType="separate"/>
      </w:r>
      <w:r w:rsidR="00C0292F">
        <w:rPr>
          <w:noProof/>
        </w:rPr>
        <w:t>4</w:t>
      </w:r>
      <w:r w:rsidR="007A1FB6">
        <w:fldChar w:fldCharType="end"/>
      </w:r>
      <w:r>
        <w:noBreakHyphen/>
      </w:r>
      <w:r w:rsidR="007A1FB6">
        <w:fldChar w:fldCharType="begin"/>
      </w:r>
      <w:r>
        <w:instrText xml:space="preserve"> SEQ Figure \* ARABIC \s 1 </w:instrText>
      </w:r>
      <w:r w:rsidR="007A1FB6">
        <w:fldChar w:fldCharType="separate"/>
      </w:r>
      <w:r w:rsidR="00C0292F">
        <w:rPr>
          <w:noProof/>
        </w:rPr>
        <w:t>3</w:t>
      </w:r>
      <w:r w:rsidR="007A1FB6">
        <w:fldChar w:fldCharType="end"/>
      </w:r>
      <w:r>
        <w:t>: 5 Daily Load Curve Example</w:t>
      </w:r>
    </w:p>
    <w:p w:rsidR="008B139C" w:rsidRPr="008B139C" w:rsidRDefault="008B139C" w:rsidP="008B139C"/>
    <w:p w:rsidR="00A22E85" w:rsidRPr="007E213C" w:rsidRDefault="008B139C" w:rsidP="008B139C">
      <w:pPr>
        <w:pStyle w:val="Heading1"/>
      </w:pPr>
      <w:r>
        <w:br w:type="page"/>
      </w:r>
      <w:bookmarkStart w:id="1420" w:name="_Toc310875478"/>
      <w:r w:rsidR="00A22E85" w:rsidRPr="007E213C">
        <w:t>Appendices</w:t>
      </w:r>
      <w:bookmarkEnd w:id="1420"/>
    </w:p>
    <w:p w:rsidR="00A22E85" w:rsidRPr="009528C3" w:rsidRDefault="00A22E85" w:rsidP="00E568D4">
      <w:pPr>
        <w:pStyle w:val="Heading2"/>
      </w:pPr>
      <w:bookmarkStart w:id="1421" w:name="_Toc310875479"/>
      <w:r w:rsidRPr="00526FC4">
        <w:t>Appendix A:  Measure Lives</w:t>
      </w:r>
      <w:bookmarkEnd w:id="1421"/>
    </w:p>
    <w:tbl>
      <w:tblPr>
        <w:tblW w:w="5000" w:type="pct"/>
        <w:tblCellMar>
          <w:left w:w="0" w:type="dxa"/>
          <w:right w:w="0" w:type="dxa"/>
        </w:tblCellMar>
        <w:tblLook w:val="0000" w:firstRow="0" w:lastRow="0" w:firstColumn="0" w:lastColumn="0" w:noHBand="0" w:noVBand="0"/>
      </w:tblPr>
      <w:tblGrid>
        <w:gridCol w:w="6966"/>
        <w:gridCol w:w="1674"/>
      </w:tblGrid>
      <w:tr w:rsidR="00A22E85" w:rsidTr="00332B89">
        <w:trPr>
          <w:trHeight w:val="405"/>
        </w:trPr>
        <w:tc>
          <w:tcPr>
            <w:tcW w:w="5000" w:type="pct"/>
            <w:gridSpan w:val="2"/>
            <w:tcBorders>
              <w:top w:val="nil"/>
              <w:left w:val="nil"/>
              <w:bottom w:val="nil"/>
              <w:right w:val="nil"/>
            </w:tcBorders>
            <w:vAlign w:val="bottom"/>
          </w:tcPr>
          <w:p w:rsidR="00A22E85" w:rsidRPr="00090EEE" w:rsidRDefault="00C67DA4" w:rsidP="00090EEE">
            <w:pPr>
              <w:spacing w:after="0"/>
              <w:jc w:val="center"/>
              <w:rPr>
                <w:b/>
              </w:rPr>
            </w:pPr>
            <w:r w:rsidRPr="00C67DA4">
              <w:rPr>
                <w:b/>
              </w:rPr>
              <w:t>Measure Lives Used in Cost-Effectiveness Screening</w:t>
            </w:r>
          </w:p>
          <w:p w:rsidR="00A22E85" w:rsidRDefault="00C67DA4" w:rsidP="00090EEE">
            <w:pPr>
              <w:spacing w:after="0"/>
              <w:jc w:val="center"/>
              <w:rPr>
                <w:rFonts w:eastAsia="Arial Unicode MS"/>
              </w:rPr>
            </w:pPr>
            <w:r w:rsidRPr="00C67DA4">
              <w:rPr>
                <w:b/>
              </w:rPr>
              <w:t>February 2008</w:t>
            </w:r>
            <w:r w:rsidR="00A22E85" w:rsidRPr="00090EEE">
              <w:rPr>
                <w:rStyle w:val="FootnoteReference"/>
                <w:b/>
              </w:rPr>
              <w:footnoteReference w:id="266"/>
            </w:r>
          </w:p>
        </w:tc>
      </w:tr>
      <w:tr w:rsidR="007E213C" w:rsidRPr="008B1B2F"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blHeader/>
        </w:trPr>
        <w:tc>
          <w:tcPr>
            <w:tcW w:w="4031" w:type="pct"/>
            <w:shd w:val="clear" w:color="auto" w:fill="A6A6A6"/>
            <w:vAlign w:val="bottom"/>
          </w:tcPr>
          <w:p w:rsidR="007E213C" w:rsidRPr="001D6512" w:rsidRDefault="007E213C" w:rsidP="00090EEE">
            <w:pPr>
              <w:pStyle w:val="TableCell"/>
              <w:keepNext w:val="0"/>
              <w:spacing w:before="60" w:after="60"/>
              <w:rPr>
                <w:b/>
              </w:rPr>
            </w:pPr>
            <w:r w:rsidRPr="001D6512">
              <w:rPr>
                <w:b/>
              </w:rPr>
              <w:t>Program/Measure</w:t>
            </w:r>
          </w:p>
          <w:p w:rsidR="007E213C" w:rsidRPr="001D6512" w:rsidRDefault="007E213C" w:rsidP="00090EEE">
            <w:pPr>
              <w:pStyle w:val="TableCell"/>
              <w:keepNext w:val="0"/>
              <w:spacing w:before="60" w:after="60"/>
              <w:rPr>
                <w:rFonts w:eastAsia="Arial Unicode MS"/>
              </w:rPr>
            </w:pPr>
            <w:r w:rsidRPr="001D6512">
              <w:t>*For the purpose of calculating the total Resource Cost Test for Act 129, measure cannot claim savings for more than fifteen years.</w:t>
            </w:r>
          </w:p>
        </w:tc>
        <w:tc>
          <w:tcPr>
            <w:tcW w:w="969" w:type="pct"/>
            <w:shd w:val="clear" w:color="auto" w:fill="A6A6A6"/>
            <w:vAlign w:val="bottom"/>
          </w:tcPr>
          <w:p w:rsidR="007E213C" w:rsidRPr="001D6512" w:rsidRDefault="007E213C" w:rsidP="00090EEE">
            <w:pPr>
              <w:pStyle w:val="TableCell"/>
              <w:keepNext w:val="0"/>
              <w:spacing w:before="60" w:after="60"/>
              <w:rPr>
                <w:b/>
              </w:rPr>
            </w:pPr>
            <w:r w:rsidRPr="001D6512">
              <w:rPr>
                <w:b/>
              </w:rPr>
              <w:t>Measure</w:t>
            </w:r>
          </w:p>
          <w:p w:rsidR="007E213C" w:rsidRPr="001D6512" w:rsidRDefault="007E213C" w:rsidP="00090EEE">
            <w:pPr>
              <w:pStyle w:val="TableCell"/>
              <w:keepNext w:val="0"/>
              <w:spacing w:before="60" w:after="60"/>
              <w:rPr>
                <w:rFonts w:eastAsia="Arial Unicode MS"/>
              </w:rPr>
            </w:pPr>
            <w:r w:rsidRPr="001D6512">
              <w:rPr>
                <w:b/>
              </w:rPr>
              <w:t>Life</w:t>
            </w:r>
          </w:p>
        </w:tc>
      </w:tr>
      <w:tr w:rsidR="007E213C" w:rsidRPr="008B1B2F"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17"/>
        </w:trPr>
        <w:tc>
          <w:tcPr>
            <w:tcW w:w="4031" w:type="pct"/>
            <w:shd w:val="clear" w:color="auto" w:fill="BFBFBF"/>
            <w:vAlign w:val="bottom"/>
          </w:tcPr>
          <w:p w:rsidR="007E213C" w:rsidRPr="001D6512" w:rsidRDefault="007E213C" w:rsidP="00090EEE">
            <w:pPr>
              <w:pStyle w:val="TableCell"/>
              <w:keepNext w:val="0"/>
              <w:spacing w:before="60" w:after="60"/>
              <w:rPr>
                <w:rFonts w:eastAsia="Arial Unicode MS"/>
                <w:b/>
              </w:rPr>
            </w:pPr>
            <w:r w:rsidRPr="001D6512">
              <w:rPr>
                <w:b/>
              </w:rPr>
              <w:t>RESIDENTIAL PROGRAMS</w:t>
            </w:r>
          </w:p>
        </w:tc>
        <w:tc>
          <w:tcPr>
            <w:tcW w:w="969" w:type="pct"/>
            <w:shd w:val="clear" w:color="auto" w:fill="BFBFBF"/>
            <w:vAlign w:val="bottom"/>
          </w:tcPr>
          <w:p w:rsidR="007E213C" w:rsidRPr="001D6512" w:rsidRDefault="007E213C" w:rsidP="00090EEE">
            <w:pPr>
              <w:pStyle w:val="TableCell"/>
              <w:keepNext w:val="0"/>
              <w:spacing w:before="60" w:after="60"/>
              <w:rPr>
                <w:rFonts w:eastAsia="Arial Unicode MS"/>
                <w:i/>
                <w:u w:val="single"/>
              </w:rPr>
            </w:pPr>
          </w:p>
        </w:tc>
      </w:tr>
      <w:tr w:rsidR="007E213C" w:rsidRPr="008B1B2F"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shd w:val="clear" w:color="auto" w:fill="D9D9D9"/>
            <w:vAlign w:val="bottom"/>
          </w:tcPr>
          <w:p w:rsidR="007E213C" w:rsidRPr="001D6512" w:rsidRDefault="00325EF4" w:rsidP="00090EEE">
            <w:pPr>
              <w:pStyle w:val="TableCell"/>
              <w:keepNext w:val="0"/>
              <w:spacing w:before="60" w:after="60"/>
              <w:rPr>
                <w:rFonts w:eastAsia="Arial Unicode MS"/>
                <w:i/>
              </w:rPr>
            </w:pPr>
            <w:r w:rsidRPr="001D6512">
              <w:rPr>
                <w:i/>
              </w:rPr>
              <w:t>ENERGY STAR</w:t>
            </w:r>
            <w:r w:rsidR="007E213C" w:rsidRPr="001D6512">
              <w:rPr>
                <w:i/>
              </w:rPr>
              <w:t xml:space="preserve"> Appliances</w:t>
            </w:r>
          </w:p>
        </w:tc>
        <w:tc>
          <w:tcPr>
            <w:tcW w:w="969" w:type="pct"/>
            <w:shd w:val="clear" w:color="auto" w:fill="D9D9D9"/>
            <w:vAlign w:val="bottom"/>
          </w:tcPr>
          <w:p w:rsidR="007E213C" w:rsidRPr="001D6512" w:rsidRDefault="007E213C" w:rsidP="00090EEE">
            <w:pPr>
              <w:pStyle w:val="TableCell"/>
              <w:keepNext w:val="0"/>
              <w:spacing w:before="60" w:after="60"/>
              <w:rPr>
                <w:rFonts w:eastAsia="Arial Unicode MS"/>
                <w:i/>
              </w:rPr>
            </w:pPr>
          </w:p>
        </w:tc>
      </w:tr>
      <w:tr w:rsidR="007E213C" w:rsidRPr="008B1B2F"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325EF4" w:rsidP="00090EEE">
            <w:pPr>
              <w:pStyle w:val="TableCell"/>
              <w:keepNext w:val="0"/>
              <w:spacing w:before="60" w:after="60"/>
              <w:rPr>
                <w:rFonts w:eastAsia="Arial Unicode MS"/>
              </w:rPr>
            </w:pPr>
            <w:r w:rsidRPr="001D6512">
              <w:t>ENERGY STAR</w:t>
            </w:r>
            <w:r w:rsidR="007E213C" w:rsidRPr="001D6512">
              <w:t xml:space="preserve"> Refrigerator post-2001</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13</w:t>
            </w:r>
          </w:p>
        </w:tc>
      </w:tr>
      <w:tr w:rsidR="007E213C" w:rsidRPr="008B1B2F"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325EF4" w:rsidP="00090EEE">
            <w:pPr>
              <w:pStyle w:val="TableCell"/>
              <w:keepNext w:val="0"/>
              <w:spacing w:before="60" w:after="60"/>
              <w:rPr>
                <w:rFonts w:eastAsia="Arial Unicode MS"/>
              </w:rPr>
            </w:pPr>
            <w:r w:rsidRPr="001D6512">
              <w:t>ENERGY STAR</w:t>
            </w:r>
            <w:r w:rsidR="007E213C" w:rsidRPr="001D6512">
              <w:t xml:space="preserve"> Refrigerator 2001</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13</w:t>
            </w:r>
          </w:p>
        </w:tc>
      </w:tr>
      <w:tr w:rsidR="007E213C" w:rsidRPr="008B1B2F"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325EF4" w:rsidP="00090EEE">
            <w:pPr>
              <w:pStyle w:val="TableCell"/>
              <w:keepNext w:val="0"/>
              <w:spacing w:before="60" w:after="60"/>
              <w:rPr>
                <w:rFonts w:eastAsia="Arial Unicode MS"/>
              </w:rPr>
            </w:pPr>
            <w:r w:rsidRPr="001D6512">
              <w:t>ENERGY STAR</w:t>
            </w:r>
            <w:r w:rsidR="007E213C" w:rsidRPr="001D6512">
              <w:t xml:space="preserve"> Dishwasher </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11</w:t>
            </w:r>
          </w:p>
        </w:tc>
      </w:tr>
      <w:tr w:rsidR="007E213C" w:rsidRPr="008B1B2F"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325EF4" w:rsidP="00090EEE">
            <w:pPr>
              <w:pStyle w:val="TableCell"/>
              <w:keepNext w:val="0"/>
              <w:spacing w:before="60" w:after="60"/>
              <w:rPr>
                <w:rFonts w:eastAsia="Arial Unicode MS"/>
              </w:rPr>
            </w:pPr>
            <w:r w:rsidRPr="001D6512">
              <w:t>ENERGY STAR</w:t>
            </w:r>
            <w:r w:rsidR="007E213C" w:rsidRPr="001D6512">
              <w:t xml:space="preserve"> Clothes Washer</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11</w:t>
            </w:r>
          </w:p>
        </w:tc>
      </w:tr>
      <w:tr w:rsidR="007E213C" w:rsidRPr="008B1B2F"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325EF4" w:rsidP="00090EEE">
            <w:pPr>
              <w:pStyle w:val="TableCell"/>
              <w:keepNext w:val="0"/>
              <w:spacing w:before="60" w:after="60"/>
            </w:pPr>
            <w:r w:rsidRPr="001D6512">
              <w:t>ENERGY STAR</w:t>
            </w:r>
            <w:r w:rsidR="007E213C" w:rsidRPr="001D6512">
              <w:t xml:space="preserve"> Dehumidifier</w:t>
            </w:r>
          </w:p>
        </w:tc>
        <w:tc>
          <w:tcPr>
            <w:tcW w:w="969" w:type="pct"/>
            <w:vAlign w:val="bottom"/>
          </w:tcPr>
          <w:p w:rsidR="007E213C" w:rsidRPr="001D6512" w:rsidRDefault="007E213C" w:rsidP="00090EEE">
            <w:pPr>
              <w:pStyle w:val="TableCell"/>
              <w:keepNext w:val="0"/>
              <w:spacing w:before="60" w:after="60"/>
            </w:pPr>
            <w:r w:rsidRPr="001D6512">
              <w:t>12</w:t>
            </w:r>
          </w:p>
        </w:tc>
      </w:tr>
      <w:tr w:rsidR="007E213C" w:rsidRPr="008B1B2F"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325EF4" w:rsidP="00090EEE">
            <w:pPr>
              <w:pStyle w:val="TableCell"/>
              <w:keepNext w:val="0"/>
              <w:spacing w:before="60" w:after="60"/>
              <w:rPr>
                <w:rFonts w:eastAsia="Arial Unicode MS"/>
              </w:rPr>
            </w:pPr>
            <w:r w:rsidRPr="001D6512">
              <w:t>ENERGY STAR</w:t>
            </w:r>
            <w:r w:rsidR="007E213C" w:rsidRPr="001D6512">
              <w:t xml:space="preserve"> Room Air Conditioners </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10</w:t>
            </w:r>
          </w:p>
        </w:tc>
      </w:tr>
      <w:tr w:rsidR="007E213C" w:rsidRPr="008B1B2F"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i/>
              </w:rPr>
            </w:pPr>
          </w:p>
        </w:tc>
        <w:tc>
          <w:tcPr>
            <w:tcW w:w="969" w:type="pct"/>
            <w:vAlign w:val="bottom"/>
          </w:tcPr>
          <w:p w:rsidR="007E213C" w:rsidRPr="001D6512" w:rsidRDefault="007E213C" w:rsidP="00090EEE">
            <w:pPr>
              <w:pStyle w:val="TableCell"/>
              <w:keepNext w:val="0"/>
              <w:spacing w:before="60" w:after="60"/>
              <w:rPr>
                <w:rFonts w:eastAsia="Arial Unicode MS"/>
                <w:i/>
              </w:rPr>
            </w:pPr>
          </w:p>
        </w:tc>
      </w:tr>
      <w:tr w:rsidR="007E213C" w:rsidRPr="008B1B2F"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shd w:val="clear" w:color="auto" w:fill="D9D9D9"/>
            <w:vAlign w:val="bottom"/>
          </w:tcPr>
          <w:p w:rsidR="007E213C" w:rsidRPr="001D6512" w:rsidRDefault="00325EF4" w:rsidP="00090EEE">
            <w:pPr>
              <w:pStyle w:val="TableCell"/>
              <w:keepNext w:val="0"/>
              <w:spacing w:before="60" w:after="60"/>
              <w:rPr>
                <w:rFonts w:eastAsia="Arial Unicode MS"/>
                <w:i/>
              </w:rPr>
            </w:pPr>
            <w:r w:rsidRPr="001D6512">
              <w:rPr>
                <w:i/>
              </w:rPr>
              <w:t>ENERGY STAR</w:t>
            </w:r>
            <w:r w:rsidR="007E213C" w:rsidRPr="001D6512">
              <w:rPr>
                <w:i/>
              </w:rPr>
              <w:t xml:space="preserve"> Lighting</w:t>
            </w:r>
          </w:p>
        </w:tc>
        <w:tc>
          <w:tcPr>
            <w:tcW w:w="969" w:type="pct"/>
            <w:shd w:val="clear" w:color="auto" w:fill="D9D9D9"/>
            <w:vAlign w:val="bottom"/>
          </w:tcPr>
          <w:p w:rsidR="007E213C" w:rsidRPr="001D6512" w:rsidRDefault="007E213C" w:rsidP="00090EEE">
            <w:pPr>
              <w:pStyle w:val="TableCell"/>
              <w:keepNext w:val="0"/>
              <w:spacing w:before="60" w:after="60"/>
              <w:rPr>
                <w:rFonts w:eastAsia="Arial Unicode MS"/>
                <w:i/>
              </w:rPr>
            </w:pPr>
          </w:p>
        </w:tc>
      </w:tr>
      <w:tr w:rsidR="007E213C" w:rsidRPr="008B1B2F"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 xml:space="preserve">Compact Fluorescent Light Bulb </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6.4</w:t>
            </w:r>
          </w:p>
        </w:tc>
      </w:tr>
      <w:tr w:rsidR="007E213C" w:rsidRPr="008B1B2F"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Recessed Can Fluorescent Fixture</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20*</w:t>
            </w:r>
          </w:p>
        </w:tc>
      </w:tr>
      <w:tr w:rsidR="007E213C" w:rsidRPr="008B1B2F"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Torchieres (Residential)</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10</w:t>
            </w:r>
          </w:p>
        </w:tc>
      </w:tr>
      <w:tr w:rsidR="007E213C" w:rsidRPr="008B1B2F"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Fixtures Other</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20*</w:t>
            </w:r>
          </w:p>
        </w:tc>
      </w:tr>
      <w:tr w:rsidR="007E213C" w:rsidRPr="008B1B2F"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i/>
              </w:rPr>
            </w:pPr>
          </w:p>
        </w:tc>
        <w:tc>
          <w:tcPr>
            <w:tcW w:w="969" w:type="pct"/>
            <w:vAlign w:val="bottom"/>
          </w:tcPr>
          <w:p w:rsidR="007E213C" w:rsidRPr="001D6512" w:rsidRDefault="007E213C" w:rsidP="00090EEE">
            <w:pPr>
              <w:pStyle w:val="TableCell"/>
              <w:keepNext w:val="0"/>
              <w:spacing w:before="60" w:after="60"/>
              <w:rPr>
                <w:rFonts w:eastAsia="Arial Unicode MS"/>
                <w:i/>
              </w:rPr>
            </w:pPr>
          </w:p>
        </w:tc>
      </w:tr>
      <w:tr w:rsidR="007E213C" w:rsidRPr="008B1B2F"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shd w:val="clear" w:color="auto" w:fill="D9D9D9"/>
            <w:vAlign w:val="bottom"/>
          </w:tcPr>
          <w:p w:rsidR="007E213C" w:rsidRPr="001D6512" w:rsidRDefault="00325EF4" w:rsidP="00090EEE">
            <w:pPr>
              <w:pStyle w:val="TableCell"/>
              <w:keepNext w:val="0"/>
              <w:spacing w:before="60" w:after="60"/>
              <w:rPr>
                <w:rFonts w:eastAsia="Arial Unicode MS"/>
                <w:i/>
              </w:rPr>
            </w:pPr>
            <w:r w:rsidRPr="001D6512">
              <w:rPr>
                <w:i/>
              </w:rPr>
              <w:t>ENERGY STAR</w:t>
            </w:r>
            <w:r w:rsidR="007E213C" w:rsidRPr="001D6512">
              <w:rPr>
                <w:i/>
              </w:rPr>
              <w:t xml:space="preserve"> Windows</w:t>
            </w:r>
          </w:p>
        </w:tc>
        <w:tc>
          <w:tcPr>
            <w:tcW w:w="969" w:type="pct"/>
            <w:shd w:val="clear" w:color="auto" w:fill="D9D9D9"/>
            <w:vAlign w:val="bottom"/>
          </w:tcPr>
          <w:p w:rsidR="007E213C" w:rsidRPr="001D6512" w:rsidRDefault="007E213C" w:rsidP="00090EEE">
            <w:pPr>
              <w:pStyle w:val="TableCell"/>
              <w:keepNext w:val="0"/>
              <w:spacing w:before="60" w:after="60"/>
              <w:rPr>
                <w:rFonts w:eastAsia="Arial Unicode MS"/>
                <w:i/>
              </w:rPr>
            </w:pPr>
          </w:p>
        </w:tc>
      </w:tr>
      <w:tr w:rsidR="007E213C" w:rsidRPr="008B1B2F"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WINDOW -heat pump</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20*</w:t>
            </w:r>
          </w:p>
        </w:tc>
      </w:tr>
      <w:tr w:rsidR="007E213C" w:rsidRPr="008B1B2F"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WINDOW -gas heat with central air conditioning</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20*</w:t>
            </w:r>
          </w:p>
        </w:tc>
      </w:tr>
      <w:tr w:rsidR="007E213C" w:rsidRPr="008B1B2F"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hidden/>
        </w:trPr>
        <w:tc>
          <w:tcPr>
            <w:tcW w:w="4031" w:type="pct"/>
            <w:vAlign w:val="bottom"/>
          </w:tcPr>
          <w:p w:rsidR="007E213C" w:rsidRPr="001D6512" w:rsidRDefault="007E213C" w:rsidP="00090EEE">
            <w:pPr>
              <w:pStyle w:val="TableCell"/>
              <w:keepNext w:val="0"/>
              <w:spacing w:before="60" w:after="60"/>
              <w:rPr>
                <w:rFonts w:eastAsia="Arial Unicode MS"/>
                <w:vanish/>
              </w:rPr>
            </w:pPr>
          </w:p>
        </w:tc>
        <w:tc>
          <w:tcPr>
            <w:tcW w:w="969" w:type="pct"/>
            <w:vAlign w:val="bottom"/>
          </w:tcPr>
          <w:p w:rsidR="007E213C" w:rsidRPr="001D6512" w:rsidRDefault="007E213C" w:rsidP="00090EEE">
            <w:pPr>
              <w:pStyle w:val="TableCell"/>
              <w:keepNext w:val="0"/>
              <w:spacing w:before="60" w:after="60"/>
              <w:rPr>
                <w:rFonts w:eastAsia="Arial Unicode MS"/>
                <w:vanish/>
              </w:rPr>
            </w:pPr>
          </w:p>
        </w:tc>
      </w:tr>
      <w:tr w:rsidR="007E213C" w:rsidRPr="008B1B2F"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hidden/>
        </w:trPr>
        <w:tc>
          <w:tcPr>
            <w:tcW w:w="4031" w:type="pct"/>
            <w:vAlign w:val="bottom"/>
          </w:tcPr>
          <w:p w:rsidR="007E213C" w:rsidRPr="001D6512" w:rsidRDefault="007E213C" w:rsidP="00090EEE">
            <w:pPr>
              <w:pStyle w:val="TableCell"/>
              <w:keepNext w:val="0"/>
              <w:spacing w:before="60" w:after="60"/>
              <w:rPr>
                <w:rFonts w:eastAsia="Arial Unicode MS"/>
                <w:vanish/>
              </w:rPr>
            </w:pPr>
          </w:p>
        </w:tc>
        <w:tc>
          <w:tcPr>
            <w:tcW w:w="969" w:type="pct"/>
            <w:vAlign w:val="bottom"/>
          </w:tcPr>
          <w:p w:rsidR="007E213C" w:rsidRPr="001D6512" w:rsidRDefault="007E213C" w:rsidP="00090EEE">
            <w:pPr>
              <w:pStyle w:val="TableCell"/>
              <w:keepNext w:val="0"/>
              <w:spacing w:before="60" w:after="60"/>
              <w:rPr>
                <w:rFonts w:eastAsia="Arial Unicode MS"/>
                <w:vanish/>
              </w:rPr>
            </w:pPr>
          </w:p>
        </w:tc>
      </w:tr>
      <w:tr w:rsidR="007E213C" w:rsidRPr="008B1B2F"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WINDOW – electric heat without central air conditioning</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20*</w:t>
            </w:r>
          </w:p>
        </w:tc>
      </w:tr>
      <w:tr w:rsidR="007E213C" w:rsidRPr="008B1B2F"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WINDOW – electric heat with central air conditioning</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20*</w:t>
            </w:r>
          </w:p>
        </w:tc>
      </w:tr>
      <w:tr w:rsidR="007E213C" w:rsidRPr="008B1B2F"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i/>
              </w:rPr>
            </w:pPr>
          </w:p>
        </w:tc>
        <w:tc>
          <w:tcPr>
            <w:tcW w:w="969" w:type="pct"/>
            <w:vAlign w:val="bottom"/>
          </w:tcPr>
          <w:p w:rsidR="007E213C" w:rsidRPr="001D6512" w:rsidRDefault="007E213C" w:rsidP="00090EEE">
            <w:pPr>
              <w:pStyle w:val="TableCell"/>
              <w:keepNext w:val="0"/>
              <w:spacing w:before="60" w:after="60"/>
              <w:rPr>
                <w:rFonts w:eastAsia="Arial Unicode MS"/>
                <w:i/>
              </w:rPr>
            </w:pPr>
          </w:p>
        </w:tc>
      </w:tr>
      <w:tr w:rsidR="007E213C" w:rsidRPr="008B1B2F"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shd w:val="clear" w:color="auto" w:fill="D9D9D9"/>
            <w:vAlign w:val="bottom"/>
          </w:tcPr>
          <w:p w:rsidR="007E213C" w:rsidRPr="001D6512" w:rsidRDefault="007E213C" w:rsidP="00090EEE">
            <w:pPr>
              <w:pStyle w:val="TableCell"/>
              <w:keepNext w:val="0"/>
              <w:spacing w:before="60" w:after="60"/>
              <w:rPr>
                <w:i/>
              </w:rPr>
            </w:pPr>
            <w:r w:rsidRPr="001D6512">
              <w:rPr>
                <w:i/>
              </w:rPr>
              <w:t>Refrigerator/Freezer Retirement</w:t>
            </w:r>
          </w:p>
        </w:tc>
        <w:tc>
          <w:tcPr>
            <w:tcW w:w="969" w:type="pct"/>
            <w:shd w:val="clear" w:color="auto" w:fill="D9D9D9"/>
            <w:vAlign w:val="bottom"/>
          </w:tcPr>
          <w:p w:rsidR="007E213C" w:rsidRPr="001D6512" w:rsidRDefault="007E213C" w:rsidP="00090EEE">
            <w:pPr>
              <w:pStyle w:val="TableCell"/>
              <w:keepNext w:val="0"/>
              <w:spacing w:before="60" w:after="60"/>
              <w:rPr>
                <w:rFonts w:eastAsia="Arial Unicode MS"/>
                <w:i/>
              </w:rPr>
            </w:pPr>
          </w:p>
        </w:tc>
      </w:tr>
      <w:tr w:rsidR="007E213C" w:rsidRPr="008B1B2F"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pPr>
            <w:r w:rsidRPr="001D6512">
              <w:t>Refrigerator/Freezer retirement</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rPr>
                <w:rFonts w:eastAsia="Arial Unicode MS"/>
              </w:rPr>
              <w:t>8</w:t>
            </w:r>
          </w:p>
        </w:tc>
      </w:tr>
      <w:tr w:rsidR="007E213C" w:rsidRPr="008B1B2F"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i/>
              </w:rPr>
            </w:pPr>
          </w:p>
        </w:tc>
        <w:tc>
          <w:tcPr>
            <w:tcW w:w="969" w:type="pct"/>
            <w:vAlign w:val="bottom"/>
          </w:tcPr>
          <w:p w:rsidR="007E213C" w:rsidRPr="001D6512" w:rsidRDefault="007E213C" w:rsidP="00090EEE">
            <w:pPr>
              <w:pStyle w:val="TableCell"/>
              <w:keepNext w:val="0"/>
              <w:spacing w:before="60" w:after="60"/>
              <w:rPr>
                <w:rFonts w:eastAsia="Arial Unicode MS"/>
                <w:i/>
              </w:rPr>
            </w:pP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shd w:val="clear" w:color="auto" w:fill="D9D9D9"/>
            <w:vAlign w:val="bottom"/>
          </w:tcPr>
          <w:p w:rsidR="007E213C" w:rsidRPr="001D6512" w:rsidRDefault="007E213C" w:rsidP="00090EEE">
            <w:pPr>
              <w:pStyle w:val="TableCell"/>
              <w:keepNext w:val="0"/>
              <w:spacing w:before="60" w:after="60"/>
              <w:rPr>
                <w:rFonts w:eastAsia="Arial Unicode MS"/>
                <w:i/>
              </w:rPr>
            </w:pPr>
            <w:r w:rsidRPr="001D6512">
              <w:rPr>
                <w:i/>
              </w:rPr>
              <w:t>Residential New Construction</w:t>
            </w:r>
          </w:p>
        </w:tc>
        <w:tc>
          <w:tcPr>
            <w:tcW w:w="969" w:type="pct"/>
            <w:shd w:val="clear" w:color="auto" w:fill="D9D9D9"/>
            <w:vAlign w:val="bottom"/>
          </w:tcPr>
          <w:p w:rsidR="007E213C" w:rsidRPr="001D6512" w:rsidRDefault="007E213C" w:rsidP="00090EEE">
            <w:pPr>
              <w:pStyle w:val="TableCell"/>
              <w:keepNext w:val="0"/>
              <w:spacing w:before="60" w:after="60"/>
              <w:rPr>
                <w:rFonts w:eastAsia="Arial Unicode MS"/>
                <w:i/>
              </w:rPr>
            </w:pP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Single Family - gas heat with central air conditioner</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20*</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Single Family - oil heat with central air conditioner</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20*</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Single Family - all electric</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20*</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Multiple Single Family (Townhouse) – gas heat with central air conditioner</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20*</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Multiple Single Family (Townhouse) – oil heat with central air conditioner</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20*</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Multiple Single Family (Townhouse) - all electric</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20*</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Multi-Family – gas heat with central air conditioner</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20*</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Multi-Family - oil heat with central air conditioner</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20*</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Multi-Family - all electric</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20*</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325EF4" w:rsidP="00090EEE">
            <w:pPr>
              <w:pStyle w:val="TableCell"/>
              <w:keepNext w:val="0"/>
              <w:spacing w:before="60" w:after="60"/>
              <w:rPr>
                <w:rFonts w:eastAsia="Arial Unicode MS"/>
              </w:rPr>
            </w:pPr>
            <w:r w:rsidRPr="001D6512">
              <w:t>ENERGY STAR</w:t>
            </w:r>
            <w:r w:rsidR="007E213C" w:rsidRPr="001D6512">
              <w:t xml:space="preserve"> Clothes Washer</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11</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Recessed Can Fluorescent Fixture</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20*</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Fixtures Other</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20*</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Efficient Ventilation Fans with Timer</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10</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i/>
              </w:rPr>
            </w:pPr>
          </w:p>
        </w:tc>
        <w:tc>
          <w:tcPr>
            <w:tcW w:w="969" w:type="pct"/>
            <w:vAlign w:val="bottom"/>
          </w:tcPr>
          <w:p w:rsidR="007E213C" w:rsidRPr="001D6512" w:rsidRDefault="007E213C" w:rsidP="00090EEE">
            <w:pPr>
              <w:pStyle w:val="TableCell"/>
              <w:keepNext w:val="0"/>
              <w:spacing w:before="60" w:after="60"/>
              <w:rPr>
                <w:i/>
              </w:rPr>
            </w:pP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shd w:val="clear" w:color="auto" w:fill="D9D9D9"/>
            <w:vAlign w:val="bottom"/>
          </w:tcPr>
          <w:p w:rsidR="007E213C" w:rsidRPr="001D6512" w:rsidRDefault="007E213C" w:rsidP="00090EEE">
            <w:pPr>
              <w:pStyle w:val="TableCell"/>
              <w:keepNext w:val="0"/>
              <w:spacing w:before="60" w:after="60"/>
              <w:rPr>
                <w:rFonts w:eastAsia="Arial Unicode MS"/>
                <w:i/>
              </w:rPr>
            </w:pPr>
            <w:r w:rsidRPr="001D6512">
              <w:rPr>
                <w:i/>
              </w:rPr>
              <w:t>Residential Electric HVAC</w:t>
            </w:r>
          </w:p>
        </w:tc>
        <w:tc>
          <w:tcPr>
            <w:tcW w:w="969" w:type="pct"/>
            <w:shd w:val="clear" w:color="auto" w:fill="D9D9D9"/>
            <w:vAlign w:val="bottom"/>
          </w:tcPr>
          <w:p w:rsidR="007E213C" w:rsidRPr="001D6512" w:rsidRDefault="007E213C" w:rsidP="00090EEE">
            <w:pPr>
              <w:pStyle w:val="TableCell"/>
              <w:keepNext w:val="0"/>
              <w:spacing w:before="60" w:after="60"/>
              <w:rPr>
                <w:rFonts w:eastAsia="Arial Unicode MS"/>
                <w:i/>
              </w:rPr>
            </w:pP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Central Air Conditioner SEER 13</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14</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Central Air Conditioner SEER 14</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14</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Air Source Heat Pump SEER 13</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12</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Air Source Heat Pump SEER 14</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12</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Central Air Conditioner proper sizing/install</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14</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pPr>
            <w:r w:rsidRPr="001D6512">
              <w:t>Central Air Conditioner Quality Installation Verification</w:t>
            </w:r>
          </w:p>
        </w:tc>
        <w:tc>
          <w:tcPr>
            <w:tcW w:w="969" w:type="pct"/>
            <w:vAlign w:val="bottom"/>
          </w:tcPr>
          <w:p w:rsidR="007E213C" w:rsidRPr="001D6512" w:rsidRDefault="007E213C" w:rsidP="00090EEE">
            <w:pPr>
              <w:pStyle w:val="TableCell"/>
              <w:keepNext w:val="0"/>
              <w:spacing w:before="60" w:after="60"/>
            </w:pPr>
            <w:r w:rsidRPr="001D6512">
              <w:t>14</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pPr>
            <w:r w:rsidRPr="001D6512">
              <w:t>Central Air Conditioner Maintenance</w:t>
            </w:r>
          </w:p>
        </w:tc>
        <w:tc>
          <w:tcPr>
            <w:tcW w:w="969" w:type="pct"/>
            <w:vAlign w:val="bottom"/>
          </w:tcPr>
          <w:p w:rsidR="007E213C" w:rsidRPr="001D6512" w:rsidRDefault="007E213C" w:rsidP="00090EEE">
            <w:pPr>
              <w:pStyle w:val="TableCell"/>
              <w:keepNext w:val="0"/>
              <w:spacing w:before="60" w:after="60"/>
            </w:pPr>
            <w:r w:rsidRPr="001D6512">
              <w:t>7</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pPr>
            <w:r w:rsidRPr="001D6512">
              <w:t>Central Air Conditioner duct sealing</w:t>
            </w:r>
          </w:p>
        </w:tc>
        <w:tc>
          <w:tcPr>
            <w:tcW w:w="969" w:type="pct"/>
            <w:vAlign w:val="bottom"/>
          </w:tcPr>
          <w:p w:rsidR="007E213C" w:rsidRPr="001D6512" w:rsidRDefault="007E213C" w:rsidP="00090EEE">
            <w:pPr>
              <w:pStyle w:val="TableCell"/>
              <w:keepNext w:val="0"/>
              <w:spacing w:before="60" w:after="60"/>
            </w:pPr>
            <w:r w:rsidRPr="001D6512">
              <w:t>14</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Air Source Heat Pump proper sizing/install</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12</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8B1B2F" w:rsidRDefault="00325EF4" w:rsidP="00090EEE">
            <w:pPr>
              <w:pStyle w:val="TableCell"/>
              <w:keepNext w:val="0"/>
              <w:spacing w:before="60" w:after="60"/>
              <w:rPr>
                <w:rFonts w:eastAsia="Arial Unicode MS"/>
                <w:lang w:val="de-DE"/>
              </w:rPr>
            </w:pPr>
            <w:r>
              <w:rPr>
                <w:lang w:val="de-DE"/>
              </w:rPr>
              <w:t>ENERGY STAR</w:t>
            </w:r>
            <w:r w:rsidR="007E213C" w:rsidRPr="008B1B2F">
              <w:rPr>
                <w:lang w:val="de-DE"/>
              </w:rPr>
              <w:t xml:space="preserve"> Thermostat (Central Air Conditioner)</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15</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8B1B2F" w:rsidRDefault="00325EF4" w:rsidP="00090EEE">
            <w:pPr>
              <w:pStyle w:val="TableCell"/>
              <w:keepNext w:val="0"/>
              <w:spacing w:before="60" w:after="60"/>
              <w:rPr>
                <w:rFonts w:eastAsia="Arial Unicode MS"/>
                <w:lang w:val="de-DE"/>
              </w:rPr>
            </w:pPr>
            <w:r>
              <w:rPr>
                <w:lang w:val="de-DE"/>
              </w:rPr>
              <w:t>ENERGY STAR</w:t>
            </w:r>
            <w:r w:rsidR="007E213C" w:rsidRPr="008B1B2F">
              <w:rPr>
                <w:lang w:val="de-DE"/>
              </w:rPr>
              <w:t xml:space="preserve"> Thermostat (Heat Pump)</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15</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Ground Source Heat Pump</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30*</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Central Air Conditioner SEER 15</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14</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Air Source Heat Pump SEER 15</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12</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B44F2C" w:rsidP="00090EEE">
            <w:pPr>
              <w:pStyle w:val="TableCell"/>
              <w:keepNext w:val="0"/>
              <w:spacing w:before="60" w:after="60"/>
              <w:rPr>
                <w:rFonts w:eastAsia="Arial Unicode MS"/>
              </w:rPr>
            </w:pPr>
            <w:r w:rsidRPr="001D6512">
              <w:rPr>
                <w:rFonts w:eastAsia="Arial Unicode MS"/>
              </w:rPr>
              <w:t>Room Air Conditioner Retirement</w:t>
            </w:r>
          </w:p>
        </w:tc>
        <w:tc>
          <w:tcPr>
            <w:tcW w:w="969" w:type="pct"/>
            <w:vAlign w:val="bottom"/>
          </w:tcPr>
          <w:p w:rsidR="007E213C" w:rsidRPr="001D6512" w:rsidRDefault="00B44F2C" w:rsidP="00090EEE">
            <w:pPr>
              <w:pStyle w:val="TableCell"/>
              <w:keepNext w:val="0"/>
              <w:spacing w:before="60" w:after="60"/>
              <w:rPr>
                <w:rFonts w:eastAsia="Arial Unicode MS"/>
              </w:rPr>
            </w:pPr>
            <w:r w:rsidRPr="001D6512">
              <w:rPr>
                <w:rFonts w:eastAsia="Arial Unicode MS"/>
              </w:rPr>
              <w:t>4</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shd w:val="clear" w:color="auto" w:fill="D9D9D9"/>
            <w:vAlign w:val="bottom"/>
          </w:tcPr>
          <w:p w:rsidR="007E213C" w:rsidRPr="001D6512" w:rsidRDefault="007E213C" w:rsidP="00090EEE">
            <w:pPr>
              <w:pStyle w:val="TableCell"/>
              <w:keepNext w:val="0"/>
              <w:spacing w:before="60" w:after="60"/>
              <w:rPr>
                <w:rFonts w:eastAsia="Arial Unicode MS"/>
                <w:i/>
              </w:rPr>
            </w:pPr>
            <w:r w:rsidRPr="001D6512">
              <w:rPr>
                <w:rFonts w:eastAsia="Arial Unicode MS"/>
                <w:i/>
              </w:rPr>
              <w:t>Home Performance with ENERGY STAR</w:t>
            </w:r>
          </w:p>
        </w:tc>
        <w:tc>
          <w:tcPr>
            <w:tcW w:w="969" w:type="pct"/>
            <w:shd w:val="clear" w:color="auto" w:fill="D9D9D9"/>
            <w:vAlign w:val="bottom"/>
          </w:tcPr>
          <w:p w:rsidR="007E213C" w:rsidRPr="001D6512" w:rsidRDefault="007E213C" w:rsidP="00090EEE">
            <w:pPr>
              <w:pStyle w:val="TableCell"/>
              <w:keepNext w:val="0"/>
              <w:spacing w:before="60" w:after="60"/>
              <w:rPr>
                <w:rFonts w:eastAsia="Arial Unicode MS"/>
                <w:i/>
              </w:rPr>
            </w:pP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rPr>
                <w:rFonts w:eastAsia="Arial Unicode MS"/>
              </w:rPr>
              <w:t>Blue Line Innovations – PowerCost MonitorTM</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rPr>
                <w:rFonts w:eastAsia="Arial Unicode MS"/>
              </w:rPr>
              <w:t>5</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i/>
                <w:u w:val="single"/>
              </w:rPr>
            </w:pPr>
          </w:p>
        </w:tc>
        <w:tc>
          <w:tcPr>
            <w:tcW w:w="969" w:type="pct"/>
            <w:vAlign w:val="bottom"/>
          </w:tcPr>
          <w:p w:rsidR="007E213C" w:rsidRPr="001D6512" w:rsidRDefault="007E213C" w:rsidP="00090EEE">
            <w:pPr>
              <w:pStyle w:val="TableCell"/>
              <w:keepNext w:val="0"/>
              <w:spacing w:before="60" w:after="60"/>
              <w:rPr>
                <w:rFonts w:eastAsia="Arial Unicode MS"/>
              </w:rPr>
            </w:pP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17"/>
        </w:trPr>
        <w:tc>
          <w:tcPr>
            <w:tcW w:w="4031" w:type="pct"/>
            <w:shd w:val="clear" w:color="auto" w:fill="BFBFBF"/>
            <w:vAlign w:val="bottom"/>
          </w:tcPr>
          <w:p w:rsidR="007E213C" w:rsidRPr="001D6512" w:rsidRDefault="007E213C" w:rsidP="00090EEE">
            <w:pPr>
              <w:pStyle w:val="TableCell"/>
              <w:keepNext w:val="0"/>
              <w:spacing w:before="60" w:after="60"/>
              <w:rPr>
                <w:rFonts w:eastAsia="Arial Unicode MS"/>
                <w:b/>
              </w:rPr>
            </w:pPr>
            <w:r w:rsidRPr="001D6512">
              <w:rPr>
                <w:b/>
              </w:rPr>
              <w:t>NON-RESIDENTIAL PROGRAMS</w:t>
            </w:r>
          </w:p>
        </w:tc>
        <w:tc>
          <w:tcPr>
            <w:tcW w:w="969" w:type="pct"/>
            <w:shd w:val="clear" w:color="auto" w:fill="BFBFBF"/>
            <w:vAlign w:val="bottom"/>
          </w:tcPr>
          <w:p w:rsidR="007E213C" w:rsidRPr="001D6512" w:rsidRDefault="007E213C" w:rsidP="00090EEE">
            <w:pPr>
              <w:pStyle w:val="TableCell"/>
              <w:keepNext w:val="0"/>
              <w:spacing w:before="60" w:after="60"/>
              <w:rPr>
                <w:rFonts w:eastAsia="Arial Unicode MS"/>
              </w:rPr>
            </w:pP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shd w:val="clear" w:color="auto" w:fill="D9D9D9"/>
            <w:vAlign w:val="bottom"/>
          </w:tcPr>
          <w:p w:rsidR="007E213C" w:rsidRPr="001D6512" w:rsidRDefault="007E213C" w:rsidP="00090EEE">
            <w:pPr>
              <w:pStyle w:val="TableCell"/>
              <w:keepNext w:val="0"/>
              <w:spacing w:before="60" w:after="60"/>
              <w:rPr>
                <w:rFonts w:eastAsia="Arial Unicode MS"/>
                <w:i/>
              </w:rPr>
            </w:pPr>
            <w:r w:rsidRPr="001D6512">
              <w:rPr>
                <w:i/>
              </w:rPr>
              <w:t>C&amp;I Construction</w:t>
            </w:r>
          </w:p>
        </w:tc>
        <w:tc>
          <w:tcPr>
            <w:tcW w:w="969" w:type="pct"/>
            <w:shd w:val="clear" w:color="auto" w:fill="D9D9D9"/>
            <w:vAlign w:val="bottom"/>
          </w:tcPr>
          <w:p w:rsidR="007E213C" w:rsidRPr="001D6512" w:rsidRDefault="007E213C" w:rsidP="00090EEE">
            <w:pPr>
              <w:pStyle w:val="TableCell"/>
              <w:keepNext w:val="0"/>
              <w:spacing w:before="60" w:after="60"/>
              <w:rPr>
                <w:rFonts w:eastAsia="Arial Unicode MS"/>
                <w:i/>
              </w:rPr>
            </w:pP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 xml:space="preserve">Commercial Lighting </w:t>
            </w:r>
            <w:r w:rsidR="00096E91" w:rsidRPr="001D6512">
              <w:t xml:space="preserve">(Non-SSL) </w:t>
            </w:r>
            <w:r w:rsidRPr="001D6512">
              <w:t>— New</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15</w:t>
            </w:r>
          </w:p>
        </w:tc>
      </w:tr>
      <w:tr w:rsidR="007E213C"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7E213C" w:rsidRPr="001D6512" w:rsidRDefault="007E213C" w:rsidP="00090EEE">
            <w:pPr>
              <w:pStyle w:val="TableCell"/>
              <w:keepNext w:val="0"/>
              <w:spacing w:before="60" w:after="60"/>
              <w:rPr>
                <w:rFonts w:eastAsia="Arial Unicode MS"/>
              </w:rPr>
            </w:pPr>
            <w:r w:rsidRPr="001D6512">
              <w:t xml:space="preserve">Commercial Lighting </w:t>
            </w:r>
            <w:r w:rsidR="00096E91" w:rsidRPr="001D6512">
              <w:t xml:space="preserve">(Non-SSL) </w:t>
            </w:r>
            <w:r w:rsidRPr="001D6512">
              <w:t>— Remodel/Replacement</w:t>
            </w:r>
          </w:p>
        </w:tc>
        <w:tc>
          <w:tcPr>
            <w:tcW w:w="969" w:type="pct"/>
            <w:vAlign w:val="bottom"/>
          </w:tcPr>
          <w:p w:rsidR="007E213C" w:rsidRPr="001D6512" w:rsidRDefault="007E213C" w:rsidP="00090EEE">
            <w:pPr>
              <w:pStyle w:val="TableCell"/>
              <w:keepNext w:val="0"/>
              <w:spacing w:before="60" w:after="60"/>
              <w:rPr>
                <w:rFonts w:eastAsia="Arial Unicode MS"/>
              </w:rPr>
            </w:pPr>
            <w:r w:rsidRPr="001D6512">
              <w:t>15</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pPr>
            <w:r w:rsidRPr="001D6512">
              <w:t>Commercial Lighting (SSL – 25,000 hours) — New</w:t>
            </w:r>
          </w:p>
        </w:tc>
        <w:tc>
          <w:tcPr>
            <w:tcW w:w="969" w:type="pct"/>
            <w:vAlign w:val="bottom"/>
          </w:tcPr>
          <w:p w:rsidR="00096E91" w:rsidRPr="001D6512" w:rsidRDefault="00096E91" w:rsidP="00090EEE">
            <w:pPr>
              <w:pStyle w:val="TableCell"/>
              <w:keepNext w:val="0"/>
              <w:spacing w:before="60" w:after="60"/>
            </w:pPr>
            <w:r w:rsidRPr="001D6512">
              <w:t>6</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pPr>
            <w:r w:rsidRPr="001D6512">
              <w:t>Commercial Lighting (SSL – 30,000 hours) — New</w:t>
            </w:r>
          </w:p>
        </w:tc>
        <w:tc>
          <w:tcPr>
            <w:tcW w:w="969" w:type="pct"/>
            <w:vAlign w:val="bottom"/>
          </w:tcPr>
          <w:p w:rsidR="00096E91" w:rsidRPr="001D6512" w:rsidRDefault="00096E91" w:rsidP="00090EEE">
            <w:pPr>
              <w:pStyle w:val="TableCell"/>
              <w:keepNext w:val="0"/>
              <w:spacing w:before="60" w:after="60"/>
            </w:pPr>
            <w:r w:rsidRPr="001D6512">
              <w:t>7</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pPr>
            <w:r w:rsidRPr="001D6512">
              <w:t>Commercial Lighting (SSL – 35,000 hours) — New</w:t>
            </w:r>
          </w:p>
        </w:tc>
        <w:tc>
          <w:tcPr>
            <w:tcW w:w="969" w:type="pct"/>
            <w:vAlign w:val="bottom"/>
          </w:tcPr>
          <w:p w:rsidR="00096E91" w:rsidRPr="001D6512" w:rsidRDefault="00096E91" w:rsidP="00090EEE">
            <w:pPr>
              <w:pStyle w:val="TableCell"/>
              <w:keepNext w:val="0"/>
              <w:spacing w:before="60" w:after="60"/>
            </w:pPr>
            <w:r w:rsidRPr="001D6512">
              <w:t>8</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pPr>
            <w:r w:rsidRPr="001D6512">
              <w:t>Commercial Lighting (SSL – 40,000 hours) — New</w:t>
            </w:r>
          </w:p>
        </w:tc>
        <w:tc>
          <w:tcPr>
            <w:tcW w:w="969" w:type="pct"/>
            <w:vAlign w:val="bottom"/>
          </w:tcPr>
          <w:p w:rsidR="00096E91" w:rsidRPr="001D6512" w:rsidRDefault="00096E91" w:rsidP="00090EEE">
            <w:pPr>
              <w:pStyle w:val="TableCell"/>
              <w:keepNext w:val="0"/>
              <w:spacing w:before="60" w:after="60"/>
            </w:pPr>
            <w:r w:rsidRPr="001D6512">
              <w:t>10</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pPr>
            <w:r w:rsidRPr="001D6512">
              <w:t>Commercial Lighting (SSL – 45,000 hours) — New</w:t>
            </w:r>
          </w:p>
        </w:tc>
        <w:tc>
          <w:tcPr>
            <w:tcW w:w="969" w:type="pct"/>
            <w:vAlign w:val="bottom"/>
          </w:tcPr>
          <w:p w:rsidR="00096E91" w:rsidRPr="001D6512" w:rsidRDefault="00096E91" w:rsidP="00090EEE">
            <w:pPr>
              <w:pStyle w:val="TableCell"/>
              <w:keepNext w:val="0"/>
              <w:spacing w:before="60" w:after="60"/>
            </w:pPr>
            <w:r w:rsidRPr="001D6512">
              <w:t>11</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pPr>
            <w:r w:rsidRPr="001D6512">
              <w:t>Commercial Lighting (SSL – 50,000 hours) — New</w:t>
            </w:r>
          </w:p>
        </w:tc>
        <w:tc>
          <w:tcPr>
            <w:tcW w:w="969" w:type="pct"/>
            <w:vAlign w:val="bottom"/>
          </w:tcPr>
          <w:p w:rsidR="00096E91" w:rsidRPr="001D6512" w:rsidRDefault="00096E91" w:rsidP="00090EEE">
            <w:pPr>
              <w:pStyle w:val="TableCell"/>
              <w:keepNext w:val="0"/>
              <w:spacing w:before="60" w:after="60"/>
            </w:pPr>
            <w:r w:rsidRPr="001D6512">
              <w:t>12</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pPr>
            <w:r w:rsidRPr="001D6512">
              <w:t>Commercial Lighting (SSL – 55,000 hours) — New</w:t>
            </w:r>
          </w:p>
        </w:tc>
        <w:tc>
          <w:tcPr>
            <w:tcW w:w="969" w:type="pct"/>
            <w:vAlign w:val="bottom"/>
          </w:tcPr>
          <w:p w:rsidR="00096E91" w:rsidRPr="001D6512" w:rsidRDefault="00096E91" w:rsidP="00090EEE">
            <w:pPr>
              <w:pStyle w:val="TableCell"/>
              <w:keepNext w:val="0"/>
              <w:spacing w:before="60" w:after="60"/>
            </w:pPr>
            <w:r w:rsidRPr="001D6512">
              <w:t>13</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pPr>
            <w:r w:rsidRPr="001D6512">
              <w:t>Commercial Lighting (SSL – 60,000 hours) — New</w:t>
            </w:r>
          </w:p>
        </w:tc>
        <w:tc>
          <w:tcPr>
            <w:tcW w:w="969" w:type="pct"/>
            <w:vAlign w:val="bottom"/>
          </w:tcPr>
          <w:p w:rsidR="00096E91" w:rsidRPr="001D6512" w:rsidRDefault="00096E91" w:rsidP="00090EEE">
            <w:pPr>
              <w:pStyle w:val="TableCell"/>
              <w:keepNext w:val="0"/>
              <w:spacing w:before="60" w:after="60"/>
            </w:pPr>
            <w:r w:rsidRPr="001D6512">
              <w:t>14</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pPr>
            <w:r w:rsidRPr="001D6512">
              <w:t>Commercial Lighting (SSL – ≥60,000 hours) — New</w:t>
            </w:r>
          </w:p>
        </w:tc>
        <w:tc>
          <w:tcPr>
            <w:tcW w:w="969" w:type="pct"/>
            <w:vAlign w:val="bottom"/>
          </w:tcPr>
          <w:p w:rsidR="00096E91" w:rsidRPr="001D6512" w:rsidRDefault="00096E91" w:rsidP="00090EEE">
            <w:pPr>
              <w:pStyle w:val="TableCell"/>
              <w:keepNext w:val="0"/>
              <w:spacing w:before="60" w:after="60"/>
            </w:pPr>
            <w:r w:rsidRPr="001D6512">
              <w:t>15*</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pPr>
            <w:r w:rsidRPr="001D6512">
              <w:t>Commercial Lighting (SSL – 25,000 hours) — Remodel/Replacement</w:t>
            </w:r>
          </w:p>
        </w:tc>
        <w:tc>
          <w:tcPr>
            <w:tcW w:w="969" w:type="pct"/>
            <w:vAlign w:val="bottom"/>
          </w:tcPr>
          <w:p w:rsidR="00096E91" w:rsidRPr="001D6512" w:rsidRDefault="00096E91" w:rsidP="00090EEE">
            <w:pPr>
              <w:pStyle w:val="TableCell"/>
              <w:keepNext w:val="0"/>
              <w:spacing w:before="60" w:after="60"/>
            </w:pPr>
            <w:r w:rsidRPr="001D6512">
              <w:t>6</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pPr>
            <w:r w:rsidRPr="001D6512">
              <w:t>Commercial Lighting (SSL – 30,000 hours) — Remodel/Replacement</w:t>
            </w:r>
          </w:p>
        </w:tc>
        <w:tc>
          <w:tcPr>
            <w:tcW w:w="969" w:type="pct"/>
            <w:vAlign w:val="bottom"/>
          </w:tcPr>
          <w:p w:rsidR="00096E91" w:rsidRPr="001D6512" w:rsidRDefault="00096E91" w:rsidP="00090EEE">
            <w:pPr>
              <w:pStyle w:val="TableCell"/>
              <w:keepNext w:val="0"/>
              <w:spacing w:before="60" w:after="60"/>
            </w:pPr>
            <w:r w:rsidRPr="001D6512">
              <w:t>7</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pPr>
            <w:r w:rsidRPr="001D6512">
              <w:t>Commercial Lighting (SSL – 35,000 hours) — Remodel/Replacement</w:t>
            </w:r>
          </w:p>
        </w:tc>
        <w:tc>
          <w:tcPr>
            <w:tcW w:w="969" w:type="pct"/>
            <w:vAlign w:val="bottom"/>
          </w:tcPr>
          <w:p w:rsidR="00096E91" w:rsidRPr="001D6512" w:rsidRDefault="00096E91" w:rsidP="00090EEE">
            <w:pPr>
              <w:pStyle w:val="TableCell"/>
              <w:keepNext w:val="0"/>
              <w:spacing w:before="60" w:after="60"/>
            </w:pPr>
            <w:r w:rsidRPr="001D6512">
              <w:t>8</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pPr>
            <w:r w:rsidRPr="001D6512">
              <w:t>Commercial Lighting (SSL – 40,000 hours) — Remodel/Replacement</w:t>
            </w:r>
          </w:p>
        </w:tc>
        <w:tc>
          <w:tcPr>
            <w:tcW w:w="969" w:type="pct"/>
            <w:vAlign w:val="bottom"/>
          </w:tcPr>
          <w:p w:rsidR="00096E91" w:rsidRPr="001D6512" w:rsidRDefault="00096E91" w:rsidP="00090EEE">
            <w:pPr>
              <w:pStyle w:val="TableCell"/>
              <w:keepNext w:val="0"/>
              <w:spacing w:before="60" w:after="60"/>
            </w:pPr>
            <w:r w:rsidRPr="001D6512">
              <w:t>10</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pPr>
            <w:r w:rsidRPr="001D6512">
              <w:t>Commercial Lighting (SSL – 45,000 hours) — Remodel/Replacement</w:t>
            </w:r>
          </w:p>
        </w:tc>
        <w:tc>
          <w:tcPr>
            <w:tcW w:w="969" w:type="pct"/>
            <w:vAlign w:val="bottom"/>
          </w:tcPr>
          <w:p w:rsidR="00096E91" w:rsidRPr="001D6512" w:rsidRDefault="00096E91" w:rsidP="00090EEE">
            <w:pPr>
              <w:pStyle w:val="TableCell"/>
              <w:keepNext w:val="0"/>
              <w:spacing w:before="60" w:after="60"/>
            </w:pPr>
            <w:r w:rsidRPr="001D6512">
              <w:t>11</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pPr>
            <w:r w:rsidRPr="001D6512">
              <w:t>Commercial Lighting (SSL – 50,000 hours) — Remodel/Replacement</w:t>
            </w:r>
          </w:p>
        </w:tc>
        <w:tc>
          <w:tcPr>
            <w:tcW w:w="969" w:type="pct"/>
            <w:vAlign w:val="bottom"/>
          </w:tcPr>
          <w:p w:rsidR="00096E91" w:rsidRPr="001D6512" w:rsidRDefault="00096E91" w:rsidP="00090EEE">
            <w:pPr>
              <w:pStyle w:val="TableCell"/>
              <w:keepNext w:val="0"/>
              <w:spacing w:before="60" w:after="60"/>
            </w:pPr>
            <w:r w:rsidRPr="001D6512">
              <w:t>12</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pPr>
            <w:r w:rsidRPr="001D6512">
              <w:t>Commercial Lighting (SSL – 55,000 hours) — Remodel/Replacement</w:t>
            </w:r>
          </w:p>
        </w:tc>
        <w:tc>
          <w:tcPr>
            <w:tcW w:w="969" w:type="pct"/>
            <w:vAlign w:val="bottom"/>
          </w:tcPr>
          <w:p w:rsidR="00096E91" w:rsidRPr="001D6512" w:rsidRDefault="00096E91" w:rsidP="00090EEE">
            <w:pPr>
              <w:pStyle w:val="TableCell"/>
              <w:keepNext w:val="0"/>
              <w:spacing w:before="60" w:after="60"/>
            </w:pPr>
            <w:r w:rsidRPr="001D6512">
              <w:t>13</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pPr>
            <w:r w:rsidRPr="001D6512">
              <w:t>Commercial Lighting (SSL – 60,000 hours) — Remodel/Replacement</w:t>
            </w:r>
          </w:p>
        </w:tc>
        <w:tc>
          <w:tcPr>
            <w:tcW w:w="969" w:type="pct"/>
            <w:vAlign w:val="bottom"/>
          </w:tcPr>
          <w:p w:rsidR="00096E91" w:rsidRPr="001D6512" w:rsidRDefault="00096E91" w:rsidP="00090EEE">
            <w:pPr>
              <w:pStyle w:val="TableCell"/>
              <w:keepNext w:val="0"/>
              <w:spacing w:before="60" w:after="60"/>
            </w:pPr>
            <w:r w:rsidRPr="001D6512">
              <w:t>14</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pPr>
            <w:r w:rsidRPr="001D6512">
              <w:t>Commercial Lighting (SSL – ≥60,000 hours) — Remodel/Replacement</w:t>
            </w:r>
          </w:p>
        </w:tc>
        <w:tc>
          <w:tcPr>
            <w:tcW w:w="969" w:type="pct"/>
            <w:vAlign w:val="bottom"/>
          </w:tcPr>
          <w:p w:rsidR="00096E91" w:rsidRPr="001D6512" w:rsidRDefault="00096E91" w:rsidP="00090EEE">
            <w:pPr>
              <w:pStyle w:val="TableCell"/>
              <w:keepNext w:val="0"/>
              <w:spacing w:before="60" w:after="60"/>
            </w:pPr>
            <w:r w:rsidRPr="001D6512">
              <w:t>15*</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Commercial Custom — New</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18*</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Commercial Chiller Optimization</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18*</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Commercial Unitary HVAC — New - Tier 1</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15</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Commercial Unitary HVAC — Replacement - Tier 1</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15</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Commercial Unitary HVAC — New - Tier 2</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15</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Commercial Unitary HVAC — Replacement Tier 2</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15</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Commercial Chillers — New</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20*</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Commercial Chillers — Replacement</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20*</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Commercial Small Motors (1-10 horsepower) — New or Replacement</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20*</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Commercial Medium Motors (11-75 horsepower) — New or Replacement</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20*</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Commercial Large Motors (76-200 horsepower) — New or Replacement</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20*</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Commercial Variable Speed Drive — New</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15</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Commercial Variable Speed Drive — Retrofit</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15</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Commercial Comprehensive New Construction Design</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18*</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Commercial Custom — Replacement</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18*</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Industrial Lighting — New</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15</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Industrial Lighting — Remodel/Replacement</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15</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Industrial Unitary HVAC — New - Tier 1</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15</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Industrial Unitary HVAC — Replacement - Tier 1</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15</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Industrial Unitary HVAC — New - Tier 2</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15</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Industrial Unitary HVAC — Replacement Tier 2</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15</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Industrial Chillers — New</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20*</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Industrial Chillers — Replacement</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20*</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Industrial Small Motors (1-10 horsepower) — New or Replacement</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20*</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Industrial Medium Motors (11-75 horsepower) — New or Replacement</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20*</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Industrial Large Motors (76-200 horsepower) — New or Replacement</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20*</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Industrial Variable Speed Drive — New</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15</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Industrial Variable Speed Drive — Retrofit</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15</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Industrial Custom — Non-Process</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18*</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Industrial Custom — Process</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10</w:t>
            </w: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i/>
              </w:rPr>
            </w:pPr>
          </w:p>
        </w:tc>
        <w:tc>
          <w:tcPr>
            <w:tcW w:w="969" w:type="pct"/>
            <w:vAlign w:val="bottom"/>
          </w:tcPr>
          <w:p w:rsidR="00096E91" w:rsidRPr="001D6512" w:rsidRDefault="00096E91" w:rsidP="00090EEE">
            <w:pPr>
              <w:pStyle w:val="TableCell"/>
              <w:keepNext w:val="0"/>
              <w:spacing w:before="60" w:after="60"/>
              <w:rPr>
                <w:rFonts w:eastAsia="Arial Unicode MS"/>
                <w:i/>
              </w:rPr>
            </w:pP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shd w:val="clear" w:color="auto" w:fill="D9D9D9"/>
            <w:vAlign w:val="bottom"/>
          </w:tcPr>
          <w:p w:rsidR="00096E91" w:rsidRPr="001D6512" w:rsidRDefault="00096E91" w:rsidP="00090EEE">
            <w:pPr>
              <w:pStyle w:val="TableCell"/>
              <w:keepNext w:val="0"/>
              <w:spacing w:before="60" w:after="60"/>
              <w:rPr>
                <w:rFonts w:eastAsia="Arial Unicode MS"/>
                <w:i/>
              </w:rPr>
            </w:pPr>
            <w:r w:rsidRPr="001D6512">
              <w:rPr>
                <w:i/>
              </w:rPr>
              <w:t>Building O&amp;M</w:t>
            </w:r>
          </w:p>
        </w:tc>
        <w:tc>
          <w:tcPr>
            <w:tcW w:w="969" w:type="pct"/>
            <w:shd w:val="clear" w:color="auto" w:fill="D9D9D9"/>
            <w:vAlign w:val="bottom"/>
          </w:tcPr>
          <w:p w:rsidR="00096E91" w:rsidRPr="001D6512" w:rsidRDefault="00096E91" w:rsidP="00090EEE">
            <w:pPr>
              <w:pStyle w:val="TableCell"/>
              <w:keepNext w:val="0"/>
              <w:spacing w:before="60" w:after="60"/>
              <w:rPr>
                <w:rFonts w:eastAsia="Arial Unicode MS"/>
                <w:i/>
              </w:rPr>
            </w:pPr>
          </w:p>
        </w:tc>
      </w:tr>
      <w:tr w:rsidR="00096E91" w:rsidRPr="00221668" w:rsidTr="0033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trPr>
        <w:tc>
          <w:tcPr>
            <w:tcW w:w="4031" w:type="pct"/>
            <w:vAlign w:val="bottom"/>
          </w:tcPr>
          <w:p w:rsidR="00096E91" w:rsidRPr="001D6512" w:rsidRDefault="00096E91" w:rsidP="00090EEE">
            <w:pPr>
              <w:pStyle w:val="TableCell"/>
              <w:keepNext w:val="0"/>
              <w:spacing w:before="60" w:after="60"/>
              <w:rPr>
                <w:rFonts w:eastAsia="Arial Unicode MS"/>
              </w:rPr>
            </w:pPr>
            <w:r w:rsidRPr="001D6512">
              <w:t>O&amp;M savings</w:t>
            </w:r>
          </w:p>
        </w:tc>
        <w:tc>
          <w:tcPr>
            <w:tcW w:w="969" w:type="pct"/>
            <w:vAlign w:val="bottom"/>
          </w:tcPr>
          <w:p w:rsidR="00096E91" w:rsidRPr="001D6512" w:rsidRDefault="00096E91" w:rsidP="00090EEE">
            <w:pPr>
              <w:pStyle w:val="TableCell"/>
              <w:keepNext w:val="0"/>
              <w:spacing w:before="60" w:after="60"/>
              <w:rPr>
                <w:rFonts w:eastAsia="Arial Unicode MS"/>
              </w:rPr>
            </w:pPr>
            <w:r w:rsidRPr="001D6512">
              <w:t>3</w:t>
            </w:r>
          </w:p>
        </w:tc>
      </w:tr>
    </w:tbl>
    <w:p w:rsidR="00A22E85" w:rsidRPr="007E213C" w:rsidRDefault="00E03FE3" w:rsidP="00E568D4">
      <w:pPr>
        <w:pStyle w:val="Heading2"/>
      </w:pPr>
      <w:bookmarkStart w:id="1422" w:name="_Toc249174132"/>
      <w:r>
        <w:br w:type="page"/>
      </w:r>
      <w:bookmarkStart w:id="1423" w:name="_Toc310875480"/>
      <w:r w:rsidR="00A22E85" w:rsidRPr="007E213C">
        <w:t>Appendix B: Relations</w:t>
      </w:r>
      <w:r w:rsidR="007E213C">
        <w:t xml:space="preserve">hip between Program Savings and </w:t>
      </w:r>
      <w:r w:rsidR="00A22E85" w:rsidRPr="007E213C">
        <w:t>Evaluation Savings</w:t>
      </w:r>
      <w:bookmarkEnd w:id="1422"/>
      <w:bookmarkEnd w:id="1423"/>
    </w:p>
    <w:p w:rsidR="00A22E85" w:rsidRPr="005021BC" w:rsidRDefault="00A22E85" w:rsidP="005D7F62">
      <w:pPr>
        <w:pStyle w:val="Footer"/>
        <w:tabs>
          <w:tab w:val="clear" w:pos="4320"/>
          <w:tab w:val="clear" w:pos="8640"/>
        </w:tabs>
        <w:overflowPunct/>
        <w:autoSpaceDE/>
        <w:autoSpaceDN/>
        <w:adjustRightInd/>
        <w:textAlignment w:val="auto"/>
        <w:rPr>
          <w:rFonts w:ascii="Arial" w:hAnsi="Arial" w:cs="Arial"/>
          <w:sz w:val="20"/>
        </w:rPr>
      </w:pPr>
      <w:r w:rsidRPr="005021BC">
        <w:rPr>
          <w:rFonts w:ascii="Arial" w:hAnsi="Arial" w:cs="Arial"/>
          <w:sz w:val="20"/>
        </w:rPr>
        <w:t>There is a distinction between activities required to conduct measurement and verification of savings at the program participant level and the activities conducted by program evaluators and the SWE to validate those savings. However, the underlying standard for the measurement of the savings for both of these activities is the measurement and verification protocols approved by the PA PUC. These protocols are of three different types:</w:t>
      </w:r>
    </w:p>
    <w:p w:rsidR="00A22E85" w:rsidRPr="005021BC" w:rsidRDefault="00A22E85" w:rsidP="00173C8E">
      <w:pPr>
        <w:pStyle w:val="Footer"/>
        <w:numPr>
          <w:ilvl w:val="0"/>
          <w:numId w:val="5"/>
        </w:numPr>
        <w:tabs>
          <w:tab w:val="clear" w:pos="4320"/>
          <w:tab w:val="clear" w:pos="8640"/>
          <w:tab w:val="num" w:pos="1080"/>
        </w:tabs>
        <w:overflowPunct/>
        <w:autoSpaceDE/>
        <w:autoSpaceDN/>
        <w:adjustRightInd/>
        <w:ind w:left="1080"/>
        <w:textAlignment w:val="auto"/>
        <w:rPr>
          <w:rFonts w:ascii="Arial" w:hAnsi="Arial" w:cs="Arial"/>
          <w:sz w:val="20"/>
        </w:rPr>
      </w:pPr>
      <w:r w:rsidRPr="005021BC">
        <w:rPr>
          <w:rFonts w:ascii="Arial" w:hAnsi="Arial" w:cs="Arial"/>
          <w:sz w:val="20"/>
        </w:rPr>
        <w:t>TRM specified protocols for standard measures, originally approved in the May 2009 order adopting the TRM, and updated annually thereafter</w:t>
      </w:r>
    </w:p>
    <w:p w:rsidR="00A22E85" w:rsidRPr="005021BC" w:rsidRDefault="00A22E85" w:rsidP="00173C8E">
      <w:pPr>
        <w:pStyle w:val="Footer"/>
        <w:numPr>
          <w:ilvl w:val="0"/>
          <w:numId w:val="5"/>
        </w:numPr>
        <w:tabs>
          <w:tab w:val="clear" w:pos="4320"/>
          <w:tab w:val="clear" w:pos="8640"/>
          <w:tab w:val="num" w:pos="1080"/>
        </w:tabs>
        <w:overflowPunct/>
        <w:autoSpaceDE/>
        <w:autoSpaceDN/>
        <w:adjustRightInd/>
        <w:ind w:left="1080"/>
        <w:textAlignment w:val="auto"/>
        <w:rPr>
          <w:rFonts w:ascii="Arial" w:hAnsi="Arial" w:cs="Arial"/>
          <w:sz w:val="20"/>
        </w:rPr>
      </w:pPr>
      <w:r w:rsidRPr="005021BC">
        <w:rPr>
          <w:rFonts w:ascii="Arial" w:hAnsi="Arial" w:cs="Arial"/>
          <w:sz w:val="20"/>
        </w:rPr>
        <w:t>Interim Protocols for standard measures, reviewed and recommended by the SWE and approved for use by the Director of the CEEP, subject to modification and incorporation into succeeding TRM versions to be approved by the PA PUC</w:t>
      </w:r>
    </w:p>
    <w:p w:rsidR="00A22E85" w:rsidRPr="005021BC" w:rsidRDefault="00A22E85" w:rsidP="00173C8E">
      <w:pPr>
        <w:pStyle w:val="Footer"/>
        <w:numPr>
          <w:ilvl w:val="0"/>
          <w:numId w:val="5"/>
        </w:numPr>
        <w:tabs>
          <w:tab w:val="clear" w:pos="4320"/>
          <w:tab w:val="clear" w:pos="8640"/>
          <w:tab w:val="num" w:pos="1080"/>
        </w:tabs>
        <w:overflowPunct/>
        <w:autoSpaceDE/>
        <w:autoSpaceDN/>
        <w:adjustRightInd/>
        <w:ind w:left="1080"/>
        <w:textAlignment w:val="auto"/>
        <w:rPr>
          <w:rFonts w:ascii="Arial" w:hAnsi="Arial" w:cs="Arial"/>
          <w:sz w:val="20"/>
        </w:rPr>
      </w:pPr>
      <w:r w:rsidRPr="005021BC">
        <w:rPr>
          <w:rFonts w:ascii="Arial" w:hAnsi="Arial" w:cs="Arial"/>
          <w:sz w:val="20"/>
        </w:rPr>
        <w:t>Custom Measure Protocols reviewed and recommended by the SWE and approved for use by the Director of CEEP</w:t>
      </w:r>
    </w:p>
    <w:p w:rsidR="00A22E85" w:rsidRPr="005021BC" w:rsidRDefault="00A22E85" w:rsidP="005D7F62">
      <w:pPr>
        <w:pStyle w:val="Footer"/>
        <w:tabs>
          <w:tab w:val="clear" w:pos="4320"/>
          <w:tab w:val="clear" w:pos="8640"/>
        </w:tabs>
        <w:overflowPunct/>
        <w:autoSpaceDE/>
        <w:autoSpaceDN/>
        <w:adjustRightInd/>
        <w:textAlignment w:val="auto"/>
        <w:rPr>
          <w:rFonts w:ascii="Arial" w:hAnsi="Arial" w:cs="Arial"/>
          <w:sz w:val="20"/>
        </w:rPr>
      </w:pPr>
      <w:r w:rsidRPr="005021BC">
        <w:rPr>
          <w:rFonts w:ascii="Arial" w:hAnsi="Arial" w:cs="Arial"/>
          <w:sz w:val="20"/>
        </w:rPr>
        <w:t>These protocols are to be uniform and used to measure and calculate savings throughout Pennsylvania. The TRM protocols are comprised of Deemed Measures and Partially Deemed Measures. Deemed Measures specify saving per energy efficiency measure and require verifying that the measure has been installed, or in cases where that is not feasible, that the measure has been purchased by a utility customer.  Partially Deemed Measures require both verification of installation and the measurement or quantification of open variables in the protocol.</w:t>
      </w:r>
    </w:p>
    <w:p w:rsidR="00A22E85" w:rsidRPr="005021BC" w:rsidRDefault="00A22E85" w:rsidP="005D7F62">
      <w:pPr>
        <w:pStyle w:val="Footer"/>
        <w:tabs>
          <w:tab w:val="clear" w:pos="4320"/>
          <w:tab w:val="clear" w:pos="8640"/>
        </w:tabs>
        <w:overflowPunct/>
        <w:autoSpaceDE/>
        <w:autoSpaceDN/>
        <w:adjustRightInd/>
        <w:textAlignment w:val="auto"/>
        <w:rPr>
          <w:rFonts w:ascii="Arial" w:hAnsi="Arial" w:cs="Arial"/>
          <w:sz w:val="20"/>
        </w:rPr>
      </w:pPr>
      <w:r w:rsidRPr="005021BC">
        <w:rPr>
          <w:rFonts w:ascii="Arial" w:hAnsi="Arial" w:cs="Arial"/>
          <w:sz w:val="20"/>
        </w:rPr>
        <w:t xml:space="preserve">Stipulated and deemed numbers are valid relative to a particular classification of “standard” measures. In the determination of these values, a normal distribution of values should have been incorporated. Therefore, during the measurement and verification process, participant savings measures cannot be arbitrarily treated as “custom measures” if the category allocation is appropriate. </w:t>
      </w:r>
    </w:p>
    <w:p w:rsidR="007E213C" w:rsidRPr="005021BC" w:rsidRDefault="00A22E85" w:rsidP="005D7F62">
      <w:pPr>
        <w:pStyle w:val="Footer"/>
        <w:tabs>
          <w:tab w:val="clear" w:pos="4320"/>
          <w:tab w:val="clear" w:pos="8640"/>
        </w:tabs>
        <w:overflowPunct/>
        <w:autoSpaceDE/>
        <w:autoSpaceDN/>
        <w:adjustRightInd/>
        <w:textAlignment w:val="auto"/>
        <w:rPr>
          <w:rFonts w:ascii="Arial" w:hAnsi="Arial" w:cs="Arial"/>
          <w:sz w:val="20"/>
        </w:rPr>
        <w:sectPr w:rsidR="007E213C" w:rsidRPr="005021BC" w:rsidSect="004762A3">
          <w:pgSz w:w="12240" w:h="15840"/>
          <w:pgMar w:top="1440" w:right="1800" w:bottom="1440" w:left="1800" w:header="720" w:footer="720" w:gutter="0"/>
          <w:cols w:space="720"/>
        </w:sectPr>
      </w:pPr>
      <w:r w:rsidRPr="005021BC">
        <w:rPr>
          <w:rFonts w:ascii="Arial" w:hAnsi="Arial" w:cs="Arial"/>
          <w:sz w:val="20"/>
        </w:rPr>
        <w:t>Utility evaluators and the SWE will adjust the savings reported by program staff based on the application of the PA PUC approved protocols to a sample population and realization rates will be based on the application of these same standards. To the extent that the protocols or deemed values included in these protocols require modification, the appropriate statewide approval process will be utilized. These changes will be prospective.</w:t>
      </w:r>
    </w:p>
    <w:p w:rsidR="00A22E85" w:rsidRPr="007E213C" w:rsidRDefault="00A22E85" w:rsidP="00E568D4">
      <w:pPr>
        <w:pStyle w:val="Heading2"/>
      </w:pPr>
      <w:bookmarkStart w:id="1424" w:name="_Toc249174133"/>
      <w:bookmarkStart w:id="1425" w:name="_Toc310875481"/>
      <w:r w:rsidRPr="007E213C">
        <w:t xml:space="preserve">Appendix C: Lighting </w:t>
      </w:r>
      <w:bookmarkEnd w:id="1424"/>
      <w:r w:rsidR="005B4379">
        <w:t>Audit and Design Tool</w:t>
      </w:r>
      <w:bookmarkEnd w:id="1425"/>
    </w:p>
    <w:p w:rsidR="00A22E85" w:rsidRPr="00E03FE3" w:rsidRDefault="00E03FE3" w:rsidP="005D7F62">
      <w:pPr>
        <w:pStyle w:val="Footer"/>
        <w:tabs>
          <w:tab w:val="clear" w:pos="4320"/>
          <w:tab w:val="clear" w:pos="8640"/>
        </w:tabs>
        <w:overflowPunct/>
        <w:autoSpaceDE/>
        <w:autoSpaceDN/>
        <w:adjustRightInd/>
        <w:textAlignment w:val="auto"/>
        <w:rPr>
          <w:rFonts w:ascii="Arial" w:hAnsi="Arial" w:cs="Arial"/>
          <w:sz w:val="20"/>
        </w:rPr>
      </w:pPr>
      <w:r w:rsidRPr="00E03FE3">
        <w:rPr>
          <w:rFonts w:ascii="Arial" w:hAnsi="Arial" w:cs="Arial"/>
          <w:sz w:val="20"/>
        </w:rPr>
        <w:t xml:space="preserve">The Lighting Audit and Design Tool is located on the Public Utility Commission’s website at:  </w:t>
      </w:r>
      <w:hyperlink r:id="rId63" w:history="1">
        <w:r w:rsidRPr="00E03FE3">
          <w:rPr>
            <w:rStyle w:val="Hyperlink"/>
            <w:rFonts w:ascii="Arial" w:hAnsi="Arial" w:cs="Arial"/>
            <w:sz w:val="20"/>
          </w:rPr>
          <w:t>http://www.puc.state.pa.us/electric/Act129/TRM.aspx</w:t>
        </w:r>
      </w:hyperlink>
    </w:p>
    <w:p w:rsidR="00EA7EAB" w:rsidRPr="00EA7EAB" w:rsidRDefault="00EA7EAB" w:rsidP="00EA7EAB">
      <w:pPr>
        <w:sectPr w:rsidR="00EA7EAB" w:rsidRPr="00EA7EAB" w:rsidSect="004762A3">
          <w:pgSz w:w="12240" w:h="15840"/>
          <w:pgMar w:top="1440" w:right="1800" w:bottom="1440" w:left="1800" w:header="720" w:footer="720" w:gutter="0"/>
          <w:cols w:space="720"/>
        </w:sectPr>
      </w:pPr>
    </w:p>
    <w:p w:rsidR="00B85BDF" w:rsidRDefault="00A22E85" w:rsidP="00E568D4">
      <w:pPr>
        <w:pStyle w:val="Heading2"/>
      </w:pPr>
      <w:bookmarkStart w:id="1426" w:name="_Toc275508639"/>
      <w:bookmarkStart w:id="1427" w:name="_Toc275515654"/>
      <w:bookmarkStart w:id="1428" w:name="_Toc275522672"/>
      <w:bookmarkStart w:id="1429" w:name="_Toc275529690"/>
      <w:bookmarkStart w:id="1430" w:name="_Toc275536706"/>
      <w:bookmarkStart w:id="1431" w:name="_Toc275543743"/>
      <w:bookmarkStart w:id="1432" w:name="_Toc275550776"/>
      <w:bookmarkStart w:id="1433" w:name="_Toc275849526"/>
      <w:bookmarkStart w:id="1434" w:name="_Toc275858398"/>
      <w:bookmarkStart w:id="1435" w:name="_Toc275865416"/>
      <w:bookmarkStart w:id="1436" w:name="_Toc275508951"/>
      <w:bookmarkStart w:id="1437" w:name="_Toc275515966"/>
      <w:bookmarkStart w:id="1438" w:name="_Toc275522984"/>
      <w:bookmarkStart w:id="1439" w:name="_Toc275530002"/>
      <w:bookmarkStart w:id="1440" w:name="_Toc275537018"/>
      <w:bookmarkStart w:id="1441" w:name="_Toc275544055"/>
      <w:bookmarkStart w:id="1442" w:name="_Toc275551088"/>
      <w:bookmarkStart w:id="1443" w:name="_Toc275849838"/>
      <w:bookmarkStart w:id="1444" w:name="_Toc275858710"/>
      <w:bookmarkStart w:id="1445" w:name="_Toc275865728"/>
      <w:bookmarkStart w:id="1446" w:name="_Toc275853206"/>
      <w:bookmarkStart w:id="1447" w:name="_Toc275862078"/>
      <w:bookmarkStart w:id="1448" w:name="_Toc275853318"/>
      <w:bookmarkStart w:id="1449" w:name="_Toc275862190"/>
      <w:bookmarkStart w:id="1450" w:name="_Toc275853478"/>
      <w:bookmarkStart w:id="1451" w:name="_Toc275862350"/>
      <w:bookmarkStart w:id="1452" w:name="_Toc275854150"/>
      <w:bookmarkStart w:id="1453" w:name="_Toc275863022"/>
      <w:bookmarkStart w:id="1454" w:name="_Toc275854462"/>
      <w:bookmarkStart w:id="1455" w:name="_Toc275863334"/>
      <w:bookmarkStart w:id="1456" w:name="_Toc275513607"/>
      <w:bookmarkStart w:id="1457" w:name="_Toc275520622"/>
      <w:bookmarkStart w:id="1458" w:name="_Toc275527640"/>
      <w:bookmarkStart w:id="1459" w:name="_Toc275534658"/>
      <w:bookmarkStart w:id="1460" w:name="_Toc275541674"/>
      <w:bookmarkStart w:id="1461" w:name="_Toc275548711"/>
      <w:bookmarkStart w:id="1462" w:name="_Toc275555744"/>
      <w:bookmarkStart w:id="1463" w:name="_Toc275854494"/>
      <w:bookmarkStart w:id="1464" w:name="_Toc275863366"/>
      <w:bookmarkStart w:id="1465" w:name="_Toc275870384"/>
      <w:bookmarkStart w:id="1466" w:name="_Toc275513727"/>
      <w:bookmarkStart w:id="1467" w:name="_Toc275520742"/>
      <w:bookmarkStart w:id="1468" w:name="_Toc275527760"/>
      <w:bookmarkStart w:id="1469" w:name="_Toc275534778"/>
      <w:bookmarkStart w:id="1470" w:name="_Toc275541794"/>
      <w:bookmarkStart w:id="1471" w:name="_Toc275548831"/>
      <w:bookmarkStart w:id="1472" w:name="_Toc275555864"/>
      <w:bookmarkStart w:id="1473" w:name="_Toc275854614"/>
      <w:bookmarkStart w:id="1474" w:name="_Toc275863486"/>
      <w:bookmarkStart w:id="1475" w:name="_Toc275870504"/>
      <w:bookmarkStart w:id="1476" w:name="_Toc275514079"/>
      <w:bookmarkStart w:id="1477" w:name="_Toc275521094"/>
      <w:bookmarkStart w:id="1478" w:name="_Toc275528112"/>
      <w:bookmarkStart w:id="1479" w:name="_Toc275535130"/>
      <w:bookmarkStart w:id="1480" w:name="_Toc275542146"/>
      <w:bookmarkStart w:id="1481" w:name="_Toc275549183"/>
      <w:bookmarkStart w:id="1482" w:name="_Toc275556216"/>
      <w:bookmarkStart w:id="1483" w:name="_Toc275854966"/>
      <w:bookmarkStart w:id="1484" w:name="_Toc275863838"/>
      <w:bookmarkStart w:id="1485" w:name="_Toc275870856"/>
      <w:bookmarkStart w:id="1486" w:name="_Toc275514167"/>
      <w:bookmarkStart w:id="1487" w:name="_Toc275521182"/>
      <w:bookmarkStart w:id="1488" w:name="_Toc275528200"/>
      <w:bookmarkStart w:id="1489" w:name="_Toc275535218"/>
      <w:bookmarkStart w:id="1490" w:name="_Toc275542234"/>
      <w:bookmarkStart w:id="1491" w:name="_Toc275549271"/>
      <w:bookmarkStart w:id="1492" w:name="_Toc275556304"/>
      <w:bookmarkStart w:id="1493" w:name="_Toc275855054"/>
      <w:bookmarkStart w:id="1494" w:name="_Toc275863926"/>
      <w:bookmarkStart w:id="1495" w:name="_Toc275870944"/>
      <w:bookmarkStart w:id="1496" w:name="_Toc275514182"/>
      <w:bookmarkStart w:id="1497" w:name="_Toc275521197"/>
      <w:bookmarkStart w:id="1498" w:name="_Toc275528215"/>
      <w:bookmarkStart w:id="1499" w:name="_Toc275535233"/>
      <w:bookmarkStart w:id="1500" w:name="_Toc275542249"/>
      <w:bookmarkStart w:id="1501" w:name="_Toc275549286"/>
      <w:bookmarkStart w:id="1502" w:name="_Toc275556319"/>
      <w:bookmarkStart w:id="1503" w:name="_Toc275855069"/>
      <w:bookmarkStart w:id="1504" w:name="_Toc275863941"/>
      <w:bookmarkStart w:id="1505" w:name="_Toc275870959"/>
      <w:bookmarkStart w:id="1506" w:name="_Toc275514197"/>
      <w:bookmarkStart w:id="1507" w:name="_Toc275521212"/>
      <w:bookmarkStart w:id="1508" w:name="_Toc275528230"/>
      <w:bookmarkStart w:id="1509" w:name="_Toc275535248"/>
      <w:bookmarkStart w:id="1510" w:name="_Toc275542264"/>
      <w:bookmarkStart w:id="1511" w:name="_Toc275549301"/>
      <w:bookmarkStart w:id="1512" w:name="_Toc275556334"/>
      <w:bookmarkStart w:id="1513" w:name="_Toc275855084"/>
      <w:bookmarkStart w:id="1514" w:name="_Toc275863956"/>
      <w:bookmarkStart w:id="1515" w:name="_Toc275870974"/>
      <w:bookmarkStart w:id="1516" w:name="_Toc275514380"/>
      <w:bookmarkStart w:id="1517" w:name="_Toc275521395"/>
      <w:bookmarkStart w:id="1518" w:name="_Toc275528413"/>
      <w:bookmarkStart w:id="1519" w:name="_Toc275535431"/>
      <w:bookmarkStart w:id="1520" w:name="_Toc275542447"/>
      <w:bookmarkStart w:id="1521" w:name="_Toc275549484"/>
      <w:bookmarkStart w:id="1522" w:name="_Toc275556517"/>
      <w:bookmarkStart w:id="1523" w:name="_Toc275855267"/>
      <w:bookmarkStart w:id="1524" w:name="_Toc275864139"/>
      <w:bookmarkStart w:id="1525" w:name="_Toc275871157"/>
      <w:bookmarkStart w:id="1526" w:name="_Toc275867184"/>
      <w:bookmarkStart w:id="1527" w:name="_Toc275867676"/>
      <w:bookmarkStart w:id="1528" w:name="_Toc275878927"/>
      <w:bookmarkStart w:id="1529" w:name="_Toc275903066"/>
      <w:bookmarkStart w:id="1530" w:name="_Toc275942843"/>
      <w:bookmarkStart w:id="1531" w:name="_Toc275943126"/>
      <w:bookmarkStart w:id="1532" w:name="_Toc275943509"/>
      <w:bookmarkStart w:id="1533" w:name="_Toc276630974"/>
      <w:bookmarkStart w:id="1534" w:name="_Toc276631193"/>
      <w:bookmarkStart w:id="1535" w:name="_Toc276631417"/>
      <w:bookmarkStart w:id="1536" w:name="_Toc276631636"/>
      <w:bookmarkStart w:id="1537" w:name="_Toc283146835"/>
      <w:bookmarkStart w:id="1538" w:name="_Toc283154142"/>
      <w:bookmarkStart w:id="1539" w:name="_Toc283154318"/>
      <w:bookmarkStart w:id="1540" w:name="_Toc283716067"/>
      <w:bookmarkStart w:id="1541" w:name="_Toc283719202"/>
      <w:bookmarkStart w:id="1542" w:name="_Toc283719378"/>
      <w:bookmarkStart w:id="1543" w:name="_Toc283719554"/>
      <w:bookmarkStart w:id="1544" w:name="_Toc283739196"/>
      <w:bookmarkStart w:id="1545" w:name="_Toc283739548"/>
      <w:bookmarkStart w:id="1546" w:name="_Toc283739899"/>
      <w:bookmarkStart w:id="1547" w:name="_Toc283740243"/>
      <w:bookmarkStart w:id="1548" w:name="_Toc283740584"/>
      <w:bookmarkStart w:id="1549" w:name="_Toc283740917"/>
      <w:bookmarkStart w:id="1550" w:name="_Toc283741246"/>
      <w:bookmarkStart w:id="1551" w:name="_Toc283741569"/>
      <w:bookmarkStart w:id="1552" w:name="_Toc283741879"/>
      <w:bookmarkStart w:id="1553" w:name="_Toc283742188"/>
      <w:bookmarkStart w:id="1554" w:name="_Toc283742417"/>
      <w:bookmarkStart w:id="1555" w:name="_Toc283742682"/>
      <w:bookmarkStart w:id="1556" w:name="_Toc283742943"/>
      <w:bookmarkStart w:id="1557" w:name="_Toc283743121"/>
      <w:bookmarkStart w:id="1558" w:name="_Toc283743298"/>
      <w:bookmarkStart w:id="1559" w:name="_Toc283743474"/>
      <w:bookmarkStart w:id="1560" w:name="_Toc283743651"/>
      <w:bookmarkStart w:id="1561" w:name="_Toc283743827"/>
      <w:bookmarkStart w:id="1562" w:name="_Toc275514381"/>
      <w:bookmarkStart w:id="1563" w:name="_Toc275521396"/>
      <w:bookmarkStart w:id="1564" w:name="_Toc275528414"/>
      <w:bookmarkStart w:id="1565" w:name="_Toc275535432"/>
      <w:bookmarkStart w:id="1566" w:name="_Toc275542448"/>
      <w:bookmarkStart w:id="1567" w:name="_Toc275549485"/>
      <w:bookmarkStart w:id="1568" w:name="_Toc275556518"/>
      <w:bookmarkStart w:id="1569" w:name="_Toc275855268"/>
      <w:bookmarkStart w:id="1570" w:name="_Toc275864140"/>
      <w:bookmarkStart w:id="1571" w:name="_Toc275871158"/>
      <w:bookmarkStart w:id="1572" w:name="_Toc275867185"/>
      <w:bookmarkStart w:id="1573" w:name="_Toc275867677"/>
      <w:bookmarkStart w:id="1574" w:name="_Toc275878928"/>
      <w:bookmarkStart w:id="1575" w:name="_Toc275903067"/>
      <w:bookmarkStart w:id="1576" w:name="_Toc275942844"/>
      <w:bookmarkStart w:id="1577" w:name="_Toc275943127"/>
      <w:bookmarkStart w:id="1578" w:name="_Toc275943510"/>
      <w:bookmarkStart w:id="1579" w:name="_Toc276630975"/>
      <w:bookmarkStart w:id="1580" w:name="_Toc276631194"/>
      <w:bookmarkStart w:id="1581" w:name="_Toc276631418"/>
      <w:bookmarkStart w:id="1582" w:name="_Toc276631637"/>
      <w:bookmarkStart w:id="1583" w:name="_Toc283146836"/>
      <w:bookmarkStart w:id="1584" w:name="_Toc283154143"/>
      <w:bookmarkStart w:id="1585" w:name="_Toc283154319"/>
      <w:bookmarkStart w:id="1586" w:name="_Toc283716068"/>
      <w:bookmarkStart w:id="1587" w:name="_Toc283719203"/>
      <w:bookmarkStart w:id="1588" w:name="_Toc283719379"/>
      <w:bookmarkStart w:id="1589" w:name="_Toc283719555"/>
      <w:bookmarkStart w:id="1590" w:name="_Toc283739197"/>
      <w:bookmarkStart w:id="1591" w:name="_Toc283739549"/>
      <w:bookmarkStart w:id="1592" w:name="_Toc283739900"/>
      <w:bookmarkStart w:id="1593" w:name="_Toc283740244"/>
      <w:bookmarkStart w:id="1594" w:name="_Toc283740585"/>
      <w:bookmarkStart w:id="1595" w:name="_Toc283740918"/>
      <w:bookmarkStart w:id="1596" w:name="_Toc283741247"/>
      <w:bookmarkStart w:id="1597" w:name="_Toc283741570"/>
      <w:bookmarkStart w:id="1598" w:name="_Toc283741880"/>
      <w:bookmarkStart w:id="1599" w:name="_Toc283742189"/>
      <w:bookmarkStart w:id="1600" w:name="_Toc283742418"/>
      <w:bookmarkStart w:id="1601" w:name="_Toc283742683"/>
      <w:bookmarkStart w:id="1602" w:name="_Toc283742944"/>
      <w:bookmarkStart w:id="1603" w:name="_Toc283743122"/>
      <w:bookmarkStart w:id="1604" w:name="_Toc283743299"/>
      <w:bookmarkStart w:id="1605" w:name="_Toc283743475"/>
      <w:bookmarkStart w:id="1606" w:name="_Toc283743652"/>
      <w:bookmarkStart w:id="1607" w:name="_Toc283743828"/>
      <w:bookmarkStart w:id="1608" w:name="_Toc275514382"/>
      <w:bookmarkStart w:id="1609" w:name="_Toc275521397"/>
      <w:bookmarkStart w:id="1610" w:name="_Toc275528415"/>
      <w:bookmarkStart w:id="1611" w:name="_Toc275535433"/>
      <w:bookmarkStart w:id="1612" w:name="_Toc275542449"/>
      <w:bookmarkStart w:id="1613" w:name="_Toc275549486"/>
      <w:bookmarkStart w:id="1614" w:name="_Toc275556519"/>
      <w:bookmarkStart w:id="1615" w:name="_Toc275855269"/>
      <w:bookmarkStart w:id="1616" w:name="_Toc275864141"/>
      <w:bookmarkStart w:id="1617" w:name="_Toc275871159"/>
      <w:bookmarkStart w:id="1618" w:name="_Toc275867186"/>
      <w:bookmarkStart w:id="1619" w:name="_Toc275867678"/>
      <w:bookmarkStart w:id="1620" w:name="_Toc275878929"/>
      <w:bookmarkStart w:id="1621" w:name="_Toc275903068"/>
      <w:bookmarkStart w:id="1622" w:name="_Toc275942845"/>
      <w:bookmarkStart w:id="1623" w:name="_Toc275943128"/>
      <w:bookmarkStart w:id="1624" w:name="_Toc275943511"/>
      <w:bookmarkStart w:id="1625" w:name="_Toc276630976"/>
      <w:bookmarkStart w:id="1626" w:name="_Toc276631195"/>
      <w:bookmarkStart w:id="1627" w:name="_Toc276631419"/>
      <w:bookmarkStart w:id="1628" w:name="_Toc276631638"/>
      <w:bookmarkStart w:id="1629" w:name="_Toc283146837"/>
      <w:bookmarkStart w:id="1630" w:name="_Toc283154144"/>
      <w:bookmarkStart w:id="1631" w:name="_Toc283154320"/>
      <w:bookmarkStart w:id="1632" w:name="_Toc283716069"/>
      <w:bookmarkStart w:id="1633" w:name="_Toc283719204"/>
      <w:bookmarkStart w:id="1634" w:name="_Toc283719380"/>
      <w:bookmarkStart w:id="1635" w:name="_Toc283719556"/>
      <w:bookmarkStart w:id="1636" w:name="_Toc283739198"/>
      <w:bookmarkStart w:id="1637" w:name="_Toc283739550"/>
      <w:bookmarkStart w:id="1638" w:name="_Toc283739901"/>
      <w:bookmarkStart w:id="1639" w:name="_Toc283740245"/>
      <w:bookmarkStart w:id="1640" w:name="_Toc283740586"/>
      <w:bookmarkStart w:id="1641" w:name="_Toc283740919"/>
      <w:bookmarkStart w:id="1642" w:name="_Toc283741248"/>
      <w:bookmarkStart w:id="1643" w:name="_Toc283741571"/>
      <w:bookmarkStart w:id="1644" w:name="_Toc283741881"/>
      <w:bookmarkStart w:id="1645" w:name="_Toc283742190"/>
      <w:bookmarkStart w:id="1646" w:name="_Toc283742419"/>
      <w:bookmarkStart w:id="1647" w:name="_Toc283742684"/>
      <w:bookmarkStart w:id="1648" w:name="_Toc283742945"/>
      <w:bookmarkStart w:id="1649" w:name="_Toc283743123"/>
      <w:bookmarkStart w:id="1650" w:name="_Toc283743300"/>
      <w:bookmarkStart w:id="1651" w:name="_Toc283743476"/>
      <w:bookmarkStart w:id="1652" w:name="_Toc283743653"/>
      <w:bookmarkStart w:id="1653" w:name="_Toc283743829"/>
      <w:bookmarkStart w:id="1654" w:name="_Toc249174134"/>
      <w:bookmarkStart w:id="1655" w:name="_Toc275518120"/>
      <w:bookmarkStart w:id="1656" w:name="_Toc275525138"/>
      <w:bookmarkStart w:id="1657" w:name="_Toc275532156"/>
      <w:bookmarkStart w:id="1658" w:name="_Toc275539172"/>
      <w:bookmarkStart w:id="1659" w:name="_Toc275546209"/>
      <w:bookmarkStart w:id="1660" w:name="_Toc275553242"/>
      <w:bookmarkStart w:id="1661" w:name="_Toc275851992"/>
      <w:bookmarkStart w:id="1662" w:name="_Toc275860864"/>
      <w:bookmarkStart w:id="1663" w:name="_Toc275867882"/>
      <w:bookmarkStart w:id="1664" w:name="_Toc275511106"/>
      <w:bookmarkStart w:id="1665" w:name="_Toc275548704"/>
      <w:bookmarkStart w:id="1666" w:name="_Toc275555737"/>
      <w:bookmarkStart w:id="1667" w:name="_Toc275870377"/>
      <w:bookmarkStart w:id="1668" w:name="_Toc275513601"/>
      <w:bookmarkStart w:id="1669" w:name="_Toc275520616"/>
      <w:bookmarkStart w:id="1670" w:name="_Toc275527634"/>
      <w:bookmarkStart w:id="1671" w:name="_Toc275534652"/>
      <w:bookmarkStart w:id="1672" w:name="_Toc275541668"/>
      <w:bookmarkStart w:id="1673" w:name="_Toc275518121"/>
      <w:bookmarkStart w:id="1674" w:name="_Toc275525139"/>
      <w:bookmarkStart w:id="1675" w:name="_Toc275548705"/>
      <w:bookmarkStart w:id="1676" w:name="_Toc275532157"/>
      <w:bookmarkStart w:id="1677" w:name="_Toc275555738"/>
      <w:bookmarkStart w:id="1678" w:name="_Toc310875482"/>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r w:rsidRPr="00C8262B">
        <w:t>A</w:t>
      </w:r>
      <w:bookmarkEnd w:id="1655"/>
      <w:r w:rsidRPr="00C8262B">
        <w:t>p</w:t>
      </w:r>
      <w:bookmarkEnd w:id="1656"/>
      <w:r w:rsidRPr="00C8262B">
        <w:t>p</w:t>
      </w:r>
      <w:bookmarkEnd w:id="1657"/>
      <w:r w:rsidRPr="00C8262B">
        <w:t>e</w:t>
      </w:r>
      <w:bookmarkEnd w:id="1658"/>
      <w:r w:rsidRPr="00C8262B">
        <w:t>n</w:t>
      </w:r>
      <w:bookmarkEnd w:id="1659"/>
      <w:r w:rsidRPr="00C8262B">
        <w:t>d</w:t>
      </w:r>
      <w:bookmarkEnd w:id="1660"/>
      <w:r w:rsidRPr="00C8262B">
        <w:t>i</w:t>
      </w:r>
      <w:bookmarkEnd w:id="1661"/>
      <w:r w:rsidRPr="00C8262B">
        <w:t>x</w:t>
      </w:r>
      <w:bookmarkEnd w:id="1662"/>
      <w:r w:rsidRPr="00C8262B">
        <w:t xml:space="preserve"> </w:t>
      </w:r>
      <w:bookmarkEnd w:id="1663"/>
      <w:r w:rsidRPr="00C8262B">
        <w:t>D</w:t>
      </w:r>
      <w:bookmarkEnd w:id="1664"/>
      <w:r w:rsidRPr="00C8262B">
        <w:t>:</w:t>
      </w:r>
      <w:bookmarkEnd w:id="1665"/>
      <w:r w:rsidRPr="00C8262B">
        <w:t xml:space="preserve"> </w:t>
      </w:r>
      <w:bookmarkEnd w:id="1666"/>
      <w:r w:rsidRPr="00C8262B">
        <w:t>M</w:t>
      </w:r>
      <w:bookmarkEnd w:id="1667"/>
      <w:r w:rsidRPr="00C8262B">
        <w:t>o</w:t>
      </w:r>
      <w:bookmarkEnd w:id="1668"/>
      <w:r w:rsidRPr="00C8262B">
        <w:t>t</w:t>
      </w:r>
      <w:bookmarkEnd w:id="1669"/>
      <w:r w:rsidRPr="00C8262B">
        <w:t>o</w:t>
      </w:r>
      <w:bookmarkEnd w:id="1670"/>
      <w:r w:rsidRPr="00C8262B">
        <w:t>r</w:t>
      </w:r>
      <w:bookmarkEnd w:id="1671"/>
      <w:r w:rsidRPr="00C8262B">
        <w:t xml:space="preserve"> </w:t>
      </w:r>
      <w:bookmarkEnd w:id="1672"/>
      <w:r w:rsidRPr="00C8262B">
        <w:t>&amp;</w:t>
      </w:r>
      <w:bookmarkEnd w:id="1673"/>
      <w:r w:rsidRPr="00C8262B">
        <w:t xml:space="preserve"> </w:t>
      </w:r>
      <w:bookmarkEnd w:id="1674"/>
      <w:r w:rsidRPr="00C8262B">
        <w:t xml:space="preserve">VFD </w:t>
      </w:r>
      <w:bookmarkEnd w:id="1675"/>
      <w:r w:rsidR="005B4379" w:rsidRPr="00C8262B">
        <w:t>Audit and Design Tool</w:t>
      </w:r>
      <w:bookmarkEnd w:id="1676"/>
      <w:bookmarkEnd w:id="1677"/>
      <w:bookmarkEnd w:id="1678"/>
    </w:p>
    <w:p w:rsidR="00E03FE3" w:rsidRPr="00E03FE3" w:rsidRDefault="00E03FE3" w:rsidP="00E03FE3">
      <w:pPr>
        <w:pStyle w:val="Footer"/>
        <w:tabs>
          <w:tab w:val="clear" w:pos="4320"/>
          <w:tab w:val="clear" w:pos="8640"/>
        </w:tabs>
        <w:overflowPunct/>
        <w:autoSpaceDE/>
        <w:autoSpaceDN/>
        <w:adjustRightInd/>
        <w:textAlignment w:val="auto"/>
        <w:rPr>
          <w:rFonts w:ascii="Arial" w:hAnsi="Arial" w:cs="Arial"/>
          <w:sz w:val="20"/>
        </w:rPr>
      </w:pPr>
      <w:r w:rsidRPr="00E03FE3">
        <w:rPr>
          <w:rFonts w:ascii="Arial" w:hAnsi="Arial" w:cs="Arial"/>
          <w:sz w:val="20"/>
        </w:rPr>
        <w:t xml:space="preserve">The Motor and VFD Inventory Form is located on the Public Utility Commission’s website at:  </w:t>
      </w:r>
      <w:hyperlink r:id="rId64" w:history="1">
        <w:r w:rsidRPr="00E03FE3">
          <w:rPr>
            <w:rStyle w:val="Hyperlink"/>
            <w:rFonts w:ascii="Arial" w:hAnsi="Arial" w:cs="Arial"/>
            <w:sz w:val="20"/>
          </w:rPr>
          <w:t>http://www.puc.state.pa.us/electric/Act129/TRM.aspx</w:t>
        </w:r>
      </w:hyperlink>
      <w:r w:rsidRPr="00E03FE3">
        <w:rPr>
          <w:rFonts w:ascii="Arial" w:hAnsi="Arial" w:cs="Arial"/>
          <w:sz w:val="20"/>
        </w:rPr>
        <w:t>.</w:t>
      </w:r>
    </w:p>
    <w:p w:rsidR="00EA7EAB" w:rsidRDefault="00EA7EAB" w:rsidP="00EA7EAB">
      <w:pPr>
        <w:pStyle w:val="Heading2"/>
      </w:pPr>
      <w:r>
        <w:rPr>
          <w:rFonts w:ascii="Arial Black" w:hAnsi="Arial Black"/>
        </w:rPr>
        <w:br w:type="page"/>
      </w:r>
      <w:bookmarkStart w:id="1679" w:name="_Ref298590733"/>
      <w:bookmarkStart w:id="1680" w:name="_Toc310875483"/>
      <w:r>
        <w:t>Appendix E: Eligibility Requirements for Solid State Lighting Products in Commercial and Industrial Applications</w:t>
      </w:r>
      <w:bookmarkEnd w:id="1679"/>
      <w:bookmarkEnd w:id="1680"/>
    </w:p>
    <w:p w:rsidR="00A22E85" w:rsidRDefault="00EA7EAB" w:rsidP="00EA7EAB">
      <w:r>
        <w:t xml:space="preserve">The SSL market, still setting up its foundations, has been inundated with a great variety of products, including those that do not live up to manufacturers’ claims. Several organizations, such as ENERGY STAR and Design Lights Consortium have responded by following standardized testing procedures and setting minimum requirements to be identified as a qualified product under those organizations. </w:t>
      </w:r>
    </w:p>
    <w:p w:rsidR="00EA7EAB" w:rsidRDefault="00EA7EAB" w:rsidP="00871FA2">
      <w:pPr>
        <w:pStyle w:val="Heading3"/>
      </w:pPr>
      <w:r>
        <w:t>Solid State Lighting</w:t>
      </w:r>
    </w:p>
    <w:p w:rsidR="00EA7EAB" w:rsidRDefault="00EA7EAB" w:rsidP="00EA7EAB">
      <w:r w:rsidRPr="007C36A6">
        <w:t>Due to the immaturity of the SSL market, diversity of product technologies and quality, and current lack of uniform industry standards, it is impossible to point to one source as the complete list of qualifying SSL products for inclusion in Act 129 efficiency programs.</w:t>
      </w:r>
      <w:r>
        <w:t xml:space="preserve"> A combination of industry-accepted references have been collected to generate minimum criteria for the most complete list of products while not sacrificing quality and legitimacy of savings. The following states the minimum requirements for SSL products that qualify under the TRM:</w:t>
      </w:r>
    </w:p>
    <w:p w:rsidR="00EA7EAB" w:rsidRPr="007C36A6" w:rsidRDefault="00EA7EAB" w:rsidP="00EA7EAB">
      <w:r w:rsidRPr="007C36A6">
        <w:t>For Act 129 energy efficiency measure savings qualification, for SSL products for which there is an ENERGY STAR commercial product category</w:t>
      </w:r>
      <w:r w:rsidRPr="007C36A6">
        <w:rPr>
          <w:vertAlign w:val="superscript"/>
        </w:rPr>
        <w:footnoteReference w:id="267"/>
      </w:r>
      <w:r w:rsidRPr="007C36A6">
        <w:t>, the product shall meet the minimum ENERGY STAR requirements</w:t>
      </w:r>
      <w:r w:rsidRPr="007C36A6">
        <w:rPr>
          <w:vertAlign w:val="superscript"/>
        </w:rPr>
        <w:footnoteReference w:id="268"/>
      </w:r>
      <w:r w:rsidRPr="007C36A6">
        <w:t xml:space="preserve"> </w:t>
      </w:r>
      <w:r w:rsidRPr="007C36A6">
        <w:rPr>
          <w:vertAlign w:val="superscript"/>
        </w:rPr>
        <w:footnoteReference w:id="269"/>
      </w:r>
      <w:r w:rsidRPr="007C36A6">
        <w:t xml:space="preserve"> for the given product category.  Products are not required to be on the ENERGY STAR Qualified Product List</w:t>
      </w:r>
      <w:r w:rsidRPr="007C36A6">
        <w:rPr>
          <w:vertAlign w:val="superscript"/>
        </w:rPr>
        <w:footnoteReference w:id="270"/>
      </w:r>
      <w:r w:rsidRPr="007C36A6">
        <w:t>, however, if a product is on the list it shall qualify for Act 129 energy efficiency programs and no additional supporting documentation shall be required.  ENERGY STAR qualified commercial/non-residential product categories include:</w:t>
      </w:r>
    </w:p>
    <w:p w:rsidR="00EA7EAB" w:rsidRPr="007C36A6" w:rsidRDefault="00EA7EAB" w:rsidP="0005632A">
      <w:pPr>
        <w:numPr>
          <w:ilvl w:val="0"/>
          <w:numId w:val="14"/>
        </w:numPr>
        <w:spacing w:after="120"/>
      </w:pPr>
      <w:r w:rsidRPr="007C36A6">
        <w:t>Omni</w:t>
      </w:r>
      <w:r>
        <w:t>-</w:t>
      </w:r>
      <w:r w:rsidRPr="007C36A6">
        <w:t>directional: A, BT, P, PS, S, T</w:t>
      </w:r>
    </w:p>
    <w:p w:rsidR="00EA7EAB" w:rsidRPr="007C36A6" w:rsidRDefault="00EA7EAB" w:rsidP="0005632A">
      <w:pPr>
        <w:numPr>
          <w:ilvl w:val="0"/>
          <w:numId w:val="14"/>
        </w:numPr>
        <w:spacing w:after="120"/>
      </w:pPr>
      <w:r w:rsidRPr="007C36A6">
        <w:t>Decorative: B, BA, C, CA, DC, F, G</w:t>
      </w:r>
    </w:p>
    <w:p w:rsidR="00EA7EAB" w:rsidRPr="007C36A6" w:rsidRDefault="00EA7EAB" w:rsidP="0005632A">
      <w:pPr>
        <w:numPr>
          <w:ilvl w:val="0"/>
          <w:numId w:val="14"/>
        </w:numPr>
        <w:spacing w:after="120"/>
      </w:pPr>
      <w:r w:rsidRPr="007C36A6">
        <w:t>Directional: BR, ER, K, MR, PAR, R</w:t>
      </w:r>
    </w:p>
    <w:p w:rsidR="00EA7EAB" w:rsidRPr="007C36A6" w:rsidRDefault="00EA7EAB" w:rsidP="0005632A">
      <w:pPr>
        <w:numPr>
          <w:ilvl w:val="0"/>
          <w:numId w:val="14"/>
        </w:numPr>
        <w:spacing w:after="120"/>
      </w:pPr>
      <w:r w:rsidRPr="007C36A6">
        <w:t>Non-standard</w:t>
      </w:r>
    </w:p>
    <w:p w:rsidR="00EA7EAB" w:rsidRPr="007C36A6" w:rsidRDefault="00EA7EAB" w:rsidP="0005632A">
      <w:pPr>
        <w:numPr>
          <w:ilvl w:val="0"/>
          <w:numId w:val="14"/>
        </w:numPr>
        <w:spacing w:after="120"/>
      </w:pPr>
      <w:r w:rsidRPr="007C36A6">
        <w:t>Recessed, surface and pendant-mounted down</w:t>
      </w:r>
      <w:r>
        <w:t>-</w:t>
      </w:r>
      <w:r w:rsidRPr="007C36A6">
        <w:t>lights</w:t>
      </w:r>
    </w:p>
    <w:p w:rsidR="00EA7EAB" w:rsidRPr="007C36A6" w:rsidRDefault="00EA7EAB" w:rsidP="0005632A">
      <w:pPr>
        <w:numPr>
          <w:ilvl w:val="0"/>
          <w:numId w:val="14"/>
        </w:numPr>
        <w:spacing w:after="120"/>
      </w:pPr>
      <w:r w:rsidRPr="007C36A6">
        <w:t>Under-cabinet shelf-mounted task lighting</w:t>
      </w:r>
    </w:p>
    <w:p w:rsidR="00EA7EAB" w:rsidRPr="007C36A6" w:rsidRDefault="00EA7EAB" w:rsidP="0005632A">
      <w:pPr>
        <w:numPr>
          <w:ilvl w:val="0"/>
          <w:numId w:val="14"/>
        </w:numPr>
        <w:spacing w:after="120"/>
      </w:pPr>
      <w:r w:rsidRPr="007C36A6">
        <w:t>Portable desk task lights</w:t>
      </w:r>
    </w:p>
    <w:p w:rsidR="00EA7EAB" w:rsidRPr="007C36A6" w:rsidRDefault="00EA7EAB" w:rsidP="0005632A">
      <w:pPr>
        <w:numPr>
          <w:ilvl w:val="0"/>
          <w:numId w:val="14"/>
        </w:numPr>
        <w:spacing w:after="120"/>
      </w:pPr>
      <w:r w:rsidRPr="007C36A6">
        <w:t>Wall wash luminaires</w:t>
      </w:r>
    </w:p>
    <w:p w:rsidR="00EA7EAB" w:rsidRDefault="00EA7EAB" w:rsidP="0005632A">
      <w:pPr>
        <w:numPr>
          <w:ilvl w:val="0"/>
          <w:numId w:val="14"/>
        </w:numPr>
      </w:pPr>
      <w:r w:rsidRPr="007C36A6">
        <w:t>Bollards</w:t>
      </w:r>
    </w:p>
    <w:p w:rsidR="00EA7EAB" w:rsidRPr="007C36A6" w:rsidRDefault="00EA7EAB" w:rsidP="00EA7EAB">
      <w:r w:rsidRPr="007C36A6">
        <w:t>For SSL products for which there is not an ENERGY STAR commercial product category, but for which there is a DLC commercial product category</w:t>
      </w:r>
      <w:r w:rsidRPr="007C36A6">
        <w:rPr>
          <w:vertAlign w:val="superscript"/>
        </w:rPr>
        <w:footnoteReference w:id="271"/>
      </w:r>
      <w:r w:rsidRPr="007C36A6">
        <w:t>, the product shall meet the minimum DLC requirements</w:t>
      </w:r>
      <w:r w:rsidRPr="007C36A6">
        <w:rPr>
          <w:vertAlign w:val="superscript"/>
        </w:rPr>
        <w:footnoteReference w:id="272"/>
      </w:r>
      <w:r w:rsidRPr="007C36A6">
        <w:t xml:space="preserve"> for the given product category.  Products are not required to be on the DLC Qualified Product List</w:t>
      </w:r>
      <w:r w:rsidRPr="007C36A6">
        <w:rPr>
          <w:vertAlign w:val="superscript"/>
        </w:rPr>
        <w:footnoteReference w:id="273"/>
      </w:r>
      <w:r w:rsidRPr="007C36A6">
        <w:t>, however, if a product is on the list it shall qualify for Act 129 energy efficiency programs and no additional supporting documentation shall be required.  DLC qualified commercial product categories include:</w:t>
      </w:r>
    </w:p>
    <w:p w:rsidR="00EA7EAB" w:rsidRPr="007C36A6" w:rsidRDefault="00EA7EAB" w:rsidP="0005632A">
      <w:pPr>
        <w:numPr>
          <w:ilvl w:val="0"/>
          <w:numId w:val="16"/>
        </w:numPr>
        <w:spacing w:after="120"/>
      </w:pPr>
      <w:r w:rsidRPr="007C36A6">
        <w:t>Outdoor Pole or Arm mounted Area and Roadway Luminaires</w:t>
      </w:r>
    </w:p>
    <w:p w:rsidR="00EA7EAB" w:rsidRPr="007C36A6" w:rsidRDefault="00EA7EAB" w:rsidP="0005632A">
      <w:pPr>
        <w:numPr>
          <w:ilvl w:val="0"/>
          <w:numId w:val="17"/>
        </w:numPr>
        <w:spacing w:after="120"/>
      </w:pPr>
      <w:r w:rsidRPr="007C36A6">
        <w:t>Outdoor Pole or arm mounted Decorative Luminaires</w:t>
      </w:r>
    </w:p>
    <w:p w:rsidR="00EA7EAB" w:rsidRPr="007C36A6" w:rsidRDefault="00EA7EAB" w:rsidP="0005632A">
      <w:pPr>
        <w:numPr>
          <w:ilvl w:val="0"/>
          <w:numId w:val="18"/>
        </w:numPr>
        <w:spacing w:after="120"/>
      </w:pPr>
      <w:r w:rsidRPr="007C36A6">
        <w:t>Outdoor Wall-Mounted Area Luminaires</w:t>
      </w:r>
    </w:p>
    <w:p w:rsidR="00EA7EAB" w:rsidRPr="007C36A6" w:rsidRDefault="00EA7EAB" w:rsidP="0005632A">
      <w:pPr>
        <w:numPr>
          <w:ilvl w:val="0"/>
          <w:numId w:val="18"/>
        </w:numPr>
        <w:spacing w:after="120"/>
      </w:pPr>
      <w:r w:rsidRPr="007C36A6">
        <w:t>Parking Garage Lumina</w:t>
      </w:r>
      <w:r>
        <w:t>i</w:t>
      </w:r>
      <w:r w:rsidRPr="007C36A6">
        <w:t>re</w:t>
      </w:r>
      <w:r>
        <w:t>s</w:t>
      </w:r>
    </w:p>
    <w:p w:rsidR="00EA7EAB" w:rsidRPr="007C36A6" w:rsidRDefault="00EA7EAB" w:rsidP="0005632A">
      <w:pPr>
        <w:numPr>
          <w:ilvl w:val="0"/>
          <w:numId w:val="19"/>
        </w:numPr>
        <w:spacing w:after="120"/>
      </w:pPr>
      <w:r w:rsidRPr="007C36A6">
        <w:t>Track or Mono-point Directional Lighting Fixtures</w:t>
      </w:r>
    </w:p>
    <w:p w:rsidR="00EA7EAB" w:rsidRPr="007C36A6" w:rsidRDefault="00EA7EAB" w:rsidP="0005632A">
      <w:pPr>
        <w:numPr>
          <w:ilvl w:val="0"/>
          <w:numId w:val="20"/>
        </w:numPr>
        <w:spacing w:after="120"/>
      </w:pPr>
      <w:r w:rsidRPr="007C36A6">
        <w:t>Refrigerated Case Lighting</w:t>
      </w:r>
    </w:p>
    <w:p w:rsidR="00EA7EAB" w:rsidRPr="007C36A6" w:rsidRDefault="00EA7EAB" w:rsidP="0005632A">
      <w:pPr>
        <w:numPr>
          <w:ilvl w:val="0"/>
          <w:numId w:val="21"/>
        </w:numPr>
        <w:spacing w:after="120"/>
      </w:pPr>
      <w:r w:rsidRPr="007C36A6">
        <w:t>Display Case Lighting</w:t>
      </w:r>
    </w:p>
    <w:p w:rsidR="00EA7EAB" w:rsidRPr="007C36A6" w:rsidRDefault="00EA7EAB" w:rsidP="0005632A">
      <w:pPr>
        <w:numPr>
          <w:ilvl w:val="0"/>
          <w:numId w:val="22"/>
        </w:numPr>
        <w:spacing w:after="120"/>
      </w:pPr>
      <w:r w:rsidRPr="007C36A6">
        <w:t>2x2 Lumina</w:t>
      </w:r>
      <w:r>
        <w:t>i</w:t>
      </w:r>
      <w:r w:rsidRPr="007C36A6">
        <w:t>re</w:t>
      </w:r>
      <w:r>
        <w:t>s</w:t>
      </w:r>
    </w:p>
    <w:p w:rsidR="00EA7EAB" w:rsidRDefault="00EA7EAB" w:rsidP="0005632A">
      <w:pPr>
        <w:numPr>
          <w:ilvl w:val="0"/>
          <w:numId w:val="15"/>
        </w:numPr>
      </w:pPr>
      <w:r w:rsidRPr="007C36A6">
        <w:t>High-bay and Low-bay fixtures for Commercial and Industrial buildings</w:t>
      </w:r>
    </w:p>
    <w:p w:rsidR="00EA7EAB" w:rsidRPr="007C36A6" w:rsidRDefault="00EA7EAB" w:rsidP="00EA7EAB">
      <w:r w:rsidRPr="007C36A6">
        <w:t>For SSL products that are not on either of the listed qualified products lists, they can still be considered for inclusion in Act 129 energy efficiency programs by submitting the following documentation to show compliance with the minimum product category criteria as described above:</w:t>
      </w:r>
    </w:p>
    <w:p w:rsidR="00EA7EAB" w:rsidRPr="007C36A6" w:rsidRDefault="00EA7EAB" w:rsidP="0005632A">
      <w:pPr>
        <w:numPr>
          <w:ilvl w:val="0"/>
          <w:numId w:val="22"/>
        </w:numPr>
        <w:spacing w:after="120"/>
      </w:pPr>
      <w:r w:rsidRPr="007C36A6">
        <w:t>Manufacturer’s product information sheet</w:t>
      </w:r>
    </w:p>
    <w:p w:rsidR="00EA7EAB" w:rsidRPr="007C36A6" w:rsidRDefault="00EA7EAB" w:rsidP="0005632A">
      <w:pPr>
        <w:numPr>
          <w:ilvl w:val="0"/>
          <w:numId w:val="22"/>
        </w:numPr>
        <w:spacing w:after="120"/>
      </w:pPr>
      <w:r w:rsidRPr="007C36A6">
        <w:t>LED package/fixture specification sheet</w:t>
      </w:r>
    </w:p>
    <w:p w:rsidR="00EA7EAB" w:rsidRPr="007C36A6" w:rsidRDefault="00EA7EAB" w:rsidP="0005632A">
      <w:pPr>
        <w:numPr>
          <w:ilvl w:val="0"/>
          <w:numId w:val="22"/>
        </w:numPr>
        <w:spacing w:after="120"/>
      </w:pPr>
      <w:r w:rsidRPr="007C36A6">
        <w:t>List the ENERGY STAR or DLC product category for which the luminaire qualifies</w:t>
      </w:r>
    </w:p>
    <w:p w:rsidR="00EA7EAB" w:rsidRPr="007C36A6" w:rsidRDefault="00EA7EAB" w:rsidP="0005632A">
      <w:pPr>
        <w:numPr>
          <w:ilvl w:val="0"/>
          <w:numId w:val="22"/>
        </w:numPr>
        <w:spacing w:after="120"/>
      </w:pPr>
      <w:r w:rsidRPr="007C36A6">
        <w:t>Summary table listing the minimum reference criteria and the corresponding product values for the following variables:</w:t>
      </w:r>
    </w:p>
    <w:p w:rsidR="00EA7EAB" w:rsidRPr="007C36A6" w:rsidRDefault="00EA7EAB" w:rsidP="0005632A">
      <w:pPr>
        <w:numPr>
          <w:ilvl w:val="1"/>
          <w:numId w:val="22"/>
        </w:numPr>
        <w:spacing w:after="120"/>
      </w:pPr>
      <w:r w:rsidRPr="007C36A6">
        <w:t>Light output in lumens</w:t>
      </w:r>
    </w:p>
    <w:p w:rsidR="00EA7EAB" w:rsidRPr="007C36A6" w:rsidRDefault="00EA7EAB" w:rsidP="0005632A">
      <w:pPr>
        <w:numPr>
          <w:ilvl w:val="1"/>
          <w:numId w:val="22"/>
        </w:numPr>
        <w:spacing w:after="120"/>
      </w:pPr>
      <w:r w:rsidRPr="007C36A6">
        <w:t>Luminaire efficacy (lm/W)</w:t>
      </w:r>
    </w:p>
    <w:p w:rsidR="00EA7EAB" w:rsidRPr="007C36A6" w:rsidRDefault="00EA7EAB" w:rsidP="0005632A">
      <w:pPr>
        <w:numPr>
          <w:ilvl w:val="1"/>
          <w:numId w:val="22"/>
        </w:numPr>
        <w:spacing w:after="120"/>
      </w:pPr>
      <w:r w:rsidRPr="007C36A6">
        <w:t>Color rendering index (CRI)</w:t>
      </w:r>
    </w:p>
    <w:p w:rsidR="00EA7EAB" w:rsidRPr="007C36A6" w:rsidRDefault="00EA7EAB" w:rsidP="0005632A">
      <w:pPr>
        <w:numPr>
          <w:ilvl w:val="1"/>
          <w:numId w:val="22"/>
        </w:numPr>
        <w:spacing w:after="120"/>
      </w:pPr>
      <w:r w:rsidRPr="007C36A6">
        <w:t>Correlated color temperature (CCT)</w:t>
      </w:r>
    </w:p>
    <w:p w:rsidR="00EA7EAB" w:rsidRPr="007C36A6" w:rsidRDefault="00EA7EAB" w:rsidP="0005632A">
      <w:pPr>
        <w:numPr>
          <w:ilvl w:val="1"/>
          <w:numId w:val="22"/>
        </w:numPr>
        <w:spacing w:after="120"/>
      </w:pPr>
      <w:r w:rsidRPr="007C36A6">
        <w:t>LED lumen maintenance at 6000 hrs</w:t>
      </w:r>
    </w:p>
    <w:p w:rsidR="00EA7EAB" w:rsidRDefault="00EA7EAB" w:rsidP="0005632A">
      <w:pPr>
        <w:numPr>
          <w:ilvl w:val="1"/>
          <w:numId w:val="22"/>
        </w:numPr>
      </w:pPr>
      <w:r w:rsidRPr="007C36A6">
        <w:t>Manufacturer’s estimated lifetime for L</w:t>
      </w:r>
      <w:r w:rsidRPr="007C36A6">
        <w:rPr>
          <w:vertAlign w:val="subscript"/>
        </w:rPr>
        <w:t>70</w:t>
      </w:r>
      <w:r w:rsidRPr="007C36A6">
        <w:t xml:space="preserve"> (70% lumen maintenance at end of useful life) (manufacturer should provide methodology for calculation and justification of product lifetime estimates)</w:t>
      </w:r>
    </w:p>
    <w:p w:rsidR="00EA7EAB" w:rsidRPr="007C36A6" w:rsidRDefault="00EA7EAB" w:rsidP="0005632A">
      <w:pPr>
        <w:numPr>
          <w:ilvl w:val="1"/>
          <w:numId w:val="22"/>
        </w:numPr>
      </w:pPr>
      <w:r>
        <w:t>Operating frequency of the lamp</w:t>
      </w:r>
    </w:p>
    <w:p w:rsidR="00EA7EAB" w:rsidRPr="007C36A6" w:rsidRDefault="00EA7EAB" w:rsidP="0005632A">
      <w:pPr>
        <w:numPr>
          <w:ilvl w:val="0"/>
          <w:numId w:val="22"/>
        </w:numPr>
        <w:spacing w:after="120"/>
      </w:pPr>
      <w:r w:rsidRPr="007C36A6">
        <w:t>IESNA LM-79-08 test report(s) (from approved labs specified in DOE Manufacturers’ Guide) containing:</w:t>
      </w:r>
    </w:p>
    <w:p w:rsidR="00EA7EAB" w:rsidRPr="007C36A6" w:rsidRDefault="00EA7EAB" w:rsidP="0005632A">
      <w:pPr>
        <w:numPr>
          <w:ilvl w:val="1"/>
          <w:numId w:val="22"/>
        </w:numPr>
        <w:spacing w:after="120"/>
      </w:pPr>
      <w:r w:rsidRPr="007C36A6">
        <w:t>Photometric measurements (i.e. light output and efficacy)</w:t>
      </w:r>
    </w:p>
    <w:p w:rsidR="00EA7EAB" w:rsidRPr="007C36A6" w:rsidRDefault="00EA7EAB" w:rsidP="0005632A">
      <w:pPr>
        <w:numPr>
          <w:ilvl w:val="1"/>
          <w:numId w:val="22"/>
        </w:numPr>
        <w:spacing w:after="120"/>
      </w:pPr>
      <w:r w:rsidRPr="007C36A6">
        <w:t>Colorimetry report (i.e. CCT and CRI)</w:t>
      </w:r>
    </w:p>
    <w:p w:rsidR="00EA7EAB" w:rsidRPr="007C36A6" w:rsidRDefault="00EA7EAB" w:rsidP="0005632A">
      <w:pPr>
        <w:numPr>
          <w:ilvl w:val="1"/>
          <w:numId w:val="22"/>
        </w:numPr>
      </w:pPr>
      <w:r w:rsidRPr="007C36A6">
        <w:t>Electrical measurements (i.e. input voltage and current, power, power factor, etc.)</w:t>
      </w:r>
    </w:p>
    <w:p w:rsidR="00EA7EAB" w:rsidRPr="007C36A6" w:rsidRDefault="00EA7EAB" w:rsidP="0005632A">
      <w:pPr>
        <w:numPr>
          <w:ilvl w:val="0"/>
          <w:numId w:val="22"/>
        </w:numPr>
        <w:spacing w:after="120"/>
      </w:pPr>
      <w:r w:rsidRPr="007C36A6">
        <w:t>Lumen maintenance report (select one of the two options and submit all of its corresponding required documents):</w:t>
      </w:r>
    </w:p>
    <w:p w:rsidR="00EA7EAB" w:rsidRPr="007C36A6" w:rsidRDefault="00EA7EAB" w:rsidP="0005632A">
      <w:pPr>
        <w:numPr>
          <w:ilvl w:val="1"/>
          <w:numId w:val="23"/>
        </w:numPr>
        <w:spacing w:after="120"/>
      </w:pPr>
      <w:r w:rsidRPr="007C36A6">
        <w:t>Option 1: Compliance through component performance (for the corresponding LED package)</w:t>
      </w:r>
    </w:p>
    <w:p w:rsidR="00EA7EAB" w:rsidRPr="007C36A6" w:rsidRDefault="00EA7EAB" w:rsidP="0005632A">
      <w:pPr>
        <w:numPr>
          <w:ilvl w:val="2"/>
          <w:numId w:val="23"/>
        </w:numPr>
        <w:spacing w:after="120"/>
      </w:pPr>
      <w:r w:rsidRPr="007C36A6">
        <w:t>IESNA LM-80 test report</w:t>
      </w:r>
    </w:p>
    <w:p w:rsidR="00EA7EAB" w:rsidRPr="007C36A6" w:rsidRDefault="00EA7EAB" w:rsidP="0005632A">
      <w:pPr>
        <w:numPr>
          <w:ilvl w:val="2"/>
          <w:numId w:val="23"/>
        </w:numPr>
        <w:spacing w:after="120"/>
      </w:pPr>
      <w:r w:rsidRPr="007C36A6">
        <w:t>In-situ temperature measurements test (ISTMT) report.</w:t>
      </w:r>
    </w:p>
    <w:p w:rsidR="00EA7EAB" w:rsidRPr="007C36A6" w:rsidRDefault="00EA7EAB" w:rsidP="0005632A">
      <w:pPr>
        <w:numPr>
          <w:ilvl w:val="2"/>
          <w:numId w:val="23"/>
        </w:numPr>
      </w:pPr>
      <w:r w:rsidRPr="007C36A6">
        <w:t>Schematic/photograph from LED package manufacturer that shows the specified temperature measurement point (TMP)</w:t>
      </w:r>
    </w:p>
    <w:p w:rsidR="00EA7EAB" w:rsidRPr="007C36A6" w:rsidRDefault="00EA7EAB" w:rsidP="0005632A">
      <w:pPr>
        <w:numPr>
          <w:ilvl w:val="1"/>
          <w:numId w:val="24"/>
        </w:numPr>
        <w:spacing w:after="120"/>
      </w:pPr>
      <w:r w:rsidRPr="007C36A6">
        <w:t>Option 2: Compliance through luminaire performance</w:t>
      </w:r>
    </w:p>
    <w:p w:rsidR="00EA7EAB" w:rsidRPr="007C36A6" w:rsidRDefault="00EA7EAB" w:rsidP="0005632A">
      <w:pPr>
        <w:numPr>
          <w:ilvl w:val="2"/>
          <w:numId w:val="24"/>
        </w:numPr>
        <w:spacing w:after="120"/>
      </w:pPr>
      <w:r w:rsidRPr="007C36A6">
        <w:t>IESNA LM-79-08 report at 0 hours (same file as point c)</w:t>
      </w:r>
    </w:p>
    <w:p w:rsidR="00EA7EAB" w:rsidRDefault="00EA7EAB" w:rsidP="0005632A">
      <w:pPr>
        <w:numPr>
          <w:ilvl w:val="2"/>
          <w:numId w:val="24"/>
        </w:numPr>
      </w:pPr>
      <w:r w:rsidRPr="007C36A6">
        <w:t>IESNA LM-79-08 report at 6000 hours after continuous operation in the appropriate ANSI/UL 1598 environment (use ANSI/UL 1574 for track lighting systems).</w:t>
      </w:r>
    </w:p>
    <w:p w:rsidR="00EA7EAB" w:rsidDel="007C36A6" w:rsidRDefault="00EA7EAB" w:rsidP="00EA7EAB">
      <w:r w:rsidRPr="007C36A6">
        <w:t>All supporting documentation must include a specific, relevant model or part number.</w:t>
      </w:r>
    </w:p>
    <w:p w:rsidR="00EA7EAB" w:rsidRDefault="00C1514B" w:rsidP="00C1514B">
      <w:pPr>
        <w:pStyle w:val="Heading2"/>
      </w:pPr>
      <w:r>
        <w:br w:type="page"/>
      </w:r>
      <w:bookmarkStart w:id="1681" w:name="_Ref303244996"/>
      <w:bookmarkStart w:id="1682" w:name="_Toc310875484"/>
      <w:r>
        <w:t>Appendix F: Zip Code Mapping</w:t>
      </w:r>
      <w:bookmarkEnd w:id="1681"/>
      <w:bookmarkEnd w:id="1682"/>
    </w:p>
    <w:p w:rsidR="00C1514B" w:rsidRPr="00C1514B" w:rsidRDefault="00C1514B" w:rsidP="00C1514B">
      <w:r>
        <w:t xml:space="preserve">Per Section </w:t>
      </w:r>
      <w:r w:rsidR="007A1FB6">
        <w:fldChar w:fldCharType="begin"/>
      </w:r>
      <w:r>
        <w:instrText xml:space="preserve"> REF _Ref303244730 \r \h </w:instrText>
      </w:r>
      <w:r w:rsidR="007A1FB6">
        <w:fldChar w:fldCharType="separate"/>
      </w:r>
      <w:r w:rsidR="00C0292F">
        <w:t>1.16</w:t>
      </w:r>
      <w:r w:rsidR="007A1FB6">
        <w:fldChar w:fldCharType="end"/>
      </w:r>
      <w:r>
        <w:t xml:space="preserve">, the following table is to be used to determine the </w:t>
      </w:r>
      <w:r w:rsidR="00F949E0">
        <w:t>appropriate reference city for each Pennsylvania zip code.</w:t>
      </w:r>
    </w:p>
    <w:p w:rsidR="00C1514B" w:rsidRDefault="00C1514B" w:rsidP="00C1514B">
      <w:pPr>
        <w:overflowPunct/>
        <w:autoSpaceDE/>
        <w:autoSpaceDN/>
        <w:adjustRightInd/>
        <w:spacing w:after="0" w:line="240" w:lineRule="auto"/>
        <w:textAlignment w:val="auto"/>
        <w:rPr>
          <w:rFonts w:cs="Arial"/>
          <w:b/>
          <w:bCs/>
        </w:rPr>
        <w:sectPr w:rsidR="00C1514B" w:rsidSect="00E03FE3">
          <w:type w:val="oddPage"/>
          <w:pgSz w:w="12240" w:h="15840"/>
          <w:pgMar w:top="1440" w:right="1800" w:bottom="1440" w:left="1800" w:header="720" w:footer="720" w:gutter="0"/>
          <w:cols w:space="720"/>
          <w:docGrid w:linePitch="326"/>
        </w:sectPr>
      </w:pPr>
    </w:p>
    <w:tbl>
      <w:tblPr>
        <w:tblW w:w="2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776"/>
      </w:tblGrid>
      <w:tr w:rsidR="00C1514B" w:rsidRPr="00C1514B" w:rsidTr="00C1514B">
        <w:trPr>
          <w:trHeight w:val="255"/>
          <w:tblHeader/>
        </w:trPr>
        <w:tc>
          <w:tcPr>
            <w:tcW w:w="976" w:type="dxa"/>
            <w:shd w:val="clear" w:color="auto" w:fill="D9D9D9"/>
            <w:noWrap/>
            <w:vAlign w:val="bottom"/>
            <w:hideMark/>
          </w:tcPr>
          <w:p w:rsidR="00C1514B" w:rsidRPr="00C1514B" w:rsidRDefault="00C1514B" w:rsidP="00C1514B">
            <w:pPr>
              <w:overflowPunct/>
              <w:autoSpaceDE/>
              <w:autoSpaceDN/>
              <w:adjustRightInd/>
              <w:spacing w:before="60" w:after="60" w:line="240" w:lineRule="auto"/>
              <w:textAlignment w:val="auto"/>
              <w:rPr>
                <w:rFonts w:cs="Arial"/>
                <w:b/>
                <w:bCs/>
              </w:rPr>
            </w:pPr>
            <w:r w:rsidRPr="00C1514B">
              <w:rPr>
                <w:rFonts w:cs="Arial"/>
                <w:b/>
                <w:bCs/>
              </w:rPr>
              <w:t>Zip</w:t>
            </w:r>
          </w:p>
        </w:tc>
        <w:tc>
          <w:tcPr>
            <w:tcW w:w="1776" w:type="dxa"/>
            <w:shd w:val="clear" w:color="auto" w:fill="D9D9D9"/>
            <w:noWrap/>
            <w:vAlign w:val="bottom"/>
            <w:hideMark/>
          </w:tcPr>
          <w:p w:rsidR="00C1514B" w:rsidRPr="00C1514B" w:rsidRDefault="00C1514B" w:rsidP="00C1514B">
            <w:pPr>
              <w:overflowPunct/>
              <w:autoSpaceDE/>
              <w:autoSpaceDN/>
              <w:adjustRightInd/>
              <w:spacing w:before="60" w:after="60" w:line="240" w:lineRule="auto"/>
              <w:textAlignment w:val="auto"/>
              <w:rPr>
                <w:rFonts w:cs="Arial"/>
                <w:b/>
                <w:bCs/>
              </w:rPr>
            </w:pPr>
            <w:r w:rsidRPr="00C1514B">
              <w:rPr>
                <w:rFonts w:cs="Arial"/>
                <w:b/>
                <w:bCs/>
              </w:rPr>
              <w:t>Reference City</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15003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15004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15005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15006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15007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15009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15014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15015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15017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15018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15019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15024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15026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15028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15037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15038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15043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15047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15049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15052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15053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15055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15056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15057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15059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15061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15062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15063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15064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15065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15066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15067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15068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15069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15071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15072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15074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15075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15076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15077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15078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15081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15082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15083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15084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15085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15086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15087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15088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15089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15090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15091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15095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15096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15104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15106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15108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15116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15126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15137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15139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15143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15147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15148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15189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15203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15204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15205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15206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15207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15208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15209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15211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15213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15214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15215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15216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15217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15218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15219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15224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15226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15228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15237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15238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15239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15241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15243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15252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15253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15255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15257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15258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15259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15261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15262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15263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15264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15265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15267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15268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15270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15272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15274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15275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15276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15277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15278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15279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15281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15282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15283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15285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15286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15290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15295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15311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15313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15314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15315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15316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15317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15324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15337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15338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15339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15341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15347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15348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15349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15352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15353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15357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15358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15359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15361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15362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15363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15364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15365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15366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15367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15368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15370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15376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15377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15378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15379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15380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15411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15413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15415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15416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15417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15419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15424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15428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15437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15438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15439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15443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15447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15448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15449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15455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15456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15458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15459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15461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15462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15463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15464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15465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15466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15467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15468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15469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15470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15472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15473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15474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15475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15476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15477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15478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15479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15480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15482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15483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15484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15485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15486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15488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15489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15490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15492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15537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15538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15539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15541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15547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15548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15549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15552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15553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15555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15557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15558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15559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15561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15562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15563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15564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15565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15605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15606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15611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15613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15615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15616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15617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15618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15619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15624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15626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15628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15637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15638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15639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15641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15647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15655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15656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15658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15661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15662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15663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15664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15665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15666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15668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15670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15671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15672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15673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15674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15675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15676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15677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15678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15679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15680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15681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15682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15683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15684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15685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15686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15687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15688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15689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15690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15691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15692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15693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15695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15696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15697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15698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15705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15711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15713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15714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15715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15716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15717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15724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15728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15737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15738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15739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15741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15747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15748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15752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15753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15756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15757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15758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15759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15761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15762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15763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15764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15765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15767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15770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15771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15772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15773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15774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15775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15776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15777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15778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15779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15780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15781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15783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15784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15824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15828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15841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15847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15848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15849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15853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15856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15857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15861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15863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15864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15865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15866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15868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15870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15904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15905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15906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15907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15909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15915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15924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15926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15928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15937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15938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15943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15948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15949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15952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15953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15955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15956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15957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15958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15959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15961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15962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15963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16003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16016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16017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16018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16024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16028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16037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16038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16039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16041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16048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16049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16052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16053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16055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16056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16057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16058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16059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16061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16063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16066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16103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16105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16107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16108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16111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16113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16114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16115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16116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16117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16124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16137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16141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16143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16148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16153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16155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16156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16157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16159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16161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16172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16211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16213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16214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16215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16217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16218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16224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16226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16228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16238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16239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16248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16249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16253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16255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16256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16257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16258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16259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16261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16262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16263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16311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16313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16314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16316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16317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16319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16326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16328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16341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16343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16347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16352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16353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16361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16362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16364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16365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16366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16367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16368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16369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16370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16371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16372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16373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16374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16375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16388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16403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16404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16405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16406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16407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16411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16413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16415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16416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16417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16424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16426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16428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16438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16441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16443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16475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16503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16504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16505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16506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16507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16508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16509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16511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16514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16515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16538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16541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16553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16563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16565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16603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16611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16613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16616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16617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16619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16624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16637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16638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16639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16641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16647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16648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16652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16655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16656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16657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16659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16661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16662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16663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16664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16665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16666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16667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16668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16669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16670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16671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16672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16673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16674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16675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16677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16678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16679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16680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16681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16682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16683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16684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16685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16686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16689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16691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16692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16693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16694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16695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16698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16699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16701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16720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16724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16725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16726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16727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16728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16729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16730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16731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16732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16733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16734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16735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16738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16740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16743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16744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16745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Erie</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16746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16748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16749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16750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16803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16804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16805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16826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16828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16837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16838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Pittsburgh</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16839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16841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16843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16847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16848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16849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16852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16853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16855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16856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16858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16859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16861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16863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16864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16865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16866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16868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16870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16871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16872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16873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16874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16875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16876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16877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16878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16879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16881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16882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16911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16914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16915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16917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16918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16926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16928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16937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16938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16939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16941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16943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16947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16948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16950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17003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17004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17005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17006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17007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17008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17009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17011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17013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17014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17015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17016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17017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17018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17019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17024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17026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17028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17037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17038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17039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17041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17043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17047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17048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17049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17052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17053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17055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17056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17057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17058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17059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17061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17062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17063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17064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17065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17066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17067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17068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17069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17070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17071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17072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17073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17074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17075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17076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17077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17078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17080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17081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17082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17083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17084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17085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17086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17087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17088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17089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17090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17091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17093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17094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17097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17098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17099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17101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17102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17103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17104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17105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17106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17107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17108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17109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17110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17111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17112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17113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17120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17121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17122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17123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17124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17125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17126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17127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17128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17129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17130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17140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17177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17211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17213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17214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17215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17217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17219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17224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17228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17237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17238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17239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17241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17243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17247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17249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17252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17253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17255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17256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17257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17261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17262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17263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17264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17265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17266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17267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17268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17270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17271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17272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17303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17304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17306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17307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17309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17311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17313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17314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17315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17316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17317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17318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17319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17324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17326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17337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17339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17343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17347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17349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17352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17353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17355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17356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17358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17361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17362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17363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17364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17365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17366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17368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17370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17371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17372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17375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17401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17402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17403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17404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17405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17406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17407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17408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17415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17503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17504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17505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17506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17507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17508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17509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17516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17517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17518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17519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17528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17537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17538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17543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17547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17549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17552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17555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17557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17562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17563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17564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17565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17566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17567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17568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17569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17570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17572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17573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17575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17576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17577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17578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17579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17580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17581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17582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17583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17584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17585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17601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17602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17603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17604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17605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17606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17607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17608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17611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17622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17699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17703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17705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17724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17726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17728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17737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17738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17739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17747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17748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17749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17752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17756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17758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17759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17762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17763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17764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17765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17767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17768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17769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17771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17772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17773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17774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17776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17777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17778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17779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17813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17814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17815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17824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17837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17839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17841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17843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17847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17853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17855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17856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17857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17858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17859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17861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17862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17864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17865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17866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17867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17868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17870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17872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17876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17877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17878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17880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17881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17882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17883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17884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17885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17886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17887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17888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17889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17938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17941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17943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17948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17949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17952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17953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17957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17959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17961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17963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17964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17965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17966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17967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17968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17970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17972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17974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17976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17978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17979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17980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17981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17982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17983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17985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18003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18011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18013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18014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18015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18016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18017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18018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18037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18038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18039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18041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18043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18049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18052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18053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18055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18056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18058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18059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18062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18063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18064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18065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18066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18067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18068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18069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18070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18071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18072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18073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18074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18076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18077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18078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18079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18080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18081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18083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18084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18085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18086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18087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18088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18091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18092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18098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18099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18101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18102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18103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18104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18105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18106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18109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18175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18195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18211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18214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18216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18218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18219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18224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18237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18239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18241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18247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18248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18249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18252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18255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18256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18324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18326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18328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18337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18341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18343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18347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18348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18349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18352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18353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18355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18356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18357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18370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18371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18372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18373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18403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18405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18407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18411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18413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18414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18415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18416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18417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18419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18424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18426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18428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18437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18438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18439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18441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18443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18447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18448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18449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18452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18453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18455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18456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18457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18458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18459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18461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18462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18463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18464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18465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18466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18469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18470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18471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18472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18473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18501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18502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18503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18504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18505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18507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18508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18509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18510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18512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18514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18515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18517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18518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18519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18522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18540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18577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18603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18611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18614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18615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18616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18617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18618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18619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18624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18626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18628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18641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18643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18653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18655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18656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18657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18661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18690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18701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18702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18703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18704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18705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18706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18707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18708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18709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18710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18711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18761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18762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18763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18764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18765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18766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18767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18768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18769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18773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18774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18813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18814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18815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18816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18817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18818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18824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18826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18828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18837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18843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18847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18848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Williamsport</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18853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18854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Scranton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18911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18913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18914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18915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18916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18917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18918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18924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18926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18928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18938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18943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18947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18949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18953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18955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18956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18957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18958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18962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18963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18964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18966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18968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18969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18970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18971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18972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18974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18976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18977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18979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18980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18981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18991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19003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19004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19006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19007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19008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19009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19013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19014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19015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19016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19017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19018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19019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19026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19028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19037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19038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19039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19041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19043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19047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19048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19049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19052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19053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19055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19056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19057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19058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19059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19061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19063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19064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19065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19066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19067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19070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19072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19073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19074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19075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19076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19078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19079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19080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19081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19082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19083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19085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19086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19087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19088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19089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19090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19091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19092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19093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19094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19095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19096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19098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19099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19103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19104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19105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19106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19107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19108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19109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19111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19113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19114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19115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19116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19118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19119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19124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19126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19127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19128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19137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19138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19139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19141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19143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19147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19148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19149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19152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19153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19155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19161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19162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19170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19171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19172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19173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19175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19176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19177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19178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19179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19181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19182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19183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19184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19185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19187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19188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19190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19191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19192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19193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19194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19195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19196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19197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19244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19255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19311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19316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19317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19318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19319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19331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19339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19341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19343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19347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19348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19352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19353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19355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19357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19358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19362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19363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19365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19366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19367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19369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19371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19372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19373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19374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19375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19376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19380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19381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19382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19383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19388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19390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19395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19397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19398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19399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19403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19404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19405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19406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19407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19408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19409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19415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19421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19424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19426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19428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19432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19437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19438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19441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19443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19446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19453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19455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19456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19457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19462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19464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19465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19468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19470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19472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19473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19474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19475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19477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19478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19480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19481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19482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19483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19484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19485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19486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19487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19488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19489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19490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19492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19493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19494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19495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19496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19503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19504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19505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19506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19507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19508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19511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19516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19518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19519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19520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19522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19523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19525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Philadelphia</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19526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19529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19530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19533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19534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19535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19536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19538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19539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19541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19542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19543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19544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19545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19547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19548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19549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19550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19551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19554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19555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19557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19559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19560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19562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19564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19565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19567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Harrisburg</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19601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19602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19603</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19604</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19605</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19606</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19607</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19608</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19609</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19610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19611</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19612</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r w:rsidR="00C1514B" w:rsidRPr="00C1514B" w:rsidTr="00C1514B">
        <w:trPr>
          <w:trHeight w:val="255"/>
        </w:trPr>
        <w:tc>
          <w:tcPr>
            <w:tcW w:w="9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19640</w:t>
            </w:r>
          </w:p>
        </w:tc>
        <w:tc>
          <w:tcPr>
            <w:tcW w:w="1776" w:type="dxa"/>
            <w:shd w:val="clear" w:color="auto" w:fill="auto"/>
            <w:noWrap/>
            <w:vAlign w:val="bottom"/>
            <w:hideMark/>
          </w:tcPr>
          <w:p w:rsidR="00C1514B" w:rsidRPr="00C1514B" w:rsidRDefault="00C1514B" w:rsidP="00C1514B">
            <w:pPr>
              <w:overflowPunct/>
              <w:autoSpaceDE/>
              <w:autoSpaceDN/>
              <w:adjustRightInd/>
              <w:spacing w:after="0" w:line="240" w:lineRule="auto"/>
              <w:textAlignment w:val="auto"/>
              <w:rPr>
                <w:rFonts w:cs="Arial"/>
              </w:rPr>
            </w:pPr>
            <w:r w:rsidRPr="00C1514B">
              <w:rPr>
                <w:rFonts w:cs="Arial"/>
              </w:rPr>
              <w:t>Allentown</w:t>
            </w:r>
          </w:p>
        </w:tc>
      </w:tr>
    </w:tbl>
    <w:p w:rsidR="00C1514B" w:rsidRDefault="00C1514B" w:rsidP="00C1514B">
      <w:pPr>
        <w:sectPr w:rsidR="00C1514B" w:rsidSect="00C1514B">
          <w:type w:val="continuous"/>
          <w:pgSz w:w="12240" w:h="15840"/>
          <w:pgMar w:top="1440" w:right="1800" w:bottom="1440" w:left="1800" w:header="720" w:footer="720" w:gutter="0"/>
          <w:cols w:num="3" w:space="720"/>
          <w:docGrid w:linePitch="326"/>
        </w:sectPr>
      </w:pPr>
    </w:p>
    <w:p w:rsidR="00C1514B" w:rsidRPr="00C1514B" w:rsidRDefault="00C1514B" w:rsidP="00C1514B"/>
    <w:sectPr w:rsidR="00C1514B" w:rsidRPr="00C1514B" w:rsidSect="00C1514B">
      <w:type w:val="continuous"/>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706" w:rsidRDefault="00AE3706">
      <w:r>
        <w:separator/>
      </w:r>
    </w:p>
  </w:endnote>
  <w:endnote w:type="continuationSeparator" w:id="0">
    <w:p w:rsidR="00AE3706" w:rsidRDefault="00AE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PalatinoLinotype">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OpenSymbol">
    <w:altName w:val="Courier New"/>
    <w:charset w:val="00"/>
    <w:family w:val="auto"/>
    <w:pitch w:val="variable"/>
    <w:sig w:usb0="800000AF" w:usb1="1001ECEA"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117" w:rsidRPr="00957B81" w:rsidRDefault="00865117">
    <w:pPr>
      <w:pStyle w:val="Footer"/>
      <w:jc w:val="center"/>
    </w:pPr>
  </w:p>
  <w:p w:rsidR="00865117" w:rsidRDefault="00865117" w:rsidP="00780D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38" w:type="dxa"/>
      <w:shd w:val="clear" w:color="auto" w:fill="A6A6A6"/>
      <w:tblLook w:val="04A0" w:firstRow="1" w:lastRow="0" w:firstColumn="1" w:lastColumn="0" w:noHBand="0" w:noVBand="1"/>
    </w:tblPr>
    <w:tblGrid>
      <w:gridCol w:w="2088"/>
      <w:gridCol w:w="5850"/>
      <w:gridCol w:w="900"/>
    </w:tblGrid>
    <w:tr w:rsidR="00865117" w:rsidTr="00F84A22">
      <w:trPr>
        <w:trHeight w:val="288"/>
      </w:trPr>
      <w:tc>
        <w:tcPr>
          <w:tcW w:w="2088" w:type="dxa"/>
          <w:tcBorders>
            <w:bottom w:val="single" w:sz="12" w:space="0" w:color="A6A6A6"/>
          </w:tcBorders>
          <w:shd w:val="clear" w:color="auto" w:fill="A6A6A6"/>
          <w:vAlign w:val="center"/>
        </w:tcPr>
        <w:p w:rsidR="00865117" w:rsidRPr="00F84A22" w:rsidRDefault="00865117" w:rsidP="00F84A22">
          <w:pPr>
            <w:tabs>
              <w:tab w:val="right" w:pos="8640"/>
            </w:tabs>
            <w:spacing w:after="0" w:line="240" w:lineRule="auto"/>
            <w:rPr>
              <w:rFonts w:ascii="Arial Narrow" w:hAnsi="Arial Narrow"/>
              <w:b/>
              <w:color w:val="FFFFFF"/>
            </w:rPr>
          </w:pPr>
          <w:r w:rsidRPr="00F84A22">
            <w:rPr>
              <w:rFonts w:ascii="Arial Narrow" w:hAnsi="Arial Narrow"/>
              <w:b/>
              <w:color w:val="FFFFFF"/>
            </w:rPr>
            <w:t>Contents</w:t>
          </w:r>
        </w:p>
      </w:tc>
      <w:tc>
        <w:tcPr>
          <w:tcW w:w="5850" w:type="dxa"/>
          <w:tcBorders>
            <w:bottom w:val="single" w:sz="12" w:space="0" w:color="A6A6A6"/>
          </w:tcBorders>
          <w:shd w:val="clear" w:color="auto" w:fill="FFFFFF"/>
        </w:tcPr>
        <w:p w:rsidR="00865117" w:rsidRPr="00F84A22" w:rsidRDefault="00865117" w:rsidP="00F84A22">
          <w:pPr>
            <w:tabs>
              <w:tab w:val="right" w:pos="8640"/>
            </w:tabs>
            <w:spacing w:after="0" w:line="240" w:lineRule="auto"/>
            <w:rPr>
              <w:rFonts w:ascii="Arial Narrow" w:hAnsi="Arial Narrow"/>
              <w:u w:val="single"/>
            </w:rPr>
          </w:pPr>
        </w:p>
      </w:tc>
      <w:tc>
        <w:tcPr>
          <w:tcW w:w="900" w:type="dxa"/>
          <w:tcBorders>
            <w:bottom w:val="single" w:sz="12" w:space="0" w:color="A6A6A6"/>
          </w:tcBorders>
          <w:shd w:val="clear" w:color="auto" w:fill="FFFFFF"/>
          <w:vAlign w:val="center"/>
        </w:tcPr>
        <w:p w:rsidR="00865117" w:rsidRPr="00F84A22" w:rsidRDefault="00865117" w:rsidP="00F84A22">
          <w:pPr>
            <w:tabs>
              <w:tab w:val="right" w:pos="8640"/>
            </w:tabs>
            <w:spacing w:after="0" w:line="240" w:lineRule="auto"/>
            <w:rPr>
              <w:rFonts w:ascii="Arial Narrow" w:hAnsi="Arial Narrow"/>
              <w:u w:val="single"/>
            </w:rPr>
          </w:pPr>
        </w:p>
      </w:tc>
    </w:tr>
    <w:tr w:rsidR="00865117" w:rsidRPr="00C936BE" w:rsidTr="00F84A22">
      <w:trPr>
        <w:trHeight w:val="288"/>
      </w:trPr>
      <w:tc>
        <w:tcPr>
          <w:tcW w:w="7938" w:type="dxa"/>
          <w:gridSpan w:val="2"/>
          <w:tcBorders>
            <w:top w:val="single" w:sz="12" w:space="0" w:color="A6A6A6"/>
          </w:tcBorders>
          <w:shd w:val="clear" w:color="auto" w:fill="FFFFFF"/>
          <w:vAlign w:val="center"/>
        </w:tcPr>
        <w:p w:rsidR="00865117" w:rsidRPr="00F84A22" w:rsidRDefault="00865117" w:rsidP="00F84A22">
          <w:pPr>
            <w:tabs>
              <w:tab w:val="right" w:pos="8640"/>
            </w:tabs>
            <w:spacing w:after="0" w:line="240" w:lineRule="auto"/>
            <w:rPr>
              <w:rFonts w:ascii="Arial Narrow" w:hAnsi="Arial Narrow"/>
            </w:rPr>
          </w:pPr>
        </w:p>
      </w:tc>
      <w:tc>
        <w:tcPr>
          <w:tcW w:w="900" w:type="dxa"/>
          <w:tcBorders>
            <w:top w:val="single" w:sz="12" w:space="0" w:color="A6A6A6"/>
          </w:tcBorders>
          <w:shd w:val="clear" w:color="auto" w:fill="A6A6A6"/>
          <w:vAlign w:val="center"/>
        </w:tcPr>
        <w:p w:rsidR="00865117" w:rsidRPr="00F84A22" w:rsidRDefault="00865117" w:rsidP="00F84A22">
          <w:pPr>
            <w:tabs>
              <w:tab w:val="right" w:pos="8640"/>
            </w:tabs>
            <w:spacing w:after="0" w:line="240" w:lineRule="auto"/>
            <w:jc w:val="right"/>
            <w:rPr>
              <w:rFonts w:ascii="Arial Narrow" w:hAnsi="Arial Narrow"/>
              <w:b/>
              <w:color w:val="FFFFFF"/>
              <w:u w:val="single"/>
            </w:rPr>
          </w:pPr>
          <w:r w:rsidRPr="00F84A22">
            <w:rPr>
              <w:rFonts w:ascii="Arial Narrow" w:hAnsi="Arial Narrow"/>
              <w:b/>
              <w:color w:val="FFFFFF"/>
            </w:rPr>
            <w:t xml:space="preserve">Page </w:t>
          </w:r>
          <w:r w:rsidR="007A1FB6" w:rsidRPr="00F84A22">
            <w:rPr>
              <w:rFonts w:ascii="Arial Narrow" w:hAnsi="Arial Narrow"/>
              <w:b/>
              <w:color w:val="FFFFFF"/>
            </w:rPr>
            <w:fldChar w:fldCharType="begin"/>
          </w:r>
          <w:r w:rsidRPr="00F84A22">
            <w:rPr>
              <w:rFonts w:ascii="Arial Narrow" w:hAnsi="Arial Narrow"/>
              <w:b/>
              <w:color w:val="FFFFFF"/>
            </w:rPr>
            <w:instrText xml:space="preserve"> PAGE </w:instrText>
          </w:r>
          <w:r w:rsidR="007A1FB6" w:rsidRPr="00F84A22">
            <w:rPr>
              <w:rFonts w:ascii="Arial Narrow" w:hAnsi="Arial Narrow"/>
              <w:b/>
              <w:color w:val="FFFFFF"/>
            </w:rPr>
            <w:fldChar w:fldCharType="separate"/>
          </w:r>
          <w:r w:rsidR="00274AB1">
            <w:rPr>
              <w:rFonts w:ascii="Arial Narrow" w:hAnsi="Arial Narrow"/>
              <w:b/>
              <w:noProof/>
              <w:color w:val="FFFFFF"/>
            </w:rPr>
            <w:t>viii</w:t>
          </w:r>
          <w:r w:rsidR="007A1FB6" w:rsidRPr="00F84A22">
            <w:rPr>
              <w:rFonts w:ascii="Arial Narrow" w:hAnsi="Arial Narrow"/>
              <w:b/>
              <w:color w:val="FFFFFF"/>
            </w:rPr>
            <w:fldChar w:fldCharType="end"/>
          </w:r>
        </w:p>
      </w:tc>
    </w:tr>
  </w:tbl>
  <w:p w:rsidR="00865117" w:rsidRPr="00D752C2" w:rsidRDefault="00865117" w:rsidP="00D752C2">
    <w:pPr>
      <w:spacing w:after="0"/>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865117" w:rsidTr="00F84A22">
      <w:trPr>
        <w:trHeight w:val="288"/>
      </w:trPr>
      <w:tc>
        <w:tcPr>
          <w:tcW w:w="4518" w:type="dxa"/>
          <w:tcBorders>
            <w:bottom w:val="single" w:sz="12" w:space="0" w:color="A6A6A6"/>
          </w:tcBorders>
          <w:shd w:val="clear" w:color="auto" w:fill="A6A6A6"/>
          <w:vAlign w:val="center"/>
        </w:tcPr>
        <w:p w:rsidR="00865117" w:rsidRPr="00F84A22" w:rsidRDefault="00865117" w:rsidP="00F84A22">
          <w:pPr>
            <w:tabs>
              <w:tab w:val="right" w:pos="8640"/>
            </w:tabs>
            <w:spacing w:after="0" w:line="240" w:lineRule="auto"/>
            <w:rPr>
              <w:rFonts w:ascii="Arial Narrow" w:hAnsi="Arial Narrow"/>
              <w:b/>
              <w:color w:val="FFFFFF"/>
            </w:rPr>
          </w:pPr>
          <w:r w:rsidRPr="00F84A22">
            <w:rPr>
              <w:rFonts w:ascii="Arial Narrow" w:hAnsi="Arial Narrow"/>
              <w:b/>
              <w:color w:val="FFFFFF"/>
            </w:rPr>
            <w:t xml:space="preserve">SECTION </w:t>
          </w:r>
          <w:r w:rsidR="00274AB1">
            <w:fldChar w:fldCharType="begin"/>
          </w:r>
          <w:r w:rsidR="00274AB1">
            <w:instrText xml:space="preserve"> STYLEREF  "Heading 1" \n  \* MERGEFORMAT </w:instrText>
          </w:r>
          <w:r w:rsidR="00274AB1">
            <w:fldChar w:fldCharType="separate"/>
          </w:r>
          <w:r w:rsidR="00274AB1" w:rsidRPr="00274AB1">
            <w:rPr>
              <w:rFonts w:ascii="Arial Narrow" w:hAnsi="Arial Narrow"/>
              <w:b/>
              <w:noProof/>
              <w:color w:val="FFFFFF"/>
            </w:rPr>
            <w:t>3</w:t>
          </w:r>
          <w:r w:rsidR="00274AB1">
            <w:rPr>
              <w:rFonts w:ascii="Arial Narrow" w:hAnsi="Arial Narrow"/>
              <w:b/>
              <w:noProof/>
              <w:color w:val="FFFFFF"/>
            </w:rPr>
            <w:fldChar w:fldCharType="end"/>
          </w:r>
          <w:r w:rsidRPr="00F84A22">
            <w:rPr>
              <w:rFonts w:ascii="Arial Narrow" w:hAnsi="Arial Narrow"/>
              <w:b/>
              <w:color w:val="FFFFFF"/>
            </w:rPr>
            <w:t xml:space="preserve">: </w:t>
          </w:r>
          <w:r w:rsidR="00274AB1">
            <w:fldChar w:fldCharType="begin"/>
          </w:r>
          <w:r w:rsidR="00274AB1">
            <w:instrText xml:space="preserve"> STYLEREF  "Heading 1"  \* MERGEFORMAT </w:instrText>
          </w:r>
          <w:r w:rsidR="00274AB1">
            <w:fldChar w:fldCharType="separate"/>
          </w:r>
          <w:r w:rsidR="00274AB1">
            <w:rPr>
              <w:noProof/>
            </w:rPr>
            <w:t>Commercial and Industrial Measures</w:t>
          </w:r>
          <w:r w:rsidR="00274AB1">
            <w:rPr>
              <w:noProof/>
            </w:rPr>
            <w:fldChar w:fldCharType="end"/>
          </w:r>
        </w:p>
      </w:tc>
      <w:tc>
        <w:tcPr>
          <w:tcW w:w="3150" w:type="dxa"/>
          <w:tcBorders>
            <w:bottom w:val="single" w:sz="12" w:space="0" w:color="A6A6A6"/>
          </w:tcBorders>
          <w:shd w:val="clear" w:color="auto" w:fill="FFFFFF"/>
        </w:tcPr>
        <w:p w:rsidR="00865117" w:rsidRPr="00F84A22" w:rsidRDefault="00865117" w:rsidP="00F84A22">
          <w:pPr>
            <w:tabs>
              <w:tab w:val="right" w:pos="8640"/>
            </w:tabs>
            <w:spacing w:after="0" w:line="240" w:lineRule="auto"/>
            <w:rPr>
              <w:rFonts w:ascii="Arial Narrow" w:hAnsi="Arial Narrow"/>
              <w:u w:val="single"/>
            </w:rPr>
          </w:pPr>
        </w:p>
      </w:tc>
      <w:tc>
        <w:tcPr>
          <w:tcW w:w="1080" w:type="dxa"/>
          <w:tcBorders>
            <w:bottom w:val="single" w:sz="12" w:space="0" w:color="A6A6A6"/>
          </w:tcBorders>
          <w:shd w:val="clear" w:color="auto" w:fill="FFFFFF"/>
          <w:vAlign w:val="center"/>
        </w:tcPr>
        <w:p w:rsidR="00865117" w:rsidRPr="00F84A22" w:rsidRDefault="00865117" w:rsidP="00F84A22">
          <w:pPr>
            <w:tabs>
              <w:tab w:val="right" w:pos="8640"/>
            </w:tabs>
            <w:spacing w:after="0" w:line="240" w:lineRule="auto"/>
            <w:rPr>
              <w:rFonts w:ascii="Arial Narrow" w:hAnsi="Arial Narrow"/>
              <w:u w:val="single"/>
            </w:rPr>
          </w:pPr>
        </w:p>
      </w:tc>
    </w:tr>
    <w:tr w:rsidR="00865117" w:rsidRPr="00C936BE" w:rsidTr="00F84A22">
      <w:trPr>
        <w:trHeight w:val="288"/>
      </w:trPr>
      <w:tc>
        <w:tcPr>
          <w:tcW w:w="7668" w:type="dxa"/>
          <w:gridSpan w:val="2"/>
          <w:tcBorders>
            <w:top w:val="single" w:sz="12" w:space="0" w:color="A6A6A6"/>
          </w:tcBorders>
          <w:shd w:val="clear" w:color="auto" w:fill="FFFFFF"/>
          <w:vAlign w:val="center"/>
        </w:tcPr>
        <w:p w:rsidR="00865117" w:rsidRPr="00F84A22" w:rsidRDefault="00274AB1" w:rsidP="00F84A22">
          <w:pPr>
            <w:tabs>
              <w:tab w:val="right" w:pos="8640"/>
            </w:tabs>
            <w:spacing w:after="0" w:line="240" w:lineRule="auto"/>
            <w:rPr>
              <w:rFonts w:ascii="Arial Narrow" w:hAnsi="Arial Narrow"/>
            </w:rPr>
          </w:pPr>
          <w:r>
            <w:fldChar w:fldCharType="begin"/>
          </w:r>
          <w:r>
            <w:instrText xml:space="preserve"> STYLEREF  "Heading 2"  \* MERGEFORMAT </w:instrText>
          </w:r>
          <w:r>
            <w:fldChar w:fldCharType="separate"/>
          </w:r>
          <w:r>
            <w:rPr>
              <w:noProof/>
            </w:rPr>
            <w:t>Wall and Ceiling Insulation</w:t>
          </w:r>
          <w:r>
            <w:rPr>
              <w:noProof/>
            </w:rPr>
            <w:fldChar w:fldCharType="end"/>
          </w:r>
        </w:p>
      </w:tc>
      <w:tc>
        <w:tcPr>
          <w:tcW w:w="1080" w:type="dxa"/>
          <w:tcBorders>
            <w:top w:val="single" w:sz="12" w:space="0" w:color="A6A6A6"/>
          </w:tcBorders>
          <w:shd w:val="clear" w:color="auto" w:fill="A6A6A6"/>
          <w:vAlign w:val="center"/>
        </w:tcPr>
        <w:p w:rsidR="00865117" w:rsidRPr="00F84A22" w:rsidRDefault="00865117" w:rsidP="00F84A22">
          <w:pPr>
            <w:tabs>
              <w:tab w:val="right" w:pos="8640"/>
            </w:tabs>
            <w:spacing w:after="0" w:line="240" w:lineRule="auto"/>
            <w:jc w:val="right"/>
            <w:rPr>
              <w:rFonts w:ascii="Arial Narrow" w:hAnsi="Arial Narrow"/>
              <w:b/>
              <w:color w:val="FFFFFF"/>
              <w:u w:val="single"/>
            </w:rPr>
          </w:pPr>
          <w:r w:rsidRPr="00F84A22">
            <w:rPr>
              <w:rFonts w:ascii="Arial Narrow" w:hAnsi="Arial Narrow"/>
              <w:b/>
              <w:color w:val="FFFFFF"/>
            </w:rPr>
            <w:t xml:space="preserve">Page </w:t>
          </w:r>
          <w:r w:rsidR="007A1FB6" w:rsidRPr="00F84A22">
            <w:rPr>
              <w:rFonts w:ascii="Arial Narrow" w:hAnsi="Arial Narrow"/>
              <w:b/>
              <w:color w:val="FFFFFF"/>
            </w:rPr>
            <w:fldChar w:fldCharType="begin"/>
          </w:r>
          <w:r w:rsidRPr="00F84A22">
            <w:rPr>
              <w:rFonts w:ascii="Arial Narrow" w:hAnsi="Arial Narrow"/>
              <w:b/>
              <w:color w:val="FFFFFF"/>
            </w:rPr>
            <w:instrText xml:space="preserve"> PAGE </w:instrText>
          </w:r>
          <w:r w:rsidR="007A1FB6" w:rsidRPr="00F84A22">
            <w:rPr>
              <w:rFonts w:ascii="Arial Narrow" w:hAnsi="Arial Narrow"/>
              <w:b/>
              <w:color w:val="FFFFFF"/>
            </w:rPr>
            <w:fldChar w:fldCharType="separate"/>
          </w:r>
          <w:r w:rsidR="00274AB1">
            <w:rPr>
              <w:rFonts w:ascii="Arial Narrow" w:hAnsi="Arial Narrow"/>
              <w:b/>
              <w:noProof/>
              <w:color w:val="FFFFFF"/>
            </w:rPr>
            <w:t>224</w:t>
          </w:r>
          <w:r w:rsidR="007A1FB6" w:rsidRPr="00F84A22">
            <w:rPr>
              <w:rFonts w:ascii="Arial Narrow" w:hAnsi="Arial Narrow"/>
              <w:b/>
              <w:color w:val="FFFFFF"/>
            </w:rPr>
            <w:fldChar w:fldCharType="end"/>
          </w:r>
        </w:p>
      </w:tc>
    </w:tr>
  </w:tbl>
  <w:p w:rsidR="00865117" w:rsidRPr="00AE4498" w:rsidRDefault="00865117" w:rsidP="00AE4498">
    <w:pPr>
      <w:tabs>
        <w:tab w:val="right" w:pos="8640"/>
      </w:tabs>
      <w:spacing w:after="40"/>
      <w:rPr>
        <w:rFonts w:ascii="Arial Narrow" w:hAnsi="Arial Narrow"/>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706" w:rsidRDefault="00AE3706" w:rsidP="00C9166E">
      <w:pPr>
        <w:spacing w:after="0"/>
      </w:pPr>
      <w:r>
        <w:separator/>
      </w:r>
    </w:p>
  </w:footnote>
  <w:footnote w:type="continuationSeparator" w:id="0">
    <w:p w:rsidR="00AE3706" w:rsidRDefault="00AE3706" w:rsidP="00C9166E">
      <w:pPr>
        <w:spacing w:after="0"/>
      </w:pPr>
      <w:r>
        <w:continuationSeparator/>
      </w:r>
    </w:p>
  </w:footnote>
  <w:footnote w:type="continuationNotice" w:id="1">
    <w:p w:rsidR="00AE3706" w:rsidRDefault="00AE3706">
      <w:pPr>
        <w:spacing w:after="0" w:line="240" w:lineRule="auto"/>
      </w:pPr>
    </w:p>
  </w:footnote>
  <w:footnote w:id="2">
    <w:p w:rsidR="00865117" w:rsidRDefault="00865117" w:rsidP="008075FC">
      <w:pPr>
        <w:pStyle w:val="FootnoteText"/>
      </w:pPr>
      <w:r>
        <w:rPr>
          <w:rStyle w:val="FootnoteReference"/>
        </w:rPr>
        <w:footnoteRef/>
      </w:r>
      <w:r>
        <w:t xml:space="preserve"> Note:  Information in the TRM specifically </w:t>
      </w:r>
      <w:proofErr w:type="gramStart"/>
      <w:r>
        <w:t>relating  to</w:t>
      </w:r>
      <w:proofErr w:type="gramEnd"/>
      <w:r>
        <w:t xml:space="preserve"> the AEPS Act is shaded in </w:t>
      </w:r>
      <w:r w:rsidRPr="00F84A22">
        <w:rPr>
          <w:highlight w:val="lightGray"/>
        </w:rPr>
        <w:t>gray</w:t>
      </w:r>
      <w:r>
        <w:t>.</w:t>
      </w:r>
    </w:p>
  </w:footnote>
  <w:footnote w:id="3">
    <w:p w:rsidR="00865117" w:rsidRDefault="00865117" w:rsidP="005D7F62">
      <w:pPr>
        <w:pStyle w:val="FootnoteText"/>
      </w:pPr>
      <w:r>
        <w:rPr>
          <w:rStyle w:val="FootnoteReference"/>
        </w:rPr>
        <w:footnoteRef/>
      </w:r>
      <w:r>
        <w:t xml:space="preserve"> Values for lighting, air conditioners, chillers and motors are based on measured usage from a large sample of participants from 1995 through 1999. Values for heat pumps reflect metered usage from 1996 through 1998 and variable speed drives reflect metered usage from 1995 through 1998.</w:t>
      </w:r>
    </w:p>
  </w:footnote>
  <w:footnote w:id="4">
    <w:p w:rsidR="00865117" w:rsidRDefault="00865117">
      <w:pPr>
        <w:pStyle w:val="FootnoteText"/>
      </w:pPr>
      <w:r>
        <w:rPr>
          <w:rStyle w:val="FootnoteReference"/>
        </w:rPr>
        <w:footnoteRef/>
      </w:r>
      <w:r>
        <w:t xml:space="preserve"> The 1.11 factor is to be used for the AEPS portfolio and is not binding for the purpose of cost-effectiveness calculations or coincident peak demand savings calculations for Act 129.</w:t>
      </w:r>
    </w:p>
  </w:footnote>
  <w:footnote w:id="5">
    <w:p w:rsidR="00865117" w:rsidRDefault="00865117" w:rsidP="00E17950">
      <w:pPr>
        <w:pStyle w:val="FootnoteText"/>
      </w:pPr>
      <w:r>
        <w:rPr>
          <w:rStyle w:val="FootnoteReference"/>
        </w:rPr>
        <w:footnoteRef/>
      </w:r>
      <w:r>
        <w:t xml:space="preserve"> GSHP </w:t>
      </w:r>
      <w:r>
        <w:rPr>
          <w:color w:val="000000"/>
        </w:rPr>
        <w:t xml:space="preserve">desuperheaters are generally </w:t>
      </w:r>
      <w:r w:rsidRPr="00125333">
        <w:rPr>
          <w:color w:val="000000"/>
        </w:rPr>
        <w:t>small, auxiliary heat exchanger</w:t>
      </w:r>
      <w:r>
        <w:rPr>
          <w:color w:val="000000"/>
        </w:rPr>
        <w:t>s</w:t>
      </w:r>
      <w:r w:rsidRPr="00125333">
        <w:rPr>
          <w:color w:val="000000"/>
        </w:rPr>
        <w:t xml:space="preserve"> that uses superheated gases from the </w:t>
      </w:r>
      <w:r>
        <w:rPr>
          <w:color w:val="000000"/>
        </w:rPr>
        <w:t>GSHP</w:t>
      </w:r>
      <w:r w:rsidRPr="00125333">
        <w:rPr>
          <w:color w:val="000000"/>
        </w:rPr>
        <w:t>’s compressor to heat water. This hot water then circulates through a pipe to the h</w:t>
      </w:r>
      <w:r>
        <w:rPr>
          <w:color w:val="000000"/>
        </w:rPr>
        <w:t>ome’s storage water heater tank. </w:t>
      </w:r>
    </w:p>
  </w:footnote>
  <w:footnote w:id="6">
    <w:p w:rsidR="00865117" w:rsidRDefault="00865117" w:rsidP="008D4C91">
      <w:pPr>
        <w:pStyle w:val="FootnoteText"/>
      </w:pPr>
      <w:r>
        <w:rPr>
          <w:rStyle w:val="FootnoteReference"/>
        </w:rPr>
        <w:footnoteRef/>
      </w:r>
      <w:r>
        <w:t xml:space="preserve"> Natural Resources </w:t>
      </w:r>
      <w:smartTag w:uri="urn:schemas-microsoft-com:office:smarttags" w:element="country-region">
        <w:smartTag w:uri="urn:schemas-microsoft-com:office:smarttags" w:element="place">
          <w:smartTag w:uri="urn:schemas-kweb:inappropriateterms" w:element="lists">
            <w:r>
              <w:t>Canada</w:t>
            </w:r>
          </w:smartTag>
        </w:smartTag>
      </w:smartTag>
      <w:r>
        <w:t xml:space="preserve"> Report.pdf</w:t>
      </w:r>
    </w:p>
  </w:footnote>
  <w:footnote w:id="7">
    <w:p w:rsidR="00865117" w:rsidRDefault="00865117" w:rsidP="008D4C91">
      <w:pPr>
        <w:pStyle w:val="FootnoteText"/>
      </w:pPr>
      <w:r>
        <w:rPr>
          <w:rStyle w:val="FootnoteReference"/>
        </w:rPr>
        <w:footnoteRef/>
      </w:r>
      <w:r>
        <w:t xml:space="preserve"> EPRI Electric Clothes Dryer Report.pdf</w:t>
      </w:r>
    </w:p>
  </w:footnote>
  <w:footnote w:id="8">
    <w:p w:rsidR="00865117" w:rsidRDefault="00865117" w:rsidP="008D4C91">
      <w:pPr>
        <w:pStyle w:val="FootnoteText"/>
      </w:pPr>
      <w:r>
        <w:rPr>
          <w:rStyle w:val="FootnoteReference"/>
        </w:rPr>
        <w:footnoteRef/>
      </w:r>
      <w:r>
        <w:t xml:space="preserve"> Natural Living Guide.pdf</w:t>
      </w:r>
    </w:p>
  </w:footnote>
  <w:footnote w:id="9">
    <w:p w:rsidR="00865117" w:rsidRDefault="00865117" w:rsidP="008D4C91">
      <w:pPr>
        <w:pStyle w:val="FootnoteText"/>
      </w:pPr>
      <w:r>
        <w:rPr>
          <w:rStyle w:val="FootnoteReference"/>
        </w:rPr>
        <w:footnoteRef/>
      </w:r>
      <w:r>
        <w:t xml:space="preserve"> Energy Star Clothes Washer Calculator Assumptions.pdf</w:t>
      </w:r>
    </w:p>
  </w:footnote>
  <w:footnote w:id="10">
    <w:p w:rsidR="00865117" w:rsidRDefault="00865117" w:rsidP="008D4C91">
      <w:pPr>
        <w:pStyle w:val="FootnoteText"/>
      </w:pPr>
      <w:r>
        <w:rPr>
          <w:rStyle w:val="FootnoteReference"/>
        </w:rPr>
        <w:footnoteRef/>
      </w:r>
      <w:r>
        <w:t xml:space="preserve"> DEER EUL values, updated October 10, 2008</w:t>
      </w:r>
    </w:p>
  </w:footnote>
  <w:footnote w:id="11">
    <w:p w:rsidR="00865117" w:rsidRDefault="00865117">
      <w:pPr>
        <w:pStyle w:val="FootnoteText"/>
      </w:pPr>
      <w:r>
        <w:rPr>
          <w:rStyle w:val="FootnoteReference"/>
        </w:rPr>
        <w:footnoteRef/>
      </w:r>
      <w:r>
        <w:t xml:space="preserve"> </w:t>
      </w:r>
      <w:r w:rsidRPr="00E2670B">
        <w:t>Deemed Savings Estimates for Legacy Air Conditioning and Water Heating Direct Load Control Programs in PJM Region.</w:t>
      </w:r>
      <w:r>
        <w:t xml:space="preserve"> The report can be accessed online: </w:t>
      </w:r>
      <w:hyperlink r:id="rId1" w:history="1">
        <w:r w:rsidRPr="008C3333">
          <w:rPr>
            <w:rStyle w:val="Hyperlink"/>
          </w:rPr>
          <w:t>http://www.pjm.com/~/media/committees-groups/working-groups/lrwg/20070301/20070301-pjm-deemed-savings-report.ashx</w:t>
        </w:r>
      </w:hyperlink>
      <w:r>
        <w:t xml:space="preserve">  </w:t>
      </w:r>
    </w:p>
  </w:footnote>
  <w:footnote w:id="12">
    <w:p w:rsidR="00865117" w:rsidRDefault="00865117">
      <w:pPr>
        <w:pStyle w:val="FootnoteText"/>
      </w:pPr>
      <w:r>
        <w:rPr>
          <w:rStyle w:val="FootnoteReference"/>
        </w:rPr>
        <w:footnoteRef/>
      </w:r>
      <w:r>
        <w:t xml:space="preserve"> </w:t>
      </w:r>
      <w:r w:rsidRPr="00EB2CEA">
        <w:t>The average is over all 82 water heaters and over all summer, spring/fall, or winter days.  The  load shapes are taken from the fourth columns, labeled “Mean”, in tables 14,15, and 16 in pages 5-31 and 5-32</w:t>
      </w:r>
    </w:p>
  </w:footnote>
  <w:footnote w:id="13">
    <w:p w:rsidR="00865117" w:rsidRDefault="00865117">
      <w:pPr>
        <w:pStyle w:val="FootnoteText"/>
      </w:pPr>
      <w:r>
        <w:rPr>
          <w:rStyle w:val="FootnoteReference"/>
        </w:rPr>
        <w:footnoteRef/>
      </w:r>
      <w:r>
        <w:t xml:space="preserve"> </w:t>
      </w:r>
      <w:r w:rsidRPr="00EB2CEA">
        <w:t>The 5</w:t>
      </w:r>
      <w:r w:rsidRPr="00EB2CEA">
        <w:rPr>
          <w:vertAlign w:val="superscript"/>
        </w:rPr>
        <w:t>th</w:t>
      </w:r>
      <w:r w:rsidRPr="00EB2CEA">
        <w:t xml:space="preserve"> column, labeled “Mean” of Table 18 in page 5-34 is used to derive an adjustment factor that scales average summer usage to summer </w:t>
      </w:r>
      <w:r w:rsidRPr="00EB2CEA">
        <w:rPr>
          <w:i/>
        </w:rPr>
        <w:t>weekday</w:t>
      </w:r>
      <w:r w:rsidRPr="00EB2CEA">
        <w:t xml:space="preserve"> usage.    The conversion factor is 0.925844.  A number smaller than one indicates that for residential homes, the hot water usage from noon to 8 PM is slightly higher is the weekends than on weekdays.</w:t>
      </w:r>
    </w:p>
  </w:footnote>
  <w:footnote w:id="14">
    <w:p w:rsidR="00865117" w:rsidRDefault="00865117" w:rsidP="00D43D38">
      <w:pPr>
        <w:pStyle w:val="FootnoteText"/>
      </w:pPr>
      <w:r>
        <w:rPr>
          <w:rStyle w:val="FootnoteReference"/>
        </w:rPr>
        <w:footnoteRef/>
      </w:r>
      <w:r>
        <w:t xml:space="preserve"> DEER values, updated October 10, 2008</w:t>
      </w:r>
    </w:p>
    <w:p w:rsidR="00865117" w:rsidRDefault="00865117" w:rsidP="00D43D38">
      <w:pPr>
        <w:pStyle w:val="FootnoteText"/>
      </w:pPr>
      <w:r>
        <w:t>http://www.deeresources.com/deer0911planning/downloads/EUL_Summary_10-1-08.xls</w:t>
      </w:r>
    </w:p>
  </w:footnote>
  <w:footnote w:id="15">
    <w:p w:rsidR="00865117" w:rsidRDefault="00865117">
      <w:pPr>
        <w:pStyle w:val="FootnoteText"/>
      </w:pPr>
      <w:r>
        <w:rPr>
          <w:rStyle w:val="FootnoteReference"/>
        </w:rPr>
        <w:footnoteRef/>
      </w:r>
      <w:r>
        <w:t xml:space="preserve"> </w:t>
      </w:r>
      <w:r w:rsidRPr="00E2670B">
        <w:t>Deemed Savings Estimates for Legacy Air Conditioning and Water Heating Direct Load Control Programs in PJM Region.</w:t>
      </w:r>
      <w:r>
        <w:t xml:space="preserve"> The report can be accessed online: </w:t>
      </w:r>
      <w:hyperlink r:id="rId2" w:history="1">
        <w:r w:rsidRPr="008C3333">
          <w:rPr>
            <w:rStyle w:val="Hyperlink"/>
          </w:rPr>
          <w:t>http://www.pjm.com/~/media/committees-groups/working-groups/lrwg/20070301/20070301-pjm-deemed-savings-report.ashx</w:t>
        </w:r>
      </w:hyperlink>
    </w:p>
  </w:footnote>
  <w:footnote w:id="16">
    <w:p w:rsidR="00865117" w:rsidRDefault="00865117">
      <w:pPr>
        <w:pStyle w:val="FootnoteText"/>
      </w:pPr>
      <w:r>
        <w:rPr>
          <w:rStyle w:val="FootnoteReference"/>
        </w:rPr>
        <w:footnoteRef/>
      </w:r>
      <w:r w:rsidRPr="003B45BC">
        <w:t>The average is over all 82 water heaters and over all summer, spring/fall, or winter days.  The  load shapes are taken from the fourth columns, labeled “Mean”, in tables 14,15, and 16 in pages 5-31 and 5-32</w:t>
      </w:r>
    </w:p>
  </w:footnote>
  <w:footnote w:id="17">
    <w:p w:rsidR="00865117" w:rsidRDefault="00865117">
      <w:pPr>
        <w:pStyle w:val="FootnoteText"/>
      </w:pPr>
      <w:r>
        <w:rPr>
          <w:rStyle w:val="FootnoteReference"/>
        </w:rPr>
        <w:footnoteRef/>
      </w:r>
      <w:r>
        <w:t xml:space="preserve"> </w:t>
      </w:r>
      <w:r w:rsidRPr="00F5687D">
        <w:t>The 5th column, labeled “Mean” of Table 18 in page 5-34 is used to derive an adjustment factor that scales average summer usage to summer weekday usage.    The conversion factor is 0.925844.  A number smaller than one indicates that for residential homes, the hot water usage from noon to 8 PM is slightly higher is the weekends than on weekdays</w:t>
      </w:r>
    </w:p>
  </w:footnote>
  <w:footnote w:id="18">
    <w:p w:rsidR="00865117" w:rsidRDefault="00865117">
      <w:pPr>
        <w:pStyle w:val="FootnoteText"/>
      </w:pPr>
      <w:r>
        <w:rPr>
          <w:rStyle w:val="FootnoteReference"/>
        </w:rPr>
        <w:footnoteRef/>
      </w:r>
      <w:r>
        <w:t xml:space="preserve"> </w:t>
      </w:r>
      <w:r w:rsidRPr="00CC745B">
        <w:t xml:space="preserve">Based on TMY2 weather files from DOE2.com for </w:t>
      </w:r>
      <w:smartTag w:uri="urn:schemas-microsoft-com:office:smarttags" w:element="City">
        <w:r w:rsidRPr="00CC745B">
          <w:t>Erie</w:t>
        </w:r>
      </w:smartTag>
      <w:r w:rsidRPr="00CC745B">
        <w:t xml:space="preserve">, </w:t>
      </w:r>
      <w:smartTag w:uri="urn:schemas-microsoft-com:office:smarttags" w:element="City">
        <w:r w:rsidRPr="00CC745B">
          <w:t>Harrisburg</w:t>
        </w:r>
      </w:smartTag>
      <w:r w:rsidRPr="00CC745B">
        <w:t xml:space="preserve">, </w:t>
      </w:r>
      <w:smartTag w:uri="urn:schemas-microsoft-com:office:smarttags" w:element="City">
        <w:r w:rsidRPr="00CC745B">
          <w:t>Pittsburgh</w:t>
        </w:r>
      </w:smartTag>
      <w:r w:rsidRPr="00CC745B">
        <w:t xml:space="preserve">, </w:t>
      </w:r>
      <w:smartTag w:uri="urn:schemas-microsoft-com:office:smarttags" w:element="City">
        <w:smartTag w:uri="urn:schemas-microsoft-com:office:smarttags" w:element="place">
          <w:r w:rsidRPr="00CC745B">
            <w:t>Wilkes-Barre</w:t>
          </w:r>
        </w:smartTag>
      </w:smartTag>
      <w:r w:rsidRPr="00CC745B">
        <w:t xml:space="preserve">, And Williamsport, the average annual wetbulb temperature is 45 </w:t>
      </w:r>
      <w:r w:rsidRPr="00CC745B">
        <w:t xml:space="preserve"> 1.3 °F.  The wetbulb temperature in garages or attics, where the heat pumps are likely to be installed, are likely to be two or three degrees higher, but for simplicity, 45 °F is assumed to be the annual average wetbulb temperature.  </w:t>
      </w:r>
    </w:p>
  </w:footnote>
  <w:footnote w:id="19">
    <w:p w:rsidR="00865117" w:rsidRDefault="00865117" w:rsidP="00CC745B">
      <w:pPr>
        <w:pStyle w:val="FootnoteText"/>
      </w:pPr>
      <w:r>
        <w:rPr>
          <w:rStyle w:val="FootnoteReference"/>
        </w:rPr>
        <w:footnoteRef/>
      </w:r>
      <w:r>
        <w:t xml:space="preserve"> The performance curve is adapted from  Table 1 in http://wescorhvac.com/HPWH%20design%20details.htm#Single-stage%20HPWHs</w:t>
      </w:r>
    </w:p>
    <w:p w:rsidR="00865117" w:rsidRDefault="00865117">
      <w:pPr>
        <w:pStyle w:val="FootnoteText"/>
      </w:pPr>
      <w:r>
        <w:t xml:space="preserve">The performance curve depends on other factors, such as hot water set point.  Our adjustment factor of 0.84 is a first order approximation based on the information available in literature.  </w:t>
      </w:r>
    </w:p>
  </w:footnote>
  <w:footnote w:id="20">
    <w:p w:rsidR="00865117" w:rsidRDefault="00865117">
      <w:pPr>
        <w:pStyle w:val="FootnoteText"/>
      </w:pPr>
      <w:r>
        <w:rPr>
          <w:rStyle w:val="FootnoteReference"/>
        </w:rPr>
        <w:footnoteRef/>
      </w:r>
      <w:r>
        <w:t xml:space="preserve"> </w:t>
      </w:r>
      <w:r w:rsidRPr="003B45BC">
        <w:t>DEER values, updated October 10, 2008</w:t>
      </w:r>
      <w:r w:rsidRPr="003B45BC">
        <w:br/>
        <w:t>http://www.deeresources.com/deer0911planning/downloads/EUL_Summary_10-1-08.xls</w:t>
      </w:r>
    </w:p>
  </w:footnote>
  <w:footnote w:id="21">
    <w:p w:rsidR="00865117" w:rsidRDefault="00865117">
      <w:pPr>
        <w:pStyle w:val="FootnoteText"/>
      </w:pPr>
      <w:r>
        <w:rPr>
          <w:rStyle w:val="FootnoteReference"/>
        </w:rPr>
        <w:footnoteRef/>
      </w:r>
      <w:r>
        <w:t xml:space="preserve"> </w:t>
      </w:r>
      <w:r w:rsidRPr="00F5687D">
        <w:t>Four 23-W CFLs are sent out.  We assume that one replaces a 100W lamp while the remaining CFLs replace 60W lamps.</w:t>
      </w:r>
    </w:p>
  </w:footnote>
  <w:footnote w:id="22">
    <w:p w:rsidR="00865117" w:rsidRDefault="00865117">
      <w:pPr>
        <w:pStyle w:val="FootnoteText"/>
      </w:pPr>
      <w:r>
        <w:rPr>
          <w:rStyle w:val="FootnoteReference"/>
        </w:rPr>
        <w:footnoteRef/>
      </w:r>
      <w:r>
        <w:t xml:space="preserve"> </w:t>
      </w:r>
      <w:r w:rsidRPr="00F5687D">
        <w:t>The ISR calculation for aerators is averaged from observations of a binary variable that takes on value 1 if the aerator is installed and the home has electric water heating, 0 otherwise.</w:t>
      </w:r>
    </w:p>
  </w:footnote>
  <w:footnote w:id="23">
    <w:p w:rsidR="00865117" w:rsidRDefault="00865117">
      <w:pPr>
        <w:pStyle w:val="FootnoteText"/>
      </w:pPr>
      <w:r>
        <w:rPr>
          <w:rStyle w:val="FootnoteReference"/>
        </w:rPr>
        <w:footnoteRef/>
      </w:r>
      <w:r>
        <w:t xml:space="preserve"> </w:t>
      </w:r>
      <w:r w:rsidRPr="00952ED8">
        <w:t xml:space="preserve">The savings for night lights are 22.07 kWh in the PA Interim TRM, </w:t>
      </w:r>
      <w:r>
        <w:t xml:space="preserve">p. 24.  However, these savings </w:t>
      </w:r>
      <w:r w:rsidRPr="00952ED8">
        <w:t>are the product of 26.3 kWh and an ISR of 0.84.  Since the ISR for the conservation kit items are determined by data gathering during the impact evaluation, the savings for night lights herein are cast as 26.3 × ISR, with ISR as a program-specific empirically determined variable.</w:t>
      </w:r>
    </w:p>
  </w:footnote>
  <w:footnote w:id="24">
    <w:p w:rsidR="00865117" w:rsidRDefault="00865117">
      <w:pPr>
        <w:pStyle w:val="FootnoteText"/>
      </w:pPr>
      <w:r>
        <w:rPr>
          <w:rStyle w:val="FootnoteReference"/>
        </w:rPr>
        <w:footnoteRef/>
      </w:r>
      <w:r>
        <w:t xml:space="preserve"> </w:t>
      </w:r>
      <w:r w:rsidRPr="00952ED8">
        <w:t xml:space="preserve">Energy Star Appliances, Energy Star Lighting, and several Residential Electric HVAC measures lives updated February 2008. </w:t>
      </w:r>
      <w:proofErr w:type="gramStart"/>
      <w:r w:rsidRPr="00952ED8">
        <w:t>U.S. Environmental Protection Agency and U.S. Department of Energy, Energy Star.</w:t>
      </w:r>
      <w:proofErr w:type="gramEnd"/>
      <w:r w:rsidRPr="00952ED8">
        <w:t xml:space="preserve"> &lt;http://www.energystar.gov/&gt;.</w:t>
      </w:r>
    </w:p>
  </w:footnote>
  <w:footnote w:id="25">
    <w:p w:rsidR="00865117" w:rsidRDefault="00865117">
      <w:pPr>
        <w:pStyle w:val="FootnoteText"/>
      </w:pPr>
      <w:r>
        <w:rPr>
          <w:rStyle w:val="FootnoteReference"/>
        </w:rPr>
        <w:footnoteRef/>
      </w:r>
      <w:r>
        <w:t xml:space="preserve"> </w:t>
      </w:r>
      <w:r w:rsidRPr="00E2670B">
        <w:t>Deemed Savings Estimates for Legacy Air Conditioning and Water Heating Direct Load Control Programs in PJM Region.</w:t>
      </w:r>
      <w:r>
        <w:t xml:space="preserve"> The report can be accessed online: </w:t>
      </w:r>
      <w:hyperlink r:id="rId3" w:history="1">
        <w:r w:rsidRPr="008C3333">
          <w:rPr>
            <w:rStyle w:val="Hyperlink"/>
          </w:rPr>
          <w:t>http://www.pjm.com/~/media/committees-groups/working-groups/lrwg/20070301/20070301-pjm-deemed-savings-report.ashx</w:t>
        </w:r>
      </w:hyperlink>
      <w:r>
        <w:t xml:space="preserve">  The summer load shapes are taken from tables 14</w:t>
      </w:r>
      <w:proofErr w:type="gramStart"/>
      <w:r>
        <w:t>,15</w:t>
      </w:r>
      <w:proofErr w:type="gramEnd"/>
      <w:r>
        <w:t xml:space="preserve">, and 16 in pages 5-31 and 5-32, and table 18 in page 5-34 is used to derive an adjustment factor that scales average summer usage to summer weekday usage.  The factor is constructed as follows: 1) Obtain the average kW, as monitored for 82 water heaters in PJM territory, for each hour of the typical day summer, winter, and spring/fall days.  Weight the results (91 summer days, 91 winter days, </w:t>
      </w:r>
      <w:proofErr w:type="gramStart"/>
      <w:r>
        <w:t>183</w:t>
      </w:r>
      <w:proofErr w:type="gramEnd"/>
      <w:r>
        <w:t xml:space="preserve"> spring/fall days) to obtain annual energy usage.  2) Obtain the average kW during noon to 8 PM on summer days from the same data.  3) The average noon to 8 PM demand is converted to average </w:t>
      </w:r>
      <w:r w:rsidRPr="004933EA">
        <w:rPr>
          <w:i/>
        </w:rPr>
        <w:t>weekday</w:t>
      </w:r>
      <w:r>
        <w:t xml:space="preserve"> noon to 8 PM demand through comparison of weekday and weekend monitored loads from the same PJM study.  4) The ratio of the average weekday noon to 8 PM energy demand to the annual energy usage obtained in step 1.  The resulting number, 0.00009172, </w:t>
      </w:r>
      <w:r w:rsidRPr="002C6DCE">
        <w:t xml:space="preserve">is the </w:t>
      </w:r>
      <w:r w:rsidRPr="002C6DCE">
        <w:rPr>
          <w:i/>
        </w:rPr>
        <w:t>EnergyToDemandFactor</w:t>
      </w:r>
      <w:r>
        <w:rPr>
          <w:i/>
        </w:rPr>
        <w:t>.</w:t>
      </w:r>
    </w:p>
  </w:footnote>
  <w:footnote w:id="26">
    <w:p w:rsidR="00865117" w:rsidRDefault="00865117">
      <w:pPr>
        <w:pStyle w:val="FootnoteText"/>
      </w:pPr>
      <w:r>
        <w:rPr>
          <w:rStyle w:val="FootnoteReference"/>
        </w:rPr>
        <w:footnoteRef/>
      </w:r>
      <w:r>
        <w:t xml:space="preserve"> </w:t>
      </w:r>
      <w:r w:rsidRPr="00E34B90">
        <w:t>The Energy Policy Act of 1992 established the maximum flow rate for showerheads at 2.5 gallons per minute (GPM).</w:t>
      </w:r>
    </w:p>
  </w:footnote>
  <w:footnote w:id="27">
    <w:p w:rsidR="00865117" w:rsidRDefault="00865117">
      <w:pPr>
        <w:pStyle w:val="FootnoteText"/>
      </w:pPr>
      <w:r>
        <w:rPr>
          <w:rStyle w:val="FootnoteReference"/>
        </w:rPr>
        <w:footnoteRef/>
      </w:r>
      <w:r>
        <w:t xml:space="preserve"> </w:t>
      </w:r>
      <w:smartTag w:uri="urn:schemas-microsoft-com:office:smarttags" w:element="State">
        <w:smartTag w:uri="urn:schemas-microsoft-com:office:smarttags" w:element="place">
          <w:r w:rsidRPr="00E34B90">
            <w:t>Pennsylvania</w:t>
          </w:r>
        </w:smartTag>
      </w:smartTag>
      <w:r w:rsidRPr="00E34B90">
        <w:t>, Census of Population, 2000.</w:t>
      </w:r>
    </w:p>
  </w:footnote>
  <w:footnote w:id="28">
    <w:p w:rsidR="00865117" w:rsidRDefault="00865117" w:rsidP="00E34B90">
      <w:pPr>
        <w:pStyle w:val="FootnoteText"/>
      </w:pPr>
      <w:r>
        <w:rPr>
          <w:rStyle w:val="FootnoteReference"/>
        </w:rPr>
        <w:footnoteRef/>
      </w:r>
      <w:r>
        <w:t xml:space="preserve"> The most commonly quoted value for the amount of hot water used for showering per person per day is 11.6 GPD.  See the U.S. Environmental Protection Agency’s “water sense” documents: http://www.epa.gov/watersense/docs/home_suppstat508.pdf</w:t>
      </w:r>
    </w:p>
  </w:footnote>
  <w:footnote w:id="29">
    <w:p w:rsidR="00865117" w:rsidRDefault="00865117" w:rsidP="00E34B90">
      <w:pPr>
        <w:pStyle w:val="FootnoteText"/>
      </w:pPr>
      <w:r>
        <w:rPr>
          <w:rStyle w:val="FootnoteReference"/>
        </w:rPr>
        <w:footnoteRef/>
      </w:r>
      <w:r>
        <w:t xml:space="preserve"> Estimate based on review of a number of studies: </w:t>
      </w:r>
    </w:p>
    <w:p w:rsidR="00865117" w:rsidRDefault="00865117" w:rsidP="00173C8E">
      <w:pPr>
        <w:pStyle w:val="FootnoteText"/>
        <w:numPr>
          <w:ilvl w:val="0"/>
          <w:numId w:val="9"/>
        </w:numPr>
      </w:pPr>
      <w:r>
        <w:t xml:space="preserve">Pacific Northwest Laboratory; "Energy Savings from Energy-Efficient Showerheads: REMP Case Study Results, Proposed Evaluation Algorithm, and Program Design Implications" http://www.osti.gov/bridge/purl.cover.jsp;jsessionid=80456EF00AAB94DB204E848BAE65F199?purl=/10185385-CEkZMk/native/ </w:t>
      </w:r>
    </w:p>
    <w:p w:rsidR="00865117" w:rsidRDefault="00865117" w:rsidP="00173C8E">
      <w:pPr>
        <w:pStyle w:val="FootnoteText"/>
        <w:numPr>
          <w:ilvl w:val="0"/>
          <w:numId w:val="9"/>
        </w:numPr>
      </w:pPr>
      <w:r>
        <w:t xml:space="preserve">East Bay Municipal Utility District; "Water Conservation Market Penetration Study" http://www.ebmud.com/sites/default/files/pdfs/market_penetration_study_0.pdf </w:t>
      </w:r>
    </w:p>
  </w:footnote>
  <w:footnote w:id="30">
    <w:p w:rsidR="00865117" w:rsidRDefault="00865117">
      <w:pPr>
        <w:pStyle w:val="FootnoteText"/>
      </w:pPr>
      <w:r>
        <w:rPr>
          <w:rStyle w:val="FootnoteReference"/>
        </w:rPr>
        <w:footnoteRef/>
      </w:r>
      <w:r>
        <w:t xml:space="preserve"> </w:t>
      </w:r>
      <w:proofErr w:type="gramStart"/>
      <w:r w:rsidRPr="00E34B90">
        <w:t>Based upon a consensus achieved at Residential Measure Protocols for TRM Teleconference held on June 2, 2010.</w:t>
      </w:r>
      <w:proofErr w:type="gramEnd"/>
    </w:p>
  </w:footnote>
  <w:footnote w:id="31">
    <w:p w:rsidR="00865117" w:rsidRDefault="00865117" w:rsidP="00E34B90">
      <w:pPr>
        <w:pStyle w:val="FootnoteText"/>
      </w:pPr>
      <w:r>
        <w:rPr>
          <w:rStyle w:val="FootnoteReference"/>
        </w:rPr>
        <w:footnoteRef/>
      </w:r>
      <w:r>
        <w:t xml:space="preserve"> A good approximation of annual average water main temperature is the average annual ambient air temperature.  Average water main temperature = 55° F based on: </w:t>
      </w:r>
    </w:p>
    <w:p w:rsidR="00865117" w:rsidRDefault="00865117">
      <w:pPr>
        <w:pStyle w:val="FootnoteText"/>
      </w:pPr>
      <w:r>
        <w:t xml:space="preserve">http://lwf.ncdc.noaa.gov/img/documentlibrary/clim81supp3/tempnormal_hires.jpg </w:t>
      </w:r>
    </w:p>
  </w:footnote>
  <w:footnote w:id="32">
    <w:p w:rsidR="00865117" w:rsidRDefault="00865117">
      <w:pPr>
        <w:pStyle w:val="FootnoteText"/>
      </w:pPr>
      <w:r>
        <w:rPr>
          <w:rStyle w:val="FootnoteReference"/>
        </w:rPr>
        <w:footnoteRef/>
      </w:r>
      <w:r>
        <w:t xml:space="preserve"> </w:t>
      </w:r>
      <w:proofErr w:type="gramStart"/>
      <w:r w:rsidRPr="00E34B90">
        <w:t>Assumes an electric water heater that meets the current federal standard (0.90 EF).</w:t>
      </w:r>
      <w:proofErr w:type="gramEnd"/>
    </w:p>
  </w:footnote>
  <w:footnote w:id="33">
    <w:p w:rsidR="00865117" w:rsidRDefault="00865117">
      <w:pPr>
        <w:pStyle w:val="FootnoteText"/>
      </w:pPr>
      <w:r>
        <w:rPr>
          <w:rStyle w:val="FootnoteReference"/>
        </w:rPr>
        <w:footnoteRef/>
      </w:r>
      <w:r>
        <w:t xml:space="preserve"> </w:t>
      </w:r>
      <w:r w:rsidRPr="00E34B90">
        <w:t>Deemed Savings Estimates for Legacy Air Conditioning and Water Heating Direct Load Control Programs in PJM Region. The report can be accessed online: http://www.pjm.com/~/media/committees-groups/working-groups/lrwg/20070301/20070301-pjm-deemed-savings-report.ashx</w:t>
      </w:r>
    </w:p>
  </w:footnote>
  <w:footnote w:id="34">
    <w:p w:rsidR="00865117" w:rsidRDefault="00865117">
      <w:pPr>
        <w:pStyle w:val="FootnoteText"/>
      </w:pPr>
      <w:r>
        <w:rPr>
          <w:rStyle w:val="FootnoteReference"/>
        </w:rPr>
        <w:footnoteRef/>
      </w:r>
      <w:r>
        <w:t xml:space="preserve"> </w:t>
      </w:r>
      <w:proofErr w:type="gramStart"/>
      <w:r w:rsidRPr="00E34B90">
        <w:t>Op. cit.</w:t>
      </w:r>
      <w:proofErr w:type="gramEnd"/>
    </w:p>
  </w:footnote>
  <w:footnote w:id="35">
    <w:p w:rsidR="00865117" w:rsidRDefault="00865117">
      <w:pPr>
        <w:pStyle w:val="FootnoteText"/>
      </w:pPr>
      <w:r>
        <w:rPr>
          <w:rStyle w:val="FootnoteReference"/>
        </w:rPr>
        <w:footnoteRef/>
      </w:r>
      <w:r>
        <w:t xml:space="preserve"> </w:t>
      </w:r>
      <w:r w:rsidRPr="006175FC">
        <w:t xml:space="preserve">Efficiency </w:t>
      </w:r>
      <w:smartTag w:uri="urn:schemas-microsoft-com:office:smarttags" w:element="State">
        <w:smartTag w:uri="urn:schemas-microsoft-com:office:smarttags" w:element="place">
          <w:r w:rsidRPr="006175FC">
            <w:t>Vermont</w:t>
          </w:r>
        </w:smartTag>
      </w:smartTag>
      <w:r w:rsidRPr="006175FC">
        <w:t>, Technical Reference User Manual: Measure Savings Algorithms and Cost Assumptions, TRM User Manual No. 2008-53, 07/18/08.</w:t>
      </w:r>
    </w:p>
  </w:footnote>
  <w:footnote w:id="36">
    <w:p w:rsidR="00865117" w:rsidRPr="00B44F2C" w:rsidRDefault="00865117">
      <w:pPr>
        <w:pStyle w:val="FootnoteText"/>
      </w:pPr>
      <w:r>
        <w:rPr>
          <w:rStyle w:val="FootnoteReference"/>
        </w:rPr>
        <w:footnoteRef/>
      </w:r>
      <w:r>
        <w:t xml:space="preserve"> </w:t>
      </w:r>
      <w:r w:rsidR="007A1FB6">
        <w:fldChar w:fldCharType="begin"/>
      </w:r>
      <w:r>
        <w:instrText xml:space="preserve"> REF _Ref275542461 \h </w:instrText>
      </w:r>
      <w:r w:rsidR="007A1FB6">
        <w:fldChar w:fldCharType="separate"/>
      </w:r>
      <w:proofErr w:type="gramStart"/>
      <w:r>
        <w:t xml:space="preserve">Table </w:t>
      </w:r>
      <w:r>
        <w:rPr>
          <w:noProof/>
        </w:rPr>
        <w:t>2</w:t>
      </w:r>
      <w:r>
        <w:noBreakHyphen/>
      </w:r>
      <w:r>
        <w:rPr>
          <w:noProof/>
        </w:rPr>
        <w:t>19</w:t>
      </w:r>
      <w:r w:rsidR="007A1FB6">
        <w:fldChar w:fldCharType="end"/>
      </w:r>
      <w:r>
        <w:t xml:space="preserve"> should be used with a master “mapping table”” that maps the zip codes for all PA cities to one of the representative cities above.</w:t>
      </w:r>
      <w:proofErr w:type="gramEnd"/>
      <w:r>
        <w:t xml:space="preserve">  This mapping table would also be used for the TRM ENERGY STAR Room Air Conditioning measure. This table will be developed in the context of the TWG.</w:t>
      </w:r>
    </w:p>
  </w:footnote>
  <w:footnote w:id="37">
    <w:p w:rsidR="00865117" w:rsidRDefault="00865117" w:rsidP="009A0119">
      <w:pPr>
        <w:pStyle w:val="FootnoteText"/>
      </w:pPr>
      <w:r>
        <w:rPr>
          <w:rStyle w:val="FootnoteReference"/>
        </w:rPr>
        <w:footnoteRef/>
      </w:r>
      <w:r>
        <w:t xml:space="preserve"> The Room AC calculator can be found here </w:t>
      </w:r>
      <w:hyperlink r:id="rId4" w:history="1">
        <w:r w:rsidRPr="00CB1C29">
          <w:rPr>
            <w:rStyle w:val="Hyperlink"/>
          </w:rPr>
          <w:t>http://www.e</w:t>
        </w:r>
        <w:bookmarkStart w:id="325" w:name="_Hlt283622269"/>
        <w:bookmarkStart w:id="326" w:name="_Hlt283622270"/>
        <w:r w:rsidRPr="00CB1C29">
          <w:rPr>
            <w:rStyle w:val="Hyperlink"/>
          </w:rPr>
          <w:t>n</w:t>
        </w:r>
        <w:bookmarkEnd w:id="325"/>
        <w:bookmarkEnd w:id="326"/>
        <w:r w:rsidRPr="00CB1C29">
          <w:rPr>
            <w:rStyle w:val="Hyperlink"/>
          </w:rPr>
          <w:t>ergystar.gov/ia/business/bulk_purchasing/bpsavings_calc/CalculatorConsume</w:t>
        </w:r>
        <w:bookmarkStart w:id="327" w:name="_Hlt283622167"/>
        <w:bookmarkStart w:id="328" w:name="_Hlt283622168"/>
        <w:r w:rsidRPr="00CB1C29">
          <w:rPr>
            <w:rStyle w:val="Hyperlink"/>
          </w:rPr>
          <w:t>r</w:t>
        </w:r>
        <w:bookmarkEnd w:id="327"/>
        <w:bookmarkEnd w:id="328"/>
        <w:r w:rsidRPr="00CB1C29">
          <w:rPr>
            <w:rStyle w:val="Hyperlink"/>
          </w:rPr>
          <w:t>RoomAC.xls</w:t>
        </w:r>
      </w:hyperlink>
      <w:r>
        <w:t xml:space="preserve"> and the Central AC calculator is here: </w:t>
      </w:r>
      <w:hyperlink r:id="rId5" w:history="1">
        <w:r w:rsidRPr="00CB1C29">
          <w:rPr>
            <w:rStyle w:val="Hyperlink"/>
          </w:rPr>
          <w:t>http://www.energystar.gov/ia/business/bulk_purchasing/bpsavings_calc/Calc_CAC.xls</w:t>
        </w:r>
      </w:hyperlink>
      <w:r>
        <w:t xml:space="preserve"> .</w:t>
      </w:r>
    </w:p>
  </w:footnote>
  <w:footnote w:id="38">
    <w:p w:rsidR="00865117" w:rsidRPr="000367BF" w:rsidRDefault="00865117" w:rsidP="009A0119">
      <w:pPr>
        <w:pStyle w:val="FootnoteText"/>
        <w:rPr>
          <w:color w:val="000000"/>
        </w:rPr>
      </w:pPr>
      <w:r w:rsidRPr="000367BF">
        <w:rPr>
          <w:rStyle w:val="FootnoteReference"/>
          <w:color w:val="000000"/>
        </w:rPr>
        <w:footnoteRef/>
      </w:r>
      <w:r>
        <w:rPr>
          <w:color w:val="000000"/>
        </w:rPr>
        <w:t xml:space="preserve"> </w:t>
      </w:r>
      <w:r w:rsidRPr="000367BF">
        <w:rPr>
          <w:color w:val="000000"/>
        </w:rPr>
        <w:t>Residential Appliance Recycling Program Year 1 Evaluation Report – Final Report, prepared for Commonwealth Edison by Itron (under contract to Navigant Consulting), November 2009.</w:t>
      </w:r>
    </w:p>
  </w:footnote>
  <w:footnote w:id="39">
    <w:p w:rsidR="00865117" w:rsidRDefault="00865117">
      <w:pPr>
        <w:pStyle w:val="FootnoteText"/>
      </w:pPr>
      <w:r>
        <w:rPr>
          <w:rStyle w:val="FootnoteReference"/>
        </w:rPr>
        <w:footnoteRef/>
      </w:r>
      <w:r>
        <w:t xml:space="preserve"> </w:t>
      </w:r>
      <w:r w:rsidRPr="00F721BB">
        <w:t>We have taken the average energy factor for all solar water heaters with collector areas of 50 ft2 or smaller from http://www.solar-rating.org/ratings/ratings.htm.  As a cross check, we have calculated that the total available solar energy in PA for the same set of solar collectors is about twice as much as the savings claimed herein – that is, there is sufficient solar capacity to actualize an average energy factor of 1.84.</w:t>
      </w:r>
    </w:p>
  </w:footnote>
  <w:footnote w:id="40">
    <w:p w:rsidR="00865117" w:rsidRDefault="00865117">
      <w:pPr>
        <w:pStyle w:val="FootnoteText"/>
      </w:pPr>
      <w:r>
        <w:rPr>
          <w:rStyle w:val="FootnoteReference"/>
        </w:rPr>
        <w:footnoteRef/>
      </w:r>
      <w:r>
        <w:t xml:space="preserve"> </w:t>
      </w:r>
      <w:r w:rsidRPr="00F721BB">
        <w:t xml:space="preserve">Deemed Savings Estimates for Legacy Air Conditioning and Water Heating Direct Load Control Programs in PJM Region. The report can be accessed online: http://www.pjm.com/~/media/committees-groups/working-groups/lrwg/20070301/20070301-pjm-deemed-savings-report.ashx  </w:t>
      </w:r>
    </w:p>
  </w:footnote>
  <w:footnote w:id="41">
    <w:p w:rsidR="00865117" w:rsidRDefault="00865117">
      <w:pPr>
        <w:pStyle w:val="FootnoteText"/>
      </w:pPr>
      <w:r>
        <w:rPr>
          <w:rStyle w:val="FootnoteReference"/>
        </w:rPr>
        <w:footnoteRef/>
      </w:r>
      <w:r>
        <w:t xml:space="preserve"> </w:t>
      </w:r>
      <w:r w:rsidRPr="00F721BB">
        <w:t>The average is over all 82 water heaters and over all summer, spring/fall, or winter days.  The  load shapes are taken from the fourth columns, labeled “Mean”, in tables 14,15, and 16 in pages 5-31 and 5-32</w:t>
      </w:r>
    </w:p>
  </w:footnote>
  <w:footnote w:id="42">
    <w:p w:rsidR="00865117" w:rsidRDefault="00865117">
      <w:pPr>
        <w:pStyle w:val="FootnoteText"/>
      </w:pPr>
      <w:r>
        <w:rPr>
          <w:rStyle w:val="FootnoteReference"/>
        </w:rPr>
        <w:footnoteRef/>
      </w:r>
      <w:r>
        <w:t xml:space="preserve"> </w:t>
      </w:r>
      <w:r w:rsidRPr="00F721BB">
        <w:t xml:space="preserve">On the other hand, the band would have to </w:t>
      </w:r>
      <w:proofErr w:type="gramStart"/>
      <w:r w:rsidRPr="00F721BB">
        <w:t>expanded</w:t>
      </w:r>
      <w:proofErr w:type="gramEnd"/>
      <w:r w:rsidRPr="00F721BB">
        <w:t xml:space="preserve"> to at least 12 hours to capture all 100 hours.</w:t>
      </w:r>
    </w:p>
  </w:footnote>
  <w:footnote w:id="43">
    <w:p w:rsidR="00865117" w:rsidRDefault="00865117">
      <w:pPr>
        <w:pStyle w:val="FootnoteText"/>
      </w:pPr>
      <w:r>
        <w:rPr>
          <w:rStyle w:val="FootnoteReference"/>
        </w:rPr>
        <w:footnoteRef/>
      </w:r>
      <w:r>
        <w:t xml:space="preserve"> </w:t>
      </w:r>
      <w:r w:rsidRPr="00F721BB">
        <w:t>The 5th column, labeled “Mean” of Table 18 in page 5-34 is used to derive an adjustment factor that scales average summer usage to summer weekday usage.    The conversion factor is 0.925844.  A number smaller than one indicates that for residential homes, the hot water usage from noon to 8 PM is slightly higher is the weekends than on weekdays.</w:t>
      </w:r>
    </w:p>
  </w:footnote>
  <w:footnote w:id="44">
    <w:p w:rsidR="00865117" w:rsidRDefault="00865117">
      <w:pPr>
        <w:pStyle w:val="FootnoteText"/>
      </w:pPr>
      <w:r>
        <w:rPr>
          <w:rStyle w:val="FootnoteReference"/>
        </w:rPr>
        <w:footnoteRef/>
      </w:r>
      <w:r>
        <w:t xml:space="preserve"> </w:t>
      </w:r>
      <w:r w:rsidRPr="00F721BB">
        <w:t>http://www.energystar.gov/index.cfm?c=solar_wheat.pr_savings_benefits</w:t>
      </w:r>
    </w:p>
  </w:footnote>
  <w:footnote w:id="45">
    <w:p w:rsidR="00865117" w:rsidRDefault="00865117">
      <w:pPr>
        <w:pStyle w:val="FootnoteText"/>
      </w:pPr>
      <w:r>
        <w:rPr>
          <w:rStyle w:val="FootnoteReference"/>
        </w:rPr>
        <w:footnoteRef/>
      </w:r>
      <w:r>
        <w:t xml:space="preserve"> </w:t>
      </w:r>
      <w:r w:rsidRPr="00B72E70">
        <w:t xml:space="preserve">American Council for an Energy-Efficient Economy, Summit Blue Consulting, Vermont Energy Investment Corporation, ICF International, and Synapse Energy Economics, </w:t>
      </w:r>
      <w:r w:rsidRPr="00B72E70">
        <w:rPr>
          <w:u w:val="single"/>
        </w:rPr>
        <w:t>Potential for Energy Efficiency, Demand Response, and Onsite Solar Energy in Pennsylvania</w:t>
      </w:r>
      <w:r w:rsidRPr="00B72E70">
        <w:t>, Report Number E093, April 2009, p. 117.</w:t>
      </w:r>
    </w:p>
  </w:footnote>
  <w:footnote w:id="46">
    <w:p w:rsidR="00865117" w:rsidRDefault="00865117">
      <w:pPr>
        <w:pStyle w:val="FootnoteText"/>
      </w:pPr>
      <w:r>
        <w:rPr>
          <w:rStyle w:val="FootnoteReference"/>
        </w:rPr>
        <w:footnoteRef/>
      </w:r>
      <w:r>
        <w:t xml:space="preserve"> </w:t>
      </w:r>
      <w:r w:rsidRPr="00B72E70">
        <w:t xml:space="preserve">Deemed Savings Estimates for Legacy Air Conditioning and Water Heating Direct Load Control Programs in PJM Region. The report can be accessed online: </w:t>
      </w:r>
      <w:hyperlink r:id="rId6" w:history="1">
        <w:r w:rsidRPr="00B72E70">
          <w:rPr>
            <w:rStyle w:val="Hyperlink"/>
          </w:rPr>
          <w:t>http://www.pjm.com/~/media/committees-groups/working-groups/lrwg/20070301/20070301-pjm-deemed-savings-report.ashx</w:t>
        </w:r>
      </w:hyperlink>
      <w:r w:rsidRPr="00B72E70">
        <w:t xml:space="preserve"> </w:t>
      </w:r>
    </w:p>
  </w:footnote>
  <w:footnote w:id="47">
    <w:p w:rsidR="00865117" w:rsidRDefault="00865117">
      <w:pPr>
        <w:pStyle w:val="FootnoteText"/>
      </w:pPr>
      <w:r>
        <w:rPr>
          <w:rStyle w:val="FootnoteReference"/>
        </w:rPr>
        <w:footnoteRef/>
      </w:r>
      <w:r>
        <w:t xml:space="preserve"> </w:t>
      </w:r>
      <w:proofErr w:type="gramStart"/>
      <w:r w:rsidRPr="00B72E70">
        <w:t>Op. cit.</w:t>
      </w:r>
      <w:proofErr w:type="gramEnd"/>
    </w:p>
  </w:footnote>
  <w:footnote w:id="48">
    <w:p w:rsidR="00865117" w:rsidRDefault="00865117">
      <w:pPr>
        <w:pStyle w:val="FootnoteText"/>
      </w:pPr>
      <w:r>
        <w:rPr>
          <w:rStyle w:val="FootnoteReference"/>
        </w:rPr>
        <w:footnoteRef/>
      </w:r>
      <w:r>
        <w:t xml:space="preserve"> </w:t>
      </w:r>
      <w:r w:rsidRPr="00B72E70">
        <w:t xml:space="preserve">Efficiency </w:t>
      </w:r>
      <w:smartTag w:uri="urn:schemas-microsoft-com:office:smarttags" w:element="State">
        <w:smartTag w:uri="urn:schemas-microsoft-com:office:smarttags" w:element="place">
          <w:r w:rsidRPr="00B72E70">
            <w:t>Vermont</w:t>
          </w:r>
        </w:smartTag>
      </w:smartTag>
      <w:r w:rsidRPr="00B72E70">
        <w:t>, Technical Reference User Manual: Measure Savings Algorithms and Cost Assumptions, TRM User Manual No. 2008-53, 07/18/08.</w:t>
      </w:r>
    </w:p>
  </w:footnote>
  <w:footnote w:id="49">
    <w:p w:rsidR="00865117" w:rsidRPr="006657C9" w:rsidRDefault="00865117" w:rsidP="00F47DC4">
      <w:pPr>
        <w:pStyle w:val="FootnoteText"/>
        <w:rPr>
          <w:rFonts w:cs="Arial"/>
          <w:szCs w:val="16"/>
        </w:rPr>
      </w:pPr>
      <w:r w:rsidRPr="006657C9">
        <w:rPr>
          <w:rStyle w:val="FootnoteReference"/>
          <w:rFonts w:cs="Arial"/>
          <w:szCs w:val="16"/>
        </w:rPr>
        <w:footnoteRef/>
      </w:r>
      <w:r w:rsidRPr="006657C9">
        <w:rPr>
          <w:rFonts w:cs="Arial"/>
          <w:szCs w:val="16"/>
        </w:rPr>
        <w:t xml:space="preserve"> </w:t>
      </w:r>
      <w:r w:rsidRPr="006657C9">
        <w:rPr>
          <w:rFonts w:cs="Arial"/>
          <w:i/>
          <w:szCs w:val="16"/>
        </w:rPr>
        <w:t>Whole House Fan, Technology Fact Sheet</w:t>
      </w:r>
      <w:r w:rsidRPr="006657C9">
        <w:rPr>
          <w:rFonts w:cs="Arial"/>
          <w:szCs w:val="16"/>
        </w:rPr>
        <w:t xml:space="preserve">, (March 1999), Department of Energy Building Technologies Program, DOE/GO-10099-745, accessed October 2010 </w:t>
      </w:r>
      <w:hyperlink r:id="rId7" w:history="1">
        <w:r w:rsidRPr="006657C9">
          <w:rPr>
            <w:rStyle w:val="Hyperlink"/>
            <w:rFonts w:cs="Arial"/>
            <w:szCs w:val="16"/>
          </w:rPr>
          <w:t>http://www.energysavers.gov/your_home/space_heating_cooling/related.cfm/mytopic=12357</w:t>
        </w:r>
      </w:hyperlink>
    </w:p>
  </w:footnote>
  <w:footnote w:id="50">
    <w:p w:rsidR="00865117" w:rsidRPr="006657C9" w:rsidRDefault="00865117" w:rsidP="00F47DC4">
      <w:pPr>
        <w:pStyle w:val="FootnoteText"/>
        <w:rPr>
          <w:rFonts w:cs="Arial"/>
          <w:szCs w:val="16"/>
        </w:rPr>
      </w:pPr>
      <w:r w:rsidRPr="006657C9">
        <w:rPr>
          <w:rStyle w:val="FootnoteReference"/>
          <w:rFonts w:cs="Arial"/>
          <w:szCs w:val="16"/>
        </w:rPr>
        <w:footnoteRef/>
      </w:r>
      <w:r w:rsidRPr="006657C9">
        <w:rPr>
          <w:rFonts w:cs="Arial"/>
          <w:szCs w:val="16"/>
        </w:rPr>
        <w:t xml:space="preserve"> Architectural Energy Corporation, REM/Rate v12.85.</w:t>
      </w:r>
    </w:p>
  </w:footnote>
  <w:footnote w:id="51">
    <w:p w:rsidR="00865117" w:rsidRPr="006657C9" w:rsidRDefault="00865117" w:rsidP="00F47DC4">
      <w:pPr>
        <w:pStyle w:val="FootnoteText"/>
        <w:rPr>
          <w:rFonts w:cs="Arial"/>
          <w:szCs w:val="16"/>
        </w:rPr>
      </w:pPr>
      <w:r w:rsidRPr="006657C9">
        <w:rPr>
          <w:rStyle w:val="FootnoteReference"/>
          <w:rFonts w:cs="Arial"/>
          <w:szCs w:val="16"/>
        </w:rPr>
        <w:footnoteRef/>
      </w:r>
      <w:r w:rsidRPr="006657C9">
        <w:rPr>
          <w:rFonts w:cs="Arial"/>
          <w:szCs w:val="16"/>
        </w:rPr>
        <w:t xml:space="preserve"> EIA (2005), Table HC1.1.3: “Housing Unit Characteristics by Average Floorspace”,  </w:t>
      </w:r>
      <w:hyperlink r:id="rId8" w:history="1">
        <w:r w:rsidRPr="006657C9">
          <w:rPr>
            <w:rStyle w:val="Hyperlink"/>
            <w:rFonts w:cs="Arial"/>
            <w:szCs w:val="16"/>
          </w:rPr>
          <w:t>http://www.eia.doe.gov/emeu/recs/recs2005/hc2005_tables/hcfloorspace/pdf/tablehc1.1.3.pdf</w:t>
        </w:r>
      </w:hyperlink>
      <w:r w:rsidRPr="006657C9">
        <w:rPr>
          <w:rFonts w:cs="Arial"/>
          <w:szCs w:val="16"/>
        </w:rPr>
        <w:t xml:space="preserve"> Used Single Family Detached “Heated” value for Mid-Atlantic region as representative of the living space cooled by a 10 SEER Split A/C unit. The floorspace recorded for “Cooling” is likely to be affected by Room A/C use.</w:t>
      </w:r>
    </w:p>
  </w:footnote>
  <w:footnote w:id="52">
    <w:p w:rsidR="00865117" w:rsidRPr="006657C9" w:rsidRDefault="00865117" w:rsidP="00F47DC4">
      <w:pPr>
        <w:pStyle w:val="FootnoteText"/>
        <w:rPr>
          <w:rFonts w:cs="Arial"/>
          <w:szCs w:val="16"/>
        </w:rPr>
      </w:pPr>
      <w:r w:rsidRPr="006657C9">
        <w:rPr>
          <w:rStyle w:val="FootnoteReference"/>
          <w:rFonts w:cs="Arial"/>
          <w:szCs w:val="16"/>
        </w:rPr>
        <w:footnoteRef/>
      </w:r>
      <w:r w:rsidRPr="006657C9">
        <w:rPr>
          <w:rFonts w:cs="Arial"/>
          <w:szCs w:val="16"/>
        </w:rPr>
        <w:t xml:space="preserve"> </w:t>
      </w:r>
      <w:r w:rsidRPr="006657C9">
        <w:rPr>
          <w:rFonts w:cs="Arial"/>
          <w:i/>
          <w:szCs w:val="16"/>
        </w:rPr>
        <w:t>DEER</w:t>
      </w:r>
      <w:r w:rsidRPr="006657C9">
        <w:rPr>
          <w:rFonts w:cs="Arial"/>
          <w:szCs w:val="16"/>
        </w:rPr>
        <w:t xml:space="preserve"> </w:t>
      </w:r>
      <w:r w:rsidRPr="006657C9">
        <w:rPr>
          <w:rFonts w:cs="Arial"/>
          <w:i/>
          <w:szCs w:val="16"/>
        </w:rPr>
        <w:t>EUL Summary</w:t>
      </w:r>
      <w:r w:rsidRPr="006657C9">
        <w:rPr>
          <w:rFonts w:cs="Arial"/>
          <w:szCs w:val="16"/>
        </w:rPr>
        <w:t xml:space="preserve">, Database for Energy Efficient Resources, accessed October 2010, </w:t>
      </w:r>
      <w:hyperlink r:id="rId9" w:history="1">
        <w:r w:rsidRPr="006657C9">
          <w:rPr>
            <w:rStyle w:val="Hyperlink"/>
            <w:rFonts w:cs="Arial"/>
            <w:szCs w:val="16"/>
          </w:rPr>
          <w:t>http://www.deeresources.com/deer0911planning/downloads/EUL_Summary_10-1-08.xls</w:t>
        </w:r>
      </w:hyperlink>
    </w:p>
  </w:footnote>
  <w:footnote w:id="53">
    <w:p w:rsidR="00865117" w:rsidRDefault="00865117" w:rsidP="00B72E70">
      <w:pPr>
        <w:pStyle w:val="FootnoteText"/>
      </w:pPr>
      <w:r>
        <w:rPr>
          <w:rStyle w:val="FootnoteReference"/>
        </w:rPr>
        <w:footnoteRef/>
      </w:r>
      <w:r>
        <w:t xml:space="preserve"> The measure energy efficiency performance is based on ENERGY STAR minimum specification requirements as specified in ARHI and CEE directory for ductless mini-split heat pumps. Ductless heat pumps fit these criteria and can easily exceed SEER levels of 16 or greater. </w:t>
      </w:r>
    </w:p>
  </w:footnote>
  <w:footnote w:id="54">
    <w:p w:rsidR="00865117" w:rsidRDefault="00865117">
      <w:pPr>
        <w:pStyle w:val="FootnoteText"/>
      </w:pPr>
      <w:r>
        <w:rPr>
          <w:rStyle w:val="FootnoteReference"/>
        </w:rPr>
        <w:footnoteRef/>
      </w:r>
      <w:r>
        <w:t xml:space="preserve"> DEER values, updated October 10, 2008. Various sources range from 12 to 20 years, DEER represented a reasonable mid-range. </w:t>
      </w:r>
      <w:r w:rsidRPr="00A47895">
        <w:t>http://www.deeresources.com/deer0911planning/downloads/EUL_Summary_10-1-08.xls</w:t>
      </w:r>
    </w:p>
  </w:footnote>
  <w:footnote w:id="55">
    <w:p w:rsidR="00865117" w:rsidRDefault="00865117">
      <w:pPr>
        <w:pStyle w:val="FootnoteText"/>
      </w:pPr>
      <w:r>
        <w:rPr>
          <w:rStyle w:val="FootnoteReference"/>
        </w:rPr>
        <w:footnoteRef/>
      </w:r>
      <w:r>
        <w:t xml:space="preserve"> </w:t>
      </w:r>
      <w:r w:rsidRPr="009D314F">
        <w:t>Deemed Savings Estimates for Legacy Air Conditioning and Water Heating Direct Load Control Programs in PJM Region. The report can be accessed online: http://www.pjm.com/~/media/committees-groups/working-groups/lrwg/20070301/20070301-pjm-deemed-savings-report.ashx</w:t>
      </w:r>
    </w:p>
  </w:footnote>
  <w:footnote w:id="56">
    <w:p w:rsidR="00865117" w:rsidRDefault="00865117">
      <w:pPr>
        <w:pStyle w:val="FootnoteText"/>
      </w:pPr>
      <w:r>
        <w:rPr>
          <w:rStyle w:val="FootnoteReference"/>
        </w:rPr>
        <w:footnoteRef/>
      </w:r>
      <w:r>
        <w:t xml:space="preserve"> </w:t>
      </w:r>
      <w:r w:rsidRPr="009D314F">
        <w:t>The average is over all 82 water heaters and over all summer, spring/fall, or winter days.  The  load shapes are taken from the fourth columns, labeled “Mean”, in tables 14,15, and 16 in pages 5-31 and 5-32</w:t>
      </w:r>
    </w:p>
  </w:footnote>
  <w:footnote w:id="57">
    <w:p w:rsidR="00865117" w:rsidRDefault="00865117">
      <w:pPr>
        <w:pStyle w:val="FootnoteText"/>
      </w:pPr>
      <w:r>
        <w:rPr>
          <w:rStyle w:val="FootnoteReference"/>
        </w:rPr>
        <w:footnoteRef/>
      </w:r>
      <w:r>
        <w:t xml:space="preserve"> </w:t>
      </w:r>
      <w:r w:rsidRPr="009D314F">
        <w:t>The 5th column, labeled “Mean” of Table 18 in page 5-34 is used to derive an adjustment factor that scales average summer usage to summer weekday usage.  The conversion factor is 0.925844.  A number smaller than one indicates that for residential homes, the hot water usage from noon to 8 PM is slightly higher is the weekends than on weekdays.</w:t>
      </w:r>
    </w:p>
  </w:footnote>
  <w:footnote w:id="58">
    <w:p w:rsidR="00865117" w:rsidRDefault="00865117" w:rsidP="009D314F">
      <w:pPr>
        <w:pStyle w:val="FootnoteText"/>
      </w:pPr>
      <w:r>
        <w:rPr>
          <w:rStyle w:val="FootnoteReference"/>
        </w:rPr>
        <w:footnoteRef/>
      </w:r>
      <w:r>
        <w:t xml:space="preserve"> DEER values, updated October 10, 2008: http://www.deeresources.com/deer0911planning/downloads/EUL_Summary_10-1-08.xls</w:t>
      </w:r>
    </w:p>
  </w:footnote>
  <w:footnote w:id="59">
    <w:p w:rsidR="00865117" w:rsidRDefault="00865117">
      <w:pPr>
        <w:pStyle w:val="FootnoteText"/>
      </w:pPr>
      <w:r>
        <w:rPr>
          <w:rStyle w:val="FootnoteReference"/>
        </w:rPr>
        <w:footnoteRef/>
      </w:r>
      <w:r>
        <w:t xml:space="preserve"> </w:t>
      </w:r>
      <w:r w:rsidRPr="00F92AD7">
        <w:t>Deemed Savings Estimates for Legacy Air Conditioning and Water Heating Direct Load Control Programs in PJM Region. The report can be accessed online: http://www.pjm.com/~/media/committees-groups/working-groups/lrwg/20070301/20070301-pjm-deemed-savings-report.ashx</w:t>
      </w:r>
    </w:p>
  </w:footnote>
  <w:footnote w:id="60">
    <w:p w:rsidR="00865117" w:rsidRDefault="00865117">
      <w:pPr>
        <w:pStyle w:val="FootnoteText"/>
      </w:pPr>
      <w:r>
        <w:rPr>
          <w:rStyle w:val="FootnoteReference"/>
        </w:rPr>
        <w:footnoteRef/>
      </w:r>
      <w:r>
        <w:t xml:space="preserve"> </w:t>
      </w:r>
      <w:r w:rsidRPr="00F92AD7">
        <w:t>The average is over all 82 water heaters and over all summer, spring/fall, or winter days.  The  load shapes are taken from the fourth columns, labeled “Mean”, in tables 14,15, and 16 in pages 5-31 and 5-32</w:t>
      </w:r>
    </w:p>
  </w:footnote>
  <w:footnote w:id="61">
    <w:p w:rsidR="00865117" w:rsidRDefault="00865117">
      <w:pPr>
        <w:pStyle w:val="FootnoteText"/>
      </w:pPr>
      <w:r>
        <w:rPr>
          <w:rStyle w:val="FootnoteReference"/>
        </w:rPr>
        <w:footnoteRef/>
      </w:r>
      <w:r>
        <w:t xml:space="preserve"> </w:t>
      </w:r>
      <w:r w:rsidRPr="00F92AD7">
        <w:t>The 5th column, labeled “Mean” of Table 18 in page 5-34 is used to derive an adjustment factor that scales average summer usage to summer weekday usage.    The conversion factor is 0.925844.  A number smaller than one indicates that for residential homes, the hot water usage from noon to 8 PM is slightly higher is the weekends than on weekdays.</w:t>
      </w:r>
    </w:p>
  </w:footnote>
  <w:footnote w:id="62">
    <w:p w:rsidR="00865117" w:rsidRDefault="00865117">
      <w:pPr>
        <w:pStyle w:val="FootnoteText"/>
      </w:pPr>
      <w:r>
        <w:rPr>
          <w:rStyle w:val="FootnoteReference"/>
        </w:rPr>
        <w:footnoteRef/>
      </w:r>
      <w:r>
        <w:t xml:space="preserve"> </w:t>
      </w:r>
      <w:r w:rsidRPr="00F92AD7">
        <w:t xml:space="preserve">Based on TMY2 weather files from DOE2.com for Erie, Harrisburg, Pittsburgh, Wilkes-Barre, And Williamsport, the average annual wetbulb temperature is 45 </w:t>
      </w:r>
      <w:r w:rsidRPr="00D45300">
        <w:t xml:space="preserve">± </w:t>
      </w:r>
      <w:r w:rsidRPr="00F92AD7">
        <w:t>1.3 °F.  The wetbulb temperature in garages or attics, where the heat pumps are likely to be installed, are likely to be two or three degrees higher, but for simplicity, 45 °F is assumed to be the annual average wetbulb temperature.</w:t>
      </w:r>
    </w:p>
  </w:footnote>
  <w:footnote w:id="63">
    <w:p w:rsidR="00865117" w:rsidRDefault="00865117" w:rsidP="00F92AD7">
      <w:pPr>
        <w:pStyle w:val="FootnoteText"/>
      </w:pPr>
      <w:r>
        <w:rPr>
          <w:rStyle w:val="FootnoteReference"/>
        </w:rPr>
        <w:footnoteRef/>
      </w:r>
      <w:r>
        <w:t xml:space="preserve"> The performance curve is adapted </w:t>
      </w:r>
      <w:proofErr w:type="gramStart"/>
      <w:r>
        <w:t>from  Table</w:t>
      </w:r>
      <w:proofErr w:type="gramEnd"/>
      <w:r>
        <w:t xml:space="preserve"> 1 in </w:t>
      </w:r>
      <w:hyperlink r:id="rId10" w:anchor="Single-stage%20HPWHs" w:history="1">
        <w:r w:rsidRPr="00002DB9">
          <w:rPr>
            <w:rStyle w:val="Hyperlink"/>
          </w:rPr>
          <w:t>http://wescorhvac.com/HPWH%20design%20details.htm#Single-stage%20HPWHs</w:t>
        </w:r>
      </w:hyperlink>
      <w:r>
        <w:br/>
        <w:t>The performance curve depends on other factors, such as hot water set point.  Our adjustment factor of 0.84 is a first order approximation based on the information available in literature.</w:t>
      </w:r>
    </w:p>
  </w:footnote>
  <w:footnote w:id="64">
    <w:p w:rsidR="00865117" w:rsidRDefault="00865117">
      <w:pPr>
        <w:pStyle w:val="FootnoteText"/>
      </w:pPr>
      <w:r>
        <w:rPr>
          <w:rStyle w:val="FootnoteReference"/>
        </w:rPr>
        <w:footnoteRef/>
      </w:r>
      <w:r>
        <w:t xml:space="preserve"> DEER values, updated October 10, 2008</w:t>
      </w:r>
      <w:r>
        <w:br/>
      </w:r>
      <w:hyperlink r:id="rId11" w:history="1">
        <w:r w:rsidRPr="000E42B4">
          <w:rPr>
            <w:rStyle w:val="Hyperlink"/>
          </w:rPr>
          <w:t>http://www.deeresources.com/deer0911planning/downloads/EUL_Summary_10-1-08.xls</w:t>
        </w:r>
      </w:hyperlink>
    </w:p>
  </w:footnote>
  <w:footnote w:id="65">
    <w:p w:rsidR="00865117" w:rsidRDefault="00865117" w:rsidP="00D45300">
      <w:pPr>
        <w:pStyle w:val="FootnoteText"/>
      </w:pPr>
      <w:r>
        <w:rPr>
          <w:rStyle w:val="FootnoteReference"/>
        </w:rPr>
        <w:footnoteRef/>
      </w:r>
      <w:r>
        <w:t xml:space="preserve"> PA 2010 TRM Appendix A: Measure Lives.  Note that PA Act 129 savings can be claimed for no more than 15 years.</w:t>
      </w:r>
    </w:p>
  </w:footnote>
  <w:footnote w:id="66">
    <w:p w:rsidR="00865117" w:rsidRDefault="00865117" w:rsidP="00751C57">
      <w:pPr>
        <w:pStyle w:val="FootnoteText"/>
      </w:pPr>
      <w:r>
        <w:rPr>
          <w:rStyle w:val="FootnoteReference"/>
        </w:rPr>
        <w:footnoteRef/>
      </w:r>
      <w:r>
        <w:t xml:space="preserve"> “State of Ohio Energy Efficiency Technical Reference Manual,” prepared for the Public Utilities Commission of Ohio by Vermont Energy Investment Corporation. August 6, 2010.</w:t>
      </w:r>
    </w:p>
  </w:footnote>
  <w:footnote w:id="67">
    <w:p w:rsidR="00865117" w:rsidRDefault="00865117" w:rsidP="00751C57">
      <w:pPr>
        <w:pStyle w:val="FootnoteText"/>
      </w:pPr>
      <w:r>
        <w:rPr>
          <w:rStyle w:val="FootnoteReference"/>
        </w:rPr>
        <w:footnoteRef/>
      </w:r>
      <w:r>
        <w:t xml:space="preserve"> </w:t>
      </w:r>
      <w:proofErr w:type="gramStart"/>
      <w:r>
        <w:t>Used eQuest 3.64 to derive roof assembly R-values.</w:t>
      </w:r>
      <w:proofErr w:type="gramEnd"/>
      <w:r>
        <w:t xml:space="preserve">  When insulation is added between the joists as in most insulation up to R-30 (10”), the assembly R-value is based on a parallel heat transfer calculation of the insulation and joists, rather than a series heat transfer.</w:t>
      </w:r>
    </w:p>
  </w:footnote>
  <w:footnote w:id="68">
    <w:p w:rsidR="00865117" w:rsidRDefault="00865117" w:rsidP="00751C57">
      <w:pPr>
        <w:pStyle w:val="FootnoteText"/>
      </w:pPr>
      <w:r>
        <w:rPr>
          <w:rStyle w:val="FootnoteReference"/>
        </w:rPr>
        <w:footnoteRef/>
      </w:r>
      <w:r>
        <w:t xml:space="preserve"> Generally as insulation is added beyond R-30 (10”), the insulation has cleared the joists and the R-value of the insulation above the joists can be added as a series heat transfer rather than a parallel heat transfer condition.  Therefore, above R-30 insulation levels, the additional R-value can be added directly to the assembly value of R-30 insulation.</w:t>
      </w:r>
    </w:p>
  </w:footnote>
  <w:footnote w:id="69">
    <w:p w:rsidR="00865117" w:rsidRDefault="00865117" w:rsidP="00751C57">
      <w:pPr>
        <w:pStyle w:val="FootnoteText"/>
      </w:pPr>
      <w:r>
        <w:rPr>
          <w:rStyle w:val="FootnoteReference"/>
        </w:rPr>
        <w:footnoteRef/>
      </w:r>
      <w:r>
        <w:t xml:space="preserve"> </w:t>
      </w:r>
      <w:proofErr w:type="gramStart"/>
      <w:r>
        <w:t>Used eQuest 6.64 to derive wall assembly R-values.</w:t>
      </w:r>
      <w:proofErr w:type="gramEnd"/>
    </w:p>
  </w:footnote>
  <w:footnote w:id="70">
    <w:p w:rsidR="00865117" w:rsidRDefault="00865117" w:rsidP="00751C57">
      <w:pPr>
        <w:pStyle w:val="FootnoteText"/>
      </w:pPr>
      <w:r>
        <w:rPr>
          <w:rStyle w:val="FootnoteReference"/>
        </w:rPr>
        <w:footnoteRef/>
      </w:r>
      <w:r>
        <w:t xml:space="preserve"> </w:t>
      </w:r>
      <w:proofErr w:type="gramStart"/>
      <w:r>
        <w:t>Used eQuest 6.64 to derive wall assembly R-values.</w:t>
      </w:r>
      <w:proofErr w:type="gramEnd"/>
      <w:r>
        <w:t xml:space="preserve">  It is coincidence that adding R-6 to a 2x4 stud wall essentially yields R-9 assembly value even though this was done using a parallel heat transfer calculation.  This was due to rounding.  The defaults are based on conservative assumptions of wall construction.</w:t>
      </w:r>
    </w:p>
  </w:footnote>
  <w:footnote w:id="71">
    <w:p w:rsidR="00865117" w:rsidRDefault="00865117" w:rsidP="00751C57">
      <w:pPr>
        <w:pStyle w:val="FootnoteText"/>
      </w:pPr>
      <w:r>
        <w:rPr>
          <w:rStyle w:val="FootnoteReference"/>
        </w:rPr>
        <w:footnoteRef/>
      </w:r>
      <w:r>
        <w:t xml:space="preserve"> </w:t>
      </w:r>
      <w:proofErr w:type="gramStart"/>
      <w:r>
        <w:t>DOE recommendation on ENERGY STAR website for adding wall insulation to existing homes in Zones 5-8.</w:t>
      </w:r>
      <w:proofErr w:type="gramEnd"/>
      <w:r w:rsidRPr="00837810">
        <w:t xml:space="preserve"> </w:t>
      </w:r>
      <w:r>
        <w:t xml:space="preserve"> Insulation may be loose fill in stud cavities or board insulation beneath siding. </w:t>
      </w:r>
      <w:hyperlink r:id="rId12" w:history="1">
        <w:r w:rsidRPr="00775AAA">
          <w:rPr>
            <w:rStyle w:val="Hyperlink"/>
          </w:rPr>
          <w:t>http://www.energystar.gov/index.cfm?c=home_sealing.hm_improvement_insulation_table</w:t>
        </w:r>
      </w:hyperlink>
      <w:r>
        <w:t xml:space="preserve"> </w:t>
      </w:r>
    </w:p>
  </w:footnote>
  <w:footnote w:id="72">
    <w:p w:rsidR="00865117" w:rsidRDefault="00865117" w:rsidP="00751C57">
      <w:pPr>
        <w:pStyle w:val="FootnoteText"/>
      </w:pPr>
      <w:r>
        <w:rPr>
          <w:rStyle w:val="FootnoteReference"/>
        </w:rPr>
        <w:footnoteRef/>
      </w:r>
      <w:r>
        <w:t xml:space="preserve"> From PECO baseline study, average home size = 2323 ft</w:t>
      </w:r>
      <w:r w:rsidRPr="00830123">
        <w:rPr>
          <w:vertAlign w:val="superscript"/>
        </w:rPr>
        <w:t>2</w:t>
      </w:r>
      <w:r>
        <w:t>, average number of room AC units per home = 2.1.  Average Room AC capacity = 10,000 BtuH per ENERGY STAR Room AC Calculator, which serves 425 ft</w:t>
      </w:r>
      <w:r w:rsidRPr="00830123">
        <w:rPr>
          <w:vertAlign w:val="superscript"/>
        </w:rPr>
        <w:t>2</w:t>
      </w:r>
      <w:r>
        <w:t xml:space="preserve"> (average between 400 and 450 ft</w:t>
      </w:r>
      <w:r w:rsidRPr="00830123">
        <w:rPr>
          <w:vertAlign w:val="superscript"/>
        </w:rPr>
        <w:t>2</w:t>
      </w:r>
      <w:r>
        <w:t xml:space="preserve"> for 10,000 BtuH unit per ENERGY STAR Room AC sizing chart). F</w:t>
      </w:r>
      <w:r w:rsidRPr="00830123">
        <w:rPr>
          <w:vertAlign w:val="subscript"/>
        </w:rPr>
        <w:t>Room,AC</w:t>
      </w:r>
      <w:r>
        <w:t xml:space="preserve"> = (425 ft</w:t>
      </w:r>
      <w:r w:rsidRPr="00830123">
        <w:rPr>
          <w:vertAlign w:val="superscript"/>
        </w:rPr>
        <w:t>2</w:t>
      </w:r>
      <w:r>
        <w:t xml:space="preserve"> * 2.1)/(2323 ft</w:t>
      </w:r>
      <w:r w:rsidRPr="00830123">
        <w:rPr>
          <w:vertAlign w:val="superscript"/>
        </w:rPr>
        <w:t>2</w:t>
      </w:r>
      <w:r>
        <w:t>) = 0.38</w:t>
      </w:r>
    </w:p>
  </w:footnote>
  <w:footnote w:id="73">
    <w:p w:rsidR="00865117" w:rsidRDefault="00865117" w:rsidP="00751C57">
      <w:pPr>
        <w:pStyle w:val="FootnoteText"/>
      </w:pPr>
      <w:r>
        <w:rPr>
          <w:rStyle w:val="FootnoteReference"/>
        </w:rPr>
        <w:footnoteRef/>
      </w:r>
      <w:r>
        <w:t xml:space="preserve"> </w:t>
      </w:r>
      <w:proofErr w:type="gramStart"/>
      <w:r>
        <w:t>Table 2-1.</w:t>
      </w:r>
      <w:proofErr w:type="gramEnd"/>
    </w:p>
  </w:footnote>
  <w:footnote w:id="74">
    <w:p w:rsidR="00865117" w:rsidRDefault="00865117" w:rsidP="00751C57">
      <w:pPr>
        <w:pStyle w:val="FootnoteText"/>
      </w:pPr>
      <w:r>
        <w:rPr>
          <w:rStyle w:val="FootnoteReference"/>
        </w:rPr>
        <w:footnoteRef/>
      </w:r>
      <w:r>
        <w:t xml:space="preserve"> PA SWE Interim Approved TRM Protocol – Residential Room AC Retirement</w:t>
      </w:r>
    </w:p>
  </w:footnote>
  <w:footnote w:id="75">
    <w:p w:rsidR="00865117" w:rsidRDefault="00865117" w:rsidP="00751C57">
      <w:pPr>
        <w:pStyle w:val="FootnoteText"/>
      </w:pPr>
      <w:r>
        <w:rPr>
          <w:rStyle w:val="FootnoteReference"/>
        </w:rPr>
        <w:footnoteRef/>
      </w:r>
      <w:r>
        <w:t xml:space="preserve"> Climatography of the United States No. 81. </w:t>
      </w:r>
      <w:proofErr w:type="gramStart"/>
      <w:r>
        <w:t>Monthly Station Normals of Temperature, Precipitation, and Heating and Cooling Degree Days 1971-2000, 36 Pennsylvania.</w:t>
      </w:r>
      <w:proofErr w:type="gramEnd"/>
      <w:r>
        <w:t xml:space="preserve">  </w:t>
      </w:r>
      <w:proofErr w:type="gramStart"/>
      <w:r>
        <w:t>NOAA.</w:t>
      </w:r>
      <w:proofErr w:type="gramEnd"/>
      <w:r>
        <w:t xml:space="preserve"> </w:t>
      </w:r>
      <w:hyperlink r:id="rId13" w:history="1">
        <w:r w:rsidRPr="00E113AB">
          <w:rPr>
            <w:rStyle w:val="Hyperlink"/>
          </w:rPr>
          <w:t>http://cdo.ncdc.noaa.gov/climatenormals/clim81/PAnorm.pdf</w:t>
        </w:r>
      </w:hyperlink>
    </w:p>
  </w:footnote>
  <w:footnote w:id="76">
    <w:p w:rsidR="00865117" w:rsidRDefault="00865117" w:rsidP="00751C57">
      <w:pPr>
        <w:pStyle w:val="FootnoteText"/>
      </w:pPr>
      <w:r>
        <w:rPr>
          <w:rStyle w:val="FootnoteReference"/>
        </w:rPr>
        <w:footnoteRef/>
      </w:r>
      <w:r>
        <w:t xml:space="preserve"> Ibid.</w:t>
      </w:r>
    </w:p>
  </w:footnote>
  <w:footnote w:id="77">
    <w:p w:rsidR="00865117" w:rsidRDefault="00865117" w:rsidP="00751C57">
      <w:pPr>
        <w:pStyle w:val="FootnoteText"/>
      </w:pPr>
      <w:r>
        <w:rPr>
          <w:rStyle w:val="FootnoteReference"/>
        </w:rPr>
        <w:footnoteRef/>
      </w:r>
      <w:r>
        <w:t xml:space="preserve"> </w:t>
      </w:r>
      <w:r w:rsidRPr="00093F5F">
        <w:rPr>
          <w:i/>
        </w:rPr>
        <w:t>Massachusetts Statewide Technical Reference Manual for Estimating Savings from Energy Efficiency Measures</w:t>
      </w:r>
      <w:r>
        <w:t xml:space="preserve">, Version 1.0, accessed August 2010 at </w:t>
      </w:r>
      <w:hyperlink r:id="rId14" w:history="1">
        <w:r w:rsidRPr="00B84E80">
          <w:rPr>
            <w:rStyle w:val="Hyperlink"/>
          </w:rPr>
          <w:t>http://www.ma-eeac.org/docs/091023-MA-TRMdraft.pdf</w:t>
        </w:r>
      </w:hyperlink>
      <w:r>
        <w:t>.  Note that PA Act 129 savings can be claimed for no more than 15 years.</w:t>
      </w:r>
    </w:p>
  </w:footnote>
  <w:footnote w:id="78">
    <w:p w:rsidR="00865117" w:rsidRDefault="00865117" w:rsidP="00133427">
      <w:pPr>
        <w:pStyle w:val="FootnoteText"/>
      </w:pPr>
      <w:r>
        <w:rPr>
          <w:rStyle w:val="FootnoteReference"/>
        </w:rPr>
        <w:footnoteRef/>
      </w:r>
      <w:r>
        <w:t xml:space="preserve"> For example, non-residential rate class usage cases include residential dwellings that are master-metered, usage in offices or any other applications that involve typical refrigerator usage.</w:t>
      </w:r>
    </w:p>
  </w:footnote>
  <w:footnote w:id="79">
    <w:p w:rsidR="00865117" w:rsidRDefault="00865117">
      <w:pPr>
        <w:pStyle w:val="FootnoteText"/>
      </w:pPr>
      <w:r w:rsidRPr="00C67DA4">
        <w:rPr>
          <w:rStyle w:val="FootnoteReference"/>
          <w:vertAlign w:val="baseline"/>
        </w:rPr>
        <w:footnoteRef/>
      </w:r>
      <w:r w:rsidRPr="00C67DA4">
        <w:t xml:space="preserve"> 2004 - 2005 Final Report: A Measurement and Evaluation Study of the 2004-2005 Limited Income Refrigerator Replacement &amp; Lighting Program, Prepared for: San Diego Gas &amp; Electric, July 31, 2006</w:t>
      </w:r>
    </w:p>
  </w:footnote>
  <w:footnote w:id="80">
    <w:p w:rsidR="00865117" w:rsidRDefault="00865117" w:rsidP="000E2727">
      <w:pPr>
        <w:pStyle w:val="FootnoteText"/>
      </w:pPr>
      <w:r>
        <w:rPr>
          <w:rStyle w:val="FootnoteReference"/>
        </w:rPr>
        <w:footnoteRef/>
      </w:r>
      <w:r>
        <w:t xml:space="preserve"> </w:t>
      </w:r>
      <w:proofErr w:type="gramStart"/>
      <w:r w:rsidRPr="00EB21D7">
        <w:t>Vermont Energy Investment Corporation (VEIC) for NEEP, Mid Atlantic TRM Version 1.1.</w:t>
      </w:r>
      <w:proofErr w:type="gramEnd"/>
      <w:r w:rsidRPr="00EB21D7">
        <w:t xml:space="preserve"> October 2010. Pg.27.</w:t>
      </w:r>
    </w:p>
  </w:footnote>
  <w:footnote w:id="81">
    <w:p w:rsidR="00865117" w:rsidRDefault="00865117" w:rsidP="008E076F">
      <w:pPr>
        <w:pStyle w:val="FootnoteText"/>
      </w:pPr>
      <w:r>
        <w:rPr>
          <w:rStyle w:val="FootnoteReference"/>
        </w:rPr>
        <w:footnoteRef/>
      </w:r>
      <w:r>
        <w:t xml:space="preserve"> For example, non-residential rate class usage cases include residential dwellings that are master-metered, usage in offices or any other applications that involve typical refrigerator usage.</w:t>
      </w:r>
    </w:p>
  </w:footnote>
  <w:footnote w:id="82">
    <w:p w:rsidR="00865117" w:rsidRDefault="00865117">
      <w:pPr>
        <w:pStyle w:val="FootnoteText"/>
      </w:pPr>
      <w:r w:rsidRPr="00EB21D7">
        <w:rPr>
          <w:rStyle w:val="FootnoteReference"/>
        </w:rPr>
        <w:footnoteRef/>
      </w:r>
      <w:r>
        <w:t xml:space="preserve"> </w:t>
      </w:r>
      <w:r w:rsidRPr="00C67DA4">
        <w:t>Energy Star Refrigerator Retirement Calculator, accessed 10/15/2011 at http://www.energystar.gov/index.cfm?fuseaction=refrig.calculator</w:t>
      </w:r>
    </w:p>
  </w:footnote>
  <w:footnote w:id="83">
    <w:p w:rsidR="00865117" w:rsidRPr="00EB21D7" w:rsidRDefault="00865117">
      <w:pPr>
        <w:pStyle w:val="FootnoteText"/>
      </w:pPr>
      <w:r w:rsidRPr="00EB21D7">
        <w:rPr>
          <w:rStyle w:val="FootnoteReference"/>
        </w:rPr>
        <w:footnoteRef/>
      </w:r>
      <w:r w:rsidRPr="00C67DA4">
        <w:rPr>
          <w:rStyle w:val="FootnoteReference"/>
          <w:vertAlign w:val="baseline"/>
        </w:rPr>
        <w:t xml:space="preserve"> </w:t>
      </w:r>
      <w:r w:rsidRPr="00C67DA4">
        <w:t>Savings value derived from the JACO Appliance Collection Databases received from all EDCs (Allegheny, PPL, PECO, Duquesne and FirstEnergy).</w:t>
      </w:r>
      <w:r>
        <w:t xml:space="preserve"> This value is subject to change in future TRMs based on further analysis of other evaluation reports on appliance recycling programs across the nation.</w:t>
      </w:r>
    </w:p>
  </w:footnote>
  <w:footnote w:id="84">
    <w:p w:rsidR="00865117" w:rsidRDefault="00865117" w:rsidP="00EA43AA">
      <w:pPr>
        <w:pStyle w:val="FootnoteText"/>
      </w:pPr>
      <w:r>
        <w:rPr>
          <w:rStyle w:val="FootnoteReference"/>
        </w:rPr>
        <w:footnoteRef/>
      </w:r>
      <w:r>
        <w:t xml:space="preserve"> </w:t>
      </w:r>
      <w:proofErr w:type="gramStart"/>
      <w:r>
        <w:t>DoE’s  Building</w:t>
      </w:r>
      <w:proofErr w:type="gramEnd"/>
      <w:r>
        <w:t xml:space="preserve"> Energy Software Tools Directory (</w:t>
      </w:r>
      <w:r w:rsidRPr="00A86230">
        <w:t>http://apps1.eere.energy.gov/buildings/tools_directory/software</w:t>
      </w:r>
      <w:r>
        <w:t>).</w:t>
      </w:r>
    </w:p>
  </w:footnote>
  <w:footnote w:id="85">
    <w:p w:rsidR="00865117" w:rsidRDefault="00865117" w:rsidP="00EA43AA">
      <w:pPr>
        <w:pStyle w:val="FootnoteText"/>
      </w:pPr>
      <w:r>
        <w:rPr>
          <w:rStyle w:val="FootnoteReference"/>
        </w:rPr>
        <w:footnoteRef/>
      </w:r>
      <w:r>
        <w:t xml:space="preserve"> No source provided for these savings figure. Additional research and updated values are recommended.</w:t>
      </w:r>
    </w:p>
  </w:footnote>
  <w:footnote w:id="86">
    <w:p w:rsidR="00865117" w:rsidRPr="00F86822" w:rsidRDefault="00865117" w:rsidP="00EA43AA">
      <w:pPr>
        <w:pStyle w:val="FootnoteText"/>
      </w:pPr>
      <w:r>
        <w:rPr>
          <w:rStyle w:val="FootnoteReference"/>
        </w:rPr>
        <w:footnoteRef/>
      </w:r>
      <w:r>
        <w:t xml:space="preserve"> Single and multiple </w:t>
      </w:r>
      <w:proofErr w:type="gramStart"/>
      <w:r>
        <w:t>family</w:t>
      </w:r>
      <w:proofErr w:type="gramEnd"/>
      <w:r>
        <w:t xml:space="preserve"> as noted.</w:t>
      </w:r>
    </w:p>
  </w:footnote>
  <w:footnote w:id="87">
    <w:p w:rsidR="00865117" w:rsidRPr="001364C8" w:rsidRDefault="00865117">
      <w:pPr>
        <w:pStyle w:val="FootnoteText"/>
      </w:pPr>
      <w:r>
        <w:rPr>
          <w:rStyle w:val="FootnoteReference"/>
        </w:rPr>
        <w:footnoteRef/>
      </w:r>
      <w:r>
        <w:t xml:space="preserve"> According to information submitted by EDCs, fuel mix varies greatly across different territories (e.g. Duquesne reported 90/10 split between gas and electric water heating, whereas PECO reported a 69/31 split and PPL reported a 49/51 split. This extreme differential behooves EDC-specific values.</w:t>
      </w:r>
    </w:p>
  </w:footnote>
  <w:footnote w:id="88">
    <w:p w:rsidR="00865117" w:rsidRPr="00FF69CD" w:rsidRDefault="00865117">
      <w:pPr>
        <w:pStyle w:val="FootnoteText"/>
      </w:pPr>
      <w:r>
        <w:rPr>
          <w:rStyle w:val="FootnoteReference"/>
        </w:rPr>
        <w:footnoteRef/>
      </w:r>
      <w:r>
        <w:t xml:space="preserve"> </w:t>
      </w:r>
      <w:proofErr w:type="gramStart"/>
      <w:r>
        <w:t xml:space="preserve">Subject to </w:t>
      </w:r>
      <w:r w:rsidRPr="00E56385">
        <w:t>verification through evaluation.</w:t>
      </w:r>
      <w:proofErr w:type="gramEnd"/>
      <w:r w:rsidRPr="00E56385">
        <w:t xml:space="preserve">  The value can be updated if evaluation findings reveal a value that differs from the default</w:t>
      </w:r>
    </w:p>
  </w:footnote>
  <w:footnote w:id="89">
    <w:p w:rsidR="00865117" w:rsidRDefault="00865117" w:rsidP="0019409B">
      <w:pPr>
        <w:pStyle w:val="FootnoteText"/>
      </w:pPr>
      <w:r>
        <w:rPr>
          <w:rStyle w:val="FootnoteReference"/>
        </w:rPr>
        <w:footnoteRef/>
      </w:r>
      <w:r>
        <w:t xml:space="preserve"> </w:t>
      </w:r>
      <w:proofErr w:type="gramStart"/>
      <w:r>
        <w:t>United States Department of Energy.</w:t>
      </w:r>
      <w:proofErr w:type="gramEnd"/>
      <w:r>
        <w:t xml:space="preserve">  </w:t>
      </w:r>
      <w:r w:rsidRPr="0019409B">
        <w:rPr>
          <w:i/>
        </w:rPr>
        <w:t>Impact of EISA 2007 on General Service Incandescent Lamps: FACT SHEET.</w:t>
      </w:r>
      <w:r>
        <w:t xml:space="preserve"> </w:t>
      </w:r>
      <w:r w:rsidRPr="00811636">
        <w:t>http://www1.eere.energy.gov/buildings/appliance_standards/residential/pdfs/general_service_incandescent_factsheet.pdf</w:t>
      </w:r>
    </w:p>
    <w:p w:rsidR="00865117" w:rsidRDefault="00865117">
      <w:pPr>
        <w:pStyle w:val="FootnoteText"/>
      </w:pPr>
    </w:p>
  </w:footnote>
  <w:footnote w:id="90">
    <w:p w:rsidR="00865117" w:rsidRPr="00D50076" w:rsidRDefault="00865117">
      <w:pPr>
        <w:pStyle w:val="FootnoteText"/>
        <w:rPr>
          <w:i/>
        </w:rPr>
      </w:pPr>
      <w:r>
        <w:rPr>
          <w:rStyle w:val="FootnoteReference"/>
        </w:rPr>
        <w:footnoteRef/>
      </w:r>
      <w:r>
        <w:t xml:space="preserve"> The EISA 2007 standards apply to general service incandescent lamps.  </w:t>
      </w:r>
      <w:r w:rsidRPr="00811636">
        <w:t>A non-specialty CFL is considered any lamp that does not replace one of the 22 incandescent lamps exempt from the EISA 2007 standards</w:t>
      </w:r>
      <w:proofErr w:type="gramStart"/>
      <w:r w:rsidRPr="00811636">
        <w:t>.</w:t>
      </w:r>
      <w:r>
        <w:t>.</w:t>
      </w:r>
      <w:proofErr w:type="gramEnd"/>
      <w:r>
        <w:t xml:space="preserve">  A complete list of the 22 incandescent lamps exempt from EISA 2007 is listed in the United States Department of </w:t>
      </w:r>
      <w:r w:rsidRPr="00D50076">
        <w:rPr>
          <w:i/>
        </w:rPr>
        <w:t>Energy Impact of EISA 2007 on General Service Incandescent Lamps: FACT SHEET.</w:t>
      </w:r>
    </w:p>
  </w:footnote>
  <w:footnote w:id="91">
    <w:p w:rsidR="00865117" w:rsidRDefault="00865117" w:rsidP="00CB79AB">
      <w:pPr>
        <w:pStyle w:val="FootnoteText"/>
      </w:pPr>
      <w:r>
        <w:rPr>
          <w:rStyle w:val="FootnoteReference"/>
        </w:rPr>
        <w:footnoteRef/>
      </w:r>
      <w:r>
        <w:t xml:space="preserve"> </w:t>
      </w:r>
      <w:proofErr w:type="gramStart"/>
      <w:r>
        <w:t>Energy Information Administration.</w:t>
      </w:r>
      <w:proofErr w:type="gramEnd"/>
      <w:r>
        <w:t xml:space="preserve">  </w:t>
      </w:r>
      <w:proofErr w:type="gramStart"/>
      <w:r>
        <w:rPr>
          <w:i/>
        </w:rPr>
        <w:t>Residential Energy Consumption Survey</w:t>
      </w:r>
      <w:r>
        <w:t>.</w:t>
      </w:r>
      <w:proofErr w:type="gramEnd"/>
      <w:r>
        <w:t xml:space="preserve">  2005.  </w:t>
      </w:r>
      <w:hyperlink r:id="rId15" w:history="1">
        <w:r>
          <w:rPr>
            <w:rStyle w:val="Hyperlink"/>
          </w:rPr>
          <w:t>http://www.eia.doe.gov/emeu/recs/recs2005/hc2005_tables/detailed_tables2005.html</w:t>
        </w:r>
      </w:hyperlink>
    </w:p>
  </w:footnote>
  <w:footnote w:id="92">
    <w:p w:rsidR="00865117" w:rsidRDefault="00865117" w:rsidP="00CB79AB">
      <w:pPr>
        <w:pStyle w:val="FootnoteText"/>
      </w:pPr>
      <w:r>
        <w:rPr>
          <w:rStyle w:val="FootnoteReference"/>
        </w:rPr>
        <w:footnoteRef/>
      </w:r>
      <w:r>
        <w:t xml:space="preserve"> A new standard for BESTEST</w:t>
      </w:r>
      <w:r w:rsidRPr="0036775F">
        <w:t>-EX for existing homes</w:t>
      </w:r>
      <w:r>
        <w:t xml:space="preserve"> is currently being </w:t>
      </w:r>
      <w:r w:rsidRPr="0036775F">
        <w:t>deveoped - status is found at http://www.nrel.gov/buildings/bestest_Ex.html.</w:t>
      </w:r>
      <w:r>
        <w:t xml:space="preserve"> The existing 1995 standard can be found at </w:t>
      </w:r>
      <w:r w:rsidRPr="0036775F">
        <w:t>http://www.nrel.</w:t>
      </w:r>
      <w:r>
        <w:t>gov/docs/legosti/fy96/7332a.pdf.</w:t>
      </w:r>
    </w:p>
  </w:footnote>
  <w:footnote w:id="93">
    <w:p w:rsidR="00865117" w:rsidRDefault="00865117" w:rsidP="00CB79AB">
      <w:pPr>
        <w:pStyle w:val="FootnoteText"/>
      </w:pPr>
      <w:r>
        <w:rPr>
          <w:rStyle w:val="FootnoteReference"/>
        </w:rPr>
        <w:footnoteRef/>
      </w:r>
      <w:r>
        <w:t xml:space="preserve"> </w:t>
      </w:r>
      <w:proofErr w:type="gramStart"/>
      <w:r>
        <w:t xml:space="preserve">A listing of the approved software available at </w:t>
      </w:r>
      <w:hyperlink r:id="rId16" w:history="1">
        <w:r w:rsidRPr="000C42E9">
          <w:rPr>
            <w:rStyle w:val="Hyperlink"/>
          </w:rPr>
          <w:t>http://www.waptac.org/si.asp?id=736</w:t>
        </w:r>
      </w:hyperlink>
      <w:r>
        <w:t xml:space="preserve"> .</w:t>
      </w:r>
      <w:proofErr w:type="gramEnd"/>
    </w:p>
  </w:footnote>
  <w:footnote w:id="94">
    <w:p w:rsidR="00865117" w:rsidRDefault="00865117" w:rsidP="00CB79AB">
      <w:pPr>
        <w:pStyle w:val="FootnoteText"/>
      </w:pPr>
      <w:r>
        <w:rPr>
          <w:rStyle w:val="FootnoteReference"/>
        </w:rPr>
        <w:footnoteRef/>
      </w:r>
      <w:r>
        <w:t xml:space="preserve"> </w:t>
      </w:r>
      <w:proofErr w:type="gramStart"/>
      <w:r>
        <w:t xml:space="preserve">A listing of the approved software available at </w:t>
      </w:r>
      <w:hyperlink r:id="rId17" w:history="1">
        <w:r w:rsidRPr="000C42E9">
          <w:rPr>
            <w:rStyle w:val="Hyperlink"/>
          </w:rPr>
          <w:t>http://resnet.us</w:t>
        </w:r>
      </w:hyperlink>
      <w:r>
        <w:t xml:space="preserve"> .</w:t>
      </w:r>
      <w:proofErr w:type="gramEnd"/>
    </w:p>
  </w:footnote>
  <w:footnote w:id="95">
    <w:p w:rsidR="00865117" w:rsidRDefault="00865117" w:rsidP="00CB79AB">
      <w:pPr>
        <w:pStyle w:val="FootnoteText"/>
      </w:pPr>
      <w:r>
        <w:rPr>
          <w:rStyle w:val="FootnoteReference"/>
        </w:rPr>
        <w:footnoteRef/>
      </w:r>
      <w:r>
        <w:t xml:space="preserve"> M&amp;V Evaluation, Home Performance with Energy Star Program, Final Report, Prepared for the </w:t>
      </w:r>
      <w:smartTag w:uri="urn:schemas-microsoft-com:office:smarttags" w:element="place">
        <w:smartTag w:uri="urn:schemas-microsoft-com:office:smarttags" w:element="PlaceName">
          <w:r>
            <w:t>New York</w:t>
          </w:r>
        </w:smartTag>
        <w:r>
          <w:t xml:space="preserve"> </w:t>
        </w:r>
        <w:smartTag w:uri="urn:schemas-microsoft-com:office:smarttags" w:element="PlaceType">
          <w:r>
            <w:t>State</w:t>
          </w:r>
        </w:smartTag>
      </w:smartTag>
      <w:r>
        <w:t xml:space="preserve"> Energy Research and Development Authority, Nexant, June 2005.</w:t>
      </w:r>
    </w:p>
  </w:footnote>
  <w:footnote w:id="96">
    <w:p w:rsidR="00865117" w:rsidRDefault="00865117" w:rsidP="00A1079C">
      <w:pPr>
        <w:pStyle w:val="FootnoteText"/>
      </w:pPr>
      <w:r>
        <w:rPr>
          <w:rStyle w:val="FootnoteReference"/>
        </w:rPr>
        <w:footnoteRef/>
      </w:r>
      <w:r>
        <w:t xml:space="preserve"> This baseline assumption is made because there is no federal standard that specifies minimum TV efficiencies.</w:t>
      </w:r>
      <w:r w:rsidRPr="004A2609">
        <w:t xml:space="preserve"> </w:t>
      </w:r>
      <w:r>
        <w:t>ENERGY STAR Version 3.0 predates Version 4.1 standards.</w:t>
      </w:r>
    </w:p>
  </w:footnote>
  <w:footnote w:id="97">
    <w:p w:rsidR="00865117" w:rsidRDefault="00865117" w:rsidP="00A1079C">
      <w:pPr>
        <w:pStyle w:val="FootnoteText"/>
      </w:pPr>
      <w:r>
        <w:rPr>
          <w:rStyle w:val="FootnoteReference"/>
        </w:rPr>
        <w:footnoteRef/>
      </w:r>
      <w:r>
        <w:t xml:space="preserve"> 16:9 aspect </w:t>
      </w:r>
      <w:proofErr w:type="gramStart"/>
      <w:r>
        <w:t>ratio</w:t>
      </w:r>
      <w:proofErr w:type="gramEnd"/>
      <w:r>
        <w:t xml:space="preserve"> is assumed for TV viewable screen size (to convert from diagonal dimensions to viewable screen area). </w:t>
      </w:r>
      <w:r w:rsidRPr="002D2DE8">
        <w:rPr>
          <w:i/>
        </w:rPr>
        <w:t>ENERGY STAR Program Requirements for Televisions, Partner Commitments Versions 4.1 and 5.1</w:t>
      </w:r>
      <w:r>
        <w:t xml:space="preserve">, accessed October 2010, </w:t>
      </w:r>
      <w:hyperlink r:id="rId18" w:history="1">
        <w:r w:rsidRPr="0079256F">
          <w:rPr>
            <w:rStyle w:val="Hyperlink"/>
          </w:rPr>
          <w:t>http://www.energystar.gov/ia/partners/product_specs/program_reqs/tv_vcr_prog_req.pdf</w:t>
        </w:r>
      </w:hyperlink>
    </w:p>
  </w:footnote>
  <w:footnote w:id="98">
    <w:p w:rsidR="00865117" w:rsidRDefault="00865117" w:rsidP="00A1079C">
      <w:pPr>
        <w:pStyle w:val="FootnoteText"/>
      </w:pPr>
      <w:r>
        <w:rPr>
          <w:rStyle w:val="FootnoteReference"/>
        </w:rPr>
        <w:footnoteRef/>
      </w:r>
      <w:r>
        <w:t xml:space="preserve"> </w:t>
      </w:r>
      <w:r w:rsidRPr="005102DC">
        <w:rPr>
          <w:i/>
        </w:rPr>
        <w:t>TVs Key ENERGY STAR Product Criteria</w:t>
      </w:r>
      <w:r>
        <w:t xml:space="preserve">, accessed October 2010, </w:t>
      </w:r>
      <w:hyperlink r:id="rId19" w:history="1">
        <w:r w:rsidRPr="0079256F">
          <w:rPr>
            <w:rStyle w:val="Hyperlink"/>
          </w:rPr>
          <w:t>http://www.energystar.gov/index.cfm?c=tv_vcr.pr_crit_tv_vcr</w:t>
        </w:r>
      </w:hyperlink>
    </w:p>
  </w:footnote>
  <w:footnote w:id="99">
    <w:p w:rsidR="00865117" w:rsidRDefault="00865117" w:rsidP="00A1079C">
      <w:pPr>
        <w:pStyle w:val="FootnoteText"/>
      </w:pPr>
      <w:r>
        <w:rPr>
          <w:rStyle w:val="FootnoteReference"/>
        </w:rPr>
        <w:footnoteRef/>
      </w:r>
      <w:r>
        <w:t xml:space="preserve"> </w:t>
      </w:r>
      <w:r w:rsidRPr="004A2609">
        <w:t>Ibid.</w:t>
      </w:r>
    </w:p>
  </w:footnote>
  <w:footnote w:id="100">
    <w:p w:rsidR="00865117" w:rsidRDefault="00865117" w:rsidP="00A1079C">
      <w:pPr>
        <w:pStyle w:val="FootnoteText"/>
      </w:pPr>
      <w:r>
        <w:rPr>
          <w:rStyle w:val="FootnoteReference"/>
        </w:rPr>
        <w:footnoteRef/>
      </w:r>
      <w:r>
        <w:t xml:space="preserve"> Calculations are based on TV dimensions at the midpoint of the specified range.  For example, a diagonal of 25” was used to compute values for the range of 20”-30”.  15” was used to compute the value for sizes &lt; 20”.</w:t>
      </w:r>
    </w:p>
  </w:footnote>
  <w:footnote w:id="101">
    <w:p w:rsidR="00865117" w:rsidRPr="00404993" w:rsidRDefault="00865117" w:rsidP="00A1079C">
      <w:pPr>
        <w:pStyle w:val="FootnoteText"/>
      </w:pPr>
      <w:r>
        <w:rPr>
          <w:rStyle w:val="FootnoteReference"/>
        </w:rPr>
        <w:footnoteRef/>
      </w:r>
      <w:r>
        <w:t xml:space="preserve"> Based on ENERGY STAR Version 3.0 requirements, from </w:t>
      </w:r>
      <w:r w:rsidRPr="00404993">
        <w:rPr>
          <w:i/>
        </w:rPr>
        <w:t>ENERGY STAR Program Requirements for Televisions, Partner Commitments</w:t>
      </w:r>
      <w:r>
        <w:t xml:space="preserve">, accessed October 2010, </w:t>
      </w:r>
      <w:hyperlink r:id="rId20" w:history="1">
        <w:r w:rsidRPr="00D6128D">
          <w:rPr>
            <w:rStyle w:val="Hyperlink"/>
          </w:rPr>
          <w:t>http://www.energystar.gov/ia/partners/prod_development/revisions/downloads/tv_vcr/FinalV3.0_TV%20Program%20Requirements.pdf</w:t>
        </w:r>
      </w:hyperlink>
    </w:p>
  </w:footnote>
  <w:footnote w:id="102">
    <w:p w:rsidR="00865117" w:rsidRDefault="00865117" w:rsidP="00A1079C">
      <w:pPr>
        <w:pStyle w:val="FootnoteText"/>
      </w:pPr>
      <w:r>
        <w:rPr>
          <w:rStyle w:val="FootnoteReference"/>
        </w:rPr>
        <w:footnoteRef/>
      </w:r>
      <w:r>
        <w:t xml:space="preserve"> </w:t>
      </w:r>
      <w:r w:rsidRPr="002D2DE8">
        <w:rPr>
          <w:i/>
        </w:rPr>
        <w:t>ENERGY STAR Program Requirements for Televisions, Partner Commitments Versions 4.1 and 5.1</w:t>
      </w:r>
      <w:r>
        <w:t xml:space="preserve">, accessed October 2010, </w:t>
      </w:r>
      <w:hyperlink r:id="rId21" w:history="1">
        <w:r w:rsidRPr="0079256F">
          <w:rPr>
            <w:rStyle w:val="Hyperlink"/>
          </w:rPr>
          <w:t>http://www.energystar.gov/ia/partners/product_specs/program_reqs/tv_vcr_prog_req.pdf</w:t>
        </w:r>
      </w:hyperlink>
    </w:p>
  </w:footnote>
  <w:footnote w:id="103">
    <w:p w:rsidR="00865117" w:rsidRDefault="00865117" w:rsidP="00A1079C">
      <w:pPr>
        <w:pStyle w:val="FootnoteText"/>
      </w:pPr>
      <w:r>
        <w:rPr>
          <w:rStyle w:val="FootnoteReference"/>
        </w:rPr>
        <w:footnoteRef/>
      </w:r>
      <w:r>
        <w:t xml:space="preserve"> Ibid.</w:t>
      </w:r>
    </w:p>
  </w:footnote>
  <w:footnote w:id="104">
    <w:p w:rsidR="00865117" w:rsidRDefault="00865117" w:rsidP="00A1079C">
      <w:pPr>
        <w:pStyle w:val="FootnoteText"/>
      </w:pPr>
      <w:r>
        <w:rPr>
          <w:rStyle w:val="FootnoteReference"/>
        </w:rPr>
        <w:footnoteRef/>
      </w:r>
      <w:r>
        <w:t xml:space="preserve"> Calculations are based on TV dimensions at the midpoint of the specified range.  For example, a diagonal of 25” was used to compute values for the range of 20”-30”.  15” was used to compute the value for sizes &lt; 20”.</w:t>
      </w:r>
    </w:p>
  </w:footnote>
  <w:footnote w:id="105">
    <w:p w:rsidR="00865117" w:rsidRDefault="00865117" w:rsidP="00A1079C">
      <w:pPr>
        <w:pStyle w:val="FootnoteText"/>
      </w:pPr>
      <w:r>
        <w:rPr>
          <w:rStyle w:val="FootnoteReference"/>
        </w:rPr>
        <w:footnoteRef/>
      </w:r>
      <w:r>
        <w:t xml:space="preserve"> Ibid.</w:t>
      </w:r>
    </w:p>
  </w:footnote>
  <w:footnote w:id="106">
    <w:p w:rsidR="00865117" w:rsidRDefault="00865117" w:rsidP="00A1079C">
      <w:pPr>
        <w:pStyle w:val="FootnoteText"/>
      </w:pPr>
      <w:r>
        <w:rPr>
          <w:rStyle w:val="FootnoteReference"/>
        </w:rPr>
        <w:footnoteRef/>
      </w:r>
      <w:r>
        <w:t xml:space="preserve"> Deemed Savings Technical Assumptions, Program: ENERGY STAR Retailer Incentive Pilot Program, accessed October 2010, </w:t>
      </w:r>
      <w:hyperlink r:id="rId22" w:history="1">
        <w:r w:rsidRPr="00D6128D">
          <w:rPr>
            <w:rStyle w:val="Hyperlink"/>
          </w:rPr>
          <w:t>http://www.xcelenergy.com/SiteCollectionDocuments/docs/ES-Retailer-Incentive-60-day-Tech-Assumptions.pdf</w:t>
        </w:r>
      </w:hyperlink>
    </w:p>
  </w:footnote>
  <w:footnote w:id="107">
    <w:p w:rsidR="00865117" w:rsidRDefault="00865117" w:rsidP="00500CAF">
      <w:pPr>
        <w:pStyle w:val="FootnoteText"/>
      </w:pPr>
      <w:r>
        <w:rPr>
          <w:rStyle w:val="FootnoteReference"/>
        </w:rPr>
        <w:footnoteRef/>
      </w:r>
      <w:r>
        <w:t xml:space="preserve"> h</w:t>
      </w:r>
      <w:r w:rsidRPr="00032A72">
        <w:t>ttp://www.energystar.gov/ia/partners/product_specs/program_reqs/SSL_Key_Product_Criteria.pdf</w:t>
      </w:r>
    </w:p>
  </w:footnote>
  <w:footnote w:id="108">
    <w:p w:rsidR="00865117" w:rsidRDefault="00865117" w:rsidP="00500CAF">
      <w:pPr>
        <w:pStyle w:val="FootnoteText"/>
      </w:pPr>
      <w:r>
        <w:rPr>
          <w:rStyle w:val="FootnoteReference"/>
        </w:rPr>
        <w:footnoteRef/>
      </w:r>
      <w:r>
        <w:t xml:space="preserve"> </w:t>
      </w:r>
      <w:hyperlink r:id="rId23" w:history="1">
        <w:r>
          <w:rPr>
            <w:rStyle w:val="Hyperlink"/>
          </w:rPr>
          <w:t>http://www.lightingfacts.com/</w:t>
        </w:r>
      </w:hyperlink>
    </w:p>
  </w:footnote>
  <w:footnote w:id="109">
    <w:p w:rsidR="00865117" w:rsidRDefault="00865117" w:rsidP="00500CAF">
      <w:pPr>
        <w:pStyle w:val="FootnoteText"/>
      </w:pPr>
      <w:r>
        <w:rPr>
          <w:rStyle w:val="FootnoteReference"/>
        </w:rPr>
        <w:footnoteRef/>
      </w:r>
      <w:r>
        <w:t xml:space="preserve"> </w:t>
      </w:r>
      <w:hyperlink r:id="rId24" w:history="1">
        <w:r>
          <w:rPr>
            <w:rStyle w:val="Hyperlink"/>
          </w:rPr>
          <w:t>http://www1.eere.energy.gov/buildings/appliance_standards/residential/incandescent_lamps.html</w:t>
        </w:r>
      </w:hyperlink>
    </w:p>
  </w:footnote>
  <w:footnote w:id="110">
    <w:p w:rsidR="00865117" w:rsidRPr="001240DE" w:rsidRDefault="00865117" w:rsidP="00500CAF">
      <w:pPr>
        <w:pStyle w:val="FootnoteText"/>
      </w:pPr>
      <w:r>
        <w:rPr>
          <w:rStyle w:val="FootnoteReference"/>
        </w:rPr>
        <w:footnoteRef/>
      </w:r>
      <w:r>
        <w:t xml:space="preserve"> </w:t>
      </w:r>
      <w:hyperlink r:id="rId25" w:history="1">
        <w:r w:rsidRPr="001240DE">
          <w:rPr>
            <w:rStyle w:val="Hyperlink"/>
            <w:rFonts w:cs="Arial"/>
          </w:rPr>
          <w:t>http://www.standardsasap.org/products/incd_reflector.html</w:t>
        </w:r>
      </w:hyperlink>
    </w:p>
  </w:footnote>
  <w:footnote w:id="111">
    <w:p w:rsidR="00865117" w:rsidRPr="001240DE" w:rsidRDefault="00865117" w:rsidP="00500CAF">
      <w:pPr>
        <w:pStyle w:val="FootnoteText"/>
      </w:pPr>
      <w:r w:rsidRPr="001240DE">
        <w:rPr>
          <w:rStyle w:val="FootnoteReference"/>
          <w:rFonts w:cs="Arial"/>
        </w:rPr>
        <w:footnoteRef/>
      </w:r>
      <w:r w:rsidRPr="001240DE">
        <w:t xml:space="preserve"> The amendment provided nominal lamp wattages and minimum average efficacies for standard incandescent reflector lamps and general service lamps, </w:t>
      </w:r>
      <w:r w:rsidR="007A1FB6">
        <w:fldChar w:fldCharType="begin"/>
      </w:r>
      <w:r>
        <w:instrText xml:space="preserve"> REF _Ref298515113 \h </w:instrText>
      </w:r>
      <w:r w:rsidR="007A1FB6">
        <w:fldChar w:fldCharType="separate"/>
      </w:r>
      <w:r w:rsidRPr="00F44A01">
        <w:t xml:space="preserve">Table </w:t>
      </w:r>
      <w:r>
        <w:rPr>
          <w:noProof/>
        </w:rPr>
        <w:t>2</w:t>
      </w:r>
      <w:r>
        <w:noBreakHyphen/>
      </w:r>
      <w:r>
        <w:rPr>
          <w:noProof/>
        </w:rPr>
        <w:t>53</w:t>
      </w:r>
      <w:r w:rsidR="007A1FB6">
        <w:fldChar w:fldCharType="end"/>
      </w:r>
      <w:r>
        <w:t xml:space="preserve"> </w:t>
      </w:r>
      <w:r w:rsidRPr="001240DE">
        <w:t xml:space="preserve">adapts those averages. See: </w:t>
      </w:r>
      <w:hyperlink r:id="rId26" w:history="1">
        <w:r w:rsidRPr="001240DE">
          <w:rPr>
            <w:rStyle w:val="Hyperlink"/>
            <w:rFonts w:cs="Arial"/>
          </w:rPr>
          <w:t>http://www1.eere.energy.gov/buildings/appliance_standards/residential/incandescent_lamps_standards_final_rule.html</w:t>
        </w:r>
      </w:hyperlink>
      <w:r w:rsidRPr="001240DE">
        <w:t xml:space="preserve"> </w:t>
      </w:r>
    </w:p>
    <w:p w:rsidR="00865117" w:rsidRPr="001240DE" w:rsidRDefault="00865117" w:rsidP="00500CAF">
      <w:pPr>
        <w:pStyle w:val="FootnoteText"/>
      </w:pPr>
    </w:p>
  </w:footnote>
  <w:footnote w:id="112">
    <w:p w:rsidR="00865117" w:rsidRDefault="00865117" w:rsidP="00500CAF">
      <w:pPr>
        <w:pStyle w:val="FootnoteText"/>
      </w:pPr>
      <w:r>
        <w:rPr>
          <w:rStyle w:val="FootnoteReference"/>
        </w:rPr>
        <w:footnoteRef/>
      </w:r>
      <w:r>
        <w:t xml:space="preserve"> </w:t>
      </w:r>
      <w:proofErr w:type="gramStart"/>
      <w:r>
        <w:t>Subject to verification through evaluation.</w:t>
      </w:r>
      <w:proofErr w:type="gramEnd"/>
      <w:r>
        <w:t xml:space="preserve">  The value can be updated if evaluation findings reveal a value that differs from the default.</w:t>
      </w:r>
    </w:p>
  </w:footnote>
  <w:footnote w:id="113">
    <w:p w:rsidR="00865117" w:rsidRPr="00FB0D3B" w:rsidRDefault="00865117" w:rsidP="00FF69CD">
      <w:pPr>
        <w:pStyle w:val="FootnoteText"/>
      </w:pPr>
      <w:r w:rsidRPr="002D3477">
        <w:rPr>
          <w:rStyle w:val="FootnoteReference"/>
          <w:szCs w:val="16"/>
        </w:rPr>
        <w:footnoteRef/>
      </w:r>
      <w:r w:rsidRPr="00161324">
        <w:t xml:space="preserve">All LED bulbs listed on the qualified ENERGY STAR product list have a lifetime of at least 15,000 hours. Assuming 3 hours per day usage, this equates to 13.7 </w:t>
      </w:r>
      <w:proofErr w:type="gramStart"/>
      <w:r w:rsidRPr="00161324">
        <w:t>years</w:t>
      </w:r>
      <w:r w:rsidDel="0050763E">
        <w:t xml:space="preserve"> </w:t>
      </w:r>
      <w:r>
        <w:t>.</w:t>
      </w:r>
      <w:proofErr w:type="gramEnd"/>
    </w:p>
  </w:footnote>
  <w:footnote w:id="114">
    <w:p w:rsidR="00865117" w:rsidRPr="001E0CED" w:rsidRDefault="00865117" w:rsidP="004D5CFB">
      <w:pPr>
        <w:overflowPunct/>
        <w:spacing w:after="0" w:line="240" w:lineRule="auto"/>
        <w:textAlignment w:val="auto"/>
        <w:rPr>
          <w:rFonts w:ascii="Times-Roman" w:eastAsia="Calibri" w:hAnsi="Times-Roman" w:cs="Times-Roman"/>
          <w:sz w:val="18"/>
          <w:szCs w:val="18"/>
        </w:rPr>
      </w:pPr>
      <w:r>
        <w:rPr>
          <w:rStyle w:val="FootnoteReference"/>
        </w:rPr>
        <w:footnoteRef/>
      </w:r>
      <w:r>
        <w:t xml:space="preserve"> </w:t>
      </w:r>
      <w:r w:rsidRPr="004D5CFB">
        <w:rPr>
          <w:rStyle w:val="FootnoteTextChar"/>
          <w:rFonts w:eastAsia="Calibri"/>
        </w:rPr>
        <w:t xml:space="preserve">GDS Associates, Inc. (2007). Measure Life Report: Residential and Commercial/Industrial Lighting and HVAC Measures. </w:t>
      </w:r>
      <w:proofErr w:type="gramStart"/>
      <w:r w:rsidRPr="004D5CFB">
        <w:rPr>
          <w:rStyle w:val="FootnoteTextChar"/>
          <w:rFonts w:eastAsia="Calibri"/>
        </w:rPr>
        <w:t>Prepared for The New England State Program Working Group.</w:t>
      </w:r>
      <w:proofErr w:type="gramEnd"/>
    </w:p>
  </w:footnote>
  <w:footnote w:id="115">
    <w:p w:rsidR="00865117" w:rsidRDefault="00865117" w:rsidP="004D5CFB">
      <w:pPr>
        <w:pStyle w:val="FootnoteText"/>
      </w:pPr>
      <w:r>
        <w:rPr>
          <w:rStyle w:val="FootnoteReference"/>
        </w:rPr>
        <w:footnoteRef/>
      </w:r>
      <w:r>
        <w:t>The DSMore Michigan Database of Energy Efficiency Measures: Based on spreadsheet calculations using collected data:  Franklin Energy Services; "FES-L19 – LED Holiday Lighting Calc Sheet"</w:t>
      </w:r>
    </w:p>
  </w:footnote>
  <w:footnote w:id="116">
    <w:p w:rsidR="00865117" w:rsidRDefault="00865117" w:rsidP="004D5CFB">
      <w:pPr>
        <w:pStyle w:val="FootnoteText"/>
      </w:pPr>
      <w:r>
        <w:rPr>
          <w:rStyle w:val="FootnoteReference"/>
        </w:rPr>
        <w:footnoteRef/>
      </w:r>
      <w:r>
        <w:t xml:space="preserve">  http://www.energyideas.org/documents/factsheets/HolidayLighting.pdf</w:t>
      </w:r>
    </w:p>
  </w:footnote>
  <w:footnote w:id="117">
    <w:p w:rsidR="00865117" w:rsidRDefault="00865117" w:rsidP="004D5CFB">
      <w:pPr>
        <w:pStyle w:val="FootnoteText"/>
      </w:pPr>
      <w:r>
        <w:rPr>
          <w:rStyle w:val="FootnoteReference"/>
        </w:rPr>
        <w:footnoteRef/>
      </w:r>
      <w:r>
        <w:t xml:space="preserve"> Area includes tank sides and top to account for typical wrap coverage.</w:t>
      </w:r>
    </w:p>
  </w:footnote>
  <w:footnote w:id="118">
    <w:p w:rsidR="00865117" w:rsidRDefault="00865117" w:rsidP="004D5CFB">
      <w:pPr>
        <w:pStyle w:val="FootnoteText"/>
      </w:pPr>
      <w:r>
        <w:rPr>
          <w:rStyle w:val="FootnoteReference"/>
        </w:rPr>
        <w:footnoteRef/>
      </w:r>
      <w:r>
        <w:t xml:space="preserve"> Ibid.</w:t>
      </w:r>
    </w:p>
  </w:footnote>
  <w:footnote w:id="119">
    <w:p w:rsidR="00865117" w:rsidRDefault="00865117" w:rsidP="004D5CFB">
      <w:pPr>
        <w:pStyle w:val="FootnoteText"/>
      </w:pPr>
      <w:r>
        <w:rPr>
          <w:rStyle w:val="FootnoteReference"/>
        </w:rPr>
        <w:footnoteRef/>
      </w:r>
      <w:r>
        <w:t xml:space="preserve"> “Energy Savers”, U.S. Department of Energy, accessed November, 2010 </w:t>
      </w:r>
      <w:r w:rsidRPr="003E4589">
        <w:t>http://www.energysavers.gov/your_home/water_heating/index.cfm/mytopic=13070</w:t>
      </w:r>
    </w:p>
  </w:footnote>
  <w:footnote w:id="120">
    <w:p w:rsidR="00865117" w:rsidRDefault="00865117" w:rsidP="004D5CFB">
      <w:pPr>
        <w:pStyle w:val="FootnoteText"/>
      </w:pPr>
      <w:r>
        <w:rPr>
          <w:rStyle w:val="FootnoteReference"/>
        </w:rPr>
        <w:footnoteRef/>
      </w:r>
      <w:r>
        <w:t xml:space="preserve"> Area values were calculated from average dimensions of several commercially available units, with radius values measured to the center of the insulation.  Area includes tank sides and top to account for typical wrap coverage.</w:t>
      </w:r>
    </w:p>
  </w:footnote>
  <w:footnote w:id="121">
    <w:p w:rsidR="00865117" w:rsidRPr="00964B03" w:rsidRDefault="00865117" w:rsidP="004D5CFB">
      <w:pPr>
        <w:pStyle w:val="FootnoteText"/>
      </w:pPr>
      <w:r>
        <w:rPr>
          <w:rStyle w:val="FootnoteReference"/>
        </w:rPr>
        <w:footnoteRef/>
      </w:r>
      <w:r>
        <w:t xml:space="preserve"> A</w:t>
      </w:r>
      <w:r>
        <w:rPr>
          <w:vertAlign w:val="subscript"/>
        </w:rPr>
        <w:t>insul</w:t>
      </w:r>
      <w:r>
        <w:t xml:space="preserve"> was calculated by assuming that the water heater wrap is a 2” thick fiberglass material. </w:t>
      </w:r>
    </w:p>
  </w:footnote>
  <w:footnote w:id="122">
    <w:p w:rsidR="00865117" w:rsidRPr="00B80DCD" w:rsidRDefault="00865117" w:rsidP="004D5CFB">
      <w:pPr>
        <w:pStyle w:val="FootnoteText"/>
      </w:pPr>
      <w:r w:rsidRPr="00B80DCD">
        <w:rPr>
          <w:rStyle w:val="FootnoteReference"/>
        </w:rPr>
        <w:footnoteRef/>
      </w:r>
      <w:r w:rsidRPr="00B80DCD">
        <w:t xml:space="preserve"> DEER </w:t>
      </w:r>
      <w:r w:rsidRPr="00B80DCD">
        <w:rPr>
          <w:bCs/>
        </w:rPr>
        <w:t>Version 2008.2.05</w:t>
      </w:r>
      <w:r>
        <w:rPr>
          <w:bCs/>
        </w:rPr>
        <w:t>,</w:t>
      </w:r>
      <w:r w:rsidRPr="00B80DCD">
        <w:rPr>
          <w:bCs/>
        </w:rPr>
        <w:t> December 16, 2008</w:t>
      </w:r>
      <w:r>
        <w:rPr>
          <w:bCs/>
        </w:rPr>
        <w:t>.</w:t>
      </w:r>
    </w:p>
  </w:footnote>
  <w:footnote w:id="123">
    <w:p w:rsidR="00865117" w:rsidRDefault="00865117" w:rsidP="000862C5">
      <w:pPr>
        <w:pStyle w:val="FootnoteText"/>
      </w:pPr>
      <w:r>
        <w:rPr>
          <w:rStyle w:val="FootnoteReference"/>
        </w:rPr>
        <w:footnoteRef/>
      </w:r>
      <w:r>
        <w:t xml:space="preserve"> </w:t>
      </w:r>
      <w:proofErr w:type="gramStart"/>
      <w:r w:rsidRPr="00BA1212">
        <w:t>“</w:t>
      </w:r>
      <w:smartTag w:uri="urn:schemas-microsoft-com:office:smarttags" w:element="stockticker">
        <w:r w:rsidRPr="00BA1212">
          <w:t>CEC</w:t>
        </w:r>
      </w:smartTag>
      <w:r w:rsidRPr="00BA1212">
        <w:t xml:space="preserve"> Appliances Database – Pool Pumps.”</w:t>
      </w:r>
      <w:proofErr w:type="gramEnd"/>
      <w:r w:rsidRPr="00BA1212">
        <w:t xml:space="preserve">  </w:t>
      </w:r>
      <w:proofErr w:type="gramStart"/>
      <w:r w:rsidRPr="00BA1212">
        <w:rPr>
          <w:i/>
        </w:rPr>
        <w:t>California Energy Commission.</w:t>
      </w:r>
      <w:proofErr w:type="gramEnd"/>
      <w:r w:rsidRPr="00BA1212">
        <w:t xml:space="preserve">  </w:t>
      </w:r>
      <w:proofErr w:type="gramStart"/>
      <w:r w:rsidRPr="00BA1212">
        <w:t>Updated Feb 2008.</w:t>
      </w:r>
      <w:proofErr w:type="gramEnd"/>
      <w:r w:rsidRPr="00BA1212">
        <w:t xml:space="preserve">  </w:t>
      </w:r>
      <w:proofErr w:type="gramStart"/>
      <w:r w:rsidRPr="00BA1212">
        <w:t>Accessed March 2008.</w:t>
      </w:r>
      <w:proofErr w:type="gramEnd"/>
      <w:r w:rsidRPr="00BA1212">
        <w:t xml:space="preserve">  </w:t>
      </w:r>
      <w:hyperlink r:id="rId27" w:history="1">
        <w:r w:rsidRPr="003A74A4">
          <w:rPr>
            <w:rStyle w:val="Hyperlink"/>
          </w:rPr>
          <w:t>&lt; http://www.energy.ca.gov/appliances/database/historical_excel_files/2009-03-01_excel_based_files/Pool_Products/Pool_Pumps.zip</w:t>
        </w:r>
      </w:hyperlink>
      <w:r w:rsidRPr="00BA1212">
        <w:t>&gt;</w:t>
      </w:r>
    </w:p>
  </w:footnote>
  <w:footnote w:id="124">
    <w:p w:rsidR="00865117" w:rsidRPr="000862C5" w:rsidRDefault="00865117">
      <w:pPr>
        <w:pStyle w:val="FootnoteText"/>
      </w:pPr>
      <w:r>
        <w:rPr>
          <w:rStyle w:val="FootnoteReference"/>
        </w:rPr>
        <w:footnoteRef/>
      </w:r>
      <w:r>
        <w:t xml:space="preserve"> </w:t>
      </w:r>
      <w:proofErr w:type="gramStart"/>
      <w:r w:rsidRPr="005860E1">
        <w:rPr>
          <w:rFonts w:cs="Arial"/>
          <w:szCs w:val="18"/>
        </w:rPr>
        <w:t>Averaged for all listed single-speed pumps in the last available version of the CEC appliance efficiency database.</w:t>
      </w:r>
      <w:proofErr w:type="gramEnd"/>
      <w:r w:rsidRPr="005860E1">
        <w:rPr>
          <w:rFonts w:cs="Arial"/>
          <w:szCs w:val="18"/>
        </w:rPr>
        <w:t xml:space="preserve">  The powers are for 'CEC Curve A' which represents hydraulic properties of 2" PVC pipes rather than older, 1.5" copper pipes.</w:t>
      </w:r>
    </w:p>
  </w:footnote>
  <w:footnote w:id="125">
    <w:p w:rsidR="00865117" w:rsidRDefault="00865117" w:rsidP="000862C5">
      <w:pPr>
        <w:pStyle w:val="FootnoteText"/>
      </w:pPr>
      <w:r>
        <w:rPr>
          <w:rStyle w:val="FootnoteReference"/>
        </w:rPr>
        <w:footnoteRef/>
      </w:r>
      <w:r>
        <w:t xml:space="preserve"> </w:t>
      </w:r>
      <w:proofErr w:type="gramStart"/>
      <w:r>
        <w:t>Mid-Atlantic TRM, version 2.0.</w:t>
      </w:r>
      <w:proofErr w:type="gramEnd"/>
      <w:r>
        <w:t xml:space="preserve">  </w:t>
      </w:r>
      <w:proofErr w:type="gramStart"/>
      <w:r>
        <w:t>Prepared by Vermont Energy Investment Corporation.</w:t>
      </w:r>
      <w:proofErr w:type="gramEnd"/>
      <w:r>
        <w:t xml:space="preserve"> Facilitated and managed by the Northeast Energy Efficiency Partnerships. July 2011</w:t>
      </w:r>
    </w:p>
  </w:footnote>
  <w:footnote w:id="126">
    <w:p w:rsidR="00865117" w:rsidRDefault="00865117" w:rsidP="000862C5">
      <w:pPr>
        <w:pStyle w:val="FootnoteText"/>
      </w:pPr>
      <w:r>
        <w:rPr>
          <w:rStyle w:val="FootnoteReference"/>
        </w:rPr>
        <w:footnoteRef/>
      </w:r>
      <w:r>
        <w:t xml:space="preserve"> </w:t>
      </w:r>
      <w:proofErr w:type="gramStart"/>
      <w:r w:rsidRPr="00BA1212">
        <w:t>“</w:t>
      </w:r>
      <w:smartTag w:uri="urn:schemas-microsoft-com:office:smarttags" w:element="stockticker">
        <w:r w:rsidRPr="00BA1212">
          <w:t>CEC</w:t>
        </w:r>
      </w:smartTag>
      <w:r w:rsidRPr="00BA1212">
        <w:t xml:space="preserve"> Appliances Database – Pool Pumps.”</w:t>
      </w:r>
      <w:proofErr w:type="gramEnd"/>
      <w:r w:rsidRPr="00BA1212">
        <w:t xml:space="preserve">  </w:t>
      </w:r>
      <w:proofErr w:type="gramStart"/>
      <w:r w:rsidRPr="00BA1212">
        <w:rPr>
          <w:i/>
        </w:rPr>
        <w:t>California Energy Commission.</w:t>
      </w:r>
      <w:proofErr w:type="gramEnd"/>
      <w:r w:rsidRPr="00BA1212">
        <w:t xml:space="preserve">  </w:t>
      </w:r>
      <w:proofErr w:type="gramStart"/>
      <w:r w:rsidRPr="00BA1212">
        <w:t>Updated Feb 2008.</w:t>
      </w:r>
      <w:proofErr w:type="gramEnd"/>
      <w:r w:rsidRPr="00BA1212">
        <w:t xml:space="preserve">  </w:t>
      </w:r>
      <w:proofErr w:type="gramStart"/>
      <w:r w:rsidRPr="00BA1212">
        <w:t>Accessed March 2008.</w:t>
      </w:r>
      <w:proofErr w:type="gramEnd"/>
      <w:r w:rsidRPr="00BA1212">
        <w:t xml:space="preserve">  </w:t>
      </w:r>
      <w:hyperlink r:id="rId28" w:history="1">
        <w:r w:rsidRPr="003A74A4">
          <w:rPr>
            <w:rStyle w:val="Hyperlink"/>
          </w:rPr>
          <w:t>&lt; http://www.energy.ca.gov/appliances/database/historical_excel_files/2009-03-01_excel_based_files/Pool_Products/Pool_Pumps.zip</w:t>
        </w:r>
      </w:hyperlink>
      <w:r w:rsidRPr="00BA1212">
        <w:t>&gt;</w:t>
      </w:r>
    </w:p>
  </w:footnote>
  <w:footnote w:id="127">
    <w:p w:rsidR="00865117" w:rsidRPr="000862C5" w:rsidRDefault="00865117">
      <w:pPr>
        <w:pStyle w:val="FootnoteText"/>
      </w:pPr>
      <w:r>
        <w:rPr>
          <w:rStyle w:val="FootnoteReference"/>
        </w:rPr>
        <w:footnoteRef/>
      </w:r>
      <w:r>
        <w:t xml:space="preserve"> </w:t>
      </w:r>
      <w:proofErr w:type="gramStart"/>
      <w:r w:rsidRPr="005860E1">
        <w:rPr>
          <w:rFonts w:cs="Arial"/>
          <w:szCs w:val="18"/>
        </w:rPr>
        <w:t>Averaged for all listed single-speed pumps in the last available version of the CEC appliance efficiency database.</w:t>
      </w:r>
      <w:proofErr w:type="gramEnd"/>
      <w:r w:rsidRPr="005860E1">
        <w:rPr>
          <w:rFonts w:cs="Arial"/>
          <w:szCs w:val="18"/>
        </w:rPr>
        <w:t xml:space="preserve">  The powers are for 'CEC Curve A' which represents hydraulic properties of 2" PVC pipes rather than older, 1.5" copper pipes.</w:t>
      </w:r>
    </w:p>
  </w:footnote>
  <w:footnote w:id="128">
    <w:p w:rsidR="00865117" w:rsidRDefault="00865117" w:rsidP="000862C5">
      <w:pPr>
        <w:pStyle w:val="FootnoteText"/>
      </w:pPr>
      <w:r>
        <w:rPr>
          <w:rStyle w:val="FootnoteReference"/>
        </w:rPr>
        <w:footnoteRef/>
      </w:r>
      <w:r>
        <w:t xml:space="preserve"> DEER values, updated October 10, 2008</w:t>
      </w:r>
      <w:r>
        <w:br/>
      </w:r>
      <w:r w:rsidRPr="00A47895">
        <w:t>http://www.deeresources.com/deer0911planning/downloads/EUL_Summary_10-1-08.xls</w:t>
      </w:r>
    </w:p>
  </w:footnote>
  <w:footnote w:id="129">
    <w:p w:rsidR="00865117" w:rsidRDefault="00865117" w:rsidP="00B10493">
      <w:pPr>
        <w:pStyle w:val="FootnoteText"/>
      </w:pPr>
      <w:r>
        <w:rPr>
          <w:rStyle w:val="FootnoteReference"/>
        </w:rPr>
        <w:footnoteRef/>
      </w:r>
      <w:r>
        <w:t xml:space="preserve"> The Locator is intended to assist users locate codes in the Standard Wattage Table. It does not generate new codes or wattages. In a few cases, the fixture code noted in the Standard Wattage Table may not use standard notation. Therefore, these fixtures may not be able to be found using the Locator and a manual search may be necessary to locate the code. </w:t>
      </w:r>
    </w:p>
  </w:footnote>
  <w:footnote w:id="130">
    <w:p w:rsidR="00865117" w:rsidRDefault="00865117">
      <w:pPr>
        <w:pStyle w:val="FootnoteText"/>
      </w:pPr>
      <w:r>
        <w:rPr>
          <w:rStyle w:val="FootnoteReference"/>
        </w:rPr>
        <w:footnoteRef/>
      </w:r>
      <w:r>
        <w:t xml:space="preserve"> This value was agreed upon by the Technical Working Group convened to discuss updates to the TRM. This value is subject to adjustment based on implementation feedback during PY2 and PY3.</w:t>
      </w:r>
    </w:p>
  </w:footnote>
  <w:footnote w:id="131">
    <w:p w:rsidR="00865117" w:rsidRDefault="00865117">
      <w:pPr>
        <w:pStyle w:val="FootnoteText"/>
      </w:pPr>
      <w:r>
        <w:rPr>
          <w:rStyle w:val="FootnoteReference"/>
        </w:rPr>
        <w:footnoteRef/>
      </w:r>
      <w:r>
        <w:t xml:space="preserve"> ASHRAE 90.1-2007, Table 9.5.1 – Building Area Method</w:t>
      </w:r>
    </w:p>
  </w:footnote>
  <w:footnote w:id="132">
    <w:p w:rsidR="00865117" w:rsidRDefault="00865117">
      <w:pPr>
        <w:pStyle w:val="FootnoteText"/>
      </w:pPr>
      <w:r>
        <w:rPr>
          <w:rStyle w:val="FootnoteReference"/>
        </w:rPr>
        <w:footnoteRef/>
      </w:r>
      <w:r>
        <w:t xml:space="preserve"> ASHRAE 90.1-2007, Table 9.6.1 – Space-by-Space Method</w:t>
      </w:r>
    </w:p>
  </w:footnote>
  <w:footnote w:id="133">
    <w:p w:rsidR="00865117" w:rsidRDefault="00865117">
      <w:pPr>
        <w:pStyle w:val="FootnoteText"/>
      </w:pPr>
      <w:r>
        <w:rPr>
          <w:rStyle w:val="FootnoteReference"/>
        </w:rPr>
        <w:footnoteRef/>
      </w:r>
      <w:r>
        <w:t xml:space="preserve"> ASHRAE 90.1-2007, Table 9.4.5 – Baseline Exterior Lighting Power Densities</w:t>
      </w:r>
    </w:p>
  </w:footnote>
  <w:footnote w:id="134">
    <w:p w:rsidR="00865117" w:rsidRDefault="00865117" w:rsidP="007B643A">
      <w:pPr>
        <w:pStyle w:val="FootnoteText"/>
      </w:pPr>
      <w:r>
        <w:rPr>
          <w:rStyle w:val="FootnoteReference"/>
        </w:rPr>
        <w:footnoteRef/>
      </w:r>
      <w:r>
        <w:t xml:space="preserve"> ASHRAE 90.1-2007, “Table 9.5.1 Lighting Power Densities Using the Building Area Method.”</w:t>
      </w:r>
    </w:p>
  </w:footnote>
  <w:footnote w:id="135">
    <w:p w:rsidR="00865117" w:rsidRDefault="00865117" w:rsidP="0056241B">
      <w:pPr>
        <w:pStyle w:val="FootnoteText"/>
      </w:pPr>
      <w:r>
        <w:rPr>
          <w:rStyle w:val="FootnoteReference"/>
        </w:rPr>
        <w:footnoteRef/>
      </w:r>
      <w:r>
        <w:t xml:space="preserve"> </w:t>
      </w:r>
      <w:r w:rsidRPr="00F33441">
        <w:t>In cases where both a common space type and a building specific type are listed, the building specific space type shall apply.</w:t>
      </w:r>
    </w:p>
  </w:footnote>
  <w:footnote w:id="136">
    <w:p w:rsidR="00865117" w:rsidRPr="00170F92" w:rsidRDefault="00865117" w:rsidP="00170F92">
      <w:pPr>
        <w:pStyle w:val="FootnoteText"/>
      </w:pPr>
      <w:r w:rsidRPr="00170F92">
        <w:rPr>
          <w:rStyle w:val="FootnoteReference"/>
        </w:rPr>
        <w:footnoteRef/>
      </w:r>
      <w:r w:rsidRPr="00170F92">
        <w:t xml:space="preserve"> ASHRAE 90.1-2007, “Table 9.6.1 Lighting Power Densities Using the Space-by-Space Method.”</w:t>
      </w:r>
    </w:p>
  </w:footnote>
  <w:footnote w:id="137">
    <w:p w:rsidR="00865117" w:rsidRDefault="00865117" w:rsidP="00170F92">
      <w:pPr>
        <w:pStyle w:val="FootnoteText"/>
      </w:pPr>
      <w:r w:rsidRPr="00170F92">
        <w:rPr>
          <w:rStyle w:val="FootnoteReference"/>
        </w:rPr>
        <w:footnoteRef/>
      </w:r>
      <w:r w:rsidRPr="00170F92">
        <w:t xml:space="preserve"> In cases where both a common space type and a building specific type are listed, the building specific space type shall apply.</w:t>
      </w:r>
    </w:p>
  </w:footnote>
  <w:footnote w:id="138">
    <w:p w:rsidR="00865117" w:rsidRPr="00BB07EE" w:rsidRDefault="00865117" w:rsidP="007B643A">
      <w:pPr>
        <w:pStyle w:val="FootnoteText"/>
      </w:pPr>
      <w:r>
        <w:rPr>
          <w:rStyle w:val="FootnoteReference"/>
        </w:rPr>
        <w:footnoteRef/>
      </w:r>
      <w:r>
        <w:t xml:space="preserve"> ASHRAE 90.1-2007 Table 9.4.5</w:t>
      </w:r>
    </w:p>
  </w:footnote>
  <w:footnote w:id="139">
    <w:p w:rsidR="00865117" w:rsidRDefault="00865117" w:rsidP="00DA6F5F">
      <w:pPr>
        <w:pStyle w:val="FootnoteText"/>
      </w:pPr>
      <w:r>
        <w:rPr>
          <w:rStyle w:val="FootnoteReference"/>
        </w:rPr>
        <w:footnoteRef/>
      </w:r>
      <w:r>
        <w:t xml:space="preserve"> </w:t>
      </w:r>
      <w:proofErr w:type="gramStart"/>
      <w:r>
        <w:t>Average of CF in NJ Clean Energy Program Protocols and 1.0 for CFs above 65% in NJ Protocol.</w:t>
      </w:r>
      <w:proofErr w:type="gramEnd"/>
      <w:r>
        <w:t xml:space="preserve"> Compromise based on PECo proposal to account for potential selection of high use circuits for retrofit. Subject to revision based on detailed measurement or additional research in subsequent TRM Updates.</w:t>
      </w:r>
    </w:p>
  </w:footnote>
  <w:footnote w:id="140">
    <w:p w:rsidR="00865117" w:rsidRDefault="00865117" w:rsidP="00DA6F5F">
      <w:pPr>
        <w:pStyle w:val="FootnoteText"/>
      </w:pPr>
      <w:r>
        <w:rPr>
          <w:rStyle w:val="FootnoteReference"/>
        </w:rPr>
        <w:footnoteRef/>
      </w:r>
      <w:r>
        <w:t xml:space="preserve"> Average of NJ Clean Energy from JCP&amp;L data and 2004-2005 DEER update study (December 2005).</w:t>
      </w:r>
    </w:p>
  </w:footnote>
  <w:footnote w:id="141">
    <w:p w:rsidR="00865117" w:rsidRDefault="00865117" w:rsidP="00DA6F5F">
      <w:pPr>
        <w:pStyle w:val="FootnoteText"/>
      </w:pPr>
      <w:r>
        <w:rPr>
          <w:rStyle w:val="FootnoteReference"/>
        </w:rPr>
        <w:footnoteRef/>
      </w:r>
      <w:r>
        <w:t xml:space="preserve"> To be used only for lights illuminated on a continuous basis.</w:t>
      </w:r>
    </w:p>
  </w:footnote>
  <w:footnote w:id="142">
    <w:p w:rsidR="00865117" w:rsidRDefault="00865117" w:rsidP="00DA6F5F">
      <w:pPr>
        <w:pStyle w:val="FootnoteText"/>
      </w:pPr>
      <w:r>
        <w:rPr>
          <w:rStyle w:val="FootnoteReference"/>
        </w:rPr>
        <w:footnoteRef/>
      </w:r>
      <w:r>
        <w:t xml:space="preserve"> To be used only when no other category is applicable. Hours of operation must be documented by </w:t>
      </w:r>
      <w:r w:rsidRPr="006E4B69">
        <w:t>facility staff interviews, posted schedules, or metered data</w:t>
      </w:r>
      <w:r>
        <w:t>.</w:t>
      </w:r>
    </w:p>
  </w:footnote>
  <w:footnote w:id="143">
    <w:p w:rsidR="00865117" w:rsidRDefault="00865117" w:rsidP="005D7F62">
      <w:pPr>
        <w:pStyle w:val="FootnoteText"/>
      </w:pPr>
      <w:r>
        <w:rPr>
          <w:rStyle w:val="FootnoteReference"/>
        </w:rPr>
        <w:footnoteRef/>
      </w:r>
      <w:r>
        <w:t xml:space="preserve"> Subject to verification by EDC Evaluation or SWE</w:t>
      </w:r>
    </w:p>
  </w:footnote>
  <w:footnote w:id="144">
    <w:p w:rsidR="00865117" w:rsidRDefault="00865117" w:rsidP="005D7F62">
      <w:pPr>
        <w:pStyle w:val="FootnoteText"/>
      </w:pPr>
      <w:r>
        <w:rPr>
          <w:rStyle w:val="FootnoteReference"/>
        </w:rPr>
        <w:footnoteRef/>
      </w:r>
      <w:r>
        <w:t xml:space="preserve"> Subject to verification by EDC Evaluation or SWE</w:t>
      </w:r>
    </w:p>
  </w:footnote>
  <w:footnote w:id="145">
    <w:p w:rsidR="00865117" w:rsidRDefault="00865117" w:rsidP="001D7420">
      <w:pPr>
        <w:pStyle w:val="FootnoteText"/>
      </w:pPr>
      <w:r>
        <w:rPr>
          <w:rStyle w:val="FootnoteReference"/>
        </w:rPr>
        <w:footnoteRef/>
      </w:r>
      <w:r>
        <w:t xml:space="preserve"> This reference cannot be validated and is rooted in the NJ Clean Energy Program Protocols to Measure Resource Savings dated 12/23/2004</w:t>
      </w:r>
    </w:p>
  </w:footnote>
  <w:footnote w:id="146">
    <w:p w:rsidR="00865117" w:rsidRDefault="00865117" w:rsidP="00DA645E">
      <w:pPr>
        <w:pStyle w:val="FootnoteText"/>
      </w:pPr>
      <w:r>
        <w:rPr>
          <w:rStyle w:val="FootnoteReference"/>
        </w:rPr>
        <w:footnoteRef/>
      </w:r>
      <w:r>
        <w:t xml:space="preserve"> Source:  PECO Comments on the PA TRM, received March 30, 2009.</w:t>
      </w:r>
    </w:p>
  </w:footnote>
  <w:footnote w:id="147">
    <w:p w:rsidR="00865117" w:rsidRDefault="00865117">
      <w:pPr>
        <w:pStyle w:val="FootnoteText"/>
      </w:pPr>
      <w:r>
        <w:rPr>
          <w:rStyle w:val="FootnoteReference"/>
        </w:rPr>
        <w:footnoteRef/>
      </w:r>
      <w:r>
        <w:t xml:space="preserve"> In order to use Motor Master you would need to log.  This can be done for custom measure but is not allowed for stipulated measures.</w:t>
      </w:r>
    </w:p>
  </w:footnote>
  <w:footnote w:id="148">
    <w:p w:rsidR="00865117" w:rsidRDefault="00865117" w:rsidP="005D7F62">
      <w:pPr>
        <w:pStyle w:val="FootnoteText"/>
      </w:pPr>
      <w:r>
        <w:rPr>
          <w:rStyle w:val="FootnoteReference"/>
        </w:rPr>
        <w:footnoteRef/>
      </w:r>
      <w:r>
        <w:t xml:space="preserve"> </w:t>
      </w:r>
      <w:r w:rsidRPr="00B137EF">
        <w:t>Default Value can be used by EDC but is subject to metering and adjustment by evaluators or SWE</w:t>
      </w:r>
    </w:p>
  </w:footnote>
  <w:footnote w:id="149">
    <w:p w:rsidR="00865117" w:rsidRDefault="00865117" w:rsidP="005D7F62">
      <w:pPr>
        <w:pStyle w:val="FootnoteText"/>
      </w:pPr>
      <w:r>
        <w:rPr>
          <w:rStyle w:val="FootnoteReference"/>
        </w:rPr>
        <w:footnoteRef/>
      </w:r>
      <w:r>
        <w:t xml:space="preserve"> </w:t>
      </w:r>
      <w:r w:rsidRPr="00B137EF">
        <w:t>Default Value can be used by EDC but is subject to metering and adjustment by evaluators or SWE</w:t>
      </w:r>
    </w:p>
  </w:footnote>
  <w:footnote w:id="150">
    <w:p w:rsidR="00865117" w:rsidRPr="00542459" w:rsidRDefault="00865117">
      <w:pPr>
        <w:pStyle w:val="FootnoteText"/>
      </w:pPr>
      <w:r>
        <w:rPr>
          <w:rStyle w:val="FootnoteReference"/>
        </w:rPr>
        <w:footnoteRef/>
      </w:r>
      <w:r>
        <w:t xml:space="preserve"> See definition in section 3.3.2 for specific algorithm to be used when performing spot metering analysis to determine alternate load factor.</w:t>
      </w:r>
    </w:p>
  </w:footnote>
  <w:footnote w:id="151">
    <w:p w:rsidR="00865117" w:rsidRDefault="00865117" w:rsidP="005D7F62">
      <w:pPr>
        <w:pStyle w:val="FootnoteText"/>
      </w:pPr>
      <w:r>
        <w:rPr>
          <w:rStyle w:val="FootnoteReference"/>
        </w:rPr>
        <w:footnoteRef/>
      </w:r>
      <w:r>
        <w:t xml:space="preserve"> Need to confirm source through TWG</w:t>
      </w:r>
    </w:p>
  </w:footnote>
  <w:footnote w:id="152">
    <w:p w:rsidR="00865117" w:rsidRDefault="00865117" w:rsidP="001C4AD5">
      <w:pPr>
        <w:pStyle w:val="FootnoteText"/>
      </w:pPr>
      <w:r>
        <w:rPr>
          <w:rStyle w:val="FootnoteReference"/>
        </w:rPr>
        <w:footnoteRef/>
      </w:r>
      <w:r>
        <w:t xml:space="preserve"> Table is based on NEMA EPACT efficiency motor standards. Source to the table can be found at: </w:t>
      </w:r>
      <w:hyperlink r:id="rId29" w:history="1">
        <w:r>
          <w:rPr>
            <w:rStyle w:val="Hyperlink"/>
          </w:rPr>
          <w:t>http://www.cee1.org/ind/motrs/CEE_NEMA.pdf</w:t>
        </w:r>
      </w:hyperlink>
    </w:p>
  </w:footnote>
  <w:footnote w:id="153">
    <w:p w:rsidR="00865117" w:rsidRDefault="00865117" w:rsidP="001C4AD5">
      <w:pPr>
        <w:pStyle w:val="FootnoteText"/>
      </w:pPr>
      <w:r>
        <w:rPr>
          <w:rStyle w:val="FootnoteReference"/>
        </w:rPr>
        <w:footnoteRef/>
      </w:r>
      <w:r>
        <w:t xml:space="preserve"> Table is based on NEMA premium efficiency motor standards. Source to the table can be found at: </w:t>
      </w:r>
      <w:r w:rsidRPr="00EC672D">
        <w:t>http://www.nema.org/stds/complimentary-docs/upload/MG1premium.pdf</w:t>
      </w:r>
    </w:p>
  </w:footnote>
  <w:footnote w:id="154">
    <w:p w:rsidR="00865117" w:rsidRDefault="00865117" w:rsidP="005D7F62">
      <w:pPr>
        <w:pStyle w:val="FootnoteText"/>
      </w:pPr>
      <w:r>
        <w:rPr>
          <w:rStyle w:val="FootnoteReference"/>
        </w:rPr>
        <w:footnoteRef/>
      </w:r>
      <w:r>
        <w:t xml:space="preserve"> Operating hours subject to adjustment with data provided by EDCs and accepted by SWE</w:t>
      </w:r>
    </w:p>
  </w:footnote>
  <w:footnote w:id="155">
    <w:p w:rsidR="00865117" w:rsidRDefault="00865117" w:rsidP="005D7F62">
      <w:pPr>
        <w:pStyle w:val="FootnoteText"/>
      </w:pPr>
      <w:r>
        <w:rPr>
          <w:rStyle w:val="FootnoteReference"/>
        </w:rPr>
        <w:footnoteRef/>
      </w:r>
      <w:r>
        <w:t xml:space="preserve"> </w:t>
      </w:r>
      <w:r w:rsidRPr="006373DE">
        <w:t>http://www.energystar.gov/ia/business/bulk_purchasing/bpsavings_calc/Calc_CAC.xls</w:t>
      </w:r>
    </w:p>
  </w:footnote>
  <w:footnote w:id="156">
    <w:p w:rsidR="00865117" w:rsidRDefault="00865117">
      <w:pPr>
        <w:pStyle w:val="FootnoteText"/>
      </w:pPr>
      <w:r>
        <w:rPr>
          <w:rStyle w:val="FootnoteReference"/>
        </w:rPr>
        <w:footnoteRef/>
      </w:r>
      <w:r>
        <w:t xml:space="preserve"> In order to use Motor Master you would need to log.  This can be done for custom measure but is not allowed for stipulated measures.  A standard practice and/or load shape study would be required.</w:t>
      </w:r>
    </w:p>
  </w:footnote>
  <w:footnote w:id="157">
    <w:p w:rsidR="00865117" w:rsidRDefault="00865117" w:rsidP="005D7F62">
      <w:pPr>
        <w:pStyle w:val="FootnoteText"/>
      </w:pPr>
      <w:r>
        <w:rPr>
          <w:rStyle w:val="FootnoteReference"/>
        </w:rPr>
        <w:footnoteRef/>
      </w:r>
      <w:r>
        <w:t xml:space="preserve"> </w:t>
      </w:r>
      <w:r w:rsidRPr="00B137EF">
        <w:t>Default Value can be used by EDC but is subject to metering and adjustment by evaluators or SWE</w:t>
      </w:r>
    </w:p>
  </w:footnote>
  <w:footnote w:id="158">
    <w:p w:rsidR="00865117" w:rsidRDefault="00865117" w:rsidP="005D7F62">
      <w:pPr>
        <w:pStyle w:val="FootnoteText"/>
      </w:pPr>
      <w:r>
        <w:rPr>
          <w:rStyle w:val="FootnoteReference"/>
        </w:rPr>
        <w:footnoteRef/>
      </w:r>
      <w:r>
        <w:t xml:space="preserve"> </w:t>
      </w:r>
      <w:r w:rsidRPr="00B137EF">
        <w:t>Default Value can be used by EDC but is subject to metering and adjustment by evaluators or SWE</w:t>
      </w:r>
    </w:p>
  </w:footnote>
  <w:footnote w:id="159">
    <w:p w:rsidR="00865117" w:rsidRDefault="00865117" w:rsidP="005D7F62">
      <w:pPr>
        <w:pStyle w:val="FootnoteText"/>
      </w:pPr>
      <w:r>
        <w:rPr>
          <w:rStyle w:val="FootnoteReference"/>
        </w:rPr>
        <w:footnoteRef/>
      </w:r>
      <w:r>
        <w:t xml:space="preserve"> Need to confirm source through TWG</w:t>
      </w:r>
    </w:p>
  </w:footnote>
  <w:footnote w:id="160">
    <w:p w:rsidR="00865117" w:rsidRPr="0066238D" w:rsidRDefault="00865117">
      <w:pPr>
        <w:pStyle w:val="FootnoteText"/>
      </w:pPr>
      <w:r>
        <w:rPr>
          <w:rStyle w:val="FootnoteReference"/>
        </w:rPr>
        <w:footnoteRef/>
      </w:r>
      <w:r>
        <w:t xml:space="preserve"> Mid-Atlantic TRM Version 2.0, July 2011. </w:t>
      </w:r>
      <w:proofErr w:type="gramStart"/>
      <w:r>
        <w:t>Page 174.</w:t>
      </w:r>
      <w:proofErr w:type="gramEnd"/>
    </w:p>
  </w:footnote>
  <w:footnote w:id="161">
    <w:p w:rsidR="00865117" w:rsidRDefault="00865117" w:rsidP="006B515B">
      <w:pPr>
        <w:pStyle w:val="FootnoteText"/>
      </w:pPr>
      <w:r>
        <w:rPr>
          <w:rStyle w:val="FootnoteReference"/>
        </w:rPr>
        <w:footnoteRef/>
      </w:r>
      <w:r>
        <w:t xml:space="preserve"> In order to use Motor Master you would need to log.  This can be done for custom measures but is not allowed for stipulated measures.  A standard practice and/or load shape study would be required.</w:t>
      </w:r>
    </w:p>
  </w:footnote>
  <w:footnote w:id="162">
    <w:p w:rsidR="00865117" w:rsidRDefault="00865117" w:rsidP="00981D38">
      <w:pPr>
        <w:pStyle w:val="FootnoteText"/>
      </w:pPr>
      <w:r>
        <w:rPr>
          <w:rStyle w:val="FootnoteReference"/>
        </w:rPr>
        <w:footnoteRef/>
      </w:r>
      <w:r>
        <w:t xml:space="preserve"> </w:t>
      </w:r>
      <w:r w:rsidRPr="00126AA8">
        <w:t>The basis for these factors has not been determined or independently verified.</w:t>
      </w:r>
    </w:p>
  </w:footnote>
  <w:footnote w:id="163">
    <w:p w:rsidR="00865117" w:rsidRDefault="00865117" w:rsidP="007E213C">
      <w:pPr>
        <w:pStyle w:val="FootnoteText"/>
      </w:pPr>
      <w:r>
        <w:rPr>
          <w:rStyle w:val="FootnoteReference"/>
        </w:rPr>
        <w:footnoteRef/>
      </w:r>
      <w:r>
        <w:t xml:space="preserve"> Baseline values from IECC 2009, after Jan 1, 2010 or Jan 23, 2010 as applicable. </w:t>
      </w:r>
    </w:p>
  </w:footnote>
  <w:footnote w:id="164">
    <w:p w:rsidR="00865117" w:rsidRPr="005021BC" w:rsidRDefault="00865117">
      <w:pPr>
        <w:pStyle w:val="FootnoteText"/>
      </w:pPr>
      <w:r>
        <w:rPr>
          <w:rStyle w:val="FootnoteReference"/>
        </w:rPr>
        <w:footnoteRef/>
      </w:r>
      <w:r>
        <w:t xml:space="preserve"> </w:t>
      </w:r>
      <w:r w:rsidRPr="002E1D01">
        <w:rPr>
          <w:rFonts w:ascii="PalatinoLinotype" w:hAnsi="PalatinoLinotype" w:cs="PalatinoLinotype"/>
        </w:rPr>
        <w:t>Cap represents the rated cooling capacity of the product in Btu/h. If the unit</w:t>
      </w:r>
      <w:r>
        <w:rPr>
          <w:rFonts w:ascii="PalatinoLinotype" w:hAnsi="PalatinoLinotype" w:cs="PalatinoLinotype"/>
        </w:rPr>
        <w:t>’</w:t>
      </w:r>
      <w:r w:rsidRPr="002E1D01">
        <w:rPr>
          <w:rFonts w:ascii="PalatinoLinotype" w:hAnsi="PalatinoLinotype" w:cs="PalatinoLinotype"/>
        </w:rPr>
        <w:t>s capacity is less than 7</w:t>
      </w:r>
      <w:r>
        <w:rPr>
          <w:rFonts w:ascii="PalatinoLinotype" w:hAnsi="PalatinoLinotype" w:cs="PalatinoLinotype"/>
        </w:rPr>
        <w:t>,</w:t>
      </w:r>
      <w:r w:rsidRPr="002E1D01">
        <w:rPr>
          <w:rFonts w:ascii="PalatinoLinotype" w:hAnsi="PalatinoLinotype" w:cs="PalatinoLinotype"/>
        </w:rPr>
        <w:t>000 Btu/h, 7,000 Btu/h is used in the calculation. If the unit</w:t>
      </w:r>
      <w:r>
        <w:rPr>
          <w:rFonts w:ascii="PalatinoLinotype" w:hAnsi="PalatinoLinotype" w:cs="PalatinoLinotype"/>
        </w:rPr>
        <w:t>’</w:t>
      </w:r>
      <w:r w:rsidRPr="002E1D01">
        <w:rPr>
          <w:rFonts w:ascii="PalatinoLinotype" w:hAnsi="PalatinoLinotype" w:cs="PalatinoLinotype"/>
        </w:rPr>
        <w:t>s capacity is greater than 15,000 Btu/h, 15,000 Btu/h is used in the calculation</w:t>
      </w:r>
      <w:r>
        <w:rPr>
          <w:rFonts w:ascii="PalatinoLinotype" w:hAnsi="PalatinoLinotype" w:cs="PalatinoLinotype"/>
        </w:rPr>
        <w:t>.</w:t>
      </w:r>
    </w:p>
  </w:footnote>
  <w:footnote w:id="165">
    <w:p w:rsidR="00865117" w:rsidRDefault="00865117" w:rsidP="00E75089">
      <w:pPr>
        <w:pStyle w:val="FootnoteText"/>
      </w:pPr>
      <w:r>
        <w:rPr>
          <w:rStyle w:val="FootnoteReference"/>
        </w:rPr>
        <w:footnoteRef/>
      </w:r>
      <w:r>
        <w:t xml:space="preserve"> </w:t>
      </w:r>
      <w:proofErr w:type="gramStart"/>
      <w:r w:rsidRPr="003167B7">
        <w:t>US Department of Energy.</w:t>
      </w:r>
      <w:proofErr w:type="gramEnd"/>
      <w:r w:rsidRPr="003167B7">
        <w:t xml:space="preserve">  Energy Star Calculator and Bin Analysis Models</w:t>
      </w:r>
    </w:p>
  </w:footnote>
  <w:footnote w:id="166">
    <w:p w:rsidR="00865117" w:rsidRDefault="00865117" w:rsidP="00E75089">
      <w:pPr>
        <w:pStyle w:val="FootnoteText"/>
      </w:pPr>
      <w:r>
        <w:rPr>
          <w:rStyle w:val="FootnoteReference"/>
        </w:rPr>
        <w:footnoteRef/>
      </w:r>
      <w:r>
        <w:t xml:space="preserve"> </w:t>
      </w:r>
      <w:proofErr w:type="gramStart"/>
      <w:r w:rsidRPr="003167B7">
        <w:t>US Department of Energy.</w:t>
      </w:r>
      <w:proofErr w:type="gramEnd"/>
      <w:r w:rsidRPr="003167B7">
        <w:t xml:space="preserve">  Energy Star Calculator and Bin Analysis Models</w:t>
      </w:r>
    </w:p>
  </w:footnote>
  <w:footnote w:id="167">
    <w:p w:rsidR="00865117" w:rsidRPr="0096764D" w:rsidRDefault="00865117">
      <w:pPr>
        <w:pStyle w:val="FootnoteText"/>
      </w:pPr>
      <w:r>
        <w:rPr>
          <w:rStyle w:val="FootnoteReference"/>
        </w:rPr>
        <w:footnoteRef/>
      </w:r>
      <w:r>
        <w:t xml:space="preserve"> IECC 2009 – Table 503.2.3(7). </w:t>
      </w:r>
      <w:r w:rsidRPr="00303DF3">
        <w:t xml:space="preserve">Chillers must satisfy efficiency requirements for </w:t>
      </w:r>
      <w:proofErr w:type="gramStart"/>
      <w:r w:rsidRPr="00303DF3">
        <w:t>both full load and IPLV efficiencies for either Path A or</w:t>
      </w:r>
      <w:proofErr w:type="gramEnd"/>
      <w:r w:rsidRPr="00303DF3">
        <w:t xml:space="preserve"> Path B. The table shows the efficiency ratings to be used for the baseline chiller efficiency in the savings estimation algorithm, which must be consistent with the expected operating conditions of the efficient chiller. For example, if the efficient chiller satisfies Path A and generally performs at part load, the appropriate baseline chiller efficiency is the IPLV value under Path A</w:t>
      </w:r>
      <w:r>
        <w:t xml:space="preserve"> for energy savings</w:t>
      </w:r>
      <w:r w:rsidRPr="00303DF3">
        <w:t>. If the efficient chiller satisfies Path B and generally performs at full load, the appropriate baseline chiller efficiency is the full load value under Path B</w:t>
      </w:r>
      <w:r>
        <w:t xml:space="preserve"> for energy savings</w:t>
      </w:r>
      <w:r w:rsidRPr="00303DF3">
        <w:t>.</w:t>
      </w:r>
      <w:r>
        <w:t xml:space="preserve"> Generally, </w:t>
      </w:r>
      <w:r w:rsidRPr="0096764D">
        <w:t>chillers operating above 70 percent load for a majority (50% or more) of oper</w:t>
      </w:r>
      <w:r>
        <w:t>ating hours should use Path A and c</w:t>
      </w:r>
      <w:r w:rsidRPr="0096764D">
        <w:t>hillers below 70% load for a majority of operating hours should use Path B.</w:t>
      </w:r>
      <w:r w:rsidRPr="008075FC">
        <w:t xml:space="preserve"> The “</w:t>
      </w:r>
      <w:r>
        <w:t>f</w:t>
      </w:r>
      <w:r w:rsidRPr="008075FC">
        <w:t>ull load” efficiency from the appropriate Path A or B should be used to calculate the Peak Demand Savings as it is expected that the chillers would be under full load during the peak demand periods.</w:t>
      </w:r>
    </w:p>
  </w:footnote>
  <w:footnote w:id="168">
    <w:p w:rsidR="00865117" w:rsidRDefault="00865117" w:rsidP="007E213C">
      <w:pPr>
        <w:pStyle w:val="FootnoteText"/>
      </w:pPr>
      <w:r>
        <w:rPr>
          <w:rStyle w:val="FootnoteReference"/>
        </w:rPr>
        <w:footnoteRef/>
      </w:r>
      <w:r>
        <w:t xml:space="preserve"> </w:t>
      </w:r>
      <w:proofErr w:type="gramStart"/>
      <w:r w:rsidRPr="003167B7">
        <w:t>US Department of Energy.</w:t>
      </w:r>
      <w:proofErr w:type="gramEnd"/>
      <w:r w:rsidRPr="003167B7">
        <w:t xml:space="preserve">  Energy Star Calculator and Bin Analysis Models</w:t>
      </w:r>
    </w:p>
  </w:footnote>
  <w:footnote w:id="169">
    <w:p w:rsidR="00865117" w:rsidRPr="0068583D" w:rsidRDefault="00865117" w:rsidP="00277FD6">
      <w:pPr>
        <w:pStyle w:val="FootnoteText"/>
        <w:rPr>
          <w:rFonts w:cs="Arial"/>
          <w:szCs w:val="16"/>
        </w:rPr>
      </w:pPr>
      <w:r w:rsidRPr="0068583D">
        <w:rPr>
          <w:rStyle w:val="FootnoteReference"/>
          <w:rFonts w:cs="Arial"/>
          <w:szCs w:val="16"/>
        </w:rPr>
        <w:footnoteRef/>
      </w:r>
      <w:r w:rsidRPr="0068583D">
        <w:rPr>
          <w:rFonts w:cs="Arial"/>
          <w:szCs w:val="16"/>
        </w:rPr>
        <w:t xml:space="preserve"> Deru, M., et al., (2003), </w:t>
      </w:r>
      <w:r w:rsidRPr="0068583D">
        <w:rPr>
          <w:rFonts w:cs="Arial"/>
          <w:i/>
          <w:szCs w:val="16"/>
        </w:rPr>
        <w:t>Analysis of NREL Cold-Drink Vending Machines for Energy Savings</w:t>
      </w:r>
      <w:r w:rsidRPr="0068583D">
        <w:rPr>
          <w:rFonts w:cs="Arial"/>
          <w:szCs w:val="16"/>
        </w:rPr>
        <w:t xml:space="preserve">, National Renewable Energy Laboratory,  NREL/TP-550-34008, </w:t>
      </w:r>
      <w:hyperlink r:id="rId30" w:history="1">
        <w:r w:rsidRPr="0068583D">
          <w:rPr>
            <w:rStyle w:val="Hyperlink"/>
            <w:rFonts w:cs="Arial"/>
            <w:szCs w:val="16"/>
          </w:rPr>
          <w:t>http://www.nrel.gov/docs/fy03osti/34008.pdf</w:t>
        </w:r>
      </w:hyperlink>
    </w:p>
  </w:footnote>
  <w:footnote w:id="170">
    <w:p w:rsidR="00865117" w:rsidRPr="0068583D" w:rsidRDefault="00865117" w:rsidP="00277FD6">
      <w:pPr>
        <w:pStyle w:val="FootnoteText"/>
        <w:rPr>
          <w:rFonts w:cs="Arial"/>
          <w:szCs w:val="16"/>
        </w:rPr>
      </w:pPr>
      <w:r w:rsidRPr="0068583D">
        <w:rPr>
          <w:rStyle w:val="FootnoteReference"/>
          <w:rFonts w:cs="Arial"/>
          <w:szCs w:val="16"/>
        </w:rPr>
        <w:footnoteRef/>
      </w:r>
      <w:r w:rsidRPr="0068583D">
        <w:rPr>
          <w:rFonts w:cs="Arial"/>
          <w:szCs w:val="16"/>
        </w:rPr>
        <w:t xml:space="preserve"> Ritter, J., Hugghins, J., (2000), </w:t>
      </w:r>
      <w:r w:rsidRPr="0068583D">
        <w:rPr>
          <w:rFonts w:cs="Arial"/>
          <w:i/>
          <w:szCs w:val="16"/>
        </w:rPr>
        <w:t>Vending Machine Energy Consumption and VendingMiser Evaluation</w:t>
      </w:r>
      <w:r w:rsidRPr="0068583D">
        <w:rPr>
          <w:rFonts w:cs="Arial"/>
          <w:szCs w:val="16"/>
        </w:rPr>
        <w:t xml:space="preserve">, Energy Systems Laboratory, Texas A&amp;M University System,  </w:t>
      </w:r>
      <w:hyperlink r:id="rId31" w:history="1">
        <w:r w:rsidRPr="0068583D">
          <w:rPr>
            <w:rStyle w:val="Hyperlink"/>
            <w:rFonts w:cs="Arial"/>
            <w:szCs w:val="16"/>
          </w:rPr>
          <w:t>http://repository.tamu.edu/bitstream/handle/1969.1/2006/ESL-TR-00-11-01.pdf;jsessionid=6E215C09FB80BC5D2593AC81E627DA97?sequence=1</w:t>
        </w:r>
      </w:hyperlink>
    </w:p>
  </w:footnote>
  <w:footnote w:id="171">
    <w:p w:rsidR="00865117" w:rsidRPr="0068583D" w:rsidRDefault="00865117" w:rsidP="00277FD6">
      <w:pPr>
        <w:pStyle w:val="FootnoteText"/>
        <w:rPr>
          <w:rFonts w:cs="Arial"/>
          <w:szCs w:val="16"/>
        </w:rPr>
      </w:pPr>
      <w:r w:rsidRPr="0068583D">
        <w:rPr>
          <w:rStyle w:val="FootnoteReference"/>
          <w:rFonts w:cs="Arial"/>
          <w:szCs w:val="16"/>
        </w:rPr>
        <w:footnoteRef/>
      </w:r>
      <w:r w:rsidRPr="0068583D">
        <w:rPr>
          <w:rFonts w:cs="Arial"/>
          <w:szCs w:val="16"/>
        </w:rPr>
        <w:t xml:space="preserve"> </w:t>
      </w:r>
      <w:proofErr w:type="gramStart"/>
      <w:r w:rsidRPr="0068583D">
        <w:rPr>
          <w:rFonts w:cs="Arial"/>
          <w:i/>
          <w:szCs w:val="16"/>
        </w:rPr>
        <w:t>State of Ohio Energy Efficiency Technical Reference Manual</w:t>
      </w:r>
      <w:r w:rsidRPr="0068583D">
        <w:rPr>
          <w:rFonts w:cs="Arial"/>
          <w:szCs w:val="16"/>
        </w:rPr>
        <w:t xml:space="preserve">, </w:t>
      </w:r>
      <w:r w:rsidRPr="0068583D">
        <w:rPr>
          <w:rFonts w:cs="Arial"/>
          <w:i/>
          <w:szCs w:val="16"/>
        </w:rPr>
        <w:t>Including Predetermined Savings Values and Protocols for Determining Energy and Demand Savings</w:t>
      </w:r>
      <w:r w:rsidRPr="0068583D">
        <w:rPr>
          <w:rFonts w:cs="Arial"/>
          <w:szCs w:val="16"/>
        </w:rPr>
        <w:t>, August 6, 2010.</w:t>
      </w:r>
      <w:proofErr w:type="gramEnd"/>
      <w:r w:rsidRPr="0068583D">
        <w:rPr>
          <w:rFonts w:cs="Arial"/>
          <w:szCs w:val="16"/>
        </w:rPr>
        <w:t xml:space="preserve">  Prepared for the Public Utilities Commission of Ohio by Vermont Energy Investment Corporation</w:t>
      </w:r>
    </w:p>
  </w:footnote>
  <w:footnote w:id="172">
    <w:p w:rsidR="00865117" w:rsidRPr="0068583D" w:rsidRDefault="00865117" w:rsidP="00277FD6">
      <w:pPr>
        <w:pStyle w:val="FootnoteText"/>
        <w:rPr>
          <w:rFonts w:cs="Arial"/>
          <w:szCs w:val="16"/>
        </w:rPr>
      </w:pPr>
      <w:r w:rsidRPr="0068583D">
        <w:rPr>
          <w:rStyle w:val="FootnoteReference"/>
          <w:rFonts w:cs="Arial"/>
          <w:szCs w:val="16"/>
        </w:rPr>
        <w:footnoteRef/>
      </w:r>
      <w:r w:rsidRPr="0068583D">
        <w:rPr>
          <w:rFonts w:cs="Arial"/>
          <w:szCs w:val="16"/>
        </w:rPr>
        <w:t xml:space="preserve"> </w:t>
      </w:r>
      <w:r w:rsidRPr="0068583D">
        <w:rPr>
          <w:rFonts w:cs="Arial"/>
          <w:i/>
          <w:szCs w:val="16"/>
        </w:rPr>
        <w:t>Vending Machine Energy Savings</w:t>
      </w:r>
      <w:r w:rsidRPr="0068583D">
        <w:rPr>
          <w:rFonts w:cs="Arial"/>
          <w:szCs w:val="16"/>
        </w:rPr>
        <w:t xml:space="preserve">, Michigan Energy Office Case Study 05-0042,  </w:t>
      </w:r>
      <w:hyperlink r:id="rId32" w:history="1">
        <w:r w:rsidRPr="0068583D">
          <w:rPr>
            <w:rStyle w:val="Hyperlink"/>
            <w:rFonts w:cs="Arial"/>
            <w:szCs w:val="16"/>
          </w:rPr>
          <w:t>http://www.michigan.gov/documents/CIS_EO_Vending_Machine_05-0042_155715_7.pdf</w:t>
        </w:r>
      </w:hyperlink>
    </w:p>
  </w:footnote>
  <w:footnote w:id="173">
    <w:p w:rsidR="00865117" w:rsidRPr="0068583D" w:rsidRDefault="00865117" w:rsidP="00277FD6">
      <w:pPr>
        <w:pStyle w:val="FootnoteText"/>
        <w:rPr>
          <w:rFonts w:cs="Arial"/>
          <w:szCs w:val="16"/>
        </w:rPr>
      </w:pPr>
      <w:r w:rsidRPr="0068583D">
        <w:rPr>
          <w:rStyle w:val="FootnoteReference"/>
          <w:rFonts w:cs="Arial"/>
          <w:szCs w:val="16"/>
        </w:rPr>
        <w:footnoteRef/>
      </w:r>
      <w:r w:rsidRPr="0068583D">
        <w:rPr>
          <w:rFonts w:cs="Arial"/>
          <w:szCs w:val="16"/>
        </w:rPr>
        <w:t xml:space="preserve"> ENERGY STAR Calculator, Assumptions for Vending Machines, accessed 8/2010 </w:t>
      </w:r>
      <w:hyperlink r:id="rId33" w:history="1">
        <w:r w:rsidRPr="0068583D">
          <w:rPr>
            <w:rStyle w:val="Hyperlink"/>
            <w:rFonts w:cs="Arial"/>
            <w:szCs w:val="16"/>
          </w:rPr>
          <w:t>http://www.energystar.gov/ia/business/bulk_purchasing/bpsavings_calc/Calc_Vend_MachBulk.xls</w:t>
        </w:r>
      </w:hyperlink>
    </w:p>
  </w:footnote>
  <w:footnote w:id="174">
    <w:p w:rsidR="00865117" w:rsidRPr="001507D3" w:rsidRDefault="00865117" w:rsidP="00277FD6">
      <w:pPr>
        <w:pStyle w:val="FootnoteText"/>
        <w:rPr>
          <w:rFonts w:cs="Arial"/>
          <w:szCs w:val="16"/>
        </w:rPr>
      </w:pPr>
      <w:r w:rsidRPr="001507D3">
        <w:rPr>
          <w:rStyle w:val="FootnoteReference"/>
          <w:rFonts w:cs="Arial"/>
          <w:szCs w:val="16"/>
        </w:rPr>
        <w:footnoteRef/>
      </w:r>
      <w:r w:rsidRPr="001507D3">
        <w:rPr>
          <w:rFonts w:cs="Arial"/>
          <w:szCs w:val="16"/>
        </w:rPr>
        <w:t xml:space="preserve"> </w:t>
      </w:r>
      <w:r w:rsidRPr="001507D3">
        <w:rPr>
          <w:rFonts w:cs="Arial"/>
          <w:i/>
          <w:szCs w:val="16"/>
        </w:rPr>
        <w:t>Commercial Ice Machines Key Product Criteria</w:t>
      </w:r>
      <w:r w:rsidRPr="001507D3">
        <w:rPr>
          <w:rFonts w:cs="Arial"/>
          <w:szCs w:val="16"/>
        </w:rPr>
        <w:t xml:space="preserve">, ENERGY STAR, accessed 8/2010, </w:t>
      </w:r>
      <w:hyperlink r:id="rId34" w:history="1">
        <w:r w:rsidRPr="001507D3">
          <w:rPr>
            <w:rStyle w:val="Hyperlink"/>
            <w:rFonts w:cs="Arial"/>
            <w:szCs w:val="16"/>
          </w:rPr>
          <w:t>http://www.energystar.gov/index.cfm?c=comm_ice_machines.pr_crit_comm_ice_machines</w:t>
        </w:r>
      </w:hyperlink>
    </w:p>
  </w:footnote>
  <w:footnote w:id="175">
    <w:p w:rsidR="00865117" w:rsidRPr="001507D3" w:rsidRDefault="00865117" w:rsidP="00277FD6">
      <w:pPr>
        <w:pStyle w:val="FootnoteText"/>
        <w:rPr>
          <w:rFonts w:cs="Arial"/>
          <w:szCs w:val="16"/>
        </w:rPr>
      </w:pPr>
      <w:r w:rsidRPr="001507D3">
        <w:rPr>
          <w:rStyle w:val="FootnoteReference"/>
          <w:rFonts w:cs="Arial"/>
          <w:szCs w:val="16"/>
        </w:rPr>
        <w:footnoteRef/>
      </w:r>
      <w:r w:rsidRPr="001507D3">
        <w:rPr>
          <w:rFonts w:cs="Arial"/>
          <w:szCs w:val="16"/>
        </w:rPr>
        <w:t xml:space="preserve"> </w:t>
      </w:r>
      <w:proofErr w:type="gramStart"/>
      <w:r w:rsidRPr="001507D3">
        <w:rPr>
          <w:rFonts w:cs="Arial"/>
          <w:i/>
          <w:szCs w:val="16"/>
        </w:rPr>
        <w:t>State of Ohio Energy Efficiency Technical Reference Manual</w:t>
      </w:r>
      <w:r w:rsidRPr="001507D3">
        <w:rPr>
          <w:rFonts w:cs="Arial"/>
          <w:szCs w:val="16"/>
        </w:rPr>
        <w:t xml:space="preserve">, </w:t>
      </w:r>
      <w:r w:rsidRPr="001507D3">
        <w:rPr>
          <w:rFonts w:cs="Arial"/>
          <w:i/>
          <w:szCs w:val="16"/>
        </w:rPr>
        <w:t>Including Predetermined Savings Values and Protocols for Determining Energy and Demand Savings</w:t>
      </w:r>
      <w:r w:rsidRPr="001507D3">
        <w:rPr>
          <w:rFonts w:cs="Arial"/>
          <w:szCs w:val="16"/>
        </w:rPr>
        <w:t>, August 6, 2010.</w:t>
      </w:r>
      <w:proofErr w:type="gramEnd"/>
      <w:r w:rsidRPr="001507D3">
        <w:rPr>
          <w:rFonts w:cs="Arial"/>
          <w:szCs w:val="16"/>
        </w:rPr>
        <w:t xml:space="preserve">  </w:t>
      </w:r>
      <w:proofErr w:type="gramStart"/>
      <w:r w:rsidRPr="001507D3">
        <w:rPr>
          <w:rFonts w:cs="Arial"/>
          <w:szCs w:val="16"/>
        </w:rPr>
        <w:t>Prepared for the Public Utilities Commission of Ohio by Vermont Energy Investment Corporation.</w:t>
      </w:r>
      <w:proofErr w:type="gramEnd"/>
      <w:r w:rsidRPr="001507D3">
        <w:rPr>
          <w:rFonts w:cs="Arial"/>
          <w:szCs w:val="16"/>
        </w:rPr>
        <w:t xml:space="preserve">  </w:t>
      </w:r>
    </w:p>
  </w:footnote>
  <w:footnote w:id="176">
    <w:p w:rsidR="00865117" w:rsidRPr="001507D3" w:rsidRDefault="00865117" w:rsidP="00277FD6">
      <w:pPr>
        <w:pStyle w:val="FootnoteText"/>
        <w:rPr>
          <w:rFonts w:cs="Arial"/>
          <w:szCs w:val="16"/>
        </w:rPr>
      </w:pPr>
      <w:r w:rsidRPr="001507D3">
        <w:rPr>
          <w:rStyle w:val="FootnoteReference"/>
          <w:rFonts w:cs="Arial"/>
          <w:szCs w:val="16"/>
        </w:rPr>
        <w:footnoteRef/>
      </w:r>
      <w:r w:rsidRPr="001507D3">
        <w:rPr>
          <w:rFonts w:cs="Arial"/>
          <w:szCs w:val="16"/>
        </w:rPr>
        <w:t xml:space="preserve"> </w:t>
      </w:r>
      <w:r w:rsidRPr="001507D3">
        <w:rPr>
          <w:rFonts w:cs="Arial"/>
          <w:i/>
          <w:szCs w:val="16"/>
        </w:rPr>
        <w:t>High Efficiency Specifications for Commercial Ice Machines</w:t>
      </w:r>
      <w:r w:rsidRPr="001507D3">
        <w:rPr>
          <w:rFonts w:cs="Arial"/>
          <w:szCs w:val="16"/>
        </w:rPr>
        <w:t xml:space="preserve">, Consortium for Energy Efficiency, accessed 8/2010,  </w:t>
      </w:r>
      <w:hyperlink r:id="rId35" w:history="1">
        <w:r w:rsidRPr="001507D3">
          <w:rPr>
            <w:rStyle w:val="Hyperlink"/>
            <w:rFonts w:cs="Arial"/>
            <w:szCs w:val="16"/>
          </w:rPr>
          <w:t>http://www.cee1.org/com/com-kit/files/IceSpecification.pdf</w:t>
        </w:r>
      </w:hyperlink>
    </w:p>
  </w:footnote>
  <w:footnote w:id="177">
    <w:p w:rsidR="00865117" w:rsidRPr="001507D3" w:rsidRDefault="00865117" w:rsidP="00277FD6">
      <w:pPr>
        <w:pStyle w:val="FootnoteText"/>
        <w:rPr>
          <w:rFonts w:cs="Arial"/>
          <w:szCs w:val="16"/>
        </w:rPr>
      </w:pPr>
      <w:r w:rsidRPr="001507D3">
        <w:rPr>
          <w:rStyle w:val="FootnoteReference"/>
          <w:rFonts w:cs="Arial"/>
          <w:szCs w:val="16"/>
        </w:rPr>
        <w:footnoteRef/>
      </w:r>
      <w:r w:rsidRPr="001507D3">
        <w:rPr>
          <w:rFonts w:cs="Arial"/>
          <w:szCs w:val="16"/>
        </w:rPr>
        <w:t xml:space="preserve"> Specifications for Tier 1 and Tier 2 ice machines are being revised by CEE, however exact criteria and timeline have not been set as of the time of this report.</w:t>
      </w:r>
    </w:p>
  </w:footnote>
  <w:footnote w:id="178">
    <w:p w:rsidR="00865117" w:rsidRDefault="00865117" w:rsidP="00277FD6">
      <w:pPr>
        <w:spacing w:after="0" w:line="240" w:lineRule="auto"/>
        <w:contextualSpacing/>
      </w:pPr>
      <w:r w:rsidRPr="001507D3">
        <w:rPr>
          <w:rStyle w:val="FootnoteReference"/>
          <w:rFonts w:cs="Arial"/>
          <w:sz w:val="16"/>
          <w:szCs w:val="16"/>
        </w:rPr>
        <w:footnoteRef/>
      </w:r>
      <w:r w:rsidRPr="001507D3">
        <w:rPr>
          <w:rFonts w:cs="Arial"/>
          <w:sz w:val="16"/>
          <w:szCs w:val="16"/>
        </w:rPr>
        <w:t xml:space="preserve"> </w:t>
      </w:r>
      <w:r w:rsidRPr="001507D3">
        <w:rPr>
          <w:rFonts w:cs="Arial"/>
          <w:i/>
          <w:sz w:val="16"/>
          <w:szCs w:val="16"/>
        </w:rPr>
        <w:t>DEER</w:t>
      </w:r>
      <w:r w:rsidRPr="001507D3">
        <w:rPr>
          <w:rFonts w:cs="Arial"/>
          <w:sz w:val="16"/>
          <w:szCs w:val="16"/>
        </w:rPr>
        <w:t xml:space="preserve"> </w:t>
      </w:r>
      <w:r w:rsidRPr="001507D3">
        <w:rPr>
          <w:rFonts w:cs="Arial"/>
          <w:i/>
          <w:sz w:val="16"/>
          <w:szCs w:val="16"/>
        </w:rPr>
        <w:t>EUL Summary</w:t>
      </w:r>
      <w:r w:rsidRPr="001507D3">
        <w:rPr>
          <w:rFonts w:cs="Arial"/>
          <w:sz w:val="16"/>
          <w:szCs w:val="16"/>
        </w:rPr>
        <w:t xml:space="preserve">, Database for Energy Efficient Resources, accessed 8/2010, </w:t>
      </w:r>
      <w:hyperlink r:id="rId36" w:history="1">
        <w:r w:rsidRPr="001507D3">
          <w:rPr>
            <w:rStyle w:val="Hyperlink"/>
            <w:rFonts w:cs="Arial"/>
            <w:sz w:val="16"/>
            <w:szCs w:val="16"/>
          </w:rPr>
          <w:t>http://www.deeresources.com/deer0911planning/downloads/EUL_Summary_10-1-08.xls</w:t>
        </w:r>
      </w:hyperlink>
    </w:p>
  </w:footnote>
  <w:footnote w:id="179">
    <w:p w:rsidR="00865117" w:rsidRPr="0020680B" w:rsidRDefault="00865117">
      <w:pPr>
        <w:pStyle w:val="FootnoteText"/>
      </w:pPr>
      <w:r>
        <w:rPr>
          <w:rStyle w:val="FootnoteReference"/>
        </w:rPr>
        <w:footnoteRef/>
      </w:r>
      <w:r>
        <w:t xml:space="preserve"> ASHRAE 90.1-2004, Tables 6.8.1A,  6.8.1B, and 6.8.1D</w:t>
      </w:r>
    </w:p>
  </w:footnote>
  <w:footnote w:id="180">
    <w:p w:rsidR="00865117" w:rsidRPr="0020680B" w:rsidRDefault="00865117">
      <w:pPr>
        <w:pStyle w:val="FootnoteText"/>
      </w:pPr>
      <w:r>
        <w:rPr>
          <w:rStyle w:val="FootnoteReference"/>
        </w:rPr>
        <w:footnoteRef/>
      </w:r>
      <w:r>
        <w:t xml:space="preserve"> IECC 2009, Tables 503.2.3(1), 503.2.3(2), and 503.2.3(3)</w:t>
      </w:r>
    </w:p>
  </w:footnote>
  <w:footnote w:id="181">
    <w:p w:rsidR="00865117" w:rsidRDefault="00865117" w:rsidP="00CE64A1">
      <w:pPr>
        <w:pStyle w:val="FootnoteText"/>
      </w:pPr>
      <w:r>
        <w:rPr>
          <w:rStyle w:val="FootnoteReference"/>
        </w:rPr>
        <w:footnoteRef/>
      </w:r>
      <w:r>
        <w:t xml:space="preserve"> </w:t>
      </w:r>
      <w:proofErr w:type="gramStart"/>
      <w:r w:rsidRPr="003167B7">
        <w:t>US Department of Energy.</w:t>
      </w:r>
      <w:proofErr w:type="gramEnd"/>
      <w:r w:rsidRPr="003167B7">
        <w:t xml:space="preserve">  </w:t>
      </w:r>
      <w:r>
        <w:t>ENERGY STAR</w:t>
      </w:r>
      <w:r w:rsidRPr="003167B7">
        <w:t xml:space="preserve"> Calculator and Bin Analysis Models</w:t>
      </w:r>
    </w:p>
  </w:footnote>
  <w:footnote w:id="182">
    <w:p w:rsidR="00865117" w:rsidRPr="00FA7A0D" w:rsidRDefault="00865117" w:rsidP="0039108A">
      <w:pPr>
        <w:pStyle w:val="FootnoteText"/>
      </w:pPr>
      <w:r>
        <w:rPr>
          <w:rStyle w:val="FootnoteReference"/>
        </w:rPr>
        <w:footnoteRef/>
      </w:r>
      <w:r>
        <w:t xml:space="preserve"> We define </w:t>
      </w:r>
      <w:r w:rsidRPr="007975D0">
        <w:rPr>
          <w:i/>
        </w:rPr>
        <w:t>curtain efficacy</w:t>
      </w:r>
      <w:r>
        <w:t xml:space="preserve"> as the fraction of the potential airflow that is blocked by an infiltration barrier.  For example, a brick wall would have an efficacy of 1.0, while </w:t>
      </w:r>
      <w:r w:rsidRPr="00FA7A0D">
        <w:t>the lack of any infiltration barrier corresponds to an efficacy of 0.</w:t>
      </w:r>
    </w:p>
  </w:footnote>
  <w:footnote w:id="183">
    <w:p w:rsidR="00865117" w:rsidRDefault="00865117" w:rsidP="0039108A">
      <w:pPr>
        <w:pStyle w:val="FootnoteText"/>
      </w:pPr>
      <w:r>
        <w:rPr>
          <w:rStyle w:val="FootnoteReference"/>
        </w:rPr>
        <w:footnoteRef/>
      </w:r>
      <w:r>
        <w:t xml:space="preserve"> See source 1 for </w:t>
      </w:r>
      <w:r w:rsidR="007A1FB6">
        <w:fldChar w:fldCharType="begin"/>
      </w:r>
      <w:r>
        <w:instrText xml:space="preserve"> REF _Ref275549496 \h </w:instrText>
      </w:r>
      <w:r w:rsidR="007A1FB6">
        <w:fldChar w:fldCharType="separate"/>
      </w:r>
      <w:r>
        <w:t xml:space="preserve">Table </w:t>
      </w:r>
      <w:r>
        <w:rPr>
          <w:noProof/>
        </w:rPr>
        <w:t>3</w:t>
      </w:r>
      <w:r>
        <w:noBreakHyphen/>
      </w:r>
      <w:r>
        <w:rPr>
          <w:noProof/>
        </w:rPr>
        <w:t>11</w:t>
      </w:r>
      <w:r w:rsidR="007A1FB6">
        <w:fldChar w:fldCharType="end"/>
      </w:r>
      <w:r>
        <w:t>.</w:t>
      </w:r>
    </w:p>
  </w:footnote>
  <w:footnote w:id="184">
    <w:p w:rsidR="00865117" w:rsidRDefault="00865117" w:rsidP="0039108A">
      <w:pPr>
        <w:pStyle w:val="FootnoteText"/>
      </w:pPr>
      <w:r>
        <w:rPr>
          <w:rStyle w:val="FootnoteReference"/>
        </w:rPr>
        <w:footnoteRef/>
      </w:r>
      <w:r>
        <w:t xml:space="preserve"> </w:t>
      </w:r>
      <w:r w:rsidRPr="00815DFE">
        <w:rPr>
          <w:rFonts w:ascii="Helvetica" w:eastAsia="Calibri" w:hAnsi="Helvetica" w:cs="Helvetica"/>
        </w:rPr>
        <w:t>http://energysmartonline.org/documents/EnergySmart_BPA_T&amp;Cs.pdf</w:t>
      </w:r>
    </w:p>
  </w:footnote>
  <w:footnote w:id="185">
    <w:p w:rsidR="00865117" w:rsidRDefault="00865117" w:rsidP="0039108A">
      <w:pPr>
        <w:pStyle w:val="FootnoteText"/>
      </w:pPr>
      <w:r w:rsidRPr="00FA7A0D">
        <w:rPr>
          <w:rStyle w:val="FootnoteReference"/>
        </w:rPr>
        <w:footnoteRef/>
      </w:r>
      <w:r w:rsidRPr="00FA7A0D">
        <w:t xml:space="preserve"> </w:t>
      </w:r>
      <w:r w:rsidRPr="00FA7A0D">
        <w:rPr>
          <w:i/>
          <w:lang w:val="da-DK"/>
        </w:rPr>
        <w:t>Kalterveluste durch kuhlraumoffnungen</w:t>
      </w:r>
      <w:r w:rsidRPr="00FA7A0D">
        <w:rPr>
          <w:lang w:val="da-DK"/>
        </w:rPr>
        <w:t>. Tamm W,.Kaltetechnik-Klimatisierung</w:t>
      </w:r>
      <w:r w:rsidRPr="00A8265E">
        <w:rPr>
          <w:lang w:val="da-DK"/>
        </w:rPr>
        <w:t xml:space="preserve"> 1966;18;142-144</w:t>
      </w:r>
    </w:p>
  </w:footnote>
  <w:footnote w:id="186">
    <w:p w:rsidR="00865117" w:rsidRDefault="00865117" w:rsidP="0039108A">
      <w:pPr>
        <w:pStyle w:val="FootnoteText"/>
      </w:pPr>
      <w:r>
        <w:rPr>
          <w:rStyle w:val="FootnoteReference"/>
        </w:rPr>
        <w:footnoteRef/>
      </w:r>
      <w:r>
        <w:t xml:space="preserve"> </w:t>
      </w:r>
      <w:proofErr w:type="gramStart"/>
      <w:r>
        <w:t>American Society of Heating, Refrigeration, and Air-Conditioning Engineers (ASHRAE).</w:t>
      </w:r>
      <w:proofErr w:type="gramEnd"/>
      <w:r>
        <w:t xml:space="preserve"> 2006. </w:t>
      </w:r>
      <w:r>
        <w:rPr>
          <w:i/>
          <w:iCs/>
        </w:rPr>
        <w:t xml:space="preserve">ASHRAE Handbook, </w:t>
      </w:r>
      <w:r w:rsidRPr="007539D1">
        <w:rPr>
          <w:iCs/>
        </w:rPr>
        <w:t>Refrigeration:</w:t>
      </w:r>
      <w:r>
        <w:rPr>
          <w:i/>
          <w:iCs/>
        </w:rPr>
        <w:t xml:space="preserve"> </w:t>
      </w:r>
      <w:r w:rsidRPr="00830036">
        <w:rPr>
          <w:iCs/>
        </w:rPr>
        <w:t>13.4</w:t>
      </w:r>
      <w:r>
        <w:rPr>
          <w:iCs/>
        </w:rPr>
        <w:t>, 13.6</w:t>
      </w:r>
    </w:p>
  </w:footnote>
  <w:footnote w:id="187">
    <w:p w:rsidR="00865117" w:rsidRDefault="00865117" w:rsidP="0039108A">
      <w:pPr>
        <w:pStyle w:val="FootnoteText"/>
      </w:pPr>
      <w:r>
        <w:rPr>
          <w:rStyle w:val="FootnoteReference"/>
        </w:rPr>
        <w:footnoteRef/>
      </w:r>
      <w:r>
        <w:t xml:space="preserve"> </w:t>
      </w:r>
      <w:r w:rsidRPr="00401849">
        <w:t>http://www.calmac.org/publications/ComFac_Evaluation_V1_Final_Report_02-18-2010.pdf</w:t>
      </w:r>
    </w:p>
  </w:footnote>
  <w:footnote w:id="188">
    <w:p w:rsidR="00865117" w:rsidRDefault="00865117" w:rsidP="0039108A">
      <w:pPr>
        <w:pStyle w:val="FootnoteText"/>
      </w:pPr>
      <w:r>
        <w:rPr>
          <w:rStyle w:val="FootnoteReference"/>
        </w:rPr>
        <w:footnoteRef/>
      </w:r>
      <w:r>
        <w:t xml:space="preserve"> </w:t>
      </w:r>
      <w:r w:rsidRPr="00186291">
        <w:t xml:space="preserve">In the original equation (Tamm’s equation) the height is taken to be the difference between the midpoint of the opening and the ‘neutral pressure level’ of the cold space.  In the case that there is just one dominant doorway through which infiltration occurs, the neutral pressure level is half the height of the doorway to the walk-in refrigeration unit.  The refrigerated air leaks out through the lower half of the door, and the warm, infiltrating air enters through the top half of the door.  We deconstruct the lower half of the door into infinitesimal horizontal strips of width W and height </w:t>
      </w:r>
      <w:proofErr w:type="gramStart"/>
      <w:r w:rsidRPr="00186291">
        <w:t>dh</w:t>
      </w:r>
      <w:proofErr w:type="gramEnd"/>
      <w:r w:rsidRPr="00186291">
        <w:t xml:space="preserve">.  Each strip is treated as a separate window, and the air flow through each infinitesimal strip is given by </w:t>
      </w:r>
      <w:r>
        <w:t>60 x C</w:t>
      </w:r>
      <w:r>
        <w:rPr>
          <w:vertAlign w:val="subscript"/>
        </w:rPr>
        <w:t>D</w:t>
      </w:r>
      <w:r>
        <w:t xml:space="preserve"> x A x {[(T</w:t>
      </w:r>
      <w:r>
        <w:rPr>
          <w:vertAlign w:val="subscript"/>
        </w:rPr>
        <w:t xml:space="preserve">i </w:t>
      </w:r>
      <w:r>
        <w:t xml:space="preserve">– </w:t>
      </w:r>
      <w:proofErr w:type="gramStart"/>
      <w:r>
        <w:t>T</w:t>
      </w:r>
      <w:r>
        <w:rPr>
          <w:vertAlign w:val="subscript"/>
        </w:rPr>
        <w:t>r</w:t>
      </w:r>
      <w:r>
        <w:t xml:space="preserve"> )</w:t>
      </w:r>
      <w:proofErr w:type="gramEnd"/>
      <w:r>
        <w:t xml:space="preserve"> / T</w:t>
      </w:r>
      <w:r>
        <w:rPr>
          <w:vertAlign w:val="subscript"/>
        </w:rPr>
        <w:t>i</w:t>
      </w:r>
      <w:r>
        <w:t xml:space="preserve"> ] x g x </w:t>
      </w:r>
      <w:r w:rsidRPr="00186291">
        <w:t>Δ</w:t>
      </w:r>
      <w:r>
        <w:t>H</w:t>
      </w:r>
      <w:r>
        <w:rPr>
          <w:vertAlign w:val="subscript"/>
        </w:rPr>
        <w:t>NPL</w:t>
      </w:r>
      <w:r>
        <w:t xml:space="preserve"> }^0.5 </w:t>
      </w:r>
      <w:r w:rsidRPr="00186291">
        <w:t>where ΔH</w:t>
      </w:r>
      <w:r w:rsidRPr="005B6299">
        <w:rPr>
          <w:vertAlign w:val="subscript"/>
        </w:rPr>
        <w:t>NPL</w:t>
      </w:r>
      <w:r w:rsidRPr="00186291">
        <w:t xml:space="preserve"> represents the distance to the vertical midpoint of the door.  In effect, this replaces the implicit </w:t>
      </w:r>
      <w:proofErr w:type="gramStart"/>
      <w:r w:rsidRPr="00186291">
        <w:t>wh1.5  (</w:t>
      </w:r>
      <w:proofErr w:type="gramEnd"/>
      <w:r w:rsidRPr="00186291">
        <w:t>one power from the area, and the other from ΔH</w:t>
      </w:r>
      <w:r w:rsidRPr="005B6299">
        <w:rPr>
          <w:vertAlign w:val="subscript"/>
        </w:rPr>
        <w:t>NPL</w:t>
      </w:r>
      <w:r w:rsidRPr="00186291">
        <w:t xml:space="preserve"> ) with the integral from 0 to h/2 of wh’0.5 dh’  which results in wh1.5/(3×20.5</w:t>
      </w:r>
      <w:r w:rsidRPr="00186291">
        <w:softHyphen/>
        <w:t>).  For more information see: Are They Cool(ing)?:Quantifying the Energy Savings from Installing / Repairing Strip Curtains, Alereza, Baroiant, Dohrmann, Mort, Proceedings of the 2008 IEPEC Conference.</w:t>
      </w:r>
    </w:p>
  </w:footnote>
  <w:footnote w:id="189">
    <w:p w:rsidR="00865117" w:rsidRDefault="00865117" w:rsidP="0039108A">
      <w:pPr>
        <w:pStyle w:val="FootnoteText"/>
      </w:pPr>
      <w:r w:rsidRPr="005B6299">
        <w:rPr>
          <w:vertAlign w:val="superscript"/>
        </w:rPr>
        <w:footnoteRef/>
      </w:r>
      <w:r w:rsidRPr="004E0300">
        <w:t xml:space="preserve"> </w:t>
      </w:r>
      <w:hyperlink r:id="rId37" w:history="1">
        <w:r w:rsidRPr="00993FD6">
          <w:rPr>
            <w:rStyle w:val="Hyperlink"/>
            <w:rFonts w:cs="Arial"/>
          </w:rPr>
          <w:t>http://www.cpuc.ca.gov/PUC/energy/Energy+Efficiency/EM+and+V/2006-2008+Energy+Efficiency+Evaluation+Report.htm</w:t>
        </w:r>
      </w:hyperlink>
      <w:r>
        <w:t>.</w:t>
      </w:r>
      <w:r w:rsidRPr="004E0300">
        <w:t xml:space="preserve"> The scale factors have been determined with tracer gas measurements on over 100 walk-in refrigeration units during the California Public Utility Commission’s evaluation of the 2006-2008 CA </w:t>
      </w:r>
      <w:proofErr w:type="gramStart"/>
      <w:r w:rsidRPr="004E0300">
        <w:t>investor</w:t>
      </w:r>
      <w:proofErr w:type="gramEnd"/>
      <w:r w:rsidRPr="004E0300">
        <w:t xml:space="preserve"> owned utility energy efficiency programs.  The door-open and close times, and temperatures of the infiltrating and refrigerated airs are taken from short-term monitoring of over 100 walk-in units. The temperature and humidity of the infiltrating air and the COP of the units have been modified to reflect the PA climate.</w:t>
      </w:r>
    </w:p>
  </w:footnote>
  <w:footnote w:id="190">
    <w:p w:rsidR="00865117" w:rsidRDefault="00865117">
      <w:pPr>
        <w:pStyle w:val="FootnoteText"/>
      </w:pPr>
      <w:r>
        <w:rPr>
          <w:rStyle w:val="FootnoteReference"/>
        </w:rPr>
        <w:footnoteRef/>
      </w:r>
      <w:r>
        <w:t xml:space="preserve"> EFLH</w:t>
      </w:r>
      <w:r w:rsidRPr="002B793C">
        <w:rPr>
          <w:vertAlign w:val="subscript"/>
        </w:rPr>
        <w:t xml:space="preserve">cool </w:t>
      </w:r>
      <w:r>
        <w:t>+ EFLH</w:t>
      </w:r>
      <w:r w:rsidRPr="002B793C">
        <w:rPr>
          <w:vertAlign w:val="subscript"/>
        </w:rPr>
        <w:t>heat</w:t>
      </w:r>
      <w:r>
        <w:t xml:space="preserve"> represent the addition of c</w:t>
      </w:r>
      <w:r w:rsidRPr="002B793C">
        <w:t>ooling</w:t>
      </w:r>
      <w:r>
        <w:t xml:space="preserve"> and heating</w:t>
      </w:r>
      <w:r w:rsidRPr="002B793C">
        <w:t xml:space="preserve"> ann</w:t>
      </w:r>
      <w:r>
        <w:t xml:space="preserve">ual equivalent full load hours </w:t>
      </w:r>
      <w:r w:rsidRPr="002B793C">
        <w:t xml:space="preserve">for </w:t>
      </w:r>
      <w:r>
        <w:t>c</w:t>
      </w:r>
      <w:r w:rsidRPr="002B793C">
        <w:t>ommercial HVAC for different occupancies</w:t>
      </w:r>
      <w:r>
        <w:t>, respectively.</w:t>
      </w:r>
    </w:p>
  </w:footnote>
  <w:footnote w:id="191">
    <w:p w:rsidR="00865117" w:rsidRDefault="00865117" w:rsidP="0064313D">
      <w:pPr>
        <w:pStyle w:val="FootnoteText"/>
      </w:pPr>
      <w:r>
        <w:rPr>
          <w:rStyle w:val="FootnoteReference"/>
        </w:rPr>
        <w:footnoteRef/>
      </w:r>
      <w:r>
        <w:t xml:space="preserve"> EFLH</w:t>
      </w:r>
      <w:r w:rsidRPr="002B793C">
        <w:rPr>
          <w:vertAlign w:val="subscript"/>
        </w:rPr>
        <w:t xml:space="preserve">cool </w:t>
      </w:r>
      <w:r>
        <w:t>+ EFLH</w:t>
      </w:r>
      <w:r w:rsidRPr="002B793C">
        <w:rPr>
          <w:vertAlign w:val="subscript"/>
        </w:rPr>
        <w:t>heat</w:t>
      </w:r>
      <w:r>
        <w:t xml:space="preserve"> represent the addition of c</w:t>
      </w:r>
      <w:r w:rsidRPr="002B793C">
        <w:t>ooling</w:t>
      </w:r>
      <w:r>
        <w:t xml:space="preserve"> and heating</w:t>
      </w:r>
      <w:r w:rsidRPr="002B793C">
        <w:t xml:space="preserve"> ann</w:t>
      </w:r>
      <w:r>
        <w:t xml:space="preserve">ual equivalent full load hours </w:t>
      </w:r>
      <w:r w:rsidRPr="002B793C">
        <w:t xml:space="preserve">for </w:t>
      </w:r>
      <w:r>
        <w:t>c</w:t>
      </w:r>
      <w:r w:rsidRPr="002B793C">
        <w:t>ommercial HVAC for different occupancies</w:t>
      </w:r>
      <w:r>
        <w:t>, respectively.</w:t>
      </w:r>
    </w:p>
  </w:footnote>
  <w:footnote w:id="192">
    <w:p w:rsidR="00865117" w:rsidRDefault="00865117">
      <w:pPr>
        <w:pStyle w:val="FootnoteText"/>
      </w:pPr>
      <w:r>
        <w:rPr>
          <w:rStyle w:val="FootnoteReference"/>
        </w:rPr>
        <w:footnoteRef/>
      </w:r>
      <w:r>
        <w:t xml:space="preserve"> Table is based on NEMA premium efficiency motor standards. Source to the table can be found at: </w:t>
      </w:r>
      <w:r w:rsidRPr="00EC672D">
        <w:t>http://www.nema.org/stds/complimentary-docs/upload/MG1premium.pdf</w:t>
      </w:r>
    </w:p>
  </w:footnote>
  <w:footnote w:id="193">
    <w:p w:rsidR="00865117" w:rsidRDefault="00865117">
      <w:pPr>
        <w:pStyle w:val="FootnoteText"/>
      </w:pPr>
      <w:r>
        <w:rPr>
          <w:rStyle w:val="FootnoteReference"/>
        </w:rPr>
        <w:footnoteRef/>
      </w:r>
      <w:r>
        <w:t xml:space="preserve"> </w:t>
      </w:r>
      <w:proofErr w:type="gramStart"/>
      <w:r>
        <w:t>Based on program requirements submitted during protocol review.</w:t>
      </w:r>
      <w:proofErr w:type="gramEnd"/>
    </w:p>
  </w:footnote>
  <w:footnote w:id="194">
    <w:p w:rsidR="00865117" w:rsidRPr="005021BC" w:rsidRDefault="00865117" w:rsidP="004F06D1">
      <w:pPr>
        <w:pStyle w:val="FootnoteText"/>
      </w:pPr>
      <w:r>
        <w:rPr>
          <w:rStyle w:val="FootnoteReference"/>
        </w:rPr>
        <w:footnoteRef/>
      </w:r>
      <w:r>
        <w:t xml:space="preserve"> </w:t>
      </w:r>
      <w:r w:rsidRPr="002E1D01">
        <w:rPr>
          <w:rFonts w:ascii="PalatinoLinotype" w:hAnsi="PalatinoLinotype" w:cs="PalatinoLinotype"/>
        </w:rPr>
        <w:t>Cap represents the rated cooling capacity of the product in Btu/h. If the unit</w:t>
      </w:r>
      <w:r>
        <w:rPr>
          <w:rFonts w:ascii="PalatinoLinotype" w:hAnsi="PalatinoLinotype" w:cs="PalatinoLinotype"/>
        </w:rPr>
        <w:t>’</w:t>
      </w:r>
      <w:r w:rsidRPr="002E1D01">
        <w:rPr>
          <w:rFonts w:ascii="PalatinoLinotype" w:hAnsi="PalatinoLinotype" w:cs="PalatinoLinotype"/>
        </w:rPr>
        <w:t>s capacity is less than 7</w:t>
      </w:r>
      <w:r>
        <w:rPr>
          <w:rFonts w:ascii="PalatinoLinotype" w:hAnsi="PalatinoLinotype" w:cs="PalatinoLinotype"/>
        </w:rPr>
        <w:t>,</w:t>
      </w:r>
      <w:r w:rsidRPr="002E1D01">
        <w:rPr>
          <w:rFonts w:ascii="PalatinoLinotype" w:hAnsi="PalatinoLinotype" w:cs="PalatinoLinotype"/>
        </w:rPr>
        <w:t>000 Btu/h, 7,000 Btu/h is used in the calculation. If the unit</w:t>
      </w:r>
      <w:r>
        <w:rPr>
          <w:rFonts w:ascii="PalatinoLinotype" w:hAnsi="PalatinoLinotype" w:cs="PalatinoLinotype"/>
        </w:rPr>
        <w:t>’</w:t>
      </w:r>
      <w:r w:rsidRPr="002E1D01">
        <w:rPr>
          <w:rFonts w:ascii="PalatinoLinotype" w:hAnsi="PalatinoLinotype" w:cs="PalatinoLinotype"/>
        </w:rPr>
        <w:t>s capacity is greater than 15,000 Btu/h, 15,000 Btu/h is used in the calculation</w:t>
      </w:r>
      <w:r>
        <w:rPr>
          <w:rFonts w:ascii="PalatinoLinotype" w:hAnsi="PalatinoLinotype" w:cs="PalatinoLinotype"/>
        </w:rPr>
        <w:t>.</w:t>
      </w:r>
    </w:p>
  </w:footnote>
  <w:footnote w:id="195">
    <w:p w:rsidR="00865117" w:rsidRPr="003476D1" w:rsidRDefault="00865117" w:rsidP="004F06D1">
      <w:pPr>
        <w:pStyle w:val="FootnoteText"/>
        <w:rPr>
          <w:sz w:val="18"/>
          <w:szCs w:val="18"/>
        </w:rPr>
      </w:pPr>
      <w:r w:rsidRPr="004F06D1">
        <w:rPr>
          <w:rStyle w:val="FootnoteReference"/>
        </w:rPr>
        <w:footnoteRef/>
      </w:r>
      <w:r w:rsidRPr="004F06D1">
        <w:rPr>
          <w:rStyle w:val="FootnoteReference"/>
        </w:rPr>
        <w:t xml:space="preserve"> </w:t>
      </w:r>
      <w:r w:rsidRPr="004F06D1">
        <w:t>Measure Life Report: Residential and Commercial/Industrial Lighting and HVAC Measures, GDS Associates, Inc., June 2007.</w:t>
      </w:r>
    </w:p>
  </w:footnote>
  <w:footnote w:id="196">
    <w:p w:rsidR="00865117" w:rsidRDefault="00865117" w:rsidP="0039108A">
      <w:pPr>
        <w:pStyle w:val="FootnoteText"/>
      </w:pPr>
      <w:r>
        <w:rPr>
          <w:rStyle w:val="FootnoteReference"/>
        </w:rPr>
        <w:footnoteRef/>
      </w:r>
      <w:r>
        <w:t xml:space="preserve"> The measure energy efficiency performance is based on ENERGY STAR minimum specification requirements as specified in ARHI and CEE directory for ductless mini-split heat pumps. Ductless heat pumps fit these criteria and can easily exceed SEER levels of 16 or greater. </w:t>
      </w:r>
    </w:p>
  </w:footnote>
  <w:footnote w:id="197">
    <w:p w:rsidR="00865117" w:rsidRDefault="00865117" w:rsidP="0039108A">
      <w:pPr>
        <w:pStyle w:val="FootnoteText"/>
      </w:pPr>
      <w:r>
        <w:rPr>
          <w:rStyle w:val="FootnoteReference"/>
        </w:rPr>
        <w:footnoteRef/>
      </w:r>
      <w:r>
        <w:t xml:space="preserve"> </w:t>
      </w:r>
      <w:proofErr w:type="gramStart"/>
      <w:r w:rsidRPr="003167B7">
        <w:t>US Department of Energy.</w:t>
      </w:r>
      <w:proofErr w:type="gramEnd"/>
      <w:r w:rsidRPr="003167B7">
        <w:t xml:space="preserve">  Energy Star Calculator and Bin Analysis Models</w:t>
      </w:r>
    </w:p>
  </w:footnote>
  <w:footnote w:id="198">
    <w:p w:rsidR="00865117" w:rsidRDefault="00865117">
      <w:pPr>
        <w:pStyle w:val="FootnoteText"/>
      </w:pPr>
      <w:r>
        <w:rPr>
          <w:rStyle w:val="FootnoteReference"/>
        </w:rPr>
        <w:footnoteRef/>
      </w:r>
      <w:r>
        <w:t xml:space="preserve"> </w:t>
      </w:r>
      <w:r w:rsidRPr="000B6706">
        <w:t>A zip code mapping table is located in Appendix F. This table should be used to identify the referenc</w:t>
      </w:r>
      <w:r>
        <w:t>e</w:t>
      </w:r>
      <w:r w:rsidRPr="000B6706">
        <w:t xml:space="preserve"> P</w:t>
      </w:r>
      <w:r>
        <w:t>ennsylvania</w:t>
      </w:r>
      <w:r w:rsidRPr="000B6706">
        <w:t xml:space="preserve"> city for all zip codes in P</w:t>
      </w:r>
      <w:r>
        <w:t>ennsylvania</w:t>
      </w:r>
    </w:p>
  </w:footnote>
  <w:footnote w:id="199">
    <w:p w:rsidR="00865117" w:rsidRDefault="00865117" w:rsidP="0039108A">
      <w:pPr>
        <w:pStyle w:val="FootnoteText"/>
      </w:pPr>
      <w:r>
        <w:rPr>
          <w:rStyle w:val="FootnoteReference"/>
        </w:rPr>
        <w:footnoteRef/>
      </w:r>
      <w:r>
        <w:t xml:space="preserve"> </w:t>
      </w:r>
      <w:proofErr w:type="gramStart"/>
      <w:r w:rsidRPr="003167B7">
        <w:t>US Department of Energy.</w:t>
      </w:r>
      <w:proofErr w:type="gramEnd"/>
      <w:r w:rsidRPr="003167B7">
        <w:t xml:space="preserve">  Energy Star Calculator and Bin Analysis Models</w:t>
      </w:r>
    </w:p>
  </w:footnote>
  <w:footnote w:id="200">
    <w:p w:rsidR="00865117" w:rsidRDefault="00865117" w:rsidP="0039108A">
      <w:pPr>
        <w:pStyle w:val="FootnoteText"/>
      </w:pPr>
      <w:r>
        <w:rPr>
          <w:rStyle w:val="FootnoteReference"/>
        </w:rPr>
        <w:footnoteRef/>
      </w:r>
      <w:r>
        <w:t xml:space="preserve"> </w:t>
      </w:r>
      <w:proofErr w:type="gramStart"/>
      <w:r w:rsidRPr="003167B7">
        <w:t>US Department of Energy.</w:t>
      </w:r>
      <w:proofErr w:type="gramEnd"/>
      <w:r w:rsidRPr="003167B7">
        <w:t xml:space="preserve">  Energy Star Calculator and Bin Analysis Models</w:t>
      </w:r>
    </w:p>
  </w:footnote>
  <w:footnote w:id="201">
    <w:p w:rsidR="00865117" w:rsidRDefault="00865117">
      <w:pPr>
        <w:pStyle w:val="FootnoteText"/>
      </w:pPr>
      <w:r>
        <w:rPr>
          <w:rStyle w:val="FootnoteReference"/>
        </w:rPr>
        <w:footnoteRef/>
      </w:r>
      <w:r>
        <w:t xml:space="preserve"> </w:t>
      </w:r>
      <w:r w:rsidRPr="000B6706">
        <w:t>A zip code mapping table is located in Appendix F. This table should be used to identify the referenec P</w:t>
      </w:r>
      <w:r>
        <w:t>ennsylvania</w:t>
      </w:r>
      <w:r w:rsidRPr="000B6706">
        <w:t xml:space="preserve"> city for all zip codes in P</w:t>
      </w:r>
      <w:r>
        <w:t>ennsylvania</w:t>
      </w:r>
    </w:p>
  </w:footnote>
  <w:footnote w:id="202">
    <w:p w:rsidR="00865117" w:rsidRDefault="00865117" w:rsidP="0039108A">
      <w:pPr>
        <w:pStyle w:val="FootnoteText"/>
      </w:pPr>
      <w:r>
        <w:rPr>
          <w:rStyle w:val="FootnoteReference"/>
        </w:rPr>
        <w:footnoteRef/>
      </w:r>
      <w:r>
        <w:t xml:space="preserve"> </w:t>
      </w:r>
      <w:proofErr w:type="gramStart"/>
      <w:r w:rsidRPr="003167B7">
        <w:t>US Department of Energy.</w:t>
      </w:r>
      <w:proofErr w:type="gramEnd"/>
      <w:r w:rsidRPr="003167B7">
        <w:t xml:space="preserve">  Energy Star Calculator and Bin Analysis Models</w:t>
      </w:r>
    </w:p>
  </w:footnote>
  <w:footnote w:id="203">
    <w:p w:rsidR="00865117" w:rsidRDefault="00865117" w:rsidP="0039108A">
      <w:pPr>
        <w:pStyle w:val="FootnoteText"/>
      </w:pPr>
      <w:r>
        <w:rPr>
          <w:rStyle w:val="FootnoteReference"/>
        </w:rPr>
        <w:footnoteRef/>
      </w:r>
      <w:r>
        <w:t xml:space="preserve"> DEER values, updated October 10, 2008. Various sources range from 12 to 20 years, DEER represented a reasonable mid-range. </w:t>
      </w:r>
      <w:hyperlink r:id="rId38" w:history="1">
        <w:r w:rsidRPr="00510545">
          <w:rPr>
            <w:rStyle w:val="Hyperlink"/>
          </w:rPr>
          <w:t>http://www.deeresources.com/deer0911planning/downloads/EUL_Summary_10-1-08.xls</w:t>
        </w:r>
      </w:hyperlink>
    </w:p>
  </w:footnote>
  <w:footnote w:id="204">
    <w:p w:rsidR="00865117" w:rsidRDefault="00865117" w:rsidP="0039108A">
      <w:pPr>
        <w:pStyle w:val="FootnoteText"/>
      </w:pPr>
      <w:r w:rsidRPr="0039108A">
        <w:rPr>
          <w:vertAlign w:val="superscript"/>
        </w:rPr>
        <w:footnoteRef/>
      </w:r>
      <w:r w:rsidRPr="0039108A">
        <w:rPr>
          <w:vertAlign w:val="superscript"/>
        </w:rPr>
        <w:t xml:space="preserve"> </w:t>
      </w:r>
      <w:r w:rsidRPr="0039108A">
        <w:t xml:space="preserve">Values for ASTM parameters for baseline and efficient conditions (unless otherwise noted) were determined by FSTC according to ASTM F1484, the Standard Test Method for Performance of Steam Cookers.  Pounds of Food Cooked per Day based on the default value for a 3 pan steam cooker (100 lbs from FSTC) and scaled up based on the assumption that steam cookers with a greater number of pans cook larger quantities of food per day.  </w:t>
      </w:r>
    </w:p>
  </w:footnote>
  <w:footnote w:id="205">
    <w:p w:rsidR="00865117" w:rsidRPr="0039108A" w:rsidRDefault="00865117" w:rsidP="0039108A">
      <w:pPr>
        <w:pStyle w:val="FootnoteText"/>
      </w:pPr>
      <w:r w:rsidRPr="0039108A">
        <w:rPr>
          <w:vertAlign w:val="superscript"/>
        </w:rPr>
        <w:footnoteRef/>
      </w:r>
      <w:r w:rsidRPr="0039108A">
        <w:t xml:space="preserve"> Efficient values calculated from a list of ENERGY STAR qualified products.  </w:t>
      </w:r>
    </w:p>
  </w:footnote>
  <w:footnote w:id="206">
    <w:p w:rsidR="00865117" w:rsidRPr="00D01AFB" w:rsidRDefault="00865117" w:rsidP="0039108A">
      <w:pPr>
        <w:pStyle w:val="FootnoteText"/>
        <w:rPr>
          <w:rFonts w:ascii="Times New Roman" w:hAnsi="Times New Roman"/>
          <w:sz w:val="18"/>
          <w:szCs w:val="18"/>
        </w:rPr>
      </w:pPr>
      <w:r w:rsidRPr="0039108A">
        <w:rPr>
          <w:vertAlign w:val="superscript"/>
        </w:rPr>
        <w:footnoteRef/>
      </w:r>
      <w:r w:rsidRPr="0039108A">
        <w:t xml:space="preserve"> Ibid.</w:t>
      </w:r>
    </w:p>
  </w:footnote>
  <w:footnote w:id="207">
    <w:p w:rsidR="00865117" w:rsidRDefault="00865117" w:rsidP="0039108A">
      <w:pPr>
        <w:pStyle w:val="FootnoteText"/>
      </w:pPr>
      <w:r>
        <w:rPr>
          <w:rStyle w:val="FootnoteReference"/>
        </w:rPr>
        <w:footnoteRef/>
      </w:r>
      <w:r>
        <w:t xml:space="preserve"> </w:t>
      </w:r>
      <w:r w:rsidRPr="00283C4E">
        <w:t>http://www.energystar.gov/index.cfm?fuseaction=find_a_product.showProductGroup&amp;pgw_code=COC</w:t>
      </w:r>
    </w:p>
  </w:footnote>
  <w:footnote w:id="208">
    <w:p w:rsidR="00865117" w:rsidRDefault="00865117" w:rsidP="0039108A">
      <w:pPr>
        <w:pStyle w:val="FootnoteText"/>
      </w:pPr>
      <w:r>
        <w:rPr>
          <w:rStyle w:val="FootnoteReference"/>
        </w:rPr>
        <w:footnoteRef/>
      </w:r>
      <w:r>
        <w:t xml:space="preserve"> </w:t>
      </w:r>
      <w:hyperlink r:id="rId39" w:history="1">
        <w:r w:rsidRPr="00CA5B86">
          <w:rPr>
            <w:rStyle w:val="Hyperlink"/>
          </w:rPr>
          <w:t>http://www.smud.org/en/business/rebates/Pages/express-refrigeration.aspx</w:t>
        </w:r>
      </w:hyperlink>
    </w:p>
  </w:footnote>
  <w:footnote w:id="209">
    <w:p w:rsidR="00865117" w:rsidRDefault="00865117" w:rsidP="0039108A">
      <w:pPr>
        <w:pStyle w:val="FootnoteText"/>
      </w:pPr>
      <w:r>
        <w:rPr>
          <w:rStyle w:val="FootnoteReference"/>
        </w:rPr>
        <w:footnoteRef/>
      </w:r>
      <w:r>
        <w:t xml:space="preserve"> Massachusetts 2011 Technical Reference Manual</w:t>
      </w:r>
    </w:p>
  </w:footnote>
  <w:footnote w:id="210">
    <w:p w:rsidR="00865117" w:rsidRPr="002F5508" w:rsidRDefault="00865117" w:rsidP="0039108A">
      <w:pPr>
        <w:pStyle w:val="FootnoteText"/>
        <w:rPr>
          <w:rFonts w:eastAsia="Calibri" w:cs="Arial"/>
          <w:szCs w:val="16"/>
        </w:rPr>
      </w:pPr>
      <w:r w:rsidRPr="002D29FF">
        <w:rPr>
          <w:rStyle w:val="FootnoteReference"/>
          <w:rFonts w:cs="Arial"/>
        </w:rPr>
        <w:footnoteRef/>
      </w:r>
      <w:r w:rsidRPr="002D29FF">
        <w:rPr>
          <w:rFonts w:cs="Arial"/>
        </w:rPr>
        <w:t xml:space="preserve"> </w:t>
      </w:r>
      <w:r w:rsidRPr="002D29FF">
        <w:rPr>
          <w:rFonts w:eastAsia="Calibri" w:cs="Arial"/>
        </w:rPr>
        <w:t xml:space="preserve">“Effects Of The Low Emissivity Shields On Performance And Power Use Of A Refrigerated Display Case” </w:t>
      </w:r>
      <w:r w:rsidRPr="002D29FF">
        <w:rPr>
          <w:rFonts w:eastAsia="Calibri" w:cs="Arial"/>
          <w:i/>
          <w:iCs/>
        </w:rPr>
        <w:t xml:space="preserve">Southern California </w:t>
      </w:r>
      <w:r w:rsidRPr="002F5508">
        <w:rPr>
          <w:rFonts w:eastAsia="Calibri" w:cs="Arial"/>
          <w:i/>
          <w:iCs/>
          <w:szCs w:val="16"/>
        </w:rPr>
        <w:t xml:space="preserve">Edison Refrigeration Technology and Test Center Energy Efficiency Division </w:t>
      </w:r>
      <w:r w:rsidRPr="002F5508">
        <w:rPr>
          <w:rFonts w:eastAsia="Calibri" w:cs="Arial"/>
          <w:szCs w:val="16"/>
        </w:rPr>
        <w:t>August 8</w:t>
      </w:r>
      <w:proofErr w:type="gramStart"/>
      <w:r w:rsidRPr="002F5508">
        <w:rPr>
          <w:rFonts w:eastAsia="Calibri" w:cs="Arial"/>
          <w:szCs w:val="16"/>
        </w:rPr>
        <w:t>,1997</w:t>
      </w:r>
      <w:proofErr w:type="gramEnd"/>
      <w:r w:rsidRPr="002F5508">
        <w:rPr>
          <w:rFonts w:eastAsia="Calibri" w:cs="Arial"/>
          <w:szCs w:val="16"/>
        </w:rPr>
        <w:t>.</w:t>
      </w:r>
    </w:p>
  </w:footnote>
  <w:footnote w:id="211">
    <w:p w:rsidR="00865117" w:rsidRDefault="00865117" w:rsidP="002F26F8">
      <w:pPr>
        <w:pStyle w:val="FootnoteText"/>
      </w:pPr>
      <w:r w:rsidRPr="002F5508">
        <w:rPr>
          <w:rStyle w:val="FootnoteReference"/>
          <w:szCs w:val="16"/>
        </w:rPr>
        <w:footnoteRef/>
      </w:r>
      <w:r w:rsidRPr="002F5508">
        <w:rPr>
          <w:szCs w:val="16"/>
        </w:rPr>
        <w:t xml:space="preserve"> </w:t>
      </w:r>
      <w:r w:rsidRPr="002F26F8">
        <w:rPr>
          <w:rStyle w:val="FootnoteTextChar"/>
          <w:rFonts w:eastAsia="Calibri"/>
        </w:rPr>
        <w:t xml:space="preserve">Assumed that the continuous covers are deployed at night </w:t>
      </w:r>
      <w:r w:rsidRPr="002F26F8">
        <w:rPr>
          <w:rStyle w:val="FootnoteTextChar"/>
        </w:rPr>
        <w:t>(usually 1:00 a.m. – 5:00 a.m.)</w:t>
      </w:r>
      <w:r w:rsidRPr="002F26F8">
        <w:rPr>
          <w:rStyle w:val="FootnoteTextChar"/>
          <w:rFonts w:eastAsia="Calibri"/>
        </w:rPr>
        <w:t xml:space="preserve">; therefore no demand savings </w:t>
      </w:r>
      <w:r w:rsidRPr="002F26F8">
        <w:rPr>
          <w:rStyle w:val="FootnoteTextChar"/>
        </w:rPr>
        <w:t>is usually reported for this measure</w:t>
      </w:r>
      <w:r w:rsidRPr="002F26F8">
        <w:rPr>
          <w:rStyle w:val="FootnoteTextChar"/>
          <w:rFonts w:eastAsia="Calibri"/>
        </w:rPr>
        <w:t>.</w:t>
      </w:r>
    </w:p>
  </w:footnote>
  <w:footnote w:id="212">
    <w:p w:rsidR="00865117" w:rsidRPr="00542AE3" w:rsidRDefault="00865117" w:rsidP="0039108A">
      <w:pPr>
        <w:overflowPunct/>
        <w:spacing w:after="0" w:line="240" w:lineRule="auto"/>
        <w:textAlignment w:val="auto"/>
        <w:rPr>
          <w:rFonts w:ascii="ArialMT" w:eastAsia="Calibri" w:hAnsi="ArialMT" w:cs="ArialMT"/>
          <w:sz w:val="18"/>
          <w:szCs w:val="18"/>
        </w:rPr>
      </w:pPr>
      <w:r>
        <w:rPr>
          <w:rStyle w:val="FootnoteReference"/>
        </w:rPr>
        <w:footnoteRef/>
      </w:r>
      <w:r>
        <w:t xml:space="preserve"> </w:t>
      </w:r>
      <w:r w:rsidRPr="00542AE3">
        <w:rPr>
          <w:rFonts w:eastAsia="Calibri" w:cs="Arial"/>
          <w:sz w:val="16"/>
          <w:szCs w:val="16"/>
        </w:rPr>
        <w:t xml:space="preserve">Hours should be determined on a case-by-case basis. Default value of 2190 hours is estimated assuming that the annual operating hours of the refrigerated case is 8,760 hours as per Ohio 2010 Technical Reference Manual and night covers must be applied for a period of at least six hours in a 24-hour period. </w:t>
      </w:r>
      <w:hyperlink r:id="rId40" w:history="1">
        <w:r w:rsidRPr="00542AE3">
          <w:rPr>
            <w:rStyle w:val="Hyperlink"/>
            <w:rFonts w:eastAsia="Calibri" w:cs="Arial"/>
            <w:sz w:val="16"/>
            <w:szCs w:val="16"/>
          </w:rPr>
          <w:t>http://energysmartonline.org/documents/EnergySmart_BPA_T&amp;Cs.pdf</w:t>
        </w:r>
      </w:hyperlink>
    </w:p>
  </w:footnote>
  <w:footnote w:id="213">
    <w:p w:rsidR="00865117" w:rsidRPr="00AE0FDD" w:rsidRDefault="00865117" w:rsidP="0039108A">
      <w:pPr>
        <w:overflowPunct/>
        <w:spacing w:after="0" w:line="240" w:lineRule="auto"/>
        <w:textAlignment w:val="auto"/>
        <w:rPr>
          <w:rFonts w:eastAsia="Calibri" w:cs="Arial"/>
          <w:szCs w:val="16"/>
        </w:rPr>
      </w:pPr>
      <w:r w:rsidRPr="00AE0FDD">
        <w:rPr>
          <w:rStyle w:val="FootnoteReference"/>
          <w:rFonts w:cs="Arial"/>
          <w:sz w:val="16"/>
          <w:szCs w:val="16"/>
        </w:rPr>
        <w:footnoteRef/>
      </w:r>
      <w:r w:rsidRPr="00AE0FDD">
        <w:rPr>
          <w:rFonts w:cs="Arial"/>
          <w:sz w:val="16"/>
          <w:szCs w:val="16"/>
        </w:rPr>
        <w:t xml:space="preserve"> </w:t>
      </w:r>
      <w:r w:rsidRPr="00AE0FDD">
        <w:rPr>
          <w:rFonts w:eastAsia="Calibri" w:cs="Arial"/>
          <w:sz w:val="16"/>
          <w:szCs w:val="16"/>
        </w:rPr>
        <w:t>2008 Database for Energy-Efficiency Resources (DEER), Version 2008.2.05, “Effective/Remaining Useful Life Values”, California Public Utilities Commission, December 16, 2008.</w:t>
      </w:r>
    </w:p>
  </w:footnote>
  <w:footnote w:id="214">
    <w:p w:rsidR="00865117" w:rsidRDefault="00865117" w:rsidP="0039108A">
      <w:pPr>
        <w:pStyle w:val="FootnoteText"/>
      </w:pPr>
      <w:r w:rsidRPr="00B808E0">
        <w:rPr>
          <w:rStyle w:val="FootnoteReference"/>
          <w:rFonts w:cs="Arial"/>
          <w:szCs w:val="16"/>
        </w:rPr>
        <w:footnoteRef/>
      </w:r>
      <w:r w:rsidRPr="00B808E0">
        <w:rPr>
          <w:rFonts w:cs="Arial"/>
          <w:szCs w:val="16"/>
        </w:rPr>
        <w:t xml:space="preserve"> </w:t>
      </w:r>
      <w:r w:rsidRPr="00B808E0">
        <w:rPr>
          <w:rFonts w:cs="Arial"/>
          <w:color w:val="000000"/>
          <w:szCs w:val="16"/>
        </w:rPr>
        <w:t>The Measure Life Report for Residential and Commercial/Industrial Lighting and HVAC Measures, GDS Associates, Inc., June 2007</w:t>
      </w:r>
    </w:p>
  </w:footnote>
  <w:footnote w:id="215">
    <w:p w:rsidR="00865117" w:rsidRDefault="00865117" w:rsidP="00E757AB">
      <w:pPr>
        <w:pStyle w:val="FootnoteText"/>
      </w:pPr>
      <w:r>
        <w:rPr>
          <w:rStyle w:val="FootnoteReference"/>
        </w:rPr>
        <w:footnoteRef/>
      </w:r>
      <w:r>
        <w:t xml:space="preserve"> </w:t>
      </w:r>
      <w:hyperlink r:id="rId41" w:history="1">
        <w:r w:rsidRPr="00B9468E">
          <w:rPr>
            <w:rStyle w:val="Hyperlink"/>
          </w:rPr>
          <w:t>http://energysmartonline.org/documents/EnergySmart_BPA_T&amp;Cs.pdf</w:t>
        </w:r>
      </w:hyperlink>
      <w:r>
        <w:t xml:space="preserve"> </w:t>
      </w:r>
      <w:r w:rsidRPr="00C345A1">
        <w:t xml:space="preserve"> </w:t>
      </w:r>
      <w:r>
        <w:t xml:space="preserve"> </w:t>
      </w:r>
    </w:p>
  </w:footnote>
  <w:footnote w:id="216">
    <w:p w:rsidR="00865117" w:rsidRDefault="00865117" w:rsidP="00E757AB">
      <w:pPr>
        <w:pStyle w:val="FootnoteText"/>
      </w:pPr>
      <w:r>
        <w:rPr>
          <w:rStyle w:val="FootnoteReference"/>
        </w:rPr>
        <w:footnoteRef/>
      </w:r>
      <w:r>
        <w:t xml:space="preserve"> </w:t>
      </w:r>
      <w:r w:rsidRPr="00624289">
        <w:t>http://energysmartonline.org/documents/EnergySmart_BPA_T&amp;Cs.pdf</w:t>
      </w:r>
    </w:p>
  </w:footnote>
  <w:footnote w:id="217">
    <w:p w:rsidR="00865117" w:rsidRPr="005A49D3" w:rsidRDefault="00865117" w:rsidP="00E757AB">
      <w:pPr>
        <w:pStyle w:val="FootnoteText"/>
        <w:rPr>
          <w:rFonts w:cs="Arial"/>
          <w:szCs w:val="16"/>
        </w:rPr>
      </w:pPr>
      <w:r w:rsidRPr="005A49D3">
        <w:rPr>
          <w:rStyle w:val="FootnoteReference"/>
          <w:rFonts w:cs="Arial"/>
          <w:szCs w:val="16"/>
        </w:rPr>
        <w:footnoteRef/>
      </w:r>
      <w:r w:rsidRPr="005A49D3">
        <w:rPr>
          <w:rFonts w:cs="Arial"/>
          <w:szCs w:val="16"/>
        </w:rPr>
        <w:t xml:space="preserve"> </w:t>
      </w:r>
      <w:r w:rsidRPr="000C7D26">
        <w:rPr>
          <w:rFonts w:eastAsia="Calibri" w:cs="Arial"/>
          <w:szCs w:val="16"/>
        </w:rPr>
        <w:t>http://www.calmac.org/publications/ComFac_Evaluation_V1_Final_Report_02-18-2010.pdf</w:t>
      </w:r>
    </w:p>
  </w:footnote>
  <w:footnote w:id="218">
    <w:p w:rsidR="00865117" w:rsidRPr="000C7D26" w:rsidRDefault="00865117" w:rsidP="00E757AB">
      <w:pPr>
        <w:pStyle w:val="FootnoteText"/>
        <w:rPr>
          <w:rFonts w:eastAsia="Calibri" w:cs="Arial"/>
          <w:szCs w:val="16"/>
        </w:rPr>
      </w:pPr>
      <w:r w:rsidRPr="002006EC">
        <w:rPr>
          <w:rStyle w:val="FootnoteReference"/>
          <w:rFonts w:cs="Arial"/>
          <w:szCs w:val="16"/>
        </w:rPr>
        <w:footnoteRef/>
      </w:r>
      <w:r w:rsidRPr="001B5FBE">
        <w:rPr>
          <w:rFonts w:cs="Arial"/>
          <w:szCs w:val="16"/>
        </w:rPr>
        <w:t xml:space="preserve"> </w:t>
      </w:r>
      <w:hyperlink r:id="rId42" w:history="1">
        <w:r w:rsidRPr="000C7D26">
          <w:rPr>
            <w:rStyle w:val="Hyperlink"/>
            <w:rFonts w:eastAsia="Calibri" w:cs="Arial"/>
            <w:szCs w:val="16"/>
          </w:rPr>
          <w:t>http://www.calmac.org/publications/ComFac_Evaluation_V1_Final_Report_02-18-2010.pdf</w:t>
        </w:r>
      </w:hyperlink>
    </w:p>
  </w:footnote>
  <w:footnote w:id="219">
    <w:p w:rsidR="00865117" w:rsidRDefault="00865117" w:rsidP="007365E7">
      <w:pPr>
        <w:pStyle w:val="FootnoteText"/>
      </w:pPr>
      <w:r>
        <w:rPr>
          <w:rStyle w:val="FootnoteReference"/>
        </w:rPr>
        <w:footnoteRef/>
      </w:r>
      <w:r>
        <w:t xml:space="preserve"> </w:t>
      </w:r>
      <w:hyperlink r:id="rId43" w:history="1">
        <w:r w:rsidRPr="00BD5055">
          <w:rPr>
            <w:rStyle w:val="Hyperlink"/>
          </w:rPr>
          <w:t>http://www.energysmartgrocer.org/pdfs/PGE/2010_2012%20External%20Equipment%20SpecificationTandCs%20v3.pdf</w:t>
        </w:r>
      </w:hyperlink>
    </w:p>
  </w:footnote>
  <w:footnote w:id="220">
    <w:p w:rsidR="00865117" w:rsidRDefault="00865117" w:rsidP="00E757AB">
      <w:pPr>
        <w:pStyle w:val="FootnoteText"/>
      </w:pPr>
      <w:r>
        <w:rPr>
          <w:rStyle w:val="FootnoteReference"/>
        </w:rPr>
        <w:footnoteRef/>
      </w:r>
      <w:r>
        <w:t xml:space="preserve"> W</w:t>
      </w:r>
      <w:r w:rsidRPr="005D6113">
        <w:t>ork papers developed by SCE filed with the CA PUC in support of its 2006 – 2008 energy efficiency program plans</w:t>
      </w:r>
    </w:p>
  </w:footnote>
  <w:footnote w:id="221">
    <w:p w:rsidR="00865117" w:rsidRDefault="00865117">
      <w:pPr>
        <w:pStyle w:val="FootnoteText"/>
      </w:pPr>
      <w:r>
        <w:rPr>
          <w:rStyle w:val="FootnoteReference"/>
        </w:rPr>
        <w:footnoteRef/>
      </w:r>
      <w:r>
        <w:t xml:space="preserve"> </w:t>
      </w:r>
      <w:r w:rsidRPr="00177611">
        <w:t>A zip code mapping table is located in Appendix F. This table should be used to identify the referenec P</w:t>
      </w:r>
      <w:r>
        <w:t>ennsylvania</w:t>
      </w:r>
      <w:r w:rsidRPr="00177611">
        <w:t xml:space="preserve"> city for all zip codes in P</w:t>
      </w:r>
      <w:r>
        <w:t>ennsylvania</w:t>
      </w:r>
    </w:p>
  </w:footnote>
  <w:footnote w:id="222">
    <w:p w:rsidR="00865117" w:rsidRPr="00BF5BB5" w:rsidRDefault="00865117" w:rsidP="007365E7">
      <w:pPr>
        <w:pStyle w:val="FootnoteText"/>
        <w:rPr>
          <w:sz w:val="24"/>
          <w:szCs w:val="24"/>
        </w:rPr>
      </w:pPr>
      <w:r w:rsidRPr="007365E7">
        <w:rPr>
          <w:rStyle w:val="FootnoteReference"/>
        </w:rPr>
        <w:footnoteRef/>
      </w:r>
      <w:r w:rsidRPr="007365E7">
        <w:rPr>
          <w:vertAlign w:val="superscript"/>
        </w:rPr>
        <w:t xml:space="preserve"> </w:t>
      </w:r>
      <w:proofErr w:type="gramStart"/>
      <w:r w:rsidRPr="00BF5BB5">
        <w:t>California Measurement Advisory Committee Public Workpapers on PY 2001 Energy Efficiency Programs.</w:t>
      </w:r>
      <w:proofErr w:type="gramEnd"/>
      <w:r w:rsidRPr="00BF5BB5">
        <w:t xml:space="preserve"> September 2000. Appendix F, P.14</w:t>
      </w:r>
    </w:p>
  </w:footnote>
  <w:footnote w:id="223">
    <w:p w:rsidR="00865117" w:rsidRDefault="00865117" w:rsidP="007365E7">
      <w:pPr>
        <w:pStyle w:val="FootnoteText"/>
      </w:pPr>
      <w:r w:rsidRPr="007365E7">
        <w:rPr>
          <w:rStyle w:val="FootnoteReference"/>
        </w:rPr>
        <w:footnoteRef/>
      </w:r>
      <w:r>
        <w:t xml:space="preserve"> </w:t>
      </w:r>
      <w:r w:rsidRPr="00BF5BB5">
        <w:t>DEER database, EUL/RUL for insulation bare suction pipes</w:t>
      </w:r>
    </w:p>
  </w:footnote>
  <w:footnote w:id="224">
    <w:p w:rsidR="00865117" w:rsidRDefault="00865117" w:rsidP="00B20792">
      <w:pPr>
        <w:pStyle w:val="FootnoteText"/>
      </w:pPr>
      <w:r>
        <w:rPr>
          <w:rStyle w:val="FootnoteReference"/>
        </w:rPr>
        <w:footnoteRef/>
      </w:r>
      <w:r>
        <w:t xml:space="preserve"> An evaporator fan controller is a device or system that lowers airflow across an evaporator in medium-temperature walk-in coolers when there is no refrigerant flow through the evaporator (i.e., when the compressor is in an off-cycle).</w:t>
      </w:r>
    </w:p>
  </w:footnote>
  <w:footnote w:id="225">
    <w:p w:rsidR="00865117" w:rsidRDefault="00865117" w:rsidP="00B20792">
      <w:pPr>
        <w:pStyle w:val="FootnoteText"/>
      </w:pPr>
      <w:r>
        <w:rPr>
          <w:rStyle w:val="FootnoteReference"/>
        </w:rPr>
        <w:footnoteRef/>
      </w:r>
      <w:r>
        <w:t xml:space="preserve"> </w:t>
      </w:r>
      <w:r w:rsidRPr="00183BBF">
        <w:rPr>
          <w:rFonts w:cs="Arial"/>
          <w:spacing w:val="-1"/>
          <w:position w:val="-1"/>
          <w:szCs w:val="16"/>
        </w:rPr>
        <w:t>T</w:t>
      </w:r>
      <w:r w:rsidRPr="00183BBF">
        <w:rPr>
          <w:rFonts w:cs="Arial"/>
          <w:spacing w:val="-5"/>
          <w:position w:val="-1"/>
          <w:szCs w:val="16"/>
        </w:rPr>
        <w:t>h</w:t>
      </w:r>
      <w:r w:rsidRPr="00183BBF">
        <w:rPr>
          <w:rFonts w:cs="Arial"/>
          <w:position w:val="-1"/>
          <w:szCs w:val="16"/>
        </w:rPr>
        <w:t>e</w:t>
      </w:r>
      <w:r w:rsidRPr="00183BBF">
        <w:rPr>
          <w:rFonts w:cs="Arial"/>
          <w:spacing w:val="5"/>
          <w:position w:val="-1"/>
          <w:szCs w:val="16"/>
        </w:rPr>
        <w:t xml:space="preserve"> </w:t>
      </w:r>
      <w:r w:rsidRPr="00183BBF">
        <w:rPr>
          <w:rFonts w:cs="Arial"/>
          <w:spacing w:val="1"/>
          <w:position w:val="-1"/>
          <w:szCs w:val="16"/>
        </w:rPr>
        <w:t>a</w:t>
      </w:r>
      <w:r w:rsidRPr="00183BBF">
        <w:rPr>
          <w:rFonts w:cs="Arial"/>
          <w:spacing w:val="-4"/>
          <w:position w:val="-1"/>
          <w:szCs w:val="16"/>
        </w:rPr>
        <w:t>ss</w:t>
      </w:r>
      <w:r w:rsidRPr="00183BBF">
        <w:rPr>
          <w:rFonts w:cs="Arial"/>
          <w:position w:val="-1"/>
          <w:szCs w:val="16"/>
        </w:rPr>
        <w:t>u</w:t>
      </w:r>
      <w:r w:rsidRPr="00183BBF">
        <w:rPr>
          <w:rFonts w:cs="Arial"/>
          <w:spacing w:val="-8"/>
          <w:position w:val="-1"/>
          <w:szCs w:val="16"/>
        </w:rPr>
        <w:t>m</w:t>
      </w:r>
      <w:r w:rsidRPr="00183BBF">
        <w:rPr>
          <w:rFonts w:cs="Arial"/>
          <w:position w:val="-1"/>
          <w:szCs w:val="16"/>
        </w:rPr>
        <w:t>p</w:t>
      </w:r>
      <w:r w:rsidRPr="00183BBF">
        <w:rPr>
          <w:rFonts w:cs="Arial"/>
          <w:spacing w:val="2"/>
          <w:position w:val="-1"/>
          <w:szCs w:val="16"/>
        </w:rPr>
        <w:t>ti</w:t>
      </w:r>
      <w:r w:rsidRPr="00183BBF">
        <w:rPr>
          <w:rFonts w:cs="Arial"/>
          <w:position w:val="-1"/>
          <w:szCs w:val="16"/>
        </w:rPr>
        <w:t>o</w:t>
      </w:r>
      <w:r w:rsidRPr="00183BBF">
        <w:rPr>
          <w:rFonts w:cs="Arial"/>
          <w:spacing w:val="-5"/>
          <w:position w:val="-1"/>
          <w:szCs w:val="16"/>
        </w:rPr>
        <w:t>n</w:t>
      </w:r>
      <w:r w:rsidRPr="00183BBF">
        <w:rPr>
          <w:rFonts w:cs="Arial"/>
          <w:position w:val="-1"/>
          <w:szCs w:val="16"/>
        </w:rPr>
        <w:t>s</w:t>
      </w:r>
      <w:r w:rsidRPr="00183BBF">
        <w:rPr>
          <w:rFonts w:cs="Arial"/>
          <w:spacing w:val="-5"/>
          <w:position w:val="-1"/>
          <w:szCs w:val="16"/>
        </w:rPr>
        <w:t xml:space="preserve"> </w:t>
      </w:r>
      <w:r w:rsidRPr="00183BBF">
        <w:rPr>
          <w:rFonts w:cs="Arial"/>
          <w:spacing w:val="1"/>
          <w:position w:val="-1"/>
          <w:szCs w:val="16"/>
        </w:rPr>
        <w:t>a</w:t>
      </w:r>
      <w:r w:rsidRPr="00183BBF">
        <w:rPr>
          <w:rFonts w:cs="Arial"/>
          <w:spacing w:val="-5"/>
          <w:position w:val="-1"/>
          <w:szCs w:val="16"/>
        </w:rPr>
        <w:t>n</w:t>
      </w:r>
      <w:r w:rsidRPr="00183BBF">
        <w:rPr>
          <w:rFonts w:cs="Arial"/>
          <w:position w:val="-1"/>
          <w:szCs w:val="16"/>
        </w:rPr>
        <w:t>d</w:t>
      </w:r>
      <w:r w:rsidRPr="00183BBF">
        <w:rPr>
          <w:rFonts w:cs="Arial"/>
          <w:spacing w:val="4"/>
          <w:position w:val="-1"/>
          <w:szCs w:val="16"/>
        </w:rPr>
        <w:t xml:space="preserve"> </w:t>
      </w:r>
      <w:r w:rsidRPr="00183BBF">
        <w:rPr>
          <w:rFonts w:cs="Arial"/>
          <w:spacing w:val="1"/>
          <w:position w:val="-1"/>
          <w:szCs w:val="16"/>
        </w:rPr>
        <w:t>a</w:t>
      </w:r>
      <w:r w:rsidRPr="00183BBF">
        <w:rPr>
          <w:rFonts w:cs="Arial"/>
          <w:spacing w:val="2"/>
          <w:position w:val="-1"/>
          <w:szCs w:val="16"/>
        </w:rPr>
        <w:t>l</w:t>
      </w:r>
      <w:r w:rsidRPr="00183BBF">
        <w:rPr>
          <w:rFonts w:cs="Arial"/>
          <w:spacing w:val="-5"/>
          <w:position w:val="-1"/>
          <w:szCs w:val="16"/>
        </w:rPr>
        <w:t>g</w:t>
      </w:r>
      <w:r w:rsidRPr="00183BBF">
        <w:rPr>
          <w:rFonts w:cs="Arial"/>
          <w:position w:val="-1"/>
          <w:szCs w:val="16"/>
        </w:rPr>
        <w:t>o</w:t>
      </w:r>
      <w:r w:rsidRPr="00183BBF">
        <w:rPr>
          <w:rFonts w:cs="Arial"/>
          <w:spacing w:val="2"/>
          <w:position w:val="-1"/>
          <w:szCs w:val="16"/>
        </w:rPr>
        <w:t>r</w:t>
      </w:r>
      <w:r w:rsidRPr="00183BBF">
        <w:rPr>
          <w:rFonts w:cs="Arial"/>
          <w:spacing w:val="-3"/>
          <w:position w:val="-1"/>
          <w:szCs w:val="16"/>
        </w:rPr>
        <w:t>i</w:t>
      </w:r>
      <w:r w:rsidRPr="00183BBF">
        <w:rPr>
          <w:rFonts w:cs="Arial"/>
          <w:spacing w:val="2"/>
          <w:position w:val="-1"/>
          <w:szCs w:val="16"/>
        </w:rPr>
        <w:t>t</w:t>
      </w:r>
      <w:r w:rsidRPr="00183BBF">
        <w:rPr>
          <w:rFonts w:cs="Arial"/>
          <w:position w:val="-1"/>
          <w:szCs w:val="16"/>
        </w:rPr>
        <w:t>h</w:t>
      </w:r>
      <w:r w:rsidRPr="00183BBF">
        <w:rPr>
          <w:rFonts w:cs="Arial"/>
          <w:spacing w:val="-8"/>
          <w:position w:val="-1"/>
          <w:szCs w:val="16"/>
        </w:rPr>
        <w:t>m</w:t>
      </w:r>
      <w:r w:rsidRPr="00183BBF">
        <w:rPr>
          <w:rFonts w:cs="Arial"/>
          <w:position w:val="-1"/>
          <w:szCs w:val="16"/>
        </w:rPr>
        <w:t>s u</w:t>
      </w:r>
      <w:r w:rsidRPr="00183BBF">
        <w:rPr>
          <w:rFonts w:cs="Arial"/>
          <w:spacing w:val="-9"/>
          <w:position w:val="-1"/>
          <w:szCs w:val="16"/>
        </w:rPr>
        <w:t>s</w:t>
      </w:r>
      <w:r w:rsidRPr="00183BBF">
        <w:rPr>
          <w:rFonts w:cs="Arial"/>
          <w:spacing w:val="1"/>
          <w:position w:val="-1"/>
          <w:szCs w:val="16"/>
        </w:rPr>
        <w:t>e</w:t>
      </w:r>
      <w:r w:rsidRPr="00183BBF">
        <w:rPr>
          <w:rFonts w:cs="Arial"/>
          <w:position w:val="-1"/>
          <w:szCs w:val="16"/>
        </w:rPr>
        <w:t>d</w:t>
      </w:r>
      <w:r w:rsidRPr="00183BBF">
        <w:rPr>
          <w:rFonts w:cs="Arial"/>
          <w:spacing w:val="4"/>
          <w:position w:val="-1"/>
          <w:szCs w:val="16"/>
        </w:rPr>
        <w:t xml:space="preserve"> </w:t>
      </w:r>
      <w:r w:rsidRPr="00183BBF">
        <w:rPr>
          <w:rFonts w:cs="Arial"/>
          <w:spacing w:val="2"/>
          <w:position w:val="-1"/>
          <w:szCs w:val="16"/>
        </w:rPr>
        <w:t>i</w:t>
      </w:r>
      <w:r w:rsidRPr="00183BBF">
        <w:rPr>
          <w:rFonts w:cs="Arial"/>
          <w:position w:val="-1"/>
          <w:szCs w:val="16"/>
        </w:rPr>
        <w:t>n</w:t>
      </w:r>
      <w:r w:rsidRPr="00183BBF">
        <w:rPr>
          <w:rFonts w:cs="Arial"/>
          <w:spacing w:val="-1"/>
          <w:position w:val="-1"/>
          <w:szCs w:val="16"/>
        </w:rPr>
        <w:t xml:space="preserve"> </w:t>
      </w:r>
      <w:r w:rsidRPr="00183BBF">
        <w:rPr>
          <w:rFonts w:cs="Arial"/>
          <w:spacing w:val="2"/>
          <w:position w:val="-1"/>
          <w:szCs w:val="16"/>
        </w:rPr>
        <w:t>t</w:t>
      </w:r>
      <w:r w:rsidRPr="00183BBF">
        <w:rPr>
          <w:rFonts w:cs="Arial"/>
          <w:spacing w:val="-5"/>
          <w:position w:val="-1"/>
          <w:szCs w:val="16"/>
        </w:rPr>
        <w:t>h</w:t>
      </w:r>
      <w:r w:rsidRPr="00183BBF">
        <w:rPr>
          <w:rFonts w:cs="Arial"/>
          <w:spacing w:val="2"/>
          <w:position w:val="-1"/>
          <w:szCs w:val="16"/>
        </w:rPr>
        <w:t>i</w:t>
      </w:r>
      <w:r w:rsidRPr="00183BBF">
        <w:rPr>
          <w:rFonts w:cs="Arial"/>
          <w:position w:val="-1"/>
          <w:szCs w:val="16"/>
        </w:rPr>
        <w:t xml:space="preserve">s </w:t>
      </w:r>
      <w:r w:rsidRPr="00183BBF">
        <w:rPr>
          <w:rFonts w:cs="Arial"/>
          <w:spacing w:val="-9"/>
          <w:position w:val="-1"/>
          <w:szCs w:val="16"/>
        </w:rPr>
        <w:t>s</w:t>
      </w:r>
      <w:r w:rsidRPr="00183BBF">
        <w:rPr>
          <w:rFonts w:cs="Arial"/>
          <w:spacing w:val="1"/>
          <w:position w:val="-1"/>
          <w:szCs w:val="16"/>
        </w:rPr>
        <w:t>ec</w:t>
      </w:r>
      <w:r w:rsidRPr="00183BBF">
        <w:rPr>
          <w:rFonts w:cs="Arial"/>
          <w:spacing w:val="2"/>
          <w:position w:val="-1"/>
          <w:szCs w:val="16"/>
        </w:rPr>
        <w:t>ti</w:t>
      </w:r>
      <w:r w:rsidRPr="00183BBF">
        <w:rPr>
          <w:rFonts w:cs="Arial"/>
          <w:position w:val="-1"/>
          <w:szCs w:val="16"/>
        </w:rPr>
        <w:t>on</w:t>
      </w:r>
      <w:r w:rsidRPr="00183BBF">
        <w:rPr>
          <w:rFonts w:cs="Arial"/>
          <w:spacing w:val="-6"/>
          <w:position w:val="-1"/>
          <w:szCs w:val="16"/>
        </w:rPr>
        <w:t xml:space="preserve"> </w:t>
      </w:r>
      <w:r w:rsidRPr="00183BBF">
        <w:rPr>
          <w:rFonts w:cs="Arial"/>
          <w:spacing w:val="1"/>
          <w:position w:val="-1"/>
          <w:szCs w:val="16"/>
        </w:rPr>
        <w:t>a</w:t>
      </w:r>
      <w:r w:rsidRPr="00183BBF">
        <w:rPr>
          <w:rFonts w:cs="Arial"/>
          <w:spacing w:val="2"/>
          <w:position w:val="-1"/>
          <w:szCs w:val="16"/>
        </w:rPr>
        <w:t>r</w:t>
      </w:r>
      <w:r w:rsidRPr="00183BBF">
        <w:rPr>
          <w:rFonts w:cs="Arial"/>
          <w:position w:val="-1"/>
          <w:szCs w:val="16"/>
        </w:rPr>
        <w:t xml:space="preserve">e </w:t>
      </w:r>
      <w:r w:rsidRPr="00183BBF">
        <w:rPr>
          <w:rFonts w:cs="Arial"/>
          <w:spacing w:val="-9"/>
          <w:position w:val="-1"/>
          <w:szCs w:val="16"/>
        </w:rPr>
        <w:t>s</w:t>
      </w:r>
      <w:r w:rsidRPr="00183BBF">
        <w:rPr>
          <w:rFonts w:cs="Arial"/>
          <w:position w:val="-1"/>
          <w:szCs w:val="16"/>
        </w:rPr>
        <w:t>p</w:t>
      </w:r>
      <w:r w:rsidRPr="00183BBF">
        <w:rPr>
          <w:rFonts w:cs="Arial"/>
          <w:spacing w:val="1"/>
          <w:position w:val="-1"/>
          <w:szCs w:val="16"/>
        </w:rPr>
        <w:t>ec</w:t>
      </w:r>
      <w:r w:rsidRPr="00183BBF">
        <w:rPr>
          <w:rFonts w:cs="Arial"/>
          <w:spacing w:val="2"/>
          <w:position w:val="-1"/>
          <w:szCs w:val="16"/>
        </w:rPr>
        <w:t>i</w:t>
      </w:r>
      <w:r w:rsidRPr="00183BBF">
        <w:rPr>
          <w:rFonts w:cs="Arial"/>
          <w:spacing w:val="-3"/>
          <w:position w:val="-1"/>
          <w:szCs w:val="16"/>
        </w:rPr>
        <w:t>f</w:t>
      </w:r>
      <w:r w:rsidRPr="00183BBF">
        <w:rPr>
          <w:rFonts w:cs="Arial"/>
          <w:spacing w:val="2"/>
          <w:position w:val="-1"/>
          <w:szCs w:val="16"/>
        </w:rPr>
        <w:t>i</w:t>
      </w:r>
      <w:r w:rsidRPr="00183BBF">
        <w:rPr>
          <w:rFonts w:cs="Arial"/>
          <w:position w:val="-1"/>
          <w:szCs w:val="16"/>
        </w:rPr>
        <w:t>c</w:t>
      </w:r>
      <w:r w:rsidRPr="00183BBF">
        <w:rPr>
          <w:rFonts w:cs="Arial"/>
          <w:spacing w:val="-5"/>
          <w:position w:val="-1"/>
          <w:szCs w:val="16"/>
        </w:rPr>
        <w:t xml:space="preserve"> </w:t>
      </w:r>
      <w:r w:rsidRPr="00183BBF">
        <w:rPr>
          <w:rFonts w:cs="Arial"/>
          <w:spacing w:val="2"/>
          <w:position w:val="-1"/>
          <w:szCs w:val="16"/>
        </w:rPr>
        <w:t>t</w:t>
      </w:r>
      <w:r w:rsidRPr="00183BBF">
        <w:rPr>
          <w:rFonts w:cs="Arial"/>
          <w:position w:val="-1"/>
          <w:szCs w:val="16"/>
        </w:rPr>
        <w:t>o</w:t>
      </w:r>
      <w:r w:rsidRPr="00183BBF">
        <w:rPr>
          <w:rFonts w:cs="Arial"/>
          <w:spacing w:val="-6"/>
          <w:position w:val="-1"/>
          <w:szCs w:val="16"/>
        </w:rPr>
        <w:t xml:space="preserve"> </w:t>
      </w:r>
      <w:r w:rsidRPr="00183BBF">
        <w:rPr>
          <w:rFonts w:cs="Arial"/>
          <w:spacing w:val="-2"/>
          <w:position w:val="-1"/>
          <w:szCs w:val="16"/>
        </w:rPr>
        <w:t>NR</w:t>
      </w:r>
      <w:r w:rsidRPr="00E13B20">
        <w:rPr>
          <w:position w:val="-1"/>
        </w:rPr>
        <w:t xml:space="preserve">M </w:t>
      </w:r>
      <w:r w:rsidRPr="00E13B20">
        <w:rPr>
          <w:w w:val="101"/>
          <w:position w:val="-1"/>
        </w:rPr>
        <w:t>p</w:t>
      </w:r>
      <w:r w:rsidRPr="00E13B20">
        <w:rPr>
          <w:spacing w:val="2"/>
          <w:w w:val="101"/>
          <w:position w:val="-1"/>
        </w:rPr>
        <w:t>r</w:t>
      </w:r>
      <w:r w:rsidRPr="00E13B20">
        <w:rPr>
          <w:w w:val="101"/>
          <w:position w:val="-1"/>
        </w:rPr>
        <w:t>od</w:t>
      </w:r>
      <w:r w:rsidRPr="00E13B20">
        <w:rPr>
          <w:spacing w:val="-5"/>
          <w:w w:val="101"/>
          <w:position w:val="-1"/>
        </w:rPr>
        <w:t>u</w:t>
      </w:r>
      <w:r w:rsidRPr="00E13B20">
        <w:rPr>
          <w:spacing w:val="-4"/>
          <w:w w:val="101"/>
          <w:position w:val="-1"/>
        </w:rPr>
        <w:t>c</w:t>
      </w:r>
      <w:r w:rsidRPr="00E13B20">
        <w:rPr>
          <w:spacing w:val="2"/>
          <w:w w:val="101"/>
          <w:position w:val="-1"/>
        </w:rPr>
        <w:t>t</w:t>
      </w:r>
      <w:r w:rsidRPr="00E13B20">
        <w:rPr>
          <w:spacing w:val="-9"/>
          <w:w w:val="101"/>
          <w:position w:val="-1"/>
        </w:rPr>
        <w:t>s</w:t>
      </w:r>
      <w:r w:rsidRPr="00D64BC3">
        <w:rPr>
          <w:rFonts w:cs="Arial"/>
          <w:spacing w:val="-2"/>
          <w:position w:val="-1"/>
          <w:szCs w:val="16"/>
        </w:rPr>
        <w:t xml:space="preserve"> and are taken from the Massachusetts Statewide Technical Reference Manual for Estimating Savings from Energy Efficiency Measures, Version 1.0 </w:t>
      </w:r>
      <w:hyperlink r:id="rId44" w:history="1">
        <w:r w:rsidRPr="00D64BC3">
          <w:rPr>
            <w:rFonts w:cs="Arial"/>
            <w:spacing w:val="-2"/>
            <w:position w:val="-1"/>
            <w:szCs w:val="16"/>
          </w:rPr>
          <w:t>http://www.ma-eeac.org/docs/MA%20TRM_2011%20PLAN%20VERSION.PDF</w:t>
        </w:r>
      </w:hyperlink>
    </w:p>
  </w:footnote>
  <w:footnote w:id="226">
    <w:p w:rsidR="00865117" w:rsidRPr="00275016" w:rsidRDefault="00865117" w:rsidP="00B20792">
      <w:pPr>
        <w:pStyle w:val="FootnoteText"/>
        <w:rPr>
          <w:rFonts w:cs="Arial"/>
          <w:szCs w:val="16"/>
        </w:rPr>
      </w:pPr>
      <w:r w:rsidRPr="00275016">
        <w:rPr>
          <w:rStyle w:val="FootnoteReference"/>
          <w:rFonts w:cs="Arial"/>
          <w:szCs w:val="16"/>
        </w:rPr>
        <w:footnoteRef/>
      </w:r>
      <w:r w:rsidRPr="000D6016">
        <w:rPr>
          <w:rFonts w:cs="Arial"/>
          <w:szCs w:val="16"/>
        </w:rPr>
        <w:t xml:space="preserve"> </w:t>
      </w:r>
      <w:r w:rsidRPr="00D26E83">
        <w:rPr>
          <w:rFonts w:cs="Arial"/>
          <w:spacing w:val="-2"/>
          <w:position w:val="-1"/>
          <w:szCs w:val="16"/>
        </w:rPr>
        <w:t>C</w:t>
      </w:r>
      <w:r w:rsidRPr="00D26E83">
        <w:rPr>
          <w:rFonts w:cs="Arial"/>
          <w:position w:val="-1"/>
          <w:szCs w:val="16"/>
        </w:rPr>
        <w:t>o</w:t>
      </w:r>
      <w:r w:rsidRPr="00D26E83">
        <w:rPr>
          <w:rFonts w:cs="Arial"/>
          <w:spacing w:val="-5"/>
          <w:position w:val="-1"/>
          <w:szCs w:val="16"/>
        </w:rPr>
        <w:t>n</w:t>
      </w:r>
      <w:r w:rsidRPr="00D26E83">
        <w:rPr>
          <w:rFonts w:cs="Arial"/>
          <w:spacing w:val="-9"/>
          <w:position w:val="-1"/>
          <w:szCs w:val="16"/>
        </w:rPr>
        <w:t>s</w:t>
      </w:r>
      <w:r w:rsidRPr="00D26E83">
        <w:rPr>
          <w:rFonts w:cs="Arial"/>
          <w:spacing w:val="1"/>
          <w:position w:val="-1"/>
          <w:szCs w:val="16"/>
        </w:rPr>
        <w:t>e</w:t>
      </w:r>
      <w:r w:rsidRPr="00D26E83">
        <w:rPr>
          <w:rFonts w:cs="Arial"/>
          <w:spacing w:val="2"/>
          <w:position w:val="-1"/>
          <w:szCs w:val="16"/>
        </w:rPr>
        <w:t>r</w:t>
      </w:r>
      <w:r w:rsidRPr="00D26E83">
        <w:rPr>
          <w:rFonts w:cs="Arial"/>
          <w:spacing w:val="-5"/>
          <w:position w:val="-1"/>
          <w:szCs w:val="16"/>
        </w:rPr>
        <w:t>v</w:t>
      </w:r>
      <w:r w:rsidRPr="00D26E83">
        <w:rPr>
          <w:rFonts w:cs="Arial"/>
          <w:spacing w:val="1"/>
          <w:position w:val="-1"/>
          <w:szCs w:val="16"/>
        </w:rPr>
        <w:t>a</w:t>
      </w:r>
      <w:r w:rsidRPr="00D26E83">
        <w:rPr>
          <w:rFonts w:cs="Arial"/>
          <w:spacing w:val="2"/>
          <w:position w:val="-1"/>
          <w:szCs w:val="16"/>
        </w:rPr>
        <w:t>ti</w:t>
      </w:r>
      <w:r w:rsidRPr="00D26E83">
        <w:rPr>
          <w:rFonts w:cs="Arial"/>
          <w:spacing w:val="-5"/>
          <w:position w:val="-1"/>
          <w:szCs w:val="16"/>
        </w:rPr>
        <w:t>v</w:t>
      </w:r>
      <w:r w:rsidRPr="00D26E83">
        <w:rPr>
          <w:rFonts w:cs="Arial"/>
          <w:position w:val="-1"/>
          <w:szCs w:val="16"/>
        </w:rPr>
        <w:t>e</w:t>
      </w:r>
      <w:r w:rsidRPr="00D26E83">
        <w:rPr>
          <w:rFonts w:cs="Arial"/>
          <w:spacing w:val="5"/>
          <w:position w:val="-1"/>
          <w:szCs w:val="16"/>
        </w:rPr>
        <w:t xml:space="preserve"> </w:t>
      </w:r>
      <w:r w:rsidRPr="00D26E83">
        <w:rPr>
          <w:rFonts w:cs="Arial"/>
          <w:spacing w:val="-5"/>
          <w:position w:val="-1"/>
          <w:szCs w:val="16"/>
        </w:rPr>
        <w:t>v</w:t>
      </w:r>
      <w:r w:rsidRPr="00D26E83">
        <w:rPr>
          <w:rFonts w:cs="Arial"/>
          <w:spacing w:val="1"/>
          <w:position w:val="-1"/>
          <w:szCs w:val="16"/>
        </w:rPr>
        <w:t>a</w:t>
      </w:r>
      <w:r w:rsidRPr="00D26E83">
        <w:rPr>
          <w:rFonts w:cs="Arial"/>
          <w:spacing w:val="2"/>
          <w:position w:val="-1"/>
          <w:szCs w:val="16"/>
        </w:rPr>
        <w:t>l</w:t>
      </w:r>
      <w:r w:rsidRPr="00D26E83">
        <w:rPr>
          <w:rFonts w:cs="Arial"/>
          <w:spacing w:val="-5"/>
          <w:position w:val="-1"/>
          <w:szCs w:val="16"/>
        </w:rPr>
        <w:t>u</w:t>
      </w:r>
      <w:r w:rsidRPr="00D26E83">
        <w:rPr>
          <w:rFonts w:cs="Arial"/>
          <w:position w:val="-1"/>
          <w:szCs w:val="16"/>
        </w:rPr>
        <w:t>e</w:t>
      </w:r>
      <w:r w:rsidRPr="00D26E83">
        <w:rPr>
          <w:rFonts w:cs="Arial"/>
          <w:spacing w:val="5"/>
          <w:position w:val="-1"/>
          <w:szCs w:val="16"/>
        </w:rPr>
        <w:t xml:space="preserve"> </w:t>
      </w:r>
      <w:r w:rsidRPr="00D26E83">
        <w:rPr>
          <w:rFonts w:cs="Arial"/>
          <w:position w:val="-1"/>
          <w:szCs w:val="16"/>
        </w:rPr>
        <w:t>b</w:t>
      </w:r>
      <w:r w:rsidRPr="00D26E83">
        <w:rPr>
          <w:rFonts w:cs="Arial"/>
          <w:spacing w:val="1"/>
          <w:position w:val="-1"/>
          <w:szCs w:val="16"/>
        </w:rPr>
        <w:t>a</w:t>
      </w:r>
      <w:r w:rsidRPr="00D26E83">
        <w:rPr>
          <w:rFonts w:cs="Arial"/>
          <w:spacing w:val="-9"/>
          <w:position w:val="-1"/>
          <w:szCs w:val="16"/>
        </w:rPr>
        <w:t>s</w:t>
      </w:r>
      <w:r w:rsidRPr="00D26E83">
        <w:rPr>
          <w:rFonts w:cs="Arial"/>
          <w:spacing w:val="1"/>
          <w:position w:val="-1"/>
          <w:szCs w:val="16"/>
        </w:rPr>
        <w:t>e</w:t>
      </w:r>
      <w:r w:rsidRPr="00D26E83">
        <w:rPr>
          <w:rFonts w:cs="Arial"/>
          <w:position w:val="-1"/>
          <w:szCs w:val="16"/>
        </w:rPr>
        <w:t>d</w:t>
      </w:r>
      <w:r w:rsidRPr="00D26E83">
        <w:rPr>
          <w:rFonts w:cs="Arial"/>
          <w:spacing w:val="4"/>
          <w:position w:val="-1"/>
          <w:szCs w:val="16"/>
        </w:rPr>
        <w:t xml:space="preserve"> </w:t>
      </w:r>
      <w:r w:rsidRPr="00D26E83">
        <w:rPr>
          <w:rFonts w:cs="Arial"/>
          <w:position w:val="-1"/>
          <w:szCs w:val="16"/>
        </w:rPr>
        <w:t xml:space="preserve">on </w:t>
      </w:r>
      <w:r w:rsidRPr="00D26E83">
        <w:rPr>
          <w:rFonts w:cs="Arial"/>
          <w:spacing w:val="-5"/>
          <w:position w:val="-1"/>
          <w:szCs w:val="16"/>
        </w:rPr>
        <w:t>1</w:t>
      </w:r>
      <w:r w:rsidRPr="00D26E83">
        <w:rPr>
          <w:rFonts w:cs="Arial"/>
          <w:position w:val="-1"/>
          <w:szCs w:val="16"/>
        </w:rPr>
        <w:t>5</w:t>
      </w:r>
      <w:r w:rsidRPr="00D26E83">
        <w:rPr>
          <w:rFonts w:cs="Arial"/>
          <w:spacing w:val="4"/>
          <w:position w:val="-1"/>
          <w:szCs w:val="16"/>
        </w:rPr>
        <w:t xml:space="preserve"> </w:t>
      </w:r>
      <w:r w:rsidRPr="00D26E83">
        <w:rPr>
          <w:rFonts w:cs="Arial"/>
          <w:spacing w:val="-5"/>
          <w:position w:val="-1"/>
          <w:szCs w:val="16"/>
        </w:rPr>
        <w:t>y</w:t>
      </w:r>
      <w:r w:rsidRPr="00D26E83">
        <w:rPr>
          <w:rFonts w:cs="Arial"/>
          <w:spacing w:val="1"/>
          <w:position w:val="-1"/>
          <w:szCs w:val="16"/>
        </w:rPr>
        <w:t>e</w:t>
      </w:r>
      <w:r w:rsidRPr="00D26E83">
        <w:rPr>
          <w:rFonts w:cs="Arial"/>
          <w:spacing w:val="-4"/>
          <w:position w:val="-1"/>
          <w:szCs w:val="16"/>
        </w:rPr>
        <w:t>a</w:t>
      </w:r>
      <w:r w:rsidRPr="00D26E83">
        <w:rPr>
          <w:rFonts w:cs="Arial"/>
          <w:spacing w:val="2"/>
          <w:position w:val="-1"/>
          <w:szCs w:val="16"/>
        </w:rPr>
        <w:t>r</w:t>
      </w:r>
      <w:r w:rsidRPr="00D26E83">
        <w:rPr>
          <w:rFonts w:cs="Arial"/>
          <w:position w:val="-1"/>
          <w:szCs w:val="16"/>
        </w:rPr>
        <w:t>s</w:t>
      </w:r>
      <w:r w:rsidRPr="00D26E83">
        <w:rPr>
          <w:rFonts w:cs="Arial"/>
          <w:spacing w:val="-5"/>
          <w:position w:val="-1"/>
          <w:szCs w:val="16"/>
        </w:rPr>
        <w:t xml:space="preserve"> </w:t>
      </w:r>
      <w:r w:rsidRPr="00D26E83">
        <w:rPr>
          <w:rFonts w:cs="Arial"/>
          <w:position w:val="-1"/>
          <w:szCs w:val="16"/>
        </w:rPr>
        <w:t>of</w:t>
      </w:r>
      <w:r w:rsidRPr="00D26E83">
        <w:rPr>
          <w:rFonts w:cs="Arial"/>
          <w:spacing w:val="2"/>
          <w:position w:val="-1"/>
          <w:szCs w:val="16"/>
        </w:rPr>
        <w:t xml:space="preserve"> </w:t>
      </w:r>
      <w:r w:rsidRPr="00D26E83">
        <w:rPr>
          <w:rFonts w:cs="Arial"/>
          <w:spacing w:val="-2"/>
          <w:position w:val="-1"/>
          <w:szCs w:val="16"/>
        </w:rPr>
        <w:t>NR</w:t>
      </w:r>
      <w:r w:rsidRPr="00D26E83">
        <w:rPr>
          <w:rFonts w:cs="Arial"/>
          <w:position w:val="-1"/>
          <w:szCs w:val="16"/>
        </w:rPr>
        <w:t xml:space="preserve">M </w:t>
      </w:r>
      <w:r w:rsidRPr="00D26E83">
        <w:rPr>
          <w:rFonts w:cs="Arial"/>
          <w:spacing w:val="-3"/>
          <w:position w:val="-1"/>
          <w:szCs w:val="16"/>
        </w:rPr>
        <w:t>f</w:t>
      </w:r>
      <w:r w:rsidRPr="00D26E83">
        <w:rPr>
          <w:rFonts w:cs="Arial"/>
          <w:spacing w:val="2"/>
          <w:position w:val="-1"/>
          <w:szCs w:val="16"/>
        </w:rPr>
        <w:t>i</w:t>
      </w:r>
      <w:r w:rsidRPr="00D26E83">
        <w:rPr>
          <w:rFonts w:cs="Arial"/>
          <w:spacing w:val="-4"/>
          <w:position w:val="-1"/>
          <w:szCs w:val="16"/>
        </w:rPr>
        <w:t>e</w:t>
      </w:r>
      <w:r w:rsidRPr="00D26E83">
        <w:rPr>
          <w:rFonts w:cs="Arial"/>
          <w:spacing w:val="2"/>
          <w:position w:val="-1"/>
          <w:szCs w:val="16"/>
        </w:rPr>
        <w:t>l</w:t>
      </w:r>
      <w:r w:rsidRPr="00D26E83">
        <w:rPr>
          <w:rFonts w:cs="Arial"/>
          <w:position w:val="-1"/>
          <w:szCs w:val="16"/>
        </w:rPr>
        <w:t>d</w:t>
      </w:r>
      <w:r w:rsidRPr="00D26E83">
        <w:rPr>
          <w:rFonts w:cs="Arial"/>
          <w:spacing w:val="-1"/>
          <w:position w:val="-1"/>
          <w:szCs w:val="16"/>
        </w:rPr>
        <w:t xml:space="preserve"> </w:t>
      </w:r>
      <w:r w:rsidRPr="00D26E83">
        <w:rPr>
          <w:rFonts w:cs="Arial"/>
          <w:position w:val="-1"/>
          <w:szCs w:val="16"/>
        </w:rPr>
        <w:t>ob</w:t>
      </w:r>
      <w:r w:rsidRPr="00D26E83">
        <w:rPr>
          <w:rFonts w:cs="Arial"/>
          <w:spacing w:val="-9"/>
          <w:position w:val="-1"/>
          <w:szCs w:val="16"/>
        </w:rPr>
        <w:t>s</w:t>
      </w:r>
      <w:r w:rsidRPr="00D26E83">
        <w:rPr>
          <w:rFonts w:cs="Arial"/>
          <w:spacing w:val="1"/>
          <w:position w:val="-1"/>
          <w:szCs w:val="16"/>
        </w:rPr>
        <w:t>e</w:t>
      </w:r>
      <w:r w:rsidRPr="00D26E83">
        <w:rPr>
          <w:rFonts w:cs="Arial"/>
          <w:spacing w:val="2"/>
          <w:position w:val="-1"/>
          <w:szCs w:val="16"/>
        </w:rPr>
        <w:t>r</w:t>
      </w:r>
      <w:r w:rsidRPr="00D26E83">
        <w:rPr>
          <w:rFonts w:cs="Arial"/>
          <w:spacing w:val="-5"/>
          <w:position w:val="-1"/>
          <w:szCs w:val="16"/>
        </w:rPr>
        <w:t>v</w:t>
      </w:r>
      <w:r w:rsidRPr="00D26E83">
        <w:rPr>
          <w:rFonts w:cs="Arial"/>
          <w:spacing w:val="1"/>
          <w:position w:val="-1"/>
          <w:szCs w:val="16"/>
        </w:rPr>
        <w:t>a</w:t>
      </w:r>
      <w:r w:rsidRPr="00D26E83">
        <w:rPr>
          <w:rFonts w:cs="Arial"/>
          <w:spacing w:val="2"/>
          <w:position w:val="-1"/>
          <w:szCs w:val="16"/>
        </w:rPr>
        <w:t>ti</w:t>
      </w:r>
      <w:r w:rsidRPr="00D26E83">
        <w:rPr>
          <w:rFonts w:cs="Arial"/>
          <w:position w:val="-1"/>
          <w:szCs w:val="16"/>
        </w:rPr>
        <w:t>o</w:t>
      </w:r>
      <w:r w:rsidRPr="00D26E83">
        <w:rPr>
          <w:rFonts w:cs="Arial"/>
          <w:spacing w:val="-5"/>
          <w:position w:val="-1"/>
          <w:szCs w:val="16"/>
        </w:rPr>
        <w:t>n</w:t>
      </w:r>
      <w:r w:rsidRPr="00D26E83">
        <w:rPr>
          <w:rFonts w:cs="Arial"/>
          <w:position w:val="-1"/>
          <w:szCs w:val="16"/>
        </w:rPr>
        <w:t>s</w:t>
      </w:r>
      <w:r w:rsidRPr="00D26E83">
        <w:rPr>
          <w:rFonts w:cs="Arial"/>
          <w:spacing w:val="-4"/>
          <w:position w:val="-1"/>
          <w:szCs w:val="16"/>
        </w:rPr>
        <w:t xml:space="preserve"> </w:t>
      </w:r>
      <w:r w:rsidRPr="00D26E83">
        <w:rPr>
          <w:rFonts w:cs="Arial"/>
          <w:spacing w:val="1"/>
          <w:position w:val="-1"/>
          <w:szCs w:val="16"/>
        </w:rPr>
        <w:t>a</w:t>
      </w:r>
      <w:r w:rsidRPr="00D26E83">
        <w:rPr>
          <w:rFonts w:cs="Arial"/>
          <w:spacing w:val="-5"/>
          <w:position w:val="-1"/>
          <w:szCs w:val="16"/>
        </w:rPr>
        <w:t>n</w:t>
      </w:r>
      <w:r w:rsidRPr="00D26E83">
        <w:rPr>
          <w:rFonts w:cs="Arial"/>
          <w:position w:val="-1"/>
          <w:szCs w:val="16"/>
        </w:rPr>
        <w:t>d</w:t>
      </w:r>
      <w:r w:rsidRPr="00D26E83">
        <w:rPr>
          <w:rFonts w:cs="Arial"/>
          <w:spacing w:val="4"/>
          <w:position w:val="-1"/>
          <w:szCs w:val="16"/>
        </w:rPr>
        <w:t xml:space="preserve"> </w:t>
      </w:r>
      <w:r w:rsidRPr="00D26E83">
        <w:rPr>
          <w:rFonts w:cs="Arial"/>
          <w:spacing w:val="1"/>
          <w:w w:val="101"/>
          <w:position w:val="-1"/>
          <w:szCs w:val="16"/>
        </w:rPr>
        <w:t>e</w:t>
      </w:r>
      <w:r w:rsidRPr="00D26E83">
        <w:rPr>
          <w:rFonts w:cs="Arial"/>
          <w:spacing w:val="-5"/>
          <w:w w:val="101"/>
          <w:position w:val="-1"/>
          <w:szCs w:val="16"/>
        </w:rPr>
        <w:t>x</w:t>
      </w:r>
      <w:r w:rsidRPr="00D26E83">
        <w:rPr>
          <w:rFonts w:cs="Arial"/>
          <w:w w:val="101"/>
          <w:position w:val="-1"/>
          <w:szCs w:val="16"/>
        </w:rPr>
        <w:t>p</w:t>
      </w:r>
      <w:r w:rsidRPr="00D26E83">
        <w:rPr>
          <w:rFonts w:cs="Arial"/>
          <w:spacing w:val="1"/>
          <w:w w:val="101"/>
          <w:position w:val="-1"/>
          <w:szCs w:val="16"/>
        </w:rPr>
        <w:t>e</w:t>
      </w:r>
      <w:r w:rsidRPr="00D26E83">
        <w:rPr>
          <w:rFonts w:cs="Arial"/>
          <w:spacing w:val="2"/>
          <w:w w:val="101"/>
          <w:position w:val="-1"/>
          <w:szCs w:val="16"/>
        </w:rPr>
        <w:t>r</w:t>
      </w:r>
      <w:r w:rsidRPr="00D26E83">
        <w:rPr>
          <w:rFonts w:cs="Arial"/>
          <w:spacing w:val="-3"/>
          <w:w w:val="101"/>
          <w:position w:val="-1"/>
          <w:szCs w:val="16"/>
        </w:rPr>
        <w:t>i</w:t>
      </w:r>
      <w:r w:rsidRPr="00D26E83">
        <w:rPr>
          <w:rFonts w:cs="Arial"/>
          <w:spacing w:val="1"/>
          <w:w w:val="101"/>
          <w:position w:val="-1"/>
          <w:szCs w:val="16"/>
        </w:rPr>
        <w:t>e</w:t>
      </w:r>
      <w:r w:rsidRPr="00D26E83">
        <w:rPr>
          <w:rFonts w:cs="Arial"/>
          <w:spacing w:val="-5"/>
          <w:w w:val="101"/>
          <w:position w:val="-1"/>
          <w:szCs w:val="16"/>
        </w:rPr>
        <w:t>n</w:t>
      </w:r>
      <w:r w:rsidRPr="00D26E83">
        <w:rPr>
          <w:rFonts w:cs="Arial"/>
          <w:spacing w:val="1"/>
          <w:w w:val="101"/>
          <w:position w:val="-1"/>
          <w:szCs w:val="16"/>
        </w:rPr>
        <w:t>ce</w:t>
      </w:r>
    </w:p>
  </w:footnote>
  <w:footnote w:id="227">
    <w:p w:rsidR="00865117" w:rsidRDefault="00865117" w:rsidP="00B20792">
      <w:pPr>
        <w:pStyle w:val="FootnoteText"/>
      </w:pPr>
      <w:r w:rsidRPr="000D6016">
        <w:rPr>
          <w:rStyle w:val="FootnoteReference"/>
          <w:rFonts w:cs="Arial"/>
          <w:szCs w:val="16"/>
        </w:rPr>
        <w:footnoteRef/>
      </w:r>
      <w:r w:rsidRPr="00712689">
        <w:rPr>
          <w:rFonts w:cs="Arial"/>
          <w:szCs w:val="16"/>
        </w:rPr>
        <w:t xml:space="preserve"> </w:t>
      </w:r>
      <w:r w:rsidRPr="00D26E83">
        <w:rPr>
          <w:rFonts w:cs="Arial"/>
          <w:spacing w:val="-2"/>
          <w:szCs w:val="16"/>
        </w:rPr>
        <w:t>C</w:t>
      </w:r>
      <w:r w:rsidRPr="00D26E83">
        <w:rPr>
          <w:rFonts w:cs="Arial"/>
          <w:szCs w:val="16"/>
        </w:rPr>
        <w:t>o</w:t>
      </w:r>
      <w:r w:rsidRPr="00D26E83">
        <w:rPr>
          <w:rFonts w:cs="Arial"/>
          <w:spacing w:val="-5"/>
          <w:szCs w:val="16"/>
        </w:rPr>
        <w:t>n</w:t>
      </w:r>
      <w:r w:rsidRPr="00D26E83">
        <w:rPr>
          <w:rFonts w:cs="Arial"/>
          <w:spacing w:val="-9"/>
          <w:szCs w:val="16"/>
        </w:rPr>
        <w:t>s</w:t>
      </w:r>
      <w:r w:rsidRPr="00D26E83">
        <w:rPr>
          <w:rFonts w:cs="Arial"/>
          <w:spacing w:val="1"/>
          <w:szCs w:val="16"/>
        </w:rPr>
        <w:t>e</w:t>
      </w:r>
      <w:r w:rsidRPr="00D26E83">
        <w:rPr>
          <w:rFonts w:cs="Arial"/>
          <w:spacing w:val="2"/>
          <w:szCs w:val="16"/>
        </w:rPr>
        <w:t>r</w:t>
      </w:r>
      <w:r w:rsidRPr="00D26E83">
        <w:rPr>
          <w:rFonts w:cs="Arial"/>
          <w:spacing w:val="-5"/>
          <w:szCs w:val="16"/>
        </w:rPr>
        <w:t>v</w:t>
      </w:r>
      <w:r w:rsidRPr="00D26E83">
        <w:rPr>
          <w:rFonts w:cs="Arial"/>
          <w:spacing w:val="1"/>
          <w:szCs w:val="16"/>
        </w:rPr>
        <w:t>a</w:t>
      </w:r>
      <w:r w:rsidRPr="00D26E83">
        <w:rPr>
          <w:rFonts w:cs="Arial"/>
          <w:spacing w:val="2"/>
          <w:szCs w:val="16"/>
        </w:rPr>
        <w:t>ti</w:t>
      </w:r>
      <w:r w:rsidRPr="00D26E83">
        <w:rPr>
          <w:rFonts w:cs="Arial"/>
          <w:spacing w:val="-5"/>
          <w:szCs w:val="16"/>
        </w:rPr>
        <w:t>v</w:t>
      </w:r>
      <w:r w:rsidRPr="00D26E83">
        <w:rPr>
          <w:rFonts w:cs="Arial"/>
          <w:szCs w:val="16"/>
        </w:rPr>
        <w:t>e</w:t>
      </w:r>
      <w:r w:rsidRPr="00D26E83">
        <w:rPr>
          <w:rFonts w:cs="Arial"/>
          <w:spacing w:val="5"/>
          <w:szCs w:val="16"/>
        </w:rPr>
        <w:t xml:space="preserve"> </w:t>
      </w:r>
      <w:r w:rsidRPr="00D26E83">
        <w:rPr>
          <w:rFonts w:cs="Arial"/>
          <w:spacing w:val="1"/>
          <w:szCs w:val="16"/>
        </w:rPr>
        <w:t>e</w:t>
      </w:r>
      <w:r w:rsidRPr="00D26E83">
        <w:rPr>
          <w:rFonts w:cs="Arial"/>
          <w:spacing w:val="-9"/>
          <w:szCs w:val="16"/>
        </w:rPr>
        <w:t>s</w:t>
      </w:r>
      <w:r w:rsidRPr="00D26E83">
        <w:rPr>
          <w:rFonts w:cs="Arial"/>
          <w:spacing w:val="2"/>
          <w:szCs w:val="16"/>
        </w:rPr>
        <w:t>t</w:t>
      </w:r>
      <w:r w:rsidRPr="00D26E83">
        <w:rPr>
          <w:rFonts w:cs="Arial"/>
          <w:spacing w:val="7"/>
          <w:szCs w:val="16"/>
        </w:rPr>
        <w:t>i</w:t>
      </w:r>
      <w:r w:rsidRPr="00D26E83">
        <w:rPr>
          <w:rFonts w:cs="Arial"/>
          <w:spacing w:val="-12"/>
          <w:szCs w:val="16"/>
        </w:rPr>
        <w:t>m</w:t>
      </w:r>
      <w:r w:rsidRPr="00D26E83">
        <w:rPr>
          <w:rFonts w:cs="Arial"/>
          <w:spacing w:val="1"/>
          <w:szCs w:val="16"/>
        </w:rPr>
        <w:t>a</w:t>
      </w:r>
      <w:r w:rsidRPr="00D26E83">
        <w:rPr>
          <w:rFonts w:cs="Arial"/>
          <w:spacing w:val="2"/>
          <w:szCs w:val="16"/>
        </w:rPr>
        <w:t>t</w:t>
      </w:r>
      <w:r w:rsidRPr="00D26E83">
        <w:rPr>
          <w:rFonts w:cs="Arial"/>
          <w:szCs w:val="16"/>
        </w:rPr>
        <w:t>e</w:t>
      </w:r>
      <w:r w:rsidRPr="00D26E83">
        <w:rPr>
          <w:rFonts w:cs="Arial"/>
          <w:spacing w:val="5"/>
          <w:szCs w:val="16"/>
        </w:rPr>
        <w:t xml:space="preserve"> </w:t>
      </w:r>
      <w:r w:rsidRPr="00D26E83">
        <w:rPr>
          <w:rFonts w:cs="Arial"/>
          <w:spacing w:val="-9"/>
          <w:szCs w:val="16"/>
        </w:rPr>
        <w:t>s</w:t>
      </w:r>
      <w:r w:rsidRPr="00D26E83">
        <w:rPr>
          <w:rFonts w:cs="Arial"/>
          <w:spacing w:val="-5"/>
          <w:szCs w:val="16"/>
        </w:rPr>
        <w:t>u</w:t>
      </w:r>
      <w:r w:rsidRPr="00D26E83">
        <w:rPr>
          <w:rFonts w:cs="Arial"/>
          <w:szCs w:val="16"/>
        </w:rPr>
        <w:t>ppo</w:t>
      </w:r>
      <w:r w:rsidRPr="00D26E83">
        <w:rPr>
          <w:rFonts w:cs="Arial"/>
          <w:spacing w:val="2"/>
          <w:szCs w:val="16"/>
        </w:rPr>
        <w:t>rt</w:t>
      </w:r>
      <w:r w:rsidRPr="00D26E83">
        <w:rPr>
          <w:rFonts w:cs="Arial"/>
          <w:spacing w:val="1"/>
          <w:szCs w:val="16"/>
        </w:rPr>
        <w:t>e</w:t>
      </w:r>
      <w:r w:rsidRPr="00D26E83">
        <w:rPr>
          <w:rFonts w:cs="Arial"/>
          <w:szCs w:val="16"/>
        </w:rPr>
        <w:t>d</w:t>
      </w:r>
      <w:r w:rsidRPr="00D26E83">
        <w:rPr>
          <w:rFonts w:cs="Arial"/>
          <w:spacing w:val="-1"/>
          <w:szCs w:val="16"/>
        </w:rPr>
        <w:t xml:space="preserve"> </w:t>
      </w:r>
      <w:r w:rsidRPr="00D26E83">
        <w:rPr>
          <w:rFonts w:cs="Arial"/>
          <w:szCs w:val="16"/>
        </w:rPr>
        <w:t>by</w:t>
      </w:r>
      <w:r w:rsidRPr="00D26E83">
        <w:rPr>
          <w:rFonts w:cs="Arial"/>
          <w:spacing w:val="-5"/>
          <w:szCs w:val="16"/>
        </w:rPr>
        <w:t xml:space="preserve"> </w:t>
      </w:r>
      <w:r w:rsidRPr="00D26E83">
        <w:rPr>
          <w:rFonts w:cs="Arial"/>
          <w:spacing w:val="2"/>
          <w:szCs w:val="16"/>
        </w:rPr>
        <w:t>l</w:t>
      </w:r>
      <w:r w:rsidRPr="00D26E83">
        <w:rPr>
          <w:rFonts w:cs="Arial"/>
          <w:spacing w:val="1"/>
          <w:szCs w:val="16"/>
        </w:rPr>
        <w:t>e</w:t>
      </w:r>
      <w:r w:rsidRPr="00D26E83">
        <w:rPr>
          <w:rFonts w:cs="Arial"/>
          <w:spacing w:val="-4"/>
          <w:szCs w:val="16"/>
        </w:rPr>
        <w:t>s</w:t>
      </w:r>
      <w:r w:rsidRPr="00D26E83">
        <w:rPr>
          <w:rFonts w:cs="Arial"/>
          <w:szCs w:val="16"/>
        </w:rPr>
        <w:t>s</w:t>
      </w:r>
      <w:r w:rsidRPr="00D26E83">
        <w:rPr>
          <w:rFonts w:cs="Arial"/>
          <w:spacing w:val="-5"/>
          <w:szCs w:val="16"/>
        </w:rPr>
        <w:t xml:space="preserve"> </w:t>
      </w:r>
      <w:r w:rsidRPr="00D26E83">
        <w:rPr>
          <w:rFonts w:cs="Arial"/>
          <w:spacing w:val="1"/>
          <w:szCs w:val="16"/>
        </w:rPr>
        <w:t>c</w:t>
      </w:r>
      <w:r w:rsidRPr="00D26E83">
        <w:rPr>
          <w:rFonts w:cs="Arial"/>
          <w:szCs w:val="16"/>
        </w:rPr>
        <w:t>on</w:t>
      </w:r>
      <w:r w:rsidRPr="00D26E83">
        <w:rPr>
          <w:rFonts w:cs="Arial"/>
          <w:spacing w:val="-9"/>
          <w:szCs w:val="16"/>
        </w:rPr>
        <w:t>s</w:t>
      </w:r>
      <w:r w:rsidRPr="00D26E83">
        <w:rPr>
          <w:rFonts w:cs="Arial"/>
          <w:spacing w:val="1"/>
          <w:szCs w:val="16"/>
        </w:rPr>
        <w:t>e</w:t>
      </w:r>
      <w:r w:rsidRPr="00D26E83">
        <w:rPr>
          <w:rFonts w:cs="Arial"/>
          <w:spacing w:val="2"/>
          <w:szCs w:val="16"/>
        </w:rPr>
        <w:t>r</w:t>
      </w:r>
      <w:r w:rsidRPr="00D26E83">
        <w:rPr>
          <w:rFonts w:cs="Arial"/>
          <w:spacing w:val="-5"/>
          <w:szCs w:val="16"/>
        </w:rPr>
        <w:t>v</w:t>
      </w:r>
      <w:r w:rsidRPr="00D26E83">
        <w:rPr>
          <w:rFonts w:cs="Arial"/>
          <w:spacing w:val="1"/>
          <w:szCs w:val="16"/>
        </w:rPr>
        <w:t>a</w:t>
      </w:r>
      <w:r w:rsidRPr="00D26E83">
        <w:rPr>
          <w:rFonts w:cs="Arial"/>
          <w:spacing w:val="2"/>
          <w:szCs w:val="16"/>
        </w:rPr>
        <w:t>ti</w:t>
      </w:r>
      <w:r w:rsidRPr="00D26E83">
        <w:rPr>
          <w:rFonts w:cs="Arial"/>
          <w:spacing w:val="-5"/>
          <w:szCs w:val="16"/>
        </w:rPr>
        <w:t>v</w:t>
      </w:r>
      <w:r w:rsidRPr="00D26E83">
        <w:rPr>
          <w:rFonts w:cs="Arial"/>
          <w:szCs w:val="16"/>
        </w:rPr>
        <w:t>e</w:t>
      </w:r>
      <w:r w:rsidRPr="00D26E83">
        <w:rPr>
          <w:rFonts w:cs="Arial"/>
          <w:spacing w:val="5"/>
          <w:szCs w:val="16"/>
        </w:rPr>
        <w:t xml:space="preserve"> </w:t>
      </w:r>
      <w:r w:rsidRPr="00D26E83">
        <w:rPr>
          <w:rFonts w:cs="Arial"/>
          <w:spacing w:val="-5"/>
          <w:szCs w:val="16"/>
        </w:rPr>
        <w:t>v</w:t>
      </w:r>
      <w:r w:rsidRPr="00D26E83">
        <w:rPr>
          <w:rFonts w:cs="Arial"/>
          <w:spacing w:val="1"/>
          <w:szCs w:val="16"/>
        </w:rPr>
        <w:t>a</w:t>
      </w:r>
      <w:r w:rsidRPr="00D26E83">
        <w:rPr>
          <w:rFonts w:cs="Arial"/>
          <w:spacing w:val="2"/>
          <w:szCs w:val="16"/>
        </w:rPr>
        <w:t>l</w:t>
      </w:r>
      <w:r w:rsidRPr="00D26E83">
        <w:rPr>
          <w:rFonts w:cs="Arial"/>
          <w:spacing w:val="-5"/>
          <w:szCs w:val="16"/>
        </w:rPr>
        <w:t>u</w:t>
      </w:r>
      <w:r w:rsidRPr="00D26E83">
        <w:rPr>
          <w:rFonts w:cs="Arial"/>
          <w:spacing w:val="1"/>
          <w:szCs w:val="16"/>
        </w:rPr>
        <w:t>e</w:t>
      </w:r>
      <w:r w:rsidRPr="00D26E83">
        <w:rPr>
          <w:rFonts w:cs="Arial"/>
          <w:szCs w:val="16"/>
        </w:rPr>
        <w:t>s</w:t>
      </w:r>
      <w:r w:rsidRPr="00D26E83">
        <w:rPr>
          <w:rFonts w:cs="Arial"/>
          <w:spacing w:val="-5"/>
          <w:szCs w:val="16"/>
        </w:rPr>
        <w:t xml:space="preserve"> g</w:t>
      </w:r>
      <w:r w:rsidRPr="00D26E83">
        <w:rPr>
          <w:rFonts w:cs="Arial"/>
          <w:spacing w:val="7"/>
          <w:szCs w:val="16"/>
        </w:rPr>
        <w:t>i</w:t>
      </w:r>
      <w:r w:rsidRPr="00D26E83">
        <w:rPr>
          <w:rFonts w:cs="Arial"/>
          <w:spacing w:val="-5"/>
          <w:szCs w:val="16"/>
        </w:rPr>
        <w:t>v</w:t>
      </w:r>
      <w:r w:rsidRPr="00D26E83">
        <w:rPr>
          <w:rFonts w:cs="Arial"/>
          <w:spacing w:val="1"/>
          <w:szCs w:val="16"/>
        </w:rPr>
        <w:t>e</w:t>
      </w:r>
      <w:r w:rsidRPr="00D26E83">
        <w:rPr>
          <w:rFonts w:cs="Arial"/>
          <w:szCs w:val="16"/>
        </w:rPr>
        <w:t>n</w:t>
      </w:r>
      <w:r w:rsidRPr="00D26E83">
        <w:rPr>
          <w:rFonts w:cs="Arial"/>
          <w:spacing w:val="-1"/>
          <w:szCs w:val="16"/>
        </w:rPr>
        <w:t xml:space="preserve"> </w:t>
      </w:r>
      <w:r w:rsidRPr="00D26E83">
        <w:rPr>
          <w:rFonts w:cs="Arial"/>
          <w:szCs w:val="16"/>
        </w:rPr>
        <w:t xml:space="preserve">by </w:t>
      </w:r>
      <w:r w:rsidRPr="00D26E83">
        <w:rPr>
          <w:rFonts w:cs="Arial"/>
          <w:spacing w:val="-9"/>
          <w:szCs w:val="16"/>
        </w:rPr>
        <w:t>s</w:t>
      </w:r>
      <w:r w:rsidRPr="00D26E83">
        <w:rPr>
          <w:rFonts w:cs="Arial"/>
          <w:spacing w:val="5"/>
          <w:szCs w:val="16"/>
        </w:rPr>
        <w:t>e</w:t>
      </w:r>
      <w:r w:rsidRPr="00D26E83">
        <w:rPr>
          <w:rFonts w:cs="Arial"/>
          <w:spacing w:val="-5"/>
          <w:szCs w:val="16"/>
        </w:rPr>
        <w:t>v</w:t>
      </w:r>
      <w:r w:rsidRPr="00D26E83">
        <w:rPr>
          <w:rFonts w:cs="Arial"/>
          <w:spacing w:val="1"/>
          <w:szCs w:val="16"/>
        </w:rPr>
        <w:t>e</w:t>
      </w:r>
      <w:r w:rsidRPr="00D26E83">
        <w:rPr>
          <w:rFonts w:cs="Arial"/>
          <w:spacing w:val="2"/>
          <w:szCs w:val="16"/>
        </w:rPr>
        <w:t>r</w:t>
      </w:r>
      <w:r w:rsidRPr="00D26E83">
        <w:rPr>
          <w:rFonts w:cs="Arial"/>
          <w:spacing w:val="1"/>
          <w:szCs w:val="16"/>
        </w:rPr>
        <w:t>a</w:t>
      </w:r>
      <w:r w:rsidRPr="00D26E83">
        <w:rPr>
          <w:rFonts w:cs="Arial"/>
          <w:szCs w:val="16"/>
        </w:rPr>
        <w:t>l</w:t>
      </w:r>
      <w:r w:rsidRPr="00D26E83">
        <w:rPr>
          <w:rFonts w:cs="Arial"/>
          <w:spacing w:val="1"/>
          <w:szCs w:val="16"/>
        </w:rPr>
        <w:t xml:space="preserve"> </w:t>
      </w:r>
      <w:r w:rsidRPr="00D26E83">
        <w:rPr>
          <w:rFonts w:cs="Arial"/>
          <w:spacing w:val="-5"/>
          <w:szCs w:val="16"/>
        </w:rPr>
        <w:t>u</w:t>
      </w:r>
      <w:r w:rsidRPr="00D26E83">
        <w:rPr>
          <w:rFonts w:cs="Arial"/>
          <w:spacing w:val="2"/>
          <w:szCs w:val="16"/>
        </w:rPr>
        <w:t>t</w:t>
      </w:r>
      <w:r w:rsidRPr="00D26E83">
        <w:rPr>
          <w:rFonts w:cs="Arial"/>
          <w:spacing w:val="-3"/>
          <w:szCs w:val="16"/>
        </w:rPr>
        <w:t>i</w:t>
      </w:r>
      <w:r w:rsidRPr="00D26E83">
        <w:rPr>
          <w:rFonts w:cs="Arial"/>
          <w:spacing w:val="2"/>
          <w:szCs w:val="16"/>
        </w:rPr>
        <w:t>l</w:t>
      </w:r>
      <w:r w:rsidRPr="00D26E83">
        <w:rPr>
          <w:rFonts w:cs="Arial"/>
          <w:spacing w:val="-3"/>
          <w:szCs w:val="16"/>
        </w:rPr>
        <w:t>i</w:t>
      </w:r>
      <w:r w:rsidRPr="00D26E83">
        <w:rPr>
          <w:rFonts w:cs="Arial"/>
          <w:spacing w:val="2"/>
          <w:szCs w:val="16"/>
        </w:rPr>
        <w:t>t</w:t>
      </w:r>
      <w:r w:rsidRPr="00D26E83">
        <w:rPr>
          <w:rFonts w:cs="Arial"/>
          <w:spacing w:val="-5"/>
          <w:szCs w:val="16"/>
        </w:rPr>
        <w:t>y</w:t>
      </w:r>
      <w:r w:rsidRPr="00D26E83">
        <w:rPr>
          <w:rFonts w:cs="Arial"/>
          <w:spacing w:val="2"/>
          <w:szCs w:val="16"/>
        </w:rPr>
        <w:t>-</w:t>
      </w:r>
      <w:r w:rsidRPr="00D12D7C">
        <w:rPr>
          <w:rFonts w:cs="Arial"/>
          <w:spacing w:val="-9"/>
          <w:szCs w:val="16"/>
        </w:rPr>
        <w:t>s</w:t>
      </w:r>
      <w:r w:rsidRPr="00D12D7C">
        <w:rPr>
          <w:rFonts w:cs="Arial"/>
          <w:szCs w:val="16"/>
        </w:rPr>
        <w:t>pon</w:t>
      </w:r>
      <w:r w:rsidRPr="00D12D7C">
        <w:rPr>
          <w:rFonts w:cs="Arial"/>
          <w:spacing w:val="-4"/>
          <w:szCs w:val="16"/>
        </w:rPr>
        <w:t>s</w:t>
      </w:r>
      <w:r w:rsidRPr="00D12D7C">
        <w:rPr>
          <w:rFonts w:cs="Arial"/>
          <w:szCs w:val="16"/>
        </w:rPr>
        <w:t>o</w:t>
      </w:r>
      <w:r w:rsidRPr="00D12D7C">
        <w:rPr>
          <w:rFonts w:cs="Arial"/>
          <w:spacing w:val="2"/>
          <w:szCs w:val="16"/>
        </w:rPr>
        <w:t>r</w:t>
      </w:r>
      <w:r w:rsidRPr="00D12D7C">
        <w:rPr>
          <w:rFonts w:cs="Arial"/>
          <w:spacing w:val="1"/>
          <w:szCs w:val="16"/>
        </w:rPr>
        <w:t>e</w:t>
      </w:r>
      <w:r w:rsidRPr="00D12D7C">
        <w:rPr>
          <w:rFonts w:cs="Arial"/>
          <w:szCs w:val="16"/>
        </w:rPr>
        <w:t>d</w:t>
      </w:r>
      <w:r w:rsidRPr="00D12D7C">
        <w:rPr>
          <w:rFonts w:cs="Arial"/>
          <w:spacing w:val="4"/>
          <w:szCs w:val="16"/>
        </w:rPr>
        <w:t xml:space="preserve"> </w:t>
      </w:r>
      <w:r w:rsidRPr="00D12D7C">
        <w:rPr>
          <w:rFonts w:cs="Arial"/>
          <w:szCs w:val="16"/>
        </w:rPr>
        <w:t>3</w:t>
      </w:r>
      <w:r w:rsidRPr="00D12D7C">
        <w:rPr>
          <w:rFonts w:cs="Arial"/>
          <w:szCs w:val="16"/>
          <w:vertAlign w:val="superscript"/>
        </w:rPr>
        <w:t>rd</w:t>
      </w:r>
      <w:r>
        <w:rPr>
          <w:rFonts w:cs="Arial"/>
          <w:szCs w:val="16"/>
        </w:rPr>
        <w:t xml:space="preserve"> </w:t>
      </w:r>
      <w:r>
        <w:rPr>
          <w:rFonts w:cs="Arial"/>
          <w:spacing w:val="-1"/>
          <w:w w:val="101"/>
          <w:szCs w:val="16"/>
        </w:rPr>
        <w:t>p</w:t>
      </w:r>
      <w:r w:rsidRPr="00D12D7C">
        <w:rPr>
          <w:rFonts w:cs="Arial"/>
          <w:spacing w:val="1"/>
          <w:w w:val="101"/>
          <w:szCs w:val="16"/>
        </w:rPr>
        <w:t>a</w:t>
      </w:r>
      <w:r w:rsidRPr="00D12D7C">
        <w:rPr>
          <w:rFonts w:cs="Arial"/>
          <w:spacing w:val="-3"/>
          <w:w w:val="101"/>
          <w:szCs w:val="16"/>
        </w:rPr>
        <w:t>r</w:t>
      </w:r>
      <w:r w:rsidRPr="00D12D7C">
        <w:rPr>
          <w:rFonts w:cs="Arial"/>
          <w:spacing w:val="2"/>
          <w:w w:val="101"/>
          <w:szCs w:val="16"/>
        </w:rPr>
        <w:t>t</w:t>
      </w:r>
      <w:r w:rsidRPr="00D12D7C">
        <w:rPr>
          <w:rFonts w:cs="Arial"/>
          <w:w w:val="101"/>
          <w:szCs w:val="16"/>
        </w:rPr>
        <w:t>y</w:t>
      </w:r>
      <w:r w:rsidRPr="00D26E83">
        <w:rPr>
          <w:rFonts w:cs="Arial"/>
          <w:spacing w:val="-2"/>
          <w:szCs w:val="16"/>
        </w:rPr>
        <w:t xml:space="preserve"> </w:t>
      </w:r>
      <w:r w:rsidRPr="00D26E83">
        <w:rPr>
          <w:rFonts w:cs="Arial"/>
          <w:spacing w:val="-9"/>
          <w:szCs w:val="16"/>
        </w:rPr>
        <w:t>s</w:t>
      </w:r>
      <w:r w:rsidRPr="00D26E83">
        <w:rPr>
          <w:rFonts w:cs="Arial"/>
          <w:spacing w:val="2"/>
          <w:szCs w:val="16"/>
        </w:rPr>
        <w:t>t</w:t>
      </w:r>
      <w:r w:rsidRPr="00D26E83">
        <w:rPr>
          <w:rFonts w:cs="Arial"/>
          <w:spacing w:val="-5"/>
          <w:szCs w:val="16"/>
        </w:rPr>
        <w:t>u</w:t>
      </w:r>
      <w:r w:rsidRPr="00D26E83">
        <w:rPr>
          <w:rFonts w:cs="Arial"/>
          <w:szCs w:val="16"/>
        </w:rPr>
        <w:t>d</w:t>
      </w:r>
      <w:r w:rsidRPr="00D26E83">
        <w:rPr>
          <w:rFonts w:cs="Arial"/>
          <w:spacing w:val="2"/>
          <w:szCs w:val="16"/>
        </w:rPr>
        <w:t>i</w:t>
      </w:r>
      <w:r w:rsidRPr="00D26E83">
        <w:rPr>
          <w:rFonts w:cs="Arial"/>
          <w:spacing w:val="5"/>
          <w:szCs w:val="16"/>
        </w:rPr>
        <w:t>e</w:t>
      </w:r>
      <w:r w:rsidRPr="00D26E83">
        <w:rPr>
          <w:rFonts w:cs="Arial"/>
          <w:szCs w:val="16"/>
        </w:rPr>
        <w:t>s</w:t>
      </w:r>
      <w:r w:rsidRPr="00D26E83">
        <w:rPr>
          <w:rFonts w:cs="Arial"/>
          <w:spacing w:val="-5"/>
          <w:szCs w:val="16"/>
        </w:rPr>
        <w:t xml:space="preserve"> </w:t>
      </w:r>
      <w:r w:rsidRPr="00D26E83">
        <w:rPr>
          <w:rFonts w:cs="Arial"/>
          <w:spacing w:val="2"/>
          <w:szCs w:val="16"/>
        </w:rPr>
        <w:t>i</w:t>
      </w:r>
      <w:r w:rsidRPr="00D26E83">
        <w:rPr>
          <w:rFonts w:cs="Arial"/>
          <w:spacing w:val="-5"/>
          <w:szCs w:val="16"/>
        </w:rPr>
        <w:t>n</w:t>
      </w:r>
      <w:r w:rsidRPr="00D26E83">
        <w:rPr>
          <w:rFonts w:cs="Arial"/>
          <w:spacing w:val="1"/>
          <w:szCs w:val="16"/>
        </w:rPr>
        <w:t>c</w:t>
      </w:r>
      <w:r w:rsidRPr="00D26E83">
        <w:rPr>
          <w:rFonts w:cs="Arial"/>
          <w:spacing w:val="2"/>
          <w:szCs w:val="16"/>
        </w:rPr>
        <w:t>l</w:t>
      </w:r>
      <w:r w:rsidRPr="00D26E83">
        <w:rPr>
          <w:rFonts w:cs="Arial"/>
          <w:spacing w:val="-5"/>
          <w:szCs w:val="16"/>
        </w:rPr>
        <w:t>u</w:t>
      </w:r>
      <w:r w:rsidRPr="00D26E83">
        <w:rPr>
          <w:rFonts w:cs="Arial"/>
          <w:szCs w:val="16"/>
        </w:rPr>
        <w:t>d</w:t>
      </w:r>
      <w:r w:rsidRPr="00D26E83">
        <w:rPr>
          <w:rFonts w:cs="Arial"/>
          <w:spacing w:val="2"/>
          <w:szCs w:val="16"/>
        </w:rPr>
        <w:t>i</w:t>
      </w:r>
      <w:r w:rsidRPr="00D26E83">
        <w:rPr>
          <w:rFonts w:cs="Arial"/>
          <w:spacing w:val="-5"/>
          <w:szCs w:val="16"/>
        </w:rPr>
        <w:t>ng</w:t>
      </w:r>
      <w:r w:rsidRPr="00D26E83">
        <w:rPr>
          <w:rFonts w:cs="Arial"/>
          <w:szCs w:val="16"/>
        </w:rPr>
        <w:t>:</w:t>
      </w:r>
      <w:r w:rsidRPr="00D26E83">
        <w:rPr>
          <w:rFonts w:cs="Arial"/>
          <w:spacing w:val="1"/>
          <w:szCs w:val="16"/>
        </w:rPr>
        <w:t xml:space="preserve"> </w:t>
      </w:r>
      <w:r w:rsidRPr="00D26E83">
        <w:rPr>
          <w:rFonts w:cs="Arial"/>
          <w:spacing w:val="-1"/>
          <w:szCs w:val="16"/>
        </w:rPr>
        <w:t>S</w:t>
      </w:r>
      <w:r w:rsidRPr="00D26E83">
        <w:rPr>
          <w:rFonts w:cs="Arial"/>
          <w:spacing w:val="1"/>
          <w:szCs w:val="16"/>
        </w:rPr>
        <w:t>e</w:t>
      </w:r>
      <w:r w:rsidRPr="00D26E83">
        <w:rPr>
          <w:rFonts w:cs="Arial"/>
          <w:spacing w:val="2"/>
          <w:szCs w:val="16"/>
        </w:rPr>
        <w:t>l</w:t>
      </w:r>
      <w:r w:rsidRPr="00D26E83">
        <w:rPr>
          <w:rFonts w:cs="Arial"/>
          <w:spacing w:val="-4"/>
          <w:szCs w:val="16"/>
        </w:rPr>
        <w:t>e</w:t>
      </w:r>
      <w:r w:rsidRPr="00D26E83">
        <w:rPr>
          <w:rFonts w:cs="Arial"/>
          <w:spacing w:val="1"/>
          <w:szCs w:val="16"/>
        </w:rPr>
        <w:t>c</w:t>
      </w:r>
      <w:r w:rsidRPr="00D26E83">
        <w:rPr>
          <w:rFonts w:cs="Arial"/>
          <w:szCs w:val="16"/>
        </w:rPr>
        <w:t>t</w:t>
      </w:r>
      <w:r w:rsidRPr="00D26E83">
        <w:rPr>
          <w:rFonts w:cs="Arial"/>
          <w:spacing w:val="-5"/>
          <w:szCs w:val="16"/>
        </w:rPr>
        <w:t xml:space="preserve"> </w:t>
      </w:r>
      <w:r w:rsidRPr="00D26E83">
        <w:rPr>
          <w:rFonts w:cs="Arial"/>
          <w:spacing w:val="4"/>
          <w:szCs w:val="16"/>
        </w:rPr>
        <w:t>E</w:t>
      </w:r>
      <w:r w:rsidRPr="00D26E83">
        <w:rPr>
          <w:rFonts w:cs="Arial"/>
          <w:spacing w:val="-5"/>
          <w:szCs w:val="16"/>
        </w:rPr>
        <w:t>n</w:t>
      </w:r>
      <w:r w:rsidRPr="00D26E83">
        <w:rPr>
          <w:rFonts w:cs="Arial"/>
          <w:spacing w:val="1"/>
          <w:szCs w:val="16"/>
        </w:rPr>
        <w:t>e</w:t>
      </w:r>
      <w:r w:rsidRPr="00D26E83">
        <w:rPr>
          <w:rFonts w:cs="Arial"/>
          <w:spacing w:val="2"/>
          <w:szCs w:val="16"/>
        </w:rPr>
        <w:t>r</w:t>
      </w:r>
      <w:r w:rsidRPr="00D26E83">
        <w:rPr>
          <w:rFonts w:cs="Arial"/>
          <w:spacing w:val="-5"/>
          <w:szCs w:val="16"/>
        </w:rPr>
        <w:t>g</w:t>
      </w:r>
      <w:r w:rsidRPr="00D26E83">
        <w:rPr>
          <w:rFonts w:cs="Arial"/>
          <w:szCs w:val="16"/>
        </w:rPr>
        <w:t>y</w:t>
      </w:r>
      <w:r w:rsidRPr="00D26E83">
        <w:rPr>
          <w:rFonts w:cs="Arial"/>
          <w:spacing w:val="-1"/>
          <w:szCs w:val="16"/>
        </w:rPr>
        <w:t xml:space="preserve"> </w:t>
      </w:r>
      <w:r w:rsidRPr="00D26E83">
        <w:rPr>
          <w:rFonts w:cs="Arial"/>
          <w:spacing w:val="2"/>
          <w:szCs w:val="16"/>
        </w:rPr>
        <w:t>(</w:t>
      </w:r>
      <w:r w:rsidRPr="00D26E83">
        <w:rPr>
          <w:rFonts w:cs="Arial"/>
          <w:szCs w:val="16"/>
        </w:rPr>
        <w:t>2</w:t>
      </w:r>
      <w:r w:rsidRPr="00D26E83">
        <w:rPr>
          <w:rFonts w:cs="Arial"/>
          <w:spacing w:val="-5"/>
          <w:szCs w:val="16"/>
        </w:rPr>
        <w:t>0</w:t>
      </w:r>
      <w:r w:rsidRPr="00D26E83">
        <w:rPr>
          <w:rFonts w:cs="Arial"/>
          <w:szCs w:val="16"/>
        </w:rPr>
        <w:t>04</w:t>
      </w:r>
      <w:r w:rsidRPr="00D26E83">
        <w:rPr>
          <w:rFonts w:cs="Arial"/>
          <w:spacing w:val="-3"/>
          <w:szCs w:val="16"/>
        </w:rPr>
        <w:t>)</w:t>
      </w:r>
      <w:r w:rsidRPr="00D26E83">
        <w:rPr>
          <w:rFonts w:cs="Arial"/>
          <w:szCs w:val="16"/>
        </w:rPr>
        <w:t>.</w:t>
      </w:r>
      <w:r w:rsidRPr="00D26E83">
        <w:rPr>
          <w:rFonts w:cs="Arial"/>
          <w:spacing w:val="-3"/>
          <w:szCs w:val="16"/>
        </w:rPr>
        <w:t xml:space="preserve"> </w:t>
      </w:r>
      <w:proofErr w:type="gramStart"/>
      <w:r w:rsidRPr="00D26E83">
        <w:rPr>
          <w:rFonts w:cs="Arial"/>
          <w:i/>
          <w:iCs/>
          <w:spacing w:val="4"/>
          <w:szCs w:val="16"/>
        </w:rPr>
        <w:t>A</w:t>
      </w:r>
      <w:r w:rsidRPr="00D26E83">
        <w:rPr>
          <w:rFonts w:cs="Arial"/>
          <w:i/>
          <w:iCs/>
          <w:szCs w:val="16"/>
        </w:rPr>
        <w:t>n</w:t>
      </w:r>
      <w:r w:rsidRPr="00D26E83">
        <w:rPr>
          <w:rFonts w:cs="Arial"/>
          <w:i/>
          <w:iCs/>
          <w:spacing w:val="-5"/>
          <w:szCs w:val="16"/>
        </w:rPr>
        <w:t>a</w:t>
      </w:r>
      <w:r w:rsidRPr="00D26E83">
        <w:rPr>
          <w:rFonts w:cs="Arial"/>
          <w:i/>
          <w:iCs/>
          <w:spacing w:val="2"/>
          <w:szCs w:val="16"/>
        </w:rPr>
        <w:t>l</w:t>
      </w:r>
      <w:r w:rsidRPr="00D26E83">
        <w:rPr>
          <w:rFonts w:cs="Arial"/>
          <w:i/>
          <w:iCs/>
          <w:spacing w:val="1"/>
          <w:szCs w:val="16"/>
        </w:rPr>
        <w:t>y</w:t>
      </w:r>
      <w:r w:rsidRPr="00D26E83">
        <w:rPr>
          <w:rFonts w:cs="Arial"/>
          <w:i/>
          <w:iCs/>
          <w:spacing w:val="-4"/>
          <w:szCs w:val="16"/>
        </w:rPr>
        <w:t>s</w:t>
      </w:r>
      <w:r w:rsidRPr="00D26E83">
        <w:rPr>
          <w:rFonts w:cs="Arial"/>
          <w:i/>
          <w:iCs/>
          <w:spacing w:val="2"/>
          <w:szCs w:val="16"/>
        </w:rPr>
        <w:t>i</w:t>
      </w:r>
      <w:r w:rsidRPr="00D26E83">
        <w:rPr>
          <w:rFonts w:cs="Arial"/>
          <w:i/>
          <w:iCs/>
          <w:szCs w:val="16"/>
        </w:rPr>
        <w:t xml:space="preserve">s </w:t>
      </w:r>
      <w:r w:rsidRPr="00D26E83">
        <w:rPr>
          <w:rFonts w:cs="Arial"/>
          <w:i/>
          <w:iCs/>
          <w:spacing w:val="-5"/>
          <w:szCs w:val="16"/>
        </w:rPr>
        <w:t>o</w:t>
      </w:r>
      <w:r w:rsidRPr="00D26E83">
        <w:rPr>
          <w:rFonts w:cs="Arial"/>
          <w:i/>
          <w:iCs/>
          <w:szCs w:val="16"/>
        </w:rPr>
        <w:t>f</w:t>
      </w:r>
      <w:r w:rsidRPr="00D26E83">
        <w:rPr>
          <w:rFonts w:cs="Arial"/>
          <w:i/>
          <w:iCs/>
          <w:spacing w:val="1"/>
          <w:szCs w:val="16"/>
        </w:rPr>
        <w:t xml:space="preserve"> </w:t>
      </w:r>
      <w:r w:rsidRPr="00D26E83">
        <w:rPr>
          <w:rFonts w:cs="Arial"/>
          <w:i/>
          <w:iCs/>
          <w:spacing w:val="-2"/>
          <w:szCs w:val="16"/>
        </w:rPr>
        <w:t>C</w:t>
      </w:r>
      <w:r w:rsidRPr="00D26E83">
        <w:rPr>
          <w:rFonts w:cs="Arial"/>
          <w:i/>
          <w:iCs/>
          <w:szCs w:val="16"/>
        </w:rPr>
        <w:t>o</w:t>
      </w:r>
      <w:r w:rsidRPr="00D26E83">
        <w:rPr>
          <w:rFonts w:cs="Arial"/>
          <w:i/>
          <w:iCs/>
          <w:spacing w:val="-5"/>
          <w:szCs w:val="16"/>
        </w:rPr>
        <w:t>o</w:t>
      </w:r>
      <w:r w:rsidRPr="00D26E83">
        <w:rPr>
          <w:rFonts w:cs="Arial"/>
          <w:i/>
          <w:iCs/>
          <w:spacing w:val="2"/>
          <w:szCs w:val="16"/>
        </w:rPr>
        <w:t>l</w:t>
      </w:r>
      <w:r w:rsidRPr="00D26E83">
        <w:rPr>
          <w:rFonts w:cs="Arial"/>
          <w:i/>
          <w:iCs/>
          <w:spacing w:val="1"/>
          <w:szCs w:val="16"/>
        </w:rPr>
        <w:t>e</w:t>
      </w:r>
      <w:r w:rsidRPr="00D26E83">
        <w:rPr>
          <w:rFonts w:cs="Arial"/>
          <w:i/>
          <w:iCs/>
          <w:szCs w:val="16"/>
        </w:rPr>
        <w:t xml:space="preserve">r </w:t>
      </w:r>
      <w:r w:rsidRPr="00D26E83">
        <w:rPr>
          <w:rFonts w:cs="Arial"/>
          <w:i/>
          <w:iCs/>
          <w:spacing w:val="-2"/>
          <w:szCs w:val="16"/>
        </w:rPr>
        <w:t>C</w:t>
      </w:r>
      <w:r w:rsidRPr="00D26E83">
        <w:rPr>
          <w:rFonts w:cs="Arial"/>
          <w:i/>
          <w:iCs/>
          <w:spacing w:val="-5"/>
          <w:szCs w:val="16"/>
        </w:rPr>
        <w:t>o</w:t>
      </w:r>
      <w:r w:rsidRPr="00D26E83">
        <w:rPr>
          <w:rFonts w:cs="Arial"/>
          <w:i/>
          <w:iCs/>
          <w:szCs w:val="16"/>
        </w:rPr>
        <w:t>n</w:t>
      </w:r>
      <w:r w:rsidRPr="00D26E83">
        <w:rPr>
          <w:rFonts w:cs="Arial"/>
          <w:i/>
          <w:iCs/>
          <w:spacing w:val="2"/>
          <w:szCs w:val="16"/>
        </w:rPr>
        <w:t>t</w:t>
      </w:r>
      <w:r w:rsidRPr="00D26E83">
        <w:rPr>
          <w:rFonts w:cs="Arial"/>
          <w:i/>
          <w:iCs/>
          <w:spacing w:val="-4"/>
          <w:szCs w:val="16"/>
        </w:rPr>
        <w:t>r</w:t>
      </w:r>
      <w:r w:rsidRPr="00D26E83">
        <w:rPr>
          <w:rFonts w:cs="Arial"/>
          <w:i/>
          <w:iCs/>
          <w:szCs w:val="16"/>
        </w:rPr>
        <w:t>ol</w:t>
      </w:r>
      <w:r w:rsidRPr="00D26E83">
        <w:rPr>
          <w:rFonts w:cs="Arial"/>
          <w:i/>
          <w:iCs/>
          <w:spacing w:val="-4"/>
          <w:szCs w:val="16"/>
        </w:rPr>
        <w:t xml:space="preserve"> </w:t>
      </w:r>
      <w:r w:rsidRPr="00D26E83">
        <w:rPr>
          <w:rFonts w:cs="Arial"/>
          <w:i/>
          <w:iCs/>
          <w:spacing w:val="4"/>
          <w:szCs w:val="16"/>
        </w:rPr>
        <w:t>E</w:t>
      </w:r>
      <w:r w:rsidRPr="00D26E83">
        <w:rPr>
          <w:rFonts w:cs="Arial"/>
          <w:i/>
          <w:iCs/>
          <w:spacing w:val="-5"/>
          <w:szCs w:val="16"/>
        </w:rPr>
        <w:t>n</w:t>
      </w:r>
      <w:r w:rsidRPr="00D26E83">
        <w:rPr>
          <w:rFonts w:cs="Arial"/>
          <w:i/>
          <w:iCs/>
          <w:spacing w:val="1"/>
          <w:szCs w:val="16"/>
        </w:rPr>
        <w:t>e</w:t>
      </w:r>
      <w:r w:rsidRPr="00D26E83">
        <w:rPr>
          <w:rFonts w:cs="Arial"/>
          <w:i/>
          <w:iCs/>
          <w:spacing w:val="-4"/>
          <w:szCs w:val="16"/>
        </w:rPr>
        <w:t>r</w:t>
      </w:r>
      <w:r w:rsidRPr="00D26E83">
        <w:rPr>
          <w:rFonts w:cs="Arial"/>
          <w:i/>
          <w:iCs/>
          <w:szCs w:val="16"/>
        </w:rPr>
        <w:t>gy</w:t>
      </w:r>
      <w:r w:rsidRPr="00D26E83">
        <w:rPr>
          <w:rFonts w:cs="Arial"/>
          <w:i/>
          <w:iCs/>
          <w:spacing w:val="5"/>
          <w:szCs w:val="16"/>
        </w:rPr>
        <w:t xml:space="preserve"> </w:t>
      </w:r>
      <w:r w:rsidRPr="00D26E83">
        <w:rPr>
          <w:rFonts w:cs="Arial"/>
          <w:i/>
          <w:iCs/>
          <w:spacing w:val="-6"/>
          <w:szCs w:val="16"/>
        </w:rPr>
        <w:t>C</w:t>
      </w:r>
      <w:r w:rsidRPr="00D26E83">
        <w:rPr>
          <w:rFonts w:cs="Arial"/>
          <w:i/>
          <w:iCs/>
          <w:szCs w:val="16"/>
        </w:rPr>
        <w:t>on</w:t>
      </w:r>
      <w:r w:rsidRPr="00D26E83">
        <w:rPr>
          <w:rFonts w:cs="Arial"/>
          <w:i/>
          <w:iCs/>
          <w:spacing w:val="-4"/>
          <w:szCs w:val="16"/>
        </w:rPr>
        <w:t>s</w:t>
      </w:r>
      <w:r w:rsidRPr="00D26E83">
        <w:rPr>
          <w:rFonts w:cs="Arial"/>
          <w:i/>
          <w:iCs/>
          <w:spacing w:val="1"/>
          <w:szCs w:val="16"/>
        </w:rPr>
        <w:t>e</w:t>
      </w:r>
      <w:r w:rsidRPr="00D26E83">
        <w:rPr>
          <w:rFonts w:cs="Arial"/>
          <w:i/>
          <w:iCs/>
          <w:spacing w:val="-4"/>
          <w:szCs w:val="16"/>
        </w:rPr>
        <w:t>r</w:t>
      </w:r>
      <w:r w:rsidRPr="00D26E83">
        <w:rPr>
          <w:rFonts w:cs="Arial"/>
          <w:i/>
          <w:iCs/>
          <w:spacing w:val="1"/>
          <w:szCs w:val="16"/>
        </w:rPr>
        <w:t>v</w:t>
      </w:r>
      <w:r w:rsidRPr="00D26E83">
        <w:rPr>
          <w:rFonts w:cs="Arial"/>
          <w:i/>
          <w:iCs/>
          <w:spacing w:val="-5"/>
          <w:szCs w:val="16"/>
        </w:rPr>
        <w:t>a</w:t>
      </w:r>
      <w:r w:rsidRPr="00D26E83">
        <w:rPr>
          <w:rFonts w:cs="Arial"/>
          <w:i/>
          <w:iCs/>
          <w:spacing w:val="2"/>
          <w:szCs w:val="16"/>
        </w:rPr>
        <w:t>ti</w:t>
      </w:r>
      <w:r w:rsidRPr="00D26E83">
        <w:rPr>
          <w:rFonts w:cs="Arial"/>
          <w:i/>
          <w:iCs/>
          <w:spacing w:val="-5"/>
          <w:szCs w:val="16"/>
        </w:rPr>
        <w:t>o</w:t>
      </w:r>
      <w:r w:rsidRPr="00D26E83">
        <w:rPr>
          <w:rFonts w:cs="Arial"/>
          <w:i/>
          <w:iCs/>
          <w:szCs w:val="16"/>
        </w:rPr>
        <w:t>n</w:t>
      </w:r>
      <w:r w:rsidRPr="00D26E83">
        <w:rPr>
          <w:rFonts w:cs="Arial"/>
          <w:i/>
          <w:iCs/>
          <w:spacing w:val="-1"/>
          <w:szCs w:val="16"/>
        </w:rPr>
        <w:t xml:space="preserve"> </w:t>
      </w:r>
      <w:r w:rsidRPr="00D26E83">
        <w:rPr>
          <w:rFonts w:cs="Arial"/>
          <w:i/>
          <w:iCs/>
          <w:spacing w:val="2"/>
          <w:szCs w:val="16"/>
        </w:rPr>
        <w:t>M</w:t>
      </w:r>
      <w:r w:rsidRPr="00D26E83">
        <w:rPr>
          <w:rFonts w:cs="Arial"/>
          <w:i/>
          <w:iCs/>
          <w:spacing w:val="-4"/>
          <w:szCs w:val="16"/>
        </w:rPr>
        <w:t>e</w:t>
      </w:r>
      <w:r w:rsidRPr="00D26E83">
        <w:rPr>
          <w:rFonts w:cs="Arial"/>
          <w:i/>
          <w:iCs/>
          <w:szCs w:val="16"/>
        </w:rPr>
        <w:t>a</w:t>
      </w:r>
      <w:r w:rsidRPr="00D26E83">
        <w:rPr>
          <w:rFonts w:cs="Arial"/>
          <w:i/>
          <w:iCs/>
          <w:spacing w:val="-4"/>
          <w:szCs w:val="16"/>
        </w:rPr>
        <w:t>s</w:t>
      </w:r>
      <w:r w:rsidRPr="00D26E83">
        <w:rPr>
          <w:rFonts w:cs="Arial"/>
          <w:i/>
          <w:iCs/>
          <w:szCs w:val="16"/>
        </w:rPr>
        <w:t>u</w:t>
      </w:r>
      <w:r w:rsidRPr="00D26E83">
        <w:rPr>
          <w:rFonts w:cs="Arial"/>
          <w:i/>
          <w:iCs/>
          <w:spacing w:val="-4"/>
          <w:szCs w:val="16"/>
        </w:rPr>
        <w:t>r</w:t>
      </w:r>
      <w:r w:rsidRPr="00D26E83">
        <w:rPr>
          <w:rFonts w:cs="Arial"/>
          <w:i/>
          <w:iCs/>
          <w:spacing w:val="1"/>
          <w:szCs w:val="16"/>
        </w:rPr>
        <w:t>e</w:t>
      </w:r>
      <w:r w:rsidRPr="00D26E83">
        <w:rPr>
          <w:rFonts w:cs="Arial"/>
          <w:i/>
          <w:iCs/>
          <w:spacing w:val="-4"/>
          <w:szCs w:val="16"/>
        </w:rPr>
        <w:t>s</w:t>
      </w:r>
      <w:r w:rsidRPr="00D26E83">
        <w:rPr>
          <w:rFonts w:cs="Arial"/>
          <w:szCs w:val="16"/>
        </w:rPr>
        <w:t>.</w:t>
      </w:r>
      <w:proofErr w:type="gramEnd"/>
      <w:r w:rsidRPr="00D26E83">
        <w:rPr>
          <w:rFonts w:cs="Arial"/>
          <w:spacing w:val="3"/>
          <w:szCs w:val="16"/>
        </w:rPr>
        <w:t xml:space="preserve"> </w:t>
      </w:r>
      <w:proofErr w:type="gramStart"/>
      <w:r w:rsidRPr="00D26E83">
        <w:rPr>
          <w:rFonts w:cs="Arial"/>
          <w:spacing w:val="4"/>
          <w:szCs w:val="16"/>
        </w:rPr>
        <w:t>P</w:t>
      </w:r>
      <w:r w:rsidRPr="00D26E83">
        <w:rPr>
          <w:rFonts w:cs="Arial"/>
          <w:spacing w:val="-3"/>
          <w:szCs w:val="16"/>
        </w:rPr>
        <w:t>r</w:t>
      </w:r>
      <w:r w:rsidRPr="00D26E83">
        <w:rPr>
          <w:rFonts w:cs="Arial"/>
          <w:spacing w:val="1"/>
          <w:szCs w:val="16"/>
        </w:rPr>
        <w:t>e</w:t>
      </w:r>
      <w:r w:rsidRPr="00D26E83">
        <w:rPr>
          <w:rFonts w:cs="Arial"/>
          <w:szCs w:val="16"/>
        </w:rPr>
        <w:t>p</w:t>
      </w:r>
      <w:r w:rsidRPr="00D26E83">
        <w:rPr>
          <w:rFonts w:cs="Arial"/>
          <w:spacing w:val="-4"/>
          <w:szCs w:val="16"/>
        </w:rPr>
        <w:t>a</w:t>
      </w:r>
      <w:r w:rsidRPr="00D26E83">
        <w:rPr>
          <w:rFonts w:cs="Arial"/>
          <w:spacing w:val="2"/>
          <w:szCs w:val="16"/>
        </w:rPr>
        <w:t>r</w:t>
      </w:r>
      <w:r w:rsidRPr="00D26E83">
        <w:rPr>
          <w:rFonts w:cs="Arial"/>
          <w:spacing w:val="-4"/>
          <w:szCs w:val="16"/>
        </w:rPr>
        <w:t>e</w:t>
      </w:r>
      <w:r w:rsidRPr="00D26E83">
        <w:rPr>
          <w:rFonts w:cs="Arial"/>
          <w:szCs w:val="16"/>
        </w:rPr>
        <w:t>d</w:t>
      </w:r>
      <w:r w:rsidRPr="00D26E83">
        <w:rPr>
          <w:rFonts w:cs="Arial"/>
          <w:spacing w:val="4"/>
          <w:szCs w:val="16"/>
        </w:rPr>
        <w:t xml:space="preserve"> </w:t>
      </w:r>
      <w:r w:rsidRPr="00D26E83">
        <w:rPr>
          <w:rFonts w:cs="Arial"/>
          <w:spacing w:val="-3"/>
          <w:w w:val="101"/>
          <w:szCs w:val="16"/>
        </w:rPr>
        <w:t>f</w:t>
      </w:r>
      <w:r w:rsidRPr="00D26E83">
        <w:rPr>
          <w:rFonts w:cs="Arial"/>
          <w:w w:val="101"/>
          <w:szCs w:val="16"/>
        </w:rPr>
        <w:t>or</w:t>
      </w:r>
      <w:r w:rsidRPr="00D26E83">
        <w:rPr>
          <w:rFonts w:cs="Arial"/>
          <w:szCs w:val="16"/>
        </w:rPr>
        <w:t xml:space="preserve"> </w:t>
      </w:r>
      <w:r w:rsidRPr="00D26E83">
        <w:rPr>
          <w:rFonts w:cs="Arial"/>
          <w:spacing w:val="-7"/>
          <w:w w:val="101"/>
          <w:szCs w:val="16"/>
        </w:rPr>
        <w:t>N</w:t>
      </w:r>
      <w:r w:rsidRPr="00D26E83">
        <w:rPr>
          <w:rFonts w:cs="Arial"/>
          <w:spacing w:val="4"/>
          <w:w w:val="101"/>
          <w:szCs w:val="16"/>
        </w:rPr>
        <w:t>S</w:t>
      </w:r>
      <w:r w:rsidRPr="00D26E83">
        <w:rPr>
          <w:rFonts w:cs="Arial"/>
          <w:spacing w:val="-1"/>
          <w:w w:val="101"/>
          <w:szCs w:val="16"/>
        </w:rPr>
        <w:t>T</w:t>
      </w:r>
      <w:r w:rsidRPr="00D26E83">
        <w:rPr>
          <w:rFonts w:cs="Arial"/>
          <w:spacing w:val="-7"/>
          <w:w w:val="101"/>
          <w:szCs w:val="16"/>
        </w:rPr>
        <w:t>A</w:t>
      </w:r>
      <w:r w:rsidRPr="00D26E83">
        <w:rPr>
          <w:rFonts w:cs="Arial"/>
          <w:spacing w:val="-2"/>
          <w:w w:val="101"/>
          <w:szCs w:val="16"/>
        </w:rPr>
        <w:t>R</w:t>
      </w:r>
      <w:r w:rsidRPr="00D26E83">
        <w:rPr>
          <w:rFonts w:cs="Arial"/>
          <w:w w:val="101"/>
          <w:szCs w:val="16"/>
        </w:rPr>
        <w:t>.</w:t>
      </w:r>
      <w:proofErr w:type="gramEnd"/>
    </w:p>
  </w:footnote>
  <w:footnote w:id="228">
    <w:p w:rsidR="00865117" w:rsidRDefault="00865117" w:rsidP="00B20792">
      <w:pPr>
        <w:pStyle w:val="FootnoteText"/>
      </w:pPr>
      <w:r>
        <w:rPr>
          <w:rStyle w:val="FootnoteReference"/>
        </w:rPr>
        <w:footnoteRef/>
      </w:r>
      <w:r>
        <w:t xml:space="preserve"> </w:t>
      </w:r>
      <w:r w:rsidRPr="00F70EDB">
        <w:rPr>
          <w:rFonts w:eastAsia="Calibri" w:cs="Arial"/>
          <w:bCs/>
          <w:szCs w:val="16"/>
        </w:rPr>
        <w:t>Evaporator fan power</w:t>
      </w:r>
      <w:r w:rsidRPr="00F70EDB">
        <w:rPr>
          <w:rFonts w:eastAsia="Calibri" w:cs="Arial"/>
          <w:b/>
          <w:bCs/>
          <w:color w:val="005963"/>
          <w:szCs w:val="16"/>
        </w:rPr>
        <w:t xml:space="preserve">, </w:t>
      </w:r>
      <w:r w:rsidRPr="00F70EDB">
        <w:rPr>
          <w:rFonts w:eastAsia="Calibri" w:cs="Arial"/>
          <w:color w:val="000000"/>
          <w:szCs w:val="16"/>
        </w:rPr>
        <w:t>in kilowatts (kW), is determined by multiplying the values for Voltage and Amperage from nameplate data with the power factor</w:t>
      </w:r>
      <w:r>
        <w:rPr>
          <w:rFonts w:eastAsia="Calibri" w:cs="Arial"/>
          <w:color w:val="000000"/>
          <w:szCs w:val="16"/>
        </w:rPr>
        <w:t xml:space="preserve"> listed in Table 1-1.</w:t>
      </w:r>
      <w:r w:rsidRPr="00551970">
        <w:t xml:space="preserve"> </w:t>
      </w:r>
      <w:hyperlink r:id="rId45" w:history="1">
        <w:r w:rsidRPr="00D36BD0">
          <w:rPr>
            <w:rStyle w:val="Hyperlink"/>
            <w:rFonts w:eastAsia="Calibri" w:cs="Arial"/>
            <w:szCs w:val="16"/>
          </w:rPr>
          <w:t>http://www.touchstoneenergy.com/efficiency/bea/Documents/EvaporatorFanControllers.pdf</w:t>
        </w:r>
      </w:hyperlink>
      <w:r>
        <w:rPr>
          <w:rFonts w:eastAsia="Calibri" w:cs="Arial"/>
          <w:color w:val="000000"/>
          <w:szCs w:val="16"/>
        </w:rPr>
        <w:t xml:space="preserve"> </w:t>
      </w:r>
    </w:p>
  </w:footnote>
  <w:footnote w:id="229">
    <w:p w:rsidR="00865117" w:rsidRDefault="00865117" w:rsidP="00B20792">
      <w:pPr>
        <w:pStyle w:val="FootnoteText"/>
      </w:pPr>
      <w:r>
        <w:rPr>
          <w:rStyle w:val="FootnoteReference"/>
        </w:rPr>
        <w:footnoteRef/>
      </w:r>
      <w:r>
        <w:t xml:space="preserve"> </w:t>
      </w:r>
      <w:proofErr w:type="gramStart"/>
      <w:r w:rsidRPr="002F26F8">
        <w:rPr>
          <w:rFonts w:eastAsia="Calibri"/>
        </w:rPr>
        <w:t>Energy &amp; Resource Solutions (2005).</w:t>
      </w:r>
      <w:proofErr w:type="gramEnd"/>
      <w:r w:rsidRPr="002F26F8">
        <w:rPr>
          <w:rFonts w:eastAsia="Calibri"/>
        </w:rPr>
        <w:t xml:space="preserve"> </w:t>
      </w:r>
      <w:proofErr w:type="gramStart"/>
      <w:r w:rsidRPr="002F26F8">
        <w:rPr>
          <w:rFonts w:eastAsia="Calibri"/>
        </w:rPr>
        <w:t>Measure Life Study.</w:t>
      </w:r>
      <w:proofErr w:type="gramEnd"/>
      <w:r w:rsidRPr="002F26F8">
        <w:rPr>
          <w:rFonts w:eastAsia="Calibri"/>
        </w:rPr>
        <w:t xml:space="preserve"> Prepared for </w:t>
      </w:r>
      <w:proofErr w:type="gramStart"/>
      <w:r w:rsidRPr="002F26F8">
        <w:rPr>
          <w:rFonts w:eastAsia="Calibri"/>
        </w:rPr>
        <w:t>The</w:t>
      </w:r>
      <w:proofErr w:type="gramEnd"/>
      <w:r w:rsidRPr="002F26F8">
        <w:rPr>
          <w:rFonts w:eastAsia="Calibri"/>
        </w:rPr>
        <w:t xml:space="preserve"> Massachusetts Joint Utilities; Table 1-1.</w:t>
      </w:r>
    </w:p>
  </w:footnote>
  <w:footnote w:id="230">
    <w:p w:rsidR="00865117" w:rsidRPr="00AA7E7A" w:rsidRDefault="00865117" w:rsidP="002F26F8">
      <w:pPr>
        <w:pStyle w:val="FootnoteText"/>
      </w:pPr>
      <w:r>
        <w:rPr>
          <w:rStyle w:val="FootnoteReference"/>
        </w:rPr>
        <w:footnoteRef/>
      </w:r>
      <w:r>
        <w:t xml:space="preserve"> </w:t>
      </w:r>
      <w:r w:rsidRPr="00AA7E7A">
        <w:t>Consortium for Energy Efficiency: http://www.cee1.org/resid/seha/rwsh/reswash_specs.pdf</w:t>
      </w:r>
    </w:p>
  </w:footnote>
  <w:footnote w:id="231">
    <w:p w:rsidR="00865117" w:rsidRPr="00552F30" w:rsidRDefault="00865117" w:rsidP="00B20792">
      <w:pPr>
        <w:pStyle w:val="FootnoteText"/>
      </w:pPr>
      <w:r>
        <w:rPr>
          <w:rStyle w:val="FootnoteReference"/>
        </w:rPr>
        <w:footnoteRef/>
      </w:r>
      <w:r>
        <w:t xml:space="preserve"> </w:t>
      </w:r>
      <w:r w:rsidRPr="00552F30">
        <w:t>The solid green profile is derived from a normalized load shape based on metering of residential in-unit dryers.  The dashed black profile is a smoothed version of the green profile and represents the utilization factors for common laundry facilities in multifamily establishments</w:t>
      </w:r>
    </w:p>
  </w:footnote>
  <w:footnote w:id="232">
    <w:p w:rsidR="00865117" w:rsidRDefault="00865117" w:rsidP="00B20792">
      <w:pPr>
        <w:pStyle w:val="FootnoteText"/>
      </w:pPr>
      <w:r>
        <w:rPr>
          <w:rStyle w:val="FootnoteReference"/>
        </w:rPr>
        <w:footnoteRef/>
      </w:r>
      <w:r>
        <w:t xml:space="preserve"> Standard clothes washer that is DOE 2007 compliant</w:t>
      </w:r>
    </w:p>
  </w:footnote>
  <w:footnote w:id="233">
    <w:p w:rsidR="00865117" w:rsidRDefault="00865117">
      <w:pPr>
        <w:pStyle w:val="FootnoteText"/>
      </w:pPr>
      <w:r>
        <w:rPr>
          <w:rStyle w:val="FootnoteReference"/>
        </w:rPr>
        <w:footnoteRef/>
      </w:r>
      <w:r>
        <w:t xml:space="preserve"> Dependent on energy source for washer</w:t>
      </w:r>
    </w:p>
  </w:footnote>
  <w:footnote w:id="234">
    <w:p w:rsidR="00865117" w:rsidRPr="00D076C0" w:rsidRDefault="00865117" w:rsidP="002F26F8">
      <w:pPr>
        <w:pStyle w:val="FootnoteText"/>
      </w:pPr>
      <w:r>
        <w:rPr>
          <w:rStyle w:val="FootnoteReference"/>
        </w:rPr>
        <w:footnoteRef/>
      </w:r>
      <w:r>
        <w:t xml:space="preserve"> </w:t>
      </w:r>
      <w:r>
        <w:rPr>
          <w:rFonts w:eastAsia="Calibri"/>
        </w:rPr>
        <w:t xml:space="preserve">2008 Database for Energy-Efficiency Resources (DEER), Version 2008.2.05, “Effective/Remaining Useful Life Values” </w:t>
      </w:r>
    </w:p>
  </w:footnote>
  <w:footnote w:id="235">
    <w:p w:rsidR="00865117" w:rsidRPr="009514D3" w:rsidRDefault="00865117" w:rsidP="00B20792">
      <w:pPr>
        <w:pStyle w:val="FootnoteText"/>
      </w:pPr>
      <w:r>
        <w:rPr>
          <w:rStyle w:val="FootnoteReference"/>
        </w:rPr>
        <w:footnoteRef/>
      </w:r>
      <w:r>
        <w:t xml:space="preserve"> </w:t>
      </w:r>
      <w:r w:rsidRPr="00467BFA">
        <w:t>http://www.deeresources.com/deer0911planning/downloads/DEER2008-CommercialResultsReview-NonUpdatedMeasures.exe</w:t>
      </w:r>
    </w:p>
  </w:footnote>
  <w:footnote w:id="236">
    <w:p w:rsidR="00865117" w:rsidRPr="009514D3" w:rsidRDefault="00865117" w:rsidP="00B20792">
      <w:pPr>
        <w:pStyle w:val="FootnoteText"/>
      </w:pPr>
      <w:r>
        <w:rPr>
          <w:rStyle w:val="FootnoteReference"/>
        </w:rPr>
        <w:footnoteRef/>
      </w:r>
      <w:r>
        <w:t xml:space="preserve"> ibid</w:t>
      </w:r>
    </w:p>
  </w:footnote>
  <w:footnote w:id="237">
    <w:p w:rsidR="00865117" w:rsidRPr="00177333" w:rsidRDefault="00865117" w:rsidP="00B20792">
      <w:pPr>
        <w:pStyle w:val="FootnoteText"/>
      </w:pPr>
      <w:r>
        <w:rPr>
          <w:rStyle w:val="FootnoteReference"/>
        </w:rPr>
        <w:footnoteRef/>
      </w:r>
      <w:r>
        <w:t xml:space="preserve"> One reason for the close agreement is that the factor is a ratio of the energy usage to peak demand for the same location.  Even though the energy usages may vary significantly in different climate zones, the hot water usage patterns may be driven by underlying practices that carry over well from state to state (e.g.  </w:t>
      </w:r>
      <w:proofErr w:type="gramStart"/>
      <w:r>
        <w:t>dishwashing</w:t>
      </w:r>
      <w:proofErr w:type="gramEnd"/>
      <w:r>
        <w:t xml:space="preserve"> after lunch or dinner in restaurants).  </w:t>
      </w:r>
    </w:p>
  </w:footnote>
  <w:footnote w:id="238">
    <w:p w:rsidR="00865117" w:rsidRPr="002F26F8" w:rsidRDefault="00865117" w:rsidP="002F26F8">
      <w:pPr>
        <w:pStyle w:val="EndnoteText"/>
      </w:pPr>
      <w:r>
        <w:rPr>
          <w:rStyle w:val="FootnoteReference"/>
        </w:rPr>
        <w:footnoteRef/>
      </w:r>
      <w:r>
        <w:t xml:space="preserve"> </w:t>
      </w:r>
      <w:r w:rsidRPr="000D0DB1">
        <w:rPr>
          <w:rFonts w:ascii="Arial" w:hAnsi="Arial" w:cs="Arial"/>
          <w:sz w:val="16"/>
          <w:szCs w:val="16"/>
        </w:rPr>
        <w:t>DEER values, updated October 10, 2008</w:t>
      </w:r>
      <w:r w:rsidRPr="000D0DB1">
        <w:rPr>
          <w:rFonts w:ascii="Arial" w:hAnsi="Arial" w:cs="Arial"/>
          <w:sz w:val="16"/>
          <w:szCs w:val="16"/>
        </w:rPr>
        <w:br/>
        <w:t>http://www.deeresources.com/deer0911planning/downloads/EUL_Summary_10-1-08.xls</w:t>
      </w:r>
    </w:p>
  </w:footnote>
  <w:footnote w:id="239">
    <w:p w:rsidR="00865117" w:rsidRPr="009514D3" w:rsidRDefault="00865117" w:rsidP="00B20792">
      <w:pPr>
        <w:pStyle w:val="FootnoteText"/>
      </w:pPr>
      <w:r>
        <w:rPr>
          <w:rStyle w:val="FootnoteReference"/>
        </w:rPr>
        <w:footnoteRef/>
      </w:r>
      <w:r>
        <w:t xml:space="preserve"> </w:t>
      </w:r>
      <w:r w:rsidRPr="00467BFA">
        <w:t>http://www.deeresources.com/deer0911planning/downloads/DEER2008-CommercialResultsReview-NonUpdatedMeasures.exe</w:t>
      </w:r>
    </w:p>
  </w:footnote>
  <w:footnote w:id="240">
    <w:p w:rsidR="00865117" w:rsidRPr="009514D3" w:rsidRDefault="00865117" w:rsidP="00B20792">
      <w:pPr>
        <w:pStyle w:val="FootnoteText"/>
      </w:pPr>
      <w:r>
        <w:rPr>
          <w:rStyle w:val="FootnoteReference"/>
        </w:rPr>
        <w:footnoteRef/>
      </w:r>
      <w:r>
        <w:t xml:space="preserve"> ibid</w:t>
      </w:r>
    </w:p>
  </w:footnote>
  <w:footnote w:id="241">
    <w:p w:rsidR="00865117" w:rsidRPr="00177333" w:rsidRDefault="00865117" w:rsidP="00B20792">
      <w:pPr>
        <w:pStyle w:val="FootnoteText"/>
      </w:pPr>
      <w:r>
        <w:rPr>
          <w:rStyle w:val="FootnoteReference"/>
        </w:rPr>
        <w:footnoteRef/>
      </w:r>
      <w:r>
        <w:t xml:space="preserve"> One reason for the close agreement is that the factor is a ratio of the energy usage to peak demand for the same location.  Even though the energy usages may vary significantly in different climate zones, the hot water usage patterns may be driven by underlying practices that carry over well from state to state (e.g.  </w:t>
      </w:r>
      <w:proofErr w:type="gramStart"/>
      <w:r>
        <w:t>dishwashing</w:t>
      </w:r>
      <w:proofErr w:type="gramEnd"/>
      <w:r>
        <w:t xml:space="preserve"> after lunch or dinner in restaurants).  </w:t>
      </w:r>
    </w:p>
  </w:footnote>
  <w:footnote w:id="242">
    <w:p w:rsidR="00865117" w:rsidRPr="00215AC7" w:rsidRDefault="00865117" w:rsidP="00871FA2">
      <w:pPr>
        <w:pStyle w:val="FootnoteText"/>
      </w:pPr>
      <w:r>
        <w:rPr>
          <w:rStyle w:val="FootnoteReference"/>
        </w:rPr>
        <w:footnoteRef/>
      </w:r>
      <w:r>
        <w:t xml:space="preserve"> Based on TMY2 weather files from DOE2.com for Erie, Harrisburg, Pittsburgh, Wilkes-Barre, And Williamsport, the average annual wetbulb temperature is 45 </w:t>
      </w:r>
      <w:r>
        <w:sym w:font="Symbol" w:char="F0B1"/>
      </w:r>
      <w:r>
        <w:t xml:space="preserve"> 1.3 °F.  </w:t>
      </w:r>
      <w:r w:rsidRPr="000F5920">
        <w:t xml:space="preserve">The wetbulb temperature in garages or attics, where the heat pumps are likely to be installed, are likely to be two or three degrees higher, but for simplicity, 45 °F is assumed to be the annual average wetbulb temperature.  </w:t>
      </w:r>
    </w:p>
  </w:footnote>
  <w:footnote w:id="243">
    <w:p w:rsidR="00865117" w:rsidRPr="002F26F8" w:rsidRDefault="00865117" w:rsidP="00B20792">
      <w:pPr>
        <w:pStyle w:val="FootnoteText"/>
        <w:rPr>
          <w:rFonts w:cs="Arial"/>
          <w:szCs w:val="16"/>
        </w:rPr>
      </w:pPr>
      <w:r>
        <w:rPr>
          <w:rStyle w:val="FootnoteReference"/>
        </w:rPr>
        <w:footnoteRef/>
      </w:r>
      <w:r>
        <w:t xml:space="preserve"> </w:t>
      </w:r>
      <w:r w:rsidRPr="00FF7614">
        <w:rPr>
          <w:rFonts w:cs="Arial"/>
          <w:szCs w:val="16"/>
        </w:rPr>
        <w:t>The performanc</w:t>
      </w:r>
      <w:r>
        <w:rPr>
          <w:rFonts w:cs="Arial"/>
          <w:szCs w:val="16"/>
        </w:rPr>
        <w:t>e curve is adapted from</w:t>
      </w:r>
      <w:r w:rsidRPr="00FF7614">
        <w:rPr>
          <w:rFonts w:cs="Arial"/>
          <w:szCs w:val="16"/>
        </w:rPr>
        <w:t xml:space="preserve"> Table 1 in </w:t>
      </w:r>
      <w:hyperlink r:id="rId46" w:anchor="Single-stage%20HPWHs" w:history="1">
        <w:r w:rsidRPr="00FF7614">
          <w:rPr>
            <w:rStyle w:val="Hyperlink"/>
            <w:rFonts w:cs="Arial"/>
            <w:szCs w:val="16"/>
          </w:rPr>
          <w:t>http://wescorhvac.com/HPWH%20design%20details.htm#Single-stage%20HPWHs</w:t>
        </w:r>
      </w:hyperlink>
      <w:r>
        <w:t xml:space="preserve">. </w:t>
      </w:r>
      <w:r w:rsidRPr="00FF7614">
        <w:rPr>
          <w:rFonts w:cs="Arial"/>
          <w:szCs w:val="16"/>
        </w:rPr>
        <w:t>The performance curve depends on other factors, such as hot water set point.  Our adjustment factor of 0.84 is a first order approximation based on the informa</w:t>
      </w:r>
      <w:r>
        <w:rPr>
          <w:rFonts w:cs="Arial"/>
          <w:szCs w:val="16"/>
        </w:rPr>
        <w:t xml:space="preserve">tion available in literature.  </w:t>
      </w:r>
    </w:p>
  </w:footnote>
  <w:footnote w:id="244">
    <w:p w:rsidR="00865117" w:rsidRPr="002F26F8" w:rsidRDefault="00865117" w:rsidP="002F26F8">
      <w:pPr>
        <w:pStyle w:val="EndnoteText"/>
        <w:spacing w:after="0"/>
        <w:rPr>
          <w:rFonts w:ascii="Arial" w:hAnsi="Arial" w:cs="Arial"/>
          <w:sz w:val="16"/>
          <w:szCs w:val="16"/>
        </w:rPr>
      </w:pPr>
      <w:r w:rsidRPr="00AD3E7C">
        <w:rPr>
          <w:rStyle w:val="FootnoteReference"/>
          <w:rFonts w:cs="Arial"/>
        </w:rPr>
        <w:footnoteRef/>
      </w:r>
      <w:r w:rsidRPr="00AD3E7C">
        <w:rPr>
          <w:rFonts w:ascii="Arial" w:hAnsi="Arial" w:cs="Arial"/>
        </w:rPr>
        <w:t xml:space="preserve"> </w:t>
      </w:r>
      <w:r w:rsidRPr="002F26F8">
        <w:rPr>
          <w:rStyle w:val="FootnoteTextChar"/>
        </w:rPr>
        <w:t>DEER values, updated October 10, 2008. http://www.deeresources.com/deer0911planning/downloads/EUL_Summary_10-1-08.xls</w:t>
      </w:r>
    </w:p>
  </w:footnote>
  <w:footnote w:id="245">
    <w:p w:rsidR="00865117" w:rsidRDefault="00865117" w:rsidP="00F05DC2">
      <w:pPr>
        <w:pStyle w:val="FootnoteText"/>
      </w:pPr>
      <w:r>
        <w:rPr>
          <w:rStyle w:val="FootnoteReference"/>
        </w:rPr>
        <w:footnoteRef/>
      </w:r>
      <w:r>
        <w:t xml:space="preserve"> </w:t>
      </w:r>
      <w:r w:rsidRPr="002F26F8">
        <w:t>http://www.aepohio.com/global/utilities/lib/docs/save/programs/Application_Steps_Incentive_Process.pdf</w:t>
      </w:r>
    </w:p>
  </w:footnote>
  <w:footnote w:id="246">
    <w:p w:rsidR="00865117" w:rsidRPr="002F26F8" w:rsidRDefault="00865117" w:rsidP="00F05DC2">
      <w:pPr>
        <w:pStyle w:val="FootnoteText"/>
      </w:pPr>
      <w:r w:rsidRPr="002F26F8">
        <w:rPr>
          <w:rStyle w:val="FootnoteReference"/>
        </w:rPr>
        <w:footnoteRef/>
      </w:r>
      <w:r w:rsidRPr="002F26F8">
        <w:rPr>
          <w:rStyle w:val="FootnoteReference"/>
        </w:rPr>
        <w:t xml:space="preserve"> </w:t>
      </w:r>
      <w:r w:rsidRPr="002F26F8">
        <w:t>The average length of neon per foot of letter is dependent on many variables, such as how long the neon stroke length is for each letter, how often the letter occurs, and how wide the letter is. The stroke length per letter is estimated using a simple LED alphanumeric display module. The height of the letter is assumed to be two units high and one unit wide. The stroke length per letter width is calculated by dividing the stroke length for each letter by its width. All letters are assumed to have one unit width except the letter “I.” Southern California Edison Company, LED Channel Letter Signage (Red), Work Paper WPSCNRLG0052, Revision 1.</w:t>
      </w:r>
    </w:p>
  </w:footnote>
  <w:footnote w:id="247">
    <w:p w:rsidR="00865117" w:rsidRPr="002F26F8" w:rsidRDefault="00865117" w:rsidP="00F05DC2">
      <w:pPr>
        <w:pStyle w:val="FootnoteText"/>
      </w:pPr>
      <w:r w:rsidRPr="002F26F8">
        <w:rPr>
          <w:rStyle w:val="FootnoteReference"/>
        </w:rPr>
        <w:footnoteRef/>
      </w:r>
      <w:r w:rsidRPr="002F26F8">
        <w:rPr>
          <w:rStyle w:val="FootnoteReference"/>
        </w:rPr>
        <w:t xml:space="preserve"> </w:t>
      </w:r>
      <w:r w:rsidRPr="002F26F8">
        <w:t>Average values were estimated based on wattages data obtained from major channel letter lighting product manufacturers. Southern California Edison Company, LED Channel Letter Signage (Red), Work Paper WPSCNRLG0052, Revision 1.</w:t>
      </w:r>
    </w:p>
  </w:footnote>
  <w:footnote w:id="248">
    <w:p w:rsidR="00865117" w:rsidRDefault="00865117" w:rsidP="00F05DC2">
      <w:pPr>
        <w:pStyle w:val="FootnoteText"/>
      </w:pPr>
      <w:r w:rsidRPr="002F26F8">
        <w:rPr>
          <w:rStyle w:val="FootnoteReference"/>
        </w:rPr>
        <w:footnoteRef/>
      </w:r>
      <w:r>
        <w:t xml:space="preserve"> </w:t>
      </w:r>
      <w:r w:rsidRPr="002F26F8">
        <w:t>ibid</w:t>
      </w:r>
    </w:p>
  </w:footnote>
  <w:footnote w:id="249">
    <w:p w:rsidR="00865117" w:rsidRPr="002F26F8" w:rsidRDefault="00865117" w:rsidP="002F26F8">
      <w:pPr>
        <w:spacing w:after="0"/>
      </w:pPr>
      <w:r w:rsidRPr="002F26F8">
        <w:rPr>
          <w:rStyle w:val="FootnoteReference"/>
          <w:sz w:val="16"/>
          <w:szCs w:val="16"/>
        </w:rPr>
        <w:footnoteRef/>
      </w:r>
      <w:r w:rsidRPr="002F26F8">
        <w:rPr>
          <w:rFonts w:cs="Arial"/>
          <w:sz w:val="16"/>
          <w:szCs w:val="16"/>
          <w:vertAlign w:val="superscript"/>
        </w:rPr>
        <w:t xml:space="preserve"> </w:t>
      </w:r>
      <w:r w:rsidRPr="002F26F8">
        <w:rPr>
          <w:rStyle w:val="FootnoteTextChar"/>
        </w:rPr>
        <w:t xml:space="preserve">Southern California Edison Company, LED Channel Letter Signage (Red), Work Paper WPSCNRLG0052, Revision 1, DEER only includes an LED Exit Sign measure which was used to estimate the effective useful life of the LED Channel Letter Signage. Actual life is 15 years. </w:t>
      </w:r>
      <w:proofErr w:type="gramStart"/>
      <w:r w:rsidRPr="002F26F8">
        <w:rPr>
          <w:rStyle w:val="FootnoteTextChar"/>
        </w:rPr>
        <w:t>Capped at 15 years per Act 129.</w:t>
      </w:r>
      <w:proofErr w:type="gramEnd"/>
    </w:p>
  </w:footnote>
  <w:footnote w:id="250">
    <w:p w:rsidR="00865117" w:rsidRDefault="00865117" w:rsidP="00F05DC2">
      <w:pPr>
        <w:pStyle w:val="FootnoteText"/>
      </w:pPr>
      <w:r>
        <w:rPr>
          <w:rStyle w:val="FootnoteReference"/>
        </w:rPr>
        <w:footnoteRef/>
      </w:r>
      <w:r>
        <w:t xml:space="preserve"> One reason for the close agreement is that the factor is a ratio of the energy usage to peak demand for the same location.  Even though the energy usages may vary significantly in different climate zones, the hot water usage patterns may be driven by underlying practices that carry over well from state to state (e.g.  </w:t>
      </w:r>
      <w:proofErr w:type="gramStart"/>
      <w:r>
        <w:t>dishwashing</w:t>
      </w:r>
      <w:proofErr w:type="gramEnd"/>
      <w:r>
        <w:t xml:space="preserve"> after lunch or dinner in restaurants).  </w:t>
      </w:r>
    </w:p>
  </w:footnote>
  <w:footnote w:id="251">
    <w:p w:rsidR="00865117" w:rsidRDefault="00865117" w:rsidP="00F05DC2">
      <w:pPr>
        <w:pStyle w:val="FootnoteText"/>
      </w:pPr>
      <w:r>
        <w:rPr>
          <w:rStyle w:val="FootnoteReference"/>
        </w:rPr>
        <w:footnoteRef/>
      </w:r>
      <w:r>
        <w:t xml:space="preserve"> </w:t>
      </w:r>
      <w:r w:rsidRPr="00445702">
        <w:rPr>
          <w:i/>
        </w:rPr>
        <w:t>Impact and Process Evaluation Final Report for California Urban Water Conservation Council 2004-5 Pre-Rinse Spray Valve Installation Program (Phase 2)</w:t>
      </w:r>
      <w:r>
        <w:rPr>
          <w:i/>
        </w:rPr>
        <w:t xml:space="preserve">, </w:t>
      </w:r>
      <w:r>
        <w:t>SBW Consulting, 2007, p. 30</w:t>
      </w:r>
    </w:p>
  </w:footnote>
  <w:footnote w:id="252">
    <w:p w:rsidR="00865117" w:rsidRDefault="00865117" w:rsidP="0026770C">
      <w:pPr>
        <w:pStyle w:val="FootnoteText"/>
      </w:pPr>
      <w:r>
        <w:rPr>
          <w:rStyle w:val="FootnoteReference"/>
        </w:rPr>
        <w:footnoteRef/>
      </w:r>
      <w:r>
        <w:t xml:space="preserve"> Here it is assumed that the compressor provides 70% of the heat, while the fan and supplemental heat strips provide the remaining 30% of the heating.  The efficiency gains from refrigerant charging do not apply to the fan or supplemental heat strips.</w:t>
      </w:r>
    </w:p>
  </w:footnote>
  <w:footnote w:id="253">
    <w:p w:rsidR="00865117" w:rsidRDefault="00865117">
      <w:pPr>
        <w:pStyle w:val="FootnoteText"/>
      </w:pPr>
      <w:r>
        <w:rPr>
          <w:rStyle w:val="FootnoteReference"/>
        </w:rPr>
        <w:footnoteRef/>
      </w:r>
      <w:r>
        <w:t xml:space="preserve"> </w:t>
      </w:r>
      <w:r w:rsidRPr="0026770C">
        <w:t>CA 2003 RTU Survey</w:t>
      </w:r>
    </w:p>
  </w:footnote>
  <w:footnote w:id="254">
    <w:p w:rsidR="00865117" w:rsidRDefault="00865117" w:rsidP="0026770C">
      <w:pPr>
        <w:pStyle w:val="FootnoteText"/>
      </w:pPr>
      <w:r>
        <w:rPr>
          <w:rStyle w:val="FootnoteReference"/>
        </w:rPr>
        <w:footnoteRef/>
      </w:r>
      <w:r>
        <w:t xml:space="preserve"> </w:t>
      </w:r>
      <w:r w:rsidRPr="00D53490">
        <w:t>http://www.deeresources.com/deer0911planning/downloads/EUL_Summary_10-1-08.xls</w:t>
      </w:r>
    </w:p>
  </w:footnote>
  <w:footnote w:id="255">
    <w:p w:rsidR="00865117" w:rsidRDefault="00865117" w:rsidP="0026770C">
      <w:pPr>
        <w:pStyle w:val="FootnoteText"/>
      </w:pPr>
      <w:r>
        <w:rPr>
          <w:rStyle w:val="FootnoteReference"/>
        </w:rPr>
        <w:footnoteRef/>
      </w:r>
      <w:r>
        <w:t xml:space="preserve"> </w:t>
      </w:r>
      <w:r w:rsidRPr="003439AE">
        <w:t>http://www.energysmartgrocer.org/pdfs/PGE/BridgeEquipment%20SpecificationTandCs.pdf</w:t>
      </w:r>
    </w:p>
  </w:footnote>
  <w:footnote w:id="256">
    <w:p w:rsidR="00865117" w:rsidRDefault="00865117" w:rsidP="0026770C">
      <w:pPr>
        <w:pStyle w:val="FootnoteText"/>
      </w:pPr>
      <w:r w:rsidRPr="00DA7122">
        <w:rPr>
          <w:rStyle w:val="FootnoteReference"/>
        </w:rPr>
        <w:footnoteRef/>
      </w:r>
      <w:r w:rsidRPr="00DA7122">
        <w:t xml:space="preserve"> </w:t>
      </w:r>
      <w:proofErr w:type="gramStart"/>
      <w:r w:rsidRPr="00DA7122">
        <w:t>Southern California Edison.</w:t>
      </w:r>
      <w:proofErr w:type="gramEnd"/>
      <w:r w:rsidRPr="00DA7122">
        <w:t xml:space="preserve"> </w:t>
      </w:r>
      <w:proofErr w:type="gramStart"/>
      <w:r w:rsidRPr="00DA7122">
        <w:t>Non-Residential Express 2003 Refrigeration Work Paper.</w:t>
      </w:r>
      <w:proofErr w:type="gramEnd"/>
      <w:r w:rsidRPr="00DA7122">
        <w:t xml:space="preserve"> </w:t>
      </w:r>
      <w:proofErr w:type="gramStart"/>
      <w:r w:rsidRPr="00DA7122">
        <w:t>Pg. 27.</w:t>
      </w:r>
      <w:proofErr w:type="gramEnd"/>
    </w:p>
  </w:footnote>
  <w:footnote w:id="257">
    <w:p w:rsidR="00865117" w:rsidRPr="00257D8E" w:rsidRDefault="00865117" w:rsidP="0026770C">
      <w:pPr>
        <w:pStyle w:val="FootnoteText"/>
      </w:pPr>
      <w:r w:rsidRPr="00257D8E">
        <w:rPr>
          <w:rStyle w:val="FootnoteReference"/>
        </w:rPr>
        <w:footnoteRef/>
      </w:r>
      <w:r w:rsidRPr="00257D8E">
        <w:t xml:space="preserve"> </w:t>
      </w:r>
      <w:r w:rsidRPr="00BB38AC">
        <w:t xml:space="preserve">EFLH was determined by multiplying annual available operation hours of 8,760 by overall duty cycle factors.  Duty cycle is a function of compressor capacity, defrost and weather factor. </w:t>
      </w:r>
      <w:r w:rsidRPr="00257D8E">
        <w:t>The units are assumed to be operating 24/7, 8760 hrs/yr</w:t>
      </w:r>
      <w:r>
        <w:t xml:space="preserve">. </w:t>
      </w:r>
    </w:p>
  </w:footnote>
  <w:footnote w:id="258">
    <w:p w:rsidR="00865117" w:rsidRPr="00257D8E" w:rsidRDefault="00865117" w:rsidP="0026770C">
      <w:pPr>
        <w:pStyle w:val="FootnoteText"/>
      </w:pPr>
      <w:r w:rsidRPr="00257D8E">
        <w:rPr>
          <w:rStyle w:val="FootnoteReference"/>
        </w:rPr>
        <w:footnoteRef/>
      </w:r>
      <w:r w:rsidRPr="00257D8E">
        <w:t xml:space="preserve"> From Actual Test: 0.250 kW per 3 doors</w:t>
      </w:r>
    </w:p>
  </w:footnote>
  <w:footnote w:id="259">
    <w:p w:rsidR="00865117" w:rsidRDefault="00865117" w:rsidP="0026770C">
      <w:pPr>
        <w:pStyle w:val="FootnoteText"/>
      </w:pPr>
      <w:r w:rsidRPr="00257D8E">
        <w:rPr>
          <w:rStyle w:val="FootnoteReference"/>
        </w:rPr>
        <w:footnoteRef/>
      </w:r>
      <w:r w:rsidRPr="00257D8E">
        <w:t xml:space="preserve"> </w:t>
      </w:r>
      <w:hyperlink r:id="rId47" w:history="1">
        <w:r w:rsidRPr="00257D8E">
          <w:rPr>
            <w:rStyle w:val="Hyperlink"/>
          </w:rPr>
          <w:t>http://energysmartonline.org/documents/EnergySmart_BPA_T&amp;Cs.pdf</w:t>
        </w:r>
      </w:hyperlink>
      <w:r>
        <w:t xml:space="preserve"> </w:t>
      </w:r>
    </w:p>
  </w:footnote>
  <w:footnote w:id="260">
    <w:p w:rsidR="00865117" w:rsidRDefault="00865117" w:rsidP="00D368BF">
      <w:pPr>
        <w:pStyle w:val="FootnoteText"/>
      </w:pPr>
      <w:r>
        <w:rPr>
          <w:rStyle w:val="FootnoteReference"/>
        </w:rPr>
        <w:footnoteRef/>
      </w:r>
      <w:r>
        <w:t xml:space="preserve"> Baseline values from IECC 2009, after Jan 1, 2010 or Jan 23, 2010 as applicable. </w:t>
      </w:r>
    </w:p>
  </w:footnote>
  <w:footnote w:id="261">
    <w:p w:rsidR="00865117" w:rsidRDefault="00865117" w:rsidP="00D368BF">
      <w:pPr>
        <w:pStyle w:val="FootnoteText"/>
      </w:pPr>
      <w:r>
        <w:rPr>
          <w:rStyle w:val="FootnoteReference"/>
        </w:rPr>
        <w:footnoteRef/>
      </w:r>
      <w:r>
        <w:t xml:space="preserve"> </w:t>
      </w:r>
      <w:proofErr w:type="gramStart"/>
      <w:r w:rsidRPr="003167B7">
        <w:t>US Department of Energy.</w:t>
      </w:r>
      <w:proofErr w:type="gramEnd"/>
      <w:r w:rsidRPr="003167B7">
        <w:t xml:space="preserve">  Energy Star Calculator and Bin Analysis Models</w:t>
      </w:r>
    </w:p>
  </w:footnote>
  <w:footnote w:id="262">
    <w:p w:rsidR="00865117" w:rsidRDefault="00865117" w:rsidP="008B139C">
      <w:pPr>
        <w:pStyle w:val="FootnoteText"/>
      </w:pPr>
      <w:r>
        <w:rPr>
          <w:rStyle w:val="FootnoteReference"/>
        </w:rPr>
        <w:footnoteRef/>
      </w:r>
      <w:r>
        <w:t xml:space="preserve"> See the Secretarial Letter issued by the Commission on January 12, 2011, at Docket No. </w:t>
      </w:r>
      <w:proofErr w:type="gramStart"/>
      <w:r>
        <w:t>M-2008-2069887.</w:t>
      </w:r>
      <w:proofErr w:type="gramEnd"/>
    </w:p>
  </w:footnote>
  <w:footnote w:id="263">
    <w:p w:rsidR="00865117" w:rsidRDefault="00865117" w:rsidP="008B139C">
      <w:pPr>
        <w:pStyle w:val="FootnoteText"/>
      </w:pPr>
      <w:r>
        <w:rPr>
          <w:rStyle w:val="FootnoteReference"/>
        </w:rPr>
        <w:footnoteRef/>
      </w:r>
      <w:r>
        <w:t xml:space="preserve"> This will be 0 MW if there was not a curtailment event in that hour.</w:t>
      </w:r>
    </w:p>
  </w:footnote>
  <w:footnote w:id="264">
    <w:p w:rsidR="00865117" w:rsidRDefault="00865117" w:rsidP="008B139C">
      <w:pPr>
        <w:pStyle w:val="FootnoteText"/>
      </w:pPr>
      <w:r>
        <w:rPr>
          <w:rStyle w:val="FootnoteReference"/>
        </w:rPr>
        <w:footnoteRef/>
      </w:r>
      <w:r>
        <w:t xml:space="preserve"> There is no need to weather normalize the reconstructed load curve. The peak load reduction targets were established using weather normalized data but actual load should not be weather normalized because it is intended to be the actual peaks for that summer regardless of weather.</w:t>
      </w:r>
    </w:p>
  </w:footnote>
  <w:footnote w:id="265">
    <w:p w:rsidR="00865117" w:rsidRDefault="00865117" w:rsidP="008B139C">
      <w:pPr>
        <w:pStyle w:val="FootnoteText"/>
      </w:pPr>
      <w:r>
        <w:rPr>
          <w:rStyle w:val="FootnoteReference"/>
        </w:rPr>
        <w:footnoteRef/>
      </w:r>
      <w:r>
        <w:t xml:space="preserve"> EDCs will have predictive models for identifying days and hours for initiating Act 129 DR events.  Such models are informed by actual load information and active DR events (to the extent practicable), but will generally not include impacts of non-dispatchable measures that are based on data, information and verification sometimes months after-the-fact.  Whether non-dispatchable impacts should be included as add-backs may, at the option of the EDC, be informed by evaluation.  Whether included in add-back calculations or not, Constant Load Reductions installed during the June – September period would be included in calculation of Average Peak Load Reductions based on installation date.</w:t>
      </w:r>
    </w:p>
  </w:footnote>
  <w:footnote w:id="266">
    <w:p w:rsidR="00865117" w:rsidRDefault="00865117" w:rsidP="005D7F62">
      <w:pPr>
        <w:pStyle w:val="FootnoteText"/>
      </w:pPr>
      <w:r>
        <w:rPr>
          <w:rStyle w:val="FootnoteReference"/>
        </w:rPr>
        <w:footnoteRef/>
      </w:r>
      <w:r>
        <w:t xml:space="preserve"> Energy Star Appliances, Energy Star Lighting, and several Residential Electric HVAC measures lives updated February 2008. </w:t>
      </w:r>
      <w:proofErr w:type="gramStart"/>
      <w:r>
        <w:t xml:space="preserve">U.S. Environmental Protection Agency and U.S. Department of Energy, </w:t>
      </w:r>
      <w:r w:rsidRPr="003C39DC">
        <w:rPr>
          <w:u w:val="single"/>
        </w:rPr>
        <w:t>Energy Star</w:t>
      </w:r>
      <w:r>
        <w:rPr>
          <w:u w:val="single"/>
        </w:rPr>
        <w:t>.</w:t>
      </w:r>
      <w:proofErr w:type="gramEnd"/>
      <w:r>
        <w:t xml:space="preserve"> &lt;</w:t>
      </w:r>
      <w:r w:rsidRPr="003C39DC">
        <w:t>http://www.energystar.gov/</w:t>
      </w:r>
      <w:r>
        <w:t>&gt;.</w:t>
      </w:r>
    </w:p>
  </w:footnote>
  <w:footnote w:id="267">
    <w:p w:rsidR="00865117" w:rsidRDefault="00865117" w:rsidP="00EA7EAB">
      <w:pPr>
        <w:pStyle w:val="FootnoteText"/>
      </w:pPr>
      <w:r>
        <w:rPr>
          <w:rStyle w:val="FootnoteReference"/>
        </w:rPr>
        <w:footnoteRef/>
      </w:r>
      <w:r>
        <w:t xml:space="preserve"> ENERGY STAR website for Commercial LED Lighting:</w:t>
      </w:r>
    </w:p>
    <w:p w:rsidR="00865117" w:rsidRDefault="00274AB1" w:rsidP="00EA7EAB">
      <w:pPr>
        <w:pStyle w:val="FootnoteText"/>
      </w:pPr>
      <w:hyperlink r:id="rId48" w:history="1">
        <w:r w:rsidR="00865117" w:rsidRPr="00202F1D">
          <w:rPr>
            <w:rStyle w:val="Hyperlink"/>
          </w:rPr>
          <w:t>http://www.energystar.gov/index.cfm?fuseaction=find_a_product.showProductGroup&amp;pgw_code=LTG</w:t>
        </w:r>
      </w:hyperlink>
    </w:p>
  </w:footnote>
  <w:footnote w:id="268">
    <w:p w:rsidR="00865117" w:rsidRDefault="00865117" w:rsidP="00EA7EAB">
      <w:pPr>
        <w:pStyle w:val="FootnoteText"/>
      </w:pPr>
      <w:r>
        <w:rPr>
          <w:rStyle w:val="FootnoteReference"/>
        </w:rPr>
        <w:footnoteRef/>
      </w:r>
      <w:r>
        <w:t xml:space="preserve"> “ENERGY STAR</w:t>
      </w:r>
      <w:r w:rsidRPr="0066773F">
        <w:t>® Program Requirements for Integral LED Lamps</w:t>
      </w:r>
    </w:p>
    <w:p w:rsidR="00865117" w:rsidRDefault="00865117" w:rsidP="00EA7EAB">
      <w:pPr>
        <w:pStyle w:val="FootnoteText"/>
      </w:pPr>
      <w:proofErr w:type="gramStart"/>
      <w:r w:rsidRPr="0066773F">
        <w:rPr>
          <w:rFonts w:eastAsia="Calibri"/>
          <w:szCs w:val="22"/>
        </w:rPr>
        <w:t>Partner Commitments</w:t>
      </w:r>
      <w:r>
        <w:rPr>
          <w:rFonts w:eastAsia="Calibri"/>
          <w:szCs w:val="22"/>
        </w:rPr>
        <w:t>.”</w:t>
      </w:r>
      <w:proofErr w:type="gramEnd"/>
      <w:r>
        <w:rPr>
          <w:rFonts w:eastAsia="Calibri"/>
          <w:szCs w:val="22"/>
        </w:rPr>
        <w:t xml:space="preserve"> </w:t>
      </w:r>
      <w:r w:rsidRPr="0066773F">
        <w:rPr>
          <w:rFonts w:eastAsia="Calibri"/>
          <w:i/>
          <w:szCs w:val="22"/>
        </w:rPr>
        <w:t>LED</w:t>
      </w:r>
      <w:r>
        <w:rPr>
          <w:rFonts w:eastAsia="Calibri"/>
          <w:i/>
          <w:szCs w:val="22"/>
        </w:rPr>
        <w:t xml:space="preserve"> Lamp </w:t>
      </w:r>
      <w:r w:rsidRPr="0066773F">
        <w:rPr>
          <w:rFonts w:eastAsia="Calibri"/>
          <w:i/>
          <w:szCs w:val="22"/>
        </w:rPr>
        <w:t>Specification V1.1</w:t>
      </w:r>
      <w:r>
        <w:rPr>
          <w:rFonts w:eastAsia="Calibri"/>
          <w:szCs w:val="22"/>
        </w:rPr>
        <w:t xml:space="preserve">, modified 03/22/10.  </w:t>
      </w:r>
      <w:proofErr w:type="gramStart"/>
      <w:r>
        <w:rPr>
          <w:rFonts w:eastAsia="Calibri"/>
          <w:szCs w:val="22"/>
        </w:rPr>
        <w:t>Accessed from the ENERGY STAR website on September 28, 2010.</w:t>
      </w:r>
      <w:proofErr w:type="gramEnd"/>
      <w:r>
        <w:rPr>
          <w:rFonts w:eastAsia="Calibri"/>
          <w:szCs w:val="22"/>
        </w:rPr>
        <w:t xml:space="preserve"> </w:t>
      </w:r>
      <w:hyperlink r:id="rId49" w:history="1">
        <w:r w:rsidRPr="00C31243">
          <w:rPr>
            <w:rStyle w:val="Hyperlink"/>
          </w:rPr>
          <w:t>http://www.energystar.gov/ia/partners/manuf_res/downloads/IntegralLampsFINAL.pdf</w:t>
        </w:r>
      </w:hyperlink>
    </w:p>
  </w:footnote>
  <w:footnote w:id="269">
    <w:p w:rsidR="00865117" w:rsidRDefault="00865117" w:rsidP="00EA7EAB">
      <w:pPr>
        <w:pStyle w:val="FootnoteText"/>
      </w:pPr>
      <w:r>
        <w:rPr>
          <w:rStyle w:val="FootnoteReference"/>
        </w:rPr>
        <w:footnoteRef/>
      </w:r>
      <w:r>
        <w:t xml:space="preserve"> “ENERGY STAR</w:t>
      </w:r>
      <w:r w:rsidRPr="0066773F">
        <w:t xml:space="preserve">® Program Requirements for </w:t>
      </w:r>
      <w:r>
        <w:t xml:space="preserve">Solid State Lighting Luminaires” </w:t>
      </w:r>
      <w:r>
        <w:rPr>
          <w:i/>
        </w:rPr>
        <w:t>Eligibility Criteria</w:t>
      </w:r>
      <w:r w:rsidRPr="0066773F">
        <w:rPr>
          <w:i/>
        </w:rPr>
        <w:t xml:space="preserve"> V1.1</w:t>
      </w:r>
      <w:r>
        <w:t xml:space="preserve">, Final 12/19/08.  </w:t>
      </w:r>
      <w:proofErr w:type="gramStart"/>
      <w:r>
        <w:t>Accessed from the ENERGY STAR website on September 28, 2010.</w:t>
      </w:r>
      <w:proofErr w:type="gramEnd"/>
      <w:r>
        <w:t xml:space="preserve"> </w:t>
      </w:r>
      <w:hyperlink r:id="rId50" w:history="1">
        <w:r w:rsidRPr="00C31243">
          <w:rPr>
            <w:rStyle w:val="Hyperlink"/>
          </w:rPr>
          <w:t>http://www.energystar.gov/ia/partners/product_specs/program_reqs/SSL_prog_req_V1.1.pdf</w:t>
        </w:r>
      </w:hyperlink>
    </w:p>
  </w:footnote>
  <w:footnote w:id="270">
    <w:p w:rsidR="00865117" w:rsidRDefault="00865117" w:rsidP="00EA7EAB">
      <w:pPr>
        <w:pStyle w:val="FootnoteText"/>
      </w:pPr>
      <w:r>
        <w:rPr>
          <w:rStyle w:val="FootnoteReference"/>
        </w:rPr>
        <w:footnoteRef/>
      </w:r>
      <w:r>
        <w:t xml:space="preserve"> ENERGY STAR Qualified LED Lighting list </w:t>
      </w:r>
      <w:hyperlink r:id="rId51" w:history="1">
        <w:r w:rsidRPr="00202F1D">
          <w:rPr>
            <w:rStyle w:val="Hyperlink"/>
          </w:rPr>
          <w:t>http://www.energystar.gov/index.cfm?fuseaction=ssl.display_products_res_html</w:t>
        </w:r>
      </w:hyperlink>
    </w:p>
  </w:footnote>
  <w:footnote w:id="271">
    <w:p w:rsidR="00865117" w:rsidRDefault="00865117" w:rsidP="00EA7EAB">
      <w:pPr>
        <w:pStyle w:val="FootnoteText"/>
      </w:pPr>
      <w:r>
        <w:rPr>
          <w:rStyle w:val="FootnoteReference"/>
        </w:rPr>
        <w:footnoteRef/>
      </w:r>
      <w:r>
        <w:t xml:space="preserve"> </w:t>
      </w:r>
      <w:proofErr w:type="gramStart"/>
      <w:r>
        <w:t>DesignLights Consortium (DLC) Technical Requirements Table v1.4.</w:t>
      </w:r>
      <w:proofErr w:type="gramEnd"/>
      <w:r>
        <w:t xml:space="preserve"> </w:t>
      </w:r>
      <w:proofErr w:type="gramStart"/>
      <w:r>
        <w:t>Accessed from the DLC website on September 24, 2010.</w:t>
      </w:r>
      <w:proofErr w:type="gramEnd"/>
      <w:r>
        <w:t xml:space="preserve"> </w:t>
      </w:r>
      <w:hyperlink r:id="rId52" w:history="1">
        <w:r w:rsidRPr="00202F1D">
          <w:rPr>
            <w:rStyle w:val="Hyperlink"/>
          </w:rPr>
          <w:t>http://www.designlights.org/solidstate.manufacturer.requirements.php</w:t>
        </w:r>
      </w:hyperlink>
    </w:p>
  </w:footnote>
  <w:footnote w:id="272">
    <w:p w:rsidR="00865117" w:rsidRDefault="00865117" w:rsidP="00EA7EAB">
      <w:pPr>
        <w:pStyle w:val="FootnoteText"/>
      </w:pPr>
      <w:r>
        <w:rPr>
          <w:rStyle w:val="FootnoteReference"/>
        </w:rPr>
        <w:footnoteRef/>
      </w:r>
      <w:r>
        <w:t xml:space="preserve"> Ibid.</w:t>
      </w:r>
    </w:p>
  </w:footnote>
  <w:footnote w:id="273">
    <w:p w:rsidR="00865117" w:rsidRDefault="00865117" w:rsidP="00EA7EAB">
      <w:pPr>
        <w:pStyle w:val="FootnoteText"/>
      </w:pPr>
      <w:r>
        <w:rPr>
          <w:rStyle w:val="FootnoteReference"/>
        </w:rPr>
        <w:footnoteRef/>
      </w:r>
      <w:r>
        <w:t xml:space="preserve"> DesignLights Consortium (DLC) Qualified Product List.  </w:t>
      </w:r>
      <w:hyperlink r:id="rId53" w:history="1">
        <w:r w:rsidRPr="00202F1D">
          <w:rPr>
            <w:rStyle w:val="Hyperlink"/>
          </w:rPr>
          <w:t>http://www.designlights.org/solidstate.about.QualifiedProductsList_Publicv2.php</w:t>
        </w:r>
      </w:hyperlink>
    </w:p>
    <w:p w:rsidR="00865117" w:rsidRDefault="00865117" w:rsidP="00EA7EAB">
      <w:pPr>
        <w:pStyle w:val="FootnoteText"/>
      </w:pPr>
      <w:r>
        <w:t>“</w:t>
      </w:r>
      <w:r w:rsidRPr="00003BA9">
        <w:t>This Qualified Products List (QPL) of LED luminaires signifies that the proper documentation has been submitted to DesignLights (DLC) and the luminaire has met the criteria noted in the technical requirements table shown on the DesignLights website (www.designlights.org). This list is exclusively used and owned by DesignLights Members. Manufacturers, vendors and other non DesignLights members may use the QPL as displayed herein subject to the DLC Terms of Use, and are prohibited from tampering with any portion or all of its contents. For information on becoming a member please go to DesignLights.org.</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117" w:rsidRDefault="00865117" w:rsidP="003A2C69">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117" w:rsidRDefault="00865117" w:rsidP="003A2C69">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117" w:rsidRPr="00F84A22" w:rsidRDefault="00865117" w:rsidP="00CE43C5">
    <w:pPr>
      <w:pStyle w:val="Header"/>
      <w:tabs>
        <w:tab w:val="left" w:pos="2340"/>
        <w:tab w:val="left" w:pos="6120"/>
      </w:tabs>
      <w:jc w:val="left"/>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 xml:space="preserve">Rev Date: </w:t>
    </w:r>
    <w:r w:rsidR="00274AB1">
      <w:fldChar w:fldCharType="begin"/>
    </w:r>
    <w:r w:rsidR="00274AB1">
      <w:instrText xml:space="preserve"> STYLEREF  "Revision Date"  \* MERGEFORMAT </w:instrText>
    </w:r>
    <w:r w:rsidR="00274AB1">
      <w:fldChar w:fldCharType="separate"/>
    </w:r>
    <w:r w:rsidR="00274AB1" w:rsidRPr="00274AB1">
      <w:rPr>
        <w:noProof/>
        <w:color w:val="A6A6A6"/>
      </w:rPr>
      <w:t>June 2012</w:t>
    </w:r>
    <w:r w:rsidR="00274AB1">
      <w:rPr>
        <w:noProof/>
        <w:color w:val="A6A6A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36B4"/>
    <w:multiLevelType w:val="hybridMultilevel"/>
    <w:tmpl w:val="DC94B95C"/>
    <w:lvl w:ilvl="0" w:tplc="6E146AF4">
      <w:start w:val="1"/>
      <w:numFmt w:val="bullet"/>
      <w:pStyle w:val="ListParagraphClose"/>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27033D6"/>
    <w:multiLevelType w:val="hybridMultilevel"/>
    <w:tmpl w:val="C8724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173615"/>
    <w:multiLevelType w:val="hybridMultilevel"/>
    <w:tmpl w:val="0FAA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E7A1C"/>
    <w:multiLevelType w:val="hybridMultilevel"/>
    <w:tmpl w:val="B560CBAE"/>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
    <w:nsid w:val="0AC96B0F"/>
    <w:multiLevelType w:val="hybridMultilevel"/>
    <w:tmpl w:val="B4DCF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A151A"/>
    <w:multiLevelType w:val="hybridMultilevel"/>
    <w:tmpl w:val="84AADBC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
    <w:nsid w:val="104E2EDD"/>
    <w:multiLevelType w:val="multilevel"/>
    <w:tmpl w:val="04090025"/>
    <w:lvl w:ilvl="0">
      <w:start w:val="1"/>
      <w:numFmt w:val="decimal"/>
      <w:lvlText w:val="%1"/>
      <w:lvlJc w:val="left"/>
      <w:pPr>
        <w:ind w:left="52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04F6CFC"/>
    <w:multiLevelType w:val="multilevel"/>
    <w:tmpl w:val="99DC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5B3865"/>
    <w:multiLevelType w:val="hybridMultilevel"/>
    <w:tmpl w:val="99A032B4"/>
    <w:lvl w:ilvl="0" w:tplc="6FFEBDA2">
      <w:start w:val="1"/>
      <w:numFmt w:val="bullet"/>
      <w:lvlText w:val=""/>
      <w:lvlJc w:val="left"/>
      <w:pPr>
        <w:ind w:left="720" w:hanging="360"/>
      </w:pPr>
      <w:rPr>
        <w:rFonts w:ascii="Symbol" w:hAnsi="Symbol" w:hint="default"/>
      </w:rPr>
    </w:lvl>
    <w:lvl w:ilvl="1" w:tplc="7C426F1E" w:tentative="1">
      <w:start w:val="1"/>
      <w:numFmt w:val="bullet"/>
      <w:lvlText w:val="o"/>
      <w:lvlJc w:val="left"/>
      <w:pPr>
        <w:ind w:left="1440" w:hanging="360"/>
      </w:pPr>
      <w:rPr>
        <w:rFonts w:ascii="Courier New" w:hAnsi="Courier New" w:cs="Courier New" w:hint="default"/>
      </w:rPr>
    </w:lvl>
    <w:lvl w:ilvl="2" w:tplc="39D4D948" w:tentative="1">
      <w:start w:val="1"/>
      <w:numFmt w:val="bullet"/>
      <w:lvlText w:val=""/>
      <w:lvlJc w:val="left"/>
      <w:pPr>
        <w:ind w:left="2160" w:hanging="360"/>
      </w:pPr>
      <w:rPr>
        <w:rFonts w:ascii="Wingdings" w:hAnsi="Wingdings" w:hint="default"/>
      </w:rPr>
    </w:lvl>
    <w:lvl w:ilvl="3" w:tplc="5E7AC1B4" w:tentative="1">
      <w:start w:val="1"/>
      <w:numFmt w:val="bullet"/>
      <w:lvlText w:val=""/>
      <w:lvlJc w:val="left"/>
      <w:pPr>
        <w:ind w:left="2880" w:hanging="360"/>
      </w:pPr>
      <w:rPr>
        <w:rFonts w:ascii="Symbol" w:hAnsi="Symbol" w:hint="default"/>
      </w:rPr>
    </w:lvl>
    <w:lvl w:ilvl="4" w:tplc="8B9A0F10" w:tentative="1">
      <w:start w:val="1"/>
      <w:numFmt w:val="bullet"/>
      <w:lvlText w:val="o"/>
      <w:lvlJc w:val="left"/>
      <w:pPr>
        <w:ind w:left="3600" w:hanging="360"/>
      </w:pPr>
      <w:rPr>
        <w:rFonts w:ascii="Courier New" w:hAnsi="Courier New" w:cs="Courier New" w:hint="default"/>
      </w:rPr>
    </w:lvl>
    <w:lvl w:ilvl="5" w:tplc="4E068B12" w:tentative="1">
      <w:start w:val="1"/>
      <w:numFmt w:val="bullet"/>
      <w:lvlText w:val=""/>
      <w:lvlJc w:val="left"/>
      <w:pPr>
        <w:ind w:left="4320" w:hanging="360"/>
      </w:pPr>
      <w:rPr>
        <w:rFonts w:ascii="Wingdings" w:hAnsi="Wingdings" w:hint="default"/>
      </w:rPr>
    </w:lvl>
    <w:lvl w:ilvl="6" w:tplc="94E6D26E" w:tentative="1">
      <w:start w:val="1"/>
      <w:numFmt w:val="bullet"/>
      <w:lvlText w:val=""/>
      <w:lvlJc w:val="left"/>
      <w:pPr>
        <w:ind w:left="5040" w:hanging="360"/>
      </w:pPr>
      <w:rPr>
        <w:rFonts w:ascii="Symbol" w:hAnsi="Symbol" w:hint="default"/>
      </w:rPr>
    </w:lvl>
    <w:lvl w:ilvl="7" w:tplc="7856F766" w:tentative="1">
      <w:start w:val="1"/>
      <w:numFmt w:val="bullet"/>
      <w:lvlText w:val="o"/>
      <w:lvlJc w:val="left"/>
      <w:pPr>
        <w:ind w:left="5760" w:hanging="360"/>
      </w:pPr>
      <w:rPr>
        <w:rFonts w:ascii="Courier New" w:hAnsi="Courier New" w:cs="Courier New" w:hint="default"/>
      </w:rPr>
    </w:lvl>
    <w:lvl w:ilvl="8" w:tplc="9A62339E" w:tentative="1">
      <w:start w:val="1"/>
      <w:numFmt w:val="bullet"/>
      <w:lvlText w:val=""/>
      <w:lvlJc w:val="left"/>
      <w:pPr>
        <w:ind w:left="6480" w:hanging="360"/>
      </w:pPr>
      <w:rPr>
        <w:rFonts w:ascii="Wingdings" w:hAnsi="Wingdings" w:hint="default"/>
      </w:rPr>
    </w:lvl>
  </w:abstractNum>
  <w:abstractNum w:abstractNumId="9">
    <w:nsid w:val="157F4E2F"/>
    <w:multiLevelType w:val="hybridMultilevel"/>
    <w:tmpl w:val="70A4D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645C75"/>
    <w:multiLevelType w:val="multilevel"/>
    <w:tmpl w:val="706E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EE7ABC"/>
    <w:multiLevelType w:val="multilevel"/>
    <w:tmpl w:val="DBC6F4F0"/>
    <w:lvl w:ilvl="0">
      <w:start w:val="1"/>
      <w:numFmt w:val="decimal"/>
      <w:lvlText w:val="%1."/>
      <w:lvlJc w:val="left"/>
      <w:pPr>
        <w:tabs>
          <w:tab w:val="num" w:pos="720"/>
        </w:tabs>
        <w:ind w:left="720" w:hanging="360"/>
      </w:pPr>
      <w:rPr>
        <w:rFonts w:cs="Times New Roman" w:hint="default"/>
        <w:b w:val="0"/>
        <w:sz w:val="20"/>
        <w:szCs w:val="20"/>
      </w:rPr>
    </w:lvl>
    <w:lvl w:ilvl="1">
      <w:start w:val="1"/>
      <w:numFmt w:val="lowerLetter"/>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nsid w:val="21FD22A0"/>
    <w:multiLevelType w:val="hybridMultilevel"/>
    <w:tmpl w:val="B560CBAE"/>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3">
    <w:nsid w:val="2208398D"/>
    <w:multiLevelType w:val="multilevel"/>
    <w:tmpl w:val="3ABE1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181D28"/>
    <w:multiLevelType w:val="hybridMultilevel"/>
    <w:tmpl w:val="6A582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2D4FEB"/>
    <w:multiLevelType w:val="singleLevel"/>
    <w:tmpl w:val="2926EDAC"/>
    <w:lvl w:ilvl="0">
      <w:start w:val="1"/>
      <w:numFmt w:val="bullet"/>
      <w:pStyle w:val="bi"/>
      <w:lvlText w:val=""/>
      <w:lvlJc w:val="left"/>
      <w:pPr>
        <w:tabs>
          <w:tab w:val="num" w:pos="360"/>
        </w:tabs>
        <w:ind w:left="360" w:hanging="360"/>
      </w:pPr>
      <w:rPr>
        <w:rFonts w:ascii="Symbol" w:hAnsi="Symbol" w:hint="default"/>
      </w:rPr>
    </w:lvl>
  </w:abstractNum>
  <w:abstractNum w:abstractNumId="16">
    <w:nsid w:val="276E65EB"/>
    <w:multiLevelType w:val="hybridMultilevel"/>
    <w:tmpl w:val="5D644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8642E4"/>
    <w:multiLevelType w:val="hybridMultilevel"/>
    <w:tmpl w:val="C28888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32C6D95"/>
    <w:multiLevelType w:val="hybridMultilevel"/>
    <w:tmpl w:val="800A9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3670D5"/>
    <w:multiLevelType w:val="multilevel"/>
    <w:tmpl w:val="BCAE0264"/>
    <w:lvl w:ilvl="0">
      <w:start w:val="1"/>
      <w:numFmt w:val="decimal"/>
      <w:pStyle w:val="source1"/>
      <w:lvlText w:val="%1."/>
      <w:lvlJc w:val="left"/>
      <w:pPr>
        <w:tabs>
          <w:tab w:val="num" w:pos="810"/>
        </w:tabs>
        <w:ind w:left="810" w:hanging="360"/>
      </w:pPr>
      <w:rPr>
        <w:rFonts w:cs="Times New Roman" w:hint="default"/>
        <w:b w:val="0"/>
        <w:sz w:val="20"/>
        <w:szCs w:val="20"/>
      </w:rPr>
    </w:lvl>
    <w:lvl w:ilvl="1">
      <w:start w:val="1"/>
      <w:numFmt w:val="lowerLetter"/>
      <w:pStyle w:val="source2"/>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0">
    <w:nsid w:val="3A7904DD"/>
    <w:multiLevelType w:val="multilevel"/>
    <w:tmpl w:val="A30E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6F1C9A"/>
    <w:multiLevelType w:val="multilevel"/>
    <w:tmpl w:val="F1B6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9F621C"/>
    <w:multiLevelType w:val="multilevel"/>
    <w:tmpl w:val="1B10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6D32C7"/>
    <w:multiLevelType w:val="hybridMultilevel"/>
    <w:tmpl w:val="C0341FFC"/>
    <w:lvl w:ilvl="0" w:tplc="6D664930">
      <w:start w:val="1"/>
      <w:numFmt w:val="decimal"/>
      <w:lvlText w:val="%1."/>
      <w:lvlJc w:val="left"/>
      <w:pPr>
        <w:ind w:left="720" w:hanging="360"/>
      </w:pPr>
      <w:rPr>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AA530C"/>
    <w:multiLevelType w:val="hybridMultilevel"/>
    <w:tmpl w:val="11EAC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763EC4"/>
    <w:multiLevelType w:val="hybridMultilevel"/>
    <w:tmpl w:val="66425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3B5521"/>
    <w:multiLevelType w:val="hybridMultilevel"/>
    <w:tmpl w:val="6B2A881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1A1A4D"/>
    <w:multiLevelType w:val="hybridMultilevel"/>
    <w:tmpl w:val="810C3A9C"/>
    <w:lvl w:ilvl="0" w:tplc="7598CFD4">
      <w:start w:val="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AC27E1"/>
    <w:multiLevelType w:val="multilevel"/>
    <w:tmpl w:val="2B8E3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D30DD1"/>
    <w:multiLevelType w:val="hybridMultilevel"/>
    <w:tmpl w:val="70D4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F25BD7"/>
    <w:multiLevelType w:val="multilevel"/>
    <w:tmpl w:val="62E6B192"/>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630"/>
        </w:tabs>
        <w:ind w:left="634" w:hanging="364"/>
      </w:pPr>
      <w:rPr>
        <w:rFonts w:hint="default"/>
      </w:rPr>
    </w:lvl>
    <w:lvl w:ilvl="2">
      <w:start w:val="1"/>
      <w:numFmt w:val="decimal"/>
      <w:pStyle w:val="Heading3"/>
      <w:lvlText w:val="%1.%2.%3"/>
      <w:lvlJc w:val="left"/>
      <w:pPr>
        <w:tabs>
          <w:tab w:val="num" w:pos="634"/>
        </w:tabs>
        <w:ind w:left="634"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5792540A"/>
    <w:multiLevelType w:val="multilevel"/>
    <w:tmpl w:val="993E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BB51D0"/>
    <w:multiLevelType w:val="hybridMultilevel"/>
    <w:tmpl w:val="334EB0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C2302A4"/>
    <w:multiLevelType w:val="hybridMultilevel"/>
    <w:tmpl w:val="196A7D40"/>
    <w:lvl w:ilvl="0" w:tplc="996AF9C4">
      <w:start w:val="1"/>
      <w:numFmt w:val="decimal"/>
      <w:lvlText w:val="%1."/>
      <w:lvlJc w:val="left"/>
      <w:pPr>
        <w:tabs>
          <w:tab w:val="num" w:pos="720"/>
        </w:tabs>
        <w:ind w:left="720" w:hanging="360"/>
      </w:pPr>
      <w:rPr>
        <w:rFonts w:cs="Times New Roman" w:hint="default"/>
      </w:rPr>
    </w:lvl>
    <w:lvl w:ilvl="1" w:tplc="8ADA4D9C" w:tentative="1">
      <w:start w:val="1"/>
      <w:numFmt w:val="lowerLetter"/>
      <w:lvlText w:val="%2."/>
      <w:lvlJc w:val="left"/>
      <w:pPr>
        <w:tabs>
          <w:tab w:val="num" w:pos="1440"/>
        </w:tabs>
        <w:ind w:left="1440" w:hanging="360"/>
      </w:pPr>
      <w:rPr>
        <w:rFonts w:cs="Times New Roman"/>
      </w:rPr>
    </w:lvl>
    <w:lvl w:ilvl="2" w:tplc="F2AA1DDE" w:tentative="1">
      <w:start w:val="1"/>
      <w:numFmt w:val="lowerRoman"/>
      <w:lvlText w:val="%3."/>
      <w:lvlJc w:val="right"/>
      <w:pPr>
        <w:tabs>
          <w:tab w:val="num" w:pos="2160"/>
        </w:tabs>
        <w:ind w:left="2160" w:hanging="180"/>
      </w:pPr>
      <w:rPr>
        <w:rFonts w:cs="Times New Roman"/>
      </w:rPr>
    </w:lvl>
    <w:lvl w:ilvl="3" w:tplc="334692D8" w:tentative="1">
      <w:start w:val="1"/>
      <w:numFmt w:val="decimal"/>
      <w:lvlText w:val="%4."/>
      <w:lvlJc w:val="left"/>
      <w:pPr>
        <w:tabs>
          <w:tab w:val="num" w:pos="2880"/>
        </w:tabs>
        <w:ind w:left="2880" w:hanging="360"/>
      </w:pPr>
      <w:rPr>
        <w:rFonts w:cs="Times New Roman"/>
      </w:rPr>
    </w:lvl>
    <w:lvl w:ilvl="4" w:tplc="D02CE21A" w:tentative="1">
      <w:start w:val="1"/>
      <w:numFmt w:val="lowerLetter"/>
      <w:lvlText w:val="%5."/>
      <w:lvlJc w:val="left"/>
      <w:pPr>
        <w:tabs>
          <w:tab w:val="num" w:pos="3600"/>
        </w:tabs>
        <w:ind w:left="3600" w:hanging="360"/>
      </w:pPr>
      <w:rPr>
        <w:rFonts w:cs="Times New Roman"/>
      </w:rPr>
    </w:lvl>
    <w:lvl w:ilvl="5" w:tplc="992E0652" w:tentative="1">
      <w:start w:val="1"/>
      <w:numFmt w:val="lowerRoman"/>
      <w:lvlText w:val="%6."/>
      <w:lvlJc w:val="right"/>
      <w:pPr>
        <w:tabs>
          <w:tab w:val="num" w:pos="4320"/>
        </w:tabs>
        <w:ind w:left="4320" w:hanging="180"/>
      </w:pPr>
      <w:rPr>
        <w:rFonts w:cs="Times New Roman"/>
      </w:rPr>
    </w:lvl>
    <w:lvl w:ilvl="6" w:tplc="EB2A565E" w:tentative="1">
      <w:start w:val="1"/>
      <w:numFmt w:val="decimal"/>
      <w:lvlText w:val="%7."/>
      <w:lvlJc w:val="left"/>
      <w:pPr>
        <w:tabs>
          <w:tab w:val="num" w:pos="5040"/>
        </w:tabs>
        <w:ind w:left="5040" w:hanging="360"/>
      </w:pPr>
      <w:rPr>
        <w:rFonts w:cs="Times New Roman"/>
      </w:rPr>
    </w:lvl>
    <w:lvl w:ilvl="7" w:tplc="CB9A5B62" w:tentative="1">
      <w:start w:val="1"/>
      <w:numFmt w:val="lowerLetter"/>
      <w:lvlText w:val="%8."/>
      <w:lvlJc w:val="left"/>
      <w:pPr>
        <w:tabs>
          <w:tab w:val="num" w:pos="5760"/>
        </w:tabs>
        <w:ind w:left="5760" w:hanging="360"/>
      </w:pPr>
      <w:rPr>
        <w:rFonts w:cs="Times New Roman"/>
      </w:rPr>
    </w:lvl>
    <w:lvl w:ilvl="8" w:tplc="46020F12" w:tentative="1">
      <w:start w:val="1"/>
      <w:numFmt w:val="lowerRoman"/>
      <w:lvlText w:val="%9."/>
      <w:lvlJc w:val="right"/>
      <w:pPr>
        <w:tabs>
          <w:tab w:val="num" w:pos="6480"/>
        </w:tabs>
        <w:ind w:left="6480" w:hanging="180"/>
      </w:pPr>
      <w:rPr>
        <w:rFonts w:cs="Times New Roman"/>
      </w:rPr>
    </w:lvl>
  </w:abstractNum>
  <w:abstractNum w:abstractNumId="34">
    <w:nsid w:val="5D863442"/>
    <w:multiLevelType w:val="hybridMultilevel"/>
    <w:tmpl w:val="17EE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A57FE6"/>
    <w:multiLevelType w:val="hybridMultilevel"/>
    <w:tmpl w:val="BE6EF7E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36">
    <w:nsid w:val="67BA0FD2"/>
    <w:multiLevelType w:val="multilevel"/>
    <w:tmpl w:val="39C6A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D614D7"/>
    <w:multiLevelType w:val="hybridMultilevel"/>
    <w:tmpl w:val="6D30447C"/>
    <w:lvl w:ilvl="0" w:tplc="B2EE0086">
      <w:start w:val="1"/>
      <w:numFmt w:val="decimal"/>
      <w:lvlText w:val="%1."/>
      <w:lvlJc w:val="left"/>
      <w:pPr>
        <w:ind w:left="720" w:hanging="360"/>
      </w:pPr>
      <w:rPr>
        <w:rFonts w:hint="default"/>
      </w:rPr>
    </w:lvl>
    <w:lvl w:ilvl="1" w:tplc="4DA65BBC" w:tentative="1">
      <w:start w:val="1"/>
      <w:numFmt w:val="lowerLetter"/>
      <w:lvlText w:val="%2."/>
      <w:lvlJc w:val="left"/>
      <w:pPr>
        <w:ind w:left="1440" w:hanging="360"/>
      </w:pPr>
    </w:lvl>
    <w:lvl w:ilvl="2" w:tplc="D7766B48" w:tentative="1">
      <w:start w:val="1"/>
      <w:numFmt w:val="lowerRoman"/>
      <w:lvlText w:val="%3."/>
      <w:lvlJc w:val="right"/>
      <w:pPr>
        <w:ind w:left="2160" w:hanging="180"/>
      </w:pPr>
    </w:lvl>
    <w:lvl w:ilvl="3" w:tplc="FF8C3CAE" w:tentative="1">
      <w:start w:val="1"/>
      <w:numFmt w:val="decimal"/>
      <w:lvlText w:val="%4."/>
      <w:lvlJc w:val="left"/>
      <w:pPr>
        <w:ind w:left="2880" w:hanging="360"/>
      </w:pPr>
    </w:lvl>
    <w:lvl w:ilvl="4" w:tplc="5F9C45E8" w:tentative="1">
      <w:start w:val="1"/>
      <w:numFmt w:val="lowerLetter"/>
      <w:lvlText w:val="%5."/>
      <w:lvlJc w:val="left"/>
      <w:pPr>
        <w:ind w:left="3600" w:hanging="360"/>
      </w:pPr>
    </w:lvl>
    <w:lvl w:ilvl="5" w:tplc="2A6CC568" w:tentative="1">
      <w:start w:val="1"/>
      <w:numFmt w:val="lowerRoman"/>
      <w:lvlText w:val="%6."/>
      <w:lvlJc w:val="right"/>
      <w:pPr>
        <w:ind w:left="4320" w:hanging="180"/>
      </w:pPr>
    </w:lvl>
    <w:lvl w:ilvl="6" w:tplc="C12421C6" w:tentative="1">
      <w:start w:val="1"/>
      <w:numFmt w:val="decimal"/>
      <w:lvlText w:val="%7."/>
      <w:lvlJc w:val="left"/>
      <w:pPr>
        <w:ind w:left="5040" w:hanging="360"/>
      </w:pPr>
    </w:lvl>
    <w:lvl w:ilvl="7" w:tplc="2EC802C4" w:tentative="1">
      <w:start w:val="1"/>
      <w:numFmt w:val="lowerLetter"/>
      <w:lvlText w:val="%8."/>
      <w:lvlJc w:val="left"/>
      <w:pPr>
        <w:ind w:left="5760" w:hanging="360"/>
      </w:pPr>
    </w:lvl>
    <w:lvl w:ilvl="8" w:tplc="60C49F44" w:tentative="1">
      <w:start w:val="1"/>
      <w:numFmt w:val="lowerRoman"/>
      <w:lvlText w:val="%9."/>
      <w:lvlJc w:val="right"/>
      <w:pPr>
        <w:ind w:left="6480" w:hanging="180"/>
      </w:pPr>
    </w:lvl>
  </w:abstractNum>
  <w:abstractNum w:abstractNumId="38">
    <w:nsid w:val="6C0B1F68"/>
    <w:multiLevelType w:val="hybridMultilevel"/>
    <w:tmpl w:val="1B38AA8A"/>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
    <w:nsid w:val="6DB1746F"/>
    <w:multiLevelType w:val="hybridMultilevel"/>
    <w:tmpl w:val="C2221D40"/>
    <w:lvl w:ilvl="0" w:tplc="04090001">
      <w:start w:val="1"/>
      <w:numFmt w:val="decimal"/>
      <w:lvlText w:val="%1."/>
      <w:lvlJc w:val="left"/>
      <w:pPr>
        <w:tabs>
          <w:tab w:val="num" w:pos="720"/>
        </w:tabs>
        <w:ind w:left="720" w:hanging="360"/>
      </w:pPr>
      <w:rPr>
        <w:rFonts w:cs="Times New Roman" w:hint="default"/>
      </w:rPr>
    </w:lvl>
    <w:lvl w:ilvl="1" w:tplc="04090003">
      <w:start w:val="1"/>
      <w:numFmt w:val="lowerLetter"/>
      <w:lvlText w:val="%2."/>
      <w:lvlJc w:val="left"/>
      <w:pPr>
        <w:tabs>
          <w:tab w:val="num" w:pos="1440"/>
        </w:tabs>
        <w:ind w:left="1440" w:hanging="360"/>
      </w:pPr>
      <w:rPr>
        <w:rFonts w:cs="Times New Roman" w:hint="default"/>
      </w:rPr>
    </w:lvl>
    <w:lvl w:ilvl="2" w:tplc="04090005">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0">
    <w:nsid w:val="6E340625"/>
    <w:multiLevelType w:val="hybridMultilevel"/>
    <w:tmpl w:val="BAE2E014"/>
    <w:lvl w:ilvl="0" w:tplc="0409000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A84B36"/>
    <w:multiLevelType w:val="hybridMultilevel"/>
    <w:tmpl w:val="47DA0D7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7CD4F7A"/>
    <w:multiLevelType w:val="hybridMultilevel"/>
    <w:tmpl w:val="6E8A0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A0775"/>
    <w:multiLevelType w:val="hybridMultilevel"/>
    <w:tmpl w:val="57EE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9"/>
  </w:num>
  <w:num w:numId="3">
    <w:abstractNumId w:val="3"/>
  </w:num>
  <w:num w:numId="4">
    <w:abstractNumId w:val="0"/>
  </w:num>
  <w:num w:numId="5">
    <w:abstractNumId w:val="35"/>
  </w:num>
  <w:num w:numId="6">
    <w:abstractNumId w:val="6"/>
  </w:num>
  <w:num w:numId="7">
    <w:abstractNumId w:val="11"/>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0"/>
  </w:num>
  <w:num w:numId="11">
    <w:abstractNumId w:val="26"/>
  </w:num>
  <w:num w:numId="12">
    <w:abstractNumId w:val="25"/>
  </w:num>
  <w:num w:numId="13">
    <w:abstractNumId w:val="37"/>
  </w:num>
  <w:num w:numId="14">
    <w:abstractNumId w:val="42"/>
  </w:num>
  <w:num w:numId="15">
    <w:abstractNumId w:val="43"/>
  </w:num>
  <w:num w:numId="16">
    <w:abstractNumId w:val="7"/>
  </w:num>
  <w:num w:numId="17">
    <w:abstractNumId w:val="20"/>
  </w:num>
  <w:num w:numId="18">
    <w:abstractNumId w:val="31"/>
  </w:num>
  <w:num w:numId="19">
    <w:abstractNumId w:val="21"/>
  </w:num>
  <w:num w:numId="20">
    <w:abstractNumId w:val="22"/>
  </w:num>
  <w:num w:numId="21">
    <w:abstractNumId w:val="10"/>
  </w:num>
  <w:num w:numId="22">
    <w:abstractNumId w:val="13"/>
  </w:num>
  <w:num w:numId="23">
    <w:abstractNumId w:val="36"/>
  </w:num>
  <w:num w:numId="24">
    <w:abstractNumId w:val="28"/>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8"/>
  </w:num>
  <w:num w:numId="63">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4"/>
  </w:num>
  <w:num w:numId="65">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3"/>
  </w:num>
  <w:num w:numId="69">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8"/>
  </w:num>
  <w:num w:numId="77">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9"/>
    <w:lvlOverride w:ilvl="0">
      <w:startOverride w:val="3"/>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num>
  <w:num w:numId="80">
    <w:abstractNumId w:val="40"/>
  </w:num>
  <w:num w:numId="81">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7"/>
  </w:num>
  <w:num w:numId="90">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
  </w:num>
  <w:num w:numId="93">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
  </w:num>
  <w:num w:numId="96">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9"/>
  </w:num>
  <w:num w:numId="98">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4"/>
  </w:num>
  <w:num w:numId="103">
    <w:abstractNumId w:val="17"/>
  </w:num>
  <w:num w:numId="104">
    <w:abstractNumId w:val="41"/>
  </w:num>
  <w:num w:numId="105">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
  </w:num>
  <w:num w:numId="108">
    <w:abstractNumId w:val="9"/>
  </w:num>
  <w:num w:numId="109">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2"/>
  </w:num>
  <w:num w:numId="116">
    <w:abstractNumId w:val="16"/>
  </w:num>
  <w:num w:numId="117">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4"/>
  </w:num>
  <w:num w:numId="124">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2"/>
  </w:num>
  <w:num w:numId="126">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9"/>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19457"/>
  </w:hdrShapeDefaults>
  <w:footnotePr>
    <w:footnote w:id="-1"/>
    <w:footnote w:id="0"/>
    <w:footnote w:id="1"/>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D4"/>
    <w:rsid w:val="000014B0"/>
    <w:rsid w:val="0000186B"/>
    <w:rsid w:val="00001996"/>
    <w:rsid w:val="00003E67"/>
    <w:rsid w:val="00004394"/>
    <w:rsid w:val="00004DC0"/>
    <w:rsid w:val="00005B18"/>
    <w:rsid w:val="000151F9"/>
    <w:rsid w:val="00017080"/>
    <w:rsid w:val="0002142A"/>
    <w:rsid w:val="000226F0"/>
    <w:rsid w:val="000248D6"/>
    <w:rsid w:val="000252B2"/>
    <w:rsid w:val="00026AFE"/>
    <w:rsid w:val="00026C9E"/>
    <w:rsid w:val="00026CF2"/>
    <w:rsid w:val="000276CF"/>
    <w:rsid w:val="00031987"/>
    <w:rsid w:val="00031D2D"/>
    <w:rsid w:val="00032714"/>
    <w:rsid w:val="00033A14"/>
    <w:rsid w:val="0003527C"/>
    <w:rsid w:val="00035A0C"/>
    <w:rsid w:val="000367BF"/>
    <w:rsid w:val="0004005E"/>
    <w:rsid w:val="000418B8"/>
    <w:rsid w:val="00041E75"/>
    <w:rsid w:val="0004209F"/>
    <w:rsid w:val="00043A5C"/>
    <w:rsid w:val="00043FE8"/>
    <w:rsid w:val="0004512F"/>
    <w:rsid w:val="00045589"/>
    <w:rsid w:val="000476E3"/>
    <w:rsid w:val="0005174F"/>
    <w:rsid w:val="000522E6"/>
    <w:rsid w:val="00052677"/>
    <w:rsid w:val="00054813"/>
    <w:rsid w:val="00054E36"/>
    <w:rsid w:val="0005632A"/>
    <w:rsid w:val="000625D4"/>
    <w:rsid w:val="0006359F"/>
    <w:rsid w:val="00063688"/>
    <w:rsid w:val="00064E44"/>
    <w:rsid w:val="00065A25"/>
    <w:rsid w:val="00065B67"/>
    <w:rsid w:val="000679A4"/>
    <w:rsid w:val="00067D0A"/>
    <w:rsid w:val="00070716"/>
    <w:rsid w:val="00072DB9"/>
    <w:rsid w:val="00072F7A"/>
    <w:rsid w:val="000740AD"/>
    <w:rsid w:val="0007450F"/>
    <w:rsid w:val="000760B1"/>
    <w:rsid w:val="0007670E"/>
    <w:rsid w:val="000776A2"/>
    <w:rsid w:val="00077E92"/>
    <w:rsid w:val="00080536"/>
    <w:rsid w:val="000811B9"/>
    <w:rsid w:val="00081415"/>
    <w:rsid w:val="00081878"/>
    <w:rsid w:val="00082F0B"/>
    <w:rsid w:val="00083362"/>
    <w:rsid w:val="000862C5"/>
    <w:rsid w:val="00087F19"/>
    <w:rsid w:val="000902C0"/>
    <w:rsid w:val="00090776"/>
    <w:rsid w:val="00090EEE"/>
    <w:rsid w:val="00091355"/>
    <w:rsid w:val="00092C0A"/>
    <w:rsid w:val="0009392F"/>
    <w:rsid w:val="00095748"/>
    <w:rsid w:val="00095799"/>
    <w:rsid w:val="0009636C"/>
    <w:rsid w:val="00096E91"/>
    <w:rsid w:val="00097A35"/>
    <w:rsid w:val="000A0185"/>
    <w:rsid w:val="000A0E0B"/>
    <w:rsid w:val="000A2AA1"/>
    <w:rsid w:val="000A34BC"/>
    <w:rsid w:val="000A4053"/>
    <w:rsid w:val="000A45D3"/>
    <w:rsid w:val="000A4E13"/>
    <w:rsid w:val="000A55E4"/>
    <w:rsid w:val="000A667A"/>
    <w:rsid w:val="000A6AC7"/>
    <w:rsid w:val="000A6F76"/>
    <w:rsid w:val="000A7D08"/>
    <w:rsid w:val="000B12CF"/>
    <w:rsid w:val="000B4DDB"/>
    <w:rsid w:val="000B5CAF"/>
    <w:rsid w:val="000B6706"/>
    <w:rsid w:val="000C0165"/>
    <w:rsid w:val="000C071D"/>
    <w:rsid w:val="000C0CD0"/>
    <w:rsid w:val="000C247E"/>
    <w:rsid w:val="000C27C1"/>
    <w:rsid w:val="000C42E9"/>
    <w:rsid w:val="000D19E4"/>
    <w:rsid w:val="000D1B64"/>
    <w:rsid w:val="000D45C6"/>
    <w:rsid w:val="000D54E6"/>
    <w:rsid w:val="000E07BC"/>
    <w:rsid w:val="000E2049"/>
    <w:rsid w:val="000E2727"/>
    <w:rsid w:val="000E3367"/>
    <w:rsid w:val="000E374C"/>
    <w:rsid w:val="000E3BCB"/>
    <w:rsid w:val="000E3ECD"/>
    <w:rsid w:val="000E4853"/>
    <w:rsid w:val="000E610E"/>
    <w:rsid w:val="000E655F"/>
    <w:rsid w:val="000F45CA"/>
    <w:rsid w:val="000F6E91"/>
    <w:rsid w:val="0010020A"/>
    <w:rsid w:val="00100BD3"/>
    <w:rsid w:val="00100E5E"/>
    <w:rsid w:val="00100EDF"/>
    <w:rsid w:val="0010140F"/>
    <w:rsid w:val="00102878"/>
    <w:rsid w:val="001034A9"/>
    <w:rsid w:val="00107220"/>
    <w:rsid w:val="0011165E"/>
    <w:rsid w:val="001119EF"/>
    <w:rsid w:val="0011235A"/>
    <w:rsid w:val="00113978"/>
    <w:rsid w:val="001179DB"/>
    <w:rsid w:val="001209A0"/>
    <w:rsid w:val="0012115C"/>
    <w:rsid w:val="00121F34"/>
    <w:rsid w:val="0012218D"/>
    <w:rsid w:val="0012312C"/>
    <w:rsid w:val="001236E7"/>
    <w:rsid w:val="0012376F"/>
    <w:rsid w:val="001239C7"/>
    <w:rsid w:val="00123BD8"/>
    <w:rsid w:val="00125087"/>
    <w:rsid w:val="00125333"/>
    <w:rsid w:val="00126575"/>
    <w:rsid w:val="00126AA8"/>
    <w:rsid w:val="00126CB5"/>
    <w:rsid w:val="001323F8"/>
    <w:rsid w:val="00133427"/>
    <w:rsid w:val="0013510D"/>
    <w:rsid w:val="001364C8"/>
    <w:rsid w:val="00136F8D"/>
    <w:rsid w:val="0013750D"/>
    <w:rsid w:val="00140768"/>
    <w:rsid w:val="00140819"/>
    <w:rsid w:val="00140F71"/>
    <w:rsid w:val="00142828"/>
    <w:rsid w:val="0014435C"/>
    <w:rsid w:val="00144BD3"/>
    <w:rsid w:val="00144FB2"/>
    <w:rsid w:val="001455E6"/>
    <w:rsid w:val="00145952"/>
    <w:rsid w:val="001471FD"/>
    <w:rsid w:val="00150023"/>
    <w:rsid w:val="0015424E"/>
    <w:rsid w:val="0015549B"/>
    <w:rsid w:val="001565D8"/>
    <w:rsid w:val="001569C2"/>
    <w:rsid w:val="001608A5"/>
    <w:rsid w:val="001611D1"/>
    <w:rsid w:val="00162F8B"/>
    <w:rsid w:val="00163377"/>
    <w:rsid w:val="00165C8E"/>
    <w:rsid w:val="00165D83"/>
    <w:rsid w:val="00165E5C"/>
    <w:rsid w:val="001669F2"/>
    <w:rsid w:val="00170F92"/>
    <w:rsid w:val="00173C8E"/>
    <w:rsid w:val="00175324"/>
    <w:rsid w:val="00176744"/>
    <w:rsid w:val="00177611"/>
    <w:rsid w:val="00181A87"/>
    <w:rsid w:val="00181B86"/>
    <w:rsid w:val="00184796"/>
    <w:rsid w:val="001858F0"/>
    <w:rsid w:val="001860C7"/>
    <w:rsid w:val="00186E88"/>
    <w:rsid w:val="00187135"/>
    <w:rsid w:val="00187A34"/>
    <w:rsid w:val="001900AE"/>
    <w:rsid w:val="00190CB3"/>
    <w:rsid w:val="001913CD"/>
    <w:rsid w:val="00192290"/>
    <w:rsid w:val="001925E7"/>
    <w:rsid w:val="00192BE8"/>
    <w:rsid w:val="0019409B"/>
    <w:rsid w:val="00195AC5"/>
    <w:rsid w:val="001A2B43"/>
    <w:rsid w:val="001A4B43"/>
    <w:rsid w:val="001A5CCF"/>
    <w:rsid w:val="001A5E45"/>
    <w:rsid w:val="001A63F0"/>
    <w:rsid w:val="001A7839"/>
    <w:rsid w:val="001A79B5"/>
    <w:rsid w:val="001B0DF0"/>
    <w:rsid w:val="001B436F"/>
    <w:rsid w:val="001B50E9"/>
    <w:rsid w:val="001B7588"/>
    <w:rsid w:val="001B7E80"/>
    <w:rsid w:val="001C051C"/>
    <w:rsid w:val="001C1A07"/>
    <w:rsid w:val="001C1DCC"/>
    <w:rsid w:val="001C2A0E"/>
    <w:rsid w:val="001C3A51"/>
    <w:rsid w:val="001C3B2A"/>
    <w:rsid w:val="001C4301"/>
    <w:rsid w:val="001C4469"/>
    <w:rsid w:val="001C4AD5"/>
    <w:rsid w:val="001C4C68"/>
    <w:rsid w:val="001C4CAE"/>
    <w:rsid w:val="001C5BDE"/>
    <w:rsid w:val="001C64E4"/>
    <w:rsid w:val="001C73F8"/>
    <w:rsid w:val="001C7818"/>
    <w:rsid w:val="001D03EF"/>
    <w:rsid w:val="001D0A38"/>
    <w:rsid w:val="001D2332"/>
    <w:rsid w:val="001D635F"/>
    <w:rsid w:val="001D6512"/>
    <w:rsid w:val="001D682D"/>
    <w:rsid w:val="001D7146"/>
    <w:rsid w:val="001D7420"/>
    <w:rsid w:val="001E10BB"/>
    <w:rsid w:val="001E16A5"/>
    <w:rsid w:val="001E1D67"/>
    <w:rsid w:val="001E25F2"/>
    <w:rsid w:val="001E262A"/>
    <w:rsid w:val="001E5B5A"/>
    <w:rsid w:val="001E6208"/>
    <w:rsid w:val="001E62F4"/>
    <w:rsid w:val="001E66AB"/>
    <w:rsid w:val="001E7EEB"/>
    <w:rsid w:val="001F1369"/>
    <w:rsid w:val="001F1E20"/>
    <w:rsid w:val="001F55A9"/>
    <w:rsid w:val="001F7EA1"/>
    <w:rsid w:val="0020050D"/>
    <w:rsid w:val="002006AC"/>
    <w:rsid w:val="002018FF"/>
    <w:rsid w:val="00203A27"/>
    <w:rsid w:val="002042D1"/>
    <w:rsid w:val="00204B0D"/>
    <w:rsid w:val="00204F1C"/>
    <w:rsid w:val="0020563C"/>
    <w:rsid w:val="00205E45"/>
    <w:rsid w:val="0020643A"/>
    <w:rsid w:val="0020680B"/>
    <w:rsid w:val="0021004F"/>
    <w:rsid w:val="00210C0F"/>
    <w:rsid w:val="00211483"/>
    <w:rsid w:val="00211842"/>
    <w:rsid w:val="00212DB6"/>
    <w:rsid w:val="002146FB"/>
    <w:rsid w:val="00214C36"/>
    <w:rsid w:val="00215581"/>
    <w:rsid w:val="00215CC3"/>
    <w:rsid w:val="00216EDB"/>
    <w:rsid w:val="00217E25"/>
    <w:rsid w:val="00217EF7"/>
    <w:rsid w:val="002204F6"/>
    <w:rsid w:val="002206E8"/>
    <w:rsid w:val="00220FD7"/>
    <w:rsid w:val="002222BD"/>
    <w:rsid w:val="00222490"/>
    <w:rsid w:val="0022339A"/>
    <w:rsid w:val="00224394"/>
    <w:rsid w:val="00225B88"/>
    <w:rsid w:val="00225C59"/>
    <w:rsid w:val="00226F10"/>
    <w:rsid w:val="00227532"/>
    <w:rsid w:val="00230964"/>
    <w:rsid w:val="002324CB"/>
    <w:rsid w:val="00236446"/>
    <w:rsid w:val="002379FB"/>
    <w:rsid w:val="00240D66"/>
    <w:rsid w:val="002415D2"/>
    <w:rsid w:val="0024160D"/>
    <w:rsid w:val="002428A3"/>
    <w:rsid w:val="00242B0F"/>
    <w:rsid w:val="0024414C"/>
    <w:rsid w:val="00244D78"/>
    <w:rsid w:val="00245777"/>
    <w:rsid w:val="00245C20"/>
    <w:rsid w:val="00247294"/>
    <w:rsid w:val="00250087"/>
    <w:rsid w:val="0025030B"/>
    <w:rsid w:val="002513E3"/>
    <w:rsid w:val="00251C6E"/>
    <w:rsid w:val="00252330"/>
    <w:rsid w:val="00261FC3"/>
    <w:rsid w:val="00263094"/>
    <w:rsid w:val="0026770C"/>
    <w:rsid w:val="00267923"/>
    <w:rsid w:val="00270C7F"/>
    <w:rsid w:val="00274AB1"/>
    <w:rsid w:val="002751ED"/>
    <w:rsid w:val="00277FD6"/>
    <w:rsid w:val="002809AF"/>
    <w:rsid w:val="00281EC6"/>
    <w:rsid w:val="00286F95"/>
    <w:rsid w:val="00287546"/>
    <w:rsid w:val="00290047"/>
    <w:rsid w:val="00290A3D"/>
    <w:rsid w:val="00291814"/>
    <w:rsid w:val="00291825"/>
    <w:rsid w:val="00292A28"/>
    <w:rsid w:val="00293CA2"/>
    <w:rsid w:val="00294688"/>
    <w:rsid w:val="00294E9D"/>
    <w:rsid w:val="00296B1E"/>
    <w:rsid w:val="00297183"/>
    <w:rsid w:val="0029753D"/>
    <w:rsid w:val="002A23AC"/>
    <w:rsid w:val="002A3048"/>
    <w:rsid w:val="002A5CCA"/>
    <w:rsid w:val="002B18E0"/>
    <w:rsid w:val="002B3B0C"/>
    <w:rsid w:val="002B49E8"/>
    <w:rsid w:val="002B5790"/>
    <w:rsid w:val="002B68FC"/>
    <w:rsid w:val="002B6B70"/>
    <w:rsid w:val="002B7D6D"/>
    <w:rsid w:val="002C02EC"/>
    <w:rsid w:val="002C042A"/>
    <w:rsid w:val="002C0996"/>
    <w:rsid w:val="002C13DE"/>
    <w:rsid w:val="002C20DD"/>
    <w:rsid w:val="002C30F7"/>
    <w:rsid w:val="002C3BC5"/>
    <w:rsid w:val="002C46C9"/>
    <w:rsid w:val="002C55F6"/>
    <w:rsid w:val="002C6311"/>
    <w:rsid w:val="002C7630"/>
    <w:rsid w:val="002C7774"/>
    <w:rsid w:val="002D0B7D"/>
    <w:rsid w:val="002D2D26"/>
    <w:rsid w:val="002D3370"/>
    <w:rsid w:val="002D3AEC"/>
    <w:rsid w:val="002D507A"/>
    <w:rsid w:val="002D59F2"/>
    <w:rsid w:val="002D631B"/>
    <w:rsid w:val="002D7B1E"/>
    <w:rsid w:val="002E003B"/>
    <w:rsid w:val="002E1D01"/>
    <w:rsid w:val="002E1F77"/>
    <w:rsid w:val="002E2B14"/>
    <w:rsid w:val="002E4B9D"/>
    <w:rsid w:val="002E59BA"/>
    <w:rsid w:val="002E5FB2"/>
    <w:rsid w:val="002E72AC"/>
    <w:rsid w:val="002E7C54"/>
    <w:rsid w:val="002F0321"/>
    <w:rsid w:val="002F1B67"/>
    <w:rsid w:val="002F2321"/>
    <w:rsid w:val="002F26F8"/>
    <w:rsid w:val="002F3D24"/>
    <w:rsid w:val="002F4A1E"/>
    <w:rsid w:val="002F523E"/>
    <w:rsid w:val="002F75B9"/>
    <w:rsid w:val="002F7691"/>
    <w:rsid w:val="002F7C02"/>
    <w:rsid w:val="00301ED8"/>
    <w:rsid w:val="003021FB"/>
    <w:rsid w:val="003033D3"/>
    <w:rsid w:val="00303DF3"/>
    <w:rsid w:val="0030462D"/>
    <w:rsid w:val="00304D07"/>
    <w:rsid w:val="00304D99"/>
    <w:rsid w:val="00305C8B"/>
    <w:rsid w:val="00305DE6"/>
    <w:rsid w:val="00306A98"/>
    <w:rsid w:val="0030772F"/>
    <w:rsid w:val="00310627"/>
    <w:rsid w:val="00310645"/>
    <w:rsid w:val="003112F0"/>
    <w:rsid w:val="00312E3C"/>
    <w:rsid w:val="00313654"/>
    <w:rsid w:val="003144BA"/>
    <w:rsid w:val="0031460A"/>
    <w:rsid w:val="003157FB"/>
    <w:rsid w:val="003167B7"/>
    <w:rsid w:val="00316AE6"/>
    <w:rsid w:val="00317E59"/>
    <w:rsid w:val="00320545"/>
    <w:rsid w:val="003213D4"/>
    <w:rsid w:val="00321935"/>
    <w:rsid w:val="00322BAC"/>
    <w:rsid w:val="00323011"/>
    <w:rsid w:val="0032509C"/>
    <w:rsid w:val="00325EF4"/>
    <w:rsid w:val="00326705"/>
    <w:rsid w:val="00326BFF"/>
    <w:rsid w:val="00331134"/>
    <w:rsid w:val="00332B89"/>
    <w:rsid w:val="00335084"/>
    <w:rsid w:val="00337176"/>
    <w:rsid w:val="00337AB9"/>
    <w:rsid w:val="00337BF8"/>
    <w:rsid w:val="003416E0"/>
    <w:rsid w:val="00342613"/>
    <w:rsid w:val="003426F7"/>
    <w:rsid w:val="00345AED"/>
    <w:rsid w:val="00346531"/>
    <w:rsid w:val="00347523"/>
    <w:rsid w:val="0035040B"/>
    <w:rsid w:val="00350770"/>
    <w:rsid w:val="00352930"/>
    <w:rsid w:val="00352B77"/>
    <w:rsid w:val="00353A13"/>
    <w:rsid w:val="00353CCA"/>
    <w:rsid w:val="0035421A"/>
    <w:rsid w:val="00354A1F"/>
    <w:rsid w:val="003574D1"/>
    <w:rsid w:val="003603F2"/>
    <w:rsid w:val="003620AF"/>
    <w:rsid w:val="0036448D"/>
    <w:rsid w:val="00364FE5"/>
    <w:rsid w:val="003654C3"/>
    <w:rsid w:val="003661F1"/>
    <w:rsid w:val="0036775F"/>
    <w:rsid w:val="00371EF1"/>
    <w:rsid w:val="003736DC"/>
    <w:rsid w:val="00374B9A"/>
    <w:rsid w:val="00375533"/>
    <w:rsid w:val="00376BD1"/>
    <w:rsid w:val="00376C4D"/>
    <w:rsid w:val="00381F40"/>
    <w:rsid w:val="00382D2E"/>
    <w:rsid w:val="00383803"/>
    <w:rsid w:val="003838CC"/>
    <w:rsid w:val="00384F72"/>
    <w:rsid w:val="0038660B"/>
    <w:rsid w:val="0038789E"/>
    <w:rsid w:val="00390CF5"/>
    <w:rsid w:val="00390D7B"/>
    <w:rsid w:val="0039108A"/>
    <w:rsid w:val="00392F31"/>
    <w:rsid w:val="00394B1C"/>
    <w:rsid w:val="00395864"/>
    <w:rsid w:val="003A12F5"/>
    <w:rsid w:val="003A2C69"/>
    <w:rsid w:val="003A40A0"/>
    <w:rsid w:val="003A40FA"/>
    <w:rsid w:val="003A50E8"/>
    <w:rsid w:val="003A63BD"/>
    <w:rsid w:val="003A6466"/>
    <w:rsid w:val="003B0583"/>
    <w:rsid w:val="003B22BC"/>
    <w:rsid w:val="003B29F7"/>
    <w:rsid w:val="003B35BC"/>
    <w:rsid w:val="003B45BC"/>
    <w:rsid w:val="003B4B52"/>
    <w:rsid w:val="003B65D1"/>
    <w:rsid w:val="003C017F"/>
    <w:rsid w:val="003C15D9"/>
    <w:rsid w:val="003C259E"/>
    <w:rsid w:val="003C39DC"/>
    <w:rsid w:val="003C4785"/>
    <w:rsid w:val="003C7C58"/>
    <w:rsid w:val="003C7CF1"/>
    <w:rsid w:val="003D264C"/>
    <w:rsid w:val="003D2C45"/>
    <w:rsid w:val="003D4892"/>
    <w:rsid w:val="003D4A40"/>
    <w:rsid w:val="003D632F"/>
    <w:rsid w:val="003E17BE"/>
    <w:rsid w:val="003E61DC"/>
    <w:rsid w:val="003F0074"/>
    <w:rsid w:val="003F0E67"/>
    <w:rsid w:val="003F206B"/>
    <w:rsid w:val="003F2CF8"/>
    <w:rsid w:val="003F3A36"/>
    <w:rsid w:val="003F3D6B"/>
    <w:rsid w:val="003F46A5"/>
    <w:rsid w:val="003F6896"/>
    <w:rsid w:val="003F7B16"/>
    <w:rsid w:val="003F7B4E"/>
    <w:rsid w:val="004014D5"/>
    <w:rsid w:val="00401931"/>
    <w:rsid w:val="0040225B"/>
    <w:rsid w:val="004024F8"/>
    <w:rsid w:val="0040294D"/>
    <w:rsid w:val="00403124"/>
    <w:rsid w:val="00403241"/>
    <w:rsid w:val="00403AEB"/>
    <w:rsid w:val="00403EC3"/>
    <w:rsid w:val="004044FF"/>
    <w:rsid w:val="0040590B"/>
    <w:rsid w:val="00405D20"/>
    <w:rsid w:val="00407BD0"/>
    <w:rsid w:val="004101D1"/>
    <w:rsid w:val="004108AD"/>
    <w:rsid w:val="00412363"/>
    <w:rsid w:val="00413D45"/>
    <w:rsid w:val="00414666"/>
    <w:rsid w:val="00416490"/>
    <w:rsid w:val="004166A0"/>
    <w:rsid w:val="0041697F"/>
    <w:rsid w:val="00416BCD"/>
    <w:rsid w:val="004205DF"/>
    <w:rsid w:val="00421531"/>
    <w:rsid w:val="00422712"/>
    <w:rsid w:val="00422E24"/>
    <w:rsid w:val="00424C09"/>
    <w:rsid w:val="004325B2"/>
    <w:rsid w:val="00435CE8"/>
    <w:rsid w:val="00437B66"/>
    <w:rsid w:val="004437CA"/>
    <w:rsid w:val="0044496B"/>
    <w:rsid w:val="00446B74"/>
    <w:rsid w:val="00446E3F"/>
    <w:rsid w:val="0045052F"/>
    <w:rsid w:val="00453A93"/>
    <w:rsid w:val="00457161"/>
    <w:rsid w:val="00461684"/>
    <w:rsid w:val="00461A8D"/>
    <w:rsid w:val="004627FB"/>
    <w:rsid w:val="00463213"/>
    <w:rsid w:val="00463272"/>
    <w:rsid w:val="0046330C"/>
    <w:rsid w:val="004654AF"/>
    <w:rsid w:val="00465ECA"/>
    <w:rsid w:val="004675C9"/>
    <w:rsid w:val="00467C84"/>
    <w:rsid w:val="004705ED"/>
    <w:rsid w:val="004709E5"/>
    <w:rsid w:val="00470E4A"/>
    <w:rsid w:val="00470FDF"/>
    <w:rsid w:val="00471341"/>
    <w:rsid w:val="00473894"/>
    <w:rsid w:val="00474F42"/>
    <w:rsid w:val="0047535B"/>
    <w:rsid w:val="004762A3"/>
    <w:rsid w:val="004767BE"/>
    <w:rsid w:val="004768B5"/>
    <w:rsid w:val="00477FF7"/>
    <w:rsid w:val="00481BA3"/>
    <w:rsid w:val="00483F70"/>
    <w:rsid w:val="00484AE9"/>
    <w:rsid w:val="00484BDD"/>
    <w:rsid w:val="00487144"/>
    <w:rsid w:val="0048780B"/>
    <w:rsid w:val="004904B9"/>
    <w:rsid w:val="00492742"/>
    <w:rsid w:val="004940F7"/>
    <w:rsid w:val="004943A2"/>
    <w:rsid w:val="00494448"/>
    <w:rsid w:val="00494D60"/>
    <w:rsid w:val="00496AFF"/>
    <w:rsid w:val="0049701F"/>
    <w:rsid w:val="0049742E"/>
    <w:rsid w:val="00497577"/>
    <w:rsid w:val="00497FE7"/>
    <w:rsid w:val="004A043C"/>
    <w:rsid w:val="004A317F"/>
    <w:rsid w:val="004A3985"/>
    <w:rsid w:val="004A3D7F"/>
    <w:rsid w:val="004A4DD1"/>
    <w:rsid w:val="004A6A93"/>
    <w:rsid w:val="004A7313"/>
    <w:rsid w:val="004A77F3"/>
    <w:rsid w:val="004A7A9B"/>
    <w:rsid w:val="004B0548"/>
    <w:rsid w:val="004B282D"/>
    <w:rsid w:val="004B5FBD"/>
    <w:rsid w:val="004B7E79"/>
    <w:rsid w:val="004C105A"/>
    <w:rsid w:val="004C152D"/>
    <w:rsid w:val="004C1579"/>
    <w:rsid w:val="004C1DFF"/>
    <w:rsid w:val="004C6AB6"/>
    <w:rsid w:val="004D03A2"/>
    <w:rsid w:val="004D1E13"/>
    <w:rsid w:val="004D25CF"/>
    <w:rsid w:val="004D308B"/>
    <w:rsid w:val="004D4F4A"/>
    <w:rsid w:val="004D5BAD"/>
    <w:rsid w:val="004D5CFB"/>
    <w:rsid w:val="004D5E3E"/>
    <w:rsid w:val="004E04A1"/>
    <w:rsid w:val="004E1D86"/>
    <w:rsid w:val="004E2DD6"/>
    <w:rsid w:val="004E5848"/>
    <w:rsid w:val="004E6A91"/>
    <w:rsid w:val="004E7077"/>
    <w:rsid w:val="004E7A29"/>
    <w:rsid w:val="004F06D1"/>
    <w:rsid w:val="004F2078"/>
    <w:rsid w:val="004F370A"/>
    <w:rsid w:val="004F3873"/>
    <w:rsid w:val="004F3A72"/>
    <w:rsid w:val="004F4651"/>
    <w:rsid w:val="004F5165"/>
    <w:rsid w:val="004F54BC"/>
    <w:rsid w:val="004F7FC9"/>
    <w:rsid w:val="00500CAF"/>
    <w:rsid w:val="0050121E"/>
    <w:rsid w:val="00501B6A"/>
    <w:rsid w:val="005021BC"/>
    <w:rsid w:val="00503177"/>
    <w:rsid w:val="00503B5D"/>
    <w:rsid w:val="00504197"/>
    <w:rsid w:val="00504551"/>
    <w:rsid w:val="00505520"/>
    <w:rsid w:val="005057CC"/>
    <w:rsid w:val="00506004"/>
    <w:rsid w:val="00510F5C"/>
    <w:rsid w:val="00511179"/>
    <w:rsid w:val="00513C39"/>
    <w:rsid w:val="00513E2F"/>
    <w:rsid w:val="00515322"/>
    <w:rsid w:val="00520427"/>
    <w:rsid w:val="005232B0"/>
    <w:rsid w:val="00523A8C"/>
    <w:rsid w:val="00524334"/>
    <w:rsid w:val="00524936"/>
    <w:rsid w:val="00524B6D"/>
    <w:rsid w:val="00525B88"/>
    <w:rsid w:val="00525C15"/>
    <w:rsid w:val="00525C64"/>
    <w:rsid w:val="005262C2"/>
    <w:rsid w:val="00526FC4"/>
    <w:rsid w:val="00527D1B"/>
    <w:rsid w:val="00530104"/>
    <w:rsid w:val="00530167"/>
    <w:rsid w:val="00532D0C"/>
    <w:rsid w:val="00534043"/>
    <w:rsid w:val="0053432F"/>
    <w:rsid w:val="005345CE"/>
    <w:rsid w:val="0053511F"/>
    <w:rsid w:val="005357C8"/>
    <w:rsid w:val="00536AB7"/>
    <w:rsid w:val="00537516"/>
    <w:rsid w:val="00540C52"/>
    <w:rsid w:val="00541FC7"/>
    <w:rsid w:val="0054221A"/>
    <w:rsid w:val="00542459"/>
    <w:rsid w:val="005455D6"/>
    <w:rsid w:val="00546652"/>
    <w:rsid w:val="005478EE"/>
    <w:rsid w:val="005514E5"/>
    <w:rsid w:val="005529E9"/>
    <w:rsid w:val="0055330D"/>
    <w:rsid w:val="00554566"/>
    <w:rsid w:val="00554D15"/>
    <w:rsid w:val="00554E23"/>
    <w:rsid w:val="00555985"/>
    <w:rsid w:val="005567B6"/>
    <w:rsid w:val="00557CB1"/>
    <w:rsid w:val="0056241B"/>
    <w:rsid w:val="0056266F"/>
    <w:rsid w:val="00564FB8"/>
    <w:rsid w:val="00566F6C"/>
    <w:rsid w:val="005701E2"/>
    <w:rsid w:val="00571027"/>
    <w:rsid w:val="00572294"/>
    <w:rsid w:val="00572CCC"/>
    <w:rsid w:val="00574DFE"/>
    <w:rsid w:val="005755C8"/>
    <w:rsid w:val="00575938"/>
    <w:rsid w:val="0057629E"/>
    <w:rsid w:val="00576C3D"/>
    <w:rsid w:val="00576D2F"/>
    <w:rsid w:val="005820D0"/>
    <w:rsid w:val="005831F8"/>
    <w:rsid w:val="005848BC"/>
    <w:rsid w:val="00584F9C"/>
    <w:rsid w:val="00585F0E"/>
    <w:rsid w:val="00592459"/>
    <w:rsid w:val="00592949"/>
    <w:rsid w:val="00592B13"/>
    <w:rsid w:val="00594050"/>
    <w:rsid w:val="005941D3"/>
    <w:rsid w:val="00597228"/>
    <w:rsid w:val="0059744A"/>
    <w:rsid w:val="005A1BE6"/>
    <w:rsid w:val="005A230F"/>
    <w:rsid w:val="005A7356"/>
    <w:rsid w:val="005B0939"/>
    <w:rsid w:val="005B4379"/>
    <w:rsid w:val="005B4AFB"/>
    <w:rsid w:val="005C15DB"/>
    <w:rsid w:val="005C28DC"/>
    <w:rsid w:val="005C5D67"/>
    <w:rsid w:val="005D03E0"/>
    <w:rsid w:val="005D0D82"/>
    <w:rsid w:val="005D1358"/>
    <w:rsid w:val="005D2330"/>
    <w:rsid w:val="005D385A"/>
    <w:rsid w:val="005D6A37"/>
    <w:rsid w:val="005D779E"/>
    <w:rsid w:val="005D7F62"/>
    <w:rsid w:val="005E0A3A"/>
    <w:rsid w:val="005E0DBF"/>
    <w:rsid w:val="005E3FCD"/>
    <w:rsid w:val="005E45A1"/>
    <w:rsid w:val="005E5555"/>
    <w:rsid w:val="005E655D"/>
    <w:rsid w:val="005E7E2C"/>
    <w:rsid w:val="005F1C61"/>
    <w:rsid w:val="005F26AF"/>
    <w:rsid w:val="005F2BC1"/>
    <w:rsid w:val="005F2E22"/>
    <w:rsid w:val="005F3889"/>
    <w:rsid w:val="005F5E8B"/>
    <w:rsid w:val="005F63C6"/>
    <w:rsid w:val="005F6651"/>
    <w:rsid w:val="005F7417"/>
    <w:rsid w:val="00600A17"/>
    <w:rsid w:val="00600B45"/>
    <w:rsid w:val="006012C7"/>
    <w:rsid w:val="006027A7"/>
    <w:rsid w:val="00602DB1"/>
    <w:rsid w:val="00603A7E"/>
    <w:rsid w:val="00605573"/>
    <w:rsid w:val="0060580C"/>
    <w:rsid w:val="00607590"/>
    <w:rsid w:val="006108EE"/>
    <w:rsid w:val="00615D0D"/>
    <w:rsid w:val="006175FC"/>
    <w:rsid w:val="00617D88"/>
    <w:rsid w:val="006211B6"/>
    <w:rsid w:val="00621A2C"/>
    <w:rsid w:val="00621EEE"/>
    <w:rsid w:val="00622AFA"/>
    <w:rsid w:val="00626634"/>
    <w:rsid w:val="00626A22"/>
    <w:rsid w:val="00631C5A"/>
    <w:rsid w:val="00631E76"/>
    <w:rsid w:val="00634D7D"/>
    <w:rsid w:val="006373DE"/>
    <w:rsid w:val="00637F1B"/>
    <w:rsid w:val="00642A79"/>
    <w:rsid w:val="0064313D"/>
    <w:rsid w:val="00644220"/>
    <w:rsid w:val="00644759"/>
    <w:rsid w:val="00644AEB"/>
    <w:rsid w:val="00645844"/>
    <w:rsid w:val="0065042C"/>
    <w:rsid w:val="00650B9A"/>
    <w:rsid w:val="006524E0"/>
    <w:rsid w:val="00652718"/>
    <w:rsid w:val="006533E0"/>
    <w:rsid w:val="00654584"/>
    <w:rsid w:val="00656AAC"/>
    <w:rsid w:val="0066238D"/>
    <w:rsid w:val="00664271"/>
    <w:rsid w:val="00665F36"/>
    <w:rsid w:val="006661AC"/>
    <w:rsid w:val="0066673D"/>
    <w:rsid w:val="00666A64"/>
    <w:rsid w:val="006674AF"/>
    <w:rsid w:val="00671152"/>
    <w:rsid w:val="0067122B"/>
    <w:rsid w:val="0067198E"/>
    <w:rsid w:val="00672244"/>
    <w:rsid w:val="0067314B"/>
    <w:rsid w:val="00673255"/>
    <w:rsid w:val="00675C56"/>
    <w:rsid w:val="00680500"/>
    <w:rsid w:val="00682FEB"/>
    <w:rsid w:val="0068523E"/>
    <w:rsid w:val="006859CB"/>
    <w:rsid w:val="0068633D"/>
    <w:rsid w:val="00686DEB"/>
    <w:rsid w:val="006900E9"/>
    <w:rsid w:val="00692B53"/>
    <w:rsid w:val="00692EFB"/>
    <w:rsid w:val="00694110"/>
    <w:rsid w:val="006941F0"/>
    <w:rsid w:val="00694287"/>
    <w:rsid w:val="00694566"/>
    <w:rsid w:val="006945E2"/>
    <w:rsid w:val="00694EA5"/>
    <w:rsid w:val="00695888"/>
    <w:rsid w:val="00696FC3"/>
    <w:rsid w:val="00697249"/>
    <w:rsid w:val="00697266"/>
    <w:rsid w:val="006A01F9"/>
    <w:rsid w:val="006A2E12"/>
    <w:rsid w:val="006A333F"/>
    <w:rsid w:val="006A3C43"/>
    <w:rsid w:val="006A4344"/>
    <w:rsid w:val="006A4AFA"/>
    <w:rsid w:val="006A4F98"/>
    <w:rsid w:val="006A598F"/>
    <w:rsid w:val="006A7B00"/>
    <w:rsid w:val="006B1962"/>
    <w:rsid w:val="006B25EE"/>
    <w:rsid w:val="006B2984"/>
    <w:rsid w:val="006B3ECA"/>
    <w:rsid w:val="006B515B"/>
    <w:rsid w:val="006B559B"/>
    <w:rsid w:val="006B5B32"/>
    <w:rsid w:val="006B6088"/>
    <w:rsid w:val="006B6ABF"/>
    <w:rsid w:val="006B7038"/>
    <w:rsid w:val="006B77BE"/>
    <w:rsid w:val="006C2846"/>
    <w:rsid w:val="006C4689"/>
    <w:rsid w:val="006C690D"/>
    <w:rsid w:val="006C753B"/>
    <w:rsid w:val="006C7B52"/>
    <w:rsid w:val="006D1CA8"/>
    <w:rsid w:val="006D2E98"/>
    <w:rsid w:val="006D3F49"/>
    <w:rsid w:val="006D54D9"/>
    <w:rsid w:val="006E01C9"/>
    <w:rsid w:val="006E055A"/>
    <w:rsid w:val="006E0899"/>
    <w:rsid w:val="006E1121"/>
    <w:rsid w:val="006E1B95"/>
    <w:rsid w:val="006E27CA"/>
    <w:rsid w:val="006E717D"/>
    <w:rsid w:val="006F0367"/>
    <w:rsid w:val="006F48B1"/>
    <w:rsid w:val="006F62CB"/>
    <w:rsid w:val="006F7962"/>
    <w:rsid w:val="0070045F"/>
    <w:rsid w:val="007043AB"/>
    <w:rsid w:val="00707C92"/>
    <w:rsid w:val="0071013F"/>
    <w:rsid w:val="0071022C"/>
    <w:rsid w:val="0071112F"/>
    <w:rsid w:val="0071135C"/>
    <w:rsid w:val="00712BCB"/>
    <w:rsid w:val="00714E8E"/>
    <w:rsid w:val="007160A6"/>
    <w:rsid w:val="00716DAB"/>
    <w:rsid w:val="0071761B"/>
    <w:rsid w:val="00717EE4"/>
    <w:rsid w:val="00721DCC"/>
    <w:rsid w:val="00722FB7"/>
    <w:rsid w:val="00723AC6"/>
    <w:rsid w:val="007243CE"/>
    <w:rsid w:val="00724891"/>
    <w:rsid w:val="00724BEF"/>
    <w:rsid w:val="00725BE6"/>
    <w:rsid w:val="00726152"/>
    <w:rsid w:val="00726ACA"/>
    <w:rsid w:val="00726DEA"/>
    <w:rsid w:val="00731FE1"/>
    <w:rsid w:val="00732CCF"/>
    <w:rsid w:val="0073300F"/>
    <w:rsid w:val="00734D27"/>
    <w:rsid w:val="007365E7"/>
    <w:rsid w:val="00736AB8"/>
    <w:rsid w:val="00741321"/>
    <w:rsid w:val="007420B4"/>
    <w:rsid w:val="0074274E"/>
    <w:rsid w:val="00742B82"/>
    <w:rsid w:val="00743796"/>
    <w:rsid w:val="00744118"/>
    <w:rsid w:val="00744B5F"/>
    <w:rsid w:val="00746412"/>
    <w:rsid w:val="00747221"/>
    <w:rsid w:val="00747283"/>
    <w:rsid w:val="00750794"/>
    <w:rsid w:val="00750FCB"/>
    <w:rsid w:val="00751C57"/>
    <w:rsid w:val="007530D6"/>
    <w:rsid w:val="00753F8F"/>
    <w:rsid w:val="0075431A"/>
    <w:rsid w:val="00756FFE"/>
    <w:rsid w:val="0075782B"/>
    <w:rsid w:val="007601E7"/>
    <w:rsid w:val="00760422"/>
    <w:rsid w:val="007613F2"/>
    <w:rsid w:val="00761F5D"/>
    <w:rsid w:val="00762704"/>
    <w:rsid w:val="007632B0"/>
    <w:rsid w:val="00763570"/>
    <w:rsid w:val="00764B86"/>
    <w:rsid w:val="00767287"/>
    <w:rsid w:val="00770544"/>
    <w:rsid w:val="0077063D"/>
    <w:rsid w:val="00774069"/>
    <w:rsid w:val="00774A09"/>
    <w:rsid w:val="007770FA"/>
    <w:rsid w:val="00777987"/>
    <w:rsid w:val="00780D2B"/>
    <w:rsid w:val="00781AF9"/>
    <w:rsid w:val="00781BA3"/>
    <w:rsid w:val="00783E78"/>
    <w:rsid w:val="007850A2"/>
    <w:rsid w:val="00785194"/>
    <w:rsid w:val="00791069"/>
    <w:rsid w:val="00791DCA"/>
    <w:rsid w:val="00792146"/>
    <w:rsid w:val="00795AD5"/>
    <w:rsid w:val="007965A1"/>
    <w:rsid w:val="007A0424"/>
    <w:rsid w:val="007A1FB6"/>
    <w:rsid w:val="007A4AD8"/>
    <w:rsid w:val="007A4E12"/>
    <w:rsid w:val="007A57A9"/>
    <w:rsid w:val="007A67B0"/>
    <w:rsid w:val="007B0CEE"/>
    <w:rsid w:val="007B3519"/>
    <w:rsid w:val="007B3D48"/>
    <w:rsid w:val="007B5D91"/>
    <w:rsid w:val="007B643A"/>
    <w:rsid w:val="007B6AD7"/>
    <w:rsid w:val="007B744C"/>
    <w:rsid w:val="007C3082"/>
    <w:rsid w:val="007C36A6"/>
    <w:rsid w:val="007D07EC"/>
    <w:rsid w:val="007D1B48"/>
    <w:rsid w:val="007D26E6"/>
    <w:rsid w:val="007D2E6A"/>
    <w:rsid w:val="007D6256"/>
    <w:rsid w:val="007E0EA6"/>
    <w:rsid w:val="007E150E"/>
    <w:rsid w:val="007E1A11"/>
    <w:rsid w:val="007E1E86"/>
    <w:rsid w:val="007E213C"/>
    <w:rsid w:val="007E547F"/>
    <w:rsid w:val="007E5DC9"/>
    <w:rsid w:val="007E6598"/>
    <w:rsid w:val="007E6C6D"/>
    <w:rsid w:val="007E6FF5"/>
    <w:rsid w:val="007E7505"/>
    <w:rsid w:val="007E7665"/>
    <w:rsid w:val="007E7BD6"/>
    <w:rsid w:val="007E7EC9"/>
    <w:rsid w:val="007F20F0"/>
    <w:rsid w:val="007F37C1"/>
    <w:rsid w:val="007F38BF"/>
    <w:rsid w:val="007F4261"/>
    <w:rsid w:val="007F4844"/>
    <w:rsid w:val="007F5C21"/>
    <w:rsid w:val="007F5EDE"/>
    <w:rsid w:val="007F5F72"/>
    <w:rsid w:val="007F6ABD"/>
    <w:rsid w:val="007F7B42"/>
    <w:rsid w:val="00803576"/>
    <w:rsid w:val="00805D1D"/>
    <w:rsid w:val="008062F5"/>
    <w:rsid w:val="008075FC"/>
    <w:rsid w:val="00810133"/>
    <w:rsid w:val="00811636"/>
    <w:rsid w:val="00811BCD"/>
    <w:rsid w:val="00815A6D"/>
    <w:rsid w:val="00816287"/>
    <w:rsid w:val="008177C3"/>
    <w:rsid w:val="00821B84"/>
    <w:rsid w:val="00822599"/>
    <w:rsid w:val="00823377"/>
    <w:rsid w:val="00823BA6"/>
    <w:rsid w:val="00824302"/>
    <w:rsid w:val="00827FF4"/>
    <w:rsid w:val="008316F7"/>
    <w:rsid w:val="00831761"/>
    <w:rsid w:val="00831D39"/>
    <w:rsid w:val="00832706"/>
    <w:rsid w:val="00835BE7"/>
    <w:rsid w:val="00842228"/>
    <w:rsid w:val="008430C5"/>
    <w:rsid w:val="00843D5C"/>
    <w:rsid w:val="008459D4"/>
    <w:rsid w:val="0085034E"/>
    <w:rsid w:val="00850B95"/>
    <w:rsid w:val="00851266"/>
    <w:rsid w:val="0085186A"/>
    <w:rsid w:val="008523F6"/>
    <w:rsid w:val="00852ADF"/>
    <w:rsid w:val="00852EFE"/>
    <w:rsid w:val="008536DC"/>
    <w:rsid w:val="00853900"/>
    <w:rsid w:val="00854A1B"/>
    <w:rsid w:val="008609DA"/>
    <w:rsid w:val="00861542"/>
    <w:rsid w:val="0086232A"/>
    <w:rsid w:val="00865117"/>
    <w:rsid w:val="0086535F"/>
    <w:rsid w:val="008679BD"/>
    <w:rsid w:val="00870808"/>
    <w:rsid w:val="00871FA2"/>
    <w:rsid w:val="008727E4"/>
    <w:rsid w:val="008756BE"/>
    <w:rsid w:val="008761A2"/>
    <w:rsid w:val="00876AD2"/>
    <w:rsid w:val="00876FC8"/>
    <w:rsid w:val="00877D9B"/>
    <w:rsid w:val="00880E1E"/>
    <w:rsid w:val="00881633"/>
    <w:rsid w:val="008818D2"/>
    <w:rsid w:val="008829F1"/>
    <w:rsid w:val="00882A57"/>
    <w:rsid w:val="008834E2"/>
    <w:rsid w:val="00884379"/>
    <w:rsid w:val="00884BF0"/>
    <w:rsid w:val="0089328C"/>
    <w:rsid w:val="00893B4A"/>
    <w:rsid w:val="00895BEC"/>
    <w:rsid w:val="00896814"/>
    <w:rsid w:val="0089766C"/>
    <w:rsid w:val="00897EDB"/>
    <w:rsid w:val="008A1EFA"/>
    <w:rsid w:val="008A2558"/>
    <w:rsid w:val="008A30CD"/>
    <w:rsid w:val="008A3542"/>
    <w:rsid w:val="008A5267"/>
    <w:rsid w:val="008A64EF"/>
    <w:rsid w:val="008B04AA"/>
    <w:rsid w:val="008B139C"/>
    <w:rsid w:val="008B1B2F"/>
    <w:rsid w:val="008B32DF"/>
    <w:rsid w:val="008B3718"/>
    <w:rsid w:val="008B3748"/>
    <w:rsid w:val="008B3BCA"/>
    <w:rsid w:val="008B435E"/>
    <w:rsid w:val="008B4D6E"/>
    <w:rsid w:val="008B5653"/>
    <w:rsid w:val="008B6647"/>
    <w:rsid w:val="008B7D5A"/>
    <w:rsid w:val="008B7F44"/>
    <w:rsid w:val="008C2989"/>
    <w:rsid w:val="008C3C19"/>
    <w:rsid w:val="008C5CBF"/>
    <w:rsid w:val="008C6A08"/>
    <w:rsid w:val="008C7ABF"/>
    <w:rsid w:val="008C7CF9"/>
    <w:rsid w:val="008D06BA"/>
    <w:rsid w:val="008D10A2"/>
    <w:rsid w:val="008D4C91"/>
    <w:rsid w:val="008D58C5"/>
    <w:rsid w:val="008D7A82"/>
    <w:rsid w:val="008E05DE"/>
    <w:rsid w:val="008E076F"/>
    <w:rsid w:val="008E1263"/>
    <w:rsid w:val="008E2D53"/>
    <w:rsid w:val="008E3C78"/>
    <w:rsid w:val="008E44A4"/>
    <w:rsid w:val="008E7607"/>
    <w:rsid w:val="008F099F"/>
    <w:rsid w:val="008F1617"/>
    <w:rsid w:val="008F19A8"/>
    <w:rsid w:val="008F4214"/>
    <w:rsid w:val="008F4217"/>
    <w:rsid w:val="008F6D90"/>
    <w:rsid w:val="008F70DA"/>
    <w:rsid w:val="008F78D8"/>
    <w:rsid w:val="0090077F"/>
    <w:rsid w:val="009014AD"/>
    <w:rsid w:val="0090166E"/>
    <w:rsid w:val="00901A16"/>
    <w:rsid w:val="0090258A"/>
    <w:rsid w:val="00902B06"/>
    <w:rsid w:val="00904152"/>
    <w:rsid w:val="00904798"/>
    <w:rsid w:val="009060EE"/>
    <w:rsid w:val="00910BE7"/>
    <w:rsid w:val="009136A8"/>
    <w:rsid w:val="00914B05"/>
    <w:rsid w:val="0091515E"/>
    <w:rsid w:val="0091516E"/>
    <w:rsid w:val="009164CB"/>
    <w:rsid w:val="00916722"/>
    <w:rsid w:val="009205C7"/>
    <w:rsid w:val="00921199"/>
    <w:rsid w:val="00923239"/>
    <w:rsid w:val="00923423"/>
    <w:rsid w:val="00923A50"/>
    <w:rsid w:val="009248F5"/>
    <w:rsid w:val="00926273"/>
    <w:rsid w:val="0092733E"/>
    <w:rsid w:val="009314A8"/>
    <w:rsid w:val="00933A18"/>
    <w:rsid w:val="00933A32"/>
    <w:rsid w:val="00937EC7"/>
    <w:rsid w:val="00940A5E"/>
    <w:rsid w:val="00941160"/>
    <w:rsid w:val="00941451"/>
    <w:rsid w:val="009423D6"/>
    <w:rsid w:val="0094339B"/>
    <w:rsid w:val="00944BD8"/>
    <w:rsid w:val="00945444"/>
    <w:rsid w:val="00950D0C"/>
    <w:rsid w:val="00951E4C"/>
    <w:rsid w:val="009528C3"/>
    <w:rsid w:val="00952ED8"/>
    <w:rsid w:val="0095317F"/>
    <w:rsid w:val="00953895"/>
    <w:rsid w:val="009538E5"/>
    <w:rsid w:val="0095622C"/>
    <w:rsid w:val="009563A8"/>
    <w:rsid w:val="00957825"/>
    <w:rsid w:val="00957B81"/>
    <w:rsid w:val="00960E38"/>
    <w:rsid w:val="009615B8"/>
    <w:rsid w:val="00963081"/>
    <w:rsid w:val="00964E55"/>
    <w:rsid w:val="0096527C"/>
    <w:rsid w:val="00965EBB"/>
    <w:rsid w:val="00966C99"/>
    <w:rsid w:val="0096764D"/>
    <w:rsid w:val="00970C33"/>
    <w:rsid w:val="00972648"/>
    <w:rsid w:val="0097355A"/>
    <w:rsid w:val="009735EA"/>
    <w:rsid w:val="009736F0"/>
    <w:rsid w:val="0097582F"/>
    <w:rsid w:val="0097668B"/>
    <w:rsid w:val="00976979"/>
    <w:rsid w:val="00977925"/>
    <w:rsid w:val="00977D2E"/>
    <w:rsid w:val="00977E33"/>
    <w:rsid w:val="009801BC"/>
    <w:rsid w:val="00980472"/>
    <w:rsid w:val="0098141B"/>
    <w:rsid w:val="00981556"/>
    <w:rsid w:val="00981A3A"/>
    <w:rsid w:val="00981D38"/>
    <w:rsid w:val="00981EE0"/>
    <w:rsid w:val="00983B90"/>
    <w:rsid w:val="00983CEE"/>
    <w:rsid w:val="00985472"/>
    <w:rsid w:val="009901A9"/>
    <w:rsid w:val="00992A47"/>
    <w:rsid w:val="009934D8"/>
    <w:rsid w:val="00994A1A"/>
    <w:rsid w:val="009A0119"/>
    <w:rsid w:val="009A10A9"/>
    <w:rsid w:val="009A3F3F"/>
    <w:rsid w:val="009A4B7C"/>
    <w:rsid w:val="009A52F5"/>
    <w:rsid w:val="009A7E25"/>
    <w:rsid w:val="009B0138"/>
    <w:rsid w:val="009B14E8"/>
    <w:rsid w:val="009B30F4"/>
    <w:rsid w:val="009B63FF"/>
    <w:rsid w:val="009C552F"/>
    <w:rsid w:val="009C7ACD"/>
    <w:rsid w:val="009D052D"/>
    <w:rsid w:val="009D09CF"/>
    <w:rsid w:val="009D0E15"/>
    <w:rsid w:val="009D1D63"/>
    <w:rsid w:val="009D2494"/>
    <w:rsid w:val="009D314F"/>
    <w:rsid w:val="009D442A"/>
    <w:rsid w:val="009D5F04"/>
    <w:rsid w:val="009D6F76"/>
    <w:rsid w:val="009D754C"/>
    <w:rsid w:val="009D781E"/>
    <w:rsid w:val="009D7B60"/>
    <w:rsid w:val="009D7FBE"/>
    <w:rsid w:val="009E7A34"/>
    <w:rsid w:val="009E7D00"/>
    <w:rsid w:val="009F2AA1"/>
    <w:rsid w:val="009F3AAE"/>
    <w:rsid w:val="009F68AB"/>
    <w:rsid w:val="009F791F"/>
    <w:rsid w:val="00A02624"/>
    <w:rsid w:val="00A02CB1"/>
    <w:rsid w:val="00A04DFD"/>
    <w:rsid w:val="00A07177"/>
    <w:rsid w:val="00A1079C"/>
    <w:rsid w:val="00A12556"/>
    <w:rsid w:val="00A132A7"/>
    <w:rsid w:val="00A135DD"/>
    <w:rsid w:val="00A14E7F"/>
    <w:rsid w:val="00A15932"/>
    <w:rsid w:val="00A15A70"/>
    <w:rsid w:val="00A15EF6"/>
    <w:rsid w:val="00A2067D"/>
    <w:rsid w:val="00A20BE8"/>
    <w:rsid w:val="00A22E85"/>
    <w:rsid w:val="00A252AA"/>
    <w:rsid w:val="00A26749"/>
    <w:rsid w:val="00A27614"/>
    <w:rsid w:val="00A30DBE"/>
    <w:rsid w:val="00A311A0"/>
    <w:rsid w:val="00A34E7D"/>
    <w:rsid w:val="00A36046"/>
    <w:rsid w:val="00A36A7F"/>
    <w:rsid w:val="00A37F57"/>
    <w:rsid w:val="00A409F1"/>
    <w:rsid w:val="00A41184"/>
    <w:rsid w:val="00A41BC2"/>
    <w:rsid w:val="00A41EF9"/>
    <w:rsid w:val="00A43F40"/>
    <w:rsid w:val="00A44F32"/>
    <w:rsid w:val="00A508B3"/>
    <w:rsid w:val="00A50CDC"/>
    <w:rsid w:val="00A50FCC"/>
    <w:rsid w:val="00A512E8"/>
    <w:rsid w:val="00A52365"/>
    <w:rsid w:val="00A535BD"/>
    <w:rsid w:val="00A54603"/>
    <w:rsid w:val="00A56592"/>
    <w:rsid w:val="00A636BD"/>
    <w:rsid w:val="00A649E0"/>
    <w:rsid w:val="00A6516D"/>
    <w:rsid w:val="00A658FF"/>
    <w:rsid w:val="00A66C42"/>
    <w:rsid w:val="00A6746B"/>
    <w:rsid w:val="00A678BA"/>
    <w:rsid w:val="00A77672"/>
    <w:rsid w:val="00A80739"/>
    <w:rsid w:val="00A81E06"/>
    <w:rsid w:val="00A82B74"/>
    <w:rsid w:val="00A82FC9"/>
    <w:rsid w:val="00A82FDF"/>
    <w:rsid w:val="00A834D6"/>
    <w:rsid w:val="00A85473"/>
    <w:rsid w:val="00A8547B"/>
    <w:rsid w:val="00A8554E"/>
    <w:rsid w:val="00A85623"/>
    <w:rsid w:val="00A85CC2"/>
    <w:rsid w:val="00A86C60"/>
    <w:rsid w:val="00A8743B"/>
    <w:rsid w:val="00A9040A"/>
    <w:rsid w:val="00A9098F"/>
    <w:rsid w:val="00A90B19"/>
    <w:rsid w:val="00A9196F"/>
    <w:rsid w:val="00A933B4"/>
    <w:rsid w:val="00A958E0"/>
    <w:rsid w:val="00A97585"/>
    <w:rsid w:val="00AA01FE"/>
    <w:rsid w:val="00AA111C"/>
    <w:rsid w:val="00AA1512"/>
    <w:rsid w:val="00AA1B36"/>
    <w:rsid w:val="00AA1CF1"/>
    <w:rsid w:val="00AA1D35"/>
    <w:rsid w:val="00AA2C40"/>
    <w:rsid w:val="00AA3084"/>
    <w:rsid w:val="00AA3D6E"/>
    <w:rsid w:val="00AA3FCE"/>
    <w:rsid w:val="00AA470E"/>
    <w:rsid w:val="00AA4BB4"/>
    <w:rsid w:val="00AA5704"/>
    <w:rsid w:val="00AA6D8C"/>
    <w:rsid w:val="00AA7563"/>
    <w:rsid w:val="00AA7749"/>
    <w:rsid w:val="00AB0B8D"/>
    <w:rsid w:val="00AB128D"/>
    <w:rsid w:val="00AB18B7"/>
    <w:rsid w:val="00AB436A"/>
    <w:rsid w:val="00AB4729"/>
    <w:rsid w:val="00AB47A8"/>
    <w:rsid w:val="00AB75C1"/>
    <w:rsid w:val="00AC0964"/>
    <w:rsid w:val="00AC2B96"/>
    <w:rsid w:val="00AC4A78"/>
    <w:rsid w:val="00AC6D71"/>
    <w:rsid w:val="00AD287F"/>
    <w:rsid w:val="00AD2EC0"/>
    <w:rsid w:val="00AD3E45"/>
    <w:rsid w:val="00AD5F40"/>
    <w:rsid w:val="00AD741B"/>
    <w:rsid w:val="00AE3706"/>
    <w:rsid w:val="00AE3E24"/>
    <w:rsid w:val="00AE4498"/>
    <w:rsid w:val="00AE7D7B"/>
    <w:rsid w:val="00AF1682"/>
    <w:rsid w:val="00AF2277"/>
    <w:rsid w:val="00AF2D4C"/>
    <w:rsid w:val="00AF340F"/>
    <w:rsid w:val="00AF5047"/>
    <w:rsid w:val="00AF62BA"/>
    <w:rsid w:val="00AF63DF"/>
    <w:rsid w:val="00AF6897"/>
    <w:rsid w:val="00AF6EFF"/>
    <w:rsid w:val="00AF75F8"/>
    <w:rsid w:val="00AF76FF"/>
    <w:rsid w:val="00B0005F"/>
    <w:rsid w:val="00B0026C"/>
    <w:rsid w:val="00B02439"/>
    <w:rsid w:val="00B04EB5"/>
    <w:rsid w:val="00B05BB1"/>
    <w:rsid w:val="00B07030"/>
    <w:rsid w:val="00B076A9"/>
    <w:rsid w:val="00B07B10"/>
    <w:rsid w:val="00B10493"/>
    <w:rsid w:val="00B11257"/>
    <w:rsid w:val="00B12E0B"/>
    <w:rsid w:val="00B12EC8"/>
    <w:rsid w:val="00B13007"/>
    <w:rsid w:val="00B13510"/>
    <w:rsid w:val="00B137EF"/>
    <w:rsid w:val="00B14E80"/>
    <w:rsid w:val="00B15808"/>
    <w:rsid w:val="00B16F50"/>
    <w:rsid w:val="00B20792"/>
    <w:rsid w:val="00B20F6B"/>
    <w:rsid w:val="00B21B1E"/>
    <w:rsid w:val="00B23EDB"/>
    <w:rsid w:val="00B257E6"/>
    <w:rsid w:val="00B3246D"/>
    <w:rsid w:val="00B32896"/>
    <w:rsid w:val="00B34338"/>
    <w:rsid w:val="00B350D1"/>
    <w:rsid w:val="00B355C3"/>
    <w:rsid w:val="00B35EBC"/>
    <w:rsid w:val="00B3700F"/>
    <w:rsid w:val="00B37C87"/>
    <w:rsid w:val="00B41ABC"/>
    <w:rsid w:val="00B444CD"/>
    <w:rsid w:val="00B44F2C"/>
    <w:rsid w:val="00B45736"/>
    <w:rsid w:val="00B45C7A"/>
    <w:rsid w:val="00B473C4"/>
    <w:rsid w:val="00B50129"/>
    <w:rsid w:val="00B5330E"/>
    <w:rsid w:val="00B53448"/>
    <w:rsid w:val="00B53C71"/>
    <w:rsid w:val="00B54168"/>
    <w:rsid w:val="00B55360"/>
    <w:rsid w:val="00B55B11"/>
    <w:rsid w:val="00B5736F"/>
    <w:rsid w:val="00B60D3C"/>
    <w:rsid w:val="00B6657C"/>
    <w:rsid w:val="00B710C2"/>
    <w:rsid w:val="00B7216E"/>
    <w:rsid w:val="00B72E70"/>
    <w:rsid w:val="00B73386"/>
    <w:rsid w:val="00B73E2A"/>
    <w:rsid w:val="00B7536A"/>
    <w:rsid w:val="00B76F75"/>
    <w:rsid w:val="00B81A89"/>
    <w:rsid w:val="00B83430"/>
    <w:rsid w:val="00B848C4"/>
    <w:rsid w:val="00B848F2"/>
    <w:rsid w:val="00B8506E"/>
    <w:rsid w:val="00B85BDF"/>
    <w:rsid w:val="00B87060"/>
    <w:rsid w:val="00B90705"/>
    <w:rsid w:val="00B94AA5"/>
    <w:rsid w:val="00B94B94"/>
    <w:rsid w:val="00B9643A"/>
    <w:rsid w:val="00B9788C"/>
    <w:rsid w:val="00BA039C"/>
    <w:rsid w:val="00BA1214"/>
    <w:rsid w:val="00BA1727"/>
    <w:rsid w:val="00BA29AE"/>
    <w:rsid w:val="00BA2B01"/>
    <w:rsid w:val="00BA4082"/>
    <w:rsid w:val="00BA5F72"/>
    <w:rsid w:val="00BA6B8F"/>
    <w:rsid w:val="00BA6FB1"/>
    <w:rsid w:val="00BA7625"/>
    <w:rsid w:val="00BB02BC"/>
    <w:rsid w:val="00BB0AA8"/>
    <w:rsid w:val="00BB186F"/>
    <w:rsid w:val="00BB2D8C"/>
    <w:rsid w:val="00BB48A0"/>
    <w:rsid w:val="00BB4E62"/>
    <w:rsid w:val="00BB6993"/>
    <w:rsid w:val="00BC0C62"/>
    <w:rsid w:val="00BC14E6"/>
    <w:rsid w:val="00BC17E6"/>
    <w:rsid w:val="00BC3A36"/>
    <w:rsid w:val="00BC3EEB"/>
    <w:rsid w:val="00BC49F4"/>
    <w:rsid w:val="00BC5194"/>
    <w:rsid w:val="00BC6679"/>
    <w:rsid w:val="00BD02B4"/>
    <w:rsid w:val="00BD1015"/>
    <w:rsid w:val="00BD11A8"/>
    <w:rsid w:val="00BD2B35"/>
    <w:rsid w:val="00BD40EA"/>
    <w:rsid w:val="00BD41D0"/>
    <w:rsid w:val="00BD5994"/>
    <w:rsid w:val="00BD72A3"/>
    <w:rsid w:val="00BD7C30"/>
    <w:rsid w:val="00BE0D4B"/>
    <w:rsid w:val="00BE1508"/>
    <w:rsid w:val="00BE1832"/>
    <w:rsid w:val="00BE2339"/>
    <w:rsid w:val="00BE3E91"/>
    <w:rsid w:val="00BE499A"/>
    <w:rsid w:val="00BF02F4"/>
    <w:rsid w:val="00BF1235"/>
    <w:rsid w:val="00BF4B7B"/>
    <w:rsid w:val="00BF4FFC"/>
    <w:rsid w:val="00BF6285"/>
    <w:rsid w:val="00BF6D1C"/>
    <w:rsid w:val="00BF7BAF"/>
    <w:rsid w:val="00C011C2"/>
    <w:rsid w:val="00C0157B"/>
    <w:rsid w:val="00C01D96"/>
    <w:rsid w:val="00C021A6"/>
    <w:rsid w:val="00C0292F"/>
    <w:rsid w:val="00C02B32"/>
    <w:rsid w:val="00C02E71"/>
    <w:rsid w:val="00C06A8C"/>
    <w:rsid w:val="00C06B57"/>
    <w:rsid w:val="00C10BA5"/>
    <w:rsid w:val="00C10F0D"/>
    <w:rsid w:val="00C11560"/>
    <w:rsid w:val="00C131CF"/>
    <w:rsid w:val="00C13D6E"/>
    <w:rsid w:val="00C14B6E"/>
    <w:rsid w:val="00C14BA6"/>
    <w:rsid w:val="00C1514B"/>
    <w:rsid w:val="00C20062"/>
    <w:rsid w:val="00C2056F"/>
    <w:rsid w:val="00C20813"/>
    <w:rsid w:val="00C2219F"/>
    <w:rsid w:val="00C222A7"/>
    <w:rsid w:val="00C228F6"/>
    <w:rsid w:val="00C23369"/>
    <w:rsid w:val="00C24C9E"/>
    <w:rsid w:val="00C308EC"/>
    <w:rsid w:val="00C3144A"/>
    <w:rsid w:val="00C32635"/>
    <w:rsid w:val="00C33AAB"/>
    <w:rsid w:val="00C33F28"/>
    <w:rsid w:val="00C34721"/>
    <w:rsid w:val="00C35350"/>
    <w:rsid w:val="00C3606E"/>
    <w:rsid w:val="00C360B8"/>
    <w:rsid w:val="00C367DB"/>
    <w:rsid w:val="00C370EB"/>
    <w:rsid w:val="00C3752E"/>
    <w:rsid w:val="00C37CC4"/>
    <w:rsid w:val="00C40712"/>
    <w:rsid w:val="00C410FE"/>
    <w:rsid w:val="00C420A7"/>
    <w:rsid w:val="00C445FE"/>
    <w:rsid w:val="00C46FD5"/>
    <w:rsid w:val="00C4752B"/>
    <w:rsid w:val="00C50C18"/>
    <w:rsid w:val="00C51AED"/>
    <w:rsid w:val="00C52543"/>
    <w:rsid w:val="00C52D07"/>
    <w:rsid w:val="00C5353F"/>
    <w:rsid w:val="00C5390A"/>
    <w:rsid w:val="00C5406E"/>
    <w:rsid w:val="00C54234"/>
    <w:rsid w:val="00C57D0C"/>
    <w:rsid w:val="00C60D3E"/>
    <w:rsid w:val="00C6302B"/>
    <w:rsid w:val="00C659BC"/>
    <w:rsid w:val="00C65FEE"/>
    <w:rsid w:val="00C67DA4"/>
    <w:rsid w:val="00C7059C"/>
    <w:rsid w:val="00C70769"/>
    <w:rsid w:val="00C72B70"/>
    <w:rsid w:val="00C74F6B"/>
    <w:rsid w:val="00C80CD6"/>
    <w:rsid w:val="00C813CA"/>
    <w:rsid w:val="00C81DAB"/>
    <w:rsid w:val="00C8262B"/>
    <w:rsid w:val="00C83ED8"/>
    <w:rsid w:val="00C875F4"/>
    <w:rsid w:val="00C9166E"/>
    <w:rsid w:val="00C926DE"/>
    <w:rsid w:val="00C936BE"/>
    <w:rsid w:val="00C939D6"/>
    <w:rsid w:val="00C93DF2"/>
    <w:rsid w:val="00C940FF"/>
    <w:rsid w:val="00C943F1"/>
    <w:rsid w:val="00C94A6B"/>
    <w:rsid w:val="00C979F8"/>
    <w:rsid w:val="00CA07CE"/>
    <w:rsid w:val="00CA0924"/>
    <w:rsid w:val="00CA1578"/>
    <w:rsid w:val="00CA3638"/>
    <w:rsid w:val="00CA4BE3"/>
    <w:rsid w:val="00CB0E2F"/>
    <w:rsid w:val="00CB1CAE"/>
    <w:rsid w:val="00CB242B"/>
    <w:rsid w:val="00CB462E"/>
    <w:rsid w:val="00CB4A19"/>
    <w:rsid w:val="00CB6106"/>
    <w:rsid w:val="00CB79AB"/>
    <w:rsid w:val="00CC01E4"/>
    <w:rsid w:val="00CC0707"/>
    <w:rsid w:val="00CC1068"/>
    <w:rsid w:val="00CC2021"/>
    <w:rsid w:val="00CC3126"/>
    <w:rsid w:val="00CC44C7"/>
    <w:rsid w:val="00CC524E"/>
    <w:rsid w:val="00CC616B"/>
    <w:rsid w:val="00CC745B"/>
    <w:rsid w:val="00CC7F0F"/>
    <w:rsid w:val="00CD05FA"/>
    <w:rsid w:val="00CD0AE9"/>
    <w:rsid w:val="00CD1665"/>
    <w:rsid w:val="00CD44C4"/>
    <w:rsid w:val="00CD553C"/>
    <w:rsid w:val="00CD5BEB"/>
    <w:rsid w:val="00CD69DC"/>
    <w:rsid w:val="00CD6C97"/>
    <w:rsid w:val="00CE04E0"/>
    <w:rsid w:val="00CE43C5"/>
    <w:rsid w:val="00CE53CB"/>
    <w:rsid w:val="00CE64A1"/>
    <w:rsid w:val="00CE6501"/>
    <w:rsid w:val="00CE7B1B"/>
    <w:rsid w:val="00CF02FB"/>
    <w:rsid w:val="00CF1485"/>
    <w:rsid w:val="00CF22E4"/>
    <w:rsid w:val="00CF2A2A"/>
    <w:rsid w:val="00CF3BFA"/>
    <w:rsid w:val="00CF3E49"/>
    <w:rsid w:val="00CF54C4"/>
    <w:rsid w:val="00CF56BD"/>
    <w:rsid w:val="00CF76E2"/>
    <w:rsid w:val="00CF779C"/>
    <w:rsid w:val="00D00E58"/>
    <w:rsid w:val="00D0276D"/>
    <w:rsid w:val="00D03028"/>
    <w:rsid w:val="00D05823"/>
    <w:rsid w:val="00D12DD6"/>
    <w:rsid w:val="00D13C6A"/>
    <w:rsid w:val="00D15164"/>
    <w:rsid w:val="00D1623F"/>
    <w:rsid w:val="00D16890"/>
    <w:rsid w:val="00D1720C"/>
    <w:rsid w:val="00D17581"/>
    <w:rsid w:val="00D25642"/>
    <w:rsid w:val="00D30A52"/>
    <w:rsid w:val="00D30AD8"/>
    <w:rsid w:val="00D31529"/>
    <w:rsid w:val="00D31536"/>
    <w:rsid w:val="00D350F2"/>
    <w:rsid w:val="00D368BF"/>
    <w:rsid w:val="00D37642"/>
    <w:rsid w:val="00D40AA7"/>
    <w:rsid w:val="00D41410"/>
    <w:rsid w:val="00D43CE5"/>
    <w:rsid w:val="00D43D38"/>
    <w:rsid w:val="00D44B22"/>
    <w:rsid w:val="00D45300"/>
    <w:rsid w:val="00D470FE"/>
    <w:rsid w:val="00D50076"/>
    <w:rsid w:val="00D524FB"/>
    <w:rsid w:val="00D53609"/>
    <w:rsid w:val="00D53CF7"/>
    <w:rsid w:val="00D53EFE"/>
    <w:rsid w:val="00D55A08"/>
    <w:rsid w:val="00D55DE0"/>
    <w:rsid w:val="00D57616"/>
    <w:rsid w:val="00D57B9E"/>
    <w:rsid w:val="00D61A5A"/>
    <w:rsid w:val="00D61CE3"/>
    <w:rsid w:val="00D61F9F"/>
    <w:rsid w:val="00D62685"/>
    <w:rsid w:val="00D64BC3"/>
    <w:rsid w:val="00D65019"/>
    <w:rsid w:val="00D67B97"/>
    <w:rsid w:val="00D70BBC"/>
    <w:rsid w:val="00D74AE2"/>
    <w:rsid w:val="00D752C2"/>
    <w:rsid w:val="00D76D61"/>
    <w:rsid w:val="00D806F1"/>
    <w:rsid w:val="00D81E45"/>
    <w:rsid w:val="00D820B3"/>
    <w:rsid w:val="00D83182"/>
    <w:rsid w:val="00D836F1"/>
    <w:rsid w:val="00D84436"/>
    <w:rsid w:val="00D847CD"/>
    <w:rsid w:val="00D850D4"/>
    <w:rsid w:val="00D86689"/>
    <w:rsid w:val="00D90FA2"/>
    <w:rsid w:val="00D9116A"/>
    <w:rsid w:val="00D912A6"/>
    <w:rsid w:val="00D937E9"/>
    <w:rsid w:val="00D94D22"/>
    <w:rsid w:val="00D97E84"/>
    <w:rsid w:val="00DA1036"/>
    <w:rsid w:val="00DA480B"/>
    <w:rsid w:val="00DA48E9"/>
    <w:rsid w:val="00DA4AB1"/>
    <w:rsid w:val="00DA4F7F"/>
    <w:rsid w:val="00DA4FEA"/>
    <w:rsid w:val="00DA645E"/>
    <w:rsid w:val="00DA6F5F"/>
    <w:rsid w:val="00DB2CBC"/>
    <w:rsid w:val="00DB5A51"/>
    <w:rsid w:val="00DB623A"/>
    <w:rsid w:val="00DC0817"/>
    <w:rsid w:val="00DC157F"/>
    <w:rsid w:val="00DC15E6"/>
    <w:rsid w:val="00DC2544"/>
    <w:rsid w:val="00DC3330"/>
    <w:rsid w:val="00DC3BB2"/>
    <w:rsid w:val="00DC57D4"/>
    <w:rsid w:val="00DC76A6"/>
    <w:rsid w:val="00DC7D5E"/>
    <w:rsid w:val="00DD0A33"/>
    <w:rsid w:val="00DD329D"/>
    <w:rsid w:val="00DD3918"/>
    <w:rsid w:val="00DD515C"/>
    <w:rsid w:val="00DD5D40"/>
    <w:rsid w:val="00DD5E1A"/>
    <w:rsid w:val="00DD60A5"/>
    <w:rsid w:val="00DD69F1"/>
    <w:rsid w:val="00DD6AD2"/>
    <w:rsid w:val="00DD6C7F"/>
    <w:rsid w:val="00DD7806"/>
    <w:rsid w:val="00DE0F95"/>
    <w:rsid w:val="00DE12EC"/>
    <w:rsid w:val="00DE180A"/>
    <w:rsid w:val="00DE25FF"/>
    <w:rsid w:val="00DE3102"/>
    <w:rsid w:val="00DE6C20"/>
    <w:rsid w:val="00DE76F6"/>
    <w:rsid w:val="00DF0470"/>
    <w:rsid w:val="00DF1A99"/>
    <w:rsid w:val="00DF2CC8"/>
    <w:rsid w:val="00DF3B12"/>
    <w:rsid w:val="00DF5EF8"/>
    <w:rsid w:val="00DF678A"/>
    <w:rsid w:val="00E03857"/>
    <w:rsid w:val="00E03FE3"/>
    <w:rsid w:val="00E07368"/>
    <w:rsid w:val="00E07CB5"/>
    <w:rsid w:val="00E104BA"/>
    <w:rsid w:val="00E12437"/>
    <w:rsid w:val="00E13B20"/>
    <w:rsid w:val="00E13B29"/>
    <w:rsid w:val="00E14591"/>
    <w:rsid w:val="00E165C7"/>
    <w:rsid w:val="00E1737B"/>
    <w:rsid w:val="00E17950"/>
    <w:rsid w:val="00E17B05"/>
    <w:rsid w:val="00E2217A"/>
    <w:rsid w:val="00E22A3E"/>
    <w:rsid w:val="00E2451B"/>
    <w:rsid w:val="00E24E35"/>
    <w:rsid w:val="00E25801"/>
    <w:rsid w:val="00E263FC"/>
    <w:rsid w:val="00E2666B"/>
    <w:rsid w:val="00E2776D"/>
    <w:rsid w:val="00E31F07"/>
    <w:rsid w:val="00E340B4"/>
    <w:rsid w:val="00E34209"/>
    <w:rsid w:val="00E34498"/>
    <w:rsid w:val="00E34ACB"/>
    <w:rsid w:val="00E34B90"/>
    <w:rsid w:val="00E354E3"/>
    <w:rsid w:val="00E37BC1"/>
    <w:rsid w:val="00E407F8"/>
    <w:rsid w:val="00E42067"/>
    <w:rsid w:val="00E42090"/>
    <w:rsid w:val="00E42655"/>
    <w:rsid w:val="00E42D24"/>
    <w:rsid w:val="00E467B4"/>
    <w:rsid w:val="00E51E6A"/>
    <w:rsid w:val="00E52C6F"/>
    <w:rsid w:val="00E52E18"/>
    <w:rsid w:val="00E56385"/>
    <w:rsid w:val="00E568D4"/>
    <w:rsid w:val="00E61590"/>
    <w:rsid w:val="00E6189B"/>
    <w:rsid w:val="00E62DAB"/>
    <w:rsid w:val="00E63A7F"/>
    <w:rsid w:val="00E647BA"/>
    <w:rsid w:val="00E6527D"/>
    <w:rsid w:val="00E67418"/>
    <w:rsid w:val="00E6744F"/>
    <w:rsid w:val="00E70B1A"/>
    <w:rsid w:val="00E71123"/>
    <w:rsid w:val="00E720B2"/>
    <w:rsid w:val="00E72C84"/>
    <w:rsid w:val="00E75089"/>
    <w:rsid w:val="00E757AB"/>
    <w:rsid w:val="00E77A04"/>
    <w:rsid w:val="00E77CFA"/>
    <w:rsid w:val="00E823FD"/>
    <w:rsid w:val="00E85886"/>
    <w:rsid w:val="00E8678C"/>
    <w:rsid w:val="00E912F1"/>
    <w:rsid w:val="00E91ADD"/>
    <w:rsid w:val="00E923FD"/>
    <w:rsid w:val="00E92D78"/>
    <w:rsid w:val="00E9423A"/>
    <w:rsid w:val="00E94807"/>
    <w:rsid w:val="00E954F9"/>
    <w:rsid w:val="00E96680"/>
    <w:rsid w:val="00E9701D"/>
    <w:rsid w:val="00E9703B"/>
    <w:rsid w:val="00E970B5"/>
    <w:rsid w:val="00E97E0A"/>
    <w:rsid w:val="00EA0516"/>
    <w:rsid w:val="00EA2493"/>
    <w:rsid w:val="00EA27B2"/>
    <w:rsid w:val="00EA2EA2"/>
    <w:rsid w:val="00EA3D68"/>
    <w:rsid w:val="00EA43AA"/>
    <w:rsid w:val="00EA49AD"/>
    <w:rsid w:val="00EA556C"/>
    <w:rsid w:val="00EA78E6"/>
    <w:rsid w:val="00EA7EAB"/>
    <w:rsid w:val="00EB1A33"/>
    <w:rsid w:val="00EB1B26"/>
    <w:rsid w:val="00EB21D7"/>
    <w:rsid w:val="00EB2CEA"/>
    <w:rsid w:val="00EB6106"/>
    <w:rsid w:val="00EB67AB"/>
    <w:rsid w:val="00EB6C4E"/>
    <w:rsid w:val="00EC152D"/>
    <w:rsid w:val="00EC2748"/>
    <w:rsid w:val="00EC2B7A"/>
    <w:rsid w:val="00EC2C0E"/>
    <w:rsid w:val="00EC46F4"/>
    <w:rsid w:val="00EC66F5"/>
    <w:rsid w:val="00EC672D"/>
    <w:rsid w:val="00EC6AE9"/>
    <w:rsid w:val="00EC7904"/>
    <w:rsid w:val="00EC7E5D"/>
    <w:rsid w:val="00ED0DE8"/>
    <w:rsid w:val="00ED118D"/>
    <w:rsid w:val="00ED5493"/>
    <w:rsid w:val="00ED5AFC"/>
    <w:rsid w:val="00ED5B22"/>
    <w:rsid w:val="00ED65F0"/>
    <w:rsid w:val="00ED6975"/>
    <w:rsid w:val="00ED7B67"/>
    <w:rsid w:val="00EE02FC"/>
    <w:rsid w:val="00EE130F"/>
    <w:rsid w:val="00EE1ACF"/>
    <w:rsid w:val="00EE226F"/>
    <w:rsid w:val="00EE2EE4"/>
    <w:rsid w:val="00EF140D"/>
    <w:rsid w:val="00EF2681"/>
    <w:rsid w:val="00EF27A5"/>
    <w:rsid w:val="00EF33C4"/>
    <w:rsid w:val="00EF4040"/>
    <w:rsid w:val="00EF4905"/>
    <w:rsid w:val="00EF5E9A"/>
    <w:rsid w:val="00EF7BC0"/>
    <w:rsid w:val="00EF7F5B"/>
    <w:rsid w:val="00F0004B"/>
    <w:rsid w:val="00F01FA5"/>
    <w:rsid w:val="00F0228C"/>
    <w:rsid w:val="00F042B1"/>
    <w:rsid w:val="00F05DC2"/>
    <w:rsid w:val="00F06625"/>
    <w:rsid w:val="00F07F70"/>
    <w:rsid w:val="00F10618"/>
    <w:rsid w:val="00F1106A"/>
    <w:rsid w:val="00F11594"/>
    <w:rsid w:val="00F11820"/>
    <w:rsid w:val="00F12AF9"/>
    <w:rsid w:val="00F13B91"/>
    <w:rsid w:val="00F15A31"/>
    <w:rsid w:val="00F174CA"/>
    <w:rsid w:val="00F21553"/>
    <w:rsid w:val="00F26013"/>
    <w:rsid w:val="00F31240"/>
    <w:rsid w:val="00F31FD1"/>
    <w:rsid w:val="00F33441"/>
    <w:rsid w:val="00F35A5B"/>
    <w:rsid w:val="00F36A9A"/>
    <w:rsid w:val="00F37249"/>
    <w:rsid w:val="00F3776B"/>
    <w:rsid w:val="00F3796D"/>
    <w:rsid w:val="00F40DC5"/>
    <w:rsid w:val="00F41F5F"/>
    <w:rsid w:val="00F44BB0"/>
    <w:rsid w:val="00F46552"/>
    <w:rsid w:val="00F4685D"/>
    <w:rsid w:val="00F4707B"/>
    <w:rsid w:val="00F47333"/>
    <w:rsid w:val="00F47DC4"/>
    <w:rsid w:val="00F50B16"/>
    <w:rsid w:val="00F50EA4"/>
    <w:rsid w:val="00F5204A"/>
    <w:rsid w:val="00F53823"/>
    <w:rsid w:val="00F5687D"/>
    <w:rsid w:val="00F5799D"/>
    <w:rsid w:val="00F57EE0"/>
    <w:rsid w:val="00F60208"/>
    <w:rsid w:val="00F614F5"/>
    <w:rsid w:val="00F61D55"/>
    <w:rsid w:val="00F64554"/>
    <w:rsid w:val="00F649E4"/>
    <w:rsid w:val="00F65FCB"/>
    <w:rsid w:val="00F67661"/>
    <w:rsid w:val="00F677E8"/>
    <w:rsid w:val="00F7028D"/>
    <w:rsid w:val="00F7137A"/>
    <w:rsid w:val="00F721BB"/>
    <w:rsid w:val="00F73002"/>
    <w:rsid w:val="00F73121"/>
    <w:rsid w:val="00F7332F"/>
    <w:rsid w:val="00F758BD"/>
    <w:rsid w:val="00F80429"/>
    <w:rsid w:val="00F805B4"/>
    <w:rsid w:val="00F80CDE"/>
    <w:rsid w:val="00F84A22"/>
    <w:rsid w:val="00F92AD7"/>
    <w:rsid w:val="00F93988"/>
    <w:rsid w:val="00F93CF3"/>
    <w:rsid w:val="00F949E0"/>
    <w:rsid w:val="00F97694"/>
    <w:rsid w:val="00F97B03"/>
    <w:rsid w:val="00FA1F48"/>
    <w:rsid w:val="00FA235C"/>
    <w:rsid w:val="00FA29A2"/>
    <w:rsid w:val="00FA40BB"/>
    <w:rsid w:val="00FA45B2"/>
    <w:rsid w:val="00FA58EC"/>
    <w:rsid w:val="00FA6596"/>
    <w:rsid w:val="00FA738B"/>
    <w:rsid w:val="00FB036C"/>
    <w:rsid w:val="00FB0D42"/>
    <w:rsid w:val="00FB0E47"/>
    <w:rsid w:val="00FB15F6"/>
    <w:rsid w:val="00FB2216"/>
    <w:rsid w:val="00FB2F8D"/>
    <w:rsid w:val="00FB513B"/>
    <w:rsid w:val="00FB5461"/>
    <w:rsid w:val="00FC10EA"/>
    <w:rsid w:val="00FC2298"/>
    <w:rsid w:val="00FC4CD5"/>
    <w:rsid w:val="00FC57CD"/>
    <w:rsid w:val="00FC60CE"/>
    <w:rsid w:val="00FC6E48"/>
    <w:rsid w:val="00FD0494"/>
    <w:rsid w:val="00FD1863"/>
    <w:rsid w:val="00FD5A67"/>
    <w:rsid w:val="00FD6030"/>
    <w:rsid w:val="00FE0430"/>
    <w:rsid w:val="00FE07BC"/>
    <w:rsid w:val="00FE10D2"/>
    <w:rsid w:val="00FE2439"/>
    <w:rsid w:val="00FE30EC"/>
    <w:rsid w:val="00FE3826"/>
    <w:rsid w:val="00FE3F2E"/>
    <w:rsid w:val="00FE4B48"/>
    <w:rsid w:val="00FE5711"/>
    <w:rsid w:val="00FE6A62"/>
    <w:rsid w:val="00FF0D81"/>
    <w:rsid w:val="00FF1040"/>
    <w:rsid w:val="00FF3B39"/>
    <w:rsid w:val="00FF3D03"/>
    <w:rsid w:val="00FF3D08"/>
    <w:rsid w:val="00FF5F24"/>
    <w:rsid w:val="00FF65F8"/>
    <w:rsid w:val="00FF69CD"/>
    <w:rsid w:val="00FF6F0B"/>
    <w:rsid w:val="00FF7847"/>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kweb:inappropriateterms" w:name="lis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lsdException w:name="Strong" w:locked="1"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Light Shading Accent 5" w:uiPriority="60"/>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363"/>
    <w:pPr>
      <w:overflowPunct w:val="0"/>
      <w:autoSpaceDE w:val="0"/>
      <w:autoSpaceDN w:val="0"/>
      <w:adjustRightInd w:val="0"/>
      <w:spacing w:after="200" w:line="288" w:lineRule="auto"/>
      <w:textAlignment w:val="baseline"/>
    </w:pPr>
    <w:rPr>
      <w:rFonts w:ascii="Arial" w:hAnsi="Arial"/>
    </w:rPr>
  </w:style>
  <w:style w:type="paragraph" w:styleId="Heading1">
    <w:name w:val="heading 1"/>
    <w:basedOn w:val="Normal"/>
    <w:next w:val="Normal"/>
    <w:link w:val="Heading1Char"/>
    <w:uiPriority w:val="99"/>
    <w:qFormat/>
    <w:rsid w:val="00751C57"/>
    <w:pPr>
      <w:keepNext/>
      <w:numPr>
        <w:numId w:val="10"/>
      </w:numPr>
      <w:tabs>
        <w:tab w:val="clear" w:pos="360"/>
        <w:tab w:val="num" w:pos="900"/>
      </w:tabs>
      <w:spacing w:before="240" w:after="120"/>
      <w:ind w:left="900" w:hanging="900"/>
      <w:outlineLvl w:val="0"/>
    </w:pPr>
    <w:rPr>
      <w:rFonts w:ascii="Arial Bold" w:hAnsi="Arial Bold"/>
      <w:b/>
      <w:bCs/>
      <w:smallCaps/>
      <w:kern w:val="32"/>
      <w:sz w:val="30"/>
      <w:szCs w:val="32"/>
    </w:rPr>
  </w:style>
  <w:style w:type="paragraph" w:styleId="Heading2">
    <w:name w:val="heading 2"/>
    <w:basedOn w:val="Normal"/>
    <w:next w:val="Normal"/>
    <w:link w:val="Heading2Char"/>
    <w:qFormat/>
    <w:rsid w:val="007A0424"/>
    <w:pPr>
      <w:keepNext/>
      <w:numPr>
        <w:ilvl w:val="1"/>
        <w:numId w:val="10"/>
      </w:numPr>
      <w:tabs>
        <w:tab w:val="clear" w:pos="630"/>
        <w:tab w:val="left" w:pos="907"/>
      </w:tabs>
      <w:spacing w:before="120" w:after="120"/>
      <w:ind w:left="907" w:hanging="907"/>
      <w:outlineLvl w:val="1"/>
    </w:pPr>
    <w:rPr>
      <w:b/>
      <w:bCs/>
      <w:iCs/>
      <w:sz w:val="24"/>
      <w:szCs w:val="28"/>
    </w:rPr>
  </w:style>
  <w:style w:type="paragraph" w:styleId="Heading3">
    <w:name w:val="heading 3"/>
    <w:basedOn w:val="Normal"/>
    <w:next w:val="Normal"/>
    <w:link w:val="Heading3Char"/>
    <w:autoRedefine/>
    <w:uiPriority w:val="99"/>
    <w:qFormat/>
    <w:rsid w:val="00871FA2"/>
    <w:pPr>
      <w:keepNext/>
      <w:numPr>
        <w:ilvl w:val="2"/>
        <w:numId w:val="10"/>
      </w:numPr>
      <w:tabs>
        <w:tab w:val="clear" w:pos="634"/>
        <w:tab w:val="left" w:pos="900"/>
      </w:tabs>
      <w:spacing w:before="200" w:after="120"/>
      <w:ind w:left="907" w:hanging="907"/>
      <w:outlineLvl w:val="2"/>
    </w:pPr>
    <w:rPr>
      <w:b/>
      <w:bCs/>
      <w:szCs w:val="26"/>
    </w:rPr>
  </w:style>
  <w:style w:type="paragraph" w:styleId="Heading4">
    <w:name w:val="heading 4"/>
    <w:basedOn w:val="Normal"/>
    <w:next w:val="Normal"/>
    <w:link w:val="Heading4Char"/>
    <w:autoRedefine/>
    <w:uiPriority w:val="99"/>
    <w:qFormat/>
    <w:rsid w:val="00212DB6"/>
    <w:pPr>
      <w:keepNext/>
      <w:tabs>
        <w:tab w:val="left" w:pos="1008"/>
      </w:tabs>
      <w:spacing w:before="200" w:after="60"/>
      <w:outlineLvl w:val="3"/>
    </w:pPr>
    <w:rPr>
      <w:b/>
      <w:bCs/>
      <w:sz w:val="18"/>
      <w:szCs w:val="28"/>
    </w:rPr>
  </w:style>
  <w:style w:type="paragraph" w:styleId="Heading5">
    <w:name w:val="heading 5"/>
    <w:basedOn w:val="Normal"/>
    <w:next w:val="Normal"/>
    <w:link w:val="Heading5Char"/>
    <w:uiPriority w:val="99"/>
    <w:qFormat/>
    <w:rsid w:val="00A26749"/>
    <w:pPr>
      <w:keepNext/>
      <w:numPr>
        <w:ilvl w:val="4"/>
        <w:numId w:val="6"/>
      </w:numPr>
      <w:spacing w:line="480" w:lineRule="auto"/>
      <w:ind w:right="-180"/>
      <w:jc w:val="center"/>
      <w:outlineLvl w:val="4"/>
    </w:pPr>
  </w:style>
  <w:style w:type="paragraph" w:styleId="Heading6">
    <w:name w:val="heading 6"/>
    <w:basedOn w:val="Normal"/>
    <w:next w:val="Normal"/>
    <w:link w:val="Heading6Char"/>
    <w:uiPriority w:val="99"/>
    <w:qFormat/>
    <w:rsid w:val="00A26749"/>
    <w:pPr>
      <w:keepNext/>
      <w:numPr>
        <w:ilvl w:val="5"/>
        <w:numId w:val="6"/>
      </w:numPr>
      <w:spacing w:line="480" w:lineRule="auto"/>
      <w:ind w:right="-180"/>
      <w:jc w:val="center"/>
      <w:outlineLvl w:val="5"/>
    </w:pPr>
    <w:rPr>
      <w:i/>
    </w:rPr>
  </w:style>
  <w:style w:type="paragraph" w:styleId="Heading7">
    <w:name w:val="heading 7"/>
    <w:basedOn w:val="Normal"/>
    <w:next w:val="Normal"/>
    <w:link w:val="Heading7Char"/>
    <w:uiPriority w:val="99"/>
    <w:qFormat/>
    <w:rsid w:val="00A26749"/>
    <w:pPr>
      <w:keepNext/>
      <w:numPr>
        <w:ilvl w:val="6"/>
        <w:numId w:val="6"/>
      </w:numPr>
      <w:ind w:right="-187"/>
      <w:jc w:val="center"/>
      <w:outlineLvl w:val="6"/>
    </w:pPr>
    <w:rPr>
      <w:b/>
    </w:rPr>
  </w:style>
  <w:style w:type="paragraph" w:styleId="Heading8">
    <w:name w:val="heading 8"/>
    <w:basedOn w:val="Normal"/>
    <w:next w:val="Normal"/>
    <w:link w:val="Heading8Char"/>
    <w:uiPriority w:val="99"/>
    <w:qFormat/>
    <w:rsid w:val="00A26749"/>
    <w:pPr>
      <w:keepNext/>
      <w:numPr>
        <w:ilvl w:val="7"/>
        <w:numId w:val="6"/>
      </w:numPr>
      <w:spacing w:line="480" w:lineRule="auto"/>
      <w:ind w:right="-187"/>
      <w:jc w:val="center"/>
      <w:outlineLvl w:val="7"/>
    </w:pPr>
  </w:style>
  <w:style w:type="paragraph" w:styleId="Heading9">
    <w:name w:val="heading 9"/>
    <w:basedOn w:val="Normal"/>
    <w:next w:val="Normal"/>
    <w:link w:val="Heading9Char"/>
    <w:uiPriority w:val="99"/>
    <w:qFormat/>
    <w:rsid w:val="00A26749"/>
    <w:pPr>
      <w:keepNext/>
      <w:numPr>
        <w:ilvl w:val="8"/>
        <w:numId w:val="6"/>
      </w:numPr>
      <w:spacing w:line="480" w:lineRule="auto"/>
      <w:ind w:right="-187"/>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51C57"/>
    <w:rPr>
      <w:rFonts w:ascii="Arial Bold" w:hAnsi="Arial Bold"/>
      <w:b/>
      <w:bCs/>
      <w:smallCaps/>
      <w:kern w:val="32"/>
      <w:sz w:val="30"/>
      <w:szCs w:val="32"/>
    </w:rPr>
  </w:style>
  <w:style w:type="character" w:customStyle="1" w:styleId="Heading2Char">
    <w:name w:val="Heading 2 Char"/>
    <w:link w:val="Heading2"/>
    <w:rsid w:val="007A0424"/>
    <w:rPr>
      <w:rFonts w:ascii="Arial" w:hAnsi="Arial"/>
      <w:b/>
      <w:bCs/>
      <w:iCs/>
      <w:sz w:val="24"/>
      <w:szCs w:val="28"/>
    </w:rPr>
  </w:style>
  <w:style w:type="character" w:customStyle="1" w:styleId="Heading3Char">
    <w:name w:val="Heading 3 Char"/>
    <w:link w:val="Heading3"/>
    <w:uiPriority w:val="99"/>
    <w:rsid w:val="00871FA2"/>
    <w:rPr>
      <w:rFonts w:ascii="Arial" w:hAnsi="Arial"/>
      <w:b/>
      <w:bCs/>
      <w:szCs w:val="26"/>
    </w:rPr>
  </w:style>
  <w:style w:type="character" w:customStyle="1" w:styleId="Heading4Char">
    <w:name w:val="Heading 4 Char"/>
    <w:link w:val="Heading4"/>
    <w:uiPriority w:val="99"/>
    <w:rsid w:val="00212DB6"/>
    <w:rPr>
      <w:rFonts w:ascii="Arial" w:hAnsi="Arial"/>
      <w:b/>
      <w:bCs/>
      <w:sz w:val="18"/>
      <w:szCs w:val="28"/>
    </w:rPr>
  </w:style>
  <w:style w:type="character" w:customStyle="1" w:styleId="Heading5Char">
    <w:name w:val="Heading 5 Char"/>
    <w:link w:val="Heading5"/>
    <w:uiPriority w:val="99"/>
    <w:rsid w:val="009A4B7C"/>
    <w:rPr>
      <w:rFonts w:ascii="Arial" w:hAnsi="Arial"/>
    </w:rPr>
  </w:style>
  <w:style w:type="character" w:customStyle="1" w:styleId="Heading6Char">
    <w:name w:val="Heading 6 Char"/>
    <w:link w:val="Heading6"/>
    <w:uiPriority w:val="99"/>
    <w:rsid w:val="009A4B7C"/>
    <w:rPr>
      <w:rFonts w:ascii="Arial" w:hAnsi="Arial"/>
      <w:i/>
    </w:rPr>
  </w:style>
  <w:style w:type="character" w:customStyle="1" w:styleId="Heading7Char">
    <w:name w:val="Heading 7 Char"/>
    <w:link w:val="Heading7"/>
    <w:uiPriority w:val="99"/>
    <w:rsid w:val="009A4B7C"/>
    <w:rPr>
      <w:rFonts w:ascii="Arial" w:hAnsi="Arial"/>
      <w:b/>
    </w:rPr>
  </w:style>
  <w:style w:type="character" w:customStyle="1" w:styleId="Heading8Char">
    <w:name w:val="Heading 8 Char"/>
    <w:link w:val="Heading8"/>
    <w:uiPriority w:val="99"/>
    <w:rsid w:val="009A4B7C"/>
    <w:rPr>
      <w:rFonts w:ascii="Arial" w:hAnsi="Arial"/>
    </w:rPr>
  </w:style>
  <w:style w:type="character" w:customStyle="1" w:styleId="Heading9Char">
    <w:name w:val="Heading 9 Char"/>
    <w:link w:val="Heading9"/>
    <w:uiPriority w:val="99"/>
    <w:rsid w:val="009A4B7C"/>
    <w:rPr>
      <w:rFonts w:ascii="Arial" w:hAnsi="Arial"/>
      <w:i/>
    </w:rPr>
  </w:style>
  <w:style w:type="paragraph" w:styleId="Header">
    <w:name w:val="header"/>
    <w:basedOn w:val="Normal"/>
    <w:link w:val="HeaderChar"/>
    <w:uiPriority w:val="99"/>
    <w:rsid w:val="00682FEB"/>
    <w:pPr>
      <w:pBdr>
        <w:bottom w:val="dotted" w:sz="4" w:space="1" w:color="1F497D"/>
      </w:pBdr>
      <w:tabs>
        <w:tab w:val="center" w:pos="4320"/>
        <w:tab w:val="right" w:pos="8640"/>
      </w:tabs>
      <w:spacing w:after="360"/>
      <w:jc w:val="center"/>
    </w:pPr>
    <w:rPr>
      <w:rFonts w:ascii="Arial Narrow" w:hAnsi="Arial Narrow"/>
    </w:rPr>
  </w:style>
  <w:style w:type="character" w:customStyle="1" w:styleId="HeaderChar">
    <w:name w:val="Header Char"/>
    <w:link w:val="Header"/>
    <w:uiPriority w:val="99"/>
    <w:rsid w:val="00682FEB"/>
    <w:rPr>
      <w:rFonts w:ascii="Arial Narrow" w:hAnsi="Arial Narrow"/>
    </w:rPr>
  </w:style>
  <w:style w:type="paragraph" w:styleId="Footer">
    <w:name w:val="footer"/>
    <w:basedOn w:val="Normal"/>
    <w:link w:val="FooterChar"/>
    <w:uiPriority w:val="99"/>
    <w:rsid w:val="00092C0A"/>
    <w:pPr>
      <w:tabs>
        <w:tab w:val="center" w:pos="4320"/>
        <w:tab w:val="right" w:pos="8640"/>
      </w:tabs>
    </w:pPr>
    <w:rPr>
      <w:rFonts w:ascii="Times New Roman" w:hAnsi="Times New Roman"/>
      <w:sz w:val="24"/>
    </w:rPr>
  </w:style>
  <w:style w:type="character" w:customStyle="1" w:styleId="FooterChar">
    <w:name w:val="Footer Char"/>
    <w:link w:val="Footer"/>
    <w:uiPriority w:val="99"/>
    <w:locked/>
    <w:rsid w:val="00957B81"/>
    <w:rPr>
      <w:rFonts w:cs="Times New Roman"/>
      <w:sz w:val="24"/>
    </w:rPr>
  </w:style>
  <w:style w:type="character" w:styleId="PageNumber">
    <w:name w:val="page number"/>
    <w:uiPriority w:val="99"/>
    <w:rsid w:val="0068633D"/>
    <w:rPr>
      <w:rFonts w:cs="Times New Roman"/>
    </w:rPr>
  </w:style>
  <w:style w:type="paragraph" w:styleId="FootnoteText">
    <w:name w:val="footnote text"/>
    <w:basedOn w:val="Normal"/>
    <w:link w:val="FootnoteTextChar"/>
    <w:rsid w:val="00321935"/>
    <w:pPr>
      <w:spacing w:after="0"/>
    </w:pPr>
    <w:rPr>
      <w:sz w:val="16"/>
    </w:rPr>
  </w:style>
  <w:style w:type="character" w:customStyle="1" w:styleId="FootnoteTextChar">
    <w:name w:val="Footnote Text Char"/>
    <w:link w:val="FootnoteText"/>
    <w:locked/>
    <w:rsid w:val="00321935"/>
    <w:rPr>
      <w:rFonts w:ascii="Arial" w:hAnsi="Arial"/>
      <w:sz w:val="16"/>
    </w:rPr>
  </w:style>
  <w:style w:type="character" w:styleId="FootnoteReference">
    <w:name w:val="footnote reference"/>
    <w:rsid w:val="009248F5"/>
    <w:rPr>
      <w:rFonts w:cs="Times New Roman"/>
      <w:vertAlign w:val="superscript"/>
    </w:rPr>
  </w:style>
  <w:style w:type="paragraph" w:customStyle="1" w:styleId="c1">
    <w:name w:val="c1"/>
    <w:basedOn w:val="Normal"/>
    <w:uiPriority w:val="99"/>
    <w:rsid w:val="00DF0470"/>
    <w:pPr>
      <w:widowControl w:val="0"/>
      <w:overflowPunct/>
      <w:jc w:val="center"/>
      <w:textAlignment w:val="auto"/>
    </w:pPr>
    <w:rPr>
      <w:szCs w:val="24"/>
    </w:rPr>
  </w:style>
  <w:style w:type="paragraph" w:customStyle="1" w:styleId="p3">
    <w:name w:val="p3"/>
    <w:basedOn w:val="Normal"/>
    <w:uiPriority w:val="99"/>
    <w:rsid w:val="00DF0470"/>
    <w:pPr>
      <w:widowControl w:val="0"/>
      <w:tabs>
        <w:tab w:val="left" w:pos="204"/>
      </w:tabs>
      <w:overflowPunct/>
      <w:textAlignment w:val="auto"/>
    </w:pPr>
    <w:rPr>
      <w:szCs w:val="24"/>
    </w:rPr>
  </w:style>
  <w:style w:type="paragraph" w:customStyle="1" w:styleId="p6">
    <w:name w:val="p6"/>
    <w:basedOn w:val="Normal"/>
    <w:uiPriority w:val="99"/>
    <w:rsid w:val="00DF0470"/>
    <w:pPr>
      <w:widowControl w:val="0"/>
      <w:overflowPunct/>
      <w:ind w:firstLine="742"/>
      <w:textAlignment w:val="auto"/>
    </w:pPr>
    <w:rPr>
      <w:szCs w:val="24"/>
    </w:rPr>
  </w:style>
  <w:style w:type="paragraph" w:customStyle="1" w:styleId="p8">
    <w:name w:val="p8"/>
    <w:basedOn w:val="Normal"/>
    <w:uiPriority w:val="99"/>
    <w:rsid w:val="00DF0470"/>
    <w:pPr>
      <w:widowControl w:val="0"/>
      <w:tabs>
        <w:tab w:val="left" w:pos="204"/>
      </w:tabs>
      <w:overflowPunct/>
      <w:textAlignment w:val="auto"/>
    </w:pPr>
    <w:rPr>
      <w:szCs w:val="24"/>
    </w:rPr>
  </w:style>
  <w:style w:type="paragraph" w:customStyle="1" w:styleId="c9">
    <w:name w:val="c9"/>
    <w:basedOn w:val="Normal"/>
    <w:uiPriority w:val="99"/>
    <w:rsid w:val="00DF0470"/>
    <w:pPr>
      <w:widowControl w:val="0"/>
      <w:overflowPunct/>
      <w:jc w:val="center"/>
      <w:textAlignment w:val="auto"/>
    </w:pPr>
    <w:rPr>
      <w:szCs w:val="24"/>
    </w:rPr>
  </w:style>
  <w:style w:type="paragraph" w:customStyle="1" w:styleId="c10">
    <w:name w:val="c10"/>
    <w:basedOn w:val="Normal"/>
    <w:uiPriority w:val="99"/>
    <w:rsid w:val="00DF0470"/>
    <w:pPr>
      <w:widowControl w:val="0"/>
      <w:overflowPunct/>
      <w:jc w:val="center"/>
      <w:textAlignment w:val="auto"/>
    </w:pPr>
    <w:rPr>
      <w:szCs w:val="24"/>
    </w:rPr>
  </w:style>
  <w:style w:type="paragraph" w:customStyle="1" w:styleId="p13">
    <w:name w:val="p13"/>
    <w:basedOn w:val="Normal"/>
    <w:uiPriority w:val="99"/>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uiPriority w:val="99"/>
    <w:rsid w:val="00DF0470"/>
    <w:pPr>
      <w:widowControl w:val="0"/>
      <w:tabs>
        <w:tab w:val="left" w:pos="204"/>
      </w:tabs>
      <w:overflowPunct/>
      <w:textAlignment w:val="auto"/>
    </w:pPr>
    <w:rPr>
      <w:szCs w:val="24"/>
    </w:rPr>
  </w:style>
  <w:style w:type="paragraph" w:customStyle="1" w:styleId="p15">
    <w:name w:val="p15"/>
    <w:basedOn w:val="Normal"/>
    <w:uiPriority w:val="99"/>
    <w:rsid w:val="00DF0470"/>
    <w:pPr>
      <w:widowControl w:val="0"/>
      <w:tabs>
        <w:tab w:val="left" w:pos="204"/>
      </w:tabs>
      <w:overflowPunct/>
      <w:textAlignment w:val="auto"/>
    </w:pPr>
    <w:rPr>
      <w:szCs w:val="24"/>
    </w:rPr>
  </w:style>
  <w:style w:type="paragraph" w:customStyle="1" w:styleId="p17">
    <w:name w:val="p17"/>
    <w:basedOn w:val="Normal"/>
    <w:uiPriority w:val="99"/>
    <w:rsid w:val="00DF0470"/>
    <w:pPr>
      <w:widowControl w:val="0"/>
      <w:tabs>
        <w:tab w:val="left" w:pos="5057"/>
      </w:tabs>
      <w:overflowPunct/>
      <w:ind w:left="3617"/>
      <w:textAlignment w:val="auto"/>
    </w:pPr>
    <w:rPr>
      <w:szCs w:val="24"/>
    </w:rPr>
  </w:style>
  <w:style w:type="paragraph" w:customStyle="1" w:styleId="p18">
    <w:name w:val="p18"/>
    <w:basedOn w:val="Normal"/>
    <w:uiPriority w:val="99"/>
    <w:rsid w:val="00DF0470"/>
    <w:pPr>
      <w:widowControl w:val="0"/>
      <w:tabs>
        <w:tab w:val="left" w:pos="5062"/>
      </w:tabs>
      <w:overflowPunct/>
      <w:ind w:left="3622"/>
      <w:textAlignment w:val="auto"/>
    </w:pPr>
    <w:rPr>
      <w:szCs w:val="24"/>
    </w:rPr>
  </w:style>
  <w:style w:type="paragraph" w:styleId="BalloonText">
    <w:name w:val="Balloon Text"/>
    <w:basedOn w:val="Normal"/>
    <w:link w:val="BalloonTextChar"/>
    <w:uiPriority w:val="99"/>
    <w:semiHidden/>
    <w:rsid w:val="00214C36"/>
    <w:rPr>
      <w:rFonts w:ascii="Tahoma" w:hAnsi="Tahoma"/>
      <w:sz w:val="16"/>
      <w:szCs w:val="16"/>
    </w:rPr>
  </w:style>
  <w:style w:type="character" w:customStyle="1" w:styleId="BalloonTextChar">
    <w:name w:val="Balloon Text Char"/>
    <w:link w:val="BalloonText"/>
    <w:uiPriority w:val="99"/>
    <w:semiHidden/>
    <w:rsid w:val="009A4B7C"/>
    <w:rPr>
      <w:rFonts w:ascii="Tahoma" w:hAnsi="Tahoma" w:cs="Tahoma"/>
      <w:sz w:val="16"/>
      <w:szCs w:val="16"/>
    </w:rPr>
  </w:style>
  <w:style w:type="paragraph" w:customStyle="1" w:styleId="StyleCentered">
    <w:name w:val="Style Centered"/>
    <w:basedOn w:val="Normal"/>
    <w:uiPriority w:val="99"/>
    <w:rsid w:val="00092C0A"/>
    <w:pPr>
      <w:jc w:val="center"/>
    </w:pPr>
  </w:style>
  <w:style w:type="character" w:styleId="Hyperlink">
    <w:name w:val="Hyperlink"/>
    <w:uiPriority w:val="99"/>
    <w:rsid w:val="008062F5"/>
    <w:rPr>
      <w:rFonts w:cs="Times New Roman"/>
      <w:color w:val="0000FF"/>
      <w:u w:val="single"/>
    </w:rPr>
  </w:style>
  <w:style w:type="paragraph" w:styleId="TOC1">
    <w:name w:val="toc 1"/>
    <w:basedOn w:val="Normal"/>
    <w:next w:val="Normal"/>
    <w:uiPriority w:val="39"/>
    <w:rsid w:val="0060580C"/>
    <w:pPr>
      <w:spacing w:after="0"/>
      <w:ind w:left="360" w:hanging="360"/>
    </w:pPr>
    <w:rPr>
      <w:rFonts w:ascii="Times New Roman" w:hAnsi="Times New Roman"/>
      <w:b/>
      <w:caps/>
    </w:rPr>
  </w:style>
  <w:style w:type="paragraph" w:styleId="TOC2">
    <w:name w:val="toc 2"/>
    <w:basedOn w:val="Normal"/>
    <w:next w:val="Normal"/>
    <w:uiPriority w:val="39"/>
    <w:rsid w:val="003C4785"/>
    <w:pPr>
      <w:tabs>
        <w:tab w:val="left" w:pos="900"/>
        <w:tab w:val="right" w:leader="dot" w:pos="8630"/>
      </w:tabs>
      <w:spacing w:after="0"/>
      <w:ind w:left="907" w:hanging="662"/>
    </w:pPr>
    <w:rPr>
      <w:noProof/>
    </w:rPr>
  </w:style>
  <w:style w:type="paragraph" w:styleId="TOC3">
    <w:name w:val="toc 3"/>
    <w:basedOn w:val="Normal"/>
    <w:next w:val="Normal"/>
    <w:uiPriority w:val="39"/>
    <w:rsid w:val="00AA3FCE"/>
    <w:pPr>
      <w:spacing w:after="0"/>
      <w:ind w:left="475"/>
    </w:pPr>
    <w:rPr>
      <w:i/>
      <w:sz w:val="22"/>
    </w:rPr>
  </w:style>
  <w:style w:type="paragraph" w:styleId="TOC4">
    <w:name w:val="toc 4"/>
    <w:basedOn w:val="Normal"/>
    <w:next w:val="Normal"/>
    <w:uiPriority w:val="39"/>
    <w:rsid w:val="00A26749"/>
    <w:pPr>
      <w:ind w:left="720"/>
    </w:pPr>
  </w:style>
  <w:style w:type="paragraph" w:styleId="BodyText2">
    <w:name w:val="Body Text 2"/>
    <w:basedOn w:val="Normal"/>
    <w:link w:val="BodyText2Char"/>
    <w:uiPriority w:val="99"/>
    <w:rsid w:val="00A26749"/>
    <w:rPr>
      <w:rFonts w:ascii="Times New Roman" w:hAnsi="Times New Roman"/>
      <w:sz w:val="24"/>
    </w:rPr>
  </w:style>
  <w:style w:type="character" w:customStyle="1" w:styleId="BodyText2Char">
    <w:name w:val="Body Text 2 Char"/>
    <w:link w:val="BodyText2"/>
    <w:uiPriority w:val="99"/>
    <w:semiHidden/>
    <w:rsid w:val="009A4B7C"/>
    <w:rPr>
      <w:sz w:val="24"/>
      <w:szCs w:val="20"/>
    </w:rPr>
  </w:style>
  <w:style w:type="paragraph" w:styleId="BodyText3">
    <w:name w:val="Body Text 3"/>
    <w:basedOn w:val="Normal"/>
    <w:link w:val="BodyText3Char"/>
    <w:uiPriority w:val="99"/>
    <w:rsid w:val="00A26749"/>
    <w:pPr>
      <w:spacing w:after="120"/>
    </w:pPr>
    <w:rPr>
      <w:rFonts w:ascii="Times New Roman" w:hAnsi="Times New Roman"/>
      <w:sz w:val="16"/>
      <w:szCs w:val="16"/>
    </w:rPr>
  </w:style>
  <w:style w:type="character" w:customStyle="1" w:styleId="BodyText3Char">
    <w:name w:val="Body Text 3 Char"/>
    <w:link w:val="BodyText3"/>
    <w:uiPriority w:val="99"/>
    <w:semiHidden/>
    <w:rsid w:val="009A4B7C"/>
    <w:rPr>
      <w:sz w:val="16"/>
      <w:szCs w:val="16"/>
    </w:rPr>
  </w:style>
  <w:style w:type="paragraph" w:styleId="BodyText">
    <w:name w:val="Body Text"/>
    <w:basedOn w:val="Normal"/>
    <w:link w:val="BodyTextChar"/>
    <w:uiPriority w:val="99"/>
    <w:rsid w:val="001669F2"/>
    <w:pPr>
      <w:ind w:right="-187"/>
    </w:pPr>
  </w:style>
  <w:style w:type="character" w:customStyle="1" w:styleId="BodyTextChar">
    <w:name w:val="Body Text Char"/>
    <w:link w:val="BodyText"/>
    <w:uiPriority w:val="99"/>
    <w:locked/>
    <w:rsid w:val="001669F2"/>
    <w:rPr>
      <w:rFonts w:ascii="Arial" w:hAnsi="Arial"/>
    </w:rPr>
  </w:style>
  <w:style w:type="character" w:styleId="FollowedHyperlink">
    <w:name w:val="FollowedHyperlink"/>
    <w:uiPriority w:val="99"/>
    <w:rsid w:val="00A26749"/>
    <w:rPr>
      <w:rFonts w:cs="Times New Roman"/>
      <w:color w:val="800080"/>
      <w:u w:val="single"/>
    </w:rPr>
  </w:style>
  <w:style w:type="character" w:styleId="Strong">
    <w:name w:val="Strong"/>
    <w:uiPriority w:val="99"/>
    <w:qFormat/>
    <w:rsid w:val="00A26749"/>
    <w:rPr>
      <w:rFonts w:cs="Times New Roman"/>
      <w:b/>
      <w:bCs/>
    </w:rPr>
  </w:style>
  <w:style w:type="paragraph" w:styleId="BodyTextIndent">
    <w:name w:val="Body Text Indent"/>
    <w:basedOn w:val="Normal"/>
    <w:link w:val="BodyTextIndentChar"/>
    <w:uiPriority w:val="99"/>
    <w:rsid w:val="00A26749"/>
    <w:pPr>
      <w:overflowPunct/>
      <w:autoSpaceDE/>
      <w:autoSpaceDN/>
      <w:adjustRightInd/>
      <w:ind w:left="1440" w:firstLine="60"/>
      <w:textAlignment w:val="auto"/>
    </w:pPr>
    <w:rPr>
      <w:rFonts w:ascii="Times New Roman" w:hAnsi="Times New Roman"/>
      <w:sz w:val="24"/>
    </w:rPr>
  </w:style>
  <w:style w:type="character" w:customStyle="1" w:styleId="BodyTextIndentChar">
    <w:name w:val="Body Text Indent Char"/>
    <w:link w:val="BodyTextIndent"/>
    <w:uiPriority w:val="99"/>
    <w:semiHidden/>
    <w:rsid w:val="009A4B7C"/>
    <w:rPr>
      <w:sz w:val="24"/>
      <w:szCs w:val="20"/>
    </w:rPr>
  </w:style>
  <w:style w:type="paragraph" w:styleId="Title">
    <w:name w:val="Title"/>
    <w:basedOn w:val="Normal"/>
    <w:link w:val="TitleChar"/>
    <w:qFormat/>
    <w:rsid w:val="00A26749"/>
    <w:pPr>
      <w:overflowPunct/>
      <w:autoSpaceDE/>
      <w:autoSpaceDN/>
      <w:adjustRightInd/>
      <w:jc w:val="center"/>
      <w:textAlignment w:val="auto"/>
    </w:pPr>
    <w:rPr>
      <w:rFonts w:ascii="Cambria" w:hAnsi="Cambria"/>
      <w:b/>
      <w:bCs/>
      <w:kern w:val="28"/>
      <w:sz w:val="32"/>
      <w:szCs w:val="32"/>
    </w:rPr>
  </w:style>
  <w:style w:type="character" w:customStyle="1" w:styleId="TitleChar">
    <w:name w:val="Title Char"/>
    <w:link w:val="Title"/>
    <w:rsid w:val="009A4B7C"/>
    <w:rPr>
      <w:rFonts w:ascii="Cambria" w:eastAsia="Times New Roman" w:hAnsi="Cambria" w:cs="Times New Roman"/>
      <w:b/>
      <w:bCs/>
      <w:kern w:val="28"/>
      <w:sz w:val="32"/>
      <w:szCs w:val="32"/>
    </w:rPr>
  </w:style>
  <w:style w:type="paragraph" w:styleId="BodyTextIndent2">
    <w:name w:val="Body Text Indent 2"/>
    <w:basedOn w:val="Normal"/>
    <w:link w:val="BodyTextIndent2Char"/>
    <w:uiPriority w:val="99"/>
    <w:rsid w:val="00A26749"/>
    <w:pPr>
      <w:ind w:left="720"/>
    </w:pPr>
    <w:rPr>
      <w:rFonts w:ascii="Times New Roman" w:hAnsi="Times New Roman"/>
      <w:sz w:val="24"/>
    </w:rPr>
  </w:style>
  <w:style w:type="character" w:customStyle="1" w:styleId="BodyTextIndent2Char">
    <w:name w:val="Body Text Indent 2 Char"/>
    <w:link w:val="BodyTextIndent2"/>
    <w:uiPriority w:val="99"/>
    <w:rsid w:val="009A4B7C"/>
    <w:rPr>
      <w:sz w:val="24"/>
      <w:szCs w:val="20"/>
    </w:rPr>
  </w:style>
  <w:style w:type="paragraph" w:customStyle="1" w:styleId="font0">
    <w:name w:val="font0"/>
    <w:basedOn w:val="Normal"/>
    <w:uiPriority w:val="99"/>
    <w:rsid w:val="00A26749"/>
    <w:pPr>
      <w:overflowPunct/>
      <w:autoSpaceDE/>
      <w:autoSpaceDN/>
      <w:adjustRightInd/>
      <w:spacing w:before="100" w:beforeAutospacing="1" w:after="100" w:afterAutospacing="1"/>
      <w:textAlignment w:val="auto"/>
    </w:pPr>
    <w:rPr>
      <w:rFonts w:eastAsia="Arial Unicode MS" w:cs="Arial"/>
    </w:rPr>
  </w:style>
  <w:style w:type="paragraph" w:customStyle="1" w:styleId="font5">
    <w:name w:val="font5"/>
    <w:basedOn w:val="Normal"/>
    <w:uiPriority w:val="99"/>
    <w:rsid w:val="00A26749"/>
    <w:pPr>
      <w:overflowPunct/>
      <w:autoSpaceDE/>
      <w:autoSpaceDN/>
      <w:adjustRightInd/>
      <w:spacing w:before="100" w:beforeAutospacing="1" w:after="100" w:afterAutospacing="1"/>
      <w:textAlignment w:val="auto"/>
    </w:pPr>
    <w:rPr>
      <w:rFonts w:eastAsia="Arial Unicode MS" w:cs="Arial"/>
      <w:b/>
      <w:bCs/>
    </w:rPr>
  </w:style>
  <w:style w:type="paragraph" w:customStyle="1" w:styleId="font6">
    <w:name w:val="font6"/>
    <w:basedOn w:val="Normal"/>
    <w:uiPriority w:val="99"/>
    <w:rsid w:val="00A26749"/>
    <w:pPr>
      <w:overflowPunct/>
      <w:autoSpaceDE/>
      <w:autoSpaceDN/>
      <w:adjustRightInd/>
      <w:spacing w:before="100" w:beforeAutospacing="1" w:after="100" w:afterAutospacing="1"/>
      <w:textAlignment w:val="auto"/>
    </w:pPr>
    <w:rPr>
      <w:rFonts w:eastAsia="Arial Unicode MS" w:cs="Arial"/>
    </w:rPr>
  </w:style>
  <w:style w:type="paragraph" w:customStyle="1" w:styleId="font7">
    <w:name w:val="font7"/>
    <w:basedOn w:val="Normal"/>
    <w:uiPriority w:val="99"/>
    <w:rsid w:val="00A26749"/>
    <w:pPr>
      <w:overflowPunct/>
      <w:autoSpaceDE/>
      <w:autoSpaceDN/>
      <w:adjustRightInd/>
      <w:spacing w:before="100" w:beforeAutospacing="1" w:after="100" w:afterAutospacing="1"/>
      <w:textAlignment w:val="auto"/>
    </w:pPr>
    <w:rPr>
      <w:rFonts w:eastAsia="Arial Unicode MS" w:cs="Arial"/>
      <w:i/>
      <w:iCs/>
    </w:rPr>
  </w:style>
  <w:style w:type="paragraph" w:customStyle="1" w:styleId="font8">
    <w:name w:val="font8"/>
    <w:basedOn w:val="Normal"/>
    <w:uiPriority w:val="99"/>
    <w:rsid w:val="00A26749"/>
    <w:pPr>
      <w:overflowPunct/>
      <w:autoSpaceDE/>
      <w:autoSpaceDN/>
      <w:adjustRightInd/>
      <w:spacing w:before="100" w:beforeAutospacing="1" w:after="100" w:afterAutospacing="1"/>
      <w:textAlignment w:val="auto"/>
    </w:pPr>
    <w:rPr>
      <w:rFonts w:eastAsia="Arial Unicode MS" w:cs="Arial"/>
      <w:b/>
      <w:bCs/>
      <w:sz w:val="16"/>
      <w:szCs w:val="16"/>
    </w:rPr>
  </w:style>
  <w:style w:type="paragraph" w:customStyle="1" w:styleId="xl24">
    <w:name w:val="xl24"/>
    <w:basedOn w:val="Normal"/>
    <w:uiPriority w:val="99"/>
    <w:rsid w:val="00A26749"/>
    <w:pPr>
      <w:pBdr>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25">
    <w:name w:val="xl25"/>
    <w:basedOn w:val="Normal"/>
    <w:uiPriority w:val="99"/>
    <w:rsid w:val="00A26749"/>
    <w:pPr>
      <w:overflowPunct/>
      <w:autoSpaceDE/>
      <w:autoSpaceDN/>
      <w:adjustRightInd/>
      <w:spacing w:before="100" w:beforeAutospacing="1" w:after="100" w:afterAutospacing="1"/>
      <w:textAlignment w:val="auto"/>
    </w:pPr>
    <w:rPr>
      <w:rFonts w:eastAsia="Arial Unicode MS" w:cs="Arial"/>
      <w:szCs w:val="24"/>
    </w:rPr>
  </w:style>
  <w:style w:type="paragraph" w:customStyle="1" w:styleId="xl26">
    <w:name w:val="xl26"/>
    <w:basedOn w:val="Normal"/>
    <w:uiPriority w:val="99"/>
    <w:rsid w:val="00A26749"/>
    <w:pPr>
      <w:pBdr>
        <w:right w:val="single" w:sz="4" w:space="0" w:color="auto"/>
      </w:pBdr>
      <w:overflowPunct/>
      <w:autoSpaceDE/>
      <w:autoSpaceDN/>
      <w:adjustRightInd/>
      <w:spacing w:before="100" w:beforeAutospacing="1" w:after="100" w:afterAutospacing="1"/>
      <w:textAlignment w:val="auto"/>
    </w:pPr>
    <w:rPr>
      <w:rFonts w:eastAsia="Arial Unicode MS" w:cs="Arial"/>
      <w:szCs w:val="24"/>
    </w:rPr>
  </w:style>
  <w:style w:type="paragraph" w:customStyle="1" w:styleId="xl27">
    <w:name w:val="xl27"/>
    <w:basedOn w:val="Normal"/>
    <w:uiPriority w:val="99"/>
    <w:rsid w:val="00A26749"/>
    <w:pPr>
      <w:pBdr>
        <w:right w:val="single" w:sz="4" w:space="0" w:color="auto"/>
      </w:pBdr>
      <w:overflowPunct/>
      <w:autoSpaceDE/>
      <w:autoSpaceDN/>
      <w:adjustRightInd/>
      <w:spacing w:before="100" w:beforeAutospacing="1" w:after="100" w:afterAutospacing="1"/>
      <w:textAlignment w:val="auto"/>
    </w:pPr>
    <w:rPr>
      <w:rFonts w:eastAsia="Arial Unicode MS" w:cs="Arial"/>
      <w:i/>
      <w:iCs/>
      <w:szCs w:val="24"/>
    </w:rPr>
  </w:style>
  <w:style w:type="paragraph" w:customStyle="1" w:styleId="xl28">
    <w:name w:val="xl28"/>
    <w:basedOn w:val="Normal"/>
    <w:uiPriority w:val="99"/>
    <w:rsid w:val="00A26749"/>
    <w:pPr>
      <w:pBdr>
        <w:top w:val="single" w:sz="8" w:space="0" w:color="auto"/>
        <w:left w:val="single" w:sz="8"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29">
    <w:name w:val="xl29"/>
    <w:basedOn w:val="Normal"/>
    <w:uiPriority w:val="99"/>
    <w:rsid w:val="00A26749"/>
    <w:pPr>
      <w:pBdr>
        <w:top w:val="single" w:sz="8" w:space="0" w:color="auto"/>
        <w:right w:val="single" w:sz="8"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30">
    <w:name w:val="xl30"/>
    <w:basedOn w:val="Normal"/>
    <w:uiPriority w:val="99"/>
    <w:rsid w:val="00A26749"/>
    <w:pPr>
      <w:pBdr>
        <w:lef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1">
    <w:name w:val="xl31"/>
    <w:basedOn w:val="Normal"/>
    <w:uiPriority w:val="99"/>
    <w:rsid w:val="00A26749"/>
    <w:pPr>
      <w:pBdr>
        <w:righ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2">
    <w:name w:val="xl32"/>
    <w:basedOn w:val="Normal"/>
    <w:uiPriority w:val="99"/>
    <w:rsid w:val="00A26749"/>
    <w:pPr>
      <w:pBdr>
        <w:right w:val="single" w:sz="8"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33">
    <w:name w:val="xl33"/>
    <w:basedOn w:val="Normal"/>
    <w:uiPriority w:val="99"/>
    <w:rsid w:val="00A26749"/>
    <w:pPr>
      <w:pBdr>
        <w:right w:val="single" w:sz="8" w:space="0" w:color="auto"/>
      </w:pBdr>
      <w:overflowPunct/>
      <w:autoSpaceDE/>
      <w:autoSpaceDN/>
      <w:adjustRightInd/>
      <w:spacing w:before="100" w:beforeAutospacing="1" w:after="100" w:afterAutospacing="1"/>
      <w:textAlignment w:val="auto"/>
    </w:pPr>
    <w:rPr>
      <w:rFonts w:eastAsia="Arial Unicode MS" w:cs="Arial"/>
      <w:szCs w:val="24"/>
    </w:rPr>
  </w:style>
  <w:style w:type="paragraph" w:customStyle="1" w:styleId="xl34">
    <w:name w:val="xl34"/>
    <w:basedOn w:val="Normal"/>
    <w:uiPriority w:val="99"/>
    <w:rsid w:val="00A26749"/>
    <w:pPr>
      <w:pBdr>
        <w:right w:val="single" w:sz="8" w:space="0" w:color="auto"/>
      </w:pBdr>
      <w:overflowPunct/>
      <w:autoSpaceDE/>
      <w:autoSpaceDN/>
      <w:adjustRightInd/>
      <w:spacing w:before="100" w:beforeAutospacing="1" w:after="100" w:afterAutospacing="1"/>
      <w:textAlignment w:val="auto"/>
    </w:pPr>
    <w:rPr>
      <w:rFonts w:eastAsia="Arial Unicode MS" w:cs="Arial"/>
      <w:i/>
      <w:iCs/>
      <w:szCs w:val="24"/>
    </w:rPr>
  </w:style>
  <w:style w:type="paragraph" w:customStyle="1" w:styleId="xl35">
    <w:name w:val="xl35"/>
    <w:basedOn w:val="Normal"/>
    <w:uiPriority w:val="99"/>
    <w:rsid w:val="00A26749"/>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6">
    <w:name w:val="xl36"/>
    <w:basedOn w:val="Normal"/>
    <w:uiPriority w:val="99"/>
    <w:rsid w:val="00A26749"/>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7">
    <w:name w:val="xl37"/>
    <w:basedOn w:val="Normal"/>
    <w:uiPriority w:val="99"/>
    <w:rsid w:val="00A26749"/>
    <w:pPr>
      <w:pBdr>
        <w:top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38">
    <w:name w:val="xl38"/>
    <w:basedOn w:val="Normal"/>
    <w:uiPriority w:val="99"/>
    <w:rsid w:val="00A26749"/>
    <w:pPr>
      <w:pBdr>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9">
    <w:name w:val="xl39"/>
    <w:basedOn w:val="Normal"/>
    <w:uiPriority w:val="99"/>
    <w:rsid w:val="00A26749"/>
    <w:pPr>
      <w:pBdr>
        <w:top w:val="single" w:sz="8" w:space="0" w:color="auto"/>
        <w:left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0">
    <w:name w:val="xl40"/>
    <w:basedOn w:val="Normal"/>
    <w:uiPriority w:val="99"/>
    <w:rsid w:val="00A26749"/>
    <w:pPr>
      <w:pBdr>
        <w:left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41">
    <w:name w:val="xl41"/>
    <w:basedOn w:val="Normal"/>
    <w:uiPriority w:val="99"/>
    <w:rsid w:val="00A26749"/>
    <w:pPr>
      <w:pBdr>
        <w:left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2">
    <w:name w:val="xl42"/>
    <w:basedOn w:val="Normal"/>
    <w:uiPriority w:val="99"/>
    <w:rsid w:val="00A26749"/>
    <w:pPr>
      <w:pBdr>
        <w:left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szCs w:val="24"/>
    </w:rPr>
  </w:style>
  <w:style w:type="paragraph" w:customStyle="1" w:styleId="xl43">
    <w:name w:val="xl43"/>
    <w:basedOn w:val="Normal"/>
    <w:uiPriority w:val="99"/>
    <w:rsid w:val="00A26749"/>
    <w:pPr>
      <w:pBdr>
        <w:left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i/>
      <w:iCs/>
      <w:szCs w:val="24"/>
    </w:rPr>
  </w:style>
  <w:style w:type="paragraph" w:customStyle="1" w:styleId="xl44">
    <w:name w:val="xl44"/>
    <w:basedOn w:val="Normal"/>
    <w:uiPriority w:val="99"/>
    <w:rsid w:val="00A26749"/>
    <w:pPr>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45">
    <w:name w:val="xl45"/>
    <w:basedOn w:val="Normal"/>
    <w:uiPriority w:val="99"/>
    <w:rsid w:val="00A26749"/>
    <w:pPr>
      <w:overflowPunct/>
      <w:autoSpaceDE/>
      <w:autoSpaceDN/>
      <w:adjustRightInd/>
      <w:spacing w:before="100" w:beforeAutospacing="1" w:after="100" w:afterAutospacing="1"/>
      <w:jc w:val="right"/>
      <w:textAlignment w:val="auto"/>
    </w:pPr>
    <w:rPr>
      <w:rFonts w:eastAsia="Arial Unicode MS" w:cs="Arial"/>
      <w:b/>
      <w:bCs/>
      <w:szCs w:val="24"/>
    </w:rPr>
  </w:style>
  <w:style w:type="paragraph" w:customStyle="1" w:styleId="xl46">
    <w:name w:val="xl46"/>
    <w:basedOn w:val="Normal"/>
    <w:uiPriority w:val="99"/>
    <w:rsid w:val="00A26749"/>
    <w:pPr>
      <w:pBdr>
        <w:bottom w:val="single" w:sz="8" w:space="0" w:color="auto"/>
        <w:right w:val="single" w:sz="8"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7">
    <w:name w:val="xl47"/>
    <w:basedOn w:val="Normal"/>
    <w:uiPriority w:val="99"/>
    <w:rsid w:val="00A26749"/>
    <w:pPr>
      <w:pBdr>
        <w:bottom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8">
    <w:name w:val="xl48"/>
    <w:basedOn w:val="Normal"/>
    <w:uiPriority w:val="99"/>
    <w:rsid w:val="00A26749"/>
    <w:pPr>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9">
    <w:name w:val="xl49"/>
    <w:basedOn w:val="Normal"/>
    <w:uiPriority w:val="99"/>
    <w:rsid w:val="00A26749"/>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50">
    <w:name w:val="xl50"/>
    <w:basedOn w:val="Normal"/>
    <w:uiPriority w:val="99"/>
    <w:rsid w:val="00A26749"/>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51">
    <w:name w:val="xl51"/>
    <w:basedOn w:val="Normal"/>
    <w:uiPriority w:val="99"/>
    <w:rsid w:val="00A26749"/>
    <w:pPr>
      <w:pBdr>
        <w:left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2">
    <w:name w:val="xl52"/>
    <w:basedOn w:val="Normal"/>
    <w:uiPriority w:val="99"/>
    <w:rsid w:val="00A26749"/>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3">
    <w:name w:val="xl53"/>
    <w:basedOn w:val="Normal"/>
    <w:uiPriority w:val="99"/>
    <w:rsid w:val="00A26749"/>
    <w:pPr>
      <w:pBdr>
        <w:left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4">
    <w:name w:val="xl54"/>
    <w:basedOn w:val="Normal"/>
    <w:uiPriority w:val="99"/>
    <w:rsid w:val="00A26749"/>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styleId="BodyTextIndent3">
    <w:name w:val="Body Text Indent 3"/>
    <w:basedOn w:val="Normal"/>
    <w:link w:val="BodyTextIndent3Char"/>
    <w:uiPriority w:val="99"/>
    <w:rsid w:val="00A26749"/>
    <w:pPr>
      <w:ind w:left="720"/>
    </w:pPr>
    <w:rPr>
      <w:rFonts w:ascii="Times New Roman" w:hAnsi="Times New Roman"/>
      <w:sz w:val="16"/>
      <w:szCs w:val="16"/>
    </w:rPr>
  </w:style>
  <w:style w:type="character" w:customStyle="1" w:styleId="BodyTextIndent3Char">
    <w:name w:val="Body Text Indent 3 Char"/>
    <w:link w:val="BodyTextIndent3"/>
    <w:uiPriority w:val="99"/>
    <w:semiHidden/>
    <w:rsid w:val="009A4B7C"/>
    <w:rPr>
      <w:sz w:val="16"/>
      <w:szCs w:val="16"/>
    </w:rPr>
  </w:style>
  <w:style w:type="character" w:styleId="LineNumber">
    <w:name w:val="line number"/>
    <w:uiPriority w:val="99"/>
    <w:rsid w:val="00A26749"/>
    <w:rPr>
      <w:rFonts w:cs="Times New Roman"/>
    </w:rPr>
  </w:style>
  <w:style w:type="character" w:customStyle="1" w:styleId="EmailStyle104">
    <w:name w:val="EmailStyle104"/>
    <w:uiPriority w:val="99"/>
    <w:rsid w:val="00A26749"/>
    <w:rPr>
      <w:rFonts w:ascii="Arial" w:hAnsi="Arial" w:cs="Arial"/>
      <w:color w:val="000000"/>
      <w:sz w:val="20"/>
    </w:rPr>
  </w:style>
  <w:style w:type="paragraph" w:styleId="ListBullet">
    <w:name w:val="List Bullet"/>
    <w:basedOn w:val="Normal"/>
    <w:uiPriority w:val="99"/>
    <w:rsid w:val="00A26749"/>
    <w:pPr>
      <w:tabs>
        <w:tab w:val="num" w:pos="360"/>
      </w:tabs>
      <w:ind w:left="360" w:hanging="360"/>
    </w:pPr>
  </w:style>
  <w:style w:type="paragraph" w:styleId="MacroText">
    <w:name w:val="macro"/>
    <w:link w:val="MacroTextChar"/>
    <w:uiPriority w:val="99"/>
    <w:semiHidden/>
    <w:rsid w:val="00A2674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hAnsi="Arial"/>
    </w:rPr>
  </w:style>
  <w:style w:type="character" w:customStyle="1" w:styleId="MacroTextChar">
    <w:name w:val="Macro Text Char"/>
    <w:link w:val="MacroText"/>
    <w:uiPriority w:val="99"/>
    <w:semiHidden/>
    <w:rsid w:val="009A4B7C"/>
    <w:rPr>
      <w:rFonts w:ascii="Arial" w:hAnsi="Arial"/>
      <w:lang w:val="en-US" w:eastAsia="en-US" w:bidi="ar-SA"/>
    </w:rPr>
  </w:style>
  <w:style w:type="paragraph" w:styleId="Caption">
    <w:name w:val="caption"/>
    <w:aliases w:val="Table Caption"/>
    <w:basedOn w:val="Normal"/>
    <w:next w:val="Normal"/>
    <w:link w:val="CaptionChar"/>
    <w:qFormat/>
    <w:rsid w:val="00E61590"/>
    <w:pPr>
      <w:keepNext/>
      <w:spacing w:before="120" w:after="120"/>
      <w:jc w:val="center"/>
    </w:pPr>
    <w:rPr>
      <w:rFonts w:ascii="Arial Narrow" w:hAnsi="Arial Narrow"/>
      <w:b/>
      <w:bCs/>
    </w:rPr>
  </w:style>
  <w:style w:type="paragraph" w:styleId="TOC5">
    <w:name w:val="toc 5"/>
    <w:basedOn w:val="Normal"/>
    <w:next w:val="Normal"/>
    <w:uiPriority w:val="39"/>
    <w:rsid w:val="00767287"/>
    <w:pPr>
      <w:ind w:left="960"/>
    </w:pPr>
  </w:style>
  <w:style w:type="paragraph" w:styleId="TOC6">
    <w:name w:val="toc 6"/>
    <w:basedOn w:val="Normal"/>
    <w:next w:val="Normal"/>
    <w:uiPriority w:val="39"/>
    <w:rsid w:val="00767287"/>
    <w:pPr>
      <w:ind w:left="1200"/>
    </w:pPr>
  </w:style>
  <w:style w:type="paragraph" w:styleId="TOC7">
    <w:name w:val="toc 7"/>
    <w:basedOn w:val="Normal"/>
    <w:next w:val="Normal"/>
    <w:uiPriority w:val="39"/>
    <w:rsid w:val="00767287"/>
    <w:pPr>
      <w:ind w:left="1440"/>
    </w:pPr>
  </w:style>
  <w:style w:type="paragraph" w:styleId="TOC8">
    <w:name w:val="toc 8"/>
    <w:basedOn w:val="Normal"/>
    <w:next w:val="Normal"/>
    <w:uiPriority w:val="39"/>
    <w:rsid w:val="00767287"/>
    <w:pPr>
      <w:ind w:left="1680"/>
    </w:pPr>
  </w:style>
  <w:style w:type="paragraph" w:styleId="TOC9">
    <w:name w:val="toc 9"/>
    <w:basedOn w:val="Normal"/>
    <w:next w:val="Normal"/>
    <w:uiPriority w:val="39"/>
    <w:rsid w:val="00767287"/>
    <w:pPr>
      <w:ind w:left="1920"/>
    </w:pPr>
  </w:style>
  <w:style w:type="character" w:customStyle="1" w:styleId="EmailStyle114">
    <w:name w:val="EmailStyle114"/>
    <w:uiPriority w:val="99"/>
    <w:rsid w:val="00767287"/>
    <w:rPr>
      <w:rFonts w:ascii="Arial" w:hAnsi="Arial" w:cs="Arial"/>
      <w:color w:val="000000"/>
      <w:sz w:val="20"/>
    </w:rPr>
  </w:style>
  <w:style w:type="table" w:styleId="TableGrid">
    <w:name w:val="Table Grid"/>
    <w:basedOn w:val="TableNormal"/>
    <w:uiPriority w:val="59"/>
    <w:rsid w:val="00767287"/>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rsid w:val="00767287"/>
    <w:rPr>
      <w:rFonts w:cs="Times New Roman"/>
      <w:sz w:val="16"/>
      <w:szCs w:val="16"/>
    </w:rPr>
  </w:style>
  <w:style w:type="paragraph" w:styleId="CommentText">
    <w:name w:val="annotation text"/>
    <w:basedOn w:val="Normal"/>
    <w:link w:val="CommentTextChar"/>
    <w:uiPriority w:val="99"/>
    <w:rsid w:val="00767287"/>
    <w:rPr>
      <w:rFonts w:ascii="Times New Roman" w:hAnsi="Times New Roman"/>
    </w:rPr>
  </w:style>
  <w:style w:type="character" w:customStyle="1" w:styleId="CommentTextChar">
    <w:name w:val="Comment Text Char"/>
    <w:link w:val="CommentText"/>
    <w:uiPriority w:val="99"/>
    <w:locked/>
    <w:rsid w:val="00767287"/>
    <w:rPr>
      <w:rFonts w:cs="Times New Roman"/>
    </w:rPr>
  </w:style>
  <w:style w:type="paragraph" w:styleId="CommentSubject">
    <w:name w:val="annotation subject"/>
    <w:basedOn w:val="CommentText"/>
    <w:next w:val="CommentText"/>
    <w:link w:val="CommentSubjectChar"/>
    <w:uiPriority w:val="99"/>
    <w:rsid w:val="00767287"/>
    <w:rPr>
      <w:b/>
      <w:bCs/>
    </w:rPr>
  </w:style>
  <w:style w:type="character" w:customStyle="1" w:styleId="CommentSubjectChar">
    <w:name w:val="Comment Subject Char"/>
    <w:link w:val="CommentSubject"/>
    <w:uiPriority w:val="99"/>
    <w:locked/>
    <w:rsid w:val="00767287"/>
    <w:rPr>
      <w:rFonts w:cs="Times New Roman"/>
      <w:b/>
      <w:bCs/>
    </w:rPr>
  </w:style>
  <w:style w:type="paragraph" w:styleId="Revision">
    <w:name w:val="Revision"/>
    <w:hidden/>
    <w:uiPriority w:val="99"/>
    <w:semiHidden/>
    <w:rsid w:val="00767287"/>
    <w:rPr>
      <w:sz w:val="24"/>
    </w:rPr>
  </w:style>
  <w:style w:type="paragraph" w:styleId="ListParagraph">
    <w:name w:val="List Paragraph"/>
    <w:basedOn w:val="Normal"/>
    <w:uiPriority w:val="99"/>
    <w:qFormat/>
    <w:rsid w:val="008A2558"/>
    <w:pPr>
      <w:spacing w:after="100"/>
      <w:ind w:left="720"/>
    </w:pPr>
  </w:style>
  <w:style w:type="paragraph" w:customStyle="1" w:styleId="TableCell">
    <w:name w:val="TableCell"/>
    <w:basedOn w:val="Normal"/>
    <w:link w:val="TableCellChar"/>
    <w:uiPriority w:val="99"/>
    <w:rsid w:val="00682FEB"/>
    <w:pPr>
      <w:keepNext/>
      <w:tabs>
        <w:tab w:val="left" w:pos="720"/>
      </w:tabs>
      <w:spacing w:before="120" w:after="120"/>
    </w:pPr>
    <w:rPr>
      <w:sz w:val="18"/>
    </w:rPr>
  </w:style>
  <w:style w:type="character" w:customStyle="1" w:styleId="TableCellChar">
    <w:name w:val="TableCell Char"/>
    <w:link w:val="TableCell"/>
    <w:uiPriority w:val="99"/>
    <w:locked/>
    <w:rsid w:val="00682FEB"/>
    <w:rPr>
      <w:rFonts w:ascii="Arial" w:hAnsi="Arial"/>
      <w:sz w:val="18"/>
    </w:rPr>
  </w:style>
  <w:style w:type="paragraph" w:customStyle="1" w:styleId="Equation">
    <w:name w:val="Equation"/>
    <w:basedOn w:val="BodyTextIndent3"/>
    <w:uiPriority w:val="99"/>
    <w:qFormat/>
    <w:rsid w:val="00896814"/>
    <w:pPr>
      <w:tabs>
        <w:tab w:val="left" w:pos="720"/>
        <w:tab w:val="left" w:pos="2880"/>
      </w:tabs>
      <w:ind w:left="2880" w:hanging="2880"/>
    </w:pPr>
    <w:rPr>
      <w:rFonts w:ascii="Arial" w:eastAsia="Calibri" w:hAnsi="Arial"/>
      <w:i/>
      <w:sz w:val="20"/>
    </w:rPr>
  </w:style>
  <w:style w:type="paragraph" w:customStyle="1" w:styleId="Table">
    <w:name w:val="Table"/>
    <w:uiPriority w:val="99"/>
    <w:qFormat/>
    <w:rsid w:val="00952ED8"/>
    <w:pPr>
      <w:keepNext/>
    </w:pPr>
    <w:rPr>
      <w:rFonts w:ascii="Garamond" w:hAnsi="Garamond" w:cs="Arial"/>
      <w:sz w:val="18"/>
    </w:rPr>
  </w:style>
  <w:style w:type="paragraph" w:customStyle="1" w:styleId="Definitions">
    <w:name w:val="Definitions"/>
    <w:basedOn w:val="Normal"/>
    <w:uiPriority w:val="99"/>
    <w:qFormat/>
    <w:rsid w:val="00763570"/>
    <w:pPr>
      <w:ind w:left="288"/>
      <w:contextualSpacing/>
    </w:pPr>
    <w:rPr>
      <w:rFonts w:ascii="Garamond" w:hAnsi="Garamond"/>
    </w:rPr>
  </w:style>
  <w:style w:type="paragraph" w:customStyle="1" w:styleId="indent4">
    <w:name w:val="indent 4"/>
    <w:basedOn w:val="BodyTextIndent3"/>
    <w:uiPriority w:val="99"/>
    <w:qFormat/>
    <w:rsid w:val="005848BC"/>
    <w:pPr>
      <w:ind w:left="432"/>
    </w:pPr>
  </w:style>
  <w:style w:type="table" w:styleId="ColorfulGrid-Accent6">
    <w:name w:val="Colorful Grid Accent 6"/>
    <w:basedOn w:val="TableNormal"/>
    <w:uiPriority w:val="99"/>
    <w:rsid w:val="00001996"/>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Normal"/>
    <w:uiPriority w:val="99"/>
    <w:qFormat/>
    <w:rsid w:val="004F2078"/>
    <w:rPr>
      <w:rFonts w:ascii="Garamond" w:hAnsi="Garamond"/>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PalatinoLinotype" w:hAnsi="PalatinoLinotype"/>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99"/>
    <w:rsid w:val="00E263FC"/>
    <w:rPr>
      <w:rFonts w:ascii="Garamond" w:hAnsi="Garamond"/>
      <w:color w:val="000000"/>
      <w:sz w:val="18"/>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blStylePr w:type="firstRow">
      <w:pPr>
        <w:spacing w:before="0" w:after="0" w:line="240" w:lineRule="auto"/>
      </w:pPr>
      <w:rPr>
        <w:rFonts w:ascii="PalatinoLinotype" w:hAnsi="PalatinoLinotype"/>
        <w:b/>
        <w:bCs/>
        <w:color w:val="auto"/>
        <w:sz w:val="18"/>
      </w:rPr>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99"/>
    <w:rsid w:val="00001996"/>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
    <w:name w:val="source 1"/>
    <w:basedOn w:val="ListParagraph"/>
    <w:qFormat/>
    <w:rsid w:val="002B68FC"/>
    <w:pPr>
      <w:numPr>
        <w:numId w:val="26"/>
      </w:numPr>
      <w:adjustRightInd/>
    </w:pPr>
    <w:rPr>
      <w:rFonts w:cs="Arial"/>
    </w:rPr>
  </w:style>
  <w:style w:type="paragraph" w:customStyle="1" w:styleId="source2">
    <w:name w:val="source 2"/>
    <w:basedOn w:val="ListParagraph"/>
    <w:qFormat/>
    <w:rsid w:val="00AA4BB4"/>
    <w:pPr>
      <w:numPr>
        <w:ilvl w:val="1"/>
        <w:numId w:val="26"/>
      </w:numPr>
      <w:adjustRightInd/>
    </w:pPr>
    <w:rPr>
      <w:rFonts w:eastAsia="Calibri" w:cs="Arial"/>
    </w:rPr>
  </w:style>
  <w:style w:type="table" w:styleId="LightGrid-Accent6">
    <w:name w:val="Light Grid Accent 6"/>
    <w:basedOn w:val="TableNormal"/>
    <w:uiPriority w:val="99"/>
    <w:rsid w:val="001E66AB"/>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99"/>
    <w:rsid w:val="001E66AB"/>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99"/>
    <w:rsid w:val="001E66AB"/>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99"/>
    <w:rsid w:val="00E263FC"/>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99"/>
    <w:rsid w:val="00E263FC"/>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E263FC"/>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99"/>
    <w:rsid w:val="00E263F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TableNormal"/>
    <w:uiPriority w:val="99"/>
    <w:rsid w:val="00E263F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E52C6F"/>
    <w:pPr>
      <w:keepNext/>
    </w:pPr>
    <w:rPr>
      <w:rFonts w:ascii="Garamond" w:hAnsi="Garamond"/>
      <w:sz w:val="18"/>
    </w:rPr>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rPr>
        <w:rFonts w:ascii="PalatinoLinotype" w:hAnsi="PalatinoLinotype"/>
        <w:b/>
        <w:sz w:val="18"/>
      </w:rPr>
      <w:tblPr/>
      <w:tcPr>
        <w:shd w:val="clear" w:color="auto" w:fill="BFBFBF"/>
      </w:tcPr>
    </w:tblStylePr>
    <w:tblStylePr w:type="band2Horz">
      <w:rPr>
        <w:rFonts w:ascii="PalatinoLinotype" w:hAnsi="PalatinoLinotype"/>
      </w:rPr>
    </w:tblStylePr>
  </w:style>
  <w:style w:type="table" w:customStyle="1" w:styleId="PATable">
    <w:name w:val="PATable"/>
    <w:basedOn w:val="TableNormal"/>
    <w:uiPriority w:val="99"/>
    <w:rsid w:val="00BE1832"/>
    <w:tblPr>
      <w:tblInd w:w="0" w:type="dxa"/>
      <w:tblCellMar>
        <w:top w:w="0" w:type="dxa"/>
        <w:left w:w="108" w:type="dxa"/>
        <w:bottom w:w="0" w:type="dxa"/>
        <w:right w:w="108" w:type="dxa"/>
      </w:tblCellMar>
    </w:tblPr>
  </w:style>
  <w:style w:type="table" w:styleId="ColorfulGrid-Accent4">
    <w:name w:val="Colorful Grid Accent 4"/>
    <w:basedOn w:val="TableNormal"/>
    <w:uiPriority w:val="99"/>
    <w:rsid w:val="00BE183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StyleCaptionCentered">
    <w:name w:val="Style Caption + Centered"/>
    <w:basedOn w:val="Caption"/>
    <w:rsid w:val="004F2078"/>
  </w:style>
  <w:style w:type="paragraph" w:styleId="EndnoteText">
    <w:name w:val="endnote text"/>
    <w:basedOn w:val="Normal"/>
    <w:link w:val="EndnoteTextChar"/>
    <w:rsid w:val="00EB6106"/>
    <w:pPr>
      <w:overflowPunct/>
      <w:autoSpaceDE/>
      <w:autoSpaceDN/>
      <w:adjustRightInd/>
      <w:textAlignment w:val="auto"/>
    </w:pPr>
    <w:rPr>
      <w:rFonts w:ascii="Times New Roman" w:hAnsi="Times New Roman"/>
    </w:rPr>
  </w:style>
  <w:style w:type="character" w:customStyle="1" w:styleId="EndnoteTextChar">
    <w:name w:val="Endnote Text Char"/>
    <w:basedOn w:val="DefaultParagraphFont"/>
    <w:link w:val="EndnoteText"/>
    <w:rsid w:val="00EB6106"/>
  </w:style>
  <w:style w:type="character" w:styleId="EndnoteReference">
    <w:name w:val="endnote reference"/>
    <w:rsid w:val="00EB6106"/>
    <w:rPr>
      <w:vertAlign w:val="superscript"/>
    </w:rPr>
  </w:style>
  <w:style w:type="paragraph" w:styleId="PlainText">
    <w:name w:val="Plain Text"/>
    <w:basedOn w:val="Normal"/>
    <w:link w:val="PlainTextChar"/>
    <w:uiPriority w:val="99"/>
    <w:rsid w:val="00E912F1"/>
    <w:pPr>
      <w:overflowPunct/>
      <w:autoSpaceDE/>
      <w:autoSpaceDN/>
      <w:adjustRightInd/>
      <w:textAlignment w:val="auto"/>
    </w:pPr>
    <w:rPr>
      <w:rFonts w:ascii="Consolas" w:hAnsi="Consolas"/>
      <w:sz w:val="21"/>
      <w:szCs w:val="21"/>
    </w:rPr>
  </w:style>
  <w:style w:type="character" w:customStyle="1" w:styleId="PlainTextChar">
    <w:name w:val="Plain Text Char"/>
    <w:link w:val="PlainText"/>
    <w:uiPriority w:val="99"/>
    <w:rsid w:val="00E912F1"/>
    <w:rPr>
      <w:rFonts w:ascii="Consolas" w:hAnsi="Consolas"/>
      <w:sz w:val="21"/>
      <w:szCs w:val="21"/>
    </w:rPr>
  </w:style>
  <w:style w:type="paragraph" w:customStyle="1" w:styleId="Halfline">
    <w:name w:val="Halfline"/>
    <w:basedOn w:val="Normal"/>
    <w:link w:val="HalflineChar"/>
    <w:uiPriority w:val="99"/>
    <w:rsid w:val="009A0119"/>
    <w:pPr>
      <w:spacing w:after="130" w:line="130" w:lineRule="exact"/>
    </w:pPr>
    <w:rPr>
      <w:rFonts w:ascii="Times New Roman" w:hAnsi="Times New Roman"/>
      <w:sz w:val="24"/>
    </w:rPr>
  </w:style>
  <w:style w:type="character" w:customStyle="1" w:styleId="HalflineChar">
    <w:name w:val="Halfline Char"/>
    <w:link w:val="Halfline"/>
    <w:uiPriority w:val="99"/>
    <w:rsid w:val="009A0119"/>
    <w:rPr>
      <w:sz w:val="24"/>
    </w:rPr>
  </w:style>
  <w:style w:type="paragraph" w:customStyle="1" w:styleId="Tabletext">
    <w:name w:val="Table text"/>
    <w:basedOn w:val="Normal"/>
    <w:uiPriority w:val="99"/>
    <w:rsid w:val="009A0119"/>
    <w:pPr>
      <w:overflowPunct/>
      <w:autoSpaceDE/>
      <w:autoSpaceDN/>
      <w:adjustRightInd/>
      <w:spacing w:before="60"/>
      <w:textAlignment w:val="auto"/>
    </w:pPr>
    <w:rPr>
      <w:rFonts w:ascii="Times New Roman" w:eastAsia="Calibri" w:hAnsi="Times New Roman"/>
      <w:sz w:val="22"/>
      <w:szCs w:val="22"/>
    </w:rPr>
  </w:style>
  <w:style w:type="paragraph" w:customStyle="1" w:styleId="ListParagraphClose">
    <w:name w:val="List Paragraph Close"/>
    <w:basedOn w:val="ListParagraph"/>
    <w:uiPriority w:val="99"/>
    <w:qFormat/>
    <w:rsid w:val="008A2558"/>
    <w:pPr>
      <w:numPr>
        <w:numId w:val="4"/>
      </w:numPr>
      <w:spacing w:after="200"/>
    </w:pPr>
  </w:style>
  <w:style w:type="paragraph" w:customStyle="1" w:styleId="RevisionDate">
    <w:name w:val="Revision Date"/>
    <w:basedOn w:val="Normal"/>
    <w:uiPriority w:val="99"/>
    <w:qFormat/>
    <w:rsid w:val="00682FEB"/>
    <w:pPr>
      <w:jc w:val="center"/>
    </w:pPr>
    <w:rPr>
      <w:b/>
      <w:szCs w:val="24"/>
    </w:rPr>
  </w:style>
  <w:style w:type="paragraph" w:customStyle="1" w:styleId="Style2">
    <w:name w:val="Style2"/>
    <w:basedOn w:val="BodyTextIndent2"/>
    <w:uiPriority w:val="99"/>
    <w:qFormat/>
    <w:rsid w:val="008A64EF"/>
    <w:pPr>
      <w:ind w:left="0"/>
      <w:jc w:val="center"/>
    </w:pPr>
    <w:rPr>
      <w:i/>
      <w:iCs/>
    </w:rPr>
  </w:style>
  <w:style w:type="paragraph" w:styleId="TableofFigures">
    <w:name w:val="table of figures"/>
    <w:basedOn w:val="Normal"/>
    <w:next w:val="Normal"/>
    <w:uiPriority w:val="99"/>
    <w:unhideWhenUsed/>
    <w:rsid w:val="00DF5EF8"/>
    <w:pPr>
      <w:spacing w:after="0"/>
    </w:pPr>
  </w:style>
  <w:style w:type="paragraph" w:styleId="DocumentMap">
    <w:name w:val="Document Map"/>
    <w:basedOn w:val="Normal"/>
    <w:link w:val="DocumentMapChar"/>
    <w:uiPriority w:val="99"/>
    <w:semiHidden/>
    <w:unhideWhenUsed/>
    <w:rsid w:val="001A5E45"/>
    <w:rPr>
      <w:rFonts w:ascii="Tahoma" w:hAnsi="Tahoma" w:cs="Tahoma"/>
      <w:sz w:val="16"/>
      <w:szCs w:val="16"/>
    </w:rPr>
  </w:style>
  <w:style w:type="character" w:customStyle="1" w:styleId="DocumentMapChar">
    <w:name w:val="Document Map Char"/>
    <w:basedOn w:val="DefaultParagraphFont"/>
    <w:link w:val="DocumentMap"/>
    <w:uiPriority w:val="99"/>
    <w:semiHidden/>
    <w:rsid w:val="001A5E45"/>
    <w:rPr>
      <w:rFonts w:ascii="Tahoma" w:hAnsi="Tahoma" w:cs="Tahoma"/>
      <w:sz w:val="16"/>
      <w:szCs w:val="16"/>
    </w:rPr>
  </w:style>
  <w:style w:type="paragraph" w:customStyle="1" w:styleId="bi">
    <w:name w:val="bi"/>
    <w:basedOn w:val="Normal"/>
    <w:rsid w:val="0039108A"/>
    <w:pPr>
      <w:numPr>
        <w:numId w:val="79"/>
      </w:numPr>
      <w:tabs>
        <w:tab w:val="left" w:pos="1008"/>
        <w:tab w:val="left" w:pos="1296"/>
        <w:tab w:val="left" w:pos="1584"/>
      </w:tabs>
      <w:overflowPunct/>
      <w:autoSpaceDE/>
      <w:autoSpaceDN/>
      <w:adjustRightInd/>
      <w:spacing w:before="120" w:after="0" w:line="300" w:lineRule="exact"/>
      <w:jc w:val="both"/>
      <w:textAlignment w:val="auto"/>
    </w:pPr>
    <w:rPr>
      <w:rFonts w:ascii="Times New Roman" w:eastAsia="Calibri" w:hAnsi="Times New Roman" w:cs="Arial"/>
      <w:sz w:val="24"/>
    </w:rPr>
  </w:style>
  <w:style w:type="paragraph" w:customStyle="1" w:styleId="Default">
    <w:name w:val="Default"/>
    <w:rsid w:val="0039108A"/>
    <w:pPr>
      <w:autoSpaceDE w:val="0"/>
      <w:autoSpaceDN w:val="0"/>
      <w:adjustRightInd w:val="0"/>
    </w:pPr>
    <w:rPr>
      <w:rFonts w:eastAsia="Calibri"/>
      <w:color w:val="000000"/>
      <w:sz w:val="24"/>
      <w:szCs w:val="24"/>
    </w:rPr>
  </w:style>
  <w:style w:type="paragraph" w:customStyle="1" w:styleId="BasicText">
    <w:name w:val="Basic Text"/>
    <w:basedOn w:val="Normal"/>
    <w:rsid w:val="00F05DC2"/>
    <w:pPr>
      <w:overflowPunct/>
      <w:autoSpaceDE/>
      <w:autoSpaceDN/>
      <w:adjustRightInd/>
      <w:spacing w:before="40" w:after="40" w:line="240" w:lineRule="auto"/>
      <w:ind w:left="720"/>
      <w:textAlignment w:val="auto"/>
    </w:pPr>
    <w:rPr>
      <w:rFonts w:ascii="Times New Roman" w:hAnsi="Times New Roman"/>
      <w:color w:val="000000"/>
      <w:sz w:val="24"/>
    </w:rPr>
  </w:style>
  <w:style w:type="character" w:customStyle="1" w:styleId="CaptionChar">
    <w:name w:val="Caption Char"/>
    <w:aliases w:val="Table Caption Char"/>
    <w:basedOn w:val="DefaultParagraphFont"/>
    <w:link w:val="Caption"/>
    <w:uiPriority w:val="99"/>
    <w:locked/>
    <w:rsid w:val="004F06D1"/>
    <w:rPr>
      <w:rFonts w:ascii="Arial Narrow" w:hAnsi="Arial Narrow"/>
      <w:b/>
      <w:bCs/>
    </w:rPr>
  </w:style>
  <w:style w:type="character" w:customStyle="1" w:styleId="st">
    <w:name w:val="st"/>
    <w:rsid w:val="00C94A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lsdException w:name="Strong" w:locked="1"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Light Shading Accent 5" w:uiPriority="60"/>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363"/>
    <w:pPr>
      <w:overflowPunct w:val="0"/>
      <w:autoSpaceDE w:val="0"/>
      <w:autoSpaceDN w:val="0"/>
      <w:adjustRightInd w:val="0"/>
      <w:spacing w:after="200" w:line="288" w:lineRule="auto"/>
      <w:textAlignment w:val="baseline"/>
    </w:pPr>
    <w:rPr>
      <w:rFonts w:ascii="Arial" w:hAnsi="Arial"/>
    </w:rPr>
  </w:style>
  <w:style w:type="paragraph" w:styleId="Heading1">
    <w:name w:val="heading 1"/>
    <w:basedOn w:val="Normal"/>
    <w:next w:val="Normal"/>
    <w:link w:val="Heading1Char"/>
    <w:uiPriority w:val="99"/>
    <w:qFormat/>
    <w:rsid w:val="00751C57"/>
    <w:pPr>
      <w:keepNext/>
      <w:numPr>
        <w:numId w:val="10"/>
      </w:numPr>
      <w:tabs>
        <w:tab w:val="clear" w:pos="360"/>
        <w:tab w:val="num" w:pos="900"/>
      </w:tabs>
      <w:spacing w:before="240" w:after="120"/>
      <w:ind w:left="900" w:hanging="900"/>
      <w:outlineLvl w:val="0"/>
    </w:pPr>
    <w:rPr>
      <w:rFonts w:ascii="Arial Bold" w:hAnsi="Arial Bold"/>
      <w:b/>
      <w:bCs/>
      <w:smallCaps/>
      <w:kern w:val="32"/>
      <w:sz w:val="30"/>
      <w:szCs w:val="32"/>
    </w:rPr>
  </w:style>
  <w:style w:type="paragraph" w:styleId="Heading2">
    <w:name w:val="heading 2"/>
    <w:basedOn w:val="Normal"/>
    <w:next w:val="Normal"/>
    <w:link w:val="Heading2Char"/>
    <w:qFormat/>
    <w:rsid w:val="007A0424"/>
    <w:pPr>
      <w:keepNext/>
      <w:numPr>
        <w:ilvl w:val="1"/>
        <w:numId w:val="10"/>
      </w:numPr>
      <w:tabs>
        <w:tab w:val="clear" w:pos="630"/>
        <w:tab w:val="left" w:pos="907"/>
      </w:tabs>
      <w:spacing w:before="120" w:after="120"/>
      <w:ind w:left="907" w:hanging="907"/>
      <w:outlineLvl w:val="1"/>
    </w:pPr>
    <w:rPr>
      <w:b/>
      <w:bCs/>
      <w:iCs/>
      <w:sz w:val="24"/>
      <w:szCs w:val="28"/>
    </w:rPr>
  </w:style>
  <w:style w:type="paragraph" w:styleId="Heading3">
    <w:name w:val="heading 3"/>
    <w:basedOn w:val="Normal"/>
    <w:next w:val="Normal"/>
    <w:link w:val="Heading3Char"/>
    <w:autoRedefine/>
    <w:uiPriority w:val="99"/>
    <w:qFormat/>
    <w:rsid w:val="00871FA2"/>
    <w:pPr>
      <w:keepNext/>
      <w:numPr>
        <w:ilvl w:val="2"/>
        <w:numId w:val="10"/>
      </w:numPr>
      <w:tabs>
        <w:tab w:val="clear" w:pos="634"/>
        <w:tab w:val="left" w:pos="900"/>
      </w:tabs>
      <w:spacing w:before="200" w:after="120"/>
      <w:ind w:left="907" w:hanging="907"/>
      <w:outlineLvl w:val="2"/>
    </w:pPr>
    <w:rPr>
      <w:b/>
      <w:bCs/>
      <w:szCs w:val="26"/>
    </w:rPr>
  </w:style>
  <w:style w:type="paragraph" w:styleId="Heading4">
    <w:name w:val="heading 4"/>
    <w:basedOn w:val="Normal"/>
    <w:next w:val="Normal"/>
    <w:link w:val="Heading4Char"/>
    <w:autoRedefine/>
    <w:uiPriority w:val="99"/>
    <w:qFormat/>
    <w:rsid w:val="00212DB6"/>
    <w:pPr>
      <w:keepNext/>
      <w:tabs>
        <w:tab w:val="left" w:pos="1008"/>
      </w:tabs>
      <w:spacing w:before="200" w:after="60"/>
      <w:outlineLvl w:val="3"/>
    </w:pPr>
    <w:rPr>
      <w:b/>
      <w:bCs/>
      <w:sz w:val="18"/>
      <w:szCs w:val="28"/>
    </w:rPr>
  </w:style>
  <w:style w:type="paragraph" w:styleId="Heading5">
    <w:name w:val="heading 5"/>
    <w:basedOn w:val="Normal"/>
    <w:next w:val="Normal"/>
    <w:link w:val="Heading5Char"/>
    <w:uiPriority w:val="99"/>
    <w:qFormat/>
    <w:rsid w:val="00A26749"/>
    <w:pPr>
      <w:keepNext/>
      <w:numPr>
        <w:ilvl w:val="4"/>
        <w:numId w:val="6"/>
      </w:numPr>
      <w:spacing w:line="480" w:lineRule="auto"/>
      <w:ind w:right="-180"/>
      <w:jc w:val="center"/>
      <w:outlineLvl w:val="4"/>
    </w:pPr>
  </w:style>
  <w:style w:type="paragraph" w:styleId="Heading6">
    <w:name w:val="heading 6"/>
    <w:basedOn w:val="Normal"/>
    <w:next w:val="Normal"/>
    <w:link w:val="Heading6Char"/>
    <w:uiPriority w:val="99"/>
    <w:qFormat/>
    <w:rsid w:val="00A26749"/>
    <w:pPr>
      <w:keepNext/>
      <w:numPr>
        <w:ilvl w:val="5"/>
        <w:numId w:val="6"/>
      </w:numPr>
      <w:spacing w:line="480" w:lineRule="auto"/>
      <w:ind w:right="-180"/>
      <w:jc w:val="center"/>
      <w:outlineLvl w:val="5"/>
    </w:pPr>
    <w:rPr>
      <w:i/>
    </w:rPr>
  </w:style>
  <w:style w:type="paragraph" w:styleId="Heading7">
    <w:name w:val="heading 7"/>
    <w:basedOn w:val="Normal"/>
    <w:next w:val="Normal"/>
    <w:link w:val="Heading7Char"/>
    <w:uiPriority w:val="99"/>
    <w:qFormat/>
    <w:rsid w:val="00A26749"/>
    <w:pPr>
      <w:keepNext/>
      <w:numPr>
        <w:ilvl w:val="6"/>
        <w:numId w:val="6"/>
      </w:numPr>
      <w:ind w:right="-187"/>
      <w:jc w:val="center"/>
      <w:outlineLvl w:val="6"/>
    </w:pPr>
    <w:rPr>
      <w:b/>
    </w:rPr>
  </w:style>
  <w:style w:type="paragraph" w:styleId="Heading8">
    <w:name w:val="heading 8"/>
    <w:basedOn w:val="Normal"/>
    <w:next w:val="Normal"/>
    <w:link w:val="Heading8Char"/>
    <w:uiPriority w:val="99"/>
    <w:qFormat/>
    <w:rsid w:val="00A26749"/>
    <w:pPr>
      <w:keepNext/>
      <w:numPr>
        <w:ilvl w:val="7"/>
        <w:numId w:val="6"/>
      </w:numPr>
      <w:spacing w:line="480" w:lineRule="auto"/>
      <w:ind w:right="-187"/>
      <w:jc w:val="center"/>
      <w:outlineLvl w:val="7"/>
    </w:pPr>
  </w:style>
  <w:style w:type="paragraph" w:styleId="Heading9">
    <w:name w:val="heading 9"/>
    <w:basedOn w:val="Normal"/>
    <w:next w:val="Normal"/>
    <w:link w:val="Heading9Char"/>
    <w:uiPriority w:val="99"/>
    <w:qFormat/>
    <w:rsid w:val="00A26749"/>
    <w:pPr>
      <w:keepNext/>
      <w:numPr>
        <w:ilvl w:val="8"/>
        <w:numId w:val="6"/>
      </w:numPr>
      <w:spacing w:line="480" w:lineRule="auto"/>
      <w:ind w:right="-187"/>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51C57"/>
    <w:rPr>
      <w:rFonts w:ascii="Arial Bold" w:hAnsi="Arial Bold"/>
      <w:b/>
      <w:bCs/>
      <w:smallCaps/>
      <w:kern w:val="32"/>
      <w:sz w:val="30"/>
      <w:szCs w:val="32"/>
    </w:rPr>
  </w:style>
  <w:style w:type="character" w:customStyle="1" w:styleId="Heading2Char">
    <w:name w:val="Heading 2 Char"/>
    <w:link w:val="Heading2"/>
    <w:rsid w:val="007A0424"/>
    <w:rPr>
      <w:rFonts w:ascii="Arial" w:hAnsi="Arial"/>
      <w:b/>
      <w:bCs/>
      <w:iCs/>
      <w:sz w:val="24"/>
      <w:szCs w:val="28"/>
    </w:rPr>
  </w:style>
  <w:style w:type="character" w:customStyle="1" w:styleId="Heading3Char">
    <w:name w:val="Heading 3 Char"/>
    <w:link w:val="Heading3"/>
    <w:uiPriority w:val="99"/>
    <w:rsid w:val="00871FA2"/>
    <w:rPr>
      <w:rFonts w:ascii="Arial" w:hAnsi="Arial"/>
      <w:b/>
      <w:bCs/>
      <w:szCs w:val="26"/>
    </w:rPr>
  </w:style>
  <w:style w:type="character" w:customStyle="1" w:styleId="Heading4Char">
    <w:name w:val="Heading 4 Char"/>
    <w:link w:val="Heading4"/>
    <w:uiPriority w:val="99"/>
    <w:rsid w:val="00212DB6"/>
    <w:rPr>
      <w:rFonts w:ascii="Arial" w:hAnsi="Arial"/>
      <w:b/>
      <w:bCs/>
      <w:sz w:val="18"/>
      <w:szCs w:val="28"/>
    </w:rPr>
  </w:style>
  <w:style w:type="character" w:customStyle="1" w:styleId="Heading5Char">
    <w:name w:val="Heading 5 Char"/>
    <w:link w:val="Heading5"/>
    <w:uiPriority w:val="99"/>
    <w:rsid w:val="009A4B7C"/>
    <w:rPr>
      <w:rFonts w:ascii="Arial" w:hAnsi="Arial"/>
    </w:rPr>
  </w:style>
  <w:style w:type="character" w:customStyle="1" w:styleId="Heading6Char">
    <w:name w:val="Heading 6 Char"/>
    <w:link w:val="Heading6"/>
    <w:uiPriority w:val="99"/>
    <w:rsid w:val="009A4B7C"/>
    <w:rPr>
      <w:rFonts w:ascii="Arial" w:hAnsi="Arial"/>
      <w:i/>
    </w:rPr>
  </w:style>
  <w:style w:type="character" w:customStyle="1" w:styleId="Heading7Char">
    <w:name w:val="Heading 7 Char"/>
    <w:link w:val="Heading7"/>
    <w:uiPriority w:val="99"/>
    <w:rsid w:val="009A4B7C"/>
    <w:rPr>
      <w:rFonts w:ascii="Arial" w:hAnsi="Arial"/>
      <w:b/>
    </w:rPr>
  </w:style>
  <w:style w:type="character" w:customStyle="1" w:styleId="Heading8Char">
    <w:name w:val="Heading 8 Char"/>
    <w:link w:val="Heading8"/>
    <w:uiPriority w:val="99"/>
    <w:rsid w:val="009A4B7C"/>
    <w:rPr>
      <w:rFonts w:ascii="Arial" w:hAnsi="Arial"/>
    </w:rPr>
  </w:style>
  <w:style w:type="character" w:customStyle="1" w:styleId="Heading9Char">
    <w:name w:val="Heading 9 Char"/>
    <w:link w:val="Heading9"/>
    <w:uiPriority w:val="99"/>
    <w:rsid w:val="009A4B7C"/>
    <w:rPr>
      <w:rFonts w:ascii="Arial" w:hAnsi="Arial"/>
      <w:i/>
    </w:rPr>
  </w:style>
  <w:style w:type="paragraph" w:styleId="Header">
    <w:name w:val="header"/>
    <w:basedOn w:val="Normal"/>
    <w:link w:val="HeaderChar"/>
    <w:uiPriority w:val="99"/>
    <w:rsid w:val="00682FEB"/>
    <w:pPr>
      <w:pBdr>
        <w:bottom w:val="dotted" w:sz="4" w:space="1" w:color="1F497D"/>
      </w:pBdr>
      <w:tabs>
        <w:tab w:val="center" w:pos="4320"/>
        <w:tab w:val="right" w:pos="8640"/>
      </w:tabs>
      <w:spacing w:after="360"/>
      <w:jc w:val="center"/>
    </w:pPr>
    <w:rPr>
      <w:rFonts w:ascii="Arial Narrow" w:hAnsi="Arial Narrow"/>
    </w:rPr>
  </w:style>
  <w:style w:type="character" w:customStyle="1" w:styleId="HeaderChar">
    <w:name w:val="Header Char"/>
    <w:link w:val="Header"/>
    <w:uiPriority w:val="99"/>
    <w:rsid w:val="00682FEB"/>
    <w:rPr>
      <w:rFonts w:ascii="Arial Narrow" w:hAnsi="Arial Narrow"/>
    </w:rPr>
  </w:style>
  <w:style w:type="paragraph" w:styleId="Footer">
    <w:name w:val="footer"/>
    <w:basedOn w:val="Normal"/>
    <w:link w:val="FooterChar"/>
    <w:uiPriority w:val="99"/>
    <w:rsid w:val="00092C0A"/>
    <w:pPr>
      <w:tabs>
        <w:tab w:val="center" w:pos="4320"/>
        <w:tab w:val="right" w:pos="8640"/>
      </w:tabs>
    </w:pPr>
    <w:rPr>
      <w:rFonts w:ascii="Times New Roman" w:hAnsi="Times New Roman"/>
      <w:sz w:val="24"/>
    </w:rPr>
  </w:style>
  <w:style w:type="character" w:customStyle="1" w:styleId="FooterChar">
    <w:name w:val="Footer Char"/>
    <w:link w:val="Footer"/>
    <w:uiPriority w:val="99"/>
    <w:locked/>
    <w:rsid w:val="00957B81"/>
    <w:rPr>
      <w:rFonts w:cs="Times New Roman"/>
      <w:sz w:val="24"/>
    </w:rPr>
  </w:style>
  <w:style w:type="character" w:styleId="PageNumber">
    <w:name w:val="page number"/>
    <w:uiPriority w:val="99"/>
    <w:rsid w:val="0068633D"/>
    <w:rPr>
      <w:rFonts w:cs="Times New Roman"/>
    </w:rPr>
  </w:style>
  <w:style w:type="paragraph" w:styleId="FootnoteText">
    <w:name w:val="footnote text"/>
    <w:basedOn w:val="Normal"/>
    <w:link w:val="FootnoteTextChar"/>
    <w:rsid w:val="00321935"/>
    <w:pPr>
      <w:spacing w:after="0"/>
    </w:pPr>
    <w:rPr>
      <w:sz w:val="16"/>
    </w:rPr>
  </w:style>
  <w:style w:type="character" w:customStyle="1" w:styleId="FootnoteTextChar">
    <w:name w:val="Footnote Text Char"/>
    <w:link w:val="FootnoteText"/>
    <w:locked/>
    <w:rsid w:val="00321935"/>
    <w:rPr>
      <w:rFonts w:ascii="Arial" w:hAnsi="Arial"/>
      <w:sz w:val="16"/>
    </w:rPr>
  </w:style>
  <w:style w:type="character" w:styleId="FootnoteReference">
    <w:name w:val="footnote reference"/>
    <w:rsid w:val="009248F5"/>
    <w:rPr>
      <w:rFonts w:cs="Times New Roman"/>
      <w:vertAlign w:val="superscript"/>
    </w:rPr>
  </w:style>
  <w:style w:type="paragraph" w:customStyle="1" w:styleId="c1">
    <w:name w:val="c1"/>
    <w:basedOn w:val="Normal"/>
    <w:uiPriority w:val="99"/>
    <w:rsid w:val="00DF0470"/>
    <w:pPr>
      <w:widowControl w:val="0"/>
      <w:overflowPunct/>
      <w:jc w:val="center"/>
      <w:textAlignment w:val="auto"/>
    </w:pPr>
    <w:rPr>
      <w:szCs w:val="24"/>
    </w:rPr>
  </w:style>
  <w:style w:type="paragraph" w:customStyle="1" w:styleId="p3">
    <w:name w:val="p3"/>
    <w:basedOn w:val="Normal"/>
    <w:uiPriority w:val="99"/>
    <w:rsid w:val="00DF0470"/>
    <w:pPr>
      <w:widowControl w:val="0"/>
      <w:tabs>
        <w:tab w:val="left" w:pos="204"/>
      </w:tabs>
      <w:overflowPunct/>
      <w:textAlignment w:val="auto"/>
    </w:pPr>
    <w:rPr>
      <w:szCs w:val="24"/>
    </w:rPr>
  </w:style>
  <w:style w:type="paragraph" w:customStyle="1" w:styleId="p6">
    <w:name w:val="p6"/>
    <w:basedOn w:val="Normal"/>
    <w:uiPriority w:val="99"/>
    <w:rsid w:val="00DF0470"/>
    <w:pPr>
      <w:widowControl w:val="0"/>
      <w:overflowPunct/>
      <w:ind w:firstLine="742"/>
      <w:textAlignment w:val="auto"/>
    </w:pPr>
    <w:rPr>
      <w:szCs w:val="24"/>
    </w:rPr>
  </w:style>
  <w:style w:type="paragraph" w:customStyle="1" w:styleId="p8">
    <w:name w:val="p8"/>
    <w:basedOn w:val="Normal"/>
    <w:uiPriority w:val="99"/>
    <w:rsid w:val="00DF0470"/>
    <w:pPr>
      <w:widowControl w:val="0"/>
      <w:tabs>
        <w:tab w:val="left" w:pos="204"/>
      </w:tabs>
      <w:overflowPunct/>
      <w:textAlignment w:val="auto"/>
    </w:pPr>
    <w:rPr>
      <w:szCs w:val="24"/>
    </w:rPr>
  </w:style>
  <w:style w:type="paragraph" w:customStyle="1" w:styleId="c9">
    <w:name w:val="c9"/>
    <w:basedOn w:val="Normal"/>
    <w:uiPriority w:val="99"/>
    <w:rsid w:val="00DF0470"/>
    <w:pPr>
      <w:widowControl w:val="0"/>
      <w:overflowPunct/>
      <w:jc w:val="center"/>
      <w:textAlignment w:val="auto"/>
    </w:pPr>
    <w:rPr>
      <w:szCs w:val="24"/>
    </w:rPr>
  </w:style>
  <w:style w:type="paragraph" w:customStyle="1" w:styleId="c10">
    <w:name w:val="c10"/>
    <w:basedOn w:val="Normal"/>
    <w:uiPriority w:val="99"/>
    <w:rsid w:val="00DF0470"/>
    <w:pPr>
      <w:widowControl w:val="0"/>
      <w:overflowPunct/>
      <w:jc w:val="center"/>
      <w:textAlignment w:val="auto"/>
    </w:pPr>
    <w:rPr>
      <w:szCs w:val="24"/>
    </w:rPr>
  </w:style>
  <w:style w:type="paragraph" w:customStyle="1" w:styleId="p13">
    <w:name w:val="p13"/>
    <w:basedOn w:val="Normal"/>
    <w:uiPriority w:val="99"/>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uiPriority w:val="99"/>
    <w:rsid w:val="00DF0470"/>
    <w:pPr>
      <w:widowControl w:val="0"/>
      <w:tabs>
        <w:tab w:val="left" w:pos="204"/>
      </w:tabs>
      <w:overflowPunct/>
      <w:textAlignment w:val="auto"/>
    </w:pPr>
    <w:rPr>
      <w:szCs w:val="24"/>
    </w:rPr>
  </w:style>
  <w:style w:type="paragraph" w:customStyle="1" w:styleId="p15">
    <w:name w:val="p15"/>
    <w:basedOn w:val="Normal"/>
    <w:uiPriority w:val="99"/>
    <w:rsid w:val="00DF0470"/>
    <w:pPr>
      <w:widowControl w:val="0"/>
      <w:tabs>
        <w:tab w:val="left" w:pos="204"/>
      </w:tabs>
      <w:overflowPunct/>
      <w:textAlignment w:val="auto"/>
    </w:pPr>
    <w:rPr>
      <w:szCs w:val="24"/>
    </w:rPr>
  </w:style>
  <w:style w:type="paragraph" w:customStyle="1" w:styleId="p17">
    <w:name w:val="p17"/>
    <w:basedOn w:val="Normal"/>
    <w:uiPriority w:val="99"/>
    <w:rsid w:val="00DF0470"/>
    <w:pPr>
      <w:widowControl w:val="0"/>
      <w:tabs>
        <w:tab w:val="left" w:pos="5057"/>
      </w:tabs>
      <w:overflowPunct/>
      <w:ind w:left="3617"/>
      <w:textAlignment w:val="auto"/>
    </w:pPr>
    <w:rPr>
      <w:szCs w:val="24"/>
    </w:rPr>
  </w:style>
  <w:style w:type="paragraph" w:customStyle="1" w:styleId="p18">
    <w:name w:val="p18"/>
    <w:basedOn w:val="Normal"/>
    <w:uiPriority w:val="99"/>
    <w:rsid w:val="00DF0470"/>
    <w:pPr>
      <w:widowControl w:val="0"/>
      <w:tabs>
        <w:tab w:val="left" w:pos="5062"/>
      </w:tabs>
      <w:overflowPunct/>
      <w:ind w:left="3622"/>
      <w:textAlignment w:val="auto"/>
    </w:pPr>
    <w:rPr>
      <w:szCs w:val="24"/>
    </w:rPr>
  </w:style>
  <w:style w:type="paragraph" w:styleId="BalloonText">
    <w:name w:val="Balloon Text"/>
    <w:basedOn w:val="Normal"/>
    <w:link w:val="BalloonTextChar"/>
    <w:uiPriority w:val="99"/>
    <w:semiHidden/>
    <w:rsid w:val="00214C36"/>
    <w:rPr>
      <w:rFonts w:ascii="Tahoma" w:hAnsi="Tahoma"/>
      <w:sz w:val="16"/>
      <w:szCs w:val="16"/>
    </w:rPr>
  </w:style>
  <w:style w:type="character" w:customStyle="1" w:styleId="BalloonTextChar">
    <w:name w:val="Balloon Text Char"/>
    <w:link w:val="BalloonText"/>
    <w:uiPriority w:val="99"/>
    <w:semiHidden/>
    <w:rsid w:val="009A4B7C"/>
    <w:rPr>
      <w:rFonts w:ascii="Tahoma" w:hAnsi="Tahoma" w:cs="Tahoma"/>
      <w:sz w:val="16"/>
      <w:szCs w:val="16"/>
    </w:rPr>
  </w:style>
  <w:style w:type="paragraph" w:customStyle="1" w:styleId="StyleCentered">
    <w:name w:val="Style Centered"/>
    <w:basedOn w:val="Normal"/>
    <w:uiPriority w:val="99"/>
    <w:rsid w:val="00092C0A"/>
    <w:pPr>
      <w:jc w:val="center"/>
    </w:pPr>
  </w:style>
  <w:style w:type="character" w:styleId="Hyperlink">
    <w:name w:val="Hyperlink"/>
    <w:uiPriority w:val="99"/>
    <w:rsid w:val="008062F5"/>
    <w:rPr>
      <w:rFonts w:cs="Times New Roman"/>
      <w:color w:val="0000FF"/>
      <w:u w:val="single"/>
    </w:rPr>
  </w:style>
  <w:style w:type="paragraph" w:styleId="TOC1">
    <w:name w:val="toc 1"/>
    <w:basedOn w:val="Normal"/>
    <w:next w:val="Normal"/>
    <w:uiPriority w:val="39"/>
    <w:rsid w:val="0060580C"/>
    <w:pPr>
      <w:spacing w:after="0"/>
      <w:ind w:left="360" w:hanging="360"/>
    </w:pPr>
    <w:rPr>
      <w:rFonts w:ascii="Times New Roman" w:hAnsi="Times New Roman"/>
      <w:b/>
      <w:caps/>
    </w:rPr>
  </w:style>
  <w:style w:type="paragraph" w:styleId="TOC2">
    <w:name w:val="toc 2"/>
    <w:basedOn w:val="Normal"/>
    <w:next w:val="Normal"/>
    <w:uiPriority w:val="39"/>
    <w:rsid w:val="003C4785"/>
    <w:pPr>
      <w:tabs>
        <w:tab w:val="left" w:pos="900"/>
        <w:tab w:val="right" w:leader="dot" w:pos="8630"/>
      </w:tabs>
      <w:spacing w:after="0"/>
      <w:ind w:left="907" w:hanging="662"/>
    </w:pPr>
    <w:rPr>
      <w:noProof/>
    </w:rPr>
  </w:style>
  <w:style w:type="paragraph" w:styleId="TOC3">
    <w:name w:val="toc 3"/>
    <w:basedOn w:val="Normal"/>
    <w:next w:val="Normal"/>
    <w:uiPriority w:val="39"/>
    <w:rsid w:val="00AA3FCE"/>
    <w:pPr>
      <w:spacing w:after="0"/>
      <w:ind w:left="475"/>
    </w:pPr>
    <w:rPr>
      <w:i/>
      <w:sz w:val="22"/>
    </w:rPr>
  </w:style>
  <w:style w:type="paragraph" w:styleId="TOC4">
    <w:name w:val="toc 4"/>
    <w:basedOn w:val="Normal"/>
    <w:next w:val="Normal"/>
    <w:uiPriority w:val="39"/>
    <w:rsid w:val="00A26749"/>
    <w:pPr>
      <w:ind w:left="720"/>
    </w:pPr>
  </w:style>
  <w:style w:type="paragraph" w:styleId="BodyText2">
    <w:name w:val="Body Text 2"/>
    <w:basedOn w:val="Normal"/>
    <w:link w:val="BodyText2Char"/>
    <w:uiPriority w:val="99"/>
    <w:rsid w:val="00A26749"/>
    <w:rPr>
      <w:rFonts w:ascii="Times New Roman" w:hAnsi="Times New Roman"/>
      <w:sz w:val="24"/>
    </w:rPr>
  </w:style>
  <w:style w:type="character" w:customStyle="1" w:styleId="BodyText2Char">
    <w:name w:val="Body Text 2 Char"/>
    <w:link w:val="BodyText2"/>
    <w:uiPriority w:val="99"/>
    <w:semiHidden/>
    <w:rsid w:val="009A4B7C"/>
    <w:rPr>
      <w:sz w:val="24"/>
      <w:szCs w:val="20"/>
    </w:rPr>
  </w:style>
  <w:style w:type="paragraph" w:styleId="BodyText3">
    <w:name w:val="Body Text 3"/>
    <w:basedOn w:val="Normal"/>
    <w:link w:val="BodyText3Char"/>
    <w:uiPriority w:val="99"/>
    <w:rsid w:val="00A26749"/>
    <w:pPr>
      <w:spacing w:after="120"/>
    </w:pPr>
    <w:rPr>
      <w:rFonts w:ascii="Times New Roman" w:hAnsi="Times New Roman"/>
      <w:sz w:val="16"/>
      <w:szCs w:val="16"/>
    </w:rPr>
  </w:style>
  <w:style w:type="character" w:customStyle="1" w:styleId="BodyText3Char">
    <w:name w:val="Body Text 3 Char"/>
    <w:link w:val="BodyText3"/>
    <w:uiPriority w:val="99"/>
    <w:semiHidden/>
    <w:rsid w:val="009A4B7C"/>
    <w:rPr>
      <w:sz w:val="16"/>
      <w:szCs w:val="16"/>
    </w:rPr>
  </w:style>
  <w:style w:type="paragraph" w:styleId="BodyText">
    <w:name w:val="Body Text"/>
    <w:basedOn w:val="Normal"/>
    <w:link w:val="BodyTextChar"/>
    <w:uiPriority w:val="99"/>
    <w:rsid w:val="001669F2"/>
    <w:pPr>
      <w:ind w:right="-187"/>
    </w:pPr>
  </w:style>
  <w:style w:type="character" w:customStyle="1" w:styleId="BodyTextChar">
    <w:name w:val="Body Text Char"/>
    <w:link w:val="BodyText"/>
    <w:uiPriority w:val="99"/>
    <w:locked/>
    <w:rsid w:val="001669F2"/>
    <w:rPr>
      <w:rFonts w:ascii="Arial" w:hAnsi="Arial"/>
    </w:rPr>
  </w:style>
  <w:style w:type="character" w:styleId="FollowedHyperlink">
    <w:name w:val="FollowedHyperlink"/>
    <w:uiPriority w:val="99"/>
    <w:rsid w:val="00A26749"/>
    <w:rPr>
      <w:rFonts w:cs="Times New Roman"/>
      <w:color w:val="800080"/>
      <w:u w:val="single"/>
    </w:rPr>
  </w:style>
  <w:style w:type="character" w:styleId="Strong">
    <w:name w:val="Strong"/>
    <w:uiPriority w:val="99"/>
    <w:qFormat/>
    <w:rsid w:val="00A26749"/>
    <w:rPr>
      <w:rFonts w:cs="Times New Roman"/>
      <w:b/>
      <w:bCs/>
    </w:rPr>
  </w:style>
  <w:style w:type="paragraph" w:styleId="BodyTextIndent">
    <w:name w:val="Body Text Indent"/>
    <w:basedOn w:val="Normal"/>
    <w:link w:val="BodyTextIndentChar"/>
    <w:uiPriority w:val="99"/>
    <w:rsid w:val="00A26749"/>
    <w:pPr>
      <w:overflowPunct/>
      <w:autoSpaceDE/>
      <w:autoSpaceDN/>
      <w:adjustRightInd/>
      <w:ind w:left="1440" w:firstLine="60"/>
      <w:textAlignment w:val="auto"/>
    </w:pPr>
    <w:rPr>
      <w:rFonts w:ascii="Times New Roman" w:hAnsi="Times New Roman"/>
      <w:sz w:val="24"/>
    </w:rPr>
  </w:style>
  <w:style w:type="character" w:customStyle="1" w:styleId="BodyTextIndentChar">
    <w:name w:val="Body Text Indent Char"/>
    <w:link w:val="BodyTextIndent"/>
    <w:uiPriority w:val="99"/>
    <w:semiHidden/>
    <w:rsid w:val="009A4B7C"/>
    <w:rPr>
      <w:sz w:val="24"/>
      <w:szCs w:val="20"/>
    </w:rPr>
  </w:style>
  <w:style w:type="paragraph" w:styleId="Title">
    <w:name w:val="Title"/>
    <w:basedOn w:val="Normal"/>
    <w:link w:val="TitleChar"/>
    <w:qFormat/>
    <w:rsid w:val="00A26749"/>
    <w:pPr>
      <w:overflowPunct/>
      <w:autoSpaceDE/>
      <w:autoSpaceDN/>
      <w:adjustRightInd/>
      <w:jc w:val="center"/>
      <w:textAlignment w:val="auto"/>
    </w:pPr>
    <w:rPr>
      <w:rFonts w:ascii="Cambria" w:hAnsi="Cambria"/>
      <w:b/>
      <w:bCs/>
      <w:kern w:val="28"/>
      <w:sz w:val="32"/>
      <w:szCs w:val="32"/>
    </w:rPr>
  </w:style>
  <w:style w:type="character" w:customStyle="1" w:styleId="TitleChar">
    <w:name w:val="Title Char"/>
    <w:link w:val="Title"/>
    <w:rsid w:val="009A4B7C"/>
    <w:rPr>
      <w:rFonts w:ascii="Cambria" w:eastAsia="Times New Roman" w:hAnsi="Cambria" w:cs="Times New Roman"/>
      <w:b/>
      <w:bCs/>
      <w:kern w:val="28"/>
      <w:sz w:val="32"/>
      <w:szCs w:val="32"/>
    </w:rPr>
  </w:style>
  <w:style w:type="paragraph" w:styleId="BodyTextIndent2">
    <w:name w:val="Body Text Indent 2"/>
    <w:basedOn w:val="Normal"/>
    <w:link w:val="BodyTextIndent2Char"/>
    <w:uiPriority w:val="99"/>
    <w:rsid w:val="00A26749"/>
    <w:pPr>
      <w:ind w:left="720"/>
    </w:pPr>
    <w:rPr>
      <w:rFonts w:ascii="Times New Roman" w:hAnsi="Times New Roman"/>
      <w:sz w:val="24"/>
    </w:rPr>
  </w:style>
  <w:style w:type="character" w:customStyle="1" w:styleId="BodyTextIndent2Char">
    <w:name w:val="Body Text Indent 2 Char"/>
    <w:link w:val="BodyTextIndent2"/>
    <w:uiPriority w:val="99"/>
    <w:rsid w:val="009A4B7C"/>
    <w:rPr>
      <w:sz w:val="24"/>
      <w:szCs w:val="20"/>
    </w:rPr>
  </w:style>
  <w:style w:type="paragraph" w:customStyle="1" w:styleId="font0">
    <w:name w:val="font0"/>
    <w:basedOn w:val="Normal"/>
    <w:uiPriority w:val="99"/>
    <w:rsid w:val="00A26749"/>
    <w:pPr>
      <w:overflowPunct/>
      <w:autoSpaceDE/>
      <w:autoSpaceDN/>
      <w:adjustRightInd/>
      <w:spacing w:before="100" w:beforeAutospacing="1" w:after="100" w:afterAutospacing="1"/>
      <w:textAlignment w:val="auto"/>
    </w:pPr>
    <w:rPr>
      <w:rFonts w:eastAsia="Arial Unicode MS" w:cs="Arial"/>
    </w:rPr>
  </w:style>
  <w:style w:type="paragraph" w:customStyle="1" w:styleId="font5">
    <w:name w:val="font5"/>
    <w:basedOn w:val="Normal"/>
    <w:uiPriority w:val="99"/>
    <w:rsid w:val="00A26749"/>
    <w:pPr>
      <w:overflowPunct/>
      <w:autoSpaceDE/>
      <w:autoSpaceDN/>
      <w:adjustRightInd/>
      <w:spacing w:before="100" w:beforeAutospacing="1" w:after="100" w:afterAutospacing="1"/>
      <w:textAlignment w:val="auto"/>
    </w:pPr>
    <w:rPr>
      <w:rFonts w:eastAsia="Arial Unicode MS" w:cs="Arial"/>
      <w:b/>
      <w:bCs/>
    </w:rPr>
  </w:style>
  <w:style w:type="paragraph" w:customStyle="1" w:styleId="font6">
    <w:name w:val="font6"/>
    <w:basedOn w:val="Normal"/>
    <w:uiPriority w:val="99"/>
    <w:rsid w:val="00A26749"/>
    <w:pPr>
      <w:overflowPunct/>
      <w:autoSpaceDE/>
      <w:autoSpaceDN/>
      <w:adjustRightInd/>
      <w:spacing w:before="100" w:beforeAutospacing="1" w:after="100" w:afterAutospacing="1"/>
      <w:textAlignment w:val="auto"/>
    </w:pPr>
    <w:rPr>
      <w:rFonts w:eastAsia="Arial Unicode MS" w:cs="Arial"/>
    </w:rPr>
  </w:style>
  <w:style w:type="paragraph" w:customStyle="1" w:styleId="font7">
    <w:name w:val="font7"/>
    <w:basedOn w:val="Normal"/>
    <w:uiPriority w:val="99"/>
    <w:rsid w:val="00A26749"/>
    <w:pPr>
      <w:overflowPunct/>
      <w:autoSpaceDE/>
      <w:autoSpaceDN/>
      <w:adjustRightInd/>
      <w:spacing w:before="100" w:beforeAutospacing="1" w:after="100" w:afterAutospacing="1"/>
      <w:textAlignment w:val="auto"/>
    </w:pPr>
    <w:rPr>
      <w:rFonts w:eastAsia="Arial Unicode MS" w:cs="Arial"/>
      <w:i/>
      <w:iCs/>
    </w:rPr>
  </w:style>
  <w:style w:type="paragraph" w:customStyle="1" w:styleId="font8">
    <w:name w:val="font8"/>
    <w:basedOn w:val="Normal"/>
    <w:uiPriority w:val="99"/>
    <w:rsid w:val="00A26749"/>
    <w:pPr>
      <w:overflowPunct/>
      <w:autoSpaceDE/>
      <w:autoSpaceDN/>
      <w:adjustRightInd/>
      <w:spacing w:before="100" w:beforeAutospacing="1" w:after="100" w:afterAutospacing="1"/>
      <w:textAlignment w:val="auto"/>
    </w:pPr>
    <w:rPr>
      <w:rFonts w:eastAsia="Arial Unicode MS" w:cs="Arial"/>
      <w:b/>
      <w:bCs/>
      <w:sz w:val="16"/>
      <w:szCs w:val="16"/>
    </w:rPr>
  </w:style>
  <w:style w:type="paragraph" w:customStyle="1" w:styleId="xl24">
    <w:name w:val="xl24"/>
    <w:basedOn w:val="Normal"/>
    <w:uiPriority w:val="99"/>
    <w:rsid w:val="00A26749"/>
    <w:pPr>
      <w:pBdr>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25">
    <w:name w:val="xl25"/>
    <w:basedOn w:val="Normal"/>
    <w:uiPriority w:val="99"/>
    <w:rsid w:val="00A26749"/>
    <w:pPr>
      <w:overflowPunct/>
      <w:autoSpaceDE/>
      <w:autoSpaceDN/>
      <w:adjustRightInd/>
      <w:spacing w:before="100" w:beforeAutospacing="1" w:after="100" w:afterAutospacing="1"/>
      <w:textAlignment w:val="auto"/>
    </w:pPr>
    <w:rPr>
      <w:rFonts w:eastAsia="Arial Unicode MS" w:cs="Arial"/>
      <w:szCs w:val="24"/>
    </w:rPr>
  </w:style>
  <w:style w:type="paragraph" w:customStyle="1" w:styleId="xl26">
    <w:name w:val="xl26"/>
    <w:basedOn w:val="Normal"/>
    <w:uiPriority w:val="99"/>
    <w:rsid w:val="00A26749"/>
    <w:pPr>
      <w:pBdr>
        <w:right w:val="single" w:sz="4" w:space="0" w:color="auto"/>
      </w:pBdr>
      <w:overflowPunct/>
      <w:autoSpaceDE/>
      <w:autoSpaceDN/>
      <w:adjustRightInd/>
      <w:spacing w:before="100" w:beforeAutospacing="1" w:after="100" w:afterAutospacing="1"/>
      <w:textAlignment w:val="auto"/>
    </w:pPr>
    <w:rPr>
      <w:rFonts w:eastAsia="Arial Unicode MS" w:cs="Arial"/>
      <w:szCs w:val="24"/>
    </w:rPr>
  </w:style>
  <w:style w:type="paragraph" w:customStyle="1" w:styleId="xl27">
    <w:name w:val="xl27"/>
    <w:basedOn w:val="Normal"/>
    <w:uiPriority w:val="99"/>
    <w:rsid w:val="00A26749"/>
    <w:pPr>
      <w:pBdr>
        <w:right w:val="single" w:sz="4" w:space="0" w:color="auto"/>
      </w:pBdr>
      <w:overflowPunct/>
      <w:autoSpaceDE/>
      <w:autoSpaceDN/>
      <w:adjustRightInd/>
      <w:spacing w:before="100" w:beforeAutospacing="1" w:after="100" w:afterAutospacing="1"/>
      <w:textAlignment w:val="auto"/>
    </w:pPr>
    <w:rPr>
      <w:rFonts w:eastAsia="Arial Unicode MS" w:cs="Arial"/>
      <w:i/>
      <w:iCs/>
      <w:szCs w:val="24"/>
    </w:rPr>
  </w:style>
  <w:style w:type="paragraph" w:customStyle="1" w:styleId="xl28">
    <w:name w:val="xl28"/>
    <w:basedOn w:val="Normal"/>
    <w:uiPriority w:val="99"/>
    <w:rsid w:val="00A26749"/>
    <w:pPr>
      <w:pBdr>
        <w:top w:val="single" w:sz="8" w:space="0" w:color="auto"/>
        <w:left w:val="single" w:sz="8"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29">
    <w:name w:val="xl29"/>
    <w:basedOn w:val="Normal"/>
    <w:uiPriority w:val="99"/>
    <w:rsid w:val="00A26749"/>
    <w:pPr>
      <w:pBdr>
        <w:top w:val="single" w:sz="8" w:space="0" w:color="auto"/>
        <w:right w:val="single" w:sz="8"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30">
    <w:name w:val="xl30"/>
    <w:basedOn w:val="Normal"/>
    <w:uiPriority w:val="99"/>
    <w:rsid w:val="00A26749"/>
    <w:pPr>
      <w:pBdr>
        <w:lef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1">
    <w:name w:val="xl31"/>
    <w:basedOn w:val="Normal"/>
    <w:uiPriority w:val="99"/>
    <w:rsid w:val="00A26749"/>
    <w:pPr>
      <w:pBdr>
        <w:righ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2">
    <w:name w:val="xl32"/>
    <w:basedOn w:val="Normal"/>
    <w:uiPriority w:val="99"/>
    <w:rsid w:val="00A26749"/>
    <w:pPr>
      <w:pBdr>
        <w:right w:val="single" w:sz="8"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33">
    <w:name w:val="xl33"/>
    <w:basedOn w:val="Normal"/>
    <w:uiPriority w:val="99"/>
    <w:rsid w:val="00A26749"/>
    <w:pPr>
      <w:pBdr>
        <w:right w:val="single" w:sz="8" w:space="0" w:color="auto"/>
      </w:pBdr>
      <w:overflowPunct/>
      <w:autoSpaceDE/>
      <w:autoSpaceDN/>
      <w:adjustRightInd/>
      <w:spacing w:before="100" w:beforeAutospacing="1" w:after="100" w:afterAutospacing="1"/>
      <w:textAlignment w:val="auto"/>
    </w:pPr>
    <w:rPr>
      <w:rFonts w:eastAsia="Arial Unicode MS" w:cs="Arial"/>
      <w:szCs w:val="24"/>
    </w:rPr>
  </w:style>
  <w:style w:type="paragraph" w:customStyle="1" w:styleId="xl34">
    <w:name w:val="xl34"/>
    <w:basedOn w:val="Normal"/>
    <w:uiPriority w:val="99"/>
    <w:rsid w:val="00A26749"/>
    <w:pPr>
      <w:pBdr>
        <w:right w:val="single" w:sz="8" w:space="0" w:color="auto"/>
      </w:pBdr>
      <w:overflowPunct/>
      <w:autoSpaceDE/>
      <w:autoSpaceDN/>
      <w:adjustRightInd/>
      <w:spacing w:before="100" w:beforeAutospacing="1" w:after="100" w:afterAutospacing="1"/>
      <w:textAlignment w:val="auto"/>
    </w:pPr>
    <w:rPr>
      <w:rFonts w:eastAsia="Arial Unicode MS" w:cs="Arial"/>
      <w:i/>
      <w:iCs/>
      <w:szCs w:val="24"/>
    </w:rPr>
  </w:style>
  <w:style w:type="paragraph" w:customStyle="1" w:styleId="xl35">
    <w:name w:val="xl35"/>
    <w:basedOn w:val="Normal"/>
    <w:uiPriority w:val="99"/>
    <w:rsid w:val="00A26749"/>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6">
    <w:name w:val="xl36"/>
    <w:basedOn w:val="Normal"/>
    <w:uiPriority w:val="99"/>
    <w:rsid w:val="00A26749"/>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7">
    <w:name w:val="xl37"/>
    <w:basedOn w:val="Normal"/>
    <w:uiPriority w:val="99"/>
    <w:rsid w:val="00A26749"/>
    <w:pPr>
      <w:pBdr>
        <w:top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38">
    <w:name w:val="xl38"/>
    <w:basedOn w:val="Normal"/>
    <w:uiPriority w:val="99"/>
    <w:rsid w:val="00A26749"/>
    <w:pPr>
      <w:pBdr>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9">
    <w:name w:val="xl39"/>
    <w:basedOn w:val="Normal"/>
    <w:uiPriority w:val="99"/>
    <w:rsid w:val="00A26749"/>
    <w:pPr>
      <w:pBdr>
        <w:top w:val="single" w:sz="8" w:space="0" w:color="auto"/>
        <w:left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0">
    <w:name w:val="xl40"/>
    <w:basedOn w:val="Normal"/>
    <w:uiPriority w:val="99"/>
    <w:rsid w:val="00A26749"/>
    <w:pPr>
      <w:pBdr>
        <w:left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41">
    <w:name w:val="xl41"/>
    <w:basedOn w:val="Normal"/>
    <w:uiPriority w:val="99"/>
    <w:rsid w:val="00A26749"/>
    <w:pPr>
      <w:pBdr>
        <w:left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2">
    <w:name w:val="xl42"/>
    <w:basedOn w:val="Normal"/>
    <w:uiPriority w:val="99"/>
    <w:rsid w:val="00A26749"/>
    <w:pPr>
      <w:pBdr>
        <w:left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szCs w:val="24"/>
    </w:rPr>
  </w:style>
  <w:style w:type="paragraph" w:customStyle="1" w:styleId="xl43">
    <w:name w:val="xl43"/>
    <w:basedOn w:val="Normal"/>
    <w:uiPriority w:val="99"/>
    <w:rsid w:val="00A26749"/>
    <w:pPr>
      <w:pBdr>
        <w:left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i/>
      <w:iCs/>
      <w:szCs w:val="24"/>
    </w:rPr>
  </w:style>
  <w:style w:type="paragraph" w:customStyle="1" w:styleId="xl44">
    <w:name w:val="xl44"/>
    <w:basedOn w:val="Normal"/>
    <w:uiPriority w:val="99"/>
    <w:rsid w:val="00A26749"/>
    <w:pPr>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45">
    <w:name w:val="xl45"/>
    <w:basedOn w:val="Normal"/>
    <w:uiPriority w:val="99"/>
    <w:rsid w:val="00A26749"/>
    <w:pPr>
      <w:overflowPunct/>
      <w:autoSpaceDE/>
      <w:autoSpaceDN/>
      <w:adjustRightInd/>
      <w:spacing w:before="100" w:beforeAutospacing="1" w:after="100" w:afterAutospacing="1"/>
      <w:jc w:val="right"/>
      <w:textAlignment w:val="auto"/>
    </w:pPr>
    <w:rPr>
      <w:rFonts w:eastAsia="Arial Unicode MS" w:cs="Arial"/>
      <w:b/>
      <w:bCs/>
      <w:szCs w:val="24"/>
    </w:rPr>
  </w:style>
  <w:style w:type="paragraph" w:customStyle="1" w:styleId="xl46">
    <w:name w:val="xl46"/>
    <w:basedOn w:val="Normal"/>
    <w:uiPriority w:val="99"/>
    <w:rsid w:val="00A26749"/>
    <w:pPr>
      <w:pBdr>
        <w:bottom w:val="single" w:sz="8" w:space="0" w:color="auto"/>
        <w:right w:val="single" w:sz="8"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7">
    <w:name w:val="xl47"/>
    <w:basedOn w:val="Normal"/>
    <w:uiPriority w:val="99"/>
    <w:rsid w:val="00A26749"/>
    <w:pPr>
      <w:pBdr>
        <w:bottom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8">
    <w:name w:val="xl48"/>
    <w:basedOn w:val="Normal"/>
    <w:uiPriority w:val="99"/>
    <w:rsid w:val="00A26749"/>
    <w:pPr>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9">
    <w:name w:val="xl49"/>
    <w:basedOn w:val="Normal"/>
    <w:uiPriority w:val="99"/>
    <w:rsid w:val="00A26749"/>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50">
    <w:name w:val="xl50"/>
    <w:basedOn w:val="Normal"/>
    <w:uiPriority w:val="99"/>
    <w:rsid w:val="00A26749"/>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51">
    <w:name w:val="xl51"/>
    <w:basedOn w:val="Normal"/>
    <w:uiPriority w:val="99"/>
    <w:rsid w:val="00A26749"/>
    <w:pPr>
      <w:pBdr>
        <w:left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2">
    <w:name w:val="xl52"/>
    <w:basedOn w:val="Normal"/>
    <w:uiPriority w:val="99"/>
    <w:rsid w:val="00A26749"/>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3">
    <w:name w:val="xl53"/>
    <w:basedOn w:val="Normal"/>
    <w:uiPriority w:val="99"/>
    <w:rsid w:val="00A26749"/>
    <w:pPr>
      <w:pBdr>
        <w:left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4">
    <w:name w:val="xl54"/>
    <w:basedOn w:val="Normal"/>
    <w:uiPriority w:val="99"/>
    <w:rsid w:val="00A26749"/>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styleId="BodyTextIndent3">
    <w:name w:val="Body Text Indent 3"/>
    <w:basedOn w:val="Normal"/>
    <w:link w:val="BodyTextIndent3Char"/>
    <w:uiPriority w:val="99"/>
    <w:rsid w:val="00A26749"/>
    <w:pPr>
      <w:ind w:left="720"/>
    </w:pPr>
    <w:rPr>
      <w:rFonts w:ascii="Times New Roman" w:hAnsi="Times New Roman"/>
      <w:sz w:val="16"/>
      <w:szCs w:val="16"/>
    </w:rPr>
  </w:style>
  <w:style w:type="character" w:customStyle="1" w:styleId="BodyTextIndent3Char">
    <w:name w:val="Body Text Indent 3 Char"/>
    <w:link w:val="BodyTextIndent3"/>
    <w:uiPriority w:val="99"/>
    <w:semiHidden/>
    <w:rsid w:val="009A4B7C"/>
    <w:rPr>
      <w:sz w:val="16"/>
      <w:szCs w:val="16"/>
    </w:rPr>
  </w:style>
  <w:style w:type="character" w:styleId="LineNumber">
    <w:name w:val="line number"/>
    <w:uiPriority w:val="99"/>
    <w:rsid w:val="00A26749"/>
    <w:rPr>
      <w:rFonts w:cs="Times New Roman"/>
    </w:rPr>
  </w:style>
  <w:style w:type="character" w:customStyle="1" w:styleId="EmailStyle104">
    <w:name w:val="EmailStyle104"/>
    <w:uiPriority w:val="99"/>
    <w:rsid w:val="00A26749"/>
    <w:rPr>
      <w:rFonts w:ascii="Arial" w:hAnsi="Arial" w:cs="Arial"/>
      <w:color w:val="000000"/>
      <w:sz w:val="20"/>
    </w:rPr>
  </w:style>
  <w:style w:type="paragraph" w:styleId="ListBullet">
    <w:name w:val="List Bullet"/>
    <w:basedOn w:val="Normal"/>
    <w:uiPriority w:val="99"/>
    <w:rsid w:val="00A26749"/>
    <w:pPr>
      <w:tabs>
        <w:tab w:val="num" w:pos="360"/>
      </w:tabs>
      <w:ind w:left="360" w:hanging="360"/>
    </w:pPr>
  </w:style>
  <w:style w:type="paragraph" w:styleId="MacroText">
    <w:name w:val="macro"/>
    <w:link w:val="MacroTextChar"/>
    <w:uiPriority w:val="99"/>
    <w:semiHidden/>
    <w:rsid w:val="00A2674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hAnsi="Arial"/>
    </w:rPr>
  </w:style>
  <w:style w:type="character" w:customStyle="1" w:styleId="MacroTextChar">
    <w:name w:val="Macro Text Char"/>
    <w:link w:val="MacroText"/>
    <w:uiPriority w:val="99"/>
    <w:semiHidden/>
    <w:rsid w:val="009A4B7C"/>
    <w:rPr>
      <w:rFonts w:ascii="Arial" w:hAnsi="Arial"/>
      <w:lang w:val="en-US" w:eastAsia="en-US" w:bidi="ar-SA"/>
    </w:rPr>
  </w:style>
  <w:style w:type="paragraph" w:styleId="Caption">
    <w:name w:val="caption"/>
    <w:aliases w:val="Table Caption"/>
    <w:basedOn w:val="Normal"/>
    <w:next w:val="Normal"/>
    <w:link w:val="CaptionChar"/>
    <w:qFormat/>
    <w:rsid w:val="00E61590"/>
    <w:pPr>
      <w:keepNext/>
      <w:spacing w:before="120" w:after="120"/>
      <w:jc w:val="center"/>
    </w:pPr>
    <w:rPr>
      <w:rFonts w:ascii="Arial Narrow" w:hAnsi="Arial Narrow"/>
      <w:b/>
      <w:bCs/>
    </w:rPr>
  </w:style>
  <w:style w:type="paragraph" w:styleId="TOC5">
    <w:name w:val="toc 5"/>
    <w:basedOn w:val="Normal"/>
    <w:next w:val="Normal"/>
    <w:uiPriority w:val="39"/>
    <w:rsid w:val="00767287"/>
    <w:pPr>
      <w:ind w:left="960"/>
    </w:pPr>
  </w:style>
  <w:style w:type="paragraph" w:styleId="TOC6">
    <w:name w:val="toc 6"/>
    <w:basedOn w:val="Normal"/>
    <w:next w:val="Normal"/>
    <w:uiPriority w:val="39"/>
    <w:rsid w:val="00767287"/>
    <w:pPr>
      <w:ind w:left="1200"/>
    </w:pPr>
  </w:style>
  <w:style w:type="paragraph" w:styleId="TOC7">
    <w:name w:val="toc 7"/>
    <w:basedOn w:val="Normal"/>
    <w:next w:val="Normal"/>
    <w:uiPriority w:val="39"/>
    <w:rsid w:val="00767287"/>
    <w:pPr>
      <w:ind w:left="1440"/>
    </w:pPr>
  </w:style>
  <w:style w:type="paragraph" w:styleId="TOC8">
    <w:name w:val="toc 8"/>
    <w:basedOn w:val="Normal"/>
    <w:next w:val="Normal"/>
    <w:uiPriority w:val="39"/>
    <w:rsid w:val="00767287"/>
    <w:pPr>
      <w:ind w:left="1680"/>
    </w:pPr>
  </w:style>
  <w:style w:type="paragraph" w:styleId="TOC9">
    <w:name w:val="toc 9"/>
    <w:basedOn w:val="Normal"/>
    <w:next w:val="Normal"/>
    <w:uiPriority w:val="39"/>
    <w:rsid w:val="00767287"/>
    <w:pPr>
      <w:ind w:left="1920"/>
    </w:pPr>
  </w:style>
  <w:style w:type="character" w:customStyle="1" w:styleId="EmailStyle114">
    <w:name w:val="EmailStyle114"/>
    <w:uiPriority w:val="99"/>
    <w:rsid w:val="00767287"/>
    <w:rPr>
      <w:rFonts w:ascii="Arial" w:hAnsi="Arial" w:cs="Arial"/>
      <w:color w:val="000000"/>
      <w:sz w:val="20"/>
    </w:rPr>
  </w:style>
  <w:style w:type="table" w:styleId="TableGrid">
    <w:name w:val="Table Grid"/>
    <w:basedOn w:val="TableNormal"/>
    <w:uiPriority w:val="59"/>
    <w:rsid w:val="00767287"/>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rsid w:val="00767287"/>
    <w:rPr>
      <w:rFonts w:cs="Times New Roman"/>
      <w:sz w:val="16"/>
      <w:szCs w:val="16"/>
    </w:rPr>
  </w:style>
  <w:style w:type="paragraph" w:styleId="CommentText">
    <w:name w:val="annotation text"/>
    <w:basedOn w:val="Normal"/>
    <w:link w:val="CommentTextChar"/>
    <w:uiPriority w:val="99"/>
    <w:rsid w:val="00767287"/>
    <w:rPr>
      <w:rFonts w:ascii="Times New Roman" w:hAnsi="Times New Roman"/>
    </w:rPr>
  </w:style>
  <w:style w:type="character" w:customStyle="1" w:styleId="CommentTextChar">
    <w:name w:val="Comment Text Char"/>
    <w:link w:val="CommentText"/>
    <w:uiPriority w:val="99"/>
    <w:locked/>
    <w:rsid w:val="00767287"/>
    <w:rPr>
      <w:rFonts w:cs="Times New Roman"/>
    </w:rPr>
  </w:style>
  <w:style w:type="paragraph" w:styleId="CommentSubject">
    <w:name w:val="annotation subject"/>
    <w:basedOn w:val="CommentText"/>
    <w:next w:val="CommentText"/>
    <w:link w:val="CommentSubjectChar"/>
    <w:uiPriority w:val="99"/>
    <w:rsid w:val="00767287"/>
    <w:rPr>
      <w:b/>
      <w:bCs/>
    </w:rPr>
  </w:style>
  <w:style w:type="character" w:customStyle="1" w:styleId="CommentSubjectChar">
    <w:name w:val="Comment Subject Char"/>
    <w:link w:val="CommentSubject"/>
    <w:uiPriority w:val="99"/>
    <w:locked/>
    <w:rsid w:val="00767287"/>
    <w:rPr>
      <w:rFonts w:cs="Times New Roman"/>
      <w:b/>
      <w:bCs/>
    </w:rPr>
  </w:style>
  <w:style w:type="paragraph" w:styleId="Revision">
    <w:name w:val="Revision"/>
    <w:hidden/>
    <w:uiPriority w:val="99"/>
    <w:semiHidden/>
    <w:rsid w:val="00767287"/>
    <w:rPr>
      <w:sz w:val="24"/>
    </w:rPr>
  </w:style>
  <w:style w:type="paragraph" w:styleId="ListParagraph">
    <w:name w:val="List Paragraph"/>
    <w:basedOn w:val="Normal"/>
    <w:uiPriority w:val="99"/>
    <w:qFormat/>
    <w:rsid w:val="008A2558"/>
    <w:pPr>
      <w:spacing w:after="100"/>
      <w:ind w:left="720"/>
    </w:pPr>
  </w:style>
  <w:style w:type="paragraph" w:customStyle="1" w:styleId="TableCell">
    <w:name w:val="TableCell"/>
    <w:basedOn w:val="Normal"/>
    <w:link w:val="TableCellChar"/>
    <w:uiPriority w:val="99"/>
    <w:rsid w:val="00682FEB"/>
    <w:pPr>
      <w:keepNext/>
      <w:tabs>
        <w:tab w:val="left" w:pos="720"/>
      </w:tabs>
      <w:spacing w:before="120" w:after="120"/>
    </w:pPr>
    <w:rPr>
      <w:sz w:val="18"/>
    </w:rPr>
  </w:style>
  <w:style w:type="character" w:customStyle="1" w:styleId="TableCellChar">
    <w:name w:val="TableCell Char"/>
    <w:link w:val="TableCell"/>
    <w:uiPriority w:val="99"/>
    <w:locked/>
    <w:rsid w:val="00682FEB"/>
    <w:rPr>
      <w:rFonts w:ascii="Arial" w:hAnsi="Arial"/>
      <w:sz w:val="18"/>
    </w:rPr>
  </w:style>
  <w:style w:type="paragraph" w:customStyle="1" w:styleId="Equation">
    <w:name w:val="Equation"/>
    <w:basedOn w:val="BodyTextIndent3"/>
    <w:uiPriority w:val="99"/>
    <w:qFormat/>
    <w:rsid w:val="00896814"/>
    <w:pPr>
      <w:tabs>
        <w:tab w:val="left" w:pos="720"/>
        <w:tab w:val="left" w:pos="2880"/>
      </w:tabs>
      <w:ind w:left="2880" w:hanging="2880"/>
    </w:pPr>
    <w:rPr>
      <w:rFonts w:ascii="Arial" w:eastAsia="Calibri" w:hAnsi="Arial"/>
      <w:i/>
      <w:sz w:val="20"/>
    </w:rPr>
  </w:style>
  <w:style w:type="paragraph" w:customStyle="1" w:styleId="Table">
    <w:name w:val="Table"/>
    <w:uiPriority w:val="99"/>
    <w:qFormat/>
    <w:rsid w:val="00952ED8"/>
    <w:pPr>
      <w:keepNext/>
    </w:pPr>
    <w:rPr>
      <w:rFonts w:ascii="Garamond" w:hAnsi="Garamond" w:cs="Arial"/>
      <w:sz w:val="18"/>
    </w:rPr>
  </w:style>
  <w:style w:type="paragraph" w:customStyle="1" w:styleId="Definitions">
    <w:name w:val="Definitions"/>
    <w:basedOn w:val="Normal"/>
    <w:uiPriority w:val="99"/>
    <w:qFormat/>
    <w:rsid w:val="00763570"/>
    <w:pPr>
      <w:ind w:left="288"/>
      <w:contextualSpacing/>
    </w:pPr>
    <w:rPr>
      <w:rFonts w:ascii="Garamond" w:hAnsi="Garamond"/>
    </w:rPr>
  </w:style>
  <w:style w:type="paragraph" w:customStyle="1" w:styleId="indent4">
    <w:name w:val="indent 4"/>
    <w:basedOn w:val="BodyTextIndent3"/>
    <w:uiPriority w:val="99"/>
    <w:qFormat/>
    <w:rsid w:val="005848BC"/>
    <w:pPr>
      <w:ind w:left="432"/>
    </w:pPr>
  </w:style>
  <w:style w:type="table" w:styleId="ColorfulGrid-Accent6">
    <w:name w:val="Colorful Grid Accent 6"/>
    <w:basedOn w:val="TableNormal"/>
    <w:uiPriority w:val="99"/>
    <w:rsid w:val="00001996"/>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Normal"/>
    <w:uiPriority w:val="99"/>
    <w:qFormat/>
    <w:rsid w:val="004F2078"/>
    <w:rPr>
      <w:rFonts w:ascii="Garamond" w:hAnsi="Garamond"/>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PalatinoLinotype" w:hAnsi="PalatinoLinotype"/>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99"/>
    <w:rsid w:val="00E263FC"/>
    <w:rPr>
      <w:rFonts w:ascii="Garamond" w:hAnsi="Garamond"/>
      <w:color w:val="000000"/>
      <w:sz w:val="18"/>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blStylePr w:type="firstRow">
      <w:pPr>
        <w:spacing w:before="0" w:after="0" w:line="240" w:lineRule="auto"/>
      </w:pPr>
      <w:rPr>
        <w:rFonts w:ascii="PalatinoLinotype" w:hAnsi="PalatinoLinotype"/>
        <w:b/>
        <w:bCs/>
        <w:color w:val="auto"/>
        <w:sz w:val="18"/>
      </w:rPr>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99"/>
    <w:rsid w:val="00001996"/>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
    <w:name w:val="source 1"/>
    <w:basedOn w:val="ListParagraph"/>
    <w:qFormat/>
    <w:rsid w:val="002B68FC"/>
    <w:pPr>
      <w:numPr>
        <w:numId w:val="26"/>
      </w:numPr>
      <w:adjustRightInd/>
    </w:pPr>
    <w:rPr>
      <w:rFonts w:cs="Arial"/>
    </w:rPr>
  </w:style>
  <w:style w:type="paragraph" w:customStyle="1" w:styleId="source2">
    <w:name w:val="source 2"/>
    <w:basedOn w:val="ListParagraph"/>
    <w:qFormat/>
    <w:rsid w:val="00AA4BB4"/>
    <w:pPr>
      <w:numPr>
        <w:ilvl w:val="1"/>
        <w:numId w:val="26"/>
      </w:numPr>
      <w:adjustRightInd/>
    </w:pPr>
    <w:rPr>
      <w:rFonts w:eastAsia="Calibri" w:cs="Arial"/>
    </w:rPr>
  </w:style>
  <w:style w:type="table" w:styleId="LightGrid-Accent6">
    <w:name w:val="Light Grid Accent 6"/>
    <w:basedOn w:val="TableNormal"/>
    <w:uiPriority w:val="99"/>
    <w:rsid w:val="001E66AB"/>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99"/>
    <w:rsid w:val="001E66AB"/>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99"/>
    <w:rsid w:val="001E66AB"/>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99"/>
    <w:rsid w:val="00E263FC"/>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99"/>
    <w:rsid w:val="00E263FC"/>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E263FC"/>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99"/>
    <w:rsid w:val="00E263F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TableNormal"/>
    <w:uiPriority w:val="99"/>
    <w:rsid w:val="00E263F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E52C6F"/>
    <w:pPr>
      <w:keepNext/>
    </w:pPr>
    <w:rPr>
      <w:rFonts w:ascii="Garamond" w:hAnsi="Garamond"/>
      <w:sz w:val="18"/>
    </w:rPr>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rPr>
        <w:rFonts w:ascii="PalatinoLinotype" w:hAnsi="PalatinoLinotype"/>
        <w:b/>
        <w:sz w:val="18"/>
      </w:rPr>
      <w:tblPr/>
      <w:tcPr>
        <w:shd w:val="clear" w:color="auto" w:fill="BFBFBF"/>
      </w:tcPr>
    </w:tblStylePr>
    <w:tblStylePr w:type="band2Horz">
      <w:rPr>
        <w:rFonts w:ascii="PalatinoLinotype" w:hAnsi="PalatinoLinotype"/>
      </w:rPr>
    </w:tblStylePr>
  </w:style>
  <w:style w:type="table" w:customStyle="1" w:styleId="PATable">
    <w:name w:val="PATable"/>
    <w:basedOn w:val="TableNormal"/>
    <w:uiPriority w:val="99"/>
    <w:rsid w:val="00BE1832"/>
    <w:tblPr>
      <w:tblInd w:w="0" w:type="dxa"/>
      <w:tblCellMar>
        <w:top w:w="0" w:type="dxa"/>
        <w:left w:w="108" w:type="dxa"/>
        <w:bottom w:w="0" w:type="dxa"/>
        <w:right w:w="108" w:type="dxa"/>
      </w:tblCellMar>
    </w:tblPr>
  </w:style>
  <w:style w:type="table" w:styleId="ColorfulGrid-Accent4">
    <w:name w:val="Colorful Grid Accent 4"/>
    <w:basedOn w:val="TableNormal"/>
    <w:uiPriority w:val="99"/>
    <w:rsid w:val="00BE183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StyleCaptionCentered">
    <w:name w:val="Style Caption + Centered"/>
    <w:basedOn w:val="Caption"/>
    <w:rsid w:val="004F2078"/>
  </w:style>
  <w:style w:type="paragraph" w:styleId="EndnoteText">
    <w:name w:val="endnote text"/>
    <w:basedOn w:val="Normal"/>
    <w:link w:val="EndnoteTextChar"/>
    <w:rsid w:val="00EB6106"/>
    <w:pPr>
      <w:overflowPunct/>
      <w:autoSpaceDE/>
      <w:autoSpaceDN/>
      <w:adjustRightInd/>
      <w:textAlignment w:val="auto"/>
    </w:pPr>
    <w:rPr>
      <w:rFonts w:ascii="Times New Roman" w:hAnsi="Times New Roman"/>
    </w:rPr>
  </w:style>
  <w:style w:type="character" w:customStyle="1" w:styleId="EndnoteTextChar">
    <w:name w:val="Endnote Text Char"/>
    <w:basedOn w:val="DefaultParagraphFont"/>
    <w:link w:val="EndnoteText"/>
    <w:rsid w:val="00EB6106"/>
  </w:style>
  <w:style w:type="character" w:styleId="EndnoteReference">
    <w:name w:val="endnote reference"/>
    <w:rsid w:val="00EB6106"/>
    <w:rPr>
      <w:vertAlign w:val="superscript"/>
    </w:rPr>
  </w:style>
  <w:style w:type="paragraph" w:styleId="PlainText">
    <w:name w:val="Plain Text"/>
    <w:basedOn w:val="Normal"/>
    <w:link w:val="PlainTextChar"/>
    <w:uiPriority w:val="99"/>
    <w:rsid w:val="00E912F1"/>
    <w:pPr>
      <w:overflowPunct/>
      <w:autoSpaceDE/>
      <w:autoSpaceDN/>
      <w:adjustRightInd/>
      <w:textAlignment w:val="auto"/>
    </w:pPr>
    <w:rPr>
      <w:rFonts w:ascii="Consolas" w:hAnsi="Consolas"/>
      <w:sz w:val="21"/>
      <w:szCs w:val="21"/>
    </w:rPr>
  </w:style>
  <w:style w:type="character" w:customStyle="1" w:styleId="PlainTextChar">
    <w:name w:val="Plain Text Char"/>
    <w:link w:val="PlainText"/>
    <w:uiPriority w:val="99"/>
    <w:rsid w:val="00E912F1"/>
    <w:rPr>
      <w:rFonts w:ascii="Consolas" w:hAnsi="Consolas"/>
      <w:sz w:val="21"/>
      <w:szCs w:val="21"/>
    </w:rPr>
  </w:style>
  <w:style w:type="paragraph" w:customStyle="1" w:styleId="Halfline">
    <w:name w:val="Halfline"/>
    <w:basedOn w:val="Normal"/>
    <w:link w:val="HalflineChar"/>
    <w:uiPriority w:val="99"/>
    <w:rsid w:val="009A0119"/>
    <w:pPr>
      <w:spacing w:after="130" w:line="130" w:lineRule="exact"/>
    </w:pPr>
    <w:rPr>
      <w:rFonts w:ascii="Times New Roman" w:hAnsi="Times New Roman"/>
      <w:sz w:val="24"/>
    </w:rPr>
  </w:style>
  <w:style w:type="character" w:customStyle="1" w:styleId="HalflineChar">
    <w:name w:val="Halfline Char"/>
    <w:link w:val="Halfline"/>
    <w:uiPriority w:val="99"/>
    <w:rsid w:val="009A0119"/>
    <w:rPr>
      <w:sz w:val="24"/>
    </w:rPr>
  </w:style>
  <w:style w:type="paragraph" w:customStyle="1" w:styleId="Tabletext">
    <w:name w:val="Table text"/>
    <w:basedOn w:val="Normal"/>
    <w:uiPriority w:val="99"/>
    <w:rsid w:val="009A0119"/>
    <w:pPr>
      <w:overflowPunct/>
      <w:autoSpaceDE/>
      <w:autoSpaceDN/>
      <w:adjustRightInd/>
      <w:spacing w:before="60"/>
      <w:textAlignment w:val="auto"/>
    </w:pPr>
    <w:rPr>
      <w:rFonts w:ascii="Times New Roman" w:eastAsia="Calibri" w:hAnsi="Times New Roman"/>
      <w:sz w:val="22"/>
      <w:szCs w:val="22"/>
    </w:rPr>
  </w:style>
  <w:style w:type="paragraph" w:customStyle="1" w:styleId="ListParagraphClose">
    <w:name w:val="List Paragraph Close"/>
    <w:basedOn w:val="ListParagraph"/>
    <w:uiPriority w:val="99"/>
    <w:qFormat/>
    <w:rsid w:val="008A2558"/>
    <w:pPr>
      <w:numPr>
        <w:numId w:val="4"/>
      </w:numPr>
      <w:spacing w:after="200"/>
    </w:pPr>
  </w:style>
  <w:style w:type="paragraph" w:customStyle="1" w:styleId="RevisionDate">
    <w:name w:val="Revision Date"/>
    <w:basedOn w:val="Normal"/>
    <w:uiPriority w:val="99"/>
    <w:qFormat/>
    <w:rsid w:val="00682FEB"/>
    <w:pPr>
      <w:jc w:val="center"/>
    </w:pPr>
    <w:rPr>
      <w:b/>
      <w:szCs w:val="24"/>
    </w:rPr>
  </w:style>
  <w:style w:type="paragraph" w:customStyle="1" w:styleId="Style2">
    <w:name w:val="Style2"/>
    <w:basedOn w:val="BodyTextIndent2"/>
    <w:uiPriority w:val="99"/>
    <w:qFormat/>
    <w:rsid w:val="008A64EF"/>
    <w:pPr>
      <w:ind w:left="0"/>
      <w:jc w:val="center"/>
    </w:pPr>
    <w:rPr>
      <w:i/>
      <w:iCs/>
    </w:rPr>
  </w:style>
  <w:style w:type="paragraph" w:styleId="TableofFigures">
    <w:name w:val="table of figures"/>
    <w:basedOn w:val="Normal"/>
    <w:next w:val="Normal"/>
    <w:uiPriority w:val="99"/>
    <w:unhideWhenUsed/>
    <w:rsid w:val="00DF5EF8"/>
    <w:pPr>
      <w:spacing w:after="0"/>
    </w:pPr>
  </w:style>
  <w:style w:type="paragraph" w:styleId="DocumentMap">
    <w:name w:val="Document Map"/>
    <w:basedOn w:val="Normal"/>
    <w:link w:val="DocumentMapChar"/>
    <w:uiPriority w:val="99"/>
    <w:semiHidden/>
    <w:unhideWhenUsed/>
    <w:rsid w:val="001A5E45"/>
    <w:rPr>
      <w:rFonts w:ascii="Tahoma" w:hAnsi="Tahoma" w:cs="Tahoma"/>
      <w:sz w:val="16"/>
      <w:szCs w:val="16"/>
    </w:rPr>
  </w:style>
  <w:style w:type="character" w:customStyle="1" w:styleId="DocumentMapChar">
    <w:name w:val="Document Map Char"/>
    <w:basedOn w:val="DefaultParagraphFont"/>
    <w:link w:val="DocumentMap"/>
    <w:uiPriority w:val="99"/>
    <w:semiHidden/>
    <w:rsid w:val="001A5E45"/>
    <w:rPr>
      <w:rFonts w:ascii="Tahoma" w:hAnsi="Tahoma" w:cs="Tahoma"/>
      <w:sz w:val="16"/>
      <w:szCs w:val="16"/>
    </w:rPr>
  </w:style>
  <w:style w:type="paragraph" w:customStyle="1" w:styleId="bi">
    <w:name w:val="bi"/>
    <w:basedOn w:val="Normal"/>
    <w:rsid w:val="0039108A"/>
    <w:pPr>
      <w:numPr>
        <w:numId w:val="79"/>
      </w:numPr>
      <w:tabs>
        <w:tab w:val="left" w:pos="1008"/>
        <w:tab w:val="left" w:pos="1296"/>
        <w:tab w:val="left" w:pos="1584"/>
      </w:tabs>
      <w:overflowPunct/>
      <w:autoSpaceDE/>
      <w:autoSpaceDN/>
      <w:adjustRightInd/>
      <w:spacing w:before="120" w:after="0" w:line="300" w:lineRule="exact"/>
      <w:jc w:val="both"/>
      <w:textAlignment w:val="auto"/>
    </w:pPr>
    <w:rPr>
      <w:rFonts w:ascii="Times New Roman" w:eastAsia="Calibri" w:hAnsi="Times New Roman" w:cs="Arial"/>
      <w:sz w:val="24"/>
    </w:rPr>
  </w:style>
  <w:style w:type="paragraph" w:customStyle="1" w:styleId="Default">
    <w:name w:val="Default"/>
    <w:rsid w:val="0039108A"/>
    <w:pPr>
      <w:autoSpaceDE w:val="0"/>
      <w:autoSpaceDN w:val="0"/>
      <w:adjustRightInd w:val="0"/>
    </w:pPr>
    <w:rPr>
      <w:rFonts w:eastAsia="Calibri"/>
      <w:color w:val="000000"/>
      <w:sz w:val="24"/>
      <w:szCs w:val="24"/>
    </w:rPr>
  </w:style>
  <w:style w:type="paragraph" w:customStyle="1" w:styleId="BasicText">
    <w:name w:val="Basic Text"/>
    <w:basedOn w:val="Normal"/>
    <w:rsid w:val="00F05DC2"/>
    <w:pPr>
      <w:overflowPunct/>
      <w:autoSpaceDE/>
      <w:autoSpaceDN/>
      <w:adjustRightInd/>
      <w:spacing w:before="40" w:after="40" w:line="240" w:lineRule="auto"/>
      <w:ind w:left="720"/>
      <w:textAlignment w:val="auto"/>
    </w:pPr>
    <w:rPr>
      <w:rFonts w:ascii="Times New Roman" w:hAnsi="Times New Roman"/>
      <w:color w:val="000000"/>
      <w:sz w:val="24"/>
    </w:rPr>
  </w:style>
  <w:style w:type="character" w:customStyle="1" w:styleId="CaptionChar">
    <w:name w:val="Caption Char"/>
    <w:aliases w:val="Table Caption Char"/>
    <w:basedOn w:val="DefaultParagraphFont"/>
    <w:link w:val="Caption"/>
    <w:uiPriority w:val="99"/>
    <w:locked/>
    <w:rsid w:val="004F06D1"/>
    <w:rPr>
      <w:rFonts w:ascii="Arial Narrow" w:hAnsi="Arial Narrow"/>
      <w:b/>
      <w:bCs/>
    </w:rPr>
  </w:style>
  <w:style w:type="character" w:customStyle="1" w:styleId="st">
    <w:name w:val="st"/>
    <w:rsid w:val="00C94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381946">
      <w:marLeft w:val="0"/>
      <w:marRight w:val="0"/>
      <w:marTop w:val="0"/>
      <w:marBottom w:val="0"/>
      <w:divBdr>
        <w:top w:val="none" w:sz="0" w:space="0" w:color="auto"/>
        <w:left w:val="none" w:sz="0" w:space="0" w:color="auto"/>
        <w:bottom w:val="none" w:sz="0" w:space="0" w:color="auto"/>
        <w:right w:val="none" w:sz="0" w:space="0" w:color="auto"/>
      </w:divBdr>
    </w:div>
    <w:div w:id="496381947">
      <w:marLeft w:val="0"/>
      <w:marRight w:val="0"/>
      <w:marTop w:val="0"/>
      <w:marBottom w:val="0"/>
      <w:divBdr>
        <w:top w:val="none" w:sz="0" w:space="0" w:color="auto"/>
        <w:left w:val="none" w:sz="0" w:space="0" w:color="auto"/>
        <w:bottom w:val="none" w:sz="0" w:space="0" w:color="auto"/>
        <w:right w:val="none" w:sz="0" w:space="0" w:color="auto"/>
      </w:divBdr>
    </w:div>
    <w:div w:id="496381948">
      <w:marLeft w:val="0"/>
      <w:marRight w:val="0"/>
      <w:marTop w:val="0"/>
      <w:marBottom w:val="0"/>
      <w:divBdr>
        <w:top w:val="none" w:sz="0" w:space="0" w:color="auto"/>
        <w:left w:val="none" w:sz="0" w:space="0" w:color="auto"/>
        <w:bottom w:val="none" w:sz="0" w:space="0" w:color="auto"/>
        <w:right w:val="none" w:sz="0" w:space="0" w:color="auto"/>
      </w:divBdr>
    </w:div>
    <w:div w:id="496381949">
      <w:marLeft w:val="0"/>
      <w:marRight w:val="0"/>
      <w:marTop w:val="0"/>
      <w:marBottom w:val="0"/>
      <w:divBdr>
        <w:top w:val="none" w:sz="0" w:space="0" w:color="auto"/>
        <w:left w:val="none" w:sz="0" w:space="0" w:color="auto"/>
        <w:bottom w:val="none" w:sz="0" w:space="0" w:color="auto"/>
        <w:right w:val="none" w:sz="0" w:space="0" w:color="auto"/>
      </w:divBdr>
    </w:div>
    <w:div w:id="496381950">
      <w:marLeft w:val="0"/>
      <w:marRight w:val="0"/>
      <w:marTop w:val="0"/>
      <w:marBottom w:val="0"/>
      <w:divBdr>
        <w:top w:val="none" w:sz="0" w:space="0" w:color="auto"/>
        <w:left w:val="none" w:sz="0" w:space="0" w:color="auto"/>
        <w:bottom w:val="none" w:sz="0" w:space="0" w:color="auto"/>
        <w:right w:val="none" w:sz="0" w:space="0" w:color="auto"/>
      </w:divBdr>
    </w:div>
    <w:div w:id="528878833">
      <w:bodyDiv w:val="1"/>
      <w:marLeft w:val="0"/>
      <w:marRight w:val="0"/>
      <w:marTop w:val="0"/>
      <w:marBottom w:val="0"/>
      <w:divBdr>
        <w:top w:val="none" w:sz="0" w:space="0" w:color="auto"/>
        <w:left w:val="none" w:sz="0" w:space="0" w:color="auto"/>
        <w:bottom w:val="none" w:sz="0" w:space="0" w:color="auto"/>
        <w:right w:val="none" w:sz="0" w:space="0" w:color="auto"/>
      </w:divBdr>
      <w:divsChild>
        <w:div w:id="1628504925">
          <w:marLeft w:val="0"/>
          <w:marRight w:val="0"/>
          <w:marTop w:val="0"/>
          <w:marBottom w:val="0"/>
          <w:divBdr>
            <w:top w:val="none" w:sz="0" w:space="0" w:color="auto"/>
            <w:left w:val="none" w:sz="0" w:space="0" w:color="auto"/>
            <w:bottom w:val="none" w:sz="0" w:space="0" w:color="auto"/>
            <w:right w:val="none" w:sz="0" w:space="0" w:color="auto"/>
          </w:divBdr>
        </w:div>
      </w:divsChild>
    </w:div>
    <w:div w:id="596058428">
      <w:bodyDiv w:val="1"/>
      <w:marLeft w:val="0"/>
      <w:marRight w:val="0"/>
      <w:marTop w:val="0"/>
      <w:marBottom w:val="0"/>
      <w:divBdr>
        <w:top w:val="none" w:sz="0" w:space="0" w:color="auto"/>
        <w:left w:val="none" w:sz="0" w:space="0" w:color="auto"/>
        <w:bottom w:val="none" w:sz="0" w:space="0" w:color="auto"/>
        <w:right w:val="none" w:sz="0" w:space="0" w:color="auto"/>
      </w:divBdr>
      <w:divsChild>
        <w:div w:id="122307099">
          <w:marLeft w:val="0"/>
          <w:marRight w:val="0"/>
          <w:marTop w:val="0"/>
          <w:marBottom w:val="0"/>
          <w:divBdr>
            <w:top w:val="none" w:sz="0" w:space="0" w:color="auto"/>
            <w:left w:val="none" w:sz="0" w:space="0" w:color="auto"/>
            <w:bottom w:val="none" w:sz="0" w:space="0" w:color="auto"/>
            <w:right w:val="none" w:sz="0" w:space="0" w:color="auto"/>
          </w:divBdr>
        </w:div>
      </w:divsChild>
    </w:div>
    <w:div w:id="801312375">
      <w:bodyDiv w:val="1"/>
      <w:marLeft w:val="0"/>
      <w:marRight w:val="0"/>
      <w:marTop w:val="0"/>
      <w:marBottom w:val="0"/>
      <w:divBdr>
        <w:top w:val="none" w:sz="0" w:space="0" w:color="auto"/>
        <w:left w:val="none" w:sz="0" w:space="0" w:color="auto"/>
        <w:bottom w:val="none" w:sz="0" w:space="0" w:color="auto"/>
        <w:right w:val="none" w:sz="0" w:space="0" w:color="auto"/>
      </w:divBdr>
    </w:div>
    <w:div w:id="867453964">
      <w:bodyDiv w:val="1"/>
      <w:marLeft w:val="0"/>
      <w:marRight w:val="0"/>
      <w:marTop w:val="0"/>
      <w:marBottom w:val="0"/>
      <w:divBdr>
        <w:top w:val="none" w:sz="0" w:space="0" w:color="auto"/>
        <w:left w:val="none" w:sz="0" w:space="0" w:color="auto"/>
        <w:bottom w:val="none" w:sz="0" w:space="0" w:color="auto"/>
        <w:right w:val="none" w:sz="0" w:space="0" w:color="auto"/>
      </w:divBdr>
    </w:div>
    <w:div w:id="208983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header" Target="header1.xml"/><Relationship Id="rId26" Type="http://schemas.openxmlformats.org/officeDocument/2006/relationships/hyperlink" Target="http://www.energystar.gov/index.cfm?c=roomac.pr_crit_room_ac" TargetMode="External"/><Relationship Id="rId39" Type="http://schemas.openxmlformats.org/officeDocument/2006/relationships/hyperlink" Target="http://www.bushrefrigeration.com/bakery_glass_door_coolers.php" TargetMode="External"/><Relationship Id="rId21" Type="http://schemas.openxmlformats.org/officeDocument/2006/relationships/header" Target="header3.xml"/><Relationship Id="rId34" Type="http://schemas.openxmlformats.org/officeDocument/2006/relationships/hyperlink" Target="http://www.energystar.gov/ia/business/bulk_purchasing/bpsavings_calc/Calc_Televisions_Bulk.xls" TargetMode="External"/><Relationship Id="rId42" Type="http://schemas.openxmlformats.org/officeDocument/2006/relationships/hyperlink" Target="http://www.nwcouncil.org/rtf/measures/Default.asp" TargetMode="External"/><Relationship Id="rId47" Type="http://schemas.openxmlformats.org/officeDocument/2006/relationships/hyperlink" Target="http://www.calmac.org/publications/ComFac_Evaluation_V1_Final_Report_02-18-2010.pdf" TargetMode="External"/><Relationship Id="rId50" Type="http://schemas.openxmlformats.org/officeDocument/2006/relationships/hyperlink" Target="http://www.calmac.org/publications/SDGE_ESP_EMV_Report_073106_Final.pdf" TargetMode="External"/><Relationship Id="rId55" Type="http://schemas.openxmlformats.org/officeDocument/2006/relationships/image" Target="media/image6.emf"/><Relationship Id="rId63" Type="http://schemas.openxmlformats.org/officeDocument/2006/relationships/hyperlink" Target="http://www.puc.state.pa.us/electric/Act129/TRM.aspx"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eader" Target="header2.xml"/><Relationship Id="rId29" Type="http://schemas.openxmlformats.org/officeDocument/2006/relationships/hyperlink" Target="http://www.pjm.com/~/media/committees-groups/working-groups/lrwg/20070301/20070301-pjm-deemed-savings-report.ashx" TargetMode="External"/><Relationship Id="rId41" Type="http://schemas.openxmlformats.org/officeDocument/2006/relationships/hyperlink" Target="http://refrigeration-equipment.com/gdm_s_c_series_swing_door_reac.html" TargetMode="External"/><Relationship Id="rId54" Type="http://schemas.openxmlformats.org/officeDocument/2006/relationships/image" Target="media/image5.emf"/><Relationship Id="rId62"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3.emf"/><Relationship Id="rId32" Type="http://schemas.openxmlformats.org/officeDocument/2006/relationships/hyperlink" Target="http://www.energystar.gov" TargetMode="External"/><Relationship Id="rId37" Type="http://schemas.openxmlformats.org/officeDocument/2006/relationships/hyperlink" Target="http://www.deeresources.com" TargetMode="External"/><Relationship Id="rId40" Type="http://schemas.openxmlformats.org/officeDocument/2006/relationships/hyperlink" Target="http://www.brrr.cc/home.php?cat=427" TargetMode="External"/><Relationship Id="rId45" Type="http://schemas.openxmlformats.org/officeDocument/2006/relationships/hyperlink" Target="http://www.fishnick.com/publications/appliancereports/special/Ice-cube_machine_field_study.pdf" TargetMode="External"/><Relationship Id="rId53" Type="http://schemas.openxmlformats.org/officeDocument/2006/relationships/hyperlink" Target="http://www.ethree.com/cpuc_cee_tools.html" TargetMode="External"/><Relationship Id="rId58" Type="http://schemas.openxmlformats.org/officeDocument/2006/relationships/hyperlink" Target="http://www.ethree.com/CPUC/PG&amp;ENonResViewer.zip"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image" Target="media/image2.emf"/><Relationship Id="rId28" Type="http://schemas.openxmlformats.org/officeDocument/2006/relationships/hyperlink" Target="http://www.nwductless.com/" TargetMode="External"/><Relationship Id="rId36" Type="http://schemas.openxmlformats.org/officeDocument/2006/relationships/footer" Target="footer3.xml"/><Relationship Id="rId49" Type="http://schemas.openxmlformats.org/officeDocument/2006/relationships/hyperlink" Target="http://www.nwalliance.org/research/reports/136.pdf" TargetMode="External"/><Relationship Id="rId57" Type="http://schemas.openxmlformats.org/officeDocument/2006/relationships/image" Target="media/image7.emf"/><Relationship Id="rId61" Type="http://schemas.openxmlformats.org/officeDocument/2006/relationships/image" Target="media/image9.emf"/><Relationship Id="rId10" Type="http://schemas.openxmlformats.org/officeDocument/2006/relationships/numbering" Target="numbering.xml"/><Relationship Id="rId19" Type="http://schemas.openxmlformats.org/officeDocument/2006/relationships/footer" Target="footer1.xml"/><Relationship Id="rId31" Type="http://schemas.openxmlformats.org/officeDocument/2006/relationships/hyperlink" Target="http://www.energystar.gov/ia/business/bulk_purchasing/bpsavings_calc/Consumer_Residential_Refrig_Sav_Calc.xls" TargetMode="External"/><Relationship Id="rId44" Type="http://schemas.openxmlformats.org/officeDocument/2006/relationships/hyperlink" Target="http://www1.eere.energy.gov/buildings/appliance_standards/commercial/beverage_machines.html" TargetMode="External"/><Relationship Id="rId52" Type="http://schemas.openxmlformats.org/officeDocument/2006/relationships/image" Target="media/image4.emf"/><Relationship Id="rId60" Type="http://schemas.openxmlformats.org/officeDocument/2006/relationships/image" Target="media/image8.wmf"/><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2.xml"/><Relationship Id="rId27" Type="http://schemas.openxmlformats.org/officeDocument/2006/relationships/hyperlink" Target="http://www.deeresources.com/deer2008exante/downloads/EUL_Summary_10-1-08.xls" TargetMode="External"/><Relationship Id="rId30" Type="http://schemas.openxmlformats.org/officeDocument/2006/relationships/hyperlink" Target="http://www.energystar.gov/index.cfm?fuseaction=refrig.calculator" TargetMode="External"/><Relationship Id="rId35" Type="http://schemas.openxmlformats.org/officeDocument/2006/relationships/hyperlink" Target="%20http://www.energy.ca.gov/appliances/database/historical_excel_files/2009-03-01_excel_based_files/Pool_Products/Pool_Pumps.zip" TargetMode="External"/><Relationship Id="rId43" Type="http://schemas.openxmlformats.org/officeDocument/2006/relationships/hyperlink" Target="http://www.deeresources.com/deer0911planning/downloads/EUL_Summary_10-1-08.xls" TargetMode="External"/><Relationship Id="rId48" Type="http://schemas.openxmlformats.org/officeDocument/2006/relationships/hyperlink" Target="http://www.nwductless.com/" TargetMode="External"/><Relationship Id="rId56" Type="http://schemas.openxmlformats.org/officeDocument/2006/relationships/hyperlink" Target="http://www.ethree.com/CPUC/PG&amp;ENonResViewer.zip" TargetMode="External"/><Relationship Id="rId64" Type="http://schemas.openxmlformats.org/officeDocument/2006/relationships/hyperlink" Target="http://www.puc.state.pa.us/electric/Act129/TRM.aspx" TargetMode="External"/><Relationship Id="rId8" Type="http://schemas.openxmlformats.org/officeDocument/2006/relationships/customXml" Target="../customXml/item8.xml"/><Relationship Id="rId51" Type="http://schemas.openxmlformats.org/officeDocument/2006/relationships/hyperlink" Target="http://www.eere.energy.gov/buildings/info/documents/pdfs/office_telecom-vol2_final.pdf" TargetMode="External"/><Relationship Id="rId3" Type="http://schemas.openxmlformats.org/officeDocument/2006/relationships/customXml" Target="../customXml/item3.xml"/><Relationship Id="rId12" Type="http://schemas.microsoft.com/office/2007/relationships/stylesWithEffects" Target="stylesWithEffects.xml"/><Relationship Id="rId17" Type="http://schemas.openxmlformats.org/officeDocument/2006/relationships/image" Target="media/image1.jpeg"/><Relationship Id="rId25" Type="http://schemas.openxmlformats.org/officeDocument/2006/relationships/hyperlink" Target="http://www.energystar.gov/ia/products/recycle/documents/RoomAirConditionerTurn-InAndRecyclingPrograms.pdf" TargetMode="External"/><Relationship Id="rId33" Type="http://schemas.openxmlformats.org/officeDocument/2006/relationships/hyperlink" Target="http://www.xcelenergy.com/SiteCollectionDocuments/docs/ES-Retailer-Incentive-60-day-Tech-Assumptions.pdf" TargetMode="External"/><Relationship Id="rId38" Type="http://schemas.openxmlformats.org/officeDocument/2006/relationships/hyperlink" Target="http://www.puc.state.pa.us/electric/xls/Act129/TRM-Motor_Operating_Hours_Worksheet.xls" TargetMode="External"/><Relationship Id="rId46" Type="http://schemas.openxmlformats.org/officeDocument/2006/relationships/hyperlink" Target="http://www1.eere.energy.gov/femp/procurement/eep_ice_makers.html" TargetMode="External"/><Relationship Id="rId59" Type="http://schemas.openxmlformats.org/officeDocument/2006/relationships/hyperlink" Target="http://www.ethree.com/CPUC/PG&amp;ENonResViewer.zip"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cdo.ncdc.noaa.gov/climatenormals/clim81/PAnorm.pdf" TargetMode="External"/><Relationship Id="rId18" Type="http://schemas.openxmlformats.org/officeDocument/2006/relationships/hyperlink" Target="http://www.energystar.gov/ia/partners/product_specs/program_reqs/tv_vcr_prog_req.pdf" TargetMode="External"/><Relationship Id="rId26" Type="http://schemas.openxmlformats.org/officeDocument/2006/relationships/hyperlink" Target="http://www1.eere.energy.gov/buildings/appliance_standards/residential/incandescent_lamps_standards_final_rule.html" TargetMode="External"/><Relationship Id="rId39" Type="http://schemas.openxmlformats.org/officeDocument/2006/relationships/hyperlink" Target="http://www.smud.org/en/business/rebates/Pages/express-refrigeration.aspx" TargetMode="External"/><Relationship Id="rId3" Type="http://schemas.openxmlformats.org/officeDocument/2006/relationships/hyperlink" Target="http://www.pjm.com/~/media/committees-groups/working-groups/lrwg/20070301/20070301-pjm-deemed-savings-report.ashx" TargetMode="External"/><Relationship Id="rId21" Type="http://schemas.openxmlformats.org/officeDocument/2006/relationships/hyperlink" Target="http://www.energystar.gov/ia/partners/product_specs/program_reqs/tv_vcr_prog_req.pdf" TargetMode="External"/><Relationship Id="rId34" Type="http://schemas.openxmlformats.org/officeDocument/2006/relationships/hyperlink" Target="http://www.energystar.gov/index.cfm?c=comm_ice_machines.pr_crit_comm_ice_machines" TargetMode="External"/><Relationship Id="rId42" Type="http://schemas.openxmlformats.org/officeDocument/2006/relationships/hyperlink" Target="http://www.calmac.org/publications/ComFac_Evaluation_V1_Final_Report_02-18-2010.pdf" TargetMode="External"/><Relationship Id="rId47" Type="http://schemas.openxmlformats.org/officeDocument/2006/relationships/hyperlink" Target="http://energysmartonline.org/documents/EnergySmart_BPA_T&amp;Cs.pdf" TargetMode="External"/><Relationship Id="rId50" Type="http://schemas.openxmlformats.org/officeDocument/2006/relationships/hyperlink" Target="http://www.energystar.gov/ia/partners/product_specs/program_reqs/SSL_prog_req_V1.1.pdf" TargetMode="External"/><Relationship Id="rId7" Type="http://schemas.openxmlformats.org/officeDocument/2006/relationships/hyperlink" Target="http://www.energysavers.gov/your_home/space_heating_cooling/related.cfm/mytopic=12357" TargetMode="External"/><Relationship Id="rId12" Type="http://schemas.openxmlformats.org/officeDocument/2006/relationships/hyperlink" Target="http://www.energystar.gov/index.cfm?c=home_sealing.hm_improvement_insulation_table" TargetMode="External"/><Relationship Id="rId17" Type="http://schemas.openxmlformats.org/officeDocument/2006/relationships/hyperlink" Target="http://resnet.us" TargetMode="External"/><Relationship Id="rId25" Type="http://schemas.openxmlformats.org/officeDocument/2006/relationships/hyperlink" Target="http://www.standardsasap.org/products/incd_reflector.html" TargetMode="External"/><Relationship Id="rId33" Type="http://schemas.openxmlformats.org/officeDocument/2006/relationships/hyperlink" Target="http://www.energystar.gov/ia/business/bulk_purchasing/bpsavings_calc/Calc_Vend_MachBulk.xls" TargetMode="External"/><Relationship Id="rId38" Type="http://schemas.openxmlformats.org/officeDocument/2006/relationships/hyperlink" Target="http://www.deeresources.com/deer0911planning/downloads/EUL_Summary_10-1-08.xls" TargetMode="External"/><Relationship Id="rId46" Type="http://schemas.openxmlformats.org/officeDocument/2006/relationships/hyperlink" Target="http://wescorhvac.com/HPWH%20design%20details.htm" TargetMode="External"/><Relationship Id="rId2" Type="http://schemas.openxmlformats.org/officeDocument/2006/relationships/hyperlink" Target="http://www.pjm.com/~/media/committees-groups/working-groups/lrwg/20070301/20070301-pjm-deemed-savings-report.ashx" TargetMode="External"/><Relationship Id="rId16" Type="http://schemas.openxmlformats.org/officeDocument/2006/relationships/hyperlink" Target="http://www.waptac.org/si.asp?id=736" TargetMode="External"/><Relationship Id="rId20" Type="http://schemas.openxmlformats.org/officeDocument/2006/relationships/hyperlink" Target="http://www.energystar.gov/ia/partners/prod_development/revisions/downloads/tv_vcr/FinalV3.0_TV%20Program%20Requirements.pdf" TargetMode="External"/><Relationship Id="rId29" Type="http://schemas.openxmlformats.org/officeDocument/2006/relationships/hyperlink" Target="http://www.cee1.org/ind/motrs/CEE_NEMA.pdf" TargetMode="External"/><Relationship Id="rId41" Type="http://schemas.openxmlformats.org/officeDocument/2006/relationships/hyperlink" Target="http://energysmartonline.org/documents/EnergySmart_BPA_T&amp;Cs.pdf" TargetMode="External"/><Relationship Id="rId1" Type="http://schemas.openxmlformats.org/officeDocument/2006/relationships/hyperlink" Target="http://www.pjm.com/~/media/committees-groups/working-groups/lrwg/20070301/20070301-pjm-deemed-savings-report.ashx" TargetMode="External"/><Relationship Id="rId6" Type="http://schemas.openxmlformats.org/officeDocument/2006/relationships/hyperlink" Target="http://www.pjm.com/~/media/committees-groups/working-groups/lrwg/20070301/20070301-pjm-deemed-savings-report.ashx" TargetMode="External"/><Relationship Id="rId11" Type="http://schemas.openxmlformats.org/officeDocument/2006/relationships/hyperlink" Target="http://www.deeresources.com/deer0911planning/downloads/EUL_Summary_10-1-08.xls" TargetMode="External"/><Relationship Id="rId24" Type="http://schemas.openxmlformats.org/officeDocument/2006/relationships/hyperlink" Target="http://www1.eere.energy.gov/buildings/appliance_standards/residential/incandescent_lamps.html" TargetMode="External"/><Relationship Id="rId32" Type="http://schemas.openxmlformats.org/officeDocument/2006/relationships/hyperlink" Target="http://www.michigan.gov/documents/CIS_EO_Vending_Machine_05-0042_155715_7.pdf" TargetMode="External"/><Relationship Id="rId37" Type="http://schemas.openxmlformats.org/officeDocument/2006/relationships/hyperlink" Target="http://www.cpuc.ca.gov/PUC/energy/Energy+Efficiency/EM+and+V/2006-2008+Energy+Efficiency+Evaluation+Report.htm" TargetMode="External"/><Relationship Id="rId40" Type="http://schemas.openxmlformats.org/officeDocument/2006/relationships/hyperlink" Target="http://energysmartonline.org/documents/EnergySmart_BPA_T&amp;Cs.pdf" TargetMode="External"/><Relationship Id="rId45" Type="http://schemas.openxmlformats.org/officeDocument/2006/relationships/hyperlink" Target="http://www.touchstoneenergy.com/efficiency/bea/Documents/EvaporatorFanControllers.pdf" TargetMode="External"/><Relationship Id="rId53" Type="http://schemas.openxmlformats.org/officeDocument/2006/relationships/hyperlink" Target="http://www.designlights.org/solidstate.about.QualifiedProductsList_Publicv2.php" TargetMode="External"/><Relationship Id="rId5" Type="http://schemas.openxmlformats.org/officeDocument/2006/relationships/hyperlink" Target="http://www.energystar.gov/ia/business/bulk_purchasing/bpsavings_calc/Calc_CAC.xls" TargetMode="External"/><Relationship Id="rId15" Type="http://schemas.openxmlformats.org/officeDocument/2006/relationships/hyperlink" Target="http://www.eia.doe.gov/emeu/recs/recs2005/hc2005_tables/detailed_tables2005.html" TargetMode="External"/><Relationship Id="rId23" Type="http://schemas.openxmlformats.org/officeDocument/2006/relationships/hyperlink" Target="http://www.lightingfacts.com/" TargetMode="External"/><Relationship Id="rId28" Type="http://schemas.openxmlformats.org/officeDocument/2006/relationships/hyperlink" Target="file:///C:\unzipped\%3c%20http:\www.energy.ca.gov\appliances\database\historical_excel_files\2009-03-01_excel_based_files\Pool_Products\Pool_Pumps.zip" TargetMode="External"/><Relationship Id="rId36" Type="http://schemas.openxmlformats.org/officeDocument/2006/relationships/hyperlink" Target="http://www.deeresources.com/deer0911planning/downloads/EUL_Summary_10-1-08.xls" TargetMode="External"/><Relationship Id="rId49" Type="http://schemas.openxmlformats.org/officeDocument/2006/relationships/hyperlink" Target="http://www.energystar.gov/ia/partners/manuf_res/downloads/IntegralLampsFINAL.pdf" TargetMode="External"/><Relationship Id="rId10" Type="http://schemas.openxmlformats.org/officeDocument/2006/relationships/hyperlink" Target="http://wescorhvac.com/HPWH%20design%20details.htm" TargetMode="External"/><Relationship Id="rId19" Type="http://schemas.openxmlformats.org/officeDocument/2006/relationships/hyperlink" Target="http://www.energystar.gov/index.cfm?c=tv_vcr.pr_crit_tv_vcr" TargetMode="External"/><Relationship Id="rId31" Type="http://schemas.openxmlformats.org/officeDocument/2006/relationships/hyperlink" Target="http://repository.tamu.edu/bitstream/handle/1969.1/2006/ESL-TR-00-11-01.pdf;jsessionid=6E215C09FB80BC5D2593AC81E627DA97?sequence=1" TargetMode="External"/><Relationship Id="rId44" Type="http://schemas.openxmlformats.org/officeDocument/2006/relationships/hyperlink" Target="http://www.ma-eeac.org/docs/MA%20TRM_2011%20PLAN%20VERSION.PDF" TargetMode="External"/><Relationship Id="rId52" Type="http://schemas.openxmlformats.org/officeDocument/2006/relationships/hyperlink" Target="http://www.designlights.org/solidstate.manufacturer.requirements.php" TargetMode="External"/><Relationship Id="rId4" Type="http://schemas.openxmlformats.org/officeDocument/2006/relationships/hyperlink" Target="http://www.energystar.gov/ia/business/bulk_purchasing/bpsavings_calc/CalculatorConsumerRoomAC.xls" TargetMode="External"/><Relationship Id="rId9" Type="http://schemas.openxmlformats.org/officeDocument/2006/relationships/hyperlink" Target="http://www.deeresources.com/deer0911planning/downloads/EUL_Summary_10-1-08.xls" TargetMode="External"/><Relationship Id="rId14" Type="http://schemas.openxmlformats.org/officeDocument/2006/relationships/hyperlink" Target="http://www.ma-eeac.org/docs/091023-MA-TRMdraft.pdf" TargetMode="External"/><Relationship Id="rId22" Type="http://schemas.openxmlformats.org/officeDocument/2006/relationships/hyperlink" Target="http://www.xcelenergy.com/SiteCollectionDocuments/docs/ES-Retailer-Incentive-60-day-Tech-Assumptions.pdf" TargetMode="External"/><Relationship Id="rId27" Type="http://schemas.openxmlformats.org/officeDocument/2006/relationships/hyperlink" Target="file:///C:\Documents%20and%20Settings\unzipped\%3c%20http:\www.energy.ca.gov\appliances\database\historical_excel_files\2009-03-01_excel_based_files\Pool_Products\Pool_Pumps.zip" TargetMode="External"/><Relationship Id="rId30" Type="http://schemas.openxmlformats.org/officeDocument/2006/relationships/hyperlink" Target="http://www.nrel.gov/docs/fy03osti/34008.pdf" TargetMode="External"/><Relationship Id="rId35" Type="http://schemas.openxmlformats.org/officeDocument/2006/relationships/hyperlink" Target="http://www.cee1.org/com/com-kit/files/IceSpecification.pdf" TargetMode="External"/><Relationship Id="rId43" Type="http://schemas.openxmlformats.org/officeDocument/2006/relationships/hyperlink" Target="http://www.energysmartgrocer.org/pdfs/PGE/2010_2012%20External%20Equipment%20SpecificationTandCs%20v3.pdf" TargetMode="External"/><Relationship Id="rId48" Type="http://schemas.openxmlformats.org/officeDocument/2006/relationships/hyperlink" Target="http://www.energystar.gov/index.cfm?fuseaction=find_a_product.showProductGroup&amp;pgw_code=LTG" TargetMode="External"/><Relationship Id="rId8" Type="http://schemas.openxmlformats.org/officeDocument/2006/relationships/hyperlink" Target="http://www.eia.doe.gov/emeu/recs/recs2005/hc2005_tables/hcfloorspace/pdf/tablehc1.1.3.pdf" TargetMode="External"/><Relationship Id="rId51" Type="http://schemas.openxmlformats.org/officeDocument/2006/relationships/hyperlink" Target="http://www.energystar.gov/index.cfm?fuseaction=ssl.display_products_res_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6D368-57F4-4E71-8E31-4F8832ED3B73}">
  <ds:schemaRefs>
    <ds:schemaRef ds:uri="http://schemas.openxmlformats.org/officeDocument/2006/bibliography"/>
  </ds:schemaRefs>
</ds:datastoreItem>
</file>

<file path=customXml/itemProps2.xml><?xml version="1.0" encoding="utf-8"?>
<ds:datastoreItem xmlns:ds="http://schemas.openxmlformats.org/officeDocument/2006/customXml" ds:itemID="{9B91A5BD-BEAE-42E6-B551-4606ECA0412A}">
  <ds:schemaRefs>
    <ds:schemaRef ds:uri="http://schemas.openxmlformats.org/officeDocument/2006/bibliography"/>
  </ds:schemaRefs>
</ds:datastoreItem>
</file>

<file path=customXml/itemProps3.xml><?xml version="1.0" encoding="utf-8"?>
<ds:datastoreItem xmlns:ds="http://schemas.openxmlformats.org/officeDocument/2006/customXml" ds:itemID="{EFAB9251-D7B4-44D1-9FA4-4096789F10EE}">
  <ds:schemaRefs>
    <ds:schemaRef ds:uri="http://schemas.openxmlformats.org/officeDocument/2006/bibliography"/>
  </ds:schemaRefs>
</ds:datastoreItem>
</file>

<file path=customXml/itemProps4.xml><?xml version="1.0" encoding="utf-8"?>
<ds:datastoreItem xmlns:ds="http://schemas.openxmlformats.org/officeDocument/2006/customXml" ds:itemID="{F14B77A0-B09E-4D98-8CBC-419A2B1E2B9D}">
  <ds:schemaRefs>
    <ds:schemaRef ds:uri="http://schemas.openxmlformats.org/officeDocument/2006/bibliography"/>
  </ds:schemaRefs>
</ds:datastoreItem>
</file>

<file path=customXml/itemProps5.xml><?xml version="1.0" encoding="utf-8"?>
<ds:datastoreItem xmlns:ds="http://schemas.openxmlformats.org/officeDocument/2006/customXml" ds:itemID="{542809BB-5FFC-4512-A616-A07BEC37C906}">
  <ds:schemaRefs>
    <ds:schemaRef ds:uri="http://schemas.openxmlformats.org/officeDocument/2006/bibliography"/>
  </ds:schemaRefs>
</ds:datastoreItem>
</file>

<file path=customXml/itemProps6.xml><?xml version="1.0" encoding="utf-8"?>
<ds:datastoreItem xmlns:ds="http://schemas.openxmlformats.org/officeDocument/2006/customXml" ds:itemID="{9BCCAA63-C1B4-4E8E-B926-44DD01FE029D}">
  <ds:schemaRefs>
    <ds:schemaRef ds:uri="http://schemas.openxmlformats.org/officeDocument/2006/bibliography"/>
  </ds:schemaRefs>
</ds:datastoreItem>
</file>

<file path=customXml/itemProps7.xml><?xml version="1.0" encoding="utf-8"?>
<ds:datastoreItem xmlns:ds="http://schemas.openxmlformats.org/officeDocument/2006/customXml" ds:itemID="{B3D3571F-559A-49FE-8F92-742ACFF6BF7B}">
  <ds:schemaRefs>
    <ds:schemaRef ds:uri="http://schemas.openxmlformats.org/officeDocument/2006/bibliography"/>
  </ds:schemaRefs>
</ds:datastoreItem>
</file>

<file path=customXml/itemProps8.xml><?xml version="1.0" encoding="utf-8"?>
<ds:datastoreItem xmlns:ds="http://schemas.openxmlformats.org/officeDocument/2006/customXml" ds:itemID="{E34E20F6-8A15-4DCF-A930-A676561C82FE}">
  <ds:schemaRefs>
    <ds:schemaRef ds:uri="http://schemas.openxmlformats.org/officeDocument/2006/bibliography"/>
  </ds:schemaRefs>
</ds:datastoreItem>
</file>

<file path=customXml/itemProps9.xml><?xml version="1.0" encoding="utf-8"?>
<ds:datastoreItem xmlns:ds="http://schemas.openxmlformats.org/officeDocument/2006/customXml" ds:itemID="{1E709CA1-83FC-49A4-A4D4-87ABC3472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235</Pages>
  <Words>79076</Words>
  <Characters>450736</Characters>
  <Application>Microsoft Office Word</Application>
  <DocSecurity>4</DocSecurity>
  <Lines>3756</Lines>
  <Paragraphs>1057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528755</CharactersWithSpaces>
  <SharedDoc>false</SharedDoc>
  <HLinks>
    <vt:vector size="2088" baseType="variant">
      <vt:variant>
        <vt:i4>3342375</vt:i4>
      </vt:variant>
      <vt:variant>
        <vt:i4>4272</vt:i4>
      </vt:variant>
      <vt:variant>
        <vt:i4>0</vt:i4>
      </vt:variant>
      <vt:variant>
        <vt:i4>5</vt:i4>
      </vt:variant>
      <vt:variant>
        <vt:lpwstr>http://www.puc.state.pa.us/electric/Act129/TRM.aspx</vt:lpwstr>
      </vt:variant>
      <vt:variant>
        <vt:lpwstr/>
      </vt:variant>
      <vt:variant>
        <vt:i4>3342375</vt:i4>
      </vt:variant>
      <vt:variant>
        <vt:i4>4269</vt:i4>
      </vt:variant>
      <vt:variant>
        <vt:i4>0</vt:i4>
      </vt:variant>
      <vt:variant>
        <vt:i4>5</vt:i4>
      </vt:variant>
      <vt:variant>
        <vt:lpwstr>http://www.puc.state.pa.us/electric/Act129/TRM.aspx</vt:lpwstr>
      </vt:variant>
      <vt:variant>
        <vt:lpwstr/>
      </vt:variant>
      <vt:variant>
        <vt:i4>3932286</vt:i4>
      </vt:variant>
      <vt:variant>
        <vt:i4>4194</vt:i4>
      </vt:variant>
      <vt:variant>
        <vt:i4>0</vt:i4>
      </vt:variant>
      <vt:variant>
        <vt:i4>5</vt:i4>
      </vt:variant>
      <vt:variant>
        <vt:lpwstr>http://www.ethree.com/CPUC/PG&amp;ENonResViewer.zip</vt:lpwstr>
      </vt:variant>
      <vt:variant>
        <vt:lpwstr/>
      </vt:variant>
      <vt:variant>
        <vt:i4>3932286</vt:i4>
      </vt:variant>
      <vt:variant>
        <vt:i4>4152</vt:i4>
      </vt:variant>
      <vt:variant>
        <vt:i4>0</vt:i4>
      </vt:variant>
      <vt:variant>
        <vt:i4>5</vt:i4>
      </vt:variant>
      <vt:variant>
        <vt:lpwstr>http://www.ethree.com/CPUC/PG&amp;ENonResViewer.zip</vt:lpwstr>
      </vt:variant>
      <vt:variant>
        <vt:lpwstr/>
      </vt:variant>
      <vt:variant>
        <vt:i4>3932286</vt:i4>
      </vt:variant>
      <vt:variant>
        <vt:i4>4092</vt:i4>
      </vt:variant>
      <vt:variant>
        <vt:i4>0</vt:i4>
      </vt:variant>
      <vt:variant>
        <vt:i4>5</vt:i4>
      </vt:variant>
      <vt:variant>
        <vt:lpwstr>http://www.ethree.com/CPUC/PG&amp;ENonResViewer.zip</vt:lpwstr>
      </vt:variant>
      <vt:variant>
        <vt:lpwstr/>
      </vt:variant>
      <vt:variant>
        <vt:i4>5570583</vt:i4>
      </vt:variant>
      <vt:variant>
        <vt:i4>4047</vt:i4>
      </vt:variant>
      <vt:variant>
        <vt:i4>0</vt:i4>
      </vt:variant>
      <vt:variant>
        <vt:i4>5</vt:i4>
      </vt:variant>
      <vt:variant>
        <vt:lpwstr>http://www.ethree.com/cpuc_cee_tools.html</vt:lpwstr>
      </vt:variant>
      <vt:variant>
        <vt:lpwstr/>
      </vt:variant>
      <vt:variant>
        <vt:i4>6226005</vt:i4>
      </vt:variant>
      <vt:variant>
        <vt:i4>3933</vt:i4>
      </vt:variant>
      <vt:variant>
        <vt:i4>0</vt:i4>
      </vt:variant>
      <vt:variant>
        <vt:i4>5</vt:i4>
      </vt:variant>
      <vt:variant>
        <vt:lpwstr>http://www.eere.energy.gov/buildings/info/documents/pdfs/office_telecom-vol2_final.pdf</vt:lpwstr>
      </vt:variant>
      <vt:variant>
        <vt:lpwstr/>
      </vt:variant>
      <vt:variant>
        <vt:i4>2162697</vt:i4>
      </vt:variant>
      <vt:variant>
        <vt:i4>3930</vt:i4>
      </vt:variant>
      <vt:variant>
        <vt:i4>0</vt:i4>
      </vt:variant>
      <vt:variant>
        <vt:i4>5</vt:i4>
      </vt:variant>
      <vt:variant>
        <vt:lpwstr>http://www.calmac.org/publications/SDGE_ESP_EMV_Report_073106_Final.pdf</vt:lpwstr>
      </vt:variant>
      <vt:variant>
        <vt:lpwstr/>
      </vt:variant>
      <vt:variant>
        <vt:i4>3211301</vt:i4>
      </vt:variant>
      <vt:variant>
        <vt:i4>3927</vt:i4>
      </vt:variant>
      <vt:variant>
        <vt:i4>0</vt:i4>
      </vt:variant>
      <vt:variant>
        <vt:i4>5</vt:i4>
      </vt:variant>
      <vt:variant>
        <vt:lpwstr>http://www.nwalliance.org/research/reports/136.pdf</vt:lpwstr>
      </vt:variant>
      <vt:variant>
        <vt:lpwstr/>
      </vt:variant>
      <vt:variant>
        <vt:i4>3342398</vt:i4>
      </vt:variant>
      <vt:variant>
        <vt:i4>3837</vt:i4>
      </vt:variant>
      <vt:variant>
        <vt:i4>0</vt:i4>
      </vt:variant>
      <vt:variant>
        <vt:i4>5</vt:i4>
      </vt:variant>
      <vt:variant>
        <vt:lpwstr>http://www.nwductless.com/</vt:lpwstr>
      </vt:variant>
      <vt:variant>
        <vt:lpwstr/>
      </vt:variant>
      <vt:variant>
        <vt:i4>262270</vt:i4>
      </vt:variant>
      <vt:variant>
        <vt:i4>3735</vt:i4>
      </vt:variant>
      <vt:variant>
        <vt:i4>0</vt:i4>
      </vt:variant>
      <vt:variant>
        <vt:i4>5</vt:i4>
      </vt:variant>
      <vt:variant>
        <vt:lpwstr>http://www.calmac.org/publications/ComFac_Evaluation_V1_Final_Report_02-18-2010.pdf</vt:lpwstr>
      </vt:variant>
      <vt:variant>
        <vt:lpwstr/>
      </vt:variant>
      <vt:variant>
        <vt:i4>6029341</vt:i4>
      </vt:variant>
      <vt:variant>
        <vt:i4>3606</vt:i4>
      </vt:variant>
      <vt:variant>
        <vt:i4>0</vt:i4>
      </vt:variant>
      <vt:variant>
        <vt:i4>5</vt:i4>
      </vt:variant>
      <vt:variant>
        <vt:lpwstr>http://www1.eere.energy.gov/femp/procurement/eep_ice_makers.html</vt:lpwstr>
      </vt:variant>
      <vt:variant>
        <vt:lpwstr/>
      </vt:variant>
      <vt:variant>
        <vt:i4>6422539</vt:i4>
      </vt:variant>
      <vt:variant>
        <vt:i4>3603</vt:i4>
      </vt:variant>
      <vt:variant>
        <vt:i4>0</vt:i4>
      </vt:variant>
      <vt:variant>
        <vt:i4>5</vt:i4>
      </vt:variant>
      <vt:variant>
        <vt:lpwstr>http://www.fishnick.com/publications/appliancereports/special/Ice-cube_machine_field_study.pdf</vt:lpwstr>
      </vt:variant>
      <vt:variant>
        <vt:lpwstr/>
      </vt:variant>
      <vt:variant>
        <vt:i4>8323182</vt:i4>
      </vt:variant>
      <vt:variant>
        <vt:i4>3558</vt:i4>
      </vt:variant>
      <vt:variant>
        <vt:i4>0</vt:i4>
      </vt:variant>
      <vt:variant>
        <vt:i4>5</vt:i4>
      </vt:variant>
      <vt:variant>
        <vt:lpwstr>http://www1.eere.energy.gov/buildings/appliance_standards/commercial/beverage_machines.html</vt:lpwstr>
      </vt:variant>
      <vt:variant>
        <vt:lpwstr/>
      </vt:variant>
      <vt:variant>
        <vt:i4>2752552</vt:i4>
      </vt:variant>
      <vt:variant>
        <vt:i4>3555</vt:i4>
      </vt:variant>
      <vt:variant>
        <vt:i4>0</vt:i4>
      </vt:variant>
      <vt:variant>
        <vt:i4>5</vt:i4>
      </vt:variant>
      <vt:variant>
        <vt:lpwstr>http://www.deeresources.com/deer0911planning/downloads/EUL_Summary_10-1-08.xls</vt:lpwstr>
      </vt:variant>
      <vt:variant>
        <vt:lpwstr/>
      </vt:variant>
      <vt:variant>
        <vt:i4>4587538</vt:i4>
      </vt:variant>
      <vt:variant>
        <vt:i4>3483</vt:i4>
      </vt:variant>
      <vt:variant>
        <vt:i4>0</vt:i4>
      </vt:variant>
      <vt:variant>
        <vt:i4>5</vt:i4>
      </vt:variant>
      <vt:variant>
        <vt:lpwstr>http://www.nwcouncil.org/rtf/measures/Default.asp</vt:lpwstr>
      </vt:variant>
      <vt:variant>
        <vt:lpwstr/>
      </vt:variant>
      <vt:variant>
        <vt:i4>7667750</vt:i4>
      </vt:variant>
      <vt:variant>
        <vt:i4>3252</vt:i4>
      </vt:variant>
      <vt:variant>
        <vt:i4>0</vt:i4>
      </vt:variant>
      <vt:variant>
        <vt:i4>5</vt:i4>
      </vt:variant>
      <vt:variant>
        <vt:lpwstr>http://refrigeration-equipment.com/gdm_s_c_series_swing_door_reac.html</vt:lpwstr>
      </vt:variant>
      <vt:variant>
        <vt:lpwstr/>
      </vt:variant>
      <vt:variant>
        <vt:i4>6553653</vt:i4>
      </vt:variant>
      <vt:variant>
        <vt:i4>3249</vt:i4>
      </vt:variant>
      <vt:variant>
        <vt:i4>0</vt:i4>
      </vt:variant>
      <vt:variant>
        <vt:i4>5</vt:i4>
      </vt:variant>
      <vt:variant>
        <vt:lpwstr>http://www.brrr.cc/home.php?cat=427</vt:lpwstr>
      </vt:variant>
      <vt:variant>
        <vt:lpwstr/>
      </vt:variant>
      <vt:variant>
        <vt:i4>2687057</vt:i4>
      </vt:variant>
      <vt:variant>
        <vt:i4>3246</vt:i4>
      </vt:variant>
      <vt:variant>
        <vt:i4>0</vt:i4>
      </vt:variant>
      <vt:variant>
        <vt:i4>5</vt:i4>
      </vt:variant>
      <vt:variant>
        <vt:lpwstr>http://www.bushrefrigeration.com/bakery_glass_door_coolers.php</vt:lpwstr>
      </vt:variant>
      <vt:variant>
        <vt:lpwstr/>
      </vt:variant>
      <vt:variant>
        <vt:i4>786533</vt:i4>
      </vt:variant>
      <vt:variant>
        <vt:i4>3057</vt:i4>
      </vt:variant>
      <vt:variant>
        <vt:i4>0</vt:i4>
      </vt:variant>
      <vt:variant>
        <vt:i4>5</vt:i4>
      </vt:variant>
      <vt:variant>
        <vt:lpwstr>http://www.puc.state.pa.us/electric/xls/Act129/TRM-ESF-DSF_Worksheet.xls</vt:lpwstr>
      </vt:variant>
      <vt:variant>
        <vt:lpwstr/>
      </vt:variant>
      <vt:variant>
        <vt:i4>7143501</vt:i4>
      </vt:variant>
      <vt:variant>
        <vt:i4>2997</vt:i4>
      </vt:variant>
      <vt:variant>
        <vt:i4>0</vt:i4>
      </vt:variant>
      <vt:variant>
        <vt:i4>5</vt:i4>
      </vt:variant>
      <vt:variant>
        <vt:lpwstr>http://www.puc.state.pa.us/electric/xls/Act129/TRM-Motor_Operating_Hours_Worksheet.xls</vt:lpwstr>
      </vt:variant>
      <vt:variant>
        <vt:lpwstr/>
      </vt:variant>
      <vt:variant>
        <vt:i4>5832799</vt:i4>
      </vt:variant>
      <vt:variant>
        <vt:i4>2817</vt:i4>
      </vt:variant>
      <vt:variant>
        <vt:i4>0</vt:i4>
      </vt:variant>
      <vt:variant>
        <vt:i4>5</vt:i4>
      </vt:variant>
      <vt:variant>
        <vt:lpwstr>http://www.deeresources.com/</vt:lpwstr>
      </vt:variant>
      <vt:variant>
        <vt:lpwstr/>
      </vt:variant>
      <vt:variant>
        <vt:i4>983140</vt:i4>
      </vt:variant>
      <vt:variant>
        <vt:i4>2673</vt:i4>
      </vt:variant>
      <vt:variant>
        <vt:i4>0</vt:i4>
      </vt:variant>
      <vt:variant>
        <vt:i4>5</vt:i4>
      </vt:variant>
      <vt:variant>
        <vt:lpwstr>http://www.energy.ca.gov/appliances/database/historical_excel_files/2009-03-01_excel_based_files/Pool_Products/Pool_Pumps.zip</vt:lpwstr>
      </vt:variant>
      <vt:variant>
        <vt:lpwstr/>
      </vt:variant>
      <vt:variant>
        <vt:i4>131155</vt:i4>
      </vt:variant>
      <vt:variant>
        <vt:i4>2430</vt:i4>
      </vt:variant>
      <vt:variant>
        <vt:i4>0</vt:i4>
      </vt:variant>
      <vt:variant>
        <vt:i4>5</vt:i4>
      </vt:variant>
      <vt:variant>
        <vt:lpwstr>http://www.energystar.gov/ia/business/bulk_purchasing/bpsavings_calc/Calc_Televisions_Bulk.xls</vt:lpwstr>
      </vt:variant>
      <vt:variant>
        <vt:lpwstr/>
      </vt:variant>
      <vt:variant>
        <vt:i4>852033</vt:i4>
      </vt:variant>
      <vt:variant>
        <vt:i4>2427</vt:i4>
      </vt:variant>
      <vt:variant>
        <vt:i4>0</vt:i4>
      </vt:variant>
      <vt:variant>
        <vt:i4>5</vt:i4>
      </vt:variant>
      <vt:variant>
        <vt:lpwstr>http://www.xcelenergy.com/SiteCollectionDocuments/docs/ES-Retailer-Incentive-60-day-Tech-Assumptions.pdf</vt:lpwstr>
      </vt:variant>
      <vt:variant>
        <vt:lpwstr/>
      </vt:variant>
      <vt:variant>
        <vt:i4>3145762</vt:i4>
      </vt:variant>
      <vt:variant>
        <vt:i4>2352</vt:i4>
      </vt:variant>
      <vt:variant>
        <vt:i4>0</vt:i4>
      </vt:variant>
      <vt:variant>
        <vt:i4>5</vt:i4>
      </vt:variant>
      <vt:variant>
        <vt:lpwstr>http://www.energystar.gov/</vt:lpwstr>
      </vt:variant>
      <vt:variant>
        <vt:lpwstr/>
      </vt:variant>
      <vt:variant>
        <vt:i4>3080311</vt:i4>
      </vt:variant>
      <vt:variant>
        <vt:i4>2253</vt:i4>
      </vt:variant>
      <vt:variant>
        <vt:i4>0</vt:i4>
      </vt:variant>
      <vt:variant>
        <vt:i4>5</vt:i4>
      </vt:variant>
      <vt:variant>
        <vt:lpwstr>http://www.energystar.gov/ia/business/bulk_purchasing/bpsavings_calc/Consumer_Residential_Refrig_Sav_Calc.xls</vt:lpwstr>
      </vt:variant>
      <vt:variant>
        <vt:lpwstr/>
      </vt:variant>
      <vt:variant>
        <vt:i4>196623</vt:i4>
      </vt:variant>
      <vt:variant>
        <vt:i4>2250</vt:i4>
      </vt:variant>
      <vt:variant>
        <vt:i4>0</vt:i4>
      </vt:variant>
      <vt:variant>
        <vt:i4>5</vt:i4>
      </vt:variant>
      <vt:variant>
        <vt:lpwstr>http://www.energystar.gov/index.cfm?fuseaction=refrig.calculator</vt:lpwstr>
      </vt:variant>
      <vt:variant>
        <vt:lpwstr/>
      </vt:variant>
      <vt:variant>
        <vt:i4>65628</vt:i4>
      </vt:variant>
      <vt:variant>
        <vt:i4>2136</vt:i4>
      </vt:variant>
      <vt:variant>
        <vt:i4>0</vt:i4>
      </vt:variant>
      <vt:variant>
        <vt:i4>5</vt:i4>
      </vt:variant>
      <vt:variant>
        <vt:lpwstr>http://www.pjm.com/~/media/committees-groups/working-groups/lrwg/20070301/20070301-pjm-deemed-savings-report.ashx</vt:lpwstr>
      </vt:variant>
      <vt:variant>
        <vt:lpwstr/>
      </vt:variant>
      <vt:variant>
        <vt:i4>3342398</vt:i4>
      </vt:variant>
      <vt:variant>
        <vt:i4>2034</vt:i4>
      </vt:variant>
      <vt:variant>
        <vt:i4>0</vt:i4>
      </vt:variant>
      <vt:variant>
        <vt:i4>5</vt:i4>
      </vt:variant>
      <vt:variant>
        <vt:lpwstr>http://www.nwductless.com/</vt:lpwstr>
      </vt:variant>
      <vt:variant>
        <vt:lpwstr/>
      </vt:variant>
      <vt:variant>
        <vt:i4>5570634</vt:i4>
      </vt:variant>
      <vt:variant>
        <vt:i4>1935</vt:i4>
      </vt:variant>
      <vt:variant>
        <vt:i4>0</vt:i4>
      </vt:variant>
      <vt:variant>
        <vt:i4>5</vt:i4>
      </vt:variant>
      <vt:variant>
        <vt:lpwstr>http://www.deeresources.com/deer2008exante/downloads/EUL_Summary_10-1-08.xls</vt:lpwstr>
      </vt:variant>
      <vt:variant>
        <vt:lpwstr/>
      </vt:variant>
      <vt:variant>
        <vt:i4>1572908</vt:i4>
      </vt:variant>
      <vt:variant>
        <vt:i4>1929</vt:i4>
      </vt:variant>
      <vt:variant>
        <vt:i4>0</vt:i4>
      </vt:variant>
      <vt:variant>
        <vt:i4>5</vt:i4>
      </vt:variant>
      <vt:variant>
        <vt:lpwstr>http://www.energystar.gov/index.cfm?c=roomac.pr_crit_room_ac</vt:lpwstr>
      </vt:variant>
      <vt:variant>
        <vt:lpwstr/>
      </vt:variant>
      <vt:variant>
        <vt:i4>4325465</vt:i4>
      </vt:variant>
      <vt:variant>
        <vt:i4>1926</vt:i4>
      </vt:variant>
      <vt:variant>
        <vt:i4>0</vt:i4>
      </vt:variant>
      <vt:variant>
        <vt:i4>5</vt:i4>
      </vt:variant>
      <vt:variant>
        <vt:lpwstr>http://www.energystar.gov/ia/products/recycle/documents/RoomAirConditionerTurn-InAndRecyclingPrograms.pdf</vt:lpwstr>
      </vt:variant>
      <vt:variant>
        <vt:lpwstr/>
      </vt:variant>
      <vt:variant>
        <vt:i4>1310770</vt:i4>
      </vt:variant>
      <vt:variant>
        <vt:i4>1571</vt:i4>
      </vt:variant>
      <vt:variant>
        <vt:i4>0</vt:i4>
      </vt:variant>
      <vt:variant>
        <vt:i4>5</vt:i4>
      </vt:variant>
      <vt:variant>
        <vt:lpwstr/>
      </vt:variant>
      <vt:variant>
        <vt:lpwstr>_Toc303352727</vt:lpwstr>
      </vt:variant>
      <vt:variant>
        <vt:i4>1310770</vt:i4>
      </vt:variant>
      <vt:variant>
        <vt:i4>1565</vt:i4>
      </vt:variant>
      <vt:variant>
        <vt:i4>0</vt:i4>
      </vt:variant>
      <vt:variant>
        <vt:i4>5</vt:i4>
      </vt:variant>
      <vt:variant>
        <vt:lpwstr/>
      </vt:variant>
      <vt:variant>
        <vt:lpwstr>_Toc303352726</vt:lpwstr>
      </vt:variant>
      <vt:variant>
        <vt:i4>1310770</vt:i4>
      </vt:variant>
      <vt:variant>
        <vt:i4>1559</vt:i4>
      </vt:variant>
      <vt:variant>
        <vt:i4>0</vt:i4>
      </vt:variant>
      <vt:variant>
        <vt:i4>5</vt:i4>
      </vt:variant>
      <vt:variant>
        <vt:lpwstr/>
      </vt:variant>
      <vt:variant>
        <vt:lpwstr>_Toc303352725</vt:lpwstr>
      </vt:variant>
      <vt:variant>
        <vt:i4>1310770</vt:i4>
      </vt:variant>
      <vt:variant>
        <vt:i4>1553</vt:i4>
      </vt:variant>
      <vt:variant>
        <vt:i4>0</vt:i4>
      </vt:variant>
      <vt:variant>
        <vt:i4>5</vt:i4>
      </vt:variant>
      <vt:variant>
        <vt:lpwstr/>
      </vt:variant>
      <vt:variant>
        <vt:lpwstr>_Toc303352724</vt:lpwstr>
      </vt:variant>
      <vt:variant>
        <vt:i4>1310770</vt:i4>
      </vt:variant>
      <vt:variant>
        <vt:i4>1547</vt:i4>
      </vt:variant>
      <vt:variant>
        <vt:i4>0</vt:i4>
      </vt:variant>
      <vt:variant>
        <vt:i4>5</vt:i4>
      </vt:variant>
      <vt:variant>
        <vt:lpwstr/>
      </vt:variant>
      <vt:variant>
        <vt:lpwstr>_Toc303352723</vt:lpwstr>
      </vt:variant>
      <vt:variant>
        <vt:i4>1310770</vt:i4>
      </vt:variant>
      <vt:variant>
        <vt:i4>1541</vt:i4>
      </vt:variant>
      <vt:variant>
        <vt:i4>0</vt:i4>
      </vt:variant>
      <vt:variant>
        <vt:i4>5</vt:i4>
      </vt:variant>
      <vt:variant>
        <vt:lpwstr/>
      </vt:variant>
      <vt:variant>
        <vt:lpwstr>_Toc303352722</vt:lpwstr>
      </vt:variant>
      <vt:variant>
        <vt:i4>1310770</vt:i4>
      </vt:variant>
      <vt:variant>
        <vt:i4>1535</vt:i4>
      </vt:variant>
      <vt:variant>
        <vt:i4>0</vt:i4>
      </vt:variant>
      <vt:variant>
        <vt:i4>5</vt:i4>
      </vt:variant>
      <vt:variant>
        <vt:lpwstr/>
      </vt:variant>
      <vt:variant>
        <vt:lpwstr>_Toc303352721</vt:lpwstr>
      </vt:variant>
      <vt:variant>
        <vt:i4>1310770</vt:i4>
      </vt:variant>
      <vt:variant>
        <vt:i4>1529</vt:i4>
      </vt:variant>
      <vt:variant>
        <vt:i4>0</vt:i4>
      </vt:variant>
      <vt:variant>
        <vt:i4>5</vt:i4>
      </vt:variant>
      <vt:variant>
        <vt:lpwstr/>
      </vt:variant>
      <vt:variant>
        <vt:lpwstr>_Toc303352720</vt:lpwstr>
      </vt:variant>
      <vt:variant>
        <vt:i4>1507378</vt:i4>
      </vt:variant>
      <vt:variant>
        <vt:i4>1523</vt:i4>
      </vt:variant>
      <vt:variant>
        <vt:i4>0</vt:i4>
      </vt:variant>
      <vt:variant>
        <vt:i4>5</vt:i4>
      </vt:variant>
      <vt:variant>
        <vt:lpwstr/>
      </vt:variant>
      <vt:variant>
        <vt:lpwstr>_Toc303352719</vt:lpwstr>
      </vt:variant>
      <vt:variant>
        <vt:i4>1507378</vt:i4>
      </vt:variant>
      <vt:variant>
        <vt:i4>1517</vt:i4>
      </vt:variant>
      <vt:variant>
        <vt:i4>0</vt:i4>
      </vt:variant>
      <vt:variant>
        <vt:i4>5</vt:i4>
      </vt:variant>
      <vt:variant>
        <vt:lpwstr/>
      </vt:variant>
      <vt:variant>
        <vt:lpwstr>_Toc303352718</vt:lpwstr>
      </vt:variant>
      <vt:variant>
        <vt:i4>1507378</vt:i4>
      </vt:variant>
      <vt:variant>
        <vt:i4>1511</vt:i4>
      </vt:variant>
      <vt:variant>
        <vt:i4>0</vt:i4>
      </vt:variant>
      <vt:variant>
        <vt:i4>5</vt:i4>
      </vt:variant>
      <vt:variant>
        <vt:lpwstr/>
      </vt:variant>
      <vt:variant>
        <vt:lpwstr>_Toc303352717</vt:lpwstr>
      </vt:variant>
      <vt:variant>
        <vt:i4>1507378</vt:i4>
      </vt:variant>
      <vt:variant>
        <vt:i4>1505</vt:i4>
      </vt:variant>
      <vt:variant>
        <vt:i4>0</vt:i4>
      </vt:variant>
      <vt:variant>
        <vt:i4>5</vt:i4>
      </vt:variant>
      <vt:variant>
        <vt:lpwstr/>
      </vt:variant>
      <vt:variant>
        <vt:lpwstr>_Toc303352716</vt:lpwstr>
      </vt:variant>
      <vt:variant>
        <vt:i4>1507378</vt:i4>
      </vt:variant>
      <vt:variant>
        <vt:i4>1499</vt:i4>
      </vt:variant>
      <vt:variant>
        <vt:i4>0</vt:i4>
      </vt:variant>
      <vt:variant>
        <vt:i4>5</vt:i4>
      </vt:variant>
      <vt:variant>
        <vt:lpwstr/>
      </vt:variant>
      <vt:variant>
        <vt:lpwstr>_Toc303352715</vt:lpwstr>
      </vt:variant>
      <vt:variant>
        <vt:i4>1507378</vt:i4>
      </vt:variant>
      <vt:variant>
        <vt:i4>1493</vt:i4>
      </vt:variant>
      <vt:variant>
        <vt:i4>0</vt:i4>
      </vt:variant>
      <vt:variant>
        <vt:i4>5</vt:i4>
      </vt:variant>
      <vt:variant>
        <vt:lpwstr/>
      </vt:variant>
      <vt:variant>
        <vt:lpwstr>_Toc303352714</vt:lpwstr>
      </vt:variant>
      <vt:variant>
        <vt:i4>1507378</vt:i4>
      </vt:variant>
      <vt:variant>
        <vt:i4>1487</vt:i4>
      </vt:variant>
      <vt:variant>
        <vt:i4>0</vt:i4>
      </vt:variant>
      <vt:variant>
        <vt:i4>5</vt:i4>
      </vt:variant>
      <vt:variant>
        <vt:lpwstr/>
      </vt:variant>
      <vt:variant>
        <vt:lpwstr>_Toc303352713</vt:lpwstr>
      </vt:variant>
      <vt:variant>
        <vt:i4>1507378</vt:i4>
      </vt:variant>
      <vt:variant>
        <vt:i4>1481</vt:i4>
      </vt:variant>
      <vt:variant>
        <vt:i4>0</vt:i4>
      </vt:variant>
      <vt:variant>
        <vt:i4>5</vt:i4>
      </vt:variant>
      <vt:variant>
        <vt:lpwstr/>
      </vt:variant>
      <vt:variant>
        <vt:lpwstr>_Toc303352712</vt:lpwstr>
      </vt:variant>
      <vt:variant>
        <vt:i4>1507378</vt:i4>
      </vt:variant>
      <vt:variant>
        <vt:i4>1475</vt:i4>
      </vt:variant>
      <vt:variant>
        <vt:i4>0</vt:i4>
      </vt:variant>
      <vt:variant>
        <vt:i4>5</vt:i4>
      </vt:variant>
      <vt:variant>
        <vt:lpwstr/>
      </vt:variant>
      <vt:variant>
        <vt:lpwstr>_Toc303352711</vt:lpwstr>
      </vt:variant>
      <vt:variant>
        <vt:i4>1507378</vt:i4>
      </vt:variant>
      <vt:variant>
        <vt:i4>1469</vt:i4>
      </vt:variant>
      <vt:variant>
        <vt:i4>0</vt:i4>
      </vt:variant>
      <vt:variant>
        <vt:i4>5</vt:i4>
      </vt:variant>
      <vt:variant>
        <vt:lpwstr/>
      </vt:variant>
      <vt:variant>
        <vt:lpwstr>_Toc303352710</vt:lpwstr>
      </vt:variant>
      <vt:variant>
        <vt:i4>1441842</vt:i4>
      </vt:variant>
      <vt:variant>
        <vt:i4>1463</vt:i4>
      </vt:variant>
      <vt:variant>
        <vt:i4>0</vt:i4>
      </vt:variant>
      <vt:variant>
        <vt:i4>5</vt:i4>
      </vt:variant>
      <vt:variant>
        <vt:lpwstr/>
      </vt:variant>
      <vt:variant>
        <vt:lpwstr>_Toc303352709</vt:lpwstr>
      </vt:variant>
      <vt:variant>
        <vt:i4>1441842</vt:i4>
      </vt:variant>
      <vt:variant>
        <vt:i4>1457</vt:i4>
      </vt:variant>
      <vt:variant>
        <vt:i4>0</vt:i4>
      </vt:variant>
      <vt:variant>
        <vt:i4>5</vt:i4>
      </vt:variant>
      <vt:variant>
        <vt:lpwstr/>
      </vt:variant>
      <vt:variant>
        <vt:lpwstr>_Toc303352708</vt:lpwstr>
      </vt:variant>
      <vt:variant>
        <vt:i4>1441842</vt:i4>
      </vt:variant>
      <vt:variant>
        <vt:i4>1451</vt:i4>
      </vt:variant>
      <vt:variant>
        <vt:i4>0</vt:i4>
      </vt:variant>
      <vt:variant>
        <vt:i4>5</vt:i4>
      </vt:variant>
      <vt:variant>
        <vt:lpwstr/>
      </vt:variant>
      <vt:variant>
        <vt:lpwstr>_Toc303352707</vt:lpwstr>
      </vt:variant>
      <vt:variant>
        <vt:i4>1441842</vt:i4>
      </vt:variant>
      <vt:variant>
        <vt:i4>1445</vt:i4>
      </vt:variant>
      <vt:variant>
        <vt:i4>0</vt:i4>
      </vt:variant>
      <vt:variant>
        <vt:i4>5</vt:i4>
      </vt:variant>
      <vt:variant>
        <vt:lpwstr/>
      </vt:variant>
      <vt:variant>
        <vt:lpwstr>_Toc303352706</vt:lpwstr>
      </vt:variant>
      <vt:variant>
        <vt:i4>1441842</vt:i4>
      </vt:variant>
      <vt:variant>
        <vt:i4>1439</vt:i4>
      </vt:variant>
      <vt:variant>
        <vt:i4>0</vt:i4>
      </vt:variant>
      <vt:variant>
        <vt:i4>5</vt:i4>
      </vt:variant>
      <vt:variant>
        <vt:lpwstr/>
      </vt:variant>
      <vt:variant>
        <vt:lpwstr>_Toc303352705</vt:lpwstr>
      </vt:variant>
      <vt:variant>
        <vt:i4>1441842</vt:i4>
      </vt:variant>
      <vt:variant>
        <vt:i4>1433</vt:i4>
      </vt:variant>
      <vt:variant>
        <vt:i4>0</vt:i4>
      </vt:variant>
      <vt:variant>
        <vt:i4>5</vt:i4>
      </vt:variant>
      <vt:variant>
        <vt:lpwstr/>
      </vt:variant>
      <vt:variant>
        <vt:lpwstr>_Toc303352704</vt:lpwstr>
      </vt:variant>
      <vt:variant>
        <vt:i4>1441842</vt:i4>
      </vt:variant>
      <vt:variant>
        <vt:i4>1427</vt:i4>
      </vt:variant>
      <vt:variant>
        <vt:i4>0</vt:i4>
      </vt:variant>
      <vt:variant>
        <vt:i4>5</vt:i4>
      </vt:variant>
      <vt:variant>
        <vt:lpwstr/>
      </vt:variant>
      <vt:variant>
        <vt:lpwstr>_Toc303352703</vt:lpwstr>
      </vt:variant>
      <vt:variant>
        <vt:i4>1441842</vt:i4>
      </vt:variant>
      <vt:variant>
        <vt:i4>1421</vt:i4>
      </vt:variant>
      <vt:variant>
        <vt:i4>0</vt:i4>
      </vt:variant>
      <vt:variant>
        <vt:i4>5</vt:i4>
      </vt:variant>
      <vt:variant>
        <vt:lpwstr/>
      </vt:variant>
      <vt:variant>
        <vt:lpwstr>_Toc303352702</vt:lpwstr>
      </vt:variant>
      <vt:variant>
        <vt:i4>1441842</vt:i4>
      </vt:variant>
      <vt:variant>
        <vt:i4>1415</vt:i4>
      </vt:variant>
      <vt:variant>
        <vt:i4>0</vt:i4>
      </vt:variant>
      <vt:variant>
        <vt:i4>5</vt:i4>
      </vt:variant>
      <vt:variant>
        <vt:lpwstr/>
      </vt:variant>
      <vt:variant>
        <vt:lpwstr>_Toc303352701</vt:lpwstr>
      </vt:variant>
      <vt:variant>
        <vt:i4>1441842</vt:i4>
      </vt:variant>
      <vt:variant>
        <vt:i4>1409</vt:i4>
      </vt:variant>
      <vt:variant>
        <vt:i4>0</vt:i4>
      </vt:variant>
      <vt:variant>
        <vt:i4>5</vt:i4>
      </vt:variant>
      <vt:variant>
        <vt:lpwstr/>
      </vt:variant>
      <vt:variant>
        <vt:lpwstr>_Toc303352700</vt:lpwstr>
      </vt:variant>
      <vt:variant>
        <vt:i4>2031667</vt:i4>
      </vt:variant>
      <vt:variant>
        <vt:i4>1403</vt:i4>
      </vt:variant>
      <vt:variant>
        <vt:i4>0</vt:i4>
      </vt:variant>
      <vt:variant>
        <vt:i4>5</vt:i4>
      </vt:variant>
      <vt:variant>
        <vt:lpwstr/>
      </vt:variant>
      <vt:variant>
        <vt:lpwstr>_Toc303352699</vt:lpwstr>
      </vt:variant>
      <vt:variant>
        <vt:i4>2031667</vt:i4>
      </vt:variant>
      <vt:variant>
        <vt:i4>1397</vt:i4>
      </vt:variant>
      <vt:variant>
        <vt:i4>0</vt:i4>
      </vt:variant>
      <vt:variant>
        <vt:i4>5</vt:i4>
      </vt:variant>
      <vt:variant>
        <vt:lpwstr/>
      </vt:variant>
      <vt:variant>
        <vt:lpwstr>_Toc303352698</vt:lpwstr>
      </vt:variant>
      <vt:variant>
        <vt:i4>2031667</vt:i4>
      </vt:variant>
      <vt:variant>
        <vt:i4>1391</vt:i4>
      </vt:variant>
      <vt:variant>
        <vt:i4>0</vt:i4>
      </vt:variant>
      <vt:variant>
        <vt:i4>5</vt:i4>
      </vt:variant>
      <vt:variant>
        <vt:lpwstr/>
      </vt:variant>
      <vt:variant>
        <vt:lpwstr>_Toc303352697</vt:lpwstr>
      </vt:variant>
      <vt:variant>
        <vt:i4>2031667</vt:i4>
      </vt:variant>
      <vt:variant>
        <vt:i4>1385</vt:i4>
      </vt:variant>
      <vt:variant>
        <vt:i4>0</vt:i4>
      </vt:variant>
      <vt:variant>
        <vt:i4>5</vt:i4>
      </vt:variant>
      <vt:variant>
        <vt:lpwstr/>
      </vt:variant>
      <vt:variant>
        <vt:lpwstr>_Toc303352696</vt:lpwstr>
      </vt:variant>
      <vt:variant>
        <vt:i4>2031667</vt:i4>
      </vt:variant>
      <vt:variant>
        <vt:i4>1379</vt:i4>
      </vt:variant>
      <vt:variant>
        <vt:i4>0</vt:i4>
      </vt:variant>
      <vt:variant>
        <vt:i4>5</vt:i4>
      </vt:variant>
      <vt:variant>
        <vt:lpwstr/>
      </vt:variant>
      <vt:variant>
        <vt:lpwstr>_Toc303352695</vt:lpwstr>
      </vt:variant>
      <vt:variant>
        <vt:i4>2031667</vt:i4>
      </vt:variant>
      <vt:variant>
        <vt:i4>1373</vt:i4>
      </vt:variant>
      <vt:variant>
        <vt:i4>0</vt:i4>
      </vt:variant>
      <vt:variant>
        <vt:i4>5</vt:i4>
      </vt:variant>
      <vt:variant>
        <vt:lpwstr/>
      </vt:variant>
      <vt:variant>
        <vt:lpwstr>_Toc303352694</vt:lpwstr>
      </vt:variant>
      <vt:variant>
        <vt:i4>2031667</vt:i4>
      </vt:variant>
      <vt:variant>
        <vt:i4>1367</vt:i4>
      </vt:variant>
      <vt:variant>
        <vt:i4>0</vt:i4>
      </vt:variant>
      <vt:variant>
        <vt:i4>5</vt:i4>
      </vt:variant>
      <vt:variant>
        <vt:lpwstr/>
      </vt:variant>
      <vt:variant>
        <vt:lpwstr>_Toc303352693</vt:lpwstr>
      </vt:variant>
      <vt:variant>
        <vt:i4>2031667</vt:i4>
      </vt:variant>
      <vt:variant>
        <vt:i4>1361</vt:i4>
      </vt:variant>
      <vt:variant>
        <vt:i4>0</vt:i4>
      </vt:variant>
      <vt:variant>
        <vt:i4>5</vt:i4>
      </vt:variant>
      <vt:variant>
        <vt:lpwstr/>
      </vt:variant>
      <vt:variant>
        <vt:lpwstr>_Toc303352692</vt:lpwstr>
      </vt:variant>
      <vt:variant>
        <vt:i4>2031667</vt:i4>
      </vt:variant>
      <vt:variant>
        <vt:i4>1355</vt:i4>
      </vt:variant>
      <vt:variant>
        <vt:i4>0</vt:i4>
      </vt:variant>
      <vt:variant>
        <vt:i4>5</vt:i4>
      </vt:variant>
      <vt:variant>
        <vt:lpwstr/>
      </vt:variant>
      <vt:variant>
        <vt:lpwstr>_Toc303352691</vt:lpwstr>
      </vt:variant>
      <vt:variant>
        <vt:i4>2031667</vt:i4>
      </vt:variant>
      <vt:variant>
        <vt:i4>1349</vt:i4>
      </vt:variant>
      <vt:variant>
        <vt:i4>0</vt:i4>
      </vt:variant>
      <vt:variant>
        <vt:i4>5</vt:i4>
      </vt:variant>
      <vt:variant>
        <vt:lpwstr/>
      </vt:variant>
      <vt:variant>
        <vt:lpwstr>_Toc303352690</vt:lpwstr>
      </vt:variant>
      <vt:variant>
        <vt:i4>1966131</vt:i4>
      </vt:variant>
      <vt:variant>
        <vt:i4>1343</vt:i4>
      </vt:variant>
      <vt:variant>
        <vt:i4>0</vt:i4>
      </vt:variant>
      <vt:variant>
        <vt:i4>5</vt:i4>
      </vt:variant>
      <vt:variant>
        <vt:lpwstr/>
      </vt:variant>
      <vt:variant>
        <vt:lpwstr>_Toc303352689</vt:lpwstr>
      </vt:variant>
      <vt:variant>
        <vt:i4>1966131</vt:i4>
      </vt:variant>
      <vt:variant>
        <vt:i4>1337</vt:i4>
      </vt:variant>
      <vt:variant>
        <vt:i4>0</vt:i4>
      </vt:variant>
      <vt:variant>
        <vt:i4>5</vt:i4>
      </vt:variant>
      <vt:variant>
        <vt:lpwstr/>
      </vt:variant>
      <vt:variant>
        <vt:lpwstr>_Toc303352688</vt:lpwstr>
      </vt:variant>
      <vt:variant>
        <vt:i4>1966131</vt:i4>
      </vt:variant>
      <vt:variant>
        <vt:i4>1331</vt:i4>
      </vt:variant>
      <vt:variant>
        <vt:i4>0</vt:i4>
      </vt:variant>
      <vt:variant>
        <vt:i4>5</vt:i4>
      </vt:variant>
      <vt:variant>
        <vt:lpwstr/>
      </vt:variant>
      <vt:variant>
        <vt:lpwstr>_Toc303352687</vt:lpwstr>
      </vt:variant>
      <vt:variant>
        <vt:i4>1966131</vt:i4>
      </vt:variant>
      <vt:variant>
        <vt:i4>1325</vt:i4>
      </vt:variant>
      <vt:variant>
        <vt:i4>0</vt:i4>
      </vt:variant>
      <vt:variant>
        <vt:i4>5</vt:i4>
      </vt:variant>
      <vt:variant>
        <vt:lpwstr/>
      </vt:variant>
      <vt:variant>
        <vt:lpwstr>_Toc303352686</vt:lpwstr>
      </vt:variant>
      <vt:variant>
        <vt:i4>1966131</vt:i4>
      </vt:variant>
      <vt:variant>
        <vt:i4>1319</vt:i4>
      </vt:variant>
      <vt:variant>
        <vt:i4>0</vt:i4>
      </vt:variant>
      <vt:variant>
        <vt:i4>5</vt:i4>
      </vt:variant>
      <vt:variant>
        <vt:lpwstr/>
      </vt:variant>
      <vt:variant>
        <vt:lpwstr>_Toc303352685</vt:lpwstr>
      </vt:variant>
      <vt:variant>
        <vt:i4>1966131</vt:i4>
      </vt:variant>
      <vt:variant>
        <vt:i4>1313</vt:i4>
      </vt:variant>
      <vt:variant>
        <vt:i4>0</vt:i4>
      </vt:variant>
      <vt:variant>
        <vt:i4>5</vt:i4>
      </vt:variant>
      <vt:variant>
        <vt:lpwstr/>
      </vt:variant>
      <vt:variant>
        <vt:lpwstr>_Toc303352684</vt:lpwstr>
      </vt:variant>
      <vt:variant>
        <vt:i4>1966131</vt:i4>
      </vt:variant>
      <vt:variant>
        <vt:i4>1307</vt:i4>
      </vt:variant>
      <vt:variant>
        <vt:i4>0</vt:i4>
      </vt:variant>
      <vt:variant>
        <vt:i4>5</vt:i4>
      </vt:variant>
      <vt:variant>
        <vt:lpwstr/>
      </vt:variant>
      <vt:variant>
        <vt:lpwstr>_Toc303352683</vt:lpwstr>
      </vt:variant>
      <vt:variant>
        <vt:i4>1966131</vt:i4>
      </vt:variant>
      <vt:variant>
        <vt:i4>1301</vt:i4>
      </vt:variant>
      <vt:variant>
        <vt:i4>0</vt:i4>
      </vt:variant>
      <vt:variant>
        <vt:i4>5</vt:i4>
      </vt:variant>
      <vt:variant>
        <vt:lpwstr/>
      </vt:variant>
      <vt:variant>
        <vt:lpwstr>_Toc303352682</vt:lpwstr>
      </vt:variant>
      <vt:variant>
        <vt:i4>1966131</vt:i4>
      </vt:variant>
      <vt:variant>
        <vt:i4>1295</vt:i4>
      </vt:variant>
      <vt:variant>
        <vt:i4>0</vt:i4>
      </vt:variant>
      <vt:variant>
        <vt:i4>5</vt:i4>
      </vt:variant>
      <vt:variant>
        <vt:lpwstr/>
      </vt:variant>
      <vt:variant>
        <vt:lpwstr>_Toc303352681</vt:lpwstr>
      </vt:variant>
      <vt:variant>
        <vt:i4>1966131</vt:i4>
      </vt:variant>
      <vt:variant>
        <vt:i4>1289</vt:i4>
      </vt:variant>
      <vt:variant>
        <vt:i4>0</vt:i4>
      </vt:variant>
      <vt:variant>
        <vt:i4>5</vt:i4>
      </vt:variant>
      <vt:variant>
        <vt:lpwstr/>
      </vt:variant>
      <vt:variant>
        <vt:lpwstr>_Toc303352680</vt:lpwstr>
      </vt:variant>
      <vt:variant>
        <vt:i4>1114163</vt:i4>
      </vt:variant>
      <vt:variant>
        <vt:i4>1283</vt:i4>
      </vt:variant>
      <vt:variant>
        <vt:i4>0</vt:i4>
      </vt:variant>
      <vt:variant>
        <vt:i4>5</vt:i4>
      </vt:variant>
      <vt:variant>
        <vt:lpwstr/>
      </vt:variant>
      <vt:variant>
        <vt:lpwstr>_Toc303352679</vt:lpwstr>
      </vt:variant>
      <vt:variant>
        <vt:i4>1114163</vt:i4>
      </vt:variant>
      <vt:variant>
        <vt:i4>1277</vt:i4>
      </vt:variant>
      <vt:variant>
        <vt:i4>0</vt:i4>
      </vt:variant>
      <vt:variant>
        <vt:i4>5</vt:i4>
      </vt:variant>
      <vt:variant>
        <vt:lpwstr/>
      </vt:variant>
      <vt:variant>
        <vt:lpwstr>_Toc303352678</vt:lpwstr>
      </vt:variant>
      <vt:variant>
        <vt:i4>1114163</vt:i4>
      </vt:variant>
      <vt:variant>
        <vt:i4>1271</vt:i4>
      </vt:variant>
      <vt:variant>
        <vt:i4>0</vt:i4>
      </vt:variant>
      <vt:variant>
        <vt:i4>5</vt:i4>
      </vt:variant>
      <vt:variant>
        <vt:lpwstr/>
      </vt:variant>
      <vt:variant>
        <vt:lpwstr>_Toc303352677</vt:lpwstr>
      </vt:variant>
      <vt:variant>
        <vt:i4>1114163</vt:i4>
      </vt:variant>
      <vt:variant>
        <vt:i4>1265</vt:i4>
      </vt:variant>
      <vt:variant>
        <vt:i4>0</vt:i4>
      </vt:variant>
      <vt:variant>
        <vt:i4>5</vt:i4>
      </vt:variant>
      <vt:variant>
        <vt:lpwstr/>
      </vt:variant>
      <vt:variant>
        <vt:lpwstr>_Toc303352676</vt:lpwstr>
      </vt:variant>
      <vt:variant>
        <vt:i4>1114163</vt:i4>
      </vt:variant>
      <vt:variant>
        <vt:i4>1259</vt:i4>
      </vt:variant>
      <vt:variant>
        <vt:i4>0</vt:i4>
      </vt:variant>
      <vt:variant>
        <vt:i4>5</vt:i4>
      </vt:variant>
      <vt:variant>
        <vt:lpwstr/>
      </vt:variant>
      <vt:variant>
        <vt:lpwstr>_Toc303352675</vt:lpwstr>
      </vt:variant>
      <vt:variant>
        <vt:i4>1114163</vt:i4>
      </vt:variant>
      <vt:variant>
        <vt:i4>1253</vt:i4>
      </vt:variant>
      <vt:variant>
        <vt:i4>0</vt:i4>
      </vt:variant>
      <vt:variant>
        <vt:i4>5</vt:i4>
      </vt:variant>
      <vt:variant>
        <vt:lpwstr/>
      </vt:variant>
      <vt:variant>
        <vt:lpwstr>_Toc303352674</vt:lpwstr>
      </vt:variant>
      <vt:variant>
        <vt:i4>1114163</vt:i4>
      </vt:variant>
      <vt:variant>
        <vt:i4>1247</vt:i4>
      </vt:variant>
      <vt:variant>
        <vt:i4>0</vt:i4>
      </vt:variant>
      <vt:variant>
        <vt:i4>5</vt:i4>
      </vt:variant>
      <vt:variant>
        <vt:lpwstr/>
      </vt:variant>
      <vt:variant>
        <vt:lpwstr>_Toc303352673</vt:lpwstr>
      </vt:variant>
      <vt:variant>
        <vt:i4>1114163</vt:i4>
      </vt:variant>
      <vt:variant>
        <vt:i4>1241</vt:i4>
      </vt:variant>
      <vt:variant>
        <vt:i4>0</vt:i4>
      </vt:variant>
      <vt:variant>
        <vt:i4>5</vt:i4>
      </vt:variant>
      <vt:variant>
        <vt:lpwstr/>
      </vt:variant>
      <vt:variant>
        <vt:lpwstr>_Toc303352672</vt:lpwstr>
      </vt:variant>
      <vt:variant>
        <vt:i4>1114163</vt:i4>
      </vt:variant>
      <vt:variant>
        <vt:i4>1235</vt:i4>
      </vt:variant>
      <vt:variant>
        <vt:i4>0</vt:i4>
      </vt:variant>
      <vt:variant>
        <vt:i4>5</vt:i4>
      </vt:variant>
      <vt:variant>
        <vt:lpwstr/>
      </vt:variant>
      <vt:variant>
        <vt:lpwstr>_Toc303352671</vt:lpwstr>
      </vt:variant>
      <vt:variant>
        <vt:i4>1114163</vt:i4>
      </vt:variant>
      <vt:variant>
        <vt:i4>1229</vt:i4>
      </vt:variant>
      <vt:variant>
        <vt:i4>0</vt:i4>
      </vt:variant>
      <vt:variant>
        <vt:i4>5</vt:i4>
      </vt:variant>
      <vt:variant>
        <vt:lpwstr/>
      </vt:variant>
      <vt:variant>
        <vt:lpwstr>_Toc303352670</vt:lpwstr>
      </vt:variant>
      <vt:variant>
        <vt:i4>1048627</vt:i4>
      </vt:variant>
      <vt:variant>
        <vt:i4>1223</vt:i4>
      </vt:variant>
      <vt:variant>
        <vt:i4>0</vt:i4>
      </vt:variant>
      <vt:variant>
        <vt:i4>5</vt:i4>
      </vt:variant>
      <vt:variant>
        <vt:lpwstr/>
      </vt:variant>
      <vt:variant>
        <vt:lpwstr>_Toc303352669</vt:lpwstr>
      </vt:variant>
      <vt:variant>
        <vt:i4>1048627</vt:i4>
      </vt:variant>
      <vt:variant>
        <vt:i4>1217</vt:i4>
      </vt:variant>
      <vt:variant>
        <vt:i4>0</vt:i4>
      </vt:variant>
      <vt:variant>
        <vt:i4>5</vt:i4>
      </vt:variant>
      <vt:variant>
        <vt:lpwstr/>
      </vt:variant>
      <vt:variant>
        <vt:lpwstr>_Toc303352668</vt:lpwstr>
      </vt:variant>
      <vt:variant>
        <vt:i4>1048627</vt:i4>
      </vt:variant>
      <vt:variant>
        <vt:i4>1211</vt:i4>
      </vt:variant>
      <vt:variant>
        <vt:i4>0</vt:i4>
      </vt:variant>
      <vt:variant>
        <vt:i4>5</vt:i4>
      </vt:variant>
      <vt:variant>
        <vt:lpwstr/>
      </vt:variant>
      <vt:variant>
        <vt:lpwstr>_Toc303352667</vt:lpwstr>
      </vt:variant>
      <vt:variant>
        <vt:i4>1048627</vt:i4>
      </vt:variant>
      <vt:variant>
        <vt:i4>1205</vt:i4>
      </vt:variant>
      <vt:variant>
        <vt:i4>0</vt:i4>
      </vt:variant>
      <vt:variant>
        <vt:i4>5</vt:i4>
      </vt:variant>
      <vt:variant>
        <vt:lpwstr/>
      </vt:variant>
      <vt:variant>
        <vt:lpwstr>_Toc303352666</vt:lpwstr>
      </vt:variant>
      <vt:variant>
        <vt:i4>1048627</vt:i4>
      </vt:variant>
      <vt:variant>
        <vt:i4>1199</vt:i4>
      </vt:variant>
      <vt:variant>
        <vt:i4>0</vt:i4>
      </vt:variant>
      <vt:variant>
        <vt:i4>5</vt:i4>
      </vt:variant>
      <vt:variant>
        <vt:lpwstr/>
      </vt:variant>
      <vt:variant>
        <vt:lpwstr>_Toc303352665</vt:lpwstr>
      </vt:variant>
      <vt:variant>
        <vt:i4>1048627</vt:i4>
      </vt:variant>
      <vt:variant>
        <vt:i4>1193</vt:i4>
      </vt:variant>
      <vt:variant>
        <vt:i4>0</vt:i4>
      </vt:variant>
      <vt:variant>
        <vt:i4>5</vt:i4>
      </vt:variant>
      <vt:variant>
        <vt:lpwstr/>
      </vt:variant>
      <vt:variant>
        <vt:lpwstr>_Toc303352664</vt:lpwstr>
      </vt:variant>
      <vt:variant>
        <vt:i4>1048627</vt:i4>
      </vt:variant>
      <vt:variant>
        <vt:i4>1187</vt:i4>
      </vt:variant>
      <vt:variant>
        <vt:i4>0</vt:i4>
      </vt:variant>
      <vt:variant>
        <vt:i4>5</vt:i4>
      </vt:variant>
      <vt:variant>
        <vt:lpwstr/>
      </vt:variant>
      <vt:variant>
        <vt:lpwstr>_Toc303352663</vt:lpwstr>
      </vt:variant>
      <vt:variant>
        <vt:i4>1048627</vt:i4>
      </vt:variant>
      <vt:variant>
        <vt:i4>1181</vt:i4>
      </vt:variant>
      <vt:variant>
        <vt:i4>0</vt:i4>
      </vt:variant>
      <vt:variant>
        <vt:i4>5</vt:i4>
      </vt:variant>
      <vt:variant>
        <vt:lpwstr/>
      </vt:variant>
      <vt:variant>
        <vt:lpwstr>_Toc303352662</vt:lpwstr>
      </vt:variant>
      <vt:variant>
        <vt:i4>1048627</vt:i4>
      </vt:variant>
      <vt:variant>
        <vt:i4>1175</vt:i4>
      </vt:variant>
      <vt:variant>
        <vt:i4>0</vt:i4>
      </vt:variant>
      <vt:variant>
        <vt:i4>5</vt:i4>
      </vt:variant>
      <vt:variant>
        <vt:lpwstr/>
      </vt:variant>
      <vt:variant>
        <vt:lpwstr>_Toc303352661</vt:lpwstr>
      </vt:variant>
      <vt:variant>
        <vt:i4>1048627</vt:i4>
      </vt:variant>
      <vt:variant>
        <vt:i4>1169</vt:i4>
      </vt:variant>
      <vt:variant>
        <vt:i4>0</vt:i4>
      </vt:variant>
      <vt:variant>
        <vt:i4>5</vt:i4>
      </vt:variant>
      <vt:variant>
        <vt:lpwstr/>
      </vt:variant>
      <vt:variant>
        <vt:lpwstr>_Toc303352660</vt:lpwstr>
      </vt:variant>
      <vt:variant>
        <vt:i4>1245235</vt:i4>
      </vt:variant>
      <vt:variant>
        <vt:i4>1163</vt:i4>
      </vt:variant>
      <vt:variant>
        <vt:i4>0</vt:i4>
      </vt:variant>
      <vt:variant>
        <vt:i4>5</vt:i4>
      </vt:variant>
      <vt:variant>
        <vt:lpwstr/>
      </vt:variant>
      <vt:variant>
        <vt:lpwstr>_Toc303352659</vt:lpwstr>
      </vt:variant>
      <vt:variant>
        <vt:i4>1245235</vt:i4>
      </vt:variant>
      <vt:variant>
        <vt:i4>1157</vt:i4>
      </vt:variant>
      <vt:variant>
        <vt:i4>0</vt:i4>
      </vt:variant>
      <vt:variant>
        <vt:i4>5</vt:i4>
      </vt:variant>
      <vt:variant>
        <vt:lpwstr/>
      </vt:variant>
      <vt:variant>
        <vt:lpwstr>_Toc303352658</vt:lpwstr>
      </vt:variant>
      <vt:variant>
        <vt:i4>1245235</vt:i4>
      </vt:variant>
      <vt:variant>
        <vt:i4>1151</vt:i4>
      </vt:variant>
      <vt:variant>
        <vt:i4>0</vt:i4>
      </vt:variant>
      <vt:variant>
        <vt:i4>5</vt:i4>
      </vt:variant>
      <vt:variant>
        <vt:lpwstr/>
      </vt:variant>
      <vt:variant>
        <vt:lpwstr>_Toc303352657</vt:lpwstr>
      </vt:variant>
      <vt:variant>
        <vt:i4>1245235</vt:i4>
      </vt:variant>
      <vt:variant>
        <vt:i4>1145</vt:i4>
      </vt:variant>
      <vt:variant>
        <vt:i4>0</vt:i4>
      </vt:variant>
      <vt:variant>
        <vt:i4>5</vt:i4>
      </vt:variant>
      <vt:variant>
        <vt:lpwstr/>
      </vt:variant>
      <vt:variant>
        <vt:lpwstr>_Toc303352656</vt:lpwstr>
      </vt:variant>
      <vt:variant>
        <vt:i4>1245235</vt:i4>
      </vt:variant>
      <vt:variant>
        <vt:i4>1139</vt:i4>
      </vt:variant>
      <vt:variant>
        <vt:i4>0</vt:i4>
      </vt:variant>
      <vt:variant>
        <vt:i4>5</vt:i4>
      </vt:variant>
      <vt:variant>
        <vt:lpwstr/>
      </vt:variant>
      <vt:variant>
        <vt:lpwstr>_Toc303352655</vt:lpwstr>
      </vt:variant>
      <vt:variant>
        <vt:i4>1245235</vt:i4>
      </vt:variant>
      <vt:variant>
        <vt:i4>1133</vt:i4>
      </vt:variant>
      <vt:variant>
        <vt:i4>0</vt:i4>
      </vt:variant>
      <vt:variant>
        <vt:i4>5</vt:i4>
      </vt:variant>
      <vt:variant>
        <vt:lpwstr/>
      </vt:variant>
      <vt:variant>
        <vt:lpwstr>_Toc303352654</vt:lpwstr>
      </vt:variant>
      <vt:variant>
        <vt:i4>1245235</vt:i4>
      </vt:variant>
      <vt:variant>
        <vt:i4>1127</vt:i4>
      </vt:variant>
      <vt:variant>
        <vt:i4>0</vt:i4>
      </vt:variant>
      <vt:variant>
        <vt:i4>5</vt:i4>
      </vt:variant>
      <vt:variant>
        <vt:lpwstr/>
      </vt:variant>
      <vt:variant>
        <vt:lpwstr>_Toc303352653</vt:lpwstr>
      </vt:variant>
      <vt:variant>
        <vt:i4>1245235</vt:i4>
      </vt:variant>
      <vt:variant>
        <vt:i4>1121</vt:i4>
      </vt:variant>
      <vt:variant>
        <vt:i4>0</vt:i4>
      </vt:variant>
      <vt:variant>
        <vt:i4>5</vt:i4>
      </vt:variant>
      <vt:variant>
        <vt:lpwstr/>
      </vt:variant>
      <vt:variant>
        <vt:lpwstr>_Toc303352652</vt:lpwstr>
      </vt:variant>
      <vt:variant>
        <vt:i4>1245235</vt:i4>
      </vt:variant>
      <vt:variant>
        <vt:i4>1115</vt:i4>
      </vt:variant>
      <vt:variant>
        <vt:i4>0</vt:i4>
      </vt:variant>
      <vt:variant>
        <vt:i4>5</vt:i4>
      </vt:variant>
      <vt:variant>
        <vt:lpwstr/>
      </vt:variant>
      <vt:variant>
        <vt:lpwstr>_Toc303352651</vt:lpwstr>
      </vt:variant>
      <vt:variant>
        <vt:i4>1245235</vt:i4>
      </vt:variant>
      <vt:variant>
        <vt:i4>1109</vt:i4>
      </vt:variant>
      <vt:variant>
        <vt:i4>0</vt:i4>
      </vt:variant>
      <vt:variant>
        <vt:i4>5</vt:i4>
      </vt:variant>
      <vt:variant>
        <vt:lpwstr/>
      </vt:variant>
      <vt:variant>
        <vt:lpwstr>_Toc303352650</vt:lpwstr>
      </vt:variant>
      <vt:variant>
        <vt:i4>1179699</vt:i4>
      </vt:variant>
      <vt:variant>
        <vt:i4>1103</vt:i4>
      </vt:variant>
      <vt:variant>
        <vt:i4>0</vt:i4>
      </vt:variant>
      <vt:variant>
        <vt:i4>5</vt:i4>
      </vt:variant>
      <vt:variant>
        <vt:lpwstr/>
      </vt:variant>
      <vt:variant>
        <vt:lpwstr>_Toc303352649</vt:lpwstr>
      </vt:variant>
      <vt:variant>
        <vt:i4>1179699</vt:i4>
      </vt:variant>
      <vt:variant>
        <vt:i4>1097</vt:i4>
      </vt:variant>
      <vt:variant>
        <vt:i4>0</vt:i4>
      </vt:variant>
      <vt:variant>
        <vt:i4>5</vt:i4>
      </vt:variant>
      <vt:variant>
        <vt:lpwstr/>
      </vt:variant>
      <vt:variant>
        <vt:lpwstr>_Toc303352648</vt:lpwstr>
      </vt:variant>
      <vt:variant>
        <vt:i4>1179699</vt:i4>
      </vt:variant>
      <vt:variant>
        <vt:i4>1091</vt:i4>
      </vt:variant>
      <vt:variant>
        <vt:i4>0</vt:i4>
      </vt:variant>
      <vt:variant>
        <vt:i4>5</vt:i4>
      </vt:variant>
      <vt:variant>
        <vt:lpwstr/>
      </vt:variant>
      <vt:variant>
        <vt:lpwstr>_Toc303352647</vt:lpwstr>
      </vt:variant>
      <vt:variant>
        <vt:i4>1179699</vt:i4>
      </vt:variant>
      <vt:variant>
        <vt:i4>1085</vt:i4>
      </vt:variant>
      <vt:variant>
        <vt:i4>0</vt:i4>
      </vt:variant>
      <vt:variant>
        <vt:i4>5</vt:i4>
      </vt:variant>
      <vt:variant>
        <vt:lpwstr/>
      </vt:variant>
      <vt:variant>
        <vt:lpwstr>_Toc303352646</vt:lpwstr>
      </vt:variant>
      <vt:variant>
        <vt:i4>1179699</vt:i4>
      </vt:variant>
      <vt:variant>
        <vt:i4>1079</vt:i4>
      </vt:variant>
      <vt:variant>
        <vt:i4>0</vt:i4>
      </vt:variant>
      <vt:variant>
        <vt:i4>5</vt:i4>
      </vt:variant>
      <vt:variant>
        <vt:lpwstr/>
      </vt:variant>
      <vt:variant>
        <vt:lpwstr>_Toc303352645</vt:lpwstr>
      </vt:variant>
      <vt:variant>
        <vt:i4>1179699</vt:i4>
      </vt:variant>
      <vt:variant>
        <vt:i4>1073</vt:i4>
      </vt:variant>
      <vt:variant>
        <vt:i4>0</vt:i4>
      </vt:variant>
      <vt:variant>
        <vt:i4>5</vt:i4>
      </vt:variant>
      <vt:variant>
        <vt:lpwstr/>
      </vt:variant>
      <vt:variant>
        <vt:lpwstr>_Toc303352644</vt:lpwstr>
      </vt:variant>
      <vt:variant>
        <vt:i4>1179699</vt:i4>
      </vt:variant>
      <vt:variant>
        <vt:i4>1067</vt:i4>
      </vt:variant>
      <vt:variant>
        <vt:i4>0</vt:i4>
      </vt:variant>
      <vt:variant>
        <vt:i4>5</vt:i4>
      </vt:variant>
      <vt:variant>
        <vt:lpwstr/>
      </vt:variant>
      <vt:variant>
        <vt:lpwstr>_Toc303352643</vt:lpwstr>
      </vt:variant>
      <vt:variant>
        <vt:i4>1179699</vt:i4>
      </vt:variant>
      <vt:variant>
        <vt:i4>1061</vt:i4>
      </vt:variant>
      <vt:variant>
        <vt:i4>0</vt:i4>
      </vt:variant>
      <vt:variant>
        <vt:i4>5</vt:i4>
      </vt:variant>
      <vt:variant>
        <vt:lpwstr/>
      </vt:variant>
      <vt:variant>
        <vt:lpwstr>_Toc303352642</vt:lpwstr>
      </vt:variant>
      <vt:variant>
        <vt:i4>1179699</vt:i4>
      </vt:variant>
      <vt:variant>
        <vt:i4>1055</vt:i4>
      </vt:variant>
      <vt:variant>
        <vt:i4>0</vt:i4>
      </vt:variant>
      <vt:variant>
        <vt:i4>5</vt:i4>
      </vt:variant>
      <vt:variant>
        <vt:lpwstr/>
      </vt:variant>
      <vt:variant>
        <vt:lpwstr>_Toc303352641</vt:lpwstr>
      </vt:variant>
      <vt:variant>
        <vt:i4>1179699</vt:i4>
      </vt:variant>
      <vt:variant>
        <vt:i4>1049</vt:i4>
      </vt:variant>
      <vt:variant>
        <vt:i4>0</vt:i4>
      </vt:variant>
      <vt:variant>
        <vt:i4>5</vt:i4>
      </vt:variant>
      <vt:variant>
        <vt:lpwstr/>
      </vt:variant>
      <vt:variant>
        <vt:lpwstr>_Toc303352640</vt:lpwstr>
      </vt:variant>
      <vt:variant>
        <vt:i4>1376307</vt:i4>
      </vt:variant>
      <vt:variant>
        <vt:i4>1043</vt:i4>
      </vt:variant>
      <vt:variant>
        <vt:i4>0</vt:i4>
      </vt:variant>
      <vt:variant>
        <vt:i4>5</vt:i4>
      </vt:variant>
      <vt:variant>
        <vt:lpwstr/>
      </vt:variant>
      <vt:variant>
        <vt:lpwstr>_Toc303352639</vt:lpwstr>
      </vt:variant>
      <vt:variant>
        <vt:i4>1376307</vt:i4>
      </vt:variant>
      <vt:variant>
        <vt:i4>1037</vt:i4>
      </vt:variant>
      <vt:variant>
        <vt:i4>0</vt:i4>
      </vt:variant>
      <vt:variant>
        <vt:i4>5</vt:i4>
      </vt:variant>
      <vt:variant>
        <vt:lpwstr/>
      </vt:variant>
      <vt:variant>
        <vt:lpwstr>_Toc303352638</vt:lpwstr>
      </vt:variant>
      <vt:variant>
        <vt:i4>1376307</vt:i4>
      </vt:variant>
      <vt:variant>
        <vt:i4>1031</vt:i4>
      </vt:variant>
      <vt:variant>
        <vt:i4>0</vt:i4>
      </vt:variant>
      <vt:variant>
        <vt:i4>5</vt:i4>
      </vt:variant>
      <vt:variant>
        <vt:lpwstr/>
      </vt:variant>
      <vt:variant>
        <vt:lpwstr>_Toc303352637</vt:lpwstr>
      </vt:variant>
      <vt:variant>
        <vt:i4>1376307</vt:i4>
      </vt:variant>
      <vt:variant>
        <vt:i4>1025</vt:i4>
      </vt:variant>
      <vt:variant>
        <vt:i4>0</vt:i4>
      </vt:variant>
      <vt:variant>
        <vt:i4>5</vt:i4>
      </vt:variant>
      <vt:variant>
        <vt:lpwstr/>
      </vt:variant>
      <vt:variant>
        <vt:lpwstr>_Toc303352636</vt:lpwstr>
      </vt:variant>
      <vt:variant>
        <vt:i4>1376307</vt:i4>
      </vt:variant>
      <vt:variant>
        <vt:i4>1019</vt:i4>
      </vt:variant>
      <vt:variant>
        <vt:i4>0</vt:i4>
      </vt:variant>
      <vt:variant>
        <vt:i4>5</vt:i4>
      </vt:variant>
      <vt:variant>
        <vt:lpwstr/>
      </vt:variant>
      <vt:variant>
        <vt:lpwstr>_Toc303352635</vt:lpwstr>
      </vt:variant>
      <vt:variant>
        <vt:i4>1376307</vt:i4>
      </vt:variant>
      <vt:variant>
        <vt:i4>1013</vt:i4>
      </vt:variant>
      <vt:variant>
        <vt:i4>0</vt:i4>
      </vt:variant>
      <vt:variant>
        <vt:i4>5</vt:i4>
      </vt:variant>
      <vt:variant>
        <vt:lpwstr/>
      </vt:variant>
      <vt:variant>
        <vt:lpwstr>_Toc303352634</vt:lpwstr>
      </vt:variant>
      <vt:variant>
        <vt:i4>1376307</vt:i4>
      </vt:variant>
      <vt:variant>
        <vt:i4>1007</vt:i4>
      </vt:variant>
      <vt:variant>
        <vt:i4>0</vt:i4>
      </vt:variant>
      <vt:variant>
        <vt:i4>5</vt:i4>
      </vt:variant>
      <vt:variant>
        <vt:lpwstr/>
      </vt:variant>
      <vt:variant>
        <vt:lpwstr>_Toc303352633</vt:lpwstr>
      </vt:variant>
      <vt:variant>
        <vt:i4>1376307</vt:i4>
      </vt:variant>
      <vt:variant>
        <vt:i4>1001</vt:i4>
      </vt:variant>
      <vt:variant>
        <vt:i4>0</vt:i4>
      </vt:variant>
      <vt:variant>
        <vt:i4>5</vt:i4>
      </vt:variant>
      <vt:variant>
        <vt:lpwstr/>
      </vt:variant>
      <vt:variant>
        <vt:lpwstr>_Toc303352632</vt:lpwstr>
      </vt:variant>
      <vt:variant>
        <vt:i4>1376307</vt:i4>
      </vt:variant>
      <vt:variant>
        <vt:i4>995</vt:i4>
      </vt:variant>
      <vt:variant>
        <vt:i4>0</vt:i4>
      </vt:variant>
      <vt:variant>
        <vt:i4>5</vt:i4>
      </vt:variant>
      <vt:variant>
        <vt:lpwstr/>
      </vt:variant>
      <vt:variant>
        <vt:lpwstr>_Toc303352631</vt:lpwstr>
      </vt:variant>
      <vt:variant>
        <vt:i4>1310771</vt:i4>
      </vt:variant>
      <vt:variant>
        <vt:i4>989</vt:i4>
      </vt:variant>
      <vt:variant>
        <vt:i4>0</vt:i4>
      </vt:variant>
      <vt:variant>
        <vt:i4>5</vt:i4>
      </vt:variant>
      <vt:variant>
        <vt:lpwstr/>
      </vt:variant>
      <vt:variant>
        <vt:lpwstr>_Toc303352629</vt:lpwstr>
      </vt:variant>
      <vt:variant>
        <vt:i4>1310771</vt:i4>
      </vt:variant>
      <vt:variant>
        <vt:i4>983</vt:i4>
      </vt:variant>
      <vt:variant>
        <vt:i4>0</vt:i4>
      </vt:variant>
      <vt:variant>
        <vt:i4>5</vt:i4>
      </vt:variant>
      <vt:variant>
        <vt:lpwstr/>
      </vt:variant>
      <vt:variant>
        <vt:lpwstr>_Toc303352628</vt:lpwstr>
      </vt:variant>
      <vt:variant>
        <vt:i4>1310771</vt:i4>
      </vt:variant>
      <vt:variant>
        <vt:i4>977</vt:i4>
      </vt:variant>
      <vt:variant>
        <vt:i4>0</vt:i4>
      </vt:variant>
      <vt:variant>
        <vt:i4>5</vt:i4>
      </vt:variant>
      <vt:variant>
        <vt:lpwstr/>
      </vt:variant>
      <vt:variant>
        <vt:lpwstr>_Toc303352627</vt:lpwstr>
      </vt:variant>
      <vt:variant>
        <vt:i4>1310771</vt:i4>
      </vt:variant>
      <vt:variant>
        <vt:i4>971</vt:i4>
      </vt:variant>
      <vt:variant>
        <vt:i4>0</vt:i4>
      </vt:variant>
      <vt:variant>
        <vt:i4>5</vt:i4>
      </vt:variant>
      <vt:variant>
        <vt:lpwstr/>
      </vt:variant>
      <vt:variant>
        <vt:lpwstr>_Toc303352626</vt:lpwstr>
      </vt:variant>
      <vt:variant>
        <vt:i4>1310771</vt:i4>
      </vt:variant>
      <vt:variant>
        <vt:i4>965</vt:i4>
      </vt:variant>
      <vt:variant>
        <vt:i4>0</vt:i4>
      </vt:variant>
      <vt:variant>
        <vt:i4>5</vt:i4>
      </vt:variant>
      <vt:variant>
        <vt:lpwstr/>
      </vt:variant>
      <vt:variant>
        <vt:lpwstr>_Toc303352625</vt:lpwstr>
      </vt:variant>
      <vt:variant>
        <vt:i4>1310771</vt:i4>
      </vt:variant>
      <vt:variant>
        <vt:i4>959</vt:i4>
      </vt:variant>
      <vt:variant>
        <vt:i4>0</vt:i4>
      </vt:variant>
      <vt:variant>
        <vt:i4>5</vt:i4>
      </vt:variant>
      <vt:variant>
        <vt:lpwstr/>
      </vt:variant>
      <vt:variant>
        <vt:lpwstr>_Toc303352624</vt:lpwstr>
      </vt:variant>
      <vt:variant>
        <vt:i4>1310771</vt:i4>
      </vt:variant>
      <vt:variant>
        <vt:i4>953</vt:i4>
      </vt:variant>
      <vt:variant>
        <vt:i4>0</vt:i4>
      </vt:variant>
      <vt:variant>
        <vt:i4>5</vt:i4>
      </vt:variant>
      <vt:variant>
        <vt:lpwstr/>
      </vt:variant>
      <vt:variant>
        <vt:lpwstr>_Toc303352623</vt:lpwstr>
      </vt:variant>
      <vt:variant>
        <vt:i4>1310771</vt:i4>
      </vt:variant>
      <vt:variant>
        <vt:i4>947</vt:i4>
      </vt:variant>
      <vt:variant>
        <vt:i4>0</vt:i4>
      </vt:variant>
      <vt:variant>
        <vt:i4>5</vt:i4>
      </vt:variant>
      <vt:variant>
        <vt:lpwstr/>
      </vt:variant>
      <vt:variant>
        <vt:lpwstr>_Toc303352622</vt:lpwstr>
      </vt:variant>
      <vt:variant>
        <vt:i4>1310771</vt:i4>
      </vt:variant>
      <vt:variant>
        <vt:i4>941</vt:i4>
      </vt:variant>
      <vt:variant>
        <vt:i4>0</vt:i4>
      </vt:variant>
      <vt:variant>
        <vt:i4>5</vt:i4>
      </vt:variant>
      <vt:variant>
        <vt:lpwstr/>
      </vt:variant>
      <vt:variant>
        <vt:lpwstr>_Toc303352621</vt:lpwstr>
      </vt:variant>
      <vt:variant>
        <vt:i4>1310771</vt:i4>
      </vt:variant>
      <vt:variant>
        <vt:i4>935</vt:i4>
      </vt:variant>
      <vt:variant>
        <vt:i4>0</vt:i4>
      </vt:variant>
      <vt:variant>
        <vt:i4>5</vt:i4>
      </vt:variant>
      <vt:variant>
        <vt:lpwstr/>
      </vt:variant>
      <vt:variant>
        <vt:lpwstr>_Toc303352620</vt:lpwstr>
      </vt:variant>
      <vt:variant>
        <vt:i4>1507379</vt:i4>
      </vt:variant>
      <vt:variant>
        <vt:i4>929</vt:i4>
      </vt:variant>
      <vt:variant>
        <vt:i4>0</vt:i4>
      </vt:variant>
      <vt:variant>
        <vt:i4>5</vt:i4>
      </vt:variant>
      <vt:variant>
        <vt:lpwstr/>
      </vt:variant>
      <vt:variant>
        <vt:lpwstr>_Toc303352619</vt:lpwstr>
      </vt:variant>
      <vt:variant>
        <vt:i4>1507379</vt:i4>
      </vt:variant>
      <vt:variant>
        <vt:i4>923</vt:i4>
      </vt:variant>
      <vt:variant>
        <vt:i4>0</vt:i4>
      </vt:variant>
      <vt:variant>
        <vt:i4>5</vt:i4>
      </vt:variant>
      <vt:variant>
        <vt:lpwstr/>
      </vt:variant>
      <vt:variant>
        <vt:lpwstr>_Toc303352618</vt:lpwstr>
      </vt:variant>
      <vt:variant>
        <vt:i4>1507379</vt:i4>
      </vt:variant>
      <vt:variant>
        <vt:i4>917</vt:i4>
      </vt:variant>
      <vt:variant>
        <vt:i4>0</vt:i4>
      </vt:variant>
      <vt:variant>
        <vt:i4>5</vt:i4>
      </vt:variant>
      <vt:variant>
        <vt:lpwstr/>
      </vt:variant>
      <vt:variant>
        <vt:lpwstr>_Toc303352617</vt:lpwstr>
      </vt:variant>
      <vt:variant>
        <vt:i4>1507379</vt:i4>
      </vt:variant>
      <vt:variant>
        <vt:i4>911</vt:i4>
      </vt:variant>
      <vt:variant>
        <vt:i4>0</vt:i4>
      </vt:variant>
      <vt:variant>
        <vt:i4>5</vt:i4>
      </vt:variant>
      <vt:variant>
        <vt:lpwstr/>
      </vt:variant>
      <vt:variant>
        <vt:lpwstr>_Toc303352616</vt:lpwstr>
      </vt:variant>
      <vt:variant>
        <vt:i4>1507379</vt:i4>
      </vt:variant>
      <vt:variant>
        <vt:i4>905</vt:i4>
      </vt:variant>
      <vt:variant>
        <vt:i4>0</vt:i4>
      </vt:variant>
      <vt:variant>
        <vt:i4>5</vt:i4>
      </vt:variant>
      <vt:variant>
        <vt:lpwstr/>
      </vt:variant>
      <vt:variant>
        <vt:lpwstr>_Toc303352615</vt:lpwstr>
      </vt:variant>
      <vt:variant>
        <vt:i4>1507379</vt:i4>
      </vt:variant>
      <vt:variant>
        <vt:i4>899</vt:i4>
      </vt:variant>
      <vt:variant>
        <vt:i4>0</vt:i4>
      </vt:variant>
      <vt:variant>
        <vt:i4>5</vt:i4>
      </vt:variant>
      <vt:variant>
        <vt:lpwstr/>
      </vt:variant>
      <vt:variant>
        <vt:lpwstr>_Toc303352614</vt:lpwstr>
      </vt:variant>
      <vt:variant>
        <vt:i4>1507379</vt:i4>
      </vt:variant>
      <vt:variant>
        <vt:i4>893</vt:i4>
      </vt:variant>
      <vt:variant>
        <vt:i4>0</vt:i4>
      </vt:variant>
      <vt:variant>
        <vt:i4>5</vt:i4>
      </vt:variant>
      <vt:variant>
        <vt:lpwstr/>
      </vt:variant>
      <vt:variant>
        <vt:lpwstr>_Toc303352613</vt:lpwstr>
      </vt:variant>
      <vt:variant>
        <vt:i4>1507379</vt:i4>
      </vt:variant>
      <vt:variant>
        <vt:i4>887</vt:i4>
      </vt:variant>
      <vt:variant>
        <vt:i4>0</vt:i4>
      </vt:variant>
      <vt:variant>
        <vt:i4>5</vt:i4>
      </vt:variant>
      <vt:variant>
        <vt:lpwstr/>
      </vt:variant>
      <vt:variant>
        <vt:lpwstr>_Toc303352612</vt:lpwstr>
      </vt:variant>
      <vt:variant>
        <vt:i4>1507379</vt:i4>
      </vt:variant>
      <vt:variant>
        <vt:i4>881</vt:i4>
      </vt:variant>
      <vt:variant>
        <vt:i4>0</vt:i4>
      </vt:variant>
      <vt:variant>
        <vt:i4>5</vt:i4>
      </vt:variant>
      <vt:variant>
        <vt:lpwstr/>
      </vt:variant>
      <vt:variant>
        <vt:lpwstr>_Toc303352611</vt:lpwstr>
      </vt:variant>
      <vt:variant>
        <vt:i4>1507379</vt:i4>
      </vt:variant>
      <vt:variant>
        <vt:i4>875</vt:i4>
      </vt:variant>
      <vt:variant>
        <vt:i4>0</vt:i4>
      </vt:variant>
      <vt:variant>
        <vt:i4>5</vt:i4>
      </vt:variant>
      <vt:variant>
        <vt:lpwstr/>
      </vt:variant>
      <vt:variant>
        <vt:lpwstr>_Toc303352610</vt:lpwstr>
      </vt:variant>
      <vt:variant>
        <vt:i4>1441843</vt:i4>
      </vt:variant>
      <vt:variant>
        <vt:i4>869</vt:i4>
      </vt:variant>
      <vt:variant>
        <vt:i4>0</vt:i4>
      </vt:variant>
      <vt:variant>
        <vt:i4>5</vt:i4>
      </vt:variant>
      <vt:variant>
        <vt:lpwstr/>
      </vt:variant>
      <vt:variant>
        <vt:lpwstr>_Toc303352609</vt:lpwstr>
      </vt:variant>
      <vt:variant>
        <vt:i4>1441843</vt:i4>
      </vt:variant>
      <vt:variant>
        <vt:i4>863</vt:i4>
      </vt:variant>
      <vt:variant>
        <vt:i4>0</vt:i4>
      </vt:variant>
      <vt:variant>
        <vt:i4>5</vt:i4>
      </vt:variant>
      <vt:variant>
        <vt:lpwstr/>
      </vt:variant>
      <vt:variant>
        <vt:lpwstr>_Toc303352608</vt:lpwstr>
      </vt:variant>
      <vt:variant>
        <vt:i4>1441843</vt:i4>
      </vt:variant>
      <vt:variant>
        <vt:i4>857</vt:i4>
      </vt:variant>
      <vt:variant>
        <vt:i4>0</vt:i4>
      </vt:variant>
      <vt:variant>
        <vt:i4>5</vt:i4>
      </vt:variant>
      <vt:variant>
        <vt:lpwstr/>
      </vt:variant>
      <vt:variant>
        <vt:lpwstr>_Toc303352607</vt:lpwstr>
      </vt:variant>
      <vt:variant>
        <vt:i4>1441843</vt:i4>
      </vt:variant>
      <vt:variant>
        <vt:i4>851</vt:i4>
      </vt:variant>
      <vt:variant>
        <vt:i4>0</vt:i4>
      </vt:variant>
      <vt:variant>
        <vt:i4>5</vt:i4>
      </vt:variant>
      <vt:variant>
        <vt:lpwstr/>
      </vt:variant>
      <vt:variant>
        <vt:lpwstr>_Toc303352606</vt:lpwstr>
      </vt:variant>
      <vt:variant>
        <vt:i4>1441843</vt:i4>
      </vt:variant>
      <vt:variant>
        <vt:i4>845</vt:i4>
      </vt:variant>
      <vt:variant>
        <vt:i4>0</vt:i4>
      </vt:variant>
      <vt:variant>
        <vt:i4>5</vt:i4>
      </vt:variant>
      <vt:variant>
        <vt:lpwstr/>
      </vt:variant>
      <vt:variant>
        <vt:lpwstr>_Toc303352605</vt:lpwstr>
      </vt:variant>
      <vt:variant>
        <vt:i4>1441843</vt:i4>
      </vt:variant>
      <vt:variant>
        <vt:i4>839</vt:i4>
      </vt:variant>
      <vt:variant>
        <vt:i4>0</vt:i4>
      </vt:variant>
      <vt:variant>
        <vt:i4>5</vt:i4>
      </vt:variant>
      <vt:variant>
        <vt:lpwstr/>
      </vt:variant>
      <vt:variant>
        <vt:lpwstr>_Toc303352604</vt:lpwstr>
      </vt:variant>
      <vt:variant>
        <vt:i4>1441843</vt:i4>
      </vt:variant>
      <vt:variant>
        <vt:i4>833</vt:i4>
      </vt:variant>
      <vt:variant>
        <vt:i4>0</vt:i4>
      </vt:variant>
      <vt:variant>
        <vt:i4>5</vt:i4>
      </vt:variant>
      <vt:variant>
        <vt:lpwstr/>
      </vt:variant>
      <vt:variant>
        <vt:lpwstr>_Toc303352603</vt:lpwstr>
      </vt:variant>
      <vt:variant>
        <vt:i4>1441843</vt:i4>
      </vt:variant>
      <vt:variant>
        <vt:i4>827</vt:i4>
      </vt:variant>
      <vt:variant>
        <vt:i4>0</vt:i4>
      </vt:variant>
      <vt:variant>
        <vt:i4>5</vt:i4>
      </vt:variant>
      <vt:variant>
        <vt:lpwstr/>
      </vt:variant>
      <vt:variant>
        <vt:lpwstr>_Toc303352602</vt:lpwstr>
      </vt:variant>
      <vt:variant>
        <vt:i4>1441843</vt:i4>
      </vt:variant>
      <vt:variant>
        <vt:i4>821</vt:i4>
      </vt:variant>
      <vt:variant>
        <vt:i4>0</vt:i4>
      </vt:variant>
      <vt:variant>
        <vt:i4>5</vt:i4>
      </vt:variant>
      <vt:variant>
        <vt:lpwstr/>
      </vt:variant>
      <vt:variant>
        <vt:lpwstr>_Toc303352601</vt:lpwstr>
      </vt:variant>
      <vt:variant>
        <vt:i4>1441843</vt:i4>
      </vt:variant>
      <vt:variant>
        <vt:i4>815</vt:i4>
      </vt:variant>
      <vt:variant>
        <vt:i4>0</vt:i4>
      </vt:variant>
      <vt:variant>
        <vt:i4>5</vt:i4>
      </vt:variant>
      <vt:variant>
        <vt:lpwstr/>
      </vt:variant>
      <vt:variant>
        <vt:lpwstr>_Toc303352600</vt:lpwstr>
      </vt:variant>
      <vt:variant>
        <vt:i4>2031664</vt:i4>
      </vt:variant>
      <vt:variant>
        <vt:i4>809</vt:i4>
      </vt:variant>
      <vt:variant>
        <vt:i4>0</vt:i4>
      </vt:variant>
      <vt:variant>
        <vt:i4>5</vt:i4>
      </vt:variant>
      <vt:variant>
        <vt:lpwstr/>
      </vt:variant>
      <vt:variant>
        <vt:lpwstr>_Toc303352599</vt:lpwstr>
      </vt:variant>
      <vt:variant>
        <vt:i4>2031664</vt:i4>
      </vt:variant>
      <vt:variant>
        <vt:i4>803</vt:i4>
      </vt:variant>
      <vt:variant>
        <vt:i4>0</vt:i4>
      </vt:variant>
      <vt:variant>
        <vt:i4>5</vt:i4>
      </vt:variant>
      <vt:variant>
        <vt:lpwstr/>
      </vt:variant>
      <vt:variant>
        <vt:lpwstr>_Toc303352598</vt:lpwstr>
      </vt:variant>
      <vt:variant>
        <vt:i4>2031664</vt:i4>
      </vt:variant>
      <vt:variant>
        <vt:i4>797</vt:i4>
      </vt:variant>
      <vt:variant>
        <vt:i4>0</vt:i4>
      </vt:variant>
      <vt:variant>
        <vt:i4>5</vt:i4>
      </vt:variant>
      <vt:variant>
        <vt:lpwstr/>
      </vt:variant>
      <vt:variant>
        <vt:lpwstr>_Toc303352597</vt:lpwstr>
      </vt:variant>
      <vt:variant>
        <vt:i4>2031664</vt:i4>
      </vt:variant>
      <vt:variant>
        <vt:i4>791</vt:i4>
      </vt:variant>
      <vt:variant>
        <vt:i4>0</vt:i4>
      </vt:variant>
      <vt:variant>
        <vt:i4>5</vt:i4>
      </vt:variant>
      <vt:variant>
        <vt:lpwstr/>
      </vt:variant>
      <vt:variant>
        <vt:lpwstr>_Toc303352596</vt:lpwstr>
      </vt:variant>
      <vt:variant>
        <vt:i4>2031664</vt:i4>
      </vt:variant>
      <vt:variant>
        <vt:i4>785</vt:i4>
      </vt:variant>
      <vt:variant>
        <vt:i4>0</vt:i4>
      </vt:variant>
      <vt:variant>
        <vt:i4>5</vt:i4>
      </vt:variant>
      <vt:variant>
        <vt:lpwstr/>
      </vt:variant>
      <vt:variant>
        <vt:lpwstr>_Toc303352595</vt:lpwstr>
      </vt:variant>
      <vt:variant>
        <vt:i4>2031664</vt:i4>
      </vt:variant>
      <vt:variant>
        <vt:i4>779</vt:i4>
      </vt:variant>
      <vt:variant>
        <vt:i4>0</vt:i4>
      </vt:variant>
      <vt:variant>
        <vt:i4>5</vt:i4>
      </vt:variant>
      <vt:variant>
        <vt:lpwstr/>
      </vt:variant>
      <vt:variant>
        <vt:lpwstr>_Toc303352594</vt:lpwstr>
      </vt:variant>
      <vt:variant>
        <vt:i4>2031664</vt:i4>
      </vt:variant>
      <vt:variant>
        <vt:i4>773</vt:i4>
      </vt:variant>
      <vt:variant>
        <vt:i4>0</vt:i4>
      </vt:variant>
      <vt:variant>
        <vt:i4>5</vt:i4>
      </vt:variant>
      <vt:variant>
        <vt:lpwstr/>
      </vt:variant>
      <vt:variant>
        <vt:lpwstr>_Toc303352593</vt:lpwstr>
      </vt:variant>
      <vt:variant>
        <vt:i4>2031664</vt:i4>
      </vt:variant>
      <vt:variant>
        <vt:i4>767</vt:i4>
      </vt:variant>
      <vt:variant>
        <vt:i4>0</vt:i4>
      </vt:variant>
      <vt:variant>
        <vt:i4>5</vt:i4>
      </vt:variant>
      <vt:variant>
        <vt:lpwstr/>
      </vt:variant>
      <vt:variant>
        <vt:lpwstr>_Toc303352592</vt:lpwstr>
      </vt:variant>
      <vt:variant>
        <vt:i4>2031664</vt:i4>
      </vt:variant>
      <vt:variant>
        <vt:i4>761</vt:i4>
      </vt:variant>
      <vt:variant>
        <vt:i4>0</vt:i4>
      </vt:variant>
      <vt:variant>
        <vt:i4>5</vt:i4>
      </vt:variant>
      <vt:variant>
        <vt:lpwstr/>
      </vt:variant>
      <vt:variant>
        <vt:lpwstr>_Toc303352591</vt:lpwstr>
      </vt:variant>
      <vt:variant>
        <vt:i4>2031664</vt:i4>
      </vt:variant>
      <vt:variant>
        <vt:i4>755</vt:i4>
      </vt:variant>
      <vt:variant>
        <vt:i4>0</vt:i4>
      </vt:variant>
      <vt:variant>
        <vt:i4>5</vt:i4>
      </vt:variant>
      <vt:variant>
        <vt:lpwstr/>
      </vt:variant>
      <vt:variant>
        <vt:lpwstr>_Toc303352590</vt:lpwstr>
      </vt:variant>
      <vt:variant>
        <vt:i4>1966128</vt:i4>
      </vt:variant>
      <vt:variant>
        <vt:i4>749</vt:i4>
      </vt:variant>
      <vt:variant>
        <vt:i4>0</vt:i4>
      </vt:variant>
      <vt:variant>
        <vt:i4>5</vt:i4>
      </vt:variant>
      <vt:variant>
        <vt:lpwstr/>
      </vt:variant>
      <vt:variant>
        <vt:lpwstr>_Toc303352589</vt:lpwstr>
      </vt:variant>
      <vt:variant>
        <vt:i4>1966128</vt:i4>
      </vt:variant>
      <vt:variant>
        <vt:i4>743</vt:i4>
      </vt:variant>
      <vt:variant>
        <vt:i4>0</vt:i4>
      </vt:variant>
      <vt:variant>
        <vt:i4>5</vt:i4>
      </vt:variant>
      <vt:variant>
        <vt:lpwstr/>
      </vt:variant>
      <vt:variant>
        <vt:lpwstr>_Toc303352588</vt:lpwstr>
      </vt:variant>
      <vt:variant>
        <vt:i4>1966128</vt:i4>
      </vt:variant>
      <vt:variant>
        <vt:i4>737</vt:i4>
      </vt:variant>
      <vt:variant>
        <vt:i4>0</vt:i4>
      </vt:variant>
      <vt:variant>
        <vt:i4>5</vt:i4>
      </vt:variant>
      <vt:variant>
        <vt:lpwstr/>
      </vt:variant>
      <vt:variant>
        <vt:lpwstr>_Toc303352587</vt:lpwstr>
      </vt:variant>
      <vt:variant>
        <vt:i4>1966128</vt:i4>
      </vt:variant>
      <vt:variant>
        <vt:i4>731</vt:i4>
      </vt:variant>
      <vt:variant>
        <vt:i4>0</vt:i4>
      </vt:variant>
      <vt:variant>
        <vt:i4>5</vt:i4>
      </vt:variant>
      <vt:variant>
        <vt:lpwstr/>
      </vt:variant>
      <vt:variant>
        <vt:lpwstr>_Toc303352586</vt:lpwstr>
      </vt:variant>
      <vt:variant>
        <vt:i4>1966128</vt:i4>
      </vt:variant>
      <vt:variant>
        <vt:i4>725</vt:i4>
      </vt:variant>
      <vt:variant>
        <vt:i4>0</vt:i4>
      </vt:variant>
      <vt:variant>
        <vt:i4>5</vt:i4>
      </vt:variant>
      <vt:variant>
        <vt:lpwstr/>
      </vt:variant>
      <vt:variant>
        <vt:lpwstr>_Toc303352585</vt:lpwstr>
      </vt:variant>
      <vt:variant>
        <vt:i4>1966128</vt:i4>
      </vt:variant>
      <vt:variant>
        <vt:i4>719</vt:i4>
      </vt:variant>
      <vt:variant>
        <vt:i4>0</vt:i4>
      </vt:variant>
      <vt:variant>
        <vt:i4>5</vt:i4>
      </vt:variant>
      <vt:variant>
        <vt:lpwstr/>
      </vt:variant>
      <vt:variant>
        <vt:lpwstr>_Toc303352584</vt:lpwstr>
      </vt:variant>
      <vt:variant>
        <vt:i4>1966128</vt:i4>
      </vt:variant>
      <vt:variant>
        <vt:i4>713</vt:i4>
      </vt:variant>
      <vt:variant>
        <vt:i4>0</vt:i4>
      </vt:variant>
      <vt:variant>
        <vt:i4>5</vt:i4>
      </vt:variant>
      <vt:variant>
        <vt:lpwstr/>
      </vt:variant>
      <vt:variant>
        <vt:lpwstr>_Toc303352583</vt:lpwstr>
      </vt:variant>
      <vt:variant>
        <vt:i4>1966128</vt:i4>
      </vt:variant>
      <vt:variant>
        <vt:i4>707</vt:i4>
      </vt:variant>
      <vt:variant>
        <vt:i4>0</vt:i4>
      </vt:variant>
      <vt:variant>
        <vt:i4>5</vt:i4>
      </vt:variant>
      <vt:variant>
        <vt:lpwstr/>
      </vt:variant>
      <vt:variant>
        <vt:lpwstr>_Toc303352582</vt:lpwstr>
      </vt:variant>
      <vt:variant>
        <vt:i4>1966128</vt:i4>
      </vt:variant>
      <vt:variant>
        <vt:i4>701</vt:i4>
      </vt:variant>
      <vt:variant>
        <vt:i4>0</vt:i4>
      </vt:variant>
      <vt:variant>
        <vt:i4>5</vt:i4>
      </vt:variant>
      <vt:variant>
        <vt:lpwstr/>
      </vt:variant>
      <vt:variant>
        <vt:lpwstr>_Toc303352581</vt:lpwstr>
      </vt:variant>
      <vt:variant>
        <vt:i4>1966128</vt:i4>
      </vt:variant>
      <vt:variant>
        <vt:i4>695</vt:i4>
      </vt:variant>
      <vt:variant>
        <vt:i4>0</vt:i4>
      </vt:variant>
      <vt:variant>
        <vt:i4>5</vt:i4>
      </vt:variant>
      <vt:variant>
        <vt:lpwstr/>
      </vt:variant>
      <vt:variant>
        <vt:lpwstr>_Toc303352580</vt:lpwstr>
      </vt:variant>
      <vt:variant>
        <vt:i4>1114160</vt:i4>
      </vt:variant>
      <vt:variant>
        <vt:i4>689</vt:i4>
      </vt:variant>
      <vt:variant>
        <vt:i4>0</vt:i4>
      </vt:variant>
      <vt:variant>
        <vt:i4>5</vt:i4>
      </vt:variant>
      <vt:variant>
        <vt:lpwstr/>
      </vt:variant>
      <vt:variant>
        <vt:lpwstr>_Toc303352579</vt:lpwstr>
      </vt:variant>
      <vt:variant>
        <vt:i4>1114160</vt:i4>
      </vt:variant>
      <vt:variant>
        <vt:i4>683</vt:i4>
      </vt:variant>
      <vt:variant>
        <vt:i4>0</vt:i4>
      </vt:variant>
      <vt:variant>
        <vt:i4>5</vt:i4>
      </vt:variant>
      <vt:variant>
        <vt:lpwstr/>
      </vt:variant>
      <vt:variant>
        <vt:lpwstr>_Toc303352578</vt:lpwstr>
      </vt:variant>
      <vt:variant>
        <vt:i4>1114160</vt:i4>
      </vt:variant>
      <vt:variant>
        <vt:i4>677</vt:i4>
      </vt:variant>
      <vt:variant>
        <vt:i4>0</vt:i4>
      </vt:variant>
      <vt:variant>
        <vt:i4>5</vt:i4>
      </vt:variant>
      <vt:variant>
        <vt:lpwstr/>
      </vt:variant>
      <vt:variant>
        <vt:lpwstr>_Toc303352577</vt:lpwstr>
      </vt:variant>
      <vt:variant>
        <vt:i4>1114160</vt:i4>
      </vt:variant>
      <vt:variant>
        <vt:i4>671</vt:i4>
      </vt:variant>
      <vt:variant>
        <vt:i4>0</vt:i4>
      </vt:variant>
      <vt:variant>
        <vt:i4>5</vt:i4>
      </vt:variant>
      <vt:variant>
        <vt:lpwstr/>
      </vt:variant>
      <vt:variant>
        <vt:lpwstr>_Toc303352576</vt:lpwstr>
      </vt:variant>
      <vt:variant>
        <vt:i4>1114160</vt:i4>
      </vt:variant>
      <vt:variant>
        <vt:i4>665</vt:i4>
      </vt:variant>
      <vt:variant>
        <vt:i4>0</vt:i4>
      </vt:variant>
      <vt:variant>
        <vt:i4>5</vt:i4>
      </vt:variant>
      <vt:variant>
        <vt:lpwstr/>
      </vt:variant>
      <vt:variant>
        <vt:lpwstr>_Toc303352575</vt:lpwstr>
      </vt:variant>
      <vt:variant>
        <vt:i4>1114160</vt:i4>
      </vt:variant>
      <vt:variant>
        <vt:i4>659</vt:i4>
      </vt:variant>
      <vt:variant>
        <vt:i4>0</vt:i4>
      </vt:variant>
      <vt:variant>
        <vt:i4>5</vt:i4>
      </vt:variant>
      <vt:variant>
        <vt:lpwstr/>
      </vt:variant>
      <vt:variant>
        <vt:lpwstr>_Toc303352574</vt:lpwstr>
      </vt:variant>
      <vt:variant>
        <vt:i4>1114160</vt:i4>
      </vt:variant>
      <vt:variant>
        <vt:i4>653</vt:i4>
      </vt:variant>
      <vt:variant>
        <vt:i4>0</vt:i4>
      </vt:variant>
      <vt:variant>
        <vt:i4>5</vt:i4>
      </vt:variant>
      <vt:variant>
        <vt:lpwstr/>
      </vt:variant>
      <vt:variant>
        <vt:lpwstr>_Toc303352573</vt:lpwstr>
      </vt:variant>
      <vt:variant>
        <vt:i4>1114160</vt:i4>
      </vt:variant>
      <vt:variant>
        <vt:i4>647</vt:i4>
      </vt:variant>
      <vt:variant>
        <vt:i4>0</vt:i4>
      </vt:variant>
      <vt:variant>
        <vt:i4>5</vt:i4>
      </vt:variant>
      <vt:variant>
        <vt:lpwstr/>
      </vt:variant>
      <vt:variant>
        <vt:lpwstr>_Toc303352572</vt:lpwstr>
      </vt:variant>
      <vt:variant>
        <vt:i4>1114160</vt:i4>
      </vt:variant>
      <vt:variant>
        <vt:i4>641</vt:i4>
      </vt:variant>
      <vt:variant>
        <vt:i4>0</vt:i4>
      </vt:variant>
      <vt:variant>
        <vt:i4>5</vt:i4>
      </vt:variant>
      <vt:variant>
        <vt:lpwstr/>
      </vt:variant>
      <vt:variant>
        <vt:lpwstr>_Toc303352571</vt:lpwstr>
      </vt:variant>
      <vt:variant>
        <vt:i4>1114160</vt:i4>
      </vt:variant>
      <vt:variant>
        <vt:i4>635</vt:i4>
      </vt:variant>
      <vt:variant>
        <vt:i4>0</vt:i4>
      </vt:variant>
      <vt:variant>
        <vt:i4>5</vt:i4>
      </vt:variant>
      <vt:variant>
        <vt:lpwstr/>
      </vt:variant>
      <vt:variant>
        <vt:lpwstr>_Toc303352570</vt:lpwstr>
      </vt:variant>
      <vt:variant>
        <vt:i4>1048624</vt:i4>
      </vt:variant>
      <vt:variant>
        <vt:i4>629</vt:i4>
      </vt:variant>
      <vt:variant>
        <vt:i4>0</vt:i4>
      </vt:variant>
      <vt:variant>
        <vt:i4>5</vt:i4>
      </vt:variant>
      <vt:variant>
        <vt:lpwstr/>
      </vt:variant>
      <vt:variant>
        <vt:lpwstr>_Toc303352569</vt:lpwstr>
      </vt:variant>
      <vt:variant>
        <vt:i4>1048624</vt:i4>
      </vt:variant>
      <vt:variant>
        <vt:i4>620</vt:i4>
      </vt:variant>
      <vt:variant>
        <vt:i4>0</vt:i4>
      </vt:variant>
      <vt:variant>
        <vt:i4>5</vt:i4>
      </vt:variant>
      <vt:variant>
        <vt:lpwstr/>
      </vt:variant>
      <vt:variant>
        <vt:lpwstr>_Toc303352568</vt:lpwstr>
      </vt:variant>
      <vt:variant>
        <vt:i4>1048624</vt:i4>
      </vt:variant>
      <vt:variant>
        <vt:i4>614</vt:i4>
      </vt:variant>
      <vt:variant>
        <vt:i4>0</vt:i4>
      </vt:variant>
      <vt:variant>
        <vt:i4>5</vt:i4>
      </vt:variant>
      <vt:variant>
        <vt:lpwstr/>
      </vt:variant>
      <vt:variant>
        <vt:lpwstr>_Toc303352567</vt:lpwstr>
      </vt:variant>
      <vt:variant>
        <vt:i4>1048624</vt:i4>
      </vt:variant>
      <vt:variant>
        <vt:i4>608</vt:i4>
      </vt:variant>
      <vt:variant>
        <vt:i4>0</vt:i4>
      </vt:variant>
      <vt:variant>
        <vt:i4>5</vt:i4>
      </vt:variant>
      <vt:variant>
        <vt:lpwstr/>
      </vt:variant>
      <vt:variant>
        <vt:lpwstr>_Toc303352566</vt:lpwstr>
      </vt:variant>
      <vt:variant>
        <vt:i4>1048624</vt:i4>
      </vt:variant>
      <vt:variant>
        <vt:i4>602</vt:i4>
      </vt:variant>
      <vt:variant>
        <vt:i4>0</vt:i4>
      </vt:variant>
      <vt:variant>
        <vt:i4>5</vt:i4>
      </vt:variant>
      <vt:variant>
        <vt:lpwstr/>
      </vt:variant>
      <vt:variant>
        <vt:lpwstr>_Toc303352565</vt:lpwstr>
      </vt:variant>
      <vt:variant>
        <vt:i4>1048624</vt:i4>
      </vt:variant>
      <vt:variant>
        <vt:i4>596</vt:i4>
      </vt:variant>
      <vt:variant>
        <vt:i4>0</vt:i4>
      </vt:variant>
      <vt:variant>
        <vt:i4>5</vt:i4>
      </vt:variant>
      <vt:variant>
        <vt:lpwstr/>
      </vt:variant>
      <vt:variant>
        <vt:lpwstr>_Toc303352564</vt:lpwstr>
      </vt:variant>
      <vt:variant>
        <vt:i4>1048624</vt:i4>
      </vt:variant>
      <vt:variant>
        <vt:i4>590</vt:i4>
      </vt:variant>
      <vt:variant>
        <vt:i4>0</vt:i4>
      </vt:variant>
      <vt:variant>
        <vt:i4>5</vt:i4>
      </vt:variant>
      <vt:variant>
        <vt:lpwstr/>
      </vt:variant>
      <vt:variant>
        <vt:lpwstr>_Toc303352563</vt:lpwstr>
      </vt:variant>
      <vt:variant>
        <vt:i4>1048624</vt:i4>
      </vt:variant>
      <vt:variant>
        <vt:i4>584</vt:i4>
      </vt:variant>
      <vt:variant>
        <vt:i4>0</vt:i4>
      </vt:variant>
      <vt:variant>
        <vt:i4>5</vt:i4>
      </vt:variant>
      <vt:variant>
        <vt:lpwstr/>
      </vt:variant>
      <vt:variant>
        <vt:lpwstr>_Toc303352562</vt:lpwstr>
      </vt:variant>
      <vt:variant>
        <vt:i4>1048624</vt:i4>
      </vt:variant>
      <vt:variant>
        <vt:i4>578</vt:i4>
      </vt:variant>
      <vt:variant>
        <vt:i4>0</vt:i4>
      </vt:variant>
      <vt:variant>
        <vt:i4>5</vt:i4>
      </vt:variant>
      <vt:variant>
        <vt:lpwstr/>
      </vt:variant>
      <vt:variant>
        <vt:lpwstr>_Toc303352561</vt:lpwstr>
      </vt:variant>
      <vt:variant>
        <vt:i4>1048624</vt:i4>
      </vt:variant>
      <vt:variant>
        <vt:i4>572</vt:i4>
      </vt:variant>
      <vt:variant>
        <vt:i4>0</vt:i4>
      </vt:variant>
      <vt:variant>
        <vt:i4>5</vt:i4>
      </vt:variant>
      <vt:variant>
        <vt:lpwstr/>
      </vt:variant>
      <vt:variant>
        <vt:lpwstr>_Toc303352560</vt:lpwstr>
      </vt:variant>
      <vt:variant>
        <vt:i4>1245232</vt:i4>
      </vt:variant>
      <vt:variant>
        <vt:i4>566</vt:i4>
      </vt:variant>
      <vt:variant>
        <vt:i4>0</vt:i4>
      </vt:variant>
      <vt:variant>
        <vt:i4>5</vt:i4>
      </vt:variant>
      <vt:variant>
        <vt:lpwstr/>
      </vt:variant>
      <vt:variant>
        <vt:lpwstr>_Toc303352559</vt:lpwstr>
      </vt:variant>
      <vt:variant>
        <vt:i4>1245232</vt:i4>
      </vt:variant>
      <vt:variant>
        <vt:i4>560</vt:i4>
      </vt:variant>
      <vt:variant>
        <vt:i4>0</vt:i4>
      </vt:variant>
      <vt:variant>
        <vt:i4>5</vt:i4>
      </vt:variant>
      <vt:variant>
        <vt:lpwstr/>
      </vt:variant>
      <vt:variant>
        <vt:lpwstr>_Toc303352558</vt:lpwstr>
      </vt:variant>
      <vt:variant>
        <vt:i4>1245232</vt:i4>
      </vt:variant>
      <vt:variant>
        <vt:i4>554</vt:i4>
      </vt:variant>
      <vt:variant>
        <vt:i4>0</vt:i4>
      </vt:variant>
      <vt:variant>
        <vt:i4>5</vt:i4>
      </vt:variant>
      <vt:variant>
        <vt:lpwstr/>
      </vt:variant>
      <vt:variant>
        <vt:lpwstr>_Toc303352557</vt:lpwstr>
      </vt:variant>
      <vt:variant>
        <vt:i4>1245232</vt:i4>
      </vt:variant>
      <vt:variant>
        <vt:i4>548</vt:i4>
      </vt:variant>
      <vt:variant>
        <vt:i4>0</vt:i4>
      </vt:variant>
      <vt:variant>
        <vt:i4>5</vt:i4>
      </vt:variant>
      <vt:variant>
        <vt:lpwstr/>
      </vt:variant>
      <vt:variant>
        <vt:lpwstr>_Toc303352556</vt:lpwstr>
      </vt:variant>
      <vt:variant>
        <vt:i4>1245232</vt:i4>
      </vt:variant>
      <vt:variant>
        <vt:i4>542</vt:i4>
      </vt:variant>
      <vt:variant>
        <vt:i4>0</vt:i4>
      </vt:variant>
      <vt:variant>
        <vt:i4>5</vt:i4>
      </vt:variant>
      <vt:variant>
        <vt:lpwstr/>
      </vt:variant>
      <vt:variant>
        <vt:lpwstr>_Toc303352555</vt:lpwstr>
      </vt:variant>
      <vt:variant>
        <vt:i4>1245232</vt:i4>
      </vt:variant>
      <vt:variant>
        <vt:i4>536</vt:i4>
      </vt:variant>
      <vt:variant>
        <vt:i4>0</vt:i4>
      </vt:variant>
      <vt:variant>
        <vt:i4>5</vt:i4>
      </vt:variant>
      <vt:variant>
        <vt:lpwstr/>
      </vt:variant>
      <vt:variant>
        <vt:lpwstr>_Toc303352554</vt:lpwstr>
      </vt:variant>
      <vt:variant>
        <vt:i4>1245232</vt:i4>
      </vt:variant>
      <vt:variant>
        <vt:i4>530</vt:i4>
      </vt:variant>
      <vt:variant>
        <vt:i4>0</vt:i4>
      </vt:variant>
      <vt:variant>
        <vt:i4>5</vt:i4>
      </vt:variant>
      <vt:variant>
        <vt:lpwstr/>
      </vt:variant>
      <vt:variant>
        <vt:lpwstr>_Toc303352553</vt:lpwstr>
      </vt:variant>
      <vt:variant>
        <vt:i4>1245232</vt:i4>
      </vt:variant>
      <vt:variant>
        <vt:i4>524</vt:i4>
      </vt:variant>
      <vt:variant>
        <vt:i4>0</vt:i4>
      </vt:variant>
      <vt:variant>
        <vt:i4>5</vt:i4>
      </vt:variant>
      <vt:variant>
        <vt:lpwstr/>
      </vt:variant>
      <vt:variant>
        <vt:lpwstr>_Toc303352552</vt:lpwstr>
      </vt:variant>
      <vt:variant>
        <vt:i4>1245232</vt:i4>
      </vt:variant>
      <vt:variant>
        <vt:i4>518</vt:i4>
      </vt:variant>
      <vt:variant>
        <vt:i4>0</vt:i4>
      </vt:variant>
      <vt:variant>
        <vt:i4>5</vt:i4>
      </vt:variant>
      <vt:variant>
        <vt:lpwstr/>
      </vt:variant>
      <vt:variant>
        <vt:lpwstr>_Toc303352551</vt:lpwstr>
      </vt:variant>
      <vt:variant>
        <vt:i4>1245232</vt:i4>
      </vt:variant>
      <vt:variant>
        <vt:i4>512</vt:i4>
      </vt:variant>
      <vt:variant>
        <vt:i4>0</vt:i4>
      </vt:variant>
      <vt:variant>
        <vt:i4>5</vt:i4>
      </vt:variant>
      <vt:variant>
        <vt:lpwstr/>
      </vt:variant>
      <vt:variant>
        <vt:lpwstr>_Toc303352550</vt:lpwstr>
      </vt:variant>
      <vt:variant>
        <vt:i4>1179696</vt:i4>
      </vt:variant>
      <vt:variant>
        <vt:i4>506</vt:i4>
      </vt:variant>
      <vt:variant>
        <vt:i4>0</vt:i4>
      </vt:variant>
      <vt:variant>
        <vt:i4>5</vt:i4>
      </vt:variant>
      <vt:variant>
        <vt:lpwstr/>
      </vt:variant>
      <vt:variant>
        <vt:lpwstr>_Toc303352549</vt:lpwstr>
      </vt:variant>
      <vt:variant>
        <vt:i4>1179696</vt:i4>
      </vt:variant>
      <vt:variant>
        <vt:i4>500</vt:i4>
      </vt:variant>
      <vt:variant>
        <vt:i4>0</vt:i4>
      </vt:variant>
      <vt:variant>
        <vt:i4>5</vt:i4>
      </vt:variant>
      <vt:variant>
        <vt:lpwstr/>
      </vt:variant>
      <vt:variant>
        <vt:lpwstr>_Toc303352548</vt:lpwstr>
      </vt:variant>
      <vt:variant>
        <vt:i4>1179696</vt:i4>
      </vt:variant>
      <vt:variant>
        <vt:i4>494</vt:i4>
      </vt:variant>
      <vt:variant>
        <vt:i4>0</vt:i4>
      </vt:variant>
      <vt:variant>
        <vt:i4>5</vt:i4>
      </vt:variant>
      <vt:variant>
        <vt:lpwstr/>
      </vt:variant>
      <vt:variant>
        <vt:lpwstr>_Toc303352545</vt:lpwstr>
      </vt:variant>
      <vt:variant>
        <vt:i4>1179696</vt:i4>
      </vt:variant>
      <vt:variant>
        <vt:i4>488</vt:i4>
      </vt:variant>
      <vt:variant>
        <vt:i4>0</vt:i4>
      </vt:variant>
      <vt:variant>
        <vt:i4>5</vt:i4>
      </vt:variant>
      <vt:variant>
        <vt:lpwstr/>
      </vt:variant>
      <vt:variant>
        <vt:lpwstr>_Toc303352544</vt:lpwstr>
      </vt:variant>
      <vt:variant>
        <vt:i4>1179696</vt:i4>
      </vt:variant>
      <vt:variant>
        <vt:i4>482</vt:i4>
      </vt:variant>
      <vt:variant>
        <vt:i4>0</vt:i4>
      </vt:variant>
      <vt:variant>
        <vt:i4>5</vt:i4>
      </vt:variant>
      <vt:variant>
        <vt:lpwstr/>
      </vt:variant>
      <vt:variant>
        <vt:lpwstr>_Toc303352543</vt:lpwstr>
      </vt:variant>
      <vt:variant>
        <vt:i4>1179696</vt:i4>
      </vt:variant>
      <vt:variant>
        <vt:i4>476</vt:i4>
      </vt:variant>
      <vt:variant>
        <vt:i4>0</vt:i4>
      </vt:variant>
      <vt:variant>
        <vt:i4>5</vt:i4>
      </vt:variant>
      <vt:variant>
        <vt:lpwstr/>
      </vt:variant>
      <vt:variant>
        <vt:lpwstr>_Toc303352542</vt:lpwstr>
      </vt:variant>
      <vt:variant>
        <vt:i4>1179696</vt:i4>
      </vt:variant>
      <vt:variant>
        <vt:i4>470</vt:i4>
      </vt:variant>
      <vt:variant>
        <vt:i4>0</vt:i4>
      </vt:variant>
      <vt:variant>
        <vt:i4>5</vt:i4>
      </vt:variant>
      <vt:variant>
        <vt:lpwstr/>
      </vt:variant>
      <vt:variant>
        <vt:lpwstr>_Toc303352541</vt:lpwstr>
      </vt:variant>
      <vt:variant>
        <vt:i4>1179696</vt:i4>
      </vt:variant>
      <vt:variant>
        <vt:i4>464</vt:i4>
      </vt:variant>
      <vt:variant>
        <vt:i4>0</vt:i4>
      </vt:variant>
      <vt:variant>
        <vt:i4>5</vt:i4>
      </vt:variant>
      <vt:variant>
        <vt:lpwstr/>
      </vt:variant>
      <vt:variant>
        <vt:lpwstr>_Toc303352540</vt:lpwstr>
      </vt:variant>
      <vt:variant>
        <vt:i4>1376304</vt:i4>
      </vt:variant>
      <vt:variant>
        <vt:i4>458</vt:i4>
      </vt:variant>
      <vt:variant>
        <vt:i4>0</vt:i4>
      </vt:variant>
      <vt:variant>
        <vt:i4>5</vt:i4>
      </vt:variant>
      <vt:variant>
        <vt:lpwstr/>
      </vt:variant>
      <vt:variant>
        <vt:lpwstr>_Toc303352539</vt:lpwstr>
      </vt:variant>
      <vt:variant>
        <vt:i4>1376304</vt:i4>
      </vt:variant>
      <vt:variant>
        <vt:i4>452</vt:i4>
      </vt:variant>
      <vt:variant>
        <vt:i4>0</vt:i4>
      </vt:variant>
      <vt:variant>
        <vt:i4>5</vt:i4>
      </vt:variant>
      <vt:variant>
        <vt:lpwstr/>
      </vt:variant>
      <vt:variant>
        <vt:lpwstr>_Toc303352538</vt:lpwstr>
      </vt:variant>
      <vt:variant>
        <vt:i4>1376304</vt:i4>
      </vt:variant>
      <vt:variant>
        <vt:i4>446</vt:i4>
      </vt:variant>
      <vt:variant>
        <vt:i4>0</vt:i4>
      </vt:variant>
      <vt:variant>
        <vt:i4>5</vt:i4>
      </vt:variant>
      <vt:variant>
        <vt:lpwstr/>
      </vt:variant>
      <vt:variant>
        <vt:lpwstr>_Toc303352537</vt:lpwstr>
      </vt:variant>
      <vt:variant>
        <vt:i4>1376304</vt:i4>
      </vt:variant>
      <vt:variant>
        <vt:i4>440</vt:i4>
      </vt:variant>
      <vt:variant>
        <vt:i4>0</vt:i4>
      </vt:variant>
      <vt:variant>
        <vt:i4>5</vt:i4>
      </vt:variant>
      <vt:variant>
        <vt:lpwstr/>
      </vt:variant>
      <vt:variant>
        <vt:lpwstr>_Toc303352536</vt:lpwstr>
      </vt:variant>
      <vt:variant>
        <vt:i4>1376304</vt:i4>
      </vt:variant>
      <vt:variant>
        <vt:i4>434</vt:i4>
      </vt:variant>
      <vt:variant>
        <vt:i4>0</vt:i4>
      </vt:variant>
      <vt:variant>
        <vt:i4>5</vt:i4>
      </vt:variant>
      <vt:variant>
        <vt:lpwstr/>
      </vt:variant>
      <vt:variant>
        <vt:lpwstr>_Toc303352535</vt:lpwstr>
      </vt:variant>
      <vt:variant>
        <vt:i4>1376304</vt:i4>
      </vt:variant>
      <vt:variant>
        <vt:i4>428</vt:i4>
      </vt:variant>
      <vt:variant>
        <vt:i4>0</vt:i4>
      </vt:variant>
      <vt:variant>
        <vt:i4>5</vt:i4>
      </vt:variant>
      <vt:variant>
        <vt:lpwstr/>
      </vt:variant>
      <vt:variant>
        <vt:lpwstr>_Toc303352534</vt:lpwstr>
      </vt:variant>
      <vt:variant>
        <vt:i4>1376304</vt:i4>
      </vt:variant>
      <vt:variant>
        <vt:i4>422</vt:i4>
      </vt:variant>
      <vt:variant>
        <vt:i4>0</vt:i4>
      </vt:variant>
      <vt:variant>
        <vt:i4>5</vt:i4>
      </vt:variant>
      <vt:variant>
        <vt:lpwstr/>
      </vt:variant>
      <vt:variant>
        <vt:lpwstr>_Toc303352533</vt:lpwstr>
      </vt:variant>
      <vt:variant>
        <vt:i4>1376304</vt:i4>
      </vt:variant>
      <vt:variant>
        <vt:i4>416</vt:i4>
      </vt:variant>
      <vt:variant>
        <vt:i4>0</vt:i4>
      </vt:variant>
      <vt:variant>
        <vt:i4>5</vt:i4>
      </vt:variant>
      <vt:variant>
        <vt:lpwstr/>
      </vt:variant>
      <vt:variant>
        <vt:lpwstr>_Toc303352532</vt:lpwstr>
      </vt:variant>
      <vt:variant>
        <vt:i4>1376304</vt:i4>
      </vt:variant>
      <vt:variant>
        <vt:i4>410</vt:i4>
      </vt:variant>
      <vt:variant>
        <vt:i4>0</vt:i4>
      </vt:variant>
      <vt:variant>
        <vt:i4>5</vt:i4>
      </vt:variant>
      <vt:variant>
        <vt:lpwstr/>
      </vt:variant>
      <vt:variant>
        <vt:lpwstr>_Toc303352531</vt:lpwstr>
      </vt:variant>
      <vt:variant>
        <vt:i4>1376304</vt:i4>
      </vt:variant>
      <vt:variant>
        <vt:i4>404</vt:i4>
      </vt:variant>
      <vt:variant>
        <vt:i4>0</vt:i4>
      </vt:variant>
      <vt:variant>
        <vt:i4>5</vt:i4>
      </vt:variant>
      <vt:variant>
        <vt:lpwstr/>
      </vt:variant>
      <vt:variant>
        <vt:lpwstr>_Toc303352530</vt:lpwstr>
      </vt:variant>
      <vt:variant>
        <vt:i4>1310768</vt:i4>
      </vt:variant>
      <vt:variant>
        <vt:i4>398</vt:i4>
      </vt:variant>
      <vt:variant>
        <vt:i4>0</vt:i4>
      </vt:variant>
      <vt:variant>
        <vt:i4>5</vt:i4>
      </vt:variant>
      <vt:variant>
        <vt:lpwstr/>
      </vt:variant>
      <vt:variant>
        <vt:lpwstr>_Toc303352529</vt:lpwstr>
      </vt:variant>
      <vt:variant>
        <vt:i4>1310768</vt:i4>
      </vt:variant>
      <vt:variant>
        <vt:i4>392</vt:i4>
      </vt:variant>
      <vt:variant>
        <vt:i4>0</vt:i4>
      </vt:variant>
      <vt:variant>
        <vt:i4>5</vt:i4>
      </vt:variant>
      <vt:variant>
        <vt:lpwstr/>
      </vt:variant>
      <vt:variant>
        <vt:lpwstr>_Toc303352528</vt:lpwstr>
      </vt:variant>
      <vt:variant>
        <vt:i4>1310768</vt:i4>
      </vt:variant>
      <vt:variant>
        <vt:i4>386</vt:i4>
      </vt:variant>
      <vt:variant>
        <vt:i4>0</vt:i4>
      </vt:variant>
      <vt:variant>
        <vt:i4>5</vt:i4>
      </vt:variant>
      <vt:variant>
        <vt:lpwstr/>
      </vt:variant>
      <vt:variant>
        <vt:lpwstr>_Toc303352526</vt:lpwstr>
      </vt:variant>
      <vt:variant>
        <vt:i4>1310768</vt:i4>
      </vt:variant>
      <vt:variant>
        <vt:i4>380</vt:i4>
      </vt:variant>
      <vt:variant>
        <vt:i4>0</vt:i4>
      </vt:variant>
      <vt:variant>
        <vt:i4>5</vt:i4>
      </vt:variant>
      <vt:variant>
        <vt:lpwstr/>
      </vt:variant>
      <vt:variant>
        <vt:lpwstr>_Toc303352525</vt:lpwstr>
      </vt:variant>
      <vt:variant>
        <vt:i4>1310768</vt:i4>
      </vt:variant>
      <vt:variant>
        <vt:i4>374</vt:i4>
      </vt:variant>
      <vt:variant>
        <vt:i4>0</vt:i4>
      </vt:variant>
      <vt:variant>
        <vt:i4>5</vt:i4>
      </vt:variant>
      <vt:variant>
        <vt:lpwstr/>
      </vt:variant>
      <vt:variant>
        <vt:lpwstr>_Toc303352524</vt:lpwstr>
      </vt:variant>
      <vt:variant>
        <vt:i4>1310768</vt:i4>
      </vt:variant>
      <vt:variant>
        <vt:i4>368</vt:i4>
      </vt:variant>
      <vt:variant>
        <vt:i4>0</vt:i4>
      </vt:variant>
      <vt:variant>
        <vt:i4>5</vt:i4>
      </vt:variant>
      <vt:variant>
        <vt:lpwstr/>
      </vt:variant>
      <vt:variant>
        <vt:lpwstr>_Toc303352523</vt:lpwstr>
      </vt:variant>
      <vt:variant>
        <vt:i4>1310768</vt:i4>
      </vt:variant>
      <vt:variant>
        <vt:i4>362</vt:i4>
      </vt:variant>
      <vt:variant>
        <vt:i4>0</vt:i4>
      </vt:variant>
      <vt:variant>
        <vt:i4>5</vt:i4>
      </vt:variant>
      <vt:variant>
        <vt:lpwstr/>
      </vt:variant>
      <vt:variant>
        <vt:lpwstr>_Toc303352522</vt:lpwstr>
      </vt:variant>
      <vt:variant>
        <vt:i4>1310768</vt:i4>
      </vt:variant>
      <vt:variant>
        <vt:i4>356</vt:i4>
      </vt:variant>
      <vt:variant>
        <vt:i4>0</vt:i4>
      </vt:variant>
      <vt:variant>
        <vt:i4>5</vt:i4>
      </vt:variant>
      <vt:variant>
        <vt:lpwstr/>
      </vt:variant>
      <vt:variant>
        <vt:lpwstr>_Toc303352521</vt:lpwstr>
      </vt:variant>
      <vt:variant>
        <vt:i4>1507376</vt:i4>
      </vt:variant>
      <vt:variant>
        <vt:i4>350</vt:i4>
      </vt:variant>
      <vt:variant>
        <vt:i4>0</vt:i4>
      </vt:variant>
      <vt:variant>
        <vt:i4>5</vt:i4>
      </vt:variant>
      <vt:variant>
        <vt:lpwstr/>
      </vt:variant>
      <vt:variant>
        <vt:lpwstr>_Toc303352519</vt:lpwstr>
      </vt:variant>
      <vt:variant>
        <vt:i4>1507376</vt:i4>
      </vt:variant>
      <vt:variant>
        <vt:i4>344</vt:i4>
      </vt:variant>
      <vt:variant>
        <vt:i4>0</vt:i4>
      </vt:variant>
      <vt:variant>
        <vt:i4>5</vt:i4>
      </vt:variant>
      <vt:variant>
        <vt:lpwstr/>
      </vt:variant>
      <vt:variant>
        <vt:lpwstr>_Toc303352518</vt:lpwstr>
      </vt:variant>
      <vt:variant>
        <vt:i4>1507376</vt:i4>
      </vt:variant>
      <vt:variant>
        <vt:i4>338</vt:i4>
      </vt:variant>
      <vt:variant>
        <vt:i4>0</vt:i4>
      </vt:variant>
      <vt:variant>
        <vt:i4>5</vt:i4>
      </vt:variant>
      <vt:variant>
        <vt:lpwstr/>
      </vt:variant>
      <vt:variant>
        <vt:lpwstr>_Toc303352517</vt:lpwstr>
      </vt:variant>
      <vt:variant>
        <vt:i4>1507376</vt:i4>
      </vt:variant>
      <vt:variant>
        <vt:i4>332</vt:i4>
      </vt:variant>
      <vt:variant>
        <vt:i4>0</vt:i4>
      </vt:variant>
      <vt:variant>
        <vt:i4>5</vt:i4>
      </vt:variant>
      <vt:variant>
        <vt:lpwstr/>
      </vt:variant>
      <vt:variant>
        <vt:lpwstr>_Toc303352516</vt:lpwstr>
      </vt:variant>
      <vt:variant>
        <vt:i4>1507376</vt:i4>
      </vt:variant>
      <vt:variant>
        <vt:i4>326</vt:i4>
      </vt:variant>
      <vt:variant>
        <vt:i4>0</vt:i4>
      </vt:variant>
      <vt:variant>
        <vt:i4>5</vt:i4>
      </vt:variant>
      <vt:variant>
        <vt:lpwstr/>
      </vt:variant>
      <vt:variant>
        <vt:lpwstr>_Toc303352515</vt:lpwstr>
      </vt:variant>
      <vt:variant>
        <vt:i4>1507376</vt:i4>
      </vt:variant>
      <vt:variant>
        <vt:i4>320</vt:i4>
      </vt:variant>
      <vt:variant>
        <vt:i4>0</vt:i4>
      </vt:variant>
      <vt:variant>
        <vt:i4>5</vt:i4>
      </vt:variant>
      <vt:variant>
        <vt:lpwstr/>
      </vt:variant>
      <vt:variant>
        <vt:lpwstr>_Toc303352514</vt:lpwstr>
      </vt:variant>
      <vt:variant>
        <vt:i4>1507376</vt:i4>
      </vt:variant>
      <vt:variant>
        <vt:i4>314</vt:i4>
      </vt:variant>
      <vt:variant>
        <vt:i4>0</vt:i4>
      </vt:variant>
      <vt:variant>
        <vt:i4>5</vt:i4>
      </vt:variant>
      <vt:variant>
        <vt:lpwstr/>
      </vt:variant>
      <vt:variant>
        <vt:lpwstr>_Toc303352513</vt:lpwstr>
      </vt:variant>
      <vt:variant>
        <vt:i4>1507376</vt:i4>
      </vt:variant>
      <vt:variant>
        <vt:i4>308</vt:i4>
      </vt:variant>
      <vt:variant>
        <vt:i4>0</vt:i4>
      </vt:variant>
      <vt:variant>
        <vt:i4>5</vt:i4>
      </vt:variant>
      <vt:variant>
        <vt:lpwstr/>
      </vt:variant>
      <vt:variant>
        <vt:lpwstr>_Toc303352512</vt:lpwstr>
      </vt:variant>
      <vt:variant>
        <vt:i4>1507376</vt:i4>
      </vt:variant>
      <vt:variant>
        <vt:i4>302</vt:i4>
      </vt:variant>
      <vt:variant>
        <vt:i4>0</vt:i4>
      </vt:variant>
      <vt:variant>
        <vt:i4>5</vt:i4>
      </vt:variant>
      <vt:variant>
        <vt:lpwstr/>
      </vt:variant>
      <vt:variant>
        <vt:lpwstr>_Toc303352511</vt:lpwstr>
      </vt:variant>
      <vt:variant>
        <vt:i4>1507376</vt:i4>
      </vt:variant>
      <vt:variant>
        <vt:i4>296</vt:i4>
      </vt:variant>
      <vt:variant>
        <vt:i4>0</vt:i4>
      </vt:variant>
      <vt:variant>
        <vt:i4>5</vt:i4>
      </vt:variant>
      <vt:variant>
        <vt:lpwstr/>
      </vt:variant>
      <vt:variant>
        <vt:lpwstr>_Toc303352510</vt:lpwstr>
      </vt:variant>
      <vt:variant>
        <vt:i4>1441840</vt:i4>
      </vt:variant>
      <vt:variant>
        <vt:i4>290</vt:i4>
      </vt:variant>
      <vt:variant>
        <vt:i4>0</vt:i4>
      </vt:variant>
      <vt:variant>
        <vt:i4>5</vt:i4>
      </vt:variant>
      <vt:variant>
        <vt:lpwstr/>
      </vt:variant>
      <vt:variant>
        <vt:lpwstr>_Toc303352509</vt:lpwstr>
      </vt:variant>
      <vt:variant>
        <vt:i4>1441840</vt:i4>
      </vt:variant>
      <vt:variant>
        <vt:i4>284</vt:i4>
      </vt:variant>
      <vt:variant>
        <vt:i4>0</vt:i4>
      </vt:variant>
      <vt:variant>
        <vt:i4>5</vt:i4>
      </vt:variant>
      <vt:variant>
        <vt:lpwstr/>
      </vt:variant>
      <vt:variant>
        <vt:lpwstr>_Toc303352508</vt:lpwstr>
      </vt:variant>
      <vt:variant>
        <vt:i4>1441840</vt:i4>
      </vt:variant>
      <vt:variant>
        <vt:i4>278</vt:i4>
      </vt:variant>
      <vt:variant>
        <vt:i4>0</vt:i4>
      </vt:variant>
      <vt:variant>
        <vt:i4>5</vt:i4>
      </vt:variant>
      <vt:variant>
        <vt:lpwstr/>
      </vt:variant>
      <vt:variant>
        <vt:lpwstr>_Toc303352507</vt:lpwstr>
      </vt:variant>
      <vt:variant>
        <vt:i4>1441840</vt:i4>
      </vt:variant>
      <vt:variant>
        <vt:i4>272</vt:i4>
      </vt:variant>
      <vt:variant>
        <vt:i4>0</vt:i4>
      </vt:variant>
      <vt:variant>
        <vt:i4>5</vt:i4>
      </vt:variant>
      <vt:variant>
        <vt:lpwstr/>
      </vt:variant>
      <vt:variant>
        <vt:lpwstr>_Toc303352506</vt:lpwstr>
      </vt:variant>
      <vt:variant>
        <vt:i4>1441840</vt:i4>
      </vt:variant>
      <vt:variant>
        <vt:i4>266</vt:i4>
      </vt:variant>
      <vt:variant>
        <vt:i4>0</vt:i4>
      </vt:variant>
      <vt:variant>
        <vt:i4>5</vt:i4>
      </vt:variant>
      <vt:variant>
        <vt:lpwstr/>
      </vt:variant>
      <vt:variant>
        <vt:lpwstr>_Toc303352505</vt:lpwstr>
      </vt:variant>
      <vt:variant>
        <vt:i4>1441840</vt:i4>
      </vt:variant>
      <vt:variant>
        <vt:i4>260</vt:i4>
      </vt:variant>
      <vt:variant>
        <vt:i4>0</vt:i4>
      </vt:variant>
      <vt:variant>
        <vt:i4>5</vt:i4>
      </vt:variant>
      <vt:variant>
        <vt:lpwstr/>
      </vt:variant>
      <vt:variant>
        <vt:lpwstr>_Toc303352504</vt:lpwstr>
      </vt:variant>
      <vt:variant>
        <vt:i4>1441840</vt:i4>
      </vt:variant>
      <vt:variant>
        <vt:i4>254</vt:i4>
      </vt:variant>
      <vt:variant>
        <vt:i4>0</vt:i4>
      </vt:variant>
      <vt:variant>
        <vt:i4>5</vt:i4>
      </vt:variant>
      <vt:variant>
        <vt:lpwstr/>
      </vt:variant>
      <vt:variant>
        <vt:lpwstr>_Toc303352503</vt:lpwstr>
      </vt:variant>
      <vt:variant>
        <vt:i4>1441840</vt:i4>
      </vt:variant>
      <vt:variant>
        <vt:i4>248</vt:i4>
      </vt:variant>
      <vt:variant>
        <vt:i4>0</vt:i4>
      </vt:variant>
      <vt:variant>
        <vt:i4>5</vt:i4>
      </vt:variant>
      <vt:variant>
        <vt:lpwstr/>
      </vt:variant>
      <vt:variant>
        <vt:lpwstr>_Toc303352502</vt:lpwstr>
      </vt:variant>
      <vt:variant>
        <vt:i4>1441840</vt:i4>
      </vt:variant>
      <vt:variant>
        <vt:i4>242</vt:i4>
      </vt:variant>
      <vt:variant>
        <vt:i4>0</vt:i4>
      </vt:variant>
      <vt:variant>
        <vt:i4>5</vt:i4>
      </vt:variant>
      <vt:variant>
        <vt:lpwstr/>
      </vt:variant>
      <vt:variant>
        <vt:lpwstr>_Toc303352501</vt:lpwstr>
      </vt:variant>
      <vt:variant>
        <vt:i4>1441840</vt:i4>
      </vt:variant>
      <vt:variant>
        <vt:i4>236</vt:i4>
      </vt:variant>
      <vt:variant>
        <vt:i4>0</vt:i4>
      </vt:variant>
      <vt:variant>
        <vt:i4>5</vt:i4>
      </vt:variant>
      <vt:variant>
        <vt:lpwstr/>
      </vt:variant>
      <vt:variant>
        <vt:lpwstr>_Toc303352500</vt:lpwstr>
      </vt:variant>
      <vt:variant>
        <vt:i4>2031665</vt:i4>
      </vt:variant>
      <vt:variant>
        <vt:i4>230</vt:i4>
      </vt:variant>
      <vt:variant>
        <vt:i4>0</vt:i4>
      </vt:variant>
      <vt:variant>
        <vt:i4>5</vt:i4>
      </vt:variant>
      <vt:variant>
        <vt:lpwstr/>
      </vt:variant>
      <vt:variant>
        <vt:lpwstr>_Toc303352499</vt:lpwstr>
      </vt:variant>
      <vt:variant>
        <vt:i4>2031665</vt:i4>
      </vt:variant>
      <vt:variant>
        <vt:i4>224</vt:i4>
      </vt:variant>
      <vt:variant>
        <vt:i4>0</vt:i4>
      </vt:variant>
      <vt:variant>
        <vt:i4>5</vt:i4>
      </vt:variant>
      <vt:variant>
        <vt:lpwstr/>
      </vt:variant>
      <vt:variant>
        <vt:lpwstr>_Toc303352498</vt:lpwstr>
      </vt:variant>
      <vt:variant>
        <vt:i4>2031665</vt:i4>
      </vt:variant>
      <vt:variant>
        <vt:i4>218</vt:i4>
      </vt:variant>
      <vt:variant>
        <vt:i4>0</vt:i4>
      </vt:variant>
      <vt:variant>
        <vt:i4>5</vt:i4>
      </vt:variant>
      <vt:variant>
        <vt:lpwstr/>
      </vt:variant>
      <vt:variant>
        <vt:lpwstr>_Toc303352497</vt:lpwstr>
      </vt:variant>
      <vt:variant>
        <vt:i4>2031665</vt:i4>
      </vt:variant>
      <vt:variant>
        <vt:i4>212</vt:i4>
      </vt:variant>
      <vt:variant>
        <vt:i4>0</vt:i4>
      </vt:variant>
      <vt:variant>
        <vt:i4>5</vt:i4>
      </vt:variant>
      <vt:variant>
        <vt:lpwstr/>
      </vt:variant>
      <vt:variant>
        <vt:lpwstr>_Toc303352496</vt:lpwstr>
      </vt:variant>
      <vt:variant>
        <vt:i4>2031665</vt:i4>
      </vt:variant>
      <vt:variant>
        <vt:i4>206</vt:i4>
      </vt:variant>
      <vt:variant>
        <vt:i4>0</vt:i4>
      </vt:variant>
      <vt:variant>
        <vt:i4>5</vt:i4>
      </vt:variant>
      <vt:variant>
        <vt:lpwstr/>
      </vt:variant>
      <vt:variant>
        <vt:lpwstr>_Toc303352495</vt:lpwstr>
      </vt:variant>
      <vt:variant>
        <vt:i4>2031665</vt:i4>
      </vt:variant>
      <vt:variant>
        <vt:i4>200</vt:i4>
      </vt:variant>
      <vt:variant>
        <vt:i4>0</vt:i4>
      </vt:variant>
      <vt:variant>
        <vt:i4>5</vt:i4>
      </vt:variant>
      <vt:variant>
        <vt:lpwstr/>
      </vt:variant>
      <vt:variant>
        <vt:lpwstr>_Toc303352494</vt:lpwstr>
      </vt:variant>
      <vt:variant>
        <vt:i4>2031665</vt:i4>
      </vt:variant>
      <vt:variant>
        <vt:i4>194</vt:i4>
      </vt:variant>
      <vt:variant>
        <vt:i4>0</vt:i4>
      </vt:variant>
      <vt:variant>
        <vt:i4>5</vt:i4>
      </vt:variant>
      <vt:variant>
        <vt:lpwstr/>
      </vt:variant>
      <vt:variant>
        <vt:lpwstr>_Toc303352493</vt:lpwstr>
      </vt:variant>
      <vt:variant>
        <vt:i4>2031665</vt:i4>
      </vt:variant>
      <vt:variant>
        <vt:i4>188</vt:i4>
      </vt:variant>
      <vt:variant>
        <vt:i4>0</vt:i4>
      </vt:variant>
      <vt:variant>
        <vt:i4>5</vt:i4>
      </vt:variant>
      <vt:variant>
        <vt:lpwstr/>
      </vt:variant>
      <vt:variant>
        <vt:lpwstr>_Toc303352492</vt:lpwstr>
      </vt:variant>
      <vt:variant>
        <vt:i4>2031665</vt:i4>
      </vt:variant>
      <vt:variant>
        <vt:i4>182</vt:i4>
      </vt:variant>
      <vt:variant>
        <vt:i4>0</vt:i4>
      </vt:variant>
      <vt:variant>
        <vt:i4>5</vt:i4>
      </vt:variant>
      <vt:variant>
        <vt:lpwstr/>
      </vt:variant>
      <vt:variant>
        <vt:lpwstr>_Toc303352491</vt:lpwstr>
      </vt:variant>
      <vt:variant>
        <vt:i4>2031665</vt:i4>
      </vt:variant>
      <vt:variant>
        <vt:i4>176</vt:i4>
      </vt:variant>
      <vt:variant>
        <vt:i4>0</vt:i4>
      </vt:variant>
      <vt:variant>
        <vt:i4>5</vt:i4>
      </vt:variant>
      <vt:variant>
        <vt:lpwstr/>
      </vt:variant>
      <vt:variant>
        <vt:lpwstr>_Toc303352490</vt:lpwstr>
      </vt:variant>
      <vt:variant>
        <vt:i4>1966129</vt:i4>
      </vt:variant>
      <vt:variant>
        <vt:i4>170</vt:i4>
      </vt:variant>
      <vt:variant>
        <vt:i4>0</vt:i4>
      </vt:variant>
      <vt:variant>
        <vt:i4>5</vt:i4>
      </vt:variant>
      <vt:variant>
        <vt:lpwstr/>
      </vt:variant>
      <vt:variant>
        <vt:lpwstr>_Toc303352489</vt:lpwstr>
      </vt:variant>
      <vt:variant>
        <vt:i4>1966129</vt:i4>
      </vt:variant>
      <vt:variant>
        <vt:i4>164</vt:i4>
      </vt:variant>
      <vt:variant>
        <vt:i4>0</vt:i4>
      </vt:variant>
      <vt:variant>
        <vt:i4>5</vt:i4>
      </vt:variant>
      <vt:variant>
        <vt:lpwstr/>
      </vt:variant>
      <vt:variant>
        <vt:lpwstr>_Toc303352488</vt:lpwstr>
      </vt:variant>
      <vt:variant>
        <vt:i4>1966129</vt:i4>
      </vt:variant>
      <vt:variant>
        <vt:i4>158</vt:i4>
      </vt:variant>
      <vt:variant>
        <vt:i4>0</vt:i4>
      </vt:variant>
      <vt:variant>
        <vt:i4>5</vt:i4>
      </vt:variant>
      <vt:variant>
        <vt:lpwstr/>
      </vt:variant>
      <vt:variant>
        <vt:lpwstr>_Toc303352487</vt:lpwstr>
      </vt:variant>
      <vt:variant>
        <vt:i4>1966129</vt:i4>
      </vt:variant>
      <vt:variant>
        <vt:i4>152</vt:i4>
      </vt:variant>
      <vt:variant>
        <vt:i4>0</vt:i4>
      </vt:variant>
      <vt:variant>
        <vt:i4>5</vt:i4>
      </vt:variant>
      <vt:variant>
        <vt:lpwstr/>
      </vt:variant>
      <vt:variant>
        <vt:lpwstr>_Toc303352486</vt:lpwstr>
      </vt:variant>
      <vt:variant>
        <vt:i4>1966129</vt:i4>
      </vt:variant>
      <vt:variant>
        <vt:i4>146</vt:i4>
      </vt:variant>
      <vt:variant>
        <vt:i4>0</vt:i4>
      </vt:variant>
      <vt:variant>
        <vt:i4>5</vt:i4>
      </vt:variant>
      <vt:variant>
        <vt:lpwstr/>
      </vt:variant>
      <vt:variant>
        <vt:lpwstr>_Toc303352485</vt:lpwstr>
      </vt:variant>
      <vt:variant>
        <vt:i4>1966129</vt:i4>
      </vt:variant>
      <vt:variant>
        <vt:i4>140</vt:i4>
      </vt:variant>
      <vt:variant>
        <vt:i4>0</vt:i4>
      </vt:variant>
      <vt:variant>
        <vt:i4>5</vt:i4>
      </vt:variant>
      <vt:variant>
        <vt:lpwstr/>
      </vt:variant>
      <vt:variant>
        <vt:lpwstr>_Toc303352484</vt:lpwstr>
      </vt:variant>
      <vt:variant>
        <vt:i4>1966129</vt:i4>
      </vt:variant>
      <vt:variant>
        <vt:i4>134</vt:i4>
      </vt:variant>
      <vt:variant>
        <vt:i4>0</vt:i4>
      </vt:variant>
      <vt:variant>
        <vt:i4>5</vt:i4>
      </vt:variant>
      <vt:variant>
        <vt:lpwstr/>
      </vt:variant>
      <vt:variant>
        <vt:lpwstr>_Toc303352483</vt:lpwstr>
      </vt:variant>
      <vt:variant>
        <vt:i4>1966129</vt:i4>
      </vt:variant>
      <vt:variant>
        <vt:i4>128</vt:i4>
      </vt:variant>
      <vt:variant>
        <vt:i4>0</vt:i4>
      </vt:variant>
      <vt:variant>
        <vt:i4>5</vt:i4>
      </vt:variant>
      <vt:variant>
        <vt:lpwstr/>
      </vt:variant>
      <vt:variant>
        <vt:lpwstr>_Toc303352482</vt:lpwstr>
      </vt:variant>
      <vt:variant>
        <vt:i4>1114161</vt:i4>
      </vt:variant>
      <vt:variant>
        <vt:i4>122</vt:i4>
      </vt:variant>
      <vt:variant>
        <vt:i4>0</vt:i4>
      </vt:variant>
      <vt:variant>
        <vt:i4>5</vt:i4>
      </vt:variant>
      <vt:variant>
        <vt:lpwstr/>
      </vt:variant>
      <vt:variant>
        <vt:lpwstr>_Toc303352479</vt:lpwstr>
      </vt:variant>
      <vt:variant>
        <vt:i4>1114161</vt:i4>
      </vt:variant>
      <vt:variant>
        <vt:i4>116</vt:i4>
      </vt:variant>
      <vt:variant>
        <vt:i4>0</vt:i4>
      </vt:variant>
      <vt:variant>
        <vt:i4>5</vt:i4>
      </vt:variant>
      <vt:variant>
        <vt:lpwstr/>
      </vt:variant>
      <vt:variant>
        <vt:lpwstr>_Toc303352477</vt:lpwstr>
      </vt:variant>
      <vt:variant>
        <vt:i4>1114161</vt:i4>
      </vt:variant>
      <vt:variant>
        <vt:i4>110</vt:i4>
      </vt:variant>
      <vt:variant>
        <vt:i4>0</vt:i4>
      </vt:variant>
      <vt:variant>
        <vt:i4>5</vt:i4>
      </vt:variant>
      <vt:variant>
        <vt:lpwstr/>
      </vt:variant>
      <vt:variant>
        <vt:lpwstr>_Toc303352475</vt:lpwstr>
      </vt:variant>
      <vt:variant>
        <vt:i4>1114161</vt:i4>
      </vt:variant>
      <vt:variant>
        <vt:i4>104</vt:i4>
      </vt:variant>
      <vt:variant>
        <vt:i4>0</vt:i4>
      </vt:variant>
      <vt:variant>
        <vt:i4>5</vt:i4>
      </vt:variant>
      <vt:variant>
        <vt:lpwstr/>
      </vt:variant>
      <vt:variant>
        <vt:lpwstr>_Toc303352474</vt:lpwstr>
      </vt:variant>
      <vt:variant>
        <vt:i4>1114161</vt:i4>
      </vt:variant>
      <vt:variant>
        <vt:i4>98</vt:i4>
      </vt:variant>
      <vt:variant>
        <vt:i4>0</vt:i4>
      </vt:variant>
      <vt:variant>
        <vt:i4>5</vt:i4>
      </vt:variant>
      <vt:variant>
        <vt:lpwstr/>
      </vt:variant>
      <vt:variant>
        <vt:lpwstr>_Toc303352473</vt:lpwstr>
      </vt:variant>
      <vt:variant>
        <vt:i4>1114161</vt:i4>
      </vt:variant>
      <vt:variant>
        <vt:i4>92</vt:i4>
      </vt:variant>
      <vt:variant>
        <vt:i4>0</vt:i4>
      </vt:variant>
      <vt:variant>
        <vt:i4>5</vt:i4>
      </vt:variant>
      <vt:variant>
        <vt:lpwstr/>
      </vt:variant>
      <vt:variant>
        <vt:lpwstr>_Toc303352472</vt:lpwstr>
      </vt:variant>
      <vt:variant>
        <vt:i4>1114161</vt:i4>
      </vt:variant>
      <vt:variant>
        <vt:i4>86</vt:i4>
      </vt:variant>
      <vt:variant>
        <vt:i4>0</vt:i4>
      </vt:variant>
      <vt:variant>
        <vt:i4>5</vt:i4>
      </vt:variant>
      <vt:variant>
        <vt:lpwstr/>
      </vt:variant>
      <vt:variant>
        <vt:lpwstr>_Toc303352471</vt:lpwstr>
      </vt:variant>
      <vt:variant>
        <vt:i4>1114161</vt:i4>
      </vt:variant>
      <vt:variant>
        <vt:i4>80</vt:i4>
      </vt:variant>
      <vt:variant>
        <vt:i4>0</vt:i4>
      </vt:variant>
      <vt:variant>
        <vt:i4>5</vt:i4>
      </vt:variant>
      <vt:variant>
        <vt:lpwstr/>
      </vt:variant>
      <vt:variant>
        <vt:lpwstr>_Toc303352470</vt:lpwstr>
      </vt:variant>
      <vt:variant>
        <vt:i4>1048625</vt:i4>
      </vt:variant>
      <vt:variant>
        <vt:i4>74</vt:i4>
      </vt:variant>
      <vt:variant>
        <vt:i4>0</vt:i4>
      </vt:variant>
      <vt:variant>
        <vt:i4>5</vt:i4>
      </vt:variant>
      <vt:variant>
        <vt:lpwstr/>
      </vt:variant>
      <vt:variant>
        <vt:lpwstr>_Toc303352469</vt:lpwstr>
      </vt:variant>
      <vt:variant>
        <vt:i4>1048625</vt:i4>
      </vt:variant>
      <vt:variant>
        <vt:i4>68</vt:i4>
      </vt:variant>
      <vt:variant>
        <vt:i4>0</vt:i4>
      </vt:variant>
      <vt:variant>
        <vt:i4>5</vt:i4>
      </vt:variant>
      <vt:variant>
        <vt:lpwstr/>
      </vt:variant>
      <vt:variant>
        <vt:lpwstr>_Toc303352467</vt:lpwstr>
      </vt:variant>
      <vt:variant>
        <vt:i4>1048625</vt:i4>
      </vt:variant>
      <vt:variant>
        <vt:i4>62</vt:i4>
      </vt:variant>
      <vt:variant>
        <vt:i4>0</vt:i4>
      </vt:variant>
      <vt:variant>
        <vt:i4>5</vt:i4>
      </vt:variant>
      <vt:variant>
        <vt:lpwstr/>
      </vt:variant>
      <vt:variant>
        <vt:lpwstr>_Toc303352466</vt:lpwstr>
      </vt:variant>
      <vt:variant>
        <vt:i4>1048625</vt:i4>
      </vt:variant>
      <vt:variant>
        <vt:i4>56</vt:i4>
      </vt:variant>
      <vt:variant>
        <vt:i4>0</vt:i4>
      </vt:variant>
      <vt:variant>
        <vt:i4>5</vt:i4>
      </vt:variant>
      <vt:variant>
        <vt:lpwstr/>
      </vt:variant>
      <vt:variant>
        <vt:lpwstr>_Toc303352465</vt:lpwstr>
      </vt:variant>
      <vt:variant>
        <vt:i4>1048625</vt:i4>
      </vt:variant>
      <vt:variant>
        <vt:i4>50</vt:i4>
      </vt:variant>
      <vt:variant>
        <vt:i4>0</vt:i4>
      </vt:variant>
      <vt:variant>
        <vt:i4>5</vt:i4>
      </vt:variant>
      <vt:variant>
        <vt:lpwstr/>
      </vt:variant>
      <vt:variant>
        <vt:lpwstr>_Toc303352464</vt:lpwstr>
      </vt:variant>
      <vt:variant>
        <vt:i4>1048625</vt:i4>
      </vt:variant>
      <vt:variant>
        <vt:i4>44</vt:i4>
      </vt:variant>
      <vt:variant>
        <vt:i4>0</vt:i4>
      </vt:variant>
      <vt:variant>
        <vt:i4>5</vt:i4>
      </vt:variant>
      <vt:variant>
        <vt:lpwstr/>
      </vt:variant>
      <vt:variant>
        <vt:lpwstr>_Toc303352463</vt:lpwstr>
      </vt:variant>
      <vt:variant>
        <vt:i4>1048625</vt:i4>
      </vt:variant>
      <vt:variant>
        <vt:i4>38</vt:i4>
      </vt:variant>
      <vt:variant>
        <vt:i4>0</vt:i4>
      </vt:variant>
      <vt:variant>
        <vt:i4>5</vt:i4>
      </vt:variant>
      <vt:variant>
        <vt:lpwstr/>
      </vt:variant>
      <vt:variant>
        <vt:lpwstr>_Toc303352462</vt:lpwstr>
      </vt:variant>
      <vt:variant>
        <vt:i4>1048625</vt:i4>
      </vt:variant>
      <vt:variant>
        <vt:i4>32</vt:i4>
      </vt:variant>
      <vt:variant>
        <vt:i4>0</vt:i4>
      </vt:variant>
      <vt:variant>
        <vt:i4>5</vt:i4>
      </vt:variant>
      <vt:variant>
        <vt:lpwstr/>
      </vt:variant>
      <vt:variant>
        <vt:lpwstr>_Toc303352461</vt:lpwstr>
      </vt:variant>
      <vt:variant>
        <vt:i4>1048625</vt:i4>
      </vt:variant>
      <vt:variant>
        <vt:i4>26</vt:i4>
      </vt:variant>
      <vt:variant>
        <vt:i4>0</vt:i4>
      </vt:variant>
      <vt:variant>
        <vt:i4>5</vt:i4>
      </vt:variant>
      <vt:variant>
        <vt:lpwstr/>
      </vt:variant>
      <vt:variant>
        <vt:lpwstr>_Toc303352460</vt:lpwstr>
      </vt:variant>
      <vt:variant>
        <vt:i4>1245233</vt:i4>
      </vt:variant>
      <vt:variant>
        <vt:i4>20</vt:i4>
      </vt:variant>
      <vt:variant>
        <vt:i4>0</vt:i4>
      </vt:variant>
      <vt:variant>
        <vt:i4>5</vt:i4>
      </vt:variant>
      <vt:variant>
        <vt:lpwstr/>
      </vt:variant>
      <vt:variant>
        <vt:lpwstr>_Toc303352459</vt:lpwstr>
      </vt:variant>
      <vt:variant>
        <vt:i4>1245233</vt:i4>
      </vt:variant>
      <vt:variant>
        <vt:i4>14</vt:i4>
      </vt:variant>
      <vt:variant>
        <vt:i4>0</vt:i4>
      </vt:variant>
      <vt:variant>
        <vt:i4>5</vt:i4>
      </vt:variant>
      <vt:variant>
        <vt:lpwstr/>
      </vt:variant>
      <vt:variant>
        <vt:lpwstr>_Toc303352458</vt:lpwstr>
      </vt:variant>
      <vt:variant>
        <vt:i4>1245233</vt:i4>
      </vt:variant>
      <vt:variant>
        <vt:i4>8</vt:i4>
      </vt:variant>
      <vt:variant>
        <vt:i4>0</vt:i4>
      </vt:variant>
      <vt:variant>
        <vt:i4>5</vt:i4>
      </vt:variant>
      <vt:variant>
        <vt:lpwstr/>
      </vt:variant>
      <vt:variant>
        <vt:lpwstr>_Toc303352457</vt:lpwstr>
      </vt:variant>
      <vt:variant>
        <vt:i4>1245233</vt:i4>
      </vt:variant>
      <vt:variant>
        <vt:i4>2</vt:i4>
      </vt:variant>
      <vt:variant>
        <vt:i4>0</vt:i4>
      </vt:variant>
      <vt:variant>
        <vt:i4>5</vt:i4>
      </vt:variant>
      <vt:variant>
        <vt:lpwstr/>
      </vt:variant>
      <vt:variant>
        <vt:lpwstr>_Toc303352456</vt:lpwstr>
      </vt:variant>
      <vt:variant>
        <vt:i4>7864408</vt:i4>
      </vt:variant>
      <vt:variant>
        <vt:i4>183</vt:i4>
      </vt:variant>
      <vt:variant>
        <vt:i4>0</vt:i4>
      </vt:variant>
      <vt:variant>
        <vt:i4>5</vt:i4>
      </vt:variant>
      <vt:variant>
        <vt:lpwstr>http://www.designlights.org/solidstate.about.QualifiedProductsList_Publicv2.php</vt:lpwstr>
      </vt:variant>
      <vt:variant>
        <vt:lpwstr/>
      </vt:variant>
      <vt:variant>
        <vt:i4>786500</vt:i4>
      </vt:variant>
      <vt:variant>
        <vt:i4>180</vt:i4>
      </vt:variant>
      <vt:variant>
        <vt:i4>0</vt:i4>
      </vt:variant>
      <vt:variant>
        <vt:i4>5</vt:i4>
      </vt:variant>
      <vt:variant>
        <vt:lpwstr>http://www.designlights.org/solidstate.manufacturer.requirements.php</vt:lpwstr>
      </vt:variant>
      <vt:variant>
        <vt:lpwstr/>
      </vt:variant>
      <vt:variant>
        <vt:i4>4587635</vt:i4>
      </vt:variant>
      <vt:variant>
        <vt:i4>177</vt:i4>
      </vt:variant>
      <vt:variant>
        <vt:i4>0</vt:i4>
      </vt:variant>
      <vt:variant>
        <vt:i4>5</vt:i4>
      </vt:variant>
      <vt:variant>
        <vt:lpwstr>http://www.energystar.gov/index.cfm?fuseaction=ssl.display_products_res_html</vt:lpwstr>
      </vt:variant>
      <vt:variant>
        <vt:lpwstr/>
      </vt:variant>
      <vt:variant>
        <vt:i4>3670040</vt:i4>
      </vt:variant>
      <vt:variant>
        <vt:i4>174</vt:i4>
      </vt:variant>
      <vt:variant>
        <vt:i4>0</vt:i4>
      </vt:variant>
      <vt:variant>
        <vt:i4>5</vt:i4>
      </vt:variant>
      <vt:variant>
        <vt:lpwstr>http://www.energystar.gov/ia/partners/product_specs/program_reqs/SSL_prog_req_V1.1.pdf</vt:lpwstr>
      </vt:variant>
      <vt:variant>
        <vt:lpwstr/>
      </vt:variant>
      <vt:variant>
        <vt:i4>3276869</vt:i4>
      </vt:variant>
      <vt:variant>
        <vt:i4>171</vt:i4>
      </vt:variant>
      <vt:variant>
        <vt:i4>0</vt:i4>
      </vt:variant>
      <vt:variant>
        <vt:i4>5</vt:i4>
      </vt:variant>
      <vt:variant>
        <vt:lpwstr>http://www.energystar.gov/ia/partners/manuf_res/downloads/IntegralLampsFINAL.pdf</vt:lpwstr>
      </vt:variant>
      <vt:variant>
        <vt:lpwstr/>
      </vt:variant>
      <vt:variant>
        <vt:i4>3145732</vt:i4>
      </vt:variant>
      <vt:variant>
        <vt:i4>168</vt:i4>
      </vt:variant>
      <vt:variant>
        <vt:i4>0</vt:i4>
      </vt:variant>
      <vt:variant>
        <vt:i4>5</vt:i4>
      </vt:variant>
      <vt:variant>
        <vt:lpwstr>http://www.energystar.gov/index.cfm?fuseaction=find_a_product.showProductGroup&amp;pgw_code=LTG</vt:lpwstr>
      </vt:variant>
      <vt:variant>
        <vt:lpwstr/>
      </vt:variant>
      <vt:variant>
        <vt:i4>6815846</vt:i4>
      </vt:variant>
      <vt:variant>
        <vt:i4>165</vt:i4>
      </vt:variant>
      <vt:variant>
        <vt:i4>0</vt:i4>
      </vt:variant>
      <vt:variant>
        <vt:i4>5</vt:i4>
      </vt:variant>
      <vt:variant>
        <vt:lpwstr>http://energysmartonline.org/documents/EnergySmart_BPA_T&amp;Cs.pdf</vt:lpwstr>
      </vt:variant>
      <vt:variant>
        <vt:lpwstr/>
      </vt:variant>
      <vt:variant>
        <vt:i4>2031643</vt:i4>
      </vt:variant>
      <vt:variant>
        <vt:i4>162</vt:i4>
      </vt:variant>
      <vt:variant>
        <vt:i4>0</vt:i4>
      </vt:variant>
      <vt:variant>
        <vt:i4>5</vt:i4>
      </vt:variant>
      <vt:variant>
        <vt:lpwstr>http://wescorhvac.com/HPWH design details.htm</vt:lpwstr>
      </vt:variant>
      <vt:variant>
        <vt:lpwstr>Single-stage%20HPWHs</vt:lpwstr>
      </vt:variant>
      <vt:variant>
        <vt:i4>1638415</vt:i4>
      </vt:variant>
      <vt:variant>
        <vt:i4>159</vt:i4>
      </vt:variant>
      <vt:variant>
        <vt:i4>0</vt:i4>
      </vt:variant>
      <vt:variant>
        <vt:i4>5</vt:i4>
      </vt:variant>
      <vt:variant>
        <vt:lpwstr>http://www.touchstoneenergy.com/efficiency/bea/Documents/EvaporatorFanControllers.pdf</vt:lpwstr>
      </vt:variant>
      <vt:variant>
        <vt:lpwstr/>
      </vt:variant>
      <vt:variant>
        <vt:i4>4653158</vt:i4>
      </vt:variant>
      <vt:variant>
        <vt:i4>156</vt:i4>
      </vt:variant>
      <vt:variant>
        <vt:i4>0</vt:i4>
      </vt:variant>
      <vt:variant>
        <vt:i4>5</vt:i4>
      </vt:variant>
      <vt:variant>
        <vt:lpwstr>http://www.energysmartgrocer.org/pdfs/PGE/2010_2012 External Equipment SpecificationTandCs v3.pdf</vt:lpwstr>
      </vt:variant>
      <vt:variant>
        <vt:lpwstr/>
      </vt:variant>
      <vt:variant>
        <vt:i4>262270</vt:i4>
      </vt:variant>
      <vt:variant>
        <vt:i4>153</vt:i4>
      </vt:variant>
      <vt:variant>
        <vt:i4>0</vt:i4>
      </vt:variant>
      <vt:variant>
        <vt:i4>5</vt:i4>
      </vt:variant>
      <vt:variant>
        <vt:lpwstr>http://www.calmac.org/publications/ComFac_Evaluation_V1_Final_Report_02-18-2010.pdf</vt:lpwstr>
      </vt:variant>
      <vt:variant>
        <vt:lpwstr/>
      </vt:variant>
      <vt:variant>
        <vt:i4>6815846</vt:i4>
      </vt:variant>
      <vt:variant>
        <vt:i4>150</vt:i4>
      </vt:variant>
      <vt:variant>
        <vt:i4>0</vt:i4>
      </vt:variant>
      <vt:variant>
        <vt:i4>5</vt:i4>
      </vt:variant>
      <vt:variant>
        <vt:lpwstr>http://energysmartonline.org/documents/EnergySmart_BPA_T&amp;Cs.pdf</vt:lpwstr>
      </vt:variant>
      <vt:variant>
        <vt:lpwstr/>
      </vt:variant>
      <vt:variant>
        <vt:i4>6815846</vt:i4>
      </vt:variant>
      <vt:variant>
        <vt:i4>147</vt:i4>
      </vt:variant>
      <vt:variant>
        <vt:i4>0</vt:i4>
      </vt:variant>
      <vt:variant>
        <vt:i4>5</vt:i4>
      </vt:variant>
      <vt:variant>
        <vt:lpwstr>http://energysmartonline.org/documents/EnergySmart_BPA_T&amp;Cs.pdf</vt:lpwstr>
      </vt:variant>
      <vt:variant>
        <vt:lpwstr/>
      </vt:variant>
      <vt:variant>
        <vt:i4>1966094</vt:i4>
      </vt:variant>
      <vt:variant>
        <vt:i4>144</vt:i4>
      </vt:variant>
      <vt:variant>
        <vt:i4>0</vt:i4>
      </vt:variant>
      <vt:variant>
        <vt:i4>5</vt:i4>
      </vt:variant>
      <vt:variant>
        <vt:lpwstr>http://www.smud.org/en/business/rebates/Pages/express-refrigeration.aspx</vt:lpwstr>
      </vt:variant>
      <vt:variant>
        <vt:lpwstr/>
      </vt:variant>
      <vt:variant>
        <vt:i4>2752552</vt:i4>
      </vt:variant>
      <vt:variant>
        <vt:i4>141</vt:i4>
      </vt:variant>
      <vt:variant>
        <vt:i4>0</vt:i4>
      </vt:variant>
      <vt:variant>
        <vt:i4>5</vt:i4>
      </vt:variant>
      <vt:variant>
        <vt:lpwstr>http://www.deeresources.com/deer0911planning/downloads/EUL_Summary_10-1-08.xls</vt:lpwstr>
      </vt:variant>
      <vt:variant>
        <vt:lpwstr/>
      </vt:variant>
      <vt:variant>
        <vt:i4>2752569</vt:i4>
      </vt:variant>
      <vt:variant>
        <vt:i4>138</vt:i4>
      </vt:variant>
      <vt:variant>
        <vt:i4>0</vt:i4>
      </vt:variant>
      <vt:variant>
        <vt:i4>5</vt:i4>
      </vt:variant>
      <vt:variant>
        <vt:lpwstr>http://www.cpuc.ca.gov/PUC/energy/Energy+Efficiency/EM+and+V/2006-2008+Energy+Efficiency+Evaluation+Report.htm</vt:lpwstr>
      </vt:variant>
      <vt:variant>
        <vt:lpwstr/>
      </vt:variant>
      <vt:variant>
        <vt:i4>2752552</vt:i4>
      </vt:variant>
      <vt:variant>
        <vt:i4>132</vt:i4>
      </vt:variant>
      <vt:variant>
        <vt:i4>0</vt:i4>
      </vt:variant>
      <vt:variant>
        <vt:i4>5</vt:i4>
      </vt:variant>
      <vt:variant>
        <vt:lpwstr>http://www.deeresources.com/deer0911planning/downloads/EUL_Summary_10-1-08.xls</vt:lpwstr>
      </vt:variant>
      <vt:variant>
        <vt:lpwstr/>
      </vt:variant>
      <vt:variant>
        <vt:i4>3932193</vt:i4>
      </vt:variant>
      <vt:variant>
        <vt:i4>129</vt:i4>
      </vt:variant>
      <vt:variant>
        <vt:i4>0</vt:i4>
      </vt:variant>
      <vt:variant>
        <vt:i4>5</vt:i4>
      </vt:variant>
      <vt:variant>
        <vt:lpwstr>http://www.cee1.org/com/com-kit/files/IceSpecification.pdf</vt:lpwstr>
      </vt:variant>
      <vt:variant>
        <vt:lpwstr/>
      </vt:variant>
      <vt:variant>
        <vt:i4>7864416</vt:i4>
      </vt:variant>
      <vt:variant>
        <vt:i4>126</vt:i4>
      </vt:variant>
      <vt:variant>
        <vt:i4>0</vt:i4>
      </vt:variant>
      <vt:variant>
        <vt:i4>5</vt:i4>
      </vt:variant>
      <vt:variant>
        <vt:lpwstr>http://www.energystar.gov/index.cfm?c=comm_ice_machines.pr_crit_comm_ice_machines</vt:lpwstr>
      </vt:variant>
      <vt:variant>
        <vt:lpwstr/>
      </vt:variant>
      <vt:variant>
        <vt:i4>6619190</vt:i4>
      </vt:variant>
      <vt:variant>
        <vt:i4>123</vt:i4>
      </vt:variant>
      <vt:variant>
        <vt:i4>0</vt:i4>
      </vt:variant>
      <vt:variant>
        <vt:i4>5</vt:i4>
      </vt:variant>
      <vt:variant>
        <vt:lpwstr>http://www.energystar.gov/ia/business/bulk_purchasing/bpsavings_calc/Calc_Vend_MachBulk.xls</vt:lpwstr>
      </vt:variant>
      <vt:variant>
        <vt:lpwstr/>
      </vt:variant>
      <vt:variant>
        <vt:i4>1376258</vt:i4>
      </vt:variant>
      <vt:variant>
        <vt:i4>120</vt:i4>
      </vt:variant>
      <vt:variant>
        <vt:i4>0</vt:i4>
      </vt:variant>
      <vt:variant>
        <vt:i4>5</vt:i4>
      </vt:variant>
      <vt:variant>
        <vt:lpwstr>http://www.michigan.gov/documents/CIS_EO_Vending_Machine_05-0042_155715_7.pdf</vt:lpwstr>
      </vt:variant>
      <vt:variant>
        <vt:lpwstr/>
      </vt:variant>
      <vt:variant>
        <vt:i4>2228283</vt:i4>
      </vt:variant>
      <vt:variant>
        <vt:i4>117</vt:i4>
      </vt:variant>
      <vt:variant>
        <vt:i4>0</vt:i4>
      </vt:variant>
      <vt:variant>
        <vt:i4>5</vt:i4>
      </vt:variant>
      <vt:variant>
        <vt:lpwstr>http://repository.tamu.edu/bitstream/handle/1969.1/2006/ESL-TR-00-11-01.pdf;jsessionid=6E215C09FB80BC5D2593AC81E627DA97?sequence=1</vt:lpwstr>
      </vt:variant>
      <vt:variant>
        <vt:lpwstr/>
      </vt:variant>
      <vt:variant>
        <vt:i4>8257644</vt:i4>
      </vt:variant>
      <vt:variant>
        <vt:i4>114</vt:i4>
      </vt:variant>
      <vt:variant>
        <vt:i4>0</vt:i4>
      </vt:variant>
      <vt:variant>
        <vt:i4>5</vt:i4>
      </vt:variant>
      <vt:variant>
        <vt:lpwstr>http://www.nrel.gov/docs/fy03osti/34008.pdf</vt:lpwstr>
      </vt:variant>
      <vt:variant>
        <vt:lpwstr/>
      </vt:variant>
      <vt:variant>
        <vt:i4>327716</vt:i4>
      </vt:variant>
      <vt:variant>
        <vt:i4>111</vt:i4>
      </vt:variant>
      <vt:variant>
        <vt:i4>0</vt:i4>
      </vt:variant>
      <vt:variant>
        <vt:i4>5</vt:i4>
      </vt:variant>
      <vt:variant>
        <vt:lpwstr>http://www.cee1.org/ind/motrs/CEE_NEMA.pdf</vt:lpwstr>
      </vt:variant>
      <vt:variant>
        <vt:lpwstr/>
      </vt:variant>
      <vt:variant>
        <vt:i4>1114233</vt:i4>
      </vt:variant>
      <vt:variant>
        <vt:i4>90</vt:i4>
      </vt:variant>
      <vt:variant>
        <vt:i4>0</vt:i4>
      </vt:variant>
      <vt:variant>
        <vt:i4>5</vt:i4>
      </vt:variant>
      <vt:variant>
        <vt:lpwstr>../../../unzipped/%3c http:/www.energy.ca.gov/appliances/database/historical_excel_files/2009-03-01_excel_based_files/Pool_Products/Pool_Pumps.zip</vt:lpwstr>
      </vt:variant>
      <vt:variant>
        <vt:lpwstr/>
      </vt:variant>
      <vt:variant>
        <vt:i4>7864399</vt:i4>
      </vt:variant>
      <vt:variant>
        <vt:i4>87</vt:i4>
      </vt:variant>
      <vt:variant>
        <vt:i4>0</vt:i4>
      </vt:variant>
      <vt:variant>
        <vt:i4>5</vt:i4>
      </vt:variant>
      <vt:variant>
        <vt:lpwstr>../../unzipped/%3c http:/www.energy.ca.gov/appliances/database/historical_excel_files/2009-03-01_excel_based_files/Pool_Products/Pool_Pumps.zip</vt:lpwstr>
      </vt:variant>
      <vt:variant>
        <vt:lpwstr/>
      </vt:variant>
      <vt:variant>
        <vt:i4>5636197</vt:i4>
      </vt:variant>
      <vt:variant>
        <vt:i4>84</vt:i4>
      </vt:variant>
      <vt:variant>
        <vt:i4>0</vt:i4>
      </vt:variant>
      <vt:variant>
        <vt:i4>5</vt:i4>
      </vt:variant>
      <vt:variant>
        <vt:lpwstr>http://www1.eere.energy.gov/buildings/appliance_standards/residential/incandescent_lamps_standards_final_rule.html</vt:lpwstr>
      </vt:variant>
      <vt:variant>
        <vt:lpwstr/>
      </vt:variant>
      <vt:variant>
        <vt:i4>1966128</vt:i4>
      </vt:variant>
      <vt:variant>
        <vt:i4>78</vt:i4>
      </vt:variant>
      <vt:variant>
        <vt:i4>0</vt:i4>
      </vt:variant>
      <vt:variant>
        <vt:i4>5</vt:i4>
      </vt:variant>
      <vt:variant>
        <vt:lpwstr>http://www.standardsasap.org/products/incd_reflector.html</vt:lpwstr>
      </vt:variant>
      <vt:variant>
        <vt:lpwstr/>
      </vt:variant>
      <vt:variant>
        <vt:i4>6815842</vt:i4>
      </vt:variant>
      <vt:variant>
        <vt:i4>75</vt:i4>
      </vt:variant>
      <vt:variant>
        <vt:i4>0</vt:i4>
      </vt:variant>
      <vt:variant>
        <vt:i4>5</vt:i4>
      </vt:variant>
      <vt:variant>
        <vt:lpwstr>http://www1.eere.energy.gov/buildings/appliance_standards/residential/incandescent_lamps.html</vt:lpwstr>
      </vt:variant>
      <vt:variant>
        <vt:lpwstr/>
      </vt:variant>
      <vt:variant>
        <vt:i4>4325387</vt:i4>
      </vt:variant>
      <vt:variant>
        <vt:i4>72</vt:i4>
      </vt:variant>
      <vt:variant>
        <vt:i4>0</vt:i4>
      </vt:variant>
      <vt:variant>
        <vt:i4>5</vt:i4>
      </vt:variant>
      <vt:variant>
        <vt:lpwstr>http://www.lightingfacts.com/</vt:lpwstr>
      </vt:variant>
      <vt:variant>
        <vt:lpwstr/>
      </vt:variant>
      <vt:variant>
        <vt:i4>852033</vt:i4>
      </vt:variant>
      <vt:variant>
        <vt:i4>69</vt:i4>
      </vt:variant>
      <vt:variant>
        <vt:i4>0</vt:i4>
      </vt:variant>
      <vt:variant>
        <vt:i4>5</vt:i4>
      </vt:variant>
      <vt:variant>
        <vt:lpwstr>http://www.xcelenergy.com/SiteCollectionDocuments/docs/ES-Retailer-Incentive-60-day-Tech-Assumptions.pdf</vt:lpwstr>
      </vt:variant>
      <vt:variant>
        <vt:lpwstr/>
      </vt:variant>
      <vt:variant>
        <vt:i4>6029357</vt:i4>
      </vt:variant>
      <vt:variant>
        <vt:i4>66</vt:i4>
      </vt:variant>
      <vt:variant>
        <vt:i4>0</vt:i4>
      </vt:variant>
      <vt:variant>
        <vt:i4>5</vt:i4>
      </vt:variant>
      <vt:variant>
        <vt:lpwstr>http://www.energystar.gov/ia/partners/product_specs/program_reqs/tv_vcr_prog_req.pdf</vt:lpwstr>
      </vt:variant>
      <vt:variant>
        <vt:lpwstr/>
      </vt:variant>
      <vt:variant>
        <vt:i4>2424850</vt:i4>
      </vt:variant>
      <vt:variant>
        <vt:i4>63</vt:i4>
      </vt:variant>
      <vt:variant>
        <vt:i4>0</vt:i4>
      </vt:variant>
      <vt:variant>
        <vt:i4>5</vt:i4>
      </vt:variant>
      <vt:variant>
        <vt:lpwstr>http://www.energystar.gov/ia/partners/prod_development/revisions/downloads/tv_vcr/FinalV3.0_TV Program Requirements.pdf</vt:lpwstr>
      </vt:variant>
      <vt:variant>
        <vt:lpwstr/>
      </vt:variant>
      <vt:variant>
        <vt:i4>6422651</vt:i4>
      </vt:variant>
      <vt:variant>
        <vt:i4>60</vt:i4>
      </vt:variant>
      <vt:variant>
        <vt:i4>0</vt:i4>
      </vt:variant>
      <vt:variant>
        <vt:i4>5</vt:i4>
      </vt:variant>
      <vt:variant>
        <vt:lpwstr>http://www.energystar.gov/index.cfm?c=tv_vcr.pr_crit_tv_vcr</vt:lpwstr>
      </vt:variant>
      <vt:variant>
        <vt:lpwstr/>
      </vt:variant>
      <vt:variant>
        <vt:i4>6029357</vt:i4>
      </vt:variant>
      <vt:variant>
        <vt:i4>57</vt:i4>
      </vt:variant>
      <vt:variant>
        <vt:i4>0</vt:i4>
      </vt:variant>
      <vt:variant>
        <vt:i4>5</vt:i4>
      </vt:variant>
      <vt:variant>
        <vt:lpwstr>http://www.energystar.gov/ia/partners/product_specs/program_reqs/tv_vcr_prog_req.pdf</vt:lpwstr>
      </vt:variant>
      <vt:variant>
        <vt:lpwstr/>
      </vt:variant>
      <vt:variant>
        <vt:i4>1179651</vt:i4>
      </vt:variant>
      <vt:variant>
        <vt:i4>54</vt:i4>
      </vt:variant>
      <vt:variant>
        <vt:i4>0</vt:i4>
      </vt:variant>
      <vt:variant>
        <vt:i4>5</vt:i4>
      </vt:variant>
      <vt:variant>
        <vt:lpwstr>http://resnet.us/</vt:lpwstr>
      </vt:variant>
      <vt:variant>
        <vt:lpwstr/>
      </vt:variant>
      <vt:variant>
        <vt:i4>2162796</vt:i4>
      </vt:variant>
      <vt:variant>
        <vt:i4>51</vt:i4>
      </vt:variant>
      <vt:variant>
        <vt:i4>0</vt:i4>
      </vt:variant>
      <vt:variant>
        <vt:i4>5</vt:i4>
      </vt:variant>
      <vt:variant>
        <vt:lpwstr>http://www.waptac.org/si.asp?id=736</vt:lpwstr>
      </vt:variant>
      <vt:variant>
        <vt:lpwstr/>
      </vt:variant>
      <vt:variant>
        <vt:i4>7864444</vt:i4>
      </vt:variant>
      <vt:variant>
        <vt:i4>48</vt:i4>
      </vt:variant>
      <vt:variant>
        <vt:i4>0</vt:i4>
      </vt:variant>
      <vt:variant>
        <vt:i4>5</vt:i4>
      </vt:variant>
      <vt:variant>
        <vt:lpwstr>http://www.nrel.gov/docs/legosti/fy96/7332a.pdf</vt:lpwstr>
      </vt:variant>
      <vt:variant>
        <vt:lpwstr/>
      </vt:variant>
      <vt:variant>
        <vt:i4>4915285</vt:i4>
      </vt:variant>
      <vt:variant>
        <vt:i4>45</vt:i4>
      </vt:variant>
      <vt:variant>
        <vt:i4>0</vt:i4>
      </vt:variant>
      <vt:variant>
        <vt:i4>5</vt:i4>
      </vt:variant>
      <vt:variant>
        <vt:lpwstr>http://www.eia.doe.gov/emeu/recs/recs2005/hc2005_tables/detailed_tables2005.html</vt:lpwstr>
      </vt:variant>
      <vt:variant>
        <vt:lpwstr/>
      </vt:variant>
      <vt:variant>
        <vt:i4>2228322</vt:i4>
      </vt:variant>
      <vt:variant>
        <vt:i4>42</vt:i4>
      </vt:variant>
      <vt:variant>
        <vt:i4>0</vt:i4>
      </vt:variant>
      <vt:variant>
        <vt:i4>5</vt:i4>
      </vt:variant>
      <vt:variant>
        <vt:lpwstr>http://www.ma-eeac.org/docs/091023-MA-TRMdraft.pdf</vt:lpwstr>
      </vt:variant>
      <vt:variant>
        <vt:lpwstr/>
      </vt:variant>
      <vt:variant>
        <vt:i4>4522071</vt:i4>
      </vt:variant>
      <vt:variant>
        <vt:i4>39</vt:i4>
      </vt:variant>
      <vt:variant>
        <vt:i4>0</vt:i4>
      </vt:variant>
      <vt:variant>
        <vt:i4>5</vt:i4>
      </vt:variant>
      <vt:variant>
        <vt:lpwstr>http://cdo.ncdc.noaa.gov/climatenormals/clim81/PAnorm.pdf</vt:lpwstr>
      </vt:variant>
      <vt:variant>
        <vt:lpwstr/>
      </vt:variant>
      <vt:variant>
        <vt:i4>7012473</vt:i4>
      </vt:variant>
      <vt:variant>
        <vt:i4>36</vt:i4>
      </vt:variant>
      <vt:variant>
        <vt:i4>0</vt:i4>
      </vt:variant>
      <vt:variant>
        <vt:i4>5</vt:i4>
      </vt:variant>
      <vt:variant>
        <vt:lpwstr>http://www.energystar.gov/index.cfm?c=home_sealing.hm_improvement_insulation_table</vt:lpwstr>
      </vt:variant>
      <vt:variant>
        <vt:lpwstr/>
      </vt:variant>
      <vt:variant>
        <vt:i4>2752552</vt:i4>
      </vt:variant>
      <vt:variant>
        <vt:i4>33</vt:i4>
      </vt:variant>
      <vt:variant>
        <vt:i4>0</vt:i4>
      </vt:variant>
      <vt:variant>
        <vt:i4>5</vt:i4>
      </vt:variant>
      <vt:variant>
        <vt:lpwstr>http://www.deeresources.com/deer0911planning/downloads/EUL_Summary_10-1-08.xls</vt:lpwstr>
      </vt:variant>
      <vt:variant>
        <vt:lpwstr/>
      </vt:variant>
      <vt:variant>
        <vt:i4>2031643</vt:i4>
      </vt:variant>
      <vt:variant>
        <vt:i4>30</vt:i4>
      </vt:variant>
      <vt:variant>
        <vt:i4>0</vt:i4>
      </vt:variant>
      <vt:variant>
        <vt:i4>5</vt:i4>
      </vt:variant>
      <vt:variant>
        <vt:lpwstr>http://wescorhvac.com/HPWH design details.htm</vt:lpwstr>
      </vt:variant>
      <vt:variant>
        <vt:lpwstr>Single-stage%20HPWHs</vt:lpwstr>
      </vt:variant>
      <vt:variant>
        <vt:i4>2752552</vt:i4>
      </vt:variant>
      <vt:variant>
        <vt:i4>27</vt:i4>
      </vt:variant>
      <vt:variant>
        <vt:i4>0</vt:i4>
      </vt:variant>
      <vt:variant>
        <vt:i4>5</vt:i4>
      </vt:variant>
      <vt:variant>
        <vt:lpwstr>http://www.deeresources.com/deer0911planning/downloads/EUL_Summary_10-1-08.xls</vt:lpwstr>
      </vt:variant>
      <vt:variant>
        <vt:lpwstr/>
      </vt:variant>
      <vt:variant>
        <vt:i4>5963818</vt:i4>
      </vt:variant>
      <vt:variant>
        <vt:i4>24</vt:i4>
      </vt:variant>
      <vt:variant>
        <vt:i4>0</vt:i4>
      </vt:variant>
      <vt:variant>
        <vt:i4>5</vt:i4>
      </vt:variant>
      <vt:variant>
        <vt:lpwstr>http://www.eia.doe.gov/emeu/recs/recs2005/hc2005_tables/hcfloorspace/pdf/tablehc1.1.3.pdf</vt:lpwstr>
      </vt:variant>
      <vt:variant>
        <vt:lpwstr/>
      </vt:variant>
      <vt:variant>
        <vt:i4>983152</vt:i4>
      </vt:variant>
      <vt:variant>
        <vt:i4>21</vt:i4>
      </vt:variant>
      <vt:variant>
        <vt:i4>0</vt:i4>
      </vt:variant>
      <vt:variant>
        <vt:i4>5</vt:i4>
      </vt:variant>
      <vt:variant>
        <vt:lpwstr>http://www.energysavers.gov/your_home/space_heating_cooling/related.cfm/mytopic=12357</vt:lpwstr>
      </vt:variant>
      <vt:variant>
        <vt:lpwstr/>
      </vt:variant>
      <vt:variant>
        <vt:i4>65628</vt:i4>
      </vt:variant>
      <vt:variant>
        <vt:i4>18</vt:i4>
      </vt:variant>
      <vt:variant>
        <vt:i4>0</vt:i4>
      </vt:variant>
      <vt:variant>
        <vt:i4>5</vt:i4>
      </vt:variant>
      <vt:variant>
        <vt:lpwstr>http://www.pjm.com/~/media/committees-groups/working-groups/lrwg/20070301/20070301-pjm-deemed-savings-report.ashx</vt:lpwstr>
      </vt:variant>
      <vt:variant>
        <vt:lpwstr/>
      </vt:variant>
      <vt:variant>
        <vt:i4>327782</vt:i4>
      </vt:variant>
      <vt:variant>
        <vt:i4>15</vt:i4>
      </vt:variant>
      <vt:variant>
        <vt:i4>0</vt:i4>
      </vt:variant>
      <vt:variant>
        <vt:i4>5</vt:i4>
      </vt:variant>
      <vt:variant>
        <vt:lpwstr>http://www.energystar.gov/ia/business/bulk_purchasing/bpsavings_calc/Calc_CAC.xls</vt:lpwstr>
      </vt:variant>
      <vt:variant>
        <vt:lpwstr/>
      </vt:variant>
      <vt:variant>
        <vt:i4>2162798</vt:i4>
      </vt:variant>
      <vt:variant>
        <vt:i4>12</vt:i4>
      </vt:variant>
      <vt:variant>
        <vt:i4>0</vt:i4>
      </vt:variant>
      <vt:variant>
        <vt:i4>5</vt:i4>
      </vt:variant>
      <vt:variant>
        <vt:lpwstr>http://www.energystar.gov/ia/business/bulk_purchasing/bpsavings_calc/CalculatorConsumerRoomAC.xls</vt:lpwstr>
      </vt:variant>
      <vt:variant>
        <vt:lpwstr/>
      </vt:variant>
      <vt:variant>
        <vt:i4>65628</vt:i4>
      </vt:variant>
      <vt:variant>
        <vt:i4>6</vt:i4>
      </vt:variant>
      <vt:variant>
        <vt:i4>0</vt:i4>
      </vt:variant>
      <vt:variant>
        <vt:i4>5</vt:i4>
      </vt:variant>
      <vt:variant>
        <vt:lpwstr>http://www.pjm.com/~/media/committees-groups/working-groups/lrwg/20070301/20070301-pjm-deemed-savings-report.ashx</vt:lpwstr>
      </vt:variant>
      <vt:variant>
        <vt:lpwstr/>
      </vt:variant>
      <vt:variant>
        <vt:i4>65628</vt:i4>
      </vt:variant>
      <vt:variant>
        <vt:i4>3</vt:i4>
      </vt:variant>
      <vt:variant>
        <vt:i4>0</vt:i4>
      </vt:variant>
      <vt:variant>
        <vt:i4>5</vt:i4>
      </vt:variant>
      <vt:variant>
        <vt:lpwstr>http://www.pjm.com/~/media/committees-groups/working-groups/lrwg/20070301/20070301-pjm-deemed-savings-report.ashx</vt:lpwstr>
      </vt:variant>
      <vt:variant>
        <vt:lpwstr/>
      </vt:variant>
      <vt:variant>
        <vt:i4>65628</vt:i4>
      </vt:variant>
      <vt:variant>
        <vt:i4>0</vt:i4>
      </vt:variant>
      <vt:variant>
        <vt:i4>0</vt:i4>
      </vt:variant>
      <vt:variant>
        <vt:i4>5</vt:i4>
      </vt:variant>
      <vt:variant>
        <vt:lpwstr>http://www.pjm.com/~/media/committees-groups/working-groups/lrwg/20070301/20070301-pjm-deemed-savings-report.ashx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megagood</dc:creator>
  <cp:lastModifiedBy>megagood</cp:lastModifiedBy>
  <cp:revision>2</cp:revision>
  <dcterms:created xsi:type="dcterms:W3CDTF">2011-12-06T14:22:00Z</dcterms:created>
  <dcterms:modified xsi:type="dcterms:W3CDTF">2011-12-06T14:22:00Z</dcterms:modified>
</cp:coreProperties>
</file>